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EC" w:rsidRPr="00471381" w:rsidRDefault="00572CE7" w:rsidP="00373ED8">
      <w:pPr>
        <w:tabs>
          <w:tab w:val="center" w:pos="4680"/>
        </w:tabs>
        <w:rPr>
          <w:rFonts w:ascii="Times New Roman" w:hAnsi="Times New Roman"/>
          <w:b/>
          <w:bCs/>
        </w:rPr>
      </w:pPr>
      <w:r>
        <w:rPr>
          <w:rFonts w:ascii="Times New Roman" w:hAnsi="Times New Roman"/>
        </w:rPr>
        <w:t xml:space="preserve"> </w:t>
      </w:r>
      <w:r w:rsidR="00F919C2" w:rsidRPr="00471381">
        <w:rPr>
          <w:rFonts w:ascii="Times New Roman" w:hAnsi="Times New Roman"/>
        </w:rPr>
        <w:t xml:space="preserve">                                                         </w:t>
      </w:r>
      <w:r w:rsidR="00EA17EC" w:rsidRPr="00471381">
        <w:rPr>
          <w:rFonts w:ascii="Times New Roman" w:hAnsi="Times New Roman"/>
        </w:rPr>
        <w:tab/>
      </w:r>
      <w:r w:rsidR="00EA17EC" w:rsidRPr="00471381">
        <w:rPr>
          <w:rFonts w:ascii="Times New Roman" w:hAnsi="Times New Roman"/>
          <w:b/>
          <w:bCs/>
        </w:rPr>
        <w:t>Supporting Statement</w:t>
      </w:r>
      <w:r w:rsidR="005F2224" w:rsidRPr="00471381">
        <w:rPr>
          <w:rFonts w:ascii="Times New Roman" w:hAnsi="Times New Roman"/>
          <w:b/>
          <w:bCs/>
        </w:rPr>
        <w:t xml:space="preserve"> </w:t>
      </w:r>
    </w:p>
    <w:p w:rsidR="005C3213" w:rsidRPr="002C0D0D" w:rsidRDefault="005C3213" w:rsidP="00E262E3">
      <w:pPr>
        <w:jc w:val="center"/>
        <w:rPr>
          <w:rFonts w:ascii="Times New Roman" w:hAnsi="Times New Roman"/>
          <w:b/>
        </w:rPr>
      </w:pPr>
      <w:r w:rsidRPr="002C0D0D">
        <w:rPr>
          <w:rFonts w:ascii="Times New Roman" w:hAnsi="Times New Roman"/>
          <w:b/>
          <w:bCs/>
        </w:rPr>
        <w:t>Regulatory Capital Rules: Regulatory Capital, Supplementary Leverage Ratio</w:t>
      </w:r>
    </w:p>
    <w:p w:rsidR="00E67B7F" w:rsidRPr="00471381" w:rsidRDefault="00E67B7F" w:rsidP="00E67B7F">
      <w:pPr>
        <w:pStyle w:val="Heading1"/>
        <w:rPr>
          <w:rFonts w:ascii="Times New Roman" w:hAnsi="Times New Roman"/>
        </w:rPr>
      </w:pPr>
      <w:r w:rsidRPr="00471381">
        <w:rPr>
          <w:rFonts w:ascii="Times New Roman" w:hAnsi="Times New Roman"/>
        </w:rPr>
        <w:t xml:space="preserve">OMB Control No. </w:t>
      </w:r>
      <w:r w:rsidR="00340B54">
        <w:rPr>
          <w:rFonts w:ascii="Times New Roman" w:hAnsi="Times New Roman"/>
        </w:rPr>
        <w:t>3064-</w:t>
      </w:r>
      <w:r w:rsidR="00C33F19">
        <w:rPr>
          <w:rFonts w:ascii="Times New Roman" w:hAnsi="Times New Roman"/>
        </w:rPr>
        <w:t>0196</w:t>
      </w:r>
    </w:p>
    <w:p w:rsidR="00EA17EC" w:rsidRPr="00471381" w:rsidRDefault="00EA17EC" w:rsidP="00373ED8">
      <w:pPr>
        <w:rPr>
          <w:rFonts w:ascii="Times New Roman" w:hAnsi="Times New Roman"/>
        </w:rPr>
      </w:pPr>
    </w:p>
    <w:p w:rsidR="00EA17EC" w:rsidRPr="00471381" w:rsidRDefault="00EA17EC" w:rsidP="00373ED8">
      <w:pPr>
        <w:rPr>
          <w:rFonts w:ascii="Times New Roman" w:hAnsi="Times New Roman"/>
          <w:bCs/>
        </w:rPr>
      </w:pPr>
    </w:p>
    <w:p w:rsidR="00EA17EC" w:rsidRPr="00471381" w:rsidRDefault="00EA17EC" w:rsidP="00AE1B64">
      <w:pPr>
        <w:tabs>
          <w:tab w:val="left" w:pos="-1440"/>
        </w:tabs>
        <w:ind w:left="720" w:hanging="720"/>
        <w:rPr>
          <w:rFonts w:ascii="Times New Roman" w:hAnsi="Times New Roman"/>
        </w:rPr>
      </w:pPr>
      <w:r w:rsidRPr="00471381">
        <w:rPr>
          <w:rFonts w:ascii="Times New Roman" w:hAnsi="Times New Roman"/>
        </w:rPr>
        <w:t>A.</w:t>
      </w:r>
      <w:r w:rsidRPr="00471381">
        <w:rPr>
          <w:rFonts w:ascii="Times New Roman" w:hAnsi="Times New Roman"/>
        </w:rPr>
        <w:tab/>
      </w:r>
      <w:r w:rsidRPr="00471381">
        <w:rPr>
          <w:rFonts w:ascii="Times New Roman" w:hAnsi="Times New Roman"/>
          <w:u w:val="single"/>
        </w:rPr>
        <w:t>Justification.</w:t>
      </w:r>
    </w:p>
    <w:p w:rsidR="00EA17EC" w:rsidRPr="00471381" w:rsidRDefault="00EA17EC" w:rsidP="00AE1B64">
      <w:pPr>
        <w:rPr>
          <w:rFonts w:ascii="Times New Roman" w:hAnsi="Times New Roman"/>
        </w:rPr>
      </w:pPr>
    </w:p>
    <w:p w:rsidR="00EA17EC" w:rsidRDefault="00EA17EC" w:rsidP="00AE1B64">
      <w:pPr>
        <w:tabs>
          <w:tab w:val="left" w:pos="-1440"/>
        </w:tabs>
        <w:ind w:left="720" w:hanging="720"/>
        <w:rPr>
          <w:rFonts w:ascii="Times New Roman" w:hAnsi="Times New Roman"/>
          <w:u w:val="single"/>
        </w:rPr>
      </w:pPr>
      <w:r w:rsidRPr="00471381">
        <w:rPr>
          <w:rFonts w:ascii="Times New Roman" w:hAnsi="Times New Roman"/>
        </w:rPr>
        <w:t>1.</w:t>
      </w:r>
      <w:r w:rsidRPr="00471381">
        <w:rPr>
          <w:rFonts w:ascii="Times New Roman" w:hAnsi="Times New Roman"/>
        </w:rPr>
        <w:tab/>
      </w:r>
      <w:r w:rsidRPr="00471381">
        <w:rPr>
          <w:rFonts w:ascii="Times New Roman" w:hAnsi="Times New Roman"/>
          <w:u w:val="single"/>
        </w:rPr>
        <w:t>Circumstances that make the collection necessary:</w:t>
      </w:r>
    </w:p>
    <w:p w:rsidR="00AE1B64" w:rsidRDefault="00AE1B64" w:rsidP="00AE1B64">
      <w:pPr>
        <w:tabs>
          <w:tab w:val="left" w:pos="-1440"/>
        </w:tabs>
        <w:ind w:left="720" w:hanging="720"/>
        <w:rPr>
          <w:rFonts w:ascii="Times New Roman" w:hAnsi="Times New Roman"/>
          <w:u w:val="single"/>
        </w:rPr>
      </w:pPr>
    </w:p>
    <w:p w:rsidR="002C71DA" w:rsidRPr="00E262E3" w:rsidRDefault="00AE1B64" w:rsidP="002C0D0D">
      <w:pPr>
        <w:tabs>
          <w:tab w:val="left" w:pos="-1440"/>
        </w:tabs>
        <w:rPr>
          <w:rFonts w:ascii="Times New Roman" w:hAnsi="Times New Roman"/>
          <w:highlight w:val="yellow"/>
        </w:rPr>
      </w:pPr>
      <w:r>
        <w:rPr>
          <w:rFonts w:ascii="Times New Roman" w:hAnsi="Times New Roman"/>
        </w:rPr>
        <w:tab/>
      </w:r>
      <w:r w:rsidR="002C71DA" w:rsidRPr="00E262E3">
        <w:rPr>
          <w:rFonts w:ascii="Times New Roman" w:hAnsi="Times New Roman"/>
        </w:rPr>
        <w:t xml:space="preserve">The Federal Deposit Insurance Corporation (“FDIC”), jointly with the Office of the Comptroller of the Currency (“OCC”) and the Board of Governors of the Federal Reserve System (“Board”) (collectively, “the agencies”), is issuing a final rule (“final rule”) that amends the regulatory capital rules adopted by the agencies in July 2013 (“2013 revised capital rules”).  Specifically, the final rule implements enhanced supplementary leverage ratio standards for </w:t>
      </w:r>
      <w:proofErr w:type="gramStart"/>
      <w:r w:rsidR="002C71DA" w:rsidRPr="00E262E3">
        <w:rPr>
          <w:rFonts w:ascii="Times New Roman" w:hAnsi="Times New Roman"/>
        </w:rPr>
        <w:t>large</w:t>
      </w:r>
      <w:proofErr w:type="gramEnd"/>
      <w:r w:rsidR="002C71DA" w:rsidRPr="00E262E3">
        <w:rPr>
          <w:rFonts w:ascii="Times New Roman" w:hAnsi="Times New Roman"/>
        </w:rPr>
        <w:t>, interconnected U.S. banking organizations</w:t>
      </w:r>
      <w:r w:rsidR="001771FE">
        <w:rPr>
          <w:rFonts w:ascii="Times New Roman" w:hAnsi="Times New Roman"/>
        </w:rPr>
        <w:t xml:space="preserve"> that have at least $250 </w:t>
      </w:r>
      <w:r w:rsidR="00E85FBE">
        <w:rPr>
          <w:rFonts w:ascii="Times New Roman" w:hAnsi="Times New Roman"/>
        </w:rPr>
        <w:t xml:space="preserve">billion </w:t>
      </w:r>
      <w:r w:rsidR="001771FE">
        <w:rPr>
          <w:rFonts w:ascii="Times New Roman" w:hAnsi="Times New Roman"/>
        </w:rPr>
        <w:t>in total consolidated assets or total on-balance sheet foreign exposures of $10 billion or more</w:t>
      </w:r>
      <w:r w:rsidR="000453EB">
        <w:rPr>
          <w:rFonts w:ascii="Times New Roman" w:hAnsi="Times New Roman"/>
        </w:rPr>
        <w:t xml:space="preserve"> (“covered banks”)</w:t>
      </w:r>
      <w:r w:rsidR="002C71DA" w:rsidRPr="00E262E3">
        <w:rPr>
          <w:rFonts w:ascii="Times New Roman" w:hAnsi="Times New Roman"/>
        </w:rPr>
        <w:t>.  In doing so, the final rule supports some of the main objectives of the 2013 revised capital rules, that is, to increase the quantity of regulatory capital and improve the stability and resilience of the U.S. banking system.</w:t>
      </w:r>
    </w:p>
    <w:p w:rsidR="002C71DA" w:rsidRDefault="002C71DA" w:rsidP="00AE1B64">
      <w:pPr>
        <w:tabs>
          <w:tab w:val="left" w:pos="-1440"/>
        </w:tabs>
        <w:rPr>
          <w:rFonts w:ascii="Times New Roman" w:hAnsi="Times New Roman"/>
        </w:rPr>
      </w:pPr>
    </w:p>
    <w:p w:rsidR="00AE1B64" w:rsidRPr="00471381" w:rsidRDefault="00AE1B64" w:rsidP="00AE1B64">
      <w:pPr>
        <w:rPr>
          <w:rFonts w:ascii="Times New Roman" w:hAnsi="Times New Roman"/>
        </w:rPr>
      </w:pPr>
      <w:r w:rsidRPr="00471381">
        <w:rPr>
          <w:rFonts w:ascii="Times New Roman" w:hAnsi="Times New Roman"/>
        </w:rPr>
        <w:t>2.</w:t>
      </w:r>
      <w:r w:rsidRPr="00471381">
        <w:rPr>
          <w:rFonts w:ascii="Times New Roman" w:hAnsi="Times New Roman"/>
        </w:rPr>
        <w:tab/>
      </w:r>
      <w:r w:rsidRPr="00471381">
        <w:rPr>
          <w:rFonts w:ascii="Times New Roman" w:hAnsi="Times New Roman"/>
          <w:u w:val="single"/>
        </w:rPr>
        <w:t>Use of the information:</w:t>
      </w:r>
    </w:p>
    <w:p w:rsidR="00EA17EC" w:rsidRPr="00471381" w:rsidRDefault="00EA17EC" w:rsidP="00AE1B64">
      <w:pPr>
        <w:rPr>
          <w:rFonts w:ascii="Times New Roman" w:hAnsi="Times New Roman"/>
        </w:rPr>
      </w:pPr>
    </w:p>
    <w:p w:rsidR="005759C5" w:rsidRDefault="00471381" w:rsidP="00AE1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71381">
        <w:rPr>
          <w:rFonts w:ascii="Times New Roman" w:hAnsi="Times New Roman"/>
        </w:rPr>
        <w:t xml:space="preserve">            The collection of information requirements in the </w:t>
      </w:r>
      <w:r w:rsidR="00422BAE">
        <w:rPr>
          <w:rFonts w:ascii="Times New Roman" w:hAnsi="Times New Roman"/>
        </w:rPr>
        <w:t>final</w:t>
      </w:r>
      <w:r w:rsidRPr="00471381">
        <w:rPr>
          <w:rFonts w:ascii="Times New Roman" w:hAnsi="Times New Roman"/>
        </w:rPr>
        <w:t xml:space="preserve"> rule </w:t>
      </w:r>
      <w:r w:rsidR="006A2DE9">
        <w:rPr>
          <w:rFonts w:ascii="Times New Roman" w:hAnsi="Times New Roman"/>
        </w:rPr>
        <w:t>is</w:t>
      </w:r>
      <w:bookmarkStart w:id="0" w:name="_GoBack"/>
      <w:bookmarkEnd w:id="0"/>
      <w:r w:rsidRPr="00471381">
        <w:rPr>
          <w:rFonts w:ascii="Times New Roman" w:hAnsi="Times New Roman"/>
        </w:rPr>
        <w:t xml:space="preserve"> found in </w:t>
      </w:r>
      <w:r w:rsidR="00E262E3">
        <w:rPr>
          <w:rFonts w:ascii="Times New Roman" w:hAnsi="Times New Roman"/>
        </w:rPr>
        <w:t>12 CFR 324.172 and 12 CFR 324.173</w:t>
      </w:r>
      <w:r w:rsidRPr="00471381">
        <w:rPr>
          <w:rFonts w:ascii="Times New Roman" w:hAnsi="Times New Roman"/>
        </w:rPr>
        <w:t xml:space="preserve">.  </w:t>
      </w:r>
      <w:r w:rsidR="00E262E3">
        <w:rPr>
          <w:rFonts w:ascii="Times New Roman" w:hAnsi="Times New Roman"/>
        </w:rPr>
        <w:t>Currently, the 2013 revised capital rules require certain advanced approaches organizations to make the disclosures in Tables 1-12 of 12 CFR 324.172 and 12 CFR 324.173 (OMB Control No. 3064-0153).  The final rule is adding Table 13 to the existing disclosures</w:t>
      </w:r>
      <w:r w:rsidR="001771FE">
        <w:rPr>
          <w:rFonts w:ascii="Times New Roman" w:hAnsi="Times New Roman"/>
        </w:rPr>
        <w:t>, Tables 1-</w:t>
      </w:r>
      <w:r w:rsidR="00E85FBE">
        <w:rPr>
          <w:rFonts w:ascii="Times New Roman" w:hAnsi="Times New Roman"/>
        </w:rPr>
        <w:t>1</w:t>
      </w:r>
      <w:r w:rsidR="001771FE">
        <w:rPr>
          <w:rFonts w:ascii="Times New Roman" w:hAnsi="Times New Roman"/>
        </w:rPr>
        <w:t>2,</w:t>
      </w:r>
      <w:r w:rsidR="00E85FBE">
        <w:rPr>
          <w:rFonts w:ascii="Times New Roman" w:hAnsi="Times New Roman"/>
        </w:rPr>
        <w:t xml:space="preserve"> </w:t>
      </w:r>
      <w:r w:rsidR="00E262E3">
        <w:rPr>
          <w:rFonts w:ascii="Times New Roman" w:hAnsi="Times New Roman"/>
        </w:rPr>
        <w:t xml:space="preserve">for advanced approaches organizations. </w:t>
      </w:r>
    </w:p>
    <w:p w:rsidR="00471381" w:rsidRPr="00471381" w:rsidRDefault="00471381" w:rsidP="00AE1B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71381">
        <w:rPr>
          <w:rFonts w:ascii="Times New Roman" w:hAnsi="Times New Roman"/>
        </w:rPr>
        <w:t xml:space="preserve">            </w:t>
      </w:r>
    </w:p>
    <w:p w:rsidR="00EA17EC" w:rsidRPr="00471381" w:rsidRDefault="00471381" w:rsidP="002C0D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471381">
        <w:rPr>
          <w:rFonts w:ascii="Times New Roman" w:hAnsi="Times New Roman"/>
        </w:rPr>
        <w:t xml:space="preserve">          </w:t>
      </w:r>
      <w:r w:rsidR="00EA17EC" w:rsidRPr="00471381">
        <w:rPr>
          <w:rFonts w:ascii="Times New Roman" w:hAnsi="Times New Roman"/>
        </w:rPr>
        <w:t>3.</w:t>
      </w:r>
      <w:r w:rsidR="00EA17EC" w:rsidRPr="00471381">
        <w:rPr>
          <w:rFonts w:ascii="Times New Roman" w:hAnsi="Times New Roman"/>
        </w:rPr>
        <w:tab/>
      </w:r>
      <w:r w:rsidR="00EA17EC" w:rsidRPr="00471381">
        <w:rPr>
          <w:rFonts w:ascii="Times New Roman" w:hAnsi="Times New Roman"/>
          <w:u w:val="single"/>
        </w:rPr>
        <w:t>Consideration of the use of improved information technology:</w:t>
      </w:r>
    </w:p>
    <w:p w:rsidR="00EA17EC" w:rsidRPr="00471381" w:rsidRDefault="00EA17EC" w:rsidP="00AE1B64">
      <w:pPr>
        <w:rPr>
          <w:rFonts w:ascii="Times New Roman" w:hAnsi="Times New Roman"/>
        </w:rPr>
      </w:pPr>
    </w:p>
    <w:p w:rsidR="008349A5" w:rsidRPr="00471381" w:rsidRDefault="00D061A7" w:rsidP="00AE1B64">
      <w:pPr>
        <w:ind w:firstLine="720"/>
        <w:rPr>
          <w:rFonts w:ascii="Times New Roman" w:hAnsi="Times New Roman"/>
        </w:rPr>
      </w:pPr>
      <w:r w:rsidRPr="00471381">
        <w:rPr>
          <w:rFonts w:ascii="Times New Roman" w:hAnsi="Times New Roman"/>
        </w:rPr>
        <w:t>Respondents may use any type of improved information technology they have available to meet the requirements of this regulation.</w:t>
      </w:r>
    </w:p>
    <w:p w:rsidR="007A12D6" w:rsidRPr="00471381" w:rsidRDefault="007A12D6" w:rsidP="00AE1B64">
      <w:pPr>
        <w:ind w:left="720"/>
        <w:rPr>
          <w:rFonts w:ascii="Times New Roman" w:hAnsi="Times New Roman"/>
        </w:rPr>
      </w:pPr>
    </w:p>
    <w:p w:rsidR="00EA17EC" w:rsidRPr="00471381" w:rsidRDefault="00EA17EC" w:rsidP="00AE1B64">
      <w:pPr>
        <w:tabs>
          <w:tab w:val="left" w:pos="-1440"/>
        </w:tabs>
        <w:ind w:left="720" w:hanging="720"/>
        <w:rPr>
          <w:rFonts w:ascii="Times New Roman" w:hAnsi="Times New Roman"/>
        </w:rPr>
      </w:pPr>
      <w:r w:rsidRPr="00471381">
        <w:rPr>
          <w:rFonts w:ascii="Times New Roman" w:hAnsi="Times New Roman"/>
        </w:rPr>
        <w:t>4.</w:t>
      </w:r>
      <w:r w:rsidRPr="00471381">
        <w:rPr>
          <w:rFonts w:ascii="Times New Roman" w:hAnsi="Times New Roman"/>
        </w:rPr>
        <w:tab/>
      </w:r>
      <w:r w:rsidRPr="00471381">
        <w:rPr>
          <w:rFonts w:ascii="Times New Roman" w:hAnsi="Times New Roman"/>
          <w:u w:val="single"/>
        </w:rPr>
        <w:t>Efforts to identify duplication:</w:t>
      </w:r>
    </w:p>
    <w:p w:rsidR="00EA17EC" w:rsidRPr="00471381" w:rsidRDefault="00EA17EC" w:rsidP="00AE1B64">
      <w:pPr>
        <w:rPr>
          <w:rFonts w:ascii="Times New Roman" w:hAnsi="Times New Roman"/>
        </w:rPr>
      </w:pPr>
    </w:p>
    <w:p w:rsidR="00EA17EC" w:rsidRPr="00471381" w:rsidRDefault="00D061A7" w:rsidP="00AE1B64">
      <w:pPr>
        <w:rPr>
          <w:rFonts w:ascii="Times New Roman" w:hAnsi="Times New Roman"/>
        </w:rPr>
      </w:pPr>
      <w:r w:rsidRPr="00471381">
        <w:rPr>
          <w:rFonts w:ascii="Times New Roman" w:hAnsi="Times New Roman"/>
        </w:rPr>
        <w:tab/>
        <w:t>This information is not available elsewhere</w:t>
      </w:r>
      <w:r w:rsidR="000453EB">
        <w:rPr>
          <w:rFonts w:ascii="Times New Roman" w:hAnsi="Times New Roman"/>
        </w:rPr>
        <w:t xml:space="preserve"> because the final rule implements a new disclosure of information that was not previously required for the covered banks.</w:t>
      </w:r>
    </w:p>
    <w:p w:rsidR="00D061A7" w:rsidRPr="00471381" w:rsidRDefault="00D061A7" w:rsidP="00AE1B64">
      <w:pPr>
        <w:rPr>
          <w:rFonts w:ascii="Times New Roman" w:hAnsi="Times New Roman"/>
        </w:rPr>
      </w:pPr>
    </w:p>
    <w:p w:rsidR="00EA17EC" w:rsidRPr="00471381" w:rsidRDefault="00EA17EC" w:rsidP="00AE1B64">
      <w:pPr>
        <w:tabs>
          <w:tab w:val="left" w:pos="-1440"/>
        </w:tabs>
        <w:ind w:left="720" w:hanging="720"/>
        <w:rPr>
          <w:rFonts w:ascii="Times New Roman" w:hAnsi="Times New Roman"/>
        </w:rPr>
      </w:pPr>
      <w:r w:rsidRPr="00471381">
        <w:rPr>
          <w:rFonts w:ascii="Times New Roman" w:hAnsi="Times New Roman"/>
        </w:rPr>
        <w:t>5.</w:t>
      </w:r>
      <w:r w:rsidRPr="00471381">
        <w:rPr>
          <w:rFonts w:ascii="Times New Roman" w:hAnsi="Times New Roman"/>
        </w:rPr>
        <w:tab/>
      </w:r>
      <w:r w:rsidRPr="00471381">
        <w:rPr>
          <w:rFonts w:ascii="Times New Roman" w:hAnsi="Times New Roman"/>
          <w:u w:val="single"/>
        </w:rPr>
        <w:t>Methods used to minimize burden if the collection has a significant impact on substantial number of small entities:</w:t>
      </w:r>
    </w:p>
    <w:p w:rsidR="00EA17EC" w:rsidRPr="00471381" w:rsidRDefault="00EA17EC" w:rsidP="00AE1B64">
      <w:pPr>
        <w:rPr>
          <w:rFonts w:ascii="Times New Roman" w:hAnsi="Times New Roman"/>
        </w:rPr>
      </w:pPr>
    </w:p>
    <w:p w:rsidR="00EA17EC" w:rsidRPr="00471381" w:rsidRDefault="00D061A7" w:rsidP="00AE1B64">
      <w:pPr>
        <w:ind w:firstLine="720"/>
        <w:rPr>
          <w:rFonts w:ascii="Times New Roman" w:hAnsi="Times New Roman"/>
        </w:rPr>
      </w:pPr>
      <w:r w:rsidRPr="00471381">
        <w:rPr>
          <w:rFonts w:ascii="Times New Roman" w:hAnsi="Times New Roman"/>
        </w:rPr>
        <w:t>This collection does not have a significant impact on a substantial number of small entities</w:t>
      </w:r>
      <w:r w:rsidR="00834D7B">
        <w:rPr>
          <w:rFonts w:ascii="Times New Roman" w:hAnsi="Times New Roman"/>
        </w:rPr>
        <w:t xml:space="preserve"> because it only impacts </w:t>
      </w:r>
      <w:r w:rsidR="00834D7B" w:rsidRPr="00834D7B">
        <w:rPr>
          <w:rFonts w:ascii="Times New Roman" w:hAnsi="Times New Roman"/>
        </w:rPr>
        <w:t>large, interconnected U.S. banking organizations</w:t>
      </w:r>
      <w:r w:rsidR="0071607F">
        <w:rPr>
          <w:rFonts w:ascii="Times New Roman" w:hAnsi="Times New Roman"/>
        </w:rPr>
        <w:t xml:space="preserve"> </w:t>
      </w:r>
    </w:p>
    <w:p w:rsidR="00D061A7" w:rsidRPr="00471381" w:rsidRDefault="00D061A7" w:rsidP="00AE1B64">
      <w:pPr>
        <w:rPr>
          <w:rFonts w:ascii="Times New Roman" w:hAnsi="Times New Roman"/>
        </w:rPr>
      </w:pPr>
    </w:p>
    <w:p w:rsidR="00EA17EC" w:rsidRPr="00471381" w:rsidRDefault="00EA17EC" w:rsidP="00AE1B64">
      <w:pPr>
        <w:tabs>
          <w:tab w:val="left" w:pos="-1440"/>
        </w:tabs>
        <w:ind w:left="720" w:hanging="720"/>
        <w:rPr>
          <w:rFonts w:ascii="Times New Roman" w:hAnsi="Times New Roman"/>
        </w:rPr>
      </w:pPr>
      <w:r w:rsidRPr="00471381">
        <w:rPr>
          <w:rFonts w:ascii="Times New Roman" w:hAnsi="Times New Roman"/>
        </w:rPr>
        <w:t>6.</w:t>
      </w:r>
      <w:r w:rsidRPr="00471381">
        <w:rPr>
          <w:rFonts w:ascii="Times New Roman" w:hAnsi="Times New Roman"/>
        </w:rPr>
        <w:tab/>
      </w:r>
      <w:r w:rsidRPr="00471381">
        <w:rPr>
          <w:rFonts w:ascii="Times New Roman" w:hAnsi="Times New Roman"/>
          <w:u w:val="single"/>
        </w:rPr>
        <w:t>Consequences to the Federal program if the collection were conducted less frequently:</w:t>
      </w:r>
    </w:p>
    <w:p w:rsidR="00EA17EC" w:rsidRPr="00471381" w:rsidRDefault="00EA17EC" w:rsidP="00AE1B64">
      <w:pPr>
        <w:rPr>
          <w:rFonts w:ascii="Times New Roman" w:hAnsi="Times New Roman"/>
        </w:rPr>
      </w:pPr>
    </w:p>
    <w:p w:rsidR="00D061A7" w:rsidRDefault="00D061A7" w:rsidP="00AE1B64">
      <w:pPr>
        <w:rPr>
          <w:rFonts w:ascii="Times New Roman" w:hAnsi="Times New Roman"/>
        </w:rPr>
      </w:pPr>
      <w:r w:rsidRPr="00471381">
        <w:rPr>
          <w:rFonts w:ascii="Times New Roman" w:hAnsi="Times New Roman"/>
        </w:rPr>
        <w:lastRenderedPageBreak/>
        <w:tab/>
        <w:t>Less frequent collection would result in safety and soundness concerns.</w:t>
      </w:r>
    </w:p>
    <w:p w:rsidR="006164FC" w:rsidRPr="00471381" w:rsidRDefault="006164FC" w:rsidP="00AE1B64">
      <w:pPr>
        <w:rPr>
          <w:rFonts w:ascii="Times New Roman" w:hAnsi="Times New Roman"/>
        </w:rPr>
      </w:pPr>
    </w:p>
    <w:p w:rsidR="00EA17EC" w:rsidRPr="00471381" w:rsidRDefault="00EA17EC" w:rsidP="00AE1B64">
      <w:pPr>
        <w:tabs>
          <w:tab w:val="left" w:pos="-1440"/>
        </w:tabs>
        <w:ind w:left="720" w:hanging="720"/>
        <w:rPr>
          <w:rFonts w:ascii="Times New Roman" w:hAnsi="Times New Roman"/>
        </w:rPr>
      </w:pPr>
      <w:r w:rsidRPr="00471381">
        <w:rPr>
          <w:rFonts w:ascii="Times New Roman" w:hAnsi="Times New Roman"/>
        </w:rPr>
        <w:t>7.</w:t>
      </w:r>
      <w:r w:rsidRPr="00471381">
        <w:rPr>
          <w:rFonts w:ascii="Times New Roman" w:hAnsi="Times New Roman"/>
        </w:rPr>
        <w:tab/>
      </w:r>
      <w:r w:rsidRPr="00471381">
        <w:rPr>
          <w:rFonts w:ascii="Times New Roman" w:hAnsi="Times New Roman"/>
          <w:u w:val="single"/>
        </w:rPr>
        <w:t>Special circumstances necessitating collection inconsistent with 5 C</w:t>
      </w:r>
      <w:r w:rsidR="00A549EC">
        <w:rPr>
          <w:rFonts w:ascii="Times New Roman" w:hAnsi="Times New Roman"/>
          <w:u w:val="single"/>
        </w:rPr>
        <w:t>.</w:t>
      </w:r>
      <w:r w:rsidRPr="00471381">
        <w:rPr>
          <w:rFonts w:ascii="Times New Roman" w:hAnsi="Times New Roman"/>
          <w:u w:val="single"/>
        </w:rPr>
        <w:t>F</w:t>
      </w:r>
      <w:r w:rsidR="00A549EC">
        <w:rPr>
          <w:rFonts w:ascii="Times New Roman" w:hAnsi="Times New Roman"/>
          <w:u w:val="single"/>
        </w:rPr>
        <w:t>.</w:t>
      </w:r>
      <w:r w:rsidRPr="00471381">
        <w:rPr>
          <w:rFonts w:ascii="Times New Roman" w:hAnsi="Times New Roman"/>
          <w:u w:val="single"/>
        </w:rPr>
        <w:t>R</w:t>
      </w:r>
      <w:r w:rsidR="00A549EC">
        <w:rPr>
          <w:rFonts w:ascii="Times New Roman" w:hAnsi="Times New Roman"/>
          <w:u w:val="single"/>
        </w:rPr>
        <w:t>.</w:t>
      </w:r>
      <w:r w:rsidRPr="00471381">
        <w:rPr>
          <w:rFonts w:ascii="Times New Roman" w:hAnsi="Times New Roman"/>
          <w:u w:val="single"/>
        </w:rPr>
        <w:t xml:space="preserve"> Part 1320:</w:t>
      </w:r>
    </w:p>
    <w:p w:rsidR="00EA17EC" w:rsidRPr="00471381" w:rsidRDefault="00EA17EC" w:rsidP="00AE1B64">
      <w:pPr>
        <w:rPr>
          <w:rFonts w:ascii="Times New Roman" w:hAnsi="Times New Roman"/>
        </w:rPr>
      </w:pPr>
    </w:p>
    <w:p w:rsidR="00EA17EC" w:rsidRPr="00471381" w:rsidRDefault="00EA17EC" w:rsidP="00AE1B64">
      <w:pPr>
        <w:ind w:firstLine="720"/>
        <w:rPr>
          <w:rFonts w:ascii="Times New Roman" w:hAnsi="Times New Roman"/>
        </w:rPr>
      </w:pPr>
      <w:r w:rsidRPr="00471381">
        <w:rPr>
          <w:rFonts w:ascii="Times New Roman" w:hAnsi="Times New Roman"/>
        </w:rPr>
        <w:t>This collection is conducted in accordance with the guidelines in 5 C</w:t>
      </w:r>
      <w:r w:rsidR="00A549EC">
        <w:rPr>
          <w:rFonts w:ascii="Times New Roman" w:hAnsi="Times New Roman"/>
        </w:rPr>
        <w:t>.</w:t>
      </w:r>
      <w:r w:rsidRPr="00471381">
        <w:rPr>
          <w:rFonts w:ascii="Times New Roman" w:hAnsi="Times New Roman"/>
        </w:rPr>
        <w:t>F</w:t>
      </w:r>
      <w:r w:rsidR="00A549EC">
        <w:rPr>
          <w:rFonts w:ascii="Times New Roman" w:hAnsi="Times New Roman"/>
        </w:rPr>
        <w:t>.</w:t>
      </w:r>
      <w:r w:rsidRPr="00471381">
        <w:rPr>
          <w:rFonts w:ascii="Times New Roman" w:hAnsi="Times New Roman"/>
        </w:rPr>
        <w:t>R</w:t>
      </w:r>
      <w:r w:rsidR="00A549EC">
        <w:rPr>
          <w:rFonts w:ascii="Times New Roman" w:hAnsi="Times New Roman"/>
        </w:rPr>
        <w:t>.</w:t>
      </w:r>
      <w:r w:rsidRPr="00471381">
        <w:rPr>
          <w:rFonts w:ascii="Times New Roman" w:hAnsi="Times New Roman"/>
        </w:rPr>
        <w:t xml:space="preserve"> </w:t>
      </w:r>
      <w:r w:rsidR="00A549EC">
        <w:rPr>
          <w:rFonts w:ascii="Times New Roman" w:hAnsi="Times New Roman"/>
        </w:rPr>
        <w:t xml:space="preserve">§ </w:t>
      </w:r>
      <w:r w:rsidRPr="00471381">
        <w:rPr>
          <w:rFonts w:ascii="Times New Roman" w:hAnsi="Times New Roman"/>
        </w:rPr>
        <w:t>1320.6.</w:t>
      </w:r>
    </w:p>
    <w:p w:rsidR="00EA17EC" w:rsidRPr="00471381" w:rsidRDefault="00EA17EC" w:rsidP="00AE1B64">
      <w:pPr>
        <w:rPr>
          <w:rFonts w:ascii="Times New Roman" w:hAnsi="Times New Roman"/>
        </w:rPr>
      </w:pPr>
    </w:p>
    <w:p w:rsidR="00EA17EC" w:rsidRPr="00471381" w:rsidRDefault="00EA17EC" w:rsidP="00AE1B64">
      <w:pPr>
        <w:tabs>
          <w:tab w:val="left" w:pos="-1440"/>
        </w:tabs>
        <w:ind w:left="720" w:hanging="720"/>
        <w:rPr>
          <w:rFonts w:ascii="Times New Roman" w:hAnsi="Times New Roman"/>
        </w:rPr>
      </w:pPr>
      <w:r w:rsidRPr="00471381">
        <w:rPr>
          <w:rFonts w:ascii="Times New Roman" w:hAnsi="Times New Roman"/>
        </w:rPr>
        <w:t>8.</w:t>
      </w:r>
      <w:r w:rsidRPr="00471381">
        <w:rPr>
          <w:rFonts w:ascii="Times New Roman" w:hAnsi="Times New Roman"/>
        </w:rPr>
        <w:tab/>
      </w:r>
      <w:r w:rsidRPr="00471381">
        <w:rPr>
          <w:rFonts w:ascii="Times New Roman" w:hAnsi="Times New Roman"/>
          <w:u w:val="single"/>
        </w:rPr>
        <w:t>Efforts to consult with persons outside the agency:</w:t>
      </w:r>
    </w:p>
    <w:p w:rsidR="00EA17EC" w:rsidRPr="00471381" w:rsidRDefault="00EA17EC" w:rsidP="00AE1B64">
      <w:pPr>
        <w:widowControl/>
        <w:rPr>
          <w:rFonts w:ascii="Times New Roman" w:hAnsi="Times New Roman"/>
        </w:rPr>
      </w:pPr>
    </w:p>
    <w:p w:rsidR="00E20EA6" w:rsidRDefault="008E7DA1" w:rsidP="006164FC">
      <w:pPr>
        <w:pStyle w:val="ListParagraph"/>
        <w:ind w:left="0"/>
        <w:rPr>
          <w:iCs/>
          <w:color w:val="000000"/>
        </w:rPr>
      </w:pPr>
      <w:r>
        <w:rPr>
          <w:iCs/>
          <w:szCs w:val="24"/>
        </w:rPr>
        <w:tab/>
      </w:r>
      <w:r w:rsidR="00584D06">
        <w:rPr>
          <w:iCs/>
          <w:szCs w:val="24"/>
        </w:rPr>
        <w:t>T</w:t>
      </w:r>
      <w:r w:rsidR="00D061A7" w:rsidRPr="00471381">
        <w:rPr>
          <w:iCs/>
          <w:szCs w:val="24"/>
        </w:rPr>
        <w:t xml:space="preserve">he </w:t>
      </w:r>
      <w:r w:rsidR="00800BC5" w:rsidRPr="00471381">
        <w:rPr>
          <w:iCs/>
          <w:szCs w:val="24"/>
        </w:rPr>
        <w:t>Agencies</w:t>
      </w:r>
      <w:r w:rsidR="00D061A7" w:rsidRPr="00471381">
        <w:rPr>
          <w:iCs/>
          <w:szCs w:val="24"/>
        </w:rPr>
        <w:t xml:space="preserve"> issued a no</w:t>
      </w:r>
      <w:r w:rsidR="00584D06">
        <w:rPr>
          <w:iCs/>
          <w:szCs w:val="24"/>
        </w:rPr>
        <w:t>tice of proposed rulemaking</w:t>
      </w:r>
      <w:r w:rsidR="00422BAE">
        <w:rPr>
          <w:i/>
          <w:iCs/>
          <w:szCs w:val="24"/>
        </w:rPr>
        <w:t xml:space="preserve"> </w:t>
      </w:r>
      <w:r w:rsidR="00422BAE" w:rsidRPr="006164FC">
        <w:rPr>
          <w:iCs/>
          <w:szCs w:val="24"/>
        </w:rPr>
        <w:t>(NPR)</w:t>
      </w:r>
      <w:r w:rsidR="00584D06" w:rsidRPr="00C56AF6">
        <w:rPr>
          <w:iCs/>
          <w:szCs w:val="24"/>
        </w:rPr>
        <w:t xml:space="preserve"> </w:t>
      </w:r>
      <w:r w:rsidR="00296AC3" w:rsidRPr="00C56AF6">
        <w:rPr>
          <w:iCs/>
          <w:szCs w:val="24"/>
        </w:rPr>
        <w:t>for</w:t>
      </w:r>
      <w:r w:rsidR="001E68C3" w:rsidRPr="00C56AF6">
        <w:rPr>
          <w:iCs/>
          <w:szCs w:val="24"/>
        </w:rPr>
        <w:t xml:space="preserve"> </w:t>
      </w:r>
      <w:r w:rsidR="00584D06" w:rsidRPr="00C56AF6">
        <w:rPr>
          <w:iCs/>
          <w:szCs w:val="24"/>
        </w:rPr>
        <w:t>60 days of comment</w:t>
      </w:r>
      <w:r w:rsidRPr="00C56AF6">
        <w:rPr>
          <w:iCs/>
          <w:szCs w:val="24"/>
        </w:rPr>
        <w:t xml:space="preserve"> </w:t>
      </w:r>
      <w:r w:rsidR="00296AC3" w:rsidRPr="00C56AF6">
        <w:rPr>
          <w:iCs/>
          <w:szCs w:val="24"/>
        </w:rPr>
        <w:t xml:space="preserve">on </w:t>
      </w:r>
      <w:r w:rsidR="005C3213" w:rsidRPr="00C56AF6">
        <w:rPr>
          <w:iCs/>
          <w:szCs w:val="24"/>
        </w:rPr>
        <w:t xml:space="preserve">May 1, </w:t>
      </w:r>
      <w:r w:rsidR="00E82251" w:rsidRPr="00C56AF6">
        <w:rPr>
          <w:iCs/>
          <w:szCs w:val="24"/>
        </w:rPr>
        <w:t>2014</w:t>
      </w:r>
      <w:r w:rsidR="00296AC3" w:rsidRPr="00C56AF6">
        <w:rPr>
          <w:iCs/>
          <w:szCs w:val="24"/>
        </w:rPr>
        <w:t xml:space="preserve"> (</w:t>
      </w:r>
      <w:r w:rsidR="005C3213" w:rsidRPr="00C56AF6">
        <w:rPr>
          <w:iCs/>
          <w:szCs w:val="24"/>
        </w:rPr>
        <w:t>79</w:t>
      </w:r>
      <w:r w:rsidR="00296AC3" w:rsidRPr="00C56AF6">
        <w:rPr>
          <w:iCs/>
          <w:szCs w:val="24"/>
        </w:rPr>
        <w:t xml:space="preserve"> FR </w:t>
      </w:r>
      <w:r w:rsidR="005C3213" w:rsidRPr="00C56AF6">
        <w:rPr>
          <w:iCs/>
          <w:szCs w:val="24"/>
        </w:rPr>
        <w:t>24596</w:t>
      </w:r>
      <w:r w:rsidR="00E82251" w:rsidRPr="00C56AF6">
        <w:rPr>
          <w:iCs/>
          <w:szCs w:val="24"/>
        </w:rPr>
        <w:t xml:space="preserve">).  </w:t>
      </w:r>
      <w:r w:rsidR="006164FC">
        <w:rPr>
          <w:iCs/>
          <w:color w:val="000000"/>
        </w:rPr>
        <w:t>T</w:t>
      </w:r>
      <w:r w:rsidR="00E20EA6">
        <w:rPr>
          <w:iCs/>
          <w:color w:val="000000"/>
        </w:rPr>
        <w:t xml:space="preserve">he </w:t>
      </w:r>
      <w:proofErr w:type="gramStart"/>
      <w:r w:rsidR="00E20EA6">
        <w:rPr>
          <w:iCs/>
          <w:color w:val="000000"/>
        </w:rPr>
        <w:t>agencies  receive</w:t>
      </w:r>
      <w:r w:rsidR="006164FC">
        <w:rPr>
          <w:iCs/>
          <w:color w:val="000000"/>
        </w:rPr>
        <w:t>d</w:t>
      </w:r>
      <w:proofErr w:type="gramEnd"/>
      <w:r w:rsidR="00E20EA6">
        <w:rPr>
          <w:iCs/>
          <w:color w:val="000000"/>
        </w:rPr>
        <w:t xml:space="preserve"> five comments related to the disclosure requirements of the rule: four from industry associations and one from a consumer advocacy group.  All commenters supported the disclosure as providing greater transparency in measuring and reporting an institution’s on-and off-balance sheet activities, aiding both market equity and regulatory oversight.  </w:t>
      </w:r>
    </w:p>
    <w:p w:rsidR="00E20EA6" w:rsidRDefault="00E20EA6" w:rsidP="006164FC">
      <w:pPr>
        <w:rPr>
          <w:rFonts w:ascii="Times New Roman" w:hAnsi="Times New Roman"/>
          <w:iCs/>
          <w:color w:val="000000"/>
        </w:rPr>
      </w:pPr>
    </w:p>
    <w:p w:rsidR="00C27911" w:rsidRDefault="00C27911" w:rsidP="006164FC">
      <w:pPr>
        <w:ind w:firstLine="720"/>
        <w:rPr>
          <w:rFonts w:ascii="Times New Roman" w:hAnsi="Times New Roman"/>
          <w:color w:val="000000"/>
        </w:rPr>
      </w:pPr>
      <w:r>
        <w:rPr>
          <w:rFonts w:ascii="Times New Roman" w:hAnsi="Times New Roman"/>
          <w:color w:val="000000"/>
        </w:rPr>
        <w:t xml:space="preserve">One comment letter recommended that the final rule clarify that Part 1, line 2 of the disclosure table include associated entities reflected on a banking organization’s balance sheet on the basis of proportionate consolidation.  The commenter noted that it sent the same suggestion to the BCBS to revise the Basel III leverage ratio disclosure requirements.  The agencies decided not to revise the disclosure table in response to this comment because proportionate consolidation generally does not apply to the U.S. banking organizations subject to the supplementary leverage ratio. </w:t>
      </w:r>
    </w:p>
    <w:p w:rsidR="00C27911" w:rsidRDefault="00C27911" w:rsidP="006164FC">
      <w:pPr>
        <w:ind w:firstLine="720"/>
        <w:rPr>
          <w:rFonts w:ascii="Times New Roman" w:hAnsi="Times New Roman"/>
          <w:color w:val="000000"/>
        </w:rPr>
      </w:pPr>
      <w:r>
        <w:rPr>
          <w:rFonts w:ascii="Times New Roman" w:hAnsi="Times New Roman"/>
          <w:color w:val="000000"/>
        </w:rPr>
        <w:t xml:space="preserve"> </w:t>
      </w:r>
    </w:p>
    <w:p w:rsidR="00C27911" w:rsidRDefault="00C27911" w:rsidP="006164FC">
      <w:pPr>
        <w:ind w:firstLine="720"/>
        <w:rPr>
          <w:rFonts w:ascii="Times New Roman" w:hAnsi="Times New Roman"/>
          <w:color w:val="000000"/>
        </w:rPr>
      </w:pPr>
      <w:r>
        <w:rPr>
          <w:rFonts w:ascii="Times New Roman" w:hAnsi="Times New Roman"/>
          <w:color w:val="000000"/>
        </w:rPr>
        <w:t>Another comment letter expressed the view that the required disclosures do not appear to provide a meaningful breakout of off-balance sheet exposures beyond derivative and repo-style transactions.  The comment letter recommended that the agencies consider a more detailed breakout of off-balance sheet exposures for Part 2, lines 17 and 18.  The agencies believe that the table is sufficiently granular, particularly when viewed in combination with the other regulatory disclosure requirements, including the Call Report and FR Y-9C.  Therefore, under the final rule, the agencies are finalizing the disclosures requirements as proposed.</w:t>
      </w:r>
    </w:p>
    <w:p w:rsidR="00D061A7" w:rsidRPr="00471381" w:rsidRDefault="00D061A7" w:rsidP="00AE1B64">
      <w:pPr>
        <w:rPr>
          <w:rFonts w:ascii="Times New Roman" w:hAnsi="Times New Roman"/>
        </w:rPr>
      </w:pPr>
    </w:p>
    <w:p w:rsidR="00EA17EC" w:rsidRPr="00471381" w:rsidRDefault="00EA17EC" w:rsidP="00AE1B64">
      <w:pPr>
        <w:rPr>
          <w:rFonts w:ascii="Times New Roman" w:hAnsi="Times New Roman"/>
          <w:u w:val="single"/>
        </w:rPr>
      </w:pPr>
      <w:r w:rsidRPr="00471381">
        <w:rPr>
          <w:rFonts w:ascii="Times New Roman" w:hAnsi="Times New Roman"/>
        </w:rPr>
        <w:t>9.</w:t>
      </w:r>
      <w:r w:rsidRPr="00471381">
        <w:rPr>
          <w:rFonts w:ascii="Times New Roman" w:hAnsi="Times New Roman"/>
        </w:rPr>
        <w:tab/>
      </w:r>
      <w:r w:rsidRPr="00471381">
        <w:rPr>
          <w:rFonts w:ascii="Times New Roman" w:hAnsi="Times New Roman"/>
          <w:u w:val="single"/>
        </w:rPr>
        <w:t>Payment to respondents.</w:t>
      </w:r>
    </w:p>
    <w:p w:rsidR="00EA17EC" w:rsidRPr="00471381" w:rsidRDefault="00EA17EC" w:rsidP="00AE1B64">
      <w:pPr>
        <w:rPr>
          <w:rFonts w:ascii="Times New Roman" w:hAnsi="Times New Roman"/>
          <w:u w:val="single"/>
        </w:rPr>
      </w:pPr>
    </w:p>
    <w:p w:rsidR="00EA17EC" w:rsidRPr="00471381" w:rsidRDefault="00EA17EC" w:rsidP="00AE1B64">
      <w:pPr>
        <w:ind w:firstLine="720"/>
        <w:rPr>
          <w:rFonts w:ascii="Times New Roman" w:hAnsi="Times New Roman"/>
        </w:rPr>
      </w:pPr>
      <w:r w:rsidRPr="00471381">
        <w:rPr>
          <w:rFonts w:ascii="Times New Roman" w:hAnsi="Times New Roman"/>
        </w:rPr>
        <w:t>There is no payment to respondents.</w:t>
      </w:r>
    </w:p>
    <w:p w:rsidR="003B45B3" w:rsidRPr="00471381" w:rsidRDefault="003B45B3" w:rsidP="00AE1B64">
      <w:pPr>
        <w:tabs>
          <w:tab w:val="left" w:pos="-1440"/>
        </w:tabs>
        <w:rPr>
          <w:rFonts w:ascii="Times New Roman" w:hAnsi="Times New Roman"/>
        </w:rPr>
      </w:pPr>
    </w:p>
    <w:p w:rsidR="00EA17EC" w:rsidRPr="00471381" w:rsidRDefault="00EA17EC" w:rsidP="00AE1B64">
      <w:pPr>
        <w:tabs>
          <w:tab w:val="left" w:pos="-1440"/>
        </w:tabs>
        <w:ind w:left="720" w:hanging="720"/>
        <w:rPr>
          <w:rFonts w:ascii="Times New Roman" w:hAnsi="Times New Roman"/>
        </w:rPr>
      </w:pPr>
      <w:r w:rsidRPr="00471381">
        <w:rPr>
          <w:rFonts w:ascii="Times New Roman" w:hAnsi="Times New Roman"/>
        </w:rPr>
        <w:t>10.</w:t>
      </w:r>
      <w:r w:rsidRPr="00471381">
        <w:rPr>
          <w:rFonts w:ascii="Times New Roman" w:hAnsi="Times New Roman"/>
        </w:rPr>
        <w:tab/>
      </w:r>
      <w:r w:rsidRPr="00471381">
        <w:rPr>
          <w:rFonts w:ascii="Times New Roman" w:hAnsi="Times New Roman"/>
          <w:u w:val="single"/>
        </w:rPr>
        <w:t>Any assurance of confidentiality:</w:t>
      </w:r>
    </w:p>
    <w:p w:rsidR="00EA17EC" w:rsidRPr="00471381" w:rsidRDefault="00EA17EC" w:rsidP="00AE1B64">
      <w:pPr>
        <w:rPr>
          <w:rFonts w:ascii="Times New Roman" w:hAnsi="Times New Roman"/>
        </w:rPr>
      </w:pPr>
    </w:p>
    <w:p w:rsidR="00EA17EC" w:rsidRPr="00471381" w:rsidRDefault="003B45B3" w:rsidP="00AE1B64">
      <w:pPr>
        <w:ind w:firstLine="720"/>
        <w:rPr>
          <w:rFonts w:ascii="Times New Roman" w:hAnsi="Times New Roman"/>
        </w:rPr>
      </w:pPr>
      <w:r w:rsidRPr="00471381">
        <w:rPr>
          <w:rFonts w:ascii="Times New Roman" w:hAnsi="Times New Roman"/>
        </w:rPr>
        <w:t>There is n</w:t>
      </w:r>
      <w:r w:rsidR="00EA17EC" w:rsidRPr="00471381">
        <w:rPr>
          <w:rFonts w:ascii="Times New Roman" w:hAnsi="Times New Roman"/>
        </w:rPr>
        <w:t>o assurance of confidentiality</w:t>
      </w:r>
      <w:r w:rsidRPr="00471381">
        <w:rPr>
          <w:rFonts w:ascii="Times New Roman" w:hAnsi="Times New Roman"/>
        </w:rPr>
        <w:t>.</w:t>
      </w:r>
      <w:r w:rsidR="00EA17EC" w:rsidRPr="00471381">
        <w:rPr>
          <w:rFonts w:ascii="Times New Roman" w:hAnsi="Times New Roman"/>
        </w:rPr>
        <w:tab/>
      </w:r>
    </w:p>
    <w:p w:rsidR="00EA17EC" w:rsidRPr="00471381" w:rsidRDefault="00EA17EC" w:rsidP="00AE1B64">
      <w:pPr>
        <w:rPr>
          <w:rFonts w:ascii="Times New Roman" w:hAnsi="Times New Roman"/>
        </w:rPr>
      </w:pPr>
    </w:p>
    <w:p w:rsidR="00EA17EC" w:rsidRPr="00471381" w:rsidRDefault="00EA17EC" w:rsidP="00AE1B64">
      <w:pPr>
        <w:tabs>
          <w:tab w:val="left" w:pos="-1440"/>
        </w:tabs>
        <w:ind w:left="720" w:hanging="720"/>
        <w:rPr>
          <w:rFonts w:ascii="Times New Roman" w:hAnsi="Times New Roman"/>
        </w:rPr>
      </w:pPr>
      <w:r w:rsidRPr="00471381">
        <w:rPr>
          <w:rFonts w:ascii="Times New Roman" w:hAnsi="Times New Roman"/>
        </w:rPr>
        <w:t>11.</w:t>
      </w:r>
      <w:r w:rsidRPr="00471381">
        <w:rPr>
          <w:rFonts w:ascii="Times New Roman" w:hAnsi="Times New Roman"/>
        </w:rPr>
        <w:tab/>
      </w:r>
      <w:r w:rsidRPr="00471381">
        <w:rPr>
          <w:rFonts w:ascii="Times New Roman" w:hAnsi="Times New Roman"/>
          <w:u w:val="single"/>
        </w:rPr>
        <w:t>Justification for questions of a sensitive nature:</w:t>
      </w:r>
    </w:p>
    <w:p w:rsidR="00EA17EC" w:rsidRPr="00471381" w:rsidRDefault="00EA17EC" w:rsidP="00AE1B64">
      <w:pPr>
        <w:rPr>
          <w:rFonts w:ascii="Times New Roman" w:hAnsi="Times New Roman"/>
        </w:rPr>
      </w:pPr>
    </w:p>
    <w:p w:rsidR="00FA5900" w:rsidRPr="00471381" w:rsidRDefault="003B45B3" w:rsidP="00AE1B64">
      <w:pPr>
        <w:ind w:firstLine="720"/>
        <w:rPr>
          <w:rFonts w:ascii="Times New Roman" w:hAnsi="Times New Roman"/>
        </w:rPr>
      </w:pPr>
      <w:r w:rsidRPr="00471381">
        <w:rPr>
          <w:rFonts w:ascii="Times New Roman" w:hAnsi="Times New Roman"/>
        </w:rPr>
        <w:t>There are no questions of a sensitive nature.</w:t>
      </w:r>
    </w:p>
    <w:p w:rsidR="00EC188C" w:rsidRDefault="00EC188C">
      <w:pPr>
        <w:widowControl/>
        <w:autoSpaceDE/>
        <w:autoSpaceDN/>
        <w:adjustRightInd/>
        <w:rPr>
          <w:rFonts w:ascii="Times New Roman" w:hAnsi="Times New Roman"/>
        </w:rPr>
      </w:pPr>
    </w:p>
    <w:p w:rsidR="005C3213" w:rsidRDefault="00EA17EC" w:rsidP="00AE1B64">
      <w:pPr>
        <w:tabs>
          <w:tab w:val="left" w:pos="-1440"/>
        </w:tabs>
        <w:rPr>
          <w:rFonts w:ascii="Times New Roman" w:hAnsi="Times New Roman"/>
          <w:u w:val="single"/>
        </w:rPr>
      </w:pPr>
      <w:r w:rsidRPr="00471381">
        <w:rPr>
          <w:rFonts w:ascii="Times New Roman" w:hAnsi="Times New Roman"/>
        </w:rPr>
        <w:t>12.</w:t>
      </w:r>
      <w:r w:rsidRPr="00471381">
        <w:rPr>
          <w:rFonts w:ascii="Times New Roman" w:hAnsi="Times New Roman"/>
        </w:rPr>
        <w:tab/>
      </w:r>
      <w:r w:rsidR="00A04829" w:rsidRPr="00471381">
        <w:rPr>
          <w:rFonts w:ascii="Times New Roman" w:hAnsi="Times New Roman"/>
          <w:u w:val="single"/>
        </w:rPr>
        <w:t xml:space="preserve">Estimate of </w:t>
      </w:r>
      <w:r w:rsidR="00A04829" w:rsidRPr="004F7A59">
        <w:rPr>
          <w:rFonts w:ascii="Times New Roman" w:hAnsi="Times New Roman"/>
          <w:u w:val="single"/>
        </w:rPr>
        <w:t>Hour</w:t>
      </w:r>
      <w:r w:rsidR="005C3213">
        <w:rPr>
          <w:rFonts w:ascii="Times New Roman" w:hAnsi="Times New Roman"/>
          <w:u w:val="single"/>
        </w:rPr>
        <w:t>ly</w:t>
      </w:r>
      <w:r w:rsidR="00A04829" w:rsidRPr="004F7A59">
        <w:rPr>
          <w:rFonts w:ascii="Times New Roman" w:hAnsi="Times New Roman"/>
          <w:u w:val="single"/>
        </w:rPr>
        <w:t xml:space="preserve"> </w:t>
      </w:r>
      <w:r w:rsidRPr="004F7A59">
        <w:rPr>
          <w:rFonts w:ascii="Times New Roman" w:hAnsi="Times New Roman"/>
          <w:u w:val="single"/>
        </w:rPr>
        <w:t>B</w:t>
      </w:r>
      <w:r w:rsidRPr="00471381">
        <w:rPr>
          <w:rFonts w:ascii="Times New Roman" w:hAnsi="Times New Roman"/>
          <w:u w:val="single"/>
        </w:rPr>
        <w:t>urden</w:t>
      </w:r>
      <w:r w:rsidR="002C0D0D">
        <w:rPr>
          <w:rFonts w:ascii="Times New Roman" w:hAnsi="Times New Roman"/>
          <w:u w:val="single"/>
        </w:rPr>
        <w:t xml:space="preserve"> and Cost</w:t>
      </w:r>
    </w:p>
    <w:p w:rsidR="005C3213" w:rsidRDefault="005C3213" w:rsidP="00AE1B64">
      <w:pPr>
        <w:tabs>
          <w:tab w:val="left" w:pos="-1440"/>
        </w:tabs>
        <w:rPr>
          <w:rFonts w:ascii="Times New Roman" w:hAnsi="Times New Roman"/>
          <w:u w:val="single"/>
        </w:rPr>
      </w:pPr>
    </w:p>
    <w:p w:rsidR="00EA17EC" w:rsidRPr="002C0D0D" w:rsidRDefault="005C3213" w:rsidP="00AE1B64">
      <w:pPr>
        <w:tabs>
          <w:tab w:val="left" w:pos="-1440"/>
        </w:tabs>
        <w:rPr>
          <w:rFonts w:ascii="Times New Roman" w:hAnsi="Times New Roman"/>
        </w:rPr>
      </w:pPr>
      <w:r w:rsidRPr="002C0D0D">
        <w:rPr>
          <w:rFonts w:ascii="Times New Roman" w:hAnsi="Times New Roman"/>
        </w:rPr>
        <w:tab/>
      </w:r>
      <w:r w:rsidRPr="002C0D0D">
        <w:rPr>
          <w:rFonts w:ascii="Times New Roman" w:hAnsi="Times New Roman"/>
          <w:i/>
        </w:rPr>
        <w:t>Respondents</w:t>
      </w:r>
      <w:r w:rsidR="00EA17EC" w:rsidRPr="002C0D0D">
        <w:rPr>
          <w:rFonts w:ascii="Times New Roman" w:hAnsi="Times New Roman"/>
        </w:rPr>
        <w:t>:</w:t>
      </w:r>
      <w:r w:rsidRPr="002C0D0D">
        <w:rPr>
          <w:rFonts w:ascii="Times New Roman" w:hAnsi="Times New Roman"/>
        </w:rPr>
        <w:t xml:space="preserve">  8.</w:t>
      </w:r>
    </w:p>
    <w:p w:rsidR="005C3213" w:rsidRPr="002C0D0D" w:rsidRDefault="005C3213" w:rsidP="00AE1B64">
      <w:pPr>
        <w:tabs>
          <w:tab w:val="left" w:pos="-1440"/>
        </w:tabs>
        <w:rPr>
          <w:rFonts w:ascii="Times New Roman" w:hAnsi="Times New Roman"/>
        </w:rPr>
      </w:pPr>
    </w:p>
    <w:p w:rsidR="005C3213" w:rsidRPr="002C0D0D" w:rsidRDefault="005C3213" w:rsidP="00AE1B64">
      <w:pPr>
        <w:tabs>
          <w:tab w:val="left" w:pos="-1440"/>
        </w:tabs>
        <w:rPr>
          <w:rFonts w:ascii="Times New Roman" w:hAnsi="Times New Roman"/>
        </w:rPr>
      </w:pPr>
      <w:r w:rsidRPr="002C0D0D">
        <w:rPr>
          <w:rFonts w:ascii="Times New Roman" w:hAnsi="Times New Roman"/>
        </w:rPr>
        <w:tab/>
      </w:r>
      <w:r w:rsidRPr="002C0D0D">
        <w:rPr>
          <w:rFonts w:ascii="Times New Roman" w:hAnsi="Times New Roman"/>
          <w:i/>
        </w:rPr>
        <w:t>Time per Response:</w:t>
      </w:r>
      <w:r w:rsidRPr="002C0D0D">
        <w:rPr>
          <w:rFonts w:ascii="Times New Roman" w:hAnsi="Times New Roman"/>
        </w:rPr>
        <w:t xml:space="preserve"> 20 hours.</w:t>
      </w:r>
    </w:p>
    <w:p w:rsidR="005C3213" w:rsidRPr="002C0D0D" w:rsidRDefault="005C3213" w:rsidP="00AE1B64">
      <w:pPr>
        <w:tabs>
          <w:tab w:val="left" w:pos="-1440"/>
        </w:tabs>
        <w:rPr>
          <w:rFonts w:ascii="Times New Roman" w:hAnsi="Times New Roman"/>
        </w:rPr>
      </w:pPr>
    </w:p>
    <w:p w:rsidR="005C3213" w:rsidRPr="002C0D0D" w:rsidRDefault="005C3213" w:rsidP="00AE1B64">
      <w:pPr>
        <w:tabs>
          <w:tab w:val="left" w:pos="-1440"/>
        </w:tabs>
        <w:rPr>
          <w:rFonts w:ascii="Times New Roman" w:hAnsi="Times New Roman"/>
        </w:rPr>
      </w:pPr>
      <w:r w:rsidRPr="002C0D0D">
        <w:rPr>
          <w:rFonts w:ascii="Times New Roman" w:hAnsi="Times New Roman"/>
        </w:rPr>
        <w:tab/>
      </w:r>
      <w:r w:rsidRPr="002C0D0D">
        <w:rPr>
          <w:rFonts w:ascii="Times New Roman" w:hAnsi="Times New Roman"/>
          <w:i/>
        </w:rPr>
        <w:t xml:space="preserve">Total Annual Burden: </w:t>
      </w:r>
      <w:r w:rsidRPr="002C0D0D">
        <w:rPr>
          <w:rFonts w:ascii="Times New Roman" w:hAnsi="Times New Roman"/>
        </w:rPr>
        <w:t>160 hours.</w:t>
      </w:r>
    </w:p>
    <w:p w:rsidR="00EC188C" w:rsidRDefault="00EC188C" w:rsidP="00373ED8">
      <w:pPr>
        <w:tabs>
          <w:tab w:val="left" w:pos="-1440"/>
        </w:tabs>
        <w:ind w:left="720" w:hanging="720"/>
        <w:rPr>
          <w:rFonts w:ascii="Times New Roman" w:hAnsi="Times New Roman"/>
        </w:rPr>
      </w:pPr>
    </w:p>
    <w:p w:rsidR="00E03115" w:rsidRDefault="00E03115" w:rsidP="002C0D0D">
      <w:pPr>
        <w:tabs>
          <w:tab w:val="left" w:pos="-1440"/>
        </w:tabs>
        <w:ind w:left="1440" w:hanging="720"/>
        <w:rPr>
          <w:rFonts w:ascii="Times New Roman" w:hAnsi="Times New Roman"/>
        </w:rPr>
      </w:pPr>
      <w:r w:rsidRPr="002C0D0D">
        <w:rPr>
          <w:rFonts w:ascii="Times New Roman" w:hAnsi="Times New Roman"/>
          <w:i/>
        </w:rPr>
        <w:t xml:space="preserve">Cost of </w:t>
      </w:r>
      <w:r w:rsidR="00C56AF6" w:rsidRPr="002C0D0D">
        <w:rPr>
          <w:rFonts w:ascii="Times New Roman" w:hAnsi="Times New Roman"/>
          <w:i/>
        </w:rPr>
        <w:t>Hou</w:t>
      </w:r>
      <w:r w:rsidR="00C56AF6">
        <w:rPr>
          <w:rFonts w:ascii="Times New Roman" w:hAnsi="Times New Roman"/>
          <w:i/>
        </w:rPr>
        <w:t>rl</w:t>
      </w:r>
      <w:r w:rsidR="00C56AF6" w:rsidRPr="002C0D0D">
        <w:rPr>
          <w:rFonts w:ascii="Times New Roman" w:hAnsi="Times New Roman"/>
          <w:i/>
        </w:rPr>
        <w:t>y</w:t>
      </w:r>
      <w:r w:rsidRPr="002C0D0D">
        <w:rPr>
          <w:rFonts w:ascii="Times New Roman" w:hAnsi="Times New Roman"/>
          <w:i/>
        </w:rPr>
        <w:t xml:space="preserve"> Burden</w:t>
      </w:r>
      <w:r>
        <w:rPr>
          <w:rFonts w:ascii="Times New Roman" w:hAnsi="Times New Roman"/>
        </w:rPr>
        <w:t xml:space="preserve">:  </w:t>
      </w:r>
      <w:r w:rsidR="005C3213">
        <w:rPr>
          <w:rFonts w:ascii="Times New Roman" w:hAnsi="Times New Roman"/>
        </w:rPr>
        <w:t>160</w:t>
      </w:r>
      <w:r>
        <w:rPr>
          <w:rFonts w:ascii="Times New Roman" w:hAnsi="Times New Roman"/>
        </w:rPr>
        <w:t xml:space="preserve"> hours x $ 92 per hour = $</w:t>
      </w:r>
      <w:r w:rsidR="005C3213">
        <w:rPr>
          <w:rFonts w:ascii="Times New Roman" w:hAnsi="Times New Roman"/>
        </w:rPr>
        <w:t>14,720</w:t>
      </w:r>
    </w:p>
    <w:p w:rsidR="00E03115" w:rsidRDefault="00E03115" w:rsidP="002C0D0D">
      <w:pPr>
        <w:tabs>
          <w:tab w:val="left" w:pos="-1440"/>
        </w:tabs>
        <w:ind w:left="1440" w:hanging="720"/>
        <w:rPr>
          <w:rFonts w:ascii="Times New Roman" w:hAnsi="Times New Roman"/>
        </w:rPr>
      </w:pPr>
    </w:p>
    <w:p w:rsidR="00E03115" w:rsidRDefault="00E03115" w:rsidP="002C0D0D">
      <w:pPr>
        <w:tabs>
          <w:tab w:val="left" w:pos="8640"/>
        </w:tabs>
        <w:ind w:left="630"/>
        <w:rPr>
          <w:rFonts w:ascii="Times New Roman" w:hAnsi="Times New Roman"/>
        </w:rPr>
      </w:pPr>
      <w:r>
        <w:rPr>
          <w:rFonts w:ascii="Times New Roman" w:hAnsi="Times New Roman"/>
        </w:rPr>
        <w:t>To estimate compensation costs associated with the collection, we used $92 per hour, which is based on May 2012 Bureau of Labor Statistics wage data for the average of the 90</w:t>
      </w:r>
      <w:r>
        <w:rPr>
          <w:rFonts w:ascii="Times New Roman" w:hAnsi="Times New Roman"/>
          <w:vertAlign w:val="superscript"/>
        </w:rPr>
        <w:t>th</w:t>
      </w:r>
      <w:r>
        <w:rPr>
          <w:rFonts w:ascii="Times New Roman" w:hAnsi="Times New Roman"/>
        </w:rPr>
        <w:t xml:space="preserve"> percentile for seven occupations (</w:t>
      </w:r>
      <w:r w:rsidRPr="00296AC3">
        <w:rPr>
          <w:rFonts w:ascii="Times New Roman" w:hAnsi="Times New Roman"/>
          <w:i/>
        </w:rPr>
        <w:t>i.e.</w:t>
      </w:r>
      <w:r>
        <w:rPr>
          <w:rFonts w:ascii="Times New Roman" w:hAnsi="Times New Roman"/>
        </w:rPr>
        <w:t>, accountants and auditors, compliance officers, financial analysts, lawyers, management occupations, software developers, and statisticians) plus an additional 33 percent to cover adjustments and private sector benefits.  According to Bureau of Labor Statistics employer costs of employee benefits data, thirty percent represents the average private sector costs of employee benefits.</w:t>
      </w:r>
    </w:p>
    <w:p w:rsidR="00E03115" w:rsidRDefault="00E03115" w:rsidP="00373ED8">
      <w:pPr>
        <w:tabs>
          <w:tab w:val="left" w:pos="-1440"/>
        </w:tabs>
        <w:ind w:left="720" w:hanging="720"/>
        <w:rPr>
          <w:rFonts w:ascii="Times New Roman" w:hAnsi="Times New Roman"/>
        </w:rPr>
      </w:pPr>
    </w:p>
    <w:p w:rsidR="00EA17EC" w:rsidRPr="00471381" w:rsidRDefault="00EA17EC" w:rsidP="00373ED8">
      <w:pPr>
        <w:tabs>
          <w:tab w:val="left" w:pos="-1440"/>
        </w:tabs>
        <w:ind w:left="720" w:hanging="720"/>
        <w:rPr>
          <w:rFonts w:ascii="Times New Roman" w:hAnsi="Times New Roman"/>
        </w:rPr>
      </w:pPr>
      <w:r w:rsidRPr="00471381">
        <w:rPr>
          <w:rFonts w:ascii="Times New Roman" w:hAnsi="Times New Roman"/>
        </w:rPr>
        <w:t>13.</w:t>
      </w:r>
      <w:r w:rsidRPr="00471381">
        <w:rPr>
          <w:rFonts w:ascii="Times New Roman" w:hAnsi="Times New Roman"/>
        </w:rPr>
        <w:tab/>
      </w:r>
      <w:r w:rsidRPr="00471381">
        <w:rPr>
          <w:rFonts w:ascii="Times New Roman" w:hAnsi="Times New Roman"/>
          <w:u w:val="single"/>
        </w:rPr>
        <w:t xml:space="preserve">Estimate of </w:t>
      </w:r>
      <w:r w:rsidR="004F7A59">
        <w:rPr>
          <w:rFonts w:ascii="Times New Roman" w:hAnsi="Times New Roman"/>
          <w:u w:val="single"/>
        </w:rPr>
        <w:t>Start-up C</w:t>
      </w:r>
      <w:r w:rsidRPr="00471381">
        <w:rPr>
          <w:rFonts w:ascii="Times New Roman" w:hAnsi="Times New Roman"/>
          <w:u w:val="single"/>
        </w:rPr>
        <w:t xml:space="preserve">osts to </w:t>
      </w:r>
      <w:r w:rsidR="004F7A59">
        <w:rPr>
          <w:rFonts w:ascii="Times New Roman" w:hAnsi="Times New Roman"/>
          <w:u w:val="single"/>
        </w:rPr>
        <w:t>R</w:t>
      </w:r>
      <w:r w:rsidRPr="00471381">
        <w:rPr>
          <w:rFonts w:ascii="Times New Roman" w:hAnsi="Times New Roman"/>
          <w:u w:val="single"/>
        </w:rPr>
        <w:t>espondents:</w:t>
      </w:r>
    </w:p>
    <w:p w:rsidR="00EA17EC" w:rsidRPr="00471381" w:rsidRDefault="00EA17EC" w:rsidP="00373ED8">
      <w:pPr>
        <w:ind w:firstLine="720"/>
        <w:rPr>
          <w:rFonts w:ascii="Times New Roman" w:hAnsi="Times New Roman"/>
        </w:rPr>
      </w:pPr>
    </w:p>
    <w:p w:rsidR="00EA17EC" w:rsidRPr="00471381" w:rsidRDefault="00EA17EC" w:rsidP="00373ED8">
      <w:pPr>
        <w:ind w:firstLine="720"/>
        <w:rPr>
          <w:rFonts w:ascii="Times New Roman" w:hAnsi="Times New Roman"/>
        </w:rPr>
      </w:pPr>
      <w:proofErr w:type="gramStart"/>
      <w:r w:rsidRPr="00471381">
        <w:rPr>
          <w:rFonts w:ascii="Times New Roman" w:hAnsi="Times New Roman"/>
        </w:rPr>
        <w:t>None.</w:t>
      </w:r>
      <w:proofErr w:type="gramEnd"/>
    </w:p>
    <w:p w:rsidR="00EA17EC" w:rsidRPr="00471381" w:rsidRDefault="00EA17EC" w:rsidP="00373ED8">
      <w:pPr>
        <w:rPr>
          <w:rFonts w:ascii="Times New Roman" w:hAnsi="Times New Roman"/>
        </w:rPr>
      </w:pPr>
    </w:p>
    <w:p w:rsidR="00EA17EC" w:rsidRPr="00471381" w:rsidRDefault="00EA17EC" w:rsidP="00373ED8">
      <w:pPr>
        <w:rPr>
          <w:rFonts w:ascii="Times New Roman" w:hAnsi="Times New Roman"/>
        </w:rPr>
      </w:pPr>
      <w:r w:rsidRPr="00471381">
        <w:rPr>
          <w:rFonts w:ascii="Times New Roman" w:hAnsi="Times New Roman"/>
        </w:rPr>
        <w:t xml:space="preserve">14.  </w:t>
      </w:r>
      <w:r w:rsidR="00486DE9">
        <w:rPr>
          <w:rFonts w:ascii="Times New Roman" w:hAnsi="Times New Roman"/>
        </w:rPr>
        <w:tab/>
      </w:r>
      <w:r w:rsidRPr="00471381">
        <w:rPr>
          <w:rFonts w:ascii="Times New Roman" w:hAnsi="Times New Roman"/>
          <w:u w:val="single"/>
        </w:rPr>
        <w:t>Estimate of annualized costs to the government:</w:t>
      </w:r>
    </w:p>
    <w:p w:rsidR="00EA17EC" w:rsidRPr="00471381" w:rsidRDefault="00EA17EC" w:rsidP="00373ED8">
      <w:pPr>
        <w:rPr>
          <w:rFonts w:ascii="Times New Roman" w:hAnsi="Times New Roman"/>
        </w:rPr>
      </w:pPr>
    </w:p>
    <w:p w:rsidR="00EA17EC" w:rsidRPr="00471381" w:rsidRDefault="00EA17EC" w:rsidP="00373ED8">
      <w:pPr>
        <w:ind w:firstLine="720"/>
        <w:rPr>
          <w:rFonts w:ascii="Times New Roman" w:hAnsi="Times New Roman"/>
        </w:rPr>
      </w:pPr>
      <w:proofErr w:type="gramStart"/>
      <w:r w:rsidRPr="00471381">
        <w:rPr>
          <w:rFonts w:ascii="Times New Roman" w:hAnsi="Times New Roman"/>
        </w:rPr>
        <w:t>None.</w:t>
      </w:r>
      <w:proofErr w:type="gramEnd"/>
    </w:p>
    <w:p w:rsidR="00EA17EC" w:rsidRPr="00471381" w:rsidRDefault="00EA17EC" w:rsidP="00373ED8">
      <w:pPr>
        <w:rPr>
          <w:rFonts w:ascii="Times New Roman" w:hAnsi="Times New Roman"/>
        </w:rPr>
      </w:pPr>
    </w:p>
    <w:p w:rsidR="00EA17EC" w:rsidRPr="00471381" w:rsidRDefault="00EA17EC" w:rsidP="00373ED8">
      <w:pPr>
        <w:tabs>
          <w:tab w:val="left" w:pos="-1440"/>
        </w:tabs>
        <w:ind w:left="720" w:hanging="720"/>
        <w:rPr>
          <w:rFonts w:ascii="Times New Roman" w:hAnsi="Times New Roman"/>
          <w:u w:val="single"/>
        </w:rPr>
      </w:pPr>
      <w:r w:rsidRPr="00471381">
        <w:rPr>
          <w:rFonts w:ascii="Times New Roman" w:hAnsi="Times New Roman"/>
        </w:rPr>
        <w:t>15.</w:t>
      </w:r>
      <w:r w:rsidRPr="00471381">
        <w:rPr>
          <w:rFonts w:ascii="Times New Roman" w:hAnsi="Times New Roman"/>
        </w:rPr>
        <w:tab/>
      </w:r>
      <w:r w:rsidRPr="00471381">
        <w:rPr>
          <w:rFonts w:ascii="Times New Roman" w:hAnsi="Times New Roman"/>
          <w:u w:val="single"/>
        </w:rPr>
        <w:t>Changes in burden:</w:t>
      </w:r>
    </w:p>
    <w:p w:rsidR="00344D0B" w:rsidRPr="00471381" w:rsidRDefault="00344D0B" w:rsidP="000D602E">
      <w:pPr>
        <w:tabs>
          <w:tab w:val="left" w:pos="-1440"/>
        </w:tabs>
        <w:rPr>
          <w:rFonts w:ascii="Times New Roman" w:hAnsi="Times New Roman"/>
          <w:u w:val="single"/>
        </w:rPr>
      </w:pPr>
    </w:p>
    <w:p w:rsidR="00EA17EC" w:rsidRPr="00471381" w:rsidRDefault="000A105C" w:rsidP="006A0AE9">
      <w:pPr>
        <w:ind w:left="720"/>
        <w:rPr>
          <w:rFonts w:ascii="Times New Roman" w:hAnsi="Times New Roman"/>
        </w:rPr>
      </w:pPr>
      <w:r>
        <w:rPr>
          <w:rFonts w:ascii="Times New Roman" w:hAnsi="Times New Roman"/>
        </w:rPr>
        <w:t>T</w:t>
      </w:r>
      <w:r w:rsidR="00471381" w:rsidRPr="00471381">
        <w:rPr>
          <w:rFonts w:ascii="Times New Roman" w:hAnsi="Times New Roman"/>
        </w:rPr>
        <w:t xml:space="preserve">his is </w:t>
      </w:r>
      <w:r w:rsidR="00B843DF">
        <w:rPr>
          <w:rFonts w:ascii="Times New Roman" w:hAnsi="Times New Roman"/>
        </w:rPr>
        <w:t xml:space="preserve">a </w:t>
      </w:r>
      <w:r w:rsidR="00471381" w:rsidRPr="00471381">
        <w:rPr>
          <w:rFonts w:ascii="Times New Roman" w:hAnsi="Times New Roman"/>
        </w:rPr>
        <w:t>new collection.</w:t>
      </w:r>
    </w:p>
    <w:p w:rsidR="006A0AE9" w:rsidRPr="00471381" w:rsidRDefault="006A0AE9" w:rsidP="006A0AE9">
      <w:pPr>
        <w:rPr>
          <w:rFonts w:ascii="Times New Roman" w:hAnsi="Times New Roman"/>
          <w:color w:val="000000"/>
        </w:rPr>
      </w:pPr>
    </w:p>
    <w:p w:rsidR="00EA17EC" w:rsidRPr="00471381" w:rsidRDefault="00EA17EC" w:rsidP="00373ED8">
      <w:pPr>
        <w:tabs>
          <w:tab w:val="left" w:pos="-1440"/>
        </w:tabs>
        <w:ind w:left="720" w:hanging="720"/>
        <w:rPr>
          <w:rFonts w:ascii="Times New Roman" w:hAnsi="Times New Roman"/>
        </w:rPr>
      </w:pPr>
      <w:r w:rsidRPr="00471381">
        <w:rPr>
          <w:rFonts w:ascii="Times New Roman" w:hAnsi="Times New Roman"/>
        </w:rPr>
        <w:t>16.</w:t>
      </w:r>
      <w:r w:rsidRPr="00471381">
        <w:rPr>
          <w:rFonts w:ascii="Times New Roman" w:hAnsi="Times New Roman"/>
        </w:rPr>
        <w:tab/>
      </w:r>
      <w:r w:rsidRPr="00471381">
        <w:rPr>
          <w:rFonts w:ascii="Times New Roman" w:hAnsi="Times New Roman"/>
          <w:u w:val="single"/>
        </w:rPr>
        <w:t>Information regarding collections whose results are planned to be published for statistical use:</w:t>
      </w:r>
    </w:p>
    <w:p w:rsidR="00EA17EC" w:rsidRPr="00471381" w:rsidRDefault="00EA17EC" w:rsidP="00373ED8">
      <w:pPr>
        <w:rPr>
          <w:rFonts w:ascii="Times New Roman" w:hAnsi="Times New Roman"/>
        </w:rPr>
      </w:pPr>
    </w:p>
    <w:p w:rsidR="00EA17EC" w:rsidRPr="00471381" w:rsidRDefault="00EA17EC" w:rsidP="00373ED8">
      <w:pPr>
        <w:ind w:firstLine="720"/>
        <w:rPr>
          <w:rFonts w:ascii="Times New Roman" w:hAnsi="Times New Roman"/>
        </w:rPr>
      </w:pPr>
      <w:r w:rsidRPr="00471381">
        <w:rPr>
          <w:rFonts w:ascii="Times New Roman" w:hAnsi="Times New Roman"/>
        </w:rPr>
        <w:t xml:space="preserve">The </w:t>
      </w:r>
      <w:r w:rsidR="008E7DA1">
        <w:rPr>
          <w:rFonts w:ascii="Times New Roman" w:hAnsi="Times New Roman"/>
        </w:rPr>
        <w:t>FDI</w:t>
      </w:r>
      <w:r w:rsidRPr="00471381">
        <w:rPr>
          <w:rFonts w:ascii="Times New Roman" w:hAnsi="Times New Roman"/>
        </w:rPr>
        <w:t>C has no plans to publish the information for statistical use.</w:t>
      </w:r>
    </w:p>
    <w:p w:rsidR="00EA17EC" w:rsidRPr="00471381" w:rsidRDefault="00EA17EC" w:rsidP="00373ED8">
      <w:pPr>
        <w:rPr>
          <w:rFonts w:ascii="Times New Roman" w:hAnsi="Times New Roman"/>
        </w:rPr>
      </w:pPr>
    </w:p>
    <w:p w:rsidR="00EA17EC" w:rsidRPr="00471381" w:rsidRDefault="00EA17EC" w:rsidP="00373ED8">
      <w:pPr>
        <w:rPr>
          <w:rFonts w:ascii="Times New Roman" w:hAnsi="Times New Roman"/>
          <w:u w:val="single"/>
        </w:rPr>
      </w:pPr>
      <w:r w:rsidRPr="00471381">
        <w:rPr>
          <w:rFonts w:ascii="Times New Roman" w:hAnsi="Times New Roman"/>
        </w:rPr>
        <w:t>17.</w:t>
      </w:r>
      <w:r w:rsidRPr="00471381">
        <w:rPr>
          <w:rFonts w:ascii="Times New Roman" w:hAnsi="Times New Roman"/>
        </w:rPr>
        <w:tab/>
      </w:r>
      <w:r w:rsidRPr="00471381">
        <w:rPr>
          <w:rFonts w:ascii="Times New Roman" w:hAnsi="Times New Roman"/>
          <w:u w:val="single"/>
        </w:rPr>
        <w:t>Display of expiration date.</w:t>
      </w:r>
    </w:p>
    <w:p w:rsidR="00EA17EC" w:rsidRPr="00471381" w:rsidRDefault="00EA17EC" w:rsidP="00373ED8">
      <w:pPr>
        <w:ind w:firstLine="720"/>
        <w:rPr>
          <w:rFonts w:ascii="Times New Roman" w:hAnsi="Times New Roman"/>
          <w:u w:val="single"/>
        </w:rPr>
      </w:pPr>
    </w:p>
    <w:p w:rsidR="00EA17EC" w:rsidRPr="00471381" w:rsidRDefault="00EA17EC" w:rsidP="00373ED8">
      <w:pPr>
        <w:ind w:firstLine="720"/>
        <w:rPr>
          <w:rFonts w:ascii="Times New Roman" w:hAnsi="Times New Roman"/>
        </w:rPr>
      </w:pPr>
      <w:r w:rsidRPr="00471381">
        <w:rPr>
          <w:rFonts w:ascii="Times New Roman" w:hAnsi="Times New Roman"/>
        </w:rPr>
        <w:t>Not applicable.</w:t>
      </w:r>
    </w:p>
    <w:p w:rsidR="00EA17EC" w:rsidRPr="00471381" w:rsidRDefault="00EA17EC" w:rsidP="00373ED8">
      <w:pPr>
        <w:rPr>
          <w:rFonts w:ascii="Times New Roman" w:hAnsi="Times New Roman"/>
        </w:rPr>
      </w:pPr>
    </w:p>
    <w:p w:rsidR="00EA17EC" w:rsidRPr="00471381" w:rsidRDefault="00EA17EC" w:rsidP="00373ED8">
      <w:pPr>
        <w:rPr>
          <w:rFonts w:ascii="Times New Roman" w:hAnsi="Times New Roman"/>
        </w:rPr>
      </w:pPr>
      <w:r w:rsidRPr="00471381">
        <w:rPr>
          <w:rFonts w:ascii="Times New Roman" w:hAnsi="Times New Roman"/>
        </w:rPr>
        <w:t>18.</w:t>
      </w:r>
      <w:r w:rsidRPr="00471381">
        <w:rPr>
          <w:rFonts w:ascii="Times New Roman" w:hAnsi="Times New Roman"/>
        </w:rPr>
        <w:tab/>
      </w:r>
      <w:r w:rsidRPr="00471381">
        <w:rPr>
          <w:rFonts w:ascii="Times New Roman" w:hAnsi="Times New Roman"/>
          <w:u w:val="single"/>
        </w:rPr>
        <w:t>Exceptions to certification statement.</w:t>
      </w:r>
    </w:p>
    <w:p w:rsidR="00EA17EC" w:rsidRPr="00471381" w:rsidRDefault="00EA17EC" w:rsidP="00373ED8">
      <w:pPr>
        <w:rPr>
          <w:rFonts w:ascii="Times New Roman" w:hAnsi="Times New Roman"/>
        </w:rPr>
      </w:pPr>
    </w:p>
    <w:p w:rsidR="00EA17EC" w:rsidRPr="00471381" w:rsidRDefault="00EA17EC" w:rsidP="00373ED8">
      <w:pPr>
        <w:ind w:firstLine="720"/>
        <w:rPr>
          <w:rFonts w:ascii="Times New Roman" w:hAnsi="Times New Roman"/>
          <w:u w:val="single"/>
        </w:rPr>
      </w:pPr>
      <w:proofErr w:type="gramStart"/>
      <w:r w:rsidRPr="00471381">
        <w:rPr>
          <w:rFonts w:ascii="Times New Roman" w:hAnsi="Times New Roman"/>
        </w:rPr>
        <w:t>None.</w:t>
      </w:r>
      <w:proofErr w:type="gramEnd"/>
      <w:r w:rsidRPr="00471381">
        <w:rPr>
          <w:rFonts w:ascii="Times New Roman" w:hAnsi="Times New Roman"/>
        </w:rPr>
        <w:t xml:space="preserve"> </w:t>
      </w:r>
    </w:p>
    <w:p w:rsidR="00EA17EC" w:rsidRPr="00471381" w:rsidRDefault="00EA17EC" w:rsidP="00373ED8">
      <w:pPr>
        <w:rPr>
          <w:rFonts w:ascii="Times New Roman" w:hAnsi="Times New Roman"/>
          <w:u w:val="single"/>
        </w:rPr>
      </w:pPr>
    </w:p>
    <w:p w:rsidR="00EA17EC" w:rsidRPr="00471381" w:rsidRDefault="00EA17EC" w:rsidP="00373ED8">
      <w:pPr>
        <w:tabs>
          <w:tab w:val="left" w:pos="-1440"/>
        </w:tabs>
        <w:ind w:left="720" w:hanging="720"/>
        <w:rPr>
          <w:rFonts w:ascii="Times New Roman" w:hAnsi="Times New Roman"/>
          <w:u w:val="single"/>
        </w:rPr>
      </w:pPr>
      <w:r w:rsidRPr="00471381">
        <w:rPr>
          <w:rFonts w:ascii="Times New Roman" w:hAnsi="Times New Roman"/>
        </w:rPr>
        <w:t>B.</w:t>
      </w:r>
      <w:r w:rsidRPr="00471381">
        <w:rPr>
          <w:rFonts w:ascii="Times New Roman" w:hAnsi="Times New Roman"/>
        </w:rPr>
        <w:tab/>
      </w:r>
      <w:r w:rsidRPr="00471381">
        <w:rPr>
          <w:rFonts w:ascii="Times New Roman" w:hAnsi="Times New Roman"/>
          <w:u w:val="single"/>
        </w:rPr>
        <w:t>Collections of Information Employing Statistical Methods.</w:t>
      </w:r>
    </w:p>
    <w:p w:rsidR="00EA17EC" w:rsidRPr="00471381" w:rsidRDefault="00EA17EC" w:rsidP="00373ED8">
      <w:pPr>
        <w:rPr>
          <w:rFonts w:ascii="Times New Roman" w:hAnsi="Times New Roman"/>
          <w:u w:val="single"/>
        </w:rPr>
      </w:pPr>
    </w:p>
    <w:p w:rsidR="00EA17EC" w:rsidRPr="00471381" w:rsidRDefault="00EA17EC" w:rsidP="00373ED8">
      <w:pPr>
        <w:ind w:firstLine="720"/>
        <w:rPr>
          <w:rFonts w:ascii="Times New Roman" w:hAnsi="Times New Roman"/>
        </w:rPr>
      </w:pPr>
      <w:r w:rsidRPr="00471381">
        <w:rPr>
          <w:rFonts w:ascii="Times New Roman" w:hAnsi="Times New Roman"/>
        </w:rPr>
        <w:lastRenderedPageBreak/>
        <w:t>Not applicable.</w:t>
      </w:r>
    </w:p>
    <w:p w:rsidR="00EA17EC" w:rsidRPr="00B02EF3" w:rsidRDefault="00EA17EC" w:rsidP="00B02EF3">
      <w:pPr>
        <w:rPr>
          <w:rFonts w:ascii="Times New Roman" w:hAnsi="Times New Roman"/>
        </w:rPr>
      </w:pPr>
    </w:p>
    <w:sectPr w:rsidR="00EA17EC" w:rsidRPr="00B02EF3" w:rsidSect="00F01C5E">
      <w:headerReference w:type="default" r:id="rId9"/>
      <w:footerReference w:type="even" r:id="rId10"/>
      <w:footerReference w:type="default" r:id="rId11"/>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B9D" w:rsidRDefault="00C42B9D">
      <w:r>
        <w:separator/>
      </w:r>
    </w:p>
  </w:endnote>
  <w:endnote w:type="continuationSeparator" w:id="0">
    <w:p w:rsidR="00C42B9D" w:rsidRDefault="00C42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56" w:rsidRDefault="00357878" w:rsidP="00087F1F">
    <w:pPr>
      <w:pStyle w:val="Footer"/>
      <w:framePr w:wrap="around" w:vAnchor="text" w:hAnchor="margin" w:xAlign="center" w:y="1"/>
      <w:rPr>
        <w:rStyle w:val="PageNumber"/>
      </w:rPr>
    </w:pPr>
    <w:r>
      <w:rPr>
        <w:rStyle w:val="PageNumber"/>
      </w:rPr>
      <w:fldChar w:fldCharType="begin"/>
    </w:r>
    <w:r w:rsidR="00721656">
      <w:rPr>
        <w:rStyle w:val="PageNumber"/>
      </w:rPr>
      <w:instrText xml:space="preserve">PAGE  </w:instrText>
    </w:r>
    <w:r>
      <w:rPr>
        <w:rStyle w:val="PageNumber"/>
      </w:rPr>
      <w:fldChar w:fldCharType="end"/>
    </w:r>
  </w:p>
  <w:p w:rsidR="00721656" w:rsidRDefault="007216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56" w:rsidRPr="00296AC3" w:rsidRDefault="00357878" w:rsidP="00087F1F">
    <w:pPr>
      <w:pStyle w:val="Footer"/>
      <w:framePr w:wrap="around" w:vAnchor="text" w:hAnchor="margin" w:xAlign="center" w:y="1"/>
      <w:rPr>
        <w:rStyle w:val="PageNumber"/>
        <w:rFonts w:ascii="Times New Roman" w:hAnsi="Times New Roman"/>
      </w:rPr>
    </w:pPr>
    <w:r w:rsidRPr="00296AC3">
      <w:rPr>
        <w:rStyle w:val="PageNumber"/>
        <w:rFonts w:ascii="Times New Roman" w:hAnsi="Times New Roman"/>
      </w:rPr>
      <w:fldChar w:fldCharType="begin"/>
    </w:r>
    <w:r w:rsidR="00721656" w:rsidRPr="00296AC3">
      <w:rPr>
        <w:rStyle w:val="PageNumber"/>
        <w:rFonts w:ascii="Times New Roman" w:hAnsi="Times New Roman"/>
      </w:rPr>
      <w:instrText xml:space="preserve">PAGE  </w:instrText>
    </w:r>
    <w:r w:rsidRPr="00296AC3">
      <w:rPr>
        <w:rStyle w:val="PageNumber"/>
        <w:rFonts w:ascii="Times New Roman" w:hAnsi="Times New Roman"/>
      </w:rPr>
      <w:fldChar w:fldCharType="separate"/>
    </w:r>
    <w:r w:rsidR="006A2DE9">
      <w:rPr>
        <w:rStyle w:val="PageNumber"/>
        <w:rFonts w:ascii="Times New Roman" w:hAnsi="Times New Roman"/>
        <w:noProof/>
      </w:rPr>
      <w:t>4</w:t>
    </w:r>
    <w:r w:rsidRPr="00296AC3">
      <w:rPr>
        <w:rStyle w:val="PageNumber"/>
        <w:rFonts w:ascii="Times New Roman" w:hAnsi="Times New Roman"/>
      </w:rPr>
      <w:fldChar w:fldCharType="end"/>
    </w:r>
  </w:p>
  <w:p w:rsidR="00721656" w:rsidRDefault="00721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B9D" w:rsidRDefault="00C42B9D">
      <w:r>
        <w:separator/>
      </w:r>
    </w:p>
  </w:footnote>
  <w:footnote w:type="continuationSeparator" w:id="0">
    <w:p w:rsidR="00C42B9D" w:rsidRDefault="00C42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56" w:rsidRDefault="00721656"/>
  <w:p w:rsidR="00721656" w:rsidRDefault="0072165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137"/>
    <w:multiLevelType w:val="hybridMultilevel"/>
    <w:tmpl w:val="21262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C3B61"/>
    <w:multiLevelType w:val="hybridMultilevel"/>
    <w:tmpl w:val="250A375A"/>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0A2405"/>
    <w:multiLevelType w:val="hybridMultilevel"/>
    <w:tmpl w:val="092C1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7BD0B0B"/>
    <w:multiLevelType w:val="hybridMultilevel"/>
    <w:tmpl w:val="AAFCF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DE4704B"/>
    <w:multiLevelType w:val="hybridMultilevel"/>
    <w:tmpl w:val="1D409022"/>
    <w:lvl w:ilvl="0" w:tplc="991E90EE">
      <w:start w:val="1"/>
      <w:numFmt w:val="bullet"/>
      <w:lvlText w:val=""/>
      <w:lvlJc w:val="left"/>
      <w:pPr>
        <w:tabs>
          <w:tab w:val="num" w:pos="2106"/>
        </w:tabs>
        <w:ind w:left="2106"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553376"/>
    <w:multiLevelType w:val="hybridMultilevel"/>
    <w:tmpl w:val="A1BA0F8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8C7D97"/>
    <w:multiLevelType w:val="hybridMultilevel"/>
    <w:tmpl w:val="CC7C5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2929AC"/>
    <w:multiLevelType w:val="hybridMultilevel"/>
    <w:tmpl w:val="12522958"/>
    <w:lvl w:ilvl="0" w:tplc="991E90E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7D242070"/>
    <w:multiLevelType w:val="hybridMultilevel"/>
    <w:tmpl w:val="1F7678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D2C5665"/>
    <w:multiLevelType w:val="hybridMultilevel"/>
    <w:tmpl w:val="823CA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FA10D68"/>
    <w:multiLevelType w:val="hybridMultilevel"/>
    <w:tmpl w:val="27E4E45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6"/>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3C"/>
    <w:rsid w:val="0000014C"/>
    <w:rsid w:val="000348F8"/>
    <w:rsid w:val="000453EB"/>
    <w:rsid w:val="00087F1F"/>
    <w:rsid w:val="000915DD"/>
    <w:rsid w:val="000971BE"/>
    <w:rsid w:val="000A105C"/>
    <w:rsid w:val="000D602E"/>
    <w:rsid w:val="000E510A"/>
    <w:rsid w:val="00106526"/>
    <w:rsid w:val="00136AC6"/>
    <w:rsid w:val="001403B3"/>
    <w:rsid w:val="001635C1"/>
    <w:rsid w:val="00164BC1"/>
    <w:rsid w:val="0016712A"/>
    <w:rsid w:val="001771FE"/>
    <w:rsid w:val="00186793"/>
    <w:rsid w:val="001924CE"/>
    <w:rsid w:val="001A1BDF"/>
    <w:rsid w:val="001B282D"/>
    <w:rsid w:val="001D028F"/>
    <w:rsid w:val="001D6A9B"/>
    <w:rsid w:val="001D7A47"/>
    <w:rsid w:val="001E02AE"/>
    <w:rsid w:val="001E68C3"/>
    <w:rsid w:val="00202514"/>
    <w:rsid w:val="00204553"/>
    <w:rsid w:val="0022097C"/>
    <w:rsid w:val="00240373"/>
    <w:rsid w:val="00294E05"/>
    <w:rsid w:val="00296AC3"/>
    <w:rsid w:val="002A359A"/>
    <w:rsid w:val="002B6089"/>
    <w:rsid w:val="002B6E8E"/>
    <w:rsid w:val="002C0D0D"/>
    <w:rsid w:val="002C47CD"/>
    <w:rsid w:val="002C71DA"/>
    <w:rsid w:val="002C73B8"/>
    <w:rsid w:val="002D73D8"/>
    <w:rsid w:val="002E0DD5"/>
    <w:rsid w:val="002F549C"/>
    <w:rsid w:val="00305A30"/>
    <w:rsid w:val="00307470"/>
    <w:rsid w:val="00307D6A"/>
    <w:rsid w:val="00315977"/>
    <w:rsid w:val="0032536B"/>
    <w:rsid w:val="00331859"/>
    <w:rsid w:val="003342B6"/>
    <w:rsid w:val="00340B54"/>
    <w:rsid w:val="00344D0B"/>
    <w:rsid w:val="0035537C"/>
    <w:rsid w:val="00357878"/>
    <w:rsid w:val="0036427A"/>
    <w:rsid w:val="00373ED8"/>
    <w:rsid w:val="00375B0B"/>
    <w:rsid w:val="00380888"/>
    <w:rsid w:val="00382642"/>
    <w:rsid w:val="00391009"/>
    <w:rsid w:val="003A5AF4"/>
    <w:rsid w:val="003B45B3"/>
    <w:rsid w:val="003C2A86"/>
    <w:rsid w:val="003F6363"/>
    <w:rsid w:val="00422BAE"/>
    <w:rsid w:val="00434E1A"/>
    <w:rsid w:val="00440C41"/>
    <w:rsid w:val="00442AE0"/>
    <w:rsid w:val="00443E6B"/>
    <w:rsid w:val="00464677"/>
    <w:rsid w:val="0046618F"/>
    <w:rsid w:val="00471381"/>
    <w:rsid w:val="00486DE9"/>
    <w:rsid w:val="004915AB"/>
    <w:rsid w:val="00492B27"/>
    <w:rsid w:val="00495B4D"/>
    <w:rsid w:val="004B3230"/>
    <w:rsid w:val="004C486D"/>
    <w:rsid w:val="004F7A59"/>
    <w:rsid w:val="00500358"/>
    <w:rsid w:val="00531EB9"/>
    <w:rsid w:val="00572CE7"/>
    <w:rsid w:val="005759C5"/>
    <w:rsid w:val="00584D06"/>
    <w:rsid w:val="00585685"/>
    <w:rsid w:val="005A6600"/>
    <w:rsid w:val="005A6A67"/>
    <w:rsid w:val="005B0880"/>
    <w:rsid w:val="005B15B3"/>
    <w:rsid w:val="005B4065"/>
    <w:rsid w:val="005C3213"/>
    <w:rsid w:val="005D017A"/>
    <w:rsid w:val="005D7286"/>
    <w:rsid w:val="005E5398"/>
    <w:rsid w:val="005F2224"/>
    <w:rsid w:val="006023E3"/>
    <w:rsid w:val="00602E5F"/>
    <w:rsid w:val="006062D4"/>
    <w:rsid w:val="006164FC"/>
    <w:rsid w:val="00620335"/>
    <w:rsid w:val="00630182"/>
    <w:rsid w:val="00631F74"/>
    <w:rsid w:val="0063340F"/>
    <w:rsid w:val="0064380D"/>
    <w:rsid w:val="00645D67"/>
    <w:rsid w:val="00647188"/>
    <w:rsid w:val="00651021"/>
    <w:rsid w:val="00662669"/>
    <w:rsid w:val="0067139A"/>
    <w:rsid w:val="006776BD"/>
    <w:rsid w:val="00681B4F"/>
    <w:rsid w:val="00683D1B"/>
    <w:rsid w:val="00690B8A"/>
    <w:rsid w:val="00691C16"/>
    <w:rsid w:val="00695E5A"/>
    <w:rsid w:val="006A0172"/>
    <w:rsid w:val="006A0AE9"/>
    <w:rsid w:val="006A2DE9"/>
    <w:rsid w:val="006B248D"/>
    <w:rsid w:val="006B6BC9"/>
    <w:rsid w:val="006D0DDB"/>
    <w:rsid w:val="006D33C2"/>
    <w:rsid w:val="00706B9C"/>
    <w:rsid w:val="0071607F"/>
    <w:rsid w:val="007164DD"/>
    <w:rsid w:val="00721656"/>
    <w:rsid w:val="0075143D"/>
    <w:rsid w:val="00764BA9"/>
    <w:rsid w:val="00766A67"/>
    <w:rsid w:val="00777581"/>
    <w:rsid w:val="007800F7"/>
    <w:rsid w:val="00783D56"/>
    <w:rsid w:val="00790477"/>
    <w:rsid w:val="00793D1A"/>
    <w:rsid w:val="007A12D6"/>
    <w:rsid w:val="007B7D30"/>
    <w:rsid w:val="00800BC5"/>
    <w:rsid w:val="00802328"/>
    <w:rsid w:val="00822CA0"/>
    <w:rsid w:val="008349A5"/>
    <w:rsid w:val="00834D7B"/>
    <w:rsid w:val="008431F8"/>
    <w:rsid w:val="00846AB9"/>
    <w:rsid w:val="00851B76"/>
    <w:rsid w:val="00857E85"/>
    <w:rsid w:val="008612BA"/>
    <w:rsid w:val="00865155"/>
    <w:rsid w:val="00890725"/>
    <w:rsid w:val="00891805"/>
    <w:rsid w:val="008A619F"/>
    <w:rsid w:val="008B6732"/>
    <w:rsid w:val="008E7DA1"/>
    <w:rsid w:val="009016DB"/>
    <w:rsid w:val="009072BB"/>
    <w:rsid w:val="00916514"/>
    <w:rsid w:val="009236AB"/>
    <w:rsid w:val="00923BFE"/>
    <w:rsid w:val="00934CFC"/>
    <w:rsid w:val="00937BF8"/>
    <w:rsid w:val="0094182F"/>
    <w:rsid w:val="009679AC"/>
    <w:rsid w:val="00970EDA"/>
    <w:rsid w:val="00972C7A"/>
    <w:rsid w:val="009833CB"/>
    <w:rsid w:val="00990B52"/>
    <w:rsid w:val="009B39DC"/>
    <w:rsid w:val="009C2833"/>
    <w:rsid w:val="009D7FEC"/>
    <w:rsid w:val="009E3364"/>
    <w:rsid w:val="009F1182"/>
    <w:rsid w:val="009F515F"/>
    <w:rsid w:val="00A04829"/>
    <w:rsid w:val="00A1207D"/>
    <w:rsid w:val="00A24402"/>
    <w:rsid w:val="00A42F4E"/>
    <w:rsid w:val="00A53B50"/>
    <w:rsid w:val="00A549EC"/>
    <w:rsid w:val="00A87148"/>
    <w:rsid w:val="00A91744"/>
    <w:rsid w:val="00AA3E77"/>
    <w:rsid w:val="00AB2FCB"/>
    <w:rsid w:val="00AB571B"/>
    <w:rsid w:val="00AC3B5E"/>
    <w:rsid w:val="00AE1B64"/>
    <w:rsid w:val="00B02EF3"/>
    <w:rsid w:val="00B04B76"/>
    <w:rsid w:val="00B27249"/>
    <w:rsid w:val="00B32622"/>
    <w:rsid w:val="00B46F07"/>
    <w:rsid w:val="00B57DB6"/>
    <w:rsid w:val="00B80B6D"/>
    <w:rsid w:val="00B843DF"/>
    <w:rsid w:val="00B924C1"/>
    <w:rsid w:val="00B925AB"/>
    <w:rsid w:val="00BA19E0"/>
    <w:rsid w:val="00BA28F7"/>
    <w:rsid w:val="00BD1427"/>
    <w:rsid w:val="00BD30A0"/>
    <w:rsid w:val="00BD37B4"/>
    <w:rsid w:val="00BE2FE5"/>
    <w:rsid w:val="00BE5D92"/>
    <w:rsid w:val="00BE73EE"/>
    <w:rsid w:val="00BF7430"/>
    <w:rsid w:val="00C15B4D"/>
    <w:rsid w:val="00C2768E"/>
    <w:rsid w:val="00C27911"/>
    <w:rsid w:val="00C33F19"/>
    <w:rsid w:val="00C42B9D"/>
    <w:rsid w:val="00C56AF6"/>
    <w:rsid w:val="00C74802"/>
    <w:rsid w:val="00C94DAC"/>
    <w:rsid w:val="00C96381"/>
    <w:rsid w:val="00CA433A"/>
    <w:rsid w:val="00CC1ABF"/>
    <w:rsid w:val="00CD6943"/>
    <w:rsid w:val="00CF1CEC"/>
    <w:rsid w:val="00CF36D1"/>
    <w:rsid w:val="00D00BAD"/>
    <w:rsid w:val="00D061A7"/>
    <w:rsid w:val="00D102B3"/>
    <w:rsid w:val="00D12B0D"/>
    <w:rsid w:val="00D2740F"/>
    <w:rsid w:val="00D3059E"/>
    <w:rsid w:val="00D37F01"/>
    <w:rsid w:val="00D43DCD"/>
    <w:rsid w:val="00D522BD"/>
    <w:rsid w:val="00D72CD5"/>
    <w:rsid w:val="00D81536"/>
    <w:rsid w:val="00D97538"/>
    <w:rsid w:val="00DD05A5"/>
    <w:rsid w:val="00DF51E3"/>
    <w:rsid w:val="00E021BB"/>
    <w:rsid w:val="00E03115"/>
    <w:rsid w:val="00E20EA6"/>
    <w:rsid w:val="00E262E3"/>
    <w:rsid w:val="00E34636"/>
    <w:rsid w:val="00E36E75"/>
    <w:rsid w:val="00E55BD1"/>
    <w:rsid w:val="00E67B7F"/>
    <w:rsid w:val="00E77D5A"/>
    <w:rsid w:val="00E820E5"/>
    <w:rsid w:val="00E82251"/>
    <w:rsid w:val="00E85FBE"/>
    <w:rsid w:val="00EA17EC"/>
    <w:rsid w:val="00EA2835"/>
    <w:rsid w:val="00EA4151"/>
    <w:rsid w:val="00EA715B"/>
    <w:rsid w:val="00EB1837"/>
    <w:rsid w:val="00EC188C"/>
    <w:rsid w:val="00EC6A3B"/>
    <w:rsid w:val="00ED0AD1"/>
    <w:rsid w:val="00EF2338"/>
    <w:rsid w:val="00F01C5E"/>
    <w:rsid w:val="00F04D5C"/>
    <w:rsid w:val="00F05794"/>
    <w:rsid w:val="00F10019"/>
    <w:rsid w:val="00F17B20"/>
    <w:rsid w:val="00F34380"/>
    <w:rsid w:val="00F50C7A"/>
    <w:rsid w:val="00F5216D"/>
    <w:rsid w:val="00F63A22"/>
    <w:rsid w:val="00F919C2"/>
    <w:rsid w:val="00F9781B"/>
    <w:rsid w:val="00FA2B32"/>
    <w:rsid w:val="00FA5900"/>
    <w:rsid w:val="00FA6C9F"/>
    <w:rsid w:val="00FA703C"/>
    <w:rsid w:val="00FB7D1D"/>
    <w:rsid w:val="00FC1194"/>
    <w:rsid w:val="00FC3D5F"/>
    <w:rsid w:val="00FD4DCD"/>
    <w:rsid w:val="00FF55A6"/>
    <w:rsid w:val="00FF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33A"/>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CA433A"/>
    <w:pPr>
      <w:keepNext/>
      <w:tabs>
        <w:tab w:val="center" w:pos="4680"/>
      </w:tabs>
      <w:jc w:val="center"/>
      <w:outlineLvl w:val="0"/>
    </w:pPr>
    <w:rPr>
      <w:rFonts w:ascii="Arial Narrow" w:hAnsi="Arial Narrow"/>
      <w:b/>
      <w:bCs/>
    </w:rPr>
  </w:style>
  <w:style w:type="paragraph" w:styleId="Heading2">
    <w:name w:val="heading 2"/>
    <w:basedOn w:val="Normal"/>
    <w:next w:val="Normal"/>
    <w:qFormat/>
    <w:rsid w:val="00CA433A"/>
    <w:pPr>
      <w:keepNext/>
      <w:widowControl/>
      <w:autoSpaceDE/>
      <w:autoSpaceDN/>
      <w:adjustRightInd/>
      <w:spacing w:after="58"/>
      <w:jc w:val="right"/>
      <w:outlineLvl w:val="1"/>
    </w:pPr>
    <w:rPr>
      <w:rFonts w:ascii="Times" w:hAnsi="Times"/>
      <w:i/>
      <w:snapToGrid w:val="0"/>
      <w:szCs w:val="20"/>
    </w:rPr>
  </w:style>
  <w:style w:type="paragraph" w:styleId="Heading5">
    <w:name w:val="heading 5"/>
    <w:basedOn w:val="Normal"/>
    <w:next w:val="Normal"/>
    <w:link w:val="Heading5Char"/>
    <w:semiHidden/>
    <w:unhideWhenUsed/>
    <w:qFormat/>
    <w:rsid w:val="0047138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Style 19,Style 16,Footnote Reference Superscript,SUPERS,BVI fnr,Footnote symbol,Footnote,(Footnote Reference),Footnote reference number,note TESI,EN Footnote Reference,Voetnootverwijzing,Times 10 Point,Exposant 3 Point,12,Nota"/>
    <w:rsid w:val="00CA433A"/>
  </w:style>
  <w:style w:type="paragraph" w:styleId="Header">
    <w:name w:val="header"/>
    <w:basedOn w:val="Normal"/>
    <w:rsid w:val="00CA433A"/>
    <w:pPr>
      <w:tabs>
        <w:tab w:val="center" w:pos="4320"/>
        <w:tab w:val="right" w:pos="8640"/>
      </w:tabs>
      <w:autoSpaceDE/>
      <w:autoSpaceDN/>
      <w:adjustRightInd/>
    </w:pPr>
    <w:rPr>
      <w:snapToGrid w:val="0"/>
      <w:szCs w:val="20"/>
    </w:rPr>
  </w:style>
  <w:style w:type="paragraph" w:styleId="BodyText">
    <w:name w:val="Body Text"/>
    <w:basedOn w:val="Normal"/>
    <w:rsid w:val="00CA433A"/>
    <w:rPr>
      <w:rFonts w:ascii="Times New Roman" w:hAnsi="Times New Roman"/>
      <w:b/>
      <w:bCs/>
    </w:rPr>
  </w:style>
  <w:style w:type="paragraph" w:styleId="Footer">
    <w:name w:val="footer"/>
    <w:basedOn w:val="Normal"/>
    <w:rsid w:val="00CA433A"/>
    <w:pPr>
      <w:tabs>
        <w:tab w:val="center" w:pos="4320"/>
        <w:tab w:val="right" w:pos="8640"/>
      </w:tabs>
    </w:pPr>
  </w:style>
  <w:style w:type="character" w:styleId="PageNumber">
    <w:name w:val="page number"/>
    <w:basedOn w:val="DefaultParagraphFont"/>
    <w:rsid w:val="00CA433A"/>
  </w:style>
  <w:style w:type="paragraph" w:styleId="BodyTextIndent">
    <w:name w:val="Body Text Indent"/>
    <w:basedOn w:val="Normal"/>
    <w:rsid w:val="00CA433A"/>
    <w:pPr>
      <w:widowControl/>
      <w:ind w:firstLine="720"/>
    </w:pPr>
    <w:rPr>
      <w:rFonts w:ascii="Times New Roman" w:hAnsi="Times New Roman"/>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Footnote Text Char1"/>
    <w:basedOn w:val="Normal"/>
    <w:link w:val="FootnoteTextChar"/>
    <w:rsid w:val="00B02EF3"/>
    <w:pPr>
      <w:widowControl/>
      <w:autoSpaceDE/>
      <w:autoSpaceDN/>
      <w:adjustRightInd/>
    </w:pPr>
    <w:rPr>
      <w:rFonts w:ascii="Times New Roman" w:hAnsi="Times New Roman"/>
      <w:sz w:val="20"/>
      <w:szCs w:val="20"/>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basedOn w:val="DefaultParagraphFont"/>
    <w:link w:val="FootnoteText"/>
    <w:locked/>
    <w:rsid w:val="00972C7A"/>
  </w:style>
  <w:style w:type="paragraph" w:styleId="CommentText">
    <w:name w:val="annotation text"/>
    <w:basedOn w:val="Normal"/>
    <w:link w:val="CommentTextChar1"/>
    <w:uiPriority w:val="99"/>
    <w:unhideWhenUsed/>
    <w:rsid w:val="00972C7A"/>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rsid w:val="00972C7A"/>
    <w:rPr>
      <w:rFonts w:ascii="Courier" w:hAnsi="Courier"/>
    </w:rPr>
  </w:style>
  <w:style w:type="paragraph" w:customStyle="1" w:styleId="Default">
    <w:name w:val="Default"/>
    <w:rsid w:val="00972C7A"/>
    <w:pPr>
      <w:autoSpaceDE w:val="0"/>
      <w:autoSpaceDN w:val="0"/>
      <w:adjustRightInd w:val="0"/>
    </w:pPr>
    <w:rPr>
      <w:color w:val="000000"/>
      <w:sz w:val="24"/>
      <w:szCs w:val="24"/>
    </w:rPr>
  </w:style>
  <w:style w:type="character" w:styleId="CommentReference">
    <w:name w:val="annotation reference"/>
    <w:uiPriority w:val="99"/>
    <w:unhideWhenUsed/>
    <w:rsid w:val="00972C7A"/>
    <w:rPr>
      <w:rFonts w:ascii="Times New Roman" w:hAnsi="Times New Roman" w:cs="Times New Roman" w:hint="default"/>
      <w:sz w:val="16"/>
    </w:rPr>
  </w:style>
  <w:style w:type="character" w:customStyle="1" w:styleId="CommentTextChar1">
    <w:name w:val="Comment Text Char1"/>
    <w:link w:val="CommentText"/>
    <w:uiPriority w:val="99"/>
    <w:locked/>
    <w:rsid w:val="00972C7A"/>
  </w:style>
  <w:style w:type="character" w:customStyle="1" w:styleId="documentbody1">
    <w:name w:val="documentbody1"/>
    <w:rsid w:val="00972C7A"/>
    <w:rPr>
      <w:rFonts w:ascii="Verdana" w:hAnsi="Verdana" w:hint="default"/>
      <w:sz w:val="19"/>
      <w:szCs w:val="19"/>
    </w:rPr>
  </w:style>
  <w:style w:type="paragraph" w:styleId="NormalWeb">
    <w:name w:val="Normal (Web)"/>
    <w:basedOn w:val="Normal"/>
    <w:uiPriority w:val="99"/>
    <w:rsid w:val="00373ED8"/>
    <w:pPr>
      <w:widowControl/>
      <w:autoSpaceDE/>
      <w:autoSpaceDN/>
      <w:adjustRightInd/>
      <w:spacing w:before="100" w:beforeAutospacing="1" w:after="100" w:afterAutospacing="1"/>
    </w:pPr>
    <w:rPr>
      <w:rFonts w:ascii="Times New Roman" w:eastAsia="Calibri" w:hAnsi="Times New Roman"/>
    </w:rPr>
  </w:style>
  <w:style w:type="paragraph" w:styleId="NoSpacing">
    <w:name w:val="No Spacing"/>
    <w:uiPriority w:val="99"/>
    <w:qFormat/>
    <w:rsid w:val="00373ED8"/>
    <w:rPr>
      <w:rFonts w:ascii="Calibri" w:eastAsia="Calibri" w:hAnsi="Calibri"/>
      <w:sz w:val="22"/>
      <w:szCs w:val="22"/>
    </w:rPr>
  </w:style>
  <w:style w:type="paragraph" w:styleId="ListParagraph">
    <w:name w:val="List Paragraph"/>
    <w:basedOn w:val="Normal"/>
    <w:uiPriority w:val="34"/>
    <w:qFormat/>
    <w:rsid w:val="00D81536"/>
    <w:pPr>
      <w:widowControl/>
      <w:autoSpaceDE/>
      <w:autoSpaceDN/>
      <w:adjustRightInd/>
      <w:ind w:left="720"/>
      <w:contextualSpacing/>
    </w:pPr>
    <w:rPr>
      <w:rFonts w:ascii="Times New Roman" w:eastAsiaTheme="minorHAnsi" w:hAnsi="Times New Roman" w:cstheme="minorBidi"/>
      <w:szCs w:val="22"/>
    </w:rPr>
  </w:style>
  <w:style w:type="paragraph" w:styleId="BalloonText">
    <w:name w:val="Balloon Text"/>
    <w:basedOn w:val="Normal"/>
    <w:link w:val="BalloonTextChar"/>
    <w:rsid w:val="001924CE"/>
    <w:rPr>
      <w:rFonts w:ascii="Tahoma" w:hAnsi="Tahoma" w:cs="Tahoma"/>
      <w:sz w:val="16"/>
      <w:szCs w:val="16"/>
    </w:rPr>
  </w:style>
  <w:style w:type="character" w:customStyle="1" w:styleId="BalloonTextChar">
    <w:name w:val="Balloon Text Char"/>
    <w:basedOn w:val="DefaultParagraphFont"/>
    <w:link w:val="BalloonText"/>
    <w:rsid w:val="001924CE"/>
    <w:rPr>
      <w:rFonts w:ascii="Tahoma" w:hAnsi="Tahoma" w:cs="Tahoma"/>
      <w:sz w:val="16"/>
      <w:szCs w:val="16"/>
    </w:rPr>
  </w:style>
  <w:style w:type="character" w:styleId="Emphasis">
    <w:name w:val="Emphasis"/>
    <w:basedOn w:val="DefaultParagraphFont"/>
    <w:uiPriority w:val="20"/>
    <w:qFormat/>
    <w:rsid w:val="005A6A67"/>
    <w:rPr>
      <w:i/>
      <w:iCs/>
    </w:rPr>
  </w:style>
  <w:style w:type="paragraph" w:styleId="CommentSubject">
    <w:name w:val="annotation subject"/>
    <w:basedOn w:val="CommentText"/>
    <w:next w:val="CommentText"/>
    <w:link w:val="CommentSubjectChar"/>
    <w:rsid w:val="0046618F"/>
    <w:pPr>
      <w:widowControl w:val="0"/>
      <w:autoSpaceDE w:val="0"/>
      <w:autoSpaceDN w:val="0"/>
      <w:adjustRightInd w:val="0"/>
    </w:pPr>
    <w:rPr>
      <w:rFonts w:ascii="Courier" w:hAnsi="Courier"/>
      <w:b/>
      <w:bCs/>
    </w:rPr>
  </w:style>
  <w:style w:type="character" w:customStyle="1" w:styleId="CommentSubjectChar">
    <w:name w:val="Comment Subject Char"/>
    <w:basedOn w:val="CommentTextChar1"/>
    <w:link w:val="CommentSubject"/>
    <w:rsid w:val="0046618F"/>
    <w:rPr>
      <w:rFonts w:ascii="Courier" w:hAnsi="Courier"/>
      <w:b/>
      <w:bCs/>
    </w:rPr>
  </w:style>
  <w:style w:type="character" w:customStyle="1" w:styleId="Heading5Char">
    <w:name w:val="Heading 5 Char"/>
    <w:basedOn w:val="DefaultParagraphFont"/>
    <w:link w:val="Heading5"/>
    <w:semiHidden/>
    <w:rsid w:val="0047138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4713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33A"/>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CA433A"/>
    <w:pPr>
      <w:keepNext/>
      <w:tabs>
        <w:tab w:val="center" w:pos="4680"/>
      </w:tabs>
      <w:jc w:val="center"/>
      <w:outlineLvl w:val="0"/>
    </w:pPr>
    <w:rPr>
      <w:rFonts w:ascii="Arial Narrow" w:hAnsi="Arial Narrow"/>
      <w:b/>
      <w:bCs/>
    </w:rPr>
  </w:style>
  <w:style w:type="paragraph" w:styleId="Heading2">
    <w:name w:val="heading 2"/>
    <w:basedOn w:val="Normal"/>
    <w:next w:val="Normal"/>
    <w:qFormat/>
    <w:rsid w:val="00CA433A"/>
    <w:pPr>
      <w:keepNext/>
      <w:widowControl/>
      <w:autoSpaceDE/>
      <w:autoSpaceDN/>
      <w:adjustRightInd/>
      <w:spacing w:after="58"/>
      <w:jc w:val="right"/>
      <w:outlineLvl w:val="1"/>
    </w:pPr>
    <w:rPr>
      <w:rFonts w:ascii="Times" w:hAnsi="Times"/>
      <w:i/>
      <w:snapToGrid w:val="0"/>
      <w:szCs w:val="20"/>
    </w:rPr>
  </w:style>
  <w:style w:type="paragraph" w:styleId="Heading5">
    <w:name w:val="heading 5"/>
    <w:basedOn w:val="Normal"/>
    <w:next w:val="Normal"/>
    <w:link w:val="Heading5Char"/>
    <w:semiHidden/>
    <w:unhideWhenUsed/>
    <w:qFormat/>
    <w:rsid w:val="0047138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Style 19,Style 16,Footnote Reference Superscript,SUPERS,BVI fnr,Footnote symbol,Footnote,(Footnote Reference),Footnote reference number,note TESI,EN Footnote Reference,Voetnootverwijzing,Times 10 Point,Exposant 3 Point,12,Nota"/>
    <w:rsid w:val="00CA433A"/>
  </w:style>
  <w:style w:type="paragraph" w:styleId="Header">
    <w:name w:val="header"/>
    <w:basedOn w:val="Normal"/>
    <w:rsid w:val="00CA433A"/>
    <w:pPr>
      <w:tabs>
        <w:tab w:val="center" w:pos="4320"/>
        <w:tab w:val="right" w:pos="8640"/>
      </w:tabs>
      <w:autoSpaceDE/>
      <w:autoSpaceDN/>
      <w:adjustRightInd/>
    </w:pPr>
    <w:rPr>
      <w:snapToGrid w:val="0"/>
      <w:szCs w:val="20"/>
    </w:rPr>
  </w:style>
  <w:style w:type="paragraph" w:styleId="BodyText">
    <w:name w:val="Body Text"/>
    <w:basedOn w:val="Normal"/>
    <w:rsid w:val="00CA433A"/>
    <w:rPr>
      <w:rFonts w:ascii="Times New Roman" w:hAnsi="Times New Roman"/>
      <w:b/>
      <w:bCs/>
    </w:rPr>
  </w:style>
  <w:style w:type="paragraph" w:styleId="Footer">
    <w:name w:val="footer"/>
    <w:basedOn w:val="Normal"/>
    <w:rsid w:val="00CA433A"/>
    <w:pPr>
      <w:tabs>
        <w:tab w:val="center" w:pos="4320"/>
        <w:tab w:val="right" w:pos="8640"/>
      </w:tabs>
    </w:pPr>
  </w:style>
  <w:style w:type="character" w:styleId="PageNumber">
    <w:name w:val="page number"/>
    <w:basedOn w:val="DefaultParagraphFont"/>
    <w:rsid w:val="00CA433A"/>
  </w:style>
  <w:style w:type="paragraph" w:styleId="BodyTextIndent">
    <w:name w:val="Body Text Indent"/>
    <w:basedOn w:val="Normal"/>
    <w:rsid w:val="00CA433A"/>
    <w:pPr>
      <w:widowControl/>
      <w:ind w:firstLine="720"/>
    </w:pPr>
    <w:rPr>
      <w:rFonts w:ascii="Times New Roman" w:hAnsi="Times New Roman"/>
    </w:r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Footnote Text Char1"/>
    <w:basedOn w:val="Normal"/>
    <w:link w:val="FootnoteTextChar"/>
    <w:rsid w:val="00B02EF3"/>
    <w:pPr>
      <w:widowControl/>
      <w:autoSpaceDE/>
      <w:autoSpaceDN/>
      <w:adjustRightInd/>
    </w:pPr>
    <w:rPr>
      <w:rFonts w:ascii="Times New Roman" w:hAnsi="Times New Roman"/>
      <w:sz w:val="20"/>
      <w:szCs w:val="20"/>
    </w:rPr>
  </w:style>
  <w:style w:type="character" w:customStyle="1" w:styleId="FootnoteTextChar">
    <w:name w:val="Footnote Text Char"/>
    <w:aliases w:val="Footnote Text Char Char Char,fn Char,Footnote Text Char Char Char Char Char Char Char Char Char Char Char Char Char Char Char Char Char Char,Footnote Text Char1 Char Char Char,Footnote Text Char Char Char Char Char,Style 15 Char"/>
    <w:basedOn w:val="DefaultParagraphFont"/>
    <w:link w:val="FootnoteText"/>
    <w:locked/>
    <w:rsid w:val="00972C7A"/>
  </w:style>
  <w:style w:type="paragraph" w:styleId="CommentText">
    <w:name w:val="annotation text"/>
    <w:basedOn w:val="Normal"/>
    <w:link w:val="CommentTextChar1"/>
    <w:uiPriority w:val="99"/>
    <w:unhideWhenUsed/>
    <w:rsid w:val="00972C7A"/>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rsid w:val="00972C7A"/>
    <w:rPr>
      <w:rFonts w:ascii="Courier" w:hAnsi="Courier"/>
    </w:rPr>
  </w:style>
  <w:style w:type="paragraph" w:customStyle="1" w:styleId="Default">
    <w:name w:val="Default"/>
    <w:rsid w:val="00972C7A"/>
    <w:pPr>
      <w:autoSpaceDE w:val="0"/>
      <w:autoSpaceDN w:val="0"/>
      <w:adjustRightInd w:val="0"/>
    </w:pPr>
    <w:rPr>
      <w:color w:val="000000"/>
      <w:sz w:val="24"/>
      <w:szCs w:val="24"/>
    </w:rPr>
  </w:style>
  <w:style w:type="character" w:styleId="CommentReference">
    <w:name w:val="annotation reference"/>
    <w:uiPriority w:val="99"/>
    <w:unhideWhenUsed/>
    <w:rsid w:val="00972C7A"/>
    <w:rPr>
      <w:rFonts w:ascii="Times New Roman" w:hAnsi="Times New Roman" w:cs="Times New Roman" w:hint="default"/>
      <w:sz w:val="16"/>
    </w:rPr>
  </w:style>
  <w:style w:type="character" w:customStyle="1" w:styleId="CommentTextChar1">
    <w:name w:val="Comment Text Char1"/>
    <w:link w:val="CommentText"/>
    <w:uiPriority w:val="99"/>
    <w:locked/>
    <w:rsid w:val="00972C7A"/>
  </w:style>
  <w:style w:type="character" w:customStyle="1" w:styleId="documentbody1">
    <w:name w:val="documentbody1"/>
    <w:rsid w:val="00972C7A"/>
    <w:rPr>
      <w:rFonts w:ascii="Verdana" w:hAnsi="Verdana" w:hint="default"/>
      <w:sz w:val="19"/>
      <w:szCs w:val="19"/>
    </w:rPr>
  </w:style>
  <w:style w:type="paragraph" w:styleId="NormalWeb">
    <w:name w:val="Normal (Web)"/>
    <w:basedOn w:val="Normal"/>
    <w:uiPriority w:val="99"/>
    <w:rsid w:val="00373ED8"/>
    <w:pPr>
      <w:widowControl/>
      <w:autoSpaceDE/>
      <w:autoSpaceDN/>
      <w:adjustRightInd/>
      <w:spacing w:before="100" w:beforeAutospacing="1" w:after="100" w:afterAutospacing="1"/>
    </w:pPr>
    <w:rPr>
      <w:rFonts w:ascii="Times New Roman" w:eastAsia="Calibri" w:hAnsi="Times New Roman"/>
    </w:rPr>
  </w:style>
  <w:style w:type="paragraph" w:styleId="NoSpacing">
    <w:name w:val="No Spacing"/>
    <w:uiPriority w:val="99"/>
    <w:qFormat/>
    <w:rsid w:val="00373ED8"/>
    <w:rPr>
      <w:rFonts w:ascii="Calibri" w:eastAsia="Calibri" w:hAnsi="Calibri"/>
      <w:sz w:val="22"/>
      <w:szCs w:val="22"/>
    </w:rPr>
  </w:style>
  <w:style w:type="paragraph" w:styleId="ListParagraph">
    <w:name w:val="List Paragraph"/>
    <w:basedOn w:val="Normal"/>
    <w:uiPriority w:val="34"/>
    <w:qFormat/>
    <w:rsid w:val="00D81536"/>
    <w:pPr>
      <w:widowControl/>
      <w:autoSpaceDE/>
      <w:autoSpaceDN/>
      <w:adjustRightInd/>
      <w:ind w:left="720"/>
      <w:contextualSpacing/>
    </w:pPr>
    <w:rPr>
      <w:rFonts w:ascii="Times New Roman" w:eastAsiaTheme="minorHAnsi" w:hAnsi="Times New Roman" w:cstheme="minorBidi"/>
      <w:szCs w:val="22"/>
    </w:rPr>
  </w:style>
  <w:style w:type="paragraph" w:styleId="BalloonText">
    <w:name w:val="Balloon Text"/>
    <w:basedOn w:val="Normal"/>
    <w:link w:val="BalloonTextChar"/>
    <w:rsid w:val="001924CE"/>
    <w:rPr>
      <w:rFonts w:ascii="Tahoma" w:hAnsi="Tahoma" w:cs="Tahoma"/>
      <w:sz w:val="16"/>
      <w:szCs w:val="16"/>
    </w:rPr>
  </w:style>
  <w:style w:type="character" w:customStyle="1" w:styleId="BalloonTextChar">
    <w:name w:val="Balloon Text Char"/>
    <w:basedOn w:val="DefaultParagraphFont"/>
    <w:link w:val="BalloonText"/>
    <w:rsid w:val="001924CE"/>
    <w:rPr>
      <w:rFonts w:ascii="Tahoma" w:hAnsi="Tahoma" w:cs="Tahoma"/>
      <w:sz w:val="16"/>
      <w:szCs w:val="16"/>
    </w:rPr>
  </w:style>
  <w:style w:type="character" w:styleId="Emphasis">
    <w:name w:val="Emphasis"/>
    <w:basedOn w:val="DefaultParagraphFont"/>
    <w:uiPriority w:val="20"/>
    <w:qFormat/>
    <w:rsid w:val="005A6A67"/>
    <w:rPr>
      <w:i/>
      <w:iCs/>
    </w:rPr>
  </w:style>
  <w:style w:type="paragraph" w:styleId="CommentSubject">
    <w:name w:val="annotation subject"/>
    <w:basedOn w:val="CommentText"/>
    <w:next w:val="CommentText"/>
    <w:link w:val="CommentSubjectChar"/>
    <w:rsid w:val="0046618F"/>
    <w:pPr>
      <w:widowControl w:val="0"/>
      <w:autoSpaceDE w:val="0"/>
      <w:autoSpaceDN w:val="0"/>
      <w:adjustRightInd w:val="0"/>
    </w:pPr>
    <w:rPr>
      <w:rFonts w:ascii="Courier" w:hAnsi="Courier"/>
      <w:b/>
      <w:bCs/>
    </w:rPr>
  </w:style>
  <w:style w:type="character" w:customStyle="1" w:styleId="CommentSubjectChar">
    <w:name w:val="Comment Subject Char"/>
    <w:basedOn w:val="CommentTextChar1"/>
    <w:link w:val="CommentSubject"/>
    <w:rsid w:val="0046618F"/>
    <w:rPr>
      <w:rFonts w:ascii="Courier" w:hAnsi="Courier"/>
      <w:b/>
      <w:bCs/>
    </w:rPr>
  </w:style>
  <w:style w:type="character" w:customStyle="1" w:styleId="Heading5Char">
    <w:name w:val="Heading 5 Char"/>
    <w:basedOn w:val="DefaultParagraphFont"/>
    <w:link w:val="Heading5"/>
    <w:semiHidden/>
    <w:rsid w:val="0047138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4713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9800">
      <w:bodyDiv w:val="1"/>
      <w:marLeft w:val="0"/>
      <w:marRight w:val="0"/>
      <w:marTop w:val="0"/>
      <w:marBottom w:val="0"/>
      <w:divBdr>
        <w:top w:val="none" w:sz="0" w:space="0" w:color="auto"/>
        <w:left w:val="none" w:sz="0" w:space="0" w:color="auto"/>
        <w:bottom w:val="none" w:sz="0" w:space="0" w:color="auto"/>
        <w:right w:val="none" w:sz="0" w:space="0" w:color="auto"/>
      </w:divBdr>
    </w:div>
    <w:div w:id="463931160">
      <w:bodyDiv w:val="1"/>
      <w:marLeft w:val="0"/>
      <w:marRight w:val="0"/>
      <w:marTop w:val="0"/>
      <w:marBottom w:val="0"/>
      <w:divBdr>
        <w:top w:val="none" w:sz="0" w:space="0" w:color="auto"/>
        <w:left w:val="none" w:sz="0" w:space="0" w:color="auto"/>
        <w:bottom w:val="none" w:sz="0" w:space="0" w:color="auto"/>
        <w:right w:val="none" w:sz="0" w:space="0" w:color="auto"/>
      </w:divBdr>
    </w:div>
    <w:div w:id="69665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8487C-85BE-4238-B4EE-F53E3B72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861</Words>
  <Characters>5119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Kuiper, Gary</cp:lastModifiedBy>
  <cp:revision>2</cp:revision>
  <cp:lastPrinted>2014-04-16T22:55:00Z</cp:lastPrinted>
  <dcterms:created xsi:type="dcterms:W3CDTF">2014-09-27T00:04:00Z</dcterms:created>
  <dcterms:modified xsi:type="dcterms:W3CDTF">2014-09-27T00:04:00Z</dcterms:modified>
</cp:coreProperties>
</file>