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243" w:rsidRDefault="0025093A" w:rsidP="0025093A">
      <w:pPr>
        <w:jc w:val="center"/>
        <w:rPr>
          <w:b/>
        </w:rPr>
      </w:pPr>
      <w:r>
        <w:rPr>
          <w:b/>
        </w:rPr>
        <w:t>NARRATIVE SUPPORTING STATEMENT</w:t>
      </w:r>
    </w:p>
    <w:p w:rsidR="0025093A" w:rsidRDefault="0025093A" w:rsidP="0025093A">
      <w:pPr>
        <w:jc w:val="center"/>
        <w:rPr>
          <w:b/>
        </w:rPr>
      </w:pPr>
      <w:r>
        <w:rPr>
          <w:b/>
        </w:rPr>
        <w:t xml:space="preserve">FOR 46 CFR </w:t>
      </w:r>
      <w:r w:rsidR="00854935">
        <w:rPr>
          <w:b/>
        </w:rPr>
        <w:t xml:space="preserve">PART </w:t>
      </w:r>
      <w:r>
        <w:rPr>
          <w:b/>
        </w:rPr>
        <w:t>5</w:t>
      </w:r>
      <w:r w:rsidR="001C79AC">
        <w:rPr>
          <w:b/>
        </w:rPr>
        <w:t>65</w:t>
      </w:r>
    </w:p>
    <w:p w:rsidR="0025093A" w:rsidRDefault="0025093A" w:rsidP="0025093A"/>
    <w:p w:rsidR="0025093A" w:rsidRDefault="0025093A" w:rsidP="0025093A"/>
    <w:p w:rsidR="0025093A" w:rsidRPr="001D5B6E" w:rsidRDefault="0025093A" w:rsidP="0025093A">
      <w:pPr>
        <w:rPr>
          <w:b/>
        </w:rPr>
      </w:pPr>
      <w:r w:rsidRPr="001D5B6E">
        <w:rPr>
          <w:b/>
        </w:rPr>
        <w:t>A.</w:t>
      </w:r>
      <w:r w:rsidRPr="001D5B6E">
        <w:rPr>
          <w:b/>
        </w:rPr>
        <w:tab/>
        <w:t>Justification</w:t>
      </w:r>
    </w:p>
    <w:p w:rsidR="0025093A" w:rsidRDefault="0025093A" w:rsidP="0025093A"/>
    <w:p w:rsidR="00650CCA" w:rsidRDefault="00650CCA" w:rsidP="001D5B6E">
      <w:pPr>
        <w:jc w:val="both"/>
      </w:pPr>
    </w:p>
    <w:p w:rsidR="0025093A" w:rsidRDefault="0025093A" w:rsidP="001D5B6E">
      <w:pPr>
        <w:jc w:val="both"/>
      </w:pPr>
      <w:r>
        <w:t>1.</w:t>
      </w:r>
      <w:r>
        <w:tab/>
        <w:t xml:space="preserve">The Commission </w:t>
      </w:r>
      <w:r w:rsidR="001C79AC">
        <w:t xml:space="preserve">is required by section 9 of the Shipping Act of 1984 (46 U.S.C. </w:t>
      </w:r>
      <w:r w:rsidR="009E7CAD">
        <w:t>40701-40706</w:t>
      </w:r>
      <w:r w:rsidR="00FD0332">
        <w:t>) to ensure that controlled carriers (i.e., carriers owned or controlled by a government) publish or use a rate, charge, classification, rule, or regulation that is just and reasonable.  C</w:t>
      </w:r>
      <w:r w:rsidR="001C79AC">
        <w:t xml:space="preserve">ontrolled carriers or potential controlled carriers are required to notify the Commission of a change in their </w:t>
      </w:r>
      <w:r w:rsidR="00FD0332">
        <w:t xml:space="preserve">ownership or </w:t>
      </w:r>
      <w:r w:rsidR="001C79AC">
        <w:t>control and to file certain information with the Commission upon its request so that it may</w:t>
      </w:r>
      <w:r w:rsidR="00FD0332">
        <w:t xml:space="preserve"> monitor their activities.  </w:t>
      </w:r>
      <w:r w:rsidR="001C79AC">
        <w:t>46 CFR 565.4</w:t>
      </w:r>
      <w:r w:rsidR="00FD0332">
        <w:t xml:space="preserve"> and 565.9</w:t>
      </w:r>
      <w:r w:rsidR="001C79AC">
        <w:t>.  This information allows the Commission to identify controlled carriers and to monitor their activities to ensure that they not engage in the acts prohibited by sec</w:t>
      </w:r>
      <w:r w:rsidR="005E73EE">
        <w:t>tion 9 of the Act, i.e., to char</w:t>
      </w:r>
      <w:r w:rsidR="001C79AC">
        <w:t>ge or assess rates below a just and reasonable level or to reduce effective tariff rates sooner than the 30</w:t>
      </w:r>
      <w:r w:rsidR="001C79AC" w:rsidRPr="001C79AC">
        <w:rPr>
          <w:vertAlign w:val="superscript"/>
        </w:rPr>
        <w:t>th</w:t>
      </w:r>
      <w:r w:rsidR="001C79AC">
        <w:t xml:space="preserve"> day after the date of publication.  </w:t>
      </w:r>
    </w:p>
    <w:p w:rsidR="001C79AC" w:rsidRDefault="001C79AC" w:rsidP="001D5B6E">
      <w:pPr>
        <w:jc w:val="both"/>
      </w:pPr>
    </w:p>
    <w:p w:rsidR="0025093A" w:rsidRDefault="0025093A" w:rsidP="001D5B6E">
      <w:pPr>
        <w:jc w:val="both"/>
      </w:pPr>
    </w:p>
    <w:p w:rsidR="001D5B6E" w:rsidRDefault="001D5B6E" w:rsidP="001D5B6E">
      <w:pPr>
        <w:jc w:val="both"/>
      </w:pPr>
      <w:r>
        <w:t>2.</w:t>
      </w:r>
      <w:r>
        <w:tab/>
        <w:t xml:space="preserve">The information </w:t>
      </w:r>
      <w:r w:rsidR="00854935">
        <w:t>under 46 CFR P</w:t>
      </w:r>
      <w:r w:rsidR="00706107">
        <w:t>art 565 is collected by the Secretary and by the General Counsel of the Commission.  The Genera</w:t>
      </w:r>
      <w:r w:rsidR="00854935">
        <w:t>l</w:t>
      </w:r>
      <w:r w:rsidR="00706107">
        <w:t xml:space="preserve"> Counsel has been delegated the authority to classify ocean common carriers as controlled under 46 CFR 501.23.  If the Commission were not able to collect this information, it would not be able to </w:t>
      </w:r>
      <w:r w:rsidR="00FD0332">
        <w:t xml:space="preserve">administer </w:t>
      </w:r>
      <w:r w:rsidR="00706107">
        <w:t xml:space="preserve">section 9 of the Shipping Act (46 U.S.C. </w:t>
      </w:r>
      <w:r w:rsidR="009E7CAD">
        <w:t>40701-40706</w:t>
      </w:r>
      <w:r w:rsidR="005E73EE">
        <w:t>).</w:t>
      </w:r>
    </w:p>
    <w:p w:rsidR="001D5B6E" w:rsidRDefault="001D5B6E" w:rsidP="001D5B6E">
      <w:pPr>
        <w:jc w:val="both"/>
      </w:pPr>
    </w:p>
    <w:p w:rsidR="00706107" w:rsidRDefault="00706107" w:rsidP="001D5B6E">
      <w:pPr>
        <w:jc w:val="both"/>
      </w:pPr>
    </w:p>
    <w:p w:rsidR="001D5B6E" w:rsidRDefault="00043E4B" w:rsidP="001D5B6E">
      <w:pPr>
        <w:jc w:val="both"/>
      </w:pPr>
      <w:r>
        <w:t>3.</w:t>
      </w:r>
      <w:r>
        <w:tab/>
      </w:r>
      <w:r w:rsidR="006542D8">
        <w:t xml:space="preserve">Although no information is currently collected through automated or electronic means under this rule, the Commission is exploring systems and techniques to provide those as options for respondents.  </w:t>
      </w:r>
    </w:p>
    <w:p w:rsidR="00E326E3" w:rsidRDefault="00E326E3" w:rsidP="001D5B6E">
      <w:pPr>
        <w:jc w:val="both"/>
      </w:pPr>
    </w:p>
    <w:p w:rsidR="00E326E3" w:rsidRDefault="00E326E3" w:rsidP="001D5B6E">
      <w:pPr>
        <w:jc w:val="both"/>
      </w:pPr>
    </w:p>
    <w:p w:rsidR="00E326E3" w:rsidRDefault="00E326E3" w:rsidP="001D5B6E">
      <w:pPr>
        <w:jc w:val="both"/>
      </w:pPr>
      <w:r>
        <w:t>4.</w:t>
      </w:r>
      <w:r>
        <w:tab/>
        <w:t xml:space="preserve">The information requested is not available from any other source.  </w:t>
      </w:r>
    </w:p>
    <w:p w:rsidR="006F6879" w:rsidRDefault="006F6879" w:rsidP="001D5B6E">
      <w:pPr>
        <w:jc w:val="both"/>
      </w:pPr>
    </w:p>
    <w:p w:rsidR="00E326E3" w:rsidRDefault="00E326E3" w:rsidP="001D5B6E">
      <w:pPr>
        <w:jc w:val="both"/>
      </w:pPr>
    </w:p>
    <w:p w:rsidR="00E326E3" w:rsidRDefault="00E326E3" w:rsidP="001D5B6E">
      <w:pPr>
        <w:jc w:val="both"/>
      </w:pPr>
      <w:r>
        <w:t>5.</w:t>
      </w:r>
      <w:r>
        <w:tab/>
      </w:r>
      <w:r w:rsidR="006F6879">
        <w:t>This collection of information involves only ocean common carriers, which have been determined to be all large businesses.  As such, this collection of information has no impact on small businesses or small entities.</w:t>
      </w:r>
    </w:p>
    <w:p w:rsidR="00E326E3" w:rsidRDefault="00E326E3" w:rsidP="001D5B6E">
      <w:pPr>
        <w:jc w:val="both"/>
      </w:pPr>
    </w:p>
    <w:p w:rsidR="006D401F" w:rsidRDefault="006D401F" w:rsidP="001D5B6E">
      <w:pPr>
        <w:jc w:val="both"/>
      </w:pPr>
    </w:p>
    <w:p w:rsidR="00E326E3" w:rsidRDefault="00E326E3" w:rsidP="001D5B6E">
      <w:pPr>
        <w:jc w:val="both"/>
      </w:pPr>
      <w:r>
        <w:t>6.</w:t>
      </w:r>
      <w:r>
        <w:tab/>
      </w:r>
      <w:r w:rsidR="006F6879">
        <w:t xml:space="preserve">Requests for information regarding an ocean common carrier’s classification as controlled and notifications of change in </w:t>
      </w:r>
      <w:r w:rsidR="00FD0332">
        <w:t xml:space="preserve">ownership or </w:t>
      </w:r>
      <w:r w:rsidR="006F6879">
        <w:t>control are not done on a routine basis, rather only as needed.  Potential controlled carriers are required to notify the Commission of their possible status as a controlled carrier in order that General Counsel can timely classify the carrier as such and initiate monitoring of that carrier’s activities under section 9.  Likewise, there is no regular frequency for the filings of special permission requests.</w:t>
      </w:r>
    </w:p>
    <w:p w:rsidR="00E326E3" w:rsidRDefault="00E326E3" w:rsidP="001D5B6E">
      <w:pPr>
        <w:jc w:val="both"/>
      </w:pPr>
    </w:p>
    <w:p w:rsidR="00E326E3" w:rsidRDefault="00E326E3" w:rsidP="001D5B6E">
      <w:pPr>
        <w:jc w:val="both"/>
      </w:pPr>
    </w:p>
    <w:p w:rsidR="00E326E3" w:rsidRDefault="00E326E3" w:rsidP="001D5B6E">
      <w:pPr>
        <w:jc w:val="both"/>
      </w:pPr>
      <w:r>
        <w:lastRenderedPageBreak/>
        <w:t>7.</w:t>
      </w:r>
      <w:r>
        <w:tab/>
      </w:r>
      <w:r w:rsidR="00B46201">
        <w:t xml:space="preserve">This information collection does not (1) require respondents to report information to the agency more often than quarterly; </w:t>
      </w:r>
      <w:r w:rsidR="006542D8">
        <w:t>(2) require respondents to submit more than an original and two copies of any document; (3</w:t>
      </w:r>
      <w:r w:rsidR="00B46201">
        <w:t xml:space="preserve">) </w:t>
      </w:r>
      <w:r w:rsidR="00BC6040">
        <w:t xml:space="preserve">require respondents to retain records for more than three years; </w:t>
      </w:r>
      <w:r w:rsidR="006542D8">
        <w:t>(4</w:t>
      </w:r>
      <w:r w:rsidR="00B46201">
        <w:t>) include confidentiality pledges that are not supported by established statutory authority; or (</w:t>
      </w:r>
      <w:r w:rsidR="006542D8">
        <w:t>5</w:t>
      </w:r>
      <w:r w:rsidR="00B46201">
        <w:t>) require respondents to submit proprietary information without protecting such information to the full</w:t>
      </w:r>
      <w:r w:rsidR="006542D8">
        <w:t xml:space="preserve"> extent of the law.  </w:t>
      </w:r>
      <w:r w:rsidR="0078343B">
        <w:t xml:space="preserve">Because certain rates/charges go into effect in 30 days, upon request from the Commission, a controlled carrier shall file within 20 days a statement of justification that sufficiently details the controlled carrier’s need and purpose for such rates/charges; this allows the Commission the opportunity to review the justification before the rates go into effect.  </w:t>
      </w:r>
    </w:p>
    <w:p w:rsidR="0078343B" w:rsidRDefault="0078343B" w:rsidP="001D5B6E">
      <w:pPr>
        <w:jc w:val="both"/>
      </w:pPr>
    </w:p>
    <w:p w:rsidR="00E326E3" w:rsidRDefault="00E326E3" w:rsidP="001D5B6E">
      <w:pPr>
        <w:jc w:val="both"/>
      </w:pPr>
    </w:p>
    <w:p w:rsidR="000C0D78" w:rsidRPr="009E17C0" w:rsidRDefault="00E326E3" w:rsidP="00632041">
      <w:pPr>
        <w:jc w:val="both"/>
      </w:pPr>
      <w:r>
        <w:t>8.</w:t>
      </w:r>
      <w:r>
        <w:tab/>
      </w:r>
      <w:r w:rsidR="00670E34">
        <w:t xml:space="preserve">The 60-day Federal Register Notice regarding this extension was published </w:t>
      </w:r>
      <w:r w:rsidR="00961199">
        <w:t>June 18, 2014</w:t>
      </w:r>
      <w:r w:rsidR="00670E34" w:rsidRPr="00BC6040">
        <w:rPr>
          <w:b/>
        </w:rPr>
        <w:t xml:space="preserve">, </w:t>
      </w:r>
      <w:r w:rsidR="00670E34" w:rsidRPr="00AB3478">
        <w:t>at</w:t>
      </w:r>
      <w:r w:rsidR="000E4A7B">
        <w:t xml:space="preserve"> 7</w:t>
      </w:r>
      <w:r w:rsidR="00961199">
        <w:t>9</w:t>
      </w:r>
      <w:r w:rsidR="00670E34" w:rsidRPr="00AB3478">
        <w:t xml:space="preserve"> FR </w:t>
      </w:r>
      <w:r w:rsidR="00961199">
        <w:t>34748</w:t>
      </w:r>
      <w:r w:rsidR="00670E34">
        <w:t>.  Respondents ha</w:t>
      </w:r>
      <w:r w:rsidR="00632041">
        <w:t>d</w:t>
      </w:r>
      <w:r w:rsidR="00670E34">
        <w:t xml:space="preserve"> 60 days to respond with their views regarding the collection of information</w:t>
      </w:r>
      <w:r w:rsidR="00632041" w:rsidRPr="00854935">
        <w:t xml:space="preserve">; </w:t>
      </w:r>
      <w:r w:rsidR="00632041" w:rsidRPr="000F1C6D">
        <w:t>no comments were received</w:t>
      </w:r>
      <w:r w:rsidR="00632041">
        <w:t>.  U</w:t>
      </w:r>
      <w:r w:rsidR="009E17C0">
        <w:t xml:space="preserve">pon notification that a new carrier is entering the U.S.-foreign trades, the Commission generally solicits the opinion of other U.S. government agencies with regard to the </w:t>
      </w:r>
      <w:r w:rsidR="00FD0332">
        <w:t xml:space="preserve">ownership or </w:t>
      </w:r>
      <w:r w:rsidR="009E17C0">
        <w:t xml:space="preserve">control of the carrier.  The Commission </w:t>
      </w:r>
      <w:r w:rsidR="00632041">
        <w:t xml:space="preserve">also </w:t>
      </w:r>
      <w:r w:rsidR="009E17C0">
        <w:t xml:space="preserve">generally consults with the U.S. State Department (and </w:t>
      </w:r>
      <w:smartTag w:uri="urn:schemas-microsoft-com:office:smarttags" w:element="country-region">
        <w:smartTag w:uri="urn:schemas-microsoft-com:office:smarttags" w:element="place">
          <w:r w:rsidR="009E17C0">
            <w:t>U.S.</w:t>
          </w:r>
        </w:smartTag>
      </w:smartTag>
      <w:r w:rsidR="009E17C0">
        <w:t xml:space="preserve"> consular missions), the Maritime Administration of the Department of Transportation, and Customs and Border Protection of the Department of Homeland Security.  </w:t>
      </w:r>
      <w:r w:rsidR="00632041">
        <w:t>Additionally, t</w:t>
      </w:r>
      <w:r w:rsidR="009E17C0">
        <w:t xml:space="preserve">he Commission gathers information from publicly available sources.  </w:t>
      </w:r>
    </w:p>
    <w:p w:rsidR="00E326E3" w:rsidRDefault="00E326E3" w:rsidP="001D5B6E">
      <w:pPr>
        <w:jc w:val="both"/>
      </w:pPr>
    </w:p>
    <w:p w:rsidR="00E326E3" w:rsidRDefault="00E326E3" w:rsidP="001D5B6E">
      <w:pPr>
        <w:jc w:val="both"/>
      </w:pPr>
    </w:p>
    <w:p w:rsidR="00E326E3" w:rsidRDefault="00E326E3" w:rsidP="001D5B6E">
      <w:pPr>
        <w:jc w:val="both"/>
      </w:pPr>
      <w:r>
        <w:t>9.</w:t>
      </w:r>
      <w:r>
        <w:tab/>
        <w:t>Not applicable</w:t>
      </w:r>
      <w:r w:rsidR="0028799E">
        <w:t xml:space="preserve"> – The Commission does not provide any payments or gifts to respondents.</w:t>
      </w:r>
    </w:p>
    <w:p w:rsidR="00E326E3" w:rsidRDefault="00E326E3" w:rsidP="001D5B6E">
      <w:pPr>
        <w:jc w:val="both"/>
      </w:pPr>
    </w:p>
    <w:p w:rsidR="00E326E3" w:rsidRDefault="00E326E3" w:rsidP="001D5B6E">
      <w:pPr>
        <w:jc w:val="both"/>
      </w:pPr>
    </w:p>
    <w:p w:rsidR="00E326E3" w:rsidRDefault="00E326E3" w:rsidP="001D5B6E">
      <w:pPr>
        <w:jc w:val="both"/>
      </w:pPr>
      <w:r>
        <w:t>10.</w:t>
      </w:r>
      <w:r>
        <w:tab/>
      </w:r>
      <w:r w:rsidR="00CE4B7D">
        <w:t>No assurance of confidentiality is provided.</w:t>
      </w:r>
    </w:p>
    <w:p w:rsidR="00E326E3" w:rsidRDefault="00E326E3" w:rsidP="001D5B6E">
      <w:pPr>
        <w:jc w:val="both"/>
      </w:pPr>
    </w:p>
    <w:p w:rsidR="00E326E3" w:rsidRDefault="00E326E3" w:rsidP="001D5B6E">
      <w:pPr>
        <w:jc w:val="both"/>
      </w:pPr>
    </w:p>
    <w:p w:rsidR="00E326E3" w:rsidRDefault="00E326E3" w:rsidP="001D5B6E">
      <w:pPr>
        <w:jc w:val="both"/>
      </w:pPr>
      <w:r>
        <w:t>11.</w:t>
      </w:r>
      <w:r>
        <w:tab/>
        <w:t>The</w:t>
      </w:r>
      <w:r w:rsidR="00CE4B7D">
        <w:t xml:space="preserve">re are no questions of a sensitive nature.  </w:t>
      </w:r>
    </w:p>
    <w:p w:rsidR="00E326E3" w:rsidRDefault="00E326E3" w:rsidP="001D5B6E">
      <w:pPr>
        <w:jc w:val="both"/>
      </w:pPr>
    </w:p>
    <w:p w:rsidR="00E326E3" w:rsidRDefault="00E326E3" w:rsidP="001D5B6E">
      <w:pPr>
        <w:jc w:val="both"/>
      </w:pPr>
    </w:p>
    <w:p w:rsidR="00E326E3" w:rsidRPr="00CF6A89" w:rsidRDefault="00311174" w:rsidP="001D5B6E">
      <w:pPr>
        <w:jc w:val="both"/>
      </w:pPr>
      <w:r>
        <w:t>12.</w:t>
      </w:r>
      <w:r>
        <w:tab/>
      </w:r>
      <w:r w:rsidR="00854935">
        <w:t xml:space="preserve">The Commission estimates that the potential respondent universe for this information collection is </w:t>
      </w:r>
      <w:r w:rsidR="00854935" w:rsidRPr="0078343B">
        <w:t>24</w:t>
      </w:r>
      <w:r w:rsidR="00854935" w:rsidRPr="00BC6040">
        <w:rPr>
          <w:b/>
        </w:rPr>
        <w:t>.</w:t>
      </w:r>
      <w:r w:rsidR="002E4063">
        <w:rPr>
          <w:rStyle w:val="FootnoteReference"/>
          <w:b/>
        </w:rPr>
        <w:footnoteReference w:id="2"/>
      </w:r>
      <w:r w:rsidR="00854935">
        <w:t xml:space="preserve">  T</w:t>
      </w:r>
      <w:r w:rsidR="00CE4B7D">
        <w:t xml:space="preserve">he Commission has identified and classified </w:t>
      </w:r>
      <w:r w:rsidR="000F1C6D">
        <w:t>4</w:t>
      </w:r>
      <w:r w:rsidR="00CE4B7D">
        <w:t xml:space="preserve"> ocean common </w:t>
      </w:r>
      <w:r w:rsidR="00854935">
        <w:t>carriers as controlled carriers, and</w:t>
      </w:r>
      <w:r w:rsidR="00CE4B7D">
        <w:t xml:space="preserve"> is basing its estimates upon the </w:t>
      </w:r>
      <w:r w:rsidR="000F1C6D">
        <w:t>4</w:t>
      </w:r>
      <w:r w:rsidR="00CE4B7D">
        <w:t xml:space="preserve"> </w:t>
      </w:r>
      <w:r w:rsidR="00C86777">
        <w:t>ocean common carriers that have been identified.</w:t>
      </w:r>
      <w:r w:rsidR="002B3611">
        <w:rPr>
          <w:rStyle w:val="FootnoteReference"/>
        </w:rPr>
        <w:footnoteReference w:id="3"/>
      </w:r>
      <w:r>
        <w:t xml:space="preserve"> </w:t>
      </w:r>
      <w:r w:rsidR="002B3611">
        <w:t xml:space="preserve"> The estimated time for each filer to comply </w:t>
      </w:r>
      <w:r w:rsidR="00ED257E">
        <w:t>could be as much as</w:t>
      </w:r>
      <w:r w:rsidR="002B3611">
        <w:t xml:space="preserve"> 7 hours per year</w:t>
      </w:r>
      <w:r w:rsidR="00B86761">
        <w:t xml:space="preserve">; </w:t>
      </w:r>
      <w:r w:rsidR="00ED257E">
        <w:t xml:space="preserve">however, based upon actual filings, </w:t>
      </w:r>
      <w:r w:rsidR="00B86761">
        <w:t>the total annual burden for all r</w:t>
      </w:r>
      <w:r w:rsidR="00854935">
        <w:t xml:space="preserve">espondents is estimated to be </w:t>
      </w:r>
      <w:r w:rsidR="00ED257E">
        <w:t>7</w:t>
      </w:r>
      <w:r w:rsidR="00B86761">
        <w:t xml:space="preserve"> hours</w:t>
      </w:r>
      <w:r w:rsidR="002B3611">
        <w:t xml:space="preserve">.  The estimated time for compliance is based upon staff familiarity with carrier practices and includes consideration of, among other things, time for preparing the notifications and mailing.  It was estimated that there were potentially </w:t>
      </w:r>
      <w:r w:rsidR="002B3611" w:rsidRPr="0078343B">
        <w:t>4 types of filing each of the</w:t>
      </w:r>
      <w:r w:rsidR="000F1C6D">
        <w:t xml:space="preserve"> 4</w:t>
      </w:r>
      <w:r w:rsidR="002B3611">
        <w:t xml:space="preserve"> respondents might make in any given year.  </w:t>
      </w:r>
      <w:r w:rsidR="00ED257E">
        <w:t xml:space="preserve">Based upon </w:t>
      </w:r>
      <w:r w:rsidR="00ED257E">
        <w:lastRenderedPageBreak/>
        <w:t>actual filings, the t</w:t>
      </w:r>
      <w:r w:rsidR="002B3611">
        <w:t>otal estimated cost to the respondents, including overhead, is</w:t>
      </w:r>
      <w:r w:rsidR="000C0D78">
        <w:t xml:space="preserve"> </w:t>
      </w:r>
      <w:r w:rsidR="0011649F">
        <w:t>$1,173</w:t>
      </w:r>
      <w:r w:rsidR="00091B59">
        <w:t>.</w:t>
      </w:r>
      <w:r w:rsidR="00B86761">
        <w:t xml:space="preserve">  (See </w:t>
      </w:r>
      <w:r w:rsidR="00E9507F">
        <w:t>A</w:t>
      </w:r>
      <w:r w:rsidR="00B86761">
        <w:t>ttachment 1 for details.)</w:t>
      </w:r>
    </w:p>
    <w:p w:rsidR="00311174" w:rsidRDefault="00311174" w:rsidP="001D5B6E">
      <w:pPr>
        <w:jc w:val="both"/>
      </w:pPr>
    </w:p>
    <w:p w:rsidR="00650CCA" w:rsidRDefault="00650CCA" w:rsidP="00650CCA">
      <w:pPr>
        <w:jc w:val="both"/>
      </w:pPr>
    </w:p>
    <w:p w:rsidR="00C96645" w:rsidRDefault="00C96645" w:rsidP="00C96645">
      <w:pPr>
        <w:jc w:val="both"/>
      </w:pPr>
      <w:r>
        <w:t>13.</w:t>
      </w:r>
      <w:r>
        <w:tab/>
      </w:r>
      <w:r w:rsidR="008F0E8C">
        <w:t>There are no additional cost burdens to respondents or record</w:t>
      </w:r>
      <w:r w:rsidR="008571E8">
        <w:t>-</w:t>
      </w:r>
      <w:r w:rsidR="008F0E8C">
        <w:t>keepers other than those reported in item 12</w:t>
      </w:r>
      <w:r w:rsidR="00226C74">
        <w:t xml:space="preserve">.  </w:t>
      </w:r>
    </w:p>
    <w:p w:rsidR="00650CCA" w:rsidRDefault="00650CCA" w:rsidP="00650CCA">
      <w:pPr>
        <w:jc w:val="both"/>
      </w:pPr>
    </w:p>
    <w:p w:rsidR="00650CCA" w:rsidRDefault="00650CCA" w:rsidP="00650CCA">
      <w:pPr>
        <w:jc w:val="both"/>
      </w:pPr>
    </w:p>
    <w:p w:rsidR="00650CCA" w:rsidRPr="000821A8" w:rsidRDefault="00650CCA" w:rsidP="00650CCA">
      <w:pPr>
        <w:jc w:val="both"/>
      </w:pPr>
      <w:r>
        <w:t>14.</w:t>
      </w:r>
      <w:r>
        <w:tab/>
        <w:t xml:space="preserve">Total </w:t>
      </w:r>
      <w:r w:rsidR="002B3611">
        <w:t xml:space="preserve">estimated costs to the </w:t>
      </w:r>
      <w:r w:rsidR="008F0E8C">
        <w:t xml:space="preserve">Federal Government to review and analyze </w:t>
      </w:r>
      <w:r w:rsidR="008F0E8C" w:rsidRPr="000821A8">
        <w:t xml:space="preserve">the estimated </w:t>
      </w:r>
      <w:r w:rsidR="005D5D05">
        <w:t>4</w:t>
      </w:r>
      <w:r w:rsidR="00752E92" w:rsidRPr="000821A8">
        <w:t xml:space="preserve"> f</w:t>
      </w:r>
      <w:r w:rsidR="008F0E8C" w:rsidRPr="000821A8">
        <w:t>ilings per year is 2.</w:t>
      </w:r>
      <w:r w:rsidR="00EF40B8">
        <w:t>2</w:t>
      </w:r>
      <w:r w:rsidR="008F0E8C" w:rsidRPr="000821A8">
        <w:t xml:space="preserve">5 hours per year per filing or an estimated total of </w:t>
      </w:r>
      <w:r w:rsidR="007F6869">
        <w:t>9</w:t>
      </w:r>
      <w:r w:rsidR="008F0E8C" w:rsidRPr="000821A8">
        <w:t xml:space="preserve"> hours per year, at an estimated cost of </w:t>
      </w:r>
      <w:r w:rsidR="000C0D78" w:rsidRPr="000821A8">
        <w:t>$</w:t>
      </w:r>
      <w:r w:rsidR="00EF40B8">
        <w:t>675</w:t>
      </w:r>
      <w:r w:rsidR="000821A8" w:rsidRPr="000821A8">
        <w:t>.</w:t>
      </w:r>
      <w:r w:rsidR="00B86761">
        <w:t xml:space="preserve">  (See Attachment 2 for details.)</w:t>
      </w:r>
    </w:p>
    <w:p w:rsidR="00650CCA" w:rsidRDefault="00650CCA" w:rsidP="00650CCA">
      <w:pPr>
        <w:jc w:val="both"/>
      </w:pPr>
    </w:p>
    <w:p w:rsidR="00650CCA" w:rsidRDefault="00650CCA" w:rsidP="00650CCA">
      <w:pPr>
        <w:jc w:val="both"/>
      </w:pPr>
    </w:p>
    <w:p w:rsidR="00650CCA" w:rsidRDefault="00650CCA" w:rsidP="00650CCA">
      <w:pPr>
        <w:jc w:val="both"/>
      </w:pPr>
      <w:r>
        <w:t>15.</w:t>
      </w:r>
      <w:r>
        <w:tab/>
      </w:r>
      <w:r w:rsidR="005E73EE">
        <w:t>The</w:t>
      </w:r>
      <w:r w:rsidR="007F6869">
        <w:t xml:space="preserve">re has been no change to the </w:t>
      </w:r>
      <w:r w:rsidR="005E73EE">
        <w:t>burden estimate</w:t>
      </w:r>
      <w:r w:rsidR="007F6869">
        <w:t>.</w:t>
      </w:r>
    </w:p>
    <w:p w:rsidR="00650CCA" w:rsidRDefault="00650CCA" w:rsidP="00650CCA">
      <w:pPr>
        <w:jc w:val="both"/>
      </w:pPr>
    </w:p>
    <w:p w:rsidR="00650CCA" w:rsidRDefault="00650CCA" w:rsidP="00650CCA">
      <w:pPr>
        <w:jc w:val="both"/>
      </w:pPr>
    </w:p>
    <w:p w:rsidR="00770F8D" w:rsidRPr="00770F8D" w:rsidRDefault="00770F8D" w:rsidP="00770F8D">
      <w:r w:rsidRPr="00770F8D">
        <w:t>16.</w:t>
      </w:r>
      <w:r>
        <w:tab/>
      </w:r>
      <w:r w:rsidRPr="00770F8D">
        <w:t>The Commission does not intend to publish any information collected under this regulation.</w:t>
      </w:r>
    </w:p>
    <w:p w:rsidR="00770F8D" w:rsidRPr="00770F8D" w:rsidRDefault="00770F8D" w:rsidP="00770F8D"/>
    <w:p w:rsidR="00770F8D" w:rsidRDefault="00770F8D" w:rsidP="00770F8D"/>
    <w:p w:rsidR="00770F8D" w:rsidRPr="00770F8D" w:rsidRDefault="00770F8D" w:rsidP="00770F8D">
      <w:r w:rsidRPr="00770F8D">
        <w:t>17.</w:t>
      </w:r>
      <w:r>
        <w:tab/>
      </w:r>
      <w:r w:rsidRPr="00770F8D">
        <w:t>The Commission is not seeking approval to exclude the display of the expiration date for OMB approval of this information collection.</w:t>
      </w:r>
    </w:p>
    <w:p w:rsidR="00770F8D" w:rsidRPr="00770F8D" w:rsidRDefault="00770F8D" w:rsidP="00770F8D"/>
    <w:p w:rsidR="00770F8D" w:rsidRDefault="00770F8D" w:rsidP="00770F8D"/>
    <w:p w:rsidR="00770F8D" w:rsidRPr="00770F8D" w:rsidRDefault="00770F8D" w:rsidP="00770F8D">
      <w:r w:rsidRPr="00770F8D">
        <w:t>18.</w:t>
      </w:r>
      <w:r>
        <w:tab/>
      </w:r>
      <w:r w:rsidRPr="00770F8D">
        <w:t xml:space="preserve">The Commission proposes no exception to the certification statement identified on OMB form 83-I.  </w:t>
      </w:r>
    </w:p>
    <w:p w:rsidR="00650CCA" w:rsidRDefault="00650CCA" w:rsidP="00650CCA">
      <w:pPr>
        <w:jc w:val="both"/>
      </w:pPr>
    </w:p>
    <w:p w:rsidR="00650CCA" w:rsidRDefault="00650CCA" w:rsidP="00650CCA">
      <w:pPr>
        <w:jc w:val="both"/>
      </w:pPr>
    </w:p>
    <w:p w:rsidR="00650CCA" w:rsidRDefault="00650CCA" w:rsidP="00650CCA">
      <w:pPr>
        <w:jc w:val="both"/>
      </w:pPr>
      <w:r>
        <w:rPr>
          <w:b/>
        </w:rPr>
        <w:t>B.</w:t>
      </w:r>
      <w:r>
        <w:rPr>
          <w:b/>
        </w:rPr>
        <w:tab/>
        <w:t>Collections of Information Employing Statistical Methods</w:t>
      </w:r>
    </w:p>
    <w:p w:rsidR="00650CCA" w:rsidRDefault="00650CCA" w:rsidP="00650CCA">
      <w:pPr>
        <w:jc w:val="both"/>
      </w:pPr>
    </w:p>
    <w:p w:rsidR="00B86761" w:rsidRDefault="00650CCA" w:rsidP="00650CCA">
      <w:pPr>
        <w:jc w:val="both"/>
      </w:pPr>
      <w:r>
        <w:tab/>
        <w:t>This collection of information does not employ statistical methods.</w:t>
      </w:r>
    </w:p>
    <w:p w:rsidR="00FA1748" w:rsidRPr="00FA1748" w:rsidRDefault="00B86761" w:rsidP="00FA1748">
      <w:pPr>
        <w:jc w:val="right"/>
        <w:rPr>
          <w:b/>
        </w:rPr>
      </w:pPr>
      <w:r>
        <w:br w:type="page"/>
      </w:r>
      <w:r w:rsidR="00FA1748">
        <w:rPr>
          <w:b/>
        </w:rPr>
        <w:lastRenderedPageBreak/>
        <w:t>ATTACHMENT 1</w:t>
      </w:r>
    </w:p>
    <w:p w:rsidR="00FA1748" w:rsidRDefault="00FA1748" w:rsidP="00FA1748">
      <w:pPr>
        <w:jc w:val="both"/>
      </w:pPr>
    </w:p>
    <w:p w:rsidR="00FA1748" w:rsidRPr="00D721B2" w:rsidRDefault="00FA1748" w:rsidP="00FA1748">
      <w:pPr>
        <w:jc w:val="both"/>
        <w:rPr>
          <w:b/>
        </w:rPr>
      </w:pPr>
      <w:r w:rsidRPr="00D721B2">
        <w:rPr>
          <w:b/>
        </w:rPr>
        <w:t>12.</w:t>
      </w:r>
      <w:r w:rsidRPr="00D721B2">
        <w:rPr>
          <w:b/>
        </w:rPr>
        <w:tab/>
        <w:t>Estimated Burden and Costs, Including Overhead, to Respondents</w:t>
      </w:r>
    </w:p>
    <w:p w:rsidR="00FA1748" w:rsidRDefault="00FA1748" w:rsidP="00FA1748">
      <w:pPr>
        <w:jc w:val="both"/>
      </w:pPr>
    </w:p>
    <w:p w:rsidR="00FA1748" w:rsidRDefault="00FA1748" w:rsidP="00FA1748">
      <w:pPr>
        <w:ind w:firstLine="720"/>
        <w:jc w:val="both"/>
      </w:pPr>
      <w:r>
        <w:t xml:space="preserve">The following requirements are based upon </w:t>
      </w:r>
      <w:r w:rsidR="000F1C6D">
        <w:t>4</w:t>
      </w:r>
      <w:r>
        <w:t xml:space="preserve"> identified controlled carriers.  Those </w:t>
      </w:r>
      <w:r w:rsidR="000F1C6D">
        <w:t>4</w:t>
      </w:r>
      <w:r>
        <w:t xml:space="preserve"> respondents will possibly have 4 types of submissions to make; if they submit all 4 types, the total hours for filing and collection of background material is estimated to be 7 hours annually per respondent.</w:t>
      </w:r>
    </w:p>
    <w:p w:rsidR="00FA1748" w:rsidRDefault="00FA1748" w:rsidP="00FA1748">
      <w:pPr>
        <w:jc w:val="both"/>
      </w:pPr>
    </w:p>
    <w:p w:rsidR="00FA1748" w:rsidRDefault="00FA1748" w:rsidP="00FA1748">
      <w:pPr>
        <w:ind w:firstLine="720"/>
        <w:jc w:val="both"/>
      </w:pPr>
      <w:r>
        <w:t>The annual salary calculations have been formulated using the Department of Labor’s May 20</w:t>
      </w:r>
      <w:r w:rsidR="000F1C6D">
        <w:t>13</w:t>
      </w:r>
      <w:r w:rsidR="00156559">
        <w:t xml:space="preserve"> </w:t>
      </w:r>
      <w:r>
        <w:t>National Industry-Specific Occupational Employment and Wages Estimates for Water Transportation.  We have also added to the basic sa</w:t>
      </w:r>
      <w:r w:rsidR="00E87F32">
        <w:t xml:space="preserve">lary overhead </w:t>
      </w:r>
      <w:r w:rsidR="000F1C6D">
        <w:t>of 109.70%</w:t>
      </w:r>
      <w:r>
        <w:t xml:space="preserve">.  </w:t>
      </w:r>
    </w:p>
    <w:p w:rsidR="00FA1748" w:rsidRDefault="00FA1748" w:rsidP="00FA1748">
      <w:pPr>
        <w:jc w:val="both"/>
      </w:pPr>
    </w:p>
    <w:p w:rsidR="00156559" w:rsidRDefault="00156559" w:rsidP="00156559">
      <w:pPr>
        <w:jc w:val="both"/>
      </w:pPr>
      <w:r>
        <w:t>Formula:  Annual salary/2087 + overhead rate = adjusted annual salary</w:t>
      </w:r>
    </w:p>
    <w:p w:rsidR="00FA1748" w:rsidRDefault="00FA1748" w:rsidP="00FA1748">
      <w:pPr>
        <w:jc w:val="both"/>
      </w:pPr>
    </w:p>
    <w:p w:rsidR="00FA1748" w:rsidRPr="005E73EE" w:rsidRDefault="00FA1748" w:rsidP="00FA1748">
      <w:pPr>
        <w:jc w:val="both"/>
      </w:pPr>
      <w:r w:rsidRPr="005E73EE">
        <w:t>$</w:t>
      </w:r>
      <w:r w:rsidR="000F1C6D">
        <w:t>219,480</w:t>
      </w:r>
      <w:r w:rsidR="00156559">
        <w:t xml:space="preserve">/2087 =  </w:t>
      </w:r>
      <w:r>
        <w:t xml:space="preserve">+ </w:t>
      </w:r>
      <w:r w:rsidR="00156559">
        <w:t xml:space="preserve">$105.16 + 109.70% </w:t>
      </w:r>
      <w:r w:rsidRPr="005E73EE">
        <w:t xml:space="preserve">= </w:t>
      </w:r>
      <w:r w:rsidR="00156559">
        <w:t>$220.52</w:t>
      </w:r>
      <w:r w:rsidRPr="005E73EE">
        <w:t xml:space="preserve"> = CEO adjusted hourly salary</w:t>
      </w:r>
    </w:p>
    <w:p w:rsidR="00FA1748" w:rsidRPr="005E73EE" w:rsidRDefault="00FA1748" w:rsidP="00FA1748">
      <w:pPr>
        <w:jc w:val="both"/>
      </w:pPr>
    </w:p>
    <w:p w:rsidR="00FA1748" w:rsidRPr="005E73EE" w:rsidRDefault="00FA1748" w:rsidP="00FA1748">
      <w:pPr>
        <w:jc w:val="both"/>
      </w:pPr>
      <w:r w:rsidRPr="005E73EE">
        <w:t>$</w:t>
      </w:r>
      <w:r w:rsidR="00156559">
        <w:t xml:space="preserve">34,900/2087 = </w:t>
      </w:r>
      <w:r>
        <w:t xml:space="preserve">+ </w:t>
      </w:r>
      <w:r w:rsidR="00156559">
        <w:t xml:space="preserve">$16.72 + 109.70% = </w:t>
      </w:r>
      <w:r w:rsidR="000348F5">
        <w:t>$35.06</w:t>
      </w:r>
      <w:r w:rsidRPr="005E73EE">
        <w:t xml:space="preserve"> = Clerk adjusted hourly salary</w:t>
      </w:r>
    </w:p>
    <w:p w:rsidR="00FA1748" w:rsidRDefault="00FA1748" w:rsidP="00FA174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5"/>
        <w:gridCol w:w="1593"/>
        <w:gridCol w:w="1800"/>
        <w:gridCol w:w="1980"/>
        <w:gridCol w:w="2088"/>
      </w:tblGrid>
      <w:tr w:rsidR="00FA1748" w:rsidRPr="00751E3A" w:rsidTr="006C3DD0">
        <w:tc>
          <w:tcPr>
            <w:tcW w:w="2115" w:type="dxa"/>
          </w:tcPr>
          <w:p w:rsidR="00FA1748" w:rsidRPr="00751E3A" w:rsidRDefault="00FA1748" w:rsidP="006C3DD0">
            <w:pPr>
              <w:jc w:val="both"/>
              <w:rPr>
                <w:b/>
              </w:rPr>
            </w:pPr>
            <w:r w:rsidRPr="00751E3A">
              <w:rPr>
                <w:b/>
              </w:rPr>
              <w:t>Requirement</w:t>
            </w:r>
          </w:p>
        </w:tc>
        <w:tc>
          <w:tcPr>
            <w:tcW w:w="1593" w:type="dxa"/>
          </w:tcPr>
          <w:p w:rsidR="00FA1748" w:rsidRPr="00751E3A" w:rsidRDefault="002E4063" w:rsidP="006C3DD0">
            <w:pPr>
              <w:jc w:val="both"/>
              <w:rPr>
                <w:b/>
              </w:rPr>
            </w:pPr>
            <w:r>
              <w:rPr>
                <w:b/>
              </w:rPr>
              <w:t xml:space="preserve">Possible </w:t>
            </w:r>
            <w:r w:rsidR="00FA1748" w:rsidRPr="00751E3A">
              <w:rPr>
                <w:b/>
              </w:rPr>
              <w:t>Annual Respondents</w:t>
            </w:r>
          </w:p>
        </w:tc>
        <w:tc>
          <w:tcPr>
            <w:tcW w:w="1800" w:type="dxa"/>
          </w:tcPr>
          <w:p w:rsidR="00FA1748" w:rsidRPr="00751E3A" w:rsidRDefault="00FA1748" w:rsidP="006C3DD0">
            <w:pPr>
              <w:jc w:val="both"/>
              <w:rPr>
                <w:b/>
              </w:rPr>
            </w:pPr>
            <w:r w:rsidRPr="00751E3A">
              <w:rPr>
                <w:b/>
              </w:rPr>
              <w:t>Annual Filings/</w:t>
            </w:r>
          </w:p>
          <w:p w:rsidR="00FA1748" w:rsidRPr="00751E3A" w:rsidRDefault="00FA1748" w:rsidP="006C3DD0">
            <w:pPr>
              <w:jc w:val="both"/>
              <w:rPr>
                <w:b/>
              </w:rPr>
            </w:pPr>
            <w:r w:rsidRPr="00751E3A">
              <w:rPr>
                <w:b/>
              </w:rPr>
              <w:t>Responses</w:t>
            </w:r>
            <w:r w:rsidR="002E4063">
              <w:rPr>
                <w:b/>
              </w:rPr>
              <w:t xml:space="preserve"> (Based on prev. 3 years)</w:t>
            </w:r>
          </w:p>
        </w:tc>
        <w:tc>
          <w:tcPr>
            <w:tcW w:w="1980" w:type="dxa"/>
          </w:tcPr>
          <w:p w:rsidR="00FA1748" w:rsidRPr="00751E3A" w:rsidRDefault="00FA1748" w:rsidP="00B633EB">
            <w:pPr>
              <w:rPr>
                <w:b/>
              </w:rPr>
            </w:pPr>
            <w:r w:rsidRPr="00751E3A">
              <w:rPr>
                <w:b/>
              </w:rPr>
              <w:t>Average</w:t>
            </w:r>
          </w:p>
          <w:p w:rsidR="00FA1748" w:rsidRPr="00751E3A" w:rsidRDefault="00B633EB" w:rsidP="00B633EB">
            <w:pPr>
              <w:rPr>
                <w:b/>
              </w:rPr>
            </w:pPr>
            <w:r>
              <w:rPr>
                <w:b/>
              </w:rPr>
              <w:t>H</w:t>
            </w:r>
            <w:r w:rsidR="00FA1748" w:rsidRPr="00751E3A">
              <w:rPr>
                <w:b/>
              </w:rPr>
              <w:t>ours per Respondent</w:t>
            </w:r>
          </w:p>
        </w:tc>
        <w:tc>
          <w:tcPr>
            <w:tcW w:w="2088" w:type="dxa"/>
          </w:tcPr>
          <w:p w:rsidR="00FA1748" w:rsidRPr="00751E3A" w:rsidRDefault="00FA1748" w:rsidP="006C3DD0">
            <w:pPr>
              <w:jc w:val="both"/>
              <w:rPr>
                <w:b/>
              </w:rPr>
            </w:pPr>
            <w:r w:rsidRPr="00751E3A">
              <w:rPr>
                <w:b/>
              </w:rPr>
              <w:t>Total</w:t>
            </w:r>
          </w:p>
          <w:p w:rsidR="00FA1748" w:rsidRPr="00751E3A" w:rsidRDefault="00B633EB" w:rsidP="006C3DD0">
            <w:pPr>
              <w:jc w:val="both"/>
              <w:rPr>
                <w:b/>
              </w:rPr>
            </w:pPr>
            <w:r>
              <w:rPr>
                <w:b/>
              </w:rPr>
              <w:t>H</w:t>
            </w:r>
            <w:r w:rsidR="00FA1748" w:rsidRPr="00751E3A">
              <w:rPr>
                <w:b/>
              </w:rPr>
              <w:t>ours</w:t>
            </w:r>
          </w:p>
        </w:tc>
      </w:tr>
      <w:tr w:rsidR="00FA1748" w:rsidRPr="00751E3A" w:rsidTr="006C3DD0">
        <w:tc>
          <w:tcPr>
            <w:tcW w:w="2115" w:type="dxa"/>
          </w:tcPr>
          <w:p w:rsidR="00FA1748" w:rsidRPr="009D41A9" w:rsidRDefault="00FA1748" w:rsidP="006C3DD0">
            <w:pPr>
              <w:jc w:val="both"/>
            </w:pPr>
            <w:r>
              <w:t>Contest Classification</w:t>
            </w:r>
          </w:p>
        </w:tc>
        <w:tc>
          <w:tcPr>
            <w:tcW w:w="1593" w:type="dxa"/>
          </w:tcPr>
          <w:p w:rsidR="00FA1748" w:rsidRPr="009D41A9" w:rsidRDefault="00156559" w:rsidP="006C3DD0">
            <w:pPr>
              <w:jc w:val="both"/>
            </w:pPr>
            <w:r>
              <w:t>4</w:t>
            </w:r>
          </w:p>
        </w:tc>
        <w:tc>
          <w:tcPr>
            <w:tcW w:w="1800" w:type="dxa"/>
          </w:tcPr>
          <w:p w:rsidR="00FA1748" w:rsidRPr="00B45318" w:rsidRDefault="00FA1748" w:rsidP="006C3DD0">
            <w:pPr>
              <w:jc w:val="both"/>
            </w:pPr>
            <w:r>
              <w:t>1</w:t>
            </w:r>
          </w:p>
        </w:tc>
        <w:tc>
          <w:tcPr>
            <w:tcW w:w="1980" w:type="dxa"/>
          </w:tcPr>
          <w:p w:rsidR="00FA1748" w:rsidRPr="00B45318" w:rsidRDefault="00FA1748" w:rsidP="006C3DD0">
            <w:pPr>
              <w:jc w:val="both"/>
            </w:pPr>
            <w:r>
              <w:t>2</w:t>
            </w:r>
          </w:p>
        </w:tc>
        <w:tc>
          <w:tcPr>
            <w:tcW w:w="2088" w:type="dxa"/>
          </w:tcPr>
          <w:p w:rsidR="00FA1748" w:rsidRPr="00B45318" w:rsidRDefault="002E4063" w:rsidP="006C3DD0">
            <w:pPr>
              <w:jc w:val="both"/>
            </w:pPr>
            <w:r>
              <w:t>2</w:t>
            </w:r>
          </w:p>
        </w:tc>
      </w:tr>
      <w:tr w:rsidR="00FA1748" w:rsidRPr="00751E3A" w:rsidTr="006C3DD0">
        <w:tc>
          <w:tcPr>
            <w:tcW w:w="2115" w:type="dxa"/>
          </w:tcPr>
          <w:p w:rsidR="00FA1748" w:rsidRPr="00B45318" w:rsidRDefault="00FA1748" w:rsidP="006C3DD0">
            <w:pPr>
              <w:jc w:val="both"/>
            </w:pPr>
            <w:r>
              <w:t>Change operations</w:t>
            </w:r>
          </w:p>
        </w:tc>
        <w:tc>
          <w:tcPr>
            <w:tcW w:w="1593" w:type="dxa"/>
          </w:tcPr>
          <w:p w:rsidR="00FA1748" w:rsidRPr="00B45318" w:rsidRDefault="00156559" w:rsidP="006C3DD0">
            <w:pPr>
              <w:jc w:val="both"/>
            </w:pPr>
            <w:r>
              <w:t>4</w:t>
            </w:r>
          </w:p>
        </w:tc>
        <w:tc>
          <w:tcPr>
            <w:tcW w:w="1800" w:type="dxa"/>
          </w:tcPr>
          <w:p w:rsidR="00FA1748" w:rsidRPr="00B45318" w:rsidRDefault="00FA1748" w:rsidP="006C3DD0">
            <w:pPr>
              <w:jc w:val="both"/>
            </w:pPr>
            <w:r>
              <w:t>1</w:t>
            </w:r>
          </w:p>
        </w:tc>
        <w:tc>
          <w:tcPr>
            <w:tcW w:w="1980" w:type="dxa"/>
          </w:tcPr>
          <w:p w:rsidR="00FA1748" w:rsidRPr="00B45318" w:rsidRDefault="00FA1748" w:rsidP="006C3DD0">
            <w:pPr>
              <w:jc w:val="both"/>
            </w:pPr>
            <w:r>
              <w:t>2</w:t>
            </w:r>
          </w:p>
        </w:tc>
        <w:tc>
          <w:tcPr>
            <w:tcW w:w="2088" w:type="dxa"/>
          </w:tcPr>
          <w:p w:rsidR="00FA1748" w:rsidRPr="00B45318" w:rsidRDefault="002E4063" w:rsidP="006C3DD0">
            <w:pPr>
              <w:jc w:val="both"/>
            </w:pPr>
            <w:r>
              <w:t>2</w:t>
            </w:r>
          </w:p>
        </w:tc>
      </w:tr>
      <w:tr w:rsidR="00FA1748" w:rsidRPr="00751E3A" w:rsidTr="006C3DD0">
        <w:tc>
          <w:tcPr>
            <w:tcW w:w="2115" w:type="dxa"/>
          </w:tcPr>
          <w:p w:rsidR="00FA1748" w:rsidRPr="00B45318" w:rsidRDefault="00FA1748" w:rsidP="006C3DD0">
            <w:pPr>
              <w:jc w:val="both"/>
            </w:pPr>
            <w:r>
              <w:t>File Justification</w:t>
            </w:r>
          </w:p>
        </w:tc>
        <w:tc>
          <w:tcPr>
            <w:tcW w:w="1593" w:type="dxa"/>
          </w:tcPr>
          <w:p w:rsidR="00FA1748" w:rsidRPr="00B45318" w:rsidRDefault="00156559" w:rsidP="006C3DD0">
            <w:pPr>
              <w:jc w:val="both"/>
            </w:pPr>
            <w:r>
              <w:t>4</w:t>
            </w:r>
          </w:p>
        </w:tc>
        <w:tc>
          <w:tcPr>
            <w:tcW w:w="1800" w:type="dxa"/>
          </w:tcPr>
          <w:p w:rsidR="00FA1748" w:rsidRPr="00B45318" w:rsidRDefault="00FA1748" w:rsidP="006C3DD0">
            <w:pPr>
              <w:jc w:val="both"/>
            </w:pPr>
            <w:r>
              <w:t>1</w:t>
            </w:r>
          </w:p>
        </w:tc>
        <w:tc>
          <w:tcPr>
            <w:tcW w:w="1980" w:type="dxa"/>
          </w:tcPr>
          <w:p w:rsidR="00FA1748" w:rsidRPr="00B45318" w:rsidRDefault="002E4063" w:rsidP="006C3DD0">
            <w:pPr>
              <w:jc w:val="both"/>
            </w:pPr>
            <w:r>
              <w:t>2</w:t>
            </w:r>
          </w:p>
        </w:tc>
        <w:tc>
          <w:tcPr>
            <w:tcW w:w="2088" w:type="dxa"/>
          </w:tcPr>
          <w:p w:rsidR="00FA1748" w:rsidRPr="00B45318" w:rsidRDefault="002E4063" w:rsidP="006C3DD0">
            <w:pPr>
              <w:jc w:val="both"/>
            </w:pPr>
            <w:r>
              <w:t>2</w:t>
            </w:r>
          </w:p>
        </w:tc>
      </w:tr>
      <w:tr w:rsidR="00FA1748" w:rsidRPr="00751E3A" w:rsidTr="006C3DD0">
        <w:tc>
          <w:tcPr>
            <w:tcW w:w="2115" w:type="dxa"/>
          </w:tcPr>
          <w:p w:rsidR="00FA1748" w:rsidRPr="00B45318" w:rsidRDefault="00FA1748" w:rsidP="006C3DD0">
            <w:pPr>
              <w:jc w:val="both"/>
            </w:pPr>
            <w:r>
              <w:t>Submit Letter</w:t>
            </w:r>
          </w:p>
        </w:tc>
        <w:tc>
          <w:tcPr>
            <w:tcW w:w="1593" w:type="dxa"/>
          </w:tcPr>
          <w:p w:rsidR="00FA1748" w:rsidRPr="00B45318" w:rsidRDefault="00156559" w:rsidP="006C3DD0">
            <w:pPr>
              <w:jc w:val="both"/>
            </w:pPr>
            <w:r>
              <w:t>4</w:t>
            </w:r>
          </w:p>
        </w:tc>
        <w:tc>
          <w:tcPr>
            <w:tcW w:w="1800" w:type="dxa"/>
          </w:tcPr>
          <w:p w:rsidR="00FA1748" w:rsidRPr="00B45318" w:rsidRDefault="00FA1748" w:rsidP="006C3DD0">
            <w:pPr>
              <w:jc w:val="both"/>
            </w:pPr>
            <w:r>
              <w:t>1</w:t>
            </w:r>
          </w:p>
        </w:tc>
        <w:tc>
          <w:tcPr>
            <w:tcW w:w="1980" w:type="dxa"/>
          </w:tcPr>
          <w:p w:rsidR="00FA1748" w:rsidRPr="00B45318" w:rsidRDefault="00FA1748" w:rsidP="006C3DD0">
            <w:pPr>
              <w:jc w:val="both"/>
            </w:pPr>
            <w:r>
              <w:t>1</w:t>
            </w:r>
          </w:p>
        </w:tc>
        <w:tc>
          <w:tcPr>
            <w:tcW w:w="2088" w:type="dxa"/>
          </w:tcPr>
          <w:p w:rsidR="00FA1748" w:rsidRPr="00B45318" w:rsidRDefault="002E4063" w:rsidP="002E4063">
            <w:pPr>
              <w:jc w:val="both"/>
            </w:pPr>
            <w:r>
              <w:t>1</w:t>
            </w:r>
          </w:p>
        </w:tc>
      </w:tr>
      <w:tr w:rsidR="00FA1748" w:rsidRPr="00751E3A" w:rsidTr="006C3DD0">
        <w:tc>
          <w:tcPr>
            <w:tcW w:w="2115" w:type="dxa"/>
          </w:tcPr>
          <w:p w:rsidR="00FA1748" w:rsidRPr="00751E3A" w:rsidRDefault="00FA1748" w:rsidP="006C3DD0">
            <w:pPr>
              <w:jc w:val="both"/>
              <w:rPr>
                <w:b/>
              </w:rPr>
            </w:pPr>
            <w:r w:rsidRPr="00751E3A">
              <w:rPr>
                <w:b/>
              </w:rPr>
              <w:t>TOTALS</w:t>
            </w:r>
          </w:p>
        </w:tc>
        <w:tc>
          <w:tcPr>
            <w:tcW w:w="1593" w:type="dxa"/>
          </w:tcPr>
          <w:p w:rsidR="00FA1748" w:rsidRPr="00751E3A" w:rsidRDefault="000348F5" w:rsidP="006C3DD0">
            <w:pPr>
              <w:jc w:val="both"/>
              <w:rPr>
                <w:b/>
              </w:rPr>
            </w:pPr>
            <w:r>
              <w:rPr>
                <w:b/>
              </w:rPr>
              <w:t>16</w:t>
            </w:r>
          </w:p>
        </w:tc>
        <w:tc>
          <w:tcPr>
            <w:tcW w:w="1800" w:type="dxa"/>
          </w:tcPr>
          <w:p w:rsidR="00FA1748" w:rsidRPr="00751E3A" w:rsidRDefault="00FA1748" w:rsidP="006C3DD0">
            <w:pPr>
              <w:jc w:val="both"/>
              <w:rPr>
                <w:b/>
              </w:rPr>
            </w:pPr>
            <w:r w:rsidRPr="00751E3A">
              <w:rPr>
                <w:b/>
              </w:rPr>
              <w:t>4</w:t>
            </w:r>
          </w:p>
        </w:tc>
        <w:tc>
          <w:tcPr>
            <w:tcW w:w="1980" w:type="dxa"/>
          </w:tcPr>
          <w:p w:rsidR="00FA1748" w:rsidRPr="00751E3A" w:rsidRDefault="00FA1748" w:rsidP="006C3DD0">
            <w:pPr>
              <w:jc w:val="both"/>
              <w:rPr>
                <w:b/>
              </w:rPr>
            </w:pPr>
            <w:r w:rsidRPr="00751E3A">
              <w:rPr>
                <w:b/>
              </w:rPr>
              <w:t>7</w:t>
            </w:r>
          </w:p>
        </w:tc>
        <w:tc>
          <w:tcPr>
            <w:tcW w:w="2088" w:type="dxa"/>
          </w:tcPr>
          <w:p w:rsidR="00FA1748" w:rsidRPr="00751E3A" w:rsidRDefault="002E4063" w:rsidP="006C3DD0">
            <w:pPr>
              <w:jc w:val="both"/>
              <w:rPr>
                <w:b/>
              </w:rPr>
            </w:pPr>
            <w:r>
              <w:rPr>
                <w:b/>
              </w:rPr>
              <w:t>7</w:t>
            </w:r>
          </w:p>
        </w:tc>
      </w:tr>
    </w:tbl>
    <w:p w:rsidR="00FA1748" w:rsidRDefault="00FA1748" w:rsidP="00FA1748">
      <w:pPr>
        <w:jc w:val="both"/>
        <w:rPr>
          <w:b/>
        </w:rPr>
      </w:pPr>
    </w:p>
    <w:p w:rsidR="00FA1748" w:rsidRDefault="00FA1748" w:rsidP="00FA1748">
      <w:pPr>
        <w:jc w:val="both"/>
        <w:rPr>
          <w:b/>
        </w:rPr>
      </w:pPr>
      <w:r>
        <w:rPr>
          <w:b/>
        </w:rPr>
        <w:t>Burden and Cost Per Respondent:</w:t>
      </w:r>
    </w:p>
    <w:p w:rsidR="00FA1748" w:rsidRDefault="00FA1748" w:rsidP="00FA1748">
      <w:pPr>
        <w:jc w:val="both"/>
      </w:pPr>
      <w:r>
        <w:t>Per 2 hour filing:</w:t>
      </w:r>
    </w:p>
    <w:p w:rsidR="00FA1748" w:rsidRDefault="00FA1748" w:rsidP="00FA1748">
      <w:pPr>
        <w:jc w:val="both"/>
      </w:pPr>
      <w:r>
        <w:t xml:space="preserve">CEO:  1.5 hours X </w:t>
      </w:r>
      <w:r w:rsidR="000348F5">
        <w:t>220.52</w:t>
      </w:r>
      <w:r>
        <w:t xml:space="preserve"> = $</w:t>
      </w:r>
      <w:r w:rsidR="000348F5">
        <w:t>330.78</w:t>
      </w:r>
    </w:p>
    <w:p w:rsidR="00FA1748" w:rsidRDefault="00FA1748" w:rsidP="00FA1748">
      <w:pPr>
        <w:jc w:val="both"/>
      </w:pPr>
      <w:r>
        <w:t xml:space="preserve">Clerk:   .5 hours X </w:t>
      </w:r>
      <w:r w:rsidR="000348F5">
        <w:t>35.06</w:t>
      </w:r>
      <w:r>
        <w:t xml:space="preserve"> = $    </w:t>
      </w:r>
      <w:r w:rsidR="000348F5">
        <w:t>17.53</w:t>
      </w:r>
    </w:p>
    <w:p w:rsidR="00FA1748" w:rsidRDefault="000348F5" w:rsidP="00FA1748">
      <w:pPr>
        <w:jc w:val="both"/>
      </w:pPr>
      <w:r>
        <w:t>Total:</w:t>
      </w:r>
      <w:r>
        <w:tab/>
      </w:r>
      <w:r>
        <w:tab/>
      </w:r>
      <w:r>
        <w:tab/>
        <w:t xml:space="preserve">          </w:t>
      </w:r>
      <w:r w:rsidR="00FA1748">
        <w:t>$</w:t>
      </w:r>
      <w:r>
        <w:t>348.31</w:t>
      </w:r>
      <w:r w:rsidR="00FA1748">
        <w:t xml:space="preserve"> X 3 filings per year = $</w:t>
      </w:r>
      <w:r w:rsidR="0011649F">
        <w:t>1,044.93</w:t>
      </w:r>
    </w:p>
    <w:p w:rsidR="00FA1748" w:rsidRDefault="00FA1748" w:rsidP="00FA1748">
      <w:pPr>
        <w:jc w:val="both"/>
      </w:pPr>
    </w:p>
    <w:p w:rsidR="00FA1748" w:rsidRDefault="00FA1748" w:rsidP="00FA1748">
      <w:pPr>
        <w:jc w:val="both"/>
      </w:pPr>
      <w:r>
        <w:t>Per 1 hour filing:</w:t>
      </w:r>
    </w:p>
    <w:p w:rsidR="00FA1748" w:rsidRDefault="00FA1748" w:rsidP="00FA1748">
      <w:pPr>
        <w:jc w:val="both"/>
      </w:pPr>
      <w:r>
        <w:t xml:space="preserve">CEO:    .5 hours X </w:t>
      </w:r>
      <w:r w:rsidR="000348F5">
        <w:t>220.52</w:t>
      </w:r>
      <w:r>
        <w:t xml:space="preserve"> = $</w:t>
      </w:r>
      <w:r w:rsidR="000348F5">
        <w:t>110.26</w:t>
      </w:r>
    </w:p>
    <w:p w:rsidR="00FA1748" w:rsidRDefault="00FA1748" w:rsidP="00FA1748">
      <w:pPr>
        <w:jc w:val="both"/>
      </w:pPr>
      <w:r>
        <w:t xml:space="preserve">Clerk:    .5 hours X </w:t>
      </w:r>
      <w:r w:rsidR="000348F5">
        <w:t>35.06</w:t>
      </w:r>
      <w:r>
        <w:t xml:space="preserve"> =  $</w:t>
      </w:r>
      <w:r w:rsidR="000348F5">
        <w:t>17.53</w:t>
      </w:r>
    </w:p>
    <w:p w:rsidR="00FA1748" w:rsidRDefault="00FA1748" w:rsidP="00FA1748">
      <w:pPr>
        <w:jc w:val="both"/>
      </w:pPr>
      <w:r>
        <w:t>Total:</w:t>
      </w:r>
      <w:r>
        <w:tab/>
      </w:r>
      <w:r>
        <w:tab/>
      </w:r>
      <w:r>
        <w:tab/>
      </w:r>
      <w:r>
        <w:tab/>
        <w:t>$</w:t>
      </w:r>
      <w:r w:rsidR="0011649F">
        <w:t>127.79</w:t>
      </w:r>
      <w:r>
        <w:t xml:space="preserve"> X 1 filing per year = $</w:t>
      </w:r>
      <w:r w:rsidR="0011649F">
        <w:t>127.79</w:t>
      </w:r>
    </w:p>
    <w:p w:rsidR="00FA1748" w:rsidRDefault="00FA1748" w:rsidP="00FA1748">
      <w:pPr>
        <w:jc w:val="both"/>
      </w:pPr>
    </w:p>
    <w:p w:rsidR="00FA1748" w:rsidRDefault="00ED257E" w:rsidP="00FA1748">
      <w:pPr>
        <w:jc w:val="both"/>
      </w:pPr>
      <w:r>
        <w:t>Based upon total actual filings, the t</w:t>
      </w:r>
      <w:r w:rsidR="00FA1748">
        <w:t>otal cost per year per Respondent</w:t>
      </w:r>
      <w:r>
        <w:t xml:space="preserve"> amounts to</w:t>
      </w:r>
      <w:r w:rsidR="00FA1748">
        <w:t>:  $</w:t>
      </w:r>
      <w:r w:rsidR="0011649F">
        <w:t>1,172.72</w:t>
      </w:r>
    </w:p>
    <w:p w:rsidR="00FA1748" w:rsidRDefault="00FA1748" w:rsidP="00FA1748">
      <w:pPr>
        <w:jc w:val="right"/>
        <w:rPr>
          <w:b/>
        </w:rPr>
      </w:pPr>
      <w:r>
        <w:rPr>
          <w:b/>
        </w:rPr>
        <w:br w:type="page"/>
      </w:r>
      <w:r>
        <w:rPr>
          <w:b/>
        </w:rPr>
        <w:lastRenderedPageBreak/>
        <w:t>ATTACHMENT 2</w:t>
      </w:r>
    </w:p>
    <w:p w:rsidR="00FA1748" w:rsidRDefault="00FA1748" w:rsidP="00FA1748">
      <w:pPr>
        <w:jc w:val="both"/>
        <w:rPr>
          <w:b/>
        </w:rPr>
      </w:pPr>
    </w:p>
    <w:p w:rsidR="00FA1748" w:rsidRDefault="00FA1748" w:rsidP="00FA1748">
      <w:pPr>
        <w:jc w:val="both"/>
        <w:rPr>
          <w:b/>
        </w:rPr>
      </w:pPr>
      <w:r>
        <w:rPr>
          <w:b/>
        </w:rPr>
        <w:t>14.</w:t>
      </w:r>
      <w:r>
        <w:rPr>
          <w:b/>
        </w:rPr>
        <w:tab/>
        <w:t>Estimated Burden and Costs, Including Overhead, to Federal Government</w:t>
      </w:r>
    </w:p>
    <w:p w:rsidR="00FA1748" w:rsidRDefault="00FA1748" w:rsidP="00FA1748">
      <w:pPr>
        <w:jc w:val="both"/>
        <w:rPr>
          <w:b/>
        </w:rPr>
      </w:pPr>
    </w:p>
    <w:p w:rsidR="0011649F" w:rsidRDefault="0011649F" w:rsidP="0011649F">
      <w:pPr>
        <w:jc w:val="both"/>
      </w:pPr>
      <w:r>
        <w:t xml:space="preserve">The annual salary calculations have been formulated using the Federal Government’s March 2014 salary table (overhead of 109.70% has been added to the basic salary).  </w:t>
      </w:r>
    </w:p>
    <w:p w:rsidR="00FA1748" w:rsidRDefault="00FA1748" w:rsidP="00FA1748">
      <w:pPr>
        <w:jc w:val="both"/>
      </w:pPr>
    </w:p>
    <w:p w:rsidR="00FA1748" w:rsidRDefault="00FA1748" w:rsidP="00FA1748">
      <w:pPr>
        <w:jc w:val="both"/>
      </w:pPr>
      <w:r>
        <w:t xml:space="preserve">Attorney GS </w:t>
      </w:r>
      <w:r w:rsidR="0011649F">
        <w:t>12/3</w:t>
      </w:r>
      <w:r>
        <w:t xml:space="preserve"> </w:t>
      </w:r>
    </w:p>
    <w:p w:rsidR="00FA1748" w:rsidRDefault="00FA1748" w:rsidP="00FA1748">
      <w:pPr>
        <w:jc w:val="both"/>
      </w:pPr>
      <w:r>
        <w:t>$</w:t>
      </w:r>
      <w:r w:rsidR="0011649F">
        <w:t>74,130/2087</w:t>
      </w:r>
      <w:r w:rsidR="00EF40B8">
        <w:t xml:space="preserve"> = $35.51</w:t>
      </w:r>
      <w:r>
        <w:t xml:space="preserve"> + </w:t>
      </w:r>
      <w:r w:rsidR="00EF40B8">
        <w:t xml:space="preserve">109.70% </w:t>
      </w:r>
      <w:r>
        <w:t>=  $</w:t>
      </w:r>
      <w:r w:rsidR="00EF40B8">
        <w:t>74.46</w:t>
      </w:r>
      <w:r>
        <w:t xml:space="preserve"> adjusted hourly salary</w:t>
      </w:r>
    </w:p>
    <w:p w:rsidR="00EF40B8" w:rsidRDefault="00EF40B8" w:rsidP="00FA1748">
      <w:pPr>
        <w:jc w:val="both"/>
      </w:pPr>
    </w:p>
    <w:p w:rsidR="00FA1748" w:rsidRDefault="00FA1748" w:rsidP="00FA1748">
      <w:pPr>
        <w:jc w:val="both"/>
      </w:pPr>
      <w:r>
        <w:t>Pr</w:t>
      </w:r>
      <w:r w:rsidR="0011649F">
        <w:t>ogram Support Specialist GS 12/5</w:t>
      </w:r>
    </w:p>
    <w:p w:rsidR="00FA1748" w:rsidRDefault="00FA1748" w:rsidP="00FA1748">
      <w:pPr>
        <w:jc w:val="both"/>
      </w:pPr>
      <w:r>
        <w:t>$</w:t>
      </w:r>
      <w:r w:rsidR="0011649F">
        <w:t>78,762</w:t>
      </w:r>
      <w:r w:rsidR="00EF40B8">
        <w:t xml:space="preserve">/2087 = $37.73 </w:t>
      </w:r>
      <w:r>
        <w:t xml:space="preserve">+ </w:t>
      </w:r>
      <w:r w:rsidR="00EF40B8">
        <w:t>109.70%</w:t>
      </w:r>
      <w:r>
        <w:t xml:space="preserve"> = $</w:t>
      </w:r>
      <w:r w:rsidR="00EF40B8">
        <w:t>79.11</w:t>
      </w:r>
      <w:r>
        <w:t xml:space="preserve"> adjusted hourly salary</w:t>
      </w:r>
    </w:p>
    <w:p w:rsidR="00FA1748" w:rsidRDefault="00FA1748" w:rsidP="00FA1748">
      <w:pPr>
        <w:jc w:val="both"/>
      </w:pPr>
    </w:p>
    <w:p w:rsidR="00FA1748" w:rsidRDefault="00FA1748" w:rsidP="00FA1748">
      <w:pPr>
        <w:jc w:val="both"/>
      </w:pPr>
      <w:r>
        <w:t>Estimated cost to the Federal Government:</w:t>
      </w:r>
    </w:p>
    <w:p w:rsidR="00FA1748" w:rsidRDefault="00FA1748" w:rsidP="00FA1748">
      <w:pPr>
        <w:jc w:val="both"/>
      </w:pPr>
    </w:p>
    <w:p w:rsidR="00FA1748" w:rsidRDefault="00FA1748" w:rsidP="00FA1748">
      <w:pPr>
        <w:jc w:val="both"/>
      </w:pPr>
      <w:r>
        <w:t>Attorney:  2 hours per filing X 1 filing = $</w:t>
      </w:r>
      <w:r w:rsidR="00E87F32">
        <w:t>1</w:t>
      </w:r>
      <w:r w:rsidR="00EF40B8">
        <w:t>48.92</w:t>
      </w:r>
      <w:r>
        <w:t xml:space="preserve"> X </w:t>
      </w:r>
      <w:r w:rsidR="00ED257E">
        <w:t>4</w:t>
      </w:r>
      <w:r>
        <w:t xml:space="preserve"> filings per year = $</w:t>
      </w:r>
      <w:r w:rsidR="00EF40B8">
        <w:t>595.68</w:t>
      </w:r>
    </w:p>
    <w:p w:rsidR="00FA1748" w:rsidRDefault="00FA1748" w:rsidP="00FA1748">
      <w:pPr>
        <w:jc w:val="both"/>
      </w:pPr>
      <w:r>
        <w:t>Program Assistant:  .25 hours per filing X 1 filing = $1</w:t>
      </w:r>
      <w:r w:rsidR="00EF40B8">
        <w:t>9.77</w:t>
      </w:r>
      <w:r>
        <w:t xml:space="preserve"> X </w:t>
      </w:r>
      <w:r w:rsidR="00EF40B8">
        <w:t>4</w:t>
      </w:r>
      <w:r>
        <w:t xml:space="preserve"> filings per year = $</w:t>
      </w:r>
      <w:r w:rsidR="00EF40B8">
        <w:t>79.08</w:t>
      </w:r>
    </w:p>
    <w:p w:rsidR="00FA1748" w:rsidRDefault="00FA1748" w:rsidP="00FA1748">
      <w:pPr>
        <w:jc w:val="both"/>
      </w:pPr>
    </w:p>
    <w:p w:rsidR="00FA1748" w:rsidRPr="006A7FB7" w:rsidRDefault="00FA1748" w:rsidP="00FA1748">
      <w:pPr>
        <w:jc w:val="both"/>
        <w:rPr>
          <w:b/>
        </w:rPr>
      </w:pPr>
      <w:r>
        <w:rPr>
          <w:b/>
        </w:rPr>
        <w:t>Total per year $</w:t>
      </w:r>
      <w:r w:rsidR="00EF40B8">
        <w:rPr>
          <w:b/>
        </w:rPr>
        <w:t>674.76</w:t>
      </w:r>
    </w:p>
    <w:p w:rsidR="00FA1748" w:rsidRPr="00D54122" w:rsidRDefault="00FA1748" w:rsidP="00FA1748">
      <w:pPr>
        <w:jc w:val="both"/>
      </w:pPr>
    </w:p>
    <w:p w:rsidR="00FA1748" w:rsidRDefault="00FA1748" w:rsidP="00FA1748"/>
    <w:p w:rsidR="00B86761" w:rsidRDefault="00FA1748" w:rsidP="00FA1748">
      <w:pPr>
        <w:jc w:val="right"/>
      </w:pPr>
      <w:r>
        <w:t xml:space="preserve"> </w:t>
      </w:r>
    </w:p>
    <w:p w:rsidR="00650CCA" w:rsidRDefault="00650CCA" w:rsidP="00650CCA">
      <w:pPr>
        <w:jc w:val="both"/>
      </w:pPr>
    </w:p>
    <w:sectPr w:rsidR="00650CCA" w:rsidSect="00B86761">
      <w:pgSz w:w="12240" w:h="15840"/>
      <w:pgMar w:top="1440" w:right="1152" w:bottom="144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0B8" w:rsidRDefault="00EF40B8">
      <w:r>
        <w:separator/>
      </w:r>
    </w:p>
  </w:endnote>
  <w:endnote w:type="continuationSeparator" w:id="1">
    <w:p w:rsidR="00EF40B8" w:rsidRDefault="00EF40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0B8" w:rsidRDefault="00EF40B8">
      <w:r>
        <w:separator/>
      </w:r>
    </w:p>
  </w:footnote>
  <w:footnote w:type="continuationSeparator" w:id="1">
    <w:p w:rsidR="00EF40B8" w:rsidRDefault="00EF40B8">
      <w:r>
        <w:continuationSeparator/>
      </w:r>
    </w:p>
  </w:footnote>
  <w:footnote w:id="2">
    <w:p w:rsidR="00EF40B8" w:rsidRDefault="00EF40B8" w:rsidP="002E4063">
      <w:pPr>
        <w:pStyle w:val="FootnoteText"/>
        <w:jc w:val="both"/>
      </w:pPr>
      <w:r>
        <w:rPr>
          <w:rStyle w:val="FootnoteReference"/>
        </w:rPr>
        <w:footnoteRef/>
      </w:r>
      <w:r>
        <w:t xml:space="preserve"> While the potential respondent universe consists of 24 ocean common carriers, only 4 are identified and classified as controlled carriers.  The other 20 ocean common carriers are not owned or controlled by a foreign government, but could become so at any time.  </w:t>
      </w:r>
    </w:p>
  </w:footnote>
  <w:footnote w:id="3">
    <w:p w:rsidR="00EF40B8" w:rsidRDefault="00EF40B8" w:rsidP="00FA1748">
      <w:pPr>
        <w:pStyle w:val="FootnoteText"/>
        <w:jc w:val="both"/>
      </w:pPr>
      <w:r>
        <w:rPr>
          <w:rStyle w:val="FootnoteReference"/>
        </w:rPr>
        <w:footnoteRef/>
      </w:r>
      <w:r>
        <w:t xml:space="preserve"> While the term “collection of information” means obtaining “answers to identical questions posed to, or identical reporting or recordkeeping requirements imposed on, ten or more persons . . .,” the Federal Maritime Commission cannot anticipate when a new carrier may enter the trade.  The potential respondent universe is estimated at </w:t>
      </w:r>
      <w:r w:rsidRPr="000821A8">
        <w:t>24</w:t>
      </w:r>
      <w:r>
        <w:t>, and the number of annual respondents could increase to 10 or more at any time.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E28AA"/>
    <w:multiLevelType w:val="hybridMultilevel"/>
    <w:tmpl w:val="9A94C48E"/>
    <w:lvl w:ilvl="0" w:tplc="04090019">
      <w:start w:val="1"/>
      <w:numFmt w:val="lowerLetter"/>
      <w:lvlText w:val="%1."/>
      <w:lvlJc w:val="left"/>
      <w:pPr>
        <w:tabs>
          <w:tab w:val="num" w:pos="1448"/>
        </w:tabs>
        <w:ind w:left="1448" w:hanging="360"/>
      </w:p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1">
    <w:nsid w:val="59281EFA"/>
    <w:multiLevelType w:val="hybridMultilevel"/>
    <w:tmpl w:val="66984572"/>
    <w:lvl w:ilvl="0" w:tplc="A810D74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stylePaneFormatFilter w:val="3F01"/>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5093A"/>
    <w:rsid w:val="00026865"/>
    <w:rsid w:val="00032401"/>
    <w:rsid w:val="000348F5"/>
    <w:rsid w:val="00043E4B"/>
    <w:rsid w:val="00055918"/>
    <w:rsid w:val="000821A8"/>
    <w:rsid w:val="00091B59"/>
    <w:rsid w:val="000C0D78"/>
    <w:rsid w:val="000C7BBB"/>
    <w:rsid w:val="000E4A7B"/>
    <w:rsid w:val="000F1C6D"/>
    <w:rsid w:val="001077A4"/>
    <w:rsid w:val="0011649F"/>
    <w:rsid w:val="00126CAE"/>
    <w:rsid w:val="0013417B"/>
    <w:rsid w:val="00156559"/>
    <w:rsid w:val="00172792"/>
    <w:rsid w:val="00184739"/>
    <w:rsid w:val="001C6F4F"/>
    <w:rsid w:val="001C79AC"/>
    <w:rsid w:val="001D074D"/>
    <w:rsid w:val="001D5B6E"/>
    <w:rsid w:val="001D776A"/>
    <w:rsid w:val="00226C74"/>
    <w:rsid w:val="0025093A"/>
    <w:rsid w:val="00281792"/>
    <w:rsid w:val="0028799E"/>
    <w:rsid w:val="002931D5"/>
    <w:rsid w:val="002B00E7"/>
    <w:rsid w:val="002B3611"/>
    <w:rsid w:val="002C0D30"/>
    <w:rsid w:val="002E4063"/>
    <w:rsid w:val="002E6784"/>
    <w:rsid w:val="002F149F"/>
    <w:rsid w:val="00311174"/>
    <w:rsid w:val="0037201D"/>
    <w:rsid w:val="003729BF"/>
    <w:rsid w:val="003C40FB"/>
    <w:rsid w:val="003F1D21"/>
    <w:rsid w:val="00447390"/>
    <w:rsid w:val="004574B7"/>
    <w:rsid w:val="0046427F"/>
    <w:rsid w:val="0047522D"/>
    <w:rsid w:val="00476E7D"/>
    <w:rsid w:val="004971A9"/>
    <w:rsid w:val="004C316C"/>
    <w:rsid w:val="004D0238"/>
    <w:rsid w:val="004D33DD"/>
    <w:rsid w:val="005556A8"/>
    <w:rsid w:val="00575308"/>
    <w:rsid w:val="00591852"/>
    <w:rsid w:val="00597A6C"/>
    <w:rsid w:val="005C3231"/>
    <w:rsid w:val="005D5D05"/>
    <w:rsid w:val="005E73EE"/>
    <w:rsid w:val="006126D3"/>
    <w:rsid w:val="00632041"/>
    <w:rsid w:val="00650CCA"/>
    <w:rsid w:val="00652876"/>
    <w:rsid w:val="006542D8"/>
    <w:rsid w:val="006653AD"/>
    <w:rsid w:val="00670E34"/>
    <w:rsid w:val="006A7FB7"/>
    <w:rsid w:val="006C3DD0"/>
    <w:rsid w:val="006D401F"/>
    <w:rsid w:val="006D6022"/>
    <w:rsid w:val="006E257F"/>
    <w:rsid w:val="006F6879"/>
    <w:rsid w:val="00706107"/>
    <w:rsid w:val="00722C13"/>
    <w:rsid w:val="00752E92"/>
    <w:rsid w:val="00757329"/>
    <w:rsid w:val="00770F8D"/>
    <w:rsid w:val="0078343B"/>
    <w:rsid w:val="007F6869"/>
    <w:rsid w:val="00854935"/>
    <w:rsid w:val="008571E8"/>
    <w:rsid w:val="00892D96"/>
    <w:rsid w:val="008933C1"/>
    <w:rsid w:val="008A52E7"/>
    <w:rsid w:val="008C06E9"/>
    <w:rsid w:val="008F0E8C"/>
    <w:rsid w:val="0091271C"/>
    <w:rsid w:val="00961199"/>
    <w:rsid w:val="0097090F"/>
    <w:rsid w:val="0099792A"/>
    <w:rsid w:val="009B54DD"/>
    <w:rsid w:val="009D41A9"/>
    <w:rsid w:val="009E17C0"/>
    <w:rsid w:val="009E7CAD"/>
    <w:rsid w:val="00A20CB0"/>
    <w:rsid w:val="00A34450"/>
    <w:rsid w:val="00A67104"/>
    <w:rsid w:val="00A86FE4"/>
    <w:rsid w:val="00AB3478"/>
    <w:rsid w:val="00AF26F2"/>
    <w:rsid w:val="00B10BB7"/>
    <w:rsid w:val="00B31AAC"/>
    <w:rsid w:val="00B45318"/>
    <w:rsid w:val="00B46201"/>
    <w:rsid w:val="00B535B0"/>
    <w:rsid w:val="00B633EB"/>
    <w:rsid w:val="00B86761"/>
    <w:rsid w:val="00B87F17"/>
    <w:rsid w:val="00BB137F"/>
    <w:rsid w:val="00BC6040"/>
    <w:rsid w:val="00C242C8"/>
    <w:rsid w:val="00C43F50"/>
    <w:rsid w:val="00C44826"/>
    <w:rsid w:val="00C65603"/>
    <w:rsid w:val="00C86777"/>
    <w:rsid w:val="00C96645"/>
    <w:rsid w:val="00CE4B7D"/>
    <w:rsid w:val="00CF6A89"/>
    <w:rsid w:val="00D07722"/>
    <w:rsid w:val="00D46E2B"/>
    <w:rsid w:val="00D54122"/>
    <w:rsid w:val="00D54A82"/>
    <w:rsid w:val="00D721B2"/>
    <w:rsid w:val="00D8112E"/>
    <w:rsid w:val="00DC1398"/>
    <w:rsid w:val="00DF5B2B"/>
    <w:rsid w:val="00E10E9B"/>
    <w:rsid w:val="00E326E3"/>
    <w:rsid w:val="00E55A53"/>
    <w:rsid w:val="00E6072D"/>
    <w:rsid w:val="00E87F32"/>
    <w:rsid w:val="00E9507F"/>
    <w:rsid w:val="00E95C16"/>
    <w:rsid w:val="00EB0D7B"/>
    <w:rsid w:val="00ED257E"/>
    <w:rsid w:val="00EE212C"/>
    <w:rsid w:val="00EE2A2F"/>
    <w:rsid w:val="00EF40B8"/>
    <w:rsid w:val="00F95244"/>
    <w:rsid w:val="00FA1748"/>
    <w:rsid w:val="00FA5243"/>
    <w:rsid w:val="00FC226F"/>
    <w:rsid w:val="00FC3E29"/>
    <w:rsid w:val="00FD033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47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43E4B"/>
    <w:rPr>
      <w:color w:val="0000FF"/>
      <w:u w:val="single"/>
    </w:rPr>
  </w:style>
  <w:style w:type="paragraph" w:styleId="FootnoteText">
    <w:name w:val="footnote text"/>
    <w:basedOn w:val="Normal"/>
    <w:semiHidden/>
    <w:rsid w:val="002B3611"/>
    <w:rPr>
      <w:sz w:val="20"/>
      <w:szCs w:val="20"/>
    </w:rPr>
  </w:style>
  <w:style w:type="character" w:styleId="FootnoteReference">
    <w:name w:val="footnote reference"/>
    <w:basedOn w:val="DefaultParagraphFont"/>
    <w:semiHidden/>
    <w:rsid w:val="002B3611"/>
    <w:rPr>
      <w:vertAlign w:val="superscript"/>
    </w:rPr>
  </w:style>
  <w:style w:type="paragraph" w:styleId="BalloonText">
    <w:name w:val="Balloon Text"/>
    <w:basedOn w:val="Normal"/>
    <w:semiHidden/>
    <w:rsid w:val="003729BF"/>
    <w:rPr>
      <w:rFonts w:ascii="Tahoma" w:hAnsi="Tahoma" w:cs="Tahoma"/>
      <w:sz w:val="16"/>
      <w:szCs w:val="16"/>
    </w:rPr>
  </w:style>
  <w:style w:type="table" w:styleId="TableGrid">
    <w:name w:val="Table Grid"/>
    <w:basedOn w:val="TableNormal"/>
    <w:rsid w:val="009D41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7A33D-65EC-4490-B4B0-E281BC3DA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1297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NARRATIVE SUPPORTING STATEMENT</vt:lpstr>
    </vt:vector>
  </TitlesOfParts>
  <Company>Federal Maritime Commission</Company>
  <LinksUpToDate>false</LinksUpToDate>
  <CharactersWithSpaces>8280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SUPPORTING STATEMENT</dc:title>
  <dc:creator>janeg</dc:creator>
  <cp:lastModifiedBy>Dlee</cp:lastModifiedBy>
  <cp:revision>4</cp:revision>
  <cp:lastPrinted>2014-08-08T18:35:00Z</cp:lastPrinted>
  <dcterms:created xsi:type="dcterms:W3CDTF">2014-08-08T18:30:00Z</dcterms:created>
  <dcterms:modified xsi:type="dcterms:W3CDTF">2014-09-09T15:42:00Z</dcterms:modified>
</cp:coreProperties>
</file>