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7203E" w:rsidRPr="00D61A47" w:rsidRDefault="00C443CB" w:rsidP="0087203E">
      <w:pPr>
        <w:jc w:val="center"/>
        <w:rPr>
          <w:b/>
          <w:bCs/>
          <w:color w:val="000000"/>
          <w:szCs w:val="24"/>
        </w:rPr>
      </w:pPr>
      <w:r w:rsidRPr="00D61A47">
        <w:rPr>
          <w:szCs w:val="24"/>
          <w:lang w:val="en-CA"/>
        </w:rPr>
        <w:fldChar w:fldCharType="begin"/>
      </w:r>
      <w:r w:rsidR="0087203E" w:rsidRPr="00D61A47">
        <w:rPr>
          <w:szCs w:val="24"/>
          <w:lang w:val="en-CA"/>
        </w:rPr>
        <w:instrText xml:space="preserve"> SEQ CHAPTER \h \r 1</w:instrText>
      </w:r>
      <w:r w:rsidRPr="00D61A47">
        <w:rPr>
          <w:szCs w:val="24"/>
          <w:lang w:val="en-CA"/>
        </w:rPr>
        <w:fldChar w:fldCharType="end"/>
      </w:r>
      <w:r w:rsidR="0087203E" w:rsidRPr="00D61A47">
        <w:rPr>
          <w:b/>
          <w:bCs/>
          <w:color w:val="000000"/>
          <w:szCs w:val="24"/>
        </w:rPr>
        <w:t xml:space="preserve">Supporting Statement for the Disclosure Requirements in Connection with </w:t>
      </w:r>
    </w:p>
    <w:p w:rsidR="0087203E" w:rsidRPr="00D61A47" w:rsidRDefault="0087203E" w:rsidP="0087203E">
      <w:pPr>
        <w:jc w:val="center"/>
        <w:rPr>
          <w:b/>
          <w:bCs/>
          <w:color w:val="000000"/>
          <w:szCs w:val="24"/>
        </w:rPr>
      </w:pPr>
      <w:r w:rsidRPr="00D61A47">
        <w:rPr>
          <w:b/>
          <w:bCs/>
          <w:color w:val="000000"/>
          <w:szCs w:val="24"/>
        </w:rPr>
        <w:t xml:space="preserve">Regulation CC to Implement the Expedited Funds Availability Act </w:t>
      </w:r>
    </w:p>
    <w:p w:rsidR="0087203E" w:rsidRPr="00D61A47" w:rsidRDefault="0087203E" w:rsidP="0087203E">
      <w:pPr>
        <w:jc w:val="center"/>
        <w:rPr>
          <w:color w:val="000000"/>
          <w:szCs w:val="24"/>
        </w:rPr>
      </w:pPr>
      <w:r w:rsidRPr="00D61A47">
        <w:rPr>
          <w:b/>
          <w:bCs/>
          <w:color w:val="000000"/>
          <w:szCs w:val="24"/>
        </w:rPr>
        <w:t>(Reg CC; OMB No. 7100-0235)</w:t>
      </w:r>
    </w:p>
    <w:p w:rsidR="0087203E" w:rsidRPr="00D61A47" w:rsidRDefault="0087203E" w:rsidP="00A8075D">
      <w:pPr>
        <w:tabs>
          <w:tab w:val="left" w:pos="1087"/>
        </w:tabs>
        <w:rPr>
          <w:b/>
          <w:color w:val="000000"/>
          <w:szCs w:val="24"/>
        </w:rPr>
      </w:pPr>
    </w:p>
    <w:p w:rsidR="00263CE0" w:rsidRPr="00D61A47" w:rsidRDefault="00263CE0" w:rsidP="00A8075D">
      <w:pPr>
        <w:tabs>
          <w:tab w:val="left" w:pos="1087"/>
        </w:tabs>
        <w:rPr>
          <w:b/>
          <w:color w:val="000000"/>
          <w:szCs w:val="24"/>
        </w:rPr>
      </w:pPr>
    </w:p>
    <w:p w:rsidR="00A8075D" w:rsidRPr="00D61A47" w:rsidRDefault="0026213A" w:rsidP="00A8075D">
      <w:pPr>
        <w:tabs>
          <w:tab w:val="left" w:pos="1087"/>
        </w:tabs>
        <w:rPr>
          <w:color w:val="000000"/>
          <w:szCs w:val="24"/>
        </w:rPr>
      </w:pPr>
      <w:r w:rsidRPr="00D61A47">
        <w:rPr>
          <w:b/>
          <w:color w:val="000000"/>
          <w:szCs w:val="24"/>
        </w:rPr>
        <w:t>Summary</w:t>
      </w:r>
    </w:p>
    <w:p w:rsidR="00A8075D" w:rsidRPr="00D61A47" w:rsidRDefault="00A8075D" w:rsidP="00A8075D">
      <w:pPr>
        <w:tabs>
          <w:tab w:val="left" w:pos="1087"/>
        </w:tabs>
        <w:rPr>
          <w:color w:val="000000"/>
          <w:szCs w:val="24"/>
        </w:rPr>
      </w:pPr>
    </w:p>
    <w:p w:rsidR="00A8075D" w:rsidRPr="00D61A47" w:rsidRDefault="00A8075D" w:rsidP="00A8075D">
      <w:pPr>
        <w:tabs>
          <w:tab w:val="left" w:pos="720"/>
        </w:tabs>
        <w:rPr>
          <w:szCs w:val="24"/>
        </w:rPr>
      </w:pPr>
      <w:r w:rsidRPr="00D61A47">
        <w:rPr>
          <w:color w:val="000000"/>
          <w:szCs w:val="24"/>
        </w:rPr>
        <w:tab/>
      </w:r>
      <w:r w:rsidR="00E273DD" w:rsidRPr="00D61A47">
        <w:rPr>
          <w:color w:val="000000"/>
          <w:szCs w:val="24"/>
        </w:rPr>
        <w:t>The Board of Governors of the Federal Reserve System, under delegated authority from the Office of Management and Budget (OMB), proposes to extend for three years, without revision, the Disclosure Requirements in Connection with Regulation CC to Implement the Expedited Funds Availability Act (EFAA).</w:t>
      </w:r>
      <w:r w:rsidR="0026213A" w:rsidRPr="00D61A47">
        <w:rPr>
          <w:rStyle w:val="FootnoteReference"/>
          <w:color w:val="000000"/>
          <w:szCs w:val="24"/>
        </w:rPr>
        <w:footnoteReference w:id="1"/>
      </w:r>
      <w:r w:rsidR="0026213A" w:rsidRPr="00D61A47">
        <w:rPr>
          <w:color w:val="000000"/>
          <w:szCs w:val="24"/>
        </w:rPr>
        <w:t xml:space="preserve">  </w:t>
      </w:r>
      <w:r w:rsidR="00A856DE" w:rsidRPr="00D61A47">
        <w:rPr>
          <w:szCs w:val="24"/>
        </w:rPr>
        <w:t>The Paperwork Reduction Act (PRA) classifies reporting, recordkeeping, or disclosure requirements of a regulation as an information collection.</w:t>
      </w:r>
      <w:r w:rsidR="00A856DE" w:rsidRPr="00D61A47">
        <w:rPr>
          <w:rStyle w:val="FootnoteReference"/>
          <w:color w:val="000000"/>
          <w:szCs w:val="24"/>
        </w:rPr>
        <w:footnoteReference w:id="2"/>
      </w:r>
    </w:p>
    <w:p w:rsidR="00E273DD" w:rsidRPr="00D61A47" w:rsidRDefault="00E273DD" w:rsidP="00A8075D">
      <w:pPr>
        <w:tabs>
          <w:tab w:val="left" w:pos="720"/>
        </w:tabs>
        <w:rPr>
          <w:color w:val="000000"/>
          <w:szCs w:val="24"/>
        </w:rPr>
      </w:pPr>
    </w:p>
    <w:p w:rsidR="00A8075D" w:rsidRPr="00D61A47" w:rsidRDefault="00A8075D" w:rsidP="00A8075D">
      <w:pPr>
        <w:tabs>
          <w:tab w:val="left" w:pos="720"/>
        </w:tabs>
        <w:rPr>
          <w:color w:val="000000"/>
          <w:szCs w:val="24"/>
        </w:rPr>
      </w:pPr>
      <w:r w:rsidRPr="00D61A47">
        <w:rPr>
          <w:color w:val="000000"/>
          <w:szCs w:val="24"/>
        </w:rPr>
        <w:tab/>
      </w:r>
      <w:r w:rsidR="00763568" w:rsidRPr="00D61A47">
        <w:rPr>
          <w:szCs w:val="24"/>
        </w:rPr>
        <w:t xml:space="preserve">Regulation CC requires </w:t>
      </w:r>
      <w:r w:rsidR="005A5F3B" w:rsidRPr="00D61A47">
        <w:rPr>
          <w:szCs w:val="24"/>
        </w:rPr>
        <w:t>banks</w:t>
      </w:r>
      <w:r w:rsidR="00F57E46" w:rsidRPr="00D61A47">
        <w:rPr>
          <w:rStyle w:val="FootnoteReference"/>
          <w:szCs w:val="24"/>
        </w:rPr>
        <w:footnoteReference w:id="3"/>
      </w:r>
      <w:r w:rsidR="00027ADF" w:rsidRPr="00D61A47">
        <w:rPr>
          <w:szCs w:val="24"/>
        </w:rPr>
        <w:t xml:space="preserve"> </w:t>
      </w:r>
      <w:r w:rsidR="00763568" w:rsidRPr="00D61A47">
        <w:rPr>
          <w:szCs w:val="24"/>
        </w:rPr>
        <w:t>to make funds deposited in transaction accounts available within specified time periods, disclose their availability policies to customers, and begin accruing interest on such deposits promptly.  The disclosures are intended to alert customers that their ability to use deposited funds may be delayed, prevent unintentional (and</w:t>
      </w:r>
      <w:r w:rsidR="00AF7DF6" w:rsidRPr="00D61A47">
        <w:rPr>
          <w:szCs w:val="24"/>
        </w:rPr>
        <w:t xml:space="preserve"> potentially</w:t>
      </w:r>
      <w:r w:rsidR="00763568" w:rsidRPr="00D61A47">
        <w:rPr>
          <w:szCs w:val="24"/>
        </w:rPr>
        <w:t xml:space="preserve"> costly) overdrafts, and allow customers to compare the policies of different </w:t>
      </w:r>
      <w:r w:rsidR="00AD7118" w:rsidRPr="00D61A47">
        <w:rPr>
          <w:szCs w:val="24"/>
        </w:rPr>
        <w:t>bank</w:t>
      </w:r>
      <w:r w:rsidR="00763568" w:rsidRPr="00D61A47">
        <w:rPr>
          <w:szCs w:val="24"/>
        </w:rPr>
        <w:t xml:space="preserve">s before deciding at which </w:t>
      </w:r>
      <w:r w:rsidR="00AD7118" w:rsidRPr="00D61A47">
        <w:rPr>
          <w:szCs w:val="24"/>
        </w:rPr>
        <w:t>bank</w:t>
      </w:r>
      <w:r w:rsidR="00763568" w:rsidRPr="00D61A47">
        <w:rPr>
          <w:szCs w:val="24"/>
        </w:rPr>
        <w:t xml:space="preserve"> to deposit funds.</w:t>
      </w:r>
      <w:r w:rsidR="00763568" w:rsidRPr="00D61A47">
        <w:rPr>
          <w:color w:val="000000"/>
          <w:szCs w:val="24"/>
        </w:rPr>
        <w:t xml:space="preserve">  The regulation also requires notice to the depositary bank and to a customer of nonpayment of a check.  Model disclosure forms, clauses, and notices are appended to the regulation to ease compliance.</w:t>
      </w:r>
    </w:p>
    <w:p w:rsidR="00A8075D" w:rsidRPr="00D61A47" w:rsidRDefault="00A8075D" w:rsidP="00A8075D">
      <w:pPr>
        <w:tabs>
          <w:tab w:val="left" w:pos="720"/>
        </w:tabs>
        <w:rPr>
          <w:color w:val="000000"/>
          <w:szCs w:val="24"/>
        </w:rPr>
      </w:pPr>
    </w:p>
    <w:p w:rsidR="00763568" w:rsidRPr="00D61A47" w:rsidRDefault="00A8075D" w:rsidP="00A8075D">
      <w:pPr>
        <w:tabs>
          <w:tab w:val="left" w:pos="720"/>
        </w:tabs>
        <w:rPr>
          <w:szCs w:val="24"/>
        </w:rPr>
      </w:pPr>
      <w:r w:rsidRPr="00D61A47">
        <w:rPr>
          <w:szCs w:val="24"/>
        </w:rPr>
        <w:tab/>
      </w:r>
      <w:r w:rsidR="00763568" w:rsidRPr="00D61A47">
        <w:rPr>
          <w:szCs w:val="24"/>
        </w:rPr>
        <w:t xml:space="preserve">Although Regulation CC applies to all </w:t>
      </w:r>
      <w:r w:rsidR="005E09BC" w:rsidRPr="00D61A47">
        <w:rPr>
          <w:szCs w:val="24"/>
        </w:rPr>
        <w:t>banks</w:t>
      </w:r>
      <w:r w:rsidR="00763568" w:rsidRPr="00D61A47">
        <w:rPr>
          <w:szCs w:val="24"/>
        </w:rPr>
        <w:t>, not just state member banks, the Federal Reserve accounts for the paperwork burden only for the</w:t>
      </w:r>
      <w:r w:rsidR="001E2562" w:rsidRPr="00D61A47">
        <w:rPr>
          <w:szCs w:val="24"/>
        </w:rPr>
        <w:t xml:space="preserve"> </w:t>
      </w:r>
      <w:r w:rsidR="00A662C1" w:rsidRPr="00D61A47">
        <w:rPr>
          <w:szCs w:val="24"/>
        </w:rPr>
        <w:t>1,</w:t>
      </w:r>
      <w:r w:rsidR="001C3550">
        <w:rPr>
          <w:szCs w:val="24"/>
        </w:rPr>
        <w:t>0</w:t>
      </w:r>
      <w:r w:rsidR="00A662C1" w:rsidRPr="00D61A47">
        <w:rPr>
          <w:szCs w:val="24"/>
        </w:rPr>
        <w:t xml:space="preserve">25 </w:t>
      </w:r>
      <w:r w:rsidR="00763568" w:rsidRPr="00D61A47">
        <w:rPr>
          <w:szCs w:val="24"/>
        </w:rPr>
        <w:t>state member banks</w:t>
      </w:r>
      <w:r w:rsidR="000C60F7" w:rsidRPr="00D61A47">
        <w:rPr>
          <w:szCs w:val="24"/>
        </w:rPr>
        <w:t xml:space="preserve"> </w:t>
      </w:r>
      <w:r w:rsidR="00763568" w:rsidRPr="00D61A47">
        <w:rPr>
          <w:szCs w:val="24"/>
        </w:rPr>
        <w:t xml:space="preserve">and uninsured state branches and agencies of foreign banks that are deemed </w:t>
      </w:r>
      <w:r w:rsidR="00027ADF" w:rsidRPr="00D61A47">
        <w:rPr>
          <w:szCs w:val="24"/>
        </w:rPr>
        <w:t>respondents</w:t>
      </w:r>
      <w:r w:rsidR="00763568" w:rsidRPr="00D61A47">
        <w:rPr>
          <w:szCs w:val="24"/>
        </w:rPr>
        <w:t xml:space="preserve"> for purposes of the PRA.</w:t>
      </w:r>
      <w:r w:rsidR="00763568" w:rsidRPr="00D61A47">
        <w:rPr>
          <w:rStyle w:val="FootnoteReference"/>
          <w:szCs w:val="24"/>
        </w:rPr>
        <w:footnoteReference w:id="4"/>
      </w:r>
      <w:r w:rsidR="00763568" w:rsidRPr="00D61A47">
        <w:rPr>
          <w:szCs w:val="24"/>
        </w:rPr>
        <w:t xml:space="preserve">  </w:t>
      </w:r>
      <w:r w:rsidR="00494805" w:rsidRPr="00D61A47">
        <w:rPr>
          <w:szCs w:val="24"/>
        </w:rPr>
        <w:t>The annual</w:t>
      </w:r>
      <w:r w:rsidR="00494805" w:rsidRPr="00D61A47">
        <w:rPr>
          <w:color w:val="000000"/>
          <w:szCs w:val="24"/>
        </w:rPr>
        <w:t xml:space="preserve"> burden for Reg CC </w:t>
      </w:r>
      <w:r w:rsidR="001E2562" w:rsidRPr="00D61A47">
        <w:rPr>
          <w:color w:val="000000"/>
          <w:szCs w:val="24"/>
        </w:rPr>
        <w:t xml:space="preserve">for those entities </w:t>
      </w:r>
      <w:r w:rsidR="00494805" w:rsidRPr="00D61A47">
        <w:rPr>
          <w:color w:val="000000"/>
          <w:szCs w:val="24"/>
        </w:rPr>
        <w:t xml:space="preserve">is estimated to be </w:t>
      </w:r>
      <w:r w:rsidR="003F653F" w:rsidRPr="00D61A47">
        <w:rPr>
          <w:szCs w:val="24"/>
        </w:rPr>
        <w:t>195,846</w:t>
      </w:r>
      <w:r w:rsidR="00763568" w:rsidRPr="00D61A47">
        <w:rPr>
          <w:szCs w:val="24"/>
        </w:rPr>
        <w:t xml:space="preserve"> hours.  </w:t>
      </w:r>
      <w:r w:rsidR="00ED767C" w:rsidRPr="00D61A47">
        <w:rPr>
          <w:szCs w:val="24"/>
        </w:rPr>
        <w:t xml:space="preserve">The other federal financial agencies are responsible for estimating and reporting to OMB the total paperwork burden for the </w:t>
      </w:r>
      <w:r w:rsidR="00AD7118" w:rsidRPr="00D61A47">
        <w:rPr>
          <w:szCs w:val="24"/>
        </w:rPr>
        <w:t>bank</w:t>
      </w:r>
      <w:r w:rsidR="00ED767C" w:rsidRPr="00D61A47">
        <w:rPr>
          <w:szCs w:val="24"/>
        </w:rPr>
        <w:t>s for which they have administrative enforcement authority.</w:t>
      </w:r>
    </w:p>
    <w:p w:rsidR="00763568" w:rsidRPr="00D61A47" w:rsidRDefault="00763568" w:rsidP="000F1E8E">
      <w:pPr>
        <w:tabs>
          <w:tab w:val="left" w:pos="3804"/>
        </w:tabs>
        <w:rPr>
          <w:color w:val="000000"/>
          <w:szCs w:val="24"/>
        </w:rPr>
      </w:pPr>
    </w:p>
    <w:p w:rsidR="003B0DC6" w:rsidRPr="00D61A47" w:rsidRDefault="00763568" w:rsidP="00A8075D">
      <w:pPr>
        <w:tabs>
          <w:tab w:val="left" w:pos="367"/>
          <w:tab w:val="left" w:pos="1087"/>
        </w:tabs>
        <w:rPr>
          <w:b/>
          <w:color w:val="000000"/>
          <w:szCs w:val="24"/>
        </w:rPr>
      </w:pPr>
      <w:r w:rsidRPr="00D61A47">
        <w:rPr>
          <w:b/>
          <w:color w:val="000000"/>
          <w:szCs w:val="24"/>
        </w:rPr>
        <w:t>Background and Justification</w:t>
      </w:r>
    </w:p>
    <w:p w:rsidR="003B0DC6" w:rsidRPr="00D61A47" w:rsidRDefault="003B0DC6" w:rsidP="00A8075D">
      <w:pPr>
        <w:tabs>
          <w:tab w:val="left" w:pos="367"/>
          <w:tab w:val="left" w:pos="1087"/>
        </w:tabs>
        <w:rPr>
          <w:b/>
          <w:color w:val="000000"/>
          <w:szCs w:val="24"/>
        </w:rPr>
      </w:pPr>
    </w:p>
    <w:p w:rsidR="003B0DC6" w:rsidRPr="00D61A47" w:rsidRDefault="003B0DC6" w:rsidP="005E51CA">
      <w:pPr>
        <w:autoSpaceDE w:val="0"/>
        <w:autoSpaceDN w:val="0"/>
        <w:adjustRightInd w:val="0"/>
        <w:rPr>
          <w:b/>
          <w:color w:val="000000"/>
          <w:szCs w:val="24"/>
        </w:rPr>
      </w:pPr>
      <w:r w:rsidRPr="00D61A47">
        <w:rPr>
          <w:b/>
          <w:color w:val="000000"/>
          <w:szCs w:val="24"/>
        </w:rPr>
        <w:tab/>
      </w:r>
      <w:r w:rsidR="00763568" w:rsidRPr="00D61A47">
        <w:rPr>
          <w:szCs w:val="24"/>
        </w:rPr>
        <w:t xml:space="preserve">The EFAA requires </w:t>
      </w:r>
      <w:r w:rsidR="005E09BC" w:rsidRPr="00D61A47">
        <w:rPr>
          <w:szCs w:val="24"/>
        </w:rPr>
        <w:t>banks</w:t>
      </w:r>
      <w:r w:rsidR="00763568" w:rsidRPr="00D61A47">
        <w:rPr>
          <w:szCs w:val="24"/>
        </w:rPr>
        <w:t xml:space="preserve"> to provide customers and potential customers specific written notices and disclosures on the occurrence of specific events</w:t>
      </w:r>
      <w:r w:rsidR="004D663A" w:rsidRPr="00D61A47">
        <w:rPr>
          <w:szCs w:val="24"/>
        </w:rPr>
        <w:t>, such as opening an account, delaying availability of the proceeds of a deposited check beyond the usual availability date, changing the bank’s funds availability policies, or in response to a customer’s request</w:t>
      </w:r>
      <w:r w:rsidR="005E51CA" w:rsidRPr="00D61A47">
        <w:rPr>
          <w:szCs w:val="24"/>
        </w:rPr>
        <w:t xml:space="preserve">.  </w:t>
      </w:r>
      <w:r w:rsidR="00641592" w:rsidRPr="00D61A47">
        <w:rPr>
          <w:szCs w:val="24"/>
        </w:rPr>
        <w:t xml:space="preserve">The </w:t>
      </w:r>
      <w:r w:rsidR="005E51CA" w:rsidRPr="00D61A47">
        <w:rPr>
          <w:snapToGrid/>
          <w:szCs w:val="24"/>
        </w:rPr>
        <w:t>Check Clearing for the 21</w:t>
      </w:r>
      <w:r w:rsidR="005E51CA" w:rsidRPr="00D61A47">
        <w:rPr>
          <w:snapToGrid/>
          <w:szCs w:val="24"/>
          <w:vertAlign w:val="superscript"/>
        </w:rPr>
        <w:t>st</w:t>
      </w:r>
      <w:r w:rsidR="005E51CA" w:rsidRPr="00D61A47">
        <w:rPr>
          <w:snapToGrid/>
          <w:szCs w:val="24"/>
        </w:rPr>
        <w:t xml:space="preserve"> Century Act (</w:t>
      </w:r>
      <w:r w:rsidR="00E47FF9" w:rsidRPr="00D61A47">
        <w:rPr>
          <w:snapToGrid/>
          <w:szCs w:val="24"/>
        </w:rPr>
        <w:t>Check 21 Act</w:t>
      </w:r>
      <w:r w:rsidR="005E51CA" w:rsidRPr="00D61A47">
        <w:rPr>
          <w:snapToGrid/>
          <w:szCs w:val="24"/>
        </w:rPr>
        <w:t xml:space="preserve">) </w:t>
      </w:r>
      <w:r w:rsidR="00641592" w:rsidRPr="00D61A47">
        <w:rPr>
          <w:szCs w:val="24"/>
        </w:rPr>
        <w:t>requires banks to provide a consumer awareness disclosure</w:t>
      </w:r>
      <w:r w:rsidR="00A60A59" w:rsidRPr="00D61A47">
        <w:rPr>
          <w:szCs w:val="24"/>
        </w:rPr>
        <w:t xml:space="preserve"> regarding substitute checks in certain circumstances.</w:t>
      </w:r>
      <w:r w:rsidR="00A60A59" w:rsidRPr="00D61A47">
        <w:rPr>
          <w:rStyle w:val="FootnoteReference"/>
          <w:szCs w:val="24"/>
        </w:rPr>
        <w:footnoteReference w:id="5"/>
      </w:r>
      <w:r w:rsidR="00A60A59" w:rsidRPr="00D61A47">
        <w:rPr>
          <w:szCs w:val="24"/>
        </w:rPr>
        <w:t xml:space="preserve">  In addition, if</w:t>
      </w:r>
      <w:r w:rsidR="00641592" w:rsidRPr="00D61A47">
        <w:rPr>
          <w:szCs w:val="24"/>
        </w:rPr>
        <w:t xml:space="preserve"> a </w:t>
      </w:r>
      <w:r w:rsidR="00641592" w:rsidRPr="00D61A47">
        <w:rPr>
          <w:szCs w:val="24"/>
        </w:rPr>
        <w:lastRenderedPageBreak/>
        <w:t xml:space="preserve">consumer uses the </w:t>
      </w:r>
      <w:r w:rsidR="00A60A59" w:rsidRPr="00D61A47">
        <w:rPr>
          <w:szCs w:val="24"/>
        </w:rPr>
        <w:t xml:space="preserve">special procedure that the Check 21 Act provides to resolve errors associated with </w:t>
      </w:r>
      <w:r w:rsidR="00641592" w:rsidRPr="00D61A47">
        <w:rPr>
          <w:szCs w:val="24"/>
        </w:rPr>
        <w:t>substitute check</w:t>
      </w:r>
      <w:r w:rsidR="00A60A59" w:rsidRPr="00D61A47">
        <w:rPr>
          <w:szCs w:val="24"/>
        </w:rPr>
        <w:t>s,</w:t>
      </w:r>
      <w:r w:rsidR="00641592" w:rsidRPr="00D61A47">
        <w:rPr>
          <w:szCs w:val="24"/>
        </w:rPr>
        <w:t xml:space="preserve"> the </w:t>
      </w:r>
      <w:r w:rsidR="00E47FF9" w:rsidRPr="00D61A47">
        <w:rPr>
          <w:snapToGrid/>
          <w:szCs w:val="24"/>
        </w:rPr>
        <w:t>Check 21 Act</w:t>
      </w:r>
      <w:r w:rsidR="00E47FF9" w:rsidRPr="00D61A47">
        <w:rPr>
          <w:szCs w:val="24"/>
        </w:rPr>
        <w:t xml:space="preserve"> </w:t>
      </w:r>
      <w:r w:rsidR="00641592" w:rsidRPr="00D61A47">
        <w:rPr>
          <w:szCs w:val="24"/>
        </w:rPr>
        <w:t xml:space="preserve">requires the </w:t>
      </w:r>
      <w:r w:rsidR="00A60A59" w:rsidRPr="00D61A47">
        <w:rPr>
          <w:szCs w:val="24"/>
        </w:rPr>
        <w:t xml:space="preserve">consumer’s bank </w:t>
      </w:r>
      <w:r w:rsidR="00641592" w:rsidRPr="00D61A47">
        <w:rPr>
          <w:szCs w:val="24"/>
        </w:rPr>
        <w:t xml:space="preserve">to provide a notice to the consumer regarding disposition of </w:t>
      </w:r>
      <w:r w:rsidR="004D663A" w:rsidRPr="00D61A47">
        <w:rPr>
          <w:szCs w:val="24"/>
        </w:rPr>
        <w:t xml:space="preserve">the consumer’s </w:t>
      </w:r>
      <w:r w:rsidR="00641592" w:rsidRPr="00D61A47">
        <w:rPr>
          <w:szCs w:val="24"/>
        </w:rPr>
        <w:t xml:space="preserve">claim.  </w:t>
      </w:r>
      <w:r w:rsidR="00763568" w:rsidRPr="00D61A47">
        <w:rPr>
          <w:szCs w:val="24"/>
        </w:rPr>
        <w:t>All of the notice and disclosure requirements of Regulation CC</w:t>
      </w:r>
      <w:r w:rsidR="00641592" w:rsidRPr="00D61A47">
        <w:rPr>
          <w:szCs w:val="24"/>
        </w:rPr>
        <w:t>, which are discussed in more detail below,</w:t>
      </w:r>
      <w:r w:rsidR="00763568" w:rsidRPr="00D61A47">
        <w:rPr>
          <w:szCs w:val="24"/>
        </w:rPr>
        <w:t xml:space="preserve"> are found expressly in the EFAA</w:t>
      </w:r>
      <w:r w:rsidR="00641592" w:rsidRPr="00D61A47">
        <w:rPr>
          <w:szCs w:val="24"/>
        </w:rPr>
        <w:t xml:space="preserve"> or the </w:t>
      </w:r>
      <w:r w:rsidR="00E47FF9" w:rsidRPr="00D61A47">
        <w:rPr>
          <w:snapToGrid/>
          <w:szCs w:val="24"/>
        </w:rPr>
        <w:t>Check 21 Act</w:t>
      </w:r>
      <w:r w:rsidR="00763568" w:rsidRPr="00D61A47">
        <w:rPr>
          <w:szCs w:val="24"/>
        </w:rPr>
        <w:t>, except for the notice of a delay under a case-by-case hold policy and the notice of a returned check</w:t>
      </w:r>
      <w:r w:rsidR="00E47FF9" w:rsidRPr="00D61A47">
        <w:rPr>
          <w:szCs w:val="24"/>
        </w:rPr>
        <w:t>.</w:t>
      </w:r>
    </w:p>
    <w:p w:rsidR="003B0DC6" w:rsidRPr="00D61A47" w:rsidRDefault="003B0DC6" w:rsidP="003B0DC6">
      <w:pPr>
        <w:tabs>
          <w:tab w:val="left" w:pos="0"/>
        </w:tabs>
        <w:rPr>
          <w:b/>
          <w:color w:val="000000"/>
          <w:szCs w:val="24"/>
        </w:rPr>
      </w:pPr>
    </w:p>
    <w:p w:rsidR="0003120B" w:rsidRPr="00D61A47" w:rsidRDefault="003B0DC6" w:rsidP="0003120B">
      <w:pPr>
        <w:tabs>
          <w:tab w:val="left" w:pos="0"/>
        </w:tabs>
        <w:rPr>
          <w:szCs w:val="24"/>
        </w:rPr>
      </w:pPr>
      <w:r w:rsidRPr="00D61A47">
        <w:rPr>
          <w:b/>
          <w:color w:val="000000"/>
          <w:szCs w:val="24"/>
        </w:rPr>
        <w:tab/>
      </w:r>
      <w:r w:rsidR="00763568" w:rsidRPr="00D61A47">
        <w:rPr>
          <w:szCs w:val="24"/>
        </w:rPr>
        <w:t xml:space="preserve">As required by the EFAA, the Federal Reserve has published model disclosure forms and clauses to facilitate compliance with the </w:t>
      </w:r>
      <w:r w:rsidR="00641592" w:rsidRPr="00D61A47">
        <w:rPr>
          <w:szCs w:val="24"/>
        </w:rPr>
        <w:t xml:space="preserve">disclosure </w:t>
      </w:r>
      <w:r w:rsidR="00763568" w:rsidRPr="00D61A47">
        <w:rPr>
          <w:szCs w:val="24"/>
        </w:rPr>
        <w:t>requirements</w:t>
      </w:r>
      <w:r w:rsidR="00641592" w:rsidRPr="00D61A47">
        <w:rPr>
          <w:szCs w:val="24"/>
        </w:rPr>
        <w:t xml:space="preserve"> of that law</w:t>
      </w:r>
      <w:r w:rsidR="00763568" w:rsidRPr="00D61A47">
        <w:rPr>
          <w:szCs w:val="24"/>
        </w:rPr>
        <w:t xml:space="preserve">.  The EFAA specifically provides that </w:t>
      </w:r>
      <w:r w:rsidR="00AD7118" w:rsidRPr="00D61A47">
        <w:rPr>
          <w:szCs w:val="24"/>
        </w:rPr>
        <w:t>bank</w:t>
      </w:r>
      <w:r w:rsidR="00763568" w:rsidRPr="00D61A47">
        <w:rPr>
          <w:szCs w:val="24"/>
        </w:rPr>
        <w:t xml:space="preserve">s are not required to use these model forms and clauses.  </w:t>
      </w:r>
      <w:r w:rsidR="00AF7DF6" w:rsidRPr="00D61A47">
        <w:rPr>
          <w:szCs w:val="24"/>
        </w:rPr>
        <w:t>However, a</w:t>
      </w:r>
      <w:r w:rsidR="00763568" w:rsidRPr="00D61A47">
        <w:rPr>
          <w:szCs w:val="24"/>
        </w:rPr>
        <w:t xml:space="preserve"> </w:t>
      </w:r>
      <w:r w:rsidR="00AD7118" w:rsidRPr="00D61A47">
        <w:rPr>
          <w:szCs w:val="24"/>
        </w:rPr>
        <w:t>bank</w:t>
      </w:r>
      <w:r w:rsidR="00763568" w:rsidRPr="00D61A47">
        <w:rPr>
          <w:szCs w:val="24"/>
        </w:rPr>
        <w:t xml:space="preserve"> that uses one of the model forms appropriately is deemed to be in compliance with the EFAA's disclosure requirements.</w:t>
      </w:r>
      <w:r w:rsidR="00892566" w:rsidRPr="00D61A47">
        <w:rPr>
          <w:szCs w:val="24"/>
        </w:rPr>
        <w:t xml:space="preserve">  </w:t>
      </w:r>
      <w:r w:rsidR="006F52E4" w:rsidRPr="00D61A47">
        <w:rPr>
          <w:szCs w:val="24"/>
        </w:rPr>
        <w:t>As required by the Check 21 Act, t</w:t>
      </w:r>
      <w:r w:rsidR="00892566" w:rsidRPr="00D61A47">
        <w:rPr>
          <w:szCs w:val="24"/>
        </w:rPr>
        <w:t xml:space="preserve">he Federal Reserve published a model </w:t>
      </w:r>
      <w:r w:rsidR="00E47FF9" w:rsidRPr="00D61A47">
        <w:rPr>
          <w:szCs w:val="24"/>
        </w:rPr>
        <w:t>disclosure</w:t>
      </w:r>
      <w:r w:rsidR="00892566" w:rsidRPr="00D61A47">
        <w:rPr>
          <w:szCs w:val="24"/>
        </w:rPr>
        <w:t xml:space="preserve"> that </w:t>
      </w:r>
      <w:r w:rsidR="004D663A" w:rsidRPr="00D61A47">
        <w:rPr>
          <w:szCs w:val="24"/>
        </w:rPr>
        <w:t xml:space="preserve">a </w:t>
      </w:r>
      <w:r w:rsidR="00892566" w:rsidRPr="00D61A47">
        <w:rPr>
          <w:szCs w:val="24"/>
        </w:rPr>
        <w:t xml:space="preserve">bank </w:t>
      </w:r>
      <w:r w:rsidR="004D663A" w:rsidRPr="00D61A47">
        <w:rPr>
          <w:szCs w:val="24"/>
        </w:rPr>
        <w:t xml:space="preserve">may, at its option, </w:t>
      </w:r>
      <w:r w:rsidR="00892566" w:rsidRPr="00D61A47">
        <w:rPr>
          <w:szCs w:val="24"/>
        </w:rPr>
        <w:t xml:space="preserve">use as a </w:t>
      </w:r>
      <w:r w:rsidR="00970671" w:rsidRPr="00D61A47">
        <w:rPr>
          <w:szCs w:val="24"/>
        </w:rPr>
        <w:t xml:space="preserve">safe harbor to satisfy the general consumer awareness disclosure requirements of that law.  The Federal Reserve also published model notices that banks may use to satisfy their notice obligations regarding substitute check error resolution claims, but neither the </w:t>
      </w:r>
      <w:r w:rsidR="00190810" w:rsidRPr="00D61A47">
        <w:rPr>
          <w:szCs w:val="24"/>
        </w:rPr>
        <w:t>Check 21 Act</w:t>
      </w:r>
      <w:r w:rsidR="00970671" w:rsidRPr="00D61A47">
        <w:rPr>
          <w:szCs w:val="24"/>
        </w:rPr>
        <w:t xml:space="preserve"> nor Regulation CC provide a safe harbor for using </w:t>
      </w:r>
      <w:r w:rsidR="00E47FF9" w:rsidRPr="00D61A47">
        <w:rPr>
          <w:szCs w:val="24"/>
        </w:rPr>
        <w:t>these</w:t>
      </w:r>
      <w:r w:rsidR="00970671" w:rsidRPr="00D61A47">
        <w:rPr>
          <w:szCs w:val="24"/>
        </w:rPr>
        <w:t xml:space="preserve"> notices.</w:t>
      </w:r>
    </w:p>
    <w:p w:rsidR="0003120B" w:rsidRPr="00D61A47" w:rsidRDefault="0003120B" w:rsidP="0003120B">
      <w:pPr>
        <w:tabs>
          <w:tab w:val="left" w:pos="0"/>
        </w:tabs>
        <w:rPr>
          <w:szCs w:val="24"/>
        </w:rPr>
      </w:pPr>
    </w:p>
    <w:p w:rsidR="006A6EA2" w:rsidRPr="00D61A47" w:rsidRDefault="00763568" w:rsidP="0003120B">
      <w:pPr>
        <w:tabs>
          <w:tab w:val="left" w:pos="0"/>
        </w:tabs>
        <w:rPr>
          <w:b/>
          <w:color w:val="000000"/>
          <w:szCs w:val="24"/>
        </w:rPr>
      </w:pPr>
      <w:r w:rsidRPr="00D61A47">
        <w:rPr>
          <w:b/>
          <w:color w:val="000000"/>
          <w:szCs w:val="24"/>
        </w:rPr>
        <w:t>Description of Information Collection</w:t>
      </w:r>
    </w:p>
    <w:p w:rsidR="006A6EA2" w:rsidRPr="00D61A47" w:rsidRDefault="006A6EA2" w:rsidP="006A6EA2">
      <w:pPr>
        <w:tabs>
          <w:tab w:val="left" w:pos="367"/>
          <w:tab w:val="left" w:pos="1087"/>
        </w:tabs>
        <w:rPr>
          <w:b/>
          <w:color w:val="000000"/>
          <w:szCs w:val="24"/>
        </w:rPr>
      </w:pPr>
    </w:p>
    <w:p w:rsidR="003B0DC6" w:rsidRPr="00D61A47" w:rsidRDefault="00BD1E3F" w:rsidP="003B0DC6">
      <w:pPr>
        <w:tabs>
          <w:tab w:val="left" w:pos="367"/>
          <w:tab w:val="left" w:pos="1087"/>
        </w:tabs>
        <w:ind w:left="720"/>
        <w:rPr>
          <w:b/>
          <w:color w:val="000000"/>
          <w:szCs w:val="24"/>
        </w:rPr>
      </w:pPr>
      <w:r w:rsidRPr="00D61A47">
        <w:rPr>
          <w:b/>
          <w:szCs w:val="24"/>
        </w:rPr>
        <w:t>Specific availability policy disclosure</w:t>
      </w:r>
      <w:r w:rsidR="00763568" w:rsidRPr="00D61A47">
        <w:rPr>
          <w:b/>
          <w:color w:val="000000"/>
          <w:szCs w:val="24"/>
        </w:rPr>
        <w:t xml:space="preserve"> </w:t>
      </w:r>
      <w:r w:rsidRPr="00D61A47">
        <w:rPr>
          <w:b/>
          <w:color w:val="000000"/>
          <w:szCs w:val="24"/>
        </w:rPr>
        <w:t>(section</w:t>
      </w:r>
      <w:r w:rsidR="00763568" w:rsidRPr="00D61A47">
        <w:rPr>
          <w:b/>
          <w:color w:val="000000"/>
          <w:szCs w:val="24"/>
        </w:rPr>
        <w:t xml:space="preserve"> 229.16</w:t>
      </w:r>
      <w:r w:rsidRPr="00D61A47">
        <w:rPr>
          <w:b/>
          <w:color w:val="000000"/>
          <w:szCs w:val="24"/>
        </w:rPr>
        <w:t>)</w:t>
      </w:r>
      <w:r w:rsidR="00763568" w:rsidRPr="00D61A47">
        <w:rPr>
          <w:b/>
          <w:color w:val="000000"/>
          <w:szCs w:val="24"/>
        </w:rPr>
        <w:t xml:space="preserve"> and</w:t>
      </w:r>
      <w:r w:rsidRPr="00D61A47">
        <w:rPr>
          <w:b/>
          <w:color w:val="000000"/>
          <w:szCs w:val="24"/>
        </w:rPr>
        <w:t xml:space="preserve"> </w:t>
      </w:r>
      <w:r w:rsidRPr="00D61A47">
        <w:rPr>
          <w:b/>
          <w:szCs w:val="24"/>
        </w:rPr>
        <w:t>Initial disclosures</w:t>
      </w:r>
      <w:r w:rsidR="00763568" w:rsidRPr="00D61A47">
        <w:rPr>
          <w:b/>
          <w:color w:val="000000"/>
          <w:szCs w:val="24"/>
        </w:rPr>
        <w:t xml:space="preserve"> </w:t>
      </w:r>
      <w:r w:rsidRPr="00D61A47">
        <w:rPr>
          <w:b/>
          <w:color w:val="000000"/>
          <w:szCs w:val="24"/>
        </w:rPr>
        <w:t xml:space="preserve">(section </w:t>
      </w:r>
      <w:r w:rsidR="00763568" w:rsidRPr="00D61A47">
        <w:rPr>
          <w:b/>
          <w:color w:val="000000"/>
          <w:szCs w:val="24"/>
        </w:rPr>
        <w:t>229.17)</w:t>
      </w:r>
    </w:p>
    <w:p w:rsidR="008333EC" w:rsidRPr="00D61A47" w:rsidRDefault="008333EC" w:rsidP="003B0DC6">
      <w:pPr>
        <w:tabs>
          <w:tab w:val="left" w:pos="367"/>
          <w:tab w:val="left" w:pos="1087"/>
        </w:tabs>
        <w:ind w:left="720"/>
        <w:rPr>
          <w:b/>
          <w:color w:val="000000"/>
          <w:szCs w:val="24"/>
        </w:rPr>
      </w:pPr>
    </w:p>
    <w:p w:rsidR="00763568" w:rsidRPr="00D61A47" w:rsidRDefault="003B0DC6" w:rsidP="003B0DC6">
      <w:pPr>
        <w:tabs>
          <w:tab w:val="left" w:pos="367"/>
          <w:tab w:val="left" w:pos="720"/>
        </w:tabs>
        <w:rPr>
          <w:b/>
          <w:color w:val="000000"/>
          <w:szCs w:val="24"/>
        </w:rPr>
      </w:pPr>
      <w:r w:rsidRPr="00D61A47">
        <w:rPr>
          <w:b/>
          <w:color w:val="000000"/>
          <w:szCs w:val="24"/>
        </w:rPr>
        <w:tab/>
      </w:r>
      <w:r w:rsidRPr="00D61A47">
        <w:rPr>
          <w:b/>
          <w:color w:val="000000"/>
          <w:szCs w:val="24"/>
        </w:rPr>
        <w:tab/>
      </w:r>
      <w:r w:rsidRPr="00D61A47">
        <w:rPr>
          <w:szCs w:val="24"/>
        </w:rPr>
        <w:t>B</w:t>
      </w:r>
      <w:r w:rsidR="00763568" w:rsidRPr="00D61A47">
        <w:rPr>
          <w:szCs w:val="24"/>
        </w:rPr>
        <w:t xml:space="preserve">efore accepting a deposit to open a new transaction account, </w:t>
      </w:r>
      <w:r w:rsidR="00AD7118" w:rsidRPr="00D61A47">
        <w:rPr>
          <w:szCs w:val="24"/>
        </w:rPr>
        <w:t>bank</w:t>
      </w:r>
      <w:r w:rsidR="00763568" w:rsidRPr="00D61A47">
        <w:rPr>
          <w:szCs w:val="24"/>
        </w:rPr>
        <w:t xml:space="preserve">s must provide written disclosures stating when deposited funds generally will be available for withdrawal, referred to as a specific availability-policy disclosure.  The disclosure must reflect the availability policy followed by the </w:t>
      </w:r>
      <w:r w:rsidR="00D6578E" w:rsidRPr="00D61A47">
        <w:rPr>
          <w:szCs w:val="24"/>
        </w:rPr>
        <w:t>bank</w:t>
      </w:r>
      <w:r w:rsidR="00763568" w:rsidRPr="00D61A47">
        <w:rPr>
          <w:szCs w:val="24"/>
        </w:rPr>
        <w:t xml:space="preserve"> in most cases, that is, as to most transaction accounts and most deposits into those accounts.  The disclosure must include, to the extent applicable, a description of:</w:t>
      </w:r>
    </w:p>
    <w:p w:rsidR="00763568" w:rsidRPr="00D61A47" w:rsidRDefault="00763568" w:rsidP="006A6EA2">
      <w:pPr>
        <w:numPr>
          <w:ilvl w:val="0"/>
          <w:numId w:val="3"/>
        </w:numPr>
        <w:tabs>
          <w:tab w:val="left" w:pos="1087"/>
        </w:tabs>
        <w:rPr>
          <w:color w:val="000000"/>
          <w:szCs w:val="24"/>
        </w:rPr>
      </w:pPr>
      <w:r w:rsidRPr="00D61A47">
        <w:rPr>
          <w:color w:val="000000"/>
          <w:szCs w:val="24"/>
        </w:rPr>
        <w:t xml:space="preserve">the categories of deposits or checks the </w:t>
      </w:r>
      <w:r w:rsidR="00D6578E" w:rsidRPr="00D61A47">
        <w:rPr>
          <w:color w:val="000000"/>
          <w:szCs w:val="24"/>
        </w:rPr>
        <w:t>bank</w:t>
      </w:r>
      <w:r w:rsidRPr="00D61A47">
        <w:rPr>
          <w:color w:val="000000"/>
          <w:szCs w:val="24"/>
        </w:rPr>
        <w:t xml:space="preserve"> uses when it delays availability, how to determine into which category a check or deposit falls, and when each category of check or deposit is available for withdrawal;</w:t>
      </w:r>
    </w:p>
    <w:p w:rsidR="00763568" w:rsidRPr="00D61A47" w:rsidRDefault="00763568" w:rsidP="006A6EA2">
      <w:pPr>
        <w:numPr>
          <w:ilvl w:val="0"/>
          <w:numId w:val="3"/>
        </w:numPr>
        <w:tabs>
          <w:tab w:val="left" w:pos="1087"/>
        </w:tabs>
        <w:rPr>
          <w:color w:val="000000"/>
          <w:szCs w:val="24"/>
        </w:rPr>
      </w:pPr>
      <w:r w:rsidRPr="00D61A47">
        <w:rPr>
          <w:color w:val="000000"/>
          <w:szCs w:val="24"/>
        </w:rPr>
        <w:t xml:space="preserve">any of the exceptions permitted by Regulation CC to the availability requirements of the regulation that may be invoked by the </w:t>
      </w:r>
      <w:r w:rsidR="00D6578E" w:rsidRPr="00D61A47">
        <w:rPr>
          <w:color w:val="000000"/>
          <w:szCs w:val="24"/>
        </w:rPr>
        <w:t>bank</w:t>
      </w:r>
      <w:r w:rsidRPr="00D61A47">
        <w:rPr>
          <w:color w:val="000000"/>
          <w:szCs w:val="24"/>
        </w:rPr>
        <w:t>;</w:t>
      </w:r>
    </w:p>
    <w:p w:rsidR="00763568" w:rsidRPr="00D61A47" w:rsidRDefault="00763568" w:rsidP="006A6EA2">
      <w:pPr>
        <w:numPr>
          <w:ilvl w:val="0"/>
          <w:numId w:val="3"/>
        </w:numPr>
        <w:tabs>
          <w:tab w:val="left" w:pos="1087"/>
        </w:tabs>
        <w:rPr>
          <w:color w:val="000000"/>
          <w:szCs w:val="24"/>
        </w:rPr>
      </w:pPr>
      <w:r w:rsidRPr="00D61A47">
        <w:rPr>
          <w:color w:val="000000"/>
          <w:szCs w:val="24"/>
        </w:rPr>
        <w:t>any case-by-case policy of delaying availability longer than the time periods stated in the specific availability policy, if the specific availability policy makes funds available for withdrawal sooner than required by Regulation CC;</w:t>
      </w:r>
    </w:p>
    <w:p w:rsidR="00A8075D" w:rsidRPr="00D61A47" w:rsidRDefault="00763568" w:rsidP="00A8075D">
      <w:pPr>
        <w:numPr>
          <w:ilvl w:val="0"/>
          <w:numId w:val="3"/>
        </w:numPr>
        <w:tabs>
          <w:tab w:val="left" w:pos="1087"/>
        </w:tabs>
        <w:rPr>
          <w:color w:val="000000"/>
          <w:szCs w:val="24"/>
        </w:rPr>
      </w:pPr>
      <w:proofErr w:type="gramStart"/>
      <w:r w:rsidRPr="00D61A47">
        <w:rPr>
          <w:szCs w:val="24"/>
        </w:rPr>
        <w:t>a</w:t>
      </w:r>
      <w:proofErr w:type="gramEnd"/>
      <w:r w:rsidRPr="00D61A47">
        <w:rPr>
          <w:szCs w:val="24"/>
        </w:rPr>
        <w:t xml:space="preserve"> description of how to differentiate between proprietary and nonproprietary automatic teller machines (ATMs) if the </w:t>
      </w:r>
      <w:r w:rsidR="00D6578E" w:rsidRPr="00D61A47">
        <w:rPr>
          <w:szCs w:val="24"/>
        </w:rPr>
        <w:t>bank</w:t>
      </w:r>
      <w:r w:rsidRPr="00D61A47">
        <w:rPr>
          <w:szCs w:val="24"/>
        </w:rPr>
        <w:t>’s availability policy differs between the two.</w:t>
      </w:r>
    </w:p>
    <w:p w:rsidR="00A8075D" w:rsidRPr="00D61A47" w:rsidRDefault="00A8075D" w:rsidP="00A8075D">
      <w:pPr>
        <w:tabs>
          <w:tab w:val="left" w:pos="1087"/>
        </w:tabs>
        <w:rPr>
          <w:szCs w:val="24"/>
        </w:rPr>
      </w:pPr>
    </w:p>
    <w:p w:rsidR="006A6EA2" w:rsidRPr="00D61A47" w:rsidRDefault="00A8075D" w:rsidP="00A8075D">
      <w:pPr>
        <w:tabs>
          <w:tab w:val="left" w:pos="0"/>
          <w:tab w:val="left" w:pos="360"/>
        </w:tabs>
        <w:rPr>
          <w:color w:val="000000"/>
          <w:szCs w:val="24"/>
        </w:rPr>
      </w:pPr>
      <w:r w:rsidRPr="00D61A47">
        <w:rPr>
          <w:szCs w:val="24"/>
        </w:rPr>
        <w:tab/>
      </w:r>
      <w:r w:rsidR="003B0DC6" w:rsidRPr="00D61A47">
        <w:rPr>
          <w:szCs w:val="24"/>
        </w:rPr>
        <w:tab/>
      </w:r>
      <w:r w:rsidRPr="00D61A47">
        <w:rPr>
          <w:szCs w:val="24"/>
        </w:rPr>
        <w:t>W</w:t>
      </w:r>
      <w:r w:rsidR="00763568" w:rsidRPr="00D61A47">
        <w:rPr>
          <w:szCs w:val="24"/>
        </w:rPr>
        <w:t xml:space="preserve">hen a </w:t>
      </w:r>
      <w:r w:rsidR="00D6578E" w:rsidRPr="00D61A47">
        <w:rPr>
          <w:szCs w:val="24"/>
        </w:rPr>
        <w:t>bank</w:t>
      </w:r>
      <w:r w:rsidR="00763568" w:rsidRPr="00D61A47">
        <w:rPr>
          <w:szCs w:val="24"/>
        </w:rPr>
        <w:t xml:space="preserve"> receives a written request by mail to open an account and the request includes a deposit, the </w:t>
      </w:r>
      <w:r w:rsidR="00D6578E" w:rsidRPr="00D61A47">
        <w:rPr>
          <w:szCs w:val="24"/>
        </w:rPr>
        <w:t>bank</w:t>
      </w:r>
      <w:r w:rsidR="00763568" w:rsidRPr="00D61A47">
        <w:rPr>
          <w:szCs w:val="24"/>
        </w:rPr>
        <w:t xml:space="preserve"> may open the account, but must mail the disclosures no later than the next business day following the banking day on which the deposit was received.  When a telephone request is made to open an account and includes a request to transfer funds from </w:t>
      </w:r>
      <w:r w:rsidR="00763568" w:rsidRPr="00D61A47">
        <w:rPr>
          <w:szCs w:val="24"/>
        </w:rPr>
        <w:lastRenderedPageBreak/>
        <w:t>another account to make the initial deposit, the initial disclosures must be mailed no later than the next business day following the banking day on which the request was made.</w:t>
      </w:r>
    </w:p>
    <w:p w:rsidR="006A6EA2" w:rsidRPr="00D61A47" w:rsidRDefault="006A6EA2" w:rsidP="006A6EA2">
      <w:pPr>
        <w:pStyle w:val="BodyTextIndent2"/>
        <w:tabs>
          <w:tab w:val="clear" w:pos="367"/>
          <w:tab w:val="clear" w:pos="720"/>
        </w:tabs>
        <w:rPr>
          <w:szCs w:val="24"/>
        </w:rPr>
      </w:pPr>
    </w:p>
    <w:p w:rsidR="00763568" w:rsidRPr="00D61A47" w:rsidRDefault="00763568" w:rsidP="006A6EA2">
      <w:pPr>
        <w:pStyle w:val="BodyTextIndent2"/>
        <w:tabs>
          <w:tab w:val="clear" w:pos="367"/>
          <w:tab w:val="clear" w:pos="720"/>
        </w:tabs>
        <w:ind w:left="720" w:firstLine="0"/>
        <w:rPr>
          <w:szCs w:val="24"/>
        </w:rPr>
      </w:pPr>
      <w:r w:rsidRPr="00D61A47">
        <w:rPr>
          <w:b/>
          <w:szCs w:val="24"/>
        </w:rPr>
        <w:t>Disclosure of specific availability policy to any person upon request (sections 229.16 and 229.18(d))</w:t>
      </w:r>
    </w:p>
    <w:p w:rsidR="00763568" w:rsidRPr="00D61A47" w:rsidRDefault="00763568" w:rsidP="000F1E8E">
      <w:pPr>
        <w:tabs>
          <w:tab w:val="left" w:pos="367"/>
          <w:tab w:val="left" w:pos="1087"/>
        </w:tabs>
        <w:rPr>
          <w:color w:val="000000"/>
          <w:szCs w:val="24"/>
        </w:rPr>
      </w:pPr>
    </w:p>
    <w:p w:rsidR="00763568" w:rsidRPr="00D61A47" w:rsidRDefault="00A8075D" w:rsidP="00A8075D">
      <w:pPr>
        <w:pStyle w:val="BodyTextIndent2"/>
        <w:tabs>
          <w:tab w:val="clear" w:pos="367"/>
          <w:tab w:val="clear" w:pos="720"/>
          <w:tab w:val="left" w:pos="360"/>
        </w:tabs>
        <w:ind w:firstLine="0"/>
        <w:rPr>
          <w:szCs w:val="24"/>
        </w:rPr>
      </w:pPr>
      <w:r w:rsidRPr="00D61A47">
        <w:rPr>
          <w:szCs w:val="24"/>
        </w:rPr>
        <w:tab/>
      </w:r>
      <w:r w:rsidR="003B0DC6" w:rsidRPr="00D61A47">
        <w:rPr>
          <w:szCs w:val="24"/>
        </w:rPr>
        <w:tab/>
      </w:r>
      <w:r w:rsidR="003C7357" w:rsidRPr="00D61A47">
        <w:rPr>
          <w:szCs w:val="24"/>
        </w:rPr>
        <w:t>Section 229.18(d) provides that a</w:t>
      </w:r>
      <w:r w:rsidR="00763568" w:rsidRPr="00D61A47">
        <w:rPr>
          <w:szCs w:val="24"/>
        </w:rPr>
        <w:t xml:space="preserve"> </w:t>
      </w:r>
      <w:r w:rsidR="00D6578E" w:rsidRPr="00D61A47">
        <w:rPr>
          <w:szCs w:val="24"/>
        </w:rPr>
        <w:t>bank</w:t>
      </w:r>
      <w:r w:rsidR="00763568" w:rsidRPr="00D61A47">
        <w:rPr>
          <w:szCs w:val="24"/>
        </w:rPr>
        <w:t xml:space="preserve"> must provide the specific availability-policy disclosure</w:t>
      </w:r>
      <w:r w:rsidR="002604C7" w:rsidRPr="00D61A47">
        <w:rPr>
          <w:szCs w:val="24"/>
        </w:rPr>
        <w:t xml:space="preserve"> </w:t>
      </w:r>
      <w:r w:rsidR="003C7357" w:rsidRPr="00D61A47">
        <w:rPr>
          <w:szCs w:val="24"/>
        </w:rPr>
        <w:t>described</w:t>
      </w:r>
      <w:r w:rsidR="002604C7" w:rsidRPr="00D61A47">
        <w:rPr>
          <w:szCs w:val="24"/>
        </w:rPr>
        <w:t xml:space="preserve"> </w:t>
      </w:r>
      <w:r w:rsidR="003C7357" w:rsidRPr="00D61A47">
        <w:rPr>
          <w:szCs w:val="24"/>
        </w:rPr>
        <w:t>in</w:t>
      </w:r>
      <w:r w:rsidR="002604C7" w:rsidRPr="00D61A47">
        <w:rPr>
          <w:szCs w:val="24"/>
        </w:rPr>
        <w:t xml:space="preserve"> 229.16</w:t>
      </w:r>
      <w:r w:rsidR="00763568" w:rsidRPr="00D61A47">
        <w:rPr>
          <w:szCs w:val="24"/>
        </w:rPr>
        <w:t>, to any person who makes an oral or written request regarding the policy.</w:t>
      </w:r>
    </w:p>
    <w:p w:rsidR="00763568" w:rsidRPr="00D61A47" w:rsidRDefault="00763568" w:rsidP="000F1E8E">
      <w:pPr>
        <w:tabs>
          <w:tab w:val="left" w:pos="367"/>
          <w:tab w:val="left" w:pos="720"/>
        </w:tabs>
        <w:rPr>
          <w:b/>
          <w:color w:val="000000"/>
          <w:szCs w:val="24"/>
        </w:rPr>
      </w:pPr>
    </w:p>
    <w:p w:rsidR="000E3274" w:rsidRPr="00D61A47" w:rsidRDefault="000E3274" w:rsidP="000F1E8E">
      <w:pPr>
        <w:ind w:firstLine="720"/>
        <w:rPr>
          <w:iCs/>
          <w:snapToGrid/>
          <w:szCs w:val="24"/>
        </w:rPr>
      </w:pPr>
      <w:r w:rsidRPr="00D61A47">
        <w:rPr>
          <w:b/>
          <w:iCs/>
          <w:snapToGrid/>
          <w:szCs w:val="24"/>
        </w:rPr>
        <w:t>Longer delays on a case-by-case basis - Notice in specific policy disclosure</w:t>
      </w:r>
    </w:p>
    <w:p w:rsidR="00763568" w:rsidRPr="00D61A47" w:rsidRDefault="00F41C46" w:rsidP="000F1E8E">
      <w:pPr>
        <w:ind w:firstLine="720"/>
        <w:rPr>
          <w:color w:val="000000"/>
          <w:szCs w:val="24"/>
        </w:rPr>
      </w:pPr>
      <w:r w:rsidRPr="00D61A47">
        <w:rPr>
          <w:b/>
          <w:szCs w:val="24"/>
        </w:rPr>
        <w:t>(</w:t>
      </w:r>
      <w:proofErr w:type="gramStart"/>
      <w:r w:rsidRPr="00D61A47">
        <w:rPr>
          <w:b/>
          <w:szCs w:val="24"/>
        </w:rPr>
        <w:t>section</w:t>
      </w:r>
      <w:proofErr w:type="gramEnd"/>
      <w:r w:rsidRPr="00D61A47">
        <w:rPr>
          <w:b/>
          <w:szCs w:val="24"/>
        </w:rPr>
        <w:t xml:space="preserve"> </w:t>
      </w:r>
      <w:r w:rsidR="000E3274" w:rsidRPr="00D61A47">
        <w:rPr>
          <w:b/>
          <w:color w:val="000000"/>
          <w:szCs w:val="24"/>
        </w:rPr>
        <w:t>229.16(c))</w:t>
      </w:r>
    </w:p>
    <w:p w:rsidR="00763568" w:rsidRPr="00D61A47" w:rsidRDefault="00763568" w:rsidP="000F1E8E">
      <w:pPr>
        <w:tabs>
          <w:tab w:val="left" w:pos="367"/>
          <w:tab w:val="left" w:pos="1087"/>
        </w:tabs>
        <w:ind w:left="360"/>
        <w:rPr>
          <w:color w:val="000000"/>
          <w:szCs w:val="24"/>
        </w:rPr>
      </w:pPr>
    </w:p>
    <w:p w:rsidR="00763568" w:rsidRPr="00D61A47" w:rsidRDefault="003B0DC6" w:rsidP="00A8075D">
      <w:pPr>
        <w:pStyle w:val="BodyTextIndent2"/>
        <w:tabs>
          <w:tab w:val="clear" w:pos="367"/>
          <w:tab w:val="clear" w:pos="720"/>
        </w:tabs>
        <w:ind w:firstLine="360"/>
        <w:rPr>
          <w:szCs w:val="24"/>
        </w:rPr>
      </w:pPr>
      <w:r w:rsidRPr="00D61A47">
        <w:rPr>
          <w:szCs w:val="24"/>
        </w:rPr>
        <w:tab/>
      </w:r>
      <w:r w:rsidR="00763568" w:rsidRPr="00D61A47">
        <w:rPr>
          <w:szCs w:val="24"/>
        </w:rPr>
        <w:t xml:space="preserve">If a </w:t>
      </w:r>
      <w:r w:rsidR="00D6578E" w:rsidRPr="00D61A47">
        <w:rPr>
          <w:szCs w:val="24"/>
        </w:rPr>
        <w:t>bank</w:t>
      </w:r>
      <w:r w:rsidR="00763568" w:rsidRPr="00D61A47">
        <w:rPr>
          <w:szCs w:val="24"/>
        </w:rPr>
        <w:t xml:space="preserve"> has a policy of generally making funds available for withdrawal sooner than required under Regulation CC, but delaying availability on a case-by-case basis, the customer must receive not only advance notice of the policy (as described above), but also notice each time a delay is imposed.  The notice must include the date of deposit, the amount being delayed, and the date funds will be available for withdrawal.  If the notice is not provided at the time of deposit, it must be mailed or delivered no later than the first business day following the banking day of the deposit.</w:t>
      </w:r>
    </w:p>
    <w:p w:rsidR="00763568" w:rsidRPr="00D61A47" w:rsidRDefault="00763568" w:rsidP="000F1E8E">
      <w:pPr>
        <w:tabs>
          <w:tab w:val="left" w:pos="367"/>
          <w:tab w:val="left" w:pos="1087"/>
        </w:tabs>
        <w:rPr>
          <w:color w:val="000000"/>
          <w:szCs w:val="24"/>
        </w:rPr>
      </w:pPr>
    </w:p>
    <w:p w:rsidR="00763568" w:rsidRPr="00D61A47" w:rsidRDefault="00763568" w:rsidP="000F1E8E">
      <w:pPr>
        <w:ind w:firstLine="720"/>
        <w:rPr>
          <w:b/>
          <w:color w:val="000000"/>
          <w:szCs w:val="24"/>
        </w:rPr>
      </w:pPr>
      <w:r w:rsidRPr="00D61A47">
        <w:rPr>
          <w:b/>
          <w:color w:val="000000"/>
          <w:szCs w:val="24"/>
        </w:rPr>
        <w:t>Notice of exceptions (section 229.13(g))</w:t>
      </w:r>
    </w:p>
    <w:p w:rsidR="00763568" w:rsidRPr="00D61A47" w:rsidRDefault="00763568" w:rsidP="000F1E8E">
      <w:pPr>
        <w:tabs>
          <w:tab w:val="left" w:pos="367"/>
          <w:tab w:val="left" w:pos="1087"/>
        </w:tabs>
        <w:rPr>
          <w:b/>
          <w:color w:val="000000"/>
          <w:szCs w:val="24"/>
        </w:rPr>
      </w:pPr>
    </w:p>
    <w:p w:rsidR="00763568" w:rsidRPr="00D61A47" w:rsidRDefault="003B0DC6" w:rsidP="00A8075D">
      <w:pPr>
        <w:pStyle w:val="BodyText3"/>
        <w:tabs>
          <w:tab w:val="clear" w:pos="367"/>
          <w:tab w:val="clear" w:pos="1087"/>
        </w:tabs>
        <w:ind w:firstLine="360"/>
        <w:rPr>
          <w:szCs w:val="24"/>
        </w:rPr>
      </w:pPr>
      <w:r w:rsidRPr="00D61A47">
        <w:rPr>
          <w:szCs w:val="24"/>
        </w:rPr>
        <w:tab/>
      </w:r>
      <w:r w:rsidR="00763568" w:rsidRPr="00D61A47">
        <w:rPr>
          <w:szCs w:val="24"/>
        </w:rPr>
        <w:t xml:space="preserve">Regulation CC permits </w:t>
      </w:r>
      <w:r w:rsidR="00D6578E" w:rsidRPr="00D61A47">
        <w:rPr>
          <w:szCs w:val="24"/>
        </w:rPr>
        <w:t>bank</w:t>
      </w:r>
      <w:r w:rsidR="00763568" w:rsidRPr="00D61A47">
        <w:rPr>
          <w:szCs w:val="24"/>
        </w:rPr>
        <w:t>s to invoke certain exceptions to the availability schedules required</w:t>
      </w:r>
      <w:r w:rsidR="00A369B5" w:rsidRPr="00D61A47">
        <w:rPr>
          <w:szCs w:val="24"/>
        </w:rPr>
        <w:t xml:space="preserve"> by the regulation.  Whenever a</w:t>
      </w:r>
      <w:r w:rsidR="00763568" w:rsidRPr="00D61A47">
        <w:rPr>
          <w:szCs w:val="24"/>
        </w:rPr>
        <w:t xml:space="preserve"> </w:t>
      </w:r>
      <w:r w:rsidR="00D6578E" w:rsidRPr="00D61A47">
        <w:rPr>
          <w:szCs w:val="24"/>
        </w:rPr>
        <w:t>bank</w:t>
      </w:r>
      <w:r w:rsidR="00763568" w:rsidRPr="00D61A47">
        <w:rPr>
          <w:szCs w:val="24"/>
        </w:rPr>
        <w:t xml:space="preserve"> invokes such an exception, it must notify the customer in writing.  (Special rules apply to exceptions pertaining to large dollar deposits and </w:t>
      </w:r>
      <w:proofErr w:type="spellStart"/>
      <w:r w:rsidR="00763568" w:rsidRPr="00D61A47">
        <w:rPr>
          <w:szCs w:val="24"/>
        </w:rPr>
        <w:t>redeposited</w:t>
      </w:r>
      <w:proofErr w:type="spellEnd"/>
      <w:r w:rsidR="00763568" w:rsidRPr="00D61A47">
        <w:rPr>
          <w:szCs w:val="24"/>
        </w:rPr>
        <w:t xml:space="preserve"> checks into </w:t>
      </w:r>
      <w:proofErr w:type="spellStart"/>
      <w:r w:rsidR="00763568" w:rsidRPr="00D61A47">
        <w:rPr>
          <w:szCs w:val="24"/>
        </w:rPr>
        <w:t>nonconsumer</w:t>
      </w:r>
      <w:proofErr w:type="spellEnd"/>
      <w:r w:rsidR="00763568" w:rsidRPr="00D61A47">
        <w:rPr>
          <w:szCs w:val="24"/>
        </w:rPr>
        <w:t xml:space="preserve"> accounts, as well as an exception pertaining to repeated overdrafts.)   The notice must include the date of deposit, the amount being delayed, the reason the exception was invoked, and when funds will be available for withdrawal.  If the notice is not provided at the time of deposit, it must be mailed or delivered by the later of: the first business day following the banking day of the deposit, or the first business day following the day the bank becomes aware of the facts upon which the exception hold is based.</w:t>
      </w:r>
    </w:p>
    <w:p w:rsidR="0012786A" w:rsidRPr="00D61A47" w:rsidRDefault="0012786A" w:rsidP="00A60A59">
      <w:pPr>
        <w:ind w:firstLine="360"/>
        <w:rPr>
          <w:b/>
          <w:color w:val="000000"/>
          <w:szCs w:val="24"/>
        </w:rPr>
      </w:pPr>
    </w:p>
    <w:p w:rsidR="00763568" w:rsidRPr="00D61A47" w:rsidRDefault="00763568" w:rsidP="00263CE0">
      <w:pPr>
        <w:ind w:firstLine="720"/>
        <w:rPr>
          <w:b/>
          <w:color w:val="000000"/>
          <w:szCs w:val="24"/>
        </w:rPr>
      </w:pPr>
      <w:r w:rsidRPr="00D61A47">
        <w:rPr>
          <w:b/>
          <w:color w:val="000000"/>
          <w:szCs w:val="24"/>
        </w:rPr>
        <w:t>Notice on preprinted deposit slips (section 229.18(a))</w:t>
      </w:r>
    </w:p>
    <w:p w:rsidR="00763568" w:rsidRPr="00D61A47" w:rsidRDefault="00763568" w:rsidP="000F1E8E">
      <w:pPr>
        <w:tabs>
          <w:tab w:val="left" w:pos="367"/>
          <w:tab w:val="left" w:pos="1087"/>
        </w:tabs>
        <w:rPr>
          <w:color w:val="000000"/>
          <w:szCs w:val="24"/>
        </w:rPr>
      </w:pPr>
    </w:p>
    <w:p w:rsidR="00763568" w:rsidRPr="00D61A47" w:rsidRDefault="003B0DC6" w:rsidP="00A8075D">
      <w:pPr>
        <w:pStyle w:val="BodyTextIndent3"/>
        <w:tabs>
          <w:tab w:val="clear" w:pos="367"/>
          <w:tab w:val="clear" w:pos="720"/>
        </w:tabs>
        <w:ind w:firstLine="360"/>
        <w:rPr>
          <w:szCs w:val="24"/>
        </w:rPr>
      </w:pPr>
      <w:r w:rsidRPr="00D61A47">
        <w:rPr>
          <w:szCs w:val="24"/>
        </w:rPr>
        <w:tab/>
      </w:r>
      <w:r w:rsidR="00763568" w:rsidRPr="00D61A47">
        <w:rPr>
          <w:szCs w:val="24"/>
        </w:rPr>
        <w:t>The preprinted deposit slip notice must inform the customer, on the face of the deposit slip, that deposits may not be available for immediate withdrawal.</w:t>
      </w:r>
      <w:r w:rsidR="009B1AAD" w:rsidRPr="00D61A47">
        <w:rPr>
          <w:szCs w:val="24"/>
        </w:rPr>
        <w:t xml:space="preserve">  This notice is </w:t>
      </w:r>
      <w:r w:rsidR="001E2562" w:rsidRPr="00D61A47">
        <w:rPr>
          <w:szCs w:val="24"/>
        </w:rPr>
        <w:t xml:space="preserve">a </w:t>
      </w:r>
      <w:r w:rsidR="009B1AAD" w:rsidRPr="00D61A47">
        <w:rPr>
          <w:szCs w:val="24"/>
        </w:rPr>
        <w:t>standardized, machine-generated form and does not change from one individual account to another; thus, t</w:t>
      </w:r>
      <w:r w:rsidR="00763568" w:rsidRPr="00D61A47">
        <w:rPr>
          <w:szCs w:val="24"/>
        </w:rPr>
        <w:t>he burden for this requirement is negligible.</w:t>
      </w:r>
    </w:p>
    <w:p w:rsidR="00763568" w:rsidRPr="00D61A47" w:rsidRDefault="00763568" w:rsidP="000F1E8E">
      <w:pPr>
        <w:tabs>
          <w:tab w:val="left" w:pos="367"/>
          <w:tab w:val="left" w:pos="1087"/>
        </w:tabs>
        <w:rPr>
          <w:b/>
          <w:color w:val="000000"/>
          <w:szCs w:val="24"/>
        </w:rPr>
      </w:pPr>
    </w:p>
    <w:p w:rsidR="00763568" w:rsidRPr="00D61A47" w:rsidRDefault="007B18BD" w:rsidP="0088170A">
      <w:pPr>
        <w:autoSpaceDE w:val="0"/>
        <w:autoSpaceDN w:val="0"/>
        <w:adjustRightInd w:val="0"/>
        <w:ind w:firstLine="360"/>
        <w:rPr>
          <w:b/>
          <w:snapToGrid/>
          <w:szCs w:val="24"/>
        </w:rPr>
      </w:pPr>
      <w:r w:rsidRPr="00D61A47">
        <w:rPr>
          <w:b/>
          <w:snapToGrid/>
          <w:szCs w:val="24"/>
        </w:rPr>
        <w:tab/>
      </w:r>
      <w:r w:rsidR="00AC3146" w:rsidRPr="00D61A47">
        <w:rPr>
          <w:b/>
          <w:snapToGrid/>
          <w:szCs w:val="24"/>
        </w:rPr>
        <w:t>Locations where employees accept consumer deposits</w:t>
      </w:r>
      <w:r w:rsidR="00AC3146" w:rsidRPr="00D61A47">
        <w:rPr>
          <w:b/>
          <w:szCs w:val="24"/>
        </w:rPr>
        <w:t xml:space="preserve"> (section 229.18(b)),</w:t>
      </w:r>
      <w:r w:rsidRPr="00D61A47">
        <w:rPr>
          <w:b/>
          <w:szCs w:val="24"/>
        </w:rPr>
        <w:t xml:space="preserve"> </w:t>
      </w:r>
      <w:r w:rsidRPr="00D61A47">
        <w:rPr>
          <w:b/>
          <w:szCs w:val="24"/>
        </w:rPr>
        <w:tab/>
      </w:r>
      <w:r w:rsidR="00AC3146" w:rsidRPr="00D61A47">
        <w:rPr>
          <w:b/>
          <w:iCs/>
          <w:snapToGrid/>
          <w:szCs w:val="24"/>
        </w:rPr>
        <w:t xml:space="preserve">Automated teller machines (ATMs) </w:t>
      </w:r>
      <w:r w:rsidR="00763568" w:rsidRPr="00D61A47">
        <w:rPr>
          <w:b/>
          <w:color w:val="000000"/>
          <w:szCs w:val="24"/>
        </w:rPr>
        <w:t>(section 229.18(c))</w:t>
      </w:r>
    </w:p>
    <w:p w:rsidR="00A8075D" w:rsidRPr="00D61A47" w:rsidRDefault="00763568" w:rsidP="00A8075D">
      <w:pPr>
        <w:pStyle w:val="BodyText"/>
        <w:jc w:val="left"/>
      </w:pPr>
      <w:r w:rsidRPr="00D61A47">
        <w:rPr>
          <w:i/>
        </w:rPr>
        <w:t xml:space="preserve">  </w:t>
      </w:r>
      <w:r w:rsidR="00A8075D" w:rsidRPr="00D61A47">
        <w:tab/>
      </w:r>
    </w:p>
    <w:p w:rsidR="00763568" w:rsidRPr="00D61A47" w:rsidRDefault="003B0DC6" w:rsidP="003B0DC6">
      <w:pPr>
        <w:pStyle w:val="BodyText"/>
        <w:tabs>
          <w:tab w:val="clear" w:pos="367"/>
          <w:tab w:val="clear" w:pos="1087"/>
          <w:tab w:val="left" w:pos="0"/>
        </w:tabs>
        <w:jc w:val="left"/>
        <w:rPr>
          <w:i/>
        </w:rPr>
      </w:pPr>
      <w:r w:rsidRPr="00D61A47">
        <w:tab/>
      </w:r>
      <w:r w:rsidR="00763568" w:rsidRPr="00D61A47">
        <w:t>A bank must post conspicuously in each location where consumers may make deposits a notice of its funds availability policy for consumer accounts.  The notice must be posted so that consumers are likely to see it prior to making a deposit.   A</w:t>
      </w:r>
      <w:r w:rsidR="00D6578E" w:rsidRPr="00D61A47">
        <w:t xml:space="preserve"> bank</w:t>
      </w:r>
      <w:r w:rsidR="00763568" w:rsidRPr="00D61A47">
        <w:t xml:space="preserve"> must also ensure that a notice is </w:t>
      </w:r>
      <w:r w:rsidR="00763568" w:rsidRPr="00D61A47">
        <w:lastRenderedPageBreak/>
        <w:t xml:space="preserve">posted at all ATMs accepting deposits for the </w:t>
      </w:r>
      <w:r w:rsidR="00D6578E" w:rsidRPr="00D61A47">
        <w:t>bank</w:t>
      </w:r>
      <w:r w:rsidR="00763568" w:rsidRPr="00D61A47">
        <w:t xml:space="preserve"> that ATM deposits may not be available for immediate withdrawal.  Such notice may be posted on a sign, on the screen of the ATM, or included on the deposit envelopes provided at the ATM.</w:t>
      </w:r>
    </w:p>
    <w:p w:rsidR="00763568" w:rsidRPr="00D61A47" w:rsidRDefault="00763568" w:rsidP="000F1E8E">
      <w:pPr>
        <w:tabs>
          <w:tab w:val="left" w:pos="367"/>
          <w:tab w:val="left" w:pos="1087"/>
        </w:tabs>
        <w:rPr>
          <w:color w:val="000000"/>
          <w:szCs w:val="24"/>
        </w:rPr>
      </w:pPr>
    </w:p>
    <w:p w:rsidR="00763568" w:rsidRPr="00D61A47" w:rsidRDefault="00763568" w:rsidP="000F1E8E">
      <w:pPr>
        <w:tabs>
          <w:tab w:val="left" w:pos="367"/>
          <w:tab w:val="left" w:pos="720"/>
        </w:tabs>
        <w:rPr>
          <w:b/>
          <w:color w:val="000000"/>
          <w:szCs w:val="24"/>
        </w:rPr>
      </w:pPr>
      <w:r w:rsidRPr="00D61A47">
        <w:rPr>
          <w:b/>
          <w:color w:val="000000"/>
          <w:szCs w:val="24"/>
        </w:rPr>
        <w:tab/>
      </w:r>
      <w:r w:rsidRPr="00D61A47">
        <w:rPr>
          <w:b/>
          <w:color w:val="000000"/>
          <w:szCs w:val="24"/>
        </w:rPr>
        <w:tab/>
        <w:t>Notice of changes in policy (section 229.18(e))</w:t>
      </w:r>
    </w:p>
    <w:p w:rsidR="00763568" w:rsidRPr="00D61A47" w:rsidRDefault="00763568" w:rsidP="000F1E8E">
      <w:pPr>
        <w:tabs>
          <w:tab w:val="left" w:pos="367"/>
          <w:tab w:val="left" w:pos="1087"/>
        </w:tabs>
        <w:rPr>
          <w:b/>
          <w:color w:val="000000"/>
          <w:szCs w:val="24"/>
        </w:rPr>
      </w:pPr>
    </w:p>
    <w:p w:rsidR="00763568" w:rsidRPr="00D61A47" w:rsidRDefault="003B0DC6" w:rsidP="00A8075D">
      <w:pPr>
        <w:pStyle w:val="BodyTextIndent2"/>
        <w:tabs>
          <w:tab w:val="clear" w:pos="367"/>
          <w:tab w:val="clear" w:pos="720"/>
          <w:tab w:val="left" w:pos="360"/>
        </w:tabs>
        <w:ind w:firstLine="0"/>
        <w:rPr>
          <w:szCs w:val="24"/>
        </w:rPr>
      </w:pPr>
      <w:r w:rsidRPr="00D61A47">
        <w:rPr>
          <w:szCs w:val="24"/>
        </w:rPr>
        <w:tab/>
      </w:r>
      <w:r w:rsidRPr="00D61A47">
        <w:rPr>
          <w:szCs w:val="24"/>
        </w:rPr>
        <w:tab/>
      </w:r>
      <w:r w:rsidR="00763568" w:rsidRPr="00D61A47">
        <w:rPr>
          <w:szCs w:val="24"/>
        </w:rPr>
        <w:t xml:space="preserve">A </w:t>
      </w:r>
      <w:r w:rsidR="00D6578E" w:rsidRPr="00D61A47">
        <w:rPr>
          <w:szCs w:val="24"/>
        </w:rPr>
        <w:t>bank</w:t>
      </w:r>
      <w:r w:rsidR="00763568" w:rsidRPr="00D61A47">
        <w:rPr>
          <w:szCs w:val="24"/>
        </w:rPr>
        <w:t xml:space="preserve"> is required to send consumer account holders notice of changes in its availability policy at least thirty days before the change becomes effective.  However, where a change in policy results in faster availability, the notice may be sent no later than thirty days after the change.</w:t>
      </w:r>
      <w:r w:rsidR="00F959ED" w:rsidRPr="00D61A47">
        <w:rPr>
          <w:szCs w:val="24"/>
        </w:rPr>
        <w:t xml:space="preserve">  </w:t>
      </w:r>
    </w:p>
    <w:p w:rsidR="003B0DC6" w:rsidRPr="00D61A47" w:rsidRDefault="003B0DC6" w:rsidP="00B95A85">
      <w:pPr>
        <w:pStyle w:val="BodyTextIndent2"/>
        <w:tabs>
          <w:tab w:val="clear" w:pos="720"/>
        </w:tabs>
        <w:ind w:firstLine="0"/>
        <w:rPr>
          <w:szCs w:val="24"/>
        </w:rPr>
      </w:pPr>
    </w:p>
    <w:p w:rsidR="00A8075D" w:rsidRPr="00D61A47" w:rsidRDefault="003B0DC6" w:rsidP="00A8075D">
      <w:pPr>
        <w:pStyle w:val="BodyTextIndent2"/>
        <w:ind w:firstLine="0"/>
        <w:rPr>
          <w:szCs w:val="24"/>
        </w:rPr>
      </w:pPr>
      <w:r w:rsidRPr="00D61A47">
        <w:rPr>
          <w:szCs w:val="24"/>
        </w:rPr>
        <w:tab/>
      </w:r>
      <w:r w:rsidRPr="00D61A47">
        <w:rPr>
          <w:szCs w:val="24"/>
        </w:rPr>
        <w:tab/>
      </w:r>
      <w:r w:rsidR="00763568" w:rsidRPr="00D61A47">
        <w:rPr>
          <w:szCs w:val="24"/>
        </w:rPr>
        <w:t xml:space="preserve">If a </w:t>
      </w:r>
      <w:r w:rsidR="00D6578E" w:rsidRPr="00D61A47">
        <w:rPr>
          <w:szCs w:val="24"/>
        </w:rPr>
        <w:t>bank</w:t>
      </w:r>
      <w:r w:rsidR="00763568" w:rsidRPr="00D61A47">
        <w:rPr>
          <w:szCs w:val="24"/>
        </w:rPr>
        <w:t xml:space="preserve"> provides its customers with a list of ATMs in its availability policy (to fulfill the requirement that it explain its availability policy for proprietary and nonproprietary ATMs), it must update the list annually if any changes occurred during the year.</w:t>
      </w:r>
    </w:p>
    <w:p w:rsidR="00A8075D" w:rsidRPr="00D61A47" w:rsidRDefault="00A8075D" w:rsidP="00A8075D">
      <w:pPr>
        <w:pStyle w:val="BodyTextIndent2"/>
        <w:ind w:firstLine="0"/>
        <w:rPr>
          <w:szCs w:val="24"/>
        </w:rPr>
      </w:pPr>
    </w:p>
    <w:p w:rsidR="00763568" w:rsidRPr="00D61A47" w:rsidRDefault="00A8075D" w:rsidP="00A8075D">
      <w:pPr>
        <w:pStyle w:val="BodyTextIndent2"/>
        <w:ind w:firstLine="0"/>
        <w:rPr>
          <w:b/>
          <w:szCs w:val="24"/>
        </w:rPr>
      </w:pPr>
      <w:r w:rsidRPr="00D61A47">
        <w:rPr>
          <w:szCs w:val="24"/>
        </w:rPr>
        <w:tab/>
      </w:r>
      <w:r w:rsidRPr="00D61A47">
        <w:rPr>
          <w:szCs w:val="24"/>
        </w:rPr>
        <w:tab/>
      </w:r>
      <w:r w:rsidR="00763568" w:rsidRPr="00D61A47">
        <w:rPr>
          <w:b/>
          <w:szCs w:val="24"/>
        </w:rPr>
        <w:t>Notice</w:t>
      </w:r>
      <w:r w:rsidR="006A6EA2" w:rsidRPr="00D61A47">
        <w:rPr>
          <w:b/>
          <w:szCs w:val="24"/>
        </w:rPr>
        <w:t>s</w:t>
      </w:r>
      <w:r w:rsidR="00763568" w:rsidRPr="00D61A47">
        <w:rPr>
          <w:b/>
          <w:szCs w:val="24"/>
        </w:rPr>
        <w:t xml:space="preserve"> of nonpayment (section 229.33(a) and (d))</w:t>
      </w:r>
    </w:p>
    <w:p w:rsidR="00763568" w:rsidRPr="00D61A47" w:rsidRDefault="00763568" w:rsidP="000F1E8E">
      <w:pPr>
        <w:rPr>
          <w:color w:val="000000"/>
          <w:szCs w:val="24"/>
        </w:rPr>
      </w:pPr>
    </w:p>
    <w:p w:rsidR="00763568" w:rsidRPr="00D61A47" w:rsidRDefault="003B0DC6" w:rsidP="00A8075D">
      <w:pPr>
        <w:tabs>
          <w:tab w:val="left" w:pos="360"/>
        </w:tabs>
        <w:rPr>
          <w:color w:val="000000"/>
          <w:szCs w:val="24"/>
        </w:rPr>
      </w:pPr>
      <w:r w:rsidRPr="00D61A47">
        <w:rPr>
          <w:i/>
          <w:color w:val="000000"/>
          <w:szCs w:val="24"/>
        </w:rPr>
        <w:tab/>
      </w:r>
      <w:r w:rsidRPr="00D61A47">
        <w:rPr>
          <w:i/>
          <w:color w:val="000000"/>
          <w:szCs w:val="24"/>
        </w:rPr>
        <w:tab/>
      </w:r>
      <w:r w:rsidR="00763568" w:rsidRPr="00D61A47">
        <w:rPr>
          <w:color w:val="000000"/>
          <w:szCs w:val="24"/>
          <w:u w:val="single"/>
        </w:rPr>
        <w:t>Notification to banks</w:t>
      </w:r>
      <w:r w:rsidR="006A6EA2" w:rsidRPr="00D61A47">
        <w:rPr>
          <w:b/>
          <w:color w:val="000000"/>
          <w:szCs w:val="24"/>
        </w:rPr>
        <w:t xml:space="preserve"> - </w:t>
      </w:r>
      <w:r w:rsidR="00763568" w:rsidRPr="00D61A47">
        <w:rPr>
          <w:color w:val="000000"/>
          <w:szCs w:val="24"/>
        </w:rPr>
        <w:t xml:space="preserve">If a </w:t>
      </w:r>
      <w:r w:rsidR="00D6578E" w:rsidRPr="00D61A47">
        <w:rPr>
          <w:color w:val="000000"/>
          <w:szCs w:val="24"/>
        </w:rPr>
        <w:t>bank</w:t>
      </w:r>
      <w:r w:rsidR="00763568" w:rsidRPr="00D61A47">
        <w:rPr>
          <w:color w:val="000000"/>
          <w:szCs w:val="24"/>
        </w:rPr>
        <w:t xml:space="preserve"> on which a check is drawn in an amount of $2,500 or more determines not to pay the check, the </w:t>
      </w:r>
      <w:r w:rsidR="00D6578E" w:rsidRPr="00D61A47">
        <w:rPr>
          <w:color w:val="000000"/>
          <w:szCs w:val="24"/>
        </w:rPr>
        <w:t>bank</w:t>
      </w:r>
      <w:r w:rsidR="00763568" w:rsidRPr="00D61A47">
        <w:rPr>
          <w:color w:val="000000"/>
          <w:szCs w:val="24"/>
        </w:rPr>
        <w:t xml:space="preserve"> must notify the depositary </w:t>
      </w:r>
      <w:r w:rsidR="00D6578E" w:rsidRPr="00D61A47">
        <w:rPr>
          <w:color w:val="000000"/>
          <w:szCs w:val="24"/>
        </w:rPr>
        <w:t>bank</w:t>
      </w:r>
      <w:r w:rsidR="00763568" w:rsidRPr="00D61A47">
        <w:rPr>
          <w:color w:val="000000"/>
          <w:szCs w:val="24"/>
        </w:rPr>
        <w:t xml:space="preserve"> by 4:00 p.m. on the second business day after the day of presentment.  </w:t>
      </w:r>
    </w:p>
    <w:p w:rsidR="003B0DC6" w:rsidRPr="00D61A47" w:rsidRDefault="003B0DC6" w:rsidP="006A6EA2">
      <w:pPr>
        <w:tabs>
          <w:tab w:val="left" w:pos="367"/>
          <w:tab w:val="left" w:pos="720"/>
        </w:tabs>
        <w:rPr>
          <w:b/>
          <w:color w:val="000000"/>
          <w:szCs w:val="24"/>
        </w:rPr>
      </w:pPr>
    </w:p>
    <w:p w:rsidR="006A6EA2" w:rsidRPr="00D61A47" w:rsidRDefault="003B0DC6" w:rsidP="006A6EA2">
      <w:pPr>
        <w:tabs>
          <w:tab w:val="left" w:pos="367"/>
          <w:tab w:val="left" w:pos="720"/>
        </w:tabs>
        <w:rPr>
          <w:color w:val="000000"/>
          <w:szCs w:val="24"/>
        </w:rPr>
      </w:pPr>
      <w:r w:rsidRPr="00D61A47">
        <w:rPr>
          <w:b/>
          <w:color w:val="000000"/>
          <w:szCs w:val="24"/>
        </w:rPr>
        <w:tab/>
      </w:r>
      <w:r w:rsidRPr="00D61A47">
        <w:rPr>
          <w:b/>
          <w:color w:val="000000"/>
          <w:szCs w:val="24"/>
        </w:rPr>
        <w:tab/>
      </w:r>
      <w:r w:rsidR="00763568" w:rsidRPr="00D61A47">
        <w:rPr>
          <w:color w:val="000000"/>
          <w:szCs w:val="24"/>
          <w:u w:val="single"/>
        </w:rPr>
        <w:t>Notification to customer</w:t>
      </w:r>
      <w:r w:rsidR="006A6EA2" w:rsidRPr="00D61A47">
        <w:rPr>
          <w:b/>
          <w:color w:val="000000"/>
          <w:szCs w:val="24"/>
        </w:rPr>
        <w:t xml:space="preserve"> - </w:t>
      </w:r>
      <w:r w:rsidR="00763568" w:rsidRPr="00D61A47">
        <w:rPr>
          <w:color w:val="000000"/>
          <w:szCs w:val="24"/>
        </w:rPr>
        <w:t xml:space="preserve">If the depositary bank receives a returned check or notice of nonpayment, regardless of the amount, it must send notice to its customer generally by midnight of the banking day following the banking day on which it received the returned check or notice (a longer time than may be deemed reasonable in some cases).  For purposes of the </w:t>
      </w:r>
      <w:r w:rsidR="000B644D" w:rsidRPr="00D61A47">
        <w:rPr>
          <w:color w:val="000000"/>
          <w:szCs w:val="24"/>
        </w:rPr>
        <w:t>PRA</w:t>
      </w:r>
      <w:r w:rsidR="00763568" w:rsidRPr="00D61A47">
        <w:rPr>
          <w:color w:val="000000"/>
          <w:szCs w:val="24"/>
        </w:rPr>
        <w:t>, this requirement is considered not to cause the bank additional burden because, were the requirement not to exist, banks presumably would nonetheless provide a similar notification to customers in the usual and customary course of their business.</w:t>
      </w:r>
    </w:p>
    <w:p w:rsidR="00DC117D" w:rsidRPr="00D61A47" w:rsidRDefault="00DC117D" w:rsidP="006A6EA2">
      <w:pPr>
        <w:tabs>
          <w:tab w:val="left" w:pos="367"/>
          <w:tab w:val="left" w:pos="720"/>
        </w:tabs>
        <w:ind w:left="720"/>
        <w:rPr>
          <w:b/>
          <w:szCs w:val="24"/>
        </w:rPr>
      </w:pPr>
    </w:p>
    <w:p w:rsidR="00763568" w:rsidRPr="00D61A47" w:rsidRDefault="007B18BD" w:rsidP="00710A59">
      <w:pPr>
        <w:tabs>
          <w:tab w:val="left" w:pos="367"/>
          <w:tab w:val="left" w:pos="720"/>
        </w:tabs>
        <w:rPr>
          <w:color w:val="000000"/>
          <w:szCs w:val="24"/>
        </w:rPr>
      </w:pPr>
      <w:r w:rsidRPr="00D61A47">
        <w:rPr>
          <w:b/>
          <w:szCs w:val="24"/>
        </w:rPr>
        <w:tab/>
      </w:r>
      <w:r w:rsidR="00710A59" w:rsidRPr="00D61A47">
        <w:rPr>
          <w:b/>
          <w:szCs w:val="24"/>
        </w:rPr>
        <w:tab/>
      </w:r>
      <w:r w:rsidR="00763568" w:rsidRPr="00D61A47">
        <w:rPr>
          <w:b/>
          <w:szCs w:val="24"/>
        </w:rPr>
        <w:t xml:space="preserve">Expedited </w:t>
      </w:r>
      <w:r w:rsidR="0087290D" w:rsidRPr="00D61A47">
        <w:rPr>
          <w:b/>
          <w:szCs w:val="24"/>
        </w:rPr>
        <w:t>r</w:t>
      </w:r>
      <w:r w:rsidR="00763568" w:rsidRPr="00D61A47">
        <w:rPr>
          <w:b/>
          <w:szCs w:val="24"/>
        </w:rPr>
        <w:t xml:space="preserve">ecredit for </w:t>
      </w:r>
      <w:r w:rsidR="0087290D" w:rsidRPr="00D61A47">
        <w:rPr>
          <w:b/>
          <w:szCs w:val="24"/>
        </w:rPr>
        <w:t>c</w:t>
      </w:r>
      <w:r w:rsidR="00763568" w:rsidRPr="00D61A47">
        <w:rPr>
          <w:b/>
          <w:szCs w:val="24"/>
        </w:rPr>
        <w:t>onsumers (section 229.54(a) and (b</w:t>
      </w:r>
      <w:proofErr w:type="gramStart"/>
      <w:r w:rsidR="00763568" w:rsidRPr="00D61A47">
        <w:rPr>
          <w:b/>
          <w:szCs w:val="24"/>
        </w:rPr>
        <w:t>)(</w:t>
      </w:r>
      <w:proofErr w:type="gramEnd"/>
      <w:r w:rsidR="00763568" w:rsidRPr="00D61A47">
        <w:rPr>
          <w:b/>
          <w:szCs w:val="24"/>
        </w:rPr>
        <w:t>2))</w:t>
      </w:r>
    </w:p>
    <w:p w:rsidR="00A8075D" w:rsidRPr="00D61A47" w:rsidRDefault="00A8075D" w:rsidP="000F1E8E">
      <w:pPr>
        <w:ind w:firstLine="720"/>
        <w:rPr>
          <w:b/>
          <w:bCs/>
          <w:szCs w:val="24"/>
        </w:rPr>
      </w:pPr>
    </w:p>
    <w:p w:rsidR="00763568" w:rsidRPr="00D61A47" w:rsidRDefault="003B0DC6" w:rsidP="00A8075D">
      <w:pPr>
        <w:ind w:firstLine="360"/>
        <w:rPr>
          <w:szCs w:val="24"/>
        </w:rPr>
      </w:pPr>
      <w:r w:rsidRPr="00D61A47">
        <w:rPr>
          <w:szCs w:val="24"/>
        </w:rPr>
        <w:tab/>
      </w:r>
      <w:r w:rsidR="00763568" w:rsidRPr="00D61A47">
        <w:rPr>
          <w:szCs w:val="24"/>
        </w:rPr>
        <w:t>This section of the rule provides that a consumer may make an expedited recredit claim with respect to a substitute check if the consumer asserts in good faith that (1) the bank holding the consumer’s account charged that account for a substitute check that was provided to the consumer (although the consumer need not be in possession of the substitute check at the time he or she submits a claim)</w:t>
      </w:r>
      <w:r w:rsidR="00596D7B" w:rsidRPr="00D61A47">
        <w:rPr>
          <w:szCs w:val="24"/>
        </w:rPr>
        <w:t xml:space="preserve">, </w:t>
      </w:r>
      <w:r w:rsidR="00763568" w:rsidRPr="00D61A47">
        <w:rPr>
          <w:szCs w:val="24"/>
        </w:rPr>
        <w:t>(2) the substitute check was not properly charged to the consumer account or the consumer has a “warranty claim”</w:t>
      </w:r>
      <w:r w:rsidR="00763568" w:rsidRPr="00D61A47">
        <w:rPr>
          <w:rStyle w:val="FootnoteReference"/>
          <w:szCs w:val="24"/>
        </w:rPr>
        <w:footnoteReference w:id="6"/>
      </w:r>
      <w:r w:rsidR="00763568" w:rsidRPr="00D61A47">
        <w:rPr>
          <w:szCs w:val="24"/>
        </w:rPr>
        <w:t xml:space="preserve"> with respect to the substitute check</w:t>
      </w:r>
      <w:r w:rsidR="00596D7B" w:rsidRPr="00D61A47">
        <w:rPr>
          <w:szCs w:val="24"/>
        </w:rPr>
        <w:t xml:space="preserve">, </w:t>
      </w:r>
      <w:r w:rsidR="00763568" w:rsidRPr="00D61A47">
        <w:rPr>
          <w:szCs w:val="24"/>
        </w:rPr>
        <w:t>(3) the consumer suffered a resulting loss</w:t>
      </w:r>
      <w:r w:rsidR="00596D7B" w:rsidRPr="00D61A47">
        <w:rPr>
          <w:szCs w:val="24"/>
        </w:rPr>
        <w:t xml:space="preserve">, </w:t>
      </w:r>
      <w:r w:rsidR="00763568" w:rsidRPr="00D61A47">
        <w:rPr>
          <w:szCs w:val="24"/>
        </w:rPr>
        <w:t>and (4) production of the original check or a sufficient copy of the original check is necessary to determine whether or not the substitute check in fact was improperly charged or whether the consumer’s warranty claim is valid.</w:t>
      </w:r>
    </w:p>
    <w:p w:rsidR="00763568" w:rsidRPr="00D61A47" w:rsidRDefault="00763568" w:rsidP="000F1E8E">
      <w:pPr>
        <w:rPr>
          <w:szCs w:val="24"/>
        </w:rPr>
      </w:pPr>
    </w:p>
    <w:p w:rsidR="00763568" w:rsidRPr="00D61A47" w:rsidRDefault="003B0DC6" w:rsidP="00A8075D">
      <w:pPr>
        <w:ind w:firstLine="360"/>
        <w:rPr>
          <w:szCs w:val="24"/>
        </w:rPr>
      </w:pPr>
      <w:r w:rsidRPr="00D61A47">
        <w:rPr>
          <w:szCs w:val="24"/>
        </w:rPr>
        <w:lastRenderedPageBreak/>
        <w:tab/>
      </w:r>
      <w:r w:rsidR="00763568" w:rsidRPr="00D61A47">
        <w:rPr>
          <w:szCs w:val="24"/>
        </w:rPr>
        <w:t xml:space="preserve">The consumer’s claim must include </w:t>
      </w:r>
      <w:r w:rsidR="00B95A85" w:rsidRPr="00D61A47">
        <w:rPr>
          <w:szCs w:val="24"/>
        </w:rPr>
        <w:t xml:space="preserve">certain information described in the </w:t>
      </w:r>
      <w:r w:rsidR="00190810" w:rsidRPr="00D61A47">
        <w:rPr>
          <w:szCs w:val="24"/>
        </w:rPr>
        <w:t>Check 21 Act</w:t>
      </w:r>
      <w:r w:rsidR="00B95A85" w:rsidRPr="00D61A47">
        <w:rPr>
          <w:szCs w:val="24"/>
        </w:rPr>
        <w:t xml:space="preserve"> and § 229.54 of Regulation CC.</w:t>
      </w:r>
    </w:p>
    <w:p w:rsidR="00763568" w:rsidRPr="00D61A47" w:rsidRDefault="00763568" w:rsidP="000F1E8E">
      <w:pPr>
        <w:rPr>
          <w:szCs w:val="24"/>
        </w:rPr>
      </w:pPr>
    </w:p>
    <w:p w:rsidR="00763568" w:rsidRPr="00D61A47" w:rsidRDefault="00763568" w:rsidP="000F1E8E">
      <w:pPr>
        <w:ind w:left="720"/>
        <w:rPr>
          <w:b/>
          <w:szCs w:val="24"/>
        </w:rPr>
      </w:pPr>
      <w:r w:rsidRPr="00D61A47">
        <w:rPr>
          <w:b/>
          <w:szCs w:val="24"/>
        </w:rPr>
        <w:t xml:space="preserve">Notices </w:t>
      </w:r>
      <w:r w:rsidR="0087290D" w:rsidRPr="00D61A47">
        <w:rPr>
          <w:b/>
          <w:szCs w:val="24"/>
        </w:rPr>
        <w:t>relating to c</w:t>
      </w:r>
      <w:r w:rsidRPr="00D61A47">
        <w:rPr>
          <w:b/>
          <w:szCs w:val="24"/>
        </w:rPr>
        <w:t xml:space="preserve">onsumer </w:t>
      </w:r>
      <w:r w:rsidR="0087290D" w:rsidRPr="00D61A47">
        <w:rPr>
          <w:b/>
          <w:szCs w:val="24"/>
        </w:rPr>
        <w:t>e</w:t>
      </w:r>
      <w:r w:rsidRPr="00D61A47">
        <w:rPr>
          <w:b/>
          <w:szCs w:val="24"/>
        </w:rPr>
        <w:t xml:space="preserve">xpedited </w:t>
      </w:r>
      <w:r w:rsidR="0087290D" w:rsidRPr="00D61A47">
        <w:rPr>
          <w:b/>
          <w:szCs w:val="24"/>
        </w:rPr>
        <w:t>recredit c</w:t>
      </w:r>
      <w:r w:rsidRPr="00D61A47">
        <w:rPr>
          <w:b/>
          <w:szCs w:val="24"/>
        </w:rPr>
        <w:t>laims (validation, denial or reversal) (section 229.54(e))</w:t>
      </w:r>
    </w:p>
    <w:p w:rsidR="00763568" w:rsidRPr="00D61A47" w:rsidRDefault="00763568" w:rsidP="000F1E8E">
      <w:pPr>
        <w:rPr>
          <w:b/>
          <w:szCs w:val="24"/>
        </w:rPr>
      </w:pPr>
    </w:p>
    <w:p w:rsidR="00763568" w:rsidRPr="00D61A47" w:rsidRDefault="00763568" w:rsidP="000F1E8E">
      <w:pPr>
        <w:ind w:firstLine="720"/>
        <w:rPr>
          <w:szCs w:val="24"/>
        </w:rPr>
      </w:pPr>
      <w:r w:rsidRPr="00D61A47">
        <w:rPr>
          <w:szCs w:val="24"/>
        </w:rPr>
        <w:t>This notice is required when a bank validates, denies, or reverses a consumer's recredit claim.  Although the statute does not explicitly</w:t>
      </w:r>
      <w:r w:rsidR="00B95A85" w:rsidRPr="00D61A47">
        <w:rPr>
          <w:szCs w:val="24"/>
        </w:rPr>
        <w:t xml:space="preserve"> discuss providing a notice when a bank validates a claim</w:t>
      </w:r>
      <w:r w:rsidRPr="00D61A47">
        <w:rPr>
          <w:szCs w:val="24"/>
        </w:rPr>
        <w:t>, the bank’s ability to respond to a claim by determining that the claim is valid is implicit in the “timing of the recredit” section of the statute (section 7(c</w:t>
      </w:r>
      <w:proofErr w:type="gramStart"/>
      <w:r w:rsidRPr="00D61A47">
        <w:rPr>
          <w:szCs w:val="24"/>
        </w:rPr>
        <w:t>)(</w:t>
      </w:r>
      <w:proofErr w:type="gramEnd"/>
      <w:r w:rsidRPr="00D61A47">
        <w:rPr>
          <w:szCs w:val="24"/>
        </w:rPr>
        <w:t xml:space="preserve">2)(A)), which requires the bank to provide a recredit the day after it determines that the consumer’s claim is valid. </w:t>
      </w:r>
    </w:p>
    <w:p w:rsidR="00763568" w:rsidRPr="00D61A47" w:rsidRDefault="00763568" w:rsidP="000F1E8E">
      <w:pPr>
        <w:rPr>
          <w:szCs w:val="24"/>
        </w:rPr>
      </w:pPr>
    </w:p>
    <w:p w:rsidR="00763568" w:rsidRPr="00D61A47" w:rsidRDefault="00763568" w:rsidP="000F1E8E">
      <w:pPr>
        <w:ind w:firstLine="720"/>
        <w:rPr>
          <w:szCs w:val="24"/>
        </w:rPr>
      </w:pPr>
      <w:r w:rsidRPr="00D61A47">
        <w:rPr>
          <w:szCs w:val="24"/>
        </w:rPr>
        <w:t xml:space="preserve">If a bank determines that the consumer’s claim </w:t>
      </w:r>
      <w:r w:rsidR="00596D7B" w:rsidRPr="00D61A47">
        <w:rPr>
          <w:szCs w:val="24"/>
        </w:rPr>
        <w:t xml:space="preserve">is </w:t>
      </w:r>
      <w:r w:rsidRPr="00D61A47">
        <w:rPr>
          <w:szCs w:val="24"/>
        </w:rPr>
        <w:t>invalid, the bank must provide the consumer with the original check or a copy of the original check sufficient to determine the validity of the claim and must demonstrate why the substitute check was properly charged to the consumer account.  The bank must either demonstrate that a charge was proper or explain why the warranty claim is not valid, as appropriate in light of the consumer’s claim.</w:t>
      </w:r>
    </w:p>
    <w:p w:rsidR="00763568" w:rsidRPr="00D61A47" w:rsidRDefault="00763568" w:rsidP="000F1E8E">
      <w:pPr>
        <w:ind w:firstLine="720"/>
        <w:rPr>
          <w:szCs w:val="24"/>
        </w:rPr>
      </w:pPr>
    </w:p>
    <w:p w:rsidR="00763568" w:rsidRPr="00D61A47" w:rsidRDefault="00763568" w:rsidP="000F1E8E">
      <w:pPr>
        <w:ind w:firstLine="720"/>
        <w:rPr>
          <w:b/>
          <w:szCs w:val="24"/>
        </w:rPr>
      </w:pPr>
      <w:r w:rsidRPr="00D61A47">
        <w:rPr>
          <w:b/>
          <w:szCs w:val="24"/>
        </w:rPr>
        <w:t xml:space="preserve">Expedited </w:t>
      </w:r>
      <w:r w:rsidR="00BE3122" w:rsidRPr="00D61A47">
        <w:rPr>
          <w:b/>
          <w:szCs w:val="24"/>
        </w:rPr>
        <w:t>r</w:t>
      </w:r>
      <w:r w:rsidRPr="00D61A47">
        <w:rPr>
          <w:b/>
          <w:szCs w:val="24"/>
        </w:rPr>
        <w:t xml:space="preserve">ecredit </w:t>
      </w:r>
      <w:r w:rsidR="00BE3122" w:rsidRPr="00D61A47">
        <w:rPr>
          <w:b/>
          <w:szCs w:val="24"/>
        </w:rPr>
        <w:t>c</w:t>
      </w:r>
      <w:r w:rsidRPr="00D61A47">
        <w:rPr>
          <w:b/>
          <w:szCs w:val="24"/>
        </w:rPr>
        <w:t xml:space="preserve">laim for </w:t>
      </w:r>
      <w:r w:rsidR="00BE3122" w:rsidRPr="00D61A47">
        <w:rPr>
          <w:b/>
          <w:szCs w:val="24"/>
        </w:rPr>
        <w:t>b</w:t>
      </w:r>
      <w:r w:rsidRPr="00D61A47">
        <w:rPr>
          <w:b/>
          <w:szCs w:val="24"/>
        </w:rPr>
        <w:t>anks (section 229.55)</w:t>
      </w:r>
    </w:p>
    <w:p w:rsidR="00763568" w:rsidRPr="00D61A47" w:rsidRDefault="00763568" w:rsidP="000F1E8E">
      <w:pPr>
        <w:rPr>
          <w:szCs w:val="24"/>
        </w:rPr>
      </w:pPr>
    </w:p>
    <w:p w:rsidR="00763568" w:rsidRPr="00D61A47" w:rsidRDefault="00763568" w:rsidP="000F1E8E">
      <w:pPr>
        <w:ind w:firstLine="720"/>
        <w:rPr>
          <w:szCs w:val="24"/>
        </w:rPr>
      </w:pPr>
      <w:r w:rsidRPr="00D61A47">
        <w:rPr>
          <w:szCs w:val="24"/>
        </w:rPr>
        <w:t xml:space="preserve">This section of the EFAA provides that a bank may make a claim against an indemnifying bank if (1) the claimant bank or a bank that the claimant bank has indemnified has received a claim for expedited recredit from a consumer or would have been subject to such a claim if the consumer account had been charged for the substitute check; (2) the claimant bank is obligated to provide a consumer expedited recredit with respect to such substitute check or otherwise has suffered a resulting loss; and (3) the production of the original check or a sufficient copy of the original check is necessary to determine the validity of the charge to the consumer account or the validity of any warranty claim connected with such substitute check. </w:t>
      </w:r>
    </w:p>
    <w:p w:rsidR="00763568" w:rsidRPr="00D61A47" w:rsidRDefault="00763568" w:rsidP="000F1E8E">
      <w:pPr>
        <w:ind w:firstLine="720"/>
        <w:rPr>
          <w:szCs w:val="24"/>
        </w:rPr>
      </w:pPr>
    </w:p>
    <w:p w:rsidR="00763568" w:rsidRPr="00D61A47" w:rsidRDefault="00763568" w:rsidP="000F1E8E">
      <w:pPr>
        <w:ind w:firstLine="720"/>
        <w:rPr>
          <w:szCs w:val="24"/>
        </w:rPr>
      </w:pPr>
      <w:r w:rsidRPr="00D61A47">
        <w:rPr>
          <w:szCs w:val="24"/>
        </w:rPr>
        <w:t>The content requirements for an interbank expedited recredit claim essentially parallel those for a consumer expedited recredit claim but also state that a bank that provides a copy of a substitute check with its claim must take steps to ensure that such copy is not mistaken for a legally equivalent substitute check or handled for forward collection or return.  An indemnifying bank may require the claim to be in writing and may permit the claimant bank to submit it electronically.</w:t>
      </w:r>
      <w:r w:rsidR="004A7DFC" w:rsidRPr="00D61A47">
        <w:rPr>
          <w:szCs w:val="24"/>
        </w:rPr>
        <w:t xml:space="preserve">  In addition, </w:t>
      </w:r>
      <w:r w:rsidR="004A7DFC" w:rsidRPr="00D61A47">
        <w:rPr>
          <w:snapToGrid/>
          <w:szCs w:val="24"/>
        </w:rPr>
        <w:t>Section 229.60 provides that banks involved in an interbank expedited recredit claim under Section 229.55 may vary the terms of that section by agreement, but otherwise no person may vary the terms of subpart D by agreement</w:t>
      </w:r>
      <w:r w:rsidR="00C6041A" w:rsidRPr="00D61A47">
        <w:rPr>
          <w:snapToGrid/>
          <w:szCs w:val="24"/>
        </w:rPr>
        <w:t>.</w:t>
      </w:r>
    </w:p>
    <w:p w:rsidR="00763568" w:rsidRPr="00D61A47" w:rsidRDefault="00763568" w:rsidP="000F1E8E">
      <w:pPr>
        <w:rPr>
          <w:szCs w:val="24"/>
        </w:rPr>
      </w:pPr>
    </w:p>
    <w:p w:rsidR="00763568" w:rsidRPr="00D61A47" w:rsidRDefault="00763568" w:rsidP="000F1E8E">
      <w:pPr>
        <w:ind w:firstLine="720"/>
        <w:rPr>
          <w:b/>
          <w:szCs w:val="24"/>
        </w:rPr>
      </w:pPr>
      <w:r w:rsidRPr="00D61A47">
        <w:rPr>
          <w:b/>
          <w:szCs w:val="24"/>
        </w:rPr>
        <w:t xml:space="preserve">Consumer </w:t>
      </w:r>
      <w:r w:rsidR="00B273F0" w:rsidRPr="00D61A47">
        <w:rPr>
          <w:b/>
          <w:szCs w:val="24"/>
        </w:rPr>
        <w:t>a</w:t>
      </w:r>
      <w:r w:rsidRPr="00D61A47">
        <w:rPr>
          <w:b/>
          <w:szCs w:val="24"/>
        </w:rPr>
        <w:t>wareness (section 229.57)</w:t>
      </w:r>
    </w:p>
    <w:p w:rsidR="00763568" w:rsidRPr="00D61A47" w:rsidRDefault="00763568" w:rsidP="000F1E8E">
      <w:pPr>
        <w:rPr>
          <w:i/>
          <w:szCs w:val="24"/>
        </w:rPr>
      </w:pPr>
    </w:p>
    <w:p w:rsidR="00763568" w:rsidRPr="00D61A47" w:rsidRDefault="00763568" w:rsidP="000F1E8E">
      <w:pPr>
        <w:ind w:firstLine="720"/>
        <w:rPr>
          <w:szCs w:val="24"/>
        </w:rPr>
      </w:pPr>
      <w:r w:rsidRPr="00D61A47">
        <w:rPr>
          <w:szCs w:val="24"/>
        </w:rPr>
        <w:t xml:space="preserve">This section of the EFAA provides a description of the disclosure that banks must provide to consumers to promote awareness of substitute checks.  Banks are required to provide a </w:t>
      </w:r>
      <w:r w:rsidR="003A1E10" w:rsidRPr="00D61A47">
        <w:rPr>
          <w:szCs w:val="24"/>
        </w:rPr>
        <w:t xml:space="preserve">one-time </w:t>
      </w:r>
      <w:r w:rsidRPr="00D61A47">
        <w:rPr>
          <w:szCs w:val="24"/>
        </w:rPr>
        <w:t xml:space="preserve">consumer awareness disclosure </w:t>
      </w:r>
      <w:r w:rsidR="000B1083" w:rsidRPr="00D61A47">
        <w:rPr>
          <w:szCs w:val="24"/>
        </w:rPr>
        <w:t xml:space="preserve">at the time the customer relationship is initiated </w:t>
      </w:r>
      <w:r w:rsidRPr="00D61A47">
        <w:rPr>
          <w:szCs w:val="24"/>
        </w:rPr>
        <w:t xml:space="preserve">to consumers who </w:t>
      </w:r>
      <w:r w:rsidR="00417ADF" w:rsidRPr="00D61A47">
        <w:rPr>
          <w:szCs w:val="24"/>
        </w:rPr>
        <w:t xml:space="preserve">will </w:t>
      </w:r>
      <w:r w:rsidR="000B1083" w:rsidRPr="00D61A47">
        <w:rPr>
          <w:szCs w:val="24"/>
        </w:rPr>
        <w:t xml:space="preserve">routinely </w:t>
      </w:r>
      <w:r w:rsidRPr="00D61A47">
        <w:rPr>
          <w:szCs w:val="24"/>
        </w:rPr>
        <w:t xml:space="preserve">receive paid checks with their periodic </w:t>
      </w:r>
      <w:r w:rsidR="000B1083" w:rsidRPr="00D61A47">
        <w:rPr>
          <w:szCs w:val="24"/>
        </w:rPr>
        <w:t xml:space="preserve">account </w:t>
      </w:r>
      <w:r w:rsidRPr="00D61A47">
        <w:rPr>
          <w:szCs w:val="24"/>
        </w:rPr>
        <w:t>statements</w:t>
      </w:r>
      <w:r w:rsidR="003A1E10" w:rsidRPr="00D61A47">
        <w:rPr>
          <w:szCs w:val="24"/>
        </w:rPr>
        <w:t xml:space="preserve"> in accordance with their deposit </w:t>
      </w:r>
      <w:r w:rsidR="00A60A59" w:rsidRPr="00D61A47">
        <w:rPr>
          <w:szCs w:val="24"/>
        </w:rPr>
        <w:t>agreements</w:t>
      </w:r>
      <w:r w:rsidRPr="00D61A47">
        <w:rPr>
          <w:szCs w:val="24"/>
        </w:rPr>
        <w:t xml:space="preserve">.  </w:t>
      </w:r>
      <w:r w:rsidR="003A1E10" w:rsidRPr="00D61A47">
        <w:rPr>
          <w:szCs w:val="24"/>
        </w:rPr>
        <w:t xml:space="preserve">Banks also must provide the substitute check consumer awareness disclosure (1) any time a consumer receives a substitute check in response </w:t>
      </w:r>
      <w:r w:rsidR="003A1E10" w:rsidRPr="00D61A47">
        <w:rPr>
          <w:szCs w:val="24"/>
        </w:rPr>
        <w:lastRenderedPageBreak/>
        <w:t xml:space="preserve">to a consumer’s request for a check or check copy or (2) any time </w:t>
      </w:r>
      <w:r w:rsidR="00A60A59" w:rsidRPr="00D61A47">
        <w:rPr>
          <w:szCs w:val="24"/>
        </w:rPr>
        <w:t>a check that the consumer deposited is later returned unpaid</w:t>
      </w:r>
      <w:r w:rsidR="003A1E10" w:rsidRPr="00D61A47">
        <w:rPr>
          <w:szCs w:val="24"/>
        </w:rPr>
        <w:t xml:space="preserve"> </w:t>
      </w:r>
      <w:r w:rsidR="00417ADF" w:rsidRPr="00D61A47">
        <w:rPr>
          <w:szCs w:val="24"/>
        </w:rPr>
        <w:t xml:space="preserve">to the consumer </w:t>
      </w:r>
      <w:r w:rsidR="003A1E10" w:rsidRPr="00D61A47">
        <w:rPr>
          <w:szCs w:val="24"/>
        </w:rPr>
        <w:t xml:space="preserve">in the form of a substitute check.  </w:t>
      </w:r>
      <w:r w:rsidRPr="00D61A47">
        <w:rPr>
          <w:szCs w:val="24"/>
        </w:rPr>
        <w:t xml:space="preserve">Section 12(c) of the Check 21 Act requires the Federal Reserve to publish model </w:t>
      </w:r>
      <w:r w:rsidR="008333EC" w:rsidRPr="00D61A47">
        <w:rPr>
          <w:szCs w:val="24"/>
        </w:rPr>
        <w:t>disclosures</w:t>
      </w:r>
      <w:r w:rsidRPr="00D61A47">
        <w:rPr>
          <w:szCs w:val="24"/>
        </w:rPr>
        <w:t xml:space="preserve"> that banks can use to satisfy the content requirements of the consumer awareness disclosure required by that section.  The statute provides that a bank that uses the model </w:t>
      </w:r>
      <w:r w:rsidR="00F1487C" w:rsidRPr="00D61A47">
        <w:rPr>
          <w:szCs w:val="24"/>
        </w:rPr>
        <w:t xml:space="preserve">disclosure </w:t>
      </w:r>
      <w:r w:rsidRPr="00D61A47">
        <w:rPr>
          <w:szCs w:val="24"/>
        </w:rPr>
        <w:t xml:space="preserve">published by the Federal Reserve to comply with Section 229.57 of the EFAA shall be treated as complying with that section if </w:t>
      </w:r>
      <w:r w:rsidR="00F1487C" w:rsidRPr="00D61A47">
        <w:rPr>
          <w:szCs w:val="24"/>
        </w:rPr>
        <w:t>it</w:t>
      </w:r>
      <w:r w:rsidRPr="00D61A47">
        <w:rPr>
          <w:szCs w:val="24"/>
        </w:rPr>
        <w:t xml:space="preserve"> accurately describes the bank’s policies and practices.  The model disclosure explains in very simple terms what a substitute check is, when the consumer expedited recredit right applies, and what a consumer must do to exercise that right. </w:t>
      </w:r>
    </w:p>
    <w:p w:rsidR="005E50EB" w:rsidRPr="00D61A47" w:rsidRDefault="005E50EB" w:rsidP="000F1E8E">
      <w:pPr>
        <w:tabs>
          <w:tab w:val="left" w:pos="367"/>
          <w:tab w:val="left" w:pos="1087"/>
        </w:tabs>
        <w:rPr>
          <w:color w:val="000000"/>
          <w:szCs w:val="24"/>
        </w:rPr>
      </w:pPr>
    </w:p>
    <w:p w:rsidR="00763568" w:rsidRPr="00D61A47" w:rsidRDefault="00763568" w:rsidP="000F1E8E">
      <w:pPr>
        <w:rPr>
          <w:color w:val="000000"/>
          <w:szCs w:val="24"/>
        </w:rPr>
      </w:pPr>
      <w:r w:rsidRPr="00D61A47">
        <w:rPr>
          <w:b/>
          <w:color w:val="000000"/>
          <w:szCs w:val="24"/>
        </w:rPr>
        <w:t>Time Schedule for Information Collection</w:t>
      </w:r>
    </w:p>
    <w:p w:rsidR="00763568" w:rsidRPr="00D61A47" w:rsidRDefault="00763568" w:rsidP="000F1E8E">
      <w:pPr>
        <w:tabs>
          <w:tab w:val="left" w:pos="367"/>
          <w:tab w:val="left" w:pos="1087"/>
        </w:tabs>
        <w:rPr>
          <w:color w:val="000000"/>
          <w:szCs w:val="24"/>
        </w:rPr>
      </w:pPr>
    </w:p>
    <w:p w:rsidR="00763568" w:rsidRPr="00D61A47" w:rsidRDefault="00763568" w:rsidP="000F1E8E">
      <w:pPr>
        <w:ind w:firstLine="720"/>
        <w:rPr>
          <w:color w:val="000000"/>
          <w:szCs w:val="24"/>
        </w:rPr>
      </w:pPr>
      <w:r w:rsidRPr="00D61A47">
        <w:rPr>
          <w:color w:val="000000"/>
          <w:szCs w:val="24"/>
        </w:rPr>
        <w:t xml:space="preserve">The notice and disclosure requirements for Regulation CC are triggered by specific events and must be provided to consumers within the time periods established by the law and regulation.  </w:t>
      </w:r>
      <w:r w:rsidRPr="00D61A47">
        <w:rPr>
          <w:szCs w:val="24"/>
        </w:rPr>
        <w:t>There is no reporting form associated with the requirements of Regulation CC; d</w:t>
      </w:r>
      <w:r w:rsidRPr="00D61A47">
        <w:rPr>
          <w:color w:val="000000"/>
          <w:szCs w:val="24"/>
        </w:rPr>
        <w:t>isclosures or notifications, pertaining to a particular transaction or consumer account, are not publicly available.  Model disclosure forms, clauses, and notices are appended to the regulation to ease compliance.</w:t>
      </w:r>
    </w:p>
    <w:p w:rsidR="00710A59" w:rsidRPr="00D61A47" w:rsidRDefault="00710A59" w:rsidP="000F1E8E">
      <w:pPr>
        <w:tabs>
          <w:tab w:val="left" w:pos="367"/>
          <w:tab w:val="left" w:pos="1087"/>
        </w:tabs>
        <w:rPr>
          <w:b/>
          <w:color w:val="000000"/>
          <w:szCs w:val="24"/>
        </w:rPr>
      </w:pPr>
    </w:p>
    <w:p w:rsidR="00763568" w:rsidRPr="00D61A47" w:rsidRDefault="00763568" w:rsidP="000F1E8E">
      <w:pPr>
        <w:tabs>
          <w:tab w:val="left" w:pos="367"/>
          <w:tab w:val="left" w:pos="1087"/>
        </w:tabs>
        <w:rPr>
          <w:b/>
          <w:color w:val="000000"/>
          <w:szCs w:val="24"/>
        </w:rPr>
      </w:pPr>
      <w:r w:rsidRPr="00D61A47">
        <w:rPr>
          <w:b/>
          <w:color w:val="000000"/>
          <w:szCs w:val="24"/>
        </w:rPr>
        <w:t>Legal Status</w:t>
      </w:r>
    </w:p>
    <w:p w:rsidR="00763568" w:rsidRPr="00D61A47" w:rsidRDefault="00763568" w:rsidP="000F1E8E">
      <w:pPr>
        <w:tabs>
          <w:tab w:val="left" w:pos="367"/>
          <w:tab w:val="left" w:pos="1087"/>
        </w:tabs>
        <w:rPr>
          <w:b/>
          <w:color w:val="000000"/>
          <w:szCs w:val="24"/>
        </w:rPr>
      </w:pPr>
    </w:p>
    <w:p w:rsidR="00763568" w:rsidRPr="00D61A47" w:rsidRDefault="00763568" w:rsidP="000F1E8E">
      <w:pPr>
        <w:pStyle w:val="BodyText"/>
        <w:tabs>
          <w:tab w:val="clear" w:pos="367"/>
          <w:tab w:val="clear" w:pos="1087"/>
        </w:tabs>
        <w:jc w:val="left"/>
      </w:pPr>
      <w:r w:rsidRPr="00D61A47">
        <w:tab/>
        <w:t xml:space="preserve">The Board's Legal Division has determined that the EFAA, as amended, </w:t>
      </w:r>
      <w:r w:rsidR="004919DE" w:rsidRPr="00D61A47">
        <w:t xml:space="preserve">and the Check 21 Act </w:t>
      </w:r>
      <w:r w:rsidRPr="00D61A47">
        <w:t>authorize the Federal Reserve to issue regulations to carry out the provisions of th</w:t>
      </w:r>
      <w:r w:rsidR="004919DE" w:rsidRPr="00D61A47">
        <w:t>os</w:t>
      </w:r>
      <w:r w:rsidRPr="00D61A47">
        <w:t>e Act</w:t>
      </w:r>
      <w:r w:rsidR="004919DE" w:rsidRPr="00D61A47">
        <w:t>s</w:t>
      </w:r>
      <w:r w:rsidRPr="00D61A47">
        <w:t xml:space="preserve"> (12 U.S.C. § 4008</w:t>
      </w:r>
      <w:r w:rsidR="004919DE" w:rsidRPr="00D61A47">
        <w:t xml:space="preserve"> and 12 U.S.C. 5014, respectively).  </w:t>
      </w:r>
      <w:r w:rsidRPr="00D61A47">
        <w:t xml:space="preserve">Because the Federal Reserve does not collect any information, no issue of confidentiality arises.  </w:t>
      </w:r>
      <w:r w:rsidR="004A7DFC" w:rsidRPr="00D61A47">
        <w:t>However, if, during a compliance examination of a financial institution, a violation or possible violation of the EFAA or the Check 21 Act is noted then information regarding such violation may be kept confidential pursuant to Section (b)(8) of the Freedom of Information Act. 5U.S.C. § 552(b</w:t>
      </w:r>
      <w:proofErr w:type="gramStart"/>
      <w:r w:rsidR="004A7DFC" w:rsidRPr="00D61A47">
        <w:t>)(</w:t>
      </w:r>
      <w:proofErr w:type="gramEnd"/>
      <w:r w:rsidR="004A7DFC" w:rsidRPr="00D61A47">
        <w:t>8).</w:t>
      </w:r>
      <w:r w:rsidRPr="00D61A47">
        <w:t xml:space="preserve"> </w:t>
      </w:r>
    </w:p>
    <w:p w:rsidR="00763568" w:rsidRPr="00D61A47" w:rsidRDefault="00763568" w:rsidP="000F1E8E">
      <w:pPr>
        <w:rPr>
          <w:b/>
          <w:color w:val="000000"/>
          <w:szCs w:val="24"/>
        </w:rPr>
      </w:pPr>
    </w:p>
    <w:p w:rsidR="003370B1" w:rsidRPr="00D61A47" w:rsidRDefault="003370B1" w:rsidP="003370B1">
      <w:pPr>
        <w:tabs>
          <w:tab w:val="left" w:pos="367"/>
          <w:tab w:val="left" w:pos="1087"/>
        </w:tabs>
        <w:rPr>
          <w:b/>
          <w:color w:val="000000"/>
          <w:szCs w:val="24"/>
        </w:rPr>
      </w:pPr>
      <w:r w:rsidRPr="00D61A47">
        <w:rPr>
          <w:b/>
          <w:color w:val="000000"/>
          <w:szCs w:val="24"/>
        </w:rPr>
        <w:t>Sensitive Questions</w:t>
      </w:r>
    </w:p>
    <w:p w:rsidR="003370B1" w:rsidRPr="00D61A47" w:rsidRDefault="003370B1" w:rsidP="003370B1">
      <w:pPr>
        <w:tabs>
          <w:tab w:val="left" w:pos="367"/>
          <w:tab w:val="left" w:pos="1087"/>
        </w:tabs>
        <w:rPr>
          <w:b/>
          <w:color w:val="000000"/>
          <w:szCs w:val="24"/>
        </w:rPr>
      </w:pPr>
    </w:p>
    <w:p w:rsidR="003370B1" w:rsidRPr="00D61A47" w:rsidRDefault="003370B1" w:rsidP="003370B1">
      <w:pPr>
        <w:pStyle w:val="BodyTextIndent2"/>
        <w:tabs>
          <w:tab w:val="clear" w:pos="367"/>
          <w:tab w:val="clear" w:pos="720"/>
        </w:tabs>
        <w:ind w:firstLine="0"/>
        <w:rPr>
          <w:szCs w:val="24"/>
        </w:rPr>
      </w:pPr>
      <w:r w:rsidRPr="00D61A47">
        <w:rPr>
          <w:szCs w:val="24"/>
        </w:rPr>
        <w:tab/>
        <w:t>This collection of information contains no questions of a sensitive nature, as defined by OMB guidelines.</w:t>
      </w:r>
    </w:p>
    <w:p w:rsidR="003370B1" w:rsidRPr="00D61A47" w:rsidRDefault="003370B1" w:rsidP="000F1E8E">
      <w:pPr>
        <w:rPr>
          <w:b/>
          <w:color w:val="000000"/>
          <w:szCs w:val="24"/>
        </w:rPr>
      </w:pPr>
    </w:p>
    <w:p w:rsidR="00763568" w:rsidRPr="00D61A47" w:rsidRDefault="00763568" w:rsidP="000F1E8E">
      <w:pPr>
        <w:rPr>
          <w:color w:val="000000"/>
          <w:szCs w:val="24"/>
        </w:rPr>
      </w:pPr>
      <w:r w:rsidRPr="00D61A47">
        <w:rPr>
          <w:b/>
          <w:color w:val="000000"/>
          <w:szCs w:val="24"/>
        </w:rPr>
        <w:t xml:space="preserve">Consultation </w:t>
      </w:r>
      <w:proofErr w:type="gramStart"/>
      <w:r w:rsidRPr="00D61A47">
        <w:rPr>
          <w:b/>
          <w:color w:val="000000"/>
          <w:szCs w:val="24"/>
        </w:rPr>
        <w:t>Outside</w:t>
      </w:r>
      <w:proofErr w:type="gramEnd"/>
      <w:r w:rsidRPr="00D61A47">
        <w:rPr>
          <w:b/>
          <w:color w:val="000000"/>
          <w:szCs w:val="24"/>
        </w:rPr>
        <w:t xml:space="preserve"> the Agency</w:t>
      </w:r>
    </w:p>
    <w:p w:rsidR="00763568" w:rsidRPr="00D61A47" w:rsidRDefault="00763568" w:rsidP="000F1E8E">
      <w:pPr>
        <w:tabs>
          <w:tab w:val="left" w:pos="367"/>
          <w:tab w:val="left" w:pos="1087"/>
        </w:tabs>
        <w:rPr>
          <w:color w:val="000000"/>
          <w:szCs w:val="24"/>
        </w:rPr>
      </w:pPr>
    </w:p>
    <w:p w:rsidR="00763568" w:rsidRPr="00D61A47" w:rsidRDefault="00763568" w:rsidP="00A82EEC">
      <w:pPr>
        <w:autoSpaceDE w:val="0"/>
        <w:autoSpaceDN w:val="0"/>
        <w:adjustRightInd w:val="0"/>
        <w:rPr>
          <w:szCs w:val="24"/>
        </w:rPr>
      </w:pPr>
      <w:r w:rsidRPr="00D61A47">
        <w:rPr>
          <w:szCs w:val="24"/>
        </w:rPr>
        <w:tab/>
      </w:r>
      <w:r w:rsidR="002429F3" w:rsidRPr="00D61A47">
        <w:rPr>
          <w:szCs w:val="24"/>
        </w:rPr>
        <w:t xml:space="preserve">On February 4, 2014, the Federal Reserve published a notice of proposed rulemaking (NPRM) in the </w:t>
      </w:r>
      <w:r w:rsidR="002429F3" w:rsidRPr="00D61A47">
        <w:rPr>
          <w:i/>
          <w:szCs w:val="24"/>
        </w:rPr>
        <w:t>Federal Register</w:t>
      </w:r>
      <w:r w:rsidR="002429F3" w:rsidRPr="00D61A47">
        <w:rPr>
          <w:szCs w:val="24"/>
        </w:rPr>
        <w:t xml:space="preserve"> for public comment (79 FR 6674).</w:t>
      </w:r>
      <w:r w:rsidR="002429F3" w:rsidRPr="00D61A47">
        <w:rPr>
          <w:rStyle w:val="FootnoteReference"/>
          <w:szCs w:val="24"/>
        </w:rPr>
        <w:footnoteReference w:id="7"/>
      </w:r>
      <w:r w:rsidR="002429F3" w:rsidRPr="00D61A47">
        <w:rPr>
          <w:szCs w:val="24"/>
        </w:rPr>
        <w:t xml:space="preserve">  The NPRM contained a number of substantive amendments to Regulation CC (Availability of Funds and Collection of Checks).</w:t>
      </w:r>
      <w:r w:rsidR="002429F3" w:rsidRPr="00D61A47">
        <w:rPr>
          <w:rStyle w:val="FootnoteReference"/>
          <w:szCs w:val="24"/>
        </w:rPr>
        <w:footnoteReference w:id="8"/>
      </w:r>
      <w:r w:rsidR="002429F3" w:rsidRPr="00D61A47">
        <w:rPr>
          <w:szCs w:val="24"/>
        </w:rPr>
        <w:t xml:space="preserve">  In the NPRM, the Federal Reserve also proposed to extend for three years, without </w:t>
      </w:r>
      <w:r w:rsidR="002429F3" w:rsidRPr="00D61A47">
        <w:rPr>
          <w:szCs w:val="24"/>
        </w:rPr>
        <w:lastRenderedPageBreak/>
        <w:t>revision, the current information collection</w:t>
      </w:r>
      <w:r w:rsidR="002429F3" w:rsidRPr="00D61A47">
        <w:rPr>
          <w:color w:val="000000"/>
          <w:szCs w:val="24"/>
        </w:rPr>
        <w:t xml:space="preserve"> in connection with Regulation CC</w:t>
      </w:r>
      <w:r w:rsidR="002429F3" w:rsidRPr="00D61A47">
        <w:rPr>
          <w:szCs w:val="24"/>
        </w:rPr>
        <w:t xml:space="preserve">.  The comment period expired on May 2, 2014.  The Federal Reserve did not receive any comments on information collection aspect of the NPRM and therefore will proceed with extending the current information collection for three years, without revision, as proposed.  On September 22, 2014, </w:t>
      </w:r>
      <w:r w:rsidR="00C7089D" w:rsidRPr="00D61A47">
        <w:rPr>
          <w:szCs w:val="24"/>
        </w:rPr>
        <w:t xml:space="preserve">the Federal Reserve published a final notice in the </w:t>
      </w:r>
      <w:r w:rsidR="00C7089D" w:rsidRPr="00D61A47">
        <w:rPr>
          <w:i/>
          <w:szCs w:val="24"/>
        </w:rPr>
        <w:t>Federal Register</w:t>
      </w:r>
      <w:r w:rsidR="00C7089D" w:rsidRPr="00D61A47">
        <w:rPr>
          <w:szCs w:val="24"/>
        </w:rPr>
        <w:t xml:space="preserve"> (79 FR </w:t>
      </w:r>
      <w:r w:rsidR="007C1D84" w:rsidRPr="00D61A47">
        <w:rPr>
          <w:szCs w:val="24"/>
        </w:rPr>
        <w:t>56581</w:t>
      </w:r>
      <w:r w:rsidR="00C7089D" w:rsidRPr="00D61A47">
        <w:rPr>
          <w:szCs w:val="24"/>
        </w:rPr>
        <w:t xml:space="preserve">). </w:t>
      </w:r>
    </w:p>
    <w:p w:rsidR="00763568" w:rsidRPr="00D61A47" w:rsidRDefault="00763568" w:rsidP="000F1E8E">
      <w:pPr>
        <w:tabs>
          <w:tab w:val="left" w:pos="367"/>
          <w:tab w:val="left" w:pos="1087"/>
        </w:tabs>
        <w:rPr>
          <w:color w:val="000000"/>
          <w:szCs w:val="24"/>
        </w:rPr>
      </w:pPr>
    </w:p>
    <w:p w:rsidR="00763568" w:rsidRPr="00D61A47" w:rsidRDefault="00763568" w:rsidP="000F1E8E">
      <w:pPr>
        <w:tabs>
          <w:tab w:val="left" w:pos="367"/>
          <w:tab w:val="left" w:pos="1087"/>
        </w:tabs>
        <w:rPr>
          <w:color w:val="000000"/>
          <w:szCs w:val="24"/>
        </w:rPr>
      </w:pPr>
      <w:r w:rsidRPr="00D61A47">
        <w:rPr>
          <w:b/>
          <w:color w:val="000000"/>
          <w:szCs w:val="24"/>
        </w:rPr>
        <w:t>Estimate of Respondent Burden</w:t>
      </w:r>
    </w:p>
    <w:p w:rsidR="008F4166" w:rsidRPr="00D61A47" w:rsidRDefault="008F4166" w:rsidP="000F1E8E">
      <w:pPr>
        <w:pStyle w:val="BodyText2"/>
        <w:tabs>
          <w:tab w:val="clear" w:pos="367"/>
          <w:tab w:val="clear" w:pos="1087"/>
        </w:tabs>
        <w:ind w:firstLine="720"/>
        <w:jc w:val="left"/>
        <w:rPr>
          <w:rFonts w:cs="Times New Roman"/>
          <w:color w:val="000000"/>
        </w:rPr>
      </w:pPr>
    </w:p>
    <w:p w:rsidR="00763568" w:rsidRPr="00D61A47" w:rsidRDefault="00763568" w:rsidP="000F1E8E">
      <w:pPr>
        <w:pStyle w:val="BodyText2"/>
        <w:tabs>
          <w:tab w:val="clear" w:pos="367"/>
          <w:tab w:val="clear" w:pos="1087"/>
        </w:tabs>
        <w:ind w:firstLine="720"/>
        <w:jc w:val="left"/>
        <w:rPr>
          <w:rFonts w:cs="Times New Roman"/>
        </w:rPr>
      </w:pPr>
      <w:r w:rsidRPr="00D61A47">
        <w:rPr>
          <w:rFonts w:cs="Times New Roman"/>
        </w:rPr>
        <w:t xml:space="preserve">The current estimate of the burden per response (i.e., per instance of disclosure) caused by a particular notice or disclosure requirement depends on several factors, including whether the notice is machine-generated and whether it is customer-specific.  The notices given at account opening and upon request and the notices posted where consumers make deposits are disclosures concerning the </w:t>
      </w:r>
      <w:r w:rsidR="00D6578E" w:rsidRPr="00D61A47">
        <w:rPr>
          <w:rFonts w:cs="Times New Roman"/>
        </w:rPr>
        <w:t>bank</w:t>
      </w:r>
      <w:r w:rsidRPr="00D61A47">
        <w:rPr>
          <w:rFonts w:cs="Times New Roman"/>
        </w:rPr>
        <w:t>’s policy.  They are machine-generated and are not customer-specific; thus the burden per response is minimal.  The notice of changes in policy (including the annual notice updating the ATM list, if necessary) is not customer-specific, but likely requires more time to prepare</w:t>
      </w:r>
      <w:r w:rsidR="00A82EEC" w:rsidRPr="00D61A47">
        <w:rPr>
          <w:rFonts w:cs="Times New Roman"/>
        </w:rPr>
        <w:t>.</w:t>
      </w:r>
      <w:r w:rsidR="002D21A0" w:rsidRPr="00D61A47">
        <w:rPr>
          <w:rFonts w:cs="Times New Roman"/>
        </w:rPr>
        <w:t xml:space="preserve"> </w:t>
      </w:r>
      <w:r w:rsidR="00A82EEC" w:rsidRPr="00D61A47">
        <w:rPr>
          <w:rFonts w:cs="Times New Roman"/>
        </w:rPr>
        <w:t>A</w:t>
      </w:r>
      <w:r w:rsidR="002D21A0" w:rsidRPr="00D61A47">
        <w:rPr>
          <w:rFonts w:cs="Times New Roman"/>
        </w:rPr>
        <w:t>lso</w:t>
      </w:r>
      <w:r w:rsidR="00A82EEC" w:rsidRPr="00D61A47">
        <w:rPr>
          <w:rFonts w:cs="Times New Roman"/>
        </w:rPr>
        <w:t>,</w:t>
      </w:r>
      <w:r w:rsidR="002D21A0" w:rsidRPr="00D61A47">
        <w:rPr>
          <w:rFonts w:cs="Times New Roman"/>
        </w:rPr>
        <w:t xml:space="preserve"> the timing for these is more uncertain because they are event-triggered and not given a standard schedule</w:t>
      </w:r>
      <w:r w:rsidRPr="00D61A47">
        <w:rPr>
          <w:rFonts w:cs="Times New Roman"/>
        </w:rPr>
        <w:t>; therefore, the burden per response is greater than for other notices.  Notices given when a bank invokes a case-by-case hold or an exception permitted by the regulation are customer-specific; therefore the burden per response associated with these notices is slightly greater.  The notice of nonpayment is also customer-specific; however, it is machine-generated.  Therefore, the burden per response associated with this notice is less than the burden per response associated with other customer-specific notices.</w:t>
      </w:r>
    </w:p>
    <w:p w:rsidR="00763568" w:rsidRPr="00D61A47" w:rsidRDefault="00763568" w:rsidP="000F1E8E">
      <w:pPr>
        <w:pStyle w:val="BodyText2"/>
        <w:tabs>
          <w:tab w:val="clear" w:pos="367"/>
          <w:tab w:val="clear" w:pos="1087"/>
        </w:tabs>
        <w:ind w:firstLine="720"/>
        <w:jc w:val="left"/>
        <w:rPr>
          <w:rFonts w:cs="Times New Roman"/>
        </w:rPr>
      </w:pPr>
    </w:p>
    <w:p w:rsidR="00763568" w:rsidRPr="00D61A47" w:rsidRDefault="00763568" w:rsidP="000F1E8E">
      <w:pPr>
        <w:pStyle w:val="BodyText2"/>
        <w:tabs>
          <w:tab w:val="clear" w:pos="367"/>
          <w:tab w:val="clear" w:pos="1087"/>
        </w:tabs>
        <w:ind w:firstLine="720"/>
        <w:jc w:val="left"/>
        <w:rPr>
          <w:rFonts w:cs="Times New Roman"/>
        </w:rPr>
      </w:pPr>
      <w:r w:rsidRPr="00D61A47">
        <w:rPr>
          <w:rFonts w:cs="Times New Roman"/>
        </w:rPr>
        <w:t xml:space="preserve">For purposes of the PRA, no paperwork burden is associated with the recordkeeping requirement of Regulation CC.  Section 229.21(g) requires </w:t>
      </w:r>
      <w:r w:rsidR="005E09BC" w:rsidRPr="00D61A47">
        <w:rPr>
          <w:rFonts w:cs="Times New Roman"/>
        </w:rPr>
        <w:t>banks</w:t>
      </w:r>
      <w:r w:rsidRPr="00D61A47">
        <w:rPr>
          <w:rFonts w:cs="Times New Roman"/>
        </w:rPr>
        <w:t xml:space="preserve"> to retain </w:t>
      </w:r>
      <w:r w:rsidR="00DC7138" w:rsidRPr="00D61A47">
        <w:rPr>
          <w:rFonts w:cs="Times New Roman"/>
        </w:rPr>
        <w:t xml:space="preserve">evidence </w:t>
      </w:r>
      <w:r w:rsidRPr="00D61A47">
        <w:rPr>
          <w:rFonts w:cs="Times New Roman"/>
        </w:rPr>
        <w:t>of compliance for no less than two years but does not specify the kind of records that must be retained for this purpose.</w:t>
      </w:r>
    </w:p>
    <w:p w:rsidR="00763568" w:rsidRPr="00D61A47" w:rsidRDefault="00763568" w:rsidP="000F1E8E">
      <w:pPr>
        <w:pStyle w:val="BodyText2"/>
        <w:tabs>
          <w:tab w:val="clear" w:pos="367"/>
          <w:tab w:val="clear" w:pos="1087"/>
        </w:tabs>
        <w:ind w:firstLine="720"/>
        <w:jc w:val="left"/>
        <w:rPr>
          <w:rFonts w:cs="Times New Roman"/>
        </w:rPr>
      </w:pPr>
    </w:p>
    <w:p w:rsidR="007F7799" w:rsidRPr="00D61A47" w:rsidRDefault="00763568" w:rsidP="000F1E8E">
      <w:pPr>
        <w:pStyle w:val="BodyText2"/>
        <w:tabs>
          <w:tab w:val="clear" w:pos="367"/>
          <w:tab w:val="clear" w:pos="1087"/>
        </w:tabs>
        <w:ind w:firstLine="720"/>
        <w:jc w:val="left"/>
        <w:rPr>
          <w:rFonts w:cs="Times New Roman"/>
        </w:rPr>
      </w:pPr>
      <w:r w:rsidRPr="00D61A47">
        <w:rPr>
          <w:rFonts w:cs="Times New Roman"/>
        </w:rPr>
        <w:t xml:space="preserve">The following table reflects the burden estimate of the Federal Reserve System for the </w:t>
      </w:r>
      <w:r w:rsidR="00717BE8" w:rsidRPr="00D61A47">
        <w:rPr>
          <w:rFonts w:cs="Times New Roman"/>
        </w:rPr>
        <w:t>1,0</w:t>
      </w:r>
      <w:r w:rsidR="00A82EEC" w:rsidRPr="00D61A47">
        <w:rPr>
          <w:rFonts w:cs="Times New Roman"/>
        </w:rPr>
        <w:t>25</w:t>
      </w:r>
      <w:r w:rsidRPr="00D61A47">
        <w:rPr>
          <w:rFonts w:cs="Times New Roman"/>
        </w:rPr>
        <w:t xml:space="preserve"> banks under its supervision.  The total annual burden for this information collection is</w:t>
      </w:r>
      <w:r w:rsidR="007F7799" w:rsidRPr="00D61A47">
        <w:rPr>
          <w:rFonts w:cs="Times New Roman"/>
        </w:rPr>
        <w:t xml:space="preserve"> estimated to be</w:t>
      </w:r>
      <w:r w:rsidRPr="00D61A47">
        <w:rPr>
          <w:rFonts w:cs="Times New Roman"/>
        </w:rPr>
        <w:t xml:space="preserve"> </w:t>
      </w:r>
      <w:r w:rsidR="00A82EEC" w:rsidRPr="00D61A47">
        <w:rPr>
          <w:rFonts w:cs="Times New Roman"/>
        </w:rPr>
        <w:t>195,846</w:t>
      </w:r>
      <w:r w:rsidRPr="00D61A47">
        <w:rPr>
          <w:rFonts w:cs="Times New Roman"/>
        </w:rPr>
        <w:t xml:space="preserve"> hours.  </w:t>
      </w:r>
      <w:r w:rsidR="00FD50A9" w:rsidRPr="00D61A47">
        <w:rPr>
          <w:rFonts w:cs="Times New Roman"/>
        </w:rPr>
        <w:t xml:space="preserve">These disclosure requirements </w:t>
      </w:r>
      <w:r w:rsidRPr="00D61A47">
        <w:rPr>
          <w:rFonts w:cs="Times New Roman"/>
        </w:rPr>
        <w:t>represent</w:t>
      </w:r>
      <w:r w:rsidR="004D3168" w:rsidRPr="00D61A47">
        <w:rPr>
          <w:rFonts w:cs="Times New Roman"/>
        </w:rPr>
        <w:t xml:space="preserve"> </w:t>
      </w:r>
      <w:r w:rsidR="00A82EEC" w:rsidRPr="00D61A47">
        <w:rPr>
          <w:rFonts w:cs="Times New Roman"/>
        </w:rPr>
        <w:t>1.25</w:t>
      </w:r>
      <w:r w:rsidRPr="00D61A47">
        <w:rPr>
          <w:rFonts w:cs="Times New Roman"/>
        </w:rPr>
        <w:t xml:space="preserve"> percent of total Fe</w:t>
      </w:r>
      <w:r w:rsidR="00856CA7" w:rsidRPr="00D61A47">
        <w:rPr>
          <w:rFonts w:cs="Times New Roman"/>
        </w:rPr>
        <w:t>deral Reserve paperwork burden.</w:t>
      </w:r>
    </w:p>
    <w:p w:rsidR="00856CA7" w:rsidRPr="00D61A47" w:rsidRDefault="00861473" w:rsidP="000F1E8E">
      <w:pPr>
        <w:pStyle w:val="BodyText2"/>
        <w:tabs>
          <w:tab w:val="clear" w:pos="367"/>
          <w:tab w:val="clear" w:pos="1087"/>
        </w:tabs>
        <w:ind w:firstLine="720"/>
        <w:jc w:val="left"/>
        <w:rPr>
          <w:rFonts w:cs="Times New Roman"/>
        </w:rPr>
      </w:pPr>
      <w:r w:rsidRPr="00D61A47">
        <w:rPr>
          <w:rFonts w:cs="Times New Roman"/>
        </w:rPr>
        <w:br w:type="page"/>
      </w:r>
    </w:p>
    <w:tbl>
      <w:tblPr>
        <w:tblW w:w="9544" w:type="dxa"/>
        <w:tblLayout w:type="fixed"/>
        <w:tblLook w:val="01E0" w:firstRow="1" w:lastRow="1" w:firstColumn="1" w:lastColumn="1" w:noHBand="0" w:noVBand="0"/>
      </w:tblPr>
      <w:tblGrid>
        <w:gridCol w:w="3328"/>
        <w:gridCol w:w="1604"/>
        <w:gridCol w:w="1404"/>
        <w:gridCol w:w="1604"/>
        <w:gridCol w:w="1604"/>
      </w:tblGrid>
      <w:tr w:rsidR="003F653F" w:rsidRPr="00D61A47" w:rsidTr="00D61A47">
        <w:trPr>
          <w:trHeight w:val="601"/>
        </w:trPr>
        <w:tc>
          <w:tcPr>
            <w:tcW w:w="3328" w:type="dxa"/>
            <w:tcBorders>
              <w:top w:val="single" w:sz="4" w:space="0" w:color="auto"/>
            </w:tcBorders>
            <w:vAlign w:val="bottom"/>
          </w:tcPr>
          <w:p w:rsidR="003F653F" w:rsidRPr="00D61A47" w:rsidRDefault="003F653F" w:rsidP="003F653F">
            <w:pPr>
              <w:rPr>
                <w:szCs w:val="24"/>
              </w:rPr>
            </w:pPr>
          </w:p>
        </w:tc>
        <w:tc>
          <w:tcPr>
            <w:tcW w:w="1604" w:type="dxa"/>
            <w:tcBorders>
              <w:top w:val="single" w:sz="4" w:space="0" w:color="auto"/>
            </w:tcBorders>
            <w:vAlign w:val="center"/>
          </w:tcPr>
          <w:p w:rsidR="003F653F" w:rsidRPr="00D61A47" w:rsidRDefault="003F653F" w:rsidP="003F653F">
            <w:pPr>
              <w:jc w:val="center"/>
              <w:rPr>
                <w:i/>
                <w:color w:val="000000"/>
                <w:szCs w:val="24"/>
              </w:rPr>
            </w:pPr>
            <w:r w:rsidRPr="00D61A47">
              <w:rPr>
                <w:i/>
                <w:color w:val="000000"/>
                <w:szCs w:val="24"/>
              </w:rPr>
              <w:t>Number</w:t>
            </w:r>
          </w:p>
          <w:p w:rsidR="003F653F" w:rsidRPr="00D61A47" w:rsidRDefault="003F653F" w:rsidP="003F653F">
            <w:pPr>
              <w:jc w:val="center"/>
              <w:rPr>
                <w:szCs w:val="24"/>
              </w:rPr>
            </w:pPr>
            <w:r w:rsidRPr="00D61A47">
              <w:rPr>
                <w:i/>
                <w:color w:val="000000"/>
                <w:szCs w:val="24"/>
              </w:rPr>
              <w:t>of respondents</w:t>
            </w:r>
          </w:p>
        </w:tc>
        <w:tc>
          <w:tcPr>
            <w:tcW w:w="1404" w:type="dxa"/>
            <w:tcBorders>
              <w:top w:val="single" w:sz="4" w:space="0" w:color="auto"/>
            </w:tcBorders>
            <w:vAlign w:val="center"/>
          </w:tcPr>
          <w:p w:rsidR="003F653F" w:rsidRPr="00D61A47" w:rsidRDefault="003F653F" w:rsidP="003F653F">
            <w:pPr>
              <w:jc w:val="center"/>
              <w:rPr>
                <w:szCs w:val="24"/>
              </w:rPr>
            </w:pPr>
            <w:r w:rsidRPr="00D61A47">
              <w:rPr>
                <w:i/>
                <w:color w:val="000000"/>
                <w:szCs w:val="24"/>
              </w:rPr>
              <w:t>Estimated annual frequency</w:t>
            </w:r>
          </w:p>
        </w:tc>
        <w:tc>
          <w:tcPr>
            <w:tcW w:w="1604" w:type="dxa"/>
            <w:tcBorders>
              <w:top w:val="single" w:sz="4" w:space="0" w:color="auto"/>
            </w:tcBorders>
            <w:vAlign w:val="center"/>
          </w:tcPr>
          <w:p w:rsidR="003F653F" w:rsidRPr="00D61A47" w:rsidRDefault="003F653F" w:rsidP="003F653F">
            <w:pPr>
              <w:jc w:val="center"/>
              <w:rPr>
                <w:szCs w:val="24"/>
              </w:rPr>
            </w:pPr>
            <w:r w:rsidRPr="00D61A47">
              <w:rPr>
                <w:i/>
                <w:color w:val="000000"/>
                <w:szCs w:val="24"/>
              </w:rPr>
              <w:t>Estimated average hours per response</w:t>
            </w:r>
          </w:p>
        </w:tc>
        <w:tc>
          <w:tcPr>
            <w:tcW w:w="1604" w:type="dxa"/>
            <w:tcBorders>
              <w:top w:val="single" w:sz="4" w:space="0" w:color="auto"/>
            </w:tcBorders>
            <w:vAlign w:val="bottom"/>
          </w:tcPr>
          <w:p w:rsidR="003F653F" w:rsidRPr="00D61A47" w:rsidRDefault="003F653F" w:rsidP="003F653F">
            <w:pPr>
              <w:jc w:val="center"/>
              <w:rPr>
                <w:i/>
                <w:color w:val="000000"/>
                <w:szCs w:val="24"/>
              </w:rPr>
            </w:pPr>
            <w:r w:rsidRPr="00D61A47">
              <w:rPr>
                <w:i/>
                <w:color w:val="000000"/>
                <w:szCs w:val="24"/>
              </w:rPr>
              <w:t>Estimated annual</w:t>
            </w:r>
          </w:p>
          <w:p w:rsidR="003F653F" w:rsidRPr="00D61A47" w:rsidRDefault="003F653F" w:rsidP="003F653F">
            <w:pPr>
              <w:jc w:val="center"/>
              <w:rPr>
                <w:i/>
                <w:color w:val="000000"/>
                <w:szCs w:val="24"/>
              </w:rPr>
            </w:pPr>
            <w:r w:rsidRPr="00D61A47">
              <w:rPr>
                <w:i/>
                <w:color w:val="000000"/>
                <w:szCs w:val="24"/>
              </w:rPr>
              <w:t>burden</w:t>
            </w:r>
          </w:p>
          <w:p w:rsidR="003F653F" w:rsidRPr="00D61A47" w:rsidRDefault="003F653F" w:rsidP="003F653F">
            <w:pPr>
              <w:jc w:val="center"/>
              <w:rPr>
                <w:szCs w:val="24"/>
              </w:rPr>
            </w:pPr>
            <w:r w:rsidRPr="00D61A47">
              <w:rPr>
                <w:i/>
                <w:color w:val="000000"/>
                <w:szCs w:val="24"/>
              </w:rPr>
              <w:t>hours</w:t>
            </w:r>
          </w:p>
        </w:tc>
      </w:tr>
      <w:tr w:rsidR="003F653F" w:rsidRPr="00D61A47" w:rsidTr="00D61A47">
        <w:trPr>
          <w:trHeight w:val="280"/>
        </w:trPr>
        <w:tc>
          <w:tcPr>
            <w:tcW w:w="3328" w:type="dxa"/>
            <w:vAlign w:val="bottom"/>
          </w:tcPr>
          <w:p w:rsidR="003F653F" w:rsidRPr="00D61A47" w:rsidRDefault="003F653F" w:rsidP="003F653F">
            <w:pPr>
              <w:rPr>
                <w:b/>
                <w:i/>
                <w:szCs w:val="24"/>
              </w:rPr>
            </w:pPr>
            <w:r w:rsidRPr="00D61A47">
              <w:rPr>
                <w:b/>
                <w:i/>
                <w:szCs w:val="24"/>
              </w:rPr>
              <w:t>Bank burden</w:t>
            </w:r>
          </w:p>
        </w:tc>
        <w:tc>
          <w:tcPr>
            <w:tcW w:w="1604" w:type="dxa"/>
            <w:vAlign w:val="bottom"/>
          </w:tcPr>
          <w:p w:rsidR="003F653F" w:rsidRPr="00D61A47" w:rsidRDefault="003F653F" w:rsidP="003F653F">
            <w:pPr>
              <w:jc w:val="center"/>
              <w:rPr>
                <w:szCs w:val="24"/>
              </w:rPr>
            </w:pPr>
          </w:p>
        </w:tc>
        <w:tc>
          <w:tcPr>
            <w:tcW w:w="1404" w:type="dxa"/>
            <w:vAlign w:val="bottom"/>
          </w:tcPr>
          <w:p w:rsidR="003F653F" w:rsidRPr="00D61A47" w:rsidRDefault="003F653F" w:rsidP="003F653F">
            <w:pPr>
              <w:jc w:val="center"/>
              <w:rPr>
                <w:szCs w:val="24"/>
              </w:rPr>
            </w:pPr>
          </w:p>
        </w:tc>
        <w:tc>
          <w:tcPr>
            <w:tcW w:w="1604" w:type="dxa"/>
            <w:vAlign w:val="center"/>
          </w:tcPr>
          <w:p w:rsidR="003F653F" w:rsidRPr="00D61A47" w:rsidRDefault="003F653F" w:rsidP="003F653F">
            <w:pPr>
              <w:rPr>
                <w:szCs w:val="24"/>
              </w:rPr>
            </w:pPr>
          </w:p>
        </w:tc>
        <w:tc>
          <w:tcPr>
            <w:tcW w:w="1604" w:type="dxa"/>
            <w:vAlign w:val="center"/>
          </w:tcPr>
          <w:p w:rsidR="003F653F" w:rsidRPr="00D61A47" w:rsidRDefault="003F653F" w:rsidP="003F653F">
            <w:pPr>
              <w:rPr>
                <w:szCs w:val="24"/>
              </w:rPr>
            </w:pPr>
          </w:p>
        </w:tc>
      </w:tr>
      <w:tr w:rsidR="003F653F" w:rsidRPr="00D61A47" w:rsidTr="00D61A47">
        <w:trPr>
          <w:trHeight w:val="466"/>
        </w:trPr>
        <w:tc>
          <w:tcPr>
            <w:tcW w:w="3328" w:type="dxa"/>
            <w:vAlign w:val="bottom"/>
          </w:tcPr>
          <w:p w:rsidR="003F653F" w:rsidRPr="00D61A47" w:rsidRDefault="003F653F" w:rsidP="003F653F">
            <w:pPr>
              <w:rPr>
                <w:szCs w:val="24"/>
              </w:rPr>
            </w:pPr>
            <w:r w:rsidRPr="00D61A47">
              <w:rPr>
                <w:szCs w:val="24"/>
              </w:rPr>
              <w:t>Specific availability policy disclosure</w:t>
            </w:r>
            <w:r w:rsidRPr="00D61A47">
              <w:rPr>
                <w:color w:val="000000"/>
                <w:szCs w:val="24"/>
              </w:rPr>
              <w:t xml:space="preserve"> </w:t>
            </w:r>
            <w:r w:rsidRPr="00D61A47">
              <w:rPr>
                <w:b/>
                <w:color w:val="000000"/>
                <w:szCs w:val="24"/>
              </w:rPr>
              <w:t>(229.16)</w:t>
            </w:r>
            <w:r w:rsidRPr="00D61A47">
              <w:rPr>
                <w:color w:val="000000"/>
                <w:szCs w:val="24"/>
              </w:rPr>
              <w:t xml:space="preserve">  &amp; </w:t>
            </w:r>
            <w:r w:rsidRPr="00D61A47">
              <w:rPr>
                <w:szCs w:val="24"/>
              </w:rPr>
              <w:t>Initial disclosures</w:t>
            </w:r>
            <w:r w:rsidRPr="00D61A47">
              <w:rPr>
                <w:color w:val="000000"/>
                <w:szCs w:val="24"/>
              </w:rPr>
              <w:t xml:space="preserve"> </w:t>
            </w:r>
            <w:r w:rsidRPr="00D61A47">
              <w:rPr>
                <w:b/>
                <w:color w:val="000000"/>
                <w:szCs w:val="24"/>
              </w:rPr>
              <w:t>(229.17)</w:t>
            </w:r>
          </w:p>
        </w:tc>
        <w:tc>
          <w:tcPr>
            <w:tcW w:w="1604" w:type="dxa"/>
            <w:vAlign w:val="bottom"/>
          </w:tcPr>
          <w:p w:rsidR="003F653F" w:rsidRPr="00D61A47" w:rsidRDefault="003F653F" w:rsidP="003F653F">
            <w:pPr>
              <w:jc w:val="center"/>
              <w:rPr>
                <w:szCs w:val="24"/>
              </w:rPr>
            </w:pPr>
            <w:r w:rsidRPr="00D61A47">
              <w:rPr>
                <w:szCs w:val="24"/>
              </w:rPr>
              <w:t>1,02</w:t>
            </w:r>
            <w:r w:rsidR="00362161" w:rsidRPr="00D61A47">
              <w:rPr>
                <w:szCs w:val="24"/>
              </w:rPr>
              <w:t>5</w:t>
            </w:r>
          </w:p>
        </w:tc>
        <w:tc>
          <w:tcPr>
            <w:tcW w:w="1404" w:type="dxa"/>
            <w:vAlign w:val="bottom"/>
          </w:tcPr>
          <w:p w:rsidR="003F653F" w:rsidRPr="00D61A47" w:rsidRDefault="003F653F" w:rsidP="003F653F">
            <w:pPr>
              <w:jc w:val="center"/>
              <w:rPr>
                <w:szCs w:val="24"/>
              </w:rPr>
            </w:pPr>
            <w:r w:rsidRPr="00D61A47">
              <w:rPr>
                <w:color w:val="000000"/>
                <w:szCs w:val="24"/>
              </w:rPr>
              <w:t>500</w:t>
            </w:r>
          </w:p>
        </w:tc>
        <w:tc>
          <w:tcPr>
            <w:tcW w:w="1604" w:type="dxa"/>
            <w:vAlign w:val="bottom"/>
          </w:tcPr>
          <w:p w:rsidR="003F653F" w:rsidRPr="00D61A47" w:rsidRDefault="003F653F" w:rsidP="003F653F">
            <w:pPr>
              <w:jc w:val="center"/>
              <w:rPr>
                <w:szCs w:val="24"/>
              </w:rPr>
            </w:pPr>
            <w:r w:rsidRPr="00D61A47">
              <w:rPr>
                <w:color w:val="000000"/>
                <w:szCs w:val="24"/>
              </w:rPr>
              <w:t>1 minute</w:t>
            </w:r>
          </w:p>
        </w:tc>
        <w:tc>
          <w:tcPr>
            <w:tcW w:w="1604" w:type="dxa"/>
            <w:vAlign w:val="bottom"/>
          </w:tcPr>
          <w:p w:rsidR="003F653F" w:rsidRPr="00D61A47" w:rsidRDefault="003F653F" w:rsidP="003F653F">
            <w:pPr>
              <w:tabs>
                <w:tab w:val="left" w:pos="-720"/>
                <w:tab w:val="left" w:pos="0"/>
                <w:tab w:val="left" w:pos="990"/>
              </w:tabs>
              <w:spacing w:before="163"/>
              <w:jc w:val="right"/>
              <w:rPr>
                <w:color w:val="000000"/>
                <w:szCs w:val="24"/>
              </w:rPr>
            </w:pPr>
            <w:r w:rsidRPr="00D61A47">
              <w:rPr>
                <w:color w:val="000000"/>
                <w:szCs w:val="24"/>
              </w:rPr>
              <w:t>8,542</w:t>
            </w:r>
          </w:p>
        </w:tc>
      </w:tr>
      <w:tr w:rsidR="003F653F" w:rsidRPr="00D61A47" w:rsidTr="00D61A47">
        <w:trPr>
          <w:trHeight w:val="466"/>
        </w:trPr>
        <w:tc>
          <w:tcPr>
            <w:tcW w:w="3328" w:type="dxa"/>
            <w:vAlign w:val="bottom"/>
          </w:tcPr>
          <w:p w:rsidR="003F653F" w:rsidRPr="00D61A47" w:rsidRDefault="003F653F" w:rsidP="003F653F">
            <w:pPr>
              <w:rPr>
                <w:color w:val="000000"/>
                <w:szCs w:val="24"/>
              </w:rPr>
            </w:pPr>
          </w:p>
          <w:p w:rsidR="003F653F" w:rsidRPr="00D61A47" w:rsidRDefault="003F653F" w:rsidP="003F653F">
            <w:pPr>
              <w:rPr>
                <w:szCs w:val="24"/>
              </w:rPr>
            </w:pPr>
            <w:r w:rsidRPr="00D61A47">
              <w:rPr>
                <w:iCs/>
                <w:snapToGrid/>
                <w:szCs w:val="24"/>
              </w:rPr>
              <w:t>Longer delays on a case-by-case basis.</w:t>
            </w:r>
            <w:r w:rsidRPr="00D61A47">
              <w:rPr>
                <w:snapToGrid/>
                <w:szCs w:val="24"/>
              </w:rPr>
              <w:t xml:space="preserve"> </w:t>
            </w:r>
            <w:r w:rsidRPr="00D61A47">
              <w:rPr>
                <w:iCs/>
                <w:snapToGrid/>
                <w:szCs w:val="24"/>
              </w:rPr>
              <w:t xml:space="preserve">Notice in specific policy disclosure.  </w:t>
            </w:r>
            <w:r w:rsidRPr="00D61A47">
              <w:rPr>
                <w:b/>
                <w:color w:val="000000"/>
                <w:szCs w:val="24"/>
              </w:rPr>
              <w:t>(229.16(c))</w:t>
            </w:r>
            <w:r w:rsidRPr="00D61A47">
              <w:rPr>
                <w:color w:val="000000"/>
                <w:szCs w:val="24"/>
              </w:rPr>
              <w:t xml:space="preserve"> </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tabs>
                <w:tab w:val="left" w:pos="-720"/>
                <w:tab w:val="left" w:pos="0"/>
                <w:tab w:val="left" w:pos="990"/>
              </w:tabs>
              <w:spacing w:before="163"/>
              <w:jc w:val="center"/>
              <w:rPr>
                <w:color w:val="000000"/>
                <w:szCs w:val="24"/>
              </w:rPr>
            </w:pPr>
            <w:r w:rsidRPr="00D61A47">
              <w:rPr>
                <w:color w:val="000000"/>
                <w:szCs w:val="24"/>
              </w:rPr>
              <w:t>700</w:t>
            </w:r>
          </w:p>
        </w:tc>
        <w:tc>
          <w:tcPr>
            <w:tcW w:w="1604" w:type="dxa"/>
            <w:vAlign w:val="bottom"/>
          </w:tcPr>
          <w:p w:rsidR="003F653F" w:rsidRPr="00D61A47" w:rsidRDefault="003F653F" w:rsidP="003F653F">
            <w:pPr>
              <w:tabs>
                <w:tab w:val="left" w:pos="-720"/>
                <w:tab w:val="left" w:pos="0"/>
                <w:tab w:val="left" w:pos="990"/>
              </w:tabs>
              <w:spacing w:before="163"/>
              <w:jc w:val="center"/>
              <w:rPr>
                <w:color w:val="000000"/>
                <w:szCs w:val="24"/>
              </w:rPr>
            </w:pPr>
            <w:r w:rsidRPr="00D61A47">
              <w:rPr>
                <w:color w:val="000000"/>
                <w:szCs w:val="24"/>
              </w:rPr>
              <w:t>3 minutes</w:t>
            </w:r>
          </w:p>
        </w:tc>
        <w:tc>
          <w:tcPr>
            <w:tcW w:w="1604" w:type="dxa"/>
            <w:vAlign w:val="bottom"/>
          </w:tcPr>
          <w:p w:rsidR="003F653F" w:rsidRPr="00D61A47" w:rsidRDefault="003F653F" w:rsidP="003F653F">
            <w:pPr>
              <w:tabs>
                <w:tab w:val="left" w:pos="-720"/>
                <w:tab w:val="left" w:pos="0"/>
                <w:tab w:val="left" w:pos="990"/>
              </w:tabs>
              <w:spacing w:before="163"/>
              <w:jc w:val="right"/>
              <w:rPr>
                <w:color w:val="000000"/>
                <w:szCs w:val="24"/>
              </w:rPr>
            </w:pPr>
            <w:r w:rsidRPr="00D61A47">
              <w:rPr>
                <w:color w:val="000000"/>
                <w:szCs w:val="24"/>
              </w:rPr>
              <w:t>35,875</w:t>
            </w:r>
          </w:p>
        </w:tc>
      </w:tr>
      <w:tr w:rsidR="003F653F" w:rsidRPr="00D61A47" w:rsidTr="00D61A47">
        <w:trPr>
          <w:trHeight w:val="819"/>
        </w:trPr>
        <w:tc>
          <w:tcPr>
            <w:tcW w:w="3328" w:type="dxa"/>
            <w:vAlign w:val="bottom"/>
          </w:tcPr>
          <w:p w:rsidR="003F653F" w:rsidRPr="00D61A47" w:rsidRDefault="003F653F" w:rsidP="003F653F">
            <w:pPr>
              <w:rPr>
                <w:b/>
                <w:szCs w:val="24"/>
              </w:rPr>
            </w:pPr>
            <w:r w:rsidRPr="00D61A47">
              <w:rPr>
                <w:color w:val="000000"/>
                <w:szCs w:val="24"/>
              </w:rPr>
              <w:t xml:space="preserve">Notice of exceptions </w:t>
            </w:r>
            <w:r w:rsidRPr="00D61A47">
              <w:rPr>
                <w:b/>
                <w:color w:val="000000"/>
                <w:szCs w:val="24"/>
              </w:rPr>
              <w:t>(229.13(g))</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jc w:val="center"/>
              <w:rPr>
                <w:szCs w:val="24"/>
              </w:rPr>
            </w:pPr>
            <w:r w:rsidRPr="00D61A47">
              <w:rPr>
                <w:szCs w:val="24"/>
              </w:rPr>
              <w:t>2,000</w:t>
            </w:r>
          </w:p>
        </w:tc>
        <w:tc>
          <w:tcPr>
            <w:tcW w:w="1604" w:type="dxa"/>
            <w:vAlign w:val="bottom"/>
          </w:tcPr>
          <w:p w:rsidR="003F653F" w:rsidRPr="00D61A47" w:rsidRDefault="003F653F" w:rsidP="003F653F">
            <w:pPr>
              <w:jc w:val="center"/>
              <w:rPr>
                <w:szCs w:val="24"/>
              </w:rPr>
            </w:pPr>
            <w:r w:rsidRPr="00D61A47">
              <w:rPr>
                <w:szCs w:val="24"/>
              </w:rPr>
              <w:t>3 minutes</w:t>
            </w:r>
          </w:p>
        </w:tc>
        <w:tc>
          <w:tcPr>
            <w:tcW w:w="1604" w:type="dxa"/>
            <w:vAlign w:val="bottom"/>
          </w:tcPr>
          <w:p w:rsidR="003F653F" w:rsidRPr="00D61A47" w:rsidRDefault="003F653F" w:rsidP="003F653F">
            <w:pPr>
              <w:jc w:val="right"/>
              <w:rPr>
                <w:szCs w:val="24"/>
              </w:rPr>
            </w:pPr>
            <w:r w:rsidRPr="00D61A47">
              <w:rPr>
                <w:szCs w:val="24"/>
              </w:rPr>
              <w:t>102,500</w:t>
            </w:r>
          </w:p>
        </w:tc>
      </w:tr>
      <w:tr w:rsidR="003F653F" w:rsidRPr="00D61A47" w:rsidTr="00D61A47">
        <w:trPr>
          <w:trHeight w:val="1080"/>
        </w:trPr>
        <w:tc>
          <w:tcPr>
            <w:tcW w:w="3328" w:type="dxa"/>
            <w:vAlign w:val="bottom"/>
          </w:tcPr>
          <w:p w:rsidR="003F653F" w:rsidRPr="00D61A47" w:rsidRDefault="003F653F" w:rsidP="003F653F">
            <w:pPr>
              <w:rPr>
                <w:szCs w:val="24"/>
              </w:rPr>
            </w:pPr>
          </w:p>
          <w:p w:rsidR="003F653F" w:rsidRPr="00D61A47" w:rsidRDefault="003F653F" w:rsidP="003F653F">
            <w:pPr>
              <w:autoSpaceDE w:val="0"/>
              <w:autoSpaceDN w:val="0"/>
              <w:adjustRightInd w:val="0"/>
              <w:rPr>
                <w:snapToGrid/>
                <w:szCs w:val="24"/>
              </w:rPr>
            </w:pPr>
            <w:r w:rsidRPr="00D61A47">
              <w:rPr>
                <w:iCs/>
                <w:snapToGrid/>
                <w:szCs w:val="24"/>
              </w:rPr>
              <w:t>Locations where employees accept consumer deposits.</w:t>
            </w:r>
          </w:p>
          <w:p w:rsidR="003F653F" w:rsidRPr="00D61A47" w:rsidRDefault="003F653F" w:rsidP="003F653F">
            <w:pPr>
              <w:rPr>
                <w:szCs w:val="24"/>
              </w:rPr>
            </w:pPr>
            <w:r w:rsidRPr="00D61A47">
              <w:rPr>
                <w:b/>
                <w:szCs w:val="24"/>
              </w:rPr>
              <w:t>(229.18(b))</w:t>
            </w:r>
            <w:r w:rsidRPr="00D61A47">
              <w:rPr>
                <w:szCs w:val="24"/>
              </w:rPr>
              <w:t xml:space="preserve"> ATMs </w:t>
            </w:r>
            <w:r w:rsidRPr="00D61A47">
              <w:rPr>
                <w:b/>
                <w:szCs w:val="24"/>
              </w:rPr>
              <w:t>(229.18(c))</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jc w:val="center"/>
              <w:rPr>
                <w:szCs w:val="24"/>
              </w:rPr>
            </w:pPr>
            <w:r w:rsidRPr="00D61A47">
              <w:rPr>
                <w:szCs w:val="24"/>
              </w:rPr>
              <w:t>1</w:t>
            </w:r>
          </w:p>
        </w:tc>
        <w:tc>
          <w:tcPr>
            <w:tcW w:w="1604" w:type="dxa"/>
            <w:vAlign w:val="bottom"/>
          </w:tcPr>
          <w:p w:rsidR="003F653F" w:rsidRPr="00D61A47" w:rsidRDefault="003F653F" w:rsidP="003F653F">
            <w:pPr>
              <w:jc w:val="center"/>
              <w:rPr>
                <w:szCs w:val="24"/>
              </w:rPr>
            </w:pPr>
            <w:r w:rsidRPr="00D61A47">
              <w:rPr>
                <w:szCs w:val="24"/>
              </w:rPr>
              <w:t>15 minutes</w:t>
            </w:r>
          </w:p>
        </w:tc>
        <w:tc>
          <w:tcPr>
            <w:tcW w:w="1604" w:type="dxa"/>
            <w:vAlign w:val="bottom"/>
          </w:tcPr>
          <w:p w:rsidR="003F653F" w:rsidRPr="00D61A47" w:rsidRDefault="003F653F" w:rsidP="003F653F">
            <w:pPr>
              <w:jc w:val="right"/>
              <w:rPr>
                <w:szCs w:val="24"/>
              </w:rPr>
            </w:pPr>
            <w:r w:rsidRPr="00D61A47">
              <w:rPr>
                <w:szCs w:val="24"/>
              </w:rPr>
              <w:t>256</w:t>
            </w:r>
          </w:p>
        </w:tc>
      </w:tr>
      <w:tr w:rsidR="003F653F" w:rsidRPr="00D61A47" w:rsidTr="00D61A47">
        <w:trPr>
          <w:trHeight w:val="423"/>
        </w:trPr>
        <w:tc>
          <w:tcPr>
            <w:tcW w:w="3328" w:type="dxa"/>
            <w:vAlign w:val="bottom"/>
          </w:tcPr>
          <w:p w:rsidR="003F653F" w:rsidRPr="00D61A47" w:rsidRDefault="003F653F" w:rsidP="003F653F">
            <w:pPr>
              <w:rPr>
                <w:color w:val="000000"/>
                <w:szCs w:val="24"/>
              </w:rPr>
            </w:pPr>
          </w:p>
          <w:p w:rsidR="003F653F" w:rsidRPr="00D61A47" w:rsidRDefault="003F653F" w:rsidP="003F653F">
            <w:pPr>
              <w:rPr>
                <w:szCs w:val="24"/>
              </w:rPr>
            </w:pPr>
            <w:r w:rsidRPr="00D61A47">
              <w:rPr>
                <w:color w:val="000000"/>
                <w:szCs w:val="24"/>
              </w:rPr>
              <w:t xml:space="preserve">Annual notice of new ATMs </w:t>
            </w:r>
            <w:r w:rsidRPr="00D61A47">
              <w:rPr>
                <w:b/>
                <w:color w:val="000000"/>
                <w:szCs w:val="24"/>
              </w:rPr>
              <w:t>(229.18(e))</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jc w:val="center"/>
              <w:rPr>
                <w:szCs w:val="24"/>
              </w:rPr>
            </w:pPr>
            <w:r w:rsidRPr="00D61A47">
              <w:rPr>
                <w:szCs w:val="24"/>
              </w:rPr>
              <w:t>1</w:t>
            </w:r>
          </w:p>
        </w:tc>
        <w:tc>
          <w:tcPr>
            <w:tcW w:w="1604" w:type="dxa"/>
            <w:vAlign w:val="bottom"/>
          </w:tcPr>
          <w:p w:rsidR="003F653F" w:rsidRPr="00D61A47" w:rsidRDefault="003F653F" w:rsidP="003F653F">
            <w:pPr>
              <w:jc w:val="center"/>
              <w:rPr>
                <w:szCs w:val="24"/>
              </w:rPr>
            </w:pPr>
            <w:r w:rsidRPr="00D61A47">
              <w:rPr>
                <w:szCs w:val="24"/>
              </w:rPr>
              <w:t>5 hours</w:t>
            </w:r>
          </w:p>
        </w:tc>
        <w:tc>
          <w:tcPr>
            <w:tcW w:w="1604" w:type="dxa"/>
            <w:vAlign w:val="bottom"/>
          </w:tcPr>
          <w:p w:rsidR="003F653F" w:rsidRPr="00D61A47" w:rsidRDefault="003F653F" w:rsidP="003F653F">
            <w:pPr>
              <w:jc w:val="right"/>
              <w:rPr>
                <w:szCs w:val="24"/>
              </w:rPr>
            </w:pPr>
            <w:r w:rsidRPr="00D61A47">
              <w:rPr>
                <w:szCs w:val="24"/>
              </w:rPr>
              <w:t>5,125</w:t>
            </w:r>
          </w:p>
        </w:tc>
      </w:tr>
      <w:tr w:rsidR="003F653F" w:rsidRPr="00D61A47" w:rsidTr="00D61A47">
        <w:trPr>
          <w:trHeight w:val="405"/>
        </w:trPr>
        <w:tc>
          <w:tcPr>
            <w:tcW w:w="3328" w:type="dxa"/>
            <w:vAlign w:val="bottom"/>
          </w:tcPr>
          <w:p w:rsidR="003F653F" w:rsidRPr="00D61A47" w:rsidRDefault="003F653F" w:rsidP="003F653F">
            <w:pPr>
              <w:rPr>
                <w:szCs w:val="24"/>
              </w:rPr>
            </w:pPr>
            <w:r w:rsidRPr="00D61A47">
              <w:rPr>
                <w:color w:val="000000"/>
                <w:szCs w:val="24"/>
              </w:rPr>
              <w:t xml:space="preserve">ATM changes in policy </w:t>
            </w:r>
            <w:r w:rsidRPr="00D61A47">
              <w:rPr>
                <w:b/>
                <w:color w:val="000000"/>
                <w:szCs w:val="24"/>
              </w:rPr>
              <w:t>(229.18(e))</w:t>
            </w:r>
          </w:p>
        </w:tc>
        <w:tc>
          <w:tcPr>
            <w:tcW w:w="1604" w:type="dxa"/>
            <w:vAlign w:val="bottom"/>
          </w:tcPr>
          <w:p w:rsidR="003F653F" w:rsidRPr="00D61A47" w:rsidRDefault="003F653F" w:rsidP="003F653F">
            <w:pPr>
              <w:jc w:val="center"/>
              <w:rPr>
                <w:szCs w:val="24"/>
              </w:rPr>
            </w:pPr>
            <w:r w:rsidRPr="00D61A47">
              <w:rPr>
                <w:szCs w:val="24"/>
              </w:rPr>
              <w:t>100</w:t>
            </w:r>
          </w:p>
        </w:tc>
        <w:tc>
          <w:tcPr>
            <w:tcW w:w="1404" w:type="dxa"/>
            <w:vAlign w:val="bottom"/>
          </w:tcPr>
          <w:p w:rsidR="003F653F" w:rsidRPr="00D61A47" w:rsidRDefault="003F653F" w:rsidP="003F653F">
            <w:pPr>
              <w:jc w:val="center"/>
              <w:rPr>
                <w:szCs w:val="24"/>
              </w:rPr>
            </w:pPr>
            <w:r w:rsidRPr="00D61A47">
              <w:rPr>
                <w:szCs w:val="24"/>
              </w:rPr>
              <w:t>2</w:t>
            </w:r>
          </w:p>
        </w:tc>
        <w:tc>
          <w:tcPr>
            <w:tcW w:w="1604" w:type="dxa"/>
            <w:vAlign w:val="bottom"/>
          </w:tcPr>
          <w:p w:rsidR="003F653F" w:rsidRPr="00D61A47" w:rsidRDefault="003F653F" w:rsidP="003F653F">
            <w:pPr>
              <w:jc w:val="center"/>
              <w:rPr>
                <w:szCs w:val="24"/>
              </w:rPr>
            </w:pPr>
            <w:r w:rsidRPr="00D61A47">
              <w:rPr>
                <w:szCs w:val="24"/>
              </w:rPr>
              <w:t>20 hours</w:t>
            </w:r>
          </w:p>
        </w:tc>
        <w:tc>
          <w:tcPr>
            <w:tcW w:w="1604" w:type="dxa"/>
            <w:vAlign w:val="bottom"/>
          </w:tcPr>
          <w:p w:rsidR="003F653F" w:rsidRPr="00D61A47" w:rsidRDefault="003F653F" w:rsidP="003F653F">
            <w:pPr>
              <w:jc w:val="right"/>
              <w:rPr>
                <w:szCs w:val="24"/>
              </w:rPr>
            </w:pPr>
            <w:r w:rsidRPr="00D61A47">
              <w:rPr>
                <w:szCs w:val="24"/>
              </w:rPr>
              <w:t>4,000</w:t>
            </w:r>
          </w:p>
        </w:tc>
      </w:tr>
      <w:tr w:rsidR="003F653F" w:rsidRPr="00D61A47" w:rsidTr="00D61A47">
        <w:trPr>
          <w:trHeight w:val="792"/>
        </w:trPr>
        <w:tc>
          <w:tcPr>
            <w:tcW w:w="3328" w:type="dxa"/>
            <w:vAlign w:val="bottom"/>
          </w:tcPr>
          <w:p w:rsidR="003F653F" w:rsidRPr="00D61A47" w:rsidRDefault="003F653F" w:rsidP="003F653F">
            <w:pPr>
              <w:rPr>
                <w:color w:val="000000"/>
                <w:szCs w:val="24"/>
              </w:rPr>
            </w:pPr>
            <w:r w:rsidRPr="00D61A47">
              <w:rPr>
                <w:color w:val="000000"/>
                <w:szCs w:val="24"/>
              </w:rPr>
              <w:t xml:space="preserve">Notice of nonpayment </w:t>
            </w:r>
            <w:r w:rsidRPr="00D61A47">
              <w:rPr>
                <w:b/>
                <w:color w:val="000000"/>
                <w:szCs w:val="24"/>
              </w:rPr>
              <w:t>(229.33(a) &amp; (d))</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jc w:val="center"/>
              <w:rPr>
                <w:szCs w:val="24"/>
              </w:rPr>
            </w:pPr>
            <w:r w:rsidRPr="00D61A47">
              <w:rPr>
                <w:szCs w:val="24"/>
              </w:rPr>
              <w:t>890</w:t>
            </w:r>
          </w:p>
        </w:tc>
        <w:tc>
          <w:tcPr>
            <w:tcW w:w="1604" w:type="dxa"/>
            <w:vAlign w:val="bottom"/>
          </w:tcPr>
          <w:p w:rsidR="003F653F" w:rsidRPr="00D61A47" w:rsidRDefault="003F653F" w:rsidP="003F653F">
            <w:pPr>
              <w:jc w:val="center"/>
              <w:rPr>
                <w:szCs w:val="24"/>
              </w:rPr>
            </w:pPr>
            <w:r w:rsidRPr="00D61A47">
              <w:rPr>
                <w:szCs w:val="24"/>
              </w:rPr>
              <w:t>1 minute</w:t>
            </w:r>
          </w:p>
        </w:tc>
        <w:tc>
          <w:tcPr>
            <w:tcW w:w="1604" w:type="dxa"/>
            <w:vAlign w:val="bottom"/>
          </w:tcPr>
          <w:p w:rsidR="003F653F" w:rsidRPr="00D61A47" w:rsidRDefault="003F653F" w:rsidP="003F653F">
            <w:pPr>
              <w:jc w:val="right"/>
              <w:rPr>
                <w:szCs w:val="24"/>
              </w:rPr>
            </w:pPr>
            <w:r w:rsidRPr="00D61A47">
              <w:rPr>
                <w:szCs w:val="24"/>
              </w:rPr>
              <w:t>15,204</w:t>
            </w:r>
          </w:p>
        </w:tc>
      </w:tr>
      <w:tr w:rsidR="003F653F" w:rsidRPr="00D61A47" w:rsidTr="00D61A47">
        <w:trPr>
          <w:trHeight w:val="720"/>
        </w:trPr>
        <w:tc>
          <w:tcPr>
            <w:tcW w:w="3328" w:type="dxa"/>
            <w:vAlign w:val="bottom"/>
          </w:tcPr>
          <w:p w:rsidR="003F653F" w:rsidRPr="00D61A47" w:rsidRDefault="003F653F" w:rsidP="003F653F">
            <w:pPr>
              <w:rPr>
                <w:szCs w:val="24"/>
              </w:rPr>
            </w:pPr>
          </w:p>
          <w:p w:rsidR="003F653F" w:rsidRPr="00D61A47" w:rsidRDefault="003F653F" w:rsidP="003F653F">
            <w:pPr>
              <w:rPr>
                <w:color w:val="000000"/>
                <w:szCs w:val="24"/>
              </w:rPr>
            </w:pPr>
            <w:r w:rsidRPr="00D61A47">
              <w:rPr>
                <w:szCs w:val="24"/>
              </w:rPr>
              <w:t xml:space="preserve">Expedited recredit for consumers </w:t>
            </w:r>
            <w:r w:rsidRPr="00D61A47">
              <w:rPr>
                <w:b/>
                <w:szCs w:val="24"/>
              </w:rPr>
              <w:t>(229.54(a))</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jc w:val="center"/>
              <w:rPr>
                <w:szCs w:val="24"/>
              </w:rPr>
            </w:pPr>
            <w:r w:rsidRPr="00D61A47">
              <w:rPr>
                <w:szCs w:val="24"/>
              </w:rPr>
              <w:t>35</w:t>
            </w:r>
          </w:p>
        </w:tc>
        <w:tc>
          <w:tcPr>
            <w:tcW w:w="1604" w:type="dxa"/>
            <w:vAlign w:val="bottom"/>
          </w:tcPr>
          <w:p w:rsidR="003F653F" w:rsidRPr="00D61A47" w:rsidRDefault="003F653F" w:rsidP="003F653F">
            <w:pPr>
              <w:jc w:val="center"/>
              <w:rPr>
                <w:szCs w:val="24"/>
              </w:rPr>
            </w:pPr>
            <w:r w:rsidRPr="00D61A47">
              <w:rPr>
                <w:szCs w:val="24"/>
              </w:rPr>
              <w:t>15 minutes</w:t>
            </w:r>
          </w:p>
        </w:tc>
        <w:tc>
          <w:tcPr>
            <w:tcW w:w="1604" w:type="dxa"/>
            <w:vAlign w:val="bottom"/>
          </w:tcPr>
          <w:p w:rsidR="003F653F" w:rsidRPr="00D61A47" w:rsidRDefault="003F653F" w:rsidP="003F653F">
            <w:pPr>
              <w:jc w:val="right"/>
              <w:rPr>
                <w:szCs w:val="24"/>
              </w:rPr>
            </w:pPr>
            <w:r w:rsidRPr="00D61A47">
              <w:rPr>
                <w:szCs w:val="24"/>
              </w:rPr>
              <w:t>8,969</w:t>
            </w:r>
          </w:p>
        </w:tc>
      </w:tr>
      <w:tr w:rsidR="003F653F" w:rsidRPr="00D61A47" w:rsidTr="00D61A47">
        <w:trPr>
          <w:trHeight w:val="720"/>
        </w:trPr>
        <w:tc>
          <w:tcPr>
            <w:tcW w:w="3328" w:type="dxa"/>
            <w:vAlign w:val="bottom"/>
          </w:tcPr>
          <w:p w:rsidR="003F653F" w:rsidRPr="00D61A47" w:rsidRDefault="003F653F" w:rsidP="003F653F">
            <w:pPr>
              <w:rPr>
                <w:color w:val="000000"/>
                <w:szCs w:val="24"/>
              </w:rPr>
            </w:pPr>
            <w:r w:rsidRPr="00D61A47">
              <w:rPr>
                <w:color w:val="000000"/>
                <w:szCs w:val="24"/>
              </w:rPr>
              <w:t xml:space="preserve">Expedited recredit for banks </w:t>
            </w:r>
            <w:r w:rsidRPr="00D61A47">
              <w:rPr>
                <w:b/>
                <w:color w:val="000000"/>
                <w:szCs w:val="24"/>
              </w:rPr>
              <w:t>(229.55)</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jc w:val="center"/>
              <w:rPr>
                <w:szCs w:val="24"/>
              </w:rPr>
            </w:pPr>
            <w:r w:rsidRPr="00D61A47">
              <w:rPr>
                <w:szCs w:val="24"/>
              </w:rPr>
              <w:t>15</w:t>
            </w:r>
          </w:p>
        </w:tc>
        <w:tc>
          <w:tcPr>
            <w:tcW w:w="1604" w:type="dxa"/>
            <w:vAlign w:val="bottom"/>
          </w:tcPr>
          <w:p w:rsidR="003F653F" w:rsidRPr="00D61A47" w:rsidRDefault="003F653F" w:rsidP="003F653F">
            <w:pPr>
              <w:jc w:val="center"/>
              <w:rPr>
                <w:szCs w:val="24"/>
              </w:rPr>
            </w:pPr>
            <w:r w:rsidRPr="00D61A47">
              <w:rPr>
                <w:szCs w:val="24"/>
              </w:rPr>
              <w:t>15 minutes</w:t>
            </w:r>
          </w:p>
        </w:tc>
        <w:tc>
          <w:tcPr>
            <w:tcW w:w="1604" w:type="dxa"/>
            <w:vAlign w:val="bottom"/>
          </w:tcPr>
          <w:p w:rsidR="003F653F" w:rsidRPr="00D61A47" w:rsidRDefault="003F653F" w:rsidP="003F653F">
            <w:pPr>
              <w:jc w:val="right"/>
              <w:rPr>
                <w:szCs w:val="24"/>
              </w:rPr>
            </w:pPr>
            <w:r w:rsidRPr="00D61A47">
              <w:rPr>
                <w:szCs w:val="24"/>
              </w:rPr>
              <w:t>3,844</w:t>
            </w:r>
          </w:p>
        </w:tc>
      </w:tr>
      <w:tr w:rsidR="003F653F" w:rsidRPr="00D61A47" w:rsidTr="00D61A47">
        <w:trPr>
          <w:trHeight w:val="360"/>
        </w:trPr>
        <w:tc>
          <w:tcPr>
            <w:tcW w:w="3328" w:type="dxa"/>
            <w:vAlign w:val="bottom"/>
          </w:tcPr>
          <w:p w:rsidR="003F653F" w:rsidRPr="00D61A47" w:rsidRDefault="003F653F" w:rsidP="003F653F">
            <w:pPr>
              <w:rPr>
                <w:color w:val="000000"/>
                <w:szCs w:val="24"/>
              </w:rPr>
            </w:pPr>
            <w:r w:rsidRPr="00D61A47">
              <w:rPr>
                <w:color w:val="000000"/>
                <w:szCs w:val="24"/>
              </w:rPr>
              <w:t xml:space="preserve">Consumer awareness </w:t>
            </w:r>
            <w:r w:rsidRPr="00D61A47">
              <w:rPr>
                <w:b/>
                <w:color w:val="000000"/>
                <w:szCs w:val="24"/>
              </w:rPr>
              <w:t>(229.57)</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jc w:val="center"/>
              <w:rPr>
                <w:szCs w:val="24"/>
              </w:rPr>
            </w:pPr>
            <w:r w:rsidRPr="00D61A47">
              <w:rPr>
                <w:szCs w:val="24"/>
              </w:rPr>
              <w:t>300</w:t>
            </w:r>
          </w:p>
        </w:tc>
        <w:tc>
          <w:tcPr>
            <w:tcW w:w="1604" w:type="dxa"/>
            <w:vAlign w:val="bottom"/>
          </w:tcPr>
          <w:p w:rsidR="003F653F" w:rsidRPr="00D61A47" w:rsidRDefault="003F653F" w:rsidP="003F653F">
            <w:pPr>
              <w:jc w:val="center"/>
              <w:rPr>
                <w:szCs w:val="24"/>
              </w:rPr>
            </w:pPr>
            <w:r w:rsidRPr="00D61A47">
              <w:rPr>
                <w:szCs w:val="24"/>
              </w:rPr>
              <w:t>1 minute</w:t>
            </w:r>
          </w:p>
        </w:tc>
        <w:tc>
          <w:tcPr>
            <w:tcW w:w="1604" w:type="dxa"/>
            <w:vAlign w:val="bottom"/>
          </w:tcPr>
          <w:p w:rsidR="003F653F" w:rsidRPr="00D61A47" w:rsidRDefault="003F653F" w:rsidP="003F653F">
            <w:pPr>
              <w:jc w:val="right"/>
              <w:rPr>
                <w:szCs w:val="24"/>
              </w:rPr>
            </w:pPr>
            <w:r w:rsidRPr="00D61A47">
              <w:rPr>
                <w:szCs w:val="24"/>
              </w:rPr>
              <w:t>5,125</w:t>
            </w:r>
          </w:p>
        </w:tc>
      </w:tr>
      <w:tr w:rsidR="003F653F" w:rsidRPr="00D61A47" w:rsidTr="00D61A47">
        <w:trPr>
          <w:trHeight w:val="207"/>
        </w:trPr>
        <w:tc>
          <w:tcPr>
            <w:tcW w:w="3328" w:type="dxa"/>
            <w:vAlign w:val="bottom"/>
          </w:tcPr>
          <w:p w:rsidR="003F653F" w:rsidRPr="00D61A47" w:rsidRDefault="003F653F" w:rsidP="003F653F">
            <w:pPr>
              <w:rPr>
                <w:color w:val="000000"/>
                <w:szCs w:val="24"/>
              </w:rPr>
            </w:pPr>
          </w:p>
        </w:tc>
        <w:tc>
          <w:tcPr>
            <w:tcW w:w="1604" w:type="dxa"/>
            <w:vAlign w:val="bottom"/>
          </w:tcPr>
          <w:p w:rsidR="003F653F" w:rsidRPr="00D61A47" w:rsidRDefault="003F653F" w:rsidP="003F653F">
            <w:pPr>
              <w:jc w:val="center"/>
              <w:rPr>
                <w:szCs w:val="24"/>
              </w:rPr>
            </w:pPr>
          </w:p>
        </w:tc>
        <w:tc>
          <w:tcPr>
            <w:tcW w:w="1404" w:type="dxa"/>
            <w:vAlign w:val="bottom"/>
          </w:tcPr>
          <w:p w:rsidR="003F653F" w:rsidRPr="00D61A47" w:rsidRDefault="003F653F" w:rsidP="003F653F">
            <w:pPr>
              <w:jc w:val="center"/>
              <w:rPr>
                <w:szCs w:val="24"/>
              </w:rPr>
            </w:pPr>
          </w:p>
        </w:tc>
        <w:tc>
          <w:tcPr>
            <w:tcW w:w="1604" w:type="dxa"/>
            <w:vAlign w:val="bottom"/>
          </w:tcPr>
          <w:p w:rsidR="003F653F" w:rsidRPr="00D61A47" w:rsidRDefault="003F653F" w:rsidP="003F653F">
            <w:pPr>
              <w:jc w:val="center"/>
              <w:rPr>
                <w:szCs w:val="24"/>
              </w:rPr>
            </w:pPr>
          </w:p>
        </w:tc>
        <w:tc>
          <w:tcPr>
            <w:tcW w:w="1604" w:type="dxa"/>
            <w:vAlign w:val="bottom"/>
          </w:tcPr>
          <w:p w:rsidR="003F653F" w:rsidRPr="00D61A47" w:rsidRDefault="003F653F" w:rsidP="003F653F">
            <w:pPr>
              <w:jc w:val="right"/>
              <w:rPr>
                <w:szCs w:val="24"/>
                <w:u w:val="single"/>
              </w:rPr>
            </w:pPr>
          </w:p>
        </w:tc>
      </w:tr>
      <w:tr w:rsidR="003F653F" w:rsidRPr="00D61A47" w:rsidTr="00D61A47">
        <w:trPr>
          <w:trHeight w:val="280"/>
        </w:trPr>
        <w:tc>
          <w:tcPr>
            <w:tcW w:w="3328" w:type="dxa"/>
            <w:vAlign w:val="bottom"/>
          </w:tcPr>
          <w:p w:rsidR="003F653F" w:rsidRPr="00D61A47" w:rsidRDefault="003F653F" w:rsidP="003F653F">
            <w:pPr>
              <w:rPr>
                <w:b/>
                <w:i/>
                <w:szCs w:val="24"/>
              </w:rPr>
            </w:pPr>
            <w:r w:rsidRPr="00D61A47">
              <w:rPr>
                <w:b/>
                <w:i/>
                <w:szCs w:val="24"/>
              </w:rPr>
              <w:t>Consumer burden</w:t>
            </w:r>
          </w:p>
        </w:tc>
        <w:tc>
          <w:tcPr>
            <w:tcW w:w="1604" w:type="dxa"/>
            <w:vAlign w:val="bottom"/>
          </w:tcPr>
          <w:p w:rsidR="003F653F" w:rsidRPr="00D61A47" w:rsidRDefault="003F653F" w:rsidP="003F653F">
            <w:pPr>
              <w:jc w:val="center"/>
              <w:rPr>
                <w:szCs w:val="24"/>
              </w:rPr>
            </w:pPr>
          </w:p>
        </w:tc>
        <w:tc>
          <w:tcPr>
            <w:tcW w:w="1404" w:type="dxa"/>
            <w:vAlign w:val="bottom"/>
          </w:tcPr>
          <w:p w:rsidR="003F653F" w:rsidRPr="00D61A47" w:rsidRDefault="003F653F" w:rsidP="003F653F">
            <w:pPr>
              <w:jc w:val="center"/>
              <w:rPr>
                <w:szCs w:val="24"/>
              </w:rPr>
            </w:pPr>
          </w:p>
        </w:tc>
        <w:tc>
          <w:tcPr>
            <w:tcW w:w="1604" w:type="dxa"/>
            <w:vAlign w:val="bottom"/>
          </w:tcPr>
          <w:p w:rsidR="003F653F" w:rsidRPr="00D61A47" w:rsidRDefault="003F653F" w:rsidP="003F653F">
            <w:pPr>
              <w:jc w:val="center"/>
              <w:rPr>
                <w:szCs w:val="24"/>
              </w:rPr>
            </w:pPr>
          </w:p>
        </w:tc>
        <w:tc>
          <w:tcPr>
            <w:tcW w:w="1604" w:type="dxa"/>
            <w:vAlign w:val="bottom"/>
          </w:tcPr>
          <w:p w:rsidR="003F653F" w:rsidRPr="00D61A47" w:rsidRDefault="003F653F" w:rsidP="003F653F">
            <w:pPr>
              <w:jc w:val="right"/>
              <w:rPr>
                <w:szCs w:val="24"/>
              </w:rPr>
            </w:pPr>
          </w:p>
        </w:tc>
      </w:tr>
      <w:tr w:rsidR="003F653F" w:rsidRPr="00D61A47" w:rsidTr="00D61A47">
        <w:trPr>
          <w:trHeight w:val="280"/>
        </w:trPr>
        <w:tc>
          <w:tcPr>
            <w:tcW w:w="3328" w:type="dxa"/>
            <w:vAlign w:val="bottom"/>
          </w:tcPr>
          <w:p w:rsidR="003F653F" w:rsidRPr="00D61A47" w:rsidRDefault="003F653F" w:rsidP="003F653F">
            <w:pPr>
              <w:rPr>
                <w:szCs w:val="24"/>
              </w:rPr>
            </w:pPr>
            <w:r w:rsidRPr="00D61A47">
              <w:rPr>
                <w:szCs w:val="24"/>
              </w:rPr>
              <w:t xml:space="preserve">Expedited recredit claim notice </w:t>
            </w:r>
            <w:r w:rsidRPr="00D61A47">
              <w:rPr>
                <w:b/>
                <w:szCs w:val="24"/>
              </w:rPr>
              <w:t xml:space="preserve">(229.54(b)(2)) </w:t>
            </w:r>
          </w:p>
        </w:tc>
        <w:tc>
          <w:tcPr>
            <w:tcW w:w="1604" w:type="dxa"/>
            <w:vAlign w:val="bottom"/>
          </w:tcPr>
          <w:p w:rsidR="003F653F" w:rsidRPr="00D61A47" w:rsidRDefault="003F653F" w:rsidP="003F653F">
            <w:pPr>
              <w:jc w:val="center"/>
              <w:rPr>
                <w:szCs w:val="24"/>
              </w:rPr>
            </w:pPr>
            <w:r w:rsidRPr="00D61A47">
              <w:rPr>
                <w:szCs w:val="24"/>
              </w:rPr>
              <w:t>1,025</w:t>
            </w:r>
          </w:p>
        </w:tc>
        <w:tc>
          <w:tcPr>
            <w:tcW w:w="1404" w:type="dxa"/>
            <w:vAlign w:val="bottom"/>
          </w:tcPr>
          <w:p w:rsidR="003F653F" w:rsidRPr="00D61A47" w:rsidRDefault="003F653F" w:rsidP="003F653F">
            <w:pPr>
              <w:jc w:val="center"/>
              <w:rPr>
                <w:szCs w:val="24"/>
              </w:rPr>
            </w:pPr>
            <w:r w:rsidRPr="00D61A47">
              <w:rPr>
                <w:szCs w:val="24"/>
              </w:rPr>
              <w:t>25</w:t>
            </w:r>
          </w:p>
        </w:tc>
        <w:tc>
          <w:tcPr>
            <w:tcW w:w="1604" w:type="dxa"/>
            <w:vAlign w:val="bottom"/>
          </w:tcPr>
          <w:p w:rsidR="003F653F" w:rsidRPr="00D61A47" w:rsidRDefault="003F653F" w:rsidP="003F653F">
            <w:pPr>
              <w:jc w:val="center"/>
              <w:rPr>
                <w:szCs w:val="24"/>
              </w:rPr>
            </w:pPr>
            <w:r w:rsidRPr="00D61A47">
              <w:rPr>
                <w:szCs w:val="24"/>
              </w:rPr>
              <w:t>15 minutes</w:t>
            </w:r>
          </w:p>
        </w:tc>
        <w:tc>
          <w:tcPr>
            <w:tcW w:w="1604" w:type="dxa"/>
            <w:vAlign w:val="bottom"/>
          </w:tcPr>
          <w:p w:rsidR="003F653F" w:rsidRPr="00D61A47" w:rsidRDefault="003F653F" w:rsidP="003F653F">
            <w:pPr>
              <w:jc w:val="right"/>
              <w:rPr>
                <w:szCs w:val="24"/>
              </w:rPr>
            </w:pPr>
            <w:r w:rsidRPr="00D61A47">
              <w:rPr>
                <w:szCs w:val="24"/>
              </w:rPr>
              <w:t>6,406</w:t>
            </w:r>
          </w:p>
        </w:tc>
      </w:tr>
      <w:tr w:rsidR="003F653F" w:rsidRPr="00D61A47" w:rsidTr="00D61A47">
        <w:trPr>
          <w:trHeight w:val="280"/>
        </w:trPr>
        <w:tc>
          <w:tcPr>
            <w:tcW w:w="3328" w:type="dxa"/>
            <w:vAlign w:val="bottom"/>
          </w:tcPr>
          <w:p w:rsidR="003F653F" w:rsidRPr="00D61A47" w:rsidRDefault="003F653F" w:rsidP="003F653F">
            <w:pPr>
              <w:jc w:val="right"/>
              <w:rPr>
                <w:color w:val="000000"/>
                <w:szCs w:val="24"/>
              </w:rPr>
            </w:pPr>
          </w:p>
        </w:tc>
        <w:tc>
          <w:tcPr>
            <w:tcW w:w="1604" w:type="dxa"/>
            <w:vAlign w:val="bottom"/>
          </w:tcPr>
          <w:p w:rsidR="003F653F" w:rsidRPr="00D61A47" w:rsidRDefault="003F653F" w:rsidP="003F653F">
            <w:pPr>
              <w:jc w:val="right"/>
              <w:rPr>
                <w:szCs w:val="24"/>
              </w:rPr>
            </w:pPr>
          </w:p>
        </w:tc>
        <w:tc>
          <w:tcPr>
            <w:tcW w:w="1404" w:type="dxa"/>
            <w:vAlign w:val="bottom"/>
          </w:tcPr>
          <w:p w:rsidR="003F653F" w:rsidRPr="00D61A47" w:rsidRDefault="003F653F" w:rsidP="003F653F">
            <w:pPr>
              <w:jc w:val="right"/>
              <w:rPr>
                <w:szCs w:val="24"/>
              </w:rPr>
            </w:pPr>
          </w:p>
        </w:tc>
        <w:tc>
          <w:tcPr>
            <w:tcW w:w="1604" w:type="dxa"/>
            <w:vAlign w:val="bottom"/>
          </w:tcPr>
          <w:p w:rsidR="003F653F" w:rsidRPr="00D61A47" w:rsidRDefault="003F653F" w:rsidP="003F653F">
            <w:pPr>
              <w:jc w:val="right"/>
              <w:rPr>
                <w:szCs w:val="24"/>
              </w:rPr>
            </w:pPr>
          </w:p>
        </w:tc>
        <w:tc>
          <w:tcPr>
            <w:tcW w:w="1604" w:type="dxa"/>
            <w:vAlign w:val="bottom"/>
          </w:tcPr>
          <w:p w:rsidR="003F653F" w:rsidRPr="00D61A47" w:rsidRDefault="003F653F" w:rsidP="003F653F">
            <w:pPr>
              <w:jc w:val="right"/>
              <w:rPr>
                <w:szCs w:val="24"/>
              </w:rPr>
            </w:pPr>
          </w:p>
        </w:tc>
      </w:tr>
      <w:tr w:rsidR="003F653F" w:rsidRPr="00D61A47" w:rsidTr="00D61A47">
        <w:trPr>
          <w:trHeight w:val="280"/>
        </w:trPr>
        <w:tc>
          <w:tcPr>
            <w:tcW w:w="3328" w:type="dxa"/>
            <w:tcBorders>
              <w:bottom w:val="single" w:sz="4" w:space="0" w:color="auto"/>
            </w:tcBorders>
            <w:vAlign w:val="bottom"/>
          </w:tcPr>
          <w:p w:rsidR="003F653F" w:rsidRPr="00D61A47" w:rsidRDefault="003F653F" w:rsidP="003F653F">
            <w:pPr>
              <w:jc w:val="right"/>
              <w:rPr>
                <w:b/>
                <w:i/>
                <w:color w:val="000000"/>
                <w:szCs w:val="24"/>
              </w:rPr>
            </w:pPr>
            <w:r w:rsidRPr="00D61A47">
              <w:rPr>
                <w:color w:val="000000"/>
                <w:szCs w:val="24"/>
              </w:rPr>
              <w:t xml:space="preserve">      </w:t>
            </w:r>
            <w:r w:rsidRPr="00D61A47">
              <w:rPr>
                <w:b/>
                <w:i/>
                <w:color w:val="000000"/>
                <w:szCs w:val="24"/>
              </w:rPr>
              <w:t>Total</w:t>
            </w:r>
          </w:p>
        </w:tc>
        <w:tc>
          <w:tcPr>
            <w:tcW w:w="1604" w:type="dxa"/>
            <w:tcBorders>
              <w:bottom w:val="single" w:sz="4" w:space="0" w:color="auto"/>
            </w:tcBorders>
            <w:vAlign w:val="bottom"/>
          </w:tcPr>
          <w:p w:rsidR="003F653F" w:rsidRPr="00D61A47" w:rsidRDefault="003F653F" w:rsidP="003F653F">
            <w:pPr>
              <w:jc w:val="right"/>
              <w:rPr>
                <w:szCs w:val="24"/>
              </w:rPr>
            </w:pPr>
          </w:p>
        </w:tc>
        <w:tc>
          <w:tcPr>
            <w:tcW w:w="1404" w:type="dxa"/>
            <w:tcBorders>
              <w:bottom w:val="single" w:sz="4" w:space="0" w:color="auto"/>
            </w:tcBorders>
            <w:vAlign w:val="bottom"/>
          </w:tcPr>
          <w:p w:rsidR="003F653F" w:rsidRPr="00D61A47" w:rsidRDefault="003F653F" w:rsidP="003F653F">
            <w:pPr>
              <w:jc w:val="right"/>
              <w:rPr>
                <w:szCs w:val="24"/>
              </w:rPr>
            </w:pPr>
          </w:p>
        </w:tc>
        <w:tc>
          <w:tcPr>
            <w:tcW w:w="1604" w:type="dxa"/>
            <w:tcBorders>
              <w:bottom w:val="single" w:sz="4" w:space="0" w:color="auto"/>
            </w:tcBorders>
            <w:vAlign w:val="bottom"/>
          </w:tcPr>
          <w:p w:rsidR="003F653F" w:rsidRPr="00D61A47" w:rsidRDefault="003F653F" w:rsidP="003F653F">
            <w:pPr>
              <w:jc w:val="right"/>
              <w:rPr>
                <w:szCs w:val="24"/>
              </w:rPr>
            </w:pPr>
          </w:p>
        </w:tc>
        <w:tc>
          <w:tcPr>
            <w:tcW w:w="1604" w:type="dxa"/>
            <w:tcBorders>
              <w:bottom w:val="single" w:sz="4" w:space="0" w:color="auto"/>
            </w:tcBorders>
            <w:vAlign w:val="bottom"/>
          </w:tcPr>
          <w:p w:rsidR="003F653F" w:rsidRPr="00D61A47" w:rsidRDefault="003F653F" w:rsidP="003F653F">
            <w:pPr>
              <w:jc w:val="right"/>
              <w:rPr>
                <w:szCs w:val="24"/>
              </w:rPr>
            </w:pPr>
            <w:r w:rsidRPr="00D61A47">
              <w:rPr>
                <w:szCs w:val="24"/>
              </w:rPr>
              <w:t>195,846</w:t>
            </w:r>
          </w:p>
        </w:tc>
      </w:tr>
      <w:tr w:rsidR="00802275" w:rsidRPr="00D61A47" w:rsidTr="00D61A47">
        <w:trPr>
          <w:trHeight w:val="280"/>
        </w:trPr>
        <w:tc>
          <w:tcPr>
            <w:tcW w:w="3328" w:type="dxa"/>
            <w:tcBorders>
              <w:top w:val="single" w:sz="4" w:space="0" w:color="auto"/>
            </w:tcBorders>
            <w:vAlign w:val="bottom"/>
          </w:tcPr>
          <w:p w:rsidR="00802275" w:rsidRPr="00D61A47" w:rsidRDefault="00802275" w:rsidP="003F653F">
            <w:pPr>
              <w:jc w:val="right"/>
              <w:rPr>
                <w:color w:val="000000"/>
                <w:szCs w:val="24"/>
              </w:rPr>
            </w:pPr>
          </w:p>
        </w:tc>
        <w:tc>
          <w:tcPr>
            <w:tcW w:w="1604" w:type="dxa"/>
            <w:tcBorders>
              <w:top w:val="single" w:sz="4" w:space="0" w:color="auto"/>
            </w:tcBorders>
            <w:vAlign w:val="bottom"/>
          </w:tcPr>
          <w:p w:rsidR="00802275" w:rsidRPr="00D61A47" w:rsidRDefault="00802275" w:rsidP="003F653F">
            <w:pPr>
              <w:jc w:val="right"/>
              <w:rPr>
                <w:szCs w:val="24"/>
              </w:rPr>
            </w:pPr>
          </w:p>
        </w:tc>
        <w:tc>
          <w:tcPr>
            <w:tcW w:w="1404" w:type="dxa"/>
            <w:tcBorders>
              <w:top w:val="single" w:sz="4" w:space="0" w:color="auto"/>
            </w:tcBorders>
            <w:vAlign w:val="bottom"/>
          </w:tcPr>
          <w:p w:rsidR="00802275" w:rsidRPr="00D61A47" w:rsidRDefault="00802275" w:rsidP="003F653F">
            <w:pPr>
              <w:jc w:val="right"/>
              <w:rPr>
                <w:szCs w:val="24"/>
              </w:rPr>
            </w:pPr>
          </w:p>
        </w:tc>
        <w:tc>
          <w:tcPr>
            <w:tcW w:w="1604" w:type="dxa"/>
            <w:tcBorders>
              <w:top w:val="single" w:sz="4" w:space="0" w:color="auto"/>
            </w:tcBorders>
            <w:vAlign w:val="bottom"/>
          </w:tcPr>
          <w:p w:rsidR="00802275" w:rsidRPr="00D61A47" w:rsidRDefault="00802275" w:rsidP="003F653F">
            <w:pPr>
              <w:jc w:val="right"/>
              <w:rPr>
                <w:szCs w:val="24"/>
              </w:rPr>
            </w:pPr>
          </w:p>
        </w:tc>
        <w:tc>
          <w:tcPr>
            <w:tcW w:w="1604" w:type="dxa"/>
            <w:tcBorders>
              <w:top w:val="single" w:sz="4" w:space="0" w:color="auto"/>
            </w:tcBorders>
            <w:vAlign w:val="bottom"/>
          </w:tcPr>
          <w:p w:rsidR="00802275" w:rsidRPr="00D61A47" w:rsidRDefault="00802275" w:rsidP="003F653F">
            <w:pPr>
              <w:jc w:val="right"/>
              <w:rPr>
                <w:szCs w:val="24"/>
              </w:rPr>
            </w:pPr>
          </w:p>
        </w:tc>
      </w:tr>
    </w:tbl>
    <w:p w:rsidR="00E2760C" w:rsidRPr="00D61A47" w:rsidRDefault="00E2760C" w:rsidP="000F1E8E">
      <w:pPr>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D61A47">
        <w:rPr>
          <w:szCs w:val="24"/>
        </w:rPr>
        <w:t>The estimated cost to the public for this information collection is $</w:t>
      </w:r>
      <w:r w:rsidR="00A82EEC" w:rsidRPr="00D61A47">
        <w:rPr>
          <w:szCs w:val="24"/>
        </w:rPr>
        <w:t>9,968,561</w:t>
      </w:r>
      <w:r w:rsidRPr="00D61A47">
        <w:rPr>
          <w:szCs w:val="24"/>
        </w:rPr>
        <w:t>.</w:t>
      </w:r>
      <w:r w:rsidR="00D448A1" w:rsidRPr="00D61A47">
        <w:rPr>
          <w:rStyle w:val="FootnoteReference"/>
          <w:szCs w:val="24"/>
        </w:rPr>
        <w:footnoteReference w:id="9"/>
      </w:r>
    </w:p>
    <w:p w:rsidR="00763568" w:rsidRPr="00D61A47" w:rsidRDefault="00763568" w:rsidP="000F1E8E">
      <w:pPr>
        <w:pStyle w:val="BodyText"/>
        <w:tabs>
          <w:tab w:val="clear" w:pos="367"/>
          <w:tab w:val="clear" w:pos="1087"/>
          <w:tab w:val="left" w:pos="-720"/>
          <w:tab w:val="left" w:pos="0"/>
          <w:tab w:val="left" w:pos="990"/>
          <w:tab w:val="left" w:pos="2160"/>
          <w:tab w:val="left" w:pos="2880"/>
          <w:tab w:val="left" w:pos="3600"/>
          <w:tab w:val="decimal" w:pos="4410"/>
          <w:tab w:val="left" w:pos="5130"/>
          <w:tab w:val="left" w:pos="5760"/>
          <w:tab w:val="left" w:pos="6480"/>
          <w:tab w:val="left" w:pos="7200"/>
          <w:tab w:val="left" w:pos="7920"/>
          <w:tab w:val="left" w:pos="8640"/>
          <w:tab w:val="left" w:pos="9360"/>
        </w:tabs>
        <w:jc w:val="left"/>
      </w:pPr>
    </w:p>
    <w:p w:rsidR="00763568" w:rsidRPr="00D61A47" w:rsidRDefault="00763568" w:rsidP="000F1E8E">
      <w:pPr>
        <w:tabs>
          <w:tab w:val="left" w:pos="367"/>
        </w:tabs>
        <w:rPr>
          <w:b/>
          <w:color w:val="000000"/>
          <w:szCs w:val="24"/>
        </w:rPr>
      </w:pPr>
      <w:r w:rsidRPr="00D61A47">
        <w:rPr>
          <w:b/>
          <w:color w:val="000000"/>
          <w:szCs w:val="24"/>
        </w:rPr>
        <w:t>Estimate of Cost to the Federal Reserve System</w:t>
      </w:r>
    </w:p>
    <w:p w:rsidR="00763568" w:rsidRPr="00D61A47" w:rsidRDefault="00763568" w:rsidP="000F1E8E">
      <w:pPr>
        <w:tabs>
          <w:tab w:val="left" w:pos="367"/>
        </w:tabs>
        <w:rPr>
          <w:b/>
          <w:color w:val="000000"/>
          <w:szCs w:val="24"/>
        </w:rPr>
      </w:pPr>
    </w:p>
    <w:p w:rsidR="0026213A" w:rsidRPr="00D61A47" w:rsidRDefault="00763568" w:rsidP="004A7901">
      <w:pPr>
        <w:pStyle w:val="BodyTextIndent"/>
        <w:ind w:firstLine="720"/>
        <w:jc w:val="left"/>
        <w:rPr>
          <w:szCs w:val="24"/>
        </w:rPr>
      </w:pPr>
      <w:r w:rsidRPr="00D61A47">
        <w:rPr>
          <w:szCs w:val="24"/>
        </w:rPr>
        <w:t>Since the Federal Reserve does not collect any information, the cost to the Federal Reserve System is negligible.</w:t>
      </w:r>
    </w:p>
    <w:p w:rsidR="00DB0C8B" w:rsidRPr="00D61A47" w:rsidRDefault="00DB0C8B" w:rsidP="004A7901">
      <w:pPr>
        <w:pStyle w:val="BodyTextIndent"/>
        <w:ind w:firstLine="720"/>
        <w:jc w:val="left"/>
        <w:rPr>
          <w:szCs w:val="24"/>
        </w:rPr>
      </w:pPr>
    </w:p>
    <w:p w:rsidR="00DB0C8B" w:rsidRPr="00D61A47" w:rsidRDefault="00DB0C8B" w:rsidP="00DB0C8B">
      <w:pPr>
        <w:tabs>
          <w:tab w:val="left" w:pos="360"/>
        </w:tabs>
        <w:rPr>
          <w:b/>
          <w:szCs w:val="24"/>
        </w:rPr>
      </w:pPr>
      <w:r w:rsidRPr="00D61A47">
        <w:rPr>
          <w:b/>
          <w:szCs w:val="24"/>
        </w:rPr>
        <w:t>Financial Industry Burden Averages</w:t>
      </w:r>
    </w:p>
    <w:p w:rsidR="00DB0C8B" w:rsidRPr="00D61A47" w:rsidRDefault="00DB0C8B" w:rsidP="00DB0C8B">
      <w:pPr>
        <w:tabs>
          <w:tab w:val="left" w:pos="360"/>
        </w:tabs>
        <w:rPr>
          <w:b/>
          <w:szCs w:val="24"/>
        </w:rPr>
      </w:pPr>
    </w:p>
    <w:p w:rsidR="00DB0C8B" w:rsidRPr="00D61A47" w:rsidRDefault="00DB0C8B" w:rsidP="00DB0C8B">
      <w:pPr>
        <w:tabs>
          <w:tab w:val="left" w:pos="360"/>
        </w:tabs>
        <w:rPr>
          <w:b/>
          <w:szCs w:val="24"/>
        </w:rPr>
      </w:pPr>
      <w:r w:rsidRPr="00D61A47">
        <w:rPr>
          <w:b/>
          <w:szCs w:val="24"/>
        </w:rPr>
        <w:tab/>
      </w:r>
      <w:r w:rsidRPr="00D61A47">
        <w:rPr>
          <w:b/>
          <w:szCs w:val="24"/>
        </w:rPr>
        <w:tab/>
      </w:r>
      <w:r w:rsidRPr="00D61A47">
        <w:rPr>
          <w:szCs w:val="24"/>
        </w:rPr>
        <w:t>The other federal financial agencies are responsible for estimating and reporting to OMB the total paperwork burden for the institutions for which they have administrative enforcement authority.</w:t>
      </w:r>
      <w:r w:rsidRPr="00D61A47">
        <w:rPr>
          <w:rStyle w:val="FootnoteReference"/>
          <w:szCs w:val="24"/>
        </w:rPr>
        <w:footnoteReference w:id="10"/>
      </w:r>
      <w:r w:rsidRPr="00D61A47">
        <w:rPr>
          <w:szCs w:val="24"/>
        </w:rPr>
        <w:t xml:space="preserve">  </w:t>
      </w:r>
      <w:r w:rsidR="005558FB" w:rsidRPr="00D61A47">
        <w:rPr>
          <w:szCs w:val="24"/>
        </w:rPr>
        <w:t>These agencies are permitted</w:t>
      </w:r>
      <w:r w:rsidRPr="00D61A47">
        <w:rPr>
          <w:szCs w:val="24"/>
        </w:rPr>
        <w:t xml:space="preserve">, but are not required, </w:t>
      </w:r>
      <w:r w:rsidR="005558FB" w:rsidRPr="00D61A47">
        <w:rPr>
          <w:szCs w:val="24"/>
        </w:rPr>
        <w:t xml:space="preserve">to </w:t>
      </w:r>
      <w:r w:rsidRPr="00D61A47">
        <w:rPr>
          <w:szCs w:val="24"/>
        </w:rPr>
        <w:t>use the Federal Reserve’s burden estimat</w:t>
      </w:r>
      <w:r w:rsidR="005558FB" w:rsidRPr="00D61A47">
        <w:rPr>
          <w:szCs w:val="24"/>
        </w:rPr>
        <w:t>ion methodology</w:t>
      </w:r>
      <w:r w:rsidRPr="00D61A47">
        <w:rPr>
          <w:szCs w:val="24"/>
        </w:rPr>
        <w:t xml:space="preserve">.    </w:t>
      </w:r>
    </w:p>
    <w:sectPr w:rsidR="00DB0C8B" w:rsidRPr="00D61A47" w:rsidSect="00710A59">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E6" w:rsidRDefault="00FE4FE6">
      <w:r>
        <w:separator/>
      </w:r>
    </w:p>
  </w:endnote>
  <w:endnote w:type="continuationSeparator" w:id="0">
    <w:p w:rsidR="00FE4FE6" w:rsidRDefault="00FE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E6" w:rsidRDefault="00FE4FE6" w:rsidP="00EF4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E4FE6" w:rsidRDefault="00FE4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FE6" w:rsidRDefault="00FE4FE6" w:rsidP="00EF4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3550">
      <w:rPr>
        <w:rStyle w:val="PageNumber"/>
        <w:noProof/>
      </w:rPr>
      <w:t>9</w:t>
    </w:r>
    <w:r>
      <w:rPr>
        <w:rStyle w:val="PageNumber"/>
      </w:rPr>
      <w:fldChar w:fldCharType="end"/>
    </w:r>
  </w:p>
  <w:p w:rsidR="00FE4FE6" w:rsidRDefault="00FE4F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E6" w:rsidRDefault="00FE4FE6">
      <w:r>
        <w:separator/>
      </w:r>
    </w:p>
  </w:footnote>
  <w:footnote w:type="continuationSeparator" w:id="0">
    <w:p w:rsidR="00FE4FE6" w:rsidRDefault="00FE4FE6">
      <w:r>
        <w:continuationSeparator/>
      </w:r>
    </w:p>
  </w:footnote>
  <w:footnote w:id="1">
    <w:p w:rsidR="00FE4FE6" w:rsidRPr="00FD4C55" w:rsidRDefault="00FE4FE6" w:rsidP="00FD4C55">
      <w:pPr>
        <w:rPr>
          <w:sz w:val="20"/>
        </w:rPr>
      </w:pPr>
      <w:r w:rsidRPr="00FD4C55">
        <w:rPr>
          <w:rStyle w:val="FootnoteReference"/>
          <w:sz w:val="20"/>
        </w:rPr>
        <w:footnoteRef/>
      </w:r>
      <w:r w:rsidRPr="00FD4C55">
        <w:rPr>
          <w:sz w:val="20"/>
        </w:rPr>
        <w:t xml:space="preserve">  </w:t>
      </w:r>
      <w:r>
        <w:rPr>
          <w:sz w:val="20"/>
        </w:rPr>
        <w:t>T</w:t>
      </w:r>
      <w:r w:rsidRPr="00FD4C55">
        <w:rPr>
          <w:sz w:val="20"/>
        </w:rPr>
        <w:t xml:space="preserve">he EFAA was enacted in 1987 and is codified at 12 U.S.C. § 4008 </w:t>
      </w:r>
      <w:r w:rsidRPr="00FD4C55">
        <w:rPr>
          <w:sz w:val="20"/>
          <w:u w:val="single"/>
        </w:rPr>
        <w:t>et</w:t>
      </w:r>
      <w:r w:rsidRPr="00FD4C55">
        <w:rPr>
          <w:sz w:val="20"/>
        </w:rPr>
        <w:t xml:space="preserve"> </w:t>
      </w:r>
      <w:r w:rsidRPr="00FD4C55">
        <w:rPr>
          <w:sz w:val="20"/>
          <w:u w:val="single"/>
        </w:rPr>
        <w:t>seq.</w:t>
      </w:r>
      <w:r w:rsidRPr="00FD4C55">
        <w:rPr>
          <w:sz w:val="20"/>
        </w:rPr>
        <w:t xml:space="preserve">  Regulation CC is located at 12 C.F.R. Part 229.</w:t>
      </w:r>
    </w:p>
  </w:footnote>
  <w:footnote w:id="2">
    <w:p w:rsidR="00FE4FE6" w:rsidRPr="00FD4C55" w:rsidRDefault="00FE4FE6" w:rsidP="00FD4C55">
      <w:pPr>
        <w:rPr>
          <w:sz w:val="20"/>
        </w:rPr>
      </w:pPr>
      <w:r w:rsidRPr="00FD4C55">
        <w:rPr>
          <w:rStyle w:val="FootnoteReference"/>
          <w:sz w:val="20"/>
        </w:rPr>
        <w:footnoteRef/>
      </w:r>
      <w:r>
        <w:rPr>
          <w:sz w:val="20"/>
        </w:rPr>
        <w:t xml:space="preserve">  </w:t>
      </w:r>
      <w:r w:rsidRPr="00FD4C55">
        <w:rPr>
          <w:sz w:val="20"/>
        </w:rPr>
        <w:t xml:space="preserve">44 U.S.C. § 3501 </w:t>
      </w:r>
      <w:r w:rsidRPr="00FD4C55">
        <w:rPr>
          <w:sz w:val="20"/>
          <w:u w:val="single"/>
        </w:rPr>
        <w:t>et</w:t>
      </w:r>
      <w:r w:rsidRPr="00FD4C55">
        <w:rPr>
          <w:sz w:val="20"/>
        </w:rPr>
        <w:t xml:space="preserve"> </w:t>
      </w:r>
      <w:proofErr w:type="spellStart"/>
      <w:r w:rsidRPr="00FD4C55">
        <w:rPr>
          <w:sz w:val="20"/>
          <w:u w:val="single"/>
        </w:rPr>
        <w:t>seq</w:t>
      </w:r>
      <w:proofErr w:type="spellEnd"/>
    </w:p>
  </w:footnote>
  <w:footnote w:id="3">
    <w:p w:rsidR="00FE4FE6" w:rsidRDefault="00FE4FE6">
      <w:pPr>
        <w:pStyle w:val="FootnoteText"/>
      </w:pPr>
      <w:r>
        <w:rPr>
          <w:rStyle w:val="FootnoteReference"/>
        </w:rPr>
        <w:footnoteRef/>
      </w:r>
      <w:r>
        <w:t xml:space="preserve">  For purposes of Regulation CC banks are </w:t>
      </w:r>
      <w:r w:rsidRPr="008B561F">
        <w:rPr>
          <w:szCs w:val="24"/>
        </w:rPr>
        <w:t>commercial banks, savings associations, credit unions</w:t>
      </w:r>
      <w:r>
        <w:rPr>
          <w:szCs w:val="24"/>
        </w:rPr>
        <w:t xml:space="preserve"> and </w:t>
      </w:r>
      <w:r w:rsidRPr="006F6994">
        <w:rPr>
          <w:rFonts w:eastAsia="Calibri"/>
          <w:snapToGrid/>
          <w:szCs w:val="24"/>
        </w:rPr>
        <w:t>U.S. branches and agencies of foreign banks</w:t>
      </w:r>
      <w:r>
        <w:rPr>
          <w:rFonts w:eastAsia="Calibri"/>
          <w:snapToGrid/>
          <w:szCs w:val="24"/>
        </w:rPr>
        <w:t>.</w:t>
      </w:r>
    </w:p>
  </w:footnote>
  <w:footnote w:id="4">
    <w:p w:rsidR="00FE4FE6" w:rsidRPr="00F856E4" w:rsidRDefault="00FE4FE6" w:rsidP="00C64250">
      <w:pPr>
        <w:rPr>
          <w:sz w:val="20"/>
        </w:rPr>
      </w:pPr>
      <w:r w:rsidRPr="00F856E4">
        <w:rPr>
          <w:rStyle w:val="FootnoteReference"/>
          <w:sz w:val="20"/>
        </w:rPr>
        <w:footnoteRef/>
      </w:r>
      <w:r w:rsidRPr="00F856E4">
        <w:rPr>
          <w:sz w:val="20"/>
        </w:rPr>
        <w:t xml:space="preserve">  For the purpose of this supporting statement state member banks and uninsured state branches and agencies of foreign banks are referred to as banks, collectively.  .</w:t>
      </w:r>
    </w:p>
  </w:footnote>
  <w:footnote w:id="5">
    <w:p w:rsidR="00FE4FE6" w:rsidRPr="00F856E4" w:rsidRDefault="00FE4FE6" w:rsidP="00A60A59">
      <w:pPr>
        <w:rPr>
          <w:sz w:val="20"/>
        </w:rPr>
      </w:pPr>
      <w:r w:rsidRPr="00F856E4">
        <w:rPr>
          <w:rStyle w:val="FootnoteReference"/>
          <w:sz w:val="20"/>
        </w:rPr>
        <w:footnoteRef/>
      </w:r>
      <w:r>
        <w:rPr>
          <w:sz w:val="20"/>
        </w:rPr>
        <w:t xml:space="preserve">  </w:t>
      </w:r>
      <w:r w:rsidRPr="00F856E4">
        <w:rPr>
          <w:sz w:val="20"/>
        </w:rPr>
        <w:t>To facilitate check truncation and electronic check exchange, the Check 21 Act authorizes a new negotiable instrument called a substitute check and provides that a properly prepared substitute check is the legal equivalent of the original check for all purposes.  A substitute check is a paper reproduction of the original check that can be processed just like the original check.  The Check 21 Act does not require any bank to create substitute checks or to accept checks electronically.</w:t>
      </w:r>
    </w:p>
  </w:footnote>
  <w:footnote w:id="6">
    <w:p w:rsidR="00FE4FE6" w:rsidRPr="00FD4C55" w:rsidRDefault="00FE4FE6" w:rsidP="00763568">
      <w:pPr>
        <w:pStyle w:val="FootnoteText"/>
      </w:pPr>
      <w:r w:rsidRPr="00FD4C55">
        <w:rPr>
          <w:rStyle w:val="FootnoteReference"/>
        </w:rPr>
        <w:footnoteRef/>
      </w:r>
      <w:r w:rsidRPr="00FD4C55">
        <w:t xml:space="preserve">  When a bank transfers, presents, or returns a substitute check for consideration (or any paper or electronic representation of a substitute check), the bank makes two warranties (1) that the substitute check meets the requirements for legal equivalence and (2) that no depository bank, </w:t>
      </w:r>
      <w:proofErr w:type="spellStart"/>
      <w:r w:rsidRPr="00FD4C55">
        <w:t>drawee</w:t>
      </w:r>
      <w:proofErr w:type="spellEnd"/>
      <w:r w:rsidRPr="00FD4C55">
        <w:t xml:space="preserve">, drawer, or </w:t>
      </w:r>
      <w:proofErr w:type="spellStart"/>
      <w:r w:rsidRPr="00FD4C55">
        <w:t>indorser</w:t>
      </w:r>
      <w:proofErr w:type="spellEnd"/>
      <w:r w:rsidRPr="00FD4C55">
        <w:t xml:space="preserve"> will be asked for payment based on a check that it already has paid (See 69 FR 1476 published on January 8, 2004).</w:t>
      </w:r>
    </w:p>
  </w:footnote>
  <w:footnote w:id="7">
    <w:p w:rsidR="00FE4FE6" w:rsidRPr="00784CF0" w:rsidRDefault="00FE4FE6" w:rsidP="002429F3">
      <w:pPr>
        <w:pStyle w:val="FootnoteText"/>
      </w:pPr>
      <w:r w:rsidRPr="00784CF0">
        <w:rPr>
          <w:rStyle w:val="FootnoteReference"/>
        </w:rPr>
        <w:footnoteRef/>
      </w:r>
      <w:r w:rsidRPr="00784CF0">
        <w:t xml:space="preserve"> Docket No. R-1409</w:t>
      </w:r>
    </w:p>
  </w:footnote>
  <w:footnote w:id="8">
    <w:p w:rsidR="00FE4FE6" w:rsidRPr="00543615" w:rsidRDefault="00FE4FE6" w:rsidP="002429F3">
      <w:pPr>
        <w:pStyle w:val="FootnoteText"/>
      </w:pPr>
      <w:r w:rsidRPr="00543615">
        <w:rPr>
          <w:rStyle w:val="FootnoteReference"/>
        </w:rPr>
        <w:footnoteRef/>
      </w:r>
      <w:r w:rsidRPr="00543615">
        <w:t xml:space="preserve"> The Federal Reserve requested comment on expanding the provisions of Regulation CC that currently apply only to paper checks to electronic checks and electronic returned checks that banks exchange by agreement.  The Federal Reserve also requested comment on alternative approaches to modifying the current expeditious-return and notice of nonpayment requirements to encourage the few remaining banks demanding paper returns to accept electronic returns.  In addition, the Federal Reserve requested comment on a new indemnity for electronic items cleared through the check collection system that did not originate as paper checks.  The Federal Reserve received 40 comment letters on the </w:t>
      </w:r>
      <w:r>
        <w:t xml:space="preserve">proposed revisions, </w:t>
      </w:r>
      <w:r w:rsidRPr="00543615">
        <w:t>currently under review</w:t>
      </w:r>
      <w:r>
        <w:t xml:space="preserve">, to be addressed in a separate notice. </w:t>
      </w:r>
    </w:p>
  </w:footnote>
  <w:footnote w:id="9">
    <w:p w:rsidR="00FE4FE6" w:rsidRDefault="00FE4FE6">
      <w:pPr>
        <w:pStyle w:val="FootnoteText"/>
      </w:pPr>
      <w:r>
        <w:rPr>
          <w:rStyle w:val="FootnoteReference"/>
        </w:rPr>
        <w:footnoteRef/>
      </w:r>
      <w:r>
        <w:t xml:space="preserve"> </w:t>
      </w:r>
      <w:r w:rsidRPr="00D448A1">
        <w:t>Total cost to the public was estimated using the following formula: percent of staff time, multiplied by annual burden hours, multiplied by hourly rates (30% Office &amp; Administrative Support at $18, 45% Financial Managers at $61, 15% Lawyers at $63, and 10% Chief Executives at $86).  Hourly rate for each occupational group are the (rounded) mean hourly wages from the Bureau of Labor and Statistics (BLS), Occupational Employment and Wages 2013, www.bls.gov/news.release/ocwage.nr0.htm.  Occupations are defined using the BLS Occupational Classification System, www.bls.gov/soc/</w:t>
      </w:r>
    </w:p>
  </w:footnote>
  <w:footnote w:id="10">
    <w:p w:rsidR="00FE4FE6" w:rsidRPr="00106CC7" w:rsidRDefault="00FE4FE6" w:rsidP="00DB0C8B">
      <w:pPr>
        <w:pStyle w:val="FootnoteText"/>
      </w:pPr>
      <w:r w:rsidRPr="00106CC7">
        <w:rPr>
          <w:rStyle w:val="FootnoteReference"/>
        </w:rPr>
        <w:footnoteRef/>
      </w:r>
      <w:r>
        <w:rPr>
          <w:vertAlign w:val="superscript"/>
        </w:rPr>
        <w:t xml:space="preserve">  </w:t>
      </w:r>
      <w:r w:rsidRPr="00106CC7">
        <w:t>Federal Enforcement Agencies – of Regulation CC lists those federal agencies that enforce the regulation for particular classes of business.  The federal financial agencies include: the Office of the Comptroller of the Currency (OCC), Federal Deposit Insurance Corporation (FDIC), and National Credit Union Administration (NCUA).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C282A"/>
    <w:multiLevelType w:val="hybridMultilevel"/>
    <w:tmpl w:val="400C8116"/>
    <w:lvl w:ilvl="0" w:tplc="23B2AECC">
      <w:start w:val="1"/>
      <w:numFmt w:val="bullet"/>
      <w:lvlText w:val=""/>
      <w:lvlJc w:val="left"/>
      <w:pPr>
        <w:tabs>
          <w:tab w:val="num" w:pos="367"/>
        </w:tabs>
        <w:ind w:left="367" w:hanging="360"/>
      </w:pPr>
      <w:rPr>
        <w:rFonts w:ascii="Symbol" w:hAnsi="Symbol" w:hint="default"/>
      </w:rPr>
    </w:lvl>
    <w:lvl w:ilvl="1" w:tplc="79EE280E" w:tentative="1">
      <w:start w:val="1"/>
      <w:numFmt w:val="bullet"/>
      <w:lvlText w:val="o"/>
      <w:lvlJc w:val="left"/>
      <w:pPr>
        <w:tabs>
          <w:tab w:val="num" w:pos="1087"/>
        </w:tabs>
        <w:ind w:left="1087" w:hanging="360"/>
      </w:pPr>
      <w:rPr>
        <w:rFonts w:ascii="Courier New" w:hAnsi="Courier New" w:hint="default"/>
      </w:rPr>
    </w:lvl>
    <w:lvl w:ilvl="2" w:tplc="08B2D1A2" w:tentative="1">
      <w:start w:val="1"/>
      <w:numFmt w:val="bullet"/>
      <w:lvlText w:val=""/>
      <w:lvlJc w:val="left"/>
      <w:pPr>
        <w:tabs>
          <w:tab w:val="num" w:pos="1807"/>
        </w:tabs>
        <w:ind w:left="1807" w:hanging="360"/>
      </w:pPr>
      <w:rPr>
        <w:rFonts w:ascii="Wingdings" w:hAnsi="Wingdings" w:hint="default"/>
      </w:rPr>
    </w:lvl>
    <w:lvl w:ilvl="3" w:tplc="CFAC934A" w:tentative="1">
      <w:start w:val="1"/>
      <w:numFmt w:val="bullet"/>
      <w:lvlText w:val=""/>
      <w:lvlJc w:val="left"/>
      <w:pPr>
        <w:tabs>
          <w:tab w:val="num" w:pos="2527"/>
        </w:tabs>
        <w:ind w:left="2527" w:hanging="360"/>
      </w:pPr>
      <w:rPr>
        <w:rFonts w:ascii="Symbol" w:hAnsi="Symbol" w:hint="default"/>
      </w:rPr>
    </w:lvl>
    <w:lvl w:ilvl="4" w:tplc="0D0CD4EE" w:tentative="1">
      <w:start w:val="1"/>
      <w:numFmt w:val="bullet"/>
      <w:lvlText w:val="o"/>
      <w:lvlJc w:val="left"/>
      <w:pPr>
        <w:tabs>
          <w:tab w:val="num" w:pos="3247"/>
        </w:tabs>
        <w:ind w:left="3247" w:hanging="360"/>
      </w:pPr>
      <w:rPr>
        <w:rFonts w:ascii="Courier New" w:hAnsi="Courier New" w:hint="default"/>
      </w:rPr>
    </w:lvl>
    <w:lvl w:ilvl="5" w:tplc="66761EC6" w:tentative="1">
      <w:start w:val="1"/>
      <w:numFmt w:val="bullet"/>
      <w:lvlText w:val=""/>
      <w:lvlJc w:val="left"/>
      <w:pPr>
        <w:tabs>
          <w:tab w:val="num" w:pos="3967"/>
        </w:tabs>
        <w:ind w:left="3967" w:hanging="360"/>
      </w:pPr>
      <w:rPr>
        <w:rFonts w:ascii="Wingdings" w:hAnsi="Wingdings" w:hint="default"/>
      </w:rPr>
    </w:lvl>
    <w:lvl w:ilvl="6" w:tplc="DB76B8A0" w:tentative="1">
      <w:start w:val="1"/>
      <w:numFmt w:val="bullet"/>
      <w:lvlText w:val=""/>
      <w:lvlJc w:val="left"/>
      <w:pPr>
        <w:tabs>
          <w:tab w:val="num" w:pos="4687"/>
        </w:tabs>
        <w:ind w:left="4687" w:hanging="360"/>
      </w:pPr>
      <w:rPr>
        <w:rFonts w:ascii="Symbol" w:hAnsi="Symbol" w:hint="default"/>
      </w:rPr>
    </w:lvl>
    <w:lvl w:ilvl="7" w:tplc="5652059A" w:tentative="1">
      <w:start w:val="1"/>
      <w:numFmt w:val="bullet"/>
      <w:lvlText w:val="o"/>
      <w:lvlJc w:val="left"/>
      <w:pPr>
        <w:tabs>
          <w:tab w:val="num" w:pos="5407"/>
        </w:tabs>
        <w:ind w:left="5407" w:hanging="360"/>
      </w:pPr>
      <w:rPr>
        <w:rFonts w:ascii="Courier New" w:hAnsi="Courier New" w:hint="default"/>
      </w:rPr>
    </w:lvl>
    <w:lvl w:ilvl="8" w:tplc="63F63F24" w:tentative="1">
      <w:start w:val="1"/>
      <w:numFmt w:val="bullet"/>
      <w:lvlText w:val=""/>
      <w:lvlJc w:val="left"/>
      <w:pPr>
        <w:tabs>
          <w:tab w:val="num" w:pos="6127"/>
        </w:tabs>
        <w:ind w:left="6127" w:hanging="360"/>
      </w:pPr>
      <w:rPr>
        <w:rFonts w:ascii="Wingdings" w:hAnsi="Wingdings" w:hint="default"/>
      </w:rPr>
    </w:lvl>
  </w:abstractNum>
  <w:abstractNum w:abstractNumId="1">
    <w:nsid w:val="712F5ED6"/>
    <w:multiLevelType w:val="hybridMultilevel"/>
    <w:tmpl w:val="EAE4F5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72381C3E"/>
    <w:multiLevelType w:val="hybridMultilevel"/>
    <w:tmpl w:val="4E6ABA1A"/>
    <w:lvl w:ilvl="0" w:tplc="3CB66B50">
      <w:start w:val="1"/>
      <w:numFmt w:val="bullet"/>
      <w:lvlText w:val=""/>
      <w:lvlJc w:val="left"/>
      <w:pPr>
        <w:tabs>
          <w:tab w:val="num" w:pos="720"/>
        </w:tabs>
        <w:ind w:left="720" w:hanging="360"/>
      </w:pPr>
      <w:rPr>
        <w:rFonts w:ascii="Symbol" w:hAnsi="Symbol" w:hint="default"/>
      </w:rPr>
    </w:lvl>
    <w:lvl w:ilvl="1" w:tplc="4CBACE64" w:tentative="1">
      <w:start w:val="1"/>
      <w:numFmt w:val="bullet"/>
      <w:lvlText w:val="o"/>
      <w:lvlJc w:val="left"/>
      <w:pPr>
        <w:tabs>
          <w:tab w:val="num" w:pos="1440"/>
        </w:tabs>
        <w:ind w:left="1440" w:hanging="360"/>
      </w:pPr>
      <w:rPr>
        <w:rFonts w:ascii="Courier New" w:hAnsi="Courier New" w:hint="default"/>
      </w:rPr>
    </w:lvl>
    <w:lvl w:ilvl="2" w:tplc="910CEB5A" w:tentative="1">
      <w:start w:val="1"/>
      <w:numFmt w:val="bullet"/>
      <w:lvlText w:val=""/>
      <w:lvlJc w:val="left"/>
      <w:pPr>
        <w:tabs>
          <w:tab w:val="num" w:pos="2160"/>
        </w:tabs>
        <w:ind w:left="2160" w:hanging="360"/>
      </w:pPr>
      <w:rPr>
        <w:rFonts w:ascii="Wingdings" w:hAnsi="Wingdings" w:hint="default"/>
      </w:rPr>
    </w:lvl>
    <w:lvl w:ilvl="3" w:tplc="7DFE1E86" w:tentative="1">
      <w:start w:val="1"/>
      <w:numFmt w:val="bullet"/>
      <w:lvlText w:val=""/>
      <w:lvlJc w:val="left"/>
      <w:pPr>
        <w:tabs>
          <w:tab w:val="num" w:pos="2880"/>
        </w:tabs>
        <w:ind w:left="2880" w:hanging="360"/>
      </w:pPr>
      <w:rPr>
        <w:rFonts w:ascii="Symbol" w:hAnsi="Symbol" w:hint="default"/>
      </w:rPr>
    </w:lvl>
    <w:lvl w:ilvl="4" w:tplc="3E76BD06" w:tentative="1">
      <w:start w:val="1"/>
      <w:numFmt w:val="bullet"/>
      <w:lvlText w:val="o"/>
      <w:lvlJc w:val="left"/>
      <w:pPr>
        <w:tabs>
          <w:tab w:val="num" w:pos="3600"/>
        </w:tabs>
        <w:ind w:left="3600" w:hanging="360"/>
      </w:pPr>
      <w:rPr>
        <w:rFonts w:ascii="Courier New" w:hAnsi="Courier New" w:hint="default"/>
      </w:rPr>
    </w:lvl>
    <w:lvl w:ilvl="5" w:tplc="45B6CE08" w:tentative="1">
      <w:start w:val="1"/>
      <w:numFmt w:val="bullet"/>
      <w:lvlText w:val=""/>
      <w:lvlJc w:val="left"/>
      <w:pPr>
        <w:tabs>
          <w:tab w:val="num" w:pos="4320"/>
        </w:tabs>
        <w:ind w:left="4320" w:hanging="360"/>
      </w:pPr>
      <w:rPr>
        <w:rFonts w:ascii="Wingdings" w:hAnsi="Wingdings" w:hint="default"/>
      </w:rPr>
    </w:lvl>
    <w:lvl w:ilvl="6" w:tplc="A9DAAE06" w:tentative="1">
      <w:start w:val="1"/>
      <w:numFmt w:val="bullet"/>
      <w:lvlText w:val=""/>
      <w:lvlJc w:val="left"/>
      <w:pPr>
        <w:tabs>
          <w:tab w:val="num" w:pos="5040"/>
        </w:tabs>
        <w:ind w:left="5040" w:hanging="360"/>
      </w:pPr>
      <w:rPr>
        <w:rFonts w:ascii="Symbol" w:hAnsi="Symbol" w:hint="default"/>
      </w:rPr>
    </w:lvl>
    <w:lvl w:ilvl="7" w:tplc="ADC282A2" w:tentative="1">
      <w:start w:val="1"/>
      <w:numFmt w:val="bullet"/>
      <w:lvlText w:val="o"/>
      <w:lvlJc w:val="left"/>
      <w:pPr>
        <w:tabs>
          <w:tab w:val="num" w:pos="5760"/>
        </w:tabs>
        <w:ind w:left="5760" w:hanging="360"/>
      </w:pPr>
      <w:rPr>
        <w:rFonts w:ascii="Courier New" w:hAnsi="Courier New" w:hint="default"/>
      </w:rPr>
    </w:lvl>
    <w:lvl w:ilvl="8" w:tplc="0D4A100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36"/>
    <w:rsid w:val="00003205"/>
    <w:rsid w:val="00027ADF"/>
    <w:rsid w:val="0003120B"/>
    <w:rsid w:val="00035DE0"/>
    <w:rsid w:val="00042161"/>
    <w:rsid w:val="00044F44"/>
    <w:rsid w:val="00060C32"/>
    <w:rsid w:val="000A1B2E"/>
    <w:rsid w:val="000B1083"/>
    <w:rsid w:val="000B644D"/>
    <w:rsid w:val="000C3934"/>
    <w:rsid w:val="000C60F7"/>
    <w:rsid w:val="000D2259"/>
    <w:rsid w:val="000D4393"/>
    <w:rsid w:val="000E001C"/>
    <w:rsid w:val="000E2AEE"/>
    <w:rsid w:val="000E3274"/>
    <w:rsid w:val="000F1E8E"/>
    <w:rsid w:val="00104905"/>
    <w:rsid w:val="00106CC7"/>
    <w:rsid w:val="00107A61"/>
    <w:rsid w:val="00111ACC"/>
    <w:rsid w:val="0011231B"/>
    <w:rsid w:val="00112580"/>
    <w:rsid w:val="00123154"/>
    <w:rsid w:val="0012786A"/>
    <w:rsid w:val="00135232"/>
    <w:rsid w:val="00145645"/>
    <w:rsid w:val="00152EE7"/>
    <w:rsid w:val="00155BDF"/>
    <w:rsid w:val="001677E2"/>
    <w:rsid w:val="00172850"/>
    <w:rsid w:val="001768C0"/>
    <w:rsid w:val="00190810"/>
    <w:rsid w:val="001972D9"/>
    <w:rsid w:val="001A6D6E"/>
    <w:rsid w:val="001B2C4D"/>
    <w:rsid w:val="001B6B99"/>
    <w:rsid w:val="001B7F9E"/>
    <w:rsid w:val="001C3550"/>
    <w:rsid w:val="001C4B65"/>
    <w:rsid w:val="001C6EAC"/>
    <w:rsid w:val="001D4B2E"/>
    <w:rsid w:val="001E2562"/>
    <w:rsid w:val="00214694"/>
    <w:rsid w:val="0021713E"/>
    <w:rsid w:val="002429F3"/>
    <w:rsid w:val="002604C7"/>
    <w:rsid w:val="0026213A"/>
    <w:rsid w:val="00263CE0"/>
    <w:rsid w:val="00270D3A"/>
    <w:rsid w:val="002A0429"/>
    <w:rsid w:val="002A10DB"/>
    <w:rsid w:val="002B0479"/>
    <w:rsid w:val="002D0C41"/>
    <w:rsid w:val="002D21A0"/>
    <w:rsid w:val="002E34D4"/>
    <w:rsid w:val="002E51F7"/>
    <w:rsid w:val="002E6C06"/>
    <w:rsid w:val="002F45C9"/>
    <w:rsid w:val="0030478A"/>
    <w:rsid w:val="00322537"/>
    <w:rsid w:val="00324C70"/>
    <w:rsid w:val="00325F0B"/>
    <w:rsid w:val="003370B1"/>
    <w:rsid w:val="00344732"/>
    <w:rsid w:val="00362161"/>
    <w:rsid w:val="00393C1A"/>
    <w:rsid w:val="003A1E10"/>
    <w:rsid w:val="003B0DC6"/>
    <w:rsid w:val="003C53DF"/>
    <w:rsid w:val="003C553A"/>
    <w:rsid w:val="003C7357"/>
    <w:rsid w:val="003D4AA1"/>
    <w:rsid w:val="003D650A"/>
    <w:rsid w:val="003F653F"/>
    <w:rsid w:val="003F7549"/>
    <w:rsid w:val="00400F6A"/>
    <w:rsid w:val="0041574C"/>
    <w:rsid w:val="00417ADF"/>
    <w:rsid w:val="004338AE"/>
    <w:rsid w:val="00454A9C"/>
    <w:rsid w:val="0045652F"/>
    <w:rsid w:val="00471C90"/>
    <w:rsid w:val="00474F1A"/>
    <w:rsid w:val="004814CA"/>
    <w:rsid w:val="00487929"/>
    <w:rsid w:val="00487EAD"/>
    <w:rsid w:val="004919DE"/>
    <w:rsid w:val="00492CDE"/>
    <w:rsid w:val="00494805"/>
    <w:rsid w:val="004A3564"/>
    <w:rsid w:val="004A71C8"/>
    <w:rsid w:val="004A7901"/>
    <w:rsid w:val="004A7DFC"/>
    <w:rsid w:val="004D1A36"/>
    <w:rsid w:val="004D3168"/>
    <w:rsid w:val="004D53DA"/>
    <w:rsid w:val="004D663A"/>
    <w:rsid w:val="00503205"/>
    <w:rsid w:val="00517C76"/>
    <w:rsid w:val="005474D3"/>
    <w:rsid w:val="00553452"/>
    <w:rsid w:val="005558FB"/>
    <w:rsid w:val="00555CD2"/>
    <w:rsid w:val="00596D7B"/>
    <w:rsid w:val="005A5066"/>
    <w:rsid w:val="005A5F3B"/>
    <w:rsid w:val="005B6D9F"/>
    <w:rsid w:val="005E09BC"/>
    <w:rsid w:val="005E50EB"/>
    <w:rsid w:val="005E51CA"/>
    <w:rsid w:val="005F605B"/>
    <w:rsid w:val="006019F8"/>
    <w:rsid w:val="00602214"/>
    <w:rsid w:val="00602842"/>
    <w:rsid w:val="0060357C"/>
    <w:rsid w:val="006134F3"/>
    <w:rsid w:val="006202A9"/>
    <w:rsid w:val="0063477F"/>
    <w:rsid w:val="00641592"/>
    <w:rsid w:val="00641C9B"/>
    <w:rsid w:val="00647E8F"/>
    <w:rsid w:val="00654AFD"/>
    <w:rsid w:val="00663350"/>
    <w:rsid w:val="00665436"/>
    <w:rsid w:val="00671775"/>
    <w:rsid w:val="006763CC"/>
    <w:rsid w:val="00684AB7"/>
    <w:rsid w:val="00691C14"/>
    <w:rsid w:val="006926F6"/>
    <w:rsid w:val="006A6D84"/>
    <w:rsid w:val="006A6EA2"/>
    <w:rsid w:val="006D0E72"/>
    <w:rsid w:val="006D3A9F"/>
    <w:rsid w:val="006E647B"/>
    <w:rsid w:val="006F12F6"/>
    <w:rsid w:val="006F52E4"/>
    <w:rsid w:val="00710A59"/>
    <w:rsid w:val="00717BE8"/>
    <w:rsid w:val="00726723"/>
    <w:rsid w:val="007443D9"/>
    <w:rsid w:val="00750B40"/>
    <w:rsid w:val="007575AE"/>
    <w:rsid w:val="00761053"/>
    <w:rsid w:val="00763568"/>
    <w:rsid w:val="0077219F"/>
    <w:rsid w:val="00782A05"/>
    <w:rsid w:val="007B18BD"/>
    <w:rsid w:val="007C1D84"/>
    <w:rsid w:val="007C381D"/>
    <w:rsid w:val="007D0870"/>
    <w:rsid w:val="007D0A38"/>
    <w:rsid w:val="007F7799"/>
    <w:rsid w:val="00802275"/>
    <w:rsid w:val="0080524A"/>
    <w:rsid w:val="00806433"/>
    <w:rsid w:val="0080792D"/>
    <w:rsid w:val="00822D62"/>
    <w:rsid w:val="008333EC"/>
    <w:rsid w:val="00834381"/>
    <w:rsid w:val="00842F95"/>
    <w:rsid w:val="008448CE"/>
    <w:rsid w:val="00855833"/>
    <w:rsid w:val="00856CA7"/>
    <w:rsid w:val="00861473"/>
    <w:rsid w:val="00862045"/>
    <w:rsid w:val="00867F94"/>
    <w:rsid w:val="0087203E"/>
    <w:rsid w:val="0087290D"/>
    <w:rsid w:val="0088170A"/>
    <w:rsid w:val="00882BE3"/>
    <w:rsid w:val="00885DF9"/>
    <w:rsid w:val="00892566"/>
    <w:rsid w:val="00896108"/>
    <w:rsid w:val="008B05B6"/>
    <w:rsid w:val="008B27A8"/>
    <w:rsid w:val="008B561F"/>
    <w:rsid w:val="008D0E30"/>
    <w:rsid w:val="008D3B22"/>
    <w:rsid w:val="008E13F3"/>
    <w:rsid w:val="008E19DF"/>
    <w:rsid w:val="008E4C36"/>
    <w:rsid w:val="008F4166"/>
    <w:rsid w:val="00900BCE"/>
    <w:rsid w:val="00901CB4"/>
    <w:rsid w:val="00901DF7"/>
    <w:rsid w:val="009031C6"/>
    <w:rsid w:val="00925413"/>
    <w:rsid w:val="00941542"/>
    <w:rsid w:val="00970671"/>
    <w:rsid w:val="009A6D15"/>
    <w:rsid w:val="009B1AAD"/>
    <w:rsid w:val="009D205A"/>
    <w:rsid w:val="009D26CE"/>
    <w:rsid w:val="009D3DF9"/>
    <w:rsid w:val="009D41EF"/>
    <w:rsid w:val="009F1B36"/>
    <w:rsid w:val="009F467A"/>
    <w:rsid w:val="00A24C4E"/>
    <w:rsid w:val="00A369B5"/>
    <w:rsid w:val="00A60A59"/>
    <w:rsid w:val="00A662C1"/>
    <w:rsid w:val="00A8075D"/>
    <w:rsid w:val="00A810BE"/>
    <w:rsid w:val="00A82EEC"/>
    <w:rsid w:val="00A856DE"/>
    <w:rsid w:val="00AA22B9"/>
    <w:rsid w:val="00AA6B65"/>
    <w:rsid w:val="00AC3146"/>
    <w:rsid w:val="00AD7118"/>
    <w:rsid w:val="00AE58FD"/>
    <w:rsid w:val="00AF6090"/>
    <w:rsid w:val="00AF7DF6"/>
    <w:rsid w:val="00B21A36"/>
    <w:rsid w:val="00B21FE4"/>
    <w:rsid w:val="00B266D0"/>
    <w:rsid w:val="00B273F0"/>
    <w:rsid w:val="00B36C19"/>
    <w:rsid w:val="00B46701"/>
    <w:rsid w:val="00B542F7"/>
    <w:rsid w:val="00B563E8"/>
    <w:rsid w:val="00B56E02"/>
    <w:rsid w:val="00B737A3"/>
    <w:rsid w:val="00B76C24"/>
    <w:rsid w:val="00B84D32"/>
    <w:rsid w:val="00B87169"/>
    <w:rsid w:val="00B916CE"/>
    <w:rsid w:val="00B95A85"/>
    <w:rsid w:val="00B96FE3"/>
    <w:rsid w:val="00BD0BA3"/>
    <w:rsid w:val="00BD1E3F"/>
    <w:rsid w:val="00BE3122"/>
    <w:rsid w:val="00C1618A"/>
    <w:rsid w:val="00C32E9A"/>
    <w:rsid w:val="00C4048D"/>
    <w:rsid w:val="00C427FF"/>
    <w:rsid w:val="00C43049"/>
    <w:rsid w:val="00C443CB"/>
    <w:rsid w:val="00C53D27"/>
    <w:rsid w:val="00C55845"/>
    <w:rsid w:val="00C57A2C"/>
    <w:rsid w:val="00C603D6"/>
    <w:rsid w:val="00C6041A"/>
    <w:rsid w:val="00C6390E"/>
    <w:rsid w:val="00C64250"/>
    <w:rsid w:val="00C7089D"/>
    <w:rsid w:val="00C739FD"/>
    <w:rsid w:val="00C81A76"/>
    <w:rsid w:val="00C90AA1"/>
    <w:rsid w:val="00C96F69"/>
    <w:rsid w:val="00CA20CC"/>
    <w:rsid w:val="00CB2779"/>
    <w:rsid w:val="00CE4B24"/>
    <w:rsid w:val="00CF573E"/>
    <w:rsid w:val="00D01051"/>
    <w:rsid w:val="00D06DA8"/>
    <w:rsid w:val="00D10F42"/>
    <w:rsid w:val="00D125BC"/>
    <w:rsid w:val="00D2045C"/>
    <w:rsid w:val="00D27D1D"/>
    <w:rsid w:val="00D448A1"/>
    <w:rsid w:val="00D50646"/>
    <w:rsid w:val="00D50EB6"/>
    <w:rsid w:val="00D53089"/>
    <w:rsid w:val="00D6178F"/>
    <w:rsid w:val="00D61A47"/>
    <w:rsid w:val="00D6578E"/>
    <w:rsid w:val="00D73A25"/>
    <w:rsid w:val="00D82499"/>
    <w:rsid w:val="00D85715"/>
    <w:rsid w:val="00DA153E"/>
    <w:rsid w:val="00DA451F"/>
    <w:rsid w:val="00DA478A"/>
    <w:rsid w:val="00DB0C8B"/>
    <w:rsid w:val="00DB1DD2"/>
    <w:rsid w:val="00DB632B"/>
    <w:rsid w:val="00DB7D35"/>
    <w:rsid w:val="00DC117D"/>
    <w:rsid w:val="00DC7138"/>
    <w:rsid w:val="00E0523A"/>
    <w:rsid w:val="00E11322"/>
    <w:rsid w:val="00E273DD"/>
    <w:rsid w:val="00E2760C"/>
    <w:rsid w:val="00E45DEE"/>
    <w:rsid w:val="00E47FF9"/>
    <w:rsid w:val="00E76317"/>
    <w:rsid w:val="00E962E3"/>
    <w:rsid w:val="00EA2634"/>
    <w:rsid w:val="00EB4185"/>
    <w:rsid w:val="00EC4789"/>
    <w:rsid w:val="00EC568E"/>
    <w:rsid w:val="00ED767C"/>
    <w:rsid w:val="00EE435C"/>
    <w:rsid w:val="00EE65A3"/>
    <w:rsid w:val="00EF4C5D"/>
    <w:rsid w:val="00F02FDC"/>
    <w:rsid w:val="00F122A5"/>
    <w:rsid w:val="00F1487C"/>
    <w:rsid w:val="00F2516D"/>
    <w:rsid w:val="00F41C46"/>
    <w:rsid w:val="00F4382E"/>
    <w:rsid w:val="00F561B1"/>
    <w:rsid w:val="00F57E46"/>
    <w:rsid w:val="00F73CA4"/>
    <w:rsid w:val="00F82969"/>
    <w:rsid w:val="00F856E4"/>
    <w:rsid w:val="00F959ED"/>
    <w:rsid w:val="00FB5BF1"/>
    <w:rsid w:val="00FC056B"/>
    <w:rsid w:val="00FC3679"/>
    <w:rsid w:val="00FD4C55"/>
    <w:rsid w:val="00FD50A9"/>
    <w:rsid w:val="00FD7D76"/>
    <w:rsid w:val="00FE26DD"/>
    <w:rsid w:val="00FE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21B07F-66F0-477F-9426-DFE398D5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CB"/>
    <w:rPr>
      <w:snapToGrid w:val="0"/>
      <w:sz w:val="24"/>
    </w:rPr>
  </w:style>
  <w:style w:type="paragraph" w:styleId="Heading1">
    <w:name w:val="heading 1"/>
    <w:basedOn w:val="Normal"/>
    <w:next w:val="Normal"/>
    <w:qFormat/>
    <w:rsid w:val="00763568"/>
    <w:pPr>
      <w:keepNext/>
      <w:tabs>
        <w:tab w:val="left" w:pos="367"/>
        <w:tab w:val="left" w:pos="720"/>
      </w:tabs>
      <w:ind w:firstLine="720"/>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443CB"/>
    <w:pPr>
      <w:tabs>
        <w:tab w:val="left" w:pos="367"/>
        <w:tab w:val="left" w:pos="1087"/>
      </w:tabs>
      <w:jc w:val="both"/>
    </w:pPr>
    <w:rPr>
      <w:color w:val="000000"/>
      <w:szCs w:val="24"/>
    </w:rPr>
  </w:style>
  <w:style w:type="paragraph" w:styleId="BodyText2">
    <w:name w:val="Body Text 2"/>
    <w:basedOn w:val="Normal"/>
    <w:rsid w:val="00C443CB"/>
    <w:pPr>
      <w:tabs>
        <w:tab w:val="left" w:pos="367"/>
        <w:tab w:val="left" w:pos="1087"/>
      </w:tabs>
      <w:jc w:val="both"/>
    </w:pPr>
    <w:rPr>
      <w:rFonts w:cs="Courier New"/>
      <w:szCs w:val="24"/>
    </w:rPr>
  </w:style>
  <w:style w:type="paragraph" w:styleId="FootnoteText">
    <w:name w:val="footnote text"/>
    <w:basedOn w:val="Normal"/>
    <w:link w:val="FootnoteTextChar"/>
    <w:semiHidden/>
    <w:rsid w:val="00C443CB"/>
    <w:rPr>
      <w:sz w:val="20"/>
    </w:rPr>
  </w:style>
  <w:style w:type="character" w:styleId="FootnoteReference">
    <w:name w:val="footnote reference"/>
    <w:basedOn w:val="DefaultParagraphFont"/>
    <w:semiHidden/>
    <w:rsid w:val="00C443CB"/>
    <w:rPr>
      <w:vertAlign w:val="superscript"/>
    </w:rPr>
  </w:style>
  <w:style w:type="paragraph" w:styleId="Footer">
    <w:name w:val="footer"/>
    <w:basedOn w:val="Normal"/>
    <w:rsid w:val="00C443CB"/>
    <w:pPr>
      <w:tabs>
        <w:tab w:val="center" w:pos="4320"/>
        <w:tab w:val="right" w:pos="8640"/>
      </w:tabs>
    </w:pPr>
  </w:style>
  <w:style w:type="character" w:styleId="PageNumber">
    <w:name w:val="page number"/>
    <w:basedOn w:val="DefaultParagraphFont"/>
    <w:rsid w:val="00C443CB"/>
  </w:style>
  <w:style w:type="paragraph" w:styleId="BodyTextIndent">
    <w:name w:val="Body Text Indent"/>
    <w:basedOn w:val="Normal"/>
    <w:rsid w:val="00C443CB"/>
    <w:pPr>
      <w:ind w:firstLine="360"/>
      <w:jc w:val="both"/>
    </w:pPr>
    <w:rPr>
      <w:color w:val="000000"/>
    </w:rPr>
  </w:style>
  <w:style w:type="paragraph" w:styleId="BodyText3">
    <w:name w:val="Body Text 3"/>
    <w:basedOn w:val="Normal"/>
    <w:rsid w:val="00C443CB"/>
    <w:pPr>
      <w:tabs>
        <w:tab w:val="left" w:pos="367"/>
        <w:tab w:val="left" w:pos="1087"/>
      </w:tabs>
    </w:pPr>
    <w:rPr>
      <w:color w:val="000000"/>
    </w:rPr>
  </w:style>
  <w:style w:type="paragraph" w:styleId="Header">
    <w:name w:val="header"/>
    <w:basedOn w:val="Normal"/>
    <w:rsid w:val="00763568"/>
    <w:pPr>
      <w:tabs>
        <w:tab w:val="center" w:pos="4320"/>
        <w:tab w:val="right" w:pos="8640"/>
      </w:tabs>
    </w:pPr>
  </w:style>
  <w:style w:type="paragraph" w:styleId="BodyTextIndent2">
    <w:name w:val="Body Text Indent 2"/>
    <w:basedOn w:val="Normal"/>
    <w:rsid w:val="00763568"/>
    <w:pPr>
      <w:tabs>
        <w:tab w:val="left" w:pos="367"/>
        <w:tab w:val="left" w:pos="720"/>
      </w:tabs>
      <w:ind w:firstLine="720"/>
    </w:pPr>
    <w:rPr>
      <w:color w:val="000000"/>
    </w:rPr>
  </w:style>
  <w:style w:type="paragraph" w:styleId="BodyTextIndent3">
    <w:name w:val="Body Text Indent 3"/>
    <w:basedOn w:val="Normal"/>
    <w:rsid w:val="00763568"/>
    <w:pPr>
      <w:tabs>
        <w:tab w:val="left" w:pos="367"/>
        <w:tab w:val="left" w:pos="720"/>
      </w:tabs>
      <w:ind w:firstLine="720"/>
    </w:pPr>
  </w:style>
  <w:style w:type="table" w:styleId="TableGrid">
    <w:name w:val="Table Grid"/>
    <w:basedOn w:val="TableNormal"/>
    <w:rsid w:val="007635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C7138"/>
    <w:rPr>
      <w:rFonts w:ascii="Tahoma" w:hAnsi="Tahoma" w:cs="Tahoma"/>
      <w:sz w:val="16"/>
      <w:szCs w:val="16"/>
    </w:rPr>
  </w:style>
  <w:style w:type="character" w:styleId="CommentReference">
    <w:name w:val="annotation reference"/>
    <w:basedOn w:val="DefaultParagraphFont"/>
    <w:semiHidden/>
    <w:rsid w:val="00665436"/>
    <w:rPr>
      <w:sz w:val="16"/>
      <w:szCs w:val="16"/>
    </w:rPr>
  </w:style>
  <w:style w:type="paragraph" w:styleId="CommentText">
    <w:name w:val="annotation text"/>
    <w:basedOn w:val="Normal"/>
    <w:semiHidden/>
    <w:rsid w:val="00665436"/>
    <w:rPr>
      <w:sz w:val="20"/>
    </w:rPr>
  </w:style>
  <w:style w:type="paragraph" w:styleId="CommentSubject">
    <w:name w:val="annotation subject"/>
    <w:basedOn w:val="CommentText"/>
    <w:next w:val="CommentText"/>
    <w:semiHidden/>
    <w:rsid w:val="00665436"/>
    <w:rPr>
      <w:b/>
      <w:bCs/>
    </w:rPr>
  </w:style>
  <w:style w:type="character" w:styleId="Hyperlink">
    <w:name w:val="Hyperlink"/>
    <w:basedOn w:val="DefaultParagraphFont"/>
    <w:rsid w:val="00861473"/>
    <w:rPr>
      <w:color w:val="0000FF"/>
      <w:u w:val="single"/>
    </w:rPr>
  </w:style>
  <w:style w:type="character" w:customStyle="1" w:styleId="FootnoteTextChar">
    <w:name w:val="Footnote Text Char"/>
    <w:link w:val="FootnoteText"/>
    <w:semiHidden/>
    <w:rsid w:val="002429F3"/>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5996-A2E9-4679-8765-A0C1DD3D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3243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BOARD OF GOVERNORS OF THE FEDERAL RESERVE SYSTEM</vt:lpstr>
    </vt:vector>
  </TitlesOfParts>
  <Company>FRB</Company>
  <LinksUpToDate>false</LinksUpToDate>
  <CharactersWithSpaces>20837</CharactersWithSpaces>
  <SharedDoc>false</SharedDoc>
  <HLinks>
    <vt:vector size="12" baseType="variant">
      <vt:variant>
        <vt:i4>3866685</vt:i4>
      </vt:variant>
      <vt:variant>
        <vt:i4>3</vt:i4>
      </vt:variant>
      <vt:variant>
        <vt:i4>0</vt:i4>
      </vt:variant>
      <vt:variant>
        <vt:i4>5</vt:i4>
      </vt:variant>
      <vt:variant>
        <vt:lpwstr>http://www.bls.gov/soc/</vt:lpwstr>
      </vt:variant>
      <vt:variant>
        <vt:lpwstr/>
      </vt:variant>
      <vt:variant>
        <vt:i4>8126503</vt:i4>
      </vt:variant>
      <vt:variant>
        <vt:i4>0</vt:i4>
      </vt:variant>
      <vt:variant>
        <vt:i4>0</vt:i4>
      </vt:variant>
      <vt:variant>
        <vt:i4>5</vt:i4>
      </vt:variant>
      <vt:variant>
        <vt:lpwstr>http://www.bls.gov/news.release/ocwage.nr0.htm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GOVERNORS OF THE FEDERAL RESERVE SYSTEM</dc:title>
  <dc:creator>m1mel00</dc:creator>
  <cp:lastModifiedBy>John A. Schmidt</cp:lastModifiedBy>
  <cp:revision>6</cp:revision>
  <cp:lastPrinted>2014-09-05T13:04:00Z</cp:lastPrinted>
  <dcterms:created xsi:type="dcterms:W3CDTF">2014-09-22T14:18:00Z</dcterms:created>
  <dcterms:modified xsi:type="dcterms:W3CDTF">2014-09-22T14:58:00Z</dcterms:modified>
</cp:coreProperties>
</file>