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DA" w:rsidRDefault="00B725DA" w:rsidP="00A579AB">
      <w:pPr>
        <w:spacing w:after="0"/>
        <w:jc w:val="center"/>
        <w:rPr>
          <w:rFonts w:ascii="Times New Roman" w:hAnsi="Times New Roman" w:cs="Times New Roman"/>
          <w:b/>
          <w:sz w:val="40"/>
          <w:szCs w:val="40"/>
        </w:rPr>
      </w:pPr>
    </w:p>
    <w:p w:rsidR="00E12DAC" w:rsidRPr="00B02653" w:rsidRDefault="00E12DAC" w:rsidP="00A579AB">
      <w:pPr>
        <w:spacing w:after="0"/>
        <w:jc w:val="center"/>
        <w:rPr>
          <w:rFonts w:ascii="Times New Roman" w:hAnsi="Times New Roman" w:cs="Times New Roman"/>
          <w:b/>
          <w:sz w:val="40"/>
          <w:szCs w:val="40"/>
        </w:rPr>
      </w:pPr>
      <w:r w:rsidRPr="00B02653">
        <w:rPr>
          <w:rFonts w:ascii="Times New Roman" w:hAnsi="Times New Roman" w:cs="Times New Roman"/>
          <w:b/>
          <w:sz w:val="40"/>
          <w:szCs w:val="40"/>
        </w:rPr>
        <w:t>U.S. Department of Commerce</w:t>
      </w:r>
    </w:p>
    <w:p w:rsidR="00E12DAC" w:rsidRPr="00B02653" w:rsidRDefault="0034360F" w:rsidP="00A579AB">
      <w:pPr>
        <w:spacing w:after="0"/>
        <w:jc w:val="center"/>
        <w:rPr>
          <w:rFonts w:ascii="Times New Roman" w:hAnsi="Times New Roman" w:cs="Times New Roman"/>
          <w:b/>
          <w:sz w:val="40"/>
          <w:szCs w:val="40"/>
        </w:rPr>
      </w:pPr>
      <w:r w:rsidRPr="00B02653">
        <w:rPr>
          <w:rFonts w:ascii="Times New Roman" w:hAnsi="Times New Roman" w:cs="Times New Roman"/>
          <w:b/>
          <w:sz w:val="40"/>
          <w:szCs w:val="40"/>
        </w:rPr>
        <w:t>NOAA</w:t>
      </w:r>
    </w:p>
    <w:p w:rsidR="00E12DAC" w:rsidRPr="00B02653" w:rsidRDefault="00E12DAC" w:rsidP="00A579AB">
      <w:pPr>
        <w:spacing w:after="0"/>
        <w:jc w:val="center"/>
        <w:rPr>
          <w:rFonts w:ascii="Times New Roman" w:hAnsi="Times New Roman" w:cs="Times New Roman"/>
          <w:b/>
          <w:sz w:val="24"/>
          <w:szCs w:val="24"/>
        </w:rPr>
      </w:pPr>
    </w:p>
    <w:p w:rsidR="00B725DA" w:rsidRPr="00B02653" w:rsidRDefault="00B725DA" w:rsidP="009C54BD">
      <w:pPr>
        <w:spacing w:after="0"/>
        <w:rPr>
          <w:rFonts w:ascii="Times New Roman" w:hAnsi="Times New Roman" w:cs="Times New Roman"/>
          <w:b/>
          <w:sz w:val="24"/>
          <w:szCs w:val="24"/>
        </w:rPr>
      </w:pPr>
    </w:p>
    <w:p w:rsidR="00B725DA" w:rsidRPr="00B02653" w:rsidRDefault="00B725DA" w:rsidP="00A579AB">
      <w:pPr>
        <w:spacing w:after="0"/>
        <w:jc w:val="center"/>
        <w:rPr>
          <w:rFonts w:ascii="Times New Roman" w:hAnsi="Times New Roman" w:cs="Times New Roman"/>
          <w:b/>
          <w:sz w:val="24"/>
          <w:szCs w:val="24"/>
        </w:rPr>
      </w:pPr>
    </w:p>
    <w:p w:rsidR="00B725DA" w:rsidRPr="00B02653" w:rsidRDefault="00B725DA" w:rsidP="00A579AB">
      <w:pPr>
        <w:spacing w:after="0"/>
        <w:jc w:val="center"/>
        <w:rPr>
          <w:rFonts w:ascii="Times New Roman" w:hAnsi="Times New Roman" w:cs="Times New Roman"/>
          <w:b/>
          <w:sz w:val="24"/>
          <w:szCs w:val="24"/>
        </w:rPr>
      </w:pPr>
    </w:p>
    <w:p w:rsidR="00E12DAC" w:rsidRPr="00B02653" w:rsidRDefault="00080837" w:rsidP="00A579AB">
      <w:pPr>
        <w:spacing w:after="0"/>
        <w:jc w:val="center"/>
        <w:rPr>
          <w:rFonts w:ascii="Times New Roman" w:hAnsi="Times New Roman" w:cs="Times New Roman"/>
          <w:b/>
          <w:sz w:val="24"/>
          <w:szCs w:val="24"/>
        </w:rPr>
      </w:pPr>
      <w:r w:rsidRPr="00B02653">
        <w:rPr>
          <w:rFonts w:ascii="Times New Roman" w:hAnsi="Times New Roman" w:cs="Times New Roman"/>
          <w:b/>
          <w:noProof/>
          <w:sz w:val="24"/>
          <w:szCs w:val="24"/>
        </w:rPr>
        <w:drawing>
          <wp:inline distT="0" distB="0" distL="0" distR="0" wp14:anchorId="135F4D4E" wp14:editId="4A256068">
            <wp:extent cx="2470577" cy="2418197"/>
            <wp:effectExtent l="19050" t="0" r="5923"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3629" cy="2421184"/>
                    </a:xfrm>
                    <a:prstGeom prst="rect">
                      <a:avLst/>
                    </a:prstGeom>
                    <a:noFill/>
                    <a:ln w="9525">
                      <a:noFill/>
                      <a:miter lim="800000"/>
                      <a:headEnd/>
                      <a:tailEnd/>
                    </a:ln>
                  </pic:spPr>
                </pic:pic>
              </a:graphicData>
            </a:graphic>
          </wp:inline>
        </w:drawing>
      </w:r>
    </w:p>
    <w:p w:rsidR="00E12DAC" w:rsidRPr="00B02653" w:rsidRDefault="00E12DAC" w:rsidP="009C54BD">
      <w:pPr>
        <w:spacing w:after="0"/>
        <w:rPr>
          <w:rFonts w:ascii="Times New Roman" w:hAnsi="Times New Roman" w:cs="Times New Roman"/>
          <w:b/>
          <w:sz w:val="24"/>
          <w:szCs w:val="24"/>
        </w:rPr>
      </w:pPr>
    </w:p>
    <w:p w:rsidR="00B725DA" w:rsidRPr="00B02653" w:rsidRDefault="00B725DA" w:rsidP="00A579AB">
      <w:pPr>
        <w:spacing w:after="0"/>
        <w:jc w:val="center"/>
        <w:rPr>
          <w:rFonts w:ascii="Times New Roman" w:hAnsi="Times New Roman" w:cs="Times New Roman"/>
          <w:b/>
          <w:sz w:val="24"/>
          <w:szCs w:val="24"/>
        </w:rPr>
      </w:pPr>
    </w:p>
    <w:p w:rsidR="00B725DA" w:rsidRPr="00B02653" w:rsidRDefault="00B725DA" w:rsidP="00A579AB">
      <w:pPr>
        <w:spacing w:after="0"/>
        <w:jc w:val="center"/>
        <w:rPr>
          <w:rFonts w:ascii="Times New Roman" w:hAnsi="Times New Roman" w:cs="Times New Roman"/>
          <w:b/>
          <w:sz w:val="24"/>
          <w:szCs w:val="24"/>
        </w:rPr>
      </w:pPr>
    </w:p>
    <w:p w:rsidR="00B725DA" w:rsidRPr="00B02653" w:rsidRDefault="00B725DA" w:rsidP="00A579AB">
      <w:pPr>
        <w:spacing w:after="0"/>
        <w:jc w:val="center"/>
        <w:rPr>
          <w:rFonts w:ascii="Times New Roman" w:hAnsi="Times New Roman" w:cs="Times New Roman"/>
          <w:b/>
          <w:sz w:val="24"/>
          <w:szCs w:val="24"/>
        </w:rPr>
      </w:pPr>
    </w:p>
    <w:p w:rsidR="00E12DAC" w:rsidRPr="00B02653" w:rsidRDefault="00E12DAC" w:rsidP="00A579AB">
      <w:pPr>
        <w:spacing w:after="0"/>
        <w:jc w:val="center"/>
        <w:rPr>
          <w:rFonts w:ascii="Times New Roman" w:hAnsi="Times New Roman" w:cs="Times New Roman"/>
          <w:b/>
          <w:sz w:val="24"/>
          <w:szCs w:val="24"/>
        </w:rPr>
      </w:pPr>
    </w:p>
    <w:p w:rsidR="00E12DAC" w:rsidRPr="00B02653" w:rsidRDefault="00E12DAC" w:rsidP="00A579AB">
      <w:pPr>
        <w:spacing w:after="0"/>
        <w:jc w:val="center"/>
        <w:rPr>
          <w:rFonts w:ascii="Times New Roman" w:hAnsi="Times New Roman" w:cs="Times New Roman"/>
          <w:b/>
          <w:sz w:val="32"/>
          <w:szCs w:val="32"/>
        </w:rPr>
      </w:pPr>
      <w:r w:rsidRPr="00B02653">
        <w:rPr>
          <w:rFonts w:ascii="Times New Roman" w:hAnsi="Times New Roman" w:cs="Times New Roman"/>
          <w:b/>
          <w:sz w:val="32"/>
          <w:szCs w:val="32"/>
        </w:rPr>
        <w:t xml:space="preserve">Privacy Impact Assessment </w:t>
      </w:r>
    </w:p>
    <w:p w:rsidR="00E12DAC" w:rsidRPr="00B02653" w:rsidRDefault="0038709C" w:rsidP="00A579AB">
      <w:pPr>
        <w:spacing w:after="0"/>
        <w:jc w:val="center"/>
        <w:rPr>
          <w:rFonts w:ascii="Times New Roman" w:hAnsi="Times New Roman" w:cs="Times New Roman"/>
          <w:b/>
          <w:sz w:val="32"/>
          <w:szCs w:val="32"/>
        </w:rPr>
      </w:pPr>
      <w:proofErr w:type="gramStart"/>
      <w:r w:rsidRPr="00B02653">
        <w:rPr>
          <w:rFonts w:ascii="Times New Roman" w:hAnsi="Times New Roman" w:cs="Times New Roman"/>
          <w:b/>
          <w:sz w:val="32"/>
          <w:szCs w:val="32"/>
        </w:rPr>
        <w:t>f</w:t>
      </w:r>
      <w:r w:rsidR="00BF54DB" w:rsidRPr="00B02653">
        <w:rPr>
          <w:rFonts w:ascii="Times New Roman" w:hAnsi="Times New Roman" w:cs="Times New Roman"/>
          <w:b/>
          <w:sz w:val="32"/>
          <w:szCs w:val="32"/>
        </w:rPr>
        <w:t>or</w:t>
      </w:r>
      <w:proofErr w:type="gramEnd"/>
      <w:r w:rsidR="00EE7615" w:rsidRPr="00B02653">
        <w:rPr>
          <w:rFonts w:ascii="Times New Roman" w:hAnsi="Times New Roman" w:cs="Times New Roman"/>
          <w:b/>
          <w:sz w:val="32"/>
          <w:szCs w:val="32"/>
        </w:rPr>
        <w:t xml:space="preserve"> </w:t>
      </w:r>
    </w:p>
    <w:p w:rsidR="00EE7615" w:rsidRPr="00B02653" w:rsidRDefault="00EE7615" w:rsidP="00EE7615">
      <w:pPr>
        <w:spacing w:before="100" w:after="100"/>
        <w:jc w:val="center"/>
        <w:outlineLvl w:val="0"/>
        <w:rPr>
          <w:b/>
          <w:bCs/>
          <w:color w:val="000000"/>
        </w:rPr>
      </w:pPr>
      <w:r w:rsidRPr="00B02653">
        <w:rPr>
          <w:rFonts w:ascii="Times New Roman" w:hAnsi="Times New Roman" w:cs="Times New Roman"/>
          <w:b/>
          <w:bCs/>
          <w:color w:val="000000"/>
          <w:sz w:val="28"/>
          <w:szCs w:val="28"/>
        </w:rPr>
        <w:t>Permits and Registrations for NMFS Commercial and Recreational Fisheries and Protected Resources</w:t>
      </w:r>
    </w:p>
    <w:p w:rsidR="00B725DA" w:rsidRPr="00B02653" w:rsidRDefault="00B725DA" w:rsidP="00A579AB">
      <w:pPr>
        <w:spacing w:after="0"/>
        <w:jc w:val="center"/>
        <w:rPr>
          <w:rFonts w:ascii="Times New Roman" w:hAnsi="Times New Roman" w:cs="Times New Roman"/>
          <w:b/>
          <w:sz w:val="32"/>
          <w:szCs w:val="32"/>
        </w:rPr>
      </w:pPr>
    </w:p>
    <w:p w:rsidR="00080837" w:rsidRPr="00B02653" w:rsidRDefault="00080837" w:rsidP="00A579AB">
      <w:pPr>
        <w:spacing w:after="0"/>
        <w:jc w:val="center"/>
        <w:rPr>
          <w:rFonts w:ascii="Times New Roman" w:hAnsi="Times New Roman" w:cs="Times New Roman"/>
          <w:b/>
          <w:sz w:val="32"/>
          <w:szCs w:val="32"/>
        </w:rPr>
      </w:pPr>
    </w:p>
    <w:p w:rsidR="00B725DA" w:rsidRPr="00B02653" w:rsidRDefault="00B725DA" w:rsidP="008753AE">
      <w:pPr>
        <w:tabs>
          <w:tab w:val="left" w:pos="1710"/>
        </w:tabs>
        <w:spacing w:after="0"/>
        <w:ind w:left="1710" w:hanging="1710"/>
        <w:rPr>
          <w:rFonts w:ascii="Times New Roman" w:hAnsi="Times New Roman" w:cs="Times New Roman"/>
          <w:sz w:val="24"/>
          <w:szCs w:val="24"/>
        </w:rPr>
      </w:pPr>
      <w:r w:rsidRPr="00B02653">
        <w:rPr>
          <w:rFonts w:ascii="Times New Roman" w:hAnsi="Times New Roman" w:cs="Times New Roman"/>
          <w:sz w:val="24"/>
          <w:szCs w:val="24"/>
        </w:rPr>
        <w:t xml:space="preserve">Reviewed by:  </w:t>
      </w:r>
      <w:r w:rsidRPr="00B02653">
        <w:rPr>
          <w:rFonts w:ascii="Times New Roman" w:hAnsi="Times New Roman" w:cs="Times New Roman"/>
          <w:sz w:val="24"/>
          <w:szCs w:val="24"/>
        </w:rPr>
        <w:tab/>
      </w:r>
      <w:r w:rsidR="00C356F8" w:rsidRPr="00B02653">
        <w:rPr>
          <w:rFonts w:ascii="Times New Roman" w:hAnsi="Times New Roman" w:cs="Times New Roman"/>
          <w:sz w:val="24"/>
          <w:szCs w:val="24"/>
        </w:rPr>
        <w:t xml:space="preserve">Sarah </w:t>
      </w:r>
      <w:proofErr w:type="spellStart"/>
      <w:r w:rsidR="00C356F8" w:rsidRPr="00B02653">
        <w:rPr>
          <w:rFonts w:ascii="Times New Roman" w:hAnsi="Times New Roman" w:cs="Times New Roman"/>
          <w:sz w:val="24"/>
          <w:szCs w:val="24"/>
        </w:rPr>
        <w:t>Brabson</w:t>
      </w:r>
      <w:proofErr w:type="spellEnd"/>
      <w:r w:rsidRPr="00B02653">
        <w:rPr>
          <w:rFonts w:ascii="Times New Roman" w:hAnsi="Times New Roman" w:cs="Times New Roman"/>
          <w:sz w:val="24"/>
          <w:szCs w:val="24"/>
        </w:rPr>
        <w:t>, Bureau Privacy Officer or Designee</w:t>
      </w:r>
      <w:r w:rsidR="008753AE">
        <w:rPr>
          <w:rFonts w:ascii="Times New Roman" w:hAnsi="Times New Roman" w:cs="Times New Roman"/>
          <w:sz w:val="24"/>
          <w:szCs w:val="24"/>
        </w:rPr>
        <w:t xml:space="preserve"> and Rob Swisher, Acting NOAA Privacy Officer</w:t>
      </w:r>
    </w:p>
    <w:p w:rsidR="00B725DA" w:rsidRPr="00B02653" w:rsidRDefault="00B725DA" w:rsidP="00B725DA">
      <w:pPr>
        <w:spacing w:after="0"/>
        <w:rPr>
          <w:rFonts w:ascii="Times New Roman" w:hAnsi="Times New Roman" w:cs="Times New Roman"/>
          <w:sz w:val="24"/>
          <w:szCs w:val="24"/>
        </w:rPr>
      </w:pPr>
    </w:p>
    <w:p w:rsidR="00B725DA" w:rsidRPr="00B02653" w:rsidRDefault="00B725DA" w:rsidP="00B725DA">
      <w:pPr>
        <w:tabs>
          <w:tab w:val="left" w:pos="1710"/>
        </w:tabs>
        <w:spacing w:after="0"/>
        <w:rPr>
          <w:rFonts w:ascii="Times New Roman" w:hAnsi="Times New Roman" w:cs="Times New Roman"/>
          <w:sz w:val="24"/>
          <w:szCs w:val="24"/>
        </w:rPr>
      </w:pPr>
      <w:r w:rsidRPr="00B02653">
        <w:rPr>
          <w:rFonts w:ascii="Times New Roman" w:hAnsi="Times New Roman" w:cs="Times New Roman"/>
          <w:sz w:val="24"/>
          <w:szCs w:val="24"/>
        </w:rPr>
        <w:t xml:space="preserve">Approved by:  </w:t>
      </w:r>
      <w:r w:rsidRPr="00B02653">
        <w:rPr>
          <w:rFonts w:ascii="Times New Roman" w:hAnsi="Times New Roman" w:cs="Times New Roman"/>
          <w:sz w:val="24"/>
          <w:szCs w:val="24"/>
        </w:rPr>
        <w:tab/>
        <w:t>___________</w:t>
      </w:r>
      <w:r w:rsidR="00E76B56" w:rsidRPr="00B02653">
        <w:rPr>
          <w:rFonts w:ascii="Times New Roman" w:hAnsi="Times New Roman" w:cs="Times New Roman"/>
          <w:sz w:val="24"/>
          <w:szCs w:val="24"/>
        </w:rPr>
        <w:t>____</w:t>
      </w:r>
      <w:r w:rsidR="007A6AA3" w:rsidRPr="00B02653">
        <w:rPr>
          <w:rFonts w:ascii="Times New Roman" w:hAnsi="Times New Roman" w:cs="Times New Roman"/>
          <w:sz w:val="24"/>
          <w:szCs w:val="24"/>
        </w:rPr>
        <w:t>__________________</w:t>
      </w:r>
      <w:r w:rsidR="00E76B56" w:rsidRPr="00B02653">
        <w:rPr>
          <w:rFonts w:ascii="Times New Roman" w:hAnsi="Times New Roman" w:cs="Times New Roman"/>
          <w:sz w:val="24"/>
          <w:szCs w:val="24"/>
        </w:rPr>
        <w:t>, DOC Chief Privacy Officer</w:t>
      </w:r>
    </w:p>
    <w:p w:rsidR="00B725DA" w:rsidRPr="00B02653" w:rsidRDefault="00B725DA" w:rsidP="00B725DA">
      <w:pPr>
        <w:spacing w:after="0"/>
        <w:rPr>
          <w:rFonts w:ascii="Times New Roman" w:hAnsi="Times New Roman" w:cs="Times New Roman"/>
          <w:sz w:val="24"/>
          <w:szCs w:val="24"/>
        </w:rPr>
      </w:pPr>
    </w:p>
    <w:p w:rsidR="00BA641B" w:rsidRPr="00B02653" w:rsidRDefault="00B725DA" w:rsidP="006E4D98">
      <w:pPr>
        <w:tabs>
          <w:tab w:val="left" w:pos="1710"/>
        </w:tabs>
        <w:spacing w:after="0"/>
        <w:rPr>
          <w:rFonts w:ascii="Times New Roman" w:hAnsi="Times New Roman" w:cs="Times New Roman"/>
          <w:b/>
          <w:sz w:val="56"/>
          <w:szCs w:val="56"/>
        </w:rPr>
      </w:pPr>
      <w:r w:rsidRPr="00B02653">
        <w:rPr>
          <w:rFonts w:ascii="Times New Roman" w:hAnsi="Times New Roman" w:cs="Times New Roman"/>
          <w:sz w:val="24"/>
          <w:szCs w:val="24"/>
        </w:rPr>
        <w:t>Date approved:</w:t>
      </w:r>
      <w:r w:rsidRPr="00B02653">
        <w:rPr>
          <w:rFonts w:ascii="Times New Roman" w:hAnsi="Times New Roman" w:cs="Times New Roman"/>
          <w:sz w:val="24"/>
          <w:szCs w:val="24"/>
        </w:rPr>
        <w:tab/>
        <w:t>_______________</w:t>
      </w:r>
      <w:r w:rsidR="009C54BD" w:rsidRPr="00B02653">
        <w:rPr>
          <w:rFonts w:ascii="Times New Roman" w:hAnsi="Times New Roman" w:cs="Times New Roman"/>
          <w:sz w:val="24"/>
          <w:szCs w:val="24"/>
        </w:rPr>
        <w:t>__________________</w:t>
      </w:r>
      <w:r w:rsidR="00E12DAC" w:rsidRPr="00B02653">
        <w:rPr>
          <w:rFonts w:ascii="Times New Roman" w:hAnsi="Times New Roman" w:cs="Times New Roman"/>
          <w:b/>
          <w:sz w:val="56"/>
          <w:szCs w:val="56"/>
        </w:rPr>
        <w:br w:type="page"/>
      </w:r>
    </w:p>
    <w:p w:rsidR="0004658B" w:rsidRPr="00B02653" w:rsidRDefault="0004658B" w:rsidP="00A579AB">
      <w:pPr>
        <w:spacing w:after="0"/>
        <w:jc w:val="center"/>
        <w:rPr>
          <w:rFonts w:ascii="Times New Roman" w:hAnsi="Times New Roman" w:cs="Times New Roman"/>
          <w:b/>
          <w:sz w:val="28"/>
          <w:szCs w:val="28"/>
        </w:rPr>
        <w:sectPr w:rsidR="0004658B" w:rsidRPr="00B02653" w:rsidSect="00F50A39">
          <w:headerReference w:type="default" r:id="rId10"/>
          <w:footerReference w:type="default" r:id="rId11"/>
          <w:pgSz w:w="12240" w:h="15840"/>
          <w:pgMar w:top="1440" w:right="1440" w:bottom="1440" w:left="1440" w:header="720" w:footer="720" w:gutter="0"/>
          <w:pgNumType w:start="1"/>
          <w:cols w:space="720"/>
          <w:docGrid w:linePitch="360"/>
        </w:sectPr>
      </w:pPr>
    </w:p>
    <w:p w:rsidR="00A579AB" w:rsidRPr="00B02653" w:rsidRDefault="00A579AB" w:rsidP="00A579AB">
      <w:pPr>
        <w:spacing w:after="0"/>
        <w:jc w:val="center"/>
        <w:rPr>
          <w:rFonts w:ascii="Times New Roman" w:hAnsi="Times New Roman" w:cs="Times New Roman"/>
          <w:b/>
          <w:sz w:val="28"/>
          <w:szCs w:val="28"/>
        </w:rPr>
      </w:pPr>
      <w:r w:rsidRPr="00B02653">
        <w:rPr>
          <w:rFonts w:ascii="Times New Roman" w:hAnsi="Times New Roman" w:cs="Times New Roman"/>
          <w:b/>
          <w:sz w:val="28"/>
          <w:szCs w:val="28"/>
        </w:rPr>
        <w:lastRenderedPageBreak/>
        <w:t>U.S. Department of Commerce Privacy Impact Assessment</w:t>
      </w:r>
    </w:p>
    <w:p w:rsidR="00EE7615" w:rsidRPr="00B02653" w:rsidRDefault="00EE7615" w:rsidP="00EE7615">
      <w:pPr>
        <w:spacing w:before="100" w:after="100"/>
        <w:jc w:val="center"/>
        <w:outlineLvl w:val="0"/>
        <w:rPr>
          <w:b/>
          <w:bCs/>
          <w:color w:val="000000"/>
        </w:rPr>
      </w:pPr>
      <w:r w:rsidRPr="00B02653">
        <w:rPr>
          <w:rFonts w:ascii="Times New Roman" w:hAnsi="Times New Roman" w:cs="Times New Roman"/>
          <w:b/>
          <w:sz w:val="28"/>
          <w:szCs w:val="28"/>
        </w:rPr>
        <w:t>NOAA/</w:t>
      </w:r>
      <w:r w:rsidRPr="00B02653">
        <w:rPr>
          <w:b/>
          <w:bCs/>
          <w:color w:val="000000"/>
        </w:rPr>
        <w:t xml:space="preserve"> </w:t>
      </w:r>
      <w:r w:rsidRPr="00B02653">
        <w:rPr>
          <w:rFonts w:ascii="Times New Roman" w:hAnsi="Times New Roman" w:cs="Times New Roman"/>
          <w:b/>
          <w:bCs/>
          <w:color w:val="000000"/>
          <w:sz w:val="28"/>
          <w:szCs w:val="28"/>
        </w:rPr>
        <w:t>Permits and Registrations for NMFS Commercial and Recreational Fisheries and Protected Resources</w:t>
      </w:r>
    </w:p>
    <w:p w:rsidR="00415863" w:rsidRPr="00B02653" w:rsidRDefault="00415863" w:rsidP="00A579AB">
      <w:pPr>
        <w:spacing w:after="0"/>
        <w:jc w:val="center"/>
        <w:rPr>
          <w:rFonts w:ascii="Times New Roman" w:hAnsi="Times New Roman" w:cs="Times New Roman"/>
          <w:b/>
          <w:sz w:val="28"/>
          <w:szCs w:val="28"/>
        </w:rPr>
      </w:pPr>
    </w:p>
    <w:p w:rsidR="00EE7615" w:rsidRPr="00B02653" w:rsidRDefault="00415863" w:rsidP="00EE7615">
      <w:pPr>
        <w:pStyle w:val="Default"/>
      </w:pPr>
      <w:r w:rsidRPr="00B02653">
        <w:rPr>
          <w:b/>
        </w:rPr>
        <w:t xml:space="preserve">Unique Project Identifier:  </w:t>
      </w:r>
      <w:r w:rsidR="00EE7615" w:rsidRPr="00B02653">
        <w:t>006-48-01-14-02-3305-00</w:t>
      </w:r>
    </w:p>
    <w:p w:rsidR="00EE7615" w:rsidRPr="00B02653" w:rsidRDefault="00EE7615" w:rsidP="00EE7615">
      <w:pPr>
        <w:pStyle w:val="Default"/>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6996"/>
        <w:gridCol w:w="1194"/>
      </w:tblGrid>
      <w:tr w:rsidR="00EE7615" w:rsidRPr="001B16EB" w:rsidTr="00783051">
        <w:trPr>
          <w:cantSplit/>
          <w:trHeight w:val="989"/>
        </w:trPr>
        <w:tc>
          <w:tcPr>
            <w:tcW w:w="1128" w:type="dxa"/>
          </w:tcPr>
          <w:p w:rsidR="00EE7615" w:rsidRPr="001B16EB" w:rsidRDefault="00EE7615" w:rsidP="00FF48A1">
            <w:pPr>
              <w:jc w:val="center"/>
              <w:rPr>
                <w:rFonts w:ascii="Times New Roman" w:hAnsi="Times New Roman" w:cs="Times New Roman"/>
                <w:sz w:val="18"/>
                <w:szCs w:val="18"/>
              </w:rPr>
            </w:pPr>
            <w:r w:rsidRPr="001B16EB">
              <w:rPr>
                <w:rFonts w:ascii="Times New Roman" w:hAnsi="Times New Roman" w:cs="Times New Roman"/>
                <w:sz w:val="18"/>
                <w:szCs w:val="18"/>
              </w:rPr>
              <w:t>OMB Control No.</w:t>
            </w:r>
          </w:p>
        </w:tc>
        <w:tc>
          <w:tcPr>
            <w:tcW w:w="6996" w:type="dxa"/>
          </w:tcPr>
          <w:p w:rsidR="00EE7615" w:rsidRPr="001B16EB" w:rsidRDefault="00EE7615" w:rsidP="00FF48A1">
            <w:pPr>
              <w:jc w:val="center"/>
              <w:rPr>
                <w:rFonts w:ascii="Times New Roman" w:hAnsi="Times New Roman" w:cs="Times New Roman"/>
                <w:sz w:val="18"/>
                <w:szCs w:val="18"/>
              </w:rPr>
            </w:pPr>
            <w:r w:rsidRPr="001B16EB">
              <w:rPr>
                <w:rFonts w:ascii="Times New Roman" w:hAnsi="Times New Roman" w:cs="Times New Roman"/>
                <w:sz w:val="18"/>
                <w:szCs w:val="18"/>
              </w:rPr>
              <w:t>Title of Collection</w:t>
            </w:r>
          </w:p>
        </w:tc>
        <w:tc>
          <w:tcPr>
            <w:tcW w:w="1194" w:type="dxa"/>
          </w:tcPr>
          <w:p w:rsidR="00EE7615" w:rsidRPr="001B16EB" w:rsidRDefault="00EE7615" w:rsidP="00FF48A1">
            <w:pPr>
              <w:jc w:val="center"/>
              <w:rPr>
                <w:rFonts w:ascii="Times New Roman" w:hAnsi="Times New Roman" w:cs="Times New Roman"/>
                <w:sz w:val="18"/>
                <w:szCs w:val="18"/>
              </w:rPr>
            </w:pPr>
            <w:r w:rsidRPr="001B16EB">
              <w:rPr>
                <w:rFonts w:ascii="Times New Roman" w:hAnsi="Times New Roman" w:cs="Times New Roman"/>
                <w:sz w:val="18"/>
                <w:szCs w:val="18"/>
              </w:rPr>
              <w:t>NOAA Security System Number</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0648-0013</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Southeast Region Dealer Permit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NOAA4300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0648-0084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Basic Requirements for Special Exception Permits and Authorizations to Take, Import, and Export Marine Mammals and Endangered and Threatened Species and for Maintaining a Captive Marine Mammal Inventory Under the Marine Mammal Protection Act, the Fur Seal Act, and the Endangered Species Act</w:t>
            </w:r>
          </w:p>
        </w:tc>
        <w:tc>
          <w:tcPr>
            <w:tcW w:w="1194" w:type="dxa"/>
          </w:tcPr>
          <w:p w:rsidR="00EE7615" w:rsidRPr="001B16EB" w:rsidRDefault="00883B6E" w:rsidP="00B02653">
            <w:pPr>
              <w:rPr>
                <w:rFonts w:ascii="Times New Roman" w:hAnsi="Times New Roman" w:cs="Times New Roman"/>
                <w:sz w:val="18"/>
                <w:szCs w:val="18"/>
              </w:rPr>
            </w:pPr>
            <w:r w:rsidRPr="001B16EB">
              <w:rPr>
                <w:rFonts w:ascii="Times New Roman" w:hAnsi="Times New Roman" w:cs="Times New Roman"/>
                <w:sz w:val="18"/>
                <w:szCs w:val="18"/>
              </w:rPr>
              <w:t>NOAA4</w:t>
            </w:r>
            <w:r w:rsidR="00B02653" w:rsidRPr="001B16EB">
              <w:rPr>
                <w:rFonts w:ascii="Times New Roman" w:hAnsi="Times New Roman" w:cs="Times New Roman"/>
                <w:sz w:val="18"/>
                <w:szCs w:val="18"/>
              </w:rPr>
              <w:t>5</w:t>
            </w:r>
            <w:r w:rsidR="00EE7615" w:rsidRPr="001B16EB">
              <w:rPr>
                <w:rFonts w:ascii="Times New Roman" w:hAnsi="Times New Roman" w:cs="Times New Roman"/>
                <w:sz w:val="18"/>
                <w:szCs w:val="18"/>
              </w:rPr>
              <w:t>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0648-0151</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Applications and Reporting Requirements for Small Take of Marine Mammals by Specified Activities Under the Marine Mammal Protection Act</w:t>
            </w:r>
          </w:p>
        </w:tc>
        <w:tc>
          <w:tcPr>
            <w:tcW w:w="1194" w:type="dxa"/>
          </w:tcPr>
          <w:p w:rsidR="00EE7615" w:rsidRPr="001B16EB" w:rsidRDefault="00883B6E" w:rsidP="00B02653">
            <w:pPr>
              <w:rPr>
                <w:rFonts w:ascii="Times New Roman" w:hAnsi="Times New Roman" w:cs="Times New Roman"/>
                <w:sz w:val="18"/>
                <w:szCs w:val="18"/>
              </w:rPr>
            </w:pPr>
            <w:r w:rsidRPr="001B16EB">
              <w:rPr>
                <w:rFonts w:ascii="Times New Roman" w:hAnsi="Times New Roman" w:cs="Times New Roman"/>
                <w:sz w:val="18"/>
                <w:szCs w:val="18"/>
              </w:rPr>
              <w:t>NOAA4</w:t>
            </w:r>
            <w:r w:rsidR="00B02653" w:rsidRPr="001B16EB">
              <w:rPr>
                <w:rFonts w:ascii="Times New Roman" w:hAnsi="Times New Roman" w:cs="Times New Roman"/>
                <w:sz w:val="18"/>
                <w:szCs w:val="18"/>
              </w:rPr>
              <w:t>5</w:t>
            </w:r>
            <w:r w:rsidR="00EE7615" w:rsidRPr="001B16EB">
              <w:rPr>
                <w:rFonts w:ascii="Times New Roman" w:hAnsi="Times New Roman" w:cs="Times New Roman"/>
                <w:sz w:val="18"/>
                <w:szCs w:val="18"/>
              </w:rPr>
              <w:t>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0648-0194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 xml:space="preserve">Antarctic Marine Living Resources Conservation and Management Measures </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NOAA4020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0648-0202</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Northeast Region Permit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NOAA4100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0648-0203</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Northwest Region Permit Family of Forms</w:t>
            </w:r>
            <w:r w:rsidR="00D708B3" w:rsidRPr="001B16EB">
              <w:rPr>
                <w:rFonts w:ascii="Times New Roman" w:hAnsi="Times New Roman" w:cs="Times New Roman"/>
                <w:sz w:val="18"/>
                <w:szCs w:val="18"/>
              </w:rPr>
              <w:t xml:space="preserve"> (now part of West Coast Region)</w:t>
            </w:r>
          </w:p>
        </w:tc>
        <w:tc>
          <w:tcPr>
            <w:tcW w:w="1194" w:type="dxa"/>
          </w:tcPr>
          <w:p w:rsidR="00EE7615" w:rsidRPr="001B16EB" w:rsidRDefault="00EE7615" w:rsidP="001F7A6D">
            <w:pPr>
              <w:rPr>
                <w:rFonts w:ascii="Times New Roman" w:hAnsi="Times New Roman" w:cs="Times New Roman"/>
                <w:sz w:val="18"/>
                <w:szCs w:val="18"/>
              </w:rPr>
            </w:pPr>
            <w:r w:rsidRPr="001B16EB">
              <w:rPr>
                <w:rFonts w:ascii="Times New Roman" w:hAnsi="Times New Roman" w:cs="Times New Roman"/>
                <w:sz w:val="18"/>
                <w:szCs w:val="18"/>
              </w:rPr>
              <w:t>NOAA4</w:t>
            </w:r>
            <w:r w:rsidR="001F7A6D" w:rsidRPr="001B16EB">
              <w:rPr>
                <w:rFonts w:ascii="Times New Roman" w:hAnsi="Times New Roman" w:cs="Times New Roman"/>
                <w:sz w:val="18"/>
                <w:szCs w:val="18"/>
              </w:rPr>
              <w:t>600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0648-0204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Southwest Region Permit Family of Forms</w:t>
            </w:r>
            <w:r w:rsidR="00D708B3" w:rsidRPr="001B16EB">
              <w:rPr>
                <w:rFonts w:ascii="Times New Roman" w:hAnsi="Times New Roman" w:cs="Times New Roman"/>
                <w:sz w:val="18"/>
                <w:szCs w:val="18"/>
              </w:rPr>
              <w:t xml:space="preserve">  (now part of West Coast Region)</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0648-0205</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Southeast Region Permit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NOAA4300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0648-0206</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Alaska Region Permit Family of Forms</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0648-0218</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South Pacific Tuna Act Permit Applications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0648-0229</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Northeast Region Dealer Permit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NOAA4100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0648-0230</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Permits for Incidental Taking of Endangered or Threatened Species</w:t>
            </w:r>
          </w:p>
        </w:tc>
        <w:tc>
          <w:tcPr>
            <w:tcW w:w="1194" w:type="dxa"/>
          </w:tcPr>
          <w:p w:rsidR="00EE7615" w:rsidRPr="001B16EB" w:rsidRDefault="00883B6E" w:rsidP="00B02653">
            <w:pPr>
              <w:rPr>
                <w:rFonts w:ascii="Times New Roman" w:hAnsi="Times New Roman" w:cs="Times New Roman"/>
                <w:sz w:val="18"/>
                <w:szCs w:val="18"/>
              </w:rPr>
            </w:pPr>
            <w:r w:rsidRPr="001B16EB">
              <w:rPr>
                <w:rFonts w:ascii="Times New Roman" w:hAnsi="Times New Roman" w:cs="Times New Roman"/>
                <w:sz w:val="18"/>
                <w:szCs w:val="18"/>
              </w:rPr>
              <w:t>NOAA4</w:t>
            </w:r>
            <w:r w:rsidR="00B02653" w:rsidRPr="001B16EB">
              <w:rPr>
                <w:rFonts w:ascii="Times New Roman" w:hAnsi="Times New Roman" w:cs="Times New Roman"/>
                <w:sz w:val="18"/>
                <w:szCs w:val="18"/>
              </w:rPr>
              <w:t>5</w:t>
            </w:r>
            <w:r w:rsidR="00EE7615" w:rsidRPr="001B16EB">
              <w:rPr>
                <w:rFonts w:ascii="Times New Roman" w:hAnsi="Times New Roman" w:cs="Times New Roman"/>
                <w:sz w:val="18"/>
                <w:szCs w:val="18"/>
              </w:rPr>
              <w:t>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0648-0272</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Individual Fishing Quotas for Pacific Halibut and Sablefish in the Alaska Fisheries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0648-0304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High Seas Fishing Permits</w:t>
            </w:r>
          </w:p>
        </w:tc>
        <w:tc>
          <w:tcPr>
            <w:tcW w:w="1194" w:type="dxa"/>
          </w:tcPr>
          <w:p w:rsidR="00EE7615" w:rsidRPr="001B16EB" w:rsidRDefault="00EE7615" w:rsidP="00F328E0">
            <w:pPr>
              <w:rPr>
                <w:rFonts w:ascii="Times New Roman" w:hAnsi="Times New Roman" w:cs="Times New Roman"/>
                <w:sz w:val="18"/>
                <w:szCs w:val="18"/>
              </w:rPr>
            </w:pPr>
            <w:r w:rsidRPr="001B16EB">
              <w:rPr>
                <w:rFonts w:ascii="Times New Roman" w:hAnsi="Times New Roman" w:cs="Times New Roman"/>
                <w:sz w:val="18"/>
                <w:szCs w:val="18"/>
              </w:rPr>
              <w:t>NOAA40</w:t>
            </w:r>
            <w:r w:rsidR="00F328E0" w:rsidRPr="001B16EB">
              <w:rPr>
                <w:rFonts w:ascii="Times New Roman" w:hAnsi="Times New Roman" w:cs="Times New Roman"/>
                <w:sz w:val="18"/>
                <w:szCs w:val="18"/>
              </w:rPr>
              <w:t>1</w:t>
            </w:r>
            <w:r w:rsidRPr="001B16EB">
              <w:rPr>
                <w:rFonts w:ascii="Times New Roman" w:hAnsi="Times New Roman" w:cs="Times New Roman"/>
                <w:sz w:val="18"/>
                <w:szCs w:val="18"/>
              </w:rPr>
              <w:t>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0648-0309</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Scientific Research, Exempted Fishing, and Exempted Activity Submissions</w:t>
            </w:r>
          </w:p>
        </w:tc>
        <w:tc>
          <w:tcPr>
            <w:tcW w:w="1194" w:type="dxa"/>
          </w:tcPr>
          <w:p w:rsidR="00EE7615" w:rsidRPr="001B16EB" w:rsidRDefault="00883B6E" w:rsidP="00B02653">
            <w:pPr>
              <w:rPr>
                <w:rFonts w:ascii="Times New Roman" w:hAnsi="Times New Roman" w:cs="Times New Roman"/>
                <w:sz w:val="18"/>
                <w:szCs w:val="18"/>
              </w:rPr>
            </w:pPr>
            <w:r w:rsidRPr="001B16EB">
              <w:rPr>
                <w:rFonts w:ascii="Times New Roman" w:hAnsi="Times New Roman" w:cs="Times New Roman"/>
                <w:sz w:val="18"/>
                <w:szCs w:val="18"/>
              </w:rPr>
              <w:t>NOAA4</w:t>
            </w:r>
            <w:r w:rsidR="00B02653" w:rsidRPr="001B16EB">
              <w:rPr>
                <w:rFonts w:ascii="Times New Roman" w:hAnsi="Times New Roman" w:cs="Times New Roman"/>
                <w:sz w:val="18"/>
                <w:szCs w:val="18"/>
              </w:rPr>
              <w:t>5</w:t>
            </w:r>
            <w:r w:rsidR="00EE7615" w:rsidRPr="001B16EB">
              <w:rPr>
                <w:rFonts w:ascii="Times New Roman" w:hAnsi="Times New Roman" w:cs="Times New Roman"/>
                <w:sz w:val="18"/>
                <w:szCs w:val="18"/>
              </w:rPr>
              <w:t>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0648-0316</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Prohibited Species Donation Program</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0648-0327</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Atlantic Highly Migratory Species Vessels Permits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NOAA4011</w:t>
            </w:r>
          </w:p>
        </w:tc>
      </w:tr>
      <w:tr w:rsidR="00EE7615" w:rsidRPr="001B16EB" w:rsidTr="001B16EB">
        <w:trPr>
          <w:cantSplit/>
          <w:trHeight w:val="260"/>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0648-0334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 xml:space="preserve">Alaska License Limitation Program for </w:t>
            </w:r>
            <w:proofErr w:type="spellStart"/>
            <w:r w:rsidRPr="001B16EB">
              <w:rPr>
                <w:rFonts w:ascii="Times New Roman" w:hAnsi="Times New Roman" w:cs="Times New Roman"/>
                <w:sz w:val="18"/>
                <w:szCs w:val="18"/>
              </w:rPr>
              <w:t>Groundfish</w:t>
            </w:r>
            <w:proofErr w:type="spellEnd"/>
            <w:r w:rsidRPr="001B16EB">
              <w:rPr>
                <w:rFonts w:ascii="Times New Roman" w:hAnsi="Times New Roman" w:cs="Times New Roman"/>
                <w:sz w:val="18"/>
                <w:szCs w:val="18"/>
              </w:rPr>
              <w:t>, Crab, and Scallops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1B16EB">
        <w:trPr>
          <w:cantSplit/>
          <w:trHeight w:val="242"/>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0648-0345</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 xml:space="preserve">Southeast Region </w:t>
            </w:r>
            <w:proofErr w:type="spellStart"/>
            <w:r w:rsidRPr="001B16EB">
              <w:rPr>
                <w:rFonts w:ascii="Times New Roman" w:hAnsi="Times New Roman" w:cs="Times New Roman"/>
                <w:sz w:val="18"/>
                <w:szCs w:val="18"/>
              </w:rPr>
              <w:t>Bycatch</w:t>
            </w:r>
            <w:proofErr w:type="spellEnd"/>
            <w:r w:rsidRPr="001B16EB">
              <w:rPr>
                <w:rFonts w:ascii="Times New Roman" w:hAnsi="Times New Roman" w:cs="Times New Roman"/>
                <w:sz w:val="18"/>
                <w:szCs w:val="18"/>
              </w:rPr>
              <w:t xml:space="preserve"> Reduction Device Certification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NOAA4300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lastRenderedPageBreak/>
              <w:t>0648-0387</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International Dolphin Conservation Program</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0648-0393</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American Fisheries Act:  Vessel and Processor Permit Applications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0648-0402</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Application and Reports for Scientific Research and Enhancement Permits Under the Endangered Species Act</w:t>
            </w:r>
          </w:p>
        </w:tc>
        <w:tc>
          <w:tcPr>
            <w:tcW w:w="1194" w:type="dxa"/>
          </w:tcPr>
          <w:p w:rsidR="00EE7615" w:rsidRPr="001B16EB" w:rsidRDefault="00883B6E" w:rsidP="00B02653">
            <w:pPr>
              <w:rPr>
                <w:rFonts w:ascii="Times New Roman" w:hAnsi="Times New Roman" w:cs="Times New Roman"/>
                <w:sz w:val="18"/>
                <w:szCs w:val="18"/>
              </w:rPr>
            </w:pPr>
            <w:r w:rsidRPr="001B16EB">
              <w:rPr>
                <w:rFonts w:ascii="Times New Roman" w:hAnsi="Times New Roman" w:cs="Times New Roman"/>
                <w:sz w:val="18"/>
                <w:szCs w:val="18"/>
              </w:rPr>
              <w:t>NOAA4</w:t>
            </w:r>
            <w:r w:rsidR="00B02653" w:rsidRPr="001B16EB">
              <w:rPr>
                <w:rFonts w:ascii="Times New Roman" w:hAnsi="Times New Roman" w:cs="Times New Roman"/>
                <w:sz w:val="18"/>
                <w:szCs w:val="18"/>
              </w:rPr>
              <w:t>5</w:t>
            </w:r>
            <w:r w:rsidR="00EE7615" w:rsidRPr="001B16EB">
              <w:rPr>
                <w:rFonts w:ascii="Times New Roman" w:hAnsi="Times New Roman" w:cs="Times New Roman"/>
                <w:sz w:val="18"/>
                <w:szCs w:val="18"/>
              </w:rPr>
              <w:t>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0648-0463</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Pacific Islands Region Coral Reef Ecosystems Permits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NOAA4010</w:t>
            </w:r>
          </w:p>
        </w:tc>
      </w:tr>
      <w:tr w:rsidR="00EE7615" w:rsidRPr="001B16EB" w:rsidTr="001B16EB">
        <w:trPr>
          <w:cantSplit/>
          <w:trHeight w:val="566"/>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0648-0471</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Highly Migratory Species Scientific Research Permits, Exempted Fishing Permits, and Letters of Authorization</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NOAA4011</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0648-0490</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Pacific Islands Region Permit Family of Forms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0648-0495</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Atlantic Highly Migratory Species Vessel Chartering Permits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NOAA4011</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0648-0514</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Alaska Region B</w:t>
            </w:r>
            <w:r w:rsidR="00ED0FB2" w:rsidRPr="001B16EB">
              <w:rPr>
                <w:rFonts w:ascii="Times New Roman" w:hAnsi="Times New Roman" w:cs="Times New Roman"/>
                <w:sz w:val="18"/>
                <w:szCs w:val="18"/>
              </w:rPr>
              <w:t>ering Sea and Aleutian Islands</w:t>
            </w:r>
            <w:r w:rsidRPr="001B16EB">
              <w:rPr>
                <w:rFonts w:ascii="Times New Roman" w:hAnsi="Times New Roman" w:cs="Times New Roman"/>
                <w:sz w:val="18"/>
                <w:szCs w:val="18"/>
              </w:rPr>
              <w:t xml:space="preserve"> Crab Permits</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0648-0545</w:t>
            </w:r>
          </w:p>
        </w:tc>
        <w:tc>
          <w:tcPr>
            <w:tcW w:w="6996"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Alaska Rockfish Pilot Program</w:t>
            </w:r>
          </w:p>
        </w:tc>
        <w:tc>
          <w:tcPr>
            <w:tcW w:w="1194"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0648-0551</w:t>
            </w:r>
          </w:p>
        </w:tc>
        <w:tc>
          <w:tcPr>
            <w:tcW w:w="6996" w:type="dxa"/>
          </w:tcPr>
          <w:p w:rsidR="00EE7615" w:rsidRPr="001B16EB" w:rsidRDefault="00EE7615" w:rsidP="00ED0FB2">
            <w:pPr>
              <w:rPr>
                <w:rFonts w:ascii="Times New Roman" w:hAnsi="Times New Roman" w:cs="Times New Roman"/>
                <w:sz w:val="18"/>
                <w:szCs w:val="18"/>
              </w:rPr>
            </w:pPr>
            <w:r w:rsidRPr="001B16EB">
              <w:rPr>
                <w:rFonts w:ascii="Times New Roman" w:hAnsi="Times New Roman" w:cs="Times New Roman"/>
                <w:color w:val="000000"/>
                <w:sz w:val="18"/>
                <w:szCs w:val="18"/>
              </w:rPr>
              <w:t>Southeast Region Gulf of Mexico Red Snapper</w:t>
            </w:r>
            <w:r w:rsidR="00ED0FB2" w:rsidRPr="001B16EB">
              <w:rPr>
                <w:rFonts w:ascii="Times New Roman" w:hAnsi="Times New Roman" w:cs="Times New Roman"/>
                <w:color w:val="000000"/>
                <w:sz w:val="18"/>
                <w:szCs w:val="18"/>
              </w:rPr>
              <w:t xml:space="preserve"> Individual Fishing Quota</w:t>
            </w:r>
            <w:r w:rsidRPr="001B16EB">
              <w:rPr>
                <w:rFonts w:ascii="Times New Roman" w:hAnsi="Times New Roman" w:cs="Times New Roman"/>
                <w:color w:val="000000"/>
                <w:sz w:val="18"/>
                <w:szCs w:val="18"/>
              </w:rPr>
              <w:t xml:space="preserve"> Program</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NOAA4300</w:t>
            </w:r>
          </w:p>
        </w:tc>
      </w:tr>
      <w:tr w:rsidR="00EE7615" w:rsidRPr="001B16EB" w:rsidTr="00783051">
        <w:trPr>
          <w:cantSplit/>
          <w:trHeight w:val="431"/>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0648-0565</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A</w:t>
            </w:r>
            <w:r w:rsidR="007D66B3" w:rsidRPr="001B16EB">
              <w:rPr>
                <w:rFonts w:ascii="Times New Roman" w:hAnsi="Times New Roman" w:cs="Times New Roman"/>
                <w:color w:val="000000"/>
                <w:sz w:val="18"/>
                <w:szCs w:val="18"/>
              </w:rPr>
              <w:t>mendment 80 Permits and Reports</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NOAA4700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0648-0569</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Alaska Individual Fishing Quota Temporary Transfers</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NOAA4700</w:t>
            </w:r>
          </w:p>
        </w:tc>
      </w:tr>
      <w:tr w:rsidR="00EE7615" w:rsidRPr="001B16EB" w:rsidTr="00783051">
        <w:trPr>
          <w:cantSplit/>
          <w:trHeight w:val="467"/>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0648-0577</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 xml:space="preserve">Non-Commercial Permit and Reporting Requirements in the Main Hawaiian Islands </w:t>
            </w:r>
            <w:proofErr w:type="spellStart"/>
            <w:r w:rsidRPr="001B16EB">
              <w:rPr>
                <w:rFonts w:ascii="Times New Roman" w:hAnsi="Times New Roman" w:cs="Times New Roman"/>
                <w:color w:val="000000"/>
                <w:sz w:val="18"/>
                <w:szCs w:val="18"/>
              </w:rPr>
              <w:t>Bottomfish</w:t>
            </w:r>
            <w:proofErr w:type="spellEnd"/>
            <w:r w:rsidRPr="001B16EB">
              <w:rPr>
                <w:rFonts w:ascii="Times New Roman" w:hAnsi="Times New Roman" w:cs="Times New Roman"/>
                <w:color w:val="000000"/>
                <w:sz w:val="18"/>
                <w:szCs w:val="18"/>
              </w:rPr>
              <w:t xml:space="preserve"> Fishery</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0648-0578</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National Saltwater Angler Registry and State Exemption Program</w:t>
            </w:r>
          </w:p>
        </w:tc>
        <w:tc>
          <w:tcPr>
            <w:tcW w:w="1194" w:type="dxa"/>
          </w:tcPr>
          <w:p w:rsidR="00EE7615" w:rsidRPr="001B16EB" w:rsidRDefault="00602998"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NOAA4020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0648-0586</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Permitting, Vessel Identification, and Reporting Requirements for Deepwater Shrimp Fisheries in the Western Pacific Region</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NOAA4010</w:t>
            </w:r>
          </w:p>
        </w:tc>
      </w:tr>
      <w:tr w:rsidR="00EE7615" w:rsidRPr="001B16EB" w:rsidTr="00783051">
        <w:trPr>
          <w:cantSplit/>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0648-0589</w:t>
            </w:r>
          </w:p>
        </w:tc>
        <w:tc>
          <w:tcPr>
            <w:tcW w:w="6996"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Permitting, Vessel Identification and Reporting Requirements for the Pelagic Squid Jig Fishery in the Western Pacific Region</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NOAA4010</w:t>
            </w:r>
          </w:p>
        </w:tc>
      </w:tr>
      <w:tr w:rsidR="00EE7615" w:rsidRPr="001B16EB" w:rsidTr="00783051">
        <w:trPr>
          <w:cantSplit/>
          <w:trHeight w:val="287"/>
        </w:trPr>
        <w:tc>
          <w:tcPr>
            <w:tcW w:w="1128" w:type="dxa"/>
          </w:tcPr>
          <w:p w:rsidR="00EE7615" w:rsidRPr="001B16EB" w:rsidRDefault="00EE7615" w:rsidP="00FF48A1">
            <w:pPr>
              <w:rPr>
                <w:rFonts w:ascii="Times New Roman" w:hAnsi="Times New Roman" w:cs="Times New Roman"/>
                <w:sz w:val="18"/>
                <w:szCs w:val="18"/>
              </w:rPr>
            </w:pPr>
            <w:r w:rsidRPr="001B16EB">
              <w:rPr>
                <w:rFonts w:ascii="Times New Roman" w:hAnsi="Times New Roman" w:cs="Times New Roman"/>
                <w:sz w:val="18"/>
                <w:szCs w:val="18"/>
              </w:rPr>
              <w:t>0648-0595</w:t>
            </w:r>
          </w:p>
        </w:tc>
        <w:tc>
          <w:tcPr>
            <w:tcW w:w="6996" w:type="dxa"/>
          </w:tcPr>
          <w:p w:rsidR="00EE7615" w:rsidRPr="001B16EB" w:rsidRDefault="00EE7615" w:rsidP="001B16EB">
            <w:pPr>
              <w:rPr>
                <w:rFonts w:ascii="Times New Roman" w:hAnsi="Times New Roman" w:cs="Times New Roman"/>
                <w:sz w:val="18"/>
                <w:szCs w:val="18"/>
              </w:rPr>
            </w:pPr>
            <w:r w:rsidRPr="001B16EB">
              <w:rPr>
                <w:rFonts w:ascii="Times New Roman" w:hAnsi="Times New Roman" w:cs="Times New Roman"/>
                <w:sz w:val="18"/>
                <w:szCs w:val="18"/>
              </w:rPr>
              <w:t>W</w:t>
            </w:r>
            <w:r w:rsidR="00ED0FB2" w:rsidRPr="001B16EB">
              <w:rPr>
                <w:rFonts w:ascii="Times New Roman" w:hAnsi="Times New Roman" w:cs="Times New Roman"/>
                <w:sz w:val="18"/>
                <w:szCs w:val="18"/>
              </w:rPr>
              <w:t>estern</w:t>
            </w:r>
            <w:r w:rsidR="001B16EB" w:rsidRPr="001B16EB">
              <w:rPr>
                <w:rFonts w:ascii="Times New Roman" w:hAnsi="Times New Roman" w:cs="Times New Roman"/>
                <w:sz w:val="18"/>
                <w:szCs w:val="18"/>
              </w:rPr>
              <w:t xml:space="preserve"> and Central Pacific Fisheries Convention</w:t>
            </w:r>
            <w:r w:rsidRPr="001B16EB">
              <w:rPr>
                <w:rFonts w:ascii="Times New Roman" w:hAnsi="Times New Roman" w:cs="Times New Roman"/>
                <w:sz w:val="18"/>
                <w:szCs w:val="18"/>
              </w:rPr>
              <w:t xml:space="preserve"> Ves</w:t>
            </w:r>
            <w:r w:rsidR="007D66B3" w:rsidRPr="001B16EB">
              <w:rPr>
                <w:rFonts w:ascii="Times New Roman" w:hAnsi="Times New Roman" w:cs="Times New Roman"/>
                <w:sz w:val="18"/>
                <w:szCs w:val="18"/>
              </w:rPr>
              <w:t>sel Information Family of Forms</w:t>
            </w:r>
          </w:p>
        </w:tc>
        <w:tc>
          <w:tcPr>
            <w:tcW w:w="1194" w:type="dxa"/>
          </w:tcPr>
          <w:p w:rsidR="00EE7615" w:rsidRPr="001B16EB" w:rsidRDefault="00EE7615"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NOAA4010</w:t>
            </w:r>
          </w:p>
        </w:tc>
      </w:tr>
      <w:tr w:rsidR="00D708B3" w:rsidRPr="001B16EB" w:rsidTr="00783051">
        <w:trPr>
          <w:cantSplit/>
          <w:trHeight w:val="278"/>
        </w:trPr>
        <w:tc>
          <w:tcPr>
            <w:tcW w:w="1128" w:type="dxa"/>
          </w:tcPr>
          <w:p w:rsidR="00D708B3" w:rsidRPr="001B16EB" w:rsidRDefault="00D708B3" w:rsidP="00C270A3">
            <w:pPr>
              <w:rPr>
                <w:rFonts w:ascii="Times New Roman" w:hAnsi="Times New Roman" w:cs="Times New Roman"/>
                <w:sz w:val="18"/>
                <w:szCs w:val="18"/>
              </w:rPr>
            </w:pPr>
            <w:r w:rsidRPr="001B16EB">
              <w:rPr>
                <w:rFonts w:ascii="Times New Roman" w:hAnsi="Times New Roman" w:cs="Times New Roman"/>
                <w:sz w:val="18"/>
                <w:szCs w:val="18"/>
              </w:rPr>
              <w:t>0648-0620</w:t>
            </w:r>
          </w:p>
        </w:tc>
        <w:tc>
          <w:tcPr>
            <w:tcW w:w="6996" w:type="dxa"/>
          </w:tcPr>
          <w:p w:rsidR="00D708B3" w:rsidRPr="001B16EB" w:rsidRDefault="00D708B3" w:rsidP="00C270A3">
            <w:pPr>
              <w:rPr>
                <w:rFonts w:ascii="Times New Roman" w:hAnsi="Times New Roman" w:cs="Times New Roman"/>
                <w:sz w:val="18"/>
                <w:szCs w:val="18"/>
              </w:rPr>
            </w:pPr>
            <w:r w:rsidRPr="001B16EB">
              <w:rPr>
                <w:rFonts w:ascii="Times New Roman" w:hAnsi="Times New Roman" w:cs="Times New Roman"/>
                <w:sz w:val="18"/>
                <w:szCs w:val="18"/>
              </w:rPr>
              <w:t xml:space="preserve">Pacific Coast </w:t>
            </w:r>
            <w:proofErr w:type="spellStart"/>
            <w:r w:rsidRPr="001B16EB">
              <w:rPr>
                <w:rFonts w:ascii="Times New Roman" w:hAnsi="Times New Roman" w:cs="Times New Roman"/>
                <w:sz w:val="18"/>
                <w:szCs w:val="18"/>
              </w:rPr>
              <w:t>Groundfish</w:t>
            </w:r>
            <w:proofErr w:type="spellEnd"/>
            <w:r w:rsidRPr="001B16EB">
              <w:rPr>
                <w:rFonts w:ascii="Times New Roman" w:hAnsi="Times New Roman" w:cs="Times New Roman"/>
                <w:sz w:val="18"/>
                <w:szCs w:val="18"/>
              </w:rPr>
              <w:t xml:space="preserve"> Trawl Rationalization Program Rule Permit and License Information Collection</w:t>
            </w:r>
          </w:p>
        </w:tc>
        <w:tc>
          <w:tcPr>
            <w:tcW w:w="1194" w:type="dxa"/>
          </w:tcPr>
          <w:p w:rsidR="00D708B3" w:rsidRPr="001B16EB" w:rsidRDefault="00D708B3" w:rsidP="00C270A3">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NOAA4600</w:t>
            </w:r>
          </w:p>
        </w:tc>
      </w:tr>
      <w:tr w:rsidR="00D708B3" w:rsidRPr="001B16EB" w:rsidTr="00783051">
        <w:trPr>
          <w:cantSplit/>
          <w:trHeight w:val="278"/>
        </w:trPr>
        <w:tc>
          <w:tcPr>
            <w:tcW w:w="1128"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0648-0664</w:t>
            </w:r>
          </w:p>
        </w:tc>
        <w:tc>
          <w:tcPr>
            <w:tcW w:w="6996"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Permit and Reporting Requirements for Non-Commercial Fishing in the Rose Atoll, Marianas Trench and Pacific Remote Islands Marine National Monuments</w:t>
            </w:r>
          </w:p>
        </w:tc>
        <w:tc>
          <w:tcPr>
            <w:tcW w:w="1194" w:type="dxa"/>
          </w:tcPr>
          <w:p w:rsidR="00D708B3" w:rsidRPr="001B16EB" w:rsidRDefault="00D708B3"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NOAA4010</w:t>
            </w:r>
          </w:p>
        </w:tc>
      </w:tr>
      <w:tr w:rsidR="00D708B3" w:rsidRPr="001B16EB" w:rsidTr="00783051">
        <w:trPr>
          <w:cantSplit/>
          <w:trHeight w:val="278"/>
        </w:trPr>
        <w:tc>
          <w:tcPr>
            <w:tcW w:w="1128"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0648-0665</w:t>
            </w:r>
          </w:p>
        </w:tc>
        <w:tc>
          <w:tcPr>
            <w:tcW w:w="6996"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Alaska Community Quota Entity (CQE) Program</w:t>
            </w:r>
          </w:p>
        </w:tc>
        <w:tc>
          <w:tcPr>
            <w:tcW w:w="1194" w:type="dxa"/>
          </w:tcPr>
          <w:p w:rsidR="00D708B3" w:rsidRPr="001B16EB" w:rsidRDefault="00D708B3"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NOAA4700</w:t>
            </w:r>
          </w:p>
        </w:tc>
      </w:tr>
      <w:tr w:rsidR="00D708B3" w:rsidRPr="001B16EB" w:rsidTr="00783051">
        <w:trPr>
          <w:cantSplit/>
          <w:trHeight w:val="278"/>
        </w:trPr>
        <w:tc>
          <w:tcPr>
            <w:tcW w:w="1128"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0648-0673</w:t>
            </w:r>
          </w:p>
        </w:tc>
        <w:tc>
          <w:tcPr>
            <w:tcW w:w="6996"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American Lobster Limited Entry Program and an Individual Trap Transfer (ITTP) Program</w:t>
            </w:r>
          </w:p>
        </w:tc>
        <w:tc>
          <w:tcPr>
            <w:tcW w:w="1194" w:type="dxa"/>
          </w:tcPr>
          <w:p w:rsidR="00D708B3" w:rsidRPr="001B16EB" w:rsidRDefault="00D708B3" w:rsidP="00C270A3">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NOAA4100</w:t>
            </w:r>
          </w:p>
        </w:tc>
      </w:tr>
      <w:tr w:rsidR="00D708B3" w:rsidRPr="001B16EB" w:rsidTr="00783051">
        <w:trPr>
          <w:cantSplit/>
          <w:trHeight w:val="278"/>
        </w:trPr>
        <w:tc>
          <w:tcPr>
            <w:tcW w:w="1128" w:type="dxa"/>
          </w:tcPr>
          <w:p w:rsidR="00D708B3" w:rsidRPr="001B16EB" w:rsidRDefault="00D708B3" w:rsidP="00D708B3">
            <w:pPr>
              <w:rPr>
                <w:rFonts w:ascii="Times New Roman" w:hAnsi="Times New Roman" w:cs="Times New Roman"/>
                <w:sz w:val="18"/>
                <w:szCs w:val="18"/>
              </w:rPr>
            </w:pPr>
            <w:r w:rsidRPr="001B16EB">
              <w:rPr>
                <w:rFonts w:ascii="Times New Roman" w:hAnsi="Times New Roman" w:cs="Times New Roman"/>
                <w:sz w:val="18"/>
                <w:szCs w:val="18"/>
              </w:rPr>
              <w:t>0648-0674</w:t>
            </w:r>
          </w:p>
        </w:tc>
        <w:tc>
          <w:tcPr>
            <w:tcW w:w="6996" w:type="dxa"/>
          </w:tcPr>
          <w:p w:rsidR="00D708B3" w:rsidRPr="001B16EB" w:rsidRDefault="00D708B3" w:rsidP="00FF48A1">
            <w:pPr>
              <w:rPr>
                <w:rFonts w:ascii="Times New Roman" w:hAnsi="Times New Roman" w:cs="Times New Roman"/>
                <w:sz w:val="18"/>
                <w:szCs w:val="18"/>
              </w:rPr>
            </w:pPr>
            <w:r w:rsidRPr="001B16EB">
              <w:rPr>
                <w:rFonts w:ascii="Times New Roman" w:hAnsi="Times New Roman" w:cs="Times New Roman"/>
                <w:sz w:val="18"/>
                <w:szCs w:val="18"/>
              </w:rPr>
              <w:t>Atlantic Herring Amendment 5 Data Collection</w:t>
            </w:r>
          </w:p>
        </w:tc>
        <w:tc>
          <w:tcPr>
            <w:tcW w:w="1194" w:type="dxa"/>
          </w:tcPr>
          <w:p w:rsidR="00D708B3" w:rsidRPr="001B16EB" w:rsidRDefault="00D708B3" w:rsidP="00FF48A1">
            <w:pPr>
              <w:rPr>
                <w:rFonts w:ascii="Times New Roman" w:hAnsi="Times New Roman" w:cs="Times New Roman"/>
                <w:color w:val="000000"/>
                <w:sz w:val="18"/>
                <w:szCs w:val="18"/>
              </w:rPr>
            </w:pPr>
            <w:r w:rsidRPr="001B16EB">
              <w:rPr>
                <w:rFonts w:ascii="Times New Roman" w:hAnsi="Times New Roman" w:cs="Times New Roman"/>
                <w:color w:val="000000"/>
                <w:sz w:val="18"/>
                <w:szCs w:val="18"/>
              </w:rPr>
              <w:t>NOAA4100</w:t>
            </w:r>
          </w:p>
        </w:tc>
      </w:tr>
    </w:tbl>
    <w:p w:rsidR="00A579AB" w:rsidRPr="00783051" w:rsidRDefault="00A579AB" w:rsidP="00A579AB">
      <w:pPr>
        <w:spacing w:after="0"/>
        <w:rPr>
          <w:rFonts w:ascii="Times New Roman" w:hAnsi="Times New Roman" w:cs="Times New Roman"/>
          <w:b/>
          <w:sz w:val="24"/>
          <w:szCs w:val="24"/>
          <w:u w:val="single"/>
        </w:rPr>
      </w:pPr>
    </w:p>
    <w:p w:rsidR="001B16EB" w:rsidRDefault="001B16EB" w:rsidP="00A579AB">
      <w:pPr>
        <w:spacing w:after="0"/>
        <w:rPr>
          <w:rFonts w:ascii="Times New Roman" w:hAnsi="Times New Roman" w:cs="Times New Roman"/>
          <w:b/>
          <w:sz w:val="24"/>
          <w:szCs w:val="24"/>
          <w:u w:val="single"/>
        </w:rPr>
      </w:pPr>
    </w:p>
    <w:p w:rsidR="001B16EB" w:rsidRDefault="001B16EB" w:rsidP="00A579AB">
      <w:pPr>
        <w:spacing w:after="0"/>
        <w:rPr>
          <w:rFonts w:ascii="Times New Roman" w:hAnsi="Times New Roman" w:cs="Times New Roman"/>
          <w:b/>
          <w:sz w:val="24"/>
          <w:szCs w:val="24"/>
          <w:u w:val="single"/>
        </w:rPr>
      </w:pPr>
    </w:p>
    <w:p w:rsidR="001B16EB" w:rsidRDefault="001B16E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21625" w:rsidRPr="00B02653" w:rsidRDefault="00A579AB" w:rsidP="00A579AB">
      <w:pPr>
        <w:spacing w:after="0"/>
        <w:rPr>
          <w:rFonts w:ascii="Times New Roman" w:hAnsi="Times New Roman" w:cs="Times New Roman"/>
          <w:b/>
          <w:sz w:val="24"/>
          <w:szCs w:val="24"/>
        </w:rPr>
      </w:pPr>
      <w:r w:rsidRPr="00B02653">
        <w:rPr>
          <w:rFonts w:ascii="Times New Roman" w:hAnsi="Times New Roman" w:cs="Times New Roman"/>
          <w:b/>
          <w:sz w:val="24"/>
          <w:szCs w:val="24"/>
          <w:u w:val="single"/>
        </w:rPr>
        <w:t>Introduction</w:t>
      </w:r>
      <w:r w:rsidRPr="00B02653">
        <w:rPr>
          <w:rFonts w:ascii="Times New Roman" w:hAnsi="Times New Roman" w:cs="Times New Roman"/>
          <w:b/>
          <w:sz w:val="24"/>
          <w:szCs w:val="24"/>
        </w:rPr>
        <w:t xml:space="preserve">:  </w:t>
      </w:r>
      <w:r w:rsidR="0069644F" w:rsidRPr="00B02653">
        <w:rPr>
          <w:rFonts w:ascii="Times New Roman" w:hAnsi="Times New Roman" w:cs="Times New Roman"/>
          <w:b/>
          <w:sz w:val="24"/>
          <w:szCs w:val="24"/>
        </w:rPr>
        <w:t xml:space="preserve">System </w:t>
      </w:r>
      <w:r w:rsidRPr="00B02653">
        <w:rPr>
          <w:rFonts w:ascii="Times New Roman" w:hAnsi="Times New Roman" w:cs="Times New Roman"/>
          <w:b/>
          <w:sz w:val="24"/>
          <w:szCs w:val="24"/>
        </w:rPr>
        <w:t>Description</w:t>
      </w:r>
    </w:p>
    <w:p w:rsidR="00A579AB" w:rsidRPr="00B02653" w:rsidRDefault="00A579AB" w:rsidP="00A579AB">
      <w:pPr>
        <w:spacing w:after="0"/>
        <w:rPr>
          <w:rFonts w:ascii="Times New Roman" w:hAnsi="Times New Roman" w:cs="Times New Roman"/>
          <w:b/>
          <w:sz w:val="24"/>
          <w:szCs w:val="24"/>
        </w:rPr>
      </w:pPr>
    </w:p>
    <w:p w:rsidR="00EB1AED" w:rsidRPr="00EB1AED" w:rsidRDefault="00FF48A1" w:rsidP="00EB1AED">
      <w:pPr>
        <w:autoSpaceDE w:val="0"/>
        <w:autoSpaceDN w:val="0"/>
        <w:adjustRightInd w:val="0"/>
        <w:spacing w:after="0" w:line="240" w:lineRule="auto"/>
        <w:rPr>
          <w:rFonts w:ascii="Times New Roman" w:hAnsi="Times New Roman" w:cs="Times New Roman"/>
          <w:sz w:val="24"/>
          <w:szCs w:val="24"/>
        </w:rPr>
      </w:pPr>
      <w:r w:rsidRPr="00B02653">
        <w:rPr>
          <w:rFonts w:ascii="Times New Roman" w:hAnsi="Times New Roman" w:cs="Times New Roman"/>
          <w:sz w:val="24"/>
          <w:szCs w:val="24"/>
        </w:rPr>
        <w:t xml:space="preserve">In order to manage U.S. fisheries, the </w:t>
      </w:r>
      <w:hyperlink r:id="rId12" w:history="1">
        <w:r w:rsidRPr="00B02653">
          <w:rPr>
            <w:rStyle w:val="Hyperlink"/>
            <w:rFonts w:ascii="Times New Roman" w:hAnsi="Times New Roman" w:cs="Times New Roman"/>
            <w:sz w:val="24"/>
            <w:szCs w:val="24"/>
          </w:rPr>
          <w:t>NOAA National Marine Fisheries Service</w:t>
        </w:r>
      </w:hyperlink>
      <w:r w:rsidRPr="00B02653">
        <w:rPr>
          <w:rFonts w:ascii="Times New Roman" w:hAnsi="Times New Roman" w:cs="Times New Roman"/>
          <w:sz w:val="24"/>
          <w:szCs w:val="24"/>
        </w:rPr>
        <w:t xml:space="preserve"> (NMFS) requires the use of permits or registrations by participants in the United States.  Applications for permits and registrations are collected from individuals under the authority of the Magnuson-Stevens Fishery Conservation and Management Act, the High Seas Fishing Compliance Act, the American Fisheries Act, the Tuna Conventions Act of 1950, the Atlantic Coastal Fisheries Cooperative Management Act, the </w:t>
      </w:r>
      <w:r w:rsidRPr="00B02653">
        <w:rPr>
          <w:rStyle w:val="s1"/>
          <w:rFonts w:ascii="Times New Roman" w:hAnsi="Times New Roman" w:cs="Times New Roman"/>
          <w:sz w:val="24"/>
          <w:szCs w:val="24"/>
        </w:rPr>
        <w:t>Atlantic Tunas Convention Authorization Act</w:t>
      </w:r>
      <w:r w:rsidRPr="00B02653">
        <w:rPr>
          <w:rFonts w:ascii="Times New Roman" w:hAnsi="Times New Roman" w:cs="Times New Roman"/>
          <w:sz w:val="24"/>
          <w:szCs w:val="24"/>
        </w:rPr>
        <w:t xml:space="preserve">, the Northern Pacific Halibut Act, the Antarctic Marine Living Resources Convention Act, the Western and Central Pacific Fisheries Convention Implementation Act (WCPFCIA; 16 U.S.C. 6901 </w:t>
      </w:r>
      <w:r w:rsidRPr="00B02653">
        <w:rPr>
          <w:rFonts w:ascii="Times New Roman" w:hAnsi="Times New Roman" w:cs="Times New Roman"/>
          <w:sz w:val="24"/>
          <w:szCs w:val="24"/>
          <w:u w:val="single"/>
        </w:rPr>
        <w:t xml:space="preserve">et </w:t>
      </w:r>
      <w:proofErr w:type="spellStart"/>
      <w:r w:rsidRPr="00B02653">
        <w:rPr>
          <w:rFonts w:ascii="Times New Roman" w:hAnsi="Times New Roman" w:cs="Times New Roman"/>
          <w:sz w:val="24"/>
          <w:szCs w:val="24"/>
          <w:u w:val="single"/>
        </w:rPr>
        <w:t>seq</w:t>
      </w:r>
      <w:proofErr w:type="spellEnd"/>
      <w:r w:rsidRPr="00B02653">
        <w:rPr>
          <w:rFonts w:ascii="Times New Roman" w:hAnsi="Times New Roman" w:cs="Times New Roman"/>
          <w:sz w:val="24"/>
          <w:szCs w:val="24"/>
          <w:u w:val="single"/>
        </w:rPr>
        <w:t>)</w:t>
      </w:r>
      <w:r w:rsidRPr="00B02653">
        <w:rPr>
          <w:rFonts w:ascii="Times New Roman" w:hAnsi="Times New Roman" w:cs="Times New Roman"/>
          <w:sz w:val="24"/>
          <w:szCs w:val="24"/>
        </w:rPr>
        <w:t xml:space="preserve">, international fisheries regulations regarding U.S. Vessels Fishing </w:t>
      </w:r>
      <w:r w:rsidR="00FD4E8A" w:rsidRPr="00B02653">
        <w:rPr>
          <w:rFonts w:ascii="Times New Roman" w:hAnsi="Times New Roman" w:cs="Times New Roman"/>
          <w:sz w:val="24"/>
          <w:szCs w:val="24"/>
        </w:rPr>
        <w:t xml:space="preserve">in Colombian Treaty Waters, </w:t>
      </w:r>
      <w:r w:rsidRPr="00B02653">
        <w:rPr>
          <w:rFonts w:ascii="Times New Roman" w:hAnsi="Times New Roman" w:cs="Times New Roman"/>
          <w:sz w:val="24"/>
          <w:szCs w:val="24"/>
        </w:rPr>
        <w:t>the Marine Mammal Protection Act</w:t>
      </w:r>
      <w:r w:rsidR="00FD4E8A" w:rsidRPr="00B02653">
        <w:rPr>
          <w:rFonts w:ascii="Times New Roman" w:hAnsi="Times New Roman" w:cs="Times New Roman"/>
          <w:sz w:val="24"/>
          <w:szCs w:val="24"/>
        </w:rPr>
        <w:t>, the Endangered Species Act and the Fur Seal Act</w:t>
      </w:r>
      <w:r w:rsidRPr="00B02653">
        <w:rPr>
          <w:rFonts w:ascii="Times New Roman" w:hAnsi="Times New Roman" w:cs="Times New Roman"/>
          <w:sz w:val="24"/>
          <w:szCs w:val="24"/>
        </w:rPr>
        <w:t xml:space="preserve">. </w:t>
      </w:r>
      <w:r w:rsidRPr="00EB1AED">
        <w:rPr>
          <w:rFonts w:ascii="Times New Roman" w:hAnsi="Times New Roman" w:cs="Times New Roman"/>
          <w:sz w:val="24"/>
          <w:szCs w:val="24"/>
        </w:rPr>
        <w:t xml:space="preserve"> </w:t>
      </w:r>
      <w:r w:rsidR="00EB1AED" w:rsidRPr="00EB1AED">
        <w:rPr>
          <w:rFonts w:ascii="Times New Roman" w:hAnsi="Times New Roman" w:cs="Times New Roman"/>
          <w:sz w:val="24"/>
          <w:szCs w:val="24"/>
        </w:rPr>
        <w:t xml:space="preserve">The authority for the mandatory collection of the Tax Identification Number (Employer Identification Number or Social Security Number) is 31 U.S.C. 7701. </w:t>
      </w:r>
      <w:r w:rsidR="00EB1AED">
        <w:rPr>
          <w:rFonts w:ascii="Times New Roman" w:hAnsi="Times New Roman" w:cs="Times New Roman"/>
          <w:sz w:val="24"/>
          <w:szCs w:val="24"/>
        </w:rPr>
        <w:br/>
      </w:r>
    </w:p>
    <w:p w:rsidR="00FF48A1" w:rsidRPr="00B02653" w:rsidRDefault="00C356F8" w:rsidP="00FF48A1">
      <w:pPr>
        <w:rPr>
          <w:rFonts w:ascii="Times New Roman" w:hAnsi="Times New Roman" w:cs="Times New Roman"/>
          <w:sz w:val="24"/>
          <w:szCs w:val="24"/>
        </w:rPr>
      </w:pPr>
      <w:r w:rsidRPr="00B02653">
        <w:rPr>
          <w:rFonts w:ascii="Times New Roman" w:hAnsi="Times New Roman" w:cs="Times New Roman"/>
          <w:sz w:val="24"/>
          <w:szCs w:val="24"/>
        </w:rPr>
        <w:t>NMFS</w:t>
      </w:r>
      <w:r w:rsidR="00FF48A1" w:rsidRPr="00B02653">
        <w:rPr>
          <w:rFonts w:ascii="Times New Roman" w:hAnsi="Times New Roman" w:cs="Times New Roman"/>
          <w:sz w:val="24"/>
          <w:szCs w:val="24"/>
        </w:rPr>
        <w:t xml:space="preserve"> has established the National Permits System (NPS) to accept and maintain all Sustainable Fisheries permit applications and related data.  All regional and other program systems are either housed within this system, with mirror sites available at the region/program sites (Southwest Region and Pacific Islands Region), are in the process of being linked with NPS or have</w:t>
      </w:r>
      <w:r w:rsidR="00F328E0">
        <w:rPr>
          <w:rFonts w:ascii="Times New Roman" w:hAnsi="Times New Roman" w:cs="Times New Roman"/>
          <w:sz w:val="24"/>
          <w:szCs w:val="24"/>
        </w:rPr>
        <w:t>,</w:t>
      </w:r>
      <w:r w:rsidR="00FF48A1" w:rsidRPr="00B02653">
        <w:rPr>
          <w:rFonts w:ascii="Times New Roman" w:hAnsi="Times New Roman" w:cs="Times New Roman"/>
          <w:sz w:val="24"/>
          <w:szCs w:val="24"/>
        </w:rPr>
        <w:t xml:space="preserve"> or are developing</w:t>
      </w:r>
      <w:r w:rsidR="00F328E0">
        <w:rPr>
          <w:rFonts w:ascii="Times New Roman" w:hAnsi="Times New Roman" w:cs="Times New Roman"/>
          <w:sz w:val="24"/>
          <w:szCs w:val="24"/>
        </w:rPr>
        <w:t>,</w:t>
      </w:r>
      <w:r w:rsidR="00FF48A1" w:rsidRPr="00B02653">
        <w:rPr>
          <w:rFonts w:ascii="Times New Roman" w:hAnsi="Times New Roman" w:cs="Times New Roman"/>
          <w:sz w:val="24"/>
          <w:szCs w:val="24"/>
        </w:rPr>
        <w:t xml:space="preserve"> parallel applications.</w:t>
      </w:r>
      <w:r w:rsidRPr="00B02653">
        <w:rPr>
          <w:rFonts w:ascii="Times New Roman" w:hAnsi="Times New Roman" w:cs="Times New Roman"/>
          <w:sz w:val="24"/>
          <w:szCs w:val="24"/>
        </w:rPr>
        <w:t xml:space="preserve">  Research</w:t>
      </w:r>
      <w:r w:rsidR="00A220A4">
        <w:rPr>
          <w:rFonts w:ascii="Times New Roman" w:hAnsi="Times New Roman" w:cs="Times New Roman"/>
          <w:sz w:val="24"/>
          <w:szCs w:val="24"/>
        </w:rPr>
        <w:t xml:space="preserve"> permit</w:t>
      </w:r>
      <w:r w:rsidRPr="00B02653">
        <w:rPr>
          <w:rFonts w:ascii="Times New Roman" w:hAnsi="Times New Roman" w:cs="Times New Roman"/>
          <w:sz w:val="24"/>
          <w:szCs w:val="24"/>
        </w:rPr>
        <w:t xml:space="preserve"> application data is mainly housed within NOAA4</w:t>
      </w:r>
      <w:r w:rsidR="00783051">
        <w:rPr>
          <w:rFonts w:ascii="Times New Roman" w:hAnsi="Times New Roman" w:cs="Times New Roman"/>
          <w:sz w:val="24"/>
          <w:szCs w:val="24"/>
        </w:rPr>
        <w:t>5</w:t>
      </w:r>
      <w:r w:rsidRPr="00B02653">
        <w:rPr>
          <w:rFonts w:ascii="Times New Roman" w:hAnsi="Times New Roman" w:cs="Times New Roman"/>
          <w:sz w:val="24"/>
          <w:szCs w:val="24"/>
        </w:rPr>
        <w:t>00</w:t>
      </w:r>
      <w:r w:rsidR="00F35198" w:rsidRPr="00B02653">
        <w:rPr>
          <w:rFonts w:ascii="Times New Roman" w:hAnsi="Times New Roman" w:cs="Times New Roman"/>
          <w:sz w:val="24"/>
          <w:szCs w:val="24"/>
        </w:rPr>
        <w:t>, the Seattle, WA Local Area Network.</w:t>
      </w:r>
    </w:p>
    <w:p w:rsidR="00F84136" w:rsidRPr="00F84136" w:rsidRDefault="00FF48A1" w:rsidP="00F84136">
      <w:pPr>
        <w:pStyle w:val="Default"/>
        <w:rPr>
          <w:color w:val="auto"/>
        </w:rPr>
      </w:pPr>
      <w:r w:rsidRPr="00B02653">
        <w:t>Information in the system</w:t>
      </w:r>
      <w:r w:rsidR="00EB1AED">
        <w:t>s</w:t>
      </w:r>
      <w:r w:rsidRPr="00B02653">
        <w:t xml:space="preserve"> consists of contents of permit applications and related documents such </w:t>
      </w:r>
      <w:r w:rsidR="00A55477" w:rsidRPr="00B02653">
        <w:t>as permit transfers and</w:t>
      </w:r>
      <w:r w:rsidRPr="00B02653">
        <w:t xml:space="preserve"> percentage of ownership </w:t>
      </w:r>
      <w:r w:rsidR="00A55477" w:rsidRPr="00B02653">
        <w:t>in a corporation</w:t>
      </w:r>
      <w:r w:rsidRPr="00B02653">
        <w:t>. A typical transaction is an initial or renewal permit application: the permit holder or applicant completes an application downloaded from the applicable NMFS Web site or obtained through the NPS, submits it to the applicable office along with any required supporting documentation and/or required fee payment, and receives a new permit.</w:t>
      </w:r>
      <w:r w:rsidR="00F84136">
        <w:t xml:space="preserve"> For permit transfers within a family</w:t>
      </w:r>
      <w:r w:rsidR="00F84136" w:rsidRPr="00F84136">
        <w:t>, marriage certificates, divorce decrees, and/or death certificates may be required.</w:t>
      </w:r>
      <w:r w:rsidR="00F84136">
        <w:br/>
      </w:r>
    </w:p>
    <w:p w:rsidR="00F328E0" w:rsidRPr="00B02653" w:rsidRDefault="00F328E0" w:rsidP="00FF48A1">
      <w:pPr>
        <w:rPr>
          <w:rFonts w:ascii="Times New Roman" w:hAnsi="Times New Roman" w:cs="Times New Roman"/>
          <w:sz w:val="24"/>
          <w:szCs w:val="24"/>
        </w:rPr>
      </w:pPr>
      <w:r>
        <w:rPr>
          <w:rFonts w:ascii="Times New Roman" w:hAnsi="Times New Roman" w:cs="Times New Roman"/>
          <w:sz w:val="24"/>
          <w:szCs w:val="24"/>
        </w:rPr>
        <w:t>NPS, as well as other permits applications in development or in use, provide the option of online submission of permit applications and related information, via secure Web pages.</w:t>
      </w:r>
    </w:p>
    <w:p w:rsidR="00A55477" w:rsidRPr="00B02653" w:rsidRDefault="00A93C98" w:rsidP="00A93C98">
      <w:pPr>
        <w:rPr>
          <w:rFonts w:ascii="Times New Roman" w:hAnsi="Times New Roman" w:cs="Times New Roman"/>
          <w:sz w:val="24"/>
          <w:szCs w:val="24"/>
        </w:rPr>
      </w:pPr>
      <w:r w:rsidRPr="00B02653">
        <w:rPr>
          <w:rFonts w:ascii="Times New Roman" w:hAnsi="Times New Roman" w:cs="Times New Roman"/>
          <w:b/>
          <w:sz w:val="24"/>
          <w:szCs w:val="24"/>
        </w:rPr>
        <w:t>Information Sharing:</w:t>
      </w:r>
      <w:r w:rsidRPr="00B02653">
        <w:rPr>
          <w:rFonts w:ascii="Times New Roman" w:hAnsi="Times New Roman" w:cs="Times New Roman"/>
          <w:sz w:val="24"/>
          <w:szCs w:val="24"/>
        </w:rPr>
        <w:t xml:space="preserve"> </w:t>
      </w:r>
    </w:p>
    <w:p w:rsidR="00A55477" w:rsidRDefault="00A55477" w:rsidP="00A93C98">
      <w:pPr>
        <w:rPr>
          <w:rFonts w:ascii="Times New Roman" w:hAnsi="Times New Roman" w:cs="Times New Roman"/>
          <w:sz w:val="24"/>
          <w:szCs w:val="24"/>
        </w:rPr>
      </w:pPr>
      <w:r w:rsidRPr="00B02653">
        <w:rPr>
          <w:rFonts w:ascii="Times New Roman" w:hAnsi="Times New Roman" w:cs="Times New Roman"/>
          <w:sz w:val="24"/>
          <w:szCs w:val="24"/>
        </w:rPr>
        <w:t>Information is shared within NMFS offices, in order to coordinate monitoring and management of sustainability of fisheries and protected resources.</w:t>
      </w:r>
      <w:r w:rsidR="00A220A4">
        <w:rPr>
          <w:rFonts w:ascii="Times New Roman" w:hAnsi="Times New Roman" w:cs="Times New Roman"/>
          <w:sz w:val="24"/>
          <w:szCs w:val="24"/>
        </w:rPr>
        <w:t xml:space="preserve"> Sources of information include the permit applicant/holder, other NMFS offices, the U.S. Coast Guard and </w:t>
      </w:r>
      <w:r w:rsidR="00A220A4" w:rsidRPr="00A220A4">
        <w:rPr>
          <w:rFonts w:ascii="Times New Roman" w:hAnsi="Times New Roman" w:cs="Times New Roman"/>
          <w:sz w:val="24"/>
          <w:szCs w:val="24"/>
        </w:rPr>
        <w:t>State or Regional Marine Fisheries Commissions.</w:t>
      </w:r>
    </w:p>
    <w:p w:rsidR="004B2155" w:rsidRPr="004B2155" w:rsidRDefault="004B2155" w:rsidP="004B2155">
      <w:pPr>
        <w:shd w:val="clear" w:color="auto" w:fill="FFFFFF"/>
        <w:rPr>
          <w:rFonts w:ascii="Times New Roman" w:eastAsia="Times New Roman" w:hAnsi="Times New Roman" w:cs="Times New Roman"/>
          <w:color w:val="222222"/>
          <w:sz w:val="24"/>
          <w:szCs w:val="24"/>
        </w:rPr>
      </w:pPr>
      <w:r w:rsidRPr="004B2155">
        <w:rPr>
          <w:rFonts w:ascii="Times New Roman" w:eastAsia="Times New Roman" w:hAnsi="Times New Roman" w:cs="Times New Roman"/>
          <w:color w:val="222222"/>
          <w:sz w:val="24"/>
          <w:szCs w:val="24"/>
        </w:rPr>
        <w:t>NMFS may post non-sensitive permit holder, vessel-related, and/or IFQ information</w:t>
      </w:r>
      <w:r>
        <w:rPr>
          <w:rFonts w:ascii="Times New Roman" w:eastAsia="Times New Roman" w:hAnsi="Times New Roman" w:cs="Times New Roman"/>
          <w:color w:val="222222"/>
          <w:sz w:val="24"/>
          <w:szCs w:val="24"/>
        </w:rPr>
        <w:t xml:space="preserve"> for the public,</w:t>
      </w:r>
      <w:r w:rsidRPr="004B2155">
        <w:rPr>
          <w:rFonts w:ascii="Times New Roman" w:eastAsia="Times New Roman" w:hAnsi="Times New Roman" w:cs="Times New Roman"/>
          <w:color w:val="222222"/>
          <w:sz w:val="24"/>
          <w:szCs w:val="24"/>
        </w:rPr>
        <w:t xml:space="preserve"> via Web sites and Web Services, per notice given on permit applications.</w:t>
      </w:r>
    </w:p>
    <w:p w:rsidR="004B2155" w:rsidRPr="00A220A4" w:rsidRDefault="004B2155" w:rsidP="00A93C98">
      <w:pPr>
        <w:rPr>
          <w:rFonts w:ascii="Times New Roman" w:hAnsi="Times New Roman" w:cs="Times New Roman"/>
          <w:sz w:val="24"/>
          <w:szCs w:val="24"/>
        </w:rPr>
      </w:pPr>
    </w:p>
    <w:p w:rsidR="00A93C98" w:rsidRPr="00F328E0" w:rsidRDefault="00A93C98" w:rsidP="00A93C98">
      <w:pPr>
        <w:rPr>
          <w:rFonts w:ascii="Times New Roman" w:hAnsi="Times New Roman" w:cs="Times New Roman"/>
          <w:sz w:val="24"/>
          <w:szCs w:val="24"/>
        </w:rPr>
      </w:pPr>
      <w:r w:rsidRPr="00F328E0">
        <w:rPr>
          <w:rFonts w:ascii="Times New Roman" w:hAnsi="Times New Roman" w:cs="Times New Roman"/>
          <w:sz w:val="24"/>
          <w:szCs w:val="24"/>
        </w:rPr>
        <w:t>The SORNs</w:t>
      </w:r>
      <w:r w:rsidR="000B3901" w:rsidRPr="00F328E0">
        <w:rPr>
          <w:rFonts w:ascii="Times New Roman" w:hAnsi="Times New Roman" w:cs="Times New Roman"/>
          <w:sz w:val="24"/>
          <w:szCs w:val="24"/>
        </w:rPr>
        <w:t xml:space="preserve"> listed in Section 7</w:t>
      </w:r>
      <w:r w:rsidRPr="00F328E0">
        <w:rPr>
          <w:rFonts w:ascii="Times New Roman" w:hAnsi="Times New Roman" w:cs="Times New Roman"/>
          <w:sz w:val="24"/>
          <w:szCs w:val="24"/>
        </w:rPr>
        <w:t xml:space="preserve"> provide, where applicable, that the records may be shared under the following circumstances:</w:t>
      </w:r>
    </w:p>
    <w:p w:rsidR="00A93C98" w:rsidRPr="00F328E0" w:rsidRDefault="00A93C98" w:rsidP="00A93C98">
      <w:pPr>
        <w:rPr>
          <w:rFonts w:ascii="Times New Roman" w:hAnsi="Times New Roman" w:cs="Times New Roman"/>
          <w:sz w:val="24"/>
          <w:szCs w:val="24"/>
        </w:rPr>
      </w:pPr>
      <w:r w:rsidRPr="00F328E0">
        <w:rPr>
          <w:rFonts w:ascii="Times New Roman" w:hAnsi="Times New Roman" w:cs="Times New Roman"/>
          <w:sz w:val="24"/>
          <w:szCs w:val="24"/>
        </w:rPr>
        <w:t>In addition to those disclosures generally permitted under 5</w:t>
      </w:r>
      <w:r w:rsidR="0047051D" w:rsidRPr="00F328E0">
        <w:rPr>
          <w:rFonts w:ascii="Times New Roman" w:hAnsi="Times New Roman" w:cs="Times New Roman"/>
          <w:sz w:val="24"/>
          <w:szCs w:val="24"/>
        </w:rPr>
        <w:t xml:space="preserve"> U.S.C. </w:t>
      </w:r>
      <w:proofErr w:type="gramStart"/>
      <w:r w:rsidR="0047051D" w:rsidRPr="00F328E0">
        <w:rPr>
          <w:rFonts w:ascii="Times New Roman" w:hAnsi="Times New Roman" w:cs="Times New Roman"/>
          <w:sz w:val="24"/>
          <w:szCs w:val="24"/>
        </w:rPr>
        <w:t>552a(</w:t>
      </w:r>
      <w:proofErr w:type="gramEnd"/>
      <w:r w:rsidR="0047051D" w:rsidRPr="00F328E0">
        <w:rPr>
          <w:rFonts w:ascii="Times New Roman" w:hAnsi="Times New Roman" w:cs="Times New Roman"/>
          <w:sz w:val="24"/>
          <w:szCs w:val="24"/>
        </w:rPr>
        <w:t xml:space="preserve">b) of the Privacy </w:t>
      </w:r>
      <w:r w:rsidRPr="00F328E0">
        <w:rPr>
          <w:rFonts w:ascii="Times New Roman" w:hAnsi="Times New Roman" w:cs="Times New Roman"/>
          <w:sz w:val="24"/>
          <w:szCs w:val="24"/>
        </w:rPr>
        <w:t xml:space="preserve">Act, these records or information contained therein may specifically be disclosed outside the Department of Commerce (Department). These records or information contained therein may specifically be disclosed as a routine use as stated below.  The Department will, when so authorized, make the determination as to the relevancy of a record prior to its decision to disclose a document. </w:t>
      </w:r>
    </w:p>
    <w:p w:rsidR="00A93C98" w:rsidRPr="00F328E0" w:rsidRDefault="00A93C98" w:rsidP="00A93C98">
      <w:pPr>
        <w:rPr>
          <w:rFonts w:ascii="Times New Roman" w:hAnsi="Times New Roman" w:cs="Times New Roman"/>
          <w:sz w:val="24"/>
          <w:szCs w:val="24"/>
        </w:rPr>
      </w:pPr>
      <w:r w:rsidRPr="00F328E0">
        <w:rPr>
          <w:rFonts w:ascii="Times New Roman" w:hAnsi="Times New Roman" w:cs="Times New Roman"/>
          <w:sz w:val="24"/>
          <w:szCs w:val="24"/>
        </w:rPr>
        <w:tab/>
        <w:t xml:space="preserve">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rule, regulation, or order issued pursuant thereto, or protecting the interest of the Department. </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 xml:space="preserve">2.  </w:t>
      </w:r>
      <w:r w:rsidRPr="00F328E0">
        <w:rPr>
          <w:rFonts w:ascii="Times New Roman" w:hAnsi="Times New Roman" w:cs="Times New Roman"/>
          <w:sz w:val="24"/>
          <w:szCs w:val="24"/>
          <w:shd w:val="clear" w:color="auto" w:fill="FFFFFF"/>
        </w:rPr>
        <w:t>A record from this system of records may be disclosed in the course of presenting evidence to a court, magistrate, hearing officer or administrative tribunal, including disclosures to opposing counsel in the course of settlement negotiations, administrative appeals and hearings.</w:t>
      </w:r>
      <w:r w:rsidRPr="00F328E0">
        <w:rPr>
          <w:rFonts w:ascii="Times New Roman" w:hAnsi="Times New Roman" w:cs="Times New Roman"/>
          <w:sz w:val="24"/>
          <w:szCs w:val="24"/>
        </w:rPr>
        <w:tab/>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 xml:space="preserve">3.  A record in this system of records may be disclosed to a Member of Congress submitting a request involving an individual when the individual has requested assistance from the Member with respect to the subject matter of the record. </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4.  A record in this system of records may be disclosed to the Department of Justice in connection with determining whether the Freedom of Information Act (5 U.S.C. 552) requires disclosure thereof.</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5.  A record in this system will be disclosed to the Department of Treasury for the purpose of reporting and recouping delinquent debts owed the United States pursuant to the Debt Collection Improvement Act of 1996.</w:t>
      </w:r>
    </w:p>
    <w:p w:rsidR="00DE7D5D" w:rsidRPr="00F328E0" w:rsidRDefault="00A93C98" w:rsidP="00DE7D5D">
      <w:pPr>
        <w:spacing w:after="0" w:line="240" w:lineRule="auto"/>
        <w:ind w:firstLine="720"/>
        <w:rPr>
          <w:rFonts w:ascii="Times New Roman" w:hAnsi="Times New Roman" w:cs="Times New Roman"/>
          <w:sz w:val="24"/>
          <w:szCs w:val="24"/>
        </w:rPr>
      </w:pPr>
      <w:r w:rsidRPr="00F328E0">
        <w:rPr>
          <w:rFonts w:ascii="Times New Roman" w:hAnsi="Times New Roman" w:cs="Times New Roman"/>
          <w:sz w:val="24"/>
          <w:szCs w:val="24"/>
        </w:rPr>
        <w:t>6.  A record in this system may be disclosed to the Department of Homeland Security for the purposes of determining the admissibility of certain seafood imports into the United States</w:t>
      </w:r>
      <w:r w:rsidR="00DE7D5D" w:rsidRPr="00F328E0">
        <w:rPr>
          <w:rFonts w:ascii="Times New Roman" w:hAnsi="Times New Roman" w:cs="Times New Roman"/>
          <w:sz w:val="24"/>
          <w:szCs w:val="24"/>
        </w:rPr>
        <w:t xml:space="preserve"> (NOAA-19) or for the purposes of determining the admissibility of certain marine mammal or threatened or endangered species or species parts imports into the United States (NOAA-12).</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w:t>
      </w:r>
      <w:r w:rsidR="00DE7D5D" w:rsidRPr="00F328E0">
        <w:rPr>
          <w:rFonts w:ascii="Times New Roman" w:hAnsi="Times New Roman" w:cs="Times New Roman"/>
          <w:sz w:val="24"/>
          <w:szCs w:val="24"/>
        </w:rPr>
        <w:br/>
      </w:r>
      <w:r w:rsidR="00DE7D5D" w:rsidRPr="00F328E0">
        <w:rPr>
          <w:rFonts w:ascii="Times New Roman" w:hAnsi="Times New Roman" w:cs="Times New Roman"/>
          <w:sz w:val="24"/>
          <w:szCs w:val="24"/>
        </w:rPr>
        <w:tab/>
      </w:r>
      <w:r w:rsidRPr="00F328E0">
        <w:rPr>
          <w:rFonts w:ascii="Times New Roman" w:hAnsi="Times New Roman" w:cs="Times New Roman"/>
          <w:sz w:val="24"/>
          <w:szCs w:val="24"/>
        </w:rPr>
        <w:t xml:space="preserve">7.  A record in this system of records may be disclosed to a contractor of the Department </w:t>
      </w:r>
      <w:r w:rsidR="005C3D57" w:rsidRPr="005C3D57">
        <w:rPr>
          <w:rFonts w:ascii="Times New Roman" w:hAnsi="Times New Roman" w:cs="Times New Roman"/>
          <w:i/>
          <w:sz w:val="24"/>
          <w:szCs w:val="24"/>
        </w:rPr>
        <w:t>(in actuality, NOAA only)</w:t>
      </w:r>
      <w:r w:rsidR="005C3D57">
        <w:rPr>
          <w:rFonts w:ascii="Times New Roman" w:hAnsi="Times New Roman" w:cs="Times New Roman"/>
          <w:sz w:val="24"/>
          <w:szCs w:val="24"/>
        </w:rPr>
        <w:t xml:space="preserve"> </w:t>
      </w:r>
      <w:r w:rsidRPr="00F328E0">
        <w:rPr>
          <w:rFonts w:ascii="Times New Roman" w:hAnsi="Times New Roman" w:cs="Times New Roman"/>
          <w:sz w:val="24"/>
          <w:szCs w:val="24"/>
        </w:rPr>
        <w:t xml:space="preserve">having need for the information in the performance of the contract but not operating a system of records within the meaning of 5 U.S.C. </w:t>
      </w:r>
      <w:proofErr w:type="gramStart"/>
      <w:r w:rsidRPr="00F328E0">
        <w:rPr>
          <w:rFonts w:ascii="Times New Roman" w:hAnsi="Times New Roman" w:cs="Times New Roman"/>
          <w:sz w:val="24"/>
          <w:szCs w:val="24"/>
        </w:rPr>
        <w:t>552a(</w:t>
      </w:r>
      <w:proofErr w:type="gramEnd"/>
      <w:r w:rsidRPr="00F328E0">
        <w:rPr>
          <w:rFonts w:ascii="Times New Roman" w:hAnsi="Times New Roman" w:cs="Times New Roman"/>
          <w:sz w:val="24"/>
          <w:szCs w:val="24"/>
        </w:rPr>
        <w:t>m).</w:t>
      </w:r>
    </w:p>
    <w:p w:rsidR="00DE7D5D" w:rsidRPr="00F328E0" w:rsidRDefault="00DE7D5D" w:rsidP="00A93C98">
      <w:pPr>
        <w:ind w:firstLine="720"/>
        <w:rPr>
          <w:rFonts w:ascii="Times New Roman" w:hAnsi="Times New Roman" w:cs="Times New Roman"/>
          <w:sz w:val="24"/>
          <w:szCs w:val="24"/>
        </w:rPr>
      </w:pPr>
      <w:r w:rsidRPr="00F328E0">
        <w:rPr>
          <w:rFonts w:ascii="Times New Roman" w:hAnsi="Times New Roman" w:cs="Times New Roman"/>
          <w:sz w:val="24"/>
          <w:szCs w:val="24"/>
        </w:rPr>
        <w:t>(#s 8-11 apply only to NOAA-19</w:t>
      </w:r>
      <w:r w:rsidR="000B3901" w:rsidRPr="00F328E0">
        <w:rPr>
          <w:rFonts w:ascii="Times New Roman" w:hAnsi="Times New Roman" w:cs="Times New Roman"/>
          <w:sz w:val="24"/>
          <w:szCs w:val="24"/>
        </w:rPr>
        <w:t xml:space="preserve">, </w:t>
      </w:r>
      <w:r w:rsidR="000E1419" w:rsidRPr="00F328E0">
        <w:rPr>
          <w:rFonts w:ascii="Times New Roman" w:hAnsi="Times New Roman" w:cs="Times New Roman"/>
          <w:sz w:val="24"/>
          <w:szCs w:val="24"/>
        </w:rPr>
        <w:t>Permits and Registrations for United States Federally Regulated Fisheries</w:t>
      </w:r>
      <w:r w:rsidRPr="00F328E0">
        <w:rPr>
          <w:rFonts w:ascii="Times New Roman" w:hAnsi="Times New Roman" w:cs="Times New Roman"/>
          <w:sz w:val="24"/>
          <w:szCs w:val="24"/>
        </w:rPr>
        <w:t>)</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 xml:space="preserve">8.  A record in this system of records may be disclosed to </w:t>
      </w:r>
      <w:proofErr w:type="gramStart"/>
      <w:r w:rsidRPr="00F328E0">
        <w:rPr>
          <w:rFonts w:ascii="Times New Roman" w:hAnsi="Times New Roman" w:cs="Times New Roman"/>
          <w:sz w:val="24"/>
          <w:szCs w:val="24"/>
        </w:rPr>
        <w:t>approved</w:t>
      </w:r>
      <w:proofErr w:type="gramEnd"/>
      <w:r w:rsidRPr="00F328E0">
        <w:rPr>
          <w:rFonts w:ascii="Times New Roman" w:hAnsi="Times New Roman" w:cs="Times New Roman"/>
          <w:sz w:val="24"/>
          <w:szCs w:val="24"/>
        </w:rPr>
        <w:t xml:space="preserve"> persons at the state or interstate level within the applicable Marine Fisheries Commission for the purpose of co-managing a fishery or for making determinations about eligibility for permits when state data are all or part of the basis for the permits.</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9.  A record in this system of records may be disclosed to the applicable Fishery Management Council (Council) staff and contractors tasked with the development of analyses to support Council decisions about Fishery Management Programs.</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10.  A record in this system of records may be disclosed to the applicable NMFS Observer Program for purposes of identifying current permit owners and vessels and making a random assignment of observers to vessels in a given fishing season.</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11.  A record in this system of records may be disclosed to the applicable regional or international fisheries management body for the purposes of identifying current permit owners and vessels pursuant to applicable statutes or regulations and/or conservation and management measures adopted by a regional or international fisheries management body, such as: the Food and Agriculture Organization of the United Nations, Commission for the Conservation of Antarctic Marine Living Resources, Inter-American Tropical Tuna Commission, International Pacific Halibut Commission, and International Commission for the Conservation of Atlantic Tunas.</w:t>
      </w:r>
    </w:p>
    <w:p w:rsidR="00A93C98" w:rsidRPr="00F328E0" w:rsidRDefault="00A93C98" w:rsidP="00A93C98">
      <w:pPr>
        <w:ind w:firstLine="720"/>
        <w:rPr>
          <w:rFonts w:ascii="Times New Roman" w:hAnsi="Times New Roman" w:cs="Times New Roman"/>
          <w:sz w:val="24"/>
          <w:szCs w:val="24"/>
        </w:rPr>
      </w:pPr>
      <w:r w:rsidRPr="00F328E0">
        <w:rPr>
          <w:rFonts w:ascii="Times New Roman" w:hAnsi="Times New Roman" w:cs="Times New Roman"/>
          <w:sz w:val="24"/>
          <w:szCs w:val="24"/>
        </w:rPr>
        <w:t>12. Disclosure to appropriate agencies, entities, and persons when (1) it is suspected or determined that the security or confidentiality of information in the system of records has been compromised; (2) it is determined that as a result of the suspected or confirmed compromise there is a risk of harm to economic or property interests, identify theft or fraud, or harm to the security or integrity of this system or other systems or programs that rely upon the compromised information; and (3) the disclosure made to such agencies, entities, and persons is reasonably necessary to assist in connection with efforts to respond to the suspected or confirmed compromise and prevent, minimize, or remedy such harm.</w:t>
      </w:r>
    </w:p>
    <w:p w:rsidR="00466338" w:rsidRPr="00466338" w:rsidRDefault="00466338" w:rsidP="00A93C98">
      <w:pPr>
        <w:ind w:firstLine="720"/>
        <w:rPr>
          <w:rFonts w:ascii="Times New Roman" w:hAnsi="Times New Roman" w:cs="Times New Roman"/>
          <w:sz w:val="24"/>
          <w:szCs w:val="24"/>
        </w:rPr>
      </w:pPr>
      <w:r w:rsidRPr="00466338">
        <w:rPr>
          <w:rFonts w:ascii="Times New Roman" w:hAnsi="Times New Roman" w:cs="Times New Roman"/>
          <w:sz w:val="24"/>
          <w:szCs w:val="24"/>
        </w:rPr>
        <w:t>All systems in this PIA are moderate impact, except for NOAA4700, which has a PO</w:t>
      </w:r>
      <w:r>
        <w:rPr>
          <w:rFonts w:ascii="Times New Roman" w:hAnsi="Times New Roman" w:cs="Times New Roman"/>
          <w:sz w:val="24"/>
          <w:szCs w:val="24"/>
        </w:rPr>
        <w:t>A&amp;M to become a moderate system</w:t>
      </w:r>
      <w:r w:rsidRPr="00466338">
        <w:rPr>
          <w:rFonts w:ascii="Times New Roman" w:hAnsi="Times New Roman" w:cs="Times New Roman"/>
          <w:sz w:val="24"/>
          <w:szCs w:val="24"/>
        </w:rPr>
        <w:t>, to be completed 1/1/2015.</w:t>
      </w:r>
    </w:p>
    <w:p w:rsidR="002D2441" w:rsidRDefault="002D2441" w:rsidP="002D2441">
      <w:pPr>
        <w:pStyle w:val="Default"/>
        <w:rPr>
          <w:b/>
          <w:color w:val="auto"/>
        </w:rPr>
      </w:pPr>
      <w:r>
        <w:rPr>
          <w:b/>
          <w:color w:val="auto"/>
          <w:u w:val="single"/>
        </w:rPr>
        <w:t>Section 1</w:t>
      </w:r>
      <w:r>
        <w:rPr>
          <w:b/>
          <w:color w:val="auto"/>
        </w:rPr>
        <w:t>:  Information in the System</w:t>
      </w:r>
    </w:p>
    <w:p w:rsidR="002D2441" w:rsidRDefault="002D2441" w:rsidP="002D2441">
      <w:pPr>
        <w:pStyle w:val="Default"/>
        <w:rPr>
          <w:b/>
          <w:color w:val="auto"/>
        </w:rPr>
      </w:pPr>
    </w:p>
    <w:p w:rsidR="002D2441" w:rsidRDefault="002D2441" w:rsidP="002D2441">
      <w:pPr>
        <w:pStyle w:val="Default"/>
        <w:numPr>
          <w:ilvl w:val="1"/>
          <w:numId w:val="1"/>
        </w:numPr>
        <w:ind w:left="630" w:hanging="630"/>
        <w:rPr>
          <w:color w:val="auto"/>
        </w:rPr>
      </w:pPr>
      <w:r>
        <w:rPr>
          <w:color w:val="auto"/>
        </w:rPr>
        <w:t>Indicate what personally identifiable information (PII)/business identifiable information (BII) is collected, maintained, or disseminated.  Check all that apply.</w:t>
      </w:r>
    </w:p>
    <w:p w:rsidR="002D2441" w:rsidRPr="00A579AB" w:rsidRDefault="002D2441" w:rsidP="002D2441">
      <w:pPr>
        <w:pStyle w:val="Default"/>
        <w:ind w:left="720"/>
        <w:rPr>
          <w:color w:val="auto"/>
        </w:rPr>
      </w:pPr>
      <w:r w:rsidRPr="00A579AB">
        <w:rPr>
          <w:color w:val="auto"/>
        </w:rPr>
        <w:t xml:space="preserve"> </w:t>
      </w: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Tr="00EA1C01">
        <w:tc>
          <w:tcPr>
            <w:tcW w:w="9360" w:type="dxa"/>
            <w:gridSpan w:val="6"/>
          </w:tcPr>
          <w:p w:rsidR="002D2441" w:rsidRPr="004867F8" w:rsidRDefault="002D2441" w:rsidP="00EA1C01">
            <w:pPr>
              <w:pStyle w:val="Default"/>
              <w:rPr>
                <w:b/>
                <w:color w:val="auto"/>
                <w:sz w:val="20"/>
                <w:szCs w:val="20"/>
              </w:rPr>
            </w:pPr>
            <w:r w:rsidRPr="004867F8">
              <w:rPr>
                <w:b/>
                <w:color w:val="auto"/>
                <w:sz w:val="20"/>
                <w:szCs w:val="20"/>
              </w:rPr>
              <w:t>Identifying Numbers</w:t>
            </w:r>
            <w:r>
              <w:rPr>
                <w:b/>
                <w:color w:val="auto"/>
                <w:sz w:val="20"/>
                <w:szCs w:val="20"/>
              </w:rPr>
              <w:t xml:space="preserve"> (IN)</w:t>
            </w:r>
          </w:p>
        </w:tc>
      </w:tr>
      <w:tr w:rsidR="002D2441" w:rsidTr="00EA1C01">
        <w:tc>
          <w:tcPr>
            <w:tcW w:w="2592" w:type="dxa"/>
          </w:tcPr>
          <w:p w:rsidR="002D2441" w:rsidRPr="004867F8" w:rsidRDefault="002D2441" w:rsidP="00EA1C01">
            <w:pPr>
              <w:pStyle w:val="Default"/>
              <w:numPr>
                <w:ilvl w:val="0"/>
                <w:numId w:val="2"/>
              </w:numPr>
              <w:ind w:left="252" w:hanging="252"/>
              <w:rPr>
                <w:color w:val="auto"/>
                <w:sz w:val="20"/>
                <w:szCs w:val="20"/>
              </w:rPr>
            </w:pPr>
            <w:r w:rsidRPr="004867F8">
              <w:rPr>
                <w:color w:val="auto"/>
                <w:sz w:val="20"/>
                <w:szCs w:val="20"/>
              </w:rPr>
              <w:t>Social Security</w:t>
            </w:r>
            <w:r>
              <w:rPr>
                <w:color w:val="auto"/>
                <w:sz w:val="20"/>
                <w:szCs w:val="20"/>
              </w:rPr>
              <w:t>*</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ind w:left="-7"/>
              <w:rPr>
                <w:color w:val="auto"/>
                <w:sz w:val="20"/>
                <w:szCs w:val="20"/>
              </w:rPr>
            </w:pPr>
            <w:r>
              <w:rPr>
                <w:color w:val="auto"/>
                <w:sz w:val="20"/>
                <w:szCs w:val="20"/>
              </w:rPr>
              <w:t>e.   Alien Registration</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numPr>
                <w:ilvl w:val="0"/>
                <w:numId w:val="4"/>
              </w:numPr>
              <w:ind w:left="274" w:hanging="270"/>
              <w:rPr>
                <w:color w:val="auto"/>
                <w:sz w:val="20"/>
                <w:szCs w:val="20"/>
              </w:rPr>
            </w:pPr>
            <w:r>
              <w:rPr>
                <w:color w:val="auto"/>
                <w:sz w:val="20"/>
                <w:szCs w:val="20"/>
              </w:rPr>
              <w:t>Financial Account</w:t>
            </w:r>
          </w:p>
        </w:tc>
        <w:tc>
          <w:tcPr>
            <w:tcW w:w="490" w:type="dxa"/>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2592" w:type="dxa"/>
          </w:tcPr>
          <w:p w:rsidR="002D2441" w:rsidRPr="004867F8" w:rsidRDefault="002D2441" w:rsidP="00EA1C01">
            <w:pPr>
              <w:pStyle w:val="Default"/>
              <w:numPr>
                <w:ilvl w:val="0"/>
                <w:numId w:val="2"/>
              </w:numPr>
              <w:ind w:left="252" w:hanging="252"/>
              <w:rPr>
                <w:color w:val="auto"/>
                <w:sz w:val="20"/>
                <w:szCs w:val="20"/>
              </w:rPr>
            </w:pPr>
            <w:r>
              <w:rPr>
                <w:color w:val="auto"/>
                <w:sz w:val="20"/>
                <w:szCs w:val="20"/>
              </w:rPr>
              <w:t>Taxpayer ID</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 xml:space="preserve">f.   Driver’s License </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ind w:left="360" w:hanging="356"/>
              <w:rPr>
                <w:color w:val="auto"/>
                <w:sz w:val="20"/>
                <w:szCs w:val="20"/>
              </w:rPr>
            </w:pPr>
            <w:r>
              <w:rPr>
                <w:color w:val="auto"/>
                <w:sz w:val="20"/>
                <w:szCs w:val="20"/>
              </w:rPr>
              <w:t>j.    Financial Transaction</w:t>
            </w:r>
          </w:p>
        </w:tc>
        <w:tc>
          <w:tcPr>
            <w:tcW w:w="490" w:type="dxa"/>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2592" w:type="dxa"/>
          </w:tcPr>
          <w:p w:rsidR="002D2441" w:rsidRPr="004867F8" w:rsidRDefault="002D2441" w:rsidP="00EA1C01">
            <w:pPr>
              <w:pStyle w:val="Default"/>
              <w:numPr>
                <w:ilvl w:val="0"/>
                <w:numId w:val="2"/>
              </w:numPr>
              <w:ind w:left="252" w:hanging="252"/>
              <w:rPr>
                <w:color w:val="auto"/>
                <w:sz w:val="20"/>
                <w:szCs w:val="20"/>
              </w:rPr>
            </w:pPr>
            <w:r>
              <w:rPr>
                <w:color w:val="auto"/>
                <w:sz w:val="20"/>
                <w:szCs w:val="20"/>
              </w:rPr>
              <w:t>Employee ID</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g.  Passport</w:t>
            </w:r>
          </w:p>
        </w:tc>
        <w:tc>
          <w:tcPr>
            <w:tcW w:w="547" w:type="dxa"/>
          </w:tcPr>
          <w:p w:rsidR="002D2441" w:rsidRPr="004867F8" w:rsidRDefault="002D2441" w:rsidP="00EA1C01">
            <w:pPr>
              <w:pStyle w:val="Default"/>
              <w:rPr>
                <w:color w:val="auto"/>
                <w:sz w:val="20"/>
                <w:szCs w:val="20"/>
              </w:rPr>
            </w:pPr>
          </w:p>
        </w:tc>
        <w:tc>
          <w:tcPr>
            <w:tcW w:w="2592"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k.   Vehicle Identifier</w:t>
            </w:r>
          </w:p>
        </w:tc>
        <w:tc>
          <w:tcPr>
            <w:tcW w:w="490" w:type="dxa"/>
            <w:tcBorders>
              <w:bottom w:val="single" w:sz="4" w:space="0" w:color="auto"/>
            </w:tcBorders>
          </w:tcPr>
          <w:p w:rsidR="002D2441" w:rsidRPr="004867F8" w:rsidRDefault="002D2441" w:rsidP="00EA1C01">
            <w:pPr>
              <w:pStyle w:val="Default"/>
              <w:rPr>
                <w:color w:val="auto"/>
                <w:sz w:val="20"/>
                <w:szCs w:val="20"/>
              </w:rPr>
            </w:pPr>
          </w:p>
        </w:tc>
      </w:tr>
      <w:tr w:rsidR="002D2441" w:rsidTr="00EA1C01">
        <w:tc>
          <w:tcPr>
            <w:tcW w:w="2592" w:type="dxa"/>
          </w:tcPr>
          <w:p w:rsidR="002D2441" w:rsidRPr="004867F8" w:rsidRDefault="002D2441" w:rsidP="00EA1C01">
            <w:pPr>
              <w:pStyle w:val="Default"/>
              <w:numPr>
                <w:ilvl w:val="0"/>
                <w:numId w:val="2"/>
              </w:numPr>
              <w:ind w:left="252" w:hanging="252"/>
              <w:rPr>
                <w:color w:val="auto"/>
                <w:sz w:val="20"/>
                <w:szCs w:val="20"/>
              </w:rPr>
            </w:pPr>
            <w:r>
              <w:rPr>
                <w:color w:val="auto"/>
                <w:sz w:val="20"/>
                <w:szCs w:val="20"/>
              </w:rPr>
              <w:t>File/Case ID</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h.  Credit Card</w:t>
            </w:r>
          </w:p>
        </w:tc>
        <w:tc>
          <w:tcPr>
            <w:tcW w:w="547" w:type="dxa"/>
          </w:tcPr>
          <w:p w:rsidR="002D2441" w:rsidRPr="004B3BD9" w:rsidRDefault="002D2441" w:rsidP="00EA1C01">
            <w:pPr>
              <w:pStyle w:val="Default"/>
              <w:rPr>
                <w:color w:val="auto"/>
                <w:sz w:val="20"/>
                <w:szCs w:val="20"/>
              </w:rPr>
            </w:pPr>
          </w:p>
        </w:tc>
        <w:tc>
          <w:tcPr>
            <w:tcW w:w="2592" w:type="dxa"/>
            <w:shd w:val="clear" w:color="auto" w:fill="auto"/>
          </w:tcPr>
          <w:p w:rsidR="002D2441" w:rsidRPr="004B3BD9" w:rsidRDefault="002D2441" w:rsidP="00EA1C01">
            <w:pPr>
              <w:pStyle w:val="Default"/>
              <w:rPr>
                <w:color w:val="auto"/>
                <w:sz w:val="20"/>
                <w:szCs w:val="20"/>
              </w:rPr>
            </w:pPr>
            <w:r>
              <w:rPr>
                <w:color w:val="auto"/>
                <w:sz w:val="20"/>
                <w:szCs w:val="20"/>
              </w:rPr>
              <w:t>l.    Employer ID Number</w:t>
            </w:r>
          </w:p>
        </w:tc>
        <w:tc>
          <w:tcPr>
            <w:tcW w:w="490" w:type="dxa"/>
            <w:shd w:val="clear" w:color="auto" w:fill="auto"/>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9360" w:type="dxa"/>
            <w:gridSpan w:val="6"/>
          </w:tcPr>
          <w:p w:rsidR="002D2441" w:rsidRDefault="002D2441" w:rsidP="00EA1C01">
            <w:pPr>
              <w:pStyle w:val="Default"/>
              <w:rPr>
                <w:color w:val="auto"/>
                <w:sz w:val="20"/>
                <w:szCs w:val="20"/>
              </w:rPr>
            </w:pPr>
            <w:r>
              <w:rPr>
                <w:color w:val="auto"/>
                <w:sz w:val="20"/>
                <w:szCs w:val="20"/>
              </w:rPr>
              <w:t>m. Other identifying numbers (specify):</w:t>
            </w:r>
          </w:p>
          <w:p w:rsidR="002D2441" w:rsidRPr="005906FD" w:rsidRDefault="002D2441" w:rsidP="00032B13">
            <w:pPr>
              <w:pStyle w:val="Default"/>
              <w:rPr>
                <w:color w:val="auto"/>
                <w:sz w:val="20"/>
                <w:szCs w:val="20"/>
              </w:rPr>
            </w:pPr>
            <w:r w:rsidRPr="005906FD">
              <w:rPr>
                <w:sz w:val="20"/>
                <w:szCs w:val="20"/>
              </w:rPr>
              <w:t xml:space="preserve">Captain’s license, State and Federal Dealer Numbers (if applicable), </w:t>
            </w:r>
            <w:r w:rsidR="00EA1C01" w:rsidRPr="00CD56D3">
              <w:rPr>
                <w:sz w:val="20"/>
                <w:szCs w:val="20"/>
              </w:rPr>
              <w:t xml:space="preserve">permit or license numbers for Federal </w:t>
            </w:r>
            <w:r w:rsidR="00EA1C01">
              <w:rPr>
                <w:sz w:val="20"/>
                <w:szCs w:val="20"/>
              </w:rPr>
              <w:t>or state permit/licenses issued and start and end dates</w:t>
            </w:r>
            <w:r w:rsidR="00260561">
              <w:rPr>
                <w:sz w:val="20"/>
                <w:szCs w:val="20"/>
              </w:rPr>
              <w:t xml:space="preserve"> and other permit status codes</w:t>
            </w:r>
            <w:r w:rsidR="00EA1C01">
              <w:rPr>
                <w:sz w:val="20"/>
                <w:szCs w:val="20"/>
              </w:rPr>
              <w:t>,</w:t>
            </w:r>
            <w:r>
              <w:rPr>
                <w:sz w:val="20"/>
                <w:szCs w:val="20"/>
              </w:rPr>
              <w:t xml:space="preserve"> </w:t>
            </w:r>
            <w:r w:rsidRPr="00CD56D3">
              <w:rPr>
                <w:sz w:val="20"/>
                <w:szCs w:val="20"/>
              </w:rPr>
              <w:t>vessel registrati</w:t>
            </w:r>
            <w:r>
              <w:rPr>
                <w:sz w:val="20"/>
                <w:szCs w:val="20"/>
              </w:rPr>
              <w:t>on number</w:t>
            </w:r>
          </w:p>
        </w:tc>
      </w:tr>
    </w:tbl>
    <w:p w:rsidR="00D712F7" w:rsidRPr="00D712F7" w:rsidRDefault="002D2441" w:rsidP="00D712F7">
      <w:pPr>
        <w:pStyle w:val="CM16"/>
        <w:spacing w:after="0"/>
        <w:rPr>
          <w:rFonts w:ascii="Times New Roman" w:hAnsi="Times New Roman"/>
          <w:sz w:val="18"/>
          <w:szCs w:val="18"/>
        </w:rPr>
      </w:pPr>
      <w:r w:rsidRPr="00D712F7">
        <w:rPr>
          <w:rFonts w:ascii="Times New Roman" w:hAnsi="Times New Roman"/>
          <w:sz w:val="18"/>
          <w:szCs w:val="18"/>
        </w:rPr>
        <w:t>*If no Employer ID Number, required for I</w:t>
      </w:r>
      <w:r w:rsidR="006E26F4" w:rsidRPr="00D712F7">
        <w:rPr>
          <w:rFonts w:ascii="Times New Roman" w:hAnsi="Times New Roman"/>
          <w:sz w:val="18"/>
          <w:szCs w:val="18"/>
        </w:rPr>
        <w:t xml:space="preserve">ndividual </w:t>
      </w:r>
      <w:r w:rsidRPr="00D712F7">
        <w:rPr>
          <w:rFonts w:ascii="Times New Roman" w:hAnsi="Times New Roman"/>
          <w:sz w:val="18"/>
          <w:szCs w:val="18"/>
        </w:rPr>
        <w:t>F</w:t>
      </w:r>
      <w:r w:rsidR="006E26F4" w:rsidRPr="00D712F7">
        <w:rPr>
          <w:rFonts w:ascii="Times New Roman" w:hAnsi="Times New Roman"/>
          <w:sz w:val="18"/>
          <w:szCs w:val="18"/>
        </w:rPr>
        <w:t xml:space="preserve">ishing </w:t>
      </w:r>
      <w:r w:rsidRPr="00D712F7">
        <w:rPr>
          <w:rFonts w:ascii="Times New Roman" w:hAnsi="Times New Roman"/>
          <w:sz w:val="18"/>
          <w:szCs w:val="18"/>
        </w:rPr>
        <w:t>Q</w:t>
      </w:r>
      <w:r w:rsidR="006E26F4" w:rsidRPr="00D712F7">
        <w:rPr>
          <w:rFonts w:ascii="Times New Roman" w:hAnsi="Times New Roman"/>
          <w:sz w:val="18"/>
          <w:szCs w:val="18"/>
        </w:rPr>
        <w:t>uota</w:t>
      </w:r>
      <w:r w:rsidRPr="00D712F7">
        <w:rPr>
          <w:rFonts w:ascii="Times New Roman" w:hAnsi="Times New Roman"/>
          <w:sz w:val="18"/>
          <w:szCs w:val="18"/>
        </w:rPr>
        <w:t xml:space="preserve"> holders, to ensure correct identification for cost recovery payment to NMFS.</w:t>
      </w:r>
      <w:r w:rsidR="00DE7D5D" w:rsidRPr="00D712F7">
        <w:rPr>
          <w:rFonts w:ascii="Times New Roman" w:hAnsi="Times New Roman"/>
          <w:sz w:val="18"/>
          <w:szCs w:val="18"/>
        </w:rPr>
        <w:t xml:space="preserve"> A</w:t>
      </w:r>
      <w:r w:rsidR="00D712F7">
        <w:rPr>
          <w:rFonts w:ascii="Times New Roman" w:hAnsi="Times New Roman"/>
          <w:sz w:val="18"/>
          <w:szCs w:val="18"/>
        </w:rPr>
        <w:t>lso, a</w:t>
      </w:r>
      <w:r w:rsidR="00EB1AED" w:rsidRPr="00D712F7">
        <w:rPr>
          <w:rFonts w:ascii="Times New Roman" w:hAnsi="Times New Roman"/>
          <w:sz w:val="18"/>
          <w:szCs w:val="18"/>
        </w:rPr>
        <w:t>s stated in both SORNs’ routine uses,</w:t>
      </w:r>
      <w:r w:rsidR="00D712F7" w:rsidRPr="00D712F7">
        <w:rPr>
          <w:rFonts w:ascii="Times New Roman" w:hAnsi="Times New Roman"/>
          <w:sz w:val="18"/>
          <w:szCs w:val="18"/>
        </w:rPr>
        <w:t xml:space="preserve"> a Tax Identification Number (EIN or SSN)</w:t>
      </w:r>
      <w:r w:rsidR="00EB1AED" w:rsidRPr="00D712F7">
        <w:rPr>
          <w:rFonts w:ascii="Times New Roman" w:hAnsi="Times New Roman"/>
          <w:sz w:val="18"/>
          <w:szCs w:val="18"/>
        </w:rPr>
        <w:t xml:space="preserve"> </w:t>
      </w:r>
      <w:r w:rsidR="00D712F7">
        <w:rPr>
          <w:rFonts w:ascii="Times New Roman" w:hAnsi="Times New Roman"/>
          <w:sz w:val="18"/>
          <w:szCs w:val="18"/>
        </w:rPr>
        <w:t>is</w:t>
      </w:r>
      <w:r w:rsidR="00DE7D5D" w:rsidRPr="00D712F7">
        <w:rPr>
          <w:rFonts w:ascii="Times New Roman" w:hAnsi="Times New Roman"/>
          <w:sz w:val="18"/>
          <w:szCs w:val="18"/>
        </w:rPr>
        <w:t xml:space="preserve"> </w:t>
      </w:r>
      <w:r w:rsidR="006E26F4" w:rsidRPr="00D712F7">
        <w:rPr>
          <w:rFonts w:ascii="Times New Roman" w:hAnsi="Times New Roman"/>
          <w:sz w:val="18"/>
          <w:szCs w:val="18"/>
        </w:rPr>
        <w:t>required</w:t>
      </w:r>
      <w:r w:rsidR="00EB1AED" w:rsidRPr="00D712F7">
        <w:rPr>
          <w:rFonts w:ascii="Times New Roman" w:hAnsi="Times New Roman"/>
          <w:sz w:val="18"/>
          <w:szCs w:val="18"/>
        </w:rPr>
        <w:t xml:space="preserve"> </w:t>
      </w:r>
      <w:r w:rsidR="00D712F7" w:rsidRPr="00D712F7">
        <w:rPr>
          <w:rFonts w:ascii="Times New Roman" w:hAnsi="Times New Roman"/>
          <w:sz w:val="18"/>
          <w:szCs w:val="18"/>
        </w:rPr>
        <w:t>on all permit</w:t>
      </w:r>
      <w:r w:rsidR="00D712F7">
        <w:rPr>
          <w:rFonts w:ascii="Times New Roman" w:hAnsi="Times New Roman"/>
          <w:sz w:val="18"/>
          <w:szCs w:val="18"/>
        </w:rPr>
        <w:t xml:space="preserve"> applications</w:t>
      </w:r>
      <w:r w:rsidR="00BD4F7D">
        <w:rPr>
          <w:rFonts w:ascii="Times New Roman" w:hAnsi="Times New Roman"/>
          <w:sz w:val="18"/>
          <w:szCs w:val="18"/>
        </w:rPr>
        <w:t xml:space="preserve"> other than research or exempted fishing permits</w:t>
      </w:r>
      <w:r w:rsidR="00D712F7" w:rsidRPr="00D712F7">
        <w:rPr>
          <w:rFonts w:ascii="Times New Roman" w:hAnsi="Times New Roman"/>
          <w:sz w:val="18"/>
          <w:szCs w:val="18"/>
        </w:rPr>
        <w:t xml:space="preserve">, under the authority 31 U.S.C. 7701.  For purposes of administering the various NMFS fisheries permit and registration programs, a person shall be considered to be doing business with a Federal agency including but not limited to if the person is an applicant for, or recipient of, a Federal license, permit, right-of-way, grant, or benefit payment administered by the agency or insurance administered by the agency pursuant to subsection (c) (2) (B) of this statute.  </w:t>
      </w:r>
    </w:p>
    <w:p w:rsidR="002D2441" w:rsidRPr="009975BE" w:rsidRDefault="002D2441" w:rsidP="00D712F7">
      <w:pPr>
        <w:ind w:firstLine="720"/>
        <w:rPr>
          <w:sz w:val="18"/>
          <w:szCs w:val="18"/>
        </w:rPr>
      </w:pPr>
    </w:p>
    <w:tbl>
      <w:tblPr>
        <w:tblStyle w:val="TableGrid"/>
        <w:tblW w:w="9360" w:type="dxa"/>
        <w:tblInd w:w="108" w:type="dxa"/>
        <w:tblCellMar>
          <w:left w:w="115" w:type="dxa"/>
          <w:right w:w="115" w:type="dxa"/>
        </w:tblCellMar>
        <w:tblLook w:val="04A0" w:firstRow="1" w:lastRow="0" w:firstColumn="1" w:lastColumn="0" w:noHBand="0" w:noVBand="1"/>
      </w:tblPr>
      <w:tblGrid>
        <w:gridCol w:w="2592"/>
        <w:gridCol w:w="547"/>
        <w:gridCol w:w="2592"/>
        <w:gridCol w:w="547"/>
        <w:gridCol w:w="2592"/>
        <w:gridCol w:w="490"/>
      </w:tblGrid>
      <w:tr w:rsidR="002D2441"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General Personal Data (GPD)</w:t>
            </w:r>
          </w:p>
        </w:tc>
      </w:tr>
      <w:tr w:rsidR="002D2441" w:rsidTr="00EA1C01">
        <w:tc>
          <w:tcPr>
            <w:tcW w:w="2592" w:type="dxa"/>
          </w:tcPr>
          <w:p w:rsidR="002D2441" w:rsidRPr="004867F8" w:rsidRDefault="002D2441" w:rsidP="00EA1C01">
            <w:pPr>
              <w:pStyle w:val="Default"/>
              <w:numPr>
                <w:ilvl w:val="0"/>
                <w:numId w:val="5"/>
              </w:numPr>
              <w:ind w:left="252" w:hanging="252"/>
              <w:rPr>
                <w:color w:val="auto"/>
                <w:sz w:val="20"/>
                <w:szCs w:val="20"/>
              </w:rPr>
            </w:pPr>
            <w:r>
              <w:rPr>
                <w:color w:val="auto"/>
                <w:sz w:val="20"/>
                <w:szCs w:val="20"/>
              </w:rPr>
              <w:t>Name</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g.   Date of Birth</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m.  Religion</w:t>
            </w:r>
          </w:p>
        </w:tc>
        <w:tc>
          <w:tcPr>
            <w:tcW w:w="490" w:type="dxa"/>
          </w:tcPr>
          <w:p w:rsidR="002D2441" w:rsidRPr="004867F8" w:rsidRDefault="002D2441" w:rsidP="00EA1C01">
            <w:pPr>
              <w:pStyle w:val="Default"/>
              <w:rPr>
                <w:color w:val="auto"/>
                <w:sz w:val="20"/>
                <w:szCs w:val="20"/>
              </w:rPr>
            </w:pPr>
          </w:p>
        </w:tc>
      </w:tr>
      <w:tr w:rsidR="002D2441" w:rsidTr="00EA1C01">
        <w:tc>
          <w:tcPr>
            <w:tcW w:w="2592" w:type="dxa"/>
          </w:tcPr>
          <w:p w:rsidR="002D2441" w:rsidRPr="004867F8" w:rsidRDefault="002D2441" w:rsidP="00EA1C01">
            <w:pPr>
              <w:pStyle w:val="Default"/>
              <w:numPr>
                <w:ilvl w:val="0"/>
                <w:numId w:val="5"/>
              </w:numPr>
              <w:ind w:left="252" w:hanging="252"/>
              <w:rPr>
                <w:color w:val="auto"/>
                <w:sz w:val="20"/>
                <w:szCs w:val="20"/>
              </w:rPr>
            </w:pPr>
            <w:r>
              <w:rPr>
                <w:color w:val="auto"/>
                <w:sz w:val="20"/>
                <w:szCs w:val="20"/>
              </w:rPr>
              <w:t>Maiden Name</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ind w:left="263" w:hanging="270"/>
              <w:rPr>
                <w:color w:val="auto"/>
                <w:sz w:val="20"/>
                <w:szCs w:val="20"/>
              </w:rPr>
            </w:pPr>
            <w:r>
              <w:rPr>
                <w:color w:val="auto"/>
                <w:sz w:val="20"/>
                <w:szCs w:val="20"/>
              </w:rPr>
              <w:t>h.   Place of Birth</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n.   Financial Information</w:t>
            </w:r>
          </w:p>
        </w:tc>
        <w:tc>
          <w:tcPr>
            <w:tcW w:w="490" w:type="dxa"/>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2592" w:type="dxa"/>
          </w:tcPr>
          <w:p w:rsidR="002D2441" w:rsidRPr="004867F8" w:rsidRDefault="002D2441" w:rsidP="00EA1C01">
            <w:pPr>
              <w:pStyle w:val="Default"/>
              <w:numPr>
                <w:ilvl w:val="0"/>
                <w:numId w:val="5"/>
              </w:numPr>
              <w:ind w:left="252" w:hanging="252"/>
              <w:rPr>
                <w:color w:val="auto"/>
                <w:sz w:val="20"/>
                <w:szCs w:val="20"/>
              </w:rPr>
            </w:pPr>
            <w:r>
              <w:rPr>
                <w:color w:val="auto"/>
                <w:sz w:val="20"/>
                <w:szCs w:val="20"/>
              </w:rPr>
              <w:t>Alias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numPr>
                <w:ilvl w:val="0"/>
                <w:numId w:val="6"/>
              </w:numPr>
              <w:ind w:left="263" w:hanging="270"/>
              <w:rPr>
                <w:color w:val="auto"/>
                <w:sz w:val="20"/>
                <w:szCs w:val="20"/>
              </w:rPr>
            </w:pPr>
            <w:r>
              <w:rPr>
                <w:color w:val="auto"/>
                <w:sz w:val="20"/>
                <w:szCs w:val="20"/>
              </w:rPr>
              <w:t>Home Address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o.   Medical Information</w:t>
            </w:r>
          </w:p>
        </w:tc>
        <w:tc>
          <w:tcPr>
            <w:tcW w:w="490"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2592" w:type="dxa"/>
          </w:tcPr>
          <w:p w:rsidR="002D2441" w:rsidRDefault="002D2441" w:rsidP="00EA1C01">
            <w:pPr>
              <w:pStyle w:val="Default"/>
              <w:numPr>
                <w:ilvl w:val="0"/>
                <w:numId w:val="5"/>
              </w:numPr>
              <w:ind w:left="252" w:hanging="252"/>
              <w:rPr>
                <w:color w:val="auto"/>
                <w:sz w:val="20"/>
                <w:szCs w:val="20"/>
              </w:rPr>
            </w:pPr>
            <w:r>
              <w:rPr>
                <w:color w:val="auto"/>
                <w:sz w:val="20"/>
                <w:szCs w:val="20"/>
              </w:rPr>
              <w:t>Gender</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j.   Telephone Number</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p.   Military Service</w:t>
            </w:r>
          </w:p>
        </w:tc>
        <w:tc>
          <w:tcPr>
            <w:tcW w:w="490" w:type="dxa"/>
            <w:tcBorders>
              <w:bottom w:val="single" w:sz="4" w:space="0" w:color="auto"/>
            </w:tcBorders>
          </w:tcPr>
          <w:p w:rsidR="002D2441" w:rsidRPr="004867F8" w:rsidRDefault="002D2441" w:rsidP="00EA1C01">
            <w:pPr>
              <w:pStyle w:val="Default"/>
              <w:rPr>
                <w:color w:val="auto"/>
                <w:sz w:val="20"/>
                <w:szCs w:val="20"/>
              </w:rPr>
            </w:pPr>
          </w:p>
        </w:tc>
      </w:tr>
      <w:tr w:rsidR="002D2441" w:rsidTr="00EA1C01">
        <w:tc>
          <w:tcPr>
            <w:tcW w:w="2592" w:type="dxa"/>
          </w:tcPr>
          <w:p w:rsidR="002D2441" w:rsidRPr="004867F8" w:rsidRDefault="002D2441" w:rsidP="00EA1C01">
            <w:pPr>
              <w:pStyle w:val="Default"/>
              <w:numPr>
                <w:ilvl w:val="0"/>
                <w:numId w:val="5"/>
              </w:numPr>
              <w:ind w:left="252" w:hanging="252"/>
              <w:rPr>
                <w:color w:val="auto"/>
                <w:sz w:val="20"/>
                <w:szCs w:val="20"/>
              </w:rPr>
            </w:pPr>
            <w:r>
              <w:rPr>
                <w:color w:val="auto"/>
                <w:sz w:val="20"/>
                <w:szCs w:val="20"/>
              </w:rPr>
              <w:t>Age</w:t>
            </w:r>
          </w:p>
        </w:tc>
        <w:tc>
          <w:tcPr>
            <w:tcW w:w="547" w:type="dxa"/>
          </w:tcPr>
          <w:p w:rsidR="002D2441" w:rsidRPr="00D4131A" w:rsidRDefault="002D2441" w:rsidP="00EA1C01">
            <w:pPr>
              <w:pStyle w:val="Default"/>
              <w:rPr>
                <w:color w:val="auto"/>
                <w:sz w:val="20"/>
                <w:szCs w:val="20"/>
              </w:rPr>
            </w:pPr>
            <w:r w:rsidRPr="00D4131A">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k.  Email Address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shd w:val="clear" w:color="auto" w:fill="auto"/>
          </w:tcPr>
          <w:p w:rsidR="002D2441" w:rsidRPr="004867F8" w:rsidRDefault="002D2441" w:rsidP="00EA1C01">
            <w:pPr>
              <w:pStyle w:val="Default"/>
              <w:rPr>
                <w:color w:val="auto"/>
                <w:sz w:val="20"/>
                <w:szCs w:val="20"/>
              </w:rPr>
            </w:pPr>
            <w:r>
              <w:rPr>
                <w:color w:val="auto"/>
                <w:sz w:val="20"/>
                <w:szCs w:val="20"/>
              </w:rPr>
              <w:t>q.   Physical Characteristics</w:t>
            </w:r>
          </w:p>
        </w:tc>
        <w:tc>
          <w:tcPr>
            <w:tcW w:w="490" w:type="dxa"/>
            <w:shd w:val="clear" w:color="auto" w:fill="auto"/>
          </w:tcPr>
          <w:p w:rsidR="002D2441" w:rsidRPr="004867F8" w:rsidRDefault="002D2441" w:rsidP="00EA1C01">
            <w:pPr>
              <w:pStyle w:val="Default"/>
              <w:rPr>
                <w:color w:val="auto"/>
                <w:sz w:val="20"/>
                <w:szCs w:val="20"/>
              </w:rPr>
            </w:pPr>
            <w:r>
              <w:rPr>
                <w:color w:val="auto"/>
                <w:sz w:val="20"/>
                <w:szCs w:val="20"/>
              </w:rPr>
              <w:t>x</w:t>
            </w:r>
          </w:p>
        </w:tc>
      </w:tr>
      <w:tr w:rsidR="002D2441" w:rsidTr="00EA1C01">
        <w:tc>
          <w:tcPr>
            <w:tcW w:w="2592" w:type="dxa"/>
          </w:tcPr>
          <w:p w:rsidR="002D2441" w:rsidRDefault="002D2441" w:rsidP="00EA1C01">
            <w:pPr>
              <w:pStyle w:val="Default"/>
              <w:numPr>
                <w:ilvl w:val="0"/>
                <w:numId w:val="5"/>
              </w:numPr>
              <w:ind w:left="252" w:hanging="252"/>
              <w:rPr>
                <w:color w:val="auto"/>
                <w:sz w:val="20"/>
                <w:szCs w:val="20"/>
              </w:rPr>
            </w:pPr>
            <w:r>
              <w:rPr>
                <w:color w:val="auto"/>
                <w:sz w:val="20"/>
                <w:szCs w:val="20"/>
              </w:rPr>
              <w:t>Race/Ethnicity</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l.   Education</w:t>
            </w:r>
          </w:p>
        </w:tc>
        <w:tc>
          <w:tcPr>
            <w:tcW w:w="547" w:type="dxa"/>
          </w:tcPr>
          <w:p w:rsidR="002D2441" w:rsidRPr="004867F8" w:rsidRDefault="002D2441" w:rsidP="00EA1C01">
            <w:pPr>
              <w:pStyle w:val="Default"/>
              <w:rPr>
                <w:color w:val="auto"/>
                <w:sz w:val="20"/>
                <w:szCs w:val="20"/>
              </w:rPr>
            </w:pPr>
          </w:p>
        </w:tc>
        <w:tc>
          <w:tcPr>
            <w:tcW w:w="2592" w:type="dxa"/>
            <w:shd w:val="clear" w:color="auto" w:fill="auto"/>
          </w:tcPr>
          <w:p w:rsidR="002D2441" w:rsidRPr="004867F8" w:rsidRDefault="002D2441" w:rsidP="00EA1C01">
            <w:pPr>
              <w:pStyle w:val="Default"/>
              <w:rPr>
                <w:color w:val="auto"/>
                <w:sz w:val="20"/>
                <w:szCs w:val="20"/>
              </w:rPr>
            </w:pPr>
            <w:r>
              <w:rPr>
                <w:color w:val="auto"/>
                <w:sz w:val="20"/>
                <w:szCs w:val="20"/>
              </w:rPr>
              <w:t>r.   Mother’s Maiden Name</w:t>
            </w:r>
          </w:p>
        </w:tc>
        <w:tc>
          <w:tcPr>
            <w:tcW w:w="490" w:type="dxa"/>
            <w:shd w:val="clear" w:color="auto" w:fill="auto"/>
          </w:tcPr>
          <w:p w:rsidR="002D2441" w:rsidRPr="004867F8" w:rsidRDefault="002D2441" w:rsidP="00EA1C01">
            <w:pPr>
              <w:pStyle w:val="Default"/>
              <w:rPr>
                <w:color w:val="auto"/>
                <w:sz w:val="20"/>
                <w:szCs w:val="20"/>
              </w:rPr>
            </w:pPr>
          </w:p>
        </w:tc>
      </w:tr>
      <w:tr w:rsidR="002D2441" w:rsidTr="00EA1C01">
        <w:tc>
          <w:tcPr>
            <w:tcW w:w="9360" w:type="dxa"/>
            <w:gridSpan w:val="6"/>
          </w:tcPr>
          <w:p w:rsidR="002D2441" w:rsidRDefault="002D2441" w:rsidP="00EA1C01">
            <w:pPr>
              <w:pStyle w:val="Default"/>
              <w:rPr>
                <w:color w:val="auto"/>
                <w:sz w:val="20"/>
                <w:szCs w:val="20"/>
              </w:rPr>
            </w:pPr>
            <w:r>
              <w:rPr>
                <w:color w:val="auto"/>
                <w:sz w:val="20"/>
                <w:szCs w:val="20"/>
              </w:rPr>
              <w:t xml:space="preserve">s.   Other general personal data (specify): *Permit applicant, permit holder, permit transferor/transferee, vessel owner, vessel operator, dealer </w:t>
            </w:r>
            <w:r w:rsidR="000C6D82">
              <w:rPr>
                <w:color w:val="auto"/>
                <w:sz w:val="20"/>
                <w:szCs w:val="20"/>
              </w:rPr>
              <w:t xml:space="preserve">applicant, dealer permit holder, </w:t>
            </w:r>
            <w:r>
              <w:rPr>
                <w:sz w:val="20"/>
                <w:szCs w:val="20"/>
              </w:rPr>
              <w:t>marriage certificate, divorce decree, death certificate.</w:t>
            </w:r>
          </w:p>
          <w:p w:rsidR="002D2441" w:rsidRPr="004867F8" w:rsidRDefault="002D2441" w:rsidP="00EA1C01">
            <w:pPr>
              <w:pStyle w:val="Default"/>
              <w:rPr>
                <w:color w:val="auto"/>
                <w:sz w:val="20"/>
                <w:szCs w:val="20"/>
              </w:rPr>
            </w:pPr>
          </w:p>
        </w:tc>
      </w:tr>
    </w:tbl>
    <w:p w:rsidR="002D2441" w:rsidRDefault="002D2441" w:rsidP="002D2441">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Work-Related Data (WRD)</w:t>
            </w:r>
          </w:p>
        </w:tc>
      </w:tr>
      <w:tr w:rsidR="002D2441" w:rsidRPr="004867F8" w:rsidTr="00EA1C01">
        <w:tc>
          <w:tcPr>
            <w:tcW w:w="2592" w:type="dxa"/>
          </w:tcPr>
          <w:p w:rsidR="002D2441" w:rsidRPr="004867F8" w:rsidRDefault="002D2441" w:rsidP="00EA1C01">
            <w:pPr>
              <w:pStyle w:val="Default"/>
              <w:numPr>
                <w:ilvl w:val="0"/>
                <w:numId w:val="7"/>
              </w:numPr>
              <w:ind w:left="342" w:hanging="342"/>
              <w:rPr>
                <w:color w:val="auto"/>
                <w:sz w:val="20"/>
                <w:szCs w:val="20"/>
              </w:rPr>
            </w:pPr>
            <w:r>
              <w:rPr>
                <w:color w:val="auto"/>
                <w:sz w:val="20"/>
                <w:szCs w:val="20"/>
              </w:rPr>
              <w:t>Occupation</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ind w:left="263" w:hanging="270"/>
              <w:rPr>
                <w:color w:val="auto"/>
                <w:sz w:val="20"/>
                <w:szCs w:val="20"/>
              </w:rPr>
            </w:pPr>
            <w:r>
              <w:rPr>
                <w:color w:val="auto"/>
                <w:sz w:val="20"/>
                <w:szCs w:val="20"/>
              </w:rPr>
              <w:t>d.   Telephone Number</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numPr>
                <w:ilvl w:val="0"/>
                <w:numId w:val="5"/>
              </w:numPr>
              <w:ind w:left="364"/>
              <w:rPr>
                <w:color w:val="auto"/>
                <w:sz w:val="20"/>
                <w:szCs w:val="20"/>
              </w:rPr>
            </w:pPr>
            <w:r>
              <w:rPr>
                <w:color w:val="auto"/>
                <w:sz w:val="20"/>
                <w:szCs w:val="20"/>
              </w:rPr>
              <w:t>Salary</w:t>
            </w:r>
          </w:p>
        </w:tc>
        <w:tc>
          <w:tcPr>
            <w:tcW w:w="490" w:type="dxa"/>
          </w:tcPr>
          <w:p w:rsidR="002D2441" w:rsidRPr="004867F8" w:rsidRDefault="002D2441" w:rsidP="00EA1C01">
            <w:pPr>
              <w:pStyle w:val="Default"/>
              <w:rPr>
                <w:color w:val="auto"/>
                <w:sz w:val="20"/>
                <w:szCs w:val="20"/>
              </w:rPr>
            </w:pPr>
          </w:p>
        </w:tc>
      </w:tr>
      <w:tr w:rsidR="002D2441" w:rsidRPr="004867F8" w:rsidTr="00EA1C01">
        <w:tc>
          <w:tcPr>
            <w:tcW w:w="2592" w:type="dxa"/>
          </w:tcPr>
          <w:p w:rsidR="002D2441" w:rsidRPr="004867F8" w:rsidRDefault="002D2441" w:rsidP="00EA1C01">
            <w:pPr>
              <w:pStyle w:val="Default"/>
              <w:numPr>
                <w:ilvl w:val="0"/>
                <w:numId w:val="7"/>
              </w:numPr>
              <w:ind w:left="342" w:hanging="342"/>
              <w:rPr>
                <w:color w:val="auto"/>
                <w:sz w:val="20"/>
                <w:szCs w:val="20"/>
              </w:rPr>
            </w:pPr>
            <w:r>
              <w:rPr>
                <w:color w:val="auto"/>
                <w:sz w:val="20"/>
                <w:szCs w:val="20"/>
              </w:rPr>
              <w:t>Job Title</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numPr>
                <w:ilvl w:val="0"/>
                <w:numId w:val="2"/>
              </w:numPr>
              <w:ind w:left="263" w:hanging="270"/>
              <w:rPr>
                <w:color w:val="auto"/>
                <w:sz w:val="20"/>
                <w:szCs w:val="20"/>
              </w:rPr>
            </w:pPr>
            <w:r>
              <w:rPr>
                <w:color w:val="auto"/>
                <w:sz w:val="20"/>
                <w:szCs w:val="20"/>
              </w:rPr>
              <w:t>Email Address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tcPr>
          <w:p w:rsidR="002D2441" w:rsidRPr="004867F8" w:rsidRDefault="002D2441" w:rsidP="00EA1C01">
            <w:pPr>
              <w:pStyle w:val="Default"/>
              <w:numPr>
                <w:ilvl w:val="0"/>
                <w:numId w:val="5"/>
              </w:numPr>
              <w:ind w:left="364"/>
              <w:rPr>
                <w:color w:val="auto"/>
                <w:sz w:val="20"/>
                <w:szCs w:val="20"/>
              </w:rPr>
            </w:pPr>
            <w:r>
              <w:rPr>
                <w:color w:val="auto"/>
                <w:sz w:val="20"/>
                <w:szCs w:val="20"/>
              </w:rPr>
              <w:t>Work History</w:t>
            </w:r>
          </w:p>
        </w:tc>
        <w:tc>
          <w:tcPr>
            <w:tcW w:w="490"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x</w:t>
            </w:r>
          </w:p>
        </w:tc>
      </w:tr>
      <w:tr w:rsidR="002D2441" w:rsidRPr="004867F8" w:rsidTr="00EA1C01">
        <w:tc>
          <w:tcPr>
            <w:tcW w:w="2592" w:type="dxa"/>
          </w:tcPr>
          <w:p w:rsidR="002D2441" w:rsidRPr="004867F8" w:rsidRDefault="002D2441" w:rsidP="00EA1C01">
            <w:pPr>
              <w:pStyle w:val="Default"/>
              <w:numPr>
                <w:ilvl w:val="0"/>
                <w:numId w:val="7"/>
              </w:numPr>
              <w:ind w:left="342"/>
              <w:rPr>
                <w:color w:val="auto"/>
                <w:sz w:val="20"/>
                <w:szCs w:val="20"/>
              </w:rPr>
            </w:pPr>
            <w:r>
              <w:rPr>
                <w:color w:val="auto"/>
                <w:sz w:val="20"/>
                <w:szCs w:val="20"/>
              </w:rPr>
              <w:t>Work Address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numPr>
                <w:ilvl w:val="0"/>
                <w:numId w:val="2"/>
              </w:numPr>
              <w:ind w:left="263" w:hanging="270"/>
              <w:rPr>
                <w:color w:val="auto"/>
                <w:sz w:val="20"/>
                <w:szCs w:val="20"/>
              </w:rPr>
            </w:pPr>
            <w:r>
              <w:rPr>
                <w:color w:val="auto"/>
                <w:sz w:val="20"/>
                <w:szCs w:val="20"/>
              </w:rPr>
              <w:t>Business Associates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r>
      <w:tr w:rsidR="002D2441" w:rsidRPr="004867F8" w:rsidTr="00EA1C01">
        <w:trPr>
          <w:trHeight w:val="440"/>
        </w:trPr>
        <w:tc>
          <w:tcPr>
            <w:tcW w:w="9360" w:type="dxa"/>
            <w:gridSpan w:val="6"/>
          </w:tcPr>
          <w:p w:rsidR="002D2441" w:rsidRPr="00CD56D3" w:rsidRDefault="002D2441" w:rsidP="008D3C88">
            <w:pPr>
              <w:rPr>
                <w:sz w:val="20"/>
                <w:szCs w:val="20"/>
              </w:rPr>
            </w:pPr>
            <w:r w:rsidRPr="000E0630">
              <w:rPr>
                <w:rFonts w:ascii="Times New Roman" w:hAnsi="Times New Roman" w:cs="Times New Roman"/>
                <w:sz w:val="20"/>
                <w:szCs w:val="20"/>
              </w:rPr>
              <w:t>Other work-related data (specify):</w:t>
            </w:r>
            <w:r w:rsidR="008D3C88" w:rsidRPr="00CD56D3">
              <w:rPr>
                <w:sz w:val="20"/>
                <w:szCs w:val="20"/>
              </w:rPr>
              <w:t xml:space="preserve"> </w:t>
            </w:r>
            <w:r w:rsidR="00EA1C01" w:rsidRPr="00EA1C01">
              <w:rPr>
                <w:rFonts w:ascii="Times New Roman" w:hAnsi="Times New Roman" w:cs="Times New Roman"/>
                <w:sz w:val="20"/>
                <w:szCs w:val="20"/>
              </w:rPr>
              <w:t xml:space="preserve"> Vessel name, vessel length overall</w:t>
            </w:r>
            <w:r w:rsidR="000C6D82">
              <w:rPr>
                <w:rFonts w:ascii="Times New Roman" w:hAnsi="Times New Roman" w:cs="Times New Roman"/>
                <w:sz w:val="20"/>
                <w:szCs w:val="20"/>
              </w:rPr>
              <w:t xml:space="preserve">. </w:t>
            </w:r>
            <w:r w:rsidR="000C6D82" w:rsidRPr="000C6D82">
              <w:rPr>
                <w:rFonts w:ascii="Times New Roman" w:hAnsi="Times New Roman" w:cs="Times New Roman"/>
                <w:sz w:val="20"/>
                <w:szCs w:val="20"/>
              </w:rPr>
              <w:t>Name of corporation, state and date of incorporation of business and articles of incorporation</w:t>
            </w:r>
            <w:r w:rsidR="000C6D82">
              <w:rPr>
                <w:rFonts w:ascii="Times New Roman" w:hAnsi="Times New Roman" w:cs="Times New Roman"/>
                <w:sz w:val="20"/>
                <w:szCs w:val="20"/>
              </w:rPr>
              <w:t>.</w:t>
            </w:r>
          </w:p>
        </w:tc>
      </w:tr>
    </w:tbl>
    <w:p w:rsidR="002D2441" w:rsidRDefault="002D2441" w:rsidP="002D2441">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Distinguishing Features/Biometrics (DFB)</w:t>
            </w:r>
          </w:p>
        </w:tc>
      </w:tr>
      <w:tr w:rsidR="002D2441" w:rsidRPr="004867F8" w:rsidTr="00EA1C01">
        <w:tc>
          <w:tcPr>
            <w:tcW w:w="2592" w:type="dxa"/>
          </w:tcPr>
          <w:p w:rsidR="002D2441" w:rsidRPr="004867F8" w:rsidRDefault="002D2441" w:rsidP="00EA1C01">
            <w:pPr>
              <w:pStyle w:val="Default"/>
              <w:numPr>
                <w:ilvl w:val="0"/>
                <w:numId w:val="8"/>
              </w:numPr>
              <w:ind w:left="342"/>
              <w:rPr>
                <w:color w:val="auto"/>
                <w:sz w:val="20"/>
                <w:szCs w:val="20"/>
              </w:rPr>
            </w:pPr>
            <w:r>
              <w:rPr>
                <w:color w:val="auto"/>
                <w:sz w:val="20"/>
                <w:szCs w:val="20"/>
              </w:rPr>
              <w:t>Fingerprints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numPr>
                <w:ilvl w:val="0"/>
                <w:numId w:val="7"/>
              </w:numPr>
              <w:ind w:left="263" w:hanging="270"/>
              <w:rPr>
                <w:color w:val="auto"/>
                <w:sz w:val="20"/>
                <w:szCs w:val="20"/>
              </w:rPr>
            </w:pPr>
            <w:r>
              <w:rPr>
                <w:color w:val="auto"/>
                <w:sz w:val="20"/>
                <w:szCs w:val="20"/>
              </w:rPr>
              <w:t>Photographs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numPr>
                <w:ilvl w:val="0"/>
                <w:numId w:val="2"/>
              </w:numPr>
              <w:ind w:left="364"/>
              <w:rPr>
                <w:color w:val="auto"/>
                <w:sz w:val="20"/>
                <w:szCs w:val="20"/>
              </w:rPr>
            </w:pPr>
            <w:r>
              <w:rPr>
                <w:color w:val="auto"/>
                <w:sz w:val="20"/>
                <w:szCs w:val="20"/>
              </w:rPr>
              <w:t>DNA Profiles</w:t>
            </w:r>
          </w:p>
        </w:tc>
        <w:tc>
          <w:tcPr>
            <w:tcW w:w="490" w:type="dxa"/>
          </w:tcPr>
          <w:p w:rsidR="002D2441" w:rsidRPr="004867F8" w:rsidRDefault="002D2441" w:rsidP="00EA1C01">
            <w:pPr>
              <w:pStyle w:val="Default"/>
              <w:rPr>
                <w:color w:val="auto"/>
                <w:sz w:val="20"/>
                <w:szCs w:val="20"/>
              </w:rPr>
            </w:pPr>
          </w:p>
        </w:tc>
      </w:tr>
      <w:tr w:rsidR="002D2441" w:rsidRPr="004867F8" w:rsidTr="00EA1C01">
        <w:tc>
          <w:tcPr>
            <w:tcW w:w="2592" w:type="dxa"/>
          </w:tcPr>
          <w:p w:rsidR="002D2441" w:rsidRPr="004867F8" w:rsidRDefault="002D2441" w:rsidP="00EA1C01">
            <w:pPr>
              <w:pStyle w:val="Default"/>
              <w:numPr>
                <w:ilvl w:val="0"/>
                <w:numId w:val="8"/>
              </w:numPr>
              <w:ind w:left="342" w:hanging="342"/>
              <w:rPr>
                <w:color w:val="auto"/>
                <w:sz w:val="20"/>
                <w:szCs w:val="20"/>
              </w:rPr>
            </w:pPr>
            <w:r>
              <w:rPr>
                <w:color w:val="auto"/>
                <w:sz w:val="20"/>
                <w:szCs w:val="20"/>
              </w:rPr>
              <w:t>Palm Prints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numPr>
                <w:ilvl w:val="0"/>
                <w:numId w:val="7"/>
              </w:numPr>
              <w:ind w:left="263" w:hanging="270"/>
              <w:rPr>
                <w:color w:val="auto"/>
                <w:sz w:val="20"/>
                <w:szCs w:val="20"/>
              </w:rPr>
            </w:pPr>
            <w:r>
              <w:rPr>
                <w:color w:val="auto"/>
                <w:sz w:val="20"/>
                <w:szCs w:val="20"/>
              </w:rPr>
              <w:t>Scars, Marks, Tattoos</w:t>
            </w:r>
          </w:p>
        </w:tc>
        <w:tc>
          <w:tcPr>
            <w:tcW w:w="547" w:type="dxa"/>
          </w:tcPr>
          <w:p w:rsidR="002D2441" w:rsidRPr="004867F8" w:rsidRDefault="002D2441" w:rsidP="00EA1C01">
            <w:pPr>
              <w:pStyle w:val="Default"/>
              <w:rPr>
                <w:color w:val="auto"/>
                <w:sz w:val="20"/>
                <w:szCs w:val="20"/>
              </w:rPr>
            </w:pPr>
          </w:p>
        </w:tc>
        <w:tc>
          <w:tcPr>
            <w:tcW w:w="2592" w:type="dxa"/>
            <w:tcBorders>
              <w:bottom w:val="single" w:sz="4" w:space="0" w:color="auto"/>
            </w:tcBorders>
            <w:shd w:val="clear" w:color="auto" w:fill="auto"/>
          </w:tcPr>
          <w:p w:rsidR="002D2441" w:rsidRPr="004867F8" w:rsidRDefault="002D2441" w:rsidP="00EA1C01">
            <w:pPr>
              <w:pStyle w:val="Default"/>
              <w:numPr>
                <w:ilvl w:val="0"/>
                <w:numId w:val="2"/>
              </w:numPr>
              <w:ind w:left="364"/>
              <w:rPr>
                <w:color w:val="auto"/>
                <w:sz w:val="20"/>
                <w:szCs w:val="20"/>
              </w:rPr>
            </w:pPr>
            <w:r>
              <w:rPr>
                <w:color w:val="auto"/>
                <w:sz w:val="20"/>
                <w:szCs w:val="20"/>
              </w:rPr>
              <w:t>Retina/Iris Scans</w:t>
            </w:r>
          </w:p>
        </w:tc>
        <w:tc>
          <w:tcPr>
            <w:tcW w:w="490" w:type="dxa"/>
            <w:tcBorders>
              <w:bottom w:val="single" w:sz="4" w:space="0" w:color="auto"/>
            </w:tcBorders>
          </w:tcPr>
          <w:p w:rsidR="002D2441" w:rsidRPr="004867F8" w:rsidRDefault="002D2441" w:rsidP="00EA1C01">
            <w:pPr>
              <w:pStyle w:val="Default"/>
              <w:rPr>
                <w:color w:val="auto"/>
                <w:sz w:val="20"/>
                <w:szCs w:val="20"/>
              </w:rPr>
            </w:pPr>
          </w:p>
        </w:tc>
      </w:tr>
      <w:tr w:rsidR="002D2441" w:rsidRPr="004867F8" w:rsidTr="00EA1C01">
        <w:tc>
          <w:tcPr>
            <w:tcW w:w="2592" w:type="dxa"/>
          </w:tcPr>
          <w:p w:rsidR="002D2441" w:rsidRPr="004867F8" w:rsidRDefault="002D2441" w:rsidP="00EA1C01">
            <w:pPr>
              <w:pStyle w:val="Default"/>
              <w:numPr>
                <w:ilvl w:val="0"/>
                <w:numId w:val="8"/>
              </w:numPr>
              <w:ind w:left="342" w:hanging="342"/>
              <w:rPr>
                <w:color w:val="auto"/>
                <w:sz w:val="20"/>
                <w:szCs w:val="20"/>
              </w:rPr>
            </w:pPr>
            <w:r>
              <w:rPr>
                <w:color w:val="auto"/>
                <w:sz w:val="20"/>
                <w:szCs w:val="20"/>
              </w:rPr>
              <w:t>Voice Recording/Signatures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numPr>
                <w:ilvl w:val="0"/>
                <w:numId w:val="7"/>
              </w:numPr>
              <w:ind w:left="263" w:hanging="270"/>
              <w:rPr>
                <w:color w:val="auto"/>
                <w:sz w:val="20"/>
                <w:szCs w:val="20"/>
              </w:rPr>
            </w:pPr>
            <w:r>
              <w:rPr>
                <w:color w:val="auto"/>
                <w:sz w:val="20"/>
                <w:szCs w:val="20"/>
              </w:rPr>
              <w:t>Vascular Scan</w:t>
            </w:r>
          </w:p>
        </w:tc>
        <w:tc>
          <w:tcPr>
            <w:tcW w:w="547" w:type="dxa"/>
          </w:tcPr>
          <w:p w:rsidR="002D2441" w:rsidRPr="004867F8" w:rsidRDefault="002D2441" w:rsidP="00EA1C01">
            <w:pPr>
              <w:pStyle w:val="Default"/>
              <w:rPr>
                <w:color w:val="auto"/>
                <w:sz w:val="20"/>
                <w:szCs w:val="20"/>
              </w:rPr>
            </w:pPr>
          </w:p>
        </w:tc>
        <w:tc>
          <w:tcPr>
            <w:tcW w:w="2592" w:type="dxa"/>
            <w:tcBorders>
              <w:bottom w:val="single" w:sz="4" w:space="0" w:color="auto"/>
            </w:tcBorders>
            <w:shd w:val="clear" w:color="auto" w:fill="auto"/>
          </w:tcPr>
          <w:p w:rsidR="002D2441" w:rsidRPr="00721068" w:rsidRDefault="002D2441" w:rsidP="00EA1C01">
            <w:pPr>
              <w:pStyle w:val="Default"/>
              <w:numPr>
                <w:ilvl w:val="0"/>
                <w:numId w:val="2"/>
              </w:numPr>
              <w:ind w:left="364"/>
              <w:rPr>
                <w:color w:val="auto"/>
                <w:sz w:val="20"/>
              </w:rPr>
            </w:pPr>
            <w:r w:rsidRPr="00F24542">
              <w:rPr>
                <w:color w:val="auto"/>
                <w:sz w:val="20"/>
                <w:szCs w:val="20"/>
              </w:rPr>
              <w:t>Dental Profile</w:t>
            </w:r>
          </w:p>
        </w:tc>
        <w:tc>
          <w:tcPr>
            <w:tcW w:w="490" w:type="dxa"/>
            <w:tcBorders>
              <w:bottom w:val="single" w:sz="4" w:space="0" w:color="auto"/>
            </w:tcBorders>
            <w:shd w:val="clear" w:color="auto" w:fill="auto"/>
          </w:tcPr>
          <w:p w:rsidR="002D2441" w:rsidRPr="00736301" w:rsidRDefault="002D2441" w:rsidP="00EA1C01">
            <w:pPr>
              <w:pStyle w:val="Default"/>
              <w:rPr>
                <w:color w:val="auto"/>
                <w:sz w:val="20"/>
                <w:szCs w:val="20"/>
                <w:highlight w:val="lightGray"/>
              </w:rPr>
            </w:pPr>
          </w:p>
        </w:tc>
      </w:tr>
      <w:tr w:rsidR="002D2441" w:rsidRPr="004867F8" w:rsidTr="00EA1C01">
        <w:tc>
          <w:tcPr>
            <w:tcW w:w="9360" w:type="dxa"/>
            <w:gridSpan w:val="6"/>
          </w:tcPr>
          <w:p w:rsidR="002D2441" w:rsidRDefault="002D2441" w:rsidP="00EA1C01">
            <w:pPr>
              <w:pStyle w:val="Default"/>
              <w:numPr>
                <w:ilvl w:val="0"/>
                <w:numId w:val="2"/>
              </w:numPr>
              <w:ind w:left="342" w:hanging="342"/>
              <w:rPr>
                <w:color w:val="auto"/>
                <w:sz w:val="20"/>
                <w:szCs w:val="20"/>
              </w:rPr>
            </w:pPr>
            <w:r>
              <w:rPr>
                <w:color w:val="auto"/>
                <w:sz w:val="20"/>
                <w:szCs w:val="20"/>
              </w:rPr>
              <w:t>Other distinguishing features/biometrics (specify): Height, weight, hair and eye color, medical records for permit disputes</w:t>
            </w:r>
          </w:p>
          <w:p w:rsidR="002D2441" w:rsidRPr="004867F8" w:rsidRDefault="002D2441" w:rsidP="00EA1C01">
            <w:pPr>
              <w:pStyle w:val="Default"/>
              <w:rPr>
                <w:color w:val="auto"/>
                <w:sz w:val="20"/>
                <w:szCs w:val="20"/>
              </w:rPr>
            </w:pPr>
          </w:p>
        </w:tc>
      </w:tr>
    </w:tbl>
    <w:p w:rsidR="002D2441" w:rsidRDefault="002D2441" w:rsidP="002D2441">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System Administration/Audit Data (SAAD)</w:t>
            </w:r>
          </w:p>
        </w:tc>
      </w:tr>
      <w:tr w:rsidR="002D2441" w:rsidRPr="004867F8" w:rsidTr="00EA1C01">
        <w:tc>
          <w:tcPr>
            <w:tcW w:w="2592" w:type="dxa"/>
          </w:tcPr>
          <w:p w:rsidR="002D2441" w:rsidRPr="004867F8" w:rsidRDefault="002D2441" w:rsidP="00EA1C01">
            <w:pPr>
              <w:pStyle w:val="Default"/>
              <w:numPr>
                <w:ilvl w:val="0"/>
                <w:numId w:val="9"/>
              </w:numPr>
              <w:ind w:left="342" w:hanging="342"/>
              <w:rPr>
                <w:color w:val="auto"/>
                <w:sz w:val="20"/>
                <w:szCs w:val="20"/>
              </w:rPr>
            </w:pPr>
            <w:r>
              <w:rPr>
                <w:color w:val="auto"/>
                <w:sz w:val="20"/>
                <w:szCs w:val="20"/>
              </w:rPr>
              <w:t>User ID</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c.   Date/Time of Access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e.   ID Files Accessed</w:t>
            </w:r>
          </w:p>
        </w:tc>
        <w:tc>
          <w:tcPr>
            <w:tcW w:w="490" w:type="dxa"/>
          </w:tcPr>
          <w:p w:rsidR="002D2441" w:rsidRPr="004867F8" w:rsidRDefault="002D2441" w:rsidP="00EA1C01">
            <w:pPr>
              <w:pStyle w:val="Default"/>
              <w:rPr>
                <w:color w:val="auto"/>
                <w:sz w:val="20"/>
                <w:szCs w:val="20"/>
              </w:rPr>
            </w:pPr>
          </w:p>
        </w:tc>
      </w:tr>
      <w:tr w:rsidR="002D2441" w:rsidRPr="004867F8" w:rsidTr="00EA1C01">
        <w:tc>
          <w:tcPr>
            <w:tcW w:w="2592" w:type="dxa"/>
          </w:tcPr>
          <w:p w:rsidR="002D2441" w:rsidRPr="004867F8" w:rsidRDefault="002D2441" w:rsidP="00EA1C01">
            <w:pPr>
              <w:pStyle w:val="Default"/>
              <w:numPr>
                <w:ilvl w:val="0"/>
                <w:numId w:val="9"/>
              </w:numPr>
              <w:ind w:left="342" w:hanging="342"/>
              <w:rPr>
                <w:color w:val="auto"/>
                <w:sz w:val="20"/>
                <w:szCs w:val="20"/>
              </w:rPr>
            </w:pPr>
            <w:r>
              <w:rPr>
                <w:color w:val="auto"/>
                <w:sz w:val="20"/>
                <w:szCs w:val="20"/>
              </w:rPr>
              <w:t>IP Address</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numPr>
                <w:ilvl w:val="0"/>
                <w:numId w:val="8"/>
              </w:numPr>
              <w:ind w:left="263" w:hanging="270"/>
              <w:rPr>
                <w:color w:val="auto"/>
                <w:sz w:val="20"/>
                <w:szCs w:val="20"/>
              </w:rPr>
            </w:pPr>
            <w:r>
              <w:rPr>
                <w:color w:val="auto"/>
                <w:sz w:val="20"/>
                <w:szCs w:val="20"/>
              </w:rPr>
              <w:t>Queries Run</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f.   Contents of Files</w:t>
            </w:r>
          </w:p>
        </w:tc>
        <w:tc>
          <w:tcPr>
            <w:tcW w:w="490" w:type="dxa"/>
            <w:tcBorders>
              <w:bottom w:val="single" w:sz="4" w:space="0" w:color="auto"/>
            </w:tcBorders>
          </w:tcPr>
          <w:p w:rsidR="002D2441" w:rsidRPr="004867F8" w:rsidRDefault="002D2441" w:rsidP="00EA1C01">
            <w:pPr>
              <w:pStyle w:val="Default"/>
              <w:rPr>
                <w:color w:val="auto"/>
                <w:sz w:val="20"/>
                <w:szCs w:val="20"/>
              </w:rPr>
            </w:pPr>
          </w:p>
        </w:tc>
      </w:tr>
      <w:tr w:rsidR="002D2441" w:rsidRPr="004867F8" w:rsidTr="00EA1C01">
        <w:tc>
          <w:tcPr>
            <w:tcW w:w="9360" w:type="dxa"/>
            <w:gridSpan w:val="6"/>
          </w:tcPr>
          <w:p w:rsidR="002D2441" w:rsidRDefault="002D2441" w:rsidP="00EA1C01">
            <w:pPr>
              <w:pStyle w:val="Default"/>
              <w:numPr>
                <w:ilvl w:val="0"/>
                <w:numId w:val="7"/>
              </w:numPr>
              <w:ind w:left="342" w:hanging="342"/>
              <w:rPr>
                <w:color w:val="auto"/>
                <w:sz w:val="20"/>
                <w:szCs w:val="20"/>
              </w:rPr>
            </w:pPr>
            <w:r>
              <w:rPr>
                <w:color w:val="auto"/>
                <w:sz w:val="20"/>
                <w:szCs w:val="20"/>
              </w:rPr>
              <w:t>Other system administration/audit data (specify):</w:t>
            </w:r>
          </w:p>
          <w:p w:rsidR="002D2441" w:rsidRPr="004867F8" w:rsidRDefault="002D2441" w:rsidP="00EA1C01">
            <w:pPr>
              <w:pStyle w:val="Default"/>
              <w:rPr>
                <w:color w:val="auto"/>
                <w:sz w:val="20"/>
                <w:szCs w:val="20"/>
              </w:rPr>
            </w:pPr>
          </w:p>
        </w:tc>
      </w:tr>
    </w:tbl>
    <w:p w:rsidR="002D2441" w:rsidRDefault="002D2441" w:rsidP="002D2441">
      <w:pPr>
        <w:spacing w:after="0"/>
        <w:rPr>
          <w:rFonts w:ascii="Times New Roman" w:hAnsi="Times New Roman" w:cs="Times New Roman"/>
          <w:sz w:val="24"/>
          <w:szCs w:val="24"/>
        </w:rPr>
      </w:pPr>
    </w:p>
    <w:p w:rsidR="008D3C88" w:rsidRDefault="008D3C88" w:rsidP="002D2441">
      <w:pPr>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9360"/>
      </w:tblGrid>
      <w:tr w:rsidR="00EA1C01" w:rsidRPr="004867F8" w:rsidTr="00EA1C01">
        <w:trPr>
          <w:trHeight w:val="1214"/>
        </w:trPr>
        <w:tc>
          <w:tcPr>
            <w:tcW w:w="9360" w:type="dxa"/>
            <w:vAlign w:val="bottom"/>
          </w:tcPr>
          <w:p w:rsidR="00EA1C01" w:rsidRPr="00032B13" w:rsidRDefault="00EA1C01" w:rsidP="00260561">
            <w:pPr>
              <w:rPr>
                <w:rFonts w:ascii="Times New Roman" w:eastAsia="Times New Roman" w:hAnsi="Times New Roman" w:cs="Times New Roman"/>
                <w:color w:val="000000" w:themeColor="text1"/>
                <w:sz w:val="20"/>
                <w:szCs w:val="20"/>
              </w:rPr>
            </w:pPr>
            <w:r w:rsidRPr="00032B13">
              <w:rPr>
                <w:rFonts w:ascii="Times New Roman" w:eastAsia="Times New Roman" w:hAnsi="Times New Roman" w:cs="Times New Roman"/>
                <w:b/>
                <w:bCs/>
                <w:color w:val="000000" w:themeColor="text1"/>
                <w:sz w:val="20"/>
                <w:szCs w:val="20"/>
              </w:rPr>
              <w:t xml:space="preserve">Other Non-sensitive Information (specify): </w:t>
            </w:r>
            <w:r w:rsidRPr="00032B13">
              <w:rPr>
                <w:rFonts w:ascii="Times New Roman" w:eastAsia="Times New Roman" w:hAnsi="Times New Roman" w:cs="Times New Roman"/>
                <w:bCs/>
                <w:color w:val="000000" w:themeColor="text1"/>
                <w:sz w:val="20"/>
                <w:szCs w:val="20"/>
              </w:rPr>
              <w:t xml:space="preserve">Species, aggregate catch data and statistics, quota share balance, quota pound balance, quota pound limits, </w:t>
            </w:r>
            <w:r w:rsidR="00260561" w:rsidRPr="00032B13">
              <w:rPr>
                <w:rFonts w:ascii="Times New Roman" w:eastAsia="Times New Roman" w:hAnsi="Times New Roman" w:cs="Times New Roman"/>
                <w:color w:val="000000" w:themeColor="text1"/>
                <w:sz w:val="20"/>
                <w:szCs w:val="20"/>
              </w:rPr>
              <w:t>l</w:t>
            </w:r>
            <w:r w:rsidRPr="00032B13">
              <w:rPr>
                <w:rFonts w:ascii="Times New Roman" w:eastAsia="Times New Roman" w:hAnsi="Times New Roman" w:cs="Times New Roman"/>
                <w:color w:val="000000" w:themeColor="text1"/>
                <w:sz w:val="20"/>
                <w:szCs w:val="20"/>
              </w:rPr>
              <w:t>istings of endorsements and designations (i.e., gear endorsement, size endorsement, sector endorsement, permit tie</w:t>
            </w:r>
            <w:r w:rsidR="00823AD4" w:rsidRPr="00032B13">
              <w:rPr>
                <w:rFonts w:ascii="Times New Roman" w:eastAsia="Times New Roman" w:hAnsi="Times New Roman" w:cs="Times New Roman"/>
                <w:color w:val="000000" w:themeColor="text1"/>
                <w:sz w:val="20"/>
                <w:szCs w:val="20"/>
              </w:rPr>
              <w:t xml:space="preserve">r) associated with the permit, </w:t>
            </w:r>
            <w:r w:rsidRPr="00032B13">
              <w:rPr>
                <w:rFonts w:ascii="Times New Roman" w:eastAsia="Times New Roman" w:hAnsi="Times New Roman" w:cs="Times New Roman"/>
                <w:color w:val="000000" w:themeColor="text1"/>
                <w:sz w:val="20"/>
                <w:szCs w:val="20"/>
              </w:rPr>
              <w:t>name of physical IFQ landing site, Exemptions (i.e., Owner on Board - Grandfathered Exemption, Owner on Board, as stated in code of federal regulations) and ex</w:t>
            </w:r>
            <w:r w:rsidR="00260561" w:rsidRPr="00032B13">
              <w:rPr>
                <w:rFonts w:ascii="Times New Roman" w:eastAsia="Times New Roman" w:hAnsi="Times New Roman" w:cs="Times New Roman"/>
                <w:color w:val="000000" w:themeColor="text1"/>
                <w:sz w:val="20"/>
                <w:szCs w:val="20"/>
              </w:rPr>
              <w:t xml:space="preserve">emption status, contact persons. </w:t>
            </w:r>
          </w:p>
        </w:tc>
      </w:tr>
      <w:tr w:rsidR="008D3C88" w:rsidRPr="004867F8" w:rsidTr="00EA1C01">
        <w:tc>
          <w:tcPr>
            <w:tcW w:w="9360" w:type="dxa"/>
          </w:tcPr>
          <w:p w:rsidR="008D3C88" w:rsidRPr="00032B13" w:rsidRDefault="008D3C88" w:rsidP="00EA1C01">
            <w:pPr>
              <w:pStyle w:val="Default"/>
              <w:rPr>
                <w:b/>
                <w:color w:val="000000" w:themeColor="text1"/>
                <w:sz w:val="20"/>
                <w:szCs w:val="20"/>
              </w:rPr>
            </w:pPr>
            <w:r w:rsidRPr="00032B13">
              <w:rPr>
                <w:b/>
                <w:color w:val="000000" w:themeColor="text1"/>
                <w:sz w:val="20"/>
                <w:szCs w:val="20"/>
              </w:rPr>
              <w:t>Other Sensitive Information (specify)</w:t>
            </w:r>
            <w:r w:rsidR="00F00025">
              <w:rPr>
                <w:b/>
                <w:color w:val="000000" w:themeColor="text1"/>
                <w:sz w:val="20"/>
                <w:szCs w:val="20"/>
              </w:rPr>
              <w:t xml:space="preserve">: </w:t>
            </w:r>
            <w:r w:rsidR="00F00025" w:rsidRPr="00032B13">
              <w:rPr>
                <w:color w:val="000000" w:themeColor="text1"/>
                <w:sz w:val="20"/>
                <w:szCs w:val="20"/>
              </w:rPr>
              <w:t>Catch/Observer Discard Data</w:t>
            </w:r>
            <w:r w:rsidR="00F00025">
              <w:rPr>
                <w:color w:val="000000" w:themeColor="text1"/>
                <w:sz w:val="20"/>
                <w:szCs w:val="20"/>
              </w:rPr>
              <w:t xml:space="preserve">, </w:t>
            </w:r>
            <w:r w:rsidR="00F00025" w:rsidRPr="00032B13">
              <w:rPr>
                <w:color w:val="000000" w:themeColor="text1"/>
                <w:sz w:val="20"/>
                <w:szCs w:val="20"/>
              </w:rPr>
              <w:t>Quota Share/Quota Pound Transfer Data</w:t>
            </w:r>
            <w:r w:rsidR="00F00025">
              <w:rPr>
                <w:color w:val="000000" w:themeColor="text1"/>
                <w:sz w:val="20"/>
                <w:szCs w:val="20"/>
              </w:rPr>
              <w:t xml:space="preserve">,  </w:t>
            </w:r>
            <w:r w:rsidR="00F00025" w:rsidRPr="00032B13">
              <w:rPr>
                <w:color w:val="000000" w:themeColor="text1"/>
                <w:sz w:val="20"/>
                <w:szCs w:val="20"/>
              </w:rPr>
              <w:t>Business Operation Information (Business Processes, Procedures, Physical Maps)</w:t>
            </w:r>
          </w:p>
        </w:tc>
      </w:tr>
    </w:tbl>
    <w:p w:rsidR="002D2441" w:rsidRDefault="002D2441" w:rsidP="002D2441">
      <w:pPr>
        <w:spacing w:after="0"/>
        <w:rPr>
          <w:rFonts w:ascii="Times New Roman" w:hAnsi="Times New Roman" w:cs="Times New Roman"/>
          <w:sz w:val="24"/>
          <w:szCs w:val="24"/>
        </w:rPr>
      </w:pPr>
    </w:p>
    <w:p w:rsidR="002D2441" w:rsidRDefault="002D2441" w:rsidP="002D2441">
      <w:pPr>
        <w:spacing w:after="0"/>
        <w:rPr>
          <w:rFonts w:ascii="Times New Roman" w:hAnsi="Times New Roman" w:cs="Times New Roman"/>
          <w:sz w:val="24"/>
          <w:szCs w:val="24"/>
        </w:rPr>
      </w:pPr>
    </w:p>
    <w:p w:rsidR="002D2441" w:rsidRPr="008E3FBE" w:rsidRDefault="002D2441" w:rsidP="002D2441">
      <w:pPr>
        <w:pStyle w:val="ListParagraph"/>
        <w:numPr>
          <w:ilvl w:val="1"/>
          <w:numId w:val="1"/>
        </w:numPr>
        <w:tabs>
          <w:tab w:val="left" w:pos="630"/>
        </w:tabs>
        <w:spacing w:after="0"/>
        <w:rPr>
          <w:rFonts w:ascii="Times New Roman" w:hAnsi="Times New Roman" w:cs="Times New Roman"/>
          <w:sz w:val="24"/>
          <w:szCs w:val="24"/>
        </w:rPr>
      </w:pPr>
      <w:r w:rsidRPr="008E3FBE">
        <w:rPr>
          <w:rFonts w:ascii="Times New Roman" w:hAnsi="Times New Roman" w:cs="Times New Roman"/>
          <w:sz w:val="24"/>
          <w:szCs w:val="24"/>
        </w:rPr>
        <w:t xml:space="preserve">Indicate sources of the </w:t>
      </w:r>
      <w:r>
        <w:rPr>
          <w:rFonts w:ascii="Times New Roman" w:hAnsi="Times New Roman" w:cs="Times New Roman"/>
          <w:sz w:val="24"/>
          <w:szCs w:val="24"/>
        </w:rPr>
        <w:t>PII/BII</w:t>
      </w:r>
      <w:r w:rsidRPr="008E3FBE">
        <w:rPr>
          <w:rFonts w:ascii="Times New Roman" w:hAnsi="Times New Roman" w:cs="Times New Roman"/>
          <w:sz w:val="24"/>
          <w:szCs w:val="24"/>
        </w:rPr>
        <w:t xml:space="preserve"> in the system.  Check all that apply.</w:t>
      </w:r>
    </w:p>
    <w:p w:rsidR="002D2441" w:rsidRDefault="002D2441" w:rsidP="002D2441">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 xml:space="preserve">Directly from Individual about Whom the Information Pertains </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In Person</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2D2441">
            <w:pPr>
              <w:pStyle w:val="Default"/>
              <w:rPr>
                <w:color w:val="auto"/>
                <w:sz w:val="20"/>
                <w:szCs w:val="20"/>
              </w:rPr>
            </w:pPr>
            <w:r>
              <w:rPr>
                <w:color w:val="auto"/>
                <w:sz w:val="20"/>
                <w:szCs w:val="20"/>
              </w:rPr>
              <w:t>Hard Copy:  Mail/Fax</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Online</w:t>
            </w:r>
          </w:p>
        </w:tc>
        <w:tc>
          <w:tcPr>
            <w:tcW w:w="490" w:type="dxa"/>
            <w:tcBorders>
              <w:bottom w:val="single" w:sz="4" w:space="0" w:color="auto"/>
            </w:tcBorders>
          </w:tcPr>
          <w:p w:rsidR="002D2441" w:rsidRPr="004867F8" w:rsidRDefault="002D2441" w:rsidP="00EA1C01">
            <w:pPr>
              <w:pStyle w:val="Default"/>
              <w:rPr>
                <w:color w:val="auto"/>
                <w:sz w:val="20"/>
                <w:szCs w:val="20"/>
              </w:rPr>
            </w:pPr>
            <w:r>
              <w:rPr>
                <w:color w:val="auto"/>
                <w:sz w:val="20"/>
                <w:szCs w:val="20"/>
              </w:rPr>
              <w:t>x</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Telephone</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Pr>
          <w:p w:rsidR="002D2441" w:rsidRPr="004867F8" w:rsidRDefault="002D2441" w:rsidP="00EA1C01">
            <w:pPr>
              <w:pStyle w:val="Default"/>
              <w:rPr>
                <w:color w:val="auto"/>
                <w:sz w:val="20"/>
                <w:szCs w:val="20"/>
              </w:rPr>
            </w:pPr>
            <w:r>
              <w:rPr>
                <w:color w:val="auto"/>
                <w:sz w:val="20"/>
                <w:szCs w:val="20"/>
              </w:rPr>
              <w:t>Email</w:t>
            </w:r>
          </w:p>
        </w:tc>
        <w:tc>
          <w:tcPr>
            <w:tcW w:w="547" w:type="dxa"/>
          </w:tcPr>
          <w:p w:rsidR="002D2441" w:rsidRPr="004867F8" w:rsidRDefault="002D2441" w:rsidP="00EA1C01">
            <w:pPr>
              <w:pStyle w:val="Default"/>
              <w:rPr>
                <w:color w:val="auto"/>
                <w:sz w:val="20"/>
                <w:szCs w:val="20"/>
              </w:rPr>
            </w:pPr>
            <w:r>
              <w:rPr>
                <w:color w:val="auto"/>
                <w:sz w:val="20"/>
                <w:szCs w:val="20"/>
              </w:rPr>
              <w:t>x</w:t>
            </w:r>
          </w:p>
        </w:tc>
        <w:tc>
          <w:tcPr>
            <w:tcW w:w="2592"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r>
      <w:tr w:rsidR="002D2441" w:rsidRPr="004867F8" w:rsidTr="00EA1C01">
        <w:tc>
          <w:tcPr>
            <w:tcW w:w="9360" w:type="dxa"/>
            <w:gridSpan w:val="6"/>
          </w:tcPr>
          <w:p w:rsidR="002D2441" w:rsidRDefault="002D2441" w:rsidP="00EA1C01">
            <w:pPr>
              <w:pStyle w:val="Default"/>
              <w:rPr>
                <w:color w:val="auto"/>
                <w:sz w:val="20"/>
                <w:szCs w:val="20"/>
              </w:rPr>
            </w:pPr>
            <w:r>
              <w:rPr>
                <w:color w:val="auto"/>
                <w:sz w:val="20"/>
                <w:szCs w:val="20"/>
              </w:rPr>
              <w:t>Other (specify):</w:t>
            </w:r>
          </w:p>
          <w:p w:rsidR="002D2441" w:rsidRPr="004867F8" w:rsidRDefault="002D2441" w:rsidP="00EA1C01">
            <w:pPr>
              <w:pStyle w:val="Default"/>
              <w:rPr>
                <w:color w:val="auto"/>
                <w:sz w:val="20"/>
                <w:szCs w:val="20"/>
              </w:rPr>
            </w:pPr>
          </w:p>
        </w:tc>
      </w:tr>
    </w:tbl>
    <w:p w:rsidR="002D2441" w:rsidRDefault="002D2441" w:rsidP="002D2441">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EA1C01">
            <w:pPr>
              <w:pStyle w:val="Default"/>
              <w:rPr>
                <w:b/>
                <w:color w:val="auto"/>
                <w:sz w:val="20"/>
                <w:szCs w:val="20"/>
              </w:rPr>
            </w:pPr>
            <w:r>
              <w:rPr>
                <w:b/>
                <w:color w:val="auto"/>
                <w:sz w:val="20"/>
                <w:szCs w:val="20"/>
              </w:rPr>
              <w:t>Government Sources</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Within the Bureau</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Other DOC Bureaus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Other Federal Agencies</w:t>
            </w:r>
          </w:p>
        </w:tc>
        <w:tc>
          <w:tcPr>
            <w:tcW w:w="490" w:type="dxa"/>
          </w:tcPr>
          <w:p w:rsidR="002D2441" w:rsidRPr="004867F8" w:rsidRDefault="00607619" w:rsidP="00EA1C01">
            <w:pPr>
              <w:pStyle w:val="Default"/>
              <w:rPr>
                <w:color w:val="auto"/>
                <w:sz w:val="20"/>
                <w:szCs w:val="20"/>
              </w:rPr>
            </w:pPr>
            <w:r>
              <w:rPr>
                <w:color w:val="auto"/>
                <w:sz w:val="20"/>
                <w:szCs w:val="20"/>
              </w:rPr>
              <w:t>x</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State, Local, Tribal</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Foreign</w:t>
            </w:r>
          </w:p>
        </w:tc>
        <w:tc>
          <w:tcPr>
            <w:tcW w:w="547" w:type="dxa"/>
          </w:tcPr>
          <w:p w:rsidR="002D2441" w:rsidRPr="004867F8" w:rsidRDefault="002D2441" w:rsidP="00EA1C01">
            <w:pPr>
              <w:pStyle w:val="Default"/>
              <w:rPr>
                <w:color w:val="auto"/>
                <w:sz w:val="20"/>
                <w:szCs w:val="20"/>
              </w:rPr>
            </w:pPr>
          </w:p>
        </w:tc>
        <w:tc>
          <w:tcPr>
            <w:tcW w:w="2592"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r>
      <w:tr w:rsidR="002D2441" w:rsidRPr="004867F8" w:rsidTr="00EA1C01">
        <w:tc>
          <w:tcPr>
            <w:tcW w:w="9360" w:type="dxa"/>
            <w:gridSpan w:val="6"/>
          </w:tcPr>
          <w:p w:rsidR="002D2441" w:rsidRPr="004867F8" w:rsidRDefault="002D2441" w:rsidP="00F00025">
            <w:pPr>
              <w:pStyle w:val="Default"/>
              <w:rPr>
                <w:color w:val="auto"/>
                <w:sz w:val="20"/>
                <w:szCs w:val="20"/>
              </w:rPr>
            </w:pPr>
            <w:r>
              <w:rPr>
                <w:color w:val="auto"/>
                <w:sz w:val="20"/>
                <w:szCs w:val="20"/>
              </w:rPr>
              <w:t>Other (specify):</w:t>
            </w:r>
            <w:r w:rsidR="00607619">
              <w:rPr>
                <w:color w:val="auto"/>
                <w:sz w:val="20"/>
                <w:szCs w:val="20"/>
              </w:rPr>
              <w:t xml:space="preserve"> Other federal agencies: U.S. Coast Guard vessel registration data</w:t>
            </w:r>
            <w:r w:rsidR="00F00025">
              <w:rPr>
                <w:color w:val="auto"/>
                <w:sz w:val="20"/>
                <w:szCs w:val="20"/>
              </w:rPr>
              <w:t>.</w:t>
            </w:r>
            <w:r w:rsidR="00F00025" w:rsidRPr="004867F8">
              <w:rPr>
                <w:color w:val="auto"/>
                <w:sz w:val="20"/>
                <w:szCs w:val="20"/>
              </w:rPr>
              <w:t xml:space="preserve"> </w:t>
            </w:r>
          </w:p>
        </w:tc>
      </w:tr>
    </w:tbl>
    <w:p w:rsidR="002D2441" w:rsidRDefault="002D2441" w:rsidP="002D2441">
      <w:pPr>
        <w:tabs>
          <w:tab w:val="left" w:pos="540"/>
        </w:tabs>
        <w:spacing w:after="0"/>
        <w:rPr>
          <w:rFonts w:ascii="Times New Roman" w:hAnsi="Times New Roman" w:cs="Times New Roman"/>
          <w:sz w:val="24"/>
          <w:szCs w:val="24"/>
        </w:rPr>
      </w:pPr>
    </w:p>
    <w:tbl>
      <w:tblPr>
        <w:tblStyle w:val="TableGrid"/>
        <w:tblW w:w="9360" w:type="dxa"/>
        <w:tblInd w:w="108" w:type="dxa"/>
        <w:tblLook w:val="04A0" w:firstRow="1" w:lastRow="0" w:firstColumn="1" w:lastColumn="0" w:noHBand="0" w:noVBand="1"/>
      </w:tblPr>
      <w:tblGrid>
        <w:gridCol w:w="2592"/>
        <w:gridCol w:w="547"/>
        <w:gridCol w:w="2592"/>
        <w:gridCol w:w="547"/>
        <w:gridCol w:w="2592"/>
        <w:gridCol w:w="490"/>
      </w:tblGrid>
      <w:tr w:rsidR="002D2441" w:rsidRPr="004867F8" w:rsidTr="00EA1C01">
        <w:tc>
          <w:tcPr>
            <w:tcW w:w="9360" w:type="dxa"/>
            <w:gridSpan w:val="6"/>
          </w:tcPr>
          <w:p w:rsidR="002D2441" w:rsidRPr="004867F8" w:rsidRDefault="002D2441" w:rsidP="002D2441">
            <w:pPr>
              <w:pStyle w:val="Default"/>
              <w:rPr>
                <w:b/>
                <w:color w:val="auto"/>
                <w:sz w:val="20"/>
                <w:szCs w:val="20"/>
              </w:rPr>
            </w:pPr>
            <w:r>
              <w:rPr>
                <w:b/>
                <w:color w:val="auto"/>
                <w:sz w:val="20"/>
                <w:szCs w:val="20"/>
              </w:rPr>
              <w:t xml:space="preserve">Non-government Sources </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Public Organizations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Public Media, Internet</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r>
              <w:rPr>
                <w:color w:val="auto"/>
                <w:sz w:val="20"/>
                <w:szCs w:val="20"/>
              </w:rPr>
              <w:t>Private Sector</w:t>
            </w:r>
          </w:p>
        </w:tc>
        <w:tc>
          <w:tcPr>
            <w:tcW w:w="490" w:type="dxa"/>
          </w:tcPr>
          <w:p w:rsidR="002D2441" w:rsidRPr="004867F8" w:rsidRDefault="00260561" w:rsidP="00EA1C01">
            <w:pPr>
              <w:pStyle w:val="Default"/>
              <w:rPr>
                <w:color w:val="auto"/>
                <w:sz w:val="20"/>
                <w:szCs w:val="20"/>
              </w:rPr>
            </w:pPr>
            <w:r>
              <w:rPr>
                <w:color w:val="auto"/>
                <w:sz w:val="20"/>
                <w:szCs w:val="20"/>
              </w:rPr>
              <w:t>x*</w:t>
            </w:r>
          </w:p>
        </w:tc>
      </w:tr>
      <w:tr w:rsidR="002D2441" w:rsidRPr="004867F8" w:rsidTr="00EA1C01">
        <w:tc>
          <w:tcPr>
            <w:tcW w:w="2592" w:type="dxa"/>
          </w:tcPr>
          <w:p w:rsidR="002D2441" w:rsidRPr="004867F8" w:rsidRDefault="002D2441" w:rsidP="00EA1C01">
            <w:pPr>
              <w:pStyle w:val="Default"/>
              <w:rPr>
                <w:color w:val="auto"/>
                <w:sz w:val="20"/>
                <w:szCs w:val="20"/>
              </w:rPr>
            </w:pPr>
            <w:r>
              <w:rPr>
                <w:color w:val="auto"/>
                <w:sz w:val="20"/>
                <w:szCs w:val="20"/>
              </w:rPr>
              <w:t>Commercial Data Brokers</w:t>
            </w:r>
          </w:p>
        </w:tc>
        <w:tc>
          <w:tcPr>
            <w:tcW w:w="547" w:type="dxa"/>
          </w:tcPr>
          <w:p w:rsidR="002D2441" w:rsidRPr="004867F8" w:rsidRDefault="002D2441" w:rsidP="00EA1C01">
            <w:pPr>
              <w:pStyle w:val="Default"/>
              <w:rPr>
                <w:color w:val="auto"/>
                <w:sz w:val="20"/>
                <w:szCs w:val="20"/>
              </w:rPr>
            </w:pPr>
          </w:p>
        </w:tc>
        <w:tc>
          <w:tcPr>
            <w:tcW w:w="2592" w:type="dxa"/>
          </w:tcPr>
          <w:p w:rsidR="002D2441" w:rsidRPr="004867F8" w:rsidRDefault="002D2441" w:rsidP="00EA1C01">
            <w:pPr>
              <w:pStyle w:val="Default"/>
              <w:rPr>
                <w:color w:val="auto"/>
                <w:sz w:val="20"/>
                <w:szCs w:val="20"/>
              </w:rPr>
            </w:pPr>
          </w:p>
        </w:tc>
        <w:tc>
          <w:tcPr>
            <w:tcW w:w="547" w:type="dxa"/>
          </w:tcPr>
          <w:p w:rsidR="002D2441" w:rsidRPr="004867F8" w:rsidRDefault="002D2441" w:rsidP="00EA1C01">
            <w:pPr>
              <w:pStyle w:val="Default"/>
              <w:rPr>
                <w:color w:val="auto"/>
                <w:sz w:val="20"/>
                <w:szCs w:val="20"/>
              </w:rPr>
            </w:pPr>
          </w:p>
        </w:tc>
        <w:tc>
          <w:tcPr>
            <w:tcW w:w="2592"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c>
          <w:tcPr>
            <w:tcW w:w="490" w:type="dxa"/>
            <w:tcBorders>
              <w:bottom w:val="single" w:sz="4" w:space="0" w:color="auto"/>
            </w:tcBorders>
            <w:shd w:val="clear" w:color="auto" w:fill="A6A6A6" w:themeFill="background1" w:themeFillShade="A6"/>
          </w:tcPr>
          <w:p w:rsidR="002D2441" w:rsidRPr="00736301" w:rsidRDefault="002D2441" w:rsidP="00EA1C01">
            <w:pPr>
              <w:pStyle w:val="Default"/>
              <w:rPr>
                <w:color w:val="auto"/>
                <w:sz w:val="20"/>
                <w:szCs w:val="20"/>
                <w:highlight w:val="lightGray"/>
              </w:rPr>
            </w:pPr>
          </w:p>
        </w:tc>
      </w:tr>
      <w:tr w:rsidR="002D2441" w:rsidRPr="004867F8" w:rsidTr="00EA1C01">
        <w:tc>
          <w:tcPr>
            <w:tcW w:w="9360" w:type="dxa"/>
            <w:gridSpan w:val="6"/>
          </w:tcPr>
          <w:p w:rsidR="002D2441" w:rsidRDefault="002D2441" w:rsidP="00EA1C01">
            <w:pPr>
              <w:pStyle w:val="Default"/>
              <w:rPr>
                <w:color w:val="auto"/>
                <w:sz w:val="20"/>
                <w:szCs w:val="20"/>
              </w:rPr>
            </w:pPr>
            <w:r>
              <w:rPr>
                <w:color w:val="auto"/>
                <w:sz w:val="20"/>
                <w:szCs w:val="20"/>
              </w:rPr>
              <w:t xml:space="preserve">Other (specify): </w:t>
            </w:r>
            <w:r w:rsidR="00260561">
              <w:rPr>
                <w:color w:val="auto"/>
                <w:sz w:val="20"/>
                <w:szCs w:val="20"/>
              </w:rPr>
              <w:t>*</w:t>
            </w:r>
            <w:r w:rsidR="008D3C88">
              <w:rPr>
                <w:color w:val="auto"/>
                <w:sz w:val="20"/>
                <w:szCs w:val="20"/>
              </w:rPr>
              <w:t>State or Regional</w:t>
            </w:r>
            <w:r>
              <w:rPr>
                <w:color w:val="auto"/>
                <w:sz w:val="20"/>
                <w:szCs w:val="20"/>
              </w:rPr>
              <w:t xml:space="preserve"> Marine Fisheries Commission’s Data</w:t>
            </w:r>
          </w:p>
          <w:p w:rsidR="002D2441" w:rsidRPr="004867F8" w:rsidRDefault="002D2441" w:rsidP="00EA1C01">
            <w:pPr>
              <w:pStyle w:val="Default"/>
              <w:rPr>
                <w:color w:val="auto"/>
                <w:sz w:val="20"/>
                <w:szCs w:val="20"/>
              </w:rPr>
            </w:pPr>
          </w:p>
        </w:tc>
      </w:tr>
    </w:tbl>
    <w:p w:rsidR="002D2441" w:rsidRDefault="002D2441" w:rsidP="002D2441">
      <w:pPr>
        <w:pStyle w:val="Default"/>
        <w:rPr>
          <w:b/>
          <w:color w:val="auto"/>
          <w:u w:val="single"/>
        </w:rPr>
      </w:pPr>
    </w:p>
    <w:p w:rsidR="008753AE" w:rsidRDefault="008753AE" w:rsidP="00676F73">
      <w:pPr>
        <w:pStyle w:val="Default"/>
        <w:rPr>
          <w:b/>
          <w:color w:val="auto"/>
          <w:u w:val="single"/>
        </w:rPr>
      </w:pPr>
    </w:p>
    <w:p w:rsidR="00676F73" w:rsidRPr="00B02653" w:rsidRDefault="00676F73" w:rsidP="00676F73">
      <w:pPr>
        <w:pStyle w:val="Default"/>
        <w:rPr>
          <w:b/>
          <w:color w:val="auto"/>
        </w:rPr>
      </w:pPr>
      <w:r w:rsidRPr="00B02653">
        <w:rPr>
          <w:b/>
          <w:color w:val="auto"/>
          <w:u w:val="single"/>
        </w:rPr>
        <w:t>Section 2</w:t>
      </w:r>
      <w:r w:rsidRPr="00B02653">
        <w:rPr>
          <w:b/>
          <w:color w:val="auto"/>
        </w:rPr>
        <w:t>:  Purpose of the System</w:t>
      </w:r>
    </w:p>
    <w:p w:rsidR="00A21CAE" w:rsidRPr="00B02653" w:rsidRDefault="00A21CAE" w:rsidP="008E3FBE">
      <w:pPr>
        <w:tabs>
          <w:tab w:val="left" w:pos="540"/>
        </w:tabs>
        <w:spacing w:after="0"/>
        <w:rPr>
          <w:rFonts w:ascii="Times New Roman" w:hAnsi="Times New Roman" w:cs="Times New Roman"/>
          <w:sz w:val="24"/>
          <w:szCs w:val="24"/>
        </w:rPr>
      </w:pPr>
    </w:p>
    <w:p w:rsidR="00A21CAE" w:rsidRPr="00B02653" w:rsidRDefault="003E6B42" w:rsidP="001726CD">
      <w:pPr>
        <w:tabs>
          <w:tab w:val="left" w:pos="630"/>
        </w:tabs>
        <w:spacing w:after="0"/>
        <w:ind w:left="630" w:hanging="630"/>
        <w:rPr>
          <w:rFonts w:ascii="Times New Roman" w:hAnsi="Times New Roman" w:cs="Times New Roman"/>
          <w:sz w:val="24"/>
          <w:szCs w:val="24"/>
        </w:rPr>
      </w:pPr>
      <w:r w:rsidRPr="00B02653">
        <w:rPr>
          <w:rFonts w:ascii="Times New Roman" w:hAnsi="Times New Roman" w:cs="Times New Roman"/>
          <w:sz w:val="24"/>
          <w:szCs w:val="24"/>
        </w:rPr>
        <w:t>2.1</w:t>
      </w:r>
      <w:r w:rsidRPr="00B02653">
        <w:rPr>
          <w:rFonts w:ascii="Times New Roman" w:hAnsi="Times New Roman" w:cs="Times New Roman"/>
          <w:sz w:val="24"/>
          <w:szCs w:val="24"/>
        </w:rPr>
        <w:tab/>
        <w:t>Indicate why the PII/BII</w:t>
      </w:r>
      <w:r w:rsidR="00A21CAE" w:rsidRPr="00B02653">
        <w:rPr>
          <w:rFonts w:ascii="Times New Roman" w:hAnsi="Times New Roman" w:cs="Times New Roman"/>
          <w:sz w:val="24"/>
          <w:szCs w:val="24"/>
        </w:rPr>
        <w:t xml:space="preserve"> in the system is being collected, maintained, or disseminated.  Check all that apply.</w:t>
      </w:r>
    </w:p>
    <w:p w:rsidR="00A21CAE" w:rsidRPr="00B02653" w:rsidRDefault="00A21CAE" w:rsidP="00A21CAE">
      <w:pPr>
        <w:tabs>
          <w:tab w:val="left" w:pos="540"/>
        </w:tabs>
        <w:spacing w:after="0"/>
        <w:ind w:left="540" w:hanging="540"/>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4184"/>
        <w:gridCol w:w="537"/>
        <w:gridCol w:w="4096"/>
        <w:gridCol w:w="543"/>
      </w:tblGrid>
      <w:tr w:rsidR="00A21CAE" w:rsidRPr="00B02653" w:rsidTr="00EE1889">
        <w:tc>
          <w:tcPr>
            <w:tcW w:w="9360" w:type="dxa"/>
            <w:gridSpan w:val="4"/>
          </w:tcPr>
          <w:p w:rsidR="00A21CAE" w:rsidRPr="00B02653" w:rsidRDefault="00A21CAE" w:rsidP="00A21CAE">
            <w:pPr>
              <w:tabs>
                <w:tab w:val="left" w:pos="540"/>
              </w:tabs>
              <w:rPr>
                <w:rFonts w:ascii="Times New Roman" w:hAnsi="Times New Roman" w:cs="Times New Roman"/>
                <w:b/>
                <w:sz w:val="20"/>
                <w:szCs w:val="20"/>
              </w:rPr>
            </w:pPr>
            <w:r w:rsidRPr="00B02653">
              <w:rPr>
                <w:rFonts w:ascii="Times New Roman" w:hAnsi="Times New Roman" w:cs="Times New Roman"/>
                <w:b/>
                <w:sz w:val="20"/>
                <w:szCs w:val="20"/>
              </w:rPr>
              <w:t>Purpose</w:t>
            </w:r>
          </w:p>
        </w:tc>
      </w:tr>
      <w:tr w:rsidR="00A21CAE" w:rsidRPr="00B02653" w:rsidTr="00EE1889">
        <w:tc>
          <w:tcPr>
            <w:tcW w:w="4230" w:type="dxa"/>
          </w:tcPr>
          <w:p w:rsidR="00A21CAE" w:rsidRPr="00B02653" w:rsidRDefault="00123DD4" w:rsidP="00123DD4">
            <w:pPr>
              <w:tabs>
                <w:tab w:val="left" w:pos="540"/>
              </w:tabs>
              <w:rPr>
                <w:rFonts w:ascii="Times New Roman" w:hAnsi="Times New Roman" w:cs="Times New Roman"/>
                <w:sz w:val="20"/>
                <w:szCs w:val="20"/>
              </w:rPr>
            </w:pPr>
            <w:r w:rsidRPr="00B02653">
              <w:rPr>
                <w:rFonts w:ascii="Times New Roman" w:hAnsi="Times New Roman" w:cs="Times New Roman"/>
                <w:sz w:val="20"/>
                <w:szCs w:val="20"/>
              </w:rPr>
              <w:t xml:space="preserve">To determine eligibility </w:t>
            </w:r>
          </w:p>
        </w:tc>
        <w:tc>
          <w:tcPr>
            <w:tcW w:w="540" w:type="dxa"/>
          </w:tcPr>
          <w:p w:rsidR="00A21CAE" w:rsidRPr="00B02653" w:rsidRDefault="00A93C98"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x</w:t>
            </w:r>
          </w:p>
        </w:tc>
        <w:tc>
          <w:tcPr>
            <w:tcW w:w="4140" w:type="dxa"/>
          </w:tcPr>
          <w:p w:rsidR="00A21CAE" w:rsidRPr="00B02653" w:rsidRDefault="00123DD4" w:rsidP="00123DD4">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administering human resources programs</w:t>
            </w:r>
          </w:p>
        </w:tc>
        <w:tc>
          <w:tcPr>
            <w:tcW w:w="547" w:type="dxa"/>
          </w:tcPr>
          <w:p w:rsidR="00A21CAE" w:rsidRPr="00B02653" w:rsidRDefault="00A21CAE" w:rsidP="00A21CAE">
            <w:pPr>
              <w:tabs>
                <w:tab w:val="left" w:pos="540"/>
              </w:tabs>
              <w:rPr>
                <w:rFonts w:ascii="Times New Roman" w:hAnsi="Times New Roman" w:cs="Times New Roman"/>
                <w:sz w:val="20"/>
                <w:szCs w:val="20"/>
              </w:rPr>
            </w:pPr>
          </w:p>
        </w:tc>
      </w:tr>
      <w:tr w:rsidR="000F667A" w:rsidRPr="00B02653" w:rsidTr="00EE1889">
        <w:tc>
          <w:tcPr>
            <w:tcW w:w="4230" w:type="dxa"/>
          </w:tcPr>
          <w:p w:rsidR="000F667A" w:rsidRPr="00B02653" w:rsidRDefault="000F667A"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administrative matters</w:t>
            </w:r>
          </w:p>
        </w:tc>
        <w:tc>
          <w:tcPr>
            <w:tcW w:w="540" w:type="dxa"/>
          </w:tcPr>
          <w:p w:rsidR="000F667A" w:rsidRPr="00B02653" w:rsidRDefault="00A93C98"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x</w:t>
            </w:r>
          </w:p>
        </w:tc>
        <w:tc>
          <w:tcPr>
            <w:tcW w:w="4140" w:type="dxa"/>
          </w:tcPr>
          <w:p w:rsidR="000F667A" w:rsidRPr="00B02653" w:rsidRDefault="000F667A" w:rsidP="000F667A">
            <w:pPr>
              <w:tabs>
                <w:tab w:val="left" w:pos="540"/>
              </w:tabs>
              <w:rPr>
                <w:rFonts w:ascii="Times New Roman" w:hAnsi="Times New Roman" w:cs="Times New Roman"/>
                <w:sz w:val="20"/>
                <w:szCs w:val="20"/>
              </w:rPr>
            </w:pPr>
            <w:r w:rsidRPr="00B02653">
              <w:rPr>
                <w:rFonts w:ascii="Times New Roman" w:hAnsi="Times New Roman" w:cs="Times New Roman"/>
                <w:sz w:val="20"/>
                <w:szCs w:val="20"/>
              </w:rPr>
              <w:t>To promote information sharing initiatives</w:t>
            </w:r>
          </w:p>
        </w:tc>
        <w:tc>
          <w:tcPr>
            <w:tcW w:w="450" w:type="dxa"/>
          </w:tcPr>
          <w:p w:rsidR="000F667A" w:rsidRPr="00B02653" w:rsidRDefault="000F667A" w:rsidP="00A21CAE">
            <w:pPr>
              <w:tabs>
                <w:tab w:val="left" w:pos="540"/>
              </w:tabs>
              <w:rPr>
                <w:rFonts w:ascii="Times New Roman" w:hAnsi="Times New Roman" w:cs="Times New Roman"/>
                <w:sz w:val="20"/>
                <w:szCs w:val="20"/>
              </w:rPr>
            </w:pPr>
          </w:p>
        </w:tc>
      </w:tr>
      <w:tr w:rsidR="000F667A" w:rsidRPr="00B02653" w:rsidTr="00EE1889">
        <w:tc>
          <w:tcPr>
            <w:tcW w:w="4230" w:type="dxa"/>
          </w:tcPr>
          <w:p w:rsidR="000F667A" w:rsidRPr="00B02653" w:rsidRDefault="000F667A" w:rsidP="000F667A">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litigation</w:t>
            </w:r>
          </w:p>
        </w:tc>
        <w:tc>
          <w:tcPr>
            <w:tcW w:w="540" w:type="dxa"/>
          </w:tcPr>
          <w:p w:rsidR="000F667A" w:rsidRPr="00B02653" w:rsidRDefault="000F667A" w:rsidP="00A21CAE">
            <w:pPr>
              <w:tabs>
                <w:tab w:val="left" w:pos="540"/>
              </w:tabs>
              <w:rPr>
                <w:rFonts w:ascii="Times New Roman" w:hAnsi="Times New Roman" w:cs="Times New Roman"/>
                <w:sz w:val="20"/>
                <w:szCs w:val="20"/>
              </w:rPr>
            </w:pPr>
          </w:p>
        </w:tc>
        <w:tc>
          <w:tcPr>
            <w:tcW w:w="4140" w:type="dxa"/>
          </w:tcPr>
          <w:p w:rsidR="000F667A" w:rsidRPr="00B02653" w:rsidRDefault="000F667A" w:rsidP="000F667A">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criminal law enforcement activities</w:t>
            </w:r>
          </w:p>
        </w:tc>
        <w:tc>
          <w:tcPr>
            <w:tcW w:w="450" w:type="dxa"/>
          </w:tcPr>
          <w:p w:rsidR="000F667A" w:rsidRPr="00B02653" w:rsidRDefault="00A93C98"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x</w:t>
            </w:r>
          </w:p>
        </w:tc>
      </w:tr>
      <w:tr w:rsidR="000F667A" w:rsidRPr="00B02653" w:rsidTr="00EE1889">
        <w:tc>
          <w:tcPr>
            <w:tcW w:w="4230" w:type="dxa"/>
          </w:tcPr>
          <w:p w:rsidR="000F667A" w:rsidRPr="00B02653" w:rsidRDefault="000F667A" w:rsidP="000F667A">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civil enforcement activities</w:t>
            </w:r>
          </w:p>
        </w:tc>
        <w:tc>
          <w:tcPr>
            <w:tcW w:w="540" w:type="dxa"/>
          </w:tcPr>
          <w:p w:rsidR="000F667A" w:rsidRPr="00B02653" w:rsidRDefault="00A93C98"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x</w:t>
            </w:r>
          </w:p>
        </w:tc>
        <w:tc>
          <w:tcPr>
            <w:tcW w:w="4140" w:type="dxa"/>
          </w:tcPr>
          <w:p w:rsidR="000F667A" w:rsidRPr="00B02653" w:rsidRDefault="000F667A" w:rsidP="000F667A">
            <w:pPr>
              <w:tabs>
                <w:tab w:val="left" w:pos="540"/>
              </w:tabs>
              <w:rPr>
                <w:rFonts w:ascii="Times New Roman" w:hAnsi="Times New Roman" w:cs="Times New Roman"/>
                <w:sz w:val="20"/>
                <w:szCs w:val="20"/>
              </w:rPr>
            </w:pPr>
            <w:r w:rsidRPr="00B02653">
              <w:rPr>
                <w:rFonts w:ascii="Times New Roman" w:hAnsi="Times New Roman" w:cs="Times New Roman"/>
                <w:sz w:val="20"/>
                <w:szCs w:val="20"/>
              </w:rPr>
              <w:t>For intelligence activities</w:t>
            </w:r>
          </w:p>
        </w:tc>
        <w:tc>
          <w:tcPr>
            <w:tcW w:w="450" w:type="dxa"/>
          </w:tcPr>
          <w:p w:rsidR="000F667A" w:rsidRPr="00B02653" w:rsidRDefault="000F667A" w:rsidP="00A21CAE">
            <w:pPr>
              <w:tabs>
                <w:tab w:val="left" w:pos="540"/>
              </w:tabs>
              <w:rPr>
                <w:rFonts w:ascii="Times New Roman" w:hAnsi="Times New Roman" w:cs="Times New Roman"/>
                <w:sz w:val="20"/>
                <w:szCs w:val="20"/>
              </w:rPr>
            </w:pPr>
          </w:p>
        </w:tc>
      </w:tr>
      <w:tr w:rsidR="000F667A" w:rsidRPr="00B02653" w:rsidTr="00EE1889">
        <w:tc>
          <w:tcPr>
            <w:tcW w:w="4230" w:type="dxa"/>
          </w:tcPr>
          <w:p w:rsidR="000F667A" w:rsidRPr="00B02653" w:rsidRDefault="00975C6B" w:rsidP="00A21CAE">
            <w:pPr>
              <w:tabs>
                <w:tab w:val="left" w:pos="540"/>
              </w:tabs>
              <w:rPr>
                <w:rFonts w:ascii="Times New Roman" w:hAnsi="Times New Roman" w:cs="Times New Roman"/>
                <w:sz w:val="20"/>
                <w:szCs w:val="20"/>
              </w:rPr>
            </w:pPr>
            <w:r w:rsidRPr="00B02653">
              <w:rPr>
                <w:rFonts w:ascii="Times New Roman" w:hAnsi="Times New Roman" w:cs="Times New Roman"/>
                <w:sz w:val="20"/>
                <w:szCs w:val="20"/>
              </w:rPr>
              <w:t>Other (specify):</w:t>
            </w:r>
          </w:p>
        </w:tc>
        <w:tc>
          <w:tcPr>
            <w:tcW w:w="540" w:type="dxa"/>
          </w:tcPr>
          <w:p w:rsidR="000F667A" w:rsidRPr="00B02653" w:rsidRDefault="000F667A" w:rsidP="00A21CAE">
            <w:pPr>
              <w:tabs>
                <w:tab w:val="left" w:pos="540"/>
              </w:tabs>
              <w:rPr>
                <w:rFonts w:ascii="Times New Roman" w:hAnsi="Times New Roman" w:cs="Times New Roman"/>
                <w:sz w:val="20"/>
                <w:szCs w:val="20"/>
              </w:rPr>
            </w:pPr>
          </w:p>
        </w:tc>
        <w:tc>
          <w:tcPr>
            <w:tcW w:w="4140" w:type="dxa"/>
          </w:tcPr>
          <w:p w:rsidR="000F667A" w:rsidRPr="00B02653" w:rsidRDefault="000F667A" w:rsidP="00A21CAE">
            <w:pPr>
              <w:tabs>
                <w:tab w:val="left" w:pos="540"/>
              </w:tabs>
              <w:rPr>
                <w:rFonts w:ascii="Times New Roman" w:hAnsi="Times New Roman" w:cs="Times New Roman"/>
                <w:sz w:val="20"/>
                <w:szCs w:val="20"/>
              </w:rPr>
            </w:pPr>
          </w:p>
        </w:tc>
        <w:tc>
          <w:tcPr>
            <w:tcW w:w="450" w:type="dxa"/>
          </w:tcPr>
          <w:p w:rsidR="000F667A" w:rsidRPr="00B02653" w:rsidRDefault="000F667A" w:rsidP="00A21CAE">
            <w:pPr>
              <w:tabs>
                <w:tab w:val="left" w:pos="540"/>
              </w:tabs>
              <w:rPr>
                <w:rFonts w:ascii="Times New Roman" w:hAnsi="Times New Roman" w:cs="Times New Roman"/>
                <w:sz w:val="20"/>
                <w:szCs w:val="20"/>
              </w:rPr>
            </w:pPr>
          </w:p>
        </w:tc>
      </w:tr>
    </w:tbl>
    <w:p w:rsidR="00A21CAE" w:rsidRPr="00B02653" w:rsidRDefault="00A21CAE" w:rsidP="00A21CAE">
      <w:pPr>
        <w:tabs>
          <w:tab w:val="left" w:pos="540"/>
        </w:tabs>
        <w:spacing w:after="0"/>
        <w:ind w:left="540" w:hanging="540"/>
        <w:rPr>
          <w:rFonts w:ascii="Times New Roman" w:hAnsi="Times New Roman" w:cs="Times New Roman"/>
          <w:sz w:val="24"/>
          <w:szCs w:val="24"/>
        </w:rPr>
      </w:pPr>
    </w:p>
    <w:p w:rsidR="003E6B42" w:rsidRPr="00B02653" w:rsidRDefault="003E6B42" w:rsidP="003E6B42">
      <w:pPr>
        <w:pStyle w:val="Default"/>
        <w:rPr>
          <w:b/>
          <w:color w:val="auto"/>
        </w:rPr>
      </w:pPr>
      <w:r w:rsidRPr="00B02653">
        <w:rPr>
          <w:b/>
          <w:color w:val="auto"/>
          <w:u w:val="single"/>
        </w:rPr>
        <w:t>Section 3</w:t>
      </w:r>
      <w:r w:rsidRPr="00B02653">
        <w:rPr>
          <w:b/>
          <w:color w:val="auto"/>
        </w:rPr>
        <w:t>:  Use of the System</w:t>
      </w:r>
    </w:p>
    <w:p w:rsidR="003E6B42" w:rsidRPr="00B02653" w:rsidRDefault="003E6B42" w:rsidP="001726CD">
      <w:pPr>
        <w:tabs>
          <w:tab w:val="left" w:pos="630"/>
        </w:tabs>
        <w:spacing w:after="0"/>
        <w:ind w:left="630" w:hanging="630"/>
        <w:rPr>
          <w:rFonts w:ascii="Times New Roman" w:hAnsi="Times New Roman" w:cs="Times New Roman"/>
          <w:sz w:val="24"/>
          <w:szCs w:val="24"/>
        </w:rPr>
      </w:pPr>
    </w:p>
    <w:p w:rsidR="00A25309" w:rsidRPr="00B02653" w:rsidRDefault="003E6B42" w:rsidP="001726CD">
      <w:pPr>
        <w:tabs>
          <w:tab w:val="left" w:pos="630"/>
        </w:tabs>
        <w:spacing w:after="0"/>
        <w:ind w:left="630" w:hanging="630"/>
        <w:rPr>
          <w:rFonts w:ascii="Times New Roman" w:hAnsi="Times New Roman" w:cs="Times New Roman"/>
          <w:sz w:val="24"/>
          <w:szCs w:val="24"/>
        </w:rPr>
      </w:pPr>
      <w:r w:rsidRPr="00B02653">
        <w:rPr>
          <w:rFonts w:ascii="Times New Roman" w:hAnsi="Times New Roman" w:cs="Times New Roman"/>
          <w:sz w:val="24"/>
          <w:szCs w:val="24"/>
        </w:rPr>
        <w:t>3.1</w:t>
      </w:r>
      <w:r w:rsidR="00A25309" w:rsidRPr="00B02653">
        <w:rPr>
          <w:rFonts w:ascii="Times New Roman" w:hAnsi="Times New Roman" w:cs="Times New Roman"/>
          <w:sz w:val="24"/>
          <w:szCs w:val="24"/>
        </w:rPr>
        <w:tab/>
        <w:t xml:space="preserve">Provide an explanation of how the </w:t>
      </w:r>
      <w:r w:rsidR="00676F73" w:rsidRPr="00B02653">
        <w:rPr>
          <w:rFonts w:ascii="Times New Roman" w:hAnsi="Times New Roman" w:cs="Times New Roman"/>
          <w:sz w:val="24"/>
          <w:szCs w:val="24"/>
        </w:rPr>
        <w:t>bureau</w:t>
      </w:r>
      <w:r w:rsidR="00A25309" w:rsidRPr="00B02653">
        <w:rPr>
          <w:rFonts w:ascii="Times New Roman" w:hAnsi="Times New Roman" w:cs="Times New Roman"/>
          <w:sz w:val="24"/>
          <w:szCs w:val="24"/>
        </w:rPr>
        <w:t xml:space="preserve"> will use the PII</w:t>
      </w:r>
      <w:r w:rsidRPr="00B02653">
        <w:rPr>
          <w:rFonts w:ascii="Times New Roman" w:hAnsi="Times New Roman" w:cs="Times New Roman"/>
          <w:sz w:val="24"/>
          <w:szCs w:val="24"/>
        </w:rPr>
        <w:t>/BII</w:t>
      </w:r>
      <w:r w:rsidR="00A25309" w:rsidRPr="00B02653">
        <w:rPr>
          <w:rFonts w:ascii="Times New Roman" w:hAnsi="Times New Roman" w:cs="Times New Roman"/>
          <w:sz w:val="24"/>
          <w:szCs w:val="24"/>
        </w:rPr>
        <w:t xml:space="preserve"> to accomplish the checked purpose(s)</w:t>
      </w:r>
      <w:r w:rsidR="00EA7AE7" w:rsidRPr="00B02653">
        <w:rPr>
          <w:rFonts w:ascii="Times New Roman" w:hAnsi="Times New Roman" w:cs="Times New Roman"/>
          <w:sz w:val="24"/>
          <w:szCs w:val="24"/>
        </w:rPr>
        <w:t>, e.g., to verify existing data</w:t>
      </w:r>
      <w:r w:rsidR="00A25309" w:rsidRPr="00B02653">
        <w:rPr>
          <w:rFonts w:ascii="Times New Roman" w:hAnsi="Times New Roman" w:cs="Times New Roman"/>
          <w:sz w:val="24"/>
          <w:szCs w:val="24"/>
        </w:rPr>
        <w:t>.  Describe why the PII</w:t>
      </w:r>
      <w:r w:rsidRPr="00B02653">
        <w:rPr>
          <w:rFonts w:ascii="Times New Roman" w:hAnsi="Times New Roman" w:cs="Times New Roman"/>
          <w:sz w:val="24"/>
          <w:szCs w:val="24"/>
        </w:rPr>
        <w:t>/BII</w:t>
      </w:r>
      <w:r w:rsidR="00A25309" w:rsidRPr="00B02653">
        <w:rPr>
          <w:rFonts w:ascii="Times New Roman" w:hAnsi="Times New Roman" w:cs="Times New Roman"/>
          <w:sz w:val="24"/>
          <w:szCs w:val="24"/>
        </w:rPr>
        <w:t xml:space="preserve"> that is collected, maintained, or disseminated is necessary to accomplish the checked purpose(s) and further the </w:t>
      </w:r>
      <w:r w:rsidR="00676F73" w:rsidRPr="00B02653">
        <w:rPr>
          <w:rFonts w:ascii="Times New Roman" w:hAnsi="Times New Roman" w:cs="Times New Roman"/>
          <w:sz w:val="24"/>
          <w:szCs w:val="24"/>
        </w:rPr>
        <w:t>mission of the bureau and/or the Department.</w:t>
      </w:r>
      <w:r w:rsidR="00F413D4" w:rsidRPr="00B02653">
        <w:rPr>
          <w:rFonts w:ascii="Times New Roman" w:hAnsi="Times New Roman" w:cs="Times New Roman"/>
          <w:sz w:val="24"/>
          <w:szCs w:val="24"/>
        </w:rPr>
        <w:t xml:space="preserve">  Indicate if the PII/BII identified in Section 1.1 of this document is in reference to a federal employee/contractor, member of public, foreign national, visitor or other (specify).</w:t>
      </w:r>
    </w:p>
    <w:p w:rsidR="00676F73" w:rsidRPr="00B02653" w:rsidRDefault="00676F73" w:rsidP="00A21CAE">
      <w:pPr>
        <w:tabs>
          <w:tab w:val="left" w:pos="540"/>
        </w:tabs>
        <w:spacing w:after="0"/>
        <w:ind w:left="540" w:hanging="540"/>
        <w:rPr>
          <w:rFonts w:ascii="Times New Roman" w:hAnsi="Times New Roman" w:cs="Times New Roman"/>
          <w:sz w:val="24"/>
          <w:szCs w:val="24"/>
        </w:rPr>
      </w:pPr>
    </w:p>
    <w:p w:rsidR="00A93C98" w:rsidRPr="00B02653" w:rsidRDefault="00A93C98" w:rsidP="00A21CA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360"/>
      </w:tblGrid>
      <w:tr w:rsidR="00605A12" w:rsidRPr="00B02653" w:rsidTr="00A55477">
        <w:trPr>
          <w:trHeight w:val="1790"/>
        </w:trPr>
        <w:tc>
          <w:tcPr>
            <w:tcW w:w="9360" w:type="dxa"/>
          </w:tcPr>
          <w:p w:rsidR="00A55477" w:rsidRDefault="00A55477" w:rsidP="00A55477">
            <w:pPr>
              <w:rPr>
                <w:rFonts w:ascii="Times New Roman" w:hAnsi="Times New Roman" w:cs="Times New Roman"/>
                <w:sz w:val="24"/>
                <w:szCs w:val="24"/>
              </w:rPr>
            </w:pPr>
            <w:r w:rsidRPr="00EB1AED">
              <w:rPr>
                <w:rFonts w:ascii="Times New Roman" w:hAnsi="Times New Roman" w:cs="Times New Roman"/>
                <w:sz w:val="24"/>
                <w:szCs w:val="24"/>
              </w:rPr>
              <w:t>This information will allow NMFS to identify owners and holders of permits and non-permit registrations and vessel owners and operators</w:t>
            </w:r>
            <w:r w:rsidR="004B2155">
              <w:rPr>
                <w:rFonts w:ascii="Times New Roman" w:hAnsi="Times New Roman" w:cs="Times New Roman"/>
                <w:sz w:val="24"/>
                <w:szCs w:val="24"/>
              </w:rPr>
              <w:t xml:space="preserve"> for both civil and criminal enforcement activities</w:t>
            </w:r>
            <w:r w:rsidRPr="00EB1AED">
              <w:rPr>
                <w:rFonts w:ascii="Times New Roman" w:hAnsi="Times New Roman" w:cs="Times New Roman"/>
                <w:sz w:val="24"/>
                <w:szCs w:val="24"/>
              </w:rPr>
              <w:t xml:space="preserve">, evaluate permit applications, and document agency actions relating to the issuance, renewal, transfer, revocation, suspension or modification of a permit or registration. </w:t>
            </w:r>
            <w:r w:rsidR="00EB1AED" w:rsidRPr="00EB1AED">
              <w:rPr>
                <w:rFonts w:ascii="Times New Roman" w:hAnsi="Times New Roman" w:cs="Times New Roman"/>
                <w:sz w:val="24"/>
                <w:szCs w:val="24"/>
              </w:rPr>
              <w:t>NMFS may use lists of permit holders or registrants as sample frames for the conduct of surveys to collect information necessary to the administration of the applicable statutes.</w:t>
            </w:r>
          </w:p>
          <w:p w:rsidR="004B2155" w:rsidRDefault="004B2155" w:rsidP="00A55477">
            <w:pPr>
              <w:rPr>
                <w:rFonts w:ascii="Times New Roman" w:hAnsi="Times New Roman" w:cs="Times New Roman"/>
                <w:sz w:val="24"/>
                <w:szCs w:val="24"/>
              </w:rPr>
            </w:pPr>
          </w:p>
          <w:p w:rsidR="004B2155" w:rsidRPr="004B2155" w:rsidRDefault="004B2155" w:rsidP="004B2155">
            <w:pPr>
              <w:shd w:val="clear" w:color="auto" w:fill="FFFFFF"/>
              <w:rPr>
                <w:rFonts w:ascii="Times New Roman" w:eastAsia="Times New Roman" w:hAnsi="Times New Roman" w:cs="Times New Roman"/>
                <w:color w:val="222222"/>
                <w:sz w:val="24"/>
                <w:szCs w:val="24"/>
              </w:rPr>
            </w:pPr>
            <w:r w:rsidRPr="004B2155">
              <w:rPr>
                <w:rFonts w:ascii="Times New Roman" w:eastAsia="Times New Roman" w:hAnsi="Times New Roman" w:cs="Times New Roman"/>
                <w:color w:val="222222"/>
                <w:sz w:val="24"/>
                <w:szCs w:val="24"/>
              </w:rPr>
              <w:t>NMFS may post non-sensitive permit holder, vessel-related, and/or IFQ information</w:t>
            </w:r>
            <w:r>
              <w:rPr>
                <w:rFonts w:ascii="Times New Roman" w:eastAsia="Times New Roman" w:hAnsi="Times New Roman" w:cs="Times New Roman"/>
                <w:color w:val="222222"/>
                <w:sz w:val="24"/>
                <w:szCs w:val="24"/>
              </w:rPr>
              <w:t xml:space="preserve"> for the public,</w:t>
            </w:r>
            <w:r w:rsidRPr="004B2155">
              <w:rPr>
                <w:rFonts w:ascii="Times New Roman" w:eastAsia="Times New Roman" w:hAnsi="Times New Roman" w:cs="Times New Roman"/>
                <w:color w:val="222222"/>
                <w:sz w:val="24"/>
                <w:szCs w:val="24"/>
              </w:rPr>
              <w:t xml:space="preserve"> via Web sites and Web Services, per notice given on permit applications.</w:t>
            </w:r>
          </w:p>
          <w:p w:rsidR="002D2441" w:rsidRPr="00EB1AED" w:rsidRDefault="002D2441" w:rsidP="00A55477">
            <w:pPr>
              <w:rPr>
                <w:rFonts w:ascii="Times New Roman" w:hAnsi="Times New Roman" w:cs="Times New Roman"/>
                <w:sz w:val="24"/>
                <w:szCs w:val="24"/>
              </w:rPr>
            </w:pPr>
          </w:p>
          <w:p w:rsidR="002D2441" w:rsidRPr="00EB1AED" w:rsidRDefault="002D2441" w:rsidP="00A55477">
            <w:pPr>
              <w:rPr>
                <w:rFonts w:ascii="Times New Roman" w:hAnsi="Times New Roman" w:cs="Times New Roman"/>
                <w:sz w:val="24"/>
                <w:szCs w:val="24"/>
              </w:rPr>
            </w:pPr>
            <w:r w:rsidRPr="00EB1AED">
              <w:rPr>
                <w:rFonts w:ascii="Times New Roman" w:hAnsi="Times New Roman" w:cs="Times New Roman"/>
                <w:sz w:val="24"/>
                <w:szCs w:val="24"/>
              </w:rPr>
              <w:t>Tax Identification Numbers (EIN, SSN) allow positive identification for cost recovery billing of IFQ holders.</w:t>
            </w:r>
          </w:p>
          <w:p w:rsidR="00A55477" w:rsidRPr="00EB1AED" w:rsidRDefault="00A55477" w:rsidP="00A21CAE">
            <w:pPr>
              <w:tabs>
                <w:tab w:val="left" w:pos="540"/>
              </w:tabs>
              <w:rPr>
                <w:rFonts w:ascii="Times New Roman" w:hAnsi="Times New Roman" w:cs="Times New Roman"/>
                <w:sz w:val="24"/>
                <w:szCs w:val="24"/>
              </w:rPr>
            </w:pPr>
          </w:p>
          <w:p w:rsidR="00605A12" w:rsidRPr="00B02653" w:rsidRDefault="005D5697" w:rsidP="00A21CAE">
            <w:pPr>
              <w:tabs>
                <w:tab w:val="left" w:pos="540"/>
              </w:tabs>
              <w:rPr>
                <w:rFonts w:ascii="Times New Roman" w:hAnsi="Times New Roman" w:cs="Times New Roman"/>
                <w:sz w:val="24"/>
                <w:szCs w:val="24"/>
              </w:rPr>
            </w:pPr>
            <w:r w:rsidRPr="00EB1AED">
              <w:rPr>
                <w:rFonts w:ascii="Times New Roman" w:hAnsi="Times New Roman" w:cs="Times New Roman"/>
                <w:sz w:val="24"/>
                <w:szCs w:val="24"/>
              </w:rPr>
              <w:t>All PII/B</w:t>
            </w:r>
            <w:r w:rsidR="00464AAC" w:rsidRPr="00EB1AED">
              <w:rPr>
                <w:rFonts w:ascii="Times New Roman" w:hAnsi="Times New Roman" w:cs="Times New Roman"/>
                <w:sz w:val="24"/>
                <w:szCs w:val="24"/>
              </w:rPr>
              <w:t>II are in reference to members of the public.</w:t>
            </w:r>
          </w:p>
        </w:tc>
      </w:tr>
    </w:tbl>
    <w:p w:rsidR="00676F73" w:rsidRPr="00B02653" w:rsidRDefault="00676F73" w:rsidP="00605A12">
      <w:pPr>
        <w:tabs>
          <w:tab w:val="left" w:pos="540"/>
        </w:tabs>
        <w:spacing w:after="0"/>
        <w:rPr>
          <w:rFonts w:ascii="Times New Roman" w:hAnsi="Times New Roman" w:cs="Times New Roman"/>
          <w:sz w:val="24"/>
          <w:szCs w:val="24"/>
        </w:rPr>
      </w:pPr>
    </w:p>
    <w:p w:rsidR="00676F73" w:rsidRPr="00B02653" w:rsidRDefault="00676F73" w:rsidP="00676F73">
      <w:pPr>
        <w:pStyle w:val="Default"/>
        <w:rPr>
          <w:b/>
          <w:color w:val="auto"/>
        </w:rPr>
      </w:pPr>
      <w:r w:rsidRPr="00B02653">
        <w:rPr>
          <w:b/>
          <w:color w:val="auto"/>
          <w:u w:val="single"/>
        </w:rPr>
        <w:t xml:space="preserve">Section </w:t>
      </w:r>
      <w:r w:rsidR="00F413D4" w:rsidRPr="00B02653">
        <w:rPr>
          <w:b/>
          <w:color w:val="auto"/>
          <w:u w:val="single"/>
        </w:rPr>
        <w:t>4</w:t>
      </w:r>
      <w:r w:rsidRPr="00B02653">
        <w:rPr>
          <w:b/>
          <w:color w:val="auto"/>
        </w:rPr>
        <w:t>:  Information Sharing</w:t>
      </w:r>
    </w:p>
    <w:p w:rsidR="00676F73" w:rsidRPr="00B02653" w:rsidRDefault="00676F73" w:rsidP="00676F73">
      <w:pPr>
        <w:pStyle w:val="Default"/>
        <w:rPr>
          <w:b/>
          <w:color w:val="auto"/>
        </w:rPr>
      </w:pPr>
    </w:p>
    <w:p w:rsidR="002D2441" w:rsidRPr="00676F73" w:rsidRDefault="002D2441" w:rsidP="002D2441">
      <w:pPr>
        <w:pStyle w:val="Default"/>
        <w:ind w:left="630" w:hanging="630"/>
        <w:rPr>
          <w:color w:val="auto"/>
        </w:rPr>
      </w:pPr>
      <w:r>
        <w:rPr>
          <w:color w:val="auto"/>
        </w:rPr>
        <w:t>4.1</w:t>
      </w:r>
      <w:r>
        <w:rPr>
          <w:color w:val="auto"/>
        </w:rPr>
        <w:tab/>
        <w:t xml:space="preserve">Indicate with whom the bureau intends to share the PII/BII in the system and how the PII/BII will be shared.  </w:t>
      </w:r>
    </w:p>
    <w:p w:rsidR="002D2441" w:rsidRPr="002D2441" w:rsidRDefault="002D2441" w:rsidP="002D2441">
      <w:pPr>
        <w:tabs>
          <w:tab w:val="left" w:pos="540"/>
        </w:tabs>
        <w:spacing w:after="0"/>
        <w:ind w:left="540" w:hanging="540"/>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3240"/>
        <w:gridCol w:w="900"/>
        <w:gridCol w:w="900"/>
        <w:gridCol w:w="900"/>
        <w:gridCol w:w="3462"/>
      </w:tblGrid>
      <w:tr w:rsidR="002D2441" w:rsidTr="00EA1C01">
        <w:tc>
          <w:tcPr>
            <w:tcW w:w="3240" w:type="dxa"/>
            <w:vMerge w:val="restart"/>
            <w:vAlign w:val="center"/>
          </w:tcPr>
          <w:p w:rsidR="002D2441" w:rsidRPr="00EE1889" w:rsidRDefault="002D2441" w:rsidP="00EA1C01">
            <w:pPr>
              <w:tabs>
                <w:tab w:val="left" w:pos="540"/>
              </w:tabs>
              <w:jc w:val="center"/>
              <w:rPr>
                <w:rFonts w:ascii="Times New Roman" w:hAnsi="Times New Roman" w:cs="Times New Roman"/>
                <w:sz w:val="20"/>
                <w:szCs w:val="20"/>
              </w:rPr>
            </w:pPr>
            <w:r>
              <w:rPr>
                <w:rFonts w:ascii="Times New Roman" w:hAnsi="Times New Roman" w:cs="Times New Roman"/>
                <w:sz w:val="20"/>
                <w:szCs w:val="20"/>
              </w:rPr>
              <w:t>Recipient</w:t>
            </w:r>
          </w:p>
        </w:tc>
        <w:tc>
          <w:tcPr>
            <w:tcW w:w="6162" w:type="dxa"/>
            <w:gridSpan w:val="4"/>
          </w:tcPr>
          <w:p w:rsidR="002D2441" w:rsidRPr="00EE1889" w:rsidRDefault="002D2441" w:rsidP="00EA1C01">
            <w:pPr>
              <w:tabs>
                <w:tab w:val="left" w:pos="540"/>
              </w:tabs>
              <w:jc w:val="center"/>
              <w:rPr>
                <w:rFonts w:ascii="Times New Roman" w:hAnsi="Times New Roman" w:cs="Times New Roman"/>
                <w:sz w:val="20"/>
                <w:szCs w:val="20"/>
              </w:rPr>
            </w:pPr>
            <w:r>
              <w:rPr>
                <w:rFonts w:ascii="Times New Roman" w:hAnsi="Times New Roman" w:cs="Times New Roman"/>
                <w:sz w:val="20"/>
                <w:szCs w:val="20"/>
              </w:rPr>
              <w:t>How Information will be Shared</w:t>
            </w:r>
          </w:p>
        </w:tc>
      </w:tr>
      <w:tr w:rsidR="002D2441" w:rsidTr="00EA1C01">
        <w:tc>
          <w:tcPr>
            <w:tcW w:w="3240" w:type="dxa"/>
            <w:vMerge/>
          </w:tcPr>
          <w:p w:rsidR="002D2441" w:rsidRDefault="002D2441" w:rsidP="00EA1C01">
            <w:pPr>
              <w:tabs>
                <w:tab w:val="left" w:pos="540"/>
              </w:tabs>
              <w:rPr>
                <w:rFonts w:ascii="Times New Roman" w:hAnsi="Times New Roman" w:cs="Times New Roman"/>
                <w:sz w:val="24"/>
                <w:szCs w:val="24"/>
              </w:rPr>
            </w:pP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Case-by-Case</w:t>
            </w: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Bulk Transfer</w:t>
            </w: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Direct Access</w:t>
            </w:r>
          </w:p>
        </w:tc>
        <w:tc>
          <w:tcPr>
            <w:tcW w:w="3462"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Other (specify)</w:t>
            </w: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Within the bureau</w:t>
            </w: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EE1889" w:rsidRDefault="002D2441" w:rsidP="00EA1C01">
            <w:pPr>
              <w:tabs>
                <w:tab w:val="left" w:pos="540"/>
              </w:tabs>
              <w:rPr>
                <w:rFonts w:ascii="Times New Roman" w:hAnsi="Times New Roman" w:cs="Times New Roman"/>
                <w:sz w:val="20"/>
                <w:szCs w:val="20"/>
              </w:rPr>
            </w:pPr>
            <w:r w:rsidRPr="00032B13">
              <w:rPr>
                <w:rFonts w:ascii="Times New Roman" w:hAnsi="Times New Roman" w:cs="Times New Roman"/>
                <w:color w:val="000000" w:themeColor="text1"/>
                <w:sz w:val="20"/>
                <w:szCs w:val="20"/>
              </w:rPr>
              <w:t>x</w:t>
            </w: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DOC bureaus</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Federal agencies</w:t>
            </w:r>
          </w:p>
        </w:tc>
        <w:tc>
          <w:tcPr>
            <w:tcW w:w="900" w:type="dxa"/>
          </w:tcPr>
          <w:p w:rsidR="002D2441" w:rsidRPr="00EE1889" w:rsidRDefault="000C6D82"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State, local, tribal gov’t agencies</w:t>
            </w:r>
          </w:p>
        </w:tc>
        <w:tc>
          <w:tcPr>
            <w:tcW w:w="900" w:type="dxa"/>
          </w:tcPr>
          <w:p w:rsidR="002D2441" w:rsidRPr="00EE1889" w:rsidRDefault="000C6D82"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EE1889" w:rsidRDefault="000C6D82"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032B13" w:rsidRDefault="002D2441" w:rsidP="00EA1C01">
            <w:pPr>
              <w:tabs>
                <w:tab w:val="left" w:pos="540"/>
              </w:tabs>
              <w:rPr>
                <w:rFonts w:ascii="Times New Roman" w:hAnsi="Times New Roman" w:cs="Times New Roman"/>
                <w:color w:val="000000" w:themeColor="text1"/>
                <w:sz w:val="20"/>
                <w:szCs w:val="20"/>
              </w:rPr>
            </w:pPr>
            <w:r w:rsidRPr="00032B13">
              <w:rPr>
                <w:rFonts w:ascii="Times New Roman" w:hAnsi="Times New Roman" w:cs="Times New Roman"/>
                <w:color w:val="000000" w:themeColor="text1"/>
                <w:sz w:val="20"/>
                <w:szCs w:val="20"/>
              </w:rPr>
              <w:t>x</w:t>
            </w:r>
          </w:p>
        </w:tc>
        <w:tc>
          <w:tcPr>
            <w:tcW w:w="3462" w:type="dxa"/>
          </w:tcPr>
          <w:p w:rsidR="002D2441" w:rsidRPr="00032B13" w:rsidRDefault="002D2441" w:rsidP="00EA1C01">
            <w:pPr>
              <w:tabs>
                <w:tab w:val="left" w:pos="540"/>
              </w:tabs>
              <w:rPr>
                <w:rFonts w:ascii="Times New Roman" w:hAnsi="Times New Roman" w:cs="Times New Roman"/>
                <w:color w:val="000000" w:themeColor="text1"/>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Public</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3462" w:type="dxa"/>
          </w:tcPr>
          <w:p w:rsidR="00823AD4" w:rsidRPr="00823AD4" w:rsidRDefault="00823AD4" w:rsidP="00823AD4">
            <w:pPr>
              <w:shd w:val="clear" w:color="auto" w:fill="F1F1F1"/>
              <w:spacing w:line="90" w:lineRule="atLeast"/>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14:anchorId="0A53ADD4" wp14:editId="47404DBF">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2D2441" w:rsidRPr="002D2441" w:rsidRDefault="002D2441" w:rsidP="002D244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Private sector</w:t>
            </w:r>
          </w:p>
        </w:tc>
        <w:tc>
          <w:tcPr>
            <w:tcW w:w="900" w:type="dxa"/>
          </w:tcPr>
          <w:p w:rsidR="002D2441" w:rsidRPr="00EE1889" w:rsidRDefault="002D2441" w:rsidP="000C6D82">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Foreign governments</w:t>
            </w:r>
          </w:p>
        </w:tc>
        <w:tc>
          <w:tcPr>
            <w:tcW w:w="900" w:type="dxa"/>
          </w:tcPr>
          <w:p w:rsidR="002D2441" w:rsidRPr="00EE1889" w:rsidRDefault="005C3D57" w:rsidP="000C6D82">
            <w:pPr>
              <w:tabs>
                <w:tab w:val="left" w:pos="540"/>
              </w:tabs>
              <w:rPr>
                <w:rFonts w:ascii="Times New Roman" w:hAnsi="Times New Roman" w:cs="Times New Roman"/>
                <w:sz w:val="20"/>
                <w:szCs w:val="20"/>
              </w:rPr>
            </w:pPr>
            <w:r>
              <w:rPr>
                <w:rFonts w:ascii="Times New Roman" w:hAnsi="Times New Roman" w:cs="Times New Roman"/>
                <w:sz w:val="20"/>
                <w:szCs w:val="20"/>
              </w:rPr>
              <w:t>x</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Foreign entities</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r w:rsidR="002D2441" w:rsidTr="00EA1C01">
        <w:tc>
          <w:tcPr>
            <w:tcW w:w="3240" w:type="dxa"/>
          </w:tcPr>
          <w:p w:rsidR="002D2441" w:rsidRPr="00EE1889" w:rsidRDefault="002D2441" w:rsidP="00EA1C01">
            <w:pPr>
              <w:tabs>
                <w:tab w:val="left" w:pos="540"/>
              </w:tabs>
              <w:rPr>
                <w:rFonts w:ascii="Times New Roman" w:hAnsi="Times New Roman" w:cs="Times New Roman"/>
                <w:sz w:val="20"/>
                <w:szCs w:val="20"/>
              </w:rPr>
            </w:pPr>
            <w:r>
              <w:rPr>
                <w:rFonts w:ascii="Times New Roman" w:hAnsi="Times New Roman" w:cs="Times New Roman"/>
                <w:sz w:val="20"/>
                <w:szCs w:val="20"/>
              </w:rPr>
              <w:t>Other (specify):</w:t>
            </w: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900" w:type="dxa"/>
          </w:tcPr>
          <w:p w:rsidR="002D2441" w:rsidRPr="00EE1889" w:rsidRDefault="002D2441" w:rsidP="00EA1C01">
            <w:pPr>
              <w:tabs>
                <w:tab w:val="left" w:pos="540"/>
              </w:tabs>
              <w:rPr>
                <w:rFonts w:ascii="Times New Roman" w:hAnsi="Times New Roman" w:cs="Times New Roman"/>
                <w:sz w:val="20"/>
                <w:szCs w:val="20"/>
              </w:rPr>
            </w:pPr>
          </w:p>
        </w:tc>
        <w:tc>
          <w:tcPr>
            <w:tcW w:w="3462" w:type="dxa"/>
          </w:tcPr>
          <w:p w:rsidR="002D2441" w:rsidRPr="00EE1889" w:rsidRDefault="002D2441" w:rsidP="00EA1C01">
            <w:pPr>
              <w:tabs>
                <w:tab w:val="left" w:pos="540"/>
              </w:tabs>
              <w:rPr>
                <w:rFonts w:ascii="Times New Roman" w:hAnsi="Times New Roman" w:cs="Times New Roman"/>
                <w:sz w:val="20"/>
                <w:szCs w:val="20"/>
              </w:rPr>
            </w:pPr>
          </w:p>
        </w:tc>
      </w:tr>
    </w:tbl>
    <w:p w:rsidR="007265B6" w:rsidRPr="00B02653" w:rsidRDefault="007265B6" w:rsidP="007265B6">
      <w:pPr>
        <w:pStyle w:val="Default"/>
        <w:rPr>
          <w:b/>
          <w:color w:val="auto"/>
          <w:u w:val="single"/>
        </w:rPr>
      </w:pPr>
    </w:p>
    <w:p w:rsidR="007265B6" w:rsidRPr="00B02653" w:rsidRDefault="007265B6" w:rsidP="007265B6">
      <w:pPr>
        <w:pStyle w:val="Default"/>
        <w:rPr>
          <w:b/>
          <w:color w:val="auto"/>
        </w:rPr>
      </w:pPr>
      <w:bookmarkStart w:id="0" w:name="OLE_LINK1"/>
      <w:bookmarkStart w:id="1" w:name="OLE_LINK2"/>
      <w:r w:rsidRPr="00B02653">
        <w:rPr>
          <w:b/>
          <w:color w:val="auto"/>
          <w:u w:val="single"/>
        </w:rPr>
        <w:t xml:space="preserve">Section </w:t>
      </w:r>
      <w:r w:rsidR="00F413D4" w:rsidRPr="00B02653">
        <w:rPr>
          <w:b/>
          <w:color w:val="auto"/>
          <w:u w:val="single"/>
        </w:rPr>
        <w:t>5</w:t>
      </w:r>
      <w:r w:rsidRPr="00B02653">
        <w:rPr>
          <w:b/>
          <w:color w:val="auto"/>
        </w:rPr>
        <w:t>:  Notice and Consent</w:t>
      </w:r>
    </w:p>
    <w:bookmarkEnd w:id="0"/>
    <w:bookmarkEnd w:id="1"/>
    <w:p w:rsidR="007265B6" w:rsidRPr="00B02653" w:rsidRDefault="007265B6" w:rsidP="007265B6">
      <w:pPr>
        <w:pStyle w:val="Default"/>
        <w:rPr>
          <w:b/>
          <w:color w:val="auto"/>
        </w:rPr>
      </w:pPr>
    </w:p>
    <w:p w:rsidR="007265B6" w:rsidRPr="00B02653" w:rsidRDefault="00F413D4" w:rsidP="001726CD">
      <w:pPr>
        <w:pStyle w:val="Default"/>
        <w:ind w:left="630" w:hanging="630"/>
        <w:rPr>
          <w:color w:val="auto"/>
        </w:rPr>
      </w:pPr>
      <w:r w:rsidRPr="00B02653">
        <w:rPr>
          <w:color w:val="auto"/>
        </w:rPr>
        <w:t>5</w:t>
      </w:r>
      <w:r w:rsidR="007265B6" w:rsidRPr="00B02653">
        <w:rPr>
          <w:color w:val="auto"/>
        </w:rPr>
        <w:t>.1</w:t>
      </w:r>
      <w:r w:rsidR="007265B6" w:rsidRPr="00B02653">
        <w:rPr>
          <w:color w:val="auto"/>
        </w:rPr>
        <w:tab/>
        <w:t xml:space="preserve">Indicate whether individuals will be notified if their </w:t>
      </w:r>
      <w:r w:rsidR="005A1B2C" w:rsidRPr="00B02653">
        <w:rPr>
          <w:color w:val="auto"/>
        </w:rPr>
        <w:t>PII</w:t>
      </w:r>
      <w:r w:rsidRPr="00B02653">
        <w:rPr>
          <w:color w:val="auto"/>
        </w:rPr>
        <w:t>/BII</w:t>
      </w:r>
      <w:r w:rsidR="007265B6" w:rsidRPr="00B02653">
        <w:rPr>
          <w:color w:val="auto"/>
        </w:rPr>
        <w:t xml:space="preserve"> is collected, maintained, or disseminated by the system.  Check all that apply.</w:t>
      </w:r>
    </w:p>
    <w:p w:rsidR="007265B6" w:rsidRPr="00B02653" w:rsidRDefault="007265B6"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40"/>
        <w:gridCol w:w="3420"/>
        <w:gridCol w:w="5400"/>
      </w:tblGrid>
      <w:tr w:rsidR="007265B6" w:rsidRPr="00B02653" w:rsidTr="007506B5">
        <w:tc>
          <w:tcPr>
            <w:tcW w:w="540" w:type="dxa"/>
          </w:tcPr>
          <w:p w:rsidR="007265B6" w:rsidRPr="00B02653" w:rsidRDefault="00464AAC" w:rsidP="007265B6">
            <w:pPr>
              <w:pStyle w:val="Default"/>
              <w:rPr>
                <w:color w:val="auto"/>
                <w:sz w:val="20"/>
                <w:szCs w:val="20"/>
              </w:rPr>
            </w:pPr>
            <w:r w:rsidRPr="00B02653">
              <w:rPr>
                <w:color w:val="auto"/>
                <w:sz w:val="20"/>
                <w:szCs w:val="20"/>
              </w:rPr>
              <w:t>x</w:t>
            </w:r>
          </w:p>
        </w:tc>
        <w:tc>
          <w:tcPr>
            <w:tcW w:w="8820" w:type="dxa"/>
            <w:gridSpan w:val="2"/>
          </w:tcPr>
          <w:p w:rsidR="007265B6" w:rsidRPr="00B02653" w:rsidRDefault="007265B6" w:rsidP="007265B6">
            <w:pPr>
              <w:pStyle w:val="Default"/>
              <w:rPr>
                <w:color w:val="auto"/>
                <w:sz w:val="20"/>
                <w:szCs w:val="20"/>
              </w:rPr>
            </w:pPr>
            <w:r w:rsidRPr="00B02653">
              <w:rPr>
                <w:color w:val="auto"/>
                <w:sz w:val="20"/>
                <w:szCs w:val="20"/>
              </w:rPr>
              <w:t>Yes, notice is provided pursuant to a system of records notice published in the Federal Register and discussed in Section 6</w:t>
            </w:r>
            <w:r w:rsidR="005A1B2C" w:rsidRPr="00B02653">
              <w:rPr>
                <w:color w:val="auto"/>
                <w:sz w:val="20"/>
                <w:szCs w:val="20"/>
              </w:rPr>
              <w:t>.</w:t>
            </w:r>
          </w:p>
        </w:tc>
      </w:tr>
      <w:tr w:rsidR="007265B6" w:rsidRPr="00B02653" w:rsidTr="007265B6">
        <w:tc>
          <w:tcPr>
            <w:tcW w:w="540" w:type="dxa"/>
          </w:tcPr>
          <w:p w:rsidR="007265B6" w:rsidRPr="00B02653" w:rsidRDefault="00E123B8" w:rsidP="007265B6">
            <w:pPr>
              <w:pStyle w:val="Default"/>
              <w:rPr>
                <w:color w:val="auto"/>
                <w:sz w:val="20"/>
                <w:szCs w:val="20"/>
              </w:rPr>
            </w:pPr>
            <w:r w:rsidRPr="00B02653">
              <w:rPr>
                <w:color w:val="auto"/>
                <w:sz w:val="20"/>
                <w:szCs w:val="20"/>
              </w:rPr>
              <w:t>x</w:t>
            </w:r>
          </w:p>
        </w:tc>
        <w:tc>
          <w:tcPr>
            <w:tcW w:w="3420" w:type="dxa"/>
          </w:tcPr>
          <w:p w:rsidR="007265B6" w:rsidRPr="00B02653" w:rsidRDefault="007265B6" w:rsidP="007265B6">
            <w:pPr>
              <w:pStyle w:val="Default"/>
              <w:rPr>
                <w:color w:val="auto"/>
                <w:sz w:val="20"/>
                <w:szCs w:val="20"/>
              </w:rPr>
            </w:pPr>
            <w:r w:rsidRPr="00B02653">
              <w:rPr>
                <w:color w:val="auto"/>
                <w:sz w:val="20"/>
                <w:szCs w:val="20"/>
              </w:rPr>
              <w:t>Yes, notice is provided by other means.</w:t>
            </w:r>
          </w:p>
        </w:tc>
        <w:tc>
          <w:tcPr>
            <w:tcW w:w="5400" w:type="dxa"/>
          </w:tcPr>
          <w:p w:rsidR="007265B6" w:rsidRPr="00B02653" w:rsidRDefault="007265B6" w:rsidP="000E1419">
            <w:pPr>
              <w:pStyle w:val="Default"/>
              <w:rPr>
                <w:color w:val="auto"/>
                <w:sz w:val="20"/>
                <w:szCs w:val="20"/>
              </w:rPr>
            </w:pPr>
            <w:r w:rsidRPr="00B02653">
              <w:rPr>
                <w:color w:val="auto"/>
                <w:sz w:val="20"/>
                <w:szCs w:val="20"/>
              </w:rPr>
              <w:t>Specify how:</w:t>
            </w:r>
            <w:r w:rsidR="00E123B8" w:rsidRPr="00B02653">
              <w:rPr>
                <w:color w:val="auto"/>
                <w:sz w:val="20"/>
                <w:szCs w:val="20"/>
              </w:rPr>
              <w:t xml:space="preserve"> </w:t>
            </w:r>
            <w:r w:rsidR="000E1419">
              <w:rPr>
                <w:color w:val="auto"/>
                <w:sz w:val="20"/>
                <w:szCs w:val="20"/>
              </w:rPr>
              <w:t>Notice is provided o</w:t>
            </w:r>
            <w:r w:rsidR="00E123B8" w:rsidRPr="00B02653">
              <w:rPr>
                <w:color w:val="auto"/>
                <w:sz w:val="20"/>
                <w:szCs w:val="20"/>
              </w:rPr>
              <w:t>n the permit or related application</w:t>
            </w:r>
            <w:r w:rsidR="000E1419">
              <w:rPr>
                <w:color w:val="auto"/>
                <w:sz w:val="20"/>
                <w:szCs w:val="20"/>
              </w:rPr>
              <w:t>.</w:t>
            </w:r>
          </w:p>
        </w:tc>
      </w:tr>
      <w:tr w:rsidR="007265B6" w:rsidRPr="00B02653" w:rsidTr="007265B6">
        <w:tc>
          <w:tcPr>
            <w:tcW w:w="540" w:type="dxa"/>
          </w:tcPr>
          <w:p w:rsidR="007265B6" w:rsidRPr="00B02653" w:rsidRDefault="007265B6" w:rsidP="007265B6">
            <w:pPr>
              <w:pStyle w:val="Default"/>
              <w:rPr>
                <w:color w:val="auto"/>
                <w:sz w:val="20"/>
                <w:szCs w:val="20"/>
              </w:rPr>
            </w:pPr>
          </w:p>
        </w:tc>
        <w:tc>
          <w:tcPr>
            <w:tcW w:w="3420" w:type="dxa"/>
          </w:tcPr>
          <w:p w:rsidR="007265B6" w:rsidRPr="00B02653" w:rsidRDefault="007265B6" w:rsidP="007265B6">
            <w:pPr>
              <w:pStyle w:val="Default"/>
              <w:rPr>
                <w:color w:val="auto"/>
                <w:sz w:val="20"/>
                <w:szCs w:val="20"/>
              </w:rPr>
            </w:pPr>
            <w:r w:rsidRPr="00B02653">
              <w:rPr>
                <w:color w:val="auto"/>
                <w:sz w:val="20"/>
                <w:szCs w:val="20"/>
              </w:rPr>
              <w:t>No, notice is not provided.</w:t>
            </w:r>
          </w:p>
        </w:tc>
        <w:tc>
          <w:tcPr>
            <w:tcW w:w="5400" w:type="dxa"/>
          </w:tcPr>
          <w:p w:rsidR="007265B6" w:rsidRPr="00B02653" w:rsidRDefault="007265B6" w:rsidP="007265B6">
            <w:pPr>
              <w:pStyle w:val="Default"/>
              <w:rPr>
                <w:color w:val="auto"/>
                <w:sz w:val="20"/>
                <w:szCs w:val="20"/>
              </w:rPr>
            </w:pPr>
            <w:r w:rsidRPr="00B02653">
              <w:rPr>
                <w:color w:val="auto"/>
                <w:sz w:val="20"/>
                <w:szCs w:val="20"/>
              </w:rPr>
              <w:t>Specify why not:</w:t>
            </w:r>
          </w:p>
        </w:tc>
      </w:tr>
    </w:tbl>
    <w:p w:rsidR="007265B6" w:rsidRPr="00B02653" w:rsidRDefault="007265B6" w:rsidP="007265B6">
      <w:pPr>
        <w:pStyle w:val="Default"/>
        <w:ind w:left="720" w:hanging="720"/>
        <w:rPr>
          <w:color w:val="auto"/>
        </w:rPr>
      </w:pPr>
    </w:p>
    <w:p w:rsidR="007265B6" w:rsidRPr="00B02653" w:rsidRDefault="0077429A" w:rsidP="001726CD">
      <w:pPr>
        <w:pStyle w:val="Default"/>
        <w:ind w:left="630" w:hanging="630"/>
        <w:rPr>
          <w:color w:val="auto"/>
        </w:rPr>
      </w:pPr>
      <w:r w:rsidRPr="008753AE">
        <w:rPr>
          <w:color w:val="auto"/>
        </w:rPr>
        <w:t>5</w:t>
      </w:r>
      <w:r w:rsidR="007265B6" w:rsidRPr="008753AE">
        <w:rPr>
          <w:color w:val="auto"/>
        </w:rPr>
        <w:t>.2</w:t>
      </w:r>
      <w:r w:rsidR="007265B6" w:rsidRPr="008753AE">
        <w:rPr>
          <w:color w:val="auto"/>
        </w:rPr>
        <w:tab/>
        <w:t xml:space="preserve">Indicate whether and how individuals have </w:t>
      </w:r>
      <w:r w:rsidR="00B61907" w:rsidRPr="008753AE">
        <w:rPr>
          <w:color w:val="auto"/>
        </w:rPr>
        <w:t>an</w:t>
      </w:r>
      <w:r w:rsidR="007265B6" w:rsidRPr="008753AE">
        <w:rPr>
          <w:color w:val="auto"/>
        </w:rPr>
        <w:t xml:space="preserve"> opportunity to decline to provide </w:t>
      </w:r>
      <w:r w:rsidR="005A1B2C" w:rsidRPr="008753AE">
        <w:rPr>
          <w:color w:val="auto"/>
        </w:rPr>
        <w:t>PII</w:t>
      </w:r>
      <w:r w:rsidR="00F413D4" w:rsidRPr="008753AE">
        <w:rPr>
          <w:color w:val="auto"/>
        </w:rPr>
        <w:t>/BII</w:t>
      </w:r>
      <w:r w:rsidR="007265B6" w:rsidRPr="008753AE">
        <w:rPr>
          <w:color w:val="auto"/>
        </w:rPr>
        <w:t>.</w:t>
      </w:r>
    </w:p>
    <w:p w:rsidR="007265B6" w:rsidRPr="00B02653" w:rsidRDefault="007265B6"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40"/>
        <w:gridCol w:w="3420"/>
        <w:gridCol w:w="5400"/>
      </w:tblGrid>
      <w:tr w:rsidR="007265B6" w:rsidRPr="00B02653" w:rsidTr="007506B5">
        <w:tc>
          <w:tcPr>
            <w:tcW w:w="540" w:type="dxa"/>
          </w:tcPr>
          <w:p w:rsidR="007265B6" w:rsidRPr="00B02653" w:rsidRDefault="005C3D57" w:rsidP="007506B5">
            <w:pPr>
              <w:pStyle w:val="Default"/>
              <w:rPr>
                <w:color w:val="auto"/>
                <w:sz w:val="20"/>
                <w:szCs w:val="20"/>
              </w:rPr>
            </w:pPr>
            <w:r>
              <w:rPr>
                <w:color w:val="auto"/>
                <w:sz w:val="20"/>
                <w:szCs w:val="20"/>
              </w:rPr>
              <w:t>x</w:t>
            </w:r>
          </w:p>
        </w:tc>
        <w:tc>
          <w:tcPr>
            <w:tcW w:w="3420" w:type="dxa"/>
          </w:tcPr>
          <w:p w:rsidR="007265B6" w:rsidRPr="00B02653" w:rsidRDefault="007265B6" w:rsidP="005A1B2C">
            <w:pPr>
              <w:pStyle w:val="Default"/>
              <w:rPr>
                <w:color w:val="auto"/>
                <w:sz w:val="20"/>
                <w:szCs w:val="20"/>
              </w:rPr>
            </w:pPr>
            <w:r w:rsidRPr="00B02653">
              <w:rPr>
                <w:color w:val="auto"/>
                <w:sz w:val="20"/>
                <w:szCs w:val="20"/>
              </w:rPr>
              <w:t xml:space="preserve">Yes, individuals have </w:t>
            </w:r>
            <w:r w:rsidR="00B61907" w:rsidRPr="00B02653">
              <w:rPr>
                <w:color w:val="auto"/>
                <w:sz w:val="20"/>
                <w:szCs w:val="20"/>
              </w:rPr>
              <w:t>an</w:t>
            </w:r>
            <w:r w:rsidRPr="00B02653">
              <w:rPr>
                <w:color w:val="auto"/>
                <w:sz w:val="20"/>
                <w:szCs w:val="20"/>
              </w:rPr>
              <w:t xml:space="preserve"> opportunity to decline to provide </w:t>
            </w:r>
            <w:r w:rsidR="005A1B2C" w:rsidRPr="00B02653">
              <w:rPr>
                <w:color w:val="auto"/>
                <w:sz w:val="20"/>
                <w:szCs w:val="20"/>
              </w:rPr>
              <w:t>PII</w:t>
            </w:r>
            <w:r w:rsidR="00F413D4" w:rsidRPr="00B02653">
              <w:rPr>
                <w:color w:val="auto"/>
                <w:sz w:val="20"/>
                <w:szCs w:val="20"/>
              </w:rPr>
              <w:t>/BII</w:t>
            </w:r>
            <w:r w:rsidRPr="00B02653">
              <w:rPr>
                <w:color w:val="auto"/>
                <w:sz w:val="20"/>
                <w:szCs w:val="20"/>
              </w:rPr>
              <w:t>.</w:t>
            </w:r>
          </w:p>
        </w:tc>
        <w:tc>
          <w:tcPr>
            <w:tcW w:w="5400" w:type="dxa"/>
          </w:tcPr>
          <w:p w:rsidR="005C3D57" w:rsidRPr="00B02653" w:rsidRDefault="007265B6" w:rsidP="005C3D57">
            <w:pPr>
              <w:rPr>
                <w:rFonts w:ascii="Times New Roman" w:hAnsi="Times New Roman" w:cs="Times New Roman"/>
                <w:sz w:val="20"/>
                <w:szCs w:val="20"/>
              </w:rPr>
            </w:pPr>
            <w:r w:rsidRPr="00B02653">
              <w:rPr>
                <w:rFonts w:ascii="Times New Roman" w:hAnsi="Times New Roman" w:cs="Times New Roman"/>
                <w:sz w:val="20"/>
                <w:szCs w:val="20"/>
              </w:rPr>
              <w:t>Specify how:</w:t>
            </w:r>
            <w:r w:rsidR="00464AAC" w:rsidRPr="00B02653">
              <w:rPr>
                <w:rFonts w:ascii="Times New Roman" w:hAnsi="Times New Roman" w:cs="Times New Roman"/>
                <w:sz w:val="20"/>
                <w:szCs w:val="20"/>
              </w:rPr>
              <w:t xml:space="preserve"> </w:t>
            </w:r>
            <w:r w:rsidR="005C3D57" w:rsidRPr="00B02653">
              <w:rPr>
                <w:rFonts w:ascii="Times New Roman" w:hAnsi="Times New Roman" w:cs="Times New Roman"/>
                <w:sz w:val="20"/>
                <w:szCs w:val="20"/>
              </w:rPr>
              <w:t xml:space="preserve">The personal information is collected when the individual completes the appropriate application.  </w:t>
            </w:r>
            <w:r w:rsidR="005C3D57">
              <w:rPr>
                <w:rFonts w:ascii="Times New Roman" w:hAnsi="Times New Roman" w:cs="Times New Roman"/>
                <w:sz w:val="20"/>
                <w:szCs w:val="20"/>
              </w:rPr>
              <w:t xml:space="preserve">On the </w:t>
            </w:r>
            <w:r w:rsidR="005C3D57" w:rsidRPr="00B02653">
              <w:rPr>
                <w:rFonts w:ascii="Times New Roman" w:hAnsi="Times New Roman" w:cs="Times New Roman"/>
                <w:sz w:val="20"/>
                <w:szCs w:val="20"/>
              </w:rPr>
              <w:t xml:space="preserve">application, the individual is advised that NMFS will not be able to issue a permit if the individual does not provide each item of information requested.  The individual may choose to decline to provide the required personal information </w:t>
            </w:r>
            <w:r w:rsidR="005C3D57">
              <w:rPr>
                <w:rFonts w:ascii="Times New Roman" w:hAnsi="Times New Roman" w:cs="Times New Roman"/>
                <w:sz w:val="20"/>
                <w:szCs w:val="20"/>
              </w:rPr>
              <w:t xml:space="preserve">at </w:t>
            </w:r>
            <w:r w:rsidR="005C3D57" w:rsidRPr="00B02653">
              <w:rPr>
                <w:rFonts w:ascii="Times New Roman" w:hAnsi="Times New Roman" w:cs="Times New Roman"/>
                <w:sz w:val="20"/>
                <w:szCs w:val="20"/>
              </w:rPr>
              <w:t>that time</w:t>
            </w:r>
            <w:r w:rsidR="005C3D57">
              <w:rPr>
                <w:rFonts w:ascii="Times New Roman" w:hAnsi="Times New Roman" w:cs="Times New Roman"/>
                <w:sz w:val="20"/>
                <w:szCs w:val="20"/>
              </w:rPr>
              <w:t>, but will not be able to receive a permit</w:t>
            </w:r>
            <w:r w:rsidR="005C3D57" w:rsidRPr="00B02653">
              <w:rPr>
                <w:rFonts w:ascii="Times New Roman" w:hAnsi="Times New Roman" w:cs="Times New Roman"/>
                <w:sz w:val="20"/>
                <w:szCs w:val="20"/>
              </w:rPr>
              <w:t>.</w:t>
            </w:r>
          </w:p>
          <w:p w:rsidR="007265B6" w:rsidRPr="00B02653" w:rsidRDefault="007265B6" w:rsidP="008753AE">
            <w:pPr>
              <w:rPr>
                <w:sz w:val="20"/>
                <w:szCs w:val="20"/>
              </w:rPr>
            </w:pPr>
          </w:p>
        </w:tc>
      </w:tr>
      <w:tr w:rsidR="007265B6" w:rsidRPr="00B02653" w:rsidTr="007506B5">
        <w:tc>
          <w:tcPr>
            <w:tcW w:w="540" w:type="dxa"/>
          </w:tcPr>
          <w:p w:rsidR="007265B6" w:rsidRPr="00B02653" w:rsidRDefault="007265B6" w:rsidP="007506B5">
            <w:pPr>
              <w:pStyle w:val="Default"/>
              <w:rPr>
                <w:color w:val="auto"/>
                <w:sz w:val="20"/>
                <w:szCs w:val="20"/>
              </w:rPr>
            </w:pPr>
          </w:p>
        </w:tc>
        <w:tc>
          <w:tcPr>
            <w:tcW w:w="3420" w:type="dxa"/>
          </w:tcPr>
          <w:p w:rsidR="007265B6" w:rsidRPr="00B02653" w:rsidRDefault="007265B6" w:rsidP="005A1B2C">
            <w:pPr>
              <w:pStyle w:val="Default"/>
              <w:rPr>
                <w:color w:val="auto"/>
                <w:sz w:val="20"/>
                <w:szCs w:val="20"/>
              </w:rPr>
            </w:pPr>
            <w:r w:rsidRPr="00B02653">
              <w:rPr>
                <w:color w:val="auto"/>
                <w:sz w:val="20"/>
                <w:szCs w:val="20"/>
              </w:rPr>
              <w:t xml:space="preserve">No, individuals do not have </w:t>
            </w:r>
            <w:r w:rsidR="00B61907" w:rsidRPr="00B02653">
              <w:rPr>
                <w:color w:val="auto"/>
                <w:sz w:val="20"/>
                <w:szCs w:val="20"/>
              </w:rPr>
              <w:t>an</w:t>
            </w:r>
            <w:r w:rsidRPr="00B02653">
              <w:rPr>
                <w:color w:val="auto"/>
                <w:sz w:val="20"/>
                <w:szCs w:val="20"/>
              </w:rPr>
              <w:t xml:space="preserve"> opportunity to decline to provide </w:t>
            </w:r>
            <w:r w:rsidR="005A1B2C" w:rsidRPr="00B02653">
              <w:rPr>
                <w:color w:val="auto"/>
                <w:sz w:val="20"/>
                <w:szCs w:val="20"/>
              </w:rPr>
              <w:t>PII</w:t>
            </w:r>
            <w:r w:rsidR="00F413D4" w:rsidRPr="00B02653">
              <w:rPr>
                <w:color w:val="auto"/>
                <w:sz w:val="20"/>
                <w:szCs w:val="20"/>
              </w:rPr>
              <w:t>/BII</w:t>
            </w:r>
            <w:r w:rsidRPr="00B02653">
              <w:rPr>
                <w:color w:val="auto"/>
                <w:sz w:val="20"/>
                <w:szCs w:val="20"/>
              </w:rPr>
              <w:t>.</w:t>
            </w:r>
          </w:p>
        </w:tc>
        <w:tc>
          <w:tcPr>
            <w:tcW w:w="5400" w:type="dxa"/>
          </w:tcPr>
          <w:p w:rsidR="007265B6" w:rsidRPr="00B02653" w:rsidRDefault="007265B6" w:rsidP="005C3D57">
            <w:pPr>
              <w:rPr>
                <w:sz w:val="20"/>
                <w:szCs w:val="20"/>
              </w:rPr>
            </w:pPr>
            <w:r w:rsidRPr="008753AE">
              <w:rPr>
                <w:rFonts w:ascii="Times New Roman" w:hAnsi="Times New Roman" w:cs="Times New Roman"/>
                <w:sz w:val="20"/>
                <w:szCs w:val="20"/>
              </w:rPr>
              <w:t>Specify why not:</w:t>
            </w:r>
            <w:r w:rsidR="008753AE">
              <w:rPr>
                <w:sz w:val="20"/>
                <w:szCs w:val="20"/>
              </w:rPr>
              <w:t xml:space="preserve"> </w:t>
            </w:r>
          </w:p>
        </w:tc>
      </w:tr>
    </w:tbl>
    <w:p w:rsidR="007265B6" w:rsidRPr="00B02653" w:rsidRDefault="007265B6" w:rsidP="007265B6">
      <w:pPr>
        <w:pStyle w:val="Default"/>
        <w:ind w:left="720" w:hanging="720"/>
        <w:rPr>
          <w:color w:val="auto"/>
        </w:rPr>
      </w:pPr>
    </w:p>
    <w:p w:rsidR="007506B5" w:rsidRPr="00B02653" w:rsidRDefault="0077429A" w:rsidP="001726CD">
      <w:pPr>
        <w:pStyle w:val="Default"/>
        <w:ind w:left="630" w:hanging="630"/>
        <w:rPr>
          <w:color w:val="auto"/>
        </w:rPr>
      </w:pPr>
      <w:r w:rsidRPr="008753AE">
        <w:rPr>
          <w:color w:val="auto"/>
        </w:rPr>
        <w:t>5</w:t>
      </w:r>
      <w:r w:rsidR="00B61907" w:rsidRPr="008753AE">
        <w:rPr>
          <w:color w:val="auto"/>
        </w:rPr>
        <w:t>.3</w:t>
      </w:r>
      <w:r w:rsidR="00B61907" w:rsidRPr="008753AE">
        <w:rPr>
          <w:color w:val="auto"/>
        </w:rPr>
        <w:tab/>
        <w:t>Indicate whether and how individuals have an opportunity to consent to particular uses of the</w:t>
      </w:r>
      <w:r w:rsidR="005A1B2C" w:rsidRPr="008753AE">
        <w:rPr>
          <w:color w:val="auto"/>
        </w:rPr>
        <w:t>ir</w:t>
      </w:r>
      <w:r w:rsidR="00B61907" w:rsidRPr="008753AE">
        <w:rPr>
          <w:color w:val="auto"/>
        </w:rPr>
        <w:t xml:space="preserve"> </w:t>
      </w:r>
      <w:r w:rsidR="005A1B2C" w:rsidRPr="008753AE">
        <w:rPr>
          <w:color w:val="auto"/>
        </w:rPr>
        <w:t>PII</w:t>
      </w:r>
      <w:r w:rsidRPr="008753AE">
        <w:rPr>
          <w:color w:val="auto"/>
        </w:rPr>
        <w:t>/BII</w:t>
      </w:r>
      <w:r w:rsidR="00B61907" w:rsidRPr="008753AE">
        <w:rPr>
          <w:color w:val="auto"/>
        </w:rPr>
        <w:t>.</w:t>
      </w:r>
    </w:p>
    <w:p w:rsidR="00B61907" w:rsidRPr="00B02653" w:rsidRDefault="00B61907" w:rsidP="007265B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40"/>
        <w:gridCol w:w="3420"/>
        <w:gridCol w:w="5400"/>
      </w:tblGrid>
      <w:tr w:rsidR="00B61907" w:rsidRPr="00B02653" w:rsidTr="00352856">
        <w:tc>
          <w:tcPr>
            <w:tcW w:w="540" w:type="dxa"/>
          </w:tcPr>
          <w:p w:rsidR="00B61907" w:rsidRPr="00B02653" w:rsidRDefault="005C3D57" w:rsidP="00352856">
            <w:pPr>
              <w:pStyle w:val="Default"/>
              <w:rPr>
                <w:color w:val="auto"/>
                <w:sz w:val="20"/>
                <w:szCs w:val="20"/>
              </w:rPr>
            </w:pPr>
            <w:r>
              <w:rPr>
                <w:color w:val="auto"/>
                <w:sz w:val="20"/>
                <w:szCs w:val="20"/>
              </w:rPr>
              <w:t>x</w:t>
            </w:r>
          </w:p>
        </w:tc>
        <w:tc>
          <w:tcPr>
            <w:tcW w:w="3420" w:type="dxa"/>
          </w:tcPr>
          <w:p w:rsidR="00B61907" w:rsidRPr="00B02653" w:rsidRDefault="00B61907" w:rsidP="00FA6DF9">
            <w:pPr>
              <w:pStyle w:val="Default"/>
              <w:rPr>
                <w:color w:val="auto"/>
                <w:sz w:val="20"/>
                <w:szCs w:val="20"/>
              </w:rPr>
            </w:pPr>
            <w:r w:rsidRPr="00B02653">
              <w:rPr>
                <w:color w:val="auto"/>
                <w:sz w:val="20"/>
                <w:szCs w:val="20"/>
              </w:rPr>
              <w:t>Yes, individuals have an opportunity to consent to particular uses of the</w:t>
            </w:r>
            <w:r w:rsidR="00FA6DF9" w:rsidRPr="00B02653">
              <w:rPr>
                <w:color w:val="auto"/>
                <w:sz w:val="20"/>
                <w:szCs w:val="20"/>
              </w:rPr>
              <w:t>ir</w:t>
            </w:r>
            <w:r w:rsidRPr="00B02653">
              <w:rPr>
                <w:color w:val="auto"/>
                <w:sz w:val="20"/>
                <w:szCs w:val="20"/>
              </w:rPr>
              <w:t xml:space="preserve"> </w:t>
            </w:r>
            <w:r w:rsidR="00FA6DF9" w:rsidRPr="00B02653">
              <w:rPr>
                <w:color w:val="auto"/>
                <w:sz w:val="20"/>
                <w:szCs w:val="20"/>
              </w:rPr>
              <w:t>PII</w:t>
            </w:r>
            <w:r w:rsidR="0077429A" w:rsidRPr="00B02653">
              <w:rPr>
                <w:color w:val="auto"/>
                <w:sz w:val="20"/>
                <w:szCs w:val="20"/>
              </w:rPr>
              <w:t>/BII</w:t>
            </w:r>
            <w:r w:rsidRPr="00B02653">
              <w:rPr>
                <w:color w:val="auto"/>
                <w:sz w:val="20"/>
                <w:szCs w:val="20"/>
              </w:rPr>
              <w:t>.</w:t>
            </w:r>
          </w:p>
        </w:tc>
        <w:tc>
          <w:tcPr>
            <w:tcW w:w="5400" w:type="dxa"/>
          </w:tcPr>
          <w:p w:rsidR="00B61907" w:rsidRPr="00B02653" w:rsidRDefault="00B61907" w:rsidP="008753AE">
            <w:pPr>
              <w:rPr>
                <w:sz w:val="20"/>
                <w:szCs w:val="20"/>
              </w:rPr>
            </w:pPr>
            <w:r w:rsidRPr="00F97267">
              <w:rPr>
                <w:rFonts w:ascii="Times New Roman" w:hAnsi="Times New Roman" w:cs="Times New Roman"/>
                <w:sz w:val="20"/>
                <w:szCs w:val="20"/>
              </w:rPr>
              <w:t>Specify how:</w:t>
            </w:r>
            <w:r w:rsidR="00464AAC" w:rsidRPr="00B02653">
              <w:rPr>
                <w:sz w:val="20"/>
                <w:szCs w:val="20"/>
              </w:rPr>
              <w:t xml:space="preserve"> </w:t>
            </w:r>
            <w:r w:rsidR="005C3D57" w:rsidRPr="00B02653">
              <w:rPr>
                <w:rFonts w:ascii="Times New Roman" w:hAnsi="Times New Roman" w:cs="Times New Roman"/>
                <w:sz w:val="20"/>
                <w:szCs w:val="20"/>
              </w:rPr>
              <w:t>The individual may choose to decline consent to the particular use of his/her personal information</w:t>
            </w:r>
            <w:r w:rsidR="005C3D57">
              <w:rPr>
                <w:rFonts w:ascii="Times New Roman" w:hAnsi="Times New Roman" w:cs="Times New Roman"/>
                <w:sz w:val="20"/>
                <w:szCs w:val="20"/>
              </w:rPr>
              <w:t xml:space="preserve"> (for permit application) when completing the application; however, he will not receive a permit.</w:t>
            </w:r>
          </w:p>
        </w:tc>
      </w:tr>
      <w:tr w:rsidR="00B61907" w:rsidRPr="00B02653" w:rsidTr="00352856">
        <w:tc>
          <w:tcPr>
            <w:tcW w:w="540" w:type="dxa"/>
          </w:tcPr>
          <w:p w:rsidR="00B61907" w:rsidRPr="00B02653" w:rsidRDefault="00B61907" w:rsidP="00352856">
            <w:pPr>
              <w:pStyle w:val="Default"/>
              <w:rPr>
                <w:color w:val="auto"/>
                <w:sz w:val="20"/>
                <w:szCs w:val="20"/>
              </w:rPr>
            </w:pPr>
          </w:p>
        </w:tc>
        <w:tc>
          <w:tcPr>
            <w:tcW w:w="3420" w:type="dxa"/>
          </w:tcPr>
          <w:p w:rsidR="00B61907" w:rsidRPr="00B02653" w:rsidRDefault="00B61907" w:rsidP="00FA6DF9">
            <w:pPr>
              <w:pStyle w:val="Default"/>
              <w:rPr>
                <w:color w:val="auto"/>
                <w:sz w:val="20"/>
                <w:szCs w:val="20"/>
              </w:rPr>
            </w:pPr>
            <w:r w:rsidRPr="00B02653">
              <w:rPr>
                <w:color w:val="auto"/>
                <w:sz w:val="20"/>
                <w:szCs w:val="20"/>
              </w:rPr>
              <w:t xml:space="preserve">No, individuals do not have an opportunity to consent to particular uses of </w:t>
            </w:r>
            <w:r w:rsidR="00FA6DF9" w:rsidRPr="00B02653">
              <w:rPr>
                <w:color w:val="auto"/>
                <w:sz w:val="20"/>
                <w:szCs w:val="20"/>
              </w:rPr>
              <w:t>their PII</w:t>
            </w:r>
            <w:r w:rsidR="0077429A" w:rsidRPr="00B02653">
              <w:rPr>
                <w:color w:val="auto"/>
                <w:sz w:val="20"/>
                <w:szCs w:val="20"/>
              </w:rPr>
              <w:t>/BII</w:t>
            </w:r>
            <w:r w:rsidRPr="00B02653">
              <w:rPr>
                <w:color w:val="auto"/>
                <w:sz w:val="20"/>
                <w:szCs w:val="20"/>
              </w:rPr>
              <w:t>.</w:t>
            </w:r>
          </w:p>
        </w:tc>
        <w:tc>
          <w:tcPr>
            <w:tcW w:w="5400" w:type="dxa"/>
          </w:tcPr>
          <w:p w:rsidR="00B61907" w:rsidRPr="008753AE" w:rsidRDefault="00B61907" w:rsidP="005C3D57">
            <w:pPr>
              <w:rPr>
                <w:rFonts w:ascii="Times New Roman" w:hAnsi="Times New Roman" w:cs="Times New Roman"/>
                <w:sz w:val="20"/>
                <w:szCs w:val="20"/>
              </w:rPr>
            </w:pPr>
            <w:r w:rsidRPr="008753AE">
              <w:rPr>
                <w:rFonts w:ascii="Times New Roman" w:hAnsi="Times New Roman" w:cs="Times New Roman"/>
                <w:sz w:val="20"/>
                <w:szCs w:val="20"/>
              </w:rPr>
              <w:t>Specify why not:</w:t>
            </w:r>
            <w:r w:rsidR="008753AE" w:rsidRPr="008753AE">
              <w:rPr>
                <w:rFonts w:ascii="Times New Roman" w:hAnsi="Times New Roman" w:cs="Times New Roman"/>
                <w:sz w:val="20"/>
                <w:szCs w:val="20"/>
              </w:rPr>
              <w:t xml:space="preserve"> </w:t>
            </w:r>
          </w:p>
        </w:tc>
      </w:tr>
    </w:tbl>
    <w:p w:rsidR="005C3D57" w:rsidRDefault="005C3D57" w:rsidP="009E4666">
      <w:pPr>
        <w:pStyle w:val="Default"/>
        <w:ind w:left="630" w:hanging="630"/>
        <w:rPr>
          <w:color w:val="auto"/>
        </w:rPr>
      </w:pPr>
    </w:p>
    <w:p w:rsidR="009E4666" w:rsidRPr="00B02653" w:rsidRDefault="0077429A" w:rsidP="009E4666">
      <w:pPr>
        <w:pStyle w:val="Default"/>
        <w:ind w:left="630" w:hanging="630"/>
        <w:rPr>
          <w:color w:val="auto"/>
        </w:rPr>
      </w:pPr>
      <w:r w:rsidRPr="00B02653">
        <w:rPr>
          <w:color w:val="auto"/>
        </w:rPr>
        <w:t>5</w:t>
      </w:r>
      <w:r w:rsidR="009E4666" w:rsidRPr="00B02653">
        <w:rPr>
          <w:color w:val="auto"/>
        </w:rPr>
        <w:t>.4</w:t>
      </w:r>
      <w:r w:rsidR="009E4666" w:rsidRPr="00B02653">
        <w:rPr>
          <w:color w:val="auto"/>
        </w:rPr>
        <w:tab/>
        <w:t>Indicate whether and how individuals have an opportunity to review/update PII</w:t>
      </w:r>
      <w:r w:rsidRPr="00B02653">
        <w:rPr>
          <w:color w:val="auto"/>
        </w:rPr>
        <w:t>/BII</w:t>
      </w:r>
      <w:r w:rsidR="009E4666" w:rsidRPr="00B02653">
        <w:rPr>
          <w:color w:val="auto"/>
        </w:rPr>
        <w:t xml:space="preserve"> pertaining to them.</w:t>
      </w:r>
    </w:p>
    <w:p w:rsidR="009E4666" w:rsidRPr="00B02653" w:rsidRDefault="009E4666" w:rsidP="009E4666">
      <w:pPr>
        <w:pStyle w:val="Default"/>
        <w:ind w:left="720" w:hanging="720"/>
        <w:rPr>
          <w:color w:val="auto"/>
        </w:rPr>
      </w:pPr>
    </w:p>
    <w:tbl>
      <w:tblPr>
        <w:tblStyle w:val="TableGrid"/>
        <w:tblW w:w="0" w:type="auto"/>
        <w:tblInd w:w="108" w:type="dxa"/>
        <w:tblLook w:val="04A0" w:firstRow="1" w:lastRow="0" w:firstColumn="1" w:lastColumn="0" w:noHBand="0" w:noVBand="1"/>
      </w:tblPr>
      <w:tblGrid>
        <w:gridCol w:w="540"/>
        <w:gridCol w:w="3420"/>
        <w:gridCol w:w="5400"/>
      </w:tblGrid>
      <w:tr w:rsidR="009E4666" w:rsidRPr="00B02653" w:rsidTr="00FE68F3">
        <w:tc>
          <w:tcPr>
            <w:tcW w:w="540" w:type="dxa"/>
          </w:tcPr>
          <w:p w:rsidR="009E4666" w:rsidRPr="00B02653" w:rsidRDefault="0047051D" w:rsidP="00FE68F3">
            <w:pPr>
              <w:pStyle w:val="Default"/>
              <w:rPr>
                <w:color w:val="auto"/>
                <w:sz w:val="20"/>
                <w:szCs w:val="20"/>
              </w:rPr>
            </w:pPr>
            <w:r w:rsidRPr="00B02653">
              <w:rPr>
                <w:color w:val="auto"/>
                <w:sz w:val="20"/>
                <w:szCs w:val="20"/>
              </w:rPr>
              <w:t>x</w:t>
            </w:r>
          </w:p>
        </w:tc>
        <w:tc>
          <w:tcPr>
            <w:tcW w:w="3420" w:type="dxa"/>
          </w:tcPr>
          <w:p w:rsidR="009E4666" w:rsidRPr="00B02653" w:rsidRDefault="009E4666" w:rsidP="009E4666">
            <w:pPr>
              <w:pStyle w:val="Default"/>
              <w:rPr>
                <w:color w:val="auto"/>
                <w:sz w:val="20"/>
                <w:szCs w:val="20"/>
              </w:rPr>
            </w:pPr>
            <w:r w:rsidRPr="00B02653">
              <w:rPr>
                <w:color w:val="auto"/>
                <w:sz w:val="20"/>
                <w:szCs w:val="20"/>
              </w:rPr>
              <w:t>Yes, individuals have an opportunity to review/update PII</w:t>
            </w:r>
            <w:r w:rsidR="0077429A" w:rsidRPr="00B02653">
              <w:rPr>
                <w:color w:val="auto"/>
                <w:sz w:val="20"/>
                <w:szCs w:val="20"/>
              </w:rPr>
              <w:t>/BII</w:t>
            </w:r>
            <w:r w:rsidRPr="00B02653">
              <w:rPr>
                <w:color w:val="auto"/>
                <w:sz w:val="20"/>
                <w:szCs w:val="20"/>
              </w:rPr>
              <w:t xml:space="preserve"> pertaining to them.</w:t>
            </w:r>
          </w:p>
        </w:tc>
        <w:tc>
          <w:tcPr>
            <w:tcW w:w="5400" w:type="dxa"/>
          </w:tcPr>
          <w:p w:rsidR="009E4666" w:rsidRPr="00B02653" w:rsidRDefault="009E4666" w:rsidP="000E1419">
            <w:pPr>
              <w:pStyle w:val="Default"/>
              <w:rPr>
                <w:color w:val="auto"/>
                <w:sz w:val="20"/>
                <w:szCs w:val="20"/>
              </w:rPr>
            </w:pPr>
            <w:r w:rsidRPr="00B02653">
              <w:rPr>
                <w:color w:val="auto"/>
                <w:sz w:val="20"/>
                <w:szCs w:val="20"/>
              </w:rPr>
              <w:t>Specify how:</w:t>
            </w:r>
            <w:r w:rsidR="000E1419">
              <w:rPr>
                <w:color w:val="auto"/>
                <w:sz w:val="20"/>
                <w:szCs w:val="20"/>
              </w:rPr>
              <w:t xml:space="preserve"> Information may be reviewed/updated w</w:t>
            </w:r>
            <w:r w:rsidR="0047051D" w:rsidRPr="00B02653">
              <w:rPr>
                <w:color w:val="auto"/>
                <w:sz w:val="20"/>
                <w:szCs w:val="20"/>
              </w:rPr>
              <w:t>hen completing or renewing a permit application or supporting document</w:t>
            </w:r>
            <w:r w:rsidR="00E123B8" w:rsidRPr="00B02653">
              <w:rPr>
                <w:color w:val="auto"/>
                <w:sz w:val="20"/>
                <w:szCs w:val="20"/>
              </w:rPr>
              <w:t>, or by calling or emailing the applicable NMFS office at any time</w:t>
            </w:r>
            <w:r w:rsidR="0047051D" w:rsidRPr="00B02653">
              <w:rPr>
                <w:color w:val="auto"/>
                <w:sz w:val="20"/>
                <w:szCs w:val="20"/>
              </w:rPr>
              <w:t>.</w:t>
            </w:r>
            <w:r w:rsidR="00E123B8" w:rsidRPr="00B02653">
              <w:rPr>
                <w:color w:val="auto"/>
                <w:sz w:val="20"/>
                <w:szCs w:val="20"/>
              </w:rPr>
              <w:t xml:space="preserve"> Permits are completed on line</w:t>
            </w:r>
            <w:r w:rsidR="000E1419">
              <w:rPr>
                <w:color w:val="auto"/>
                <w:sz w:val="20"/>
                <w:szCs w:val="20"/>
              </w:rPr>
              <w:t>,</w:t>
            </w:r>
            <w:r w:rsidR="00E123B8" w:rsidRPr="00B02653">
              <w:rPr>
                <w:color w:val="auto"/>
                <w:sz w:val="20"/>
                <w:szCs w:val="20"/>
              </w:rPr>
              <w:t xml:space="preserve"> or</w:t>
            </w:r>
            <w:r w:rsidR="000E1419">
              <w:rPr>
                <w:color w:val="auto"/>
                <w:sz w:val="20"/>
                <w:szCs w:val="20"/>
              </w:rPr>
              <w:t xml:space="preserve"> in the case of paper applications,</w:t>
            </w:r>
            <w:r w:rsidR="00E123B8" w:rsidRPr="00B02653">
              <w:rPr>
                <w:color w:val="auto"/>
                <w:sz w:val="20"/>
                <w:szCs w:val="20"/>
              </w:rPr>
              <w:t xml:space="preserve"> by reviewing and updating </w:t>
            </w:r>
            <w:r w:rsidR="000E1419">
              <w:rPr>
                <w:color w:val="auto"/>
                <w:sz w:val="20"/>
                <w:szCs w:val="20"/>
              </w:rPr>
              <w:t xml:space="preserve">the application </w:t>
            </w:r>
            <w:r w:rsidR="00E123B8" w:rsidRPr="00B02653">
              <w:rPr>
                <w:color w:val="auto"/>
                <w:sz w:val="20"/>
                <w:szCs w:val="20"/>
              </w:rPr>
              <w:t>pre-filled by NMFS</w:t>
            </w:r>
            <w:r w:rsidR="005C3D57">
              <w:rPr>
                <w:color w:val="auto"/>
                <w:sz w:val="20"/>
                <w:szCs w:val="20"/>
              </w:rPr>
              <w:t xml:space="preserve"> permit office staff</w:t>
            </w:r>
            <w:r w:rsidR="00E123B8" w:rsidRPr="00B02653">
              <w:rPr>
                <w:color w:val="auto"/>
                <w:sz w:val="20"/>
                <w:szCs w:val="20"/>
              </w:rPr>
              <w:t xml:space="preserve"> with their most recent information on the permit holder.</w:t>
            </w:r>
          </w:p>
        </w:tc>
      </w:tr>
      <w:tr w:rsidR="009E4666" w:rsidRPr="00B02653" w:rsidTr="00FE68F3">
        <w:tc>
          <w:tcPr>
            <w:tcW w:w="540" w:type="dxa"/>
          </w:tcPr>
          <w:p w:rsidR="009E4666" w:rsidRPr="00B02653" w:rsidRDefault="009E4666" w:rsidP="00FE68F3">
            <w:pPr>
              <w:pStyle w:val="Default"/>
              <w:rPr>
                <w:color w:val="auto"/>
                <w:sz w:val="20"/>
                <w:szCs w:val="20"/>
              </w:rPr>
            </w:pPr>
          </w:p>
        </w:tc>
        <w:tc>
          <w:tcPr>
            <w:tcW w:w="3420" w:type="dxa"/>
          </w:tcPr>
          <w:p w:rsidR="009E4666" w:rsidRPr="00B02653" w:rsidRDefault="009E4666" w:rsidP="00FE68F3">
            <w:pPr>
              <w:pStyle w:val="Default"/>
              <w:rPr>
                <w:color w:val="auto"/>
                <w:sz w:val="20"/>
                <w:szCs w:val="20"/>
              </w:rPr>
            </w:pPr>
            <w:r w:rsidRPr="00B02653">
              <w:rPr>
                <w:color w:val="auto"/>
                <w:sz w:val="20"/>
                <w:szCs w:val="20"/>
              </w:rPr>
              <w:t>No, individuals do not have an opportunity to review/update PII</w:t>
            </w:r>
            <w:r w:rsidR="0077429A" w:rsidRPr="00B02653">
              <w:rPr>
                <w:color w:val="auto"/>
                <w:sz w:val="20"/>
                <w:szCs w:val="20"/>
              </w:rPr>
              <w:t>/BII</w:t>
            </w:r>
            <w:r w:rsidRPr="00B02653">
              <w:rPr>
                <w:color w:val="auto"/>
                <w:sz w:val="20"/>
                <w:szCs w:val="20"/>
              </w:rPr>
              <w:t xml:space="preserve"> pertaining to them.</w:t>
            </w:r>
          </w:p>
        </w:tc>
        <w:tc>
          <w:tcPr>
            <w:tcW w:w="5400" w:type="dxa"/>
          </w:tcPr>
          <w:p w:rsidR="009E4666" w:rsidRPr="00B02653" w:rsidRDefault="009E4666" w:rsidP="00FE68F3">
            <w:pPr>
              <w:pStyle w:val="Default"/>
              <w:rPr>
                <w:color w:val="auto"/>
                <w:sz w:val="20"/>
                <w:szCs w:val="20"/>
              </w:rPr>
            </w:pPr>
            <w:r w:rsidRPr="00B02653">
              <w:rPr>
                <w:color w:val="auto"/>
                <w:sz w:val="20"/>
                <w:szCs w:val="20"/>
              </w:rPr>
              <w:t>Specify why not:</w:t>
            </w:r>
          </w:p>
        </w:tc>
      </w:tr>
    </w:tbl>
    <w:p w:rsidR="009E4666" w:rsidRPr="00B02653" w:rsidRDefault="009E4666" w:rsidP="007E08B7">
      <w:pPr>
        <w:pStyle w:val="Default"/>
        <w:rPr>
          <w:color w:val="auto"/>
        </w:rPr>
      </w:pPr>
    </w:p>
    <w:p w:rsidR="00A4422D" w:rsidRPr="00B02653" w:rsidRDefault="00A4422D" w:rsidP="00B5231A">
      <w:pPr>
        <w:pStyle w:val="Default"/>
        <w:rPr>
          <w:b/>
          <w:color w:val="auto"/>
          <w:u w:val="single"/>
        </w:rPr>
      </w:pPr>
    </w:p>
    <w:p w:rsidR="00B5231A" w:rsidRPr="00B02653" w:rsidRDefault="00B5231A" w:rsidP="00B5231A">
      <w:pPr>
        <w:pStyle w:val="Default"/>
        <w:rPr>
          <w:b/>
          <w:color w:val="auto"/>
        </w:rPr>
      </w:pPr>
      <w:r w:rsidRPr="00B02653">
        <w:rPr>
          <w:b/>
          <w:color w:val="auto"/>
          <w:u w:val="single"/>
        </w:rPr>
        <w:t xml:space="preserve">Section </w:t>
      </w:r>
      <w:r w:rsidR="0077429A" w:rsidRPr="00B02653">
        <w:rPr>
          <w:b/>
          <w:color w:val="auto"/>
          <w:u w:val="single"/>
        </w:rPr>
        <w:t>6</w:t>
      </w:r>
      <w:r w:rsidRPr="00B02653">
        <w:rPr>
          <w:b/>
          <w:color w:val="auto"/>
        </w:rPr>
        <w:t xml:space="preserve">:  </w:t>
      </w:r>
      <w:r w:rsidR="0077429A" w:rsidRPr="00B02653">
        <w:rPr>
          <w:b/>
          <w:color w:val="auto"/>
        </w:rPr>
        <w:t>Administrative and Technological</w:t>
      </w:r>
      <w:r w:rsidR="006379C8" w:rsidRPr="00B02653">
        <w:rPr>
          <w:b/>
          <w:color w:val="auto"/>
        </w:rPr>
        <w:t xml:space="preserve"> Controls</w:t>
      </w:r>
    </w:p>
    <w:p w:rsidR="00B5231A" w:rsidRPr="00B02653" w:rsidRDefault="00B5231A" w:rsidP="00B5231A">
      <w:pPr>
        <w:pStyle w:val="Default"/>
        <w:rPr>
          <w:b/>
          <w:color w:val="auto"/>
        </w:rPr>
      </w:pPr>
    </w:p>
    <w:p w:rsidR="006379C8" w:rsidRPr="00B02653" w:rsidRDefault="0077429A" w:rsidP="00DF3707">
      <w:pPr>
        <w:pStyle w:val="Default"/>
        <w:tabs>
          <w:tab w:val="left" w:pos="630"/>
        </w:tabs>
        <w:rPr>
          <w:color w:val="auto"/>
        </w:rPr>
      </w:pPr>
      <w:r w:rsidRPr="00B02653">
        <w:rPr>
          <w:color w:val="auto"/>
        </w:rPr>
        <w:t>6</w:t>
      </w:r>
      <w:r w:rsidR="00B5231A" w:rsidRPr="00B02653">
        <w:rPr>
          <w:color w:val="auto"/>
        </w:rPr>
        <w:t>.1</w:t>
      </w:r>
      <w:r w:rsidR="00B5231A" w:rsidRPr="00B02653">
        <w:rPr>
          <w:color w:val="auto"/>
        </w:rPr>
        <w:tab/>
      </w:r>
      <w:r w:rsidR="006379C8" w:rsidRPr="00B02653">
        <w:rPr>
          <w:color w:val="auto"/>
        </w:rPr>
        <w:t xml:space="preserve">Indicate the administrative </w:t>
      </w:r>
      <w:r w:rsidRPr="00B02653">
        <w:rPr>
          <w:color w:val="auto"/>
        </w:rPr>
        <w:t xml:space="preserve">and technological </w:t>
      </w:r>
      <w:r w:rsidR="006379C8" w:rsidRPr="00B02653">
        <w:rPr>
          <w:color w:val="auto"/>
        </w:rPr>
        <w:t>controls for the system.  Check all that apply.</w:t>
      </w:r>
    </w:p>
    <w:p w:rsidR="006379C8" w:rsidRPr="00B02653" w:rsidRDefault="006379C8" w:rsidP="00B5231A">
      <w:pPr>
        <w:pStyle w:val="Default"/>
        <w:rPr>
          <w:color w:val="auto"/>
        </w:rPr>
      </w:pPr>
    </w:p>
    <w:tbl>
      <w:tblPr>
        <w:tblStyle w:val="TableGrid"/>
        <w:tblW w:w="0" w:type="auto"/>
        <w:tblInd w:w="108" w:type="dxa"/>
        <w:tblLook w:val="04A0" w:firstRow="1" w:lastRow="0" w:firstColumn="1" w:lastColumn="0" w:noHBand="0" w:noVBand="1"/>
      </w:tblPr>
      <w:tblGrid>
        <w:gridCol w:w="540"/>
        <w:gridCol w:w="8820"/>
      </w:tblGrid>
      <w:tr w:rsidR="006379C8" w:rsidRPr="00B02653" w:rsidTr="00DF3707">
        <w:tc>
          <w:tcPr>
            <w:tcW w:w="540" w:type="dxa"/>
          </w:tcPr>
          <w:p w:rsidR="006379C8" w:rsidRPr="00B02653" w:rsidRDefault="0047051D" w:rsidP="00DF3707">
            <w:pPr>
              <w:pStyle w:val="Default"/>
              <w:rPr>
                <w:color w:val="auto"/>
                <w:sz w:val="20"/>
                <w:szCs w:val="20"/>
              </w:rPr>
            </w:pPr>
            <w:r w:rsidRPr="00B02653">
              <w:rPr>
                <w:color w:val="auto"/>
                <w:sz w:val="20"/>
                <w:szCs w:val="20"/>
              </w:rPr>
              <w:t>x</w:t>
            </w:r>
          </w:p>
        </w:tc>
        <w:tc>
          <w:tcPr>
            <w:tcW w:w="8820" w:type="dxa"/>
          </w:tcPr>
          <w:p w:rsidR="006379C8" w:rsidRPr="00B02653" w:rsidRDefault="006379C8" w:rsidP="00DF3707">
            <w:pPr>
              <w:pStyle w:val="Default"/>
              <w:rPr>
                <w:color w:val="auto"/>
                <w:sz w:val="20"/>
                <w:szCs w:val="20"/>
              </w:rPr>
            </w:pPr>
            <w:r w:rsidRPr="00B02653">
              <w:rPr>
                <w:color w:val="auto"/>
                <w:sz w:val="20"/>
                <w:szCs w:val="20"/>
              </w:rPr>
              <w:t>All users signed a confidentiality agreement.</w:t>
            </w:r>
          </w:p>
        </w:tc>
      </w:tr>
      <w:tr w:rsidR="006379C8" w:rsidRPr="00B02653" w:rsidTr="00DF3707">
        <w:tc>
          <w:tcPr>
            <w:tcW w:w="540" w:type="dxa"/>
          </w:tcPr>
          <w:p w:rsidR="006379C8" w:rsidRPr="00B02653" w:rsidRDefault="0047051D" w:rsidP="00DF3707">
            <w:pPr>
              <w:pStyle w:val="Default"/>
              <w:rPr>
                <w:color w:val="auto"/>
                <w:sz w:val="20"/>
                <w:szCs w:val="20"/>
              </w:rPr>
            </w:pPr>
            <w:r w:rsidRPr="00B02653">
              <w:rPr>
                <w:color w:val="auto"/>
                <w:sz w:val="20"/>
                <w:szCs w:val="20"/>
              </w:rPr>
              <w:t>x</w:t>
            </w:r>
          </w:p>
        </w:tc>
        <w:tc>
          <w:tcPr>
            <w:tcW w:w="8820" w:type="dxa"/>
          </w:tcPr>
          <w:p w:rsidR="006379C8" w:rsidRPr="00B02653" w:rsidRDefault="006379C8" w:rsidP="00DF3707">
            <w:pPr>
              <w:pStyle w:val="Default"/>
              <w:rPr>
                <w:color w:val="auto"/>
                <w:sz w:val="20"/>
                <w:szCs w:val="20"/>
              </w:rPr>
            </w:pPr>
            <w:r w:rsidRPr="00B02653">
              <w:rPr>
                <w:color w:val="auto"/>
                <w:sz w:val="20"/>
                <w:szCs w:val="20"/>
              </w:rPr>
              <w:t>All users</w:t>
            </w:r>
            <w:r w:rsidR="005602D5" w:rsidRPr="00B02653">
              <w:rPr>
                <w:color w:val="auto"/>
                <w:sz w:val="20"/>
                <w:szCs w:val="20"/>
              </w:rPr>
              <w:t xml:space="preserve"> are subject to a Code of Conduct that includes the requirement for confidentiality.</w:t>
            </w:r>
          </w:p>
        </w:tc>
      </w:tr>
      <w:tr w:rsidR="006379C8" w:rsidRPr="00B02653" w:rsidTr="00DF3707">
        <w:tc>
          <w:tcPr>
            <w:tcW w:w="540" w:type="dxa"/>
          </w:tcPr>
          <w:p w:rsidR="006379C8" w:rsidRPr="00B02653" w:rsidRDefault="0047051D" w:rsidP="00DF3707">
            <w:pPr>
              <w:pStyle w:val="Default"/>
              <w:rPr>
                <w:color w:val="auto"/>
                <w:sz w:val="20"/>
                <w:szCs w:val="20"/>
              </w:rPr>
            </w:pPr>
            <w:r w:rsidRPr="00B02653">
              <w:rPr>
                <w:color w:val="auto"/>
                <w:sz w:val="20"/>
                <w:szCs w:val="20"/>
              </w:rPr>
              <w:t>x</w:t>
            </w:r>
          </w:p>
        </w:tc>
        <w:tc>
          <w:tcPr>
            <w:tcW w:w="8820" w:type="dxa"/>
          </w:tcPr>
          <w:p w:rsidR="006379C8" w:rsidRPr="00B02653" w:rsidRDefault="006379C8" w:rsidP="00DF3707">
            <w:pPr>
              <w:pStyle w:val="Default"/>
              <w:rPr>
                <w:color w:val="auto"/>
                <w:sz w:val="20"/>
                <w:szCs w:val="20"/>
              </w:rPr>
            </w:pPr>
            <w:r w:rsidRPr="00B02653">
              <w:rPr>
                <w:color w:val="auto"/>
                <w:sz w:val="20"/>
                <w:szCs w:val="20"/>
              </w:rPr>
              <w:t>Staff received training on privacy and confidentiality policies and practices.</w:t>
            </w:r>
          </w:p>
        </w:tc>
      </w:tr>
      <w:tr w:rsidR="006379C8" w:rsidRPr="00B02653" w:rsidTr="00DF3707">
        <w:tc>
          <w:tcPr>
            <w:tcW w:w="540" w:type="dxa"/>
          </w:tcPr>
          <w:p w:rsidR="006379C8" w:rsidRPr="00B02653" w:rsidRDefault="0047051D" w:rsidP="00DF3707">
            <w:pPr>
              <w:pStyle w:val="Default"/>
              <w:rPr>
                <w:color w:val="auto"/>
                <w:sz w:val="20"/>
                <w:szCs w:val="20"/>
              </w:rPr>
            </w:pPr>
            <w:r w:rsidRPr="00B02653">
              <w:rPr>
                <w:color w:val="auto"/>
                <w:sz w:val="20"/>
                <w:szCs w:val="20"/>
              </w:rPr>
              <w:t>x</w:t>
            </w:r>
          </w:p>
        </w:tc>
        <w:tc>
          <w:tcPr>
            <w:tcW w:w="8820" w:type="dxa"/>
          </w:tcPr>
          <w:p w:rsidR="006379C8" w:rsidRPr="00B02653" w:rsidRDefault="005602D5" w:rsidP="005602D5">
            <w:pPr>
              <w:pStyle w:val="Default"/>
              <w:rPr>
                <w:color w:val="auto"/>
                <w:sz w:val="20"/>
                <w:szCs w:val="20"/>
              </w:rPr>
            </w:pPr>
            <w:r w:rsidRPr="00B02653">
              <w:rPr>
                <w:color w:val="auto"/>
                <w:sz w:val="20"/>
                <w:szCs w:val="20"/>
              </w:rPr>
              <w:t>Access to PII</w:t>
            </w:r>
            <w:r w:rsidR="0077429A" w:rsidRPr="00B02653">
              <w:rPr>
                <w:color w:val="auto"/>
                <w:sz w:val="20"/>
                <w:szCs w:val="20"/>
              </w:rPr>
              <w:t>/BII</w:t>
            </w:r>
            <w:r w:rsidRPr="00B02653">
              <w:rPr>
                <w:color w:val="auto"/>
                <w:sz w:val="20"/>
                <w:szCs w:val="20"/>
              </w:rPr>
              <w:t xml:space="preserve"> is restricted to authorized personnel only.</w:t>
            </w:r>
          </w:p>
        </w:tc>
      </w:tr>
      <w:tr w:rsidR="00B5231A" w:rsidRPr="00B02653" w:rsidTr="007E08B7">
        <w:trPr>
          <w:trHeight w:val="512"/>
        </w:trPr>
        <w:tc>
          <w:tcPr>
            <w:tcW w:w="540" w:type="dxa"/>
          </w:tcPr>
          <w:p w:rsidR="00B5231A" w:rsidRPr="00B02653" w:rsidRDefault="0047051D" w:rsidP="00B5231A">
            <w:pPr>
              <w:pStyle w:val="Default"/>
              <w:rPr>
                <w:color w:val="auto"/>
                <w:sz w:val="20"/>
                <w:szCs w:val="20"/>
              </w:rPr>
            </w:pPr>
            <w:r w:rsidRPr="00B02653">
              <w:rPr>
                <w:color w:val="auto"/>
                <w:sz w:val="20"/>
                <w:szCs w:val="20"/>
              </w:rPr>
              <w:t>x</w:t>
            </w:r>
          </w:p>
        </w:tc>
        <w:tc>
          <w:tcPr>
            <w:tcW w:w="8820" w:type="dxa"/>
          </w:tcPr>
          <w:p w:rsidR="00B5231A" w:rsidRPr="00B02653" w:rsidRDefault="00B5231A" w:rsidP="00A55477">
            <w:pPr>
              <w:pStyle w:val="Default"/>
              <w:rPr>
                <w:color w:val="auto"/>
                <w:sz w:val="20"/>
                <w:szCs w:val="20"/>
              </w:rPr>
            </w:pPr>
            <w:r w:rsidRPr="00B02653">
              <w:rPr>
                <w:color w:val="auto"/>
                <w:sz w:val="20"/>
                <w:szCs w:val="20"/>
              </w:rPr>
              <w:t>The information is secured in accordance with FISMA requirements.  Provide date</w:t>
            </w:r>
            <w:r w:rsidR="00A55477" w:rsidRPr="00B02653">
              <w:rPr>
                <w:color w:val="auto"/>
                <w:sz w:val="20"/>
                <w:szCs w:val="20"/>
              </w:rPr>
              <w:t>s</w:t>
            </w:r>
            <w:r w:rsidRPr="00B02653">
              <w:rPr>
                <w:color w:val="auto"/>
                <w:sz w:val="20"/>
                <w:szCs w:val="20"/>
              </w:rPr>
              <w:t xml:space="preserve"> of most recent </w:t>
            </w:r>
            <w:r w:rsidR="007E08B7" w:rsidRPr="00B02653">
              <w:rPr>
                <w:color w:val="auto"/>
                <w:sz w:val="20"/>
                <w:szCs w:val="20"/>
              </w:rPr>
              <w:t>Assessment and Authorization</w:t>
            </w:r>
            <w:r w:rsidRPr="00B02653">
              <w:rPr>
                <w:color w:val="auto"/>
                <w:sz w:val="20"/>
                <w:szCs w:val="20"/>
              </w:rPr>
              <w:t xml:space="preserve">:  </w:t>
            </w:r>
          </w:p>
          <w:p w:rsidR="00A55477" w:rsidRPr="00B02653" w:rsidRDefault="00A55477" w:rsidP="00A55477">
            <w:pPr>
              <w:pStyle w:val="Default"/>
              <w:rPr>
                <w:color w:val="auto"/>
                <w:sz w:val="20"/>
                <w:szCs w:val="20"/>
              </w:rPr>
            </w:pPr>
          </w:p>
          <w:p w:rsidR="00A55477" w:rsidRPr="00B02653" w:rsidRDefault="00A55477" w:rsidP="00A55477">
            <w:pPr>
              <w:pStyle w:val="Default"/>
              <w:rPr>
                <w:color w:val="auto"/>
                <w:sz w:val="20"/>
                <w:szCs w:val="20"/>
              </w:rPr>
            </w:pPr>
            <w:r w:rsidRPr="00B02653">
              <w:rPr>
                <w:color w:val="auto"/>
                <w:sz w:val="20"/>
                <w:szCs w:val="20"/>
              </w:rPr>
              <w:t xml:space="preserve">NOAA4010: </w:t>
            </w:r>
            <w:r w:rsidR="00345DB0">
              <w:rPr>
                <w:color w:val="auto"/>
                <w:sz w:val="20"/>
                <w:szCs w:val="20"/>
              </w:rPr>
              <w:t>7/1/2014</w:t>
            </w:r>
          </w:p>
          <w:p w:rsidR="00A55477" w:rsidRPr="00B02653" w:rsidRDefault="002C181B" w:rsidP="00A55477">
            <w:pPr>
              <w:pStyle w:val="Default"/>
              <w:rPr>
                <w:color w:val="auto"/>
                <w:sz w:val="20"/>
                <w:szCs w:val="20"/>
              </w:rPr>
            </w:pPr>
            <w:r w:rsidRPr="00B02653">
              <w:rPr>
                <w:color w:val="auto"/>
                <w:sz w:val="20"/>
                <w:szCs w:val="20"/>
              </w:rPr>
              <w:t xml:space="preserve">NOAA4011: </w:t>
            </w:r>
            <w:r w:rsidR="00F143B2">
              <w:rPr>
                <w:color w:val="auto"/>
                <w:sz w:val="20"/>
                <w:szCs w:val="20"/>
              </w:rPr>
              <w:t>8/6/2014</w:t>
            </w:r>
            <w:bookmarkStart w:id="2" w:name="_GoBack"/>
            <w:bookmarkEnd w:id="2"/>
          </w:p>
          <w:p w:rsidR="00A55477" w:rsidRPr="00B02653" w:rsidRDefault="000912CB" w:rsidP="00A55477">
            <w:pPr>
              <w:pStyle w:val="Default"/>
              <w:rPr>
                <w:color w:val="auto"/>
                <w:sz w:val="20"/>
                <w:szCs w:val="20"/>
              </w:rPr>
            </w:pPr>
            <w:r w:rsidRPr="00B02653">
              <w:rPr>
                <w:color w:val="auto"/>
                <w:sz w:val="20"/>
                <w:szCs w:val="20"/>
              </w:rPr>
              <w:t xml:space="preserve">NOAA4020: </w:t>
            </w:r>
            <w:r w:rsidR="00516E18">
              <w:rPr>
                <w:color w:val="auto"/>
                <w:sz w:val="20"/>
                <w:szCs w:val="20"/>
              </w:rPr>
              <w:t>3/19/2014</w:t>
            </w:r>
          </w:p>
          <w:p w:rsidR="00516E18" w:rsidRDefault="00A55477" w:rsidP="00A55477">
            <w:pPr>
              <w:pStyle w:val="Default"/>
              <w:rPr>
                <w:color w:val="auto"/>
                <w:sz w:val="20"/>
                <w:szCs w:val="20"/>
              </w:rPr>
            </w:pPr>
            <w:r w:rsidRPr="00B02653">
              <w:rPr>
                <w:color w:val="auto"/>
                <w:sz w:val="20"/>
                <w:szCs w:val="20"/>
              </w:rPr>
              <w:t>NOAA4100:</w:t>
            </w:r>
            <w:r w:rsidR="000912CB" w:rsidRPr="00B02653">
              <w:rPr>
                <w:color w:val="auto"/>
                <w:sz w:val="20"/>
                <w:szCs w:val="20"/>
              </w:rPr>
              <w:t xml:space="preserve"> </w:t>
            </w:r>
            <w:r w:rsidR="00466338">
              <w:rPr>
                <w:color w:val="auto"/>
                <w:sz w:val="20"/>
                <w:szCs w:val="20"/>
              </w:rPr>
              <w:t>3/18/2014</w:t>
            </w:r>
          </w:p>
          <w:p w:rsidR="00A55477" w:rsidRPr="00B02653" w:rsidRDefault="00A55477" w:rsidP="00A55477">
            <w:pPr>
              <w:pStyle w:val="Default"/>
              <w:rPr>
                <w:color w:val="auto"/>
                <w:sz w:val="20"/>
                <w:szCs w:val="20"/>
              </w:rPr>
            </w:pPr>
            <w:r w:rsidRPr="00B02653">
              <w:rPr>
                <w:color w:val="auto"/>
                <w:sz w:val="20"/>
                <w:szCs w:val="20"/>
              </w:rPr>
              <w:t>NOAA4300:</w:t>
            </w:r>
            <w:r w:rsidR="000912CB" w:rsidRPr="00B02653">
              <w:rPr>
                <w:color w:val="auto"/>
                <w:sz w:val="20"/>
                <w:szCs w:val="20"/>
              </w:rPr>
              <w:t xml:space="preserve"> </w:t>
            </w:r>
            <w:r w:rsidR="00F143B2">
              <w:rPr>
                <w:color w:val="auto"/>
                <w:sz w:val="20"/>
                <w:szCs w:val="20"/>
              </w:rPr>
              <w:t>8/14/2014</w:t>
            </w:r>
          </w:p>
          <w:p w:rsidR="00516E18" w:rsidRDefault="00516E18" w:rsidP="00A55477">
            <w:pPr>
              <w:pStyle w:val="Default"/>
              <w:rPr>
                <w:color w:val="auto"/>
                <w:sz w:val="20"/>
                <w:szCs w:val="20"/>
              </w:rPr>
            </w:pPr>
            <w:r>
              <w:rPr>
                <w:color w:val="auto"/>
                <w:sz w:val="20"/>
                <w:szCs w:val="20"/>
              </w:rPr>
              <w:t>NOAA4500: 4/23/2014</w:t>
            </w:r>
          </w:p>
          <w:p w:rsidR="00A55477" w:rsidRPr="00B02653" w:rsidRDefault="00A55477" w:rsidP="00A55477">
            <w:pPr>
              <w:pStyle w:val="Default"/>
              <w:rPr>
                <w:color w:val="auto"/>
                <w:sz w:val="20"/>
                <w:szCs w:val="20"/>
              </w:rPr>
            </w:pPr>
            <w:r w:rsidRPr="00B02653">
              <w:rPr>
                <w:color w:val="auto"/>
                <w:sz w:val="20"/>
                <w:szCs w:val="20"/>
              </w:rPr>
              <w:t>NOAA4600:</w:t>
            </w:r>
            <w:r w:rsidR="00516E18">
              <w:rPr>
                <w:color w:val="auto"/>
                <w:sz w:val="20"/>
                <w:szCs w:val="20"/>
              </w:rPr>
              <w:t xml:space="preserve"> 4/23/2014</w:t>
            </w:r>
          </w:p>
          <w:p w:rsidR="00A55477" w:rsidRPr="00B02653" w:rsidRDefault="00A55477" w:rsidP="00A55477">
            <w:pPr>
              <w:pStyle w:val="Default"/>
              <w:rPr>
                <w:color w:val="auto"/>
                <w:sz w:val="20"/>
                <w:szCs w:val="20"/>
              </w:rPr>
            </w:pPr>
            <w:r w:rsidRPr="00B02653">
              <w:rPr>
                <w:color w:val="auto"/>
                <w:sz w:val="20"/>
                <w:szCs w:val="20"/>
              </w:rPr>
              <w:t>NOAA4700:</w:t>
            </w:r>
            <w:r w:rsidR="000912CB" w:rsidRPr="00B02653">
              <w:rPr>
                <w:color w:val="auto"/>
                <w:sz w:val="20"/>
                <w:szCs w:val="20"/>
              </w:rPr>
              <w:t xml:space="preserve"> </w:t>
            </w:r>
            <w:r w:rsidR="00516E18">
              <w:rPr>
                <w:color w:val="auto"/>
                <w:sz w:val="20"/>
                <w:szCs w:val="20"/>
              </w:rPr>
              <w:t>3/28/2014</w:t>
            </w:r>
          </w:p>
          <w:p w:rsidR="00A55477" w:rsidRPr="00B02653" w:rsidRDefault="00A55477" w:rsidP="00A55477">
            <w:pPr>
              <w:pStyle w:val="Default"/>
              <w:rPr>
                <w:color w:val="auto"/>
                <w:sz w:val="20"/>
                <w:szCs w:val="20"/>
              </w:rPr>
            </w:pPr>
          </w:p>
        </w:tc>
      </w:tr>
      <w:tr w:rsidR="00B5231A" w:rsidRPr="00B02653" w:rsidTr="00F97267">
        <w:trPr>
          <w:trHeight w:val="530"/>
        </w:trPr>
        <w:tc>
          <w:tcPr>
            <w:tcW w:w="540" w:type="dxa"/>
          </w:tcPr>
          <w:p w:rsidR="00B5231A" w:rsidRPr="00B02653" w:rsidRDefault="0047051D" w:rsidP="00B5231A">
            <w:pPr>
              <w:pStyle w:val="Default"/>
              <w:rPr>
                <w:color w:val="auto"/>
                <w:sz w:val="20"/>
                <w:szCs w:val="20"/>
              </w:rPr>
            </w:pPr>
            <w:r w:rsidRPr="00B02653">
              <w:rPr>
                <w:color w:val="auto"/>
                <w:sz w:val="20"/>
                <w:szCs w:val="20"/>
              </w:rPr>
              <w:t>x</w:t>
            </w:r>
          </w:p>
        </w:tc>
        <w:tc>
          <w:tcPr>
            <w:tcW w:w="8820" w:type="dxa"/>
          </w:tcPr>
          <w:p w:rsidR="00F97267" w:rsidRDefault="00BB60D8" w:rsidP="00F00025">
            <w:pPr>
              <w:pStyle w:val="Default"/>
              <w:rPr>
                <w:color w:val="auto"/>
                <w:sz w:val="20"/>
                <w:szCs w:val="20"/>
              </w:rPr>
            </w:pPr>
            <w:r w:rsidRPr="00B02653">
              <w:rPr>
                <w:color w:val="auto"/>
                <w:sz w:val="20"/>
                <w:szCs w:val="20"/>
              </w:rPr>
              <w:t>The Federal Information Processing Standard (FIPS) 199 security impact category for this</w:t>
            </w:r>
            <w:r w:rsidR="00883B6E" w:rsidRPr="00B02653">
              <w:rPr>
                <w:color w:val="auto"/>
                <w:sz w:val="20"/>
                <w:szCs w:val="20"/>
              </w:rPr>
              <w:t xml:space="preserve"> </w:t>
            </w:r>
            <w:r w:rsidR="00F97267">
              <w:rPr>
                <w:color w:val="auto"/>
                <w:sz w:val="20"/>
                <w:szCs w:val="20"/>
              </w:rPr>
              <w:t>system is a moderate or higher ***</w:t>
            </w:r>
          </w:p>
          <w:p w:rsidR="00B5231A" w:rsidRPr="00B02653" w:rsidRDefault="00B5231A" w:rsidP="00F00025">
            <w:pPr>
              <w:pStyle w:val="Default"/>
              <w:rPr>
                <w:color w:val="auto"/>
                <w:sz w:val="20"/>
                <w:szCs w:val="20"/>
              </w:rPr>
            </w:pPr>
          </w:p>
        </w:tc>
      </w:tr>
      <w:tr w:rsidR="00B5231A" w:rsidRPr="00B02653" w:rsidTr="00352856">
        <w:tc>
          <w:tcPr>
            <w:tcW w:w="540" w:type="dxa"/>
          </w:tcPr>
          <w:p w:rsidR="00B5231A" w:rsidRPr="00B02653" w:rsidRDefault="0047051D" w:rsidP="00B5231A">
            <w:pPr>
              <w:pStyle w:val="Default"/>
              <w:rPr>
                <w:color w:val="auto"/>
                <w:sz w:val="20"/>
                <w:szCs w:val="20"/>
              </w:rPr>
            </w:pPr>
            <w:r w:rsidRPr="00B02653">
              <w:rPr>
                <w:color w:val="auto"/>
                <w:sz w:val="20"/>
                <w:szCs w:val="20"/>
              </w:rPr>
              <w:t>x</w:t>
            </w:r>
          </w:p>
        </w:tc>
        <w:tc>
          <w:tcPr>
            <w:tcW w:w="8820" w:type="dxa"/>
          </w:tcPr>
          <w:p w:rsidR="00B5231A" w:rsidRPr="00B02653" w:rsidRDefault="00022A58" w:rsidP="00B5231A">
            <w:pPr>
              <w:pStyle w:val="Default"/>
              <w:rPr>
                <w:color w:val="auto"/>
                <w:sz w:val="20"/>
                <w:szCs w:val="20"/>
              </w:rPr>
            </w:pPr>
            <w:r w:rsidRPr="00B02653">
              <w:rPr>
                <w:color w:val="auto"/>
                <w:sz w:val="20"/>
                <w:szCs w:val="20"/>
              </w:rPr>
              <w:t>NIST 800-122 recommended security controls for protecting PII</w:t>
            </w:r>
            <w:r w:rsidR="0077429A" w:rsidRPr="00B02653">
              <w:rPr>
                <w:color w:val="auto"/>
                <w:sz w:val="20"/>
                <w:szCs w:val="20"/>
              </w:rPr>
              <w:t>/BII</w:t>
            </w:r>
            <w:r w:rsidRPr="00B02653">
              <w:rPr>
                <w:color w:val="auto"/>
                <w:sz w:val="20"/>
                <w:szCs w:val="20"/>
              </w:rPr>
              <w:t xml:space="preserve"> are in place and functioning as intended; or have an approved Plan of Action and Milestones (POAM).  See Appendix A.</w:t>
            </w:r>
          </w:p>
        </w:tc>
      </w:tr>
      <w:tr w:rsidR="00B5231A" w:rsidRPr="00B02653" w:rsidTr="00352856">
        <w:tc>
          <w:tcPr>
            <w:tcW w:w="540" w:type="dxa"/>
          </w:tcPr>
          <w:p w:rsidR="00B5231A" w:rsidRPr="00B02653" w:rsidRDefault="0047051D" w:rsidP="00B5231A">
            <w:pPr>
              <w:pStyle w:val="Default"/>
              <w:rPr>
                <w:color w:val="auto"/>
                <w:sz w:val="20"/>
                <w:szCs w:val="20"/>
              </w:rPr>
            </w:pPr>
            <w:r w:rsidRPr="00B02653">
              <w:rPr>
                <w:color w:val="auto"/>
                <w:sz w:val="20"/>
                <w:szCs w:val="20"/>
              </w:rPr>
              <w:t>x</w:t>
            </w:r>
          </w:p>
        </w:tc>
        <w:tc>
          <w:tcPr>
            <w:tcW w:w="8820" w:type="dxa"/>
          </w:tcPr>
          <w:p w:rsidR="00B5231A" w:rsidRPr="00B02653" w:rsidRDefault="001B38C2" w:rsidP="00B5231A">
            <w:pPr>
              <w:pStyle w:val="Default"/>
              <w:rPr>
                <w:color w:val="auto"/>
                <w:sz w:val="20"/>
                <w:szCs w:val="20"/>
              </w:rPr>
            </w:pPr>
            <w:r w:rsidRPr="00B02653">
              <w:rPr>
                <w:color w:val="auto"/>
                <w:sz w:val="20"/>
                <w:szCs w:val="20"/>
              </w:rPr>
              <w:t>Contractors that have access to the system are subject to information security provisions in their contracts required by DOC policy.</w:t>
            </w:r>
          </w:p>
        </w:tc>
      </w:tr>
      <w:tr w:rsidR="0077429A" w:rsidRPr="00B02653" w:rsidTr="00352856">
        <w:tc>
          <w:tcPr>
            <w:tcW w:w="540" w:type="dxa"/>
          </w:tcPr>
          <w:p w:rsidR="0077429A" w:rsidRPr="00B02653" w:rsidRDefault="0077429A" w:rsidP="00B5231A">
            <w:pPr>
              <w:pStyle w:val="Default"/>
              <w:rPr>
                <w:color w:val="auto"/>
                <w:sz w:val="20"/>
                <w:szCs w:val="20"/>
              </w:rPr>
            </w:pPr>
          </w:p>
        </w:tc>
        <w:tc>
          <w:tcPr>
            <w:tcW w:w="8820" w:type="dxa"/>
          </w:tcPr>
          <w:p w:rsidR="0077429A" w:rsidRPr="00B02653" w:rsidRDefault="0077429A" w:rsidP="00B5231A">
            <w:pPr>
              <w:pStyle w:val="Default"/>
              <w:rPr>
                <w:color w:val="auto"/>
                <w:sz w:val="20"/>
                <w:szCs w:val="20"/>
              </w:rPr>
            </w:pPr>
            <w:r w:rsidRPr="00B02653">
              <w:rPr>
                <w:color w:val="auto"/>
                <w:sz w:val="20"/>
                <w:szCs w:val="20"/>
              </w:rPr>
              <w:t>Other (specify):</w:t>
            </w:r>
          </w:p>
        </w:tc>
      </w:tr>
    </w:tbl>
    <w:p w:rsidR="00B5231A" w:rsidRPr="00F97267" w:rsidRDefault="00F97267" w:rsidP="00B5231A">
      <w:pPr>
        <w:pStyle w:val="Default"/>
        <w:rPr>
          <w:color w:val="auto"/>
        </w:rPr>
      </w:pPr>
      <w:r>
        <w:rPr>
          <w:color w:val="auto"/>
        </w:rPr>
        <w:t>***</w:t>
      </w:r>
      <w:r w:rsidRPr="00F97267">
        <w:rPr>
          <w:i/>
          <w:color w:val="auto"/>
          <w:sz w:val="20"/>
          <w:szCs w:val="20"/>
        </w:rPr>
        <w:t xml:space="preserve"> </w:t>
      </w:r>
      <w:r w:rsidRPr="00F97267">
        <w:rPr>
          <w:color w:val="auto"/>
          <w:sz w:val="20"/>
          <w:szCs w:val="20"/>
        </w:rPr>
        <w:t>One system</w:t>
      </w:r>
      <w:r w:rsidR="008753AE">
        <w:rPr>
          <w:color w:val="auto"/>
          <w:sz w:val="20"/>
          <w:szCs w:val="20"/>
        </w:rPr>
        <w:t>, NOAA4700,</w:t>
      </w:r>
      <w:r w:rsidRPr="00F97267">
        <w:rPr>
          <w:color w:val="auto"/>
          <w:sz w:val="20"/>
          <w:szCs w:val="20"/>
        </w:rPr>
        <w:t xml:space="preserve"> has a low impact category, but the </w:t>
      </w:r>
      <w:r w:rsidR="00EB03D7">
        <w:rPr>
          <w:color w:val="auto"/>
          <w:sz w:val="20"/>
          <w:szCs w:val="20"/>
        </w:rPr>
        <w:t xml:space="preserve">moderate level </w:t>
      </w:r>
      <w:r w:rsidRPr="00F97267">
        <w:rPr>
          <w:color w:val="auto"/>
          <w:sz w:val="20"/>
          <w:szCs w:val="20"/>
        </w:rPr>
        <w:t>controls are in place, with tailoring per FIPS 200. An upgrade to moderate is expected to be completed 1/1/2015 (see Appendix A for NOAA4700).</w:t>
      </w:r>
    </w:p>
    <w:p w:rsidR="00A4422D" w:rsidRPr="00F97267" w:rsidRDefault="00A4422D" w:rsidP="00AB653C">
      <w:pPr>
        <w:pStyle w:val="Default"/>
        <w:rPr>
          <w:b/>
          <w:color w:val="auto"/>
          <w:u w:val="single"/>
        </w:rPr>
      </w:pPr>
    </w:p>
    <w:p w:rsidR="00F97267" w:rsidRDefault="00F97267" w:rsidP="00AB653C">
      <w:pPr>
        <w:pStyle w:val="Default"/>
        <w:rPr>
          <w:b/>
          <w:color w:val="auto"/>
          <w:u w:val="single"/>
        </w:rPr>
      </w:pPr>
    </w:p>
    <w:p w:rsidR="00F97267" w:rsidRDefault="00F97267" w:rsidP="00AB653C">
      <w:pPr>
        <w:pStyle w:val="Default"/>
        <w:rPr>
          <w:b/>
          <w:color w:val="auto"/>
          <w:u w:val="single"/>
        </w:rPr>
      </w:pPr>
    </w:p>
    <w:p w:rsidR="00F97267" w:rsidRDefault="00F97267" w:rsidP="00AB653C">
      <w:pPr>
        <w:pStyle w:val="Default"/>
        <w:rPr>
          <w:b/>
          <w:color w:val="auto"/>
          <w:u w:val="single"/>
        </w:rPr>
      </w:pPr>
    </w:p>
    <w:p w:rsidR="00F97267" w:rsidRDefault="00F97267" w:rsidP="00AB653C">
      <w:pPr>
        <w:pStyle w:val="Default"/>
        <w:rPr>
          <w:b/>
          <w:color w:val="auto"/>
          <w:u w:val="single"/>
        </w:rPr>
      </w:pPr>
    </w:p>
    <w:p w:rsidR="00F97267" w:rsidRDefault="00F97267">
      <w:pPr>
        <w:rPr>
          <w:rFonts w:ascii="Times New Roman" w:hAnsi="Times New Roman" w:cs="Times New Roman"/>
          <w:b/>
          <w:sz w:val="24"/>
          <w:szCs w:val="24"/>
          <w:u w:val="single"/>
        </w:rPr>
      </w:pPr>
      <w:r>
        <w:rPr>
          <w:b/>
          <w:u w:val="single"/>
        </w:rPr>
        <w:br w:type="page"/>
      </w:r>
    </w:p>
    <w:p w:rsidR="00AB653C" w:rsidRPr="00B02653" w:rsidRDefault="00AB653C" w:rsidP="00AB653C">
      <w:pPr>
        <w:pStyle w:val="Default"/>
        <w:rPr>
          <w:b/>
          <w:color w:val="auto"/>
        </w:rPr>
      </w:pPr>
      <w:r w:rsidRPr="00B02653">
        <w:rPr>
          <w:b/>
          <w:color w:val="auto"/>
          <w:u w:val="single"/>
        </w:rPr>
        <w:t xml:space="preserve">Section </w:t>
      </w:r>
      <w:r w:rsidR="0077429A" w:rsidRPr="00B02653">
        <w:rPr>
          <w:b/>
          <w:color w:val="auto"/>
          <w:u w:val="single"/>
        </w:rPr>
        <w:t>7</w:t>
      </w:r>
      <w:r w:rsidRPr="00B02653">
        <w:rPr>
          <w:b/>
          <w:color w:val="auto"/>
        </w:rPr>
        <w:t>:  Privacy Act</w:t>
      </w:r>
    </w:p>
    <w:p w:rsidR="00AB653C" w:rsidRPr="00B02653" w:rsidRDefault="00AB653C" w:rsidP="00AB653C">
      <w:pPr>
        <w:pStyle w:val="Default"/>
        <w:rPr>
          <w:b/>
          <w:color w:val="auto"/>
        </w:rPr>
      </w:pPr>
    </w:p>
    <w:p w:rsidR="00AB653C" w:rsidRPr="00B02653" w:rsidRDefault="0077429A" w:rsidP="00694E76">
      <w:pPr>
        <w:pStyle w:val="Default"/>
        <w:tabs>
          <w:tab w:val="left" w:pos="540"/>
        </w:tabs>
        <w:rPr>
          <w:color w:val="auto"/>
        </w:rPr>
      </w:pPr>
      <w:r w:rsidRPr="00B02653">
        <w:rPr>
          <w:color w:val="auto"/>
        </w:rPr>
        <w:t>7</w:t>
      </w:r>
      <w:r w:rsidR="00AB653C" w:rsidRPr="00B02653">
        <w:rPr>
          <w:color w:val="auto"/>
        </w:rPr>
        <w:t>.1</w:t>
      </w:r>
      <w:r w:rsidR="00AB653C" w:rsidRPr="00B02653">
        <w:rPr>
          <w:color w:val="auto"/>
        </w:rPr>
        <w:tab/>
        <w:t xml:space="preserve">Indicate whether a system of records is being created under the Privacy Act, 5 U.S.C. </w:t>
      </w:r>
    </w:p>
    <w:p w:rsidR="00AB653C" w:rsidRPr="00B02653" w:rsidRDefault="00AB653C" w:rsidP="00A4422D">
      <w:pPr>
        <w:pStyle w:val="Default"/>
        <w:ind w:left="540"/>
        <w:rPr>
          <w:color w:val="auto"/>
        </w:rPr>
      </w:pPr>
      <w:proofErr w:type="gramStart"/>
      <w:r w:rsidRPr="00B02653">
        <w:rPr>
          <w:color w:val="auto"/>
        </w:rPr>
        <w:t>§ 552a.</w:t>
      </w:r>
      <w:proofErr w:type="gramEnd"/>
      <w:r w:rsidR="00A4422D" w:rsidRPr="00B02653">
        <w:rPr>
          <w:color w:val="auto"/>
        </w:rPr>
        <w:t xml:space="preserve">  </w:t>
      </w:r>
      <w:r w:rsidR="00A4422D" w:rsidRPr="00B02653">
        <w:rPr>
          <w:i/>
          <w:color w:val="auto"/>
        </w:rPr>
        <w:t>(A new system of records notice (SORN) is required if the system is not covered by an existing SORN).</w:t>
      </w:r>
    </w:p>
    <w:p w:rsidR="00F40E7F" w:rsidRPr="00B02653" w:rsidRDefault="00F40E7F" w:rsidP="00694E76">
      <w:pPr>
        <w:pStyle w:val="Default"/>
        <w:ind w:firstLine="540"/>
        <w:rPr>
          <w:color w:val="auto"/>
        </w:rPr>
      </w:pPr>
    </w:p>
    <w:p w:rsidR="00F40E7F" w:rsidRPr="00B02653" w:rsidRDefault="00F40E7F" w:rsidP="00F40E7F">
      <w:pPr>
        <w:pStyle w:val="Default"/>
        <w:ind w:left="540"/>
        <w:rPr>
          <w:color w:val="auto"/>
          <w:sz w:val="16"/>
          <w:szCs w:val="16"/>
        </w:rPr>
      </w:pPr>
      <w:r w:rsidRPr="00B02653">
        <w:rPr>
          <w:color w:val="auto"/>
          <w:sz w:val="16"/>
          <w:szCs w:val="16"/>
        </w:rPr>
        <w:t>As per the Privacy Act of 1974, “the term ‘system of records’ means a group of any records under the control of any agency from which information is retrieved by the name of the individual or by some identifying number, symbol, or other identifying particular assigned to the individual.”</w:t>
      </w:r>
    </w:p>
    <w:p w:rsidR="00AB653C" w:rsidRPr="00B02653" w:rsidRDefault="00AB653C" w:rsidP="00AB653C">
      <w:pPr>
        <w:pStyle w:val="Default"/>
        <w:rPr>
          <w:color w:val="auto"/>
        </w:rPr>
      </w:pPr>
    </w:p>
    <w:tbl>
      <w:tblPr>
        <w:tblStyle w:val="TableGrid"/>
        <w:tblW w:w="0" w:type="auto"/>
        <w:tblInd w:w="108" w:type="dxa"/>
        <w:tblLook w:val="04A0" w:firstRow="1" w:lastRow="0" w:firstColumn="1" w:lastColumn="0" w:noHBand="0" w:noVBand="1"/>
      </w:tblPr>
      <w:tblGrid>
        <w:gridCol w:w="540"/>
        <w:gridCol w:w="8820"/>
      </w:tblGrid>
      <w:tr w:rsidR="00AB653C" w:rsidRPr="00B02653" w:rsidTr="00D51261">
        <w:tc>
          <w:tcPr>
            <w:tcW w:w="540" w:type="dxa"/>
          </w:tcPr>
          <w:p w:rsidR="00AB653C" w:rsidRPr="00B02653" w:rsidRDefault="0047051D" w:rsidP="00AB653C">
            <w:pPr>
              <w:pStyle w:val="Default"/>
              <w:rPr>
                <w:color w:val="auto"/>
                <w:sz w:val="20"/>
                <w:szCs w:val="20"/>
              </w:rPr>
            </w:pPr>
            <w:r w:rsidRPr="00B02653">
              <w:rPr>
                <w:color w:val="auto"/>
                <w:sz w:val="20"/>
                <w:szCs w:val="20"/>
              </w:rPr>
              <w:t>x</w:t>
            </w:r>
          </w:p>
        </w:tc>
        <w:tc>
          <w:tcPr>
            <w:tcW w:w="8820" w:type="dxa"/>
          </w:tcPr>
          <w:p w:rsidR="00AB653C" w:rsidRPr="00B02653" w:rsidRDefault="0047051D" w:rsidP="00AB653C">
            <w:pPr>
              <w:pStyle w:val="Default"/>
              <w:rPr>
                <w:color w:val="auto"/>
                <w:sz w:val="20"/>
                <w:szCs w:val="20"/>
              </w:rPr>
            </w:pPr>
            <w:r w:rsidRPr="00B02653">
              <w:rPr>
                <w:color w:val="auto"/>
                <w:sz w:val="20"/>
                <w:szCs w:val="20"/>
              </w:rPr>
              <w:t>Yes, these</w:t>
            </w:r>
            <w:r w:rsidR="00167EE8" w:rsidRPr="00B02653">
              <w:rPr>
                <w:color w:val="auto"/>
                <w:sz w:val="20"/>
                <w:szCs w:val="20"/>
              </w:rPr>
              <w:t xml:space="preserve"> system</w:t>
            </w:r>
            <w:r w:rsidRPr="00B02653">
              <w:rPr>
                <w:color w:val="auto"/>
                <w:sz w:val="20"/>
                <w:szCs w:val="20"/>
              </w:rPr>
              <w:t>s</w:t>
            </w:r>
            <w:r w:rsidR="00167EE8" w:rsidRPr="00B02653">
              <w:rPr>
                <w:color w:val="auto"/>
                <w:sz w:val="20"/>
                <w:szCs w:val="20"/>
              </w:rPr>
              <w:t xml:space="preserve"> </w:t>
            </w:r>
            <w:r w:rsidRPr="00B02653">
              <w:rPr>
                <w:color w:val="auto"/>
                <w:sz w:val="20"/>
                <w:szCs w:val="20"/>
              </w:rPr>
              <w:t>are</w:t>
            </w:r>
            <w:r w:rsidR="00167EE8" w:rsidRPr="00B02653">
              <w:rPr>
                <w:color w:val="auto"/>
                <w:sz w:val="20"/>
                <w:szCs w:val="20"/>
              </w:rPr>
              <w:t xml:space="preserve"> covered by an existing system of records notice.</w:t>
            </w:r>
          </w:p>
          <w:p w:rsidR="0047051D" w:rsidRPr="00B02653" w:rsidRDefault="00167EE8" w:rsidP="00AB653C">
            <w:pPr>
              <w:pStyle w:val="Default"/>
              <w:rPr>
                <w:color w:val="auto"/>
                <w:sz w:val="20"/>
                <w:szCs w:val="20"/>
              </w:rPr>
            </w:pPr>
            <w:r w:rsidRPr="00B02653">
              <w:rPr>
                <w:color w:val="auto"/>
                <w:sz w:val="20"/>
                <w:szCs w:val="20"/>
              </w:rPr>
              <w:t>Provide the system name and number:</w:t>
            </w:r>
            <w:r w:rsidR="0047051D" w:rsidRPr="00B02653">
              <w:rPr>
                <w:color w:val="auto"/>
                <w:sz w:val="20"/>
                <w:szCs w:val="20"/>
              </w:rPr>
              <w:t xml:space="preserve"> </w:t>
            </w:r>
          </w:p>
          <w:p w:rsidR="00167EE8" w:rsidRPr="00B02653" w:rsidRDefault="0047051D" w:rsidP="00AB653C">
            <w:pPr>
              <w:pStyle w:val="Default"/>
              <w:rPr>
                <w:sz w:val="20"/>
                <w:szCs w:val="20"/>
              </w:rPr>
            </w:pPr>
            <w:r w:rsidRPr="00B02653">
              <w:rPr>
                <w:color w:val="auto"/>
                <w:sz w:val="20"/>
                <w:szCs w:val="20"/>
              </w:rPr>
              <w:t xml:space="preserve">COMMERCE/NOAA #19, </w:t>
            </w:r>
            <w:r w:rsidRPr="00B02653">
              <w:rPr>
                <w:sz w:val="20"/>
                <w:szCs w:val="20"/>
              </w:rPr>
              <w:t>Permits and Registrations for United States Federally Regulated Fisheries</w:t>
            </w:r>
          </w:p>
          <w:p w:rsidR="0047051D" w:rsidRPr="00B02653" w:rsidRDefault="0047051D" w:rsidP="00AB653C">
            <w:pPr>
              <w:pStyle w:val="Default"/>
              <w:rPr>
                <w:color w:val="auto"/>
                <w:sz w:val="20"/>
                <w:szCs w:val="20"/>
              </w:rPr>
            </w:pPr>
            <w:r w:rsidRPr="00B02653">
              <w:rPr>
                <w:sz w:val="20"/>
                <w:szCs w:val="20"/>
              </w:rPr>
              <w:t>COMMERCE/NOAA #12, Marine Mammals, Endangered and Threatened Species, Permits and Exempted Applicants</w:t>
            </w:r>
          </w:p>
          <w:p w:rsidR="00167EE8" w:rsidRPr="00B02653" w:rsidRDefault="00167EE8" w:rsidP="00AB653C">
            <w:pPr>
              <w:pStyle w:val="Default"/>
              <w:rPr>
                <w:color w:val="auto"/>
                <w:sz w:val="20"/>
                <w:szCs w:val="20"/>
              </w:rPr>
            </w:pPr>
          </w:p>
        </w:tc>
      </w:tr>
      <w:tr w:rsidR="00AB653C" w:rsidRPr="00B02653" w:rsidTr="00D51261">
        <w:tc>
          <w:tcPr>
            <w:tcW w:w="540" w:type="dxa"/>
          </w:tcPr>
          <w:p w:rsidR="00AB653C" w:rsidRPr="00B02653" w:rsidRDefault="0047051D" w:rsidP="00AB653C">
            <w:pPr>
              <w:pStyle w:val="Default"/>
              <w:rPr>
                <w:color w:val="auto"/>
                <w:sz w:val="20"/>
                <w:szCs w:val="20"/>
              </w:rPr>
            </w:pPr>
            <w:r w:rsidRPr="00B02653">
              <w:rPr>
                <w:color w:val="auto"/>
                <w:sz w:val="20"/>
                <w:szCs w:val="20"/>
              </w:rPr>
              <w:t>x</w:t>
            </w:r>
          </w:p>
        </w:tc>
        <w:tc>
          <w:tcPr>
            <w:tcW w:w="8820" w:type="dxa"/>
          </w:tcPr>
          <w:p w:rsidR="00AB653C" w:rsidRPr="00B02653" w:rsidRDefault="00805816" w:rsidP="00093AD6">
            <w:pPr>
              <w:pStyle w:val="Default"/>
              <w:rPr>
                <w:color w:val="auto"/>
                <w:sz w:val="20"/>
                <w:szCs w:val="20"/>
              </w:rPr>
            </w:pPr>
            <w:r>
              <w:rPr>
                <w:color w:val="auto"/>
                <w:sz w:val="20"/>
                <w:szCs w:val="20"/>
              </w:rPr>
              <w:t xml:space="preserve">Yes, </w:t>
            </w:r>
            <w:r w:rsidR="0047051D" w:rsidRPr="00B02653">
              <w:rPr>
                <w:color w:val="auto"/>
                <w:sz w:val="20"/>
                <w:szCs w:val="20"/>
              </w:rPr>
              <w:t>UPDATED</w:t>
            </w:r>
            <w:r w:rsidR="00167EE8" w:rsidRPr="00B02653">
              <w:rPr>
                <w:color w:val="auto"/>
                <w:sz w:val="20"/>
                <w:szCs w:val="20"/>
              </w:rPr>
              <w:t xml:space="preserve"> system of records notice</w:t>
            </w:r>
            <w:r>
              <w:rPr>
                <w:color w:val="auto"/>
                <w:sz w:val="20"/>
                <w:szCs w:val="20"/>
              </w:rPr>
              <w:t>s</w:t>
            </w:r>
            <w:r w:rsidR="00167EE8" w:rsidRPr="00B02653">
              <w:rPr>
                <w:color w:val="auto"/>
                <w:sz w:val="20"/>
                <w:szCs w:val="20"/>
              </w:rPr>
              <w:t xml:space="preserve"> </w:t>
            </w:r>
            <w:r>
              <w:rPr>
                <w:color w:val="auto"/>
                <w:sz w:val="20"/>
                <w:szCs w:val="20"/>
              </w:rPr>
              <w:t xml:space="preserve">were </w:t>
            </w:r>
            <w:r w:rsidR="00982657" w:rsidRPr="00B02653">
              <w:rPr>
                <w:color w:val="auto"/>
                <w:sz w:val="20"/>
                <w:szCs w:val="20"/>
              </w:rPr>
              <w:t xml:space="preserve">submitted to the Department for approval on </w:t>
            </w:r>
            <w:r w:rsidR="0047051D" w:rsidRPr="00B02653">
              <w:rPr>
                <w:color w:val="auto"/>
                <w:sz w:val="20"/>
                <w:szCs w:val="20"/>
                <w:u w:val="single"/>
              </w:rPr>
              <w:t>May 30, 2013</w:t>
            </w:r>
            <w:r w:rsidR="00A55477" w:rsidRPr="00B02653">
              <w:rPr>
                <w:color w:val="auto"/>
                <w:sz w:val="20"/>
                <w:szCs w:val="20"/>
              </w:rPr>
              <w:t xml:space="preserve"> for NOAA #19</w:t>
            </w:r>
            <w:r>
              <w:rPr>
                <w:color w:val="auto"/>
                <w:sz w:val="20"/>
                <w:szCs w:val="20"/>
              </w:rPr>
              <w:t xml:space="preserve"> and #12.</w:t>
            </w:r>
          </w:p>
        </w:tc>
      </w:tr>
      <w:tr w:rsidR="00AB653C" w:rsidRPr="00B02653" w:rsidTr="00D51261">
        <w:tc>
          <w:tcPr>
            <w:tcW w:w="540" w:type="dxa"/>
          </w:tcPr>
          <w:p w:rsidR="00AB653C" w:rsidRPr="00B02653" w:rsidRDefault="00AB653C" w:rsidP="00AB653C">
            <w:pPr>
              <w:pStyle w:val="Default"/>
              <w:rPr>
                <w:color w:val="auto"/>
                <w:sz w:val="20"/>
                <w:szCs w:val="20"/>
              </w:rPr>
            </w:pPr>
          </w:p>
        </w:tc>
        <w:tc>
          <w:tcPr>
            <w:tcW w:w="8820" w:type="dxa"/>
          </w:tcPr>
          <w:p w:rsidR="00AB653C" w:rsidRPr="00B02653" w:rsidRDefault="00A41EB0" w:rsidP="00AB653C">
            <w:pPr>
              <w:pStyle w:val="Default"/>
              <w:rPr>
                <w:color w:val="auto"/>
                <w:sz w:val="20"/>
                <w:szCs w:val="20"/>
              </w:rPr>
            </w:pPr>
            <w:r w:rsidRPr="00B02653">
              <w:rPr>
                <w:color w:val="auto"/>
                <w:sz w:val="20"/>
                <w:szCs w:val="20"/>
              </w:rPr>
              <w:t>No, a system of records is not being created.</w:t>
            </w:r>
          </w:p>
        </w:tc>
      </w:tr>
    </w:tbl>
    <w:p w:rsidR="00AB653C" w:rsidRPr="00B02653" w:rsidRDefault="00AB653C" w:rsidP="00AB653C">
      <w:pPr>
        <w:pStyle w:val="Default"/>
        <w:rPr>
          <w:color w:val="auto"/>
        </w:rPr>
      </w:pPr>
    </w:p>
    <w:p w:rsidR="007265B6" w:rsidRPr="00B02653" w:rsidRDefault="003B2923" w:rsidP="00A21CAE">
      <w:pPr>
        <w:tabs>
          <w:tab w:val="left" w:pos="540"/>
        </w:tabs>
        <w:spacing w:after="0"/>
        <w:ind w:left="540" w:hanging="540"/>
        <w:rPr>
          <w:rFonts w:ascii="Times New Roman" w:hAnsi="Times New Roman" w:cs="Times New Roman"/>
          <w:b/>
          <w:sz w:val="24"/>
          <w:szCs w:val="24"/>
        </w:rPr>
      </w:pPr>
      <w:r w:rsidRPr="00B02653">
        <w:rPr>
          <w:rFonts w:ascii="Times New Roman" w:hAnsi="Times New Roman" w:cs="Times New Roman"/>
          <w:b/>
          <w:sz w:val="24"/>
          <w:szCs w:val="24"/>
          <w:u w:val="single"/>
        </w:rPr>
        <w:t xml:space="preserve">Section </w:t>
      </w:r>
      <w:r w:rsidR="00B90151" w:rsidRPr="00B02653">
        <w:rPr>
          <w:rFonts w:ascii="Times New Roman" w:hAnsi="Times New Roman" w:cs="Times New Roman"/>
          <w:b/>
          <w:sz w:val="24"/>
          <w:szCs w:val="24"/>
          <w:u w:val="single"/>
        </w:rPr>
        <w:t>8</w:t>
      </w:r>
      <w:r w:rsidRPr="00B02653">
        <w:rPr>
          <w:rFonts w:ascii="Times New Roman" w:hAnsi="Times New Roman" w:cs="Times New Roman"/>
          <w:b/>
          <w:sz w:val="24"/>
          <w:szCs w:val="24"/>
        </w:rPr>
        <w:t>:  Retention of Information</w:t>
      </w:r>
    </w:p>
    <w:p w:rsidR="003B2923" w:rsidRPr="00B02653" w:rsidRDefault="003B2923" w:rsidP="00A21CAE">
      <w:pPr>
        <w:tabs>
          <w:tab w:val="left" w:pos="540"/>
        </w:tabs>
        <w:spacing w:after="0"/>
        <w:ind w:left="540" w:hanging="540"/>
        <w:rPr>
          <w:rFonts w:ascii="Times New Roman" w:hAnsi="Times New Roman" w:cs="Times New Roman"/>
          <w:sz w:val="24"/>
          <w:szCs w:val="24"/>
        </w:rPr>
      </w:pPr>
    </w:p>
    <w:p w:rsidR="003B2923" w:rsidRPr="00B02653" w:rsidRDefault="00B90151" w:rsidP="00A21CAE">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8</w:t>
      </w:r>
      <w:r w:rsidR="00C44068" w:rsidRPr="00B02653">
        <w:rPr>
          <w:rFonts w:ascii="Times New Roman" w:hAnsi="Times New Roman" w:cs="Times New Roman"/>
          <w:sz w:val="24"/>
          <w:szCs w:val="24"/>
        </w:rPr>
        <w:t>.1</w:t>
      </w:r>
      <w:r w:rsidR="00C44068" w:rsidRPr="00B02653">
        <w:rPr>
          <w:rFonts w:ascii="Times New Roman" w:hAnsi="Times New Roman" w:cs="Times New Roman"/>
          <w:sz w:val="24"/>
          <w:szCs w:val="24"/>
        </w:rPr>
        <w:tab/>
      </w:r>
      <w:r w:rsidR="00D565BD" w:rsidRPr="00B02653">
        <w:rPr>
          <w:rFonts w:ascii="Times New Roman" w:hAnsi="Times New Roman" w:cs="Times New Roman"/>
          <w:sz w:val="24"/>
          <w:szCs w:val="24"/>
        </w:rPr>
        <w:t>Indicate whether these records are covered by an approved records control schedule</w:t>
      </w:r>
      <w:r w:rsidR="00CD5084" w:rsidRPr="00B02653">
        <w:rPr>
          <w:rFonts w:ascii="Times New Roman" w:hAnsi="Times New Roman" w:cs="Times New Roman"/>
          <w:sz w:val="24"/>
          <w:szCs w:val="24"/>
        </w:rPr>
        <w:t xml:space="preserve"> and monitored for compliance</w:t>
      </w:r>
      <w:r w:rsidR="00956DFD" w:rsidRPr="00B02653">
        <w:rPr>
          <w:rFonts w:ascii="Times New Roman" w:hAnsi="Times New Roman" w:cs="Times New Roman"/>
          <w:sz w:val="24"/>
          <w:szCs w:val="24"/>
        </w:rPr>
        <w:t>.  Check all that apply.</w:t>
      </w:r>
    </w:p>
    <w:p w:rsidR="00017C80" w:rsidRPr="00B02653" w:rsidRDefault="00017C80" w:rsidP="00A21CAE">
      <w:pPr>
        <w:tabs>
          <w:tab w:val="left" w:pos="540"/>
        </w:tabs>
        <w:spacing w:after="0"/>
        <w:ind w:left="540" w:hanging="54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40"/>
        <w:gridCol w:w="8820"/>
      </w:tblGrid>
      <w:tr w:rsidR="00017C80" w:rsidRPr="00B02653" w:rsidTr="00DF3707">
        <w:tc>
          <w:tcPr>
            <w:tcW w:w="540" w:type="dxa"/>
          </w:tcPr>
          <w:p w:rsidR="00017C80" w:rsidRPr="00B02653" w:rsidRDefault="000B162E" w:rsidP="00DF3707">
            <w:pPr>
              <w:pStyle w:val="Default"/>
              <w:rPr>
                <w:color w:val="auto"/>
                <w:sz w:val="20"/>
                <w:szCs w:val="20"/>
              </w:rPr>
            </w:pPr>
            <w:r w:rsidRPr="00B02653">
              <w:rPr>
                <w:color w:val="auto"/>
                <w:sz w:val="20"/>
                <w:szCs w:val="20"/>
              </w:rPr>
              <w:t>x</w:t>
            </w:r>
          </w:p>
        </w:tc>
        <w:tc>
          <w:tcPr>
            <w:tcW w:w="8820" w:type="dxa"/>
          </w:tcPr>
          <w:p w:rsidR="00017C80" w:rsidRPr="00B02653" w:rsidRDefault="00017C80" w:rsidP="00017C80">
            <w:pPr>
              <w:pStyle w:val="Default"/>
              <w:rPr>
                <w:color w:val="auto"/>
                <w:sz w:val="20"/>
                <w:szCs w:val="20"/>
              </w:rPr>
            </w:pPr>
            <w:r w:rsidRPr="00B02653">
              <w:rPr>
                <w:color w:val="auto"/>
                <w:sz w:val="20"/>
                <w:szCs w:val="20"/>
              </w:rPr>
              <w:t xml:space="preserve">There </w:t>
            </w:r>
            <w:r w:rsidR="004761E1" w:rsidRPr="00B02653">
              <w:rPr>
                <w:color w:val="auto"/>
                <w:sz w:val="20"/>
                <w:szCs w:val="20"/>
              </w:rPr>
              <w:t>are</w:t>
            </w:r>
            <w:r w:rsidRPr="00B02653">
              <w:rPr>
                <w:color w:val="auto"/>
                <w:sz w:val="20"/>
                <w:szCs w:val="20"/>
              </w:rPr>
              <w:t xml:space="preserve"> approved record control schedule</w:t>
            </w:r>
            <w:r w:rsidR="004761E1" w:rsidRPr="00B02653">
              <w:rPr>
                <w:color w:val="auto"/>
                <w:sz w:val="20"/>
                <w:szCs w:val="20"/>
              </w:rPr>
              <w:t>s for both Sustainable Fisheries and Marine Mammal Protection permits</w:t>
            </w:r>
            <w:r w:rsidRPr="00B02653">
              <w:rPr>
                <w:color w:val="auto"/>
                <w:sz w:val="20"/>
                <w:szCs w:val="20"/>
              </w:rPr>
              <w:t>.</w:t>
            </w:r>
          </w:p>
          <w:p w:rsidR="00017C80" w:rsidRPr="00B02653" w:rsidRDefault="00017C80" w:rsidP="00017C80">
            <w:pPr>
              <w:pStyle w:val="Default"/>
              <w:rPr>
                <w:color w:val="auto"/>
                <w:sz w:val="20"/>
                <w:szCs w:val="20"/>
              </w:rPr>
            </w:pPr>
            <w:r w:rsidRPr="00B02653">
              <w:rPr>
                <w:color w:val="auto"/>
                <w:sz w:val="20"/>
                <w:szCs w:val="20"/>
              </w:rPr>
              <w:t>Provide the name</w:t>
            </w:r>
            <w:r w:rsidR="004761E1" w:rsidRPr="00B02653">
              <w:rPr>
                <w:color w:val="auto"/>
                <w:sz w:val="20"/>
                <w:szCs w:val="20"/>
              </w:rPr>
              <w:t>s</w:t>
            </w:r>
            <w:r w:rsidRPr="00B02653">
              <w:rPr>
                <w:color w:val="auto"/>
                <w:sz w:val="20"/>
                <w:szCs w:val="20"/>
              </w:rPr>
              <w:t xml:space="preserve"> of the record control schedule</w:t>
            </w:r>
            <w:r w:rsidR="004761E1" w:rsidRPr="00B02653">
              <w:rPr>
                <w:color w:val="auto"/>
                <w:sz w:val="20"/>
                <w:szCs w:val="20"/>
              </w:rPr>
              <w:t>s</w:t>
            </w:r>
            <w:r w:rsidRPr="00B02653">
              <w:rPr>
                <w:color w:val="auto"/>
                <w:sz w:val="20"/>
                <w:szCs w:val="20"/>
              </w:rPr>
              <w:t xml:space="preserve">:  </w:t>
            </w:r>
            <w:r w:rsidR="004761E1" w:rsidRPr="00B02653">
              <w:rPr>
                <w:color w:val="auto"/>
                <w:sz w:val="20"/>
                <w:szCs w:val="20"/>
              </w:rPr>
              <w:t>NOAA 1504-11; NOAA 1514-01</w:t>
            </w:r>
            <w:r w:rsidR="00093AD6">
              <w:rPr>
                <w:color w:val="auto"/>
                <w:sz w:val="20"/>
                <w:szCs w:val="20"/>
              </w:rPr>
              <w:t>.</w:t>
            </w:r>
          </w:p>
          <w:p w:rsidR="00017C80" w:rsidRPr="00B02653" w:rsidRDefault="00017C80" w:rsidP="00017C80">
            <w:pPr>
              <w:pStyle w:val="Default"/>
              <w:rPr>
                <w:color w:val="auto"/>
                <w:sz w:val="20"/>
                <w:szCs w:val="20"/>
              </w:rPr>
            </w:pPr>
          </w:p>
        </w:tc>
      </w:tr>
      <w:tr w:rsidR="00017C80" w:rsidRPr="00B02653" w:rsidTr="00DF3707">
        <w:tc>
          <w:tcPr>
            <w:tcW w:w="540" w:type="dxa"/>
          </w:tcPr>
          <w:p w:rsidR="00017C80" w:rsidRPr="00B02653" w:rsidRDefault="00017C80" w:rsidP="00DF3707">
            <w:pPr>
              <w:pStyle w:val="Default"/>
              <w:rPr>
                <w:color w:val="auto"/>
                <w:sz w:val="20"/>
                <w:szCs w:val="20"/>
              </w:rPr>
            </w:pPr>
          </w:p>
        </w:tc>
        <w:tc>
          <w:tcPr>
            <w:tcW w:w="8820" w:type="dxa"/>
          </w:tcPr>
          <w:p w:rsidR="00017C80" w:rsidRPr="00B02653" w:rsidRDefault="00017C80" w:rsidP="00DF3707">
            <w:pPr>
              <w:pStyle w:val="Default"/>
              <w:rPr>
                <w:color w:val="auto"/>
                <w:sz w:val="20"/>
                <w:szCs w:val="20"/>
              </w:rPr>
            </w:pPr>
            <w:r w:rsidRPr="00B02653">
              <w:rPr>
                <w:color w:val="auto"/>
                <w:sz w:val="20"/>
                <w:szCs w:val="20"/>
              </w:rPr>
              <w:t>No, there is not an approved record control schedule.</w:t>
            </w:r>
          </w:p>
          <w:p w:rsidR="00017C80" w:rsidRPr="00B02653" w:rsidRDefault="00017C80" w:rsidP="00DF3707">
            <w:pPr>
              <w:pStyle w:val="Default"/>
              <w:rPr>
                <w:color w:val="auto"/>
                <w:sz w:val="20"/>
                <w:szCs w:val="20"/>
              </w:rPr>
            </w:pPr>
            <w:r w:rsidRPr="00B02653">
              <w:rPr>
                <w:color w:val="auto"/>
                <w:sz w:val="20"/>
                <w:szCs w:val="20"/>
              </w:rPr>
              <w:t>Provide the stage in which the project is in developing and submitting a records control schedule:</w:t>
            </w:r>
          </w:p>
          <w:p w:rsidR="00017C80" w:rsidRPr="00B02653" w:rsidRDefault="00017C80" w:rsidP="00DF3707">
            <w:pPr>
              <w:pStyle w:val="Default"/>
              <w:rPr>
                <w:color w:val="auto"/>
                <w:sz w:val="20"/>
                <w:szCs w:val="20"/>
              </w:rPr>
            </w:pPr>
          </w:p>
        </w:tc>
      </w:tr>
      <w:tr w:rsidR="00017C80" w:rsidRPr="00B02653" w:rsidTr="00DF3707">
        <w:tc>
          <w:tcPr>
            <w:tcW w:w="540" w:type="dxa"/>
          </w:tcPr>
          <w:p w:rsidR="00017C80" w:rsidRPr="00B02653" w:rsidRDefault="000B162E" w:rsidP="00DF3707">
            <w:pPr>
              <w:pStyle w:val="Default"/>
              <w:rPr>
                <w:color w:val="auto"/>
                <w:sz w:val="20"/>
                <w:szCs w:val="20"/>
              </w:rPr>
            </w:pPr>
            <w:r w:rsidRPr="00B02653">
              <w:rPr>
                <w:color w:val="auto"/>
                <w:sz w:val="20"/>
                <w:szCs w:val="20"/>
              </w:rPr>
              <w:t>x</w:t>
            </w:r>
          </w:p>
        </w:tc>
        <w:tc>
          <w:tcPr>
            <w:tcW w:w="8820" w:type="dxa"/>
          </w:tcPr>
          <w:p w:rsidR="00017C80" w:rsidRPr="00B02653" w:rsidRDefault="00CD5084" w:rsidP="00CD5084">
            <w:pPr>
              <w:pStyle w:val="Default"/>
              <w:rPr>
                <w:color w:val="auto"/>
                <w:sz w:val="20"/>
                <w:szCs w:val="20"/>
              </w:rPr>
            </w:pPr>
            <w:r w:rsidRPr="00B02653">
              <w:rPr>
                <w:color w:val="auto"/>
                <w:sz w:val="20"/>
                <w:szCs w:val="20"/>
              </w:rPr>
              <w:t>Yes, r</w:t>
            </w:r>
            <w:r w:rsidR="00017C80" w:rsidRPr="00B02653">
              <w:rPr>
                <w:color w:val="auto"/>
                <w:sz w:val="20"/>
                <w:szCs w:val="20"/>
              </w:rPr>
              <w:t>etention is monitored for compliance to the schedule.</w:t>
            </w:r>
          </w:p>
        </w:tc>
      </w:tr>
      <w:tr w:rsidR="00956DFD" w:rsidRPr="00B02653" w:rsidTr="00DF3707">
        <w:tc>
          <w:tcPr>
            <w:tcW w:w="540" w:type="dxa"/>
          </w:tcPr>
          <w:p w:rsidR="00956DFD" w:rsidRPr="00B02653" w:rsidRDefault="00956DFD" w:rsidP="00DF3707">
            <w:pPr>
              <w:pStyle w:val="Default"/>
              <w:rPr>
                <w:color w:val="auto"/>
                <w:sz w:val="20"/>
                <w:szCs w:val="20"/>
              </w:rPr>
            </w:pPr>
          </w:p>
        </w:tc>
        <w:tc>
          <w:tcPr>
            <w:tcW w:w="8820" w:type="dxa"/>
          </w:tcPr>
          <w:p w:rsidR="00956DFD" w:rsidRPr="00B02653" w:rsidRDefault="00956DFD" w:rsidP="00CD5084">
            <w:pPr>
              <w:pStyle w:val="Default"/>
              <w:rPr>
                <w:color w:val="auto"/>
                <w:sz w:val="20"/>
                <w:szCs w:val="20"/>
              </w:rPr>
            </w:pPr>
            <w:r w:rsidRPr="00B02653">
              <w:rPr>
                <w:color w:val="auto"/>
                <w:sz w:val="20"/>
                <w:szCs w:val="20"/>
              </w:rPr>
              <w:t>No, retention is not monitored for compliance to the schedule.  Provide explanation:</w:t>
            </w:r>
          </w:p>
          <w:p w:rsidR="00956DFD" w:rsidRPr="00B02653" w:rsidRDefault="00956DFD" w:rsidP="00CD5084">
            <w:pPr>
              <w:pStyle w:val="Default"/>
              <w:rPr>
                <w:color w:val="auto"/>
                <w:sz w:val="20"/>
                <w:szCs w:val="20"/>
              </w:rPr>
            </w:pPr>
          </w:p>
        </w:tc>
      </w:tr>
    </w:tbl>
    <w:p w:rsidR="00FE68F3" w:rsidRPr="00B02653" w:rsidRDefault="00FE68F3" w:rsidP="00A21CAE">
      <w:pPr>
        <w:tabs>
          <w:tab w:val="left" w:pos="540"/>
        </w:tabs>
        <w:spacing w:after="0"/>
        <w:ind w:left="540" w:hanging="540"/>
        <w:rPr>
          <w:rFonts w:ascii="Times New Roman" w:hAnsi="Times New Roman" w:cs="Times New Roman"/>
          <w:sz w:val="24"/>
          <w:szCs w:val="24"/>
        </w:rPr>
      </w:pPr>
    </w:p>
    <w:p w:rsidR="00D73F52" w:rsidRPr="00B02653" w:rsidRDefault="00FE68F3" w:rsidP="00D73F52">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sz w:val="24"/>
          <w:szCs w:val="24"/>
        </w:rPr>
        <w:br w:type="page"/>
      </w:r>
      <w:r w:rsidR="00F97267">
        <w:rPr>
          <w:rFonts w:ascii="Times New Roman" w:hAnsi="Times New Roman" w:cs="Times New Roman"/>
          <w:b/>
          <w:sz w:val="24"/>
          <w:szCs w:val="24"/>
        </w:rPr>
        <w:t xml:space="preserve">Appendix </w:t>
      </w:r>
      <w:r w:rsidR="00D73F52" w:rsidRPr="00B02653">
        <w:rPr>
          <w:rFonts w:ascii="Times New Roman" w:hAnsi="Times New Roman" w:cs="Times New Roman"/>
          <w:b/>
          <w:sz w:val="24"/>
          <w:szCs w:val="24"/>
        </w:rPr>
        <w:t>A for NOAA4010</w:t>
      </w:r>
      <w:r w:rsidR="00F97267">
        <w:rPr>
          <w:rFonts w:ascii="Times New Roman" w:hAnsi="Times New Roman" w:cs="Times New Roman"/>
          <w:b/>
          <w:sz w:val="24"/>
          <w:szCs w:val="24"/>
        </w:rPr>
        <w:t xml:space="preserve">, </w:t>
      </w:r>
      <w:r w:rsidR="008753AE">
        <w:rPr>
          <w:rFonts w:ascii="Times New Roman" w:hAnsi="Times New Roman" w:cs="Times New Roman"/>
          <w:b/>
          <w:sz w:val="24"/>
          <w:szCs w:val="24"/>
        </w:rPr>
        <w:t>NMFS Headquarters Local Area Network</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p>
    <w:p w:rsidR="00D73F52" w:rsidRPr="00B02653" w:rsidRDefault="00D73F52" w:rsidP="00D73F52">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pStyle w:val="Default"/>
              <w:rPr>
                <w:sz w:val="20"/>
                <w:szCs w:val="20"/>
              </w:rPr>
            </w:pPr>
            <w:r w:rsidRPr="00B02653">
              <w:rPr>
                <w:b/>
                <w:sz w:val="20"/>
                <w:szCs w:val="20"/>
              </w:rPr>
              <w:t>Access Enforcement (AC-3)</w:t>
            </w:r>
            <w:r w:rsidRPr="00B02653">
              <w:rPr>
                <w:sz w:val="20"/>
                <w:szCs w:val="20"/>
              </w:rPr>
              <w:t xml:space="preserve">.  Organizations can control access to PII through access control policies and access enforcement mechanisms (e.g., access control lists).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Separation of Duties (AC-5). </w:t>
            </w:r>
            <w:r w:rsidRPr="00B02653">
              <w:rPr>
                <w:rFonts w:ascii="Times New Roman" w:hAnsi="Times New Roman" w:cs="Times New Roman"/>
                <w:color w:val="000000"/>
                <w:sz w:val="20"/>
                <w:szCs w:val="20"/>
              </w:rPr>
              <w:t xml:space="preserve">Organizations can enforce separation of duties for duties involving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Least Privilege (AC-6). </w:t>
            </w:r>
            <w:r w:rsidRPr="00B02653">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Remote Access (AC-17). </w:t>
            </w:r>
            <w:r w:rsidRPr="00B02653">
              <w:rPr>
                <w:rFonts w:ascii="Times New Roman" w:hAnsi="Times New Roman" w:cs="Times New Roman"/>
                <w:color w:val="000000"/>
                <w:sz w:val="20"/>
                <w:szCs w:val="20"/>
              </w:rPr>
              <w:t xml:space="preserve">Organizations can choose to prohibit or strictly limit remote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User-Based Collaboration and Information Sharing (AC-21). </w:t>
            </w:r>
            <w:r w:rsidRPr="00B02653">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Access Control for Mobile Devices (AC-19). </w:t>
            </w:r>
            <w:r w:rsidRPr="00B02653">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Auditable Events (AU-2). </w:t>
            </w:r>
            <w:r w:rsidRPr="00B02653">
              <w:rPr>
                <w:rFonts w:ascii="Times New Roman" w:hAnsi="Times New Roman" w:cs="Times New Roman"/>
                <w:color w:val="000000"/>
                <w:sz w:val="20"/>
                <w:szCs w:val="20"/>
              </w:rPr>
              <w:t xml:space="preserve">Organizations can monitor events that affect the confidentiality of PII, such as unauthorized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Audit Review, Analysis, and Reporting (AU-6)</w:t>
            </w:r>
            <w:r w:rsidRPr="00B02653">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Identification and Authentication (Organizational Users) (IA-2). </w:t>
            </w:r>
            <w:r w:rsidRPr="00B02653">
              <w:rPr>
                <w:rFonts w:ascii="Times New Roman" w:hAnsi="Times New Roman" w:cs="Times New Roman"/>
                <w:color w:val="000000"/>
                <w:sz w:val="20"/>
                <w:szCs w:val="20"/>
              </w:rPr>
              <w:t>Users can be uniquely identified and authenticated before accessing PII.</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Access (MP-2). </w:t>
            </w:r>
            <w:r w:rsidRPr="00B02653">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Marking (MP-3). </w:t>
            </w:r>
            <w:r w:rsidRPr="00B02653">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Storage (MP-4). </w:t>
            </w:r>
            <w:r w:rsidRPr="00B02653">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Transport (MP-5). </w:t>
            </w:r>
            <w:r w:rsidRPr="00B02653">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Sanitization (MP-6). </w:t>
            </w:r>
            <w:r w:rsidRPr="00B02653">
              <w:rPr>
                <w:rFonts w:ascii="Times New Roman" w:hAnsi="Times New Roman" w:cs="Times New Roman"/>
                <w:color w:val="000000"/>
                <w:sz w:val="20"/>
                <w:szCs w:val="20"/>
              </w:rPr>
              <w:t>Organizations can sanitize digital and non-digital media containing PII before it is disposed or released for reuse.</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Transmission Confidentiality (SC-9). </w:t>
            </w:r>
            <w:r w:rsidRPr="00B02653">
              <w:rPr>
                <w:rFonts w:ascii="Times New Roman" w:hAnsi="Times New Roman" w:cs="Times New Roman"/>
                <w:color w:val="000000"/>
                <w:sz w:val="20"/>
                <w:szCs w:val="20"/>
              </w:rPr>
              <w:t xml:space="preserve">Organizations can protect the confidentiality of transmitted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Protection of Information at Rest (SC-28). </w:t>
            </w:r>
            <w:r w:rsidRPr="00B02653">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Information System Monitoring (SI-4). </w:t>
            </w:r>
            <w:r w:rsidRPr="00B02653">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D73F52" w:rsidRPr="00B02653" w:rsidRDefault="00D73F52" w:rsidP="00D73F52">
      <w:pPr>
        <w:tabs>
          <w:tab w:val="left" w:pos="540"/>
        </w:tabs>
        <w:spacing w:after="0"/>
        <w:ind w:left="540" w:hanging="540"/>
        <w:rPr>
          <w:rFonts w:ascii="Times New Roman" w:hAnsi="Times New Roman" w:cs="Times New Roman"/>
          <w:sz w:val="20"/>
          <w:szCs w:val="20"/>
        </w:rPr>
      </w:pPr>
    </w:p>
    <w:p w:rsidR="00D73F52" w:rsidRPr="00B02653" w:rsidRDefault="00D73F52" w:rsidP="00D73F52">
      <w:r w:rsidRPr="00B02653">
        <w:rPr>
          <w:rFonts w:ascii="Times New Roman" w:hAnsi="Times New Roman" w:cs="Times New Roman"/>
          <w:b/>
          <w:sz w:val="24"/>
          <w:szCs w:val="24"/>
        </w:rPr>
        <w:t xml:space="preserve">This page is a supplement for </w:t>
      </w:r>
      <w:r w:rsidR="00F97267">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NOAA4011</w:t>
      </w:r>
      <w:r w:rsidR="008753AE">
        <w:rPr>
          <w:rFonts w:ascii="Times New Roman" w:hAnsi="Times New Roman" w:cs="Times New Roman"/>
          <w:b/>
          <w:sz w:val="24"/>
          <w:szCs w:val="24"/>
        </w:rPr>
        <w:t>, National Fishing Permit and Landings Reporting System</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p>
    <w:p w:rsidR="00F37C10" w:rsidRDefault="00D73F52" w:rsidP="00F37C10">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r w:rsidR="00F37C10" w:rsidRPr="00F37C10">
        <w:rPr>
          <w:rFonts w:ascii="Times New Roman" w:hAnsi="Times New Roman" w:cs="Times New Roman"/>
          <w:sz w:val="24"/>
          <w:szCs w:val="24"/>
        </w:rPr>
        <w:t xml:space="preserve"> </w:t>
      </w:r>
    </w:p>
    <w:tbl>
      <w:tblPr>
        <w:tblStyle w:val="TableGrid"/>
        <w:tblW w:w="8910" w:type="dxa"/>
        <w:tblInd w:w="108" w:type="dxa"/>
        <w:tblLook w:val="04A0" w:firstRow="1" w:lastRow="0" w:firstColumn="1" w:lastColumn="0" w:noHBand="0" w:noVBand="1"/>
      </w:tblPr>
      <w:tblGrid>
        <w:gridCol w:w="1488"/>
        <w:gridCol w:w="7422"/>
      </w:tblGrid>
      <w:tr w:rsidR="00F37C10" w:rsidTr="000C6D82">
        <w:tc>
          <w:tcPr>
            <w:tcW w:w="1488" w:type="dxa"/>
          </w:tcPr>
          <w:p w:rsidR="00F37C10" w:rsidRPr="00FE68F3"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FE68F3" w:rsidRDefault="00F37C10" w:rsidP="000C6D82">
            <w:pPr>
              <w:pStyle w:val="Default"/>
              <w:rPr>
                <w:sz w:val="20"/>
                <w:szCs w:val="20"/>
              </w:rPr>
            </w:pPr>
            <w:r w:rsidRPr="00ED3B49">
              <w:rPr>
                <w:b/>
                <w:sz w:val="20"/>
                <w:szCs w:val="20"/>
              </w:rPr>
              <w:t>Access Enforcement (AC-3)</w:t>
            </w:r>
            <w:r>
              <w:rPr>
                <w:sz w:val="20"/>
                <w:szCs w:val="20"/>
              </w:rPr>
              <w:t xml:space="preserve">.  </w:t>
            </w:r>
            <w:r w:rsidRPr="00FE68F3">
              <w:rPr>
                <w:sz w:val="20"/>
                <w:szCs w:val="20"/>
              </w:rPr>
              <w:t xml:space="preserve">Organizations can control access to PII through access control policies and access enforcement mechanisms (e.g., access control lists). </w:t>
            </w:r>
          </w:p>
        </w:tc>
      </w:tr>
      <w:tr w:rsidR="00F37C10" w:rsidTr="000C6D82">
        <w:tc>
          <w:tcPr>
            <w:tcW w:w="1488" w:type="dxa"/>
          </w:tcPr>
          <w:p w:rsidR="00F37C10" w:rsidRPr="00FE68F3"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Separation of Duties (AC-5). </w:t>
            </w:r>
            <w:r w:rsidRPr="00ED3B49">
              <w:rPr>
                <w:rFonts w:ascii="Times New Roman" w:hAnsi="Times New Roman" w:cs="Times New Roman"/>
                <w:color w:val="000000"/>
                <w:sz w:val="20"/>
                <w:szCs w:val="20"/>
              </w:rPr>
              <w:t xml:space="preserve">Organizations can enforce separation of duties for duties involving access to PII.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Least Privilege (AC-6). </w:t>
            </w:r>
            <w:r w:rsidRPr="00ED3B49">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Remote Access (AC-17). </w:t>
            </w:r>
            <w:r w:rsidRPr="00ED3B49">
              <w:rPr>
                <w:rFonts w:ascii="Times New Roman" w:hAnsi="Times New Roman" w:cs="Times New Roman"/>
                <w:color w:val="000000"/>
                <w:sz w:val="20"/>
                <w:szCs w:val="20"/>
              </w:rPr>
              <w:t xml:space="preserve">Organizations can choose to prohibit or strictly limit remote access to PII. </w:t>
            </w:r>
          </w:p>
        </w:tc>
      </w:tr>
      <w:tr w:rsidR="00F37C10" w:rsidRPr="00ED3B49" w:rsidTr="000C6D82">
        <w:tc>
          <w:tcPr>
            <w:tcW w:w="1488" w:type="dxa"/>
          </w:tcPr>
          <w:p w:rsidR="00F37C10" w:rsidRPr="00610944" w:rsidRDefault="00F37C10" w:rsidP="000C6D82">
            <w:pPr>
              <w:tabs>
                <w:tab w:val="left" w:pos="540"/>
              </w:tabs>
              <w:rPr>
                <w:rFonts w:ascii="Times New Roman" w:hAnsi="Times New Roman" w:cs="Times New Roman"/>
                <w:sz w:val="20"/>
                <w:szCs w:val="20"/>
              </w:rPr>
            </w:pPr>
            <w:r w:rsidRPr="00610944">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User-Based Collaboration and Information Sharing (AC-21). </w:t>
            </w:r>
            <w:r w:rsidRPr="00700304">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B425C8" w:rsidRDefault="00F37C10" w:rsidP="000C6D82">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Access Control for Mobile Devices (AC-19). </w:t>
            </w:r>
            <w:r w:rsidRPr="00700304">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B425C8" w:rsidRDefault="00F37C10" w:rsidP="000C6D82">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Auditable Events (AU-2). </w:t>
            </w:r>
            <w:r w:rsidRPr="00700304">
              <w:rPr>
                <w:rFonts w:ascii="Times New Roman" w:hAnsi="Times New Roman" w:cs="Times New Roman"/>
                <w:color w:val="000000"/>
                <w:sz w:val="20"/>
                <w:szCs w:val="20"/>
              </w:rPr>
              <w:t xml:space="preserve">Organizations can monitor events that affect the confidentiality of PII, such as unauthorized access to PII.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B425C8" w:rsidRDefault="00F37C10" w:rsidP="000C6D82">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Audit Review, Analysis, and Reporting (AU-6)</w:t>
            </w:r>
            <w:r w:rsidRPr="00700304">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Identification and Authentication (Organizational Users) (IA-2). </w:t>
            </w:r>
            <w:r w:rsidRPr="00ED3B49">
              <w:rPr>
                <w:rFonts w:ascii="Times New Roman" w:hAnsi="Times New Roman" w:cs="Times New Roman"/>
                <w:color w:val="000000"/>
                <w:sz w:val="20"/>
                <w:szCs w:val="20"/>
              </w:rPr>
              <w:t>Users can be uniquely identified and authenticated before accessing PII.</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Access (MP-2). </w:t>
            </w:r>
            <w:r w:rsidRPr="00ED3B49">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Marking (MP-3). </w:t>
            </w:r>
            <w:r w:rsidRPr="00ED3B49">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Storage (MP-4). </w:t>
            </w:r>
            <w:r w:rsidRPr="00ED3B49">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Transport (MP-5). </w:t>
            </w:r>
            <w:r w:rsidRPr="00ED3B49">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Sanitization (MP-6). </w:t>
            </w:r>
            <w:r w:rsidRPr="00ED3B49">
              <w:rPr>
                <w:rFonts w:ascii="Times New Roman" w:hAnsi="Times New Roman" w:cs="Times New Roman"/>
                <w:color w:val="000000"/>
                <w:sz w:val="20"/>
                <w:szCs w:val="20"/>
              </w:rPr>
              <w:t>Organizations can sanitize digital and non-digital media containing PII before it is disposed or released for reuse.</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Transmission Confidentiality (SC-9). </w:t>
            </w:r>
            <w:r w:rsidRPr="00ED3B49">
              <w:rPr>
                <w:rFonts w:ascii="Times New Roman" w:hAnsi="Times New Roman" w:cs="Times New Roman"/>
                <w:color w:val="000000"/>
                <w:sz w:val="20"/>
                <w:szCs w:val="20"/>
              </w:rPr>
              <w:t xml:space="preserve">Organizations can protect the confidentiality of transmitted PII.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Protection of Information at Rest (SC-28). </w:t>
            </w:r>
            <w:r w:rsidRPr="00ED3B49">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F37C10" w:rsidRPr="00ED3B49" w:rsidTr="000C6D82">
        <w:tc>
          <w:tcPr>
            <w:tcW w:w="1488" w:type="dxa"/>
          </w:tcPr>
          <w:p w:rsidR="00F37C10" w:rsidRPr="00ED3B49" w:rsidRDefault="00F37C10" w:rsidP="000C6D82">
            <w:pPr>
              <w:tabs>
                <w:tab w:val="left" w:pos="540"/>
              </w:tabs>
              <w:rPr>
                <w:rFonts w:ascii="Times New Roman" w:hAnsi="Times New Roman" w:cs="Times New Roman"/>
                <w:sz w:val="20"/>
                <w:szCs w:val="20"/>
              </w:rPr>
            </w:pPr>
            <w:r>
              <w:rPr>
                <w:rFonts w:ascii="Times New Roman" w:hAnsi="Times New Roman" w:cs="Times New Roman"/>
                <w:sz w:val="20"/>
                <w:szCs w:val="20"/>
              </w:rPr>
              <w:t>NA****</w:t>
            </w:r>
          </w:p>
        </w:tc>
        <w:tc>
          <w:tcPr>
            <w:tcW w:w="7422" w:type="dxa"/>
          </w:tcPr>
          <w:p w:rsidR="00F37C10" w:rsidRPr="00ED3B49" w:rsidRDefault="00F37C10" w:rsidP="000C6D82">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Information System Monitoring (SI-4). </w:t>
            </w:r>
            <w:r w:rsidRPr="00ED3B49">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F37C10" w:rsidRDefault="00F37C10" w:rsidP="00F37C10">
      <w:pPr>
        <w:tabs>
          <w:tab w:val="left" w:pos="540"/>
        </w:tabs>
        <w:spacing w:after="0"/>
        <w:ind w:left="540" w:hanging="540"/>
        <w:rPr>
          <w:rFonts w:ascii="Times New Roman" w:hAnsi="Times New Roman" w:cs="Times New Roman"/>
          <w:sz w:val="20"/>
          <w:szCs w:val="20"/>
        </w:rPr>
      </w:pPr>
    </w:p>
    <w:p w:rsidR="00F37C10" w:rsidRPr="005E18EE" w:rsidRDefault="00F37C10" w:rsidP="00F37C10">
      <w:pPr>
        <w:rPr>
          <w:rFonts w:ascii="Times New Roman" w:hAnsi="Times New Roman" w:cs="Times New Roman"/>
          <w:bCs/>
          <w:i/>
          <w:color w:val="000000"/>
          <w:sz w:val="20"/>
          <w:szCs w:val="20"/>
        </w:rPr>
      </w:pPr>
      <w:r>
        <w:rPr>
          <w:rFonts w:ascii="Times New Roman" w:hAnsi="Times New Roman" w:cs="Times New Roman"/>
          <w:b/>
          <w:sz w:val="24"/>
          <w:szCs w:val="24"/>
        </w:rPr>
        <w:t>*</w:t>
      </w:r>
      <w:r w:rsidRPr="005E18E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This is in place on the application. However, the system administration and database management functions are performed by one individual. We will be drafting a FIPS200 to seek risk acceptance;</w:t>
      </w:r>
      <w:r w:rsidRPr="005E18EE">
        <w:rPr>
          <w:rFonts w:ascii="Times New Roman" w:hAnsi="Times New Roman" w:cs="Times New Roman"/>
          <w:bCs/>
          <w:i/>
          <w:color w:val="000000"/>
          <w:sz w:val="20"/>
          <w:szCs w:val="20"/>
        </w:rPr>
        <w:t xml:space="preserve"> this document should be approved by 1/31/2015.</w:t>
      </w:r>
    </w:p>
    <w:p w:rsidR="00F37C10" w:rsidRDefault="00F37C10" w:rsidP="00F37C1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**Revised to “in place”: Customer PII is only accessible only to team members that require access to perform their job functions.  </w:t>
      </w:r>
    </w:p>
    <w:p w:rsidR="00F37C10" w:rsidRDefault="00F37C10" w:rsidP="00F37C10">
      <w:pPr>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5E18E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NOAA4011 does not utilize external media in its operations.</w:t>
      </w:r>
    </w:p>
    <w:p w:rsidR="00F37C10" w:rsidRPr="003D06B8" w:rsidRDefault="00F37C10" w:rsidP="00F37C10">
      <w:pPr>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5E18E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NOAA4011 monitors for external access to PII. However, the current application does not have the capability to monitor internal user that access PPI. As a compensation control, access to PII is restricted to only team members that require it.</w:t>
      </w:r>
    </w:p>
    <w:p w:rsidR="00D73F52" w:rsidRPr="00B02653" w:rsidRDefault="00D73F52" w:rsidP="00F37C10">
      <w:pPr>
        <w:tabs>
          <w:tab w:val="left" w:pos="540"/>
        </w:tabs>
        <w:spacing w:after="0"/>
        <w:ind w:left="540" w:hanging="540"/>
      </w:pPr>
      <w:r w:rsidRPr="00B02653">
        <w:rPr>
          <w:rFonts w:ascii="Times New Roman" w:hAnsi="Times New Roman" w:cs="Times New Roman"/>
          <w:b/>
          <w:sz w:val="24"/>
          <w:szCs w:val="24"/>
        </w:rPr>
        <w:t xml:space="preserve">This page is a supplement for </w:t>
      </w:r>
      <w:r w:rsidR="00F97267">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F37C10" w:rsidRDefault="00F37C10" w:rsidP="00C87A46">
      <w:pPr>
        <w:tabs>
          <w:tab w:val="left" w:pos="540"/>
        </w:tabs>
        <w:spacing w:after="0"/>
        <w:ind w:left="540" w:hanging="540"/>
        <w:jc w:val="center"/>
        <w:rPr>
          <w:rFonts w:ascii="Times New Roman" w:hAnsi="Times New Roman" w:cs="Times New Roman"/>
          <w:b/>
          <w:sz w:val="24"/>
          <w:szCs w:val="24"/>
        </w:rPr>
      </w:pPr>
    </w:p>
    <w:p w:rsidR="00C87A46" w:rsidRPr="00B02653" w:rsidRDefault="00C87A46" w:rsidP="00C87A46">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NOAA4020</w:t>
      </w:r>
      <w:r w:rsidR="008753AE">
        <w:rPr>
          <w:rFonts w:ascii="Times New Roman" w:hAnsi="Times New Roman" w:cs="Times New Roman"/>
          <w:b/>
          <w:sz w:val="24"/>
          <w:szCs w:val="24"/>
        </w:rPr>
        <w:t xml:space="preserve">, </w:t>
      </w:r>
      <w:r w:rsidR="00B00175">
        <w:rPr>
          <w:rFonts w:ascii="Times New Roman" w:hAnsi="Times New Roman" w:cs="Times New Roman"/>
          <w:b/>
          <w:sz w:val="24"/>
          <w:szCs w:val="24"/>
        </w:rPr>
        <w:t xml:space="preserve">Headquarters, Silver Spring </w:t>
      </w:r>
      <w:r w:rsidR="00270CDE">
        <w:rPr>
          <w:rFonts w:ascii="Times New Roman" w:hAnsi="Times New Roman" w:cs="Times New Roman"/>
          <w:b/>
          <w:sz w:val="24"/>
          <w:szCs w:val="24"/>
        </w:rPr>
        <w:t>Shark</w:t>
      </w:r>
    </w:p>
    <w:p w:rsidR="00C87A46" w:rsidRPr="00B02653" w:rsidRDefault="00C87A46" w:rsidP="00C87A46">
      <w:pPr>
        <w:tabs>
          <w:tab w:val="left" w:pos="540"/>
        </w:tabs>
        <w:spacing w:after="0"/>
        <w:ind w:left="540" w:hanging="540"/>
        <w:jc w:val="center"/>
        <w:rPr>
          <w:rFonts w:ascii="Times New Roman" w:hAnsi="Times New Roman" w:cs="Times New Roman"/>
          <w:b/>
          <w:sz w:val="24"/>
          <w:szCs w:val="24"/>
        </w:rPr>
      </w:pPr>
    </w:p>
    <w:p w:rsidR="00C87A46" w:rsidRPr="00B02653" w:rsidRDefault="00C87A46" w:rsidP="00C87A46">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pStyle w:val="Default"/>
              <w:rPr>
                <w:sz w:val="18"/>
                <w:szCs w:val="18"/>
              </w:rPr>
            </w:pPr>
            <w:r w:rsidRPr="001204B5">
              <w:rPr>
                <w:b/>
                <w:sz w:val="18"/>
                <w:szCs w:val="18"/>
              </w:rPr>
              <w:t>Access Enforcement (AC-3)</w:t>
            </w:r>
            <w:r w:rsidRPr="001204B5">
              <w:rPr>
                <w:sz w:val="18"/>
                <w:szCs w:val="18"/>
              </w:rPr>
              <w:t xml:space="preserve">.  Organizations can control access to PII through access control policies and access enforcement mechanisms (e.g., access control lists).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Separation of Duties (AC-5). </w:t>
            </w:r>
            <w:r w:rsidRPr="001204B5">
              <w:rPr>
                <w:rFonts w:ascii="Times New Roman" w:hAnsi="Times New Roman" w:cs="Times New Roman"/>
                <w:color w:val="000000"/>
                <w:sz w:val="18"/>
                <w:szCs w:val="18"/>
              </w:rPr>
              <w:t xml:space="preserve">Organizations can enforce separation of duties for duties involving access to PII.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Least Privilege (AC-6). </w:t>
            </w:r>
            <w:r w:rsidRPr="001204B5">
              <w:rPr>
                <w:rFonts w:ascii="Times New Roman" w:hAnsi="Times New Roman" w:cs="Times New Roman"/>
                <w:color w:val="000000"/>
                <w:sz w:val="18"/>
                <w:szCs w:val="18"/>
              </w:rPr>
              <w:t xml:space="preserve">Organizations can enforce the most restrictive set of rights/privileges or accesses needed by users (or processes acting on behalf of users) for the performance of specified tasks.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Remote Access (AC-17). </w:t>
            </w:r>
            <w:r w:rsidRPr="001204B5">
              <w:rPr>
                <w:rFonts w:ascii="Times New Roman" w:hAnsi="Times New Roman" w:cs="Times New Roman"/>
                <w:color w:val="000000"/>
                <w:sz w:val="18"/>
                <w:szCs w:val="18"/>
              </w:rPr>
              <w:t xml:space="preserve">Organizations can choose to prohibit or strictly limit remote access to PII.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User-Based Collaboration and Information Sharing (AC-21). </w:t>
            </w:r>
            <w:r w:rsidRPr="001204B5">
              <w:rPr>
                <w:rFonts w:ascii="Times New Roman" w:hAnsi="Times New Roman" w:cs="Times New Roman"/>
                <w:color w:val="000000"/>
                <w:sz w:val="18"/>
                <w:szCs w:val="18"/>
              </w:rPr>
              <w:t xml:space="preserve">Organizations can provide automated mechanisms to assist users in determining whether access authorizations match access restrictions, such as contractually-based restrictions, for PII.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Access Control for Mobile Devices (AC-19). </w:t>
            </w:r>
            <w:r w:rsidRPr="001204B5">
              <w:rPr>
                <w:rFonts w:ascii="Times New Roman" w:hAnsi="Times New Roman" w:cs="Times New Roman"/>
                <w:color w:val="000000"/>
                <w:sz w:val="18"/>
                <w:szCs w:val="18"/>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Auditable Events (AU-2). </w:t>
            </w:r>
            <w:r w:rsidRPr="001204B5">
              <w:rPr>
                <w:rFonts w:ascii="Times New Roman" w:hAnsi="Times New Roman" w:cs="Times New Roman"/>
                <w:color w:val="000000"/>
                <w:sz w:val="18"/>
                <w:szCs w:val="18"/>
              </w:rPr>
              <w:t xml:space="preserve">Organizations can monitor events that affect the confidentiality of PII, such as unauthorized access to PII.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Audit Review, Analysis, and Reporting (AU-6)</w:t>
            </w:r>
            <w:r w:rsidRPr="001204B5">
              <w:rPr>
                <w:rFonts w:ascii="Times New Roman" w:hAnsi="Times New Roman" w:cs="Times New Roman"/>
                <w:color w:val="000000"/>
                <w:sz w:val="18"/>
                <w:szCs w:val="18"/>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Identification and Authentication (Organizational Users) (IA-2). </w:t>
            </w:r>
            <w:r w:rsidRPr="001204B5">
              <w:rPr>
                <w:rFonts w:ascii="Times New Roman" w:hAnsi="Times New Roman" w:cs="Times New Roman"/>
                <w:color w:val="000000"/>
                <w:sz w:val="18"/>
                <w:szCs w:val="18"/>
              </w:rPr>
              <w:t>Users can be uniquely identified and authenticated before accessing PII.</w:t>
            </w:r>
          </w:p>
        </w:tc>
      </w:tr>
      <w:tr w:rsidR="00C87A46" w:rsidRPr="001204B5" w:rsidTr="00AB4D49">
        <w:tc>
          <w:tcPr>
            <w:tcW w:w="2340" w:type="dxa"/>
          </w:tcPr>
          <w:p w:rsidR="00C87A46" w:rsidRPr="001204B5" w:rsidRDefault="001204B5"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Media Access (MP-2). </w:t>
            </w:r>
            <w:r w:rsidRPr="001204B5">
              <w:rPr>
                <w:rFonts w:ascii="Times New Roman" w:hAnsi="Times New Roman" w:cs="Times New Roman"/>
                <w:color w:val="000000"/>
                <w:sz w:val="18"/>
                <w:szCs w:val="18"/>
              </w:rPr>
              <w:t xml:space="preserve">Organizations can restrict access to information system media containing PII, including digital media (e.g., CDs, USB flash drives, backup tapes) and non-digital media (e.g., paper, microfilm). </w:t>
            </w:r>
          </w:p>
        </w:tc>
      </w:tr>
      <w:tr w:rsidR="00C87A46" w:rsidRPr="001204B5" w:rsidTr="00AB4D49">
        <w:tc>
          <w:tcPr>
            <w:tcW w:w="2340" w:type="dxa"/>
          </w:tcPr>
          <w:p w:rsidR="00C87A46" w:rsidRPr="001204B5" w:rsidRDefault="001204B5"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Media Marking (MP-3). </w:t>
            </w:r>
            <w:r w:rsidRPr="001204B5">
              <w:rPr>
                <w:rFonts w:ascii="Times New Roman" w:hAnsi="Times New Roman" w:cs="Times New Roman"/>
                <w:color w:val="000000"/>
                <w:sz w:val="18"/>
                <w:szCs w:val="18"/>
              </w:rPr>
              <w:t xml:space="preserve">Organizations can label information system media and output containing PII to indicate how it should be distributed and handled.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Media Storage (MP-4). </w:t>
            </w:r>
            <w:r w:rsidRPr="001204B5">
              <w:rPr>
                <w:rFonts w:ascii="Times New Roman" w:hAnsi="Times New Roman" w:cs="Times New Roman"/>
                <w:color w:val="000000"/>
                <w:sz w:val="18"/>
                <w:szCs w:val="18"/>
              </w:rPr>
              <w:t xml:space="preserve">Organizations can securely store PII, both in paper and digital forms, until the media are destroyed or sanitized using approved equipment, techniques, and procedures.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Media Transport (MP-5). </w:t>
            </w:r>
            <w:r w:rsidRPr="001204B5">
              <w:rPr>
                <w:rFonts w:ascii="Times New Roman" w:hAnsi="Times New Roman" w:cs="Times New Roman"/>
                <w:color w:val="000000"/>
                <w:sz w:val="18"/>
                <w:szCs w:val="18"/>
              </w:rPr>
              <w:t xml:space="preserve">Organizations can protect digital and non-digital media and mobile devices containing PII that is transported outside the organization‘s controlled areas. </w:t>
            </w:r>
          </w:p>
        </w:tc>
      </w:tr>
      <w:tr w:rsidR="00C87A46" w:rsidRPr="001204B5" w:rsidTr="00AB4D49">
        <w:tc>
          <w:tcPr>
            <w:tcW w:w="2340" w:type="dxa"/>
          </w:tcPr>
          <w:p w:rsidR="00C87A46" w:rsidRPr="001204B5" w:rsidRDefault="001204B5"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Media Sanitization (MP-6). </w:t>
            </w:r>
            <w:r w:rsidRPr="001204B5">
              <w:rPr>
                <w:rFonts w:ascii="Times New Roman" w:hAnsi="Times New Roman" w:cs="Times New Roman"/>
                <w:color w:val="000000"/>
                <w:sz w:val="18"/>
                <w:szCs w:val="18"/>
              </w:rPr>
              <w:t>Organizations can sanitize digital and non-digital media containing PII before it is disposed or released for reuse.</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Transmission Confidentiality (SC-9). </w:t>
            </w:r>
            <w:r w:rsidRPr="001204B5">
              <w:rPr>
                <w:rFonts w:ascii="Times New Roman" w:hAnsi="Times New Roman" w:cs="Times New Roman"/>
                <w:color w:val="000000"/>
                <w:sz w:val="18"/>
                <w:szCs w:val="18"/>
              </w:rPr>
              <w:t xml:space="preserve">Organizations can protect the confidentiality of transmitted PII. </w:t>
            </w:r>
          </w:p>
        </w:tc>
      </w:tr>
      <w:tr w:rsidR="00C87A46" w:rsidRPr="001204B5" w:rsidTr="00AB4D49">
        <w:tc>
          <w:tcPr>
            <w:tcW w:w="2340" w:type="dxa"/>
          </w:tcPr>
          <w:p w:rsidR="00C87A46" w:rsidRPr="001204B5" w:rsidRDefault="001204B5"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Protection of Information at Rest (SC-28). </w:t>
            </w:r>
            <w:r w:rsidRPr="001204B5">
              <w:rPr>
                <w:rFonts w:ascii="Times New Roman" w:hAnsi="Times New Roman" w:cs="Times New Roman"/>
                <w:color w:val="000000"/>
                <w:sz w:val="18"/>
                <w:szCs w:val="18"/>
              </w:rPr>
              <w:t xml:space="preserve">Organizations can protect the confidentiality of PII at rest, which refers to information stored on a secondary storage device, such as a hard drive or backup tape. </w:t>
            </w:r>
          </w:p>
        </w:tc>
      </w:tr>
      <w:tr w:rsidR="00C87A46" w:rsidRPr="001204B5" w:rsidTr="00AB4D49">
        <w:tc>
          <w:tcPr>
            <w:tcW w:w="2340" w:type="dxa"/>
          </w:tcPr>
          <w:p w:rsidR="00C87A46" w:rsidRPr="001204B5" w:rsidRDefault="00C87A46" w:rsidP="00AB4D49">
            <w:pPr>
              <w:tabs>
                <w:tab w:val="left" w:pos="540"/>
              </w:tabs>
              <w:rPr>
                <w:rFonts w:ascii="Times New Roman" w:hAnsi="Times New Roman" w:cs="Times New Roman"/>
                <w:sz w:val="18"/>
                <w:szCs w:val="18"/>
              </w:rPr>
            </w:pPr>
            <w:r w:rsidRPr="001204B5">
              <w:rPr>
                <w:rFonts w:ascii="Times New Roman" w:hAnsi="Times New Roman" w:cs="Times New Roman"/>
                <w:sz w:val="18"/>
                <w:szCs w:val="18"/>
              </w:rPr>
              <w:t>In Place</w:t>
            </w:r>
          </w:p>
        </w:tc>
        <w:tc>
          <w:tcPr>
            <w:tcW w:w="7128" w:type="dxa"/>
          </w:tcPr>
          <w:p w:rsidR="00C87A46" w:rsidRPr="001204B5" w:rsidRDefault="00C87A46" w:rsidP="00AB4D49">
            <w:pPr>
              <w:autoSpaceDE w:val="0"/>
              <w:autoSpaceDN w:val="0"/>
              <w:adjustRightInd w:val="0"/>
              <w:rPr>
                <w:rFonts w:ascii="Times New Roman" w:hAnsi="Times New Roman" w:cs="Times New Roman"/>
                <w:color w:val="000000"/>
                <w:sz w:val="18"/>
                <w:szCs w:val="18"/>
              </w:rPr>
            </w:pPr>
            <w:r w:rsidRPr="001204B5">
              <w:rPr>
                <w:rFonts w:ascii="Times New Roman" w:hAnsi="Times New Roman" w:cs="Times New Roman"/>
                <w:b/>
                <w:bCs/>
                <w:color w:val="000000"/>
                <w:sz w:val="18"/>
                <w:szCs w:val="18"/>
              </w:rPr>
              <w:t xml:space="preserve">Information System Monitoring (SI-4). </w:t>
            </w:r>
            <w:r w:rsidRPr="001204B5">
              <w:rPr>
                <w:rFonts w:ascii="Times New Roman" w:hAnsi="Times New Roman" w:cs="Times New Roman"/>
                <w:color w:val="000000"/>
                <w:sz w:val="18"/>
                <w:szCs w:val="18"/>
              </w:rPr>
              <w:t xml:space="preserve">Organizations can employ automated tools to monitor PII internally or at network boundaries for unusual or suspicious transfers or events. </w:t>
            </w:r>
          </w:p>
        </w:tc>
      </w:tr>
    </w:tbl>
    <w:p w:rsidR="00C87A46" w:rsidRPr="00B02653" w:rsidRDefault="00C87A46" w:rsidP="00C87A46">
      <w:pPr>
        <w:tabs>
          <w:tab w:val="left" w:pos="540"/>
        </w:tabs>
        <w:spacing w:after="0"/>
        <w:ind w:left="540" w:hanging="540"/>
        <w:rPr>
          <w:rFonts w:ascii="Times New Roman" w:hAnsi="Times New Roman" w:cs="Times New Roman"/>
          <w:sz w:val="20"/>
          <w:szCs w:val="20"/>
        </w:rPr>
      </w:pPr>
    </w:p>
    <w:p w:rsidR="00C87A46" w:rsidRPr="00B02653" w:rsidRDefault="00C87A46" w:rsidP="00C87A46">
      <w:r w:rsidRPr="00B02653">
        <w:rPr>
          <w:rFonts w:ascii="Times New Roman" w:hAnsi="Times New Roman" w:cs="Times New Roman"/>
          <w:b/>
          <w:sz w:val="24"/>
          <w:szCs w:val="24"/>
        </w:rPr>
        <w:t xml:space="preserve">This page is a supplement for </w:t>
      </w:r>
      <w:r w:rsidR="00F97267">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D73F52" w:rsidRPr="00B02653" w:rsidRDefault="00D73F52" w:rsidP="00D73F52">
      <w:pPr>
        <w:tabs>
          <w:tab w:val="left" w:pos="540"/>
        </w:tabs>
        <w:spacing w:after="0"/>
        <w:rPr>
          <w:rFonts w:ascii="Times New Roman" w:hAnsi="Times New Roman" w:cs="Times New Roman"/>
          <w:sz w:val="24"/>
          <w:szCs w:val="24"/>
        </w:rPr>
      </w:pPr>
    </w:p>
    <w:p w:rsidR="00C87A46" w:rsidRPr="00B02653" w:rsidRDefault="00C87A46" w:rsidP="00D73F52">
      <w:pPr>
        <w:tabs>
          <w:tab w:val="left" w:pos="540"/>
        </w:tabs>
        <w:spacing w:after="0"/>
        <w:ind w:left="540" w:hanging="540"/>
        <w:jc w:val="center"/>
        <w:rPr>
          <w:rFonts w:ascii="Times New Roman" w:hAnsi="Times New Roman" w:cs="Times New Roman"/>
          <w:b/>
          <w:sz w:val="24"/>
          <w:szCs w:val="24"/>
        </w:rPr>
      </w:pPr>
    </w:p>
    <w:p w:rsidR="00C87A46" w:rsidRPr="00B02653" w:rsidRDefault="00C87A46" w:rsidP="00D73F52">
      <w:pPr>
        <w:tabs>
          <w:tab w:val="left" w:pos="540"/>
        </w:tabs>
        <w:spacing w:after="0"/>
        <w:ind w:left="540" w:hanging="540"/>
        <w:jc w:val="center"/>
        <w:rPr>
          <w:rFonts w:ascii="Times New Roman" w:hAnsi="Times New Roman" w:cs="Times New Roman"/>
          <w:b/>
          <w:sz w:val="24"/>
          <w:szCs w:val="24"/>
        </w:rPr>
      </w:pPr>
    </w:p>
    <w:p w:rsidR="00C87A46" w:rsidRPr="00B02653" w:rsidRDefault="00C87A46" w:rsidP="00D73F52">
      <w:pPr>
        <w:tabs>
          <w:tab w:val="left" w:pos="540"/>
        </w:tabs>
        <w:spacing w:after="0"/>
        <w:ind w:left="540" w:hanging="540"/>
        <w:jc w:val="center"/>
        <w:rPr>
          <w:rFonts w:ascii="Times New Roman" w:hAnsi="Times New Roman" w:cs="Times New Roman"/>
          <w:b/>
          <w:sz w:val="24"/>
          <w:szCs w:val="24"/>
        </w:rPr>
      </w:pP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NOAA4100</w:t>
      </w:r>
      <w:r w:rsidR="00B00175">
        <w:rPr>
          <w:rFonts w:ascii="Times New Roman" w:hAnsi="Times New Roman" w:cs="Times New Roman"/>
          <w:b/>
          <w:sz w:val="24"/>
          <w:szCs w:val="24"/>
        </w:rPr>
        <w:t>, NMFS Gloucester, MA Local Area Network</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p>
    <w:p w:rsidR="00D73F52" w:rsidRPr="00B02653" w:rsidRDefault="00D73F52" w:rsidP="00D73F52">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pStyle w:val="Default"/>
              <w:rPr>
                <w:sz w:val="20"/>
                <w:szCs w:val="20"/>
              </w:rPr>
            </w:pPr>
            <w:r w:rsidRPr="00B02653">
              <w:rPr>
                <w:b/>
                <w:sz w:val="20"/>
                <w:szCs w:val="20"/>
              </w:rPr>
              <w:t>Access Enforcement (AC-3)</w:t>
            </w:r>
            <w:r w:rsidRPr="00B02653">
              <w:rPr>
                <w:sz w:val="20"/>
                <w:szCs w:val="20"/>
              </w:rPr>
              <w:t xml:space="preserve">.  Organizations can control access to PII through access control policies and access enforcement mechanisms (e.g., access control lists).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Separation of Duties (AC-5). </w:t>
            </w:r>
            <w:r w:rsidRPr="00B02653">
              <w:rPr>
                <w:rFonts w:ascii="Times New Roman" w:hAnsi="Times New Roman" w:cs="Times New Roman"/>
                <w:color w:val="000000"/>
                <w:sz w:val="20"/>
                <w:szCs w:val="20"/>
              </w:rPr>
              <w:t xml:space="preserve">Organizations can enforce separation of duties for duties involving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Least Privilege (AC-6). </w:t>
            </w:r>
            <w:r w:rsidRPr="00B02653">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Remote Access (AC-17). </w:t>
            </w:r>
            <w:r w:rsidRPr="00B02653">
              <w:rPr>
                <w:rFonts w:ascii="Times New Roman" w:hAnsi="Times New Roman" w:cs="Times New Roman"/>
                <w:color w:val="000000"/>
                <w:sz w:val="20"/>
                <w:szCs w:val="20"/>
              </w:rPr>
              <w:t xml:space="preserve">Organizations can choose to prohibit or strictly limit remote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N/A</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User-Based Collaboration and Information Sharing (AC-21). </w:t>
            </w:r>
            <w:r w:rsidRPr="00B02653">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Access Control for Mobile Devices (AC-19). </w:t>
            </w:r>
            <w:r w:rsidRPr="00B02653">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Auditable Events (AU-2). </w:t>
            </w:r>
            <w:r w:rsidRPr="00B02653">
              <w:rPr>
                <w:rFonts w:ascii="Times New Roman" w:hAnsi="Times New Roman" w:cs="Times New Roman"/>
                <w:color w:val="000000"/>
                <w:sz w:val="20"/>
                <w:szCs w:val="20"/>
              </w:rPr>
              <w:t xml:space="preserve">Organizations can monitor events that affect the confidentiality of PII, such as unauthorized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Audit Review, Analysis, and Reporting (AU-6)</w:t>
            </w:r>
            <w:r w:rsidRPr="00B02653">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Identification and Authentication (Organizational Users) (IA-2). </w:t>
            </w:r>
            <w:r w:rsidRPr="00B02653">
              <w:rPr>
                <w:rFonts w:ascii="Times New Roman" w:hAnsi="Times New Roman" w:cs="Times New Roman"/>
                <w:color w:val="000000"/>
                <w:sz w:val="20"/>
                <w:szCs w:val="20"/>
              </w:rPr>
              <w:t>Users can be uniquely identified and authenticated before accessing PII.</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Access (MP-2). </w:t>
            </w:r>
            <w:r w:rsidRPr="00B02653">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Marking (MP-3). </w:t>
            </w:r>
            <w:r w:rsidRPr="00B02653">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 xml:space="preserve">In Place </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Storage (MP-4). </w:t>
            </w:r>
            <w:r w:rsidRPr="00B02653">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Transport (MP-5). </w:t>
            </w:r>
            <w:r w:rsidRPr="00B02653">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Sanitization (MP-6). </w:t>
            </w:r>
            <w:r w:rsidRPr="00B02653">
              <w:rPr>
                <w:rFonts w:ascii="Times New Roman" w:hAnsi="Times New Roman" w:cs="Times New Roman"/>
                <w:color w:val="000000"/>
                <w:sz w:val="20"/>
                <w:szCs w:val="20"/>
              </w:rPr>
              <w:t>Organizations can sanitize digital and non-digital media containing PII before it is disposed or released for reuse.</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Transmission Confidentiality (SC-9). </w:t>
            </w:r>
            <w:r w:rsidRPr="00B02653">
              <w:rPr>
                <w:rFonts w:ascii="Times New Roman" w:hAnsi="Times New Roman" w:cs="Times New Roman"/>
                <w:color w:val="000000"/>
                <w:sz w:val="20"/>
                <w:szCs w:val="20"/>
              </w:rPr>
              <w:t xml:space="preserve">Organizations can protect the confidentiality of transmitted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 xml:space="preserve">In Place </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Protection of Information at Rest (SC-28). </w:t>
            </w:r>
            <w:r w:rsidRPr="00B02653">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Information System Monitoring (SI-4). </w:t>
            </w:r>
            <w:r w:rsidRPr="00B02653">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C87A46" w:rsidRPr="00B02653" w:rsidRDefault="00C87A46" w:rsidP="00C87A46">
      <w:pPr>
        <w:tabs>
          <w:tab w:val="left" w:pos="540"/>
        </w:tabs>
        <w:spacing w:after="0"/>
        <w:ind w:left="540" w:hanging="540"/>
        <w:jc w:val="center"/>
        <w:rPr>
          <w:rFonts w:ascii="Times New Roman" w:hAnsi="Times New Roman" w:cs="Times New Roman"/>
          <w:b/>
          <w:sz w:val="24"/>
          <w:szCs w:val="24"/>
        </w:rPr>
      </w:pPr>
    </w:p>
    <w:p w:rsidR="00F97267" w:rsidRPr="00B02653" w:rsidRDefault="00F97267" w:rsidP="00F97267">
      <w:r w:rsidRPr="00B02653">
        <w:rPr>
          <w:rFonts w:ascii="Times New Roman" w:hAnsi="Times New Roman" w:cs="Times New Roman"/>
          <w:b/>
          <w:sz w:val="24"/>
          <w:szCs w:val="24"/>
        </w:rPr>
        <w:t xml:space="preserve">This page is a supplement for </w:t>
      </w:r>
      <w:r>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C87A46" w:rsidRPr="00B02653" w:rsidRDefault="00C87A46" w:rsidP="00C87A46">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NOAA4300</w:t>
      </w:r>
      <w:r w:rsidR="00C955F9">
        <w:rPr>
          <w:rFonts w:ascii="Times New Roman" w:hAnsi="Times New Roman" w:cs="Times New Roman"/>
          <w:b/>
          <w:sz w:val="24"/>
          <w:szCs w:val="24"/>
        </w:rPr>
        <w:t>, NMFS St. Petersburg FL Local Area Network</w:t>
      </w:r>
    </w:p>
    <w:p w:rsidR="00C87A46" w:rsidRPr="00B02653" w:rsidRDefault="00C87A46" w:rsidP="00C87A46">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pStyle w:val="Default"/>
              <w:rPr>
                <w:sz w:val="20"/>
                <w:szCs w:val="20"/>
              </w:rPr>
            </w:pPr>
            <w:r w:rsidRPr="00B02653">
              <w:rPr>
                <w:b/>
                <w:sz w:val="20"/>
                <w:szCs w:val="20"/>
              </w:rPr>
              <w:t>Access Enforcement (AC-3)</w:t>
            </w:r>
            <w:r w:rsidRPr="00B02653">
              <w:rPr>
                <w:sz w:val="20"/>
                <w:szCs w:val="20"/>
              </w:rPr>
              <w:t xml:space="preserve">.  Organizations can control access to PII through access control policies and access enforcement mechanisms (e.g., access control lists).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Separation of Duties (AC-5). </w:t>
            </w:r>
            <w:r w:rsidRPr="00B02653">
              <w:rPr>
                <w:rFonts w:ascii="Times New Roman" w:hAnsi="Times New Roman" w:cs="Times New Roman"/>
                <w:color w:val="000000"/>
                <w:sz w:val="20"/>
                <w:szCs w:val="20"/>
              </w:rPr>
              <w:t xml:space="preserve">Organizations can enforce separation of duties for duties involving access to PII.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Least Privilege (AC-6). </w:t>
            </w:r>
            <w:r w:rsidRPr="00B02653">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Remote Access (AC-17). </w:t>
            </w:r>
            <w:r w:rsidRPr="00B02653">
              <w:rPr>
                <w:rFonts w:ascii="Times New Roman" w:hAnsi="Times New Roman" w:cs="Times New Roman"/>
                <w:color w:val="000000"/>
                <w:sz w:val="20"/>
                <w:szCs w:val="20"/>
              </w:rPr>
              <w:t xml:space="preserve">Organizations can choose to prohibit or strictly limit remote access to PII.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i/>
                <w:sz w:val="20"/>
                <w:szCs w:val="20"/>
              </w:rPr>
            </w:pPr>
            <w:r w:rsidRPr="00B02653">
              <w:rPr>
                <w:rFonts w:ascii="Times New Roman" w:hAnsi="Times New Roman" w:cs="Times New Roman"/>
                <w:sz w:val="20"/>
                <w:szCs w:val="20"/>
              </w:rPr>
              <w:t>In Place</w:t>
            </w:r>
          </w:p>
          <w:p w:rsidR="00C87A46" w:rsidRPr="00B02653" w:rsidRDefault="00C87A46" w:rsidP="00AB4D49">
            <w:pPr>
              <w:tabs>
                <w:tab w:val="left" w:pos="540"/>
              </w:tabs>
              <w:rPr>
                <w:rFonts w:ascii="Times New Roman" w:hAnsi="Times New Roman" w:cs="Times New Roman"/>
                <w:sz w:val="20"/>
                <w:szCs w:val="20"/>
              </w:rPr>
            </w:pP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User-Based Collaboration and Information Sharing (AC-21). </w:t>
            </w:r>
            <w:r w:rsidRPr="00B02653">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C87A46" w:rsidRPr="00B02653" w:rsidRDefault="00C87A46" w:rsidP="00AB4D49">
            <w:pPr>
              <w:tabs>
                <w:tab w:val="left" w:pos="540"/>
              </w:tabs>
              <w:rPr>
                <w:rFonts w:ascii="Times New Roman" w:hAnsi="Times New Roman" w:cs="Times New Roman"/>
                <w:sz w:val="20"/>
                <w:szCs w:val="20"/>
              </w:rPr>
            </w:pP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Access Control for Mobile Devices (AC-19). </w:t>
            </w:r>
            <w:r w:rsidRPr="00B02653">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Auditable Events (AU-2). </w:t>
            </w:r>
            <w:r w:rsidRPr="00B02653">
              <w:rPr>
                <w:rFonts w:ascii="Times New Roman" w:hAnsi="Times New Roman" w:cs="Times New Roman"/>
                <w:color w:val="000000"/>
                <w:sz w:val="20"/>
                <w:szCs w:val="20"/>
              </w:rPr>
              <w:t xml:space="preserve">Organizations can monitor events that affect the confidentiality of PII, such as unauthorized access to PII.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Audit Review, Analysis, and Reporting (AU-6)</w:t>
            </w:r>
            <w:r w:rsidRPr="00B02653">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C87A46" w:rsidRPr="00B02653" w:rsidTr="00B00175">
        <w:trPr>
          <w:trHeight w:val="458"/>
        </w:trPr>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Identification and Authentication (Organizational Users) (IA-2). </w:t>
            </w:r>
            <w:r w:rsidRPr="00B02653">
              <w:rPr>
                <w:rFonts w:ascii="Times New Roman" w:hAnsi="Times New Roman" w:cs="Times New Roman"/>
                <w:color w:val="000000"/>
                <w:sz w:val="20"/>
                <w:szCs w:val="20"/>
              </w:rPr>
              <w:t>Users can be uniquely identified and authenticated before accessing PII.</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Access (MP-2). </w:t>
            </w:r>
            <w:r w:rsidRPr="00B02653">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C87A46" w:rsidRPr="00B02653" w:rsidTr="00B00175">
        <w:trPr>
          <w:trHeight w:val="458"/>
        </w:trPr>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Marking (MP-3). </w:t>
            </w:r>
            <w:r w:rsidRPr="00B02653">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Storage (MP-4). </w:t>
            </w:r>
            <w:r w:rsidRPr="00B02653">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Transport (MP-5). </w:t>
            </w:r>
            <w:r w:rsidRPr="00B02653">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Sanitization (MP-6). </w:t>
            </w:r>
            <w:r w:rsidRPr="00B02653">
              <w:rPr>
                <w:rFonts w:ascii="Times New Roman" w:hAnsi="Times New Roman" w:cs="Times New Roman"/>
                <w:color w:val="000000"/>
                <w:sz w:val="20"/>
                <w:szCs w:val="20"/>
              </w:rPr>
              <w:t>Organizations can sanitize digital and non-digital media containing PII before it is disposed or released for reuse.</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C87A46" w:rsidRPr="00B02653" w:rsidRDefault="00C87A46" w:rsidP="00AB4D49">
            <w:pPr>
              <w:tabs>
                <w:tab w:val="left" w:pos="540"/>
              </w:tabs>
              <w:rPr>
                <w:rFonts w:ascii="Times New Roman" w:hAnsi="Times New Roman" w:cs="Times New Roman"/>
                <w:sz w:val="20"/>
                <w:szCs w:val="20"/>
              </w:rPr>
            </w:pP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Transmission Confidentiality (SC-9). </w:t>
            </w:r>
            <w:r w:rsidRPr="00B02653">
              <w:rPr>
                <w:rFonts w:ascii="Times New Roman" w:hAnsi="Times New Roman" w:cs="Times New Roman"/>
                <w:color w:val="000000"/>
                <w:sz w:val="20"/>
                <w:szCs w:val="20"/>
              </w:rPr>
              <w:t xml:space="preserve">Organizations can protect the confidentiality of transmitted PII.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FA43DF" w:rsidP="00B00175">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Protection of Information at Rest (SC-28). </w:t>
            </w:r>
            <w:r w:rsidRPr="00B02653">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C87A46" w:rsidRPr="00B02653" w:rsidTr="00AB4D49">
        <w:tc>
          <w:tcPr>
            <w:tcW w:w="2340" w:type="dxa"/>
          </w:tcPr>
          <w:p w:rsidR="00C87A46" w:rsidRPr="00B02653" w:rsidRDefault="00C87A46" w:rsidP="00AB4D49">
            <w:pPr>
              <w:tabs>
                <w:tab w:val="left" w:pos="540"/>
              </w:tabs>
              <w:rPr>
                <w:rFonts w:ascii="Times New Roman" w:hAnsi="Times New Roman" w:cs="Times New Roman"/>
                <w:sz w:val="20"/>
                <w:szCs w:val="20"/>
              </w:rPr>
            </w:pPr>
          </w:p>
          <w:p w:rsidR="00C87A46" w:rsidRPr="00B02653" w:rsidRDefault="00C87A46" w:rsidP="00AB4D49">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C87A46" w:rsidRPr="00B02653" w:rsidRDefault="00C87A46" w:rsidP="00AB4D49">
            <w:pPr>
              <w:tabs>
                <w:tab w:val="left" w:pos="540"/>
              </w:tabs>
              <w:rPr>
                <w:rFonts w:ascii="Times New Roman" w:hAnsi="Times New Roman" w:cs="Times New Roman"/>
                <w:sz w:val="20"/>
                <w:szCs w:val="20"/>
              </w:rPr>
            </w:pPr>
          </w:p>
        </w:tc>
        <w:tc>
          <w:tcPr>
            <w:tcW w:w="7128" w:type="dxa"/>
          </w:tcPr>
          <w:p w:rsidR="00C87A46" w:rsidRPr="00B02653" w:rsidRDefault="00C87A46" w:rsidP="00AB4D49">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Information System Monitoring (SI-4). </w:t>
            </w:r>
            <w:r w:rsidRPr="00B02653">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B00175" w:rsidRPr="00B02653" w:rsidRDefault="00B00175" w:rsidP="00B00175">
      <w:r w:rsidRPr="00B02653">
        <w:rPr>
          <w:rFonts w:ascii="Times New Roman" w:hAnsi="Times New Roman" w:cs="Times New Roman"/>
          <w:b/>
          <w:sz w:val="24"/>
          <w:szCs w:val="24"/>
        </w:rPr>
        <w:t xml:space="preserve">This page is a supplement for </w:t>
      </w:r>
      <w:r>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BB0544" w:rsidRDefault="00BB0544" w:rsidP="00BB0544">
      <w:pPr>
        <w:tabs>
          <w:tab w:val="left" w:pos="540"/>
        </w:tabs>
        <w:spacing w:after="0"/>
        <w:ind w:left="540" w:hanging="540"/>
        <w:jc w:val="center"/>
        <w:rPr>
          <w:rFonts w:ascii="Times New Roman" w:hAnsi="Times New Roman" w:cs="Times New Roman"/>
          <w:b/>
          <w:sz w:val="24"/>
          <w:szCs w:val="24"/>
        </w:rPr>
      </w:pPr>
      <w:r>
        <w:rPr>
          <w:rFonts w:ascii="Times New Roman" w:hAnsi="Times New Roman" w:cs="Times New Roman"/>
          <w:b/>
          <w:sz w:val="24"/>
          <w:szCs w:val="24"/>
        </w:rPr>
        <w:t>Appendix A for NOAA4500</w:t>
      </w:r>
      <w:r w:rsidR="00C955F9">
        <w:rPr>
          <w:rFonts w:ascii="Times New Roman" w:hAnsi="Times New Roman" w:cs="Times New Roman"/>
          <w:b/>
          <w:sz w:val="24"/>
          <w:szCs w:val="24"/>
        </w:rPr>
        <w:t>, NMFS Seattle WA Local Area Network</w:t>
      </w:r>
    </w:p>
    <w:p w:rsidR="00BB0544" w:rsidRDefault="00BB0544" w:rsidP="00BB0544">
      <w:pPr>
        <w:tabs>
          <w:tab w:val="left" w:pos="540"/>
        </w:tabs>
        <w:spacing w:after="0"/>
        <w:ind w:left="540" w:hanging="540"/>
        <w:jc w:val="center"/>
        <w:rPr>
          <w:rFonts w:ascii="Times New Roman" w:hAnsi="Times New Roman" w:cs="Times New Roman"/>
          <w:b/>
          <w:sz w:val="24"/>
          <w:szCs w:val="24"/>
        </w:rPr>
      </w:pPr>
    </w:p>
    <w:p w:rsidR="00BB0544" w:rsidRDefault="00BB0544" w:rsidP="00BB0544">
      <w:pPr>
        <w:tabs>
          <w:tab w:val="left" w:pos="540"/>
        </w:tabs>
        <w:spacing w:after="0"/>
        <w:ind w:left="540" w:hanging="540"/>
        <w:rPr>
          <w:rFonts w:ascii="Times New Roman" w:hAnsi="Times New Roman" w:cs="Times New Roman"/>
          <w:sz w:val="24"/>
          <w:szCs w:val="24"/>
        </w:rPr>
      </w:pPr>
      <w:r>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BB0544" w:rsidTr="00F00025">
        <w:tc>
          <w:tcPr>
            <w:tcW w:w="2340" w:type="dxa"/>
          </w:tcPr>
          <w:p w:rsidR="00BB0544" w:rsidRPr="00FE68F3" w:rsidRDefault="00BB0544" w:rsidP="00F00025">
            <w:pPr>
              <w:tabs>
                <w:tab w:val="center" w:pos="1062"/>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FE68F3" w:rsidRDefault="00BB0544" w:rsidP="00F00025">
            <w:pPr>
              <w:pStyle w:val="Default"/>
              <w:rPr>
                <w:sz w:val="20"/>
                <w:szCs w:val="20"/>
              </w:rPr>
            </w:pPr>
            <w:r w:rsidRPr="00ED3B49">
              <w:rPr>
                <w:b/>
                <w:sz w:val="20"/>
                <w:szCs w:val="20"/>
              </w:rPr>
              <w:t>Access Enforcement (AC-3)</w:t>
            </w:r>
            <w:r>
              <w:rPr>
                <w:sz w:val="20"/>
                <w:szCs w:val="20"/>
              </w:rPr>
              <w:t xml:space="preserve">.  </w:t>
            </w:r>
            <w:r w:rsidRPr="00FE68F3">
              <w:rPr>
                <w:sz w:val="20"/>
                <w:szCs w:val="20"/>
              </w:rPr>
              <w:t xml:space="preserve">Organizations can control access to PII through access control policies and access enforcement mechanisms (e.g., access control lists). </w:t>
            </w:r>
          </w:p>
        </w:tc>
      </w:tr>
      <w:tr w:rsidR="00BB0544" w:rsidTr="00F00025">
        <w:tc>
          <w:tcPr>
            <w:tcW w:w="2340" w:type="dxa"/>
          </w:tcPr>
          <w:p w:rsidR="00BB0544" w:rsidRPr="00FE68F3"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Separation of Duties (AC-5). </w:t>
            </w:r>
            <w:r w:rsidRPr="00ED3B49">
              <w:rPr>
                <w:rFonts w:ascii="Times New Roman" w:hAnsi="Times New Roman" w:cs="Times New Roman"/>
                <w:color w:val="000000"/>
                <w:sz w:val="20"/>
                <w:szCs w:val="20"/>
              </w:rPr>
              <w:t xml:space="preserve">Organizations can enforce separation of duties for duties involving access to PII.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Least Privilege (AC-6). </w:t>
            </w:r>
            <w:r w:rsidRPr="00ED3B49">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Remote Access (AC-17). </w:t>
            </w:r>
            <w:r w:rsidRPr="00ED3B49">
              <w:rPr>
                <w:rFonts w:ascii="Times New Roman" w:hAnsi="Times New Roman" w:cs="Times New Roman"/>
                <w:color w:val="000000"/>
                <w:sz w:val="20"/>
                <w:szCs w:val="20"/>
              </w:rPr>
              <w:t xml:space="preserve">Organizations can choose to prohibit or strictly limit remote access to PII.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User-Based Collaboration and Information Sharing (AC-21). </w:t>
            </w:r>
            <w:r w:rsidRPr="00700304">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B425C8" w:rsidRDefault="00BB0544" w:rsidP="00F00025">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Access Control for Mobile Devices (AC-19). </w:t>
            </w:r>
            <w:r w:rsidRPr="00700304">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B425C8" w:rsidRDefault="00BB0544" w:rsidP="00F00025">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 xml:space="preserve">Auditable Events (AU-2). </w:t>
            </w:r>
            <w:r w:rsidRPr="00700304">
              <w:rPr>
                <w:rFonts w:ascii="Times New Roman" w:hAnsi="Times New Roman" w:cs="Times New Roman"/>
                <w:color w:val="000000"/>
                <w:sz w:val="20"/>
                <w:szCs w:val="20"/>
              </w:rPr>
              <w:t xml:space="preserve">Organizations can monitor events that affect the confidentiality of PII, such as unauthorized access to PII.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B425C8" w:rsidRDefault="00BB0544" w:rsidP="00F00025">
            <w:pPr>
              <w:autoSpaceDE w:val="0"/>
              <w:autoSpaceDN w:val="0"/>
              <w:adjustRightInd w:val="0"/>
              <w:rPr>
                <w:rFonts w:ascii="Times New Roman" w:hAnsi="Times New Roman" w:cs="Times New Roman"/>
                <w:color w:val="000000"/>
                <w:sz w:val="20"/>
                <w:szCs w:val="20"/>
              </w:rPr>
            </w:pPr>
            <w:r w:rsidRPr="00700304">
              <w:rPr>
                <w:rFonts w:ascii="Times New Roman" w:hAnsi="Times New Roman" w:cs="Times New Roman"/>
                <w:b/>
                <w:bCs/>
                <w:color w:val="000000"/>
                <w:sz w:val="20"/>
                <w:szCs w:val="20"/>
              </w:rPr>
              <w:t>Audit Review, Analysis, and Reporting (AU-6)</w:t>
            </w:r>
            <w:r w:rsidRPr="00700304">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Identification and Authentication (Organizational Users) (IA-2). </w:t>
            </w:r>
            <w:r w:rsidRPr="00ED3B49">
              <w:rPr>
                <w:rFonts w:ascii="Times New Roman" w:hAnsi="Times New Roman" w:cs="Times New Roman"/>
                <w:color w:val="000000"/>
                <w:sz w:val="20"/>
                <w:szCs w:val="20"/>
              </w:rPr>
              <w:t>Users can be uniquely identified and authenticated before accessing PII.</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Access (MP-2). </w:t>
            </w:r>
            <w:r w:rsidRPr="00ED3B49">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Marking (MP-3). </w:t>
            </w:r>
            <w:r w:rsidRPr="00ED3B49">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Storage (MP-4). </w:t>
            </w:r>
            <w:r w:rsidRPr="00ED3B49">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Transport (MP-5). </w:t>
            </w:r>
            <w:r w:rsidRPr="00ED3B49">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Media Sanitization (MP-6). </w:t>
            </w:r>
            <w:r w:rsidRPr="00ED3B49">
              <w:rPr>
                <w:rFonts w:ascii="Times New Roman" w:hAnsi="Times New Roman" w:cs="Times New Roman"/>
                <w:color w:val="000000"/>
                <w:sz w:val="20"/>
                <w:szCs w:val="20"/>
              </w:rPr>
              <w:t>Organizations can sanitize digital and non-digital media containing PII before it is disposed or released for reuse.</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Transmission Confidentiality (SC-9). </w:t>
            </w:r>
            <w:r w:rsidRPr="00ED3B49">
              <w:rPr>
                <w:rFonts w:ascii="Times New Roman" w:hAnsi="Times New Roman" w:cs="Times New Roman"/>
                <w:color w:val="000000"/>
                <w:sz w:val="20"/>
                <w:szCs w:val="20"/>
              </w:rPr>
              <w:t xml:space="preserve">Organizations can protect the confidentiality of transmitted PII.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Protection of Information at Rest (SC-28). </w:t>
            </w:r>
            <w:r w:rsidRPr="00ED3B49">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BB0544" w:rsidRPr="00ED3B49" w:rsidTr="00F00025">
        <w:tc>
          <w:tcPr>
            <w:tcW w:w="2340" w:type="dxa"/>
          </w:tcPr>
          <w:p w:rsidR="00BB0544" w:rsidRPr="00ED3B49" w:rsidRDefault="00BB0544" w:rsidP="00F00025">
            <w:pPr>
              <w:tabs>
                <w:tab w:val="left" w:pos="540"/>
              </w:tabs>
              <w:rPr>
                <w:rFonts w:ascii="Times New Roman" w:hAnsi="Times New Roman" w:cs="Times New Roman"/>
                <w:sz w:val="20"/>
                <w:szCs w:val="20"/>
              </w:rPr>
            </w:pPr>
            <w:r>
              <w:rPr>
                <w:rFonts w:ascii="Times New Roman" w:hAnsi="Times New Roman" w:cs="Times New Roman"/>
                <w:sz w:val="24"/>
                <w:szCs w:val="24"/>
              </w:rPr>
              <w:t>In place</w:t>
            </w:r>
          </w:p>
        </w:tc>
        <w:tc>
          <w:tcPr>
            <w:tcW w:w="7128" w:type="dxa"/>
          </w:tcPr>
          <w:p w:rsidR="00BB0544" w:rsidRPr="00ED3B49" w:rsidRDefault="00BB0544" w:rsidP="00F00025">
            <w:pPr>
              <w:autoSpaceDE w:val="0"/>
              <w:autoSpaceDN w:val="0"/>
              <w:adjustRightInd w:val="0"/>
              <w:rPr>
                <w:rFonts w:ascii="Times New Roman" w:hAnsi="Times New Roman" w:cs="Times New Roman"/>
                <w:color w:val="000000"/>
                <w:sz w:val="20"/>
                <w:szCs w:val="20"/>
              </w:rPr>
            </w:pPr>
            <w:r w:rsidRPr="00ED3B49">
              <w:rPr>
                <w:rFonts w:ascii="Times New Roman" w:hAnsi="Times New Roman" w:cs="Times New Roman"/>
                <w:b/>
                <w:bCs/>
                <w:color w:val="000000"/>
                <w:sz w:val="20"/>
                <w:szCs w:val="20"/>
              </w:rPr>
              <w:t xml:space="preserve">Information System Monitoring (SI-4). </w:t>
            </w:r>
            <w:r w:rsidRPr="00ED3B49">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B00175" w:rsidRPr="00B02653" w:rsidRDefault="00B00175" w:rsidP="00B00175">
      <w:r w:rsidRPr="00B02653">
        <w:rPr>
          <w:rFonts w:ascii="Times New Roman" w:hAnsi="Times New Roman" w:cs="Times New Roman"/>
          <w:b/>
          <w:sz w:val="24"/>
          <w:szCs w:val="24"/>
        </w:rPr>
        <w:t xml:space="preserve">This page is a supplement for </w:t>
      </w:r>
      <w:r>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NOAA4600</w:t>
      </w:r>
      <w:r w:rsidR="00C955F9">
        <w:rPr>
          <w:rFonts w:ascii="Times New Roman" w:hAnsi="Times New Roman" w:cs="Times New Roman"/>
          <w:b/>
          <w:sz w:val="24"/>
          <w:szCs w:val="24"/>
        </w:rPr>
        <w:t>, NMFS Seattle WA Local Area Network</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p>
    <w:p w:rsidR="00D73F52" w:rsidRPr="00B02653" w:rsidRDefault="00D73F52" w:rsidP="00D73F52">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108" w:type="dxa"/>
        <w:tblLook w:val="04A0" w:firstRow="1" w:lastRow="0" w:firstColumn="1" w:lastColumn="0" w:noHBand="0" w:noVBand="1"/>
      </w:tblPr>
      <w:tblGrid>
        <w:gridCol w:w="2340"/>
        <w:gridCol w:w="7128"/>
      </w:tblGrid>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pStyle w:val="Default"/>
              <w:rPr>
                <w:sz w:val="20"/>
                <w:szCs w:val="20"/>
              </w:rPr>
            </w:pPr>
            <w:r w:rsidRPr="00B02653">
              <w:rPr>
                <w:b/>
                <w:sz w:val="20"/>
                <w:szCs w:val="20"/>
              </w:rPr>
              <w:t>Access Enforcement (AC-3)</w:t>
            </w:r>
            <w:r w:rsidRPr="00B02653">
              <w:rPr>
                <w:sz w:val="20"/>
                <w:szCs w:val="20"/>
              </w:rPr>
              <w:t xml:space="preserve">.  Organizations can control access to PII through access control policies and access enforcement mechanisms (e.g., access control lists).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Separation of Duties (AC-5). </w:t>
            </w:r>
            <w:r w:rsidRPr="00B02653">
              <w:rPr>
                <w:rFonts w:ascii="Times New Roman" w:hAnsi="Times New Roman" w:cs="Times New Roman"/>
                <w:color w:val="000000"/>
                <w:sz w:val="20"/>
                <w:szCs w:val="20"/>
              </w:rPr>
              <w:t xml:space="preserve">Organizations can enforce separation of duties for duties involving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Least Privilege (AC-6). </w:t>
            </w:r>
            <w:r w:rsidRPr="00B02653">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Remote Access (AC-17). </w:t>
            </w:r>
            <w:r w:rsidRPr="00B02653">
              <w:rPr>
                <w:rFonts w:ascii="Times New Roman" w:hAnsi="Times New Roman" w:cs="Times New Roman"/>
                <w:color w:val="000000"/>
                <w:sz w:val="20"/>
                <w:szCs w:val="20"/>
              </w:rPr>
              <w:t xml:space="preserve">Organizations can choose to prohibit or strictly limit remote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i/>
                <w:sz w:val="20"/>
                <w:szCs w:val="20"/>
              </w:rPr>
            </w:pPr>
            <w:r w:rsidRPr="00B02653">
              <w:rPr>
                <w:rFonts w:ascii="Times New Roman" w:hAnsi="Times New Roman" w:cs="Times New Roman"/>
                <w:sz w:val="20"/>
                <w:szCs w:val="20"/>
              </w:rPr>
              <w:t>In Place</w:t>
            </w:r>
          </w:p>
          <w:p w:rsidR="00D73F52" w:rsidRPr="00B02653" w:rsidRDefault="00D73F52" w:rsidP="00FD4E8A">
            <w:pPr>
              <w:tabs>
                <w:tab w:val="left" w:pos="540"/>
              </w:tabs>
              <w:rPr>
                <w:rFonts w:ascii="Times New Roman" w:hAnsi="Times New Roman" w:cs="Times New Roman"/>
                <w:sz w:val="20"/>
                <w:szCs w:val="20"/>
              </w:rPr>
            </w:pP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User-Based Collaboration and Information Sharing (AC-21). </w:t>
            </w:r>
            <w:r w:rsidRPr="00B02653">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D73F52" w:rsidRPr="00B02653" w:rsidRDefault="00D73F52" w:rsidP="00FD4E8A">
            <w:pPr>
              <w:tabs>
                <w:tab w:val="left" w:pos="540"/>
              </w:tabs>
              <w:rPr>
                <w:rFonts w:ascii="Times New Roman" w:hAnsi="Times New Roman" w:cs="Times New Roman"/>
                <w:sz w:val="20"/>
                <w:szCs w:val="20"/>
              </w:rPr>
            </w:pP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Access Control for Mobile Devices (AC-19). </w:t>
            </w:r>
            <w:r w:rsidRPr="00B02653">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Auditable Events (AU-2). </w:t>
            </w:r>
            <w:r w:rsidRPr="00B02653">
              <w:rPr>
                <w:rFonts w:ascii="Times New Roman" w:hAnsi="Times New Roman" w:cs="Times New Roman"/>
                <w:color w:val="000000"/>
                <w:sz w:val="20"/>
                <w:szCs w:val="20"/>
              </w:rPr>
              <w:t xml:space="preserve">Organizations can monitor events that affect the confidentiality of PII, such as unauthorized access to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Audit Review, Analysis, and Reporting (AU-6)</w:t>
            </w:r>
            <w:r w:rsidRPr="00B02653">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D73F52" w:rsidRPr="00B02653" w:rsidRDefault="00D73F52" w:rsidP="00FD4E8A">
            <w:pPr>
              <w:tabs>
                <w:tab w:val="left" w:pos="540"/>
              </w:tabs>
              <w:rPr>
                <w:rFonts w:ascii="Times New Roman" w:hAnsi="Times New Roman" w:cs="Times New Roman"/>
                <w:sz w:val="20"/>
                <w:szCs w:val="20"/>
              </w:rPr>
            </w:pP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Identification and Authentication (Organizational Users) (IA-2). </w:t>
            </w:r>
            <w:r w:rsidRPr="00B02653">
              <w:rPr>
                <w:rFonts w:ascii="Times New Roman" w:hAnsi="Times New Roman" w:cs="Times New Roman"/>
                <w:color w:val="000000"/>
                <w:sz w:val="20"/>
                <w:szCs w:val="20"/>
              </w:rPr>
              <w:t>Users can be uniquely identified and authenticated before accessing PII.</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Access (MP-2). </w:t>
            </w:r>
            <w:r w:rsidRPr="00B02653">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Marking (MP-3). </w:t>
            </w:r>
            <w:r w:rsidRPr="00B02653">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Storage (MP-4). </w:t>
            </w:r>
            <w:r w:rsidRPr="00B02653">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B00175" w:rsidP="00FD4E8A">
            <w:pPr>
              <w:tabs>
                <w:tab w:val="left" w:pos="540"/>
              </w:tabs>
              <w:rPr>
                <w:rFonts w:ascii="Times New Roman" w:hAnsi="Times New Roman" w:cs="Times New Roman"/>
                <w:sz w:val="20"/>
                <w:szCs w:val="20"/>
              </w:rPr>
            </w:pPr>
            <w:r>
              <w:rPr>
                <w:rFonts w:ascii="Times New Roman" w:hAnsi="Times New Roman" w:cs="Times New Roman"/>
                <w:sz w:val="20"/>
                <w:szCs w:val="20"/>
              </w:rPr>
              <w:t>In p</w:t>
            </w:r>
            <w:r w:rsidR="00D73F52" w:rsidRPr="00B02653">
              <w:rPr>
                <w:rFonts w:ascii="Times New Roman" w:hAnsi="Times New Roman" w:cs="Times New Roman"/>
                <w:sz w:val="20"/>
                <w:szCs w:val="20"/>
              </w:rPr>
              <w:t>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Transport (MP-5). </w:t>
            </w:r>
            <w:r w:rsidRPr="00B02653">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Sanitization (MP-6). </w:t>
            </w:r>
            <w:r w:rsidRPr="00B02653">
              <w:rPr>
                <w:rFonts w:ascii="Times New Roman" w:hAnsi="Times New Roman" w:cs="Times New Roman"/>
                <w:color w:val="000000"/>
                <w:sz w:val="20"/>
                <w:szCs w:val="20"/>
              </w:rPr>
              <w:t>Organizations can sanitize digital and non-digital media containing PII before it is disposed or released for reuse.</w:t>
            </w:r>
          </w:p>
        </w:tc>
      </w:tr>
      <w:tr w:rsidR="00D73F52" w:rsidRPr="00B02653" w:rsidTr="00B00175">
        <w:trPr>
          <w:trHeight w:val="485"/>
        </w:trPr>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Transmission Confidentiality (SC-9). </w:t>
            </w:r>
            <w:r w:rsidRPr="00B02653">
              <w:rPr>
                <w:rFonts w:ascii="Times New Roman" w:hAnsi="Times New Roman" w:cs="Times New Roman"/>
                <w:color w:val="000000"/>
                <w:sz w:val="20"/>
                <w:szCs w:val="20"/>
              </w:rPr>
              <w:t xml:space="preserve">Organizations can protect the confidentiality of transmitted PII.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354E7B" w:rsidP="00FD4E8A">
            <w:pPr>
              <w:tabs>
                <w:tab w:val="left" w:pos="540"/>
              </w:tabs>
              <w:rPr>
                <w:rFonts w:ascii="Times New Roman" w:hAnsi="Times New Roman" w:cs="Times New Roman"/>
                <w:sz w:val="20"/>
                <w:szCs w:val="20"/>
              </w:rPr>
            </w:pPr>
            <w:r>
              <w:rPr>
                <w:rFonts w:ascii="Times New Roman" w:hAnsi="Times New Roman" w:cs="Times New Roman"/>
                <w:sz w:val="20"/>
                <w:szCs w:val="20"/>
              </w:rPr>
              <w:t>In Place</w:t>
            </w: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Protection of Information at Rest (SC-28). </w:t>
            </w:r>
            <w:r w:rsidRPr="00B02653">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D73F52" w:rsidRPr="00B02653" w:rsidTr="00FD4E8A">
        <w:tc>
          <w:tcPr>
            <w:tcW w:w="2340" w:type="dxa"/>
          </w:tcPr>
          <w:p w:rsidR="00D73F52" w:rsidRPr="00B02653" w:rsidRDefault="00D73F52" w:rsidP="00FD4E8A">
            <w:pPr>
              <w:tabs>
                <w:tab w:val="left" w:pos="540"/>
              </w:tabs>
              <w:rPr>
                <w:rFonts w:ascii="Times New Roman" w:hAnsi="Times New Roman" w:cs="Times New Roman"/>
                <w:sz w:val="20"/>
                <w:szCs w:val="20"/>
              </w:rPr>
            </w:pPr>
          </w:p>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p w:rsidR="00D73F52" w:rsidRPr="00B02653" w:rsidRDefault="00D73F52" w:rsidP="00FD4E8A">
            <w:pPr>
              <w:tabs>
                <w:tab w:val="left" w:pos="540"/>
              </w:tabs>
              <w:rPr>
                <w:rFonts w:ascii="Times New Roman" w:hAnsi="Times New Roman" w:cs="Times New Roman"/>
                <w:sz w:val="20"/>
                <w:szCs w:val="20"/>
              </w:rPr>
            </w:pPr>
          </w:p>
        </w:tc>
        <w:tc>
          <w:tcPr>
            <w:tcW w:w="712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Information System Monitoring (SI-4). </w:t>
            </w:r>
            <w:r w:rsidRPr="00B02653">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C955F9" w:rsidRPr="00B02653" w:rsidRDefault="00C955F9" w:rsidP="00C955F9">
      <w:r w:rsidRPr="00B02653">
        <w:rPr>
          <w:rFonts w:ascii="Times New Roman" w:hAnsi="Times New Roman" w:cs="Times New Roman"/>
          <w:b/>
          <w:sz w:val="24"/>
          <w:szCs w:val="24"/>
        </w:rPr>
        <w:t xml:space="preserve">This page is a supplement for </w:t>
      </w:r>
      <w:r>
        <w:rPr>
          <w:rFonts w:ascii="Times New Roman" w:hAnsi="Times New Roman" w:cs="Times New Roman"/>
          <w:b/>
          <w:sz w:val="24"/>
          <w:szCs w:val="24"/>
        </w:rPr>
        <w:t>Section 6,</w:t>
      </w:r>
      <w:r w:rsidRPr="00B02653">
        <w:rPr>
          <w:rFonts w:ascii="Times New Roman" w:hAnsi="Times New Roman" w:cs="Times New Roman"/>
          <w:b/>
          <w:sz w:val="24"/>
          <w:szCs w:val="24"/>
        </w:rPr>
        <w:t xml:space="preserve"> Technological Controls.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  </w:t>
      </w:r>
    </w:p>
    <w:p w:rsidR="00D73F52" w:rsidRDefault="00D73F52" w:rsidP="00D73F52">
      <w:pPr>
        <w:tabs>
          <w:tab w:val="left" w:pos="540"/>
        </w:tabs>
        <w:spacing w:after="0"/>
        <w:ind w:left="540" w:hanging="540"/>
        <w:jc w:val="center"/>
        <w:rPr>
          <w:rFonts w:ascii="Times New Roman" w:hAnsi="Times New Roman" w:cs="Times New Roman"/>
          <w:b/>
          <w:sz w:val="24"/>
          <w:szCs w:val="24"/>
        </w:rPr>
      </w:pPr>
      <w:r w:rsidRPr="00B02653">
        <w:rPr>
          <w:rFonts w:ascii="Times New Roman" w:hAnsi="Times New Roman" w:cs="Times New Roman"/>
          <w:b/>
          <w:sz w:val="24"/>
          <w:szCs w:val="24"/>
        </w:rPr>
        <w:t>Appendix A for NOAA4700</w:t>
      </w:r>
      <w:r w:rsidR="00C955F9">
        <w:rPr>
          <w:rFonts w:ascii="Times New Roman" w:hAnsi="Times New Roman" w:cs="Times New Roman"/>
          <w:b/>
          <w:sz w:val="24"/>
          <w:szCs w:val="24"/>
        </w:rPr>
        <w:t>, NMFS Juneau AK Local Area Network</w:t>
      </w:r>
    </w:p>
    <w:p w:rsidR="00AB0DA6" w:rsidRPr="006535A9" w:rsidRDefault="00AB0DA6" w:rsidP="00AB0DA6">
      <w:pPr>
        <w:tabs>
          <w:tab w:val="left" w:pos="540"/>
        </w:tabs>
        <w:spacing w:after="0"/>
        <w:ind w:left="540" w:hanging="540"/>
        <w:rPr>
          <w:rFonts w:ascii="Times New Roman" w:hAnsi="Times New Roman" w:cs="Times New Roman"/>
          <w:b/>
          <w:i/>
          <w:color w:val="000000" w:themeColor="text1"/>
        </w:rPr>
      </w:pPr>
      <w:r>
        <w:rPr>
          <w:rFonts w:ascii="Times New Roman" w:hAnsi="Times New Roman" w:cs="Times New Roman"/>
          <w:b/>
          <w:sz w:val="24"/>
          <w:szCs w:val="24"/>
        </w:rPr>
        <w:t xml:space="preserve">POA&amp;M for upgrade to moderate level, per FIPS 199 assessment: </w:t>
      </w:r>
      <w:r w:rsidRPr="00BA2DB5">
        <w:rPr>
          <w:rFonts w:ascii="Times New Roman" w:hAnsi="Times New Roman" w:cs="Times New Roman"/>
          <w:b/>
          <w:color w:val="000000" w:themeColor="text1"/>
        </w:rPr>
        <w:t>#</w:t>
      </w:r>
      <w:r>
        <w:rPr>
          <w:rFonts w:ascii="Times New Roman" w:hAnsi="Times New Roman" w:cs="Times New Roman"/>
          <w:b/>
          <w:color w:val="000000" w:themeColor="text1"/>
          <w:shd w:val="clear" w:color="auto" w:fill="FFFFFF"/>
        </w:rPr>
        <w:t xml:space="preserve">60583. </w:t>
      </w:r>
      <w:r>
        <w:rPr>
          <w:rStyle w:val="aqj"/>
          <w:rFonts w:ascii="Times New Roman" w:hAnsi="Times New Roman" w:cs="Times New Roman"/>
          <w:b/>
          <w:color w:val="000000" w:themeColor="text1"/>
          <w:shd w:val="clear" w:color="auto" w:fill="FFFFFF"/>
        </w:rPr>
        <w:t xml:space="preserve">Completion expected 1/1/2015. </w:t>
      </w:r>
      <w:r w:rsidRPr="006535A9">
        <w:rPr>
          <w:rStyle w:val="aqj"/>
          <w:rFonts w:ascii="Times New Roman" w:hAnsi="Times New Roman" w:cs="Times New Roman"/>
          <w:b/>
          <w:i/>
          <w:color w:val="000000" w:themeColor="text1"/>
          <w:shd w:val="clear" w:color="auto" w:fill="FFFFFF"/>
        </w:rPr>
        <w:t>But currently, all controls below are in place.</w:t>
      </w:r>
    </w:p>
    <w:p w:rsidR="00D73F52" w:rsidRPr="00B02653" w:rsidRDefault="00D73F52" w:rsidP="00D73F52">
      <w:pPr>
        <w:tabs>
          <w:tab w:val="left" w:pos="540"/>
        </w:tabs>
        <w:spacing w:after="0"/>
        <w:ind w:left="540" w:hanging="540"/>
        <w:jc w:val="center"/>
        <w:rPr>
          <w:rFonts w:ascii="Times New Roman" w:hAnsi="Times New Roman" w:cs="Times New Roman"/>
          <w:b/>
          <w:sz w:val="24"/>
          <w:szCs w:val="24"/>
        </w:rPr>
      </w:pPr>
    </w:p>
    <w:p w:rsidR="00D73F52" w:rsidRPr="00B02653" w:rsidRDefault="00D73F52" w:rsidP="00D73F52">
      <w:pPr>
        <w:tabs>
          <w:tab w:val="left" w:pos="540"/>
        </w:tabs>
        <w:spacing w:after="0"/>
        <w:ind w:left="540" w:hanging="540"/>
        <w:rPr>
          <w:rFonts w:ascii="Times New Roman" w:hAnsi="Times New Roman" w:cs="Times New Roman"/>
          <w:sz w:val="24"/>
          <w:szCs w:val="24"/>
        </w:rPr>
      </w:pPr>
      <w:r w:rsidRPr="00B02653">
        <w:rPr>
          <w:rFonts w:ascii="Times New Roman" w:hAnsi="Times New Roman" w:cs="Times New Roman"/>
          <w:sz w:val="24"/>
          <w:szCs w:val="24"/>
        </w:rPr>
        <w:t>In the first column, please complete as “in place”, “POAM ID # ____”, “NA” or “RA (Risk Accepted)</w:t>
      </w:r>
    </w:p>
    <w:tbl>
      <w:tblPr>
        <w:tblStyle w:val="TableGrid"/>
        <w:tblW w:w="0" w:type="auto"/>
        <w:tblInd w:w="-72" w:type="dxa"/>
        <w:tblLook w:val="04A0" w:firstRow="1" w:lastRow="0" w:firstColumn="1" w:lastColumn="0" w:noHBand="0" w:noVBand="1"/>
      </w:tblPr>
      <w:tblGrid>
        <w:gridCol w:w="1710"/>
        <w:gridCol w:w="7938"/>
      </w:tblGrid>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pStyle w:val="Default"/>
              <w:rPr>
                <w:sz w:val="20"/>
                <w:szCs w:val="20"/>
              </w:rPr>
            </w:pPr>
            <w:r w:rsidRPr="00B02653">
              <w:rPr>
                <w:b/>
                <w:sz w:val="20"/>
                <w:szCs w:val="20"/>
              </w:rPr>
              <w:t>Access Enforcement (AC-3)</w:t>
            </w:r>
            <w:r w:rsidRPr="00B02653">
              <w:rPr>
                <w:sz w:val="20"/>
                <w:szCs w:val="20"/>
              </w:rPr>
              <w:t xml:space="preserve">.  Organizations can control access to PII through access control policies and access enforcement mechanisms (e.g., access control lists).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Separation of Duties (AC-5). </w:t>
            </w:r>
            <w:r w:rsidRPr="00B02653">
              <w:rPr>
                <w:rFonts w:ascii="Times New Roman" w:hAnsi="Times New Roman" w:cs="Times New Roman"/>
                <w:color w:val="000000"/>
                <w:sz w:val="20"/>
                <w:szCs w:val="20"/>
              </w:rPr>
              <w:t xml:space="preserve">Organizations can enforce separation of duties for duties involving access to PII.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Least Privilege (AC-6). </w:t>
            </w:r>
            <w:r w:rsidRPr="00B02653">
              <w:rPr>
                <w:rFonts w:ascii="Times New Roman" w:hAnsi="Times New Roman" w:cs="Times New Roman"/>
                <w:color w:val="000000"/>
                <w:sz w:val="20"/>
                <w:szCs w:val="20"/>
              </w:rPr>
              <w:t xml:space="preserve">Organizations can enforce the most restrictive set of rights/privileges or accesses needed by users (or processes acting on behalf of users) for the performance of specified tasks.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Remote Access (AC-17). </w:t>
            </w:r>
            <w:r w:rsidRPr="00B02653">
              <w:rPr>
                <w:rFonts w:ascii="Times New Roman" w:hAnsi="Times New Roman" w:cs="Times New Roman"/>
                <w:color w:val="000000"/>
                <w:sz w:val="20"/>
                <w:szCs w:val="20"/>
              </w:rPr>
              <w:t xml:space="preserve">Organizations can choose to prohibit or strictly limit remote access to PII.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User-Based Collaboration and Information Sharing (AC-21). </w:t>
            </w:r>
            <w:r w:rsidRPr="00B02653">
              <w:rPr>
                <w:rFonts w:ascii="Times New Roman" w:hAnsi="Times New Roman" w:cs="Times New Roman"/>
                <w:color w:val="000000"/>
                <w:sz w:val="20"/>
                <w:szCs w:val="20"/>
              </w:rPr>
              <w:t xml:space="preserve">Organizations can provide automated mechanisms to assist users in determining whether access authorizations match access restrictions, such as contractually-based restrictions, for PII.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Access Control for Mobile Devices (AC-19). </w:t>
            </w:r>
            <w:r w:rsidRPr="00B02653">
              <w:rPr>
                <w:rFonts w:ascii="Times New Roman" w:hAnsi="Times New Roman" w:cs="Times New Roman"/>
                <w:color w:val="000000"/>
                <w:sz w:val="20"/>
                <w:szCs w:val="20"/>
              </w:rPr>
              <w:t xml:space="preserve">Organizations can choose to prohibit or strictly limit access to PII from portable and mobile devices, such as laptops, cell phones, and personal digital assistants (PDA), which are generally higher-risk than non-portable devices (e.g., desktop computers at the organization‘s facilities).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Auditable Events (AU-2). </w:t>
            </w:r>
            <w:r w:rsidRPr="00B02653">
              <w:rPr>
                <w:rFonts w:ascii="Times New Roman" w:hAnsi="Times New Roman" w:cs="Times New Roman"/>
                <w:color w:val="000000"/>
                <w:sz w:val="20"/>
                <w:szCs w:val="20"/>
              </w:rPr>
              <w:t xml:space="preserve">Organizations can monitor events that affect the confidentiality of PII, such as unauthorized access to PII.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Audit Review, Analysis, and Reporting (AU-6)</w:t>
            </w:r>
            <w:r w:rsidRPr="00B02653">
              <w:rPr>
                <w:rFonts w:ascii="Times New Roman" w:hAnsi="Times New Roman" w:cs="Times New Roman"/>
                <w:color w:val="000000"/>
                <w:sz w:val="20"/>
                <w:szCs w:val="20"/>
              </w:rPr>
              <w:t xml:space="preserve">. Organizations can regularly review and analyze information system audit records for indications of inappropriate or unusual activity affecting PII, investigate suspicious activity or suspected violations, report findings to appropriate officials, and take necessary actions.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Identification and Authentication (Organizational Users) (IA-2). </w:t>
            </w:r>
            <w:r w:rsidRPr="00B02653">
              <w:rPr>
                <w:rFonts w:ascii="Times New Roman" w:hAnsi="Times New Roman" w:cs="Times New Roman"/>
                <w:color w:val="000000"/>
                <w:sz w:val="20"/>
                <w:szCs w:val="20"/>
              </w:rPr>
              <w:t>Users can be uniquely identified and authenticated before accessing PII.</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Access (MP-2). </w:t>
            </w:r>
            <w:r w:rsidRPr="00B02653">
              <w:rPr>
                <w:rFonts w:ascii="Times New Roman" w:hAnsi="Times New Roman" w:cs="Times New Roman"/>
                <w:color w:val="000000"/>
                <w:sz w:val="20"/>
                <w:szCs w:val="20"/>
              </w:rPr>
              <w:t xml:space="preserve">Organizations can restrict access to information system media containing PII, including digital media (e.g., CDs, USB flash drives, backup tapes) and non-digital media (e.g., paper, microfilm).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Partially</w:t>
            </w:r>
            <w:r w:rsidR="0009370E">
              <w:rPr>
                <w:rFonts w:ascii="Times New Roman" w:hAnsi="Times New Roman" w:cs="Times New Roman"/>
                <w:sz w:val="20"/>
                <w:szCs w:val="20"/>
              </w:rPr>
              <w:t>*</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Marking (MP-3). </w:t>
            </w:r>
            <w:r w:rsidRPr="00B02653">
              <w:rPr>
                <w:rFonts w:ascii="Times New Roman" w:hAnsi="Times New Roman" w:cs="Times New Roman"/>
                <w:color w:val="000000"/>
                <w:sz w:val="20"/>
                <w:szCs w:val="20"/>
              </w:rPr>
              <w:t xml:space="preserve">Organizations can label information system media and output containing PII to indicate how it should be distributed and handled. </w:t>
            </w:r>
          </w:p>
        </w:tc>
      </w:tr>
      <w:tr w:rsidR="00D73F52" w:rsidRPr="00B02653" w:rsidTr="00C955F9">
        <w:trPr>
          <w:trHeight w:val="800"/>
        </w:trPr>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Storage (MP-4). </w:t>
            </w:r>
            <w:r w:rsidRPr="00B02653">
              <w:rPr>
                <w:rFonts w:ascii="Times New Roman" w:hAnsi="Times New Roman" w:cs="Times New Roman"/>
                <w:color w:val="000000"/>
                <w:sz w:val="20"/>
                <w:szCs w:val="20"/>
              </w:rPr>
              <w:t xml:space="preserve">Organizations can securely store PII, both in paper and digital forms, until the media are destroyed or sanitized using approved equipment, techniques, and procedures.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Transport (MP-5). </w:t>
            </w:r>
            <w:r w:rsidRPr="00B02653">
              <w:rPr>
                <w:rFonts w:ascii="Times New Roman" w:hAnsi="Times New Roman" w:cs="Times New Roman"/>
                <w:color w:val="000000"/>
                <w:sz w:val="20"/>
                <w:szCs w:val="20"/>
              </w:rPr>
              <w:t xml:space="preserve">Organizations can protect digital and non-digital media and mobile devices containing PII that is transported outside the organization‘s controlled areas.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Media Sanitization (MP-6). </w:t>
            </w:r>
            <w:r w:rsidRPr="00B02653">
              <w:rPr>
                <w:rFonts w:ascii="Times New Roman" w:hAnsi="Times New Roman" w:cs="Times New Roman"/>
                <w:color w:val="000000"/>
                <w:sz w:val="20"/>
                <w:szCs w:val="20"/>
              </w:rPr>
              <w:t>Organizations can sanitize digital and non-digital media containing PII before it is disposed or released for reuse.</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Transmission Confidentiality (SC-9). </w:t>
            </w:r>
            <w:r w:rsidRPr="00B02653">
              <w:rPr>
                <w:rFonts w:ascii="Times New Roman" w:hAnsi="Times New Roman" w:cs="Times New Roman"/>
                <w:color w:val="000000"/>
                <w:sz w:val="20"/>
                <w:szCs w:val="20"/>
              </w:rPr>
              <w:t xml:space="preserve">Organizations can protect the confidentiality of transmitted PII.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Protection of Information at Rest (SC-28). </w:t>
            </w:r>
            <w:r w:rsidRPr="00B02653">
              <w:rPr>
                <w:rFonts w:ascii="Times New Roman" w:hAnsi="Times New Roman" w:cs="Times New Roman"/>
                <w:color w:val="000000"/>
                <w:sz w:val="20"/>
                <w:szCs w:val="20"/>
              </w:rPr>
              <w:t xml:space="preserve">Organizations can protect the confidentiality of PII at rest, which refers to information stored on a secondary storage device, such as a hard drive or backup tape. </w:t>
            </w:r>
          </w:p>
        </w:tc>
      </w:tr>
      <w:tr w:rsidR="00D73F52" w:rsidRPr="00B02653" w:rsidTr="00C955F9">
        <w:tc>
          <w:tcPr>
            <w:tcW w:w="1710" w:type="dxa"/>
          </w:tcPr>
          <w:p w:rsidR="00D73F52" w:rsidRPr="00B02653" w:rsidRDefault="00D73F52" w:rsidP="00FD4E8A">
            <w:pPr>
              <w:tabs>
                <w:tab w:val="left" w:pos="540"/>
              </w:tabs>
              <w:rPr>
                <w:rFonts w:ascii="Times New Roman" w:hAnsi="Times New Roman" w:cs="Times New Roman"/>
                <w:sz w:val="20"/>
                <w:szCs w:val="20"/>
              </w:rPr>
            </w:pPr>
            <w:r w:rsidRPr="00B02653">
              <w:rPr>
                <w:rFonts w:ascii="Times New Roman" w:hAnsi="Times New Roman" w:cs="Times New Roman"/>
                <w:sz w:val="20"/>
                <w:szCs w:val="20"/>
              </w:rPr>
              <w:t>In Place</w:t>
            </w:r>
          </w:p>
        </w:tc>
        <w:tc>
          <w:tcPr>
            <w:tcW w:w="7938" w:type="dxa"/>
          </w:tcPr>
          <w:p w:rsidR="00D73F52" w:rsidRPr="00B02653" w:rsidRDefault="00D73F52" w:rsidP="00FD4E8A">
            <w:pPr>
              <w:autoSpaceDE w:val="0"/>
              <w:autoSpaceDN w:val="0"/>
              <w:adjustRightInd w:val="0"/>
              <w:rPr>
                <w:rFonts w:ascii="Times New Roman" w:hAnsi="Times New Roman" w:cs="Times New Roman"/>
                <w:color w:val="000000"/>
                <w:sz w:val="20"/>
                <w:szCs w:val="20"/>
              </w:rPr>
            </w:pPr>
            <w:r w:rsidRPr="00B02653">
              <w:rPr>
                <w:rFonts w:ascii="Times New Roman" w:hAnsi="Times New Roman" w:cs="Times New Roman"/>
                <w:b/>
                <w:bCs/>
                <w:color w:val="000000"/>
                <w:sz w:val="20"/>
                <w:szCs w:val="20"/>
              </w:rPr>
              <w:t xml:space="preserve">Information System Monitoring (SI-4). </w:t>
            </w:r>
            <w:r w:rsidRPr="00B02653">
              <w:rPr>
                <w:rFonts w:ascii="Times New Roman" w:hAnsi="Times New Roman" w:cs="Times New Roman"/>
                <w:color w:val="000000"/>
                <w:sz w:val="20"/>
                <w:szCs w:val="20"/>
              </w:rPr>
              <w:t xml:space="preserve">Organizations can employ automated tools to monitor PII internally or at network boundaries for unusual or suspicious transfers or events. </w:t>
            </w:r>
          </w:p>
        </w:tc>
      </w:tr>
    </w:tbl>
    <w:p w:rsidR="0009370E" w:rsidRPr="0009370E" w:rsidRDefault="0009370E">
      <w:pPr>
        <w:rPr>
          <w:rFonts w:ascii="Times New Roman" w:hAnsi="Times New Roman" w:cs="Times New Roman"/>
          <w:b/>
          <w:sz w:val="24"/>
          <w:szCs w:val="24"/>
        </w:rPr>
      </w:pPr>
      <w:r>
        <w:rPr>
          <w:rFonts w:ascii="Times New Roman" w:hAnsi="Times New Roman" w:cs="Times New Roman"/>
          <w:b/>
          <w:sz w:val="24"/>
          <w:szCs w:val="24"/>
        </w:rPr>
        <w:t>*</w:t>
      </w:r>
      <w:r w:rsidRPr="0009370E">
        <w:rPr>
          <w:rFonts w:ascii="Times New Roman" w:hAnsi="Times New Roman" w:cs="Times New Roman"/>
          <w:color w:val="000000"/>
          <w:sz w:val="20"/>
          <w:szCs w:val="20"/>
          <w:shd w:val="clear" w:color="auto" w:fill="DFE0E8"/>
        </w:rPr>
        <w:t xml:space="preserve">NOAA4700 Rules of Behavior prohibit the transfer </w:t>
      </w:r>
      <w:proofErr w:type="gramStart"/>
      <w:r w:rsidRPr="0009370E">
        <w:rPr>
          <w:rFonts w:ascii="Times New Roman" w:hAnsi="Times New Roman" w:cs="Times New Roman"/>
          <w:color w:val="000000"/>
          <w:sz w:val="20"/>
          <w:szCs w:val="20"/>
          <w:shd w:val="clear" w:color="auto" w:fill="DFE0E8"/>
        </w:rPr>
        <w:t>of  PII</w:t>
      </w:r>
      <w:proofErr w:type="gramEnd"/>
      <w:r w:rsidRPr="0009370E">
        <w:rPr>
          <w:rFonts w:ascii="Times New Roman" w:hAnsi="Times New Roman" w:cs="Times New Roman"/>
          <w:color w:val="000000"/>
          <w:sz w:val="20"/>
          <w:szCs w:val="20"/>
          <w:shd w:val="clear" w:color="auto" w:fill="DFE0E8"/>
        </w:rPr>
        <w:t xml:space="preserve"> or sensitive material to removable media this negates the need for media labeling of removable devices. NOAA4700 Media and Physical Protection Policy </w:t>
      </w:r>
      <w:proofErr w:type="gramStart"/>
      <w:r w:rsidRPr="0009370E">
        <w:rPr>
          <w:rFonts w:ascii="Times New Roman" w:hAnsi="Times New Roman" w:cs="Times New Roman"/>
          <w:color w:val="000000"/>
          <w:sz w:val="20"/>
          <w:szCs w:val="20"/>
          <w:shd w:val="clear" w:color="auto" w:fill="DFE0E8"/>
        </w:rPr>
        <w:t>requires</w:t>
      </w:r>
      <w:proofErr w:type="gramEnd"/>
      <w:r w:rsidRPr="0009370E">
        <w:rPr>
          <w:rFonts w:ascii="Times New Roman" w:hAnsi="Times New Roman" w:cs="Times New Roman"/>
          <w:color w:val="000000"/>
          <w:sz w:val="20"/>
          <w:szCs w:val="20"/>
          <w:shd w:val="clear" w:color="auto" w:fill="DFE0E8"/>
        </w:rPr>
        <w:t xml:space="preserve"> any Hard Disk Drive to be destroyed by proper methods prior to being disposed of or transferred outside of an AKR controlled environment. NOAA4700 Media and Physical Protection also </w:t>
      </w:r>
      <w:proofErr w:type="gramStart"/>
      <w:r w:rsidRPr="0009370E">
        <w:rPr>
          <w:rFonts w:ascii="Times New Roman" w:hAnsi="Times New Roman" w:cs="Times New Roman"/>
          <w:color w:val="000000"/>
          <w:sz w:val="20"/>
          <w:szCs w:val="20"/>
          <w:shd w:val="clear" w:color="auto" w:fill="DFE0E8"/>
        </w:rPr>
        <w:t>mandates</w:t>
      </w:r>
      <w:proofErr w:type="gramEnd"/>
      <w:r w:rsidRPr="0009370E">
        <w:rPr>
          <w:rFonts w:ascii="Times New Roman" w:hAnsi="Times New Roman" w:cs="Times New Roman"/>
          <w:color w:val="000000"/>
          <w:sz w:val="20"/>
          <w:szCs w:val="20"/>
          <w:shd w:val="clear" w:color="auto" w:fill="DFE0E8"/>
        </w:rPr>
        <w:t xml:space="preserve"> that any HDD used on a device containing PII be labelled and only used on devices containing PII if they are going to be reused.</w:t>
      </w:r>
      <w:r w:rsidRPr="0009370E">
        <w:rPr>
          <w:rFonts w:ascii="Times New Roman" w:hAnsi="Times New Roman" w:cs="Times New Roman"/>
          <w:color w:val="000000"/>
          <w:sz w:val="20"/>
          <w:szCs w:val="20"/>
          <w:shd w:val="clear" w:color="auto" w:fill="FFFFFF"/>
        </w:rPr>
        <w:br/>
      </w:r>
      <w:r w:rsidRPr="0009370E">
        <w:rPr>
          <w:rFonts w:ascii="Times New Roman" w:hAnsi="Times New Roman" w:cs="Times New Roman"/>
          <w:color w:val="000000"/>
          <w:sz w:val="20"/>
          <w:szCs w:val="20"/>
          <w:shd w:val="clear" w:color="auto" w:fill="FFFFFF"/>
        </w:rPr>
        <w:br/>
      </w:r>
      <w:r w:rsidRPr="0009370E">
        <w:rPr>
          <w:rFonts w:ascii="Times New Roman" w:hAnsi="Times New Roman" w:cs="Times New Roman"/>
          <w:color w:val="000000"/>
          <w:sz w:val="20"/>
          <w:szCs w:val="20"/>
          <w:shd w:val="clear" w:color="auto" w:fill="DFE0E8"/>
        </w:rPr>
        <w:t>NOAA4700 reports server creates a warning banner that transfers to the display or printed version of any reports containing PII from the Oracle Database.</w:t>
      </w:r>
    </w:p>
    <w:p w:rsidR="00FE68F3" w:rsidRDefault="00D73F52">
      <w:pPr>
        <w:rPr>
          <w:rFonts w:ascii="Times New Roman" w:hAnsi="Times New Roman" w:cs="Times New Roman"/>
          <w:sz w:val="24"/>
          <w:szCs w:val="24"/>
        </w:rPr>
      </w:pPr>
      <w:r w:rsidRPr="00B02653">
        <w:rPr>
          <w:rFonts w:ascii="Times New Roman" w:hAnsi="Times New Roman" w:cs="Times New Roman"/>
          <w:b/>
          <w:sz w:val="24"/>
          <w:szCs w:val="24"/>
        </w:rPr>
        <w:t>This page is a supplement for</w:t>
      </w:r>
      <w:r w:rsidR="00C955F9">
        <w:rPr>
          <w:rFonts w:ascii="Times New Roman" w:hAnsi="Times New Roman" w:cs="Times New Roman"/>
          <w:b/>
          <w:sz w:val="24"/>
          <w:szCs w:val="24"/>
        </w:rPr>
        <w:t xml:space="preserve"> Section 6.</w:t>
      </w:r>
      <w:r w:rsidRPr="00B02653">
        <w:rPr>
          <w:rFonts w:ascii="Times New Roman" w:hAnsi="Times New Roman" w:cs="Times New Roman"/>
          <w:b/>
          <w:sz w:val="24"/>
          <w:szCs w:val="24"/>
        </w:rPr>
        <w:t xml:space="preserve">  Upon final approval, this page </w:t>
      </w:r>
      <w:r w:rsidRPr="00B02653">
        <w:rPr>
          <w:rFonts w:ascii="Times New Roman" w:hAnsi="Times New Roman" w:cs="Times New Roman"/>
          <w:b/>
          <w:sz w:val="24"/>
          <w:szCs w:val="24"/>
          <w:u w:val="single"/>
        </w:rPr>
        <w:t>must</w:t>
      </w:r>
      <w:r w:rsidRPr="00B02653">
        <w:rPr>
          <w:rFonts w:ascii="Times New Roman" w:hAnsi="Times New Roman" w:cs="Times New Roman"/>
          <w:b/>
          <w:sz w:val="24"/>
          <w:szCs w:val="24"/>
        </w:rPr>
        <w:t xml:space="preserve"> be removed prior to publication of the PIA.</w:t>
      </w:r>
      <w:r w:rsidR="00375A7A">
        <w:rPr>
          <w:rFonts w:ascii="Times New Roman" w:hAnsi="Times New Roman" w:cs="Times New Roman"/>
          <w:b/>
          <w:sz w:val="24"/>
          <w:szCs w:val="24"/>
        </w:rPr>
        <w:t xml:space="preserve">    </w:t>
      </w:r>
    </w:p>
    <w:sectPr w:rsidR="00FE68F3" w:rsidSect="00F50A39">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82" w:rsidRDefault="000C6D82" w:rsidP="00A77866">
      <w:pPr>
        <w:spacing w:after="0" w:line="240" w:lineRule="auto"/>
      </w:pPr>
      <w:r>
        <w:separator/>
      </w:r>
    </w:p>
  </w:endnote>
  <w:endnote w:type="continuationSeparator" w:id="0">
    <w:p w:rsidR="000C6D82" w:rsidRDefault="000C6D82" w:rsidP="00A77866">
      <w:pPr>
        <w:spacing w:after="0" w:line="240" w:lineRule="auto"/>
      </w:pPr>
      <w:r>
        <w:continuationSeparator/>
      </w:r>
    </w:p>
  </w:endnote>
  <w:endnote w:type="continuationNotice" w:id="1">
    <w:p w:rsidR="000C6D82" w:rsidRDefault="000C6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PBOD J+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1068"/>
      <w:docPartObj>
        <w:docPartGallery w:val="Page Numbers (Bottom of Page)"/>
        <w:docPartUnique/>
      </w:docPartObj>
    </w:sdtPr>
    <w:sdtEndPr/>
    <w:sdtContent>
      <w:p w:rsidR="000C6D82" w:rsidRDefault="00F143B2">
        <w:pPr>
          <w:pStyle w:val="Footer"/>
          <w:jc w:val="center"/>
        </w:pPr>
      </w:p>
    </w:sdtContent>
  </w:sdt>
  <w:p w:rsidR="000C6D82" w:rsidRDefault="000C6D82" w:rsidP="00F50A3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1067"/>
      <w:docPartObj>
        <w:docPartGallery w:val="Page Numbers (Bottom of Page)"/>
        <w:docPartUnique/>
      </w:docPartObj>
    </w:sdtPr>
    <w:sdtEndPr/>
    <w:sdtContent>
      <w:p w:rsidR="000C6D82" w:rsidRDefault="000C6D82">
        <w:pPr>
          <w:pStyle w:val="Footer"/>
          <w:jc w:val="center"/>
        </w:pPr>
        <w:r>
          <w:fldChar w:fldCharType="begin"/>
        </w:r>
        <w:r>
          <w:instrText xml:space="preserve"> PAGE   \* MERGEFORMAT </w:instrText>
        </w:r>
        <w:r>
          <w:fldChar w:fldCharType="separate"/>
        </w:r>
        <w:r w:rsidR="00F143B2">
          <w:rPr>
            <w:noProof/>
          </w:rPr>
          <w:t>10</w:t>
        </w:r>
        <w:r>
          <w:rPr>
            <w:noProof/>
          </w:rPr>
          <w:fldChar w:fldCharType="end"/>
        </w:r>
      </w:p>
    </w:sdtContent>
  </w:sdt>
  <w:p w:rsidR="000C6D82" w:rsidRDefault="000C6D82" w:rsidP="00F50A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82" w:rsidRDefault="000C6D82" w:rsidP="00A77866">
      <w:pPr>
        <w:spacing w:after="0" w:line="240" w:lineRule="auto"/>
      </w:pPr>
      <w:r>
        <w:separator/>
      </w:r>
    </w:p>
  </w:footnote>
  <w:footnote w:type="continuationSeparator" w:id="0">
    <w:p w:rsidR="000C6D82" w:rsidRDefault="000C6D82" w:rsidP="00A77866">
      <w:pPr>
        <w:spacing w:after="0" w:line="240" w:lineRule="auto"/>
      </w:pPr>
      <w:r>
        <w:continuationSeparator/>
      </w:r>
    </w:p>
  </w:footnote>
  <w:footnote w:type="continuationNotice" w:id="1">
    <w:p w:rsidR="000C6D82" w:rsidRDefault="000C6D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82" w:rsidRDefault="000C6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10"/>
    <w:multiLevelType w:val="hybridMultilevel"/>
    <w:tmpl w:val="45F07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4EE6"/>
    <w:multiLevelType w:val="hybridMultilevel"/>
    <w:tmpl w:val="60D68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530B2"/>
    <w:multiLevelType w:val="hybridMultilevel"/>
    <w:tmpl w:val="8EBC5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75CEA"/>
    <w:multiLevelType w:val="hybridMultilevel"/>
    <w:tmpl w:val="D0641BFE"/>
    <w:lvl w:ilvl="0" w:tplc="E6F03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91D81"/>
    <w:multiLevelType w:val="hybridMultilevel"/>
    <w:tmpl w:val="0BECA3DA"/>
    <w:lvl w:ilvl="0" w:tplc="A1409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20996"/>
    <w:multiLevelType w:val="multilevel"/>
    <w:tmpl w:val="355A19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D28027C"/>
    <w:multiLevelType w:val="hybridMultilevel"/>
    <w:tmpl w:val="E27E8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047A5"/>
    <w:multiLevelType w:val="hybridMultilevel"/>
    <w:tmpl w:val="2BDC25CC"/>
    <w:lvl w:ilvl="0" w:tplc="37787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DA1A63"/>
    <w:multiLevelType w:val="hybridMultilevel"/>
    <w:tmpl w:val="D4A8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3"/>
  </w:num>
  <w:num w:numId="5">
    <w:abstractNumId w:val="6"/>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AB"/>
    <w:rsid w:val="00017C80"/>
    <w:rsid w:val="00022A58"/>
    <w:rsid w:val="00032B13"/>
    <w:rsid w:val="000401CD"/>
    <w:rsid w:val="000438AA"/>
    <w:rsid w:val="0004658B"/>
    <w:rsid w:val="00073B93"/>
    <w:rsid w:val="00075D2B"/>
    <w:rsid w:val="0008036C"/>
    <w:rsid w:val="000807B4"/>
    <w:rsid w:val="00080837"/>
    <w:rsid w:val="000912CB"/>
    <w:rsid w:val="0009370E"/>
    <w:rsid w:val="00093AD6"/>
    <w:rsid w:val="000B162E"/>
    <w:rsid w:val="000B3901"/>
    <w:rsid w:val="000B419D"/>
    <w:rsid w:val="000C6D82"/>
    <w:rsid w:val="000E0039"/>
    <w:rsid w:val="000E1419"/>
    <w:rsid w:val="000E3AF6"/>
    <w:rsid w:val="000F269D"/>
    <w:rsid w:val="000F667A"/>
    <w:rsid w:val="000F7700"/>
    <w:rsid w:val="00117C9C"/>
    <w:rsid w:val="001204B5"/>
    <w:rsid w:val="0012307B"/>
    <w:rsid w:val="00123DD4"/>
    <w:rsid w:val="00146A3F"/>
    <w:rsid w:val="00153157"/>
    <w:rsid w:val="00156CFC"/>
    <w:rsid w:val="00167EE8"/>
    <w:rsid w:val="001726CD"/>
    <w:rsid w:val="0018396D"/>
    <w:rsid w:val="00192AEA"/>
    <w:rsid w:val="0019715A"/>
    <w:rsid w:val="001A2924"/>
    <w:rsid w:val="001A45B3"/>
    <w:rsid w:val="001B16EB"/>
    <w:rsid w:val="001B38C2"/>
    <w:rsid w:val="001C02E0"/>
    <w:rsid w:val="001F326C"/>
    <w:rsid w:val="001F7A6D"/>
    <w:rsid w:val="00221A56"/>
    <w:rsid w:val="002459EE"/>
    <w:rsid w:val="00260561"/>
    <w:rsid w:val="00270CDE"/>
    <w:rsid w:val="00273B98"/>
    <w:rsid w:val="00275E0B"/>
    <w:rsid w:val="002840B2"/>
    <w:rsid w:val="002B5089"/>
    <w:rsid w:val="002C181B"/>
    <w:rsid w:val="002D2441"/>
    <w:rsid w:val="002E3283"/>
    <w:rsid w:val="002E6ADE"/>
    <w:rsid w:val="00326D56"/>
    <w:rsid w:val="00327CC6"/>
    <w:rsid w:val="00333839"/>
    <w:rsid w:val="00335695"/>
    <w:rsid w:val="00341AE3"/>
    <w:rsid w:val="0034360F"/>
    <w:rsid w:val="00345DB0"/>
    <w:rsid w:val="00352856"/>
    <w:rsid w:val="00354E7B"/>
    <w:rsid w:val="003664BD"/>
    <w:rsid w:val="00367D6B"/>
    <w:rsid w:val="00375A7A"/>
    <w:rsid w:val="00381914"/>
    <w:rsid w:val="0038709C"/>
    <w:rsid w:val="00390F01"/>
    <w:rsid w:val="003B2923"/>
    <w:rsid w:val="003B6C86"/>
    <w:rsid w:val="003E6B42"/>
    <w:rsid w:val="00415863"/>
    <w:rsid w:val="004204BF"/>
    <w:rsid w:val="00426AE7"/>
    <w:rsid w:val="004345C8"/>
    <w:rsid w:val="0044194B"/>
    <w:rsid w:val="00446AC0"/>
    <w:rsid w:val="00456FEC"/>
    <w:rsid w:val="00460306"/>
    <w:rsid w:val="00464AAC"/>
    <w:rsid w:val="00466338"/>
    <w:rsid w:val="0047051D"/>
    <w:rsid w:val="00471AC1"/>
    <w:rsid w:val="004761E1"/>
    <w:rsid w:val="00476888"/>
    <w:rsid w:val="0048260A"/>
    <w:rsid w:val="004867F8"/>
    <w:rsid w:val="0049296A"/>
    <w:rsid w:val="004A3805"/>
    <w:rsid w:val="004B2155"/>
    <w:rsid w:val="004B3BD9"/>
    <w:rsid w:val="004C6CE2"/>
    <w:rsid w:val="004E5C9B"/>
    <w:rsid w:val="00512B2C"/>
    <w:rsid w:val="00516E18"/>
    <w:rsid w:val="00531570"/>
    <w:rsid w:val="00547547"/>
    <w:rsid w:val="005602D5"/>
    <w:rsid w:val="005906FD"/>
    <w:rsid w:val="00596827"/>
    <w:rsid w:val="005A036E"/>
    <w:rsid w:val="005A1B2C"/>
    <w:rsid w:val="005A3C76"/>
    <w:rsid w:val="005C3D57"/>
    <w:rsid w:val="005D5697"/>
    <w:rsid w:val="00602998"/>
    <w:rsid w:val="00605A12"/>
    <w:rsid w:val="00607619"/>
    <w:rsid w:val="00620644"/>
    <w:rsid w:val="006379C8"/>
    <w:rsid w:val="006639C6"/>
    <w:rsid w:val="00676F73"/>
    <w:rsid w:val="006874FC"/>
    <w:rsid w:val="00694C32"/>
    <w:rsid w:val="00694E76"/>
    <w:rsid w:val="0069644F"/>
    <w:rsid w:val="006A6A6B"/>
    <w:rsid w:val="006B2165"/>
    <w:rsid w:val="006C59B8"/>
    <w:rsid w:val="006C6C9A"/>
    <w:rsid w:val="006C713E"/>
    <w:rsid w:val="006D5251"/>
    <w:rsid w:val="006E26F4"/>
    <w:rsid w:val="006E2841"/>
    <w:rsid w:val="006E4D98"/>
    <w:rsid w:val="006F3645"/>
    <w:rsid w:val="00700219"/>
    <w:rsid w:val="00700304"/>
    <w:rsid w:val="0070206D"/>
    <w:rsid w:val="007048FB"/>
    <w:rsid w:val="00721068"/>
    <w:rsid w:val="007226D1"/>
    <w:rsid w:val="007265B6"/>
    <w:rsid w:val="00736301"/>
    <w:rsid w:val="00745276"/>
    <w:rsid w:val="007506B5"/>
    <w:rsid w:val="00750EB0"/>
    <w:rsid w:val="00763853"/>
    <w:rsid w:val="0076724B"/>
    <w:rsid w:val="0077429A"/>
    <w:rsid w:val="0078125F"/>
    <w:rsid w:val="007820D8"/>
    <w:rsid w:val="00783051"/>
    <w:rsid w:val="00797248"/>
    <w:rsid w:val="007A6AA3"/>
    <w:rsid w:val="007B6E3C"/>
    <w:rsid w:val="007D66B3"/>
    <w:rsid w:val="007E08B7"/>
    <w:rsid w:val="007E1803"/>
    <w:rsid w:val="007E4157"/>
    <w:rsid w:val="007F6901"/>
    <w:rsid w:val="008027E7"/>
    <w:rsid w:val="00805816"/>
    <w:rsid w:val="00820663"/>
    <w:rsid w:val="00823AD4"/>
    <w:rsid w:val="0083343D"/>
    <w:rsid w:val="008462A5"/>
    <w:rsid w:val="0087477B"/>
    <w:rsid w:val="008753AE"/>
    <w:rsid w:val="0087660E"/>
    <w:rsid w:val="008815BD"/>
    <w:rsid w:val="00883B6E"/>
    <w:rsid w:val="008A28B3"/>
    <w:rsid w:val="008B4281"/>
    <w:rsid w:val="008B76EA"/>
    <w:rsid w:val="008D109C"/>
    <w:rsid w:val="008D15FE"/>
    <w:rsid w:val="008D3C88"/>
    <w:rsid w:val="008E24ED"/>
    <w:rsid w:val="008E3FBE"/>
    <w:rsid w:val="00903374"/>
    <w:rsid w:val="009341EC"/>
    <w:rsid w:val="009450A3"/>
    <w:rsid w:val="00956DFD"/>
    <w:rsid w:val="00975C6B"/>
    <w:rsid w:val="00982657"/>
    <w:rsid w:val="00990372"/>
    <w:rsid w:val="009B3685"/>
    <w:rsid w:val="009C5049"/>
    <w:rsid w:val="009C54BD"/>
    <w:rsid w:val="009E4666"/>
    <w:rsid w:val="009F0D5E"/>
    <w:rsid w:val="009F4824"/>
    <w:rsid w:val="00A070F9"/>
    <w:rsid w:val="00A21351"/>
    <w:rsid w:val="00A21CAE"/>
    <w:rsid w:val="00A220A4"/>
    <w:rsid w:val="00A25309"/>
    <w:rsid w:val="00A418F8"/>
    <w:rsid w:val="00A41EB0"/>
    <w:rsid w:val="00A4422D"/>
    <w:rsid w:val="00A55477"/>
    <w:rsid w:val="00A579AB"/>
    <w:rsid w:val="00A77866"/>
    <w:rsid w:val="00A81A51"/>
    <w:rsid w:val="00A93C98"/>
    <w:rsid w:val="00AA4917"/>
    <w:rsid w:val="00AB0DA6"/>
    <w:rsid w:val="00AB4D49"/>
    <w:rsid w:val="00AB653C"/>
    <w:rsid w:val="00AC53EB"/>
    <w:rsid w:val="00AC7525"/>
    <w:rsid w:val="00AD250A"/>
    <w:rsid w:val="00AD795A"/>
    <w:rsid w:val="00AE12E7"/>
    <w:rsid w:val="00B00175"/>
    <w:rsid w:val="00B02653"/>
    <w:rsid w:val="00B03F49"/>
    <w:rsid w:val="00B21625"/>
    <w:rsid w:val="00B25BE8"/>
    <w:rsid w:val="00B425C8"/>
    <w:rsid w:val="00B5231A"/>
    <w:rsid w:val="00B60356"/>
    <w:rsid w:val="00B61907"/>
    <w:rsid w:val="00B725DA"/>
    <w:rsid w:val="00B747AE"/>
    <w:rsid w:val="00B77DE4"/>
    <w:rsid w:val="00B8590D"/>
    <w:rsid w:val="00B90151"/>
    <w:rsid w:val="00B929E8"/>
    <w:rsid w:val="00B9578C"/>
    <w:rsid w:val="00B96F6E"/>
    <w:rsid w:val="00BA641B"/>
    <w:rsid w:val="00BB0544"/>
    <w:rsid w:val="00BB2E29"/>
    <w:rsid w:val="00BB60D8"/>
    <w:rsid w:val="00BC04FA"/>
    <w:rsid w:val="00BD4F7D"/>
    <w:rsid w:val="00BF54DB"/>
    <w:rsid w:val="00BF6FCA"/>
    <w:rsid w:val="00C11E67"/>
    <w:rsid w:val="00C270A3"/>
    <w:rsid w:val="00C356F8"/>
    <w:rsid w:val="00C44068"/>
    <w:rsid w:val="00C55246"/>
    <w:rsid w:val="00C73CC8"/>
    <w:rsid w:val="00C7473A"/>
    <w:rsid w:val="00C87A46"/>
    <w:rsid w:val="00C955F9"/>
    <w:rsid w:val="00CC12D0"/>
    <w:rsid w:val="00CD1B4C"/>
    <w:rsid w:val="00CD5084"/>
    <w:rsid w:val="00CD5D5C"/>
    <w:rsid w:val="00D22D37"/>
    <w:rsid w:val="00D51261"/>
    <w:rsid w:val="00D565BD"/>
    <w:rsid w:val="00D64374"/>
    <w:rsid w:val="00D708B3"/>
    <w:rsid w:val="00D712F7"/>
    <w:rsid w:val="00D73F52"/>
    <w:rsid w:val="00D84DEB"/>
    <w:rsid w:val="00D87253"/>
    <w:rsid w:val="00D97651"/>
    <w:rsid w:val="00DA4EAE"/>
    <w:rsid w:val="00DB395E"/>
    <w:rsid w:val="00DC1C99"/>
    <w:rsid w:val="00DD40A3"/>
    <w:rsid w:val="00DD76FF"/>
    <w:rsid w:val="00DD7EF9"/>
    <w:rsid w:val="00DE7D5D"/>
    <w:rsid w:val="00DF3707"/>
    <w:rsid w:val="00E123B8"/>
    <w:rsid w:val="00E12DAC"/>
    <w:rsid w:val="00E46478"/>
    <w:rsid w:val="00E54D3C"/>
    <w:rsid w:val="00E5746A"/>
    <w:rsid w:val="00E76B56"/>
    <w:rsid w:val="00EA1C01"/>
    <w:rsid w:val="00EA7AE7"/>
    <w:rsid w:val="00EB03D7"/>
    <w:rsid w:val="00EB1AED"/>
    <w:rsid w:val="00EC1FAC"/>
    <w:rsid w:val="00ED0FB2"/>
    <w:rsid w:val="00ED314F"/>
    <w:rsid w:val="00ED3B49"/>
    <w:rsid w:val="00EE0C20"/>
    <w:rsid w:val="00EE1889"/>
    <w:rsid w:val="00EE7615"/>
    <w:rsid w:val="00EF5264"/>
    <w:rsid w:val="00F00025"/>
    <w:rsid w:val="00F143B2"/>
    <w:rsid w:val="00F24542"/>
    <w:rsid w:val="00F328E0"/>
    <w:rsid w:val="00F35198"/>
    <w:rsid w:val="00F37C10"/>
    <w:rsid w:val="00F40E7F"/>
    <w:rsid w:val="00F413D4"/>
    <w:rsid w:val="00F4217E"/>
    <w:rsid w:val="00F42EB8"/>
    <w:rsid w:val="00F50A39"/>
    <w:rsid w:val="00F56C91"/>
    <w:rsid w:val="00F620E0"/>
    <w:rsid w:val="00F67A75"/>
    <w:rsid w:val="00F7537D"/>
    <w:rsid w:val="00F7656C"/>
    <w:rsid w:val="00F84136"/>
    <w:rsid w:val="00F87BB3"/>
    <w:rsid w:val="00F97267"/>
    <w:rsid w:val="00FA43DF"/>
    <w:rsid w:val="00FA6622"/>
    <w:rsid w:val="00FA6DF9"/>
    <w:rsid w:val="00FA6EF9"/>
    <w:rsid w:val="00FC7587"/>
    <w:rsid w:val="00FD4E8A"/>
    <w:rsid w:val="00FE68F3"/>
    <w:rsid w:val="00FF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B5A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47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C1"/>
    <w:rPr>
      <w:rFonts w:ascii="Tahoma" w:hAnsi="Tahoma" w:cs="Tahoma"/>
      <w:sz w:val="16"/>
      <w:szCs w:val="16"/>
    </w:rPr>
  </w:style>
  <w:style w:type="character" w:styleId="Hyperlink">
    <w:name w:val="Hyperlink"/>
    <w:rsid w:val="00FF48A1"/>
    <w:rPr>
      <w:color w:val="0000FF"/>
      <w:u w:val="single"/>
    </w:rPr>
  </w:style>
  <w:style w:type="character" w:customStyle="1" w:styleId="s1">
    <w:name w:val="s1"/>
    <w:rsid w:val="00FF48A1"/>
    <w:rPr>
      <w:rFonts w:ascii="Arial" w:hAnsi="Arial" w:cs="Arial" w:hint="default"/>
      <w:color w:val="000000"/>
      <w:sz w:val="19"/>
      <w:szCs w:val="19"/>
      <w:shd w:val="clear" w:color="auto" w:fill="FFFFFF"/>
    </w:rPr>
  </w:style>
  <w:style w:type="paragraph" w:customStyle="1" w:styleId="CM16">
    <w:name w:val="CM16"/>
    <w:basedOn w:val="Normal"/>
    <w:next w:val="Normal"/>
    <w:rsid w:val="002E6ADE"/>
    <w:pPr>
      <w:widowControl w:val="0"/>
      <w:autoSpaceDE w:val="0"/>
      <w:autoSpaceDN w:val="0"/>
      <w:adjustRightInd w:val="0"/>
      <w:spacing w:after="148" w:line="240" w:lineRule="auto"/>
    </w:pPr>
    <w:rPr>
      <w:rFonts w:ascii="BPBOD J+ Melior" w:eastAsia="Times New Roman" w:hAnsi="BPBOD J+ Melior" w:cs="Times New Roman"/>
      <w:sz w:val="24"/>
      <w:szCs w:val="24"/>
    </w:rPr>
  </w:style>
  <w:style w:type="character" w:customStyle="1" w:styleId="aqj">
    <w:name w:val="aqj"/>
    <w:basedOn w:val="DefaultParagraphFont"/>
    <w:rsid w:val="00AB0DA6"/>
  </w:style>
  <w:style w:type="character" w:styleId="CommentReference">
    <w:name w:val="annotation reference"/>
    <w:basedOn w:val="DefaultParagraphFont"/>
    <w:uiPriority w:val="99"/>
    <w:semiHidden/>
    <w:unhideWhenUsed/>
    <w:rsid w:val="003B6C86"/>
    <w:rPr>
      <w:sz w:val="16"/>
      <w:szCs w:val="16"/>
    </w:rPr>
  </w:style>
  <w:style w:type="paragraph" w:styleId="CommentText">
    <w:name w:val="annotation text"/>
    <w:basedOn w:val="Normal"/>
    <w:link w:val="CommentTextChar"/>
    <w:uiPriority w:val="99"/>
    <w:semiHidden/>
    <w:unhideWhenUsed/>
    <w:rsid w:val="003B6C86"/>
    <w:pPr>
      <w:spacing w:line="240" w:lineRule="auto"/>
    </w:pPr>
    <w:rPr>
      <w:sz w:val="20"/>
      <w:szCs w:val="20"/>
    </w:rPr>
  </w:style>
  <w:style w:type="character" w:customStyle="1" w:styleId="CommentTextChar">
    <w:name w:val="Comment Text Char"/>
    <w:basedOn w:val="DefaultParagraphFont"/>
    <w:link w:val="CommentText"/>
    <w:uiPriority w:val="99"/>
    <w:semiHidden/>
    <w:rsid w:val="003B6C86"/>
    <w:rPr>
      <w:sz w:val="20"/>
      <w:szCs w:val="20"/>
    </w:rPr>
  </w:style>
  <w:style w:type="paragraph" w:styleId="CommentSubject">
    <w:name w:val="annotation subject"/>
    <w:basedOn w:val="CommentText"/>
    <w:next w:val="CommentText"/>
    <w:link w:val="CommentSubjectChar"/>
    <w:uiPriority w:val="99"/>
    <w:semiHidden/>
    <w:unhideWhenUsed/>
    <w:rsid w:val="003B6C86"/>
    <w:rPr>
      <w:b/>
      <w:bCs/>
    </w:rPr>
  </w:style>
  <w:style w:type="character" w:customStyle="1" w:styleId="CommentSubjectChar">
    <w:name w:val="Comment Subject Char"/>
    <w:basedOn w:val="CommentTextChar"/>
    <w:link w:val="CommentSubject"/>
    <w:uiPriority w:val="99"/>
    <w:semiHidden/>
    <w:rsid w:val="003B6C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47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C1"/>
    <w:rPr>
      <w:rFonts w:ascii="Tahoma" w:hAnsi="Tahoma" w:cs="Tahoma"/>
      <w:sz w:val="16"/>
      <w:szCs w:val="16"/>
    </w:rPr>
  </w:style>
  <w:style w:type="character" w:styleId="Hyperlink">
    <w:name w:val="Hyperlink"/>
    <w:rsid w:val="00FF48A1"/>
    <w:rPr>
      <w:color w:val="0000FF"/>
      <w:u w:val="single"/>
    </w:rPr>
  </w:style>
  <w:style w:type="character" w:customStyle="1" w:styleId="s1">
    <w:name w:val="s1"/>
    <w:rsid w:val="00FF48A1"/>
    <w:rPr>
      <w:rFonts w:ascii="Arial" w:hAnsi="Arial" w:cs="Arial" w:hint="default"/>
      <w:color w:val="000000"/>
      <w:sz w:val="19"/>
      <w:szCs w:val="19"/>
      <w:shd w:val="clear" w:color="auto" w:fill="FFFFFF"/>
    </w:rPr>
  </w:style>
  <w:style w:type="paragraph" w:customStyle="1" w:styleId="CM16">
    <w:name w:val="CM16"/>
    <w:basedOn w:val="Normal"/>
    <w:next w:val="Normal"/>
    <w:rsid w:val="002E6ADE"/>
    <w:pPr>
      <w:widowControl w:val="0"/>
      <w:autoSpaceDE w:val="0"/>
      <w:autoSpaceDN w:val="0"/>
      <w:adjustRightInd w:val="0"/>
      <w:spacing w:after="148" w:line="240" w:lineRule="auto"/>
    </w:pPr>
    <w:rPr>
      <w:rFonts w:ascii="BPBOD J+ Melior" w:eastAsia="Times New Roman" w:hAnsi="BPBOD J+ Melior" w:cs="Times New Roman"/>
      <w:sz w:val="24"/>
      <w:szCs w:val="24"/>
    </w:rPr>
  </w:style>
  <w:style w:type="character" w:customStyle="1" w:styleId="aqj">
    <w:name w:val="aqj"/>
    <w:basedOn w:val="DefaultParagraphFont"/>
    <w:rsid w:val="00AB0DA6"/>
  </w:style>
  <w:style w:type="character" w:styleId="CommentReference">
    <w:name w:val="annotation reference"/>
    <w:basedOn w:val="DefaultParagraphFont"/>
    <w:uiPriority w:val="99"/>
    <w:semiHidden/>
    <w:unhideWhenUsed/>
    <w:rsid w:val="003B6C86"/>
    <w:rPr>
      <w:sz w:val="16"/>
      <w:szCs w:val="16"/>
    </w:rPr>
  </w:style>
  <w:style w:type="paragraph" w:styleId="CommentText">
    <w:name w:val="annotation text"/>
    <w:basedOn w:val="Normal"/>
    <w:link w:val="CommentTextChar"/>
    <w:uiPriority w:val="99"/>
    <w:semiHidden/>
    <w:unhideWhenUsed/>
    <w:rsid w:val="003B6C86"/>
    <w:pPr>
      <w:spacing w:line="240" w:lineRule="auto"/>
    </w:pPr>
    <w:rPr>
      <w:sz w:val="20"/>
      <w:szCs w:val="20"/>
    </w:rPr>
  </w:style>
  <w:style w:type="character" w:customStyle="1" w:styleId="CommentTextChar">
    <w:name w:val="Comment Text Char"/>
    <w:basedOn w:val="DefaultParagraphFont"/>
    <w:link w:val="CommentText"/>
    <w:uiPriority w:val="99"/>
    <w:semiHidden/>
    <w:rsid w:val="003B6C86"/>
    <w:rPr>
      <w:sz w:val="20"/>
      <w:szCs w:val="20"/>
    </w:rPr>
  </w:style>
  <w:style w:type="paragraph" w:styleId="CommentSubject">
    <w:name w:val="annotation subject"/>
    <w:basedOn w:val="CommentText"/>
    <w:next w:val="CommentText"/>
    <w:link w:val="CommentSubjectChar"/>
    <w:uiPriority w:val="99"/>
    <w:semiHidden/>
    <w:unhideWhenUsed/>
    <w:rsid w:val="003B6C86"/>
    <w:rPr>
      <w:b/>
      <w:bCs/>
    </w:rPr>
  </w:style>
  <w:style w:type="character" w:customStyle="1" w:styleId="CommentSubjectChar">
    <w:name w:val="Comment Subject Char"/>
    <w:basedOn w:val="CommentTextChar"/>
    <w:link w:val="CommentSubject"/>
    <w:uiPriority w:val="99"/>
    <w:semiHidden/>
    <w:rsid w:val="003B6C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866849">
      <w:bodyDiv w:val="1"/>
      <w:marLeft w:val="0"/>
      <w:marRight w:val="0"/>
      <w:marTop w:val="0"/>
      <w:marBottom w:val="0"/>
      <w:divBdr>
        <w:top w:val="none" w:sz="0" w:space="0" w:color="auto"/>
        <w:left w:val="none" w:sz="0" w:space="0" w:color="auto"/>
        <w:bottom w:val="none" w:sz="0" w:space="0" w:color="auto"/>
        <w:right w:val="none" w:sz="0" w:space="0" w:color="auto"/>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 w:id="1907034014">
          <w:marLeft w:val="0"/>
          <w:marRight w:val="0"/>
          <w:marTop w:val="0"/>
          <w:marBottom w:val="0"/>
          <w:divBdr>
            <w:top w:val="none" w:sz="0" w:space="0" w:color="auto"/>
            <w:left w:val="none" w:sz="0" w:space="0" w:color="auto"/>
            <w:bottom w:val="none" w:sz="0" w:space="0" w:color="auto"/>
            <w:right w:val="none" w:sz="0" w:space="0" w:color="auto"/>
          </w:divBdr>
          <w:divsChild>
            <w:div w:id="1566989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666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2F17-1969-45D8-8598-BE2A7E09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8274</Words>
  <Characters>47164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lmartin1</dc:creator>
  <cp:lastModifiedBy>Sarah Brabson</cp:lastModifiedBy>
  <cp:revision>5</cp:revision>
  <dcterms:created xsi:type="dcterms:W3CDTF">2014-11-28T15:35:00Z</dcterms:created>
  <dcterms:modified xsi:type="dcterms:W3CDTF">2014-12-10T20:00:00Z</dcterms:modified>
</cp:coreProperties>
</file>