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8B0A66" w:rsidRPr="00686301">
        <w:t>0925-</w:t>
      </w:r>
      <w:r w:rsidR="008B0A66">
        <w:t>0643 Exp</w:t>
      </w:r>
      <w:r w:rsidR="008B0A66" w:rsidRPr="00686301">
        <w:t>Date</w:t>
      </w:r>
      <w:proofErr w:type="gramStart"/>
      <w:r w:rsidR="008B0A66" w:rsidRPr="00686301">
        <w:t>:</w:t>
      </w:r>
      <w:r w:rsidR="008B0A66">
        <w:t>10</w:t>
      </w:r>
      <w:proofErr w:type="gramEnd"/>
      <w:r w:rsidR="008B0A66" w:rsidRPr="00686301">
        <w:t>/</w:t>
      </w:r>
      <w:r w:rsidR="008B0A66">
        <w:t>2017</w:t>
      </w:r>
      <w:r>
        <w:rPr>
          <w:sz w:val="28"/>
        </w:rPr>
        <w:t>)</w:t>
      </w:r>
    </w:p>
    <w:p w:rsidR="00E50293" w:rsidRPr="009239AA" w:rsidRDefault="00F6355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0E312F" w:rsidRPr="003E2B6F">
        <w:t xml:space="preserve">Opportunities for Extramural Collaborations at the NIH Clinical Center (U01) </w:t>
      </w:r>
      <w:r w:rsidR="002273B5">
        <w:t>Customer Satisfaction Interviews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E312F" w:rsidRPr="003E2B6F">
        <w:t xml:space="preserve">The NIH Clinical Center (CC) is the nation's largest hospital devoted entirely </w:t>
      </w:r>
      <w:proofErr w:type="gramStart"/>
      <w:r w:rsidR="000E312F" w:rsidRPr="003E2B6F">
        <w:t>to</w:t>
      </w:r>
      <w:proofErr w:type="gramEnd"/>
      <w:r w:rsidR="000E312F" w:rsidRPr="003E2B6F">
        <w:t xml:space="preserve"> clinical research. The CC is essential to the clinical research mission of the </w:t>
      </w:r>
      <w:r w:rsidR="000E312F">
        <w:t>National Institutes of Health (</w:t>
      </w:r>
      <w:r w:rsidR="000E312F" w:rsidRPr="003E2B6F">
        <w:t>NIH</w:t>
      </w:r>
      <w:r w:rsidR="000E312F">
        <w:t>)</w:t>
      </w:r>
      <w:r w:rsidR="000E312F" w:rsidRPr="003E2B6F">
        <w:t xml:space="preserve"> Institutes</w:t>
      </w:r>
      <w:r w:rsidR="000E312F">
        <w:t xml:space="preserve"> and Centers</w:t>
      </w:r>
      <w:r w:rsidR="000E312F" w:rsidRPr="003E2B6F">
        <w:t xml:space="preserve">.  </w:t>
      </w:r>
      <w:r w:rsidR="000E312F">
        <w:t xml:space="preserve"> C</w:t>
      </w:r>
      <w:r w:rsidR="000E312F" w:rsidRPr="003E2B6F">
        <w:t xml:space="preserve">onsistent with NIH’s historical practice of separating intramural </w:t>
      </w:r>
      <w:r w:rsidR="000E312F">
        <w:t xml:space="preserve">(e.g., research conducted </w:t>
      </w:r>
      <w:r w:rsidR="000E312F" w:rsidRPr="002A2470">
        <w:rPr>
          <w:i/>
        </w:rPr>
        <w:t>within</w:t>
      </w:r>
      <w:r w:rsidR="000E312F">
        <w:t xml:space="preserve"> the labs and clinics of the NIH) </w:t>
      </w:r>
      <w:r w:rsidR="000E312F" w:rsidRPr="003E2B6F">
        <w:t xml:space="preserve">and extramural </w:t>
      </w:r>
      <w:r w:rsidR="000E312F">
        <w:t xml:space="preserve">(e.g., research conducted in labs and clinics </w:t>
      </w:r>
      <w:r w:rsidR="000E312F" w:rsidRPr="002A2470">
        <w:rPr>
          <w:i/>
        </w:rPr>
        <w:t>outside</w:t>
      </w:r>
      <w:r w:rsidR="000E312F">
        <w:t xml:space="preserve"> of the NIH) </w:t>
      </w:r>
      <w:r w:rsidR="000E312F" w:rsidRPr="003E2B6F">
        <w:t>research activities</w:t>
      </w:r>
      <w:r w:rsidR="000E312F">
        <w:t>,</w:t>
      </w:r>
      <w:r w:rsidR="000E312F" w:rsidRPr="002A2470">
        <w:t xml:space="preserve"> </w:t>
      </w:r>
      <w:r w:rsidR="000E312F" w:rsidRPr="003E2B6F">
        <w:t>the CC resources have been used almost exclusively by NIH intramural investigators</w:t>
      </w:r>
      <w:r w:rsidR="000E312F">
        <w:t xml:space="preserve">.  </w:t>
      </w:r>
      <w:r w:rsidR="000E312F" w:rsidRPr="003E2B6F">
        <w:t>The Opportunities for Collaborations at the NIH Clinical Center</w:t>
      </w:r>
      <w:r w:rsidR="000E312F">
        <w:t xml:space="preserve"> </w:t>
      </w:r>
      <w:r w:rsidR="000E312F" w:rsidRPr="003E2B6F">
        <w:t xml:space="preserve">is a new trans-NIH program developed to foster intramural and extramural collaborations at the CC, to allow a broader range of scientists’ access </w:t>
      </w:r>
      <w:r w:rsidR="000E312F">
        <w:t xml:space="preserve">to </w:t>
      </w:r>
      <w:r w:rsidR="000E312F" w:rsidRPr="003E2B6F">
        <w:t>the unique resources of the CC. Th</w:t>
      </w:r>
      <w:r w:rsidR="000E312F">
        <w:t>e impetus for this new program wa</w:t>
      </w:r>
      <w:r w:rsidR="000E312F" w:rsidRPr="003E2B6F">
        <w:t>s a 2010 Congressional NIH Scientific Management Review Board (SMRB) report (</w:t>
      </w:r>
      <w:hyperlink r:id="rId9" w:history="1">
        <w:r w:rsidR="000E312F" w:rsidRPr="003E2B6F">
          <w:rPr>
            <w:rStyle w:val="Hyperlink"/>
          </w:rPr>
          <w:t>http://smrb.od.nih.gov</w:t>
        </w:r>
      </w:hyperlink>
      <w:r w:rsidR="000E312F" w:rsidRPr="003E2B6F">
        <w:t>).  In this report, the SMRB stated, “the role of the NIH CC should be to serve as a state-of-the-art national resource, with resources optimally managed to enable both internal and</w:t>
      </w:r>
      <w:r w:rsidR="000E312F">
        <w:t xml:space="preserve"> external investigator use.”  </w:t>
      </w:r>
      <w:r w:rsidR="000E312F" w:rsidRPr="003E2B6F">
        <w:t xml:space="preserve">While acknowledging that such a program would require the NIH to develop a series of new business rules and administrative procedures, the SMRB strongly recommended the program provide </w:t>
      </w:r>
      <w:r w:rsidR="000E312F">
        <w:t xml:space="preserve">external researchers </w:t>
      </w:r>
      <w:r w:rsidR="000E312F" w:rsidRPr="003E2B6F">
        <w:t xml:space="preserve">access </w:t>
      </w:r>
      <w:r w:rsidR="000E312F">
        <w:t>to the</w:t>
      </w:r>
      <w:r w:rsidR="000E312F" w:rsidRPr="003E2B6F">
        <w:t xml:space="preserve"> NIH CC and to leverage the diverse CC resources, expertise, and infrastructure.   The objectives of the program are to: 1) increase use of the NIH CC’s unique resources</w:t>
      </w:r>
      <w:r w:rsidR="000E312F">
        <w:t>;</w:t>
      </w:r>
      <w:r w:rsidR="000E312F" w:rsidRPr="003E2B6F">
        <w:t xml:space="preserve"> and 2) broaden and strengthen translational research collaborations between basic and clinical researchers both within and outside NIH.  The program is currently funded via a cooperative agreement (U01) and 1</w:t>
      </w:r>
      <w:r w:rsidR="000E312F">
        <w:t>7</w:t>
      </w:r>
      <w:r w:rsidR="000E312F" w:rsidRPr="003E2B6F">
        <w:t xml:space="preserve"> NIH I</w:t>
      </w:r>
      <w:r w:rsidR="000E312F">
        <w:t>nstitutes/Centers</w:t>
      </w:r>
      <w:r w:rsidR="000E312F" w:rsidRPr="003E2B6F">
        <w:t xml:space="preserve"> participat</w:t>
      </w:r>
      <w:r w:rsidR="000E312F">
        <w:t>e</w:t>
      </w:r>
      <w:r w:rsidR="000E312F" w:rsidRPr="003E2B6F">
        <w:t xml:space="preserve"> in th</w:t>
      </w:r>
      <w:r w:rsidR="000E312F">
        <w:t>e program</w:t>
      </w:r>
      <w:r w:rsidR="000E312F" w:rsidRPr="003E2B6F">
        <w:t xml:space="preserve">. </w:t>
      </w:r>
      <w:r w:rsidR="008B0A66">
        <w:t xml:space="preserve"> T</w:t>
      </w:r>
      <w:r w:rsidR="00150235">
        <w:t xml:space="preserve">o date, six NIH institutes have </w:t>
      </w:r>
      <w:r w:rsidR="008B0A66">
        <w:t xml:space="preserve">funded </w:t>
      </w:r>
      <w:r w:rsidR="00150235">
        <w:t xml:space="preserve">a total of </w:t>
      </w:r>
      <w:r w:rsidR="008B0A66">
        <w:t>2</w:t>
      </w:r>
      <w:r w:rsidR="00150235">
        <w:t>1</w:t>
      </w:r>
      <w:r w:rsidR="008B0A66">
        <w:t xml:space="preserve"> applicants </w:t>
      </w:r>
      <w:r w:rsidR="00150235">
        <w:t>through the program, and more awards are forthcoming</w:t>
      </w:r>
      <w:r w:rsidR="008B0A66">
        <w:t>.</w:t>
      </w:r>
    </w:p>
    <w:p w:rsidR="001B0AAA" w:rsidRDefault="001B0AAA"/>
    <w:p w:rsidR="000E312F" w:rsidRDefault="000E312F" w:rsidP="00150235">
      <w:r w:rsidRPr="009F4D40">
        <w:t>Th</w:t>
      </w:r>
      <w:r>
        <w:t>i</w:t>
      </w:r>
      <w:r w:rsidRPr="009F4D40">
        <w:t xml:space="preserve">s program represents a new and challenging business model at the NIH.  Therefore, it is important to gather </w:t>
      </w:r>
      <w:r>
        <w:t xml:space="preserve">feedback from program stakeholders, such as the extramural principle investigators (PIs), </w:t>
      </w:r>
      <w:r w:rsidRPr="009F4D40">
        <w:t xml:space="preserve">on how </w:t>
      </w:r>
      <w:r>
        <w:t xml:space="preserve">well processes work and the program’s overall implementation.  The NIH is </w:t>
      </w:r>
      <w:r w:rsidRPr="003E2B6F">
        <w:t xml:space="preserve">interested in learning </w:t>
      </w:r>
      <w:r>
        <w:t>program PI’s</w:t>
      </w:r>
      <w:r w:rsidRPr="003E2B6F">
        <w:t xml:space="preserve"> overall satisfaction with the </w:t>
      </w:r>
      <w:r>
        <w:t>collaborative research experience.</w:t>
      </w:r>
      <w:r w:rsidRPr="003E2B6F">
        <w:t xml:space="preserve">  It is also of interest to obtain information regarding </w:t>
      </w:r>
      <w:r>
        <w:t>the NIH resources used and unmet resource needs.  These</w:t>
      </w:r>
      <w:r w:rsidRPr="003E2B6F">
        <w:t xml:space="preserve"> </w:t>
      </w:r>
      <w:r>
        <w:t>interviews are</w:t>
      </w:r>
      <w:r w:rsidRPr="003E2B6F">
        <w:t xml:space="preserve"> part of a customer satisfaction assessment to examine the program</w:t>
      </w:r>
      <w:r>
        <w:t>’s</w:t>
      </w:r>
      <w:r w:rsidRPr="003E2B6F">
        <w:t xml:space="preserve"> implementation and to inform </w:t>
      </w:r>
      <w:r>
        <w:t xml:space="preserve">the </w:t>
      </w:r>
      <w:r w:rsidRPr="003E2B6F">
        <w:t xml:space="preserve">future direction of the program.  </w:t>
      </w:r>
    </w:p>
    <w:p w:rsidR="000E312F" w:rsidRDefault="000E312F" w:rsidP="00150235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Default="00150235">
      <w:r>
        <w:t xml:space="preserve">Respondents will be </w:t>
      </w:r>
      <w:r w:rsidR="00F63557" w:rsidRPr="003E2B6F">
        <w:t xml:space="preserve">individuals who </w:t>
      </w:r>
      <w:r w:rsidR="00F63557">
        <w:t>received awards from</w:t>
      </w:r>
      <w:r w:rsidR="00F63557" w:rsidRPr="003E2B6F">
        <w:t xml:space="preserve"> the Opportunities for Extramural Collaborations at the NIH Clinical Center (U01) program </w:t>
      </w:r>
      <w:r w:rsidR="00F63557">
        <w:t>in 2013-2016,</w:t>
      </w:r>
      <w:r w:rsidR="00F63557" w:rsidRPr="003E2B6F">
        <w:t xml:space="preserve"> </w:t>
      </w:r>
      <w:r w:rsidR="00F63557">
        <w:t xml:space="preserve">and </w:t>
      </w:r>
      <w:r w:rsidR="00F63557" w:rsidRPr="003E2B6F">
        <w:t>are list</w:t>
      </w:r>
      <w:r w:rsidR="00F63557">
        <w:t>ed as a Principal Investigator i</w:t>
      </w:r>
      <w:r w:rsidR="00F63557" w:rsidRPr="003E2B6F">
        <w:t>n the application</w:t>
      </w:r>
      <w:r w:rsidRPr="00150235">
        <w:t>.</w:t>
      </w:r>
      <w:r>
        <w:t xml:space="preserve">  Approximately 35 investigators are expected to be eligible to participate.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B15AB6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B15AB6">
        <w:rPr>
          <w:bCs/>
          <w:sz w:val="24"/>
          <w:u w:val="single"/>
        </w:rPr>
        <w:t xml:space="preserve"> Customer Satisfaction Interviews</w:t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F63557" w:rsidP="009C13B9">
      <w:r>
        <w:t xml:space="preserve">Name:  </w:t>
      </w:r>
      <w:r w:rsidR="00B15AB6" w:rsidRPr="00F63557">
        <w:rPr>
          <w:u w:val="single"/>
        </w:rPr>
        <w:t>Jennifer Guimond</w:t>
      </w:r>
      <w:r w:rsidRPr="00F63557">
        <w:rPr>
          <w:u w:val="single"/>
        </w:rPr>
        <w:t xml:space="preserve">, PhD, </w:t>
      </w:r>
      <w:r w:rsidRPr="003E2B6F">
        <w:rPr>
          <w:u w:val="single"/>
        </w:rPr>
        <w:t>DHHS/NIH/NICHD/OSP</w:t>
      </w:r>
      <w:r>
        <w:rPr>
          <w:u w:val="single"/>
        </w:rPr>
        <w:t>R</w:t>
      </w:r>
      <w:r w:rsidRPr="003E2B6F">
        <w:rPr>
          <w:u w:val="single"/>
        </w:rPr>
        <w:t>A/SPPEB</w:t>
      </w:r>
      <w:r>
        <w:t xml:space="preserve">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15AB6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RDefault="00633F74" w:rsidP="00633F74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B15AB6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  <w:bookmarkStart w:id="0" w:name="_GoBack"/>
      <w:bookmarkEnd w:id="0"/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1980"/>
        <w:gridCol w:w="1260"/>
        <w:gridCol w:w="1620"/>
      </w:tblGrid>
      <w:tr w:rsidR="003668D6" w:rsidTr="002C1F48">
        <w:trPr>
          <w:trHeight w:val="274"/>
        </w:trPr>
        <w:tc>
          <w:tcPr>
            <w:tcW w:w="2790" w:type="dxa"/>
          </w:tcPr>
          <w:p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2C1F48">
        <w:trPr>
          <w:trHeight w:val="260"/>
        </w:trPr>
        <w:tc>
          <w:tcPr>
            <w:tcW w:w="2790" w:type="dxa"/>
          </w:tcPr>
          <w:p w:rsidR="003668D6" w:rsidRDefault="001876E0" w:rsidP="00843796">
            <w:r>
              <w:t>Private Sector (not-for-profit)</w:t>
            </w:r>
          </w:p>
        </w:tc>
        <w:tc>
          <w:tcPr>
            <w:tcW w:w="1530" w:type="dxa"/>
          </w:tcPr>
          <w:p w:rsidR="003668D6" w:rsidRDefault="00B15AB6" w:rsidP="00843796">
            <w:r>
              <w:t>35</w:t>
            </w:r>
          </w:p>
        </w:tc>
        <w:tc>
          <w:tcPr>
            <w:tcW w:w="1980" w:type="dxa"/>
          </w:tcPr>
          <w:p w:rsidR="003668D6" w:rsidRDefault="00B15AB6" w:rsidP="00843796">
            <w:r>
              <w:t>1</w:t>
            </w:r>
          </w:p>
        </w:tc>
        <w:tc>
          <w:tcPr>
            <w:tcW w:w="1260" w:type="dxa"/>
          </w:tcPr>
          <w:p w:rsidR="003668D6" w:rsidRDefault="00B15AB6" w:rsidP="00843796">
            <w:r>
              <w:t>45/60</w:t>
            </w:r>
          </w:p>
        </w:tc>
        <w:tc>
          <w:tcPr>
            <w:tcW w:w="1620" w:type="dxa"/>
          </w:tcPr>
          <w:p w:rsidR="003668D6" w:rsidRDefault="00B15AB6" w:rsidP="00843796">
            <w:r>
              <w:t>26</w:t>
            </w:r>
          </w:p>
        </w:tc>
      </w:tr>
      <w:tr w:rsidR="003668D6" w:rsidTr="002C1F48">
        <w:trPr>
          <w:trHeight w:val="274"/>
        </w:trPr>
        <w:tc>
          <w:tcPr>
            <w:tcW w:w="2790" w:type="dxa"/>
          </w:tcPr>
          <w:p w:rsidR="003668D6" w:rsidRDefault="003668D6" w:rsidP="00843796"/>
        </w:tc>
        <w:tc>
          <w:tcPr>
            <w:tcW w:w="1530" w:type="dxa"/>
          </w:tcPr>
          <w:p w:rsidR="003668D6" w:rsidRDefault="003668D6" w:rsidP="00843796"/>
        </w:tc>
        <w:tc>
          <w:tcPr>
            <w:tcW w:w="1980" w:type="dxa"/>
          </w:tcPr>
          <w:p w:rsidR="003668D6" w:rsidRDefault="003668D6" w:rsidP="00843796"/>
        </w:tc>
        <w:tc>
          <w:tcPr>
            <w:tcW w:w="1260" w:type="dxa"/>
          </w:tcPr>
          <w:p w:rsidR="003668D6" w:rsidRDefault="003668D6" w:rsidP="00843796"/>
        </w:tc>
        <w:tc>
          <w:tcPr>
            <w:tcW w:w="1620" w:type="dxa"/>
          </w:tcPr>
          <w:p w:rsidR="003668D6" w:rsidRDefault="003668D6" w:rsidP="00843796"/>
        </w:tc>
      </w:tr>
      <w:tr w:rsidR="002C1F48" w:rsidTr="002C1F48">
        <w:trPr>
          <w:trHeight w:val="289"/>
        </w:trPr>
        <w:tc>
          <w:tcPr>
            <w:tcW w:w="2790" w:type="dxa"/>
          </w:tcPr>
          <w:p w:rsidR="002C1F48" w:rsidRPr="002D26E2" w:rsidRDefault="002C1F48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2C1F48" w:rsidRDefault="002C1F48" w:rsidP="003B73ED">
            <w:r>
              <w:t>35</w:t>
            </w:r>
          </w:p>
        </w:tc>
        <w:tc>
          <w:tcPr>
            <w:tcW w:w="1980" w:type="dxa"/>
          </w:tcPr>
          <w:p w:rsidR="002C1F48" w:rsidRDefault="002C1F48" w:rsidP="003B73ED">
            <w:r>
              <w:t>1</w:t>
            </w:r>
          </w:p>
        </w:tc>
        <w:tc>
          <w:tcPr>
            <w:tcW w:w="1260" w:type="dxa"/>
          </w:tcPr>
          <w:p w:rsidR="002C1F48" w:rsidRDefault="002C1F48" w:rsidP="003B73ED">
            <w:r>
              <w:t>45/60</w:t>
            </w:r>
          </w:p>
        </w:tc>
        <w:tc>
          <w:tcPr>
            <w:tcW w:w="1620" w:type="dxa"/>
          </w:tcPr>
          <w:p w:rsidR="002C1F48" w:rsidRDefault="002C1F48" w:rsidP="003B73ED">
            <w:r>
              <w:t>26</w:t>
            </w:r>
          </w:p>
        </w:tc>
      </w:tr>
    </w:tbl>
    <w:p w:rsidR="00F3170F" w:rsidRDefault="00F3170F" w:rsidP="00F3170F"/>
    <w:p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:rsidTr="00CA2010">
        <w:trPr>
          <w:trHeight w:val="274"/>
        </w:trPr>
        <w:tc>
          <w:tcPr>
            <w:tcW w:w="2790" w:type="dxa"/>
          </w:tcPr>
          <w:p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:rsidTr="00CA2010">
        <w:trPr>
          <w:trHeight w:val="260"/>
        </w:trPr>
        <w:tc>
          <w:tcPr>
            <w:tcW w:w="2790" w:type="dxa"/>
          </w:tcPr>
          <w:p w:rsidR="00CA2010" w:rsidRPr="009A036B" w:rsidRDefault="001876E0" w:rsidP="009A036B">
            <w:r>
              <w:t>Private Sector (not-for-profit)</w:t>
            </w:r>
          </w:p>
        </w:tc>
        <w:tc>
          <w:tcPr>
            <w:tcW w:w="2250" w:type="dxa"/>
          </w:tcPr>
          <w:p w:rsidR="00CA2010" w:rsidRPr="009A036B" w:rsidRDefault="00B15AB6" w:rsidP="009A036B">
            <w:r>
              <w:t>26.25</w:t>
            </w:r>
          </w:p>
        </w:tc>
        <w:tc>
          <w:tcPr>
            <w:tcW w:w="2520" w:type="dxa"/>
          </w:tcPr>
          <w:p w:rsidR="00CA2010" w:rsidRPr="009A036B" w:rsidRDefault="002C1F48" w:rsidP="009A036B">
            <w:r w:rsidRPr="002C1F48">
              <w:t>$40.36</w:t>
            </w:r>
          </w:p>
        </w:tc>
        <w:tc>
          <w:tcPr>
            <w:tcW w:w="1620" w:type="dxa"/>
          </w:tcPr>
          <w:p w:rsidR="00CA2010" w:rsidRPr="009A036B" w:rsidRDefault="002C1F48" w:rsidP="009A036B">
            <w:r>
              <w:t>$1059.45</w:t>
            </w:r>
          </w:p>
        </w:tc>
      </w:tr>
      <w:tr w:rsidR="00CA2010" w:rsidRPr="009A036B" w:rsidTr="00CA2010">
        <w:trPr>
          <w:trHeight w:val="274"/>
        </w:trPr>
        <w:tc>
          <w:tcPr>
            <w:tcW w:w="2790" w:type="dxa"/>
          </w:tcPr>
          <w:p w:rsidR="00CA2010" w:rsidRPr="009A036B" w:rsidRDefault="00CA2010" w:rsidP="009A036B"/>
        </w:tc>
        <w:tc>
          <w:tcPr>
            <w:tcW w:w="2250" w:type="dxa"/>
          </w:tcPr>
          <w:p w:rsidR="00CA2010" w:rsidRPr="009A036B" w:rsidRDefault="00CA2010" w:rsidP="009A036B"/>
        </w:tc>
        <w:tc>
          <w:tcPr>
            <w:tcW w:w="2520" w:type="dxa"/>
          </w:tcPr>
          <w:p w:rsidR="00CA2010" w:rsidRPr="009A036B" w:rsidRDefault="00CA2010" w:rsidP="009A036B"/>
        </w:tc>
        <w:tc>
          <w:tcPr>
            <w:tcW w:w="1620" w:type="dxa"/>
          </w:tcPr>
          <w:p w:rsidR="00CA2010" w:rsidRPr="009A036B" w:rsidRDefault="00CA2010" w:rsidP="009A036B"/>
        </w:tc>
      </w:tr>
      <w:tr w:rsidR="002C1F48" w:rsidRPr="009A036B" w:rsidTr="00CA2010">
        <w:trPr>
          <w:trHeight w:val="289"/>
        </w:trPr>
        <w:tc>
          <w:tcPr>
            <w:tcW w:w="2790" w:type="dxa"/>
          </w:tcPr>
          <w:p w:rsidR="002C1F48" w:rsidRPr="009A036B" w:rsidRDefault="002C1F48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2C1F48" w:rsidRPr="009A036B" w:rsidRDefault="002C1F48" w:rsidP="003B73ED">
            <w:r>
              <w:t>26.25</w:t>
            </w:r>
          </w:p>
        </w:tc>
        <w:tc>
          <w:tcPr>
            <w:tcW w:w="2520" w:type="dxa"/>
          </w:tcPr>
          <w:p w:rsidR="002C1F48" w:rsidRPr="009A036B" w:rsidRDefault="002C1F48" w:rsidP="003B73ED">
            <w:r w:rsidRPr="002C1F48">
              <w:t>$40.36</w:t>
            </w:r>
          </w:p>
        </w:tc>
        <w:tc>
          <w:tcPr>
            <w:tcW w:w="1620" w:type="dxa"/>
          </w:tcPr>
          <w:p w:rsidR="002C1F48" w:rsidRPr="009A036B" w:rsidRDefault="002C1F48" w:rsidP="003B73ED">
            <w:r>
              <w:t>$1059.45</w:t>
            </w:r>
          </w:p>
        </w:tc>
      </w:tr>
    </w:tbl>
    <w:p w:rsidR="009A036B" w:rsidRPr="009A036B" w:rsidRDefault="009A036B" w:rsidP="009A036B"/>
    <w:p w:rsidR="002C1F48" w:rsidRPr="009A036B" w:rsidRDefault="00CA2010" w:rsidP="002C1F48">
      <w:r>
        <w:t>*</w:t>
      </w:r>
      <w:r w:rsidR="002C1F48">
        <w:t xml:space="preserve">The wage rate is based on data from the Bureau of Labor Statistics Occupational Employment and Wages for the Life Scientists 19-1099 category as of May 2015 </w:t>
      </w:r>
      <w:r w:rsidR="002C1F48">
        <w:lastRenderedPageBreak/>
        <w:t>(</w:t>
      </w:r>
      <w:hyperlink r:id="rId10" w:history="1">
        <w:r w:rsidR="002C1F48" w:rsidRPr="004850BD">
          <w:rPr>
            <w:rStyle w:val="Hyperlink"/>
          </w:rPr>
          <w:t>http://www.bls.gov/oes/current/oes190000.html</w:t>
        </w:r>
      </w:hyperlink>
      <w:r w:rsidR="002C1F48">
        <w:t xml:space="preserve">).  The hourly mean wage for the Scientific Research and Development Services Industry is $40.36. </w:t>
      </w:r>
    </w:p>
    <w:p w:rsidR="009A036B" w:rsidRPr="009A036B" w:rsidRDefault="009A036B" w:rsidP="009A036B"/>
    <w:p w:rsidR="009A036B" w:rsidRDefault="009A036B" w:rsidP="00F3170F"/>
    <w:p w:rsidR="00441434" w:rsidRDefault="00441434" w:rsidP="00F3170F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1876E0">
        <w:t>$</w:t>
      </w:r>
      <w:proofErr w:type="gramEnd"/>
      <w:r w:rsidR="001876E0">
        <w:t>10,982.89</w:t>
      </w:r>
    </w:p>
    <w:p w:rsidR="009A036B" w:rsidRPr="009A036B" w:rsidRDefault="009A036B" w:rsidP="009A036B">
      <w:r>
        <w:rPr>
          <w:b/>
        </w:rPr>
        <w:t xml:space="preserve">                         </w:t>
      </w:r>
    </w:p>
    <w:p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RDefault="009A036B" w:rsidP="009A036B">
            <w:pPr>
              <w:rPr>
                <w:b/>
                <w:bCs/>
              </w:rPr>
            </w:pPr>
          </w:p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2C1F48" w:rsidP="009A036B">
            <w:r>
              <w:t>13/3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2C1F48" w:rsidP="009A036B">
            <w:r>
              <w:t>$98,289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1876E0" w:rsidP="009A036B">
            <w:r>
              <w:t>1</w:t>
            </w:r>
            <w:r w:rsidR="002C1F48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1876E0" w:rsidP="009A036B">
            <w:r>
              <w:t>$982.89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1876E0" w:rsidRPr="009A036B" w:rsidTr="00566D3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76E0" w:rsidRPr="009A036B" w:rsidRDefault="001876E0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876E0" w:rsidRPr="009A036B" w:rsidRDefault="001876E0" w:rsidP="009A036B"/>
        </w:tc>
        <w:tc>
          <w:tcPr>
            <w:tcW w:w="3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76E0" w:rsidRPr="009A036B" w:rsidRDefault="001876E0" w:rsidP="009A036B">
            <w:r>
              <w:t>N/A-Fixed price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76E0" w:rsidRPr="009A036B" w:rsidRDefault="001876E0" w:rsidP="009A036B">
            <w:r>
              <w:t>$10,000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DB3703" w:rsidRDefault="00DB3703" w:rsidP="000D4A3C">
            <w:pPr>
              <w:rPr>
                <w:b/>
              </w:rPr>
            </w:pPr>
            <w:r w:rsidRPr="00DB3703">
              <w:rPr>
                <w:b/>
              </w:rPr>
              <w:t>T</w:t>
            </w:r>
            <w:r w:rsidR="000D4A3C">
              <w:rPr>
                <w:b/>
              </w:rPr>
              <w:t xml:space="preserve">otal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1876E0" w:rsidP="009A036B">
            <w:r>
              <w:t>$10,982.89</w:t>
            </w:r>
          </w:p>
        </w:tc>
      </w:tr>
    </w:tbl>
    <w:p w:rsidR="009A036B" w:rsidRPr="009A036B" w:rsidRDefault="009A036B" w:rsidP="009A036B"/>
    <w:p w:rsidR="009A036B" w:rsidRDefault="009A036B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1876E0">
        <w:t>[X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1876E0" w:rsidP="001876E0">
      <w:pPr>
        <w:ind w:firstLine="720"/>
      </w:pPr>
      <w:r>
        <w:t>All extramural PIs will be invited to participate.</w:t>
      </w:r>
    </w:p>
    <w:p w:rsidR="001876E0" w:rsidRDefault="001876E0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1876E0">
        <w:t>X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DC4F7B">
        <w:t>X</w:t>
      </w:r>
      <w:r>
        <w:t>] Yes [  ] No</w:t>
      </w:r>
    </w:p>
    <w:p w:rsidR="005E714A" w:rsidRDefault="00F24CFC" w:rsidP="00F63557">
      <w:pPr>
        <w:pStyle w:val="ListParagraph"/>
        <w:ind w:left="360"/>
      </w:pPr>
      <w:r>
        <w:t xml:space="preserve"> </w:t>
      </w: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1B" w:rsidRDefault="001A2D1B">
      <w:r>
        <w:separator/>
      </w:r>
    </w:p>
  </w:endnote>
  <w:endnote w:type="continuationSeparator" w:id="0">
    <w:p w:rsidR="001A2D1B" w:rsidRDefault="001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72B0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1B" w:rsidRDefault="001A2D1B">
      <w:r>
        <w:separator/>
      </w:r>
    </w:p>
  </w:footnote>
  <w:footnote w:type="continuationSeparator" w:id="0">
    <w:p w:rsidR="001A2D1B" w:rsidRDefault="001A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D4A3C"/>
    <w:rsid w:val="000E200B"/>
    <w:rsid w:val="000E312F"/>
    <w:rsid w:val="000F68BE"/>
    <w:rsid w:val="00150235"/>
    <w:rsid w:val="00162F83"/>
    <w:rsid w:val="00172B05"/>
    <w:rsid w:val="001855D1"/>
    <w:rsid w:val="001876E0"/>
    <w:rsid w:val="001927A4"/>
    <w:rsid w:val="00194AC6"/>
    <w:rsid w:val="001A23B0"/>
    <w:rsid w:val="001A25CC"/>
    <w:rsid w:val="001A2D1B"/>
    <w:rsid w:val="001B0AAA"/>
    <w:rsid w:val="001C39F7"/>
    <w:rsid w:val="002273B5"/>
    <w:rsid w:val="00237B48"/>
    <w:rsid w:val="0024521E"/>
    <w:rsid w:val="00263C3D"/>
    <w:rsid w:val="00274D0B"/>
    <w:rsid w:val="00284110"/>
    <w:rsid w:val="002B3C95"/>
    <w:rsid w:val="002C1F48"/>
    <w:rsid w:val="002D0B92"/>
    <w:rsid w:val="002D26E2"/>
    <w:rsid w:val="003668D6"/>
    <w:rsid w:val="003A7074"/>
    <w:rsid w:val="003D5BBE"/>
    <w:rsid w:val="003E3C61"/>
    <w:rsid w:val="003F1C5B"/>
    <w:rsid w:val="00431EB1"/>
    <w:rsid w:val="00434E33"/>
    <w:rsid w:val="00441434"/>
    <w:rsid w:val="0045264C"/>
    <w:rsid w:val="004876EC"/>
    <w:rsid w:val="004D6E14"/>
    <w:rsid w:val="005009B0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D5F47"/>
    <w:rsid w:val="006F3DDE"/>
    <w:rsid w:val="00704678"/>
    <w:rsid w:val="007425E7"/>
    <w:rsid w:val="00766D95"/>
    <w:rsid w:val="0077703F"/>
    <w:rsid w:val="00802607"/>
    <w:rsid w:val="008101A5"/>
    <w:rsid w:val="00822664"/>
    <w:rsid w:val="00843796"/>
    <w:rsid w:val="00895229"/>
    <w:rsid w:val="008B0A66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674DF"/>
    <w:rsid w:val="00A83AA6"/>
    <w:rsid w:val="00AC60E8"/>
    <w:rsid w:val="00AE14B1"/>
    <w:rsid w:val="00AE1809"/>
    <w:rsid w:val="00B15AB6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74143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6383F"/>
    <w:rsid w:val="00DB3703"/>
    <w:rsid w:val="00DB4A58"/>
    <w:rsid w:val="00DB59D0"/>
    <w:rsid w:val="00DC33D3"/>
    <w:rsid w:val="00DC4F7B"/>
    <w:rsid w:val="00E10804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51B9"/>
    <w:rsid w:val="00F06866"/>
    <w:rsid w:val="00F15956"/>
    <w:rsid w:val="00F24CFC"/>
    <w:rsid w:val="00F3170F"/>
    <w:rsid w:val="00F6355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rsid w:val="002C1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rsid w:val="002C1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ls.gov/oes/current/oes1900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mrb.od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85DA-090E-4649-9360-7ADFF1B2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Jennifer Guimond</cp:lastModifiedBy>
  <cp:revision>4</cp:revision>
  <cp:lastPrinted>2010-10-04T16:59:00Z</cp:lastPrinted>
  <dcterms:created xsi:type="dcterms:W3CDTF">2016-06-01T16:52:00Z</dcterms:created>
  <dcterms:modified xsi:type="dcterms:W3CDTF">2016-06-03T13:47:00Z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