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F" w:rsidRPr="007D66A0" w:rsidRDefault="001B6A37" w:rsidP="00FD680C">
      <w:pPr>
        <w:framePr w:w="11520" w:h="1641" w:hRule="exact" w:hSpace="90" w:vSpace="90" w:wrap="auto" w:vAnchor="page" w:hAnchor="page" w:x="486" w:y="276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080"/>
        </w:tabs>
        <w:ind w:right="17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9D4E5DE" wp14:editId="278355EF">
            <wp:extent cx="7094855" cy="982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113" r="-29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A1" w:rsidRPr="007D66A0" w:rsidRDefault="00EC3AA1" w:rsidP="00977951">
      <w:pPr>
        <w:pStyle w:val="Heading2"/>
        <w:tabs>
          <w:tab w:val="clear" w:pos="606"/>
          <w:tab w:val="clear" w:pos="663"/>
          <w:tab w:val="clear" w:pos="9303"/>
          <w:tab w:val="left" w:pos="720"/>
          <w:tab w:val="left" w:pos="10080"/>
        </w:tabs>
        <w:ind w:left="0" w:right="173"/>
      </w:pPr>
      <w:r w:rsidRPr="007D66A0">
        <w:t>Date:</w:t>
      </w:r>
      <w:r w:rsidRPr="007D66A0">
        <w:tab/>
      </w:r>
      <w:r w:rsidRPr="007D66A0">
        <w:tab/>
      </w:r>
      <w:r w:rsidR="00FD680C">
        <w:t>December 9</w:t>
      </w:r>
      <w:r w:rsidR="004B2C3E">
        <w:t>, 2014</w:t>
      </w:r>
    </w:p>
    <w:p w:rsidR="00EC3AA1" w:rsidRPr="00D51681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12"/>
          <w:szCs w:val="12"/>
        </w:rPr>
      </w:pPr>
    </w:p>
    <w:p w:rsidR="00EC3AA1" w:rsidRPr="007D66A0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24"/>
        </w:rPr>
      </w:pPr>
      <w:r w:rsidRPr="007D66A0">
        <w:rPr>
          <w:rFonts w:ascii="Times New Roman" w:hAnsi="Times New Roman"/>
          <w:sz w:val="24"/>
        </w:rPr>
        <w:t>To:</w:t>
      </w:r>
      <w:r w:rsidRPr="007D66A0">
        <w:rPr>
          <w:rFonts w:ascii="Times New Roman" w:hAnsi="Times New Roman"/>
          <w:sz w:val="24"/>
        </w:rPr>
        <w:tab/>
      </w:r>
      <w:r w:rsidRPr="007D66A0">
        <w:rPr>
          <w:rFonts w:ascii="Times New Roman" w:hAnsi="Times New Roman"/>
          <w:sz w:val="24"/>
        </w:rPr>
        <w:tab/>
        <w:t>Office of Management and Budget (OMB)</w:t>
      </w:r>
      <w:r w:rsidRPr="007D66A0">
        <w:rPr>
          <w:rFonts w:ascii="Times New Roman" w:hAnsi="Times New Roman"/>
          <w:sz w:val="24"/>
        </w:rPr>
        <w:tab/>
      </w:r>
    </w:p>
    <w:p w:rsidR="00EC3AA1" w:rsidRPr="00D51681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12"/>
          <w:szCs w:val="12"/>
        </w:rPr>
      </w:pPr>
    </w:p>
    <w:p w:rsidR="00EC3AA1" w:rsidRPr="00712C56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24"/>
        </w:rPr>
      </w:pPr>
      <w:r w:rsidRPr="007D66A0">
        <w:rPr>
          <w:rFonts w:ascii="Times New Roman" w:hAnsi="Times New Roman"/>
          <w:sz w:val="24"/>
        </w:rPr>
        <w:t>Through:</w:t>
      </w:r>
      <w:r w:rsidRPr="007D66A0">
        <w:rPr>
          <w:rFonts w:ascii="Times New Roman" w:hAnsi="Times New Roman"/>
          <w:sz w:val="24"/>
        </w:rPr>
        <w:tab/>
      </w:r>
      <w:r w:rsidR="006D3E3F">
        <w:rPr>
          <w:rFonts w:ascii="Times New Roman" w:hAnsi="Times New Roman"/>
          <w:sz w:val="24"/>
        </w:rPr>
        <w:t>Darius Taylor</w:t>
      </w:r>
      <w:r w:rsidRPr="00712C56">
        <w:rPr>
          <w:rFonts w:ascii="Times New Roman" w:hAnsi="Times New Roman"/>
          <w:sz w:val="24"/>
        </w:rPr>
        <w:t>, Report Clearance Officer</w:t>
      </w:r>
      <w:r w:rsidR="005F43E1">
        <w:rPr>
          <w:rFonts w:ascii="Times New Roman" w:hAnsi="Times New Roman"/>
          <w:sz w:val="24"/>
        </w:rPr>
        <w:t xml:space="preserve">, </w:t>
      </w:r>
      <w:proofErr w:type="gramStart"/>
      <w:r w:rsidR="005F43E1">
        <w:rPr>
          <w:rFonts w:ascii="Times New Roman" w:hAnsi="Times New Roman"/>
          <w:sz w:val="24"/>
        </w:rPr>
        <w:t>DHHS</w:t>
      </w:r>
      <w:proofErr w:type="gramEnd"/>
    </w:p>
    <w:p w:rsidR="00EC3AA1" w:rsidRPr="00712C56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24"/>
        </w:rPr>
      </w:pPr>
      <w:r w:rsidRPr="00712C56">
        <w:rPr>
          <w:rFonts w:ascii="Times New Roman" w:hAnsi="Times New Roman"/>
          <w:sz w:val="24"/>
        </w:rPr>
        <w:tab/>
      </w:r>
      <w:r w:rsidRPr="00712C56">
        <w:rPr>
          <w:rFonts w:ascii="Times New Roman" w:hAnsi="Times New Roman"/>
          <w:sz w:val="24"/>
        </w:rPr>
        <w:tab/>
      </w:r>
      <w:r w:rsidR="006D3E3F">
        <w:rPr>
          <w:rFonts w:ascii="Times New Roman" w:hAnsi="Times New Roman"/>
          <w:sz w:val="24"/>
        </w:rPr>
        <w:t>Seleda Perryman</w:t>
      </w:r>
      <w:r w:rsidR="00712C56" w:rsidRPr="00712C56">
        <w:rPr>
          <w:rFonts w:ascii="Times New Roman" w:hAnsi="Times New Roman"/>
          <w:sz w:val="24"/>
        </w:rPr>
        <w:t>,</w:t>
      </w:r>
      <w:r w:rsidR="00A143DB">
        <w:rPr>
          <w:rFonts w:ascii="Times New Roman" w:hAnsi="Times New Roman"/>
          <w:sz w:val="24"/>
        </w:rPr>
        <w:t xml:space="preserve"> Chief</w:t>
      </w:r>
      <w:r w:rsidR="00712C56" w:rsidRPr="00712C56">
        <w:rPr>
          <w:rFonts w:ascii="Times New Roman" w:hAnsi="Times New Roman"/>
          <w:sz w:val="24"/>
        </w:rPr>
        <w:t>, Project Clearance Branch, OPERA</w:t>
      </w:r>
      <w:r w:rsidR="005F43E1">
        <w:rPr>
          <w:rFonts w:ascii="Times New Roman" w:hAnsi="Times New Roman"/>
          <w:sz w:val="24"/>
        </w:rPr>
        <w:t>, NIH</w:t>
      </w:r>
    </w:p>
    <w:p w:rsidR="00EC3AA1" w:rsidRPr="00712C56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24"/>
        </w:rPr>
      </w:pPr>
      <w:r w:rsidRPr="00712C56">
        <w:rPr>
          <w:rFonts w:ascii="Times New Roman" w:hAnsi="Times New Roman"/>
          <w:sz w:val="24"/>
        </w:rPr>
        <w:tab/>
      </w:r>
      <w:r w:rsidRPr="00712C56">
        <w:rPr>
          <w:rFonts w:ascii="Times New Roman" w:hAnsi="Times New Roman"/>
          <w:sz w:val="24"/>
        </w:rPr>
        <w:tab/>
      </w:r>
      <w:r w:rsidR="004B2C3E">
        <w:rPr>
          <w:rFonts w:ascii="Times New Roman" w:hAnsi="Times New Roman"/>
          <w:sz w:val="24"/>
        </w:rPr>
        <w:t>Karla Bailey</w:t>
      </w:r>
      <w:r w:rsidR="00712C56" w:rsidRPr="00712C56">
        <w:rPr>
          <w:rFonts w:ascii="Times New Roman" w:hAnsi="Times New Roman"/>
          <w:sz w:val="24"/>
        </w:rPr>
        <w:t xml:space="preserve">, </w:t>
      </w:r>
      <w:r w:rsidR="005D5D8F">
        <w:rPr>
          <w:rFonts w:ascii="Times New Roman" w:hAnsi="Times New Roman"/>
          <w:sz w:val="24"/>
        </w:rPr>
        <w:t xml:space="preserve">PRA </w:t>
      </w:r>
      <w:r w:rsidR="00712C56" w:rsidRPr="00712C56">
        <w:rPr>
          <w:rFonts w:ascii="Times New Roman" w:hAnsi="Times New Roman"/>
          <w:sz w:val="24"/>
        </w:rPr>
        <w:t>OMB Project Clearance Liaison, OMAA</w:t>
      </w:r>
      <w:r w:rsidR="005F43E1">
        <w:rPr>
          <w:rFonts w:ascii="Times New Roman" w:hAnsi="Times New Roman"/>
          <w:sz w:val="24"/>
        </w:rPr>
        <w:t>, NCI</w:t>
      </w:r>
    </w:p>
    <w:p w:rsidR="00EC3AA1" w:rsidRPr="00D51681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12"/>
          <w:szCs w:val="12"/>
        </w:rPr>
      </w:pPr>
    </w:p>
    <w:p w:rsidR="005F43E1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color w:val="FF0000"/>
          <w:sz w:val="24"/>
        </w:rPr>
      </w:pPr>
      <w:r w:rsidRPr="007D66A0">
        <w:rPr>
          <w:rFonts w:ascii="Times New Roman" w:hAnsi="Times New Roman"/>
          <w:sz w:val="24"/>
        </w:rPr>
        <w:t>From:</w:t>
      </w:r>
      <w:r w:rsidRPr="007D66A0">
        <w:rPr>
          <w:rFonts w:ascii="Times New Roman" w:hAnsi="Times New Roman"/>
          <w:sz w:val="24"/>
        </w:rPr>
        <w:tab/>
      </w:r>
      <w:r w:rsidRPr="007D66A0">
        <w:rPr>
          <w:rFonts w:ascii="Times New Roman" w:hAnsi="Times New Roman"/>
          <w:sz w:val="24"/>
        </w:rPr>
        <w:tab/>
      </w:r>
      <w:r w:rsidR="0054788D">
        <w:rPr>
          <w:rFonts w:ascii="Times New Roman" w:hAnsi="Times New Roman"/>
          <w:sz w:val="24"/>
        </w:rPr>
        <w:t>Rebecca Ferrer, Health Scientist Administrator</w:t>
      </w:r>
      <w:r w:rsidR="00C006C4" w:rsidRPr="00C006C4">
        <w:rPr>
          <w:rFonts w:ascii="Times New Roman" w:hAnsi="Times New Roman"/>
          <w:color w:val="FF0000"/>
          <w:sz w:val="24"/>
        </w:rPr>
        <w:t xml:space="preserve"> </w:t>
      </w:r>
    </w:p>
    <w:p w:rsidR="00EC3AA1" w:rsidRPr="00C006C4" w:rsidRDefault="005F43E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FD680C">
        <w:rPr>
          <w:rFonts w:ascii="Times New Roman" w:hAnsi="Times New Roman"/>
          <w:color w:val="FF0000"/>
          <w:sz w:val="24"/>
        </w:rPr>
        <w:tab/>
      </w:r>
      <w:r w:rsidR="00C006C4" w:rsidRPr="0054788D">
        <w:rPr>
          <w:rFonts w:ascii="Times New Roman" w:hAnsi="Times New Roman"/>
          <w:sz w:val="24"/>
        </w:rPr>
        <w:t>Division</w:t>
      </w:r>
      <w:r w:rsidR="0054788D">
        <w:rPr>
          <w:rFonts w:ascii="Times New Roman" w:hAnsi="Times New Roman"/>
          <w:sz w:val="24"/>
        </w:rPr>
        <w:t xml:space="preserve"> of Cancer Control and Population Sciences</w:t>
      </w:r>
      <w:r w:rsidR="00C006C4" w:rsidRPr="00C006C4">
        <w:rPr>
          <w:rFonts w:ascii="Times New Roman" w:hAnsi="Times New Roman"/>
          <w:sz w:val="24"/>
        </w:rPr>
        <w:tab/>
      </w:r>
      <w:r w:rsidR="00C006C4" w:rsidRPr="00C006C4">
        <w:rPr>
          <w:rFonts w:ascii="Times New Roman" w:hAnsi="Times New Roman"/>
          <w:sz w:val="24"/>
        </w:rPr>
        <w:tab/>
      </w:r>
    </w:p>
    <w:p w:rsidR="00170597" w:rsidRDefault="005F43E1">
      <w:pPr>
        <w:pStyle w:val="Heading"/>
        <w:spacing w:before="0" w:after="0"/>
        <w:ind w:hanging="90"/>
        <w:rPr>
          <w:color w:val="000000"/>
        </w:rPr>
      </w:pPr>
      <w:r w:rsidRPr="001C3BF0">
        <w:rPr>
          <w:color w:val="000000"/>
        </w:rPr>
        <w:t>National Cancer Institute (NCI)/NIH</w:t>
      </w:r>
    </w:p>
    <w:p w:rsidR="00EC3AA1" w:rsidRPr="00D51681" w:rsidRDefault="00EC3AA1" w:rsidP="00977951">
      <w:pPr>
        <w:widowControl/>
        <w:tabs>
          <w:tab w:val="left" w:pos="72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rFonts w:ascii="Times New Roman" w:hAnsi="Times New Roman"/>
          <w:sz w:val="12"/>
          <w:szCs w:val="12"/>
        </w:rPr>
      </w:pPr>
    </w:p>
    <w:p w:rsidR="00EC3AA1" w:rsidRPr="004B2C3E" w:rsidRDefault="00C20680" w:rsidP="002F4FB0">
      <w:pPr>
        <w:pStyle w:val="Headinglast"/>
        <w:tabs>
          <w:tab w:val="left" w:pos="1350"/>
        </w:tabs>
        <w:spacing w:before="0" w:after="0"/>
        <w:ind w:left="1350" w:hanging="1350"/>
        <w:rPr>
          <w:b/>
        </w:rPr>
      </w:pPr>
      <w:r>
        <w:t>Subject:</w:t>
      </w:r>
      <w:r>
        <w:tab/>
      </w:r>
      <w:r w:rsidR="005F43E1">
        <w:t xml:space="preserve">Generic Sub-study, </w:t>
      </w:r>
      <w:bookmarkStart w:id="0" w:name="_GoBack"/>
      <w:r w:rsidR="00B846B0">
        <w:rPr>
          <w:b/>
        </w:rPr>
        <w:t>Self-affirmation and affect</w:t>
      </w:r>
      <w:bookmarkEnd w:id="0"/>
      <w:r w:rsidR="004B2C3E">
        <w:rPr>
          <w:b/>
        </w:rPr>
        <w:t xml:space="preserve">, </w:t>
      </w:r>
      <w:r w:rsidR="005F43E1" w:rsidRPr="00C93324">
        <w:t xml:space="preserve">under </w:t>
      </w:r>
      <w:r w:rsidR="005F43E1" w:rsidRPr="00B26D24">
        <w:t>“</w:t>
      </w:r>
      <w:r w:rsidR="00B26D24" w:rsidRPr="00B26D24">
        <w:t>A Generic Submission for Theory Development and Validation (NCI)</w:t>
      </w:r>
      <w:r w:rsidR="005F43E1" w:rsidRPr="00B26D24">
        <w:t>,” (OMB No. 0925-</w:t>
      </w:r>
      <w:r w:rsidR="00B26D24" w:rsidRPr="00B26D24">
        <w:t>0645</w:t>
      </w:r>
      <w:r w:rsidR="005F43E1" w:rsidRPr="00B26D24">
        <w:t xml:space="preserve">, Expiry Date </w:t>
      </w:r>
      <w:r w:rsidR="000952B0">
        <w:t>11/30/2017</w:t>
      </w:r>
      <w:r w:rsidR="005F43E1" w:rsidRPr="00B26D24">
        <w:t>)</w:t>
      </w:r>
      <w:r w:rsidR="005F43E1" w:rsidRPr="00C93324">
        <w:t xml:space="preserve"> </w:t>
      </w:r>
    </w:p>
    <w:p w:rsidR="000F4EB8" w:rsidRPr="00D51681" w:rsidRDefault="000F4EB8">
      <w:pPr>
        <w:widowControl/>
        <w:rPr>
          <w:rFonts w:ascii="Times New Roman" w:hAnsi="Times New Roman"/>
          <w:color w:val="FF0000"/>
          <w:sz w:val="12"/>
          <w:szCs w:val="12"/>
        </w:rPr>
      </w:pPr>
    </w:p>
    <w:p w:rsidR="005E7833" w:rsidRDefault="005E7833">
      <w:pPr>
        <w:widowControl/>
        <w:rPr>
          <w:rFonts w:ascii="Times New Roman" w:hAnsi="Times New Roman"/>
          <w:color w:val="FF0000"/>
          <w:sz w:val="24"/>
        </w:rPr>
      </w:pPr>
      <w:r w:rsidRPr="007D66A0">
        <w:rPr>
          <w:rFonts w:ascii="Times New Roman" w:hAnsi="Times New Roman"/>
          <w:sz w:val="24"/>
          <w:u w:val="single"/>
        </w:rPr>
        <w:t>Background</w:t>
      </w:r>
      <w:r w:rsidR="00FA528D">
        <w:rPr>
          <w:rFonts w:ascii="Times New Roman" w:hAnsi="Times New Roman"/>
          <w:sz w:val="24"/>
          <w:u w:val="single"/>
        </w:rPr>
        <w:t>/ Need and Use for Information</w:t>
      </w:r>
    </w:p>
    <w:p w:rsidR="00B846B0" w:rsidRDefault="00FA528D" w:rsidP="00FA528D">
      <w:pPr>
        <w:widowControl/>
        <w:tabs>
          <w:tab w:val="num" w:pos="1440"/>
        </w:tabs>
        <w:autoSpaceDE/>
        <w:autoSpaceDN/>
        <w:adjustRightInd/>
        <w:spacing w:line="240" w:lineRule="atLeast"/>
        <w:jc w:val="both"/>
        <w:rPr>
          <w:rFonts w:ascii="Times New Roman" w:hAnsi="Times New Roman"/>
          <w:sz w:val="24"/>
        </w:rPr>
      </w:pPr>
      <w:r w:rsidRPr="00754DC6">
        <w:rPr>
          <w:rFonts w:ascii="Times New Roman" w:hAnsi="Times New Roman"/>
          <w:sz w:val="24"/>
        </w:rPr>
        <w:t>The National Cancer Institute’s (NCI) Behavioral Research Program (BRP) is within the Division of Cancer Control and Population Sciences (DCCPS). BRP initiates, supports, and evaluates a comprehensive program of research ranging from basic behavioral research to the development, testing, and dissemination of interventions.</w:t>
      </w:r>
      <w:r>
        <w:rPr>
          <w:rFonts w:ascii="Times New Roman" w:hAnsi="Times New Roman"/>
          <w:sz w:val="24"/>
        </w:rPr>
        <w:t xml:space="preserve"> The goal of BRP is</w:t>
      </w:r>
      <w:r w:rsidRPr="00754DC6">
        <w:rPr>
          <w:rFonts w:ascii="Times New Roman" w:hAnsi="Times New Roman"/>
          <w:sz w:val="24"/>
        </w:rPr>
        <w:t xml:space="preserve"> to increase the breadth, depth, and quality of behavioral research in cancer prevention and control.</w:t>
      </w:r>
      <w:r>
        <w:rPr>
          <w:rFonts w:ascii="Times New Roman" w:hAnsi="Times New Roman"/>
          <w:sz w:val="24"/>
        </w:rPr>
        <w:t xml:space="preserve"> BRP conducts formative research to develop and validate cancer-related behavioral theories. This sub-study</w:t>
      </w:r>
      <w:r w:rsidR="00A143DB">
        <w:rPr>
          <w:rFonts w:ascii="Times New Roman" w:hAnsi="Times New Roman"/>
          <w:sz w:val="24"/>
        </w:rPr>
        <w:t xml:space="preserve"> </w:t>
      </w:r>
      <w:r w:rsidR="009439E5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a voluntary, low-burden, non-controversial, formative behavioral research project related to theory development and validation. </w:t>
      </w:r>
      <w:r w:rsidRPr="00EA3F06">
        <w:rPr>
          <w:rFonts w:ascii="Times New Roman" w:hAnsi="Times New Roman"/>
          <w:sz w:val="24"/>
        </w:rPr>
        <w:t xml:space="preserve">Data collection for this project is authorized under </w:t>
      </w:r>
      <w:r w:rsidRPr="007C1773">
        <w:rPr>
          <w:rFonts w:ascii="Times New Roman" w:hAnsi="Times New Roman"/>
          <w:color w:val="000000"/>
          <w:sz w:val="24"/>
        </w:rPr>
        <w:t xml:space="preserve">42 </w:t>
      </w:r>
      <w:smartTag w:uri="urn:schemas-microsoft-com:office:smarttags" w:element="stockticker">
        <w:r w:rsidRPr="007C1773">
          <w:rPr>
            <w:rFonts w:ascii="Times New Roman" w:hAnsi="Times New Roman"/>
            <w:color w:val="000000"/>
            <w:sz w:val="24"/>
          </w:rPr>
          <w:t>USC</w:t>
        </w:r>
      </w:smartTag>
      <w:r w:rsidRPr="007C1773">
        <w:rPr>
          <w:rFonts w:ascii="Times New Roman" w:hAnsi="Times New Roman"/>
          <w:color w:val="000000"/>
          <w:sz w:val="24"/>
        </w:rPr>
        <w:t> </w:t>
      </w:r>
      <w:r w:rsidRPr="007C1773">
        <w:rPr>
          <w:rFonts w:ascii="Times New Roman" w:hAnsi="Times New Roman"/>
          <w:i/>
          <w:iCs/>
          <w:color w:val="000000"/>
          <w:sz w:val="24"/>
        </w:rPr>
        <w:t>§</w:t>
      </w:r>
      <w:r w:rsidRPr="007C1773">
        <w:rPr>
          <w:rFonts w:ascii="Times New Roman" w:hAnsi="Times New Roman"/>
          <w:color w:val="000000"/>
          <w:sz w:val="24"/>
        </w:rPr>
        <w:t xml:space="preserve"> 285 and 285a</w:t>
      </w:r>
      <w:r>
        <w:rPr>
          <w:rFonts w:ascii="Times New Roman" w:hAnsi="Times New Roman"/>
          <w:sz w:val="24"/>
        </w:rPr>
        <w:t>-1</w:t>
      </w:r>
      <w:r w:rsidRPr="00EA3F06">
        <w:rPr>
          <w:rFonts w:ascii="Times New Roman" w:hAnsi="Times New Roman"/>
          <w:sz w:val="24"/>
        </w:rPr>
        <w:t xml:space="preserve"> (Section 410 and 412 of the Public Health Service Act).   </w:t>
      </w:r>
    </w:p>
    <w:p w:rsidR="00D51681" w:rsidRPr="00D51681" w:rsidRDefault="00D51681" w:rsidP="00FA528D">
      <w:pPr>
        <w:widowControl/>
        <w:tabs>
          <w:tab w:val="num" w:pos="1440"/>
        </w:tabs>
        <w:autoSpaceDE/>
        <w:autoSpaceDN/>
        <w:adjustRightInd/>
        <w:spacing w:line="240" w:lineRule="atLeast"/>
        <w:jc w:val="both"/>
        <w:rPr>
          <w:rFonts w:ascii="Times New Roman" w:hAnsi="Times New Roman"/>
          <w:sz w:val="12"/>
          <w:szCs w:val="12"/>
        </w:rPr>
      </w:pPr>
    </w:p>
    <w:p w:rsidR="00FA528D" w:rsidRDefault="00B846B0" w:rsidP="00BE15A1">
      <w:pPr>
        <w:widowControl/>
        <w:tabs>
          <w:tab w:val="num" w:pos="1440"/>
        </w:tabs>
        <w:autoSpaceDE/>
        <w:autoSpaceDN/>
        <w:adjustRightInd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information collection is similar to previously approved sub-studies #1 and 3, under the same generic clearance. This information collection is necessary to further refine and validate </w:t>
      </w:r>
      <w:r w:rsidRPr="00636E40">
        <w:rPr>
          <w:rFonts w:ascii="Times New Roman" w:hAnsi="Times New Roman"/>
          <w:sz w:val="24"/>
        </w:rPr>
        <w:t>a theory regarding health communications about alcohol use</w:t>
      </w:r>
      <w:r>
        <w:rPr>
          <w:rFonts w:ascii="Times New Roman" w:hAnsi="Times New Roman"/>
          <w:sz w:val="24"/>
        </w:rPr>
        <w:t xml:space="preserve"> (a known risk factor for cancer). This collection is being planned in response to the suggestion of a prominent scientist and Editor of a journal that publishes formative, theory-based research. </w:t>
      </w:r>
      <w:r w:rsidR="007103A1">
        <w:rPr>
          <w:rFonts w:ascii="Times New Roman" w:hAnsi="Times New Roman"/>
          <w:sz w:val="24"/>
        </w:rPr>
        <w:t>These</w:t>
      </w:r>
      <w:r w:rsidR="007103A1" w:rsidRPr="00636E40">
        <w:rPr>
          <w:rFonts w:ascii="Times New Roman" w:hAnsi="Times New Roman"/>
          <w:sz w:val="24"/>
        </w:rPr>
        <w:t xml:space="preserve"> </w:t>
      </w:r>
      <w:r w:rsidR="00BE15A1" w:rsidRPr="00636E40">
        <w:rPr>
          <w:rFonts w:ascii="Times New Roman" w:hAnsi="Times New Roman"/>
          <w:sz w:val="24"/>
        </w:rPr>
        <w:t xml:space="preserve">data will be collected through the </w:t>
      </w:r>
      <w:r w:rsidR="00BE15A1">
        <w:rPr>
          <w:rFonts w:ascii="Times New Roman" w:hAnsi="Times New Roman"/>
          <w:sz w:val="24"/>
        </w:rPr>
        <w:t>Time Sharing Experiments in the Social Sciences (TESS)</w:t>
      </w:r>
      <w:r w:rsidR="00BE15A1" w:rsidRPr="00636E40">
        <w:rPr>
          <w:rFonts w:ascii="Times New Roman" w:hAnsi="Times New Roman"/>
          <w:sz w:val="24"/>
        </w:rPr>
        <w:t xml:space="preserve"> project. </w:t>
      </w:r>
      <w:r w:rsidR="007103A1">
        <w:rPr>
          <w:rFonts w:ascii="Times New Roman" w:hAnsi="Times New Roman"/>
          <w:sz w:val="24"/>
        </w:rPr>
        <w:t>Our</w:t>
      </w:r>
      <w:r w:rsidR="00BE15A1" w:rsidRPr="00636E40">
        <w:rPr>
          <w:rFonts w:ascii="Times New Roman" w:hAnsi="Times New Roman"/>
          <w:sz w:val="24"/>
        </w:rPr>
        <w:t xml:space="preserve"> proposal for this study was peer-reviewed by two </w:t>
      </w:r>
      <w:r w:rsidR="00BE15A1">
        <w:rPr>
          <w:rFonts w:ascii="Times New Roman" w:hAnsi="Times New Roman"/>
          <w:sz w:val="24"/>
        </w:rPr>
        <w:t xml:space="preserve">expert </w:t>
      </w:r>
      <w:r w:rsidR="00BE15A1" w:rsidRPr="00636E40">
        <w:rPr>
          <w:rFonts w:ascii="Times New Roman" w:hAnsi="Times New Roman"/>
          <w:sz w:val="24"/>
        </w:rPr>
        <w:t>reviewers, who recommended that it be accepted for fielding</w:t>
      </w:r>
      <w:r w:rsidR="00BE15A1">
        <w:rPr>
          <w:rFonts w:ascii="Times New Roman" w:hAnsi="Times New Roman"/>
          <w:sz w:val="24"/>
        </w:rPr>
        <w:t xml:space="preserve"> at no cost to the NCI</w:t>
      </w:r>
      <w:r w:rsidR="00BE15A1" w:rsidRPr="00636E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Thus, the need for information collection is justified based on a review of the extant literature </w:t>
      </w:r>
      <w:r w:rsidR="007103A1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the recommendation</w:t>
      </w:r>
      <w:r w:rsidR="00BE15A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</w:t>
      </w:r>
      <w:r w:rsidR="00BE15A1">
        <w:rPr>
          <w:rFonts w:ascii="Times New Roman" w:hAnsi="Times New Roman"/>
          <w:sz w:val="24"/>
        </w:rPr>
        <w:t>several</w:t>
      </w:r>
      <w:r>
        <w:rPr>
          <w:rFonts w:ascii="Times New Roman" w:hAnsi="Times New Roman"/>
          <w:sz w:val="24"/>
        </w:rPr>
        <w:t xml:space="preserve"> leading scientist</w:t>
      </w:r>
      <w:r w:rsidR="007103A1">
        <w:rPr>
          <w:rFonts w:ascii="Times New Roman" w:hAnsi="Times New Roman"/>
          <w:sz w:val="24"/>
        </w:rPr>
        <w:t>s in this area</w:t>
      </w:r>
      <w:r w:rsidR="00BE15A1">
        <w:rPr>
          <w:rFonts w:ascii="Times New Roman" w:hAnsi="Times New Roman"/>
          <w:sz w:val="24"/>
        </w:rPr>
        <w:t>.</w:t>
      </w:r>
      <w:r w:rsidR="002F4FB0">
        <w:rPr>
          <w:rFonts w:ascii="Times New Roman" w:hAnsi="Times New Roman"/>
          <w:sz w:val="24"/>
        </w:rPr>
        <w:t xml:space="preserve"> </w:t>
      </w:r>
      <w:r w:rsidR="004B2C3E" w:rsidRPr="00636E40">
        <w:rPr>
          <w:rFonts w:ascii="Times New Roman" w:hAnsi="Times New Roman"/>
          <w:sz w:val="24"/>
        </w:rPr>
        <w:t xml:space="preserve">In this proposed sub-study, we plan to refine and validate a theory regarding the role of the </w:t>
      </w:r>
      <w:r w:rsidR="004B2C3E">
        <w:rPr>
          <w:rFonts w:ascii="Times New Roman" w:hAnsi="Times New Roman"/>
          <w:sz w:val="24"/>
        </w:rPr>
        <w:t xml:space="preserve">self-related psychological that can influence how individuals respond to messages related to one’s own </w:t>
      </w:r>
      <w:r w:rsidR="00537B4D">
        <w:rPr>
          <w:rFonts w:ascii="Times New Roman" w:hAnsi="Times New Roman"/>
          <w:sz w:val="24"/>
        </w:rPr>
        <w:t>cancer</w:t>
      </w:r>
      <w:r w:rsidR="004B2C3E">
        <w:rPr>
          <w:rFonts w:ascii="Times New Roman" w:hAnsi="Times New Roman"/>
          <w:sz w:val="24"/>
        </w:rPr>
        <w:t xml:space="preserve"> risks</w:t>
      </w:r>
      <w:r w:rsidR="00BE15A1">
        <w:rPr>
          <w:rFonts w:ascii="Times New Roman" w:hAnsi="Times New Roman"/>
          <w:sz w:val="24"/>
        </w:rPr>
        <w:t>.</w:t>
      </w:r>
      <w:r w:rsidR="004B2C3E">
        <w:rPr>
          <w:rFonts w:ascii="Times New Roman" w:hAnsi="Times New Roman"/>
          <w:sz w:val="24"/>
        </w:rPr>
        <w:t xml:space="preserve"> </w:t>
      </w:r>
      <w:r w:rsidR="00BE15A1" w:rsidRPr="00636E40">
        <w:rPr>
          <w:rFonts w:ascii="Times New Roman" w:hAnsi="Times New Roman"/>
          <w:sz w:val="24"/>
        </w:rPr>
        <w:t xml:space="preserve">Using several conditions, </w:t>
      </w:r>
      <w:r w:rsidR="00BE15A1">
        <w:rPr>
          <w:rFonts w:ascii="Times New Roman" w:hAnsi="Times New Roman"/>
          <w:sz w:val="24"/>
        </w:rPr>
        <w:t xml:space="preserve">a survey will be </w:t>
      </w:r>
      <w:r w:rsidR="00BE15A1" w:rsidRPr="007E668E">
        <w:rPr>
          <w:rFonts w:ascii="Times New Roman" w:hAnsi="Times New Roman"/>
          <w:sz w:val="24"/>
        </w:rPr>
        <w:t>administered (</w:t>
      </w:r>
      <w:r w:rsidR="00BE15A1" w:rsidRPr="007E668E">
        <w:rPr>
          <w:rFonts w:ascii="Times New Roman" w:hAnsi="Times New Roman"/>
          <w:b/>
          <w:sz w:val="24"/>
        </w:rPr>
        <w:t>Attachment A</w:t>
      </w:r>
      <w:r w:rsidR="00BE15A1" w:rsidRPr="007E668E">
        <w:rPr>
          <w:rFonts w:ascii="Times New Roman" w:hAnsi="Times New Roman"/>
          <w:sz w:val="24"/>
        </w:rPr>
        <w:t>) that helps to refine a preliminary theory concerning the role of se</w:t>
      </w:r>
      <w:r w:rsidR="00BE15A1" w:rsidRPr="00636E40">
        <w:rPr>
          <w:rFonts w:ascii="Times New Roman" w:hAnsi="Times New Roman"/>
          <w:sz w:val="24"/>
        </w:rPr>
        <w:t>lf-affirmation – affirming one’s self value – and recall of affective experiences in responding to health communications.</w:t>
      </w:r>
    </w:p>
    <w:p w:rsidR="00FA528D" w:rsidRPr="00D51681" w:rsidRDefault="00FA528D" w:rsidP="00FA528D">
      <w:pPr>
        <w:pStyle w:val="BodyTextIndent3"/>
        <w:widowControl/>
        <w:tabs>
          <w:tab w:val="clear" w:pos="-1440"/>
          <w:tab w:val="clear" w:pos="-720"/>
          <w:tab w:val="clear" w:pos="-360"/>
          <w:tab w:val="clear" w:pos="360"/>
          <w:tab w:val="clear" w:pos="720"/>
          <w:tab w:val="clear" w:pos="108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num" w:pos="1440"/>
        </w:tabs>
        <w:autoSpaceDE/>
        <w:autoSpaceDN/>
        <w:adjustRightInd/>
        <w:spacing w:line="240" w:lineRule="atLeast"/>
        <w:ind w:left="0"/>
        <w:jc w:val="both"/>
        <w:rPr>
          <w:sz w:val="12"/>
          <w:szCs w:val="12"/>
        </w:rPr>
      </w:pPr>
    </w:p>
    <w:p w:rsidR="00B8793B" w:rsidRPr="00B8793B" w:rsidRDefault="004B2C3E" w:rsidP="00FA528D">
      <w:pPr>
        <w:pStyle w:val="BodyTextIndent3"/>
        <w:widowControl/>
        <w:tabs>
          <w:tab w:val="clear" w:pos="-1440"/>
          <w:tab w:val="clear" w:pos="-720"/>
          <w:tab w:val="clear" w:pos="-360"/>
          <w:tab w:val="clear" w:pos="360"/>
          <w:tab w:val="clear" w:pos="720"/>
          <w:tab w:val="clear" w:pos="108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num" w:pos="1440"/>
        </w:tabs>
        <w:autoSpaceDE/>
        <w:autoSpaceDN/>
        <w:adjustRightInd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Self-affirmation, Self-related Processes, and Receptiveness to Health Risk Information</w:t>
      </w:r>
    </w:p>
    <w:p w:rsidR="006D0764" w:rsidRDefault="004B2C3E" w:rsidP="00B26D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Individuals tend to be defensive against information that suggests their behavior puts them at risk for disease</w:t>
      </w:r>
      <w:r w:rsidR="00537B4D">
        <w:rPr>
          <w:rFonts w:ascii="Times New Roman" w:hAnsi="Times New Roman"/>
          <w:sz w:val="24"/>
        </w:rPr>
        <w:t>s such as cancer</w:t>
      </w:r>
      <w:r>
        <w:rPr>
          <w:rFonts w:ascii="Times New Roman" w:hAnsi="Times New Roman"/>
          <w:sz w:val="24"/>
        </w:rPr>
        <w:t>, and often do not believe such a message. Individuals are motivated to derogate the message because it threatens one’s sense of self-</w:t>
      </w:r>
      <w:r w:rsidR="007103A1">
        <w:rPr>
          <w:rFonts w:ascii="Times New Roman" w:hAnsi="Times New Roman"/>
          <w:sz w:val="24"/>
        </w:rPr>
        <w:t xml:space="preserve">competence </w:t>
      </w:r>
      <w:r>
        <w:rPr>
          <w:rFonts w:ascii="Times New Roman" w:hAnsi="Times New Roman"/>
          <w:sz w:val="24"/>
        </w:rPr>
        <w:t xml:space="preserve">to hold the belief that one would knowingly engage in a behavior that is counter to one’s own best interest. </w:t>
      </w:r>
      <w:r w:rsidR="007103A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elf-affirmation, or </w:t>
      </w:r>
      <w:r w:rsidR="002F4FB0">
        <w:rPr>
          <w:rFonts w:ascii="Times New Roman" w:hAnsi="Times New Roman"/>
          <w:sz w:val="24"/>
        </w:rPr>
        <w:t>affirming</w:t>
      </w:r>
      <w:r>
        <w:rPr>
          <w:rFonts w:ascii="Times New Roman" w:hAnsi="Times New Roman"/>
          <w:sz w:val="24"/>
        </w:rPr>
        <w:t xml:space="preserve"> one’s sense of </w:t>
      </w:r>
      <w:r w:rsidR="007103A1">
        <w:rPr>
          <w:rFonts w:ascii="Times New Roman" w:hAnsi="Times New Roman"/>
          <w:sz w:val="24"/>
        </w:rPr>
        <w:t xml:space="preserve">competence </w:t>
      </w:r>
      <w:r>
        <w:rPr>
          <w:rFonts w:ascii="Times New Roman" w:hAnsi="Times New Roman"/>
          <w:sz w:val="24"/>
        </w:rPr>
        <w:t xml:space="preserve">by reflecting on an important value (e.g., honesty, trust), can reduce defensiveness to </w:t>
      </w:r>
      <w:r w:rsidR="00537B4D">
        <w:rPr>
          <w:rFonts w:ascii="Times New Roman" w:hAnsi="Times New Roman"/>
          <w:sz w:val="24"/>
        </w:rPr>
        <w:t>information about cancer risk</w:t>
      </w:r>
      <w:r w:rsidR="007103A1">
        <w:rPr>
          <w:rFonts w:ascii="Times New Roman" w:hAnsi="Times New Roman"/>
          <w:sz w:val="24"/>
        </w:rPr>
        <w:t xml:space="preserve">, resulting in greater uptake of </w:t>
      </w:r>
      <w:r>
        <w:rPr>
          <w:rFonts w:ascii="Times New Roman" w:hAnsi="Times New Roman"/>
          <w:sz w:val="24"/>
        </w:rPr>
        <w:t xml:space="preserve">preventive </w:t>
      </w:r>
      <w:r>
        <w:rPr>
          <w:rFonts w:ascii="Times New Roman" w:hAnsi="Times New Roman"/>
          <w:sz w:val="24"/>
        </w:rPr>
        <w:lastRenderedPageBreak/>
        <w:t>behaviors.</w:t>
      </w:r>
      <w:r w:rsidR="007103A1">
        <w:rPr>
          <w:rFonts w:ascii="Times New Roman" w:hAnsi="Times New Roman"/>
          <w:sz w:val="24"/>
        </w:rPr>
        <w:t xml:space="preserve"> </w:t>
      </w:r>
      <w:r w:rsidR="00BE15A1">
        <w:rPr>
          <w:rFonts w:ascii="Times New Roman" w:hAnsi="Times New Roman"/>
          <w:sz w:val="24"/>
        </w:rPr>
        <w:t>It is predicted that</w:t>
      </w:r>
      <w:r w:rsidR="00BE15A1" w:rsidRPr="00B26D24">
        <w:rPr>
          <w:rFonts w:ascii="Times New Roman" w:hAnsi="Times New Roman"/>
          <w:b/>
          <w:sz w:val="24"/>
        </w:rPr>
        <w:t xml:space="preserve"> </w:t>
      </w:r>
      <w:r w:rsidR="00BE15A1" w:rsidRPr="00B26D24">
        <w:rPr>
          <w:rFonts w:ascii="Times New Roman" w:hAnsi="Times New Roman"/>
          <w:sz w:val="24"/>
        </w:rPr>
        <w:t xml:space="preserve">self-affirmation </w:t>
      </w:r>
      <w:r w:rsidR="002F4FB0">
        <w:rPr>
          <w:rFonts w:ascii="Times New Roman" w:hAnsi="Times New Roman"/>
          <w:sz w:val="24"/>
        </w:rPr>
        <w:t>facilitate</w:t>
      </w:r>
      <w:r w:rsidR="00BE15A1" w:rsidRPr="00B26D24">
        <w:rPr>
          <w:rFonts w:ascii="Times New Roman" w:hAnsi="Times New Roman"/>
          <w:sz w:val="24"/>
        </w:rPr>
        <w:t xml:space="preserve"> </w:t>
      </w:r>
      <w:r w:rsidR="00BE15A1">
        <w:rPr>
          <w:rFonts w:ascii="Times New Roman" w:hAnsi="Times New Roman"/>
          <w:sz w:val="24"/>
        </w:rPr>
        <w:t xml:space="preserve">greater acceptance of </w:t>
      </w:r>
      <w:r w:rsidR="007103A1">
        <w:rPr>
          <w:rFonts w:ascii="Times New Roman" w:hAnsi="Times New Roman"/>
          <w:sz w:val="24"/>
        </w:rPr>
        <w:t>information</w:t>
      </w:r>
      <w:r w:rsidR="00BE15A1">
        <w:rPr>
          <w:rFonts w:ascii="Times New Roman" w:hAnsi="Times New Roman"/>
          <w:sz w:val="24"/>
        </w:rPr>
        <w:t xml:space="preserve"> about the link between alcohol and breast cancer</w:t>
      </w:r>
      <w:r w:rsidR="009D09F6">
        <w:rPr>
          <w:rFonts w:ascii="Times New Roman" w:hAnsi="Times New Roman"/>
          <w:sz w:val="24"/>
        </w:rPr>
        <w:t>, but that this</w:t>
      </w:r>
      <w:r w:rsidR="00BE15A1" w:rsidRPr="00B26D24">
        <w:rPr>
          <w:rFonts w:ascii="Times New Roman" w:hAnsi="Times New Roman"/>
          <w:sz w:val="24"/>
        </w:rPr>
        <w:t xml:space="preserve"> </w:t>
      </w:r>
      <w:r w:rsidR="00BE15A1">
        <w:rPr>
          <w:rFonts w:ascii="Times New Roman" w:hAnsi="Times New Roman"/>
          <w:sz w:val="24"/>
        </w:rPr>
        <w:t>will depend on whether women recalled an affectively-charged experience prior to the affirmation</w:t>
      </w:r>
      <w:r w:rsidR="009D09F6">
        <w:rPr>
          <w:rFonts w:ascii="Times New Roman" w:hAnsi="Times New Roman"/>
          <w:sz w:val="24"/>
        </w:rPr>
        <w:t xml:space="preserve">, where those </w:t>
      </w:r>
      <w:r w:rsidR="00BE15A1">
        <w:rPr>
          <w:rFonts w:ascii="Times New Roman" w:hAnsi="Times New Roman"/>
          <w:sz w:val="24"/>
        </w:rPr>
        <w:t xml:space="preserve">recalling a happy or angry experience will benefit most from self-affirmation, compared to those recalling a neutral, surprising, or fearful experience. </w:t>
      </w:r>
      <w:r w:rsidR="006D0764" w:rsidRPr="007E668E">
        <w:rPr>
          <w:rFonts w:ascii="Times New Roman" w:hAnsi="Times New Roman"/>
          <w:sz w:val="24"/>
        </w:rPr>
        <w:t xml:space="preserve">For selected readings on </w:t>
      </w:r>
      <w:r w:rsidR="00537B4D" w:rsidRPr="007E668E">
        <w:rPr>
          <w:rFonts w:ascii="Times New Roman" w:hAnsi="Times New Roman"/>
          <w:sz w:val="24"/>
        </w:rPr>
        <w:t>self-affirmation</w:t>
      </w:r>
      <w:r w:rsidR="006D0764" w:rsidRPr="007E668E">
        <w:rPr>
          <w:rFonts w:ascii="Times New Roman" w:hAnsi="Times New Roman"/>
          <w:sz w:val="24"/>
        </w:rPr>
        <w:t xml:space="preserve">, see </w:t>
      </w:r>
      <w:r w:rsidR="006D0764" w:rsidRPr="007E668E">
        <w:rPr>
          <w:rFonts w:ascii="Times New Roman" w:hAnsi="Times New Roman"/>
          <w:b/>
          <w:sz w:val="24"/>
        </w:rPr>
        <w:t xml:space="preserve">Attachment </w:t>
      </w:r>
      <w:r w:rsidR="00BE15A1" w:rsidRPr="007E668E">
        <w:rPr>
          <w:rFonts w:ascii="Times New Roman" w:hAnsi="Times New Roman"/>
          <w:b/>
          <w:sz w:val="24"/>
        </w:rPr>
        <w:t>C</w:t>
      </w:r>
      <w:r w:rsidR="006D0764" w:rsidRPr="007E668E">
        <w:rPr>
          <w:rFonts w:ascii="Times New Roman" w:hAnsi="Times New Roman"/>
          <w:sz w:val="24"/>
        </w:rPr>
        <w:t>.</w:t>
      </w:r>
      <w:r w:rsidR="006D0764">
        <w:rPr>
          <w:rFonts w:ascii="Times New Roman" w:hAnsi="Times New Roman"/>
          <w:sz w:val="24"/>
        </w:rPr>
        <w:t xml:space="preserve"> </w:t>
      </w:r>
    </w:p>
    <w:p w:rsidR="006D0764" w:rsidRPr="00D51681" w:rsidRDefault="006D0764" w:rsidP="00B26D24">
      <w:pPr>
        <w:widowControl/>
        <w:rPr>
          <w:rFonts w:ascii="Times New Roman" w:hAnsi="Times New Roman"/>
          <w:sz w:val="12"/>
          <w:szCs w:val="12"/>
        </w:rPr>
      </w:pPr>
    </w:p>
    <w:p w:rsidR="000A6500" w:rsidRPr="00C625D9" w:rsidRDefault="000A6500" w:rsidP="000A6500">
      <w:pPr>
        <w:widowControl/>
        <w:rPr>
          <w:rFonts w:ascii="Times New Roman" w:hAnsi="Times New Roman"/>
          <w:sz w:val="24"/>
          <w:u w:val="single"/>
        </w:rPr>
      </w:pPr>
      <w:r w:rsidRPr="00C625D9">
        <w:rPr>
          <w:rFonts w:ascii="Times New Roman" w:hAnsi="Times New Roman"/>
          <w:sz w:val="24"/>
          <w:u w:val="single"/>
        </w:rPr>
        <w:t>Participants</w:t>
      </w:r>
      <w:r w:rsidR="006D3757" w:rsidRPr="00C625D9">
        <w:rPr>
          <w:rFonts w:ascii="Times New Roman" w:hAnsi="Times New Roman"/>
          <w:sz w:val="24"/>
          <w:u w:val="single"/>
        </w:rPr>
        <w:t>, Methodology, and Research Instrument</w:t>
      </w:r>
      <w:r w:rsidR="00C14D92" w:rsidRPr="00C625D9">
        <w:rPr>
          <w:rFonts w:ascii="Times New Roman" w:hAnsi="Times New Roman"/>
          <w:sz w:val="24"/>
          <w:u w:val="single"/>
        </w:rPr>
        <w:t xml:space="preserve"> </w:t>
      </w:r>
    </w:p>
    <w:p w:rsidR="00BE15A1" w:rsidRPr="00B26D24" w:rsidRDefault="006D3757">
      <w:pPr>
        <w:widowControl/>
        <w:rPr>
          <w:rFonts w:ascii="Times New Roman" w:hAnsi="Times New Roman"/>
          <w:sz w:val="24"/>
        </w:rPr>
      </w:pPr>
      <w:r w:rsidRPr="00C625D9">
        <w:rPr>
          <w:rFonts w:ascii="Times New Roman" w:hAnsi="Times New Roman"/>
          <w:sz w:val="24"/>
        </w:rPr>
        <w:t xml:space="preserve">Respondents will be </w:t>
      </w:r>
      <w:r w:rsidR="007F56FD">
        <w:rPr>
          <w:rFonts w:ascii="Times New Roman" w:hAnsi="Times New Roman"/>
          <w:sz w:val="24"/>
        </w:rPr>
        <w:t>640</w:t>
      </w:r>
      <w:r w:rsidRPr="00C625D9">
        <w:rPr>
          <w:rFonts w:ascii="Times New Roman" w:hAnsi="Times New Roman"/>
          <w:sz w:val="24"/>
        </w:rPr>
        <w:t xml:space="preserve"> </w:t>
      </w:r>
      <w:r w:rsidR="007F56FD">
        <w:rPr>
          <w:rFonts w:ascii="Times New Roman" w:hAnsi="Times New Roman"/>
          <w:sz w:val="24"/>
        </w:rPr>
        <w:t>women</w:t>
      </w:r>
      <w:r w:rsidR="00A143DB">
        <w:rPr>
          <w:rFonts w:ascii="Times New Roman" w:hAnsi="Times New Roman"/>
          <w:sz w:val="24"/>
        </w:rPr>
        <w:t xml:space="preserve"> who are standing survey participants of the GfK </w:t>
      </w:r>
      <w:r w:rsidR="00455463">
        <w:rPr>
          <w:rFonts w:ascii="Times New Roman" w:hAnsi="Times New Roman"/>
          <w:sz w:val="24"/>
        </w:rPr>
        <w:t xml:space="preserve">(an internet survey company) </w:t>
      </w:r>
      <w:r w:rsidR="00A143DB">
        <w:rPr>
          <w:rFonts w:ascii="Times New Roman" w:hAnsi="Times New Roman"/>
          <w:sz w:val="24"/>
        </w:rPr>
        <w:t>US panel</w:t>
      </w:r>
      <w:r w:rsidR="007F56FD">
        <w:rPr>
          <w:rFonts w:ascii="Times New Roman" w:hAnsi="Times New Roman"/>
          <w:sz w:val="24"/>
        </w:rPr>
        <w:t xml:space="preserve"> and</w:t>
      </w:r>
      <w:r w:rsidR="007F56FD" w:rsidRPr="00755320">
        <w:rPr>
          <w:rFonts w:ascii="Times New Roman" w:hAnsi="Times New Roman"/>
          <w:sz w:val="24"/>
        </w:rPr>
        <w:t xml:space="preserve"> who reported having consumed </w:t>
      </w:r>
      <w:r w:rsidR="007F56FD">
        <w:rPr>
          <w:rFonts w:ascii="Times New Roman" w:hAnsi="Times New Roman"/>
          <w:sz w:val="24"/>
        </w:rPr>
        <w:t>5+</w:t>
      </w:r>
      <w:r w:rsidR="007F56FD" w:rsidRPr="00755320">
        <w:rPr>
          <w:rFonts w:ascii="Times New Roman" w:hAnsi="Times New Roman"/>
          <w:sz w:val="24"/>
        </w:rPr>
        <w:t xml:space="preserve"> alcoholic drink in the past month</w:t>
      </w:r>
      <w:r w:rsidR="007F56FD">
        <w:rPr>
          <w:rFonts w:ascii="Times New Roman" w:hAnsi="Times New Roman"/>
          <w:sz w:val="24"/>
        </w:rPr>
        <w:t xml:space="preserve"> (to ensure relevance to the message about alcohol and breast cancer risk)</w:t>
      </w:r>
      <w:r w:rsidRPr="00C625D9">
        <w:rPr>
          <w:rFonts w:ascii="Times New Roman" w:hAnsi="Times New Roman"/>
          <w:sz w:val="24"/>
        </w:rPr>
        <w:t xml:space="preserve">. </w:t>
      </w:r>
      <w:r w:rsidR="005E1573">
        <w:rPr>
          <w:rFonts w:ascii="Times New Roman" w:hAnsi="Times New Roman"/>
          <w:sz w:val="24"/>
        </w:rPr>
        <w:t xml:space="preserve">GfK panelists </w:t>
      </w:r>
      <w:r w:rsidR="00A143DB">
        <w:rPr>
          <w:rFonts w:ascii="Times New Roman" w:hAnsi="Times New Roman"/>
          <w:sz w:val="24"/>
        </w:rPr>
        <w:t>will complete the survey as part of their membership on the panel;</w:t>
      </w:r>
      <w:r w:rsidR="005E1573">
        <w:rPr>
          <w:rFonts w:ascii="Times New Roman" w:hAnsi="Times New Roman"/>
          <w:sz w:val="24"/>
        </w:rPr>
        <w:t xml:space="preserve"> </w:t>
      </w:r>
      <w:r w:rsidR="00286E18">
        <w:rPr>
          <w:rFonts w:ascii="Times New Roman" w:hAnsi="Times New Roman"/>
          <w:sz w:val="24"/>
        </w:rPr>
        <w:t xml:space="preserve">there is </w:t>
      </w:r>
      <w:r w:rsidR="005E1573">
        <w:rPr>
          <w:rFonts w:ascii="Times New Roman" w:hAnsi="Times New Roman"/>
          <w:sz w:val="24"/>
        </w:rPr>
        <w:t>no remuneration for participating in this study</w:t>
      </w:r>
      <w:r w:rsidR="00C625D9">
        <w:rPr>
          <w:rFonts w:ascii="Times New Roman" w:hAnsi="Times New Roman"/>
          <w:sz w:val="24"/>
        </w:rPr>
        <w:t>. The survey will be fielded entirely online</w:t>
      </w:r>
      <w:r w:rsidR="00C8799C">
        <w:rPr>
          <w:rFonts w:ascii="Times New Roman" w:hAnsi="Times New Roman"/>
          <w:sz w:val="24"/>
        </w:rPr>
        <w:t>;</w:t>
      </w:r>
      <w:r w:rsidR="00C625D9">
        <w:rPr>
          <w:rFonts w:ascii="Times New Roman" w:hAnsi="Times New Roman"/>
          <w:sz w:val="24"/>
        </w:rPr>
        <w:t xml:space="preserve"> </w:t>
      </w:r>
      <w:r w:rsidR="00C8799C">
        <w:rPr>
          <w:rFonts w:ascii="Times New Roman" w:hAnsi="Times New Roman"/>
          <w:sz w:val="24"/>
        </w:rPr>
        <w:t>there will be ten conditions, and skip patterns are described</w:t>
      </w:r>
      <w:r w:rsidR="00D51681">
        <w:rPr>
          <w:rFonts w:ascii="Times New Roman" w:hAnsi="Times New Roman"/>
          <w:sz w:val="24"/>
        </w:rPr>
        <w:t xml:space="preserve"> in</w:t>
      </w:r>
      <w:r w:rsidR="00C8799C">
        <w:rPr>
          <w:rFonts w:ascii="Times New Roman" w:hAnsi="Times New Roman"/>
          <w:sz w:val="24"/>
        </w:rPr>
        <w:t xml:space="preserve"> </w:t>
      </w:r>
      <w:r w:rsidR="00C8799C" w:rsidRPr="00B9308C">
        <w:rPr>
          <w:rFonts w:ascii="Times New Roman" w:hAnsi="Times New Roman"/>
          <w:b/>
          <w:sz w:val="24"/>
        </w:rPr>
        <w:t>Attachment A</w:t>
      </w:r>
      <w:r w:rsidR="00C8799C">
        <w:rPr>
          <w:rFonts w:ascii="Times New Roman" w:hAnsi="Times New Roman"/>
          <w:sz w:val="24"/>
        </w:rPr>
        <w:t xml:space="preserve">. </w:t>
      </w:r>
      <w:r w:rsidRPr="00E527C7">
        <w:rPr>
          <w:rFonts w:ascii="Times New Roman" w:hAnsi="Times New Roman"/>
          <w:sz w:val="24"/>
        </w:rPr>
        <w:t xml:space="preserve">Information will be kept secure to the extent permitted by law. </w:t>
      </w:r>
      <w:r w:rsidR="0059352F" w:rsidRPr="00E527C7">
        <w:rPr>
          <w:rFonts w:ascii="Times New Roman" w:hAnsi="Times New Roman"/>
          <w:sz w:val="24"/>
        </w:rPr>
        <w:t>A</w:t>
      </w:r>
      <w:r w:rsidRPr="00E527C7">
        <w:rPr>
          <w:rFonts w:ascii="Times New Roman" w:hAnsi="Times New Roman"/>
          <w:sz w:val="24"/>
        </w:rPr>
        <w:t>nalyses will not yield results that can be generalized to the overall population</w:t>
      </w:r>
      <w:r w:rsidR="00C8799C">
        <w:rPr>
          <w:rFonts w:ascii="Times New Roman" w:hAnsi="Times New Roman"/>
          <w:sz w:val="24"/>
        </w:rPr>
        <w:t xml:space="preserve">, and </w:t>
      </w:r>
      <w:bookmarkStart w:id="1" w:name="OHSR"/>
      <w:r w:rsidR="00BE15A1" w:rsidRPr="00E527C7">
        <w:rPr>
          <w:rFonts w:ascii="Times New Roman" w:hAnsi="Times New Roman"/>
          <w:sz w:val="24"/>
        </w:rPr>
        <w:t xml:space="preserve">will involve examining correlations </w:t>
      </w:r>
      <w:r w:rsidR="00C8799C">
        <w:rPr>
          <w:rFonts w:ascii="Times New Roman" w:hAnsi="Times New Roman"/>
          <w:sz w:val="24"/>
        </w:rPr>
        <w:t xml:space="preserve">and interactions </w:t>
      </w:r>
      <w:r w:rsidR="00BE15A1" w:rsidRPr="00E527C7">
        <w:rPr>
          <w:rFonts w:ascii="Times New Roman" w:hAnsi="Times New Roman"/>
          <w:sz w:val="24"/>
        </w:rPr>
        <w:t xml:space="preserve">among self-affirmation, recall of affective experiences, </w:t>
      </w:r>
      <w:r w:rsidR="00C8799C">
        <w:rPr>
          <w:rFonts w:ascii="Times New Roman" w:hAnsi="Times New Roman"/>
          <w:sz w:val="24"/>
        </w:rPr>
        <w:t>and responses to the message</w:t>
      </w:r>
      <w:r w:rsidR="00BE15A1" w:rsidRPr="00E527C7">
        <w:rPr>
          <w:rFonts w:ascii="Times New Roman" w:hAnsi="Times New Roman"/>
          <w:sz w:val="24"/>
        </w:rPr>
        <w:t xml:space="preserve">. </w:t>
      </w:r>
      <w:r w:rsidR="00BE15A1">
        <w:rPr>
          <w:rFonts w:ascii="Times New Roman" w:hAnsi="Times New Roman"/>
          <w:bCs/>
          <w:sz w:val="24"/>
        </w:rPr>
        <w:t>Findings will be</w:t>
      </w:r>
      <w:r w:rsidR="00BE15A1" w:rsidRPr="00E527C7">
        <w:rPr>
          <w:rFonts w:ascii="Times New Roman" w:hAnsi="Times New Roman"/>
          <w:bCs/>
          <w:sz w:val="24"/>
        </w:rPr>
        <w:t xml:space="preserve"> disseminate</w:t>
      </w:r>
      <w:r w:rsidR="00BE15A1">
        <w:rPr>
          <w:rFonts w:ascii="Times New Roman" w:hAnsi="Times New Roman"/>
          <w:bCs/>
          <w:sz w:val="24"/>
        </w:rPr>
        <w:t>d</w:t>
      </w:r>
      <w:r w:rsidR="00BE15A1" w:rsidRPr="00E527C7">
        <w:rPr>
          <w:rFonts w:ascii="Times New Roman" w:hAnsi="Times New Roman"/>
          <w:bCs/>
          <w:sz w:val="24"/>
        </w:rPr>
        <w:t xml:space="preserve"> to relevant audiences </w:t>
      </w:r>
      <w:r w:rsidR="009D09F6">
        <w:rPr>
          <w:rFonts w:ascii="Times New Roman" w:hAnsi="Times New Roman"/>
          <w:bCs/>
          <w:sz w:val="24"/>
        </w:rPr>
        <w:t>(</w:t>
      </w:r>
      <w:r w:rsidR="00BE15A1" w:rsidRPr="00E527C7">
        <w:rPr>
          <w:rFonts w:ascii="Times New Roman" w:hAnsi="Times New Roman"/>
          <w:bCs/>
          <w:sz w:val="24"/>
        </w:rPr>
        <w:t>health psychologists/ public health researchers conferences, and in professional journals.</w:t>
      </w:r>
    </w:p>
    <w:p w:rsidR="000A6500" w:rsidRPr="00D51681" w:rsidRDefault="000A6500" w:rsidP="000A6500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173F11" w:rsidRDefault="000A6500" w:rsidP="00173F11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/>
          <w:sz w:val="24"/>
        </w:rPr>
      </w:pPr>
      <w:r w:rsidRPr="000A6500">
        <w:rPr>
          <w:rFonts w:ascii="Times New Roman" w:hAnsi="Times New Roman"/>
          <w:color w:val="000000"/>
          <w:sz w:val="24"/>
          <w:u w:val="single"/>
        </w:rPr>
        <w:t xml:space="preserve">Other </w:t>
      </w:r>
      <w:r w:rsidR="001604E7">
        <w:rPr>
          <w:rFonts w:ascii="Times New Roman" w:hAnsi="Times New Roman"/>
          <w:color w:val="000000"/>
          <w:sz w:val="24"/>
          <w:u w:val="single"/>
        </w:rPr>
        <w:t>Considerations</w:t>
      </w:r>
    </w:p>
    <w:p w:rsidR="00E80FDD" w:rsidRPr="00173F11" w:rsidRDefault="00A614D9" w:rsidP="00173F11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NCI Special </w:t>
      </w:r>
      <w:r w:rsidRPr="007E668E">
        <w:rPr>
          <w:rFonts w:ascii="Times New Roman" w:hAnsi="Times New Roman"/>
          <w:sz w:val="24"/>
        </w:rPr>
        <w:t xml:space="preserve">Studies </w:t>
      </w:r>
      <w:r w:rsidR="00576444" w:rsidRPr="007E668E">
        <w:rPr>
          <w:rFonts w:ascii="Times New Roman" w:hAnsi="Times New Roman"/>
          <w:sz w:val="24"/>
        </w:rPr>
        <w:t>Institutional Review Board approval for this study is attached (</w:t>
      </w:r>
      <w:r w:rsidR="00BE15A1" w:rsidRPr="007E668E">
        <w:rPr>
          <w:rFonts w:ascii="Times New Roman" w:hAnsi="Times New Roman"/>
          <w:b/>
          <w:sz w:val="24"/>
        </w:rPr>
        <w:t>Attachment D</w:t>
      </w:r>
      <w:r w:rsidR="00576444" w:rsidRPr="007E668E">
        <w:rPr>
          <w:rFonts w:ascii="Times New Roman" w:hAnsi="Times New Roman"/>
          <w:sz w:val="24"/>
        </w:rPr>
        <w:t>).</w:t>
      </w:r>
      <w:r w:rsidR="00173F11" w:rsidRPr="007E668E">
        <w:rPr>
          <w:rFonts w:ascii="Times New Roman" w:hAnsi="Times New Roman"/>
          <w:sz w:val="24"/>
        </w:rPr>
        <w:t xml:space="preserve"> PII will not be collected in conjunction with these items.</w:t>
      </w:r>
    </w:p>
    <w:p w:rsidR="001604E7" w:rsidRPr="00D51681" w:rsidRDefault="001604E7" w:rsidP="001604E7">
      <w:pPr>
        <w:widowControl/>
        <w:autoSpaceDE/>
        <w:autoSpaceDN/>
        <w:adjustRightInd/>
        <w:rPr>
          <w:rFonts w:ascii="Times New Roman" w:hAnsi="Times New Roman"/>
          <w:color w:val="FF0000"/>
          <w:sz w:val="12"/>
          <w:szCs w:val="12"/>
        </w:rPr>
      </w:pPr>
    </w:p>
    <w:p w:rsidR="001604E7" w:rsidRPr="00E527C7" w:rsidRDefault="001604E7" w:rsidP="001604E7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/>
          <w:color w:val="000000"/>
          <w:sz w:val="24"/>
          <w:u w:val="single"/>
        </w:rPr>
      </w:pPr>
      <w:r w:rsidRPr="00E527C7">
        <w:rPr>
          <w:rFonts w:ascii="Times New Roman" w:hAnsi="Times New Roman"/>
          <w:color w:val="000000"/>
          <w:sz w:val="24"/>
          <w:u w:val="single"/>
        </w:rPr>
        <w:t>Burden</w:t>
      </w:r>
    </w:p>
    <w:p w:rsidR="00DF4021" w:rsidRPr="00DF4021" w:rsidRDefault="00A614D9" w:rsidP="001604E7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The screener is not incorporated into burden</w:t>
      </w:r>
      <w:r w:rsidR="00D51681"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 xml:space="preserve"> eligibility will be determined </w:t>
      </w:r>
      <w:r w:rsidR="00D51681">
        <w:rPr>
          <w:rFonts w:ascii="Times New Roman" w:hAnsi="Times New Roman"/>
          <w:color w:val="000000"/>
          <w:sz w:val="24"/>
        </w:rPr>
        <w:t>from</w:t>
      </w:r>
      <w:r>
        <w:rPr>
          <w:rFonts w:ascii="Times New Roman" w:hAnsi="Times New Roman"/>
          <w:color w:val="000000"/>
          <w:sz w:val="24"/>
        </w:rPr>
        <w:t xml:space="preserve"> responses participants </w:t>
      </w:r>
      <w:r w:rsidR="00D51681">
        <w:rPr>
          <w:rFonts w:ascii="Times New Roman" w:hAnsi="Times New Roman"/>
          <w:color w:val="000000"/>
          <w:sz w:val="24"/>
        </w:rPr>
        <w:t>previously</w:t>
      </w:r>
      <w:r>
        <w:rPr>
          <w:rFonts w:ascii="Times New Roman" w:hAnsi="Times New Roman"/>
          <w:color w:val="000000"/>
          <w:sz w:val="24"/>
        </w:rPr>
        <w:t xml:space="preserve"> provided to GfK</w:t>
      </w:r>
      <w:r w:rsidR="00455463"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not at the request of the federal government</w:t>
      </w:r>
      <w:r w:rsidR="00455463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  <w:r w:rsidR="00DF4021" w:rsidRPr="00E527C7">
        <w:rPr>
          <w:rFonts w:ascii="Times New Roman" w:hAnsi="Times New Roman"/>
          <w:color w:val="000000"/>
          <w:sz w:val="24"/>
        </w:rPr>
        <w:t xml:space="preserve"> This effort will account for </w:t>
      </w:r>
      <w:r w:rsidR="00E527C7" w:rsidRPr="00E527C7">
        <w:rPr>
          <w:rFonts w:ascii="Times New Roman" w:hAnsi="Times New Roman"/>
          <w:color w:val="000000"/>
          <w:sz w:val="24"/>
        </w:rPr>
        <w:t xml:space="preserve">less than </w:t>
      </w:r>
      <w:r w:rsidR="007F56FD">
        <w:rPr>
          <w:rFonts w:ascii="Times New Roman" w:hAnsi="Times New Roman"/>
          <w:color w:val="000000"/>
          <w:sz w:val="24"/>
        </w:rPr>
        <w:t>6</w:t>
      </w:r>
      <w:r w:rsidR="00DF4021" w:rsidRPr="00E527C7">
        <w:rPr>
          <w:rFonts w:ascii="Times New Roman" w:hAnsi="Times New Roman"/>
          <w:color w:val="000000"/>
          <w:sz w:val="24"/>
        </w:rPr>
        <w:t xml:space="preserve">% of the total burden hours granted in the full generic OMB clearance package. To date, </w:t>
      </w:r>
      <w:r w:rsidR="007F56FD">
        <w:rPr>
          <w:rFonts w:ascii="Times New Roman" w:hAnsi="Times New Roman"/>
          <w:color w:val="000000"/>
          <w:sz w:val="24"/>
        </w:rPr>
        <w:t>0</w:t>
      </w:r>
      <w:r w:rsidR="00DF4021" w:rsidRPr="00E527C7">
        <w:rPr>
          <w:rFonts w:ascii="Times New Roman" w:hAnsi="Times New Roman"/>
          <w:color w:val="000000"/>
          <w:sz w:val="24"/>
        </w:rPr>
        <w:t xml:space="preserve"> burden hours have been used of the 6,000 requested. </w:t>
      </w:r>
      <w:r w:rsidR="00455463">
        <w:rPr>
          <w:rFonts w:ascii="Times New Roman" w:hAnsi="Times New Roman"/>
          <w:color w:val="000000"/>
          <w:sz w:val="24"/>
        </w:rPr>
        <w:t>A</w:t>
      </w:r>
      <w:r w:rsidR="009D09F6">
        <w:rPr>
          <w:rFonts w:ascii="Times New Roman" w:hAnsi="Times New Roman"/>
          <w:color w:val="000000"/>
          <w:sz w:val="24"/>
        </w:rPr>
        <w:t xml:space="preserve">dministration </w:t>
      </w:r>
      <w:r w:rsidR="0051625D" w:rsidRPr="00E527C7">
        <w:rPr>
          <w:rFonts w:ascii="Times New Roman" w:hAnsi="Times New Roman"/>
          <w:color w:val="000000"/>
          <w:sz w:val="24"/>
        </w:rPr>
        <w:t xml:space="preserve">costs will be assumed by </w:t>
      </w:r>
      <w:r w:rsidR="00E527C7" w:rsidRPr="00E527C7">
        <w:rPr>
          <w:rFonts w:ascii="Times New Roman" w:hAnsi="Times New Roman"/>
          <w:color w:val="000000"/>
          <w:sz w:val="24"/>
        </w:rPr>
        <w:t>TESS</w:t>
      </w:r>
      <w:r w:rsidR="00DF4021" w:rsidRPr="00E527C7">
        <w:rPr>
          <w:rFonts w:ascii="Times New Roman" w:hAnsi="Times New Roman"/>
          <w:color w:val="000000"/>
          <w:sz w:val="24"/>
        </w:rPr>
        <w:t>.</w:t>
      </w:r>
    </w:p>
    <w:bookmarkEnd w:id="1"/>
    <w:p w:rsidR="00A96BB0" w:rsidRPr="002F4FB0" w:rsidRDefault="00A96BB0" w:rsidP="00A96BB0">
      <w:pPr>
        <w:pStyle w:val="a"/>
        <w:autoSpaceDE/>
        <w:autoSpaceDN/>
        <w:adjustRightInd/>
        <w:ind w:left="1080"/>
        <w:rPr>
          <w:color w:val="FF0000"/>
          <w:szCs w:val="20"/>
        </w:rPr>
      </w:pPr>
    </w:p>
    <w:tbl>
      <w:tblPr>
        <w:tblW w:w="972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1260"/>
        <w:gridCol w:w="1260"/>
        <w:gridCol w:w="1710"/>
        <w:gridCol w:w="1350"/>
      </w:tblGrid>
      <w:tr w:rsidR="000C2E99" w:rsidRPr="009D09F6" w:rsidTr="002F4FB0">
        <w:tc>
          <w:tcPr>
            <w:tcW w:w="9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B11C95" w:rsidP="00B11C95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Estimates of</w:t>
            </w:r>
            <w:r w:rsidR="000C2E99" w:rsidRPr="009D09F6">
              <w:rPr>
                <w:rFonts w:ascii="Times New Roman" w:hAnsi="Times New Roman"/>
                <w:szCs w:val="20"/>
              </w:rPr>
              <w:t xml:space="preserve"> Burden</w:t>
            </w:r>
            <w:r w:rsidRPr="009D09F6">
              <w:rPr>
                <w:rFonts w:ascii="Times New Roman" w:hAnsi="Times New Roman"/>
                <w:szCs w:val="20"/>
              </w:rPr>
              <w:t xml:space="preserve"> Hours</w:t>
            </w:r>
          </w:p>
        </w:tc>
      </w:tr>
      <w:tr w:rsidR="002F4FB0" w:rsidRPr="009D09F6" w:rsidTr="002F4FB0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Types of Respondents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Instrument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Number of Respondents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Frequency of Response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Average Time Per Response (Hours)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Total</w:t>
            </w:r>
          </w:p>
          <w:p w:rsidR="000C2E99" w:rsidRPr="009D09F6" w:rsidRDefault="000C2E9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Hour Burden</w:t>
            </w:r>
          </w:p>
        </w:tc>
      </w:tr>
      <w:tr w:rsidR="002F4FB0" w:rsidRPr="009D09F6" w:rsidTr="002F4FB0">
        <w:trPr>
          <w:trHeight w:val="2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DF4021" w:rsidP="00117C30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General Public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DF4021" w:rsidP="00DF402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Survey (Attachment 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7F56FD" w:rsidP="000B426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640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DF4021" w:rsidP="000B426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E527C7" w:rsidP="009D09F6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30</w:t>
            </w:r>
            <w:r w:rsidR="00DF4021" w:rsidRPr="009D09F6">
              <w:rPr>
                <w:rFonts w:ascii="Times New Roman" w:hAnsi="Times New Roman"/>
                <w:szCs w:val="20"/>
              </w:rPr>
              <w:t>/60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F4021" w:rsidRPr="009D09F6" w:rsidRDefault="007F56FD" w:rsidP="000B4269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320</w:t>
            </w:r>
          </w:p>
        </w:tc>
      </w:tr>
      <w:tr w:rsidR="002F4FB0" w:rsidRPr="009D09F6" w:rsidTr="002F4FB0">
        <w:trPr>
          <w:trHeight w:val="15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74B84" w:rsidRPr="009D09F6" w:rsidRDefault="00274B84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74B84" w:rsidRPr="009D09F6" w:rsidRDefault="00274B84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74B84" w:rsidRPr="009D09F6" w:rsidRDefault="007F56FD" w:rsidP="0054788D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640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74B84" w:rsidRPr="009D09F6" w:rsidRDefault="00274B84" w:rsidP="0054788D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74B84" w:rsidRPr="009D09F6" w:rsidRDefault="00274B84" w:rsidP="009D09F6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74B84" w:rsidRPr="009D09F6" w:rsidRDefault="007F56FD" w:rsidP="002D377A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 w:rsidRPr="009D09F6">
              <w:rPr>
                <w:rFonts w:ascii="Times New Roman" w:hAnsi="Times New Roman"/>
                <w:szCs w:val="20"/>
              </w:rPr>
              <w:t>320</w:t>
            </w:r>
          </w:p>
        </w:tc>
      </w:tr>
    </w:tbl>
    <w:p w:rsidR="00117C30" w:rsidRDefault="00117C30" w:rsidP="007B3C6C">
      <w:pPr>
        <w:widowControl/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  <w:rPr>
          <w:rFonts w:ascii="Times New Roman" w:hAnsi="Times New Roman"/>
          <w:color w:val="FF0000"/>
          <w:sz w:val="12"/>
          <w:szCs w:val="12"/>
        </w:rPr>
      </w:pPr>
    </w:p>
    <w:p w:rsidR="00FD680C" w:rsidRPr="00D51681" w:rsidRDefault="00FD680C" w:rsidP="007B3C6C">
      <w:pPr>
        <w:widowControl/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  <w:rPr>
          <w:rFonts w:ascii="Times New Roman" w:hAnsi="Times New Roman"/>
          <w:color w:val="FF0000"/>
          <w:sz w:val="12"/>
          <w:szCs w:val="12"/>
        </w:rPr>
      </w:pPr>
    </w:p>
    <w:tbl>
      <w:tblPr>
        <w:tblW w:w="972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350"/>
        <w:gridCol w:w="1440"/>
        <w:gridCol w:w="2160"/>
      </w:tblGrid>
      <w:tr w:rsidR="00455463" w:rsidRPr="009D09F6" w:rsidTr="00D51681"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Government Cost Table</w:t>
            </w:r>
          </w:p>
        </w:tc>
      </w:tr>
      <w:tr w:rsidR="00455463" w:rsidRPr="009D09F6" w:rsidTr="00455463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Cost Type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Cost Base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Percent Effort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Cost to Government</w:t>
            </w:r>
          </w:p>
        </w:tc>
      </w:tr>
      <w:tr w:rsidR="00455463" w:rsidRPr="009D09F6" w:rsidTr="00455463">
        <w:trPr>
          <w:trHeight w:val="200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Staff (Program Director, GS 14 Step 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$113,346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1%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$1134</w:t>
            </w:r>
          </w:p>
        </w:tc>
      </w:tr>
      <w:tr w:rsidR="00455463" w:rsidRPr="009D09F6" w:rsidTr="00455463">
        <w:trPr>
          <w:trHeight w:val="15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Default="00455463" w:rsidP="00D51681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55463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55463" w:rsidRPr="009D09F6" w:rsidRDefault="00455463" w:rsidP="00D51681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$1134</w:t>
            </w:r>
          </w:p>
        </w:tc>
      </w:tr>
    </w:tbl>
    <w:p w:rsidR="00FD680C" w:rsidRDefault="00FD680C" w:rsidP="002F4FB0">
      <w:pPr>
        <w:pStyle w:val="Source"/>
        <w:spacing w:before="0" w:after="0"/>
        <w:ind w:left="0" w:firstLine="0"/>
        <w:rPr>
          <w:sz w:val="24"/>
          <w:szCs w:val="24"/>
          <w:u w:val="single"/>
        </w:rPr>
      </w:pPr>
    </w:p>
    <w:tbl>
      <w:tblPr>
        <w:tblW w:w="972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350"/>
        <w:gridCol w:w="1440"/>
        <w:gridCol w:w="2160"/>
      </w:tblGrid>
      <w:tr w:rsidR="00FD680C" w:rsidRPr="009D09F6" w:rsidTr="00831887"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Pr="009D09F6" w:rsidRDefault="00FD680C" w:rsidP="00FD680C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Respondent Cost Table</w:t>
            </w:r>
          </w:p>
        </w:tc>
      </w:tr>
      <w:tr w:rsidR="00FD680C" w:rsidRPr="009D09F6" w:rsidTr="00831887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Cost Type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Wage Rate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Burden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Annual Cost</w:t>
            </w:r>
          </w:p>
        </w:tc>
      </w:tr>
      <w:tr w:rsidR="00FD680C" w:rsidRPr="009D09F6" w:rsidTr="00831887">
        <w:trPr>
          <w:trHeight w:val="200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General Public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FD680C" w:rsidP="00FD680C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$22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$7,040</w:t>
            </w:r>
          </w:p>
        </w:tc>
      </w:tr>
      <w:tr w:rsidR="00FD680C" w:rsidRPr="009D09F6" w:rsidTr="00831887">
        <w:trPr>
          <w:trHeight w:val="15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Default="00FD680C" w:rsidP="00831887">
            <w:pPr>
              <w:widowControl/>
              <w:tabs>
                <w:tab w:val="left" w:pos="10080"/>
              </w:tabs>
              <w:ind w:right="17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D680C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FD680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D680C" w:rsidRPr="009D09F6" w:rsidRDefault="007309BC" w:rsidP="00831887">
            <w:pPr>
              <w:widowControl/>
              <w:tabs>
                <w:tab w:val="left" w:pos="10080"/>
              </w:tabs>
              <w:ind w:right="17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$7,040</w:t>
            </w:r>
          </w:p>
        </w:tc>
      </w:tr>
    </w:tbl>
    <w:p w:rsidR="00FD680C" w:rsidRPr="00FD680C" w:rsidRDefault="00FD680C" w:rsidP="00FD680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18"/>
        </w:rPr>
      </w:pPr>
      <w:r w:rsidRPr="00FD680C">
        <w:rPr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T</w:t>
      </w:r>
      <w:r w:rsidRPr="00FD680C">
        <w:rPr>
          <w:rFonts w:ascii="Times New Roman" w:hAnsi="Times New Roman"/>
          <w:sz w:val="18"/>
          <w:szCs w:val="18"/>
        </w:rPr>
        <w:t>he general public rate was obtained from the</w:t>
      </w:r>
      <w:r>
        <w:rPr>
          <w:rFonts w:ascii="Times New Roman" w:hAnsi="Times New Roman"/>
          <w:sz w:val="18"/>
          <w:szCs w:val="18"/>
        </w:rPr>
        <w:t xml:space="preserve"> most recent Bureau of Labor </w:t>
      </w:r>
      <w:proofErr w:type="gramStart"/>
      <w:r>
        <w:rPr>
          <w:rFonts w:ascii="Times New Roman" w:hAnsi="Times New Roman"/>
          <w:sz w:val="18"/>
          <w:szCs w:val="18"/>
        </w:rPr>
        <w:t xml:space="preserve">Statistics </w:t>
      </w:r>
      <w:r w:rsidRPr="00FD680C">
        <w:rPr>
          <w:rFonts w:ascii="Times New Roman" w:hAnsi="Times New Roman"/>
          <w:sz w:val="18"/>
          <w:szCs w:val="18"/>
        </w:rPr>
        <w:t xml:space="preserve"> </w:t>
      </w:r>
      <w:proofErr w:type="gramEnd"/>
      <w:hyperlink r:id="rId10" w:anchor="00-0000" w:history="1">
        <w:r w:rsidRPr="00FD680C">
          <w:rPr>
            <w:rStyle w:val="Hyperlink"/>
            <w:rFonts w:ascii="Times New Roman" w:hAnsi="Times New Roman"/>
            <w:sz w:val="18"/>
            <w:szCs w:val="18"/>
          </w:rPr>
          <w:t>http://www.bls.gov/oes/2013/may/oes_nat.htm#00-0000</w:t>
        </w:r>
      </w:hyperlink>
      <w:r w:rsidRPr="00FD680C">
        <w:rPr>
          <w:rFonts w:ascii="Times New Roman" w:hAnsi="Times New Roman"/>
          <w:sz w:val="18"/>
          <w:szCs w:val="18"/>
        </w:rPr>
        <w:t xml:space="preserve"> occupation title “All occupations” occupation code 00-0000. </w:t>
      </w:r>
    </w:p>
    <w:p w:rsidR="00FD680C" w:rsidRPr="00FD680C" w:rsidRDefault="00FD680C" w:rsidP="00FD680C">
      <w:pPr>
        <w:pStyle w:val="Source"/>
        <w:spacing w:before="0" w:after="0"/>
        <w:rPr>
          <w:sz w:val="24"/>
          <w:szCs w:val="24"/>
        </w:rPr>
      </w:pPr>
    </w:p>
    <w:p w:rsidR="007D66A0" w:rsidRPr="00675B3F" w:rsidRDefault="007D66A0" w:rsidP="002F4FB0">
      <w:pPr>
        <w:pStyle w:val="Source"/>
        <w:spacing w:before="0" w:after="0"/>
        <w:ind w:left="0" w:firstLine="0"/>
        <w:rPr>
          <w:color w:val="FF0000"/>
          <w:u w:val="single"/>
        </w:rPr>
      </w:pPr>
      <w:r w:rsidRPr="00675B3F">
        <w:rPr>
          <w:sz w:val="24"/>
          <w:szCs w:val="24"/>
          <w:u w:val="single"/>
        </w:rPr>
        <w:t>List of Attachments</w:t>
      </w:r>
      <w:r w:rsidR="00924918" w:rsidRPr="00675B3F">
        <w:rPr>
          <w:sz w:val="24"/>
          <w:szCs w:val="24"/>
          <w:u w:val="single"/>
        </w:rPr>
        <w:t xml:space="preserve"> </w:t>
      </w:r>
    </w:p>
    <w:p w:rsidR="009F49B0" w:rsidRDefault="007D66A0" w:rsidP="007D66A0">
      <w:pPr>
        <w:pStyle w:val="BodyText"/>
        <w:rPr>
          <w:rFonts w:ascii="Times New Roman" w:hAnsi="Times New Roman"/>
        </w:rPr>
      </w:pPr>
      <w:r w:rsidRPr="00675B3F">
        <w:rPr>
          <w:rFonts w:ascii="Times New Roman" w:hAnsi="Times New Roman"/>
        </w:rPr>
        <w:t>A:</w:t>
      </w:r>
      <w:r w:rsidRPr="00675B3F">
        <w:rPr>
          <w:rFonts w:ascii="Times New Roman" w:hAnsi="Times New Roman"/>
        </w:rPr>
        <w:tab/>
      </w:r>
      <w:r w:rsidR="00173F11" w:rsidRPr="00675B3F">
        <w:rPr>
          <w:rFonts w:ascii="Times New Roman" w:hAnsi="Times New Roman"/>
        </w:rPr>
        <w:t>Survey Instrument</w:t>
      </w:r>
      <w:r w:rsidR="007F56FD">
        <w:rPr>
          <w:rFonts w:ascii="Times New Roman" w:hAnsi="Times New Roman"/>
        </w:rPr>
        <w:t xml:space="preserve"> (screenshots)</w:t>
      </w:r>
    </w:p>
    <w:p w:rsidR="007F56FD" w:rsidRPr="00675B3F" w:rsidRDefault="007F56FD" w:rsidP="007D66A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B:</w:t>
      </w:r>
      <w:r>
        <w:rPr>
          <w:rFonts w:ascii="Times New Roman" w:hAnsi="Times New Roman"/>
        </w:rPr>
        <w:tab/>
        <w:t>Survey Instrument (word document)</w:t>
      </w:r>
    </w:p>
    <w:p w:rsidR="00340532" w:rsidRDefault="007F56FD" w:rsidP="007D66A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40532" w:rsidRPr="00E527C7">
        <w:rPr>
          <w:rFonts w:ascii="Times New Roman" w:hAnsi="Times New Roman"/>
        </w:rPr>
        <w:t>:</w:t>
      </w:r>
      <w:r w:rsidR="00340532" w:rsidRPr="00E527C7">
        <w:rPr>
          <w:rFonts w:ascii="Times New Roman" w:hAnsi="Times New Roman"/>
        </w:rPr>
        <w:tab/>
        <w:t>Selected Readings</w:t>
      </w:r>
    </w:p>
    <w:p w:rsidR="00924918" w:rsidRDefault="007F56FD" w:rsidP="007D66A0">
      <w:pPr>
        <w:pStyle w:val="BodyText"/>
        <w:rPr>
          <w:color w:val="FF0000"/>
        </w:rPr>
      </w:pPr>
      <w:r>
        <w:rPr>
          <w:rFonts w:ascii="Times New Roman" w:hAnsi="Times New Roman"/>
        </w:rPr>
        <w:t>D</w:t>
      </w:r>
      <w:r w:rsidR="00576444">
        <w:rPr>
          <w:rFonts w:ascii="Times New Roman" w:hAnsi="Times New Roman"/>
        </w:rPr>
        <w:t>:</w:t>
      </w:r>
      <w:r w:rsidR="00576444">
        <w:rPr>
          <w:rFonts w:ascii="Times New Roman" w:hAnsi="Times New Roman"/>
        </w:rPr>
        <w:tab/>
      </w:r>
      <w:r w:rsidR="005C1319">
        <w:rPr>
          <w:rFonts w:ascii="Times New Roman" w:hAnsi="Times New Roman"/>
        </w:rPr>
        <w:t>IRB Approval</w:t>
      </w:r>
    </w:p>
    <w:sectPr w:rsidR="00924918" w:rsidSect="00FD680C">
      <w:footerReference w:type="even" r:id="rId11"/>
      <w:footerReference w:type="default" r:id="rId12"/>
      <w:endnotePr>
        <w:numFmt w:val="decimal"/>
      </w:endnotePr>
      <w:pgSz w:w="12240" w:h="15840" w:code="1"/>
      <w:pgMar w:top="810" w:right="1296" w:bottom="900" w:left="1296" w:header="18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E4" w:rsidRDefault="00537EE4">
      <w:r>
        <w:separator/>
      </w:r>
    </w:p>
  </w:endnote>
  <w:endnote w:type="continuationSeparator" w:id="0">
    <w:p w:rsidR="00537EE4" w:rsidRDefault="005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81" w:rsidRDefault="00D516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681" w:rsidRDefault="00D51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81" w:rsidRDefault="00D516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600">
      <w:rPr>
        <w:rStyle w:val="PageNumber"/>
        <w:noProof/>
      </w:rPr>
      <w:t>1</w:t>
    </w:r>
    <w:r>
      <w:rPr>
        <w:rStyle w:val="PageNumber"/>
      </w:rPr>
      <w:fldChar w:fldCharType="end"/>
    </w:r>
  </w:p>
  <w:p w:rsidR="00D51681" w:rsidRDefault="00D51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E4" w:rsidRDefault="00537EE4">
      <w:r>
        <w:separator/>
      </w:r>
    </w:p>
  </w:footnote>
  <w:footnote w:type="continuationSeparator" w:id="0">
    <w:p w:rsidR="00537EE4" w:rsidRDefault="0053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E91"/>
    <w:multiLevelType w:val="hybridMultilevel"/>
    <w:tmpl w:val="D938E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0FAF"/>
    <w:multiLevelType w:val="hybridMultilevel"/>
    <w:tmpl w:val="BA560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F2B52"/>
    <w:multiLevelType w:val="hybridMultilevel"/>
    <w:tmpl w:val="4364A1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2461FF"/>
    <w:multiLevelType w:val="hybridMultilevel"/>
    <w:tmpl w:val="5C9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1562"/>
    <w:multiLevelType w:val="hybridMultilevel"/>
    <w:tmpl w:val="F24AB1D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03C33D3"/>
    <w:multiLevelType w:val="hybridMultilevel"/>
    <w:tmpl w:val="A4500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246B3"/>
    <w:multiLevelType w:val="hybridMultilevel"/>
    <w:tmpl w:val="0A189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122F2"/>
    <w:multiLevelType w:val="hybridMultilevel"/>
    <w:tmpl w:val="B32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1193B"/>
    <w:multiLevelType w:val="hybridMultilevel"/>
    <w:tmpl w:val="83CCB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A13E3"/>
    <w:multiLevelType w:val="hybridMultilevel"/>
    <w:tmpl w:val="B8201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F786F"/>
    <w:multiLevelType w:val="hybridMultilevel"/>
    <w:tmpl w:val="223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73F86"/>
    <w:multiLevelType w:val="hybridMultilevel"/>
    <w:tmpl w:val="545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C79C0"/>
    <w:multiLevelType w:val="hybridMultilevel"/>
    <w:tmpl w:val="3E023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7A6C"/>
    <w:multiLevelType w:val="hybridMultilevel"/>
    <w:tmpl w:val="8F3EC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7462D7"/>
    <w:multiLevelType w:val="hybridMultilevel"/>
    <w:tmpl w:val="A64AE0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1A2907"/>
    <w:multiLevelType w:val="hybridMultilevel"/>
    <w:tmpl w:val="4308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FA0FD1"/>
    <w:multiLevelType w:val="hybridMultilevel"/>
    <w:tmpl w:val="B052BEDA"/>
    <w:lvl w:ilvl="0" w:tplc="324E609C">
      <w:start w:val="9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61C4341"/>
    <w:multiLevelType w:val="hybridMultilevel"/>
    <w:tmpl w:val="C2C8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B56EE"/>
    <w:multiLevelType w:val="hybridMultilevel"/>
    <w:tmpl w:val="35D6C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2472EC"/>
    <w:multiLevelType w:val="hybridMultilevel"/>
    <w:tmpl w:val="8F24DB06"/>
    <w:lvl w:ilvl="0" w:tplc="0472E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6D37BE"/>
    <w:multiLevelType w:val="hybridMultilevel"/>
    <w:tmpl w:val="440A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948C1"/>
    <w:multiLevelType w:val="hybridMultilevel"/>
    <w:tmpl w:val="C93E0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FC4D91"/>
    <w:multiLevelType w:val="hybridMultilevel"/>
    <w:tmpl w:val="E1C26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A5102"/>
    <w:multiLevelType w:val="hybridMultilevel"/>
    <w:tmpl w:val="FC34FE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502C16"/>
    <w:multiLevelType w:val="hybridMultilevel"/>
    <w:tmpl w:val="03EA9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06B9D"/>
    <w:multiLevelType w:val="hybridMultilevel"/>
    <w:tmpl w:val="6ABE6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8"/>
  </w:num>
  <w:num w:numId="5">
    <w:abstractNumId w:val="8"/>
  </w:num>
  <w:num w:numId="6">
    <w:abstractNumId w:val="15"/>
  </w:num>
  <w:num w:numId="7">
    <w:abstractNumId w:val="0"/>
  </w:num>
  <w:num w:numId="8">
    <w:abstractNumId w:val="21"/>
  </w:num>
  <w:num w:numId="9">
    <w:abstractNumId w:val="6"/>
  </w:num>
  <w:num w:numId="10">
    <w:abstractNumId w:val="19"/>
  </w:num>
  <w:num w:numId="11">
    <w:abstractNumId w:val="4"/>
  </w:num>
  <w:num w:numId="12">
    <w:abstractNumId w:val="23"/>
  </w:num>
  <w:num w:numId="13">
    <w:abstractNumId w:val="9"/>
  </w:num>
  <w:num w:numId="14">
    <w:abstractNumId w:val="22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0"/>
  </w:num>
  <w:num w:numId="20">
    <w:abstractNumId w:val="1"/>
  </w:num>
  <w:num w:numId="21">
    <w:abstractNumId w:val="11"/>
  </w:num>
  <w:num w:numId="22">
    <w:abstractNumId w:val="13"/>
  </w:num>
  <w:num w:numId="23">
    <w:abstractNumId w:val="7"/>
  </w:num>
  <w:num w:numId="24">
    <w:abstractNumId w:val="25"/>
  </w:num>
  <w:num w:numId="25">
    <w:abstractNumId w:val="24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4F"/>
    <w:rsid w:val="00011CB6"/>
    <w:rsid w:val="00015164"/>
    <w:rsid w:val="0001573D"/>
    <w:rsid w:val="0002045F"/>
    <w:rsid w:val="000205D9"/>
    <w:rsid w:val="00020EF6"/>
    <w:rsid w:val="00021BD4"/>
    <w:rsid w:val="0002736B"/>
    <w:rsid w:val="00030E28"/>
    <w:rsid w:val="00031B0A"/>
    <w:rsid w:val="00037FEC"/>
    <w:rsid w:val="00046E79"/>
    <w:rsid w:val="00047588"/>
    <w:rsid w:val="000563E6"/>
    <w:rsid w:val="000952B0"/>
    <w:rsid w:val="00096C9F"/>
    <w:rsid w:val="000A6500"/>
    <w:rsid w:val="000B4269"/>
    <w:rsid w:val="000C2E99"/>
    <w:rsid w:val="000F4EB8"/>
    <w:rsid w:val="00100A30"/>
    <w:rsid w:val="00113E63"/>
    <w:rsid w:val="00116C7F"/>
    <w:rsid w:val="00117C30"/>
    <w:rsid w:val="0012125A"/>
    <w:rsid w:val="00123458"/>
    <w:rsid w:val="0013520B"/>
    <w:rsid w:val="00140B26"/>
    <w:rsid w:val="001420BD"/>
    <w:rsid w:val="001426C9"/>
    <w:rsid w:val="00147E63"/>
    <w:rsid w:val="001534A7"/>
    <w:rsid w:val="00155A87"/>
    <w:rsid w:val="001604E7"/>
    <w:rsid w:val="0016214A"/>
    <w:rsid w:val="00162860"/>
    <w:rsid w:val="00170597"/>
    <w:rsid w:val="00173F11"/>
    <w:rsid w:val="00174B20"/>
    <w:rsid w:val="00180AD0"/>
    <w:rsid w:val="00184A26"/>
    <w:rsid w:val="00186790"/>
    <w:rsid w:val="00195331"/>
    <w:rsid w:val="001A25A3"/>
    <w:rsid w:val="001B2F4B"/>
    <w:rsid w:val="001B6A37"/>
    <w:rsid w:val="001C1542"/>
    <w:rsid w:val="001D54C4"/>
    <w:rsid w:val="002117B3"/>
    <w:rsid w:val="00223B06"/>
    <w:rsid w:val="002517EE"/>
    <w:rsid w:val="002619A2"/>
    <w:rsid w:val="002649D2"/>
    <w:rsid w:val="00274B84"/>
    <w:rsid w:val="00276DDC"/>
    <w:rsid w:val="0028156B"/>
    <w:rsid w:val="002835FD"/>
    <w:rsid w:val="002869CB"/>
    <w:rsid w:val="00286E18"/>
    <w:rsid w:val="002A201E"/>
    <w:rsid w:val="002B07EC"/>
    <w:rsid w:val="002B2B4C"/>
    <w:rsid w:val="002D377A"/>
    <w:rsid w:val="002D4B5D"/>
    <w:rsid w:val="002D6E04"/>
    <w:rsid w:val="002F0411"/>
    <w:rsid w:val="002F4FB0"/>
    <w:rsid w:val="00314A14"/>
    <w:rsid w:val="00316985"/>
    <w:rsid w:val="00340532"/>
    <w:rsid w:val="00350FA3"/>
    <w:rsid w:val="00355408"/>
    <w:rsid w:val="00356D1F"/>
    <w:rsid w:val="00361494"/>
    <w:rsid w:val="00362316"/>
    <w:rsid w:val="003630C3"/>
    <w:rsid w:val="00366332"/>
    <w:rsid w:val="0037710E"/>
    <w:rsid w:val="0038562E"/>
    <w:rsid w:val="00386E94"/>
    <w:rsid w:val="003948B7"/>
    <w:rsid w:val="00397798"/>
    <w:rsid w:val="003A6910"/>
    <w:rsid w:val="003C3A2C"/>
    <w:rsid w:val="003D03F8"/>
    <w:rsid w:val="003D2838"/>
    <w:rsid w:val="003E4BCF"/>
    <w:rsid w:val="003F1633"/>
    <w:rsid w:val="003F35E6"/>
    <w:rsid w:val="00403549"/>
    <w:rsid w:val="00420873"/>
    <w:rsid w:val="00426B34"/>
    <w:rsid w:val="004514CD"/>
    <w:rsid w:val="00455463"/>
    <w:rsid w:val="0046104B"/>
    <w:rsid w:val="00461156"/>
    <w:rsid w:val="00474C23"/>
    <w:rsid w:val="00492A49"/>
    <w:rsid w:val="0049737A"/>
    <w:rsid w:val="004A1119"/>
    <w:rsid w:val="004A4D81"/>
    <w:rsid w:val="004B2C3E"/>
    <w:rsid w:val="004C2321"/>
    <w:rsid w:val="00513BC2"/>
    <w:rsid w:val="0051625D"/>
    <w:rsid w:val="00536EC9"/>
    <w:rsid w:val="00537B4D"/>
    <w:rsid w:val="00537EE4"/>
    <w:rsid w:val="00546281"/>
    <w:rsid w:val="0054771A"/>
    <w:rsid w:val="0054788D"/>
    <w:rsid w:val="00547971"/>
    <w:rsid w:val="00552DA7"/>
    <w:rsid w:val="00560E53"/>
    <w:rsid w:val="00561032"/>
    <w:rsid w:val="0057084D"/>
    <w:rsid w:val="00575687"/>
    <w:rsid w:val="00576444"/>
    <w:rsid w:val="0059352F"/>
    <w:rsid w:val="00594B74"/>
    <w:rsid w:val="005A418D"/>
    <w:rsid w:val="005A4AAD"/>
    <w:rsid w:val="005C1319"/>
    <w:rsid w:val="005D3ADD"/>
    <w:rsid w:val="005D5D8F"/>
    <w:rsid w:val="005D74A9"/>
    <w:rsid w:val="005E1573"/>
    <w:rsid w:val="005E4B8D"/>
    <w:rsid w:val="005E5F86"/>
    <w:rsid w:val="005E7833"/>
    <w:rsid w:val="005E7A46"/>
    <w:rsid w:val="005F43E1"/>
    <w:rsid w:val="005F4AF7"/>
    <w:rsid w:val="00603DC5"/>
    <w:rsid w:val="00611928"/>
    <w:rsid w:val="00636E40"/>
    <w:rsid w:val="0065359E"/>
    <w:rsid w:val="00661271"/>
    <w:rsid w:val="006675CC"/>
    <w:rsid w:val="00675B3F"/>
    <w:rsid w:val="006771BF"/>
    <w:rsid w:val="00683334"/>
    <w:rsid w:val="006A784F"/>
    <w:rsid w:val="006B7B66"/>
    <w:rsid w:val="006D0764"/>
    <w:rsid w:val="006D3757"/>
    <w:rsid w:val="006D3E3F"/>
    <w:rsid w:val="006F2403"/>
    <w:rsid w:val="006F5169"/>
    <w:rsid w:val="006F5547"/>
    <w:rsid w:val="00701265"/>
    <w:rsid w:val="00705ABC"/>
    <w:rsid w:val="007103A1"/>
    <w:rsid w:val="00712C56"/>
    <w:rsid w:val="00727FD9"/>
    <w:rsid w:val="007309BC"/>
    <w:rsid w:val="00734354"/>
    <w:rsid w:val="0075075C"/>
    <w:rsid w:val="00751BF2"/>
    <w:rsid w:val="007672D5"/>
    <w:rsid w:val="007760A1"/>
    <w:rsid w:val="00776942"/>
    <w:rsid w:val="00791988"/>
    <w:rsid w:val="007B0B6D"/>
    <w:rsid w:val="007B2E51"/>
    <w:rsid w:val="007B2F5A"/>
    <w:rsid w:val="007B3C6C"/>
    <w:rsid w:val="007C520B"/>
    <w:rsid w:val="007C7198"/>
    <w:rsid w:val="007D01A4"/>
    <w:rsid w:val="007D3253"/>
    <w:rsid w:val="007D616E"/>
    <w:rsid w:val="007D66A0"/>
    <w:rsid w:val="007E668E"/>
    <w:rsid w:val="007F56FD"/>
    <w:rsid w:val="007F5E23"/>
    <w:rsid w:val="00801DEB"/>
    <w:rsid w:val="0081247E"/>
    <w:rsid w:val="008245E8"/>
    <w:rsid w:val="00831540"/>
    <w:rsid w:val="00854A0D"/>
    <w:rsid w:val="0086179A"/>
    <w:rsid w:val="00862C1B"/>
    <w:rsid w:val="00874F8F"/>
    <w:rsid w:val="00881291"/>
    <w:rsid w:val="00886A7F"/>
    <w:rsid w:val="00887107"/>
    <w:rsid w:val="00897D82"/>
    <w:rsid w:val="008A64BA"/>
    <w:rsid w:val="008B72BD"/>
    <w:rsid w:val="008C0161"/>
    <w:rsid w:val="008C0A18"/>
    <w:rsid w:val="008C0C54"/>
    <w:rsid w:val="008C1AC0"/>
    <w:rsid w:val="008D3834"/>
    <w:rsid w:val="008F1095"/>
    <w:rsid w:val="008F2E5B"/>
    <w:rsid w:val="00922CC3"/>
    <w:rsid w:val="00924918"/>
    <w:rsid w:val="00940959"/>
    <w:rsid w:val="009439E5"/>
    <w:rsid w:val="00955A3E"/>
    <w:rsid w:val="009622BA"/>
    <w:rsid w:val="00962C36"/>
    <w:rsid w:val="00974907"/>
    <w:rsid w:val="00976617"/>
    <w:rsid w:val="00977951"/>
    <w:rsid w:val="00981433"/>
    <w:rsid w:val="0098187F"/>
    <w:rsid w:val="00995F7D"/>
    <w:rsid w:val="009B63A5"/>
    <w:rsid w:val="009C5305"/>
    <w:rsid w:val="009D09F6"/>
    <w:rsid w:val="009E7E30"/>
    <w:rsid w:val="009F49B0"/>
    <w:rsid w:val="00A10AE7"/>
    <w:rsid w:val="00A11BBC"/>
    <w:rsid w:val="00A143DB"/>
    <w:rsid w:val="00A173CA"/>
    <w:rsid w:val="00A27995"/>
    <w:rsid w:val="00A329BC"/>
    <w:rsid w:val="00A400F1"/>
    <w:rsid w:val="00A45E3A"/>
    <w:rsid w:val="00A4712A"/>
    <w:rsid w:val="00A6140D"/>
    <w:rsid w:val="00A614D9"/>
    <w:rsid w:val="00A724D5"/>
    <w:rsid w:val="00A7744F"/>
    <w:rsid w:val="00A83172"/>
    <w:rsid w:val="00A832DC"/>
    <w:rsid w:val="00A8626C"/>
    <w:rsid w:val="00A9254A"/>
    <w:rsid w:val="00A96BB0"/>
    <w:rsid w:val="00AA2EFE"/>
    <w:rsid w:val="00AA66D5"/>
    <w:rsid w:val="00AA7F48"/>
    <w:rsid w:val="00AC0256"/>
    <w:rsid w:val="00AD2B57"/>
    <w:rsid w:val="00AD3016"/>
    <w:rsid w:val="00AD6C4E"/>
    <w:rsid w:val="00AF643C"/>
    <w:rsid w:val="00B009F1"/>
    <w:rsid w:val="00B05CB7"/>
    <w:rsid w:val="00B07E04"/>
    <w:rsid w:val="00B117AE"/>
    <w:rsid w:val="00B11C95"/>
    <w:rsid w:val="00B154E8"/>
    <w:rsid w:val="00B21797"/>
    <w:rsid w:val="00B26D24"/>
    <w:rsid w:val="00B447EF"/>
    <w:rsid w:val="00B4786E"/>
    <w:rsid w:val="00B70C02"/>
    <w:rsid w:val="00B753CA"/>
    <w:rsid w:val="00B83D5A"/>
    <w:rsid w:val="00B846B0"/>
    <w:rsid w:val="00B8793B"/>
    <w:rsid w:val="00B9308C"/>
    <w:rsid w:val="00B94FD7"/>
    <w:rsid w:val="00B97809"/>
    <w:rsid w:val="00BA1237"/>
    <w:rsid w:val="00BB6C47"/>
    <w:rsid w:val="00BB7323"/>
    <w:rsid w:val="00BE15A1"/>
    <w:rsid w:val="00BE41A4"/>
    <w:rsid w:val="00BF10E2"/>
    <w:rsid w:val="00C006C4"/>
    <w:rsid w:val="00C00EED"/>
    <w:rsid w:val="00C14D92"/>
    <w:rsid w:val="00C20680"/>
    <w:rsid w:val="00C42D2C"/>
    <w:rsid w:val="00C54B5A"/>
    <w:rsid w:val="00C625D9"/>
    <w:rsid w:val="00C7569F"/>
    <w:rsid w:val="00C8692D"/>
    <w:rsid w:val="00C8799C"/>
    <w:rsid w:val="00C9525B"/>
    <w:rsid w:val="00C96C9A"/>
    <w:rsid w:val="00CB7E48"/>
    <w:rsid w:val="00CC3203"/>
    <w:rsid w:val="00CC65D3"/>
    <w:rsid w:val="00CC6C0A"/>
    <w:rsid w:val="00CD1CB2"/>
    <w:rsid w:val="00CD4910"/>
    <w:rsid w:val="00CD6626"/>
    <w:rsid w:val="00CF27C0"/>
    <w:rsid w:val="00D11108"/>
    <w:rsid w:val="00D34550"/>
    <w:rsid w:val="00D36442"/>
    <w:rsid w:val="00D51681"/>
    <w:rsid w:val="00D52DF1"/>
    <w:rsid w:val="00D571F4"/>
    <w:rsid w:val="00D640DA"/>
    <w:rsid w:val="00D650F5"/>
    <w:rsid w:val="00D76636"/>
    <w:rsid w:val="00D81530"/>
    <w:rsid w:val="00D90804"/>
    <w:rsid w:val="00DA73DA"/>
    <w:rsid w:val="00DA7600"/>
    <w:rsid w:val="00DB60BF"/>
    <w:rsid w:val="00DC5889"/>
    <w:rsid w:val="00DD2EBE"/>
    <w:rsid w:val="00DE14FD"/>
    <w:rsid w:val="00DE1D26"/>
    <w:rsid w:val="00DE5B92"/>
    <w:rsid w:val="00DF26FA"/>
    <w:rsid w:val="00DF4021"/>
    <w:rsid w:val="00E21131"/>
    <w:rsid w:val="00E325F9"/>
    <w:rsid w:val="00E33FD4"/>
    <w:rsid w:val="00E46166"/>
    <w:rsid w:val="00E527C7"/>
    <w:rsid w:val="00E5446E"/>
    <w:rsid w:val="00E61844"/>
    <w:rsid w:val="00E65021"/>
    <w:rsid w:val="00E70413"/>
    <w:rsid w:val="00E80FDD"/>
    <w:rsid w:val="00E81EC1"/>
    <w:rsid w:val="00E81FC7"/>
    <w:rsid w:val="00E87451"/>
    <w:rsid w:val="00EB080B"/>
    <w:rsid w:val="00EC3AA1"/>
    <w:rsid w:val="00EC5638"/>
    <w:rsid w:val="00ED4BDE"/>
    <w:rsid w:val="00ED6F61"/>
    <w:rsid w:val="00EE17C0"/>
    <w:rsid w:val="00EE1DA3"/>
    <w:rsid w:val="00F21964"/>
    <w:rsid w:val="00F27C61"/>
    <w:rsid w:val="00F6191D"/>
    <w:rsid w:val="00F70042"/>
    <w:rsid w:val="00F710E6"/>
    <w:rsid w:val="00F73035"/>
    <w:rsid w:val="00F7316D"/>
    <w:rsid w:val="00F92CE7"/>
    <w:rsid w:val="00FA13C3"/>
    <w:rsid w:val="00FA1744"/>
    <w:rsid w:val="00FA528D"/>
    <w:rsid w:val="00FB625F"/>
    <w:rsid w:val="00FB659B"/>
    <w:rsid w:val="00FC2858"/>
    <w:rsid w:val="00FC2D11"/>
    <w:rsid w:val="00FC4377"/>
    <w:rsid w:val="00FD2FBA"/>
    <w:rsid w:val="00FD680C"/>
    <w:rsid w:val="00FE6ADC"/>
    <w:rsid w:val="00FE707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80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447EF"/>
    <w:pPr>
      <w:keepNext/>
      <w:ind w:left="663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447EF"/>
    <w:pPr>
      <w:keepNext/>
      <w:widowControl/>
      <w:tabs>
        <w:tab w:val="left" w:pos="606"/>
        <w:tab w:val="left" w:pos="663"/>
        <w:tab w:val="left" w:pos="1383"/>
        <w:tab w:val="left" w:pos="2103"/>
        <w:tab w:val="left" w:pos="2463"/>
        <w:tab w:val="left" w:pos="2823"/>
        <w:tab w:val="left" w:pos="3543"/>
        <w:tab w:val="left" w:pos="4263"/>
        <w:tab w:val="left" w:pos="4983"/>
        <w:tab w:val="left" w:pos="5703"/>
        <w:tab w:val="left" w:pos="6423"/>
        <w:tab w:val="left" w:pos="7143"/>
        <w:tab w:val="left" w:pos="7863"/>
        <w:tab w:val="left" w:pos="8583"/>
        <w:tab w:val="left" w:pos="8705"/>
        <w:tab w:val="left" w:pos="9303"/>
        <w:tab w:val="left" w:pos="10023"/>
        <w:tab w:val="left" w:pos="10743"/>
      </w:tabs>
      <w:ind w:left="663" w:right="64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47EF"/>
    <w:pPr>
      <w:keepNext/>
      <w:widowControl/>
      <w:tabs>
        <w:tab w:val="left" w:pos="-57"/>
        <w:tab w:val="left" w:pos="1800"/>
        <w:tab w:val="left" w:pos="7862"/>
      </w:tabs>
      <w:ind w:left="1800" w:firstLine="540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447EF"/>
    <w:pPr>
      <w:keepNext/>
      <w:widowControl/>
      <w:tabs>
        <w:tab w:val="left" w:pos="-57"/>
        <w:tab w:val="left" w:pos="1800"/>
        <w:tab w:val="left" w:pos="7200"/>
      </w:tabs>
      <w:ind w:left="720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447EF"/>
    <w:pPr>
      <w:keepNext/>
      <w:spacing w:line="360" w:lineRule="auto"/>
      <w:ind w:firstLine="144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447EF"/>
    <w:pPr>
      <w:keepNext/>
      <w:spacing w:line="360" w:lineRule="auto"/>
      <w:ind w:firstLine="720"/>
      <w:jc w:val="center"/>
      <w:outlineLvl w:val="5"/>
    </w:pPr>
    <w:rPr>
      <w:rFonts w:ascii="Calibri" w:hAnsi="Calibri"/>
      <w:b/>
      <w:bCs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447EF"/>
    <w:pPr>
      <w:keepNext/>
      <w:spacing w:line="360" w:lineRule="auto"/>
      <w:jc w:val="center"/>
      <w:outlineLvl w:val="6"/>
    </w:pPr>
    <w:rPr>
      <w:rFonts w:ascii="Calibri" w:hAnsi="Calibri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447EF"/>
    <w:pPr>
      <w:keepNext/>
      <w:tabs>
        <w:tab w:val="left" w:pos="720"/>
        <w:tab w:val="left" w:pos="1440"/>
        <w:tab w:val="left" w:pos="2160"/>
        <w:tab w:val="left" w:pos="2880"/>
      </w:tabs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447EF"/>
    <w:pPr>
      <w:keepNext/>
      <w:widowControl/>
      <w:tabs>
        <w:tab w:val="left" w:pos="-57"/>
        <w:tab w:val="left" w:pos="1800"/>
        <w:tab w:val="left" w:pos="7380"/>
      </w:tabs>
      <w:autoSpaceDE/>
      <w:autoSpaceDN/>
      <w:adjustRightInd/>
      <w:spacing w:line="215" w:lineRule="exact"/>
      <w:ind w:left="7862" w:hanging="720"/>
      <w:outlineLvl w:val="8"/>
    </w:pPr>
    <w:rPr>
      <w:rFonts w:ascii="Cambria" w:hAnsi="Cambria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</w:rPr>
  </w:style>
  <w:style w:type="character" w:styleId="FootnoteReference">
    <w:name w:val="footnote reference"/>
    <w:semiHidden/>
    <w:rsid w:val="00B447EF"/>
    <w:rPr>
      <w:rFonts w:cs="Times New Roman"/>
    </w:rPr>
  </w:style>
  <w:style w:type="paragraph" w:styleId="BlockText">
    <w:name w:val="Block Text"/>
    <w:basedOn w:val="Normal"/>
    <w:rsid w:val="00B447EF"/>
    <w:pPr>
      <w:widowControl/>
      <w:tabs>
        <w:tab w:val="left" w:pos="663"/>
        <w:tab w:val="left" w:pos="1023"/>
        <w:tab w:val="left" w:pos="1383"/>
        <w:tab w:val="left" w:pos="1743"/>
        <w:tab w:val="left" w:pos="2103"/>
        <w:tab w:val="left" w:pos="2463"/>
        <w:tab w:val="left" w:pos="2823"/>
        <w:tab w:val="left" w:pos="3183"/>
        <w:tab w:val="left" w:pos="3543"/>
        <w:tab w:val="left" w:pos="3903"/>
        <w:tab w:val="left" w:pos="4263"/>
        <w:tab w:val="left" w:pos="4623"/>
        <w:tab w:val="left" w:pos="4983"/>
        <w:tab w:val="left" w:pos="5343"/>
        <w:tab w:val="left" w:pos="5703"/>
        <w:tab w:val="left" w:pos="6063"/>
        <w:tab w:val="left" w:pos="6423"/>
        <w:tab w:val="left" w:pos="6783"/>
        <w:tab w:val="left" w:pos="7143"/>
        <w:tab w:val="left" w:pos="7503"/>
        <w:tab w:val="left" w:pos="7863"/>
        <w:tab w:val="left" w:pos="8223"/>
        <w:tab w:val="left" w:pos="8583"/>
        <w:tab w:val="left" w:pos="8943"/>
        <w:tab w:val="left" w:pos="9303"/>
        <w:tab w:val="left" w:pos="9663"/>
        <w:tab w:val="left" w:pos="10023"/>
        <w:tab w:val="left" w:pos="10383"/>
        <w:tab w:val="left" w:pos="10743"/>
      </w:tabs>
      <w:ind w:left="663" w:right="648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rsid w:val="00B447EF"/>
    <w:rPr>
      <w:sz w:val="24"/>
      <w:lang w:val="x-none" w:eastAsia="x-none"/>
    </w:rPr>
  </w:style>
  <w:style w:type="character" w:customStyle="1" w:styleId="BodyTextChar">
    <w:name w:val="Body Text Char"/>
    <w:link w:val="BodyText"/>
    <w:semiHidden/>
    <w:locked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447E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AutoList1">
    <w:name w:val="1AutoList1"/>
    <w:rsid w:val="00B447E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rsid w:val="00B447EF"/>
    <w:pPr>
      <w:widowControl/>
      <w:tabs>
        <w:tab w:val="left" w:pos="-57"/>
        <w:tab w:val="left" w:pos="1800"/>
      </w:tabs>
      <w:ind w:left="7200"/>
    </w:pPr>
    <w:rPr>
      <w:rFonts w:ascii="Times New Roman" w:hAnsi="Times New Roman"/>
      <w:b/>
      <w:bCs/>
      <w:szCs w:val="16"/>
    </w:rPr>
  </w:style>
  <w:style w:type="paragraph" w:styleId="BodyText3">
    <w:name w:val="Body Text 3"/>
    <w:basedOn w:val="Normal"/>
    <w:link w:val="BodyText3Char"/>
    <w:rsid w:val="00B447EF"/>
    <w:pPr>
      <w:tabs>
        <w:tab w:val="left" w:pos="-57"/>
        <w:tab w:val="left" w:pos="1800"/>
        <w:tab w:val="left" w:pos="7862"/>
      </w:tabs>
      <w:spacing w:line="215" w:lineRule="exact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Pr>
      <w:rFonts w:ascii="Arial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447EF"/>
    <w:pPr>
      <w:tabs>
        <w:tab w:val="left" w:pos="0"/>
      </w:tabs>
      <w:ind w:left="1440" w:hanging="2880"/>
    </w:pPr>
    <w:rPr>
      <w:sz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rsid w:val="00B447EF"/>
    <w:rPr>
      <w:rFonts w:cs="Times New Roman"/>
    </w:rPr>
  </w:style>
  <w:style w:type="paragraph" w:styleId="Footer">
    <w:name w:val="footer"/>
    <w:basedOn w:val="Normal"/>
    <w:link w:val="FooterChar"/>
    <w:rsid w:val="00B447EF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</w:rPr>
  </w:style>
  <w:style w:type="paragraph" w:customStyle="1" w:styleId="a">
    <w:name w:val="_"/>
    <w:rsid w:val="00B447EF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equation">
    <w:name w:val="equation"/>
    <w:rsid w:val="00B447EF"/>
    <w:pPr>
      <w:widowControl w:val="0"/>
      <w:tabs>
        <w:tab w:val="left" w:pos="0"/>
        <w:tab w:val="center" w:pos="3240"/>
        <w:tab w:val="righ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395" w:lineRule="atLeast"/>
    </w:pPr>
    <w:rPr>
      <w:rFonts w:ascii="Optima" w:hAnsi="Optima"/>
      <w:sz w:val="22"/>
      <w:szCs w:val="22"/>
    </w:rPr>
  </w:style>
  <w:style w:type="paragraph" w:styleId="BodyText2">
    <w:name w:val="Body Text 2"/>
    <w:basedOn w:val="Normal"/>
    <w:link w:val="BodyText2Char"/>
    <w:rsid w:val="00B447EF"/>
    <w:rPr>
      <w:sz w:val="24"/>
      <w:lang w:val="x-none" w:eastAsia="x-none"/>
    </w:rPr>
  </w:style>
  <w:style w:type="character" w:customStyle="1" w:styleId="BodyText2Char">
    <w:name w:val="Body Text 2 Char"/>
    <w:link w:val="BodyText2"/>
    <w:semiHidden/>
    <w:locked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B447EF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</w:rPr>
  </w:style>
  <w:style w:type="paragraph" w:customStyle="1" w:styleId="SL-FlLftSgl">
    <w:name w:val="SL-Fl Lft Sgl"/>
    <w:rsid w:val="00B447EF"/>
    <w:pPr>
      <w:spacing w:line="240" w:lineRule="atLeast"/>
      <w:jc w:val="both"/>
    </w:pPr>
    <w:rPr>
      <w:sz w:val="22"/>
    </w:rPr>
  </w:style>
  <w:style w:type="paragraph" w:customStyle="1" w:styleId="Q1-FirstLevelQuestion">
    <w:name w:val="Q1-First Level Question"/>
    <w:rsid w:val="00B447EF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Y3-YNTabLeader">
    <w:name w:val="Y3-Y/N Tab Leader"/>
    <w:rsid w:val="00B447EF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5-2ndLeader">
    <w:name w:val="A5-2nd Leader"/>
    <w:rsid w:val="00B447EF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C1-CtrBoldHd">
    <w:name w:val="C1-Ctr BoldHd"/>
    <w:rsid w:val="00B447EF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B447EF"/>
    <w:pPr>
      <w:keepLines/>
      <w:spacing w:line="240" w:lineRule="atLeast"/>
      <w:jc w:val="center"/>
    </w:pPr>
    <w:rPr>
      <w:sz w:val="22"/>
    </w:rPr>
  </w:style>
  <w:style w:type="paragraph" w:customStyle="1" w:styleId="A1-1stLeader">
    <w:name w:val="A1-1st Leader"/>
    <w:rsid w:val="00B447EF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rsid w:val="00B447EF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semiHidden/>
    <w:locked/>
    <w:rPr>
      <w:rFonts w:ascii="Courier New" w:hAnsi="Courier New" w:cs="Courier New"/>
      <w:sz w:val="20"/>
      <w:szCs w:val="20"/>
    </w:rPr>
  </w:style>
  <w:style w:type="paragraph" w:customStyle="1" w:styleId="Answer2">
    <w:name w:val="Answer 2"/>
    <w:basedOn w:val="Normal"/>
    <w:rsid w:val="00B447EF"/>
    <w:pPr>
      <w:tabs>
        <w:tab w:val="num" w:pos="1800"/>
      </w:tabs>
      <w:ind w:left="1800" w:hanging="360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447EF"/>
    <w:pPr>
      <w:tabs>
        <w:tab w:val="left" w:pos="-1440"/>
        <w:tab w:val="left" w:pos="-720"/>
        <w:tab w:val="left" w:pos="-36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line="215" w:lineRule="exact"/>
      <w:ind w:left="-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</w:rPr>
  </w:style>
  <w:style w:type="paragraph" w:styleId="NormalWeb">
    <w:name w:val="Normal (Web)"/>
    <w:basedOn w:val="Normal"/>
    <w:rsid w:val="00B447EF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5AutoList62">
    <w:name w:val="5AutoList62"/>
    <w:rsid w:val="00B447E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Cs w:val="24"/>
    </w:rPr>
  </w:style>
  <w:style w:type="paragraph" w:styleId="BodyTextIndent">
    <w:name w:val="Body Text Indent"/>
    <w:basedOn w:val="Normal"/>
    <w:link w:val="BodyTextIndentChar"/>
    <w:rsid w:val="00B447EF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</w:rPr>
  </w:style>
  <w:style w:type="paragraph" w:customStyle="1" w:styleId="Style1">
    <w:name w:val="Style1"/>
    <w:basedOn w:val="Normal"/>
    <w:rsid w:val="00B447EF"/>
    <w:pPr>
      <w:widowControl/>
      <w:tabs>
        <w:tab w:val="left" w:pos="0"/>
        <w:tab w:val="left" w:pos="720"/>
        <w:tab w:val="left" w:pos="1440"/>
      </w:tabs>
      <w:suppressAutoHyphens/>
      <w:autoSpaceDE/>
      <w:autoSpaceDN/>
      <w:adjustRightInd/>
    </w:pPr>
    <w:rPr>
      <w:rFonts w:ascii="Times New Roman" w:hAnsi="Times New Roman"/>
      <w:i/>
      <w:szCs w:val="20"/>
    </w:rPr>
  </w:style>
  <w:style w:type="paragraph" w:customStyle="1" w:styleId="Style2">
    <w:name w:val="Style2"/>
    <w:basedOn w:val="Normal"/>
    <w:rsid w:val="00B447EF"/>
    <w:pPr>
      <w:widowControl/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Level2">
    <w:name w:val="Level 2"/>
    <w:basedOn w:val="Normal"/>
    <w:rsid w:val="00B447EF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character" w:customStyle="1" w:styleId="annotationr">
    <w:name w:val="annotation r"/>
    <w:rsid w:val="00B447EF"/>
    <w:rPr>
      <w:sz w:val="16"/>
    </w:rPr>
  </w:style>
  <w:style w:type="character" w:customStyle="1" w:styleId="QuickFormat2">
    <w:name w:val="QuickFormat2"/>
    <w:rsid w:val="00B447EF"/>
    <w:rPr>
      <w:rFonts w:ascii="Arial" w:hAnsi="Arial"/>
      <w:b/>
      <w:sz w:val="20"/>
    </w:rPr>
  </w:style>
  <w:style w:type="paragraph" w:customStyle="1" w:styleId="HangingIndent">
    <w:name w:val="Hanging Indent"/>
    <w:basedOn w:val="Normal"/>
    <w:rsid w:val="00B447EF"/>
    <w:pPr>
      <w:widowControl/>
      <w:autoSpaceDE/>
      <w:autoSpaceDN/>
      <w:adjustRightInd/>
      <w:ind w:left="720" w:hanging="720"/>
    </w:pPr>
    <w:rPr>
      <w:rFonts w:ascii="Times New Roman" w:hAnsi="Times New Roman"/>
      <w:sz w:val="24"/>
      <w:szCs w:val="20"/>
    </w:rPr>
  </w:style>
  <w:style w:type="paragraph" w:customStyle="1" w:styleId="Questions">
    <w:name w:val="Questions"/>
    <w:basedOn w:val="Normal"/>
    <w:rsid w:val="00B447EF"/>
    <w:pPr>
      <w:widowControl/>
      <w:autoSpaceDE/>
      <w:autoSpaceDN/>
      <w:adjustRightInd/>
      <w:ind w:left="576"/>
    </w:pPr>
    <w:rPr>
      <w:rFonts w:ascii="Times New Roman" w:hAnsi="Times New Roman"/>
      <w:szCs w:val="20"/>
    </w:rPr>
  </w:style>
  <w:style w:type="paragraph" w:customStyle="1" w:styleId="Rational">
    <w:name w:val="Rational"/>
    <w:basedOn w:val="Normal"/>
    <w:rsid w:val="00B447EF"/>
    <w:pPr>
      <w:widowControl/>
      <w:tabs>
        <w:tab w:val="left" w:pos="0"/>
      </w:tabs>
      <w:suppressAutoHyphens/>
      <w:autoSpaceDE/>
      <w:autoSpaceDN/>
      <w:adjustRightInd/>
    </w:pPr>
    <w:rPr>
      <w:rFonts w:ascii="Times New Roman" w:hAnsi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B447EF"/>
    <w:pPr>
      <w:widowControl/>
      <w:autoSpaceDE/>
      <w:autoSpaceDN/>
      <w:adjustRightInd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locked/>
    <w:rPr>
      <w:rFonts w:ascii="Cambria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447EF"/>
    <w:pPr>
      <w:widowControl/>
      <w:tabs>
        <w:tab w:val="right" w:leader="dot" w:pos="8630"/>
      </w:tabs>
      <w:autoSpaceDE/>
      <w:autoSpaceDN/>
      <w:adjustRightInd/>
      <w:spacing w:before="120" w:after="120"/>
    </w:pPr>
    <w:rPr>
      <w:rFonts w:ascii="Times New Roman" w:hAnsi="Times New Roman"/>
      <w:b/>
      <w:caps/>
      <w:noProof/>
      <w:color w:val="000000"/>
      <w:szCs w:val="20"/>
    </w:rPr>
  </w:style>
  <w:style w:type="paragraph" w:styleId="FootnoteText">
    <w:name w:val="footnote text"/>
    <w:aliases w:val="F1"/>
    <w:basedOn w:val="Normal"/>
    <w:link w:val="FootnoteTextChar"/>
    <w:semiHidden/>
    <w:rsid w:val="00B447EF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FootnoteTextChar">
    <w:name w:val="Footnote Text Char"/>
    <w:aliases w:val="F1 Char"/>
    <w:link w:val="FootnoteText"/>
    <w:semiHidden/>
    <w:locked/>
    <w:rPr>
      <w:rFonts w:ascii="Arial" w:hAnsi="Arial" w:cs="Times New Roman"/>
      <w:sz w:val="20"/>
      <w:szCs w:val="20"/>
    </w:rPr>
  </w:style>
  <w:style w:type="character" w:styleId="Hyperlink">
    <w:name w:val="Hyperlink"/>
    <w:rsid w:val="00B447EF"/>
    <w:rPr>
      <w:rFonts w:cs="Times New Roman"/>
      <w:color w:val="0000FF"/>
      <w:u w:val="single"/>
    </w:rPr>
  </w:style>
  <w:style w:type="character" w:styleId="FollowedHyperlink">
    <w:name w:val="FollowedHyperlink"/>
    <w:rsid w:val="00B447EF"/>
    <w:rPr>
      <w:rFonts w:cs="Times New Roman"/>
      <w:color w:val="800080"/>
      <w:u w:val="single"/>
    </w:rPr>
  </w:style>
  <w:style w:type="paragraph" w:customStyle="1" w:styleId="OmniPage5">
    <w:name w:val="OmniPage #5"/>
    <w:basedOn w:val="Normal"/>
    <w:rsid w:val="00B447EF"/>
    <w:pPr>
      <w:widowControl/>
      <w:tabs>
        <w:tab w:val="right" w:pos="6071"/>
      </w:tabs>
      <w:autoSpaceDE/>
      <w:autoSpaceDN/>
      <w:adjustRightInd/>
    </w:pPr>
    <w:rPr>
      <w:noProof/>
      <w:szCs w:val="20"/>
    </w:rPr>
  </w:style>
  <w:style w:type="character" w:styleId="Strong">
    <w:name w:val="Strong"/>
    <w:qFormat/>
    <w:rsid w:val="00B447EF"/>
    <w:rPr>
      <w:rFonts w:cs="Times New Roman"/>
      <w:b/>
      <w:bCs/>
    </w:rPr>
  </w:style>
  <w:style w:type="paragraph" w:customStyle="1" w:styleId="Quick">
    <w:name w:val="Quick _"/>
    <w:basedOn w:val="Normal"/>
    <w:rsid w:val="00B447EF"/>
    <w:pPr>
      <w:ind w:left="1080" w:hanging="360"/>
    </w:pPr>
    <w:rPr>
      <w:rFonts w:ascii="Times New Roman" w:hAnsi="Times New Roman"/>
      <w:sz w:val="24"/>
    </w:rPr>
  </w:style>
  <w:style w:type="paragraph" w:customStyle="1" w:styleId="Style0">
    <w:name w:val="Style0"/>
    <w:rsid w:val="00B447E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rsid w:val="00B447E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CM11">
    <w:name w:val="CM11"/>
    <w:basedOn w:val="Default"/>
    <w:next w:val="Default"/>
    <w:rsid w:val="00B447EF"/>
    <w:rPr>
      <w:rFonts w:ascii="Times New Roman" w:eastAsia="Times New Roman" w:hAnsi="Times New Roman" w:cs="Times New Roman"/>
      <w:color w:val="auto"/>
      <w:lang w:eastAsia="en-US"/>
    </w:rPr>
  </w:style>
  <w:style w:type="character" w:styleId="CommentReference">
    <w:name w:val="annotation reference"/>
    <w:semiHidden/>
    <w:rsid w:val="00B447EF"/>
    <w:rPr>
      <w:rFonts w:cs="Times New Roman"/>
      <w:sz w:val="16"/>
      <w:szCs w:val="16"/>
    </w:rPr>
  </w:style>
  <w:style w:type="paragraph" w:customStyle="1" w:styleId="QNoL11-9">
    <w:name w:val="Q No L1 1-9"/>
    <w:basedOn w:val="Normal"/>
    <w:rsid w:val="00B447EF"/>
    <w:pPr>
      <w:widowControl/>
      <w:tabs>
        <w:tab w:val="left" w:pos="252"/>
        <w:tab w:val="left" w:pos="521"/>
      </w:tabs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Level9">
    <w:name w:val="Level 9"/>
    <w:basedOn w:val="Normal"/>
    <w:rsid w:val="00B447EF"/>
    <w:pPr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QNoL110">
    <w:name w:val="Q No L1 10+"/>
    <w:basedOn w:val="Normal"/>
    <w:rsid w:val="00B447EF"/>
    <w:pPr>
      <w:widowControl/>
      <w:tabs>
        <w:tab w:val="left" w:pos="353"/>
        <w:tab w:val="left" w:pos="622"/>
        <w:tab w:val="left" w:pos="936"/>
      </w:tabs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QNote">
    <w:name w:val="Q Note"/>
    <w:rsid w:val="00B447E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ind w:left="1440"/>
    </w:pPr>
    <w:rPr>
      <w:b/>
      <w:bCs/>
      <w:sz w:val="24"/>
      <w:szCs w:val="24"/>
    </w:rPr>
  </w:style>
  <w:style w:type="paragraph" w:customStyle="1" w:styleId="FormBodyText">
    <w:name w:val="Form Body Text"/>
    <w:basedOn w:val="Normal"/>
    <w:rsid w:val="00B447EF"/>
    <w:pPr>
      <w:widowControl/>
      <w:tabs>
        <w:tab w:val="right" w:pos="9360"/>
      </w:tabs>
      <w:autoSpaceDE/>
      <w:autoSpaceDN/>
      <w:adjustRightInd/>
      <w:spacing w:before="60" w:after="60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semiHidden/>
    <w:rsid w:val="00B97809"/>
    <w:rPr>
      <w:rFonts w:ascii="Times New Roman" w:hAnsi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B97809"/>
    <w:rPr>
      <w:sz w:val="16"/>
      <w:lang w:val="x-none" w:eastAsia="x-none"/>
    </w:rPr>
  </w:style>
  <w:style w:type="paragraph" w:customStyle="1" w:styleId="CharCharCharCharCharCharCharChar">
    <w:name w:val="Char Char Char Char Char Char Char Char"/>
    <w:basedOn w:val="Normal"/>
    <w:semiHidden/>
    <w:rsid w:val="00B447EF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B447EF"/>
    <w:rPr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semiHidden/>
    <w:rsid w:val="0088710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ource">
    <w:name w:val="Source"/>
    <w:basedOn w:val="Normal"/>
    <w:rsid w:val="007D66A0"/>
    <w:pPr>
      <w:keepLines/>
      <w:widowControl/>
      <w:autoSpaceDE/>
      <w:autoSpaceDN/>
      <w:adjustRightInd/>
      <w:spacing w:before="120" w:after="400"/>
      <w:ind w:left="216" w:hanging="216"/>
    </w:pPr>
    <w:rPr>
      <w:rFonts w:ascii="Times New Roman" w:hAnsi="Times New Roman"/>
      <w:sz w:val="18"/>
      <w:szCs w:val="18"/>
    </w:rPr>
  </w:style>
  <w:style w:type="paragraph" w:customStyle="1" w:styleId="Headinglast">
    <w:name w:val="Heading last"/>
    <w:basedOn w:val="Normal"/>
    <w:qFormat/>
    <w:rsid w:val="00C006C4"/>
    <w:pPr>
      <w:widowControl/>
      <w:autoSpaceDE/>
      <w:autoSpaceDN/>
      <w:adjustRightInd/>
      <w:spacing w:before="240" w:after="720"/>
      <w:ind w:left="1440" w:hanging="1440"/>
    </w:pPr>
    <w:rPr>
      <w:rFonts w:ascii="Times New Roman" w:hAnsi="Times New Roman"/>
      <w:sz w:val="24"/>
    </w:rPr>
  </w:style>
  <w:style w:type="paragraph" w:customStyle="1" w:styleId="P1-StandPara">
    <w:name w:val="P1-Stand Para"/>
    <w:link w:val="P1-StandParaChar"/>
    <w:rsid w:val="00546281"/>
    <w:pPr>
      <w:spacing w:line="480" w:lineRule="auto"/>
      <w:ind w:firstLine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546281"/>
    <w:pPr>
      <w:widowControl/>
      <w:autoSpaceDE/>
      <w:autoSpaceDN/>
      <w:adjustRightInd/>
      <w:spacing w:line="24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P1-StandParaChar">
    <w:name w:val="P1-Stand Para Char"/>
    <w:link w:val="P1-StandPara"/>
    <w:rsid w:val="00546281"/>
    <w:rPr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140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40B26"/>
    <w:rPr>
      <w:rFonts w:ascii="Courier New" w:hAnsi="Courier New" w:cs="Courier New"/>
    </w:rPr>
  </w:style>
  <w:style w:type="paragraph" w:customStyle="1" w:styleId="Heading">
    <w:name w:val="Heading"/>
    <w:basedOn w:val="Normal"/>
    <w:qFormat/>
    <w:rsid w:val="005F43E1"/>
    <w:pPr>
      <w:widowControl/>
      <w:autoSpaceDE/>
      <w:autoSpaceDN/>
      <w:adjustRightInd/>
      <w:spacing w:before="240" w:after="240"/>
      <w:ind w:left="1440" w:hanging="144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rsid w:val="00B26D24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B26D24"/>
    <w:rPr>
      <w:rFonts w:ascii="Arial" w:hAnsi="Arial"/>
    </w:rPr>
  </w:style>
  <w:style w:type="character" w:styleId="EndnoteReference">
    <w:name w:val="endnote reference"/>
    <w:rsid w:val="00B26D2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59352F"/>
    <w:rPr>
      <w:b/>
      <w:bCs/>
    </w:rPr>
  </w:style>
  <w:style w:type="character" w:customStyle="1" w:styleId="CommentSubjectChar">
    <w:name w:val="Comment Subject Char"/>
    <w:link w:val="CommentSubject"/>
    <w:rsid w:val="0059352F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52F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80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447EF"/>
    <w:pPr>
      <w:keepNext/>
      <w:ind w:left="663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447EF"/>
    <w:pPr>
      <w:keepNext/>
      <w:widowControl/>
      <w:tabs>
        <w:tab w:val="left" w:pos="606"/>
        <w:tab w:val="left" w:pos="663"/>
        <w:tab w:val="left" w:pos="1383"/>
        <w:tab w:val="left" w:pos="2103"/>
        <w:tab w:val="left" w:pos="2463"/>
        <w:tab w:val="left" w:pos="2823"/>
        <w:tab w:val="left" w:pos="3543"/>
        <w:tab w:val="left" w:pos="4263"/>
        <w:tab w:val="left" w:pos="4983"/>
        <w:tab w:val="left" w:pos="5703"/>
        <w:tab w:val="left" w:pos="6423"/>
        <w:tab w:val="left" w:pos="7143"/>
        <w:tab w:val="left" w:pos="7863"/>
        <w:tab w:val="left" w:pos="8583"/>
        <w:tab w:val="left" w:pos="8705"/>
        <w:tab w:val="left" w:pos="9303"/>
        <w:tab w:val="left" w:pos="10023"/>
        <w:tab w:val="left" w:pos="10743"/>
      </w:tabs>
      <w:ind w:left="663" w:right="64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47EF"/>
    <w:pPr>
      <w:keepNext/>
      <w:widowControl/>
      <w:tabs>
        <w:tab w:val="left" w:pos="-57"/>
        <w:tab w:val="left" w:pos="1800"/>
        <w:tab w:val="left" w:pos="7862"/>
      </w:tabs>
      <w:ind w:left="1800" w:firstLine="540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447EF"/>
    <w:pPr>
      <w:keepNext/>
      <w:widowControl/>
      <w:tabs>
        <w:tab w:val="left" w:pos="-57"/>
        <w:tab w:val="left" w:pos="1800"/>
        <w:tab w:val="left" w:pos="7200"/>
      </w:tabs>
      <w:ind w:left="720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447EF"/>
    <w:pPr>
      <w:keepNext/>
      <w:spacing w:line="360" w:lineRule="auto"/>
      <w:ind w:firstLine="144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447EF"/>
    <w:pPr>
      <w:keepNext/>
      <w:spacing w:line="360" w:lineRule="auto"/>
      <w:ind w:firstLine="720"/>
      <w:jc w:val="center"/>
      <w:outlineLvl w:val="5"/>
    </w:pPr>
    <w:rPr>
      <w:rFonts w:ascii="Calibri" w:hAnsi="Calibri"/>
      <w:b/>
      <w:bCs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447EF"/>
    <w:pPr>
      <w:keepNext/>
      <w:spacing w:line="360" w:lineRule="auto"/>
      <w:jc w:val="center"/>
      <w:outlineLvl w:val="6"/>
    </w:pPr>
    <w:rPr>
      <w:rFonts w:ascii="Calibri" w:hAnsi="Calibri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447EF"/>
    <w:pPr>
      <w:keepNext/>
      <w:tabs>
        <w:tab w:val="left" w:pos="720"/>
        <w:tab w:val="left" w:pos="1440"/>
        <w:tab w:val="left" w:pos="2160"/>
        <w:tab w:val="left" w:pos="2880"/>
      </w:tabs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447EF"/>
    <w:pPr>
      <w:keepNext/>
      <w:widowControl/>
      <w:tabs>
        <w:tab w:val="left" w:pos="-57"/>
        <w:tab w:val="left" w:pos="1800"/>
        <w:tab w:val="left" w:pos="7380"/>
      </w:tabs>
      <w:autoSpaceDE/>
      <w:autoSpaceDN/>
      <w:adjustRightInd/>
      <w:spacing w:line="215" w:lineRule="exact"/>
      <w:ind w:left="7862" w:hanging="720"/>
      <w:outlineLvl w:val="8"/>
    </w:pPr>
    <w:rPr>
      <w:rFonts w:ascii="Cambria" w:hAnsi="Cambria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</w:rPr>
  </w:style>
  <w:style w:type="character" w:styleId="FootnoteReference">
    <w:name w:val="footnote reference"/>
    <w:semiHidden/>
    <w:rsid w:val="00B447EF"/>
    <w:rPr>
      <w:rFonts w:cs="Times New Roman"/>
    </w:rPr>
  </w:style>
  <w:style w:type="paragraph" w:styleId="BlockText">
    <w:name w:val="Block Text"/>
    <w:basedOn w:val="Normal"/>
    <w:rsid w:val="00B447EF"/>
    <w:pPr>
      <w:widowControl/>
      <w:tabs>
        <w:tab w:val="left" w:pos="663"/>
        <w:tab w:val="left" w:pos="1023"/>
        <w:tab w:val="left" w:pos="1383"/>
        <w:tab w:val="left" w:pos="1743"/>
        <w:tab w:val="left" w:pos="2103"/>
        <w:tab w:val="left" w:pos="2463"/>
        <w:tab w:val="left" w:pos="2823"/>
        <w:tab w:val="left" w:pos="3183"/>
        <w:tab w:val="left" w:pos="3543"/>
        <w:tab w:val="left" w:pos="3903"/>
        <w:tab w:val="left" w:pos="4263"/>
        <w:tab w:val="left" w:pos="4623"/>
        <w:tab w:val="left" w:pos="4983"/>
        <w:tab w:val="left" w:pos="5343"/>
        <w:tab w:val="left" w:pos="5703"/>
        <w:tab w:val="left" w:pos="6063"/>
        <w:tab w:val="left" w:pos="6423"/>
        <w:tab w:val="left" w:pos="6783"/>
        <w:tab w:val="left" w:pos="7143"/>
        <w:tab w:val="left" w:pos="7503"/>
        <w:tab w:val="left" w:pos="7863"/>
        <w:tab w:val="left" w:pos="8223"/>
        <w:tab w:val="left" w:pos="8583"/>
        <w:tab w:val="left" w:pos="8943"/>
        <w:tab w:val="left" w:pos="9303"/>
        <w:tab w:val="left" w:pos="9663"/>
        <w:tab w:val="left" w:pos="10023"/>
        <w:tab w:val="left" w:pos="10383"/>
        <w:tab w:val="left" w:pos="10743"/>
      </w:tabs>
      <w:ind w:left="663" w:right="648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rsid w:val="00B447EF"/>
    <w:rPr>
      <w:sz w:val="24"/>
      <w:lang w:val="x-none" w:eastAsia="x-none"/>
    </w:rPr>
  </w:style>
  <w:style w:type="character" w:customStyle="1" w:styleId="BodyTextChar">
    <w:name w:val="Body Text Char"/>
    <w:link w:val="BodyText"/>
    <w:semiHidden/>
    <w:locked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447E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AutoList1">
    <w:name w:val="1AutoList1"/>
    <w:rsid w:val="00B447E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rsid w:val="00B447EF"/>
    <w:pPr>
      <w:widowControl/>
      <w:tabs>
        <w:tab w:val="left" w:pos="-57"/>
        <w:tab w:val="left" w:pos="1800"/>
      </w:tabs>
      <w:ind w:left="7200"/>
    </w:pPr>
    <w:rPr>
      <w:rFonts w:ascii="Times New Roman" w:hAnsi="Times New Roman"/>
      <w:b/>
      <w:bCs/>
      <w:szCs w:val="16"/>
    </w:rPr>
  </w:style>
  <w:style w:type="paragraph" w:styleId="BodyText3">
    <w:name w:val="Body Text 3"/>
    <w:basedOn w:val="Normal"/>
    <w:link w:val="BodyText3Char"/>
    <w:rsid w:val="00B447EF"/>
    <w:pPr>
      <w:tabs>
        <w:tab w:val="left" w:pos="-57"/>
        <w:tab w:val="left" w:pos="1800"/>
        <w:tab w:val="left" w:pos="7862"/>
      </w:tabs>
      <w:spacing w:line="215" w:lineRule="exact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Pr>
      <w:rFonts w:ascii="Arial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447EF"/>
    <w:pPr>
      <w:tabs>
        <w:tab w:val="left" w:pos="0"/>
      </w:tabs>
      <w:ind w:left="1440" w:hanging="2880"/>
    </w:pPr>
    <w:rPr>
      <w:sz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rsid w:val="00B447EF"/>
    <w:rPr>
      <w:rFonts w:cs="Times New Roman"/>
    </w:rPr>
  </w:style>
  <w:style w:type="paragraph" w:styleId="Footer">
    <w:name w:val="footer"/>
    <w:basedOn w:val="Normal"/>
    <w:link w:val="FooterChar"/>
    <w:rsid w:val="00B447EF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</w:rPr>
  </w:style>
  <w:style w:type="paragraph" w:customStyle="1" w:styleId="a">
    <w:name w:val="_"/>
    <w:rsid w:val="00B447EF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equation">
    <w:name w:val="equation"/>
    <w:rsid w:val="00B447EF"/>
    <w:pPr>
      <w:widowControl w:val="0"/>
      <w:tabs>
        <w:tab w:val="left" w:pos="0"/>
        <w:tab w:val="center" w:pos="3240"/>
        <w:tab w:val="righ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395" w:lineRule="atLeast"/>
    </w:pPr>
    <w:rPr>
      <w:rFonts w:ascii="Optima" w:hAnsi="Optima"/>
      <w:sz w:val="22"/>
      <w:szCs w:val="22"/>
    </w:rPr>
  </w:style>
  <w:style w:type="paragraph" w:styleId="BodyText2">
    <w:name w:val="Body Text 2"/>
    <w:basedOn w:val="Normal"/>
    <w:link w:val="BodyText2Char"/>
    <w:rsid w:val="00B447EF"/>
    <w:rPr>
      <w:sz w:val="24"/>
      <w:lang w:val="x-none" w:eastAsia="x-none"/>
    </w:rPr>
  </w:style>
  <w:style w:type="character" w:customStyle="1" w:styleId="BodyText2Char">
    <w:name w:val="Body Text 2 Char"/>
    <w:link w:val="BodyText2"/>
    <w:semiHidden/>
    <w:locked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B447EF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</w:rPr>
  </w:style>
  <w:style w:type="paragraph" w:customStyle="1" w:styleId="SL-FlLftSgl">
    <w:name w:val="SL-Fl Lft Sgl"/>
    <w:rsid w:val="00B447EF"/>
    <w:pPr>
      <w:spacing w:line="240" w:lineRule="atLeast"/>
      <w:jc w:val="both"/>
    </w:pPr>
    <w:rPr>
      <w:sz w:val="22"/>
    </w:rPr>
  </w:style>
  <w:style w:type="paragraph" w:customStyle="1" w:styleId="Q1-FirstLevelQuestion">
    <w:name w:val="Q1-First Level Question"/>
    <w:rsid w:val="00B447EF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Y3-YNTabLeader">
    <w:name w:val="Y3-Y/N Tab Leader"/>
    <w:rsid w:val="00B447EF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5-2ndLeader">
    <w:name w:val="A5-2nd Leader"/>
    <w:rsid w:val="00B447EF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C1-CtrBoldHd">
    <w:name w:val="C1-Ctr BoldHd"/>
    <w:rsid w:val="00B447EF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B447EF"/>
    <w:pPr>
      <w:keepLines/>
      <w:spacing w:line="240" w:lineRule="atLeast"/>
      <w:jc w:val="center"/>
    </w:pPr>
    <w:rPr>
      <w:sz w:val="22"/>
    </w:rPr>
  </w:style>
  <w:style w:type="paragraph" w:customStyle="1" w:styleId="A1-1stLeader">
    <w:name w:val="A1-1st Leader"/>
    <w:rsid w:val="00B447EF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rsid w:val="00B447EF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semiHidden/>
    <w:locked/>
    <w:rPr>
      <w:rFonts w:ascii="Courier New" w:hAnsi="Courier New" w:cs="Courier New"/>
      <w:sz w:val="20"/>
      <w:szCs w:val="20"/>
    </w:rPr>
  </w:style>
  <w:style w:type="paragraph" w:customStyle="1" w:styleId="Answer2">
    <w:name w:val="Answer 2"/>
    <w:basedOn w:val="Normal"/>
    <w:rsid w:val="00B447EF"/>
    <w:pPr>
      <w:tabs>
        <w:tab w:val="num" w:pos="1800"/>
      </w:tabs>
      <w:ind w:left="1800" w:hanging="360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447EF"/>
    <w:pPr>
      <w:tabs>
        <w:tab w:val="left" w:pos="-1440"/>
        <w:tab w:val="left" w:pos="-720"/>
        <w:tab w:val="left" w:pos="-36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line="215" w:lineRule="exact"/>
      <w:ind w:left="-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</w:rPr>
  </w:style>
  <w:style w:type="paragraph" w:styleId="NormalWeb">
    <w:name w:val="Normal (Web)"/>
    <w:basedOn w:val="Normal"/>
    <w:rsid w:val="00B447EF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5AutoList62">
    <w:name w:val="5AutoList62"/>
    <w:rsid w:val="00B447E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Cs w:val="24"/>
    </w:rPr>
  </w:style>
  <w:style w:type="paragraph" w:styleId="BodyTextIndent">
    <w:name w:val="Body Text Indent"/>
    <w:basedOn w:val="Normal"/>
    <w:link w:val="BodyTextIndentChar"/>
    <w:rsid w:val="00B447EF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</w:rPr>
  </w:style>
  <w:style w:type="paragraph" w:customStyle="1" w:styleId="Style1">
    <w:name w:val="Style1"/>
    <w:basedOn w:val="Normal"/>
    <w:rsid w:val="00B447EF"/>
    <w:pPr>
      <w:widowControl/>
      <w:tabs>
        <w:tab w:val="left" w:pos="0"/>
        <w:tab w:val="left" w:pos="720"/>
        <w:tab w:val="left" w:pos="1440"/>
      </w:tabs>
      <w:suppressAutoHyphens/>
      <w:autoSpaceDE/>
      <w:autoSpaceDN/>
      <w:adjustRightInd/>
    </w:pPr>
    <w:rPr>
      <w:rFonts w:ascii="Times New Roman" w:hAnsi="Times New Roman"/>
      <w:i/>
      <w:szCs w:val="20"/>
    </w:rPr>
  </w:style>
  <w:style w:type="paragraph" w:customStyle="1" w:styleId="Style2">
    <w:name w:val="Style2"/>
    <w:basedOn w:val="Normal"/>
    <w:rsid w:val="00B447EF"/>
    <w:pPr>
      <w:widowControl/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Level2">
    <w:name w:val="Level 2"/>
    <w:basedOn w:val="Normal"/>
    <w:rsid w:val="00B447EF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character" w:customStyle="1" w:styleId="annotationr">
    <w:name w:val="annotation r"/>
    <w:rsid w:val="00B447EF"/>
    <w:rPr>
      <w:sz w:val="16"/>
    </w:rPr>
  </w:style>
  <w:style w:type="character" w:customStyle="1" w:styleId="QuickFormat2">
    <w:name w:val="QuickFormat2"/>
    <w:rsid w:val="00B447EF"/>
    <w:rPr>
      <w:rFonts w:ascii="Arial" w:hAnsi="Arial"/>
      <w:b/>
      <w:sz w:val="20"/>
    </w:rPr>
  </w:style>
  <w:style w:type="paragraph" w:customStyle="1" w:styleId="HangingIndent">
    <w:name w:val="Hanging Indent"/>
    <w:basedOn w:val="Normal"/>
    <w:rsid w:val="00B447EF"/>
    <w:pPr>
      <w:widowControl/>
      <w:autoSpaceDE/>
      <w:autoSpaceDN/>
      <w:adjustRightInd/>
      <w:ind w:left="720" w:hanging="720"/>
    </w:pPr>
    <w:rPr>
      <w:rFonts w:ascii="Times New Roman" w:hAnsi="Times New Roman"/>
      <w:sz w:val="24"/>
      <w:szCs w:val="20"/>
    </w:rPr>
  </w:style>
  <w:style w:type="paragraph" w:customStyle="1" w:styleId="Questions">
    <w:name w:val="Questions"/>
    <w:basedOn w:val="Normal"/>
    <w:rsid w:val="00B447EF"/>
    <w:pPr>
      <w:widowControl/>
      <w:autoSpaceDE/>
      <w:autoSpaceDN/>
      <w:adjustRightInd/>
      <w:ind w:left="576"/>
    </w:pPr>
    <w:rPr>
      <w:rFonts w:ascii="Times New Roman" w:hAnsi="Times New Roman"/>
      <w:szCs w:val="20"/>
    </w:rPr>
  </w:style>
  <w:style w:type="paragraph" w:customStyle="1" w:styleId="Rational">
    <w:name w:val="Rational"/>
    <w:basedOn w:val="Normal"/>
    <w:rsid w:val="00B447EF"/>
    <w:pPr>
      <w:widowControl/>
      <w:tabs>
        <w:tab w:val="left" w:pos="0"/>
      </w:tabs>
      <w:suppressAutoHyphens/>
      <w:autoSpaceDE/>
      <w:autoSpaceDN/>
      <w:adjustRightInd/>
    </w:pPr>
    <w:rPr>
      <w:rFonts w:ascii="Times New Roman" w:hAnsi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B447EF"/>
    <w:pPr>
      <w:widowControl/>
      <w:autoSpaceDE/>
      <w:autoSpaceDN/>
      <w:adjustRightInd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locked/>
    <w:rPr>
      <w:rFonts w:ascii="Cambria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447EF"/>
    <w:pPr>
      <w:widowControl/>
      <w:tabs>
        <w:tab w:val="right" w:leader="dot" w:pos="8630"/>
      </w:tabs>
      <w:autoSpaceDE/>
      <w:autoSpaceDN/>
      <w:adjustRightInd/>
      <w:spacing w:before="120" w:after="120"/>
    </w:pPr>
    <w:rPr>
      <w:rFonts w:ascii="Times New Roman" w:hAnsi="Times New Roman"/>
      <w:b/>
      <w:caps/>
      <w:noProof/>
      <w:color w:val="000000"/>
      <w:szCs w:val="20"/>
    </w:rPr>
  </w:style>
  <w:style w:type="paragraph" w:styleId="FootnoteText">
    <w:name w:val="footnote text"/>
    <w:aliases w:val="F1"/>
    <w:basedOn w:val="Normal"/>
    <w:link w:val="FootnoteTextChar"/>
    <w:semiHidden/>
    <w:rsid w:val="00B447EF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FootnoteTextChar">
    <w:name w:val="Footnote Text Char"/>
    <w:aliases w:val="F1 Char"/>
    <w:link w:val="FootnoteText"/>
    <w:semiHidden/>
    <w:locked/>
    <w:rPr>
      <w:rFonts w:ascii="Arial" w:hAnsi="Arial" w:cs="Times New Roman"/>
      <w:sz w:val="20"/>
      <w:szCs w:val="20"/>
    </w:rPr>
  </w:style>
  <w:style w:type="character" w:styleId="Hyperlink">
    <w:name w:val="Hyperlink"/>
    <w:rsid w:val="00B447EF"/>
    <w:rPr>
      <w:rFonts w:cs="Times New Roman"/>
      <w:color w:val="0000FF"/>
      <w:u w:val="single"/>
    </w:rPr>
  </w:style>
  <w:style w:type="character" w:styleId="FollowedHyperlink">
    <w:name w:val="FollowedHyperlink"/>
    <w:rsid w:val="00B447EF"/>
    <w:rPr>
      <w:rFonts w:cs="Times New Roman"/>
      <w:color w:val="800080"/>
      <w:u w:val="single"/>
    </w:rPr>
  </w:style>
  <w:style w:type="paragraph" w:customStyle="1" w:styleId="OmniPage5">
    <w:name w:val="OmniPage #5"/>
    <w:basedOn w:val="Normal"/>
    <w:rsid w:val="00B447EF"/>
    <w:pPr>
      <w:widowControl/>
      <w:tabs>
        <w:tab w:val="right" w:pos="6071"/>
      </w:tabs>
      <w:autoSpaceDE/>
      <w:autoSpaceDN/>
      <w:adjustRightInd/>
    </w:pPr>
    <w:rPr>
      <w:noProof/>
      <w:szCs w:val="20"/>
    </w:rPr>
  </w:style>
  <w:style w:type="character" w:styleId="Strong">
    <w:name w:val="Strong"/>
    <w:qFormat/>
    <w:rsid w:val="00B447EF"/>
    <w:rPr>
      <w:rFonts w:cs="Times New Roman"/>
      <w:b/>
      <w:bCs/>
    </w:rPr>
  </w:style>
  <w:style w:type="paragraph" w:customStyle="1" w:styleId="Quick">
    <w:name w:val="Quick _"/>
    <w:basedOn w:val="Normal"/>
    <w:rsid w:val="00B447EF"/>
    <w:pPr>
      <w:ind w:left="1080" w:hanging="360"/>
    </w:pPr>
    <w:rPr>
      <w:rFonts w:ascii="Times New Roman" w:hAnsi="Times New Roman"/>
      <w:sz w:val="24"/>
    </w:rPr>
  </w:style>
  <w:style w:type="paragraph" w:customStyle="1" w:styleId="Style0">
    <w:name w:val="Style0"/>
    <w:rsid w:val="00B447E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rsid w:val="00B447E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CM11">
    <w:name w:val="CM11"/>
    <w:basedOn w:val="Default"/>
    <w:next w:val="Default"/>
    <w:rsid w:val="00B447EF"/>
    <w:rPr>
      <w:rFonts w:ascii="Times New Roman" w:eastAsia="Times New Roman" w:hAnsi="Times New Roman" w:cs="Times New Roman"/>
      <w:color w:val="auto"/>
      <w:lang w:eastAsia="en-US"/>
    </w:rPr>
  </w:style>
  <w:style w:type="character" w:styleId="CommentReference">
    <w:name w:val="annotation reference"/>
    <w:semiHidden/>
    <w:rsid w:val="00B447EF"/>
    <w:rPr>
      <w:rFonts w:cs="Times New Roman"/>
      <w:sz w:val="16"/>
      <w:szCs w:val="16"/>
    </w:rPr>
  </w:style>
  <w:style w:type="paragraph" w:customStyle="1" w:styleId="QNoL11-9">
    <w:name w:val="Q No L1 1-9"/>
    <w:basedOn w:val="Normal"/>
    <w:rsid w:val="00B447EF"/>
    <w:pPr>
      <w:widowControl/>
      <w:tabs>
        <w:tab w:val="left" w:pos="252"/>
        <w:tab w:val="left" w:pos="521"/>
      </w:tabs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Level9">
    <w:name w:val="Level 9"/>
    <w:basedOn w:val="Normal"/>
    <w:rsid w:val="00B447EF"/>
    <w:pPr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QNoL110">
    <w:name w:val="Q No L1 10+"/>
    <w:basedOn w:val="Normal"/>
    <w:rsid w:val="00B447EF"/>
    <w:pPr>
      <w:widowControl/>
      <w:tabs>
        <w:tab w:val="left" w:pos="353"/>
        <w:tab w:val="left" w:pos="622"/>
        <w:tab w:val="left" w:pos="936"/>
      </w:tabs>
      <w:autoSpaceDE/>
      <w:autoSpaceDN/>
      <w:adjustRightInd/>
    </w:pPr>
    <w:rPr>
      <w:rFonts w:ascii="Times New Roman" w:hAnsi="Times New Roman"/>
      <w:b/>
      <w:szCs w:val="20"/>
    </w:rPr>
  </w:style>
  <w:style w:type="paragraph" w:customStyle="1" w:styleId="QNote">
    <w:name w:val="Q Note"/>
    <w:rsid w:val="00B447E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ind w:left="1440"/>
    </w:pPr>
    <w:rPr>
      <w:b/>
      <w:bCs/>
      <w:sz w:val="24"/>
      <w:szCs w:val="24"/>
    </w:rPr>
  </w:style>
  <w:style w:type="paragraph" w:customStyle="1" w:styleId="FormBodyText">
    <w:name w:val="Form Body Text"/>
    <w:basedOn w:val="Normal"/>
    <w:rsid w:val="00B447EF"/>
    <w:pPr>
      <w:widowControl/>
      <w:tabs>
        <w:tab w:val="right" w:pos="9360"/>
      </w:tabs>
      <w:autoSpaceDE/>
      <w:autoSpaceDN/>
      <w:adjustRightInd/>
      <w:spacing w:before="60" w:after="60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semiHidden/>
    <w:rsid w:val="00B97809"/>
    <w:rPr>
      <w:rFonts w:ascii="Times New Roman" w:hAnsi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B97809"/>
    <w:rPr>
      <w:sz w:val="16"/>
      <w:lang w:val="x-none" w:eastAsia="x-none"/>
    </w:rPr>
  </w:style>
  <w:style w:type="paragraph" w:customStyle="1" w:styleId="CharCharCharCharCharCharCharChar">
    <w:name w:val="Char Char Char Char Char Char Char Char"/>
    <w:basedOn w:val="Normal"/>
    <w:semiHidden/>
    <w:rsid w:val="00B447EF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B447EF"/>
    <w:rPr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semiHidden/>
    <w:rsid w:val="0088710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ource">
    <w:name w:val="Source"/>
    <w:basedOn w:val="Normal"/>
    <w:rsid w:val="007D66A0"/>
    <w:pPr>
      <w:keepLines/>
      <w:widowControl/>
      <w:autoSpaceDE/>
      <w:autoSpaceDN/>
      <w:adjustRightInd/>
      <w:spacing w:before="120" w:after="400"/>
      <w:ind w:left="216" w:hanging="216"/>
    </w:pPr>
    <w:rPr>
      <w:rFonts w:ascii="Times New Roman" w:hAnsi="Times New Roman"/>
      <w:sz w:val="18"/>
      <w:szCs w:val="18"/>
    </w:rPr>
  </w:style>
  <w:style w:type="paragraph" w:customStyle="1" w:styleId="Headinglast">
    <w:name w:val="Heading last"/>
    <w:basedOn w:val="Normal"/>
    <w:qFormat/>
    <w:rsid w:val="00C006C4"/>
    <w:pPr>
      <w:widowControl/>
      <w:autoSpaceDE/>
      <w:autoSpaceDN/>
      <w:adjustRightInd/>
      <w:spacing w:before="240" w:after="720"/>
      <w:ind w:left="1440" w:hanging="1440"/>
    </w:pPr>
    <w:rPr>
      <w:rFonts w:ascii="Times New Roman" w:hAnsi="Times New Roman"/>
      <w:sz w:val="24"/>
    </w:rPr>
  </w:style>
  <w:style w:type="paragraph" w:customStyle="1" w:styleId="P1-StandPara">
    <w:name w:val="P1-Stand Para"/>
    <w:link w:val="P1-StandParaChar"/>
    <w:rsid w:val="00546281"/>
    <w:pPr>
      <w:spacing w:line="480" w:lineRule="auto"/>
      <w:ind w:firstLine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546281"/>
    <w:pPr>
      <w:widowControl/>
      <w:autoSpaceDE/>
      <w:autoSpaceDN/>
      <w:adjustRightInd/>
      <w:spacing w:line="24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P1-StandParaChar">
    <w:name w:val="P1-Stand Para Char"/>
    <w:link w:val="P1-StandPara"/>
    <w:rsid w:val="00546281"/>
    <w:rPr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140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40B26"/>
    <w:rPr>
      <w:rFonts w:ascii="Courier New" w:hAnsi="Courier New" w:cs="Courier New"/>
    </w:rPr>
  </w:style>
  <w:style w:type="paragraph" w:customStyle="1" w:styleId="Heading">
    <w:name w:val="Heading"/>
    <w:basedOn w:val="Normal"/>
    <w:qFormat/>
    <w:rsid w:val="005F43E1"/>
    <w:pPr>
      <w:widowControl/>
      <w:autoSpaceDE/>
      <w:autoSpaceDN/>
      <w:adjustRightInd/>
      <w:spacing w:before="240" w:after="240"/>
      <w:ind w:left="1440" w:hanging="144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rsid w:val="00B26D24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B26D24"/>
    <w:rPr>
      <w:rFonts w:ascii="Arial" w:hAnsi="Arial"/>
    </w:rPr>
  </w:style>
  <w:style w:type="character" w:styleId="EndnoteReference">
    <w:name w:val="endnote reference"/>
    <w:rsid w:val="00B26D2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59352F"/>
    <w:rPr>
      <w:b/>
      <w:bCs/>
    </w:rPr>
  </w:style>
  <w:style w:type="character" w:customStyle="1" w:styleId="CommentSubjectChar">
    <w:name w:val="Comment Subject Char"/>
    <w:link w:val="CommentSubject"/>
    <w:rsid w:val="0059352F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52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ls.gov/oes/2013/may/oes_nat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4321-5CCE-49CC-98D3-5C595A1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HUMAN SERVICES</vt:lpstr>
    </vt:vector>
  </TitlesOfParts>
  <Company>NCHS</Company>
  <LinksUpToDate>false</LinksUpToDate>
  <CharactersWithSpaces>6432</CharactersWithSpaces>
  <SharedDoc>false</SharedDoc>
  <HLinks>
    <vt:vector size="12" baseType="variant">
      <vt:variant>
        <vt:i4>1376349</vt:i4>
      </vt:variant>
      <vt:variant>
        <vt:i4>3</vt:i4>
      </vt:variant>
      <vt:variant>
        <vt:i4>0</vt:i4>
      </vt:variant>
      <vt:variant>
        <vt:i4>5</vt:i4>
      </vt:variant>
      <vt:variant>
        <vt:lpwstr>http://www.gfk.com/us/Pages/default.aspx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http://www.tessexperiments.org/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HUMAN SERVICES</dc:title>
  <dc:creator>krs0</dc:creator>
  <cp:lastModifiedBy>Currie, Mikia (NIH/OD) [E]</cp:lastModifiedBy>
  <cp:revision>2</cp:revision>
  <cp:lastPrinted>2010-04-26T17:20:00Z</cp:lastPrinted>
  <dcterms:created xsi:type="dcterms:W3CDTF">2015-01-22T19:10:00Z</dcterms:created>
  <dcterms:modified xsi:type="dcterms:W3CDTF">2015-01-22T19:10:00Z</dcterms:modified>
</cp:coreProperties>
</file>