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234" w:rsidRDefault="00CB7234" w:rsidP="00CB7234">
      <w:pPr>
        <w:jc w:val="center"/>
        <w:rPr>
          <w:b/>
          <w:sz w:val="28"/>
          <w:szCs w:val="28"/>
        </w:rPr>
      </w:pPr>
      <w:bookmarkStart w:id="0" w:name="_GoBack"/>
      <w:bookmarkEnd w:id="0"/>
      <w:r w:rsidRPr="00456179">
        <w:rPr>
          <w:b/>
          <w:sz w:val="28"/>
          <w:szCs w:val="28"/>
        </w:rPr>
        <w:t>SUPPORTING STATEMENT</w:t>
      </w:r>
    </w:p>
    <w:p w:rsidR="00CB7234" w:rsidRDefault="00CB7234" w:rsidP="00CB7234">
      <w:pPr>
        <w:jc w:val="center"/>
        <w:rPr>
          <w:b/>
          <w:sz w:val="28"/>
          <w:szCs w:val="28"/>
        </w:rPr>
      </w:pPr>
    </w:p>
    <w:p w:rsidR="00CB7234" w:rsidRDefault="00CB7234" w:rsidP="00CB7234">
      <w:pPr>
        <w:jc w:val="center"/>
        <w:rPr>
          <w:sz w:val="28"/>
          <w:szCs w:val="28"/>
        </w:rPr>
      </w:pPr>
      <w:r>
        <w:rPr>
          <w:b/>
          <w:sz w:val="28"/>
          <w:szCs w:val="28"/>
        </w:rPr>
        <w:t>Part A</w:t>
      </w:r>
    </w:p>
    <w:p w:rsidR="00CB7234" w:rsidRDefault="00CB7234" w:rsidP="00CB7234">
      <w:pPr>
        <w:jc w:val="center"/>
        <w:rPr>
          <w:sz w:val="28"/>
          <w:szCs w:val="28"/>
        </w:rPr>
      </w:pPr>
    </w:p>
    <w:p w:rsidR="00CB7234" w:rsidRDefault="00CB7234" w:rsidP="00CB7234">
      <w:pPr>
        <w:jc w:val="center"/>
        <w:rPr>
          <w:sz w:val="28"/>
          <w:szCs w:val="28"/>
        </w:rPr>
      </w:pPr>
    </w:p>
    <w:p w:rsidR="00CB7234" w:rsidRPr="000A0699" w:rsidRDefault="00CA0F25" w:rsidP="00CB7234">
      <w:pPr>
        <w:jc w:val="center"/>
        <w:rPr>
          <w:b/>
          <w:sz w:val="28"/>
          <w:szCs w:val="28"/>
        </w:rPr>
      </w:pPr>
      <w:r>
        <w:rPr>
          <w:b/>
          <w:sz w:val="28"/>
          <w:szCs w:val="28"/>
        </w:rPr>
        <w:t xml:space="preserve"> </w:t>
      </w:r>
    </w:p>
    <w:p w:rsidR="00CB7234" w:rsidRDefault="00CB7234" w:rsidP="00CB7234">
      <w:pPr>
        <w:jc w:val="center"/>
        <w:rPr>
          <w:sz w:val="28"/>
          <w:szCs w:val="28"/>
        </w:rPr>
      </w:pPr>
    </w:p>
    <w:p w:rsidR="00CB7234" w:rsidRDefault="00CB7234" w:rsidP="00CB7234">
      <w:pPr>
        <w:jc w:val="center"/>
        <w:rPr>
          <w:sz w:val="28"/>
          <w:szCs w:val="28"/>
        </w:rPr>
      </w:pPr>
    </w:p>
    <w:p w:rsidR="00CB7234" w:rsidRDefault="00CB7234" w:rsidP="00CB7234">
      <w:pPr>
        <w:jc w:val="center"/>
        <w:rPr>
          <w:sz w:val="28"/>
          <w:szCs w:val="28"/>
        </w:rPr>
      </w:pPr>
    </w:p>
    <w:p w:rsidR="009A1085" w:rsidRPr="009D1C9C" w:rsidRDefault="009A1085" w:rsidP="009A1085">
      <w:pPr>
        <w:jc w:val="center"/>
        <w:rPr>
          <w:color w:val="000000" w:themeColor="text1"/>
          <w:sz w:val="28"/>
          <w:szCs w:val="28"/>
        </w:rPr>
      </w:pPr>
      <w:bookmarkStart w:id="1" w:name="OLE_LINK3"/>
      <w:bookmarkStart w:id="2" w:name="OLE_LINK4"/>
      <w:r w:rsidRPr="009D1C9C">
        <w:rPr>
          <w:color w:val="000000" w:themeColor="text1"/>
          <w:sz w:val="28"/>
          <w:szCs w:val="28"/>
        </w:rPr>
        <w:t xml:space="preserve">Care Coordination Quality Measure for Patients in the Primary Care Setting </w:t>
      </w:r>
    </w:p>
    <w:bookmarkEnd w:id="1"/>
    <w:bookmarkEnd w:id="2"/>
    <w:p w:rsidR="00CB7234" w:rsidRPr="009274EF" w:rsidRDefault="00CB7234" w:rsidP="00CB7234">
      <w:pPr>
        <w:jc w:val="center"/>
        <w:rPr>
          <w:b/>
          <w:sz w:val="28"/>
          <w:szCs w:val="28"/>
        </w:rPr>
      </w:pPr>
    </w:p>
    <w:p w:rsidR="00CB7234" w:rsidRPr="00082047" w:rsidRDefault="00CB7234" w:rsidP="00CB7234">
      <w:pPr>
        <w:jc w:val="center"/>
        <w:rPr>
          <w:i/>
          <w:sz w:val="28"/>
          <w:szCs w:val="28"/>
        </w:rPr>
      </w:pPr>
    </w:p>
    <w:p w:rsidR="00CB7234" w:rsidRDefault="00CB7234" w:rsidP="00CB7234">
      <w:pPr>
        <w:jc w:val="center"/>
        <w:rPr>
          <w:sz w:val="28"/>
          <w:szCs w:val="28"/>
        </w:rPr>
      </w:pPr>
    </w:p>
    <w:p w:rsidR="00CB7234" w:rsidRDefault="00CB7234" w:rsidP="00CB7234">
      <w:pPr>
        <w:jc w:val="center"/>
        <w:rPr>
          <w:sz w:val="28"/>
          <w:szCs w:val="28"/>
        </w:rPr>
      </w:pPr>
    </w:p>
    <w:p w:rsidR="00CB7234" w:rsidRDefault="00CB7234" w:rsidP="00CB7234">
      <w:pPr>
        <w:jc w:val="center"/>
        <w:rPr>
          <w:sz w:val="28"/>
          <w:szCs w:val="28"/>
        </w:rPr>
      </w:pPr>
    </w:p>
    <w:p w:rsidR="00CB7234" w:rsidRPr="00B95455" w:rsidRDefault="00D67E9C" w:rsidP="00CB7234">
      <w:pPr>
        <w:jc w:val="center"/>
        <w:rPr>
          <w:b/>
          <w:sz w:val="28"/>
          <w:szCs w:val="28"/>
        </w:rPr>
      </w:pPr>
      <w:r>
        <w:rPr>
          <w:b/>
          <w:sz w:val="28"/>
          <w:szCs w:val="28"/>
        </w:rPr>
        <w:t xml:space="preserve">April </w:t>
      </w:r>
      <w:r w:rsidR="00CD41D5">
        <w:rPr>
          <w:b/>
          <w:sz w:val="28"/>
          <w:szCs w:val="28"/>
        </w:rPr>
        <w:t>201</w:t>
      </w:r>
      <w:r w:rsidR="008367E8">
        <w:rPr>
          <w:b/>
          <w:sz w:val="28"/>
          <w:szCs w:val="28"/>
        </w:rPr>
        <w:t>4</w:t>
      </w:r>
    </w:p>
    <w:p w:rsidR="00CB7234" w:rsidRDefault="00CB7234" w:rsidP="00CB7234">
      <w:pPr>
        <w:jc w:val="center"/>
        <w:rPr>
          <w:i/>
          <w:sz w:val="28"/>
          <w:szCs w:val="28"/>
        </w:rPr>
      </w:pPr>
    </w:p>
    <w:p w:rsidR="00CB7234" w:rsidRDefault="00CB7234" w:rsidP="00CB7234">
      <w:pPr>
        <w:jc w:val="center"/>
        <w:rPr>
          <w:sz w:val="28"/>
          <w:szCs w:val="28"/>
        </w:rPr>
      </w:pPr>
    </w:p>
    <w:p w:rsidR="00CB7234" w:rsidRDefault="00CB7234" w:rsidP="00CB7234">
      <w:pPr>
        <w:jc w:val="center"/>
        <w:rPr>
          <w:sz w:val="28"/>
          <w:szCs w:val="28"/>
        </w:rPr>
      </w:pPr>
    </w:p>
    <w:p w:rsidR="00CB7234" w:rsidRDefault="00CB7234" w:rsidP="00CB7234">
      <w:pPr>
        <w:jc w:val="center"/>
        <w:rPr>
          <w:sz w:val="28"/>
          <w:szCs w:val="28"/>
        </w:rPr>
      </w:pPr>
    </w:p>
    <w:p w:rsidR="00CB7234" w:rsidRDefault="00CB7234" w:rsidP="00CB7234">
      <w:pPr>
        <w:jc w:val="center"/>
        <w:rPr>
          <w:sz w:val="28"/>
          <w:szCs w:val="28"/>
        </w:rPr>
      </w:pPr>
    </w:p>
    <w:p w:rsidR="00CB7234" w:rsidRDefault="00CB7234" w:rsidP="00CB7234">
      <w:pPr>
        <w:jc w:val="center"/>
        <w:rPr>
          <w:sz w:val="28"/>
          <w:szCs w:val="28"/>
        </w:rPr>
      </w:pPr>
    </w:p>
    <w:p w:rsidR="00D15C89" w:rsidRDefault="00CB7234" w:rsidP="00CB7234">
      <w:pPr>
        <w:jc w:val="center"/>
        <w:rPr>
          <w:b/>
          <w:sz w:val="28"/>
          <w:szCs w:val="28"/>
        </w:rPr>
        <w:sectPr w:rsidR="00D15C89" w:rsidSect="00FA3B94">
          <w:footerReference w:type="even" r:id="rId9"/>
          <w:endnotePr>
            <w:numFmt w:val="decimal"/>
          </w:endnotePr>
          <w:pgSz w:w="12240" w:h="15840"/>
          <w:pgMar w:top="1440" w:right="1440" w:bottom="1440" w:left="1440" w:header="720" w:footer="720" w:gutter="0"/>
          <w:cols w:space="720"/>
          <w:docGrid w:linePitch="360"/>
        </w:sectPr>
      </w:pPr>
      <w:r w:rsidRPr="008367E8">
        <w:rPr>
          <w:b/>
          <w:sz w:val="28"/>
          <w:szCs w:val="28"/>
        </w:rPr>
        <w:t xml:space="preserve">Agency </w:t>
      </w:r>
      <w:r w:rsidR="00CB0B27" w:rsidRPr="008367E8">
        <w:rPr>
          <w:b/>
          <w:sz w:val="28"/>
          <w:szCs w:val="28"/>
        </w:rPr>
        <w:t>for</w:t>
      </w:r>
      <w:r w:rsidRPr="008367E8">
        <w:rPr>
          <w:b/>
          <w:sz w:val="28"/>
          <w:szCs w:val="28"/>
        </w:rPr>
        <w:t xml:space="preserve"> Healthcare Research and Quality (AHRQ)</w:t>
      </w:r>
    </w:p>
    <w:p w:rsidR="00D15C89" w:rsidRDefault="00D15C89" w:rsidP="00CB7234">
      <w:pPr>
        <w:jc w:val="center"/>
        <w:rPr>
          <w:b/>
          <w:sz w:val="28"/>
          <w:szCs w:val="28"/>
        </w:rPr>
        <w:sectPr w:rsidR="00D15C89" w:rsidSect="00D77131">
          <w:footerReference w:type="default" r:id="rId10"/>
          <w:endnotePr>
            <w:numFmt w:val="decimal"/>
          </w:endnotePr>
          <w:pgSz w:w="12240" w:h="15840"/>
          <w:pgMar w:top="1440" w:right="1440" w:bottom="1440" w:left="1440" w:header="720" w:footer="720" w:gutter="0"/>
          <w:pgNumType w:fmt="lowerRoman" w:start="1"/>
          <w:cols w:space="720"/>
          <w:docGrid w:linePitch="360"/>
        </w:sectPr>
      </w:pPr>
    </w:p>
    <w:p w:rsidR="00CB7234" w:rsidRPr="008367E8" w:rsidRDefault="00CB7234" w:rsidP="00CB7234">
      <w:pPr>
        <w:jc w:val="center"/>
        <w:rPr>
          <w:b/>
          <w:sz w:val="28"/>
          <w:szCs w:val="28"/>
        </w:rPr>
      </w:pPr>
    </w:p>
    <w:sdt>
      <w:sdtPr>
        <w:rPr>
          <w:rFonts w:ascii="Times New Roman" w:eastAsia="Times New Roman" w:hAnsi="Times New Roman" w:cs="Times New Roman"/>
          <w:b w:val="0"/>
          <w:bCs w:val="0"/>
          <w:color w:val="auto"/>
          <w:sz w:val="20"/>
          <w:szCs w:val="20"/>
        </w:rPr>
        <w:id w:val="26770416"/>
        <w:docPartObj>
          <w:docPartGallery w:val="Table of Contents"/>
          <w:docPartUnique/>
        </w:docPartObj>
      </w:sdtPr>
      <w:sdtEndPr/>
      <w:sdtContent>
        <w:p w:rsidR="008C5826" w:rsidRPr="008C5826" w:rsidRDefault="008C5826">
          <w:pPr>
            <w:pStyle w:val="TOCHeading"/>
            <w:rPr>
              <w:rFonts w:ascii="Times New Roman" w:hAnsi="Times New Roman" w:cs="Times New Roman"/>
            </w:rPr>
          </w:pPr>
          <w:r w:rsidRPr="008C5826">
            <w:rPr>
              <w:rFonts w:ascii="Times New Roman" w:hAnsi="Times New Roman" w:cs="Times New Roman"/>
            </w:rPr>
            <w:t>Table of Contents</w:t>
          </w:r>
        </w:p>
        <w:p w:rsidR="00B333EA" w:rsidRDefault="004735ED">
          <w:pPr>
            <w:pStyle w:val="TOC1"/>
            <w:tabs>
              <w:tab w:val="right" w:leader="dot" w:pos="9350"/>
            </w:tabs>
            <w:rPr>
              <w:rFonts w:asciiTheme="minorHAnsi" w:eastAsiaTheme="minorEastAsia" w:hAnsiTheme="minorHAnsi" w:cstheme="minorBidi"/>
              <w:noProof/>
              <w:sz w:val="22"/>
              <w:szCs w:val="22"/>
            </w:rPr>
          </w:pPr>
          <w:r w:rsidRPr="008C5826">
            <w:fldChar w:fldCharType="begin"/>
          </w:r>
          <w:r w:rsidR="008C5826" w:rsidRPr="008C5826">
            <w:instrText xml:space="preserve"> TOC \o "1-3" \h \z \u </w:instrText>
          </w:r>
          <w:r w:rsidRPr="008C5826">
            <w:fldChar w:fldCharType="separate"/>
          </w:r>
          <w:hyperlink w:anchor="_Toc386502288" w:history="1">
            <w:r w:rsidR="00B333EA" w:rsidRPr="00167863">
              <w:rPr>
                <w:rStyle w:val="Hyperlink"/>
                <w:noProof/>
              </w:rPr>
              <w:t>A.  JUSTIFICATION</w:t>
            </w:r>
            <w:r w:rsidR="00B333EA">
              <w:rPr>
                <w:noProof/>
                <w:webHidden/>
              </w:rPr>
              <w:tab/>
            </w:r>
            <w:r>
              <w:rPr>
                <w:noProof/>
                <w:webHidden/>
              </w:rPr>
              <w:fldChar w:fldCharType="begin"/>
            </w:r>
            <w:r w:rsidR="00B333EA">
              <w:rPr>
                <w:noProof/>
                <w:webHidden/>
              </w:rPr>
              <w:instrText xml:space="preserve"> PAGEREF _Toc386502288 \h </w:instrText>
            </w:r>
            <w:r>
              <w:rPr>
                <w:noProof/>
                <w:webHidden/>
              </w:rPr>
            </w:r>
            <w:r>
              <w:rPr>
                <w:noProof/>
                <w:webHidden/>
              </w:rPr>
              <w:fldChar w:fldCharType="separate"/>
            </w:r>
            <w:r w:rsidR="00C64C25">
              <w:rPr>
                <w:noProof/>
                <w:webHidden/>
              </w:rPr>
              <w:t>1</w:t>
            </w:r>
            <w:r>
              <w:rPr>
                <w:noProof/>
                <w:webHidden/>
              </w:rPr>
              <w:fldChar w:fldCharType="end"/>
            </w:r>
          </w:hyperlink>
        </w:p>
        <w:p w:rsidR="00B333EA" w:rsidRDefault="00A77666">
          <w:pPr>
            <w:pStyle w:val="TOC2"/>
            <w:tabs>
              <w:tab w:val="right" w:leader="dot" w:pos="9350"/>
            </w:tabs>
            <w:rPr>
              <w:rFonts w:asciiTheme="minorHAnsi" w:eastAsiaTheme="minorEastAsia" w:hAnsiTheme="minorHAnsi" w:cstheme="minorBidi"/>
              <w:noProof/>
              <w:sz w:val="22"/>
              <w:szCs w:val="22"/>
            </w:rPr>
          </w:pPr>
          <w:hyperlink w:anchor="_Toc386502289" w:history="1">
            <w:r w:rsidR="00B333EA" w:rsidRPr="00167863">
              <w:rPr>
                <w:rStyle w:val="Hyperlink"/>
                <w:noProof/>
              </w:rPr>
              <w:t>1.  Circumstances that Make the Collection of Information Necessary</w:t>
            </w:r>
            <w:r w:rsidR="00B333EA">
              <w:rPr>
                <w:noProof/>
                <w:webHidden/>
              </w:rPr>
              <w:tab/>
            </w:r>
            <w:r w:rsidR="004735ED">
              <w:rPr>
                <w:noProof/>
                <w:webHidden/>
              </w:rPr>
              <w:fldChar w:fldCharType="begin"/>
            </w:r>
            <w:r w:rsidR="00B333EA">
              <w:rPr>
                <w:noProof/>
                <w:webHidden/>
              </w:rPr>
              <w:instrText xml:space="preserve"> PAGEREF _Toc386502289 \h </w:instrText>
            </w:r>
            <w:r w:rsidR="004735ED">
              <w:rPr>
                <w:noProof/>
                <w:webHidden/>
              </w:rPr>
            </w:r>
            <w:r w:rsidR="004735ED">
              <w:rPr>
                <w:noProof/>
                <w:webHidden/>
              </w:rPr>
              <w:fldChar w:fldCharType="separate"/>
            </w:r>
            <w:r w:rsidR="00C64C25">
              <w:rPr>
                <w:noProof/>
                <w:webHidden/>
              </w:rPr>
              <w:t>1</w:t>
            </w:r>
            <w:r w:rsidR="004735ED">
              <w:rPr>
                <w:noProof/>
                <w:webHidden/>
              </w:rPr>
              <w:fldChar w:fldCharType="end"/>
            </w:r>
          </w:hyperlink>
        </w:p>
        <w:p w:rsidR="00B333EA" w:rsidRDefault="00A77666">
          <w:pPr>
            <w:pStyle w:val="TOC2"/>
            <w:tabs>
              <w:tab w:val="right" w:leader="dot" w:pos="9350"/>
            </w:tabs>
            <w:rPr>
              <w:rFonts w:asciiTheme="minorHAnsi" w:eastAsiaTheme="minorEastAsia" w:hAnsiTheme="minorHAnsi" w:cstheme="minorBidi"/>
              <w:noProof/>
              <w:sz w:val="22"/>
              <w:szCs w:val="22"/>
            </w:rPr>
          </w:pPr>
          <w:hyperlink w:anchor="_Toc386502290" w:history="1">
            <w:r w:rsidR="00B333EA" w:rsidRPr="00167863">
              <w:rPr>
                <w:rStyle w:val="Hyperlink"/>
                <w:noProof/>
              </w:rPr>
              <w:t>2.  Purpose and Use of Information</w:t>
            </w:r>
            <w:r w:rsidR="00B333EA">
              <w:rPr>
                <w:noProof/>
                <w:webHidden/>
              </w:rPr>
              <w:tab/>
            </w:r>
            <w:r w:rsidR="004735ED">
              <w:rPr>
                <w:noProof/>
                <w:webHidden/>
              </w:rPr>
              <w:fldChar w:fldCharType="begin"/>
            </w:r>
            <w:r w:rsidR="00B333EA">
              <w:rPr>
                <w:noProof/>
                <w:webHidden/>
              </w:rPr>
              <w:instrText xml:space="preserve"> PAGEREF _Toc386502290 \h </w:instrText>
            </w:r>
            <w:r w:rsidR="004735ED">
              <w:rPr>
                <w:noProof/>
                <w:webHidden/>
              </w:rPr>
            </w:r>
            <w:r w:rsidR="004735ED">
              <w:rPr>
                <w:noProof/>
                <w:webHidden/>
              </w:rPr>
              <w:fldChar w:fldCharType="separate"/>
            </w:r>
            <w:r w:rsidR="00C64C25">
              <w:rPr>
                <w:noProof/>
                <w:webHidden/>
              </w:rPr>
              <w:t>1</w:t>
            </w:r>
            <w:r w:rsidR="004735ED">
              <w:rPr>
                <w:noProof/>
                <w:webHidden/>
              </w:rPr>
              <w:fldChar w:fldCharType="end"/>
            </w:r>
          </w:hyperlink>
        </w:p>
        <w:p w:rsidR="00B333EA" w:rsidRDefault="00A77666">
          <w:pPr>
            <w:pStyle w:val="TOC2"/>
            <w:tabs>
              <w:tab w:val="right" w:leader="dot" w:pos="9350"/>
            </w:tabs>
            <w:rPr>
              <w:rFonts w:asciiTheme="minorHAnsi" w:eastAsiaTheme="minorEastAsia" w:hAnsiTheme="minorHAnsi" w:cstheme="minorBidi"/>
              <w:noProof/>
              <w:sz w:val="22"/>
              <w:szCs w:val="22"/>
            </w:rPr>
          </w:pPr>
          <w:hyperlink w:anchor="_Toc386502291" w:history="1">
            <w:r w:rsidR="00B333EA" w:rsidRPr="00167863">
              <w:rPr>
                <w:rStyle w:val="Hyperlink"/>
                <w:noProof/>
              </w:rPr>
              <w:t>3.  Use of Improved Information Technology</w:t>
            </w:r>
            <w:r w:rsidR="00B333EA">
              <w:rPr>
                <w:noProof/>
                <w:webHidden/>
              </w:rPr>
              <w:tab/>
            </w:r>
            <w:r w:rsidR="004735ED">
              <w:rPr>
                <w:noProof/>
                <w:webHidden/>
              </w:rPr>
              <w:fldChar w:fldCharType="begin"/>
            </w:r>
            <w:r w:rsidR="00B333EA">
              <w:rPr>
                <w:noProof/>
                <w:webHidden/>
              </w:rPr>
              <w:instrText xml:space="preserve"> PAGEREF _Toc386502291 \h </w:instrText>
            </w:r>
            <w:r w:rsidR="004735ED">
              <w:rPr>
                <w:noProof/>
                <w:webHidden/>
              </w:rPr>
            </w:r>
            <w:r w:rsidR="004735ED">
              <w:rPr>
                <w:noProof/>
                <w:webHidden/>
              </w:rPr>
              <w:fldChar w:fldCharType="separate"/>
            </w:r>
            <w:r w:rsidR="00C64C25">
              <w:rPr>
                <w:noProof/>
                <w:webHidden/>
              </w:rPr>
              <w:t>1</w:t>
            </w:r>
            <w:r w:rsidR="004735ED">
              <w:rPr>
                <w:noProof/>
                <w:webHidden/>
              </w:rPr>
              <w:fldChar w:fldCharType="end"/>
            </w:r>
          </w:hyperlink>
        </w:p>
        <w:p w:rsidR="00B333EA" w:rsidRDefault="00A77666">
          <w:pPr>
            <w:pStyle w:val="TOC2"/>
            <w:tabs>
              <w:tab w:val="right" w:leader="dot" w:pos="9350"/>
            </w:tabs>
            <w:rPr>
              <w:rFonts w:asciiTheme="minorHAnsi" w:eastAsiaTheme="minorEastAsia" w:hAnsiTheme="minorHAnsi" w:cstheme="minorBidi"/>
              <w:noProof/>
              <w:sz w:val="22"/>
              <w:szCs w:val="22"/>
            </w:rPr>
          </w:pPr>
          <w:hyperlink w:anchor="_Toc386502292" w:history="1">
            <w:r w:rsidR="00B333EA" w:rsidRPr="00167863">
              <w:rPr>
                <w:rStyle w:val="Hyperlink"/>
                <w:noProof/>
              </w:rPr>
              <w:t>4.  Efforts to Identify Duplication</w:t>
            </w:r>
            <w:r w:rsidR="00B333EA">
              <w:rPr>
                <w:noProof/>
                <w:webHidden/>
              </w:rPr>
              <w:tab/>
            </w:r>
            <w:r w:rsidR="004735ED">
              <w:rPr>
                <w:noProof/>
                <w:webHidden/>
              </w:rPr>
              <w:fldChar w:fldCharType="begin"/>
            </w:r>
            <w:r w:rsidR="00B333EA">
              <w:rPr>
                <w:noProof/>
                <w:webHidden/>
              </w:rPr>
              <w:instrText xml:space="preserve"> PAGEREF _Toc386502292 \h </w:instrText>
            </w:r>
            <w:r w:rsidR="004735ED">
              <w:rPr>
                <w:noProof/>
                <w:webHidden/>
              </w:rPr>
            </w:r>
            <w:r w:rsidR="004735ED">
              <w:rPr>
                <w:noProof/>
                <w:webHidden/>
              </w:rPr>
              <w:fldChar w:fldCharType="separate"/>
            </w:r>
            <w:r w:rsidR="00C64C25">
              <w:rPr>
                <w:noProof/>
                <w:webHidden/>
              </w:rPr>
              <w:t>1</w:t>
            </w:r>
            <w:r w:rsidR="004735ED">
              <w:rPr>
                <w:noProof/>
                <w:webHidden/>
              </w:rPr>
              <w:fldChar w:fldCharType="end"/>
            </w:r>
          </w:hyperlink>
        </w:p>
        <w:p w:rsidR="00B333EA" w:rsidRDefault="00A77666">
          <w:pPr>
            <w:pStyle w:val="TOC2"/>
            <w:tabs>
              <w:tab w:val="right" w:leader="dot" w:pos="9350"/>
            </w:tabs>
            <w:rPr>
              <w:rFonts w:asciiTheme="minorHAnsi" w:eastAsiaTheme="minorEastAsia" w:hAnsiTheme="minorHAnsi" w:cstheme="minorBidi"/>
              <w:noProof/>
              <w:sz w:val="22"/>
              <w:szCs w:val="22"/>
            </w:rPr>
          </w:pPr>
          <w:hyperlink w:anchor="_Toc386502293" w:history="1">
            <w:r w:rsidR="00B333EA" w:rsidRPr="00167863">
              <w:rPr>
                <w:rStyle w:val="Hyperlink"/>
                <w:noProof/>
              </w:rPr>
              <w:t>5.  Involvement of Small Entities</w:t>
            </w:r>
            <w:r w:rsidR="00B333EA">
              <w:rPr>
                <w:noProof/>
                <w:webHidden/>
              </w:rPr>
              <w:tab/>
            </w:r>
            <w:r w:rsidR="004735ED">
              <w:rPr>
                <w:noProof/>
                <w:webHidden/>
              </w:rPr>
              <w:fldChar w:fldCharType="begin"/>
            </w:r>
            <w:r w:rsidR="00B333EA">
              <w:rPr>
                <w:noProof/>
                <w:webHidden/>
              </w:rPr>
              <w:instrText xml:space="preserve"> PAGEREF _Toc386502293 \h </w:instrText>
            </w:r>
            <w:r w:rsidR="004735ED">
              <w:rPr>
                <w:noProof/>
                <w:webHidden/>
              </w:rPr>
            </w:r>
            <w:r w:rsidR="004735ED">
              <w:rPr>
                <w:noProof/>
                <w:webHidden/>
              </w:rPr>
              <w:fldChar w:fldCharType="separate"/>
            </w:r>
            <w:r w:rsidR="00C64C25">
              <w:rPr>
                <w:noProof/>
                <w:webHidden/>
              </w:rPr>
              <w:t>1</w:t>
            </w:r>
            <w:r w:rsidR="004735ED">
              <w:rPr>
                <w:noProof/>
                <w:webHidden/>
              </w:rPr>
              <w:fldChar w:fldCharType="end"/>
            </w:r>
          </w:hyperlink>
        </w:p>
        <w:p w:rsidR="00B333EA" w:rsidRDefault="00A77666">
          <w:pPr>
            <w:pStyle w:val="TOC2"/>
            <w:tabs>
              <w:tab w:val="right" w:leader="dot" w:pos="9350"/>
            </w:tabs>
            <w:rPr>
              <w:rFonts w:asciiTheme="minorHAnsi" w:eastAsiaTheme="minorEastAsia" w:hAnsiTheme="minorHAnsi" w:cstheme="minorBidi"/>
              <w:noProof/>
              <w:sz w:val="22"/>
              <w:szCs w:val="22"/>
            </w:rPr>
          </w:pPr>
          <w:hyperlink w:anchor="_Toc386502294" w:history="1">
            <w:r w:rsidR="00B333EA" w:rsidRPr="00167863">
              <w:rPr>
                <w:rStyle w:val="Hyperlink"/>
                <w:noProof/>
              </w:rPr>
              <w:t>6.  Consequences if Information Collected Less Frequently</w:t>
            </w:r>
            <w:r w:rsidR="00B333EA">
              <w:rPr>
                <w:noProof/>
                <w:webHidden/>
              </w:rPr>
              <w:tab/>
            </w:r>
            <w:r w:rsidR="004735ED">
              <w:rPr>
                <w:noProof/>
                <w:webHidden/>
              </w:rPr>
              <w:fldChar w:fldCharType="begin"/>
            </w:r>
            <w:r w:rsidR="00B333EA">
              <w:rPr>
                <w:noProof/>
                <w:webHidden/>
              </w:rPr>
              <w:instrText xml:space="preserve"> PAGEREF _Toc386502294 \h </w:instrText>
            </w:r>
            <w:r w:rsidR="004735ED">
              <w:rPr>
                <w:noProof/>
                <w:webHidden/>
              </w:rPr>
            </w:r>
            <w:r w:rsidR="004735ED">
              <w:rPr>
                <w:noProof/>
                <w:webHidden/>
              </w:rPr>
              <w:fldChar w:fldCharType="separate"/>
            </w:r>
            <w:r w:rsidR="00C64C25">
              <w:rPr>
                <w:noProof/>
                <w:webHidden/>
              </w:rPr>
              <w:t>1</w:t>
            </w:r>
            <w:r w:rsidR="004735ED">
              <w:rPr>
                <w:noProof/>
                <w:webHidden/>
              </w:rPr>
              <w:fldChar w:fldCharType="end"/>
            </w:r>
          </w:hyperlink>
        </w:p>
        <w:p w:rsidR="00B333EA" w:rsidRDefault="00A77666">
          <w:pPr>
            <w:pStyle w:val="TOC2"/>
            <w:tabs>
              <w:tab w:val="right" w:leader="dot" w:pos="9350"/>
            </w:tabs>
            <w:rPr>
              <w:rFonts w:asciiTheme="minorHAnsi" w:eastAsiaTheme="minorEastAsia" w:hAnsiTheme="minorHAnsi" w:cstheme="minorBidi"/>
              <w:noProof/>
              <w:sz w:val="22"/>
              <w:szCs w:val="22"/>
            </w:rPr>
          </w:pPr>
          <w:hyperlink w:anchor="_Toc386502295" w:history="1">
            <w:r w:rsidR="00B333EA" w:rsidRPr="00167863">
              <w:rPr>
                <w:rStyle w:val="Hyperlink"/>
                <w:noProof/>
              </w:rPr>
              <w:t>7.  Special Circumstances</w:t>
            </w:r>
            <w:r w:rsidR="00B333EA">
              <w:rPr>
                <w:noProof/>
                <w:webHidden/>
              </w:rPr>
              <w:tab/>
            </w:r>
            <w:r w:rsidR="004735ED">
              <w:rPr>
                <w:noProof/>
                <w:webHidden/>
              </w:rPr>
              <w:fldChar w:fldCharType="begin"/>
            </w:r>
            <w:r w:rsidR="00B333EA">
              <w:rPr>
                <w:noProof/>
                <w:webHidden/>
              </w:rPr>
              <w:instrText xml:space="preserve"> PAGEREF _Toc386502295 \h </w:instrText>
            </w:r>
            <w:r w:rsidR="004735ED">
              <w:rPr>
                <w:noProof/>
                <w:webHidden/>
              </w:rPr>
            </w:r>
            <w:r w:rsidR="004735ED">
              <w:rPr>
                <w:noProof/>
                <w:webHidden/>
              </w:rPr>
              <w:fldChar w:fldCharType="separate"/>
            </w:r>
            <w:r w:rsidR="00C64C25">
              <w:rPr>
                <w:noProof/>
                <w:webHidden/>
              </w:rPr>
              <w:t>1</w:t>
            </w:r>
            <w:r w:rsidR="004735ED">
              <w:rPr>
                <w:noProof/>
                <w:webHidden/>
              </w:rPr>
              <w:fldChar w:fldCharType="end"/>
            </w:r>
          </w:hyperlink>
        </w:p>
        <w:p w:rsidR="00B333EA" w:rsidRDefault="00A77666">
          <w:pPr>
            <w:pStyle w:val="TOC2"/>
            <w:tabs>
              <w:tab w:val="right" w:leader="dot" w:pos="9350"/>
            </w:tabs>
            <w:rPr>
              <w:rFonts w:asciiTheme="minorHAnsi" w:eastAsiaTheme="minorEastAsia" w:hAnsiTheme="minorHAnsi" w:cstheme="minorBidi"/>
              <w:noProof/>
              <w:sz w:val="22"/>
              <w:szCs w:val="22"/>
            </w:rPr>
          </w:pPr>
          <w:hyperlink w:anchor="_Toc386502296" w:history="1">
            <w:r w:rsidR="00B333EA" w:rsidRPr="00167863">
              <w:rPr>
                <w:rStyle w:val="Hyperlink"/>
                <w:noProof/>
              </w:rPr>
              <w:t>8.  Federal Register Notice and Outside Consultations</w:t>
            </w:r>
            <w:r w:rsidR="00B333EA">
              <w:rPr>
                <w:noProof/>
                <w:webHidden/>
              </w:rPr>
              <w:tab/>
            </w:r>
            <w:r w:rsidR="004735ED">
              <w:rPr>
                <w:noProof/>
                <w:webHidden/>
              </w:rPr>
              <w:fldChar w:fldCharType="begin"/>
            </w:r>
            <w:r w:rsidR="00B333EA">
              <w:rPr>
                <w:noProof/>
                <w:webHidden/>
              </w:rPr>
              <w:instrText xml:space="preserve"> PAGEREF _Toc386502296 \h </w:instrText>
            </w:r>
            <w:r w:rsidR="004735ED">
              <w:rPr>
                <w:noProof/>
                <w:webHidden/>
              </w:rPr>
            </w:r>
            <w:r w:rsidR="004735ED">
              <w:rPr>
                <w:noProof/>
                <w:webHidden/>
              </w:rPr>
              <w:fldChar w:fldCharType="separate"/>
            </w:r>
            <w:r w:rsidR="00C64C25">
              <w:rPr>
                <w:noProof/>
                <w:webHidden/>
              </w:rPr>
              <w:t>1</w:t>
            </w:r>
            <w:r w:rsidR="004735ED">
              <w:rPr>
                <w:noProof/>
                <w:webHidden/>
              </w:rPr>
              <w:fldChar w:fldCharType="end"/>
            </w:r>
          </w:hyperlink>
        </w:p>
        <w:p w:rsidR="00B333EA" w:rsidRDefault="00A77666">
          <w:pPr>
            <w:pStyle w:val="TOC2"/>
            <w:tabs>
              <w:tab w:val="right" w:leader="dot" w:pos="9350"/>
            </w:tabs>
            <w:rPr>
              <w:rFonts w:asciiTheme="minorHAnsi" w:eastAsiaTheme="minorEastAsia" w:hAnsiTheme="minorHAnsi" w:cstheme="minorBidi"/>
              <w:noProof/>
              <w:sz w:val="22"/>
              <w:szCs w:val="22"/>
            </w:rPr>
          </w:pPr>
          <w:hyperlink w:anchor="_Toc386502297" w:history="1">
            <w:r w:rsidR="00B333EA" w:rsidRPr="00167863">
              <w:rPr>
                <w:rStyle w:val="Hyperlink"/>
                <w:noProof/>
              </w:rPr>
              <w:t>9.  Payments/Gifts to Respondents</w:t>
            </w:r>
            <w:r w:rsidR="00B333EA">
              <w:rPr>
                <w:noProof/>
                <w:webHidden/>
              </w:rPr>
              <w:tab/>
            </w:r>
            <w:r w:rsidR="004735ED">
              <w:rPr>
                <w:noProof/>
                <w:webHidden/>
              </w:rPr>
              <w:fldChar w:fldCharType="begin"/>
            </w:r>
            <w:r w:rsidR="00B333EA">
              <w:rPr>
                <w:noProof/>
                <w:webHidden/>
              </w:rPr>
              <w:instrText xml:space="preserve"> PAGEREF _Toc386502297 \h </w:instrText>
            </w:r>
            <w:r w:rsidR="004735ED">
              <w:rPr>
                <w:noProof/>
                <w:webHidden/>
              </w:rPr>
            </w:r>
            <w:r w:rsidR="004735ED">
              <w:rPr>
                <w:noProof/>
                <w:webHidden/>
              </w:rPr>
              <w:fldChar w:fldCharType="separate"/>
            </w:r>
            <w:r w:rsidR="00C64C25">
              <w:rPr>
                <w:noProof/>
                <w:webHidden/>
              </w:rPr>
              <w:t>1</w:t>
            </w:r>
            <w:r w:rsidR="004735ED">
              <w:rPr>
                <w:noProof/>
                <w:webHidden/>
              </w:rPr>
              <w:fldChar w:fldCharType="end"/>
            </w:r>
          </w:hyperlink>
        </w:p>
        <w:p w:rsidR="00B333EA" w:rsidRDefault="00A77666">
          <w:pPr>
            <w:pStyle w:val="TOC2"/>
            <w:tabs>
              <w:tab w:val="right" w:leader="dot" w:pos="9350"/>
            </w:tabs>
            <w:rPr>
              <w:rFonts w:asciiTheme="minorHAnsi" w:eastAsiaTheme="minorEastAsia" w:hAnsiTheme="minorHAnsi" w:cstheme="minorBidi"/>
              <w:noProof/>
              <w:sz w:val="22"/>
              <w:szCs w:val="22"/>
            </w:rPr>
          </w:pPr>
          <w:hyperlink w:anchor="_Toc386502298" w:history="1">
            <w:r w:rsidR="00B333EA" w:rsidRPr="00167863">
              <w:rPr>
                <w:rStyle w:val="Hyperlink"/>
                <w:noProof/>
              </w:rPr>
              <w:t>10.  Assurance of Confidentiality</w:t>
            </w:r>
            <w:r w:rsidR="00B333EA">
              <w:rPr>
                <w:noProof/>
                <w:webHidden/>
              </w:rPr>
              <w:tab/>
            </w:r>
            <w:r w:rsidR="004735ED">
              <w:rPr>
                <w:noProof/>
                <w:webHidden/>
              </w:rPr>
              <w:fldChar w:fldCharType="begin"/>
            </w:r>
            <w:r w:rsidR="00B333EA">
              <w:rPr>
                <w:noProof/>
                <w:webHidden/>
              </w:rPr>
              <w:instrText xml:space="preserve"> PAGEREF _Toc386502298 \h </w:instrText>
            </w:r>
            <w:r w:rsidR="004735ED">
              <w:rPr>
                <w:noProof/>
                <w:webHidden/>
              </w:rPr>
            </w:r>
            <w:r w:rsidR="004735ED">
              <w:rPr>
                <w:noProof/>
                <w:webHidden/>
              </w:rPr>
              <w:fldChar w:fldCharType="separate"/>
            </w:r>
            <w:r w:rsidR="00C64C25">
              <w:rPr>
                <w:noProof/>
                <w:webHidden/>
              </w:rPr>
              <w:t>1</w:t>
            </w:r>
            <w:r w:rsidR="004735ED">
              <w:rPr>
                <w:noProof/>
                <w:webHidden/>
              </w:rPr>
              <w:fldChar w:fldCharType="end"/>
            </w:r>
          </w:hyperlink>
        </w:p>
        <w:p w:rsidR="00B333EA" w:rsidRDefault="00A77666">
          <w:pPr>
            <w:pStyle w:val="TOC2"/>
            <w:tabs>
              <w:tab w:val="right" w:leader="dot" w:pos="9350"/>
            </w:tabs>
            <w:rPr>
              <w:rFonts w:asciiTheme="minorHAnsi" w:eastAsiaTheme="minorEastAsia" w:hAnsiTheme="minorHAnsi" w:cstheme="minorBidi"/>
              <w:noProof/>
              <w:sz w:val="22"/>
              <w:szCs w:val="22"/>
            </w:rPr>
          </w:pPr>
          <w:hyperlink w:anchor="_Toc386502299" w:history="1">
            <w:r w:rsidR="00B333EA" w:rsidRPr="00167863">
              <w:rPr>
                <w:rStyle w:val="Hyperlink"/>
                <w:noProof/>
              </w:rPr>
              <w:t>11.  Questions of a Sensitive Nature</w:t>
            </w:r>
            <w:r w:rsidR="00B333EA">
              <w:rPr>
                <w:noProof/>
                <w:webHidden/>
              </w:rPr>
              <w:tab/>
            </w:r>
            <w:r w:rsidR="004735ED">
              <w:rPr>
                <w:noProof/>
                <w:webHidden/>
              </w:rPr>
              <w:fldChar w:fldCharType="begin"/>
            </w:r>
            <w:r w:rsidR="00B333EA">
              <w:rPr>
                <w:noProof/>
                <w:webHidden/>
              </w:rPr>
              <w:instrText xml:space="preserve"> PAGEREF _Toc386502299 \h </w:instrText>
            </w:r>
            <w:r w:rsidR="004735ED">
              <w:rPr>
                <w:noProof/>
                <w:webHidden/>
              </w:rPr>
            </w:r>
            <w:r w:rsidR="004735ED">
              <w:rPr>
                <w:noProof/>
                <w:webHidden/>
              </w:rPr>
              <w:fldChar w:fldCharType="separate"/>
            </w:r>
            <w:r w:rsidR="00C64C25">
              <w:rPr>
                <w:noProof/>
                <w:webHidden/>
              </w:rPr>
              <w:t>1</w:t>
            </w:r>
            <w:r w:rsidR="004735ED">
              <w:rPr>
                <w:noProof/>
                <w:webHidden/>
              </w:rPr>
              <w:fldChar w:fldCharType="end"/>
            </w:r>
          </w:hyperlink>
        </w:p>
        <w:p w:rsidR="00B333EA" w:rsidRDefault="00A77666">
          <w:pPr>
            <w:pStyle w:val="TOC2"/>
            <w:tabs>
              <w:tab w:val="right" w:leader="dot" w:pos="9350"/>
            </w:tabs>
            <w:rPr>
              <w:rFonts w:asciiTheme="minorHAnsi" w:eastAsiaTheme="minorEastAsia" w:hAnsiTheme="minorHAnsi" w:cstheme="minorBidi"/>
              <w:noProof/>
              <w:sz w:val="22"/>
              <w:szCs w:val="22"/>
            </w:rPr>
          </w:pPr>
          <w:hyperlink w:anchor="_Toc386502300" w:history="1">
            <w:r w:rsidR="00B333EA" w:rsidRPr="00167863">
              <w:rPr>
                <w:rStyle w:val="Hyperlink"/>
                <w:noProof/>
              </w:rPr>
              <w:t>12.  Estimates of Annualized Burden Hours and Costs</w:t>
            </w:r>
            <w:r w:rsidR="00B333EA">
              <w:rPr>
                <w:noProof/>
                <w:webHidden/>
              </w:rPr>
              <w:tab/>
            </w:r>
            <w:r w:rsidR="004735ED">
              <w:rPr>
                <w:noProof/>
                <w:webHidden/>
              </w:rPr>
              <w:fldChar w:fldCharType="begin"/>
            </w:r>
            <w:r w:rsidR="00B333EA">
              <w:rPr>
                <w:noProof/>
                <w:webHidden/>
              </w:rPr>
              <w:instrText xml:space="preserve"> PAGEREF _Toc386502300 \h </w:instrText>
            </w:r>
            <w:r w:rsidR="004735ED">
              <w:rPr>
                <w:noProof/>
                <w:webHidden/>
              </w:rPr>
            </w:r>
            <w:r w:rsidR="004735ED">
              <w:rPr>
                <w:noProof/>
                <w:webHidden/>
              </w:rPr>
              <w:fldChar w:fldCharType="separate"/>
            </w:r>
            <w:r w:rsidR="00C64C25">
              <w:rPr>
                <w:noProof/>
                <w:webHidden/>
              </w:rPr>
              <w:t>1</w:t>
            </w:r>
            <w:r w:rsidR="004735ED">
              <w:rPr>
                <w:noProof/>
                <w:webHidden/>
              </w:rPr>
              <w:fldChar w:fldCharType="end"/>
            </w:r>
          </w:hyperlink>
        </w:p>
        <w:p w:rsidR="00B333EA" w:rsidRDefault="00A77666">
          <w:pPr>
            <w:pStyle w:val="TOC2"/>
            <w:tabs>
              <w:tab w:val="right" w:leader="dot" w:pos="9350"/>
            </w:tabs>
            <w:rPr>
              <w:rFonts w:asciiTheme="minorHAnsi" w:eastAsiaTheme="minorEastAsia" w:hAnsiTheme="minorHAnsi" w:cstheme="minorBidi"/>
              <w:noProof/>
              <w:sz w:val="22"/>
              <w:szCs w:val="22"/>
            </w:rPr>
          </w:pPr>
          <w:hyperlink w:anchor="_Toc386502301" w:history="1">
            <w:r w:rsidR="00B333EA" w:rsidRPr="00167863">
              <w:rPr>
                <w:rStyle w:val="Hyperlink"/>
                <w:noProof/>
              </w:rPr>
              <w:t>13.  Estimates of Annualized Respondent Capital and Maintenance Costs</w:t>
            </w:r>
            <w:r w:rsidR="00B333EA">
              <w:rPr>
                <w:noProof/>
                <w:webHidden/>
              </w:rPr>
              <w:tab/>
            </w:r>
            <w:r w:rsidR="004735ED">
              <w:rPr>
                <w:noProof/>
                <w:webHidden/>
              </w:rPr>
              <w:fldChar w:fldCharType="begin"/>
            </w:r>
            <w:r w:rsidR="00B333EA">
              <w:rPr>
                <w:noProof/>
                <w:webHidden/>
              </w:rPr>
              <w:instrText xml:space="preserve"> PAGEREF _Toc386502301 \h </w:instrText>
            </w:r>
            <w:r w:rsidR="004735ED">
              <w:rPr>
                <w:noProof/>
                <w:webHidden/>
              </w:rPr>
            </w:r>
            <w:r w:rsidR="004735ED">
              <w:rPr>
                <w:noProof/>
                <w:webHidden/>
              </w:rPr>
              <w:fldChar w:fldCharType="separate"/>
            </w:r>
            <w:r w:rsidR="00C64C25">
              <w:rPr>
                <w:noProof/>
                <w:webHidden/>
              </w:rPr>
              <w:t>1</w:t>
            </w:r>
            <w:r w:rsidR="004735ED">
              <w:rPr>
                <w:noProof/>
                <w:webHidden/>
              </w:rPr>
              <w:fldChar w:fldCharType="end"/>
            </w:r>
          </w:hyperlink>
        </w:p>
        <w:p w:rsidR="00B333EA" w:rsidRDefault="00A77666">
          <w:pPr>
            <w:pStyle w:val="TOC2"/>
            <w:tabs>
              <w:tab w:val="right" w:leader="dot" w:pos="9350"/>
            </w:tabs>
            <w:rPr>
              <w:rFonts w:asciiTheme="minorHAnsi" w:eastAsiaTheme="minorEastAsia" w:hAnsiTheme="minorHAnsi" w:cstheme="minorBidi"/>
              <w:noProof/>
              <w:sz w:val="22"/>
              <w:szCs w:val="22"/>
            </w:rPr>
          </w:pPr>
          <w:hyperlink w:anchor="_Toc386502302" w:history="1">
            <w:r w:rsidR="00B333EA" w:rsidRPr="00167863">
              <w:rPr>
                <w:rStyle w:val="Hyperlink"/>
                <w:noProof/>
              </w:rPr>
              <w:t>14.  Estimates of Annualized Cost to the Government</w:t>
            </w:r>
            <w:r w:rsidR="00B333EA">
              <w:rPr>
                <w:noProof/>
                <w:webHidden/>
              </w:rPr>
              <w:tab/>
            </w:r>
            <w:r w:rsidR="004735ED">
              <w:rPr>
                <w:noProof/>
                <w:webHidden/>
              </w:rPr>
              <w:fldChar w:fldCharType="begin"/>
            </w:r>
            <w:r w:rsidR="00B333EA">
              <w:rPr>
                <w:noProof/>
                <w:webHidden/>
              </w:rPr>
              <w:instrText xml:space="preserve"> PAGEREF _Toc386502302 \h </w:instrText>
            </w:r>
            <w:r w:rsidR="004735ED">
              <w:rPr>
                <w:noProof/>
                <w:webHidden/>
              </w:rPr>
            </w:r>
            <w:r w:rsidR="004735ED">
              <w:rPr>
                <w:noProof/>
                <w:webHidden/>
              </w:rPr>
              <w:fldChar w:fldCharType="separate"/>
            </w:r>
            <w:r w:rsidR="00C64C25">
              <w:rPr>
                <w:noProof/>
                <w:webHidden/>
              </w:rPr>
              <w:t>1</w:t>
            </w:r>
            <w:r w:rsidR="004735ED">
              <w:rPr>
                <w:noProof/>
                <w:webHidden/>
              </w:rPr>
              <w:fldChar w:fldCharType="end"/>
            </w:r>
          </w:hyperlink>
        </w:p>
        <w:p w:rsidR="00B333EA" w:rsidRDefault="00A77666">
          <w:pPr>
            <w:pStyle w:val="TOC2"/>
            <w:tabs>
              <w:tab w:val="right" w:leader="dot" w:pos="9350"/>
            </w:tabs>
            <w:rPr>
              <w:rFonts w:asciiTheme="minorHAnsi" w:eastAsiaTheme="minorEastAsia" w:hAnsiTheme="minorHAnsi" w:cstheme="minorBidi"/>
              <w:noProof/>
              <w:sz w:val="22"/>
              <w:szCs w:val="22"/>
            </w:rPr>
          </w:pPr>
          <w:hyperlink w:anchor="_Toc386502303" w:history="1">
            <w:r w:rsidR="00B333EA" w:rsidRPr="00167863">
              <w:rPr>
                <w:rStyle w:val="Hyperlink"/>
                <w:noProof/>
              </w:rPr>
              <w:t>15.  Changes in Hour Burden</w:t>
            </w:r>
            <w:r w:rsidR="00B333EA">
              <w:rPr>
                <w:noProof/>
                <w:webHidden/>
              </w:rPr>
              <w:tab/>
            </w:r>
            <w:r w:rsidR="004735ED">
              <w:rPr>
                <w:noProof/>
                <w:webHidden/>
              </w:rPr>
              <w:fldChar w:fldCharType="begin"/>
            </w:r>
            <w:r w:rsidR="00B333EA">
              <w:rPr>
                <w:noProof/>
                <w:webHidden/>
              </w:rPr>
              <w:instrText xml:space="preserve"> PAGEREF _Toc386502303 \h </w:instrText>
            </w:r>
            <w:r w:rsidR="004735ED">
              <w:rPr>
                <w:noProof/>
                <w:webHidden/>
              </w:rPr>
            </w:r>
            <w:r w:rsidR="004735ED">
              <w:rPr>
                <w:noProof/>
                <w:webHidden/>
              </w:rPr>
              <w:fldChar w:fldCharType="separate"/>
            </w:r>
            <w:r w:rsidR="00C64C25">
              <w:rPr>
                <w:noProof/>
                <w:webHidden/>
              </w:rPr>
              <w:t>1</w:t>
            </w:r>
            <w:r w:rsidR="004735ED">
              <w:rPr>
                <w:noProof/>
                <w:webHidden/>
              </w:rPr>
              <w:fldChar w:fldCharType="end"/>
            </w:r>
          </w:hyperlink>
        </w:p>
        <w:p w:rsidR="00B333EA" w:rsidRDefault="00A77666">
          <w:pPr>
            <w:pStyle w:val="TOC2"/>
            <w:tabs>
              <w:tab w:val="right" w:leader="dot" w:pos="9350"/>
            </w:tabs>
            <w:rPr>
              <w:rFonts w:asciiTheme="minorHAnsi" w:eastAsiaTheme="minorEastAsia" w:hAnsiTheme="minorHAnsi" w:cstheme="minorBidi"/>
              <w:noProof/>
              <w:sz w:val="22"/>
              <w:szCs w:val="22"/>
            </w:rPr>
          </w:pPr>
          <w:hyperlink w:anchor="_Toc386502304" w:history="1">
            <w:r w:rsidR="00B333EA" w:rsidRPr="00167863">
              <w:rPr>
                <w:rStyle w:val="Hyperlink"/>
                <w:noProof/>
              </w:rPr>
              <w:t>16.  Time Schedule, Publication and Analysis Plans</w:t>
            </w:r>
            <w:r w:rsidR="00B333EA">
              <w:rPr>
                <w:noProof/>
                <w:webHidden/>
              </w:rPr>
              <w:tab/>
            </w:r>
            <w:r w:rsidR="004735ED">
              <w:rPr>
                <w:noProof/>
                <w:webHidden/>
              </w:rPr>
              <w:fldChar w:fldCharType="begin"/>
            </w:r>
            <w:r w:rsidR="00B333EA">
              <w:rPr>
                <w:noProof/>
                <w:webHidden/>
              </w:rPr>
              <w:instrText xml:space="preserve"> PAGEREF _Toc386502304 \h </w:instrText>
            </w:r>
            <w:r w:rsidR="004735ED">
              <w:rPr>
                <w:noProof/>
                <w:webHidden/>
              </w:rPr>
            </w:r>
            <w:r w:rsidR="004735ED">
              <w:rPr>
                <w:noProof/>
                <w:webHidden/>
              </w:rPr>
              <w:fldChar w:fldCharType="separate"/>
            </w:r>
            <w:r w:rsidR="00C64C25">
              <w:rPr>
                <w:noProof/>
                <w:webHidden/>
              </w:rPr>
              <w:t>1</w:t>
            </w:r>
            <w:r w:rsidR="004735ED">
              <w:rPr>
                <w:noProof/>
                <w:webHidden/>
              </w:rPr>
              <w:fldChar w:fldCharType="end"/>
            </w:r>
          </w:hyperlink>
        </w:p>
        <w:p w:rsidR="00B333EA" w:rsidRDefault="00A77666">
          <w:pPr>
            <w:pStyle w:val="TOC2"/>
            <w:tabs>
              <w:tab w:val="right" w:leader="dot" w:pos="9350"/>
            </w:tabs>
            <w:rPr>
              <w:rFonts w:asciiTheme="minorHAnsi" w:eastAsiaTheme="minorEastAsia" w:hAnsiTheme="minorHAnsi" w:cstheme="minorBidi"/>
              <w:noProof/>
              <w:sz w:val="22"/>
              <w:szCs w:val="22"/>
            </w:rPr>
          </w:pPr>
          <w:hyperlink w:anchor="_Toc386502305" w:history="1">
            <w:r w:rsidR="00B333EA" w:rsidRPr="00167863">
              <w:rPr>
                <w:rStyle w:val="Hyperlink"/>
                <w:noProof/>
              </w:rPr>
              <w:t>17.  Exemption for Display of Expiration Date</w:t>
            </w:r>
            <w:r w:rsidR="00B333EA">
              <w:rPr>
                <w:noProof/>
                <w:webHidden/>
              </w:rPr>
              <w:tab/>
            </w:r>
            <w:r w:rsidR="004735ED">
              <w:rPr>
                <w:noProof/>
                <w:webHidden/>
              </w:rPr>
              <w:fldChar w:fldCharType="begin"/>
            </w:r>
            <w:r w:rsidR="00B333EA">
              <w:rPr>
                <w:noProof/>
                <w:webHidden/>
              </w:rPr>
              <w:instrText xml:space="preserve"> PAGEREF _Toc386502305 \h </w:instrText>
            </w:r>
            <w:r w:rsidR="004735ED">
              <w:rPr>
                <w:noProof/>
                <w:webHidden/>
              </w:rPr>
            </w:r>
            <w:r w:rsidR="004735ED">
              <w:rPr>
                <w:noProof/>
                <w:webHidden/>
              </w:rPr>
              <w:fldChar w:fldCharType="separate"/>
            </w:r>
            <w:r w:rsidR="00C64C25">
              <w:rPr>
                <w:noProof/>
                <w:webHidden/>
              </w:rPr>
              <w:t>1</w:t>
            </w:r>
            <w:r w:rsidR="004735ED">
              <w:rPr>
                <w:noProof/>
                <w:webHidden/>
              </w:rPr>
              <w:fldChar w:fldCharType="end"/>
            </w:r>
          </w:hyperlink>
        </w:p>
        <w:p w:rsidR="008C5826" w:rsidRDefault="004735ED" w:rsidP="00B333EA">
          <w:r w:rsidRPr="008C5826">
            <w:fldChar w:fldCharType="end"/>
          </w:r>
          <w:r w:rsidR="003D0A54">
            <w:t>List of Attachments</w:t>
          </w:r>
          <w:r w:rsidR="00B333EA">
            <w:t>…………………………………………………………………………………………………...17</w:t>
          </w:r>
        </w:p>
      </w:sdtContent>
    </w:sdt>
    <w:p w:rsidR="00CB7234" w:rsidRDefault="00CB7234" w:rsidP="00CB7234">
      <w:pPr>
        <w:rPr>
          <w:b/>
          <w:sz w:val="24"/>
          <w:szCs w:val="24"/>
        </w:rPr>
      </w:pPr>
      <w:r>
        <w:rPr>
          <w:b/>
          <w:sz w:val="24"/>
          <w:szCs w:val="24"/>
        </w:rPr>
        <w:br w:type="page"/>
      </w:r>
    </w:p>
    <w:p w:rsidR="0057087C" w:rsidRPr="008C5826" w:rsidRDefault="00A13BEE" w:rsidP="008C5826">
      <w:pPr>
        <w:pStyle w:val="Heading1"/>
        <w:rPr>
          <w:color w:val="auto"/>
          <w:sz w:val="24"/>
          <w:szCs w:val="24"/>
        </w:rPr>
      </w:pPr>
      <w:bookmarkStart w:id="3" w:name="_Toc386502288"/>
      <w:r w:rsidRPr="008C5826">
        <w:rPr>
          <w:color w:val="auto"/>
          <w:sz w:val="24"/>
          <w:szCs w:val="24"/>
        </w:rPr>
        <w:lastRenderedPageBreak/>
        <w:t>A.</w:t>
      </w:r>
      <w:r>
        <w:rPr>
          <w:sz w:val="24"/>
          <w:szCs w:val="24"/>
        </w:rPr>
        <w:t xml:space="preserve">  </w:t>
      </w:r>
      <w:r w:rsidR="0057087C" w:rsidRPr="008C5826">
        <w:rPr>
          <w:color w:val="auto"/>
          <w:sz w:val="24"/>
          <w:szCs w:val="24"/>
        </w:rPr>
        <w:t>JUSTIFICATION</w:t>
      </w:r>
      <w:bookmarkEnd w:id="3"/>
    </w:p>
    <w:p w:rsidR="0057087C" w:rsidRPr="00CB177A" w:rsidRDefault="0057087C">
      <w:pPr>
        <w:rPr>
          <w:sz w:val="24"/>
          <w:szCs w:val="24"/>
        </w:rPr>
      </w:pPr>
    </w:p>
    <w:p w:rsidR="001D16FA" w:rsidRPr="001D16FA" w:rsidRDefault="0057087C" w:rsidP="001D16FA">
      <w:pPr>
        <w:pStyle w:val="Heading2"/>
        <w:rPr>
          <w:sz w:val="24"/>
          <w:szCs w:val="24"/>
        </w:rPr>
      </w:pPr>
      <w:bookmarkStart w:id="4" w:name="_Toc386502289"/>
      <w:r w:rsidRPr="008C5826">
        <w:rPr>
          <w:color w:val="auto"/>
          <w:sz w:val="24"/>
          <w:szCs w:val="24"/>
        </w:rPr>
        <w:t xml:space="preserve">1.  </w:t>
      </w:r>
      <w:r w:rsidR="00AE7650">
        <w:rPr>
          <w:color w:val="auto"/>
          <w:sz w:val="24"/>
          <w:szCs w:val="24"/>
          <w:u w:val="single"/>
        </w:rPr>
        <w:t>Circumstances that Make the Collection of</w:t>
      </w:r>
      <w:r w:rsidRPr="008C5826">
        <w:rPr>
          <w:color w:val="auto"/>
          <w:sz w:val="24"/>
          <w:szCs w:val="24"/>
          <w:u w:val="single"/>
        </w:rPr>
        <w:t xml:space="preserve"> Information</w:t>
      </w:r>
      <w:r w:rsidR="00AE7650">
        <w:rPr>
          <w:color w:val="auto"/>
          <w:sz w:val="24"/>
          <w:szCs w:val="24"/>
          <w:u w:val="single"/>
        </w:rPr>
        <w:t xml:space="preserve"> Necessary</w:t>
      </w:r>
      <w:bookmarkEnd w:id="4"/>
    </w:p>
    <w:p w:rsidR="006B0624" w:rsidRDefault="006B0624">
      <w:pPr>
        <w:rPr>
          <w:sz w:val="24"/>
          <w:szCs w:val="24"/>
        </w:rPr>
      </w:pPr>
    </w:p>
    <w:p w:rsidR="00735C47" w:rsidRDefault="001D16FA" w:rsidP="00735C47">
      <w:pPr>
        <w:autoSpaceDE w:val="0"/>
        <w:autoSpaceDN w:val="0"/>
        <w:adjustRightInd w:val="0"/>
        <w:rPr>
          <w:sz w:val="24"/>
          <w:szCs w:val="24"/>
        </w:rPr>
      </w:pPr>
      <w:r w:rsidRPr="00AE7650">
        <w:rPr>
          <w:sz w:val="24"/>
          <w:szCs w:val="24"/>
        </w:rPr>
        <w:t xml:space="preserve">The mission of the Agency for Healthcare Research and Quality (AHRQ) set out in its authorizing legislation, The Healthcare Research and Quality Act of </w:t>
      </w:r>
      <w:r w:rsidRPr="009C60A7">
        <w:rPr>
          <w:sz w:val="24"/>
          <w:szCs w:val="24"/>
        </w:rPr>
        <w:t>1999</w:t>
      </w:r>
      <w:r w:rsidR="00192BD3">
        <w:rPr>
          <w:sz w:val="24"/>
          <w:szCs w:val="24"/>
        </w:rPr>
        <w:t xml:space="preserve"> </w:t>
      </w:r>
      <w:r w:rsidR="00192BD3" w:rsidRPr="00EF4481">
        <w:rPr>
          <w:sz w:val="24"/>
          <w:szCs w:val="24"/>
        </w:rPr>
        <w:t xml:space="preserve">(see </w:t>
      </w:r>
      <w:hyperlink r:id="rId11" w:history="1">
        <w:r w:rsidR="00155C6D">
          <w:rPr>
            <w:rStyle w:val="Hyperlink"/>
            <w:sz w:val="24"/>
            <w:szCs w:val="24"/>
          </w:rPr>
          <w:t>http://www.ahrq.gov/hrqa99.pdf</w:t>
        </w:r>
      </w:hyperlink>
      <w:r w:rsidR="00155C6D" w:rsidRPr="00155C6D">
        <w:rPr>
          <w:sz w:val="24"/>
          <w:szCs w:val="24"/>
        </w:rPr>
        <w:t>)</w:t>
      </w:r>
      <w:r w:rsidRPr="009C60A7">
        <w:rPr>
          <w:sz w:val="24"/>
          <w:szCs w:val="24"/>
        </w:rPr>
        <w:t>, is</w:t>
      </w:r>
      <w:r w:rsidRPr="00AE7650">
        <w:rPr>
          <w:sz w:val="24"/>
          <w:szCs w:val="24"/>
        </w:rPr>
        <w:t xml:space="preserve"> to enhance the quality, appropriateness, and effectiveness of health services, and access to such services, through the establishment of a broad base of scientific research and through the promotion of improvem</w:t>
      </w:r>
      <w:r w:rsidRPr="00055DA6">
        <w:rPr>
          <w:sz w:val="24"/>
          <w:szCs w:val="24"/>
        </w:rPr>
        <w:t>ents in clinical and health systems practices, including the prevention of diseases and other health conditions.  AHRQ shall promote he</w:t>
      </w:r>
      <w:r w:rsidR="00735C47">
        <w:rPr>
          <w:sz w:val="24"/>
          <w:szCs w:val="24"/>
        </w:rPr>
        <w:t xml:space="preserve">alth care quality improvement </w:t>
      </w:r>
      <w:r w:rsidR="00D2604F">
        <w:rPr>
          <w:sz w:val="24"/>
          <w:szCs w:val="24"/>
        </w:rPr>
        <w:t xml:space="preserve">by </w:t>
      </w:r>
      <w:r w:rsidRPr="00055DA6">
        <w:rPr>
          <w:sz w:val="24"/>
          <w:szCs w:val="24"/>
        </w:rPr>
        <w:t>conducting and supporting</w:t>
      </w:r>
      <w:r w:rsidR="00735C47">
        <w:rPr>
          <w:sz w:val="24"/>
          <w:szCs w:val="24"/>
        </w:rPr>
        <w:t>:</w:t>
      </w:r>
    </w:p>
    <w:p w:rsidR="00735C47" w:rsidRPr="00735C47" w:rsidRDefault="00AE7650" w:rsidP="00203F5D">
      <w:pPr>
        <w:pStyle w:val="ListParagraph"/>
        <w:numPr>
          <w:ilvl w:val="0"/>
          <w:numId w:val="4"/>
        </w:numPr>
        <w:autoSpaceDE w:val="0"/>
        <w:autoSpaceDN w:val="0"/>
        <w:adjustRightInd w:val="0"/>
        <w:rPr>
          <w:sz w:val="24"/>
          <w:szCs w:val="24"/>
        </w:rPr>
      </w:pPr>
      <w:r w:rsidRPr="00735C47">
        <w:rPr>
          <w:sz w:val="24"/>
          <w:szCs w:val="24"/>
        </w:rPr>
        <w:t>r</w:t>
      </w:r>
      <w:r w:rsidR="001D16FA" w:rsidRPr="00735C47">
        <w:rPr>
          <w:sz w:val="24"/>
          <w:szCs w:val="24"/>
        </w:rPr>
        <w:t>esearch that develops and presents scientific evidence regarding all aspects of</w:t>
      </w:r>
      <w:r w:rsidRPr="00735C47">
        <w:rPr>
          <w:sz w:val="24"/>
          <w:szCs w:val="24"/>
        </w:rPr>
        <w:t xml:space="preserve"> h</w:t>
      </w:r>
      <w:r w:rsidR="001D16FA" w:rsidRPr="00735C47">
        <w:rPr>
          <w:sz w:val="24"/>
          <w:szCs w:val="24"/>
        </w:rPr>
        <w:t>ealth care</w:t>
      </w:r>
      <w:r w:rsidR="00D2604F">
        <w:rPr>
          <w:sz w:val="24"/>
          <w:szCs w:val="24"/>
        </w:rPr>
        <w:t>;</w:t>
      </w:r>
      <w:r w:rsidR="00735C47" w:rsidRPr="00735C47">
        <w:rPr>
          <w:sz w:val="24"/>
          <w:szCs w:val="24"/>
        </w:rPr>
        <w:t xml:space="preserve"> </w:t>
      </w:r>
    </w:p>
    <w:p w:rsidR="00735C47" w:rsidRPr="00735C47" w:rsidRDefault="00735C47" w:rsidP="00203F5D">
      <w:pPr>
        <w:pStyle w:val="ListParagraph"/>
        <w:numPr>
          <w:ilvl w:val="0"/>
          <w:numId w:val="4"/>
        </w:numPr>
        <w:autoSpaceDE w:val="0"/>
        <w:autoSpaceDN w:val="0"/>
        <w:adjustRightInd w:val="0"/>
        <w:rPr>
          <w:sz w:val="24"/>
          <w:szCs w:val="24"/>
        </w:rPr>
      </w:pPr>
      <w:r w:rsidRPr="00735C47">
        <w:rPr>
          <w:sz w:val="24"/>
          <w:szCs w:val="24"/>
        </w:rPr>
        <w:t>the synthesis and dissemination of available scientific evidence for use by patients, consumers, practitioners, providers, purchasers, policy makers, and educators; and</w:t>
      </w:r>
    </w:p>
    <w:p w:rsidR="00735C47" w:rsidRPr="00735C47" w:rsidRDefault="00735C47" w:rsidP="00203F5D">
      <w:pPr>
        <w:pStyle w:val="ListParagraph"/>
        <w:numPr>
          <w:ilvl w:val="0"/>
          <w:numId w:val="4"/>
        </w:numPr>
        <w:autoSpaceDE w:val="0"/>
        <w:autoSpaceDN w:val="0"/>
        <w:adjustRightInd w:val="0"/>
        <w:rPr>
          <w:sz w:val="24"/>
          <w:szCs w:val="24"/>
        </w:rPr>
      </w:pPr>
      <w:r w:rsidRPr="00735C47">
        <w:rPr>
          <w:sz w:val="24"/>
          <w:szCs w:val="24"/>
        </w:rPr>
        <w:t>initiatives to advance private and public efforts to improve health care quality</w:t>
      </w:r>
      <w:r w:rsidR="00AE7650" w:rsidRPr="00735C47">
        <w:rPr>
          <w:sz w:val="24"/>
          <w:szCs w:val="24"/>
        </w:rPr>
        <w:t xml:space="preserve">. </w:t>
      </w:r>
    </w:p>
    <w:p w:rsidR="00735C47" w:rsidRDefault="00735C47" w:rsidP="00735C47">
      <w:pPr>
        <w:autoSpaceDE w:val="0"/>
        <w:autoSpaceDN w:val="0"/>
        <w:adjustRightInd w:val="0"/>
        <w:rPr>
          <w:sz w:val="24"/>
          <w:szCs w:val="24"/>
        </w:rPr>
      </w:pPr>
    </w:p>
    <w:p w:rsidR="00AE7650" w:rsidRPr="00735C47" w:rsidRDefault="00D71525" w:rsidP="00735C47">
      <w:pPr>
        <w:autoSpaceDE w:val="0"/>
        <w:autoSpaceDN w:val="0"/>
        <w:adjustRightInd w:val="0"/>
        <w:rPr>
          <w:sz w:val="24"/>
          <w:szCs w:val="24"/>
        </w:rPr>
      </w:pPr>
      <w:r>
        <w:rPr>
          <w:sz w:val="24"/>
          <w:szCs w:val="24"/>
        </w:rPr>
        <w:t>Especially p</w:t>
      </w:r>
      <w:r w:rsidR="00AE7650" w:rsidRPr="00735C47">
        <w:rPr>
          <w:sz w:val="24"/>
          <w:szCs w:val="24"/>
        </w:rPr>
        <w:t xml:space="preserve">ertinent to the proposed information collection, AHRQ’s purview </w:t>
      </w:r>
      <w:r w:rsidR="00735C47">
        <w:rPr>
          <w:sz w:val="24"/>
          <w:szCs w:val="24"/>
        </w:rPr>
        <w:t xml:space="preserve">in </w:t>
      </w:r>
      <w:r>
        <w:rPr>
          <w:sz w:val="24"/>
          <w:szCs w:val="24"/>
        </w:rPr>
        <w:t>conducting t</w:t>
      </w:r>
      <w:r w:rsidR="00735C47">
        <w:rPr>
          <w:sz w:val="24"/>
          <w:szCs w:val="24"/>
        </w:rPr>
        <w:t xml:space="preserve">hese activities </w:t>
      </w:r>
      <w:r w:rsidR="00AE7650" w:rsidRPr="00735C47">
        <w:rPr>
          <w:sz w:val="24"/>
          <w:szCs w:val="24"/>
        </w:rPr>
        <w:t xml:space="preserve">includes: </w:t>
      </w:r>
    </w:p>
    <w:p w:rsidR="00AE7650" w:rsidRPr="00055DA6" w:rsidRDefault="00AE7650" w:rsidP="00203F5D">
      <w:pPr>
        <w:pStyle w:val="ListParagraph"/>
        <w:numPr>
          <w:ilvl w:val="0"/>
          <w:numId w:val="3"/>
        </w:numPr>
        <w:autoSpaceDE w:val="0"/>
        <w:autoSpaceDN w:val="0"/>
        <w:adjustRightInd w:val="0"/>
        <w:rPr>
          <w:sz w:val="24"/>
          <w:szCs w:val="24"/>
        </w:rPr>
      </w:pPr>
      <w:r w:rsidRPr="00055DA6">
        <w:rPr>
          <w:sz w:val="24"/>
          <w:szCs w:val="24"/>
        </w:rPr>
        <w:t>the development and assessment of methods for enhancing patient participation in their own care and for</w:t>
      </w:r>
      <w:r w:rsidR="00055DA6" w:rsidRPr="00055DA6">
        <w:rPr>
          <w:sz w:val="24"/>
          <w:szCs w:val="24"/>
        </w:rPr>
        <w:t xml:space="preserve"> </w:t>
      </w:r>
      <w:r w:rsidRPr="00055DA6">
        <w:rPr>
          <w:sz w:val="24"/>
          <w:szCs w:val="24"/>
        </w:rPr>
        <w:t xml:space="preserve">facilitating shared patient-physician decision-making; </w:t>
      </w:r>
    </w:p>
    <w:p w:rsidR="00AE7650" w:rsidRPr="00055DA6" w:rsidRDefault="00AE7650" w:rsidP="00203F5D">
      <w:pPr>
        <w:pStyle w:val="ListParagraph"/>
        <w:numPr>
          <w:ilvl w:val="0"/>
          <w:numId w:val="3"/>
        </w:numPr>
        <w:autoSpaceDE w:val="0"/>
        <w:autoSpaceDN w:val="0"/>
        <w:adjustRightInd w:val="0"/>
        <w:rPr>
          <w:sz w:val="24"/>
          <w:szCs w:val="24"/>
        </w:rPr>
      </w:pPr>
      <w:r w:rsidRPr="00055DA6">
        <w:rPr>
          <w:sz w:val="24"/>
          <w:szCs w:val="24"/>
        </w:rPr>
        <w:t>the outcomes, effectiveness, and cost-effectiveness of health care practices, including preventive measures and long-term care;</w:t>
      </w:r>
    </w:p>
    <w:p w:rsidR="00AE7650" w:rsidRPr="00055DA6" w:rsidRDefault="00AE7650" w:rsidP="00203F5D">
      <w:pPr>
        <w:pStyle w:val="ListParagraph"/>
        <w:numPr>
          <w:ilvl w:val="0"/>
          <w:numId w:val="3"/>
        </w:numPr>
        <w:autoSpaceDE w:val="0"/>
        <w:autoSpaceDN w:val="0"/>
        <w:adjustRightInd w:val="0"/>
        <w:rPr>
          <w:sz w:val="24"/>
          <w:szCs w:val="24"/>
        </w:rPr>
      </w:pPr>
      <w:r w:rsidRPr="00055DA6">
        <w:rPr>
          <w:sz w:val="24"/>
          <w:szCs w:val="24"/>
        </w:rPr>
        <w:t>the ways in which health care services are organized,</w:t>
      </w:r>
      <w:r w:rsidR="00055DA6" w:rsidRPr="00055DA6">
        <w:rPr>
          <w:sz w:val="24"/>
          <w:szCs w:val="24"/>
        </w:rPr>
        <w:t xml:space="preserve"> </w:t>
      </w:r>
      <w:r w:rsidRPr="00055DA6">
        <w:rPr>
          <w:sz w:val="24"/>
          <w:szCs w:val="24"/>
        </w:rPr>
        <w:t>delivered, and financed and the interaction and</w:t>
      </w:r>
      <w:r w:rsidR="00055DA6" w:rsidRPr="00055DA6">
        <w:rPr>
          <w:sz w:val="24"/>
          <w:szCs w:val="24"/>
        </w:rPr>
        <w:t xml:space="preserve"> </w:t>
      </w:r>
      <w:r w:rsidRPr="00055DA6">
        <w:rPr>
          <w:sz w:val="24"/>
          <w:szCs w:val="24"/>
        </w:rPr>
        <w:t>impact of these factors on the quality of patient care;</w:t>
      </w:r>
      <w:r w:rsidR="00735C47">
        <w:rPr>
          <w:sz w:val="24"/>
          <w:szCs w:val="24"/>
        </w:rPr>
        <w:t xml:space="preserve"> and</w:t>
      </w:r>
    </w:p>
    <w:p w:rsidR="00AE7650" w:rsidRPr="00055DA6" w:rsidRDefault="00AE7650" w:rsidP="00203F5D">
      <w:pPr>
        <w:pStyle w:val="ListParagraph"/>
        <w:numPr>
          <w:ilvl w:val="0"/>
          <w:numId w:val="3"/>
        </w:numPr>
        <w:autoSpaceDE w:val="0"/>
        <w:autoSpaceDN w:val="0"/>
        <w:adjustRightInd w:val="0"/>
        <w:rPr>
          <w:sz w:val="24"/>
          <w:szCs w:val="24"/>
        </w:rPr>
      </w:pPr>
      <w:r w:rsidRPr="00055DA6">
        <w:rPr>
          <w:sz w:val="24"/>
          <w:szCs w:val="24"/>
        </w:rPr>
        <w:t>methods for measuring quality and strategies for</w:t>
      </w:r>
      <w:r w:rsidR="00055DA6" w:rsidRPr="00055DA6">
        <w:rPr>
          <w:sz w:val="24"/>
          <w:szCs w:val="24"/>
        </w:rPr>
        <w:t xml:space="preserve"> </w:t>
      </w:r>
      <w:r w:rsidRPr="00055DA6">
        <w:rPr>
          <w:sz w:val="24"/>
          <w:szCs w:val="24"/>
        </w:rPr>
        <w:t>improving quality</w:t>
      </w:r>
      <w:r w:rsidR="00055DA6" w:rsidRPr="00055DA6">
        <w:rPr>
          <w:sz w:val="24"/>
          <w:szCs w:val="24"/>
        </w:rPr>
        <w:t>.</w:t>
      </w:r>
    </w:p>
    <w:p w:rsidR="00AE7650" w:rsidRPr="00055DA6" w:rsidRDefault="00AE7650" w:rsidP="00AE7650">
      <w:pPr>
        <w:autoSpaceDE w:val="0"/>
        <w:autoSpaceDN w:val="0"/>
        <w:adjustRightInd w:val="0"/>
        <w:rPr>
          <w:sz w:val="24"/>
          <w:szCs w:val="24"/>
        </w:rPr>
      </w:pPr>
    </w:p>
    <w:p w:rsidR="009D1201" w:rsidRDefault="009D1201" w:rsidP="009D1201">
      <w:pPr>
        <w:pStyle w:val="PBodyText"/>
        <w:spacing w:line="240" w:lineRule="auto"/>
        <w:ind w:firstLine="0"/>
        <w:rPr>
          <w:sz w:val="24"/>
          <w:szCs w:val="24"/>
        </w:rPr>
      </w:pPr>
      <w:r w:rsidRPr="009D1201">
        <w:rPr>
          <w:sz w:val="24"/>
          <w:szCs w:val="24"/>
        </w:rPr>
        <w:t>Compared to other developed nations, the United States ranks highest in health care spending and lowest in many indicators of health care quality, prompting demands for health care reform</w:t>
      </w:r>
      <w:r w:rsidRPr="009D1201">
        <w:rPr>
          <w:rStyle w:val="EndnoteReference"/>
          <w:sz w:val="24"/>
          <w:szCs w:val="24"/>
        </w:rPr>
        <w:endnoteReference w:id="1"/>
      </w:r>
      <w:r w:rsidRPr="009D1201">
        <w:rPr>
          <w:sz w:val="24"/>
          <w:szCs w:val="24"/>
        </w:rPr>
        <w:t>. At the heart of most proposals to enhance the efficiency of the health care system are plans to improve the coordination of patient care. Improvements to care coordination should result in cost savings (e.g., reducing redundancy in tests and procedures) and improve health outcomes (e.g., reducing medication errors caused by miscommunication across providers). These hypotheses are supported by prior studies demonstrating an association between care coordination and rates of preventive screening, emergency department (ED) utilization, and hospitalizations.</w:t>
      </w:r>
      <w:r w:rsidRPr="009D1201">
        <w:rPr>
          <w:rStyle w:val="EndnoteReference"/>
          <w:sz w:val="24"/>
          <w:szCs w:val="24"/>
        </w:rPr>
        <w:endnoteReference w:id="2"/>
      </w:r>
    </w:p>
    <w:p w:rsidR="004F4D90" w:rsidRPr="009D1201" w:rsidRDefault="004F4D90" w:rsidP="009D1201">
      <w:pPr>
        <w:pStyle w:val="PBodyText"/>
        <w:spacing w:line="240" w:lineRule="auto"/>
        <w:ind w:firstLine="0"/>
        <w:rPr>
          <w:sz w:val="24"/>
          <w:szCs w:val="24"/>
        </w:rPr>
      </w:pPr>
    </w:p>
    <w:p w:rsidR="004F4D90" w:rsidRDefault="009D1201" w:rsidP="004F4D90">
      <w:pPr>
        <w:pStyle w:val="PBodyText"/>
        <w:spacing w:line="240" w:lineRule="auto"/>
        <w:ind w:firstLine="0"/>
        <w:rPr>
          <w:sz w:val="24"/>
          <w:szCs w:val="24"/>
        </w:rPr>
      </w:pPr>
      <w:r w:rsidRPr="009D1201">
        <w:rPr>
          <w:sz w:val="24"/>
          <w:szCs w:val="24"/>
        </w:rPr>
        <w:t>Coordination of care is one of four key attributes of primary care as well as one of seven joint principles of the Patient-Centered Medical Home (PCMH)</w:t>
      </w:r>
      <w:r w:rsidRPr="009D1201">
        <w:rPr>
          <w:rStyle w:val="EndnoteReference"/>
          <w:sz w:val="24"/>
          <w:szCs w:val="24"/>
        </w:rPr>
        <w:endnoteReference w:id="3"/>
      </w:r>
      <w:r w:rsidR="004F035F">
        <w:rPr>
          <w:sz w:val="24"/>
          <w:szCs w:val="24"/>
        </w:rPr>
        <w:t>,</w:t>
      </w:r>
      <w:r w:rsidRPr="009D1201">
        <w:rPr>
          <w:sz w:val="24"/>
          <w:szCs w:val="24"/>
        </w:rPr>
        <w:t xml:space="preserve"> both of which figure prominently in current policy to reform health </w:t>
      </w:r>
      <w:r w:rsidRPr="00600BC9">
        <w:rPr>
          <w:sz w:val="24"/>
          <w:szCs w:val="24"/>
        </w:rPr>
        <w:t xml:space="preserve">care. </w:t>
      </w:r>
      <w:r w:rsidR="00600BC9" w:rsidRPr="005B263B">
        <w:rPr>
          <w:sz w:val="24"/>
          <w:szCs w:val="24"/>
        </w:rPr>
        <w:t>AHRQ defines the medical home as encompassing five functions and attributes:  comprehensive care, patient-centered care, coordinated care, accessible services, and an ongoing commitment to quality and safety. In addition, AHRQ recognizes the central role of health IT</w:t>
      </w:r>
      <w:r w:rsidR="005E7469">
        <w:rPr>
          <w:sz w:val="24"/>
          <w:szCs w:val="24"/>
        </w:rPr>
        <w:t>/electronic health record systems</w:t>
      </w:r>
      <w:r w:rsidR="00600BC9" w:rsidRPr="005B263B">
        <w:rPr>
          <w:sz w:val="24"/>
          <w:szCs w:val="24"/>
        </w:rPr>
        <w:t xml:space="preserve"> in successfully operationalizing and implementing the key features of the medical home, and that full medical home implementation will require significant workforce development and fundamental payment reform.</w:t>
      </w:r>
      <w:r w:rsidR="00600BC9">
        <w:rPr>
          <w:sz w:val="24"/>
          <w:szCs w:val="24"/>
        </w:rPr>
        <w:t xml:space="preserve"> </w:t>
      </w:r>
      <w:r w:rsidRPr="009D1201">
        <w:rPr>
          <w:sz w:val="24"/>
          <w:szCs w:val="24"/>
        </w:rPr>
        <w:t xml:space="preserve">The Patient Protection and Affordable Care Act (PPACA) addresses the use of Accountable Care </w:t>
      </w:r>
      <w:r w:rsidRPr="009D1201">
        <w:rPr>
          <w:sz w:val="24"/>
          <w:szCs w:val="24"/>
        </w:rPr>
        <w:lastRenderedPageBreak/>
        <w:t>Organizations (ACOs) as agents of responsibility for health care quality and cost, supports PCMH</w:t>
      </w:r>
      <w:r w:rsidR="00830F19">
        <w:rPr>
          <w:sz w:val="24"/>
          <w:szCs w:val="24"/>
        </w:rPr>
        <w:t>s</w:t>
      </w:r>
      <w:r w:rsidRPr="009D1201">
        <w:rPr>
          <w:sz w:val="24"/>
          <w:szCs w:val="24"/>
        </w:rPr>
        <w:t xml:space="preserve"> to coordinate community care, and includes health care financing reform that moves reimbursement from a volume-based system to a quality-based system.</w:t>
      </w:r>
      <w:r w:rsidRPr="009D1201">
        <w:rPr>
          <w:rStyle w:val="EndnoteReference"/>
          <w:sz w:val="24"/>
          <w:szCs w:val="24"/>
        </w:rPr>
        <w:endnoteReference w:id="4"/>
      </w:r>
      <w:r w:rsidRPr="009D1201">
        <w:rPr>
          <w:sz w:val="24"/>
          <w:szCs w:val="24"/>
        </w:rPr>
        <w:t xml:space="preserve"> Despite the importance of coordination of care, </w:t>
      </w:r>
      <w:r w:rsidR="00D4272A">
        <w:rPr>
          <w:sz w:val="24"/>
          <w:szCs w:val="24"/>
        </w:rPr>
        <w:t>the field</w:t>
      </w:r>
      <w:r w:rsidRPr="009D1201">
        <w:rPr>
          <w:sz w:val="24"/>
          <w:szCs w:val="24"/>
        </w:rPr>
        <w:t xml:space="preserve"> continue</w:t>
      </w:r>
      <w:r w:rsidR="00D4272A">
        <w:rPr>
          <w:sz w:val="24"/>
          <w:szCs w:val="24"/>
        </w:rPr>
        <w:t>s</w:t>
      </w:r>
      <w:r w:rsidRPr="009D1201">
        <w:rPr>
          <w:sz w:val="24"/>
          <w:szCs w:val="24"/>
        </w:rPr>
        <w:t xml:space="preserve"> to struggle with how to define and apply metrics to </w:t>
      </w:r>
      <w:r w:rsidR="004F4D90">
        <w:rPr>
          <w:sz w:val="24"/>
          <w:szCs w:val="24"/>
        </w:rPr>
        <w:t>care coordination</w:t>
      </w:r>
      <w:r w:rsidRPr="009D1201">
        <w:rPr>
          <w:sz w:val="24"/>
          <w:szCs w:val="24"/>
        </w:rPr>
        <w:t xml:space="preserve">. </w:t>
      </w:r>
      <w:r w:rsidR="004F4D90">
        <w:rPr>
          <w:sz w:val="24"/>
          <w:szCs w:val="24"/>
        </w:rPr>
        <w:t>National organizations including AHRQ, the Institute of Medicine (IOM), the National Quality Forum (NQF), and the American College of Physicians</w:t>
      </w:r>
      <w:r w:rsidR="001B3E94">
        <w:rPr>
          <w:sz w:val="24"/>
          <w:szCs w:val="24"/>
        </w:rPr>
        <w:t xml:space="preserve"> (ACP)</w:t>
      </w:r>
      <w:r w:rsidR="004F4D90">
        <w:rPr>
          <w:sz w:val="24"/>
          <w:szCs w:val="24"/>
        </w:rPr>
        <w:t xml:space="preserve">, among others, have sponsored research on care coordination definitions, practices, interventions, and measurement. Evidence is building about the mechanisms by which care coordination contributes to patient-centered high value, high quality care, yet the health care community is currently struggling to determine how to measure the extent to which this vital activity is or is not occurring in primary care settings. Measuring </w:t>
      </w:r>
      <w:r w:rsidR="00B258E5">
        <w:rPr>
          <w:sz w:val="24"/>
          <w:szCs w:val="24"/>
        </w:rPr>
        <w:t>c</w:t>
      </w:r>
      <w:r w:rsidR="004F4D90">
        <w:rPr>
          <w:sz w:val="24"/>
          <w:szCs w:val="24"/>
        </w:rPr>
        <w:t>are coordination in primary care settings for both research and accountabili</w:t>
      </w:r>
      <w:r w:rsidR="00B258E5">
        <w:rPr>
          <w:sz w:val="24"/>
          <w:szCs w:val="24"/>
        </w:rPr>
        <w:t>t</w:t>
      </w:r>
      <w:r w:rsidR="004F4D90">
        <w:rPr>
          <w:sz w:val="24"/>
          <w:szCs w:val="24"/>
        </w:rPr>
        <w:t>y purposes is becoming increasingly important as new models of care such as the PCMH and ACOs</w:t>
      </w:r>
      <w:r w:rsidR="009D3BF9">
        <w:rPr>
          <w:sz w:val="24"/>
          <w:szCs w:val="24"/>
        </w:rPr>
        <w:t>,</w:t>
      </w:r>
      <w:r w:rsidR="00830F19">
        <w:rPr>
          <w:sz w:val="24"/>
          <w:szCs w:val="24"/>
        </w:rPr>
        <w:t xml:space="preserve"> are</w:t>
      </w:r>
      <w:r w:rsidR="009D3BF9">
        <w:rPr>
          <w:sz w:val="24"/>
          <w:szCs w:val="24"/>
        </w:rPr>
        <w:t xml:space="preserve"> </w:t>
      </w:r>
      <w:r w:rsidR="004F4D90">
        <w:rPr>
          <w:sz w:val="24"/>
          <w:szCs w:val="24"/>
        </w:rPr>
        <w:t>implemented and tested</w:t>
      </w:r>
      <w:r w:rsidR="009D3BF9">
        <w:rPr>
          <w:sz w:val="24"/>
          <w:szCs w:val="24"/>
        </w:rPr>
        <w:t>, and as payment structures are increasingly supportive of integrated care delivery</w:t>
      </w:r>
      <w:r w:rsidR="004F4D90">
        <w:rPr>
          <w:sz w:val="24"/>
          <w:szCs w:val="24"/>
        </w:rPr>
        <w:t xml:space="preserve">. </w:t>
      </w:r>
    </w:p>
    <w:p w:rsidR="004F4D90" w:rsidRDefault="004F4D90" w:rsidP="004F4D90">
      <w:pPr>
        <w:pStyle w:val="PBodyText"/>
        <w:spacing w:line="240" w:lineRule="auto"/>
        <w:ind w:firstLine="0"/>
        <w:rPr>
          <w:sz w:val="24"/>
          <w:szCs w:val="24"/>
        </w:rPr>
      </w:pPr>
    </w:p>
    <w:p w:rsidR="00236E4F" w:rsidRDefault="009D1201" w:rsidP="004F4D90">
      <w:pPr>
        <w:pStyle w:val="PBodyText"/>
        <w:spacing w:line="240" w:lineRule="auto"/>
        <w:ind w:firstLine="0"/>
        <w:rPr>
          <w:sz w:val="24"/>
          <w:szCs w:val="24"/>
        </w:rPr>
      </w:pPr>
      <w:r w:rsidRPr="00C50666">
        <w:rPr>
          <w:sz w:val="24"/>
          <w:szCs w:val="24"/>
        </w:rPr>
        <w:t xml:space="preserve">AHRQ recognized the need to support rigorous methodological work to address this </w:t>
      </w:r>
      <w:r w:rsidR="00C50666">
        <w:rPr>
          <w:sz w:val="24"/>
          <w:szCs w:val="24"/>
        </w:rPr>
        <w:t xml:space="preserve">gap through </w:t>
      </w:r>
      <w:r w:rsidRPr="00C50666">
        <w:rPr>
          <w:sz w:val="24"/>
          <w:szCs w:val="24"/>
        </w:rPr>
        <w:t>its</w:t>
      </w:r>
      <w:r w:rsidRPr="009D1201">
        <w:rPr>
          <w:sz w:val="24"/>
          <w:szCs w:val="24"/>
        </w:rPr>
        <w:t xml:space="preserve"> Primary Care Transformation strategy within the Prevention and Care Management portfolio. </w:t>
      </w:r>
      <w:r w:rsidR="00236E4F">
        <w:rPr>
          <w:sz w:val="24"/>
          <w:szCs w:val="24"/>
        </w:rPr>
        <w:t xml:space="preserve">AHRQ’s care coordination work under this portfolio is now in its third phase. </w:t>
      </w:r>
      <w:r w:rsidR="00122BE6" w:rsidRPr="009D1201">
        <w:rPr>
          <w:sz w:val="24"/>
          <w:szCs w:val="24"/>
        </w:rPr>
        <w:t xml:space="preserve">In collaboration with </w:t>
      </w:r>
      <w:r w:rsidR="00122BE6" w:rsidRPr="00122BE6">
        <w:rPr>
          <w:sz w:val="24"/>
          <w:szCs w:val="24"/>
        </w:rPr>
        <w:t>AHRQ, Stanford’s Center for Health Policy/Primary Care and Outcomes Research (CHP/PCOR)</w:t>
      </w:r>
      <w:r w:rsidR="00122BE6" w:rsidRPr="009D1201">
        <w:rPr>
          <w:sz w:val="24"/>
          <w:szCs w:val="24"/>
        </w:rPr>
        <w:t xml:space="preserve"> </w:t>
      </w:r>
      <w:r w:rsidR="00C50666">
        <w:rPr>
          <w:sz w:val="24"/>
          <w:szCs w:val="24"/>
        </w:rPr>
        <w:t xml:space="preserve">achieved, </w:t>
      </w:r>
      <w:r w:rsidR="00A72B63" w:rsidRPr="00236E4F">
        <w:rPr>
          <w:sz w:val="24"/>
          <w:szCs w:val="24"/>
        </w:rPr>
        <w:t xml:space="preserve">under </w:t>
      </w:r>
      <w:r w:rsidR="009F76BB">
        <w:rPr>
          <w:sz w:val="24"/>
          <w:szCs w:val="24"/>
        </w:rPr>
        <w:t>p</w:t>
      </w:r>
      <w:r w:rsidR="00A72B63" w:rsidRPr="00236E4F">
        <w:rPr>
          <w:sz w:val="24"/>
          <w:szCs w:val="24"/>
        </w:rPr>
        <w:t>hases I and II</w:t>
      </w:r>
      <w:r w:rsidR="00236E4F">
        <w:rPr>
          <w:sz w:val="24"/>
          <w:szCs w:val="24"/>
        </w:rPr>
        <w:t>:</w:t>
      </w:r>
    </w:p>
    <w:p w:rsidR="00224CB0" w:rsidRDefault="00122BE6">
      <w:pPr>
        <w:pStyle w:val="PBodyText"/>
        <w:numPr>
          <w:ilvl w:val="0"/>
          <w:numId w:val="16"/>
        </w:numPr>
        <w:spacing w:line="240" w:lineRule="auto"/>
        <w:rPr>
          <w:sz w:val="24"/>
          <w:szCs w:val="24"/>
        </w:rPr>
      </w:pPr>
      <w:r w:rsidRPr="009D1201">
        <w:rPr>
          <w:sz w:val="24"/>
          <w:szCs w:val="24"/>
        </w:rPr>
        <w:t xml:space="preserve">a conceptual framework for </w:t>
      </w:r>
      <w:r w:rsidR="009F76BB">
        <w:rPr>
          <w:sz w:val="24"/>
          <w:szCs w:val="24"/>
        </w:rPr>
        <w:t xml:space="preserve">the measurement of </w:t>
      </w:r>
      <w:r w:rsidRPr="009D1201">
        <w:rPr>
          <w:sz w:val="24"/>
          <w:szCs w:val="24"/>
        </w:rPr>
        <w:t>care coordination</w:t>
      </w:r>
      <w:r w:rsidRPr="009D1201">
        <w:rPr>
          <w:rStyle w:val="EndnoteReference"/>
          <w:sz w:val="24"/>
          <w:szCs w:val="24"/>
        </w:rPr>
        <w:endnoteReference w:id="5"/>
      </w:r>
      <w:r w:rsidR="009F76BB">
        <w:rPr>
          <w:sz w:val="24"/>
          <w:szCs w:val="24"/>
        </w:rPr>
        <w:t xml:space="preserve"> (see </w:t>
      </w:r>
      <w:hyperlink r:id="rId12" w:anchor="elements" w:history="1">
        <w:r w:rsidR="009F76BB" w:rsidRPr="00321BD2">
          <w:rPr>
            <w:rStyle w:val="Hyperlink"/>
            <w:sz w:val="24"/>
            <w:szCs w:val="24"/>
          </w:rPr>
          <w:t>http://www.ahrq.gov/qual/careatlas/careatlas3.htm#elements</w:t>
        </w:r>
      </w:hyperlink>
      <w:r w:rsidR="009F76BB">
        <w:rPr>
          <w:sz w:val="24"/>
          <w:szCs w:val="24"/>
        </w:rPr>
        <w:t>)</w:t>
      </w:r>
      <w:r w:rsidRPr="009D1201">
        <w:rPr>
          <w:sz w:val="24"/>
          <w:szCs w:val="24"/>
        </w:rPr>
        <w:t xml:space="preserve">, </w:t>
      </w:r>
    </w:p>
    <w:p w:rsidR="00224CB0" w:rsidRDefault="00122BE6">
      <w:pPr>
        <w:pStyle w:val="PBodyText"/>
        <w:numPr>
          <w:ilvl w:val="0"/>
          <w:numId w:val="16"/>
        </w:numPr>
        <w:spacing w:line="240" w:lineRule="auto"/>
        <w:rPr>
          <w:sz w:val="24"/>
          <w:szCs w:val="24"/>
        </w:rPr>
      </w:pPr>
      <w:r w:rsidRPr="009D1201">
        <w:rPr>
          <w:sz w:val="24"/>
          <w:szCs w:val="24"/>
        </w:rPr>
        <w:t xml:space="preserve">a searchable database of information on care coordination measures (the </w:t>
      </w:r>
      <w:r w:rsidRPr="009D1201">
        <w:rPr>
          <w:i/>
          <w:sz w:val="24"/>
          <w:szCs w:val="24"/>
        </w:rPr>
        <w:t>Care Coordination Measures Atlas</w:t>
      </w:r>
      <w:r w:rsidRPr="009D1201">
        <w:rPr>
          <w:sz w:val="24"/>
          <w:szCs w:val="24"/>
        </w:rPr>
        <w:t>),</w:t>
      </w:r>
      <w:r w:rsidRPr="009D1201">
        <w:rPr>
          <w:rStyle w:val="EndnoteReference"/>
          <w:sz w:val="24"/>
          <w:szCs w:val="24"/>
        </w:rPr>
        <w:endnoteReference w:id="6"/>
      </w:r>
      <w:r w:rsidRPr="009D1201">
        <w:rPr>
          <w:sz w:val="24"/>
          <w:szCs w:val="24"/>
        </w:rPr>
        <w:t xml:space="preserve"> </w:t>
      </w:r>
    </w:p>
    <w:p w:rsidR="00224CB0" w:rsidRDefault="00122BE6">
      <w:pPr>
        <w:pStyle w:val="PBodyText"/>
        <w:numPr>
          <w:ilvl w:val="0"/>
          <w:numId w:val="16"/>
        </w:numPr>
        <w:spacing w:line="240" w:lineRule="auto"/>
        <w:rPr>
          <w:sz w:val="24"/>
          <w:szCs w:val="24"/>
        </w:rPr>
      </w:pPr>
      <w:r w:rsidRPr="009D1201">
        <w:rPr>
          <w:sz w:val="24"/>
          <w:szCs w:val="24"/>
        </w:rPr>
        <w:t xml:space="preserve">technical reports of </w:t>
      </w:r>
      <w:r>
        <w:rPr>
          <w:sz w:val="24"/>
          <w:szCs w:val="24"/>
        </w:rPr>
        <w:t xml:space="preserve">best available </w:t>
      </w:r>
      <w:r w:rsidRPr="009D1201">
        <w:rPr>
          <w:sz w:val="24"/>
          <w:szCs w:val="24"/>
        </w:rPr>
        <w:t>care coordination measures</w:t>
      </w:r>
      <w:r>
        <w:rPr>
          <w:sz w:val="24"/>
          <w:szCs w:val="24"/>
        </w:rPr>
        <w:t xml:space="preserve"> for assessing care coordination in primary care practices</w:t>
      </w:r>
      <w:r w:rsidR="00C50666">
        <w:rPr>
          <w:sz w:val="24"/>
          <w:szCs w:val="24"/>
        </w:rPr>
        <w:t>,</w:t>
      </w:r>
      <w:r w:rsidRPr="009D1201">
        <w:rPr>
          <w:sz w:val="24"/>
          <w:szCs w:val="24"/>
        </w:rPr>
        <w:t xml:space="preserve"> and </w:t>
      </w:r>
    </w:p>
    <w:p w:rsidR="00224CB0" w:rsidRDefault="009F76BB">
      <w:pPr>
        <w:pStyle w:val="PBodyText"/>
        <w:numPr>
          <w:ilvl w:val="0"/>
          <w:numId w:val="16"/>
        </w:numPr>
        <w:spacing w:line="240" w:lineRule="auto"/>
        <w:rPr>
          <w:sz w:val="24"/>
          <w:szCs w:val="24"/>
        </w:rPr>
      </w:pPr>
      <w:r>
        <w:rPr>
          <w:sz w:val="24"/>
          <w:szCs w:val="24"/>
        </w:rPr>
        <w:t xml:space="preserve">assessment of </w:t>
      </w:r>
      <w:r w:rsidR="00122BE6" w:rsidRPr="009D1201">
        <w:rPr>
          <w:sz w:val="24"/>
          <w:szCs w:val="24"/>
        </w:rPr>
        <w:t>the potential use of emerging data sources in the construction of care coordination measures</w:t>
      </w:r>
      <w:r w:rsidR="00122BE6" w:rsidRPr="009D1201">
        <w:rPr>
          <w:rStyle w:val="EndnoteReference"/>
          <w:sz w:val="24"/>
          <w:szCs w:val="24"/>
        </w:rPr>
        <w:endnoteReference w:id="7"/>
      </w:r>
      <w:r w:rsidR="00122BE6" w:rsidRPr="009D1201">
        <w:rPr>
          <w:sz w:val="24"/>
          <w:szCs w:val="24"/>
          <w:vertAlign w:val="superscript"/>
        </w:rPr>
        <w:t>,</w:t>
      </w:r>
      <w:r w:rsidR="00122BE6" w:rsidRPr="009D1201">
        <w:rPr>
          <w:rStyle w:val="EndnoteReference"/>
          <w:sz w:val="24"/>
          <w:szCs w:val="24"/>
        </w:rPr>
        <w:endnoteReference w:id="8"/>
      </w:r>
      <w:r w:rsidR="00122BE6" w:rsidRPr="009D1201">
        <w:rPr>
          <w:sz w:val="24"/>
          <w:szCs w:val="24"/>
        </w:rPr>
        <w:t xml:space="preserve">. </w:t>
      </w:r>
    </w:p>
    <w:p w:rsidR="009F76BB" w:rsidRDefault="009F76BB" w:rsidP="009F76BB">
      <w:pPr>
        <w:pStyle w:val="PBodyText"/>
        <w:spacing w:line="240" w:lineRule="auto"/>
        <w:ind w:firstLine="0"/>
        <w:rPr>
          <w:sz w:val="24"/>
          <w:szCs w:val="24"/>
        </w:rPr>
      </w:pPr>
    </w:p>
    <w:p w:rsidR="00122BE6" w:rsidRDefault="00236E4F" w:rsidP="009F76BB">
      <w:pPr>
        <w:pStyle w:val="PBodyText"/>
        <w:spacing w:line="240" w:lineRule="auto"/>
        <w:ind w:firstLine="0"/>
        <w:rPr>
          <w:sz w:val="24"/>
          <w:szCs w:val="24"/>
        </w:rPr>
      </w:pPr>
      <w:r>
        <w:rPr>
          <w:sz w:val="24"/>
          <w:szCs w:val="24"/>
        </w:rPr>
        <w:t xml:space="preserve">The framework incorporates the key care coordination </w:t>
      </w:r>
      <w:r w:rsidRPr="00C50666">
        <w:rPr>
          <w:i/>
          <w:sz w:val="24"/>
          <w:szCs w:val="24"/>
        </w:rPr>
        <w:t>activities</w:t>
      </w:r>
      <w:r>
        <w:rPr>
          <w:sz w:val="24"/>
          <w:szCs w:val="24"/>
        </w:rPr>
        <w:t xml:space="preserve"> that have been hypothesized or demonstrated to facilitate care coordination and broad </w:t>
      </w:r>
      <w:r w:rsidRPr="00C50666">
        <w:rPr>
          <w:i/>
          <w:sz w:val="24"/>
          <w:szCs w:val="24"/>
        </w:rPr>
        <w:t>approaches</w:t>
      </w:r>
      <w:r>
        <w:rPr>
          <w:sz w:val="24"/>
          <w:szCs w:val="24"/>
        </w:rPr>
        <w:t xml:space="preserve"> that have been used to improve the delivery of health care, including improved care coordination.</w:t>
      </w:r>
    </w:p>
    <w:p w:rsidR="00122BE6" w:rsidRDefault="00122BE6" w:rsidP="004F4D90">
      <w:pPr>
        <w:pStyle w:val="PBodyText"/>
        <w:spacing w:line="240" w:lineRule="auto"/>
        <w:ind w:firstLine="0"/>
        <w:rPr>
          <w:sz w:val="24"/>
          <w:szCs w:val="24"/>
        </w:rPr>
      </w:pPr>
    </w:p>
    <w:p w:rsidR="00D71525" w:rsidRDefault="009F76BB" w:rsidP="004C1843">
      <w:pPr>
        <w:pStyle w:val="PBodyText"/>
        <w:spacing w:line="240" w:lineRule="auto"/>
        <w:ind w:firstLine="0"/>
        <w:rPr>
          <w:sz w:val="24"/>
          <w:szCs w:val="24"/>
          <w:highlight w:val="yellow"/>
        </w:rPr>
      </w:pPr>
      <w:r>
        <w:rPr>
          <w:sz w:val="24"/>
          <w:szCs w:val="24"/>
        </w:rPr>
        <w:t>In p</w:t>
      </w:r>
      <w:r w:rsidR="004C1843" w:rsidRPr="004C1843">
        <w:rPr>
          <w:sz w:val="24"/>
          <w:szCs w:val="24"/>
        </w:rPr>
        <w:t>hase III</w:t>
      </w:r>
      <w:r>
        <w:rPr>
          <w:sz w:val="24"/>
          <w:szCs w:val="24"/>
        </w:rPr>
        <w:t>, supported by the American Institutes for Research (AIR) and its subcontractors, Stanford CHP/PCOR, and the National Committee for Quality Assurance (NCQA)</w:t>
      </w:r>
      <w:r w:rsidR="00FF7C56">
        <w:rPr>
          <w:sz w:val="24"/>
          <w:szCs w:val="24"/>
        </w:rPr>
        <w:t>—i.e., the “AIR team”--</w:t>
      </w:r>
      <w:r>
        <w:rPr>
          <w:sz w:val="24"/>
          <w:szCs w:val="24"/>
        </w:rPr>
        <w:t xml:space="preserve"> </w:t>
      </w:r>
      <w:r w:rsidR="00D4272A" w:rsidRPr="004C1843">
        <w:rPr>
          <w:sz w:val="24"/>
          <w:szCs w:val="24"/>
        </w:rPr>
        <w:t>AHRQ</w:t>
      </w:r>
      <w:r>
        <w:rPr>
          <w:sz w:val="24"/>
          <w:szCs w:val="24"/>
        </w:rPr>
        <w:t xml:space="preserve"> is</w:t>
      </w:r>
      <w:r w:rsidR="004C1843" w:rsidRPr="004C1843">
        <w:rPr>
          <w:sz w:val="24"/>
          <w:szCs w:val="24"/>
        </w:rPr>
        <w:t xml:space="preserve"> develop</w:t>
      </w:r>
      <w:r>
        <w:rPr>
          <w:sz w:val="24"/>
          <w:szCs w:val="24"/>
        </w:rPr>
        <w:t xml:space="preserve">ing </w:t>
      </w:r>
      <w:r w:rsidR="004C1843" w:rsidRPr="004C1843">
        <w:rPr>
          <w:sz w:val="24"/>
          <w:szCs w:val="24"/>
        </w:rPr>
        <w:t xml:space="preserve">and </w:t>
      </w:r>
      <w:r w:rsidR="00D4272A" w:rsidRPr="004C1843">
        <w:rPr>
          <w:sz w:val="24"/>
          <w:szCs w:val="24"/>
        </w:rPr>
        <w:t xml:space="preserve">testing a new care coordination measure </w:t>
      </w:r>
      <w:r>
        <w:rPr>
          <w:sz w:val="24"/>
          <w:szCs w:val="24"/>
        </w:rPr>
        <w:t xml:space="preserve">that </w:t>
      </w:r>
      <w:r w:rsidR="00C50666">
        <w:rPr>
          <w:sz w:val="24"/>
          <w:szCs w:val="24"/>
        </w:rPr>
        <w:t>build</w:t>
      </w:r>
      <w:r>
        <w:rPr>
          <w:sz w:val="24"/>
          <w:szCs w:val="24"/>
        </w:rPr>
        <w:t>s</w:t>
      </w:r>
      <w:r w:rsidR="00C50666">
        <w:rPr>
          <w:sz w:val="24"/>
          <w:szCs w:val="24"/>
        </w:rPr>
        <w:t xml:space="preserve"> off of the previous </w:t>
      </w:r>
      <w:r>
        <w:rPr>
          <w:sz w:val="24"/>
          <w:szCs w:val="24"/>
        </w:rPr>
        <w:t>phases</w:t>
      </w:r>
      <w:r w:rsidR="00C50666">
        <w:rPr>
          <w:sz w:val="24"/>
          <w:szCs w:val="24"/>
        </w:rPr>
        <w:t xml:space="preserve">. , </w:t>
      </w:r>
      <w:r>
        <w:rPr>
          <w:sz w:val="24"/>
          <w:szCs w:val="24"/>
        </w:rPr>
        <w:t>The survey</w:t>
      </w:r>
      <w:r w:rsidR="00A66704">
        <w:rPr>
          <w:sz w:val="24"/>
          <w:szCs w:val="24"/>
        </w:rPr>
        <w:t>,</w:t>
      </w:r>
      <w:r w:rsidR="00A66704" w:rsidRPr="00A66704">
        <w:rPr>
          <w:sz w:val="24"/>
          <w:szCs w:val="24"/>
        </w:rPr>
        <w:t xml:space="preserve"> </w:t>
      </w:r>
      <w:r w:rsidR="00A66704">
        <w:rPr>
          <w:sz w:val="24"/>
          <w:szCs w:val="24"/>
        </w:rPr>
        <w:t>the Care Coordination Quality Measure for Primary Care (CCQM-PC),</w:t>
      </w:r>
      <w:r>
        <w:rPr>
          <w:sz w:val="24"/>
          <w:szCs w:val="24"/>
        </w:rPr>
        <w:t xml:space="preserve"> </w:t>
      </w:r>
      <w:r w:rsidR="004C1843" w:rsidRPr="004C1843">
        <w:rPr>
          <w:sz w:val="24"/>
          <w:szCs w:val="24"/>
        </w:rPr>
        <w:t>measur</w:t>
      </w:r>
      <w:r>
        <w:rPr>
          <w:sz w:val="24"/>
          <w:szCs w:val="24"/>
        </w:rPr>
        <w:t>es</w:t>
      </w:r>
      <w:r w:rsidR="004C1843" w:rsidRPr="004C1843">
        <w:rPr>
          <w:sz w:val="24"/>
          <w:szCs w:val="24"/>
        </w:rPr>
        <w:t xml:space="preserve"> care coor</w:t>
      </w:r>
      <w:r w:rsidR="004C1843">
        <w:rPr>
          <w:sz w:val="24"/>
          <w:szCs w:val="24"/>
        </w:rPr>
        <w:t xml:space="preserve">dination in the primary care setting from the perspective of </w:t>
      </w:r>
      <w:r w:rsidR="00A66704">
        <w:rPr>
          <w:sz w:val="24"/>
          <w:szCs w:val="24"/>
        </w:rPr>
        <w:t>patients and families, filling a gap identified in p</w:t>
      </w:r>
      <w:r w:rsidR="009D1201" w:rsidRPr="009D1201">
        <w:rPr>
          <w:sz w:val="24"/>
          <w:szCs w:val="24"/>
        </w:rPr>
        <w:t>rior work</w:t>
      </w:r>
      <w:r w:rsidR="00A66704">
        <w:rPr>
          <w:sz w:val="24"/>
          <w:szCs w:val="24"/>
        </w:rPr>
        <w:t xml:space="preserve">. </w:t>
      </w:r>
    </w:p>
    <w:p w:rsidR="00177B44" w:rsidRPr="000A0699" w:rsidRDefault="00177B44">
      <w:pPr>
        <w:rPr>
          <w:sz w:val="24"/>
          <w:szCs w:val="24"/>
          <w:highlight w:val="yellow"/>
        </w:rPr>
      </w:pPr>
    </w:p>
    <w:p w:rsidR="00D216F6" w:rsidRPr="00600BC9" w:rsidRDefault="00FF7C56" w:rsidP="007F22BB">
      <w:pPr>
        <w:rPr>
          <w:sz w:val="24"/>
          <w:szCs w:val="24"/>
        </w:rPr>
      </w:pPr>
      <w:r w:rsidRPr="005B263B">
        <w:rPr>
          <w:bCs/>
          <w:sz w:val="24"/>
          <w:szCs w:val="24"/>
        </w:rPr>
        <w:t xml:space="preserve">Thus, the overall goal of the </w:t>
      </w:r>
      <w:r w:rsidR="007F22BB" w:rsidRPr="005B263B">
        <w:rPr>
          <w:bCs/>
          <w:sz w:val="24"/>
          <w:szCs w:val="24"/>
        </w:rPr>
        <w:t>project is to develop the CCQM-PC. To ac</w:t>
      </w:r>
      <w:r w:rsidRPr="005B263B">
        <w:rPr>
          <w:bCs/>
          <w:sz w:val="24"/>
          <w:szCs w:val="24"/>
        </w:rPr>
        <w:t>hieve this goal</w:t>
      </w:r>
      <w:r w:rsidR="007F22BB" w:rsidRPr="005B263B">
        <w:rPr>
          <w:bCs/>
          <w:sz w:val="24"/>
          <w:szCs w:val="24"/>
        </w:rPr>
        <w:t xml:space="preserve">, we will: </w:t>
      </w:r>
    </w:p>
    <w:p w:rsidR="00101293" w:rsidRPr="00101293" w:rsidRDefault="00101293" w:rsidP="007F22BB">
      <w:pPr>
        <w:pStyle w:val="BodyText"/>
        <w:numPr>
          <w:ilvl w:val="0"/>
          <w:numId w:val="8"/>
        </w:numPr>
      </w:pPr>
      <w:r w:rsidRPr="00101293">
        <w:t>D</w:t>
      </w:r>
      <w:r w:rsidR="007F22BB">
        <w:t xml:space="preserve">raft the survey </w:t>
      </w:r>
      <w:r>
        <w:t>with consumer and stakeholder input</w:t>
      </w:r>
    </w:p>
    <w:p w:rsidR="000F7251" w:rsidRPr="00FA1CA3" w:rsidRDefault="006345FD" w:rsidP="00203F5D">
      <w:pPr>
        <w:pStyle w:val="BodyText"/>
        <w:numPr>
          <w:ilvl w:val="0"/>
          <w:numId w:val="8"/>
        </w:numPr>
        <w:rPr>
          <w:u w:val="single"/>
        </w:rPr>
      </w:pPr>
      <w:r>
        <w:rPr>
          <w:szCs w:val="24"/>
        </w:rPr>
        <w:t xml:space="preserve">Conduct a </w:t>
      </w:r>
      <w:r w:rsidR="009C60A7">
        <w:rPr>
          <w:szCs w:val="24"/>
        </w:rPr>
        <w:t xml:space="preserve">pilot </w:t>
      </w:r>
      <w:r w:rsidR="00A66704">
        <w:rPr>
          <w:szCs w:val="24"/>
        </w:rPr>
        <w:t>administration of the survey</w:t>
      </w:r>
      <w:r w:rsidR="009C60A7">
        <w:rPr>
          <w:szCs w:val="24"/>
        </w:rPr>
        <w:t xml:space="preserve"> to establish p</w:t>
      </w:r>
      <w:r w:rsidR="00D71525" w:rsidRPr="00D71525">
        <w:rPr>
          <w:szCs w:val="24"/>
        </w:rPr>
        <w:t>sychometric properties of the CCQM-PC</w:t>
      </w:r>
      <w:r w:rsidR="00FA1CA3">
        <w:rPr>
          <w:szCs w:val="24"/>
        </w:rPr>
        <w:t xml:space="preserve"> </w:t>
      </w:r>
      <w:r w:rsidR="00291128">
        <w:rPr>
          <w:szCs w:val="24"/>
        </w:rPr>
        <w:t>and understand how its scores relate to a</w:t>
      </w:r>
      <w:r w:rsidR="00FF7C56">
        <w:rPr>
          <w:szCs w:val="24"/>
        </w:rPr>
        <w:t>n</w:t>
      </w:r>
      <w:r w:rsidR="00291128">
        <w:rPr>
          <w:szCs w:val="24"/>
        </w:rPr>
        <w:t xml:space="preserve"> </w:t>
      </w:r>
      <w:r w:rsidR="00FF7C56">
        <w:rPr>
          <w:szCs w:val="24"/>
        </w:rPr>
        <w:t xml:space="preserve">extant </w:t>
      </w:r>
      <w:r w:rsidR="00291128">
        <w:rPr>
          <w:szCs w:val="24"/>
        </w:rPr>
        <w:t xml:space="preserve">practice-level measure of processes of care that support a medical home model </w:t>
      </w:r>
    </w:p>
    <w:p w:rsidR="000F7251" w:rsidRPr="00FA1CA3" w:rsidRDefault="002A49D4" w:rsidP="00203F5D">
      <w:pPr>
        <w:pStyle w:val="ListParagraph"/>
        <w:numPr>
          <w:ilvl w:val="0"/>
          <w:numId w:val="8"/>
        </w:numPr>
        <w:tabs>
          <w:tab w:val="left" w:pos="360"/>
        </w:tabs>
        <w:rPr>
          <w:sz w:val="24"/>
          <w:szCs w:val="24"/>
        </w:rPr>
      </w:pPr>
      <w:r>
        <w:rPr>
          <w:sz w:val="24"/>
          <w:szCs w:val="24"/>
        </w:rPr>
        <w:lastRenderedPageBreak/>
        <w:t xml:space="preserve">Revise </w:t>
      </w:r>
      <w:r w:rsidR="00D71525" w:rsidRPr="00FA1CA3">
        <w:rPr>
          <w:sz w:val="24"/>
          <w:szCs w:val="24"/>
        </w:rPr>
        <w:t xml:space="preserve">the </w:t>
      </w:r>
      <w:r w:rsidR="009C60A7">
        <w:rPr>
          <w:sz w:val="24"/>
          <w:szCs w:val="24"/>
        </w:rPr>
        <w:t xml:space="preserve">survey as necessary based on </w:t>
      </w:r>
      <w:r>
        <w:rPr>
          <w:sz w:val="24"/>
          <w:szCs w:val="24"/>
        </w:rPr>
        <w:t xml:space="preserve">the </w:t>
      </w:r>
      <w:r w:rsidR="006345FD">
        <w:rPr>
          <w:sz w:val="24"/>
          <w:szCs w:val="24"/>
        </w:rPr>
        <w:t>pilot survey</w:t>
      </w:r>
      <w:r w:rsidR="00D71525" w:rsidRPr="00FA1CA3">
        <w:rPr>
          <w:sz w:val="24"/>
          <w:szCs w:val="24"/>
        </w:rPr>
        <w:t xml:space="preserve"> findings</w:t>
      </w:r>
    </w:p>
    <w:p w:rsidR="000F7251" w:rsidRPr="000D3F12" w:rsidRDefault="000F7251" w:rsidP="00D216F6">
      <w:pPr>
        <w:tabs>
          <w:tab w:val="left" w:pos="360"/>
        </w:tabs>
        <w:rPr>
          <w:sz w:val="24"/>
          <w:szCs w:val="24"/>
          <w:u w:val="single"/>
        </w:rPr>
      </w:pPr>
    </w:p>
    <w:p w:rsidR="001410EA" w:rsidRDefault="00101293" w:rsidP="00AC658B">
      <w:pPr>
        <w:pStyle w:val="BodyText"/>
        <w:ind w:firstLine="0"/>
        <w:rPr>
          <w:szCs w:val="24"/>
        </w:rPr>
      </w:pPr>
      <w:r>
        <w:rPr>
          <w:szCs w:val="24"/>
        </w:rPr>
        <w:t>On behalf of AHRQ, the CCQM</w:t>
      </w:r>
      <w:r w:rsidR="00BD786A">
        <w:rPr>
          <w:szCs w:val="24"/>
        </w:rPr>
        <w:t>-PC</w:t>
      </w:r>
      <w:r>
        <w:rPr>
          <w:szCs w:val="24"/>
        </w:rPr>
        <w:t xml:space="preserve"> measure has been </w:t>
      </w:r>
      <w:r w:rsidR="00BD786A">
        <w:rPr>
          <w:szCs w:val="24"/>
        </w:rPr>
        <w:t>drafted</w:t>
      </w:r>
      <w:r>
        <w:rPr>
          <w:szCs w:val="24"/>
        </w:rPr>
        <w:t xml:space="preserve"> by the AIR team and is provided in </w:t>
      </w:r>
      <w:r w:rsidR="00953718">
        <w:rPr>
          <w:szCs w:val="24"/>
          <w:highlight w:val="yellow"/>
        </w:rPr>
        <w:t>Appendix</w:t>
      </w:r>
      <w:r w:rsidRPr="007B6AE8">
        <w:rPr>
          <w:szCs w:val="24"/>
          <w:highlight w:val="yellow"/>
        </w:rPr>
        <w:t xml:space="preserve"> </w:t>
      </w:r>
      <w:r w:rsidR="00A66704">
        <w:rPr>
          <w:szCs w:val="24"/>
          <w:highlight w:val="yellow"/>
        </w:rPr>
        <w:t>A</w:t>
      </w:r>
      <w:r>
        <w:rPr>
          <w:szCs w:val="24"/>
        </w:rPr>
        <w:t xml:space="preserve">. </w:t>
      </w:r>
      <w:r w:rsidR="00863732" w:rsidRPr="00D71525">
        <w:rPr>
          <w:szCs w:val="24"/>
        </w:rPr>
        <w:t>To achieve the</w:t>
      </w:r>
      <w:r>
        <w:rPr>
          <w:szCs w:val="24"/>
        </w:rPr>
        <w:t xml:space="preserve"> second and third</w:t>
      </w:r>
      <w:r w:rsidR="00863732" w:rsidRPr="00D71525">
        <w:rPr>
          <w:szCs w:val="24"/>
        </w:rPr>
        <w:t xml:space="preserve"> goals</w:t>
      </w:r>
      <w:r w:rsidR="00FA1CA3">
        <w:rPr>
          <w:szCs w:val="24"/>
        </w:rPr>
        <w:t xml:space="preserve">, </w:t>
      </w:r>
      <w:r>
        <w:rPr>
          <w:szCs w:val="24"/>
        </w:rPr>
        <w:t xml:space="preserve">AHRQ </w:t>
      </w:r>
      <w:r w:rsidR="00FA1CA3">
        <w:rPr>
          <w:szCs w:val="24"/>
        </w:rPr>
        <w:t xml:space="preserve">will </w:t>
      </w:r>
      <w:r w:rsidR="00291128">
        <w:rPr>
          <w:szCs w:val="24"/>
        </w:rPr>
        <w:t xml:space="preserve">pilot the </w:t>
      </w:r>
      <w:r w:rsidR="00FA1CA3" w:rsidRPr="00FA1CA3">
        <w:rPr>
          <w:szCs w:val="24"/>
        </w:rPr>
        <w:t>s</w:t>
      </w:r>
      <w:r w:rsidR="00291128">
        <w:rPr>
          <w:szCs w:val="24"/>
        </w:rPr>
        <w:t xml:space="preserve">urvey </w:t>
      </w:r>
      <w:r w:rsidR="00FA1CA3" w:rsidRPr="00FA1CA3">
        <w:rPr>
          <w:szCs w:val="24"/>
        </w:rPr>
        <w:t>with</w:t>
      </w:r>
      <w:r w:rsidR="00BD786A">
        <w:rPr>
          <w:szCs w:val="24"/>
        </w:rPr>
        <w:t xml:space="preserve"> 4,500</w:t>
      </w:r>
      <w:r w:rsidR="00FA1CA3" w:rsidRPr="00FA1CA3">
        <w:rPr>
          <w:szCs w:val="24"/>
        </w:rPr>
        <w:t xml:space="preserve"> </w:t>
      </w:r>
      <w:r>
        <w:rPr>
          <w:szCs w:val="24"/>
        </w:rPr>
        <w:t xml:space="preserve">adult </w:t>
      </w:r>
      <w:r w:rsidR="00FA1CA3" w:rsidRPr="00FA1CA3">
        <w:rPr>
          <w:szCs w:val="24"/>
        </w:rPr>
        <w:t>patients in 30 primary care practices</w:t>
      </w:r>
      <w:r w:rsidR="00291128">
        <w:rPr>
          <w:szCs w:val="24"/>
        </w:rPr>
        <w:t xml:space="preserve"> </w:t>
      </w:r>
      <w:r w:rsidR="006538F0">
        <w:rPr>
          <w:szCs w:val="24"/>
        </w:rPr>
        <w:t xml:space="preserve">(PCPs) </w:t>
      </w:r>
      <w:r w:rsidR="00291128">
        <w:rPr>
          <w:szCs w:val="24"/>
        </w:rPr>
        <w:t>across the United States</w:t>
      </w:r>
      <w:r w:rsidR="00BD71D7" w:rsidRPr="006E3230">
        <w:rPr>
          <w:szCs w:val="24"/>
        </w:rPr>
        <w:t xml:space="preserve">.  </w:t>
      </w:r>
      <w:r w:rsidR="00644510">
        <w:rPr>
          <w:szCs w:val="24"/>
        </w:rPr>
        <w:t>Participating practices will also be asked complete the Medical Home Index</w:t>
      </w:r>
      <w:r w:rsidR="001410EA">
        <w:rPr>
          <w:szCs w:val="24"/>
        </w:rPr>
        <w:t>-Long Version</w:t>
      </w:r>
      <w:r w:rsidR="00644510">
        <w:rPr>
          <w:szCs w:val="24"/>
        </w:rPr>
        <w:t xml:space="preserve"> (MHI-</w:t>
      </w:r>
      <w:r w:rsidR="001410EA">
        <w:rPr>
          <w:szCs w:val="24"/>
        </w:rPr>
        <w:t>LV</w:t>
      </w:r>
      <w:r w:rsidR="00644510">
        <w:rPr>
          <w:szCs w:val="24"/>
        </w:rPr>
        <w:t>)</w:t>
      </w:r>
      <w:r w:rsidR="00644510">
        <w:rPr>
          <w:rStyle w:val="EndnoteReference"/>
          <w:szCs w:val="24"/>
        </w:rPr>
        <w:endnoteReference w:id="9"/>
      </w:r>
      <w:r w:rsidR="00644510">
        <w:rPr>
          <w:szCs w:val="24"/>
        </w:rPr>
        <w:t xml:space="preserve">, a validated self-assessment and classification tool based on indicators of processes of care associated with the medical home model. </w:t>
      </w:r>
      <w:r w:rsidR="001410EA">
        <w:rPr>
          <w:szCs w:val="24"/>
        </w:rPr>
        <w:t xml:space="preserve">The MHI-LV is provided in </w:t>
      </w:r>
      <w:r w:rsidR="00155C6D" w:rsidRPr="00155C6D">
        <w:rPr>
          <w:szCs w:val="24"/>
          <w:highlight w:val="yellow"/>
        </w:rPr>
        <w:t>Appendix B</w:t>
      </w:r>
      <w:r w:rsidR="001410EA">
        <w:rPr>
          <w:szCs w:val="24"/>
        </w:rPr>
        <w:t xml:space="preserve">. </w:t>
      </w:r>
    </w:p>
    <w:p w:rsidR="001410EA" w:rsidRDefault="001410EA" w:rsidP="00FA1CA3">
      <w:pPr>
        <w:pStyle w:val="BodyText"/>
        <w:ind w:firstLine="0"/>
        <w:rPr>
          <w:szCs w:val="24"/>
        </w:rPr>
      </w:pPr>
    </w:p>
    <w:p w:rsidR="00FA1CA3" w:rsidRPr="00C17F4D" w:rsidRDefault="006E3230" w:rsidP="00FA1CA3">
      <w:pPr>
        <w:pStyle w:val="BodyText"/>
        <w:ind w:firstLine="0"/>
      </w:pPr>
      <w:r>
        <w:rPr>
          <w:szCs w:val="24"/>
        </w:rPr>
        <w:t xml:space="preserve">There are four </w:t>
      </w:r>
      <w:r w:rsidR="00FA1CA3" w:rsidRPr="00C17F4D">
        <w:t xml:space="preserve">explicit objectives for our </w:t>
      </w:r>
      <w:r w:rsidR="00BD786A">
        <w:t>analysis</w:t>
      </w:r>
      <w:r w:rsidR="00FA1CA3" w:rsidRPr="00C17F4D">
        <w:t xml:space="preserve"> of the </w:t>
      </w:r>
      <w:r w:rsidR="00FA1CA3">
        <w:t>pilot</w:t>
      </w:r>
      <w:r w:rsidR="00FA1CA3" w:rsidRPr="00C17F4D">
        <w:t>-test data</w:t>
      </w:r>
      <w:r w:rsidR="00291128">
        <w:t>:</w:t>
      </w:r>
    </w:p>
    <w:p w:rsidR="00FA1CA3" w:rsidRPr="00C17F4D" w:rsidRDefault="00FA1CA3" w:rsidP="00203F5D">
      <w:pPr>
        <w:pStyle w:val="CCNumberlist"/>
        <w:numPr>
          <w:ilvl w:val="0"/>
          <w:numId w:val="7"/>
        </w:numPr>
      </w:pPr>
      <w:r w:rsidRPr="00C17F4D">
        <w:t xml:space="preserve">Evaluate the quality of the responses to the </w:t>
      </w:r>
      <w:r>
        <w:t>CCQM-PC</w:t>
      </w:r>
      <w:r w:rsidRPr="00C17F4D">
        <w:t xml:space="preserve"> s</w:t>
      </w:r>
      <w:r>
        <w:t>urvey</w:t>
      </w:r>
      <w:r w:rsidR="007110FC">
        <w:t xml:space="preserve"> (</w:t>
      </w:r>
      <w:r w:rsidR="00313794">
        <w:t xml:space="preserve">through </w:t>
      </w:r>
      <w:r w:rsidR="007110FC">
        <w:t>item functioning</w:t>
      </w:r>
      <w:r w:rsidR="00313794">
        <w:t xml:space="preserve"> analysis</w:t>
      </w:r>
      <w:r w:rsidR="007110FC">
        <w:t>)</w:t>
      </w:r>
      <w:r w:rsidRPr="00C17F4D">
        <w:t xml:space="preserve">. </w:t>
      </w:r>
    </w:p>
    <w:p w:rsidR="00FA1CA3" w:rsidRPr="00C17F4D" w:rsidRDefault="00FA1CA3" w:rsidP="00203F5D">
      <w:pPr>
        <w:pStyle w:val="CCNumberlist"/>
        <w:numPr>
          <w:ilvl w:val="0"/>
          <w:numId w:val="7"/>
        </w:numPr>
      </w:pPr>
      <w:r w:rsidRPr="00C17F4D">
        <w:t>Determine how the items that ask for reports of patient experiences could be summarized into a smaller set of composite measures</w:t>
      </w:r>
      <w:r w:rsidR="00313794">
        <w:t xml:space="preserve"> (through factor analysis)</w:t>
      </w:r>
      <w:r w:rsidRPr="00C17F4D">
        <w:t xml:space="preserve">. </w:t>
      </w:r>
    </w:p>
    <w:p w:rsidR="00FA1CA3" w:rsidRPr="00FA1CA3" w:rsidRDefault="00FA1CA3" w:rsidP="00203F5D">
      <w:pPr>
        <w:pStyle w:val="CCNumberlist"/>
        <w:numPr>
          <w:ilvl w:val="0"/>
          <w:numId w:val="7"/>
        </w:numPr>
        <w:rPr>
          <w:u w:val="single"/>
        </w:rPr>
      </w:pPr>
      <w:r w:rsidRPr="00C17F4D">
        <w:t>Evaluate</w:t>
      </w:r>
      <w:r w:rsidR="00BD786A">
        <w:t xml:space="preserve"> the</w:t>
      </w:r>
      <w:r w:rsidRPr="00C17F4D">
        <w:t xml:space="preserve"> measurement properties of the composite</w:t>
      </w:r>
      <w:r w:rsidR="00BD786A">
        <w:t xml:space="preserve"> scale</w:t>
      </w:r>
      <w:r w:rsidRPr="00C17F4D">
        <w:t xml:space="preserve">s (assessment of reliability, validity, and variability of the measure). </w:t>
      </w:r>
    </w:p>
    <w:p w:rsidR="00FA1CA3" w:rsidRPr="00214846" w:rsidRDefault="00FA1CA3" w:rsidP="00203F5D">
      <w:pPr>
        <w:pStyle w:val="CCNumberlist"/>
        <w:numPr>
          <w:ilvl w:val="0"/>
          <w:numId w:val="7"/>
        </w:numPr>
        <w:rPr>
          <w:u w:val="single"/>
        </w:rPr>
      </w:pPr>
      <w:r w:rsidRPr="00C17F4D">
        <w:t xml:space="preserve">Identify information </w:t>
      </w:r>
      <w:r w:rsidR="00214846">
        <w:t xml:space="preserve">(i.e., case mix adjusters) </w:t>
      </w:r>
      <w:r w:rsidRPr="00C17F4D">
        <w:t>that should be used to adjust scores to ensu</w:t>
      </w:r>
      <w:r w:rsidR="00280183">
        <w:t xml:space="preserve">re valid comparisons among </w:t>
      </w:r>
      <w:r w:rsidR="00921AE4">
        <w:t>primary care practices (</w:t>
      </w:r>
      <w:r w:rsidR="00280183">
        <w:t>PCPs</w:t>
      </w:r>
      <w:r w:rsidR="00921AE4">
        <w:t>)</w:t>
      </w:r>
      <w:r w:rsidRPr="00C17F4D">
        <w:t>.</w:t>
      </w:r>
    </w:p>
    <w:p w:rsidR="00214846" w:rsidRPr="006E3230" w:rsidRDefault="00214846" w:rsidP="00203F5D">
      <w:pPr>
        <w:pStyle w:val="CCNumberlist"/>
        <w:numPr>
          <w:ilvl w:val="0"/>
          <w:numId w:val="7"/>
        </w:numPr>
        <w:rPr>
          <w:u w:val="single"/>
        </w:rPr>
      </w:pPr>
      <w:r>
        <w:t xml:space="preserve">Determine how CCQM-PC scores vary among practices that self-report processes of care that are more or less aligned with a medical home model. </w:t>
      </w:r>
    </w:p>
    <w:p w:rsidR="006E3230" w:rsidRPr="00FA1CA3" w:rsidRDefault="006E3230" w:rsidP="006E3230">
      <w:pPr>
        <w:pStyle w:val="CCNumberlist"/>
        <w:numPr>
          <w:ilvl w:val="0"/>
          <w:numId w:val="0"/>
        </w:numPr>
        <w:ind w:left="720"/>
        <w:rPr>
          <w:u w:val="single"/>
        </w:rPr>
      </w:pPr>
    </w:p>
    <w:p w:rsidR="00B80683" w:rsidRPr="009C5E5A" w:rsidRDefault="00E90D86" w:rsidP="00FA1CA3">
      <w:pPr>
        <w:tabs>
          <w:tab w:val="left" w:pos="360"/>
        </w:tabs>
        <w:rPr>
          <w:sz w:val="24"/>
          <w:szCs w:val="24"/>
        </w:rPr>
      </w:pPr>
      <w:r w:rsidRPr="006E3230">
        <w:rPr>
          <w:sz w:val="24"/>
          <w:szCs w:val="24"/>
        </w:rPr>
        <w:t xml:space="preserve">The </w:t>
      </w:r>
      <w:r w:rsidR="006E3230" w:rsidRPr="006E3230">
        <w:rPr>
          <w:sz w:val="24"/>
          <w:szCs w:val="24"/>
        </w:rPr>
        <w:t xml:space="preserve">survey </w:t>
      </w:r>
      <w:r w:rsidRPr="006E3230">
        <w:rPr>
          <w:sz w:val="24"/>
          <w:szCs w:val="24"/>
        </w:rPr>
        <w:t xml:space="preserve">cover letter </w:t>
      </w:r>
      <w:r w:rsidR="009C60A7">
        <w:rPr>
          <w:sz w:val="24"/>
          <w:szCs w:val="24"/>
        </w:rPr>
        <w:t>and reminder letter for nonresponders are i</w:t>
      </w:r>
      <w:r w:rsidRPr="006E3230">
        <w:rPr>
          <w:sz w:val="24"/>
          <w:szCs w:val="24"/>
        </w:rPr>
        <w:t xml:space="preserve">ncluded in </w:t>
      </w:r>
      <w:r w:rsidR="00953718">
        <w:rPr>
          <w:sz w:val="24"/>
          <w:szCs w:val="24"/>
          <w:highlight w:val="yellow"/>
        </w:rPr>
        <w:t>Appendix</w:t>
      </w:r>
      <w:r w:rsidRPr="007B6AE8">
        <w:rPr>
          <w:sz w:val="24"/>
          <w:szCs w:val="24"/>
          <w:highlight w:val="yellow"/>
        </w:rPr>
        <w:t xml:space="preserve"> </w:t>
      </w:r>
      <w:r w:rsidR="009C60A7" w:rsidRPr="007B6AE8">
        <w:rPr>
          <w:sz w:val="24"/>
          <w:szCs w:val="24"/>
          <w:highlight w:val="yellow"/>
        </w:rPr>
        <w:t>C</w:t>
      </w:r>
      <w:r w:rsidR="00953718">
        <w:rPr>
          <w:sz w:val="24"/>
          <w:szCs w:val="24"/>
        </w:rPr>
        <w:t xml:space="preserve">, along with recruitment letters for use with obtaining practices and communicating with professional organizations </w:t>
      </w:r>
      <w:r w:rsidR="00214846">
        <w:rPr>
          <w:sz w:val="24"/>
          <w:szCs w:val="24"/>
        </w:rPr>
        <w:t xml:space="preserve">and networks </w:t>
      </w:r>
      <w:r w:rsidR="00953718">
        <w:rPr>
          <w:sz w:val="24"/>
          <w:szCs w:val="24"/>
        </w:rPr>
        <w:t>(e.g., the American Academy of Family Physicians [AAFP], the ACP, the Society of General Internal Medicine [SGIM]</w:t>
      </w:r>
      <w:r w:rsidR="00214846">
        <w:rPr>
          <w:sz w:val="24"/>
          <w:szCs w:val="24"/>
        </w:rPr>
        <w:t xml:space="preserve">, </w:t>
      </w:r>
      <w:r w:rsidR="00784F1D">
        <w:rPr>
          <w:sz w:val="24"/>
          <w:szCs w:val="24"/>
        </w:rPr>
        <w:t xml:space="preserve">and </w:t>
      </w:r>
      <w:r w:rsidR="00214846">
        <w:rPr>
          <w:sz w:val="24"/>
          <w:szCs w:val="24"/>
        </w:rPr>
        <w:t>AHRQ’s Practice-based Research Networks [PBRNs]</w:t>
      </w:r>
      <w:r w:rsidR="00953718">
        <w:rPr>
          <w:sz w:val="24"/>
          <w:szCs w:val="24"/>
        </w:rPr>
        <w:t>)</w:t>
      </w:r>
      <w:r w:rsidR="009C5E5A">
        <w:rPr>
          <w:sz w:val="24"/>
          <w:szCs w:val="24"/>
        </w:rPr>
        <w:t xml:space="preserve"> to solicit support for the survey’s pilot data collection</w:t>
      </w:r>
      <w:r w:rsidRPr="009C60A7">
        <w:rPr>
          <w:sz w:val="24"/>
          <w:szCs w:val="24"/>
        </w:rPr>
        <w:t>.</w:t>
      </w:r>
      <w:r w:rsidR="006E3230" w:rsidRPr="009C60A7">
        <w:rPr>
          <w:sz w:val="24"/>
          <w:szCs w:val="24"/>
        </w:rPr>
        <w:t xml:space="preserve"> </w:t>
      </w:r>
      <w:r w:rsidR="00714FB4">
        <w:rPr>
          <w:sz w:val="24"/>
          <w:szCs w:val="24"/>
        </w:rPr>
        <w:t xml:space="preserve">We also provide </w:t>
      </w:r>
      <w:r w:rsidR="00C74680">
        <w:rPr>
          <w:sz w:val="24"/>
          <w:szCs w:val="24"/>
        </w:rPr>
        <w:t xml:space="preserve">in </w:t>
      </w:r>
      <w:r w:rsidR="00155C6D" w:rsidRPr="00155C6D">
        <w:rPr>
          <w:sz w:val="24"/>
          <w:szCs w:val="24"/>
          <w:highlight w:val="yellow"/>
        </w:rPr>
        <w:t>Appendix C</w:t>
      </w:r>
      <w:r w:rsidR="001410EA">
        <w:rPr>
          <w:sz w:val="24"/>
          <w:szCs w:val="24"/>
        </w:rPr>
        <w:t xml:space="preserve"> </w:t>
      </w:r>
      <w:r w:rsidR="00714FB4">
        <w:rPr>
          <w:sz w:val="24"/>
          <w:szCs w:val="24"/>
        </w:rPr>
        <w:t xml:space="preserve">information that will be </w:t>
      </w:r>
      <w:r w:rsidR="008406C1">
        <w:rPr>
          <w:sz w:val="24"/>
          <w:szCs w:val="24"/>
        </w:rPr>
        <w:t>review</w:t>
      </w:r>
      <w:r w:rsidR="00714FB4">
        <w:rPr>
          <w:sz w:val="24"/>
          <w:szCs w:val="24"/>
        </w:rPr>
        <w:t>ed</w:t>
      </w:r>
      <w:r w:rsidR="008406C1">
        <w:rPr>
          <w:sz w:val="24"/>
          <w:szCs w:val="24"/>
        </w:rPr>
        <w:t xml:space="preserve"> by survey participants as part of consent procedures. </w:t>
      </w:r>
    </w:p>
    <w:p w:rsidR="006E3230" w:rsidRDefault="006E3230" w:rsidP="00FA1CA3">
      <w:pPr>
        <w:tabs>
          <w:tab w:val="left" w:pos="360"/>
        </w:tabs>
        <w:rPr>
          <w:sz w:val="24"/>
          <w:szCs w:val="24"/>
          <w:highlight w:val="yellow"/>
        </w:rPr>
      </w:pPr>
    </w:p>
    <w:p w:rsidR="003561B0" w:rsidRDefault="001A16CF">
      <w:pPr>
        <w:rPr>
          <w:sz w:val="24"/>
          <w:szCs w:val="24"/>
        </w:rPr>
      </w:pPr>
      <w:r w:rsidRPr="00D71525">
        <w:rPr>
          <w:sz w:val="24"/>
          <w:szCs w:val="24"/>
        </w:rPr>
        <w:t>This study is being conducted by AHRQ through its contractor,</w:t>
      </w:r>
      <w:r w:rsidR="00663504" w:rsidRPr="00D71525">
        <w:rPr>
          <w:sz w:val="24"/>
          <w:szCs w:val="24"/>
        </w:rPr>
        <w:t xml:space="preserve"> </w:t>
      </w:r>
      <w:r w:rsidR="00D71525" w:rsidRPr="00D71525">
        <w:rPr>
          <w:sz w:val="24"/>
          <w:szCs w:val="24"/>
        </w:rPr>
        <w:t>AIR</w:t>
      </w:r>
      <w:r w:rsidRPr="00D71525">
        <w:rPr>
          <w:sz w:val="24"/>
          <w:szCs w:val="24"/>
        </w:rPr>
        <w:t>, pursuant to AHRQ’s statutory authority to conduct and support research on healthcare and on systems for the delivery of such care, including activities with respect to the quality, effectiveness, efficiency, appropriateness and value of healthcare services and with respect to quality measurement and improvement.  42 U.S.C. 299a(a)(1) and (2).</w:t>
      </w:r>
    </w:p>
    <w:p w:rsidR="00D04744" w:rsidRPr="00CB177A" w:rsidRDefault="00D04744">
      <w:pPr>
        <w:rPr>
          <w:sz w:val="24"/>
          <w:szCs w:val="24"/>
        </w:rPr>
      </w:pPr>
    </w:p>
    <w:p w:rsidR="0057087C" w:rsidRPr="001066D5" w:rsidRDefault="00155C6D" w:rsidP="008C5826">
      <w:pPr>
        <w:pStyle w:val="Heading2"/>
        <w:rPr>
          <w:color w:val="auto"/>
          <w:sz w:val="24"/>
          <w:szCs w:val="24"/>
        </w:rPr>
      </w:pPr>
      <w:bookmarkStart w:id="5" w:name="_Toc386502290"/>
      <w:r w:rsidRPr="001066D5">
        <w:rPr>
          <w:color w:val="auto"/>
          <w:sz w:val="24"/>
          <w:szCs w:val="24"/>
        </w:rPr>
        <w:t xml:space="preserve">2.  </w:t>
      </w:r>
      <w:r w:rsidRPr="001066D5">
        <w:rPr>
          <w:color w:val="auto"/>
          <w:sz w:val="24"/>
          <w:szCs w:val="24"/>
          <w:u w:val="single"/>
        </w:rPr>
        <w:t>Purpose and Use of Information</w:t>
      </w:r>
      <w:bookmarkEnd w:id="5"/>
    </w:p>
    <w:p w:rsidR="006B0624" w:rsidRPr="001066D5" w:rsidRDefault="006B0624">
      <w:pPr>
        <w:rPr>
          <w:sz w:val="24"/>
          <w:szCs w:val="24"/>
        </w:rPr>
      </w:pPr>
    </w:p>
    <w:p w:rsidR="006538F0" w:rsidRDefault="00155C6D" w:rsidP="004D7590">
      <w:pPr>
        <w:pStyle w:val="BodyText"/>
        <w:ind w:firstLine="0"/>
      </w:pPr>
      <w:r w:rsidRPr="001066D5">
        <w:rPr>
          <w:szCs w:val="24"/>
        </w:rPr>
        <w:t xml:space="preserve">The information collected in the pilot survey will be used to test and improve the draft survey. </w:t>
      </w:r>
      <w:r w:rsidRPr="005E34D6">
        <w:t>The pilot design will support the standard suite of psychometric analyses</w:t>
      </w:r>
      <w:r w:rsidRPr="005E34D6">
        <w:rPr>
          <w:szCs w:val="24"/>
        </w:rPr>
        <w:t xml:space="preserve"> conducted to ide</w:t>
      </w:r>
      <w:r w:rsidRPr="005E34D6">
        <w:t xml:space="preserve">ntify </w:t>
      </w:r>
      <w:r w:rsidRPr="001066D5">
        <w:t xml:space="preserve">and develop composite scoring algorithms as well as to provide evidence of the reliability and construct validity of the composite scores and any scores based on individual items. </w:t>
      </w:r>
    </w:p>
    <w:p w:rsidR="004D7590" w:rsidRPr="001066D5" w:rsidRDefault="003F4357" w:rsidP="004D7590">
      <w:pPr>
        <w:pStyle w:val="BodyText"/>
        <w:ind w:firstLine="0"/>
      </w:pPr>
      <w:r w:rsidRPr="001066D5">
        <w:lastRenderedPageBreak/>
        <w:t xml:space="preserve">Additionally, the variations in composite scores and total CCQM-PC scores will be examined for any differences that may be correlated with variations in the practice’s self-assessment of its engagement in processes of care that are consistent with the medical home model. </w:t>
      </w:r>
      <w:r w:rsidR="00155C6D" w:rsidRPr="001066D5">
        <w:t>The analyses will include the following components:</w:t>
      </w:r>
    </w:p>
    <w:p w:rsidR="004D7590" w:rsidRPr="001066D5" w:rsidRDefault="00155C6D" w:rsidP="004D7590">
      <w:pPr>
        <w:pStyle w:val="CCBullet1"/>
      </w:pPr>
      <w:r w:rsidRPr="001066D5">
        <w:t>Item functioning analysis</w:t>
      </w:r>
    </w:p>
    <w:p w:rsidR="004D7590" w:rsidRPr="001066D5" w:rsidRDefault="00155C6D" w:rsidP="004D7590">
      <w:pPr>
        <w:pStyle w:val="CCBullet1"/>
      </w:pPr>
      <w:r w:rsidRPr="001066D5">
        <w:t>Confirmatory Factor Analysis</w:t>
      </w:r>
    </w:p>
    <w:p w:rsidR="004D7590" w:rsidRPr="001066D5" w:rsidRDefault="00155C6D" w:rsidP="004D7590">
      <w:pPr>
        <w:pStyle w:val="CCBullet1"/>
      </w:pPr>
      <w:r w:rsidRPr="001066D5">
        <w:t>Exploratory Factor Analysis</w:t>
      </w:r>
    </w:p>
    <w:p w:rsidR="004D7590" w:rsidRPr="001066D5" w:rsidRDefault="00155C6D" w:rsidP="004D7590">
      <w:pPr>
        <w:pStyle w:val="CCBullet1"/>
      </w:pPr>
      <w:r w:rsidRPr="001066D5">
        <w:t xml:space="preserve">Evaluation of the </w:t>
      </w:r>
      <w:r w:rsidR="003F4357" w:rsidRPr="001066D5">
        <w:t>r</w:t>
      </w:r>
      <w:r w:rsidRPr="001066D5">
        <w:t xml:space="preserve">eliability, </w:t>
      </w:r>
      <w:r w:rsidR="003F4357" w:rsidRPr="001066D5">
        <w:t>v</w:t>
      </w:r>
      <w:r w:rsidRPr="001066D5">
        <w:t xml:space="preserve">alidity, and </w:t>
      </w:r>
      <w:r w:rsidR="003F4357" w:rsidRPr="001066D5">
        <w:t>v</w:t>
      </w:r>
      <w:r w:rsidRPr="001066D5">
        <w:t xml:space="preserve">ariability of </w:t>
      </w:r>
      <w:r w:rsidR="003F4357" w:rsidRPr="001066D5">
        <w:t>c</w:t>
      </w:r>
      <w:r w:rsidRPr="001066D5">
        <w:t xml:space="preserve">omposite and </w:t>
      </w:r>
      <w:r w:rsidR="003F4357" w:rsidRPr="001066D5">
        <w:t>s</w:t>
      </w:r>
      <w:r w:rsidRPr="001066D5">
        <w:t>ingle-</w:t>
      </w:r>
      <w:r w:rsidR="003F4357" w:rsidRPr="001066D5">
        <w:t>i</w:t>
      </w:r>
      <w:r w:rsidRPr="001066D5">
        <w:t>tem Scores</w:t>
      </w:r>
    </w:p>
    <w:p w:rsidR="00267225" w:rsidRPr="001066D5" w:rsidRDefault="001066D5" w:rsidP="004D7590">
      <w:pPr>
        <w:pStyle w:val="CCBullet1"/>
      </w:pPr>
      <w:r w:rsidRPr="001066D5">
        <w:t>Case mix adjustment (if the data indicate this is needed).</w:t>
      </w:r>
    </w:p>
    <w:p w:rsidR="004D7590" w:rsidRPr="001066D5" w:rsidRDefault="004D7590">
      <w:pPr>
        <w:rPr>
          <w:sz w:val="24"/>
          <w:szCs w:val="24"/>
        </w:rPr>
      </w:pPr>
    </w:p>
    <w:p w:rsidR="00334CC3" w:rsidRPr="001066D5" w:rsidRDefault="00155C6D">
      <w:pPr>
        <w:rPr>
          <w:sz w:val="24"/>
          <w:szCs w:val="24"/>
        </w:rPr>
      </w:pPr>
      <w:r w:rsidRPr="001066D5">
        <w:rPr>
          <w:sz w:val="24"/>
          <w:szCs w:val="24"/>
        </w:rPr>
        <w:t xml:space="preserve">Because the survey items are being developed to measure specific aspects of care coordination in accordance with the domain framework developed through previous phases of AHRQ’s Care Coordination Measure Development portfolio, the factor structure of the survey items will be evaluated through multilevel confirmatory factor analysis. On the basis of the data analyses, items or factors may be dropped. Exploratory factor analysis is also planned. </w:t>
      </w:r>
    </w:p>
    <w:p w:rsidR="00896C0D" w:rsidRDefault="00896C0D">
      <w:pPr>
        <w:rPr>
          <w:sz w:val="24"/>
          <w:szCs w:val="24"/>
          <w:highlight w:val="yellow"/>
        </w:rPr>
      </w:pPr>
    </w:p>
    <w:p w:rsidR="00F40380" w:rsidRPr="001066D5" w:rsidRDefault="001066D5" w:rsidP="00F40380">
      <w:pPr>
        <w:rPr>
          <w:sz w:val="24"/>
          <w:szCs w:val="24"/>
        </w:rPr>
      </w:pPr>
      <w:r w:rsidRPr="001066D5">
        <w:rPr>
          <w:sz w:val="24"/>
          <w:szCs w:val="24"/>
        </w:rPr>
        <w:t xml:space="preserve">Data from the pilot survey will be used to make final adjustments to the CCQM-PC. </w:t>
      </w:r>
      <w:r w:rsidR="00155C6D" w:rsidRPr="001066D5">
        <w:rPr>
          <w:sz w:val="24"/>
          <w:szCs w:val="24"/>
        </w:rPr>
        <w:t xml:space="preserve">The final survey instrument will be made publicly available, at no charge to prospective users, for use in research projects that aim to assess care coordination as it relates to quality care and healthcare outcomes, thereby helping to expand the evidence base for the care coordination construct and its associated processes. There is value, given where the field is now, in developing a survey of reasonable length that can be used for research purposes, but also can serve as the “parent” survey from which a smaller subset of items appropriate for quality improvement could be drawn. </w:t>
      </w:r>
    </w:p>
    <w:p w:rsidR="004631BC" w:rsidRPr="00714FB4" w:rsidRDefault="004631BC" w:rsidP="004631BC">
      <w:pPr>
        <w:rPr>
          <w:sz w:val="24"/>
          <w:szCs w:val="24"/>
          <w:highlight w:val="yellow"/>
        </w:rPr>
      </w:pPr>
    </w:p>
    <w:p w:rsidR="00F40380" w:rsidRPr="001066D5" w:rsidRDefault="00155C6D" w:rsidP="004631BC">
      <w:pPr>
        <w:rPr>
          <w:sz w:val="24"/>
          <w:szCs w:val="24"/>
        </w:rPr>
      </w:pPr>
      <w:r w:rsidRPr="001066D5">
        <w:rPr>
          <w:sz w:val="24"/>
          <w:szCs w:val="24"/>
        </w:rPr>
        <w:t xml:space="preserve">A well-developed, psychometrically-sound, practical survey of adult patients’ experiences of care coordination in primary care settings, that covers key conceptual domains articulated through AHRQ’s past work in this area, will help generate evidence that is needed to understand the relationship between care coordination processes and health outcomes, in addition to offering a way to explore other critical questions regarding care coordination. </w:t>
      </w:r>
    </w:p>
    <w:p w:rsidR="004631BC" w:rsidRPr="00714FB4" w:rsidRDefault="004631BC" w:rsidP="004631BC">
      <w:pPr>
        <w:rPr>
          <w:sz w:val="24"/>
          <w:szCs w:val="24"/>
          <w:highlight w:val="yellow"/>
        </w:rPr>
      </w:pPr>
    </w:p>
    <w:p w:rsidR="00267225" w:rsidRPr="004D7590" w:rsidRDefault="00155C6D">
      <w:pPr>
        <w:rPr>
          <w:sz w:val="24"/>
          <w:szCs w:val="24"/>
        </w:rPr>
      </w:pPr>
      <w:r w:rsidRPr="001066D5">
        <w:rPr>
          <w:sz w:val="24"/>
          <w:szCs w:val="24"/>
        </w:rPr>
        <w:t xml:space="preserve">The development of this research-focused survey is a critical step in moving toward the </w:t>
      </w:r>
      <w:r w:rsidR="00784F1D">
        <w:rPr>
          <w:sz w:val="24"/>
          <w:szCs w:val="24"/>
        </w:rPr>
        <w:t xml:space="preserve">future </w:t>
      </w:r>
      <w:r w:rsidRPr="001066D5">
        <w:rPr>
          <w:sz w:val="24"/>
          <w:szCs w:val="24"/>
        </w:rPr>
        <w:t xml:space="preserve">development </w:t>
      </w:r>
      <w:r w:rsidR="00784F1D">
        <w:rPr>
          <w:sz w:val="24"/>
          <w:szCs w:val="24"/>
        </w:rPr>
        <w:t xml:space="preserve">by the field </w:t>
      </w:r>
      <w:r w:rsidRPr="001066D5">
        <w:rPr>
          <w:sz w:val="24"/>
          <w:szCs w:val="24"/>
        </w:rPr>
        <w:t>of measures of care coordination in primary care settings that can be used for accountability purposes, including those submitted for consideration of endorsement by the NQF. This will ensure that the measure is useful from a public reporting perspective to a variety of potential stakeholders, including patients seeking providers that engage in care coordination practices supported by the evidence base. The key target audiences for the use of the survey are researchers and, ultimately, payers (including health insurance plans, employers, and entities such as the Centers for Medicare and Medicaid Services), although use by health systems and individual primary care practices is also envisioned.</w:t>
      </w:r>
      <w:r w:rsidR="00F40380">
        <w:rPr>
          <w:sz w:val="24"/>
          <w:szCs w:val="24"/>
        </w:rPr>
        <w:t xml:space="preserve"> </w:t>
      </w:r>
    </w:p>
    <w:p w:rsidR="00C64C25" w:rsidRDefault="00C64C25">
      <w:pPr>
        <w:rPr>
          <w:sz w:val="24"/>
          <w:szCs w:val="24"/>
        </w:rPr>
      </w:pPr>
      <w:r>
        <w:rPr>
          <w:sz w:val="24"/>
          <w:szCs w:val="24"/>
        </w:rPr>
        <w:br w:type="page"/>
      </w:r>
    </w:p>
    <w:p w:rsidR="0057087C" w:rsidRPr="00CB177A" w:rsidRDefault="0057087C">
      <w:pPr>
        <w:rPr>
          <w:sz w:val="24"/>
          <w:szCs w:val="24"/>
        </w:rPr>
      </w:pPr>
    </w:p>
    <w:p w:rsidR="0057087C" w:rsidRPr="008C5826" w:rsidRDefault="0057087C" w:rsidP="008C5826">
      <w:pPr>
        <w:pStyle w:val="Heading2"/>
        <w:rPr>
          <w:color w:val="auto"/>
          <w:sz w:val="24"/>
          <w:szCs w:val="24"/>
        </w:rPr>
      </w:pPr>
      <w:bookmarkStart w:id="6" w:name="_Toc386502291"/>
      <w:r w:rsidRPr="008C5826">
        <w:rPr>
          <w:color w:val="auto"/>
          <w:sz w:val="24"/>
          <w:szCs w:val="24"/>
        </w:rPr>
        <w:t xml:space="preserve">3.  </w:t>
      </w:r>
      <w:r w:rsidRPr="008C5826">
        <w:rPr>
          <w:color w:val="auto"/>
          <w:sz w:val="24"/>
          <w:szCs w:val="24"/>
          <w:u w:val="single"/>
        </w:rPr>
        <w:t>Use of Improved Information Technology</w:t>
      </w:r>
      <w:bookmarkEnd w:id="6"/>
    </w:p>
    <w:p w:rsidR="006B0624" w:rsidRDefault="006B0624">
      <w:pPr>
        <w:rPr>
          <w:sz w:val="24"/>
          <w:szCs w:val="24"/>
        </w:rPr>
      </w:pPr>
    </w:p>
    <w:p w:rsidR="00131093" w:rsidRDefault="00921AE4">
      <w:pPr>
        <w:rPr>
          <w:sz w:val="24"/>
          <w:szCs w:val="24"/>
        </w:rPr>
      </w:pPr>
      <w:r>
        <w:rPr>
          <w:sz w:val="24"/>
          <w:szCs w:val="24"/>
        </w:rPr>
        <w:t xml:space="preserve">This proposed collection of </w:t>
      </w:r>
      <w:r w:rsidR="00990F3E">
        <w:rPr>
          <w:sz w:val="24"/>
          <w:szCs w:val="24"/>
        </w:rPr>
        <w:t xml:space="preserve">information for </w:t>
      </w:r>
      <w:r>
        <w:rPr>
          <w:sz w:val="24"/>
          <w:szCs w:val="24"/>
        </w:rPr>
        <w:t xml:space="preserve">the CCQM-PC </w:t>
      </w:r>
      <w:r w:rsidR="00990F3E">
        <w:rPr>
          <w:sz w:val="24"/>
          <w:szCs w:val="24"/>
        </w:rPr>
        <w:t xml:space="preserve">pilot </w:t>
      </w:r>
      <w:r>
        <w:rPr>
          <w:sz w:val="24"/>
          <w:szCs w:val="24"/>
        </w:rPr>
        <w:t xml:space="preserve">survey </w:t>
      </w:r>
      <w:r w:rsidR="00990F3E">
        <w:rPr>
          <w:sz w:val="24"/>
          <w:szCs w:val="24"/>
        </w:rPr>
        <w:t xml:space="preserve">will be used to revise the survey and </w:t>
      </w:r>
      <w:r w:rsidR="0057087C" w:rsidRPr="00CB177A">
        <w:rPr>
          <w:sz w:val="24"/>
          <w:szCs w:val="24"/>
        </w:rPr>
        <w:t xml:space="preserve">examine </w:t>
      </w:r>
      <w:r w:rsidR="00990F3E">
        <w:rPr>
          <w:sz w:val="24"/>
          <w:szCs w:val="24"/>
        </w:rPr>
        <w:t xml:space="preserve">its </w:t>
      </w:r>
      <w:r w:rsidR="0057087C" w:rsidRPr="00CB177A">
        <w:rPr>
          <w:sz w:val="24"/>
          <w:szCs w:val="24"/>
        </w:rPr>
        <w:t xml:space="preserve">psychometric properties.  </w:t>
      </w:r>
      <w:r>
        <w:rPr>
          <w:sz w:val="24"/>
          <w:szCs w:val="24"/>
        </w:rPr>
        <w:t xml:space="preserve">A single survey vendor will administer the survey using two modes of administration—mail and telephone interview. The primary administration mode will be </w:t>
      </w:r>
      <w:r w:rsidR="00990F3E">
        <w:rPr>
          <w:sz w:val="24"/>
          <w:szCs w:val="24"/>
        </w:rPr>
        <w:t xml:space="preserve">a </w:t>
      </w:r>
      <w:r>
        <w:rPr>
          <w:sz w:val="24"/>
          <w:szCs w:val="24"/>
        </w:rPr>
        <w:t xml:space="preserve">paper- and-pencil </w:t>
      </w:r>
      <w:r w:rsidR="00714FB4">
        <w:rPr>
          <w:sz w:val="24"/>
          <w:szCs w:val="24"/>
        </w:rPr>
        <w:t xml:space="preserve">survey sent </w:t>
      </w:r>
      <w:r>
        <w:rPr>
          <w:sz w:val="24"/>
          <w:szCs w:val="24"/>
        </w:rPr>
        <w:t xml:space="preserve">through the U.S. Mail and will involve no information technology except for the scanning of surveys for creating the electronic data file. Telephone follow up for nonresponders to the mail survey will be conducted using computer-assisted telephone interviewing (CATI). </w:t>
      </w:r>
    </w:p>
    <w:p w:rsidR="000A0699" w:rsidRDefault="000A0699">
      <w:pPr>
        <w:rPr>
          <w:sz w:val="24"/>
          <w:szCs w:val="24"/>
        </w:rPr>
      </w:pPr>
    </w:p>
    <w:p w:rsidR="000A0699" w:rsidRDefault="000A0699">
      <w:pPr>
        <w:rPr>
          <w:sz w:val="24"/>
          <w:szCs w:val="24"/>
        </w:rPr>
      </w:pPr>
      <w:r>
        <w:rPr>
          <w:sz w:val="24"/>
          <w:szCs w:val="24"/>
        </w:rPr>
        <w:t xml:space="preserve">It is anticipated that participating PCPs will have </w:t>
      </w:r>
      <w:r w:rsidR="00714FB4">
        <w:rPr>
          <w:sz w:val="24"/>
          <w:szCs w:val="24"/>
        </w:rPr>
        <w:t>electronic health record (</w:t>
      </w:r>
      <w:r>
        <w:rPr>
          <w:sz w:val="24"/>
          <w:szCs w:val="24"/>
        </w:rPr>
        <w:t>EHR</w:t>
      </w:r>
      <w:r w:rsidR="00714FB4">
        <w:rPr>
          <w:sz w:val="24"/>
          <w:szCs w:val="24"/>
        </w:rPr>
        <w:t>)</w:t>
      </w:r>
      <w:r>
        <w:rPr>
          <w:sz w:val="24"/>
          <w:szCs w:val="24"/>
        </w:rPr>
        <w:t xml:space="preserve"> systems </w:t>
      </w:r>
      <w:r w:rsidR="00714FB4">
        <w:rPr>
          <w:sz w:val="24"/>
          <w:szCs w:val="24"/>
        </w:rPr>
        <w:t xml:space="preserve">in place </w:t>
      </w:r>
      <w:r>
        <w:rPr>
          <w:sz w:val="24"/>
          <w:szCs w:val="24"/>
        </w:rPr>
        <w:t xml:space="preserve">that facilitate the drawing of an appropriate sampling frame at low burden to the participating practices. </w:t>
      </w:r>
    </w:p>
    <w:p w:rsidR="00131093" w:rsidRDefault="00131093">
      <w:pPr>
        <w:rPr>
          <w:sz w:val="24"/>
          <w:szCs w:val="24"/>
        </w:rPr>
      </w:pPr>
    </w:p>
    <w:p w:rsidR="0057087C" w:rsidRPr="008C5826" w:rsidRDefault="00155C6D" w:rsidP="008C5826">
      <w:pPr>
        <w:pStyle w:val="Heading2"/>
        <w:rPr>
          <w:color w:val="auto"/>
          <w:sz w:val="24"/>
          <w:szCs w:val="24"/>
        </w:rPr>
      </w:pPr>
      <w:bookmarkStart w:id="7" w:name="_Toc386502292"/>
      <w:r w:rsidRPr="00282B16">
        <w:rPr>
          <w:color w:val="auto"/>
          <w:sz w:val="24"/>
          <w:szCs w:val="24"/>
        </w:rPr>
        <w:t xml:space="preserve">4.  </w:t>
      </w:r>
      <w:r w:rsidRPr="00282B16">
        <w:rPr>
          <w:color w:val="auto"/>
          <w:sz w:val="24"/>
          <w:szCs w:val="24"/>
          <w:u w:val="single"/>
        </w:rPr>
        <w:t>Efforts to Identify Duplication</w:t>
      </w:r>
      <w:bookmarkEnd w:id="7"/>
      <w:r w:rsidR="00E34199" w:rsidRPr="008C5826">
        <w:rPr>
          <w:color w:val="auto"/>
          <w:sz w:val="24"/>
          <w:szCs w:val="24"/>
          <w:u w:val="single"/>
        </w:rPr>
        <w:t xml:space="preserve"> </w:t>
      </w:r>
    </w:p>
    <w:p w:rsidR="00D07533" w:rsidRPr="00D07533" w:rsidRDefault="00D07533" w:rsidP="00D07533">
      <w:pPr>
        <w:rPr>
          <w:sz w:val="24"/>
          <w:szCs w:val="24"/>
        </w:rPr>
      </w:pPr>
    </w:p>
    <w:p w:rsidR="009C2454" w:rsidRDefault="00AC658B" w:rsidP="00282B16">
      <w:pPr>
        <w:rPr>
          <w:sz w:val="24"/>
          <w:szCs w:val="24"/>
        </w:rPr>
      </w:pPr>
      <w:r w:rsidRPr="00AC658B">
        <w:rPr>
          <w:sz w:val="24"/>
          <w:szCs w:val="24"/>
        </w:rPr>
        <w:t xml:space="preserve">The survey development </w:t>
      </w:r>
      <w:r>
        <w:rPr>
          <w:sz w:val="24"/>
          <w:szCs w:val="24"/>
        </w:rPr>
        <w:t xml:space="preserve">process for the CCQM-PC closely follows </w:t>
      </w:r>
      <w:r w:rsidRPr="00AC658B">
        <w:rPr>
          <w:sz w:val="24"/>
          <w:szCs w:val="24"/>
        </w:rPr>
        <w:t>principles of survey design established by the Consumer Assessment of Healthcare Providers and Systems (CAHPS®) Consortium. CAHPS® principles help ensure that the data are psychometrically sound (reliable and valid, address the key domains while minimizing respondent burden), credible (feasible), and useful (for research, quality reporting, and accountability).</w:t>
      </w:r>
      <w:r>
        <w:rPr>
          <w:sz w:val="24"/>
          <w:szCs w:val="24"/>
        </w:rPr>
        <w:t xml:space="preserve"> Thus, extant CAHPS® surveys were examined for potential inclusion or modification </w:t>
      </w:r>
      <w:r w:rsidR="00282B16">
        <w:rPr>
          <w:sz w:val="24"/>
          <w:szCs w:val="24"/>
        </w:rPr>
        <w:t xml:space="preserve">of items well-suited to the conceptual framework. The most relevant of these had been mapped to the project’s care coordination conceptual framework through the catalogue of care coordination measures included in the </w:t>
      </w:r>
      <w:r w:rsidR="00282B16" w:rsidRPr="00282B16">
        <w:rPr>
          <w:i/>
          <w:sz w:val="24"/>
          <w:szCs w:val="24"/>
        </w:rPr>
        <w:t>Care Coordination Measures Atlas</w:t>
      </w:r>
      <w:r w:rsidR="00282B16">
        <w:rPr>
          <w:sz w:val="24"/>
          <w:szCs w:val="24"/>
        </w:rPr>
        <w:t xml:space="preserve"> (discussed above) and update to the Atlas performed </w:t>
      </w:r>
      <w:r w:rsidR="009B0B75">
        <w:rPr>
          <w:sz w:val="24"/>
          <w:szCs w:val="24"/>
        </w:rPr>
        <w:t xml:space="preserve">under the current </w:t>
      </w:r>
      <w:r w:rsidR="00282B16">
        <w:rPr>
          <w:sz w:val="24"/>
          <w:szCs w:val="24"/>
        </w:rPr>
        <w:t xml:space="preserve">phase of the AHRQ portfolio. </w:t>
      </w:r>
      <w:r w:rsidR="009B0B75">
        <w:rPr>
          <w:sz w:val="24"/>
          <w:szCs w:val="24"/>
        </w:rPr>
        <w:t xml:space="preserve">To begin measure development, AHRQ’s contractor, </w:t>
      </w:r>
      <w:r w:rsidR="009C2454">
        <w:rPr>
          <w:sz w:val="24"/>
          <w:szCs w:val="24"/>
        </w:rPr>
        <w:t>AIR</w:t>
      </w:r>
      <w:r w:rsidR="009B0B75">
        <w:rPr>
          <w:sz w:val="24"/>
          <w:szCs w:val="24"/>
        </w:rPr>
        <w:t xml:space="preserve">, </w:t>
      </w:r>
      <w:r w:rsidR="009C2454">
        <w:rPr>
          <w:sz w:val="24"/>
          <w:szCs w:val="24"/>
        </w:rPr>
        <w:t xml:space="preserve">created a </w:t>
      </w:r>
      <w:r w:rsidR="00282B16">
        <w:rPr>
          <w:sz w:val="24"/>
          <w:szCs w:val="24"/>
        </w:rPr>
        <w:t xml:space="preserve">database (i.e., an “item library”) </w:t>
      </w:r>
      <w:r w:rsidR="009C2454">
        <w:rPr>
          <w:sz w:val="24"/>
          <w:szCs w:val="24"/>
        </w:rPr>
        <w:t xml:space="preserve">of all items included in extant measures of care coordination </w:t>
      </w:r>
      <w:r w:rsidR="009B0B75">
        <w:rPr>
          <w:sz w:val="24"/>
          <w:szCs w:val="24"/>
        </w:rPr>
        <w:t xml:space="preserve">that were both identified by the Atlas and </w:t>
      </w:r>
      <w:r w:rsidR="009C2454">
        <w:rPr>
          <w:sz w:val="24"/>
          <w:szCs w:val="24"/>
        </w:rPr>
        <w:t>assess</w:t>
      </w:r>
      <w:r w:rsidR="009B0B75">
        <w:rPr>
          <w:sz w:val="24"/>
          <w:szCs w:val="24"/>
        </w:rPr>
        <w:t>ed</w:t>
      </w:r>
      <w:r w:rsidR="009C2454">
        <w:rPr>
          <w:sz w:val="24"/>
          <w:szCs w:val="24"/>
        </w:rPr>
        <w:t xml:space="preserve"> care coordination from the patient/family perspective</w:t>
      </w:r>
      <w:r w:rsidR="009B0B75">
        <w:rPr>
          <w:sz w:val="24"/>
          <w:szCs w:val="24"/>
        </w:rPr>
        <w:t xml:space="preserve">. Included items also were specific to those measures that were identified in the Atlas and other work in the care coordination portfolio as being applicable to </w:t>
      </w:r>
      <w:r w:rsidR="009C2454">
        <w:rPr>
          <w:sz w:val="24"/>
          <w:szCs w:val="24"/>
        </w:rPr>
        <w:t xml:space="preserve">primary care. To </w:t>
      </w:r>
      <w:r w:rsidR="009B0B75">
        <w:rPr>
          <w:sz w:val="24"/>
          <w:szCs w:val="24"/>
        </w:rPr>
        <w:t xml:space="preserve">create the item library, </w:t>
      </w:r>
      <w:r w:rsidR="009C2454">
        <w:rPr>
          <w:sz w:val="24"/>
          <w:szCs w:val="24"/>
        </w:rPr>
        <w:t xml:space="preserve">measure profiles created for the Atlas were used to identify items that had been “mapped” in the past to one or more of the care coordination activity domains in the </w:t>
      </w:r>
      <w:r w:rsidR="009B0B75">
        <w:rPr>
          <w:sz w:val="24"/>
          <w:szCs w:val="24"/>
        </w:rPr>
        <w:t xml:space="preserve">Atlas conceptual framework. AHRQ contends that </w:t>
      </w:r>
      <w:r w:rsidR="009C2454">
        <w:rPr>
          <w:sz w:val="24"/>
          <w:szCs w:val="24"/>
        </w:rPr>
        <w:t xml:space="preserve">no single measure </w:t>
      </w:r>
      <w:r w:rsidR="009B0B75">
        <w:rPr>
          <w:sz w:val="24"/>
          <w:szCs w:val="24"/>
        </w:rPr>
        <w:t xml:space="preserve">found </w:t>
      </w:r>
      <w:r w:rsidR="009C2454">
        <w:rPr>
          <w:sz w:val="24"/>
          <w:szCs w:val="24"/>
        </w:rPr>
        <w:t xml:space="preserve">to date </w:t>
      </w:r>
      <w:r w:rsidR="009B0B75">
        <w:rPr>
          <w:sz w:val="24"/>
          <w:szCs w:val="24"/>
        </w:rPr>
        <w:t xml:space="preserve">in the course of developing the Atlas </w:t>
      </w:r>
      <w:r w:rsidR="009C2454">
        <w:rPr>
          <w:sz w:val="24"/>
          <w:szCs w:val="24"/>
        </w:rPr>
        <w:t>provides the comprehensive view of care coordination that is necessitated by the extant conceptual framework.</w:t>
      </w:r>
      <w:r w:rsidR="009B0B75">
        <w:rPr>
          <w:sz w:val="24"/>
          <w:szCs w:val="24"/>
        </w:rPr>
        <w:t xml:space="preserve"> </w:t>
      </w:r>
    </w:p>
    <w:p w:rsidR="009C2454" w:rsidRDefault="009C2454" w:rsidP="00D07533">
      <w:pPr>
        <w:rPr>
          <w:sz w:val="24"/>
          <w:szCs w:val="24"/>
        </w:rPr>
      </w:pPr>
    </w:p>
    <w:p w:rsidR="004848E4" w:rsidRPr="00D07533" w:rsidRDefault="009B0B75" w:rsidP="004848E4">
      <w:pPr>
        <w:rPr>
          <w:sz w:val="24"/>
          <w:szCs w:val="24"/>
        </w:rPr>
      </w:pPr>
      <w:r>
        <w:rPr>
          <w:sz w:val="24"/>
          <w:szCs w:val="24"/>
        </w:rPr>
        <w:t xml:space="preserve">AHRQ’s contractors for </w:t>
      </w:r>
      <w:r w:rsidR="00282B16">
        <w:rPr>
          <w:sz w:val="24"/>
          <w:szCs w:val="24"/>
        </w:rPr>
        <w:t xml:space="preserve">all phases of this </w:t>
      </w:r>
      <w:r>
        <w:rPr>
          <w:sz w:val="24"/>
          <w:szCs w:val="24"/>
        </w:rPr>
        <w:t>portfolio h</w:t>
      </w:r>
      <w:r w:rsidR="009C2454" w:rsidRPr="004848E4">
        <w:rPr>
          <w:sz w:val="24"/>
          <w:szCs w:val="24"/>
        </w:rPr>
        <w:t>ave recruited and consulted with stakeholder</w:t>
      </w:r>
      <w:r>
        <w:rPr>
          <w:sz w:val="24"/>
          <w:szCs w:val="24"/>
        </w:rPr>
        <w:t xml:space="preserve"> panels </w:t>
      </w:r>
      <w:r w:rsidR="004848E4" w:rsidRPr="004848E4">
        <w:rPr>
          <w:sz w:val="24"/>
          <w:szCs w:val="24"/>
        </w:rPr>
        <w:t>to identify any additional measures that may have been missed by the environmental scan and literature review</w:t>
      </w:r>
      <w:r w:rsidR="00282B16">
        <w:rPr>
          <w:sz w:val="24"/>
          <w:szCs w:val="24"/>
        </w:rPr>
        <w:t>s conducted in conjunction with the Atlas work</w:t>
      </w:r>
      <w:r w:rsidR="004848E4" w:rsidRPr="004848E4">
        <w:rPr>
          <w:sz w:val="24"/>
          <w:szCs w:val="24"/>
        </w:rPr>
        <w:t xml:space="preserve">. No measures were identified that weren’t included in the Atlas. </w:t>
      </w:r>
      <w:r w:rsidR="005E13DA">
        <w:rPr>
          <w:sz w:val="24"/>
          <w:szCs w:val="24"/>
        </w:rPr>
        <w:t xml:space="preserve">Thus, although there are many measures of care coordination, none has the breadth to assess the quality of care coordination that patients experience in primary care, when care coordination is holistically approached as a construct encompassing the domains defined in the Atlas conceptual framework. </w:t>
      </w:r>
    </w:p>
    <w:p w:rsidR="00D07533" w:rsidRDefault="00D07533" w:rsidP="00934440">
      <w:pPr>
        <w:rPr>
          <w:sz w:val="24"/>
          <w:szCs w:val="24"/>
        </w:rPr>
      </w:pPr>
    </w:p>
    <w:p w:rsidR="0057087C" w:rsidRPr="008C5826" w:rsidRDefault="0057087C" w:rsidP="008C5826">
      <w:pPr>
        <w:pStyle w:val="Heading2"/>
        <w:rPr>
          <w:color w:val="auto"/>
          <w:sz w:val="24"/>
          <w:szCs w:val="24"/>
        </w:rPr>
      </w:pPr>
      <w:bookmarkStart w:id="8" w:name="_Toc386502293"/>
      <w:r w:rsidRPr="00721A6C">
        <w:rPr>
          <w:color w:val="auto"/>
          <w:sz w:val="24"/>
          <w:szCs w:val="24"/>
        </w:rPr>
        <w:lastRenderedPageBreak/>
        <w:t xml:space="preserve">5.  </w:t>
      </w:r>
      <w:r w:rsidR="001D6B6C" w:rsidRPr="00721A6C">
        <w:rPr>
          <w:color w:val="auto"/>
          <w:sz w:val="24"/>
          <w:u w:val="single"/>
        </w:rPr>
        <w:t>Involvement of</w:t>
      </w:r>
      <w:r w:rsidR="001936AB" w:rsidRPr="00721A6C">
        <w:rPr>
          <w:sz w:val="24"/>
          <w:u w:val="single"/>
        </w:rPr>
        <w:t xml:space="preserve"> </w:t>
      </w:r>
      <w:r w:rsidRPr="00721A6C">
        <w:rPr>
          <w:color w:val="auto"/>
          <w:sz w:val="24"/>
          <w:szCs w:val="24"/>
          <w:u w:val="single"/>
        </w:rPr>
        <w:t xml:space="preserve">Small </w:t>
      </w:r>
      <w:r w:rsidR="00A33144" w:rsidRPr="00721A6C">
        <w:rPr>
          <w:color w:val="auto"/>
          <w:sz w:val="24"/>
          <w:szCs w:val="24"/>
          <w:u w:val="single"/>
        </w:rPr>
        <w:t>Entities</w:t>
      </w:r>
      <w:bookmarkEnd w:id="8"/>
    </w:p>
    <w:p w:rsidR="0057087C" w:rsidRPr="00CB177A" w:rsidRDefault="0057087C">
      <w:pPr>
        <w:rPr>
          <w:sz w:val="24"/>
          <w:szCs w:val="24"/>
        </w:rPr>
      </w:pPr>
    </w:p>
    <w:p w:rsidR="0057087C" w:rsidRDefault="0013058C">
      <w:pPr>
        <w:rPr>
          <w:sz w:val="24"/>
          <w:szCs w:val="24"/>
        </w:rPr>
      </w:pPr>
      <w:r>
        <w:rPr>
          <w:sz w:val="24"/>
          <w:szCs w:val="24"/>
        </w:rPr>
        <w:t>Some</w:t>
      </w:r>
      <w:r w:rsidR="002C0B1B">
        <w:rPr>
          <w:sz w:val="24"/>
          <w:szCs w:val="24"/>
        </w:rPr>
        <w:t xml:space="preserve"> of the </w:t>
      </w:r>
      <w:r w:rsidR="000A0699">
        <w:rPr>
          <w:sz w:val="24"/>
          <w:szCs w:val="24"/>
        </w:rPr>
        <w:t>PCPs</w:t>
      </w:r>
      <w:r w:rsidR="002C0B1B">
        <w:rPr>
          <w:sz w:val="24"/>
          <w:szCs w:val="24"/>
        </w:rPr>
        <w:t xml:space="preserve"> participating in this p</w:t>
      </w:r>
      <w:r w:rsidR="000A0699">
        <w:rPr>
          <w:sz w:val="24"/>
          <w:szCs w:val="24"/>
        </w:rPr>
        <w:t xml:space="preserve">ilot test </w:t>
      </w:r>
      <w:r>
        <w:rPr>
          <w:sz w:val="24"/>
          <w:szCs w:val="24"/>
        </w:rPr>
        <w:t>will be</w:t>
      </w:r>
      <w:r w:rsidR="000A0699">
        <w:rPr>
          <w:sz w:val="24"/>
          <w:szCs w:val="24"/>
        </w:rPr>
        <w:t xml:space="preserve"> small practices, possibly with a solo provider and limited office staff capacity</w:t>
      </w:r>
      <w:r w:rsidR="002C0B1B">
        <w:rPr>
          <w:sz w:val="24"/>
          <w:szCs w:val="24"/>
        </w:rPr>
        <w:t xml:space="preserve">. </w:t>
      </w:r>
      <w:r w:rsidR="0057087C" w:rsidRPr="00CB177A">
        <w:rPr>
          <w:sz w:val="24"/>
          <w:szCs w:val="24"/>
        </w:rPr>
        <w:t xml:space="preserve">The </w:t>
      </w:r>
      <w:r w:rsidR="000A0699">
        <w:rPr>
          <w:sz w:val="24"/>
          <w:szCs w:val="24"/>
        </w:rPr>
        <w:t xml:space="preserve">sampling and </w:t>
      </w:r>
      <w:r w:rsidR="002C0B1B">
        <w:rPr>
          <w:sz w:val="24"/>
          <w:szCs w:val="24"/>
        </w:rPr>
        <w:t>data collection</w:t>
      </w:r>
      <w:r w:rsidR="002C0B1B" w:rsidRPr="00CB177A">
        <w:rPr>
          <w:sz w:val="24"/>
          <w:szCs w:val="24"/>
        </w:rPr>
        <w:t xml:space="preserve"> </w:t>
      </w:r>
      <w:r w:rsidR="0057087C" w:rsidRPr="00CB177A">
        <w:rPr>
          <w:sz w:val="24"/>
          <w:szCs w:val="24"/>
        </w:rPr>
        <w:t xml:space="preserve">procedures are designed to minimize burden on individual </w:t>
      </w:r>
      <w:r w:rsidR="000A0699">
        <w:rPr>
          <w:sz w:val="24"/>
          <w:szCs w:val="24"/>
        </w:rPr>
        <w:t>PCPs</w:t>
      </w:r>
      <w:r w:rsidR="0057087C" w:rsidRPr="00CB177A">
        <w:rPr>
          <w:sz w:val="24"/>
          <w:szCs w:val="24"/>
        </w:rPr>
        <w:t xml:space="preserve"> </w:t>
      </w:r>
      <w:r w:rsidR="0084748D">
        <w:rPr>
          <w:sz w:val="24"/>
          <w:szCs w:val="24"/>
        </w:rPr>
        <w:t>(</w:t>
      </w:r>
      <w:r w:rsidR="009E030D">
        <w:rPr>
          <w:sz w:val="24"/>
          <w:szCs w:val="24"/>
        </w:rPr>
        <w:t xml:space="preserve">e.g., </w:t>
      </w:r>
      <w:r w:rsidR="0084748D">
        <w:rPr>
          <w:sz w:val="24"/>
          <w:szCs w:val="24"/>
        </w:rPr>
        <w:t>through the use of EHR-based data to identify the sampling frame</w:t>
      </w:r>
      <w:r w:rsidR="009E030D">
        <w:rPr>
          <w:sz w:val="24"/>
          <w:szCs w:val="24"/>
        </w:rPr>
        <w:t xml:space="preserve">, </w:t>
      </w:r>
      <w:r w:rsidR="006538F0">
        <w:rPr>
          <w:sz w:val="24"/>
          <w:szCs w:val="24"/>
        </w:rPr>
        <w:t>through the provision of technical assistance and support in</w:t>
      </w:r>
      <w:r w:rsidR="00E63266">
        <w:rPr>
          <w:sz w:val="24"/>
          <w:szCs w:val="24"/>
        </w:rPr>
        <w:t xml:space="preserve"> the </w:t>
      </w:r>
      <w:r w:rsidR="006538F0">
        <w:rPr>
          <w:sz w:val="24"/>
          <w:szCs w:val="24"/>
        </w:rPr>
        <w:t>identification and production of the sampling frame</w:t>
      </w:r>
      <w:r w:rsidR="00E63266">
        <w:rPr>
          <w:sz w:val="24"/>
          <w:szCs w:val="24"/>
        </w:rPr>
        <w:t xml:space="preserve"> </w:t>
      </w:r>
      <w:r w:rsidR="00690EEB">
        <w:rPr>
          <w:sz w:val="24"/>
          <w:szCs w:val="24"/>
        </w:rPr>
        <w:t>[this will be</w:t>
      </w:r>
      <w:r w:rsidR="00E63266">
        <w:rPr>
          <w:sz w:val="24"/>
          <w:szCs w:val="24"/>
        </w:rPr>
        <w:t xml:space="preserve"> provided by </w:t>
      </w:r>
      <w:r w:rsidR="00751C78">
        <w:rPr>
          <w:sz w:val="24"/>
          <w:szCs w:val="24"/>
        </w:rPr>
        <w:t xml:space="preserve">the </w:t>
      </w:r>
      <w:r w:rsidR="00E63266">
        <w:rPr>
          <w:sz w:val="24"/>
          <w:szCs w:val="24"/>
        </w:rPr>
        <w:t xml:space="preserve">AIR </w:t>
      </w:r>
      <w:r w:rsidR="00751C78">
        <w:rPr>
          <w:sz w:val="24"/>
          <w:szCs w:val="24"/>
        </w:rPr>
        <w:t>contract</w:t>
      </w:r>
      <w:r w:rsidR="00690EEB">
        <w:rPr>
          <w:sz w:val="24"/>
          <w:szCs w:val="24"/>
        </w:rPr>
        <w:t>]</w:t>
      </w:r>
      <w:r w:rsidR="006538F0">
        <w:rPr>
          <w:sz w:val="24"/>
          <w:szCs w:val="24"/>
        </w:rPr>
        <w:t xml:space="preserve">, and </w:t>
      </w:r>
      <w:r w:rsidR="009E030D">
        <w:rPr>
          <w:sz w:val="24"/>
          <w:szCs w:val="24"/>
        </w:rPr>
        <w:t xml:space="preserve">through </w:t>
      </w:r>
      <w:r w:rsidR="006538F0">
        <w:rPr>
          <w:sz w:val="24"/>
          <w:szCs w:val="24"/>
        </w:rPr>
        <w:t xml:space="preserve">the </w:t>
      </w:r>
      <w:r w:rsidR="009E030D">
        <w:rPr>
          <w:sz w:val="24"/>
          <w:szCs w:val="24"/>
        </w:rPr>
        <w:t>use of a survey vendor to administer the survey vs. involving the PCPs in data collection</w:t>
      </w:r>
      <w:r w:rsidR="0084748D">
        <w:rPr>
          <w:sz w:val="24"/>
          <w:szCs w:val="24"/>
        </w:rPr>
        <w:t xml:space="preserve">) </w:t>
      </w:r>
      <w:r w:rsidR="0057087C" w:rsidRPr="00CB177A">
        <w:rPr>
          <w:sz w:val="24"/>
          <w:szCs w:val="24"/>
        </w:rPr>
        <w:t xml:space="preserve">and </w:t>
      </w:r>
      <w:r w:rsidR="000A0699">
        <w:rPr>
          <w:sz w:val="24"/>
          <w:szCs w:val="24"/>
        </w:rPr>
        <w:t>should</w:t>
      </w:r>
      <w:r w:rsidR="0057087C" w:rsidRPr="00CB177A">
        <w:rPr>
          <w:sz w:val="24"/>
          <w:szCs w:val="24"/>
        </w:rPr>
        <w:t xml:space="preserve"> not have a significant impact on </w:t>
      </w:r>
      <w:r w:rsidR="002C0B1B">
        <w:rPr>
          <w:sz w:val="24"/>
          <w:szCs w:val="24"/>
        </w:rPr>
        <w:t>them</w:t>
      </w:r>
      <w:r w:rsidR="0057087C" w:rsidRPr="00CB177A">
        <w:rPr>
          <w:sz w:val="24"/>
          <w:szCs w:val="24"/>
        </w:rPr>
        <w:t>.</w:t>
      </w:r>
      <w:r w:rsidR="0084748D">
        <w:rPr>
          <w:sz w:val="24"/>
          <w:szCs w:val="24"/>
        </w:rPr>
        <w:t xml:space="preserve"> </w:t>
      </w:r>
      <w:r w:rsidR="009E030D">
        <w:rPr>
          <w:sz w:val="24"/>
          <w:szCs w:val="24"/>
        </w:rPr>
        <w:t xml:space="preserve">Our recruitment plan targets </w:t>
      </w:r>
      <w:r w:rsidR="005E34D6">
        <w:rPr>
          <w:sz w:val="24"/>
          <w:szCs w:val="24"/>
        </w:rPr>
        <w:t>a range of practice sizes and configurations. Small practices will likely only be found among one segment of recruited practices: physician-owned, single site PCPs. There will only be nin</w:t>
      </w:r>
      <w:r w:rsidR="005E34D6" w:rsidRPr="005E34D6">
        <w:rPr>
          <w:sz w:val="24"/>
          <w:szCs w:val="24"/>
        </w:rPr>
        <w:t xml:space="preserve">e </w:t>
      </w:r>
      <w:r w:rsidR="00155C6D" w:rsidRPr="005E34D6">
        <w:rPr>
          <w:sz w:val="24"/>
          <w:szCs w:val="24"/>
        </w:rPr>
        <w:t>PCPs</w:t>
      </w:r>
      <w:r w:rsidR="009E030D" w:rsidRPr="005E34D6">
        <w:rPr>
          <w:sz w:val="24"/>
          <w:szCs w:val="24"/>
        </w:rPr>
        <w:t xml:space="preserve"> </w:t>
      </w:r>
      <w:r w:rsidR="005E34D6" w:rsidRPr="005E34D6">
        <w:rPr>
          <w:sz w:val="24"/>
          <w:szCs w:val="24"/>
        </w:rPr>
        <w:t>recruited of this practice type,</w:t>
      </w:r>
      <w:r w:rsidR="005E34D6">
        <w:rPr>
          <w:sz w:val="24"/>
          <w:szCs w:val="24"/>
        </w:rPr>
        <w:t xml:space="preserve"> only some of which will be very small (i.e., two or fewer providers). Thus, </w:t>
      </w:r>
      <w:r w:rsidR="005E34D6" w:rsidRPr="005E34D6">
        <w:rPr>
          <w:sz w:val="24"/>
          <w:szCs w:val="24"/>
        </w:rPr>
        <w:t>fewer than nine practices are</w:t>
      </w:r>
      <w:r w:rsidR="005E34D6">
        <w:rPr>
          <w:sz w:val="24"/>
          <w:szCs w:val="24"/>
        </w:rPr>
        <w:t xml:space="preserve"> expected to be small entities. </w:t>
      </w:r>
    </w:p>
    <w:p w:rsidR="00D07533" w:rsidRDefault="00D07533">
      <w:pPr>
        <w:rPr>
          <w:sz w:val="24"/>
          <w:szCs w:val="24"/>
        </w:rPr>
      </w:pPr>
    </w:p>
    <w:p w:rsidR="0057087C" w:rsidRPr="008C5826" w:rsidRDefault="0057087C" w:rsidP="008C5826">
      <w:pPr>
        <w:pStyle w:val="Heading2"/>
        <w:rPr>
          <w:color w:val="auto"/>
          <w:sz w:val="24"/>
          <w:szCs w:val="24"/>
        </w:rPr>
      </w:pPr>
      <w:bookmarkStart w:id="9" w:name="_Toc386502294"/>
      <w:r w:rsidRPr="008C5826">
        <w:rPr>
          <w:color w:val="auto"/>
          <w:sz w:val="24"/>
          <w:szCs w:val="24"/>
        </w:rPr>
        <w:t xml:space="preserve">6.  </w:t>
      </w:r>
      <w:r w:rsidRPr="008C5826">
        <w:rPr>
          <w:color w:val="auto"/>
          <w:sz w:val="24"/>
          <w:szCs w:val="24"/>
          <w:u w:val="single"/>
        </w:rPr>
        <w:t xml:space="preserve">Consequences </w:t>
      </w:r>
      <w:r w:rsidR="001936AB" w:rsidRPr="001936AB">
        <w:rPr>
          <w:color w:val="auto"/>
          <w:sz w:val="24"/>
          <w:szCs w:val="24"/>
          <w:u w:val="single"/>
        </w:rPr>
        <w:t>if Information Collected Less Frequently</w:t>
      </w:r>
      <w:bookmarkEnd w:id="9"/>
    </w:p>
    <w:p w:rsidR="0057087C" w:rsidRPr="00CB177A" w:rsidRDefault="0057087C">
      <w:pPr>
        <w:rPr>
          <w:sz w:val="24"/>
          <w:szCs w:val="24"/>
        </w:rPr>
      </w:pPr>
    </w:p>
    <w:p w:rsidR="0057087C" w:rsidRPr="00CB177A" w:rsidRDefault="0057087C">
      <w:pPr>
        <w:rPr>
          <w:sz w:val="24"/>
          <w:szCs w:val="24"/>
        </w:rPr>
      </w:pPr>
      <w:r w:rsidRPr="00CB177A">
        <w:rPr>
          <w:sz w:val="24"/>
          <w:szCs w:val="24"/>
        </w:rPr>
        <w:t xml:space="preserve">This effort is a one-time </w:t>
      </w:r>
      <w:r w:rsidR="007E7063">
        <w:rPr>
          <w:sz w:val="24"/>
          <w:szCs w:val="24"/>
        </w:rPr>
        <w:t>pilot</w:t>
      </w:r>
      <w:r w:rsidRPr="00CB177A">
        <w:rPr>
          <w:sz w:val="24"/>
          <w:szCs w:val="24"/>
        </w:rPr>
        <w:t xml:space="preserve"> test.</w:t>
      </w:r>
    </w:p>
    <w:p w:rsidR="0057087C" w:rsidRPr="00CB177A" w:rsidRDefault="0057087C">
      <w:pPr>
        <w:rPr>
          <w:sz w:val="24"/>
          <w:szCs w:val="24"/>
        </w:rPr>
      </w:pPr>
    </w:p>
    <w:p w:rsidR="0057087C" w:rsidRPr="008C5826" w:rsidRDefault="0057087C" w:rsidP="008C5826">
      <w:pPr>
        <w:pStyle w:val="Heading2"/>
        <w:rPr>
          <w:color w:val="auto"/>
          <w:sz w:val="24"/>
          <w:szCs w:val="24"/>
        </w:rPr>
      </w:pPr>
      <w:bookmarkStart w:id="10" w:name="_Toc386502295"/>
      <w:r w:rsidRPr="008C5826">
        <w:rPr>
          <w:color w:val="auto"/>
          <w:sz w:val="24"/>
          <w:szCs w:val="24"/>
        </w:rPr>
        <w:t xml:space="preserve">7.  </w:t>
      </w:r>
      <w:r w:rsidR="001936AB" w:rsidRPr="001936AB">
        <w:rPr>
          <w:color w:val="auto"/>
          <w:sz w:val="24"/>
          <w:szCs w:val="24"/>
          <w:u w:val="single"/>
        </w:rPr>
        <w:t>Special Circumstances</w:t>
      </w:r>
      <w:bookmarkEnd w:id="10"/>
    </w:p>
    <w:p w:rsidR="0057087C" w:rsidRPr="00CB177A" w:rsidRDefault="0057087C">
      <w:pPr>
        <w:rPr>
          <w:sz w:val="24"/>
          <w:szCs w:val="24"/>
        </w:rPr>
      </w:pPr>
    </w:p>
    <w:p w:rsidR="0057087C" w:rsidRPr="00CB177A" w:rsidRDefault="0057087C">
      <w:pPr>
        <w:rPr>
          <w:sz w:val="24"/>
          <w:szCs w:val="24"/>
        </w:rPr>
      </w:pPr>
      <w:r w:rsidRPr="00CB177A">
        <w:rPr>
          <w:sz w:val="24"/>
          <w:szCs w:val="24"/>
        </w:rPr>
        <w:t>Th</w:t>
      </w:r>
      <w:r w:rsidR="000F0A4E">
        <w:rPr>
          <w:sz w:val="24"/>
          <w:szCs w:val="24"/>
        </w:rPr>
        <w:t>is request is consistent with the general information collection guidelines of</w:t>
      </w:r>
      <w:r w:rsidRPr="00CB177A">
        <w:rPr>
          <w:sz w:val="24"/>
          <w:szCs w:val="24"/>
        </w:rPr>
        <w:t xml:space="preserve"> 5 CFR 1320.5(d)(2).</w:t>
      </w:r>
      <w:r w:rsidR="000F0A4E">
        <w:rPr>
          <w:sz w:val="24"/>
          <w:szCs w:val="24"/>
        </w:rPr>
        <w:t xml:space="preserve"> No special circumstances apply. </w:t>
      </w:r>
    </w:p>
    <w:p w:rsidR="000761E1" w:rsidRDefault="000761E1">
      <w:pPr>
        <w:rPr>
          <w:b/>
          <w:sz w:val="24"/>
          <w:szCs w:val="24"/>
        </w:rPr>
      </w:pPr>
    </w:p>
    <w:p w:rsidR="0057087C" w:rsidRDefault="0057087C" w:rsidP="001936AB">
      <w:pPr>
        <w:pStyle w:val="Heading2"/>
        <w:rPr>
          <w:sz w:val="24"/>
          <w:szCs w:val="24"/>
        </w:rPr>
      </w:pPr>
      <w:bookmarkStart w:id="11" w:name="_Toc386502296"/>
      <w:r w:rsidRPr="008C5826">
        <w:rPr>
          <w:color w:val="auto"/>
          <w:sz w:val="24"/>
          <w:szCs w:val="24"/>
        </w:rPr>
        <w:t xml:space="preserve">8.  </w:t>
      </w:r>
      <w:r w:rsidR="001936AB" w:rsidRPr="00A33144">
        <w:rPr>
          <w:color w:val="auto"/>
          <w:sz w:val="24"/>
          <w:szCs w:val="24"/>
          <w:u w:val="single"/>
        </w:rPr>
        <w:t>Federal Register Notice and Outside Consultations</w:t>
      </w:r>
      <w:bookmarkEnd w:id="11"/>
      <w:r w:rsidR="001936AB" w:rsidRPr="00A33144" w:rsidDel="001936AB">
        <w:rPr>
          <w:color w:val="auto"/>
          <w:sz w:val="24"/>
          <w:szCs w:val="24"/>
          <w:u w:val="single"/>
        </w:rPr>
        <w:t xml:space="preserve"> </w:t>
      </w:r>
    </w:p>
    <w:p w:rsidR="008B5EBB" w:rsidRDefault="008B5EBB" w:rsidP="001936AB">
      <w:pPr>
        <w:rPr>
          <w:rFonts w:asciiTheme="majorHAnsi" w:hAnsiTheme="majorHAnsi" w:cs="Arial"/>
          <w:b/>
          <w:i/>
          <w:sz w:val="24"/>
          <w:szCs w:val="24"/>
        </w:rPr>
      </w:pPr>
    </w:p>
    <w:p w:rsidR="001936AB" w:rsidRPr="008B5EBB" w:rsidRDefault="00167858" w:rsidP="001936AB">
      <w:pPr>
        <w:rPr>
          <w:b/>
          <w:bCs/>
          <w:i/>
          <w:iCs/>
          <w:sz w:val="24"/>
          <w:szCs w:val="24"/>
        </w:rPr>
      </w:pPr>
      <w:r w:rsidRPr="00167858">
        <w:rPr>
          <w:b/>
          <w:i/>
          <w:sz w:val="24"/>
          <w:szCs w:val="24"/>
        </w:rPr>
        <w:t>8.a.</w:t>
      </w:r>
      <w:r w:rsidRPr="00167858">
        <w:rPr>
          <w:sz w:val="24"/>
          <w:szCs w:val="24"/>
        </w:rPr>
        <w:t xml:space="preserve"> </w:t>
      </w:r>
      <w:r w:rsidRPr="00167858">
        <w:rPr>
          <w:b/>
          <w:bCs/>
          <w:i/>
          <w:iCs/>
          <w:sz w:val="24"/>
          <w:szCs w:val="24"/>
        </w:rPr>
        <w:t>Federal Register Notice</w:t>
      </w:r>
    </w:p>
    <w:p w:rsidR="001936AB" w:rsidRDefault="001936AB" w:rsidP="001936AB">
      <w:pPr>
        <w:rPr>
          <w:rFonts w:ascii="Arial" w:hAnsi="Arial" w:cs="Arial"/>
          <w:b/>
          <w:bCs/>
          <w:i/>
          <w:iCs/>
        </w:rPr>
      </w:pPr>
    </w:p>
    <w:p w:rsidR="001936AB" w:rsidRPr="00266D8B" w:rsidRDefault="001936AB" w:rsidP="001936AB">
      <w:pPr>
        <w:rPr>
          <w:rFonts w:ascii="Arial" w:hAnsi="Arial" w:cs="Arial"/>
          <w:b/>
          <w:bCs/>
          <w:i/>
          <w:iCs/>
          <w:sz w:val="24"/>
          <w:szCs w:val="24"/>
        </w:rPr>
      </w:pPr>
      <w:r w:rsidRPr="00266D8B">
        <w:rPr>
          <w:sz w:val="24"/>
          <w:szCs w:val="24"/>
        </w:rPr>
        <w:t xml:space="preserve">As required by 5 CFR 1320.8(d), </w:t>
      </w:r>
      <w:r w:rsidR="002A315C">
        <w:rPr>
          <w:sz w:val="24"/>
          <w:szCs w:val="24"/>
        </w:rPr>
        <w:t xml:space="preserve">a </w:t>
      </w:r>
      <w:r w:rsidRPr="00266D8B">
        <w:rPr>
          <w:sz w:val="24"/>
          <w:szCs w:val="24"/>
        </w:rPr>
        <w:t>notice was published in the Federal Register on</w:t>
      </w:r>
      <w:r w:rsidR="000F0A4E">
        <w:rPr>
          <w:sz w:val="24"/>
          <w:szCs w:val="24"/>
        </w:rPr>
        <w:t xml:space="preserve"> </w:t>
      </w:r>
      <w:r w:rsidR="002A315C">
        <w:rPr>
          <w:sz w:val="24"/>
          <w:szCs w:val="24"/>
        </w:rPr>
        <w:t>July 30</w:t>
      </w:r>
      <w:r w:rsidR="002A315C" w:rsidRPr="002A315C">
        <w:rPr>
          <w:sz w:val="24"/>
          <w:szCs w:val="24"/>
          <w:vertAlign w:val="superscript"/>
        </w:rPr>
        <w:t>th</w:t>
      </w:r>
      <w:r w:rsidR="002A315C">
        <w:rPr>
          <w:sz w:val="24"/>
          <w:szCs w:val="24"/>
        </w:rPr>
        <w:t>, 2014, for 60 days, and again on October 16</w:t>
      </w:r>
      <w:r w:rsidR="002A315C" w:rsidRPr="002A315C">
        <w:rPr>
          <w:sz w:val="24"/>
          <w:szCs w:val="24"/>
          <w:vertAlign w:val="superscript"/>
        </w:rPr>
        <w:t>th</w:t>
      </w:r>
      <w:r w:rsidR="002A315C">
        <w:rPr>
          <w:sz w:val="24"/>
          <w:szCs w:val="24"/>
        </w:rPr>
        <w:t xml:space="preserve">, 2014 for 30 days (see Attachment D. AHRQ received and responded to two comments from the comments (see Attachment F). </w:t>
      </w:r>
    </w:p>
    <w:p w:rsidR="001936AB" w:rsidRPr="001936AB" w:rsidRDefault="002A315C" w:rsidP="002A315C">
      <w:pPr>
        <w:tabs>
          <w:tab w:val="left" w:pos="7350"/>
        </w:tabs>
      </w:pPr>
      <w:r>
        <w:tab/>
      </w:r>
    </w:p>
    <w:p w:rsidR="001936AB" w:rsidRPr="009138D6" w:rsidRDefault="001936AB" w:rsidP="00D370CB">
      <w:pPr>
        <w:rPr>
          <w:b/>
          <w:i/>
          <w:sz w:val="24"/>
          <w:szCs w:val="24"/>
        </w:rPr>
      </w:pPr>
      <w:r w:rsidRPr="009138D6">
        <w:rPr>
          <w:b/>
          <w:i/>
          <w:sz w:val="24"/>
        </w:rPr>
        <w:t xml:space="preserve">8.b.  </w:t>
      </w:r>
      <w:r w:rsidRPr="009138D6">
        <w:rPr>
          <w:b/>
          <w:i/>
          <w:sz w:val="24"/>
          <w:szCs w:val="24"/>
        </w:rPr>
        <w:t>Outside Consultations</w:t>
      </w:r>
    </w:p>
    <w:p w:rsidR="00D370CB" w:rsidRPr="00D370CB" w:rsidRDefault="00953718" w:rsidP="001936AB">
      <w:pPr>
        <w:pStyle w:val="ListParagraph"/>
        <w:ind w:left="0"/>
        <w:rPr>
          <w:sz w:val="24"/>
          <w:szCs w:val="24"/>
        </w:rPr>
      </w:pPr>
      <w:r>
        <w:rPr>
          <w:sz w:val="24"/>
          <w:szCs w:val="24"/>
        </w:rPr>
        <w:t xml:space="preserve">AHRQ is working with </w:t>
      </w:r>
      <w:r w:rsidR="00C74680">
        <w:rPr>
          <w:sz w:val="24"/>
          <w:szCs w:val="24"/>
        </w:rPr>
        <w:t xml:space="preserve">AIR </w:t>
      </w:r>
      <w:r>
        <w:rPr>
          <w:sz w:val="24"/>
          <w:szCs w:val="24"/>
        </w:rPr>
        <w:t>and its subcontractors,</w:t>
      </w:r>
      <w:r w:rsidR="00600BC9">
        <w:rPr>
          <w:sz w:val="24"/>
          <w:szCs w:val="24"/>
        </w:rPr>
        <w:t xml:space="preserve"> </w:t>
      </w:r>
      <w:r w:rsidRPr="00122BE6">
        <w:rPr>
          <w:sz w:val="24"/>
          <w:szCs w:val="24"/>
        </w:rPr>
        <w:t>Stanford’s CHP</w:t>
      </w:r>
      <w:r w:rsidRPr="005A623F">
        <w:rPr>
          <w:sz w:val="24"/>
          <w:szCs w:val="24"/>
        </w:rPr>
        <w:t>/PCOR,</w:t>
      </w:r>
      <w:r w:rsidR="00C74680">
        <w:rPr>
          <w:sz w:val="24"/>
          <w:szCs w:val="24"/>
        </w:rPr>
        <w:t xml:space="preserve"> and NCQA</w:t>
      </w:r>
      <w:r w:rsidRPr="005A623F">
        <w:rPr>
          <w:sz w:val="24"/>
          <w:szCs w:val="24"/>
        </w:rPr>
        <w:t>. In addition, a</w:t>
      </w:r>
      <w:r w:rsidR="009138D6" w:rsidRPr="005A623F">
        <w:rPr>
          <w:sz w:val="24"/>
          <w:szCs w:val="24"/>
        </w:rPr>
        <w:t xml:space="preserve"> panel of stakeholders</w:t>
      </w:r>
      <w:r w:rsidR="005A623F">
        <w:rPr>
          <w:sz w:val="24"/>
          <w:szCs w:val="24"/>
        </w:rPr>
        <w:t xml:space="preserve"> </w:t>
      </w:r>
      <w:r w:rsidRPr="005A623F">
        <w:rPr>
          <w:sz w:val="24"/>
          <w:szCs w:val="24"/>
        </w:rPr>
        <w:t xml:space="preserve">composed of </w:t>
      </w:r>
      <w:r w:rsidR="005A623F" w:rsidRPr="005A623F">
        <w:rPr>
          <w:sz w:val="24"/>
          <w:szCs w:val="24"/>
        </w:rPr>
        <w:t>consumer advocates, primary care providers, researchers/methodologists, survey experts, community-based healthcare professionals, and health care organization leaders</w:t>
      </w:r>
      <w:r w:rsidR="005A623F">
        <w:rPr>
          <w:sz w:val="24"/>
          <w:szCs w:val="24"/>
        </w:rPr>
        <w:t xml:space="preserve"> </w:t>
      </w:r>
      <w:r w:rsidR="009138D6" w:rsidRPr="009138D6">
        <w:rPr>
          <w:sz w:val="24"/>
          <w:szCs w:val="24"/>
        </w:rPr>
        <w:t>is involved with th</w:t>
      </w:r>
      <w:r w:rsidR="00C74680">
        <w:rPr>
          <w:sz w:val="24"/>
          <w:szCs w:val="24"/>
        </w:rPr>
        <w:t xml:space="preserve">is phase of the </w:t>
      </w:r>
      <w:r w:rsidR="009138D6" w:rsidRPr="009138D6">
        <w:rPr>
          <w:sz w:val="24"/>
          <w:szCs w:val="24"/>
        </w:rPr>
        <w:t xml:space="preserve">work. The </w:t>
      </w:r>
      <w:r w:rsidR="0062368E">
        <w:rPr>
          <w:sz w:val="24"/>
          <w:szCs w:val="24"/>
        </w:rPr>
        <w:t>panel</w:t>
      </w:r>
      <w:r w:rsidR="009138D6" w:rsidRPr="009138D6">
        <w:rPr>
          <w:sz w:val="24"/>
          <w:szCs w:val="24"/>
        </w:rPr>
        <w:t xml:space="preserve"> provide</w:t>
      </w:r>
      <w:r w:rsidR="00BA17B2">
        <w:rPr>
          <w:sz w:val="24"/>
          <w:szCs w:val="24"/>
        </w:rPr>
        <w:t>d</w:t>
      </w:r>
      <w:r w:rsidR="009138D6" w:rsidRPr="009138D6">
        <w:rPr>
          <w:sz w:val="24"/>
          <w:szCs w:val="24"/>
        </w:rPr>
        <w:t xml:space="preserve"> input to our formative research </w:t>
      </w:r>
      <w:r w:rsidR="00C74680">
        <w:rPr>
          <w:sz w:val="24"/>
          <w:szCs w:val="24"/>
        </w:rPr>
        <w:t xml:space="preserve">activities, </w:t>
      </w:r>
      <w:r w:rsidR="009138D6" w:rsidRPr="009138D6">
        <w:rPr>
          <w:sz w:val="24"/>
          <w:szCs w:val="24"/>
        </w:rPr>
        <w:t>advise</w:t>
      </w:r>
      <w:r w:rsidR="00BA17B2">
        <w:rPr>
          <w:sz w:val="24"/>
          <w:szCs w:val="24"/>
        </w:rPr>
        <w:t>d</w:t>
      </w:r>
      <w:r w:rsidR="009138D6" w:rsidRPr="009138D6">
        <w:rPr>
          <w:sz w:val="24"/>
          <w:szCs w:val="24"/>
        </w:rPr>
        <w:t xml:space="preserve"> on the domain framework, </w:t>
      </w:r>
      <w:r w:rsidR="003B6BE5">
        <w:rPr>
          <w:sz w:val="24"/>
          <w:szCs w:val="24"/>
        </w:rPr>
        <w:t xml:space="preserve">provided feedback on the draft survey, </w:t>
      </w:r>
      <w:r w:rsidR="009138D6" w:rsidRPr="009138D6">
        <w:rPr>
          <w:sz w:val="24"/>
          <w:szCs w:val="24"/>
        </w:rPr>
        <w:t xml:space="preserve">and </w:t>
      </w:r>
      <w:r w:rsidR="00BA17B2">
        <w:rPr>
          <w:sz w:val="24"/>
          <w:szCs w:val="24"/>
        </w:rPr>
        <w:t xml:space="preserve">will </w:t>
      </w:r>
      <w:r w:rsidR="009138D6" w:rsidRPr="009138D6">
        <w:rPr>
          <w:sz w:val="24"/>
          <w:szCs w:val="24"/>
        </w:rPr>
        <w:t xml:space="preserve">help envision successful uptake </w:t>
      </w:r>
      <w:r w:rsidR="00BA17B2">
        <w:rPr>
          <w:sz w:val="24"/>
          <w:szCs w:val="24"/>
        </w:rPr>
        <w:t xml:space="preserve">of the CCQM-PC </w:t>
      </w:r>
      <w:r w:rsidR="009138D6" w:rsidRPr="009138D6">
        <w:rPr>
          <w:sz w:val="24"/>
          <w:szCs w:val="24"/>
        </w:rPr>
        <w:t>by users.  Se</w:t>
      </w:r>
      <w:r w:rsidR="00D370CB" w:rsidRPr="009138D6">
        <w:rPr>
          <w:sz w:val="24"/>
          <w:szCs w:val="24"/>
        </w:rPr>
        <w:t xml:space="preserve">e </w:t>
      </w:r>
      <w:r w:rsidR="00D370CB" w:rsidRPr="009138D6">
        <w:rPr>
          <w:sz w:val="24"/>
          <w:szCs w:val="24"/>
          <w:highlight w:val="yellow"/>
        </w:rPr>
        <w:t>A</w:t>
      </w:r>
      <w:r w:rsidR="00F81453">
        <w:rPr>
          <w:sz w:val="24"/>
          <w:szCs w:val="24"/>
          <w:highlight w:val="yellow"/>
        </w:rPr>
        <w:t>ppendix E</w:t>
      </w:r>
      <w:r w:rsidR="00D370CB" w:rsidRPr="009138D6">
        <w:rPr>
          <w:sz w:val="24"/>
          <w:szCs w:val="24"/>
        </w:rPr>
        <w:t xml:space="preserve"> for a list of those consulted </w:t>
      </w:r>
      <w:r w:rsidR="00312519" w:rsidRPr="009138D6">
        <w:rPr>
          <w:sz w:val="24"/>
          <w:szCs w:val="24"/>
        </w:rPr>
        <w:t xml:space="preserve">both within and </w:t>
      </w:r>
      <w:r w:rsidR="00F97106" w:rsidRPr="009138D6">
        <w:rPr>
          <w:sz w:val="24"/>
          <w:szCs w:val="24"/>
        </w:rPr>
        <w:t>outside the Agency</w:t>
      </w:r>
      <w:r w:rsidR="00D370CB" w:rsidRPr="009138D6">
        <w:rPr>
          <w:sz w:val="24"/>
          <w:szCs w:val="24"/>
        </w:rPr>
        <w:t xml:space="preserve"> thus far.</w:t>
      </w:r>
      <w:r w:rsidR="000F7770">
        <w:rPr>
          <w:sz w:val="24"/>
          <w:szCs w:val="24"/>
        </w:rPr>
        <w:t xml:space="preserve"> There are no unresolved issues. </w:t>
      </w:r>
    </w:p>
    <w:p w:rsidR="00C64C25" w:rsidRDefault="00C64C25">
      <w:pPr>
        <w:rPr>
          <w:sz w:val="24"/>
          <w:szCs w:val="24"/>
        </w:rPr>
      </w:pPr>
      <w:r>
        <w:rPr>
          <w:sz w:val="24"/>
          <w:szCs w:val="24"/>
        </w:rPr>
        <w:br w:type="page"/>
      </w:r>
    </w:p>
    <w:p w:rsidR="009C0552" w:rsidRDefault="009C0552" w:rsidP="009C0552">
      <w:pPr>
        <w:ind w:left="720"/>
        <w:rPr>
          <w:sz w:val="24"/>
          <w:szCs w:val="24"/>
        </w:rPr>
      </w:pPr>
    </w:p>
    <w:p w:rsidR="0057087C" w:rsidRPr="00721A6C" w:rsidRDefault="00A72B63" w:rsidP="008C5826">
      <w:pPr>
        <w:pStyle w:val="Heading2"/>
        <w:rPr>
          <w:color w:val="auto"/>
          <w:sz w:val="24"/>
          <w:szCs w:val="24"/>
        </w:rPr>
      </w:pPr>
      <w:bookmarkStart w:id="12" w:name="_Toc386502297"/>
      <w:r w:rsidRPr="00721A6C">
        <w:rPr>
          <w:color w:val="auto"/>
          <w:sz w:val="24"/>
          <w:szCs w:val="24"/>
        </w:rPr>
        <w:t xml:space="preserve">9.  </w:t>
      </w:r>
      <w:r w:rsidRPr="00721A6C">
        <w:rPr>
          <w:color w:val="auto"/>
          <w:sz w:val="24"/>
          <w:szCs w:val="24"/>
          <w:u w:val="single"/>
        </w:rPr>
        <w:t>Payments/Gifts to Respondents</w:t>
      </w:r>
      <w:bookmarkEnd w:id="12"/>
    </w:p>
    <w:p w:rsidR="0057087C" w:rsidRPr="00721A6C" w:rsidRDefault="0057087C">
      <w:pPr>
        <w:rPr>
          <w:sz w:val="24"/>
          <w:szCs w:val="24"/>
        </w:rPr>
      </w:pPr>
    </w:p>
    <w:p w:rsidR="007B4631" w:rsidRPr="00721A6C" w:rsidRDefault="00A72B63" w:rsidP="0070013C">
      <w:pPr>
        <w:rPr>
          <w:sz w:val="24"/>
          <w:szCs w:val="24"/>
        </w:rPr>
      </w:pPr>
      <w:r w:rsidRPr="00721A6C">
        <w:rPr>
          <w:i/>
          <w:sz w:val="24"/>
          <w:szCs w:val="24"/>
        </w:rPr>
        <w:t>Pilot Survey Respondents.</w:t>
      </w:r>
      <w:r w:rsidRPr="00721A6C">
        <w:rPr>
          <w:sz w:val="24"/>
          <w:szCs w:val="24"/>
        </w:rPr>
        <w:t xml:space="preserve"> We are offering no incentive to participants taking the pilot survey. Our </w:t>
      </w:r>
      <w:r w:rsidR="00155C6D">
        <w:rPr>
          <w:sz w:val="24"/>
          <w:szCs w:val="24"/>
        </w:rPr>
        <w:t xml:space="preserve">recruitment and consent materials frame the perspective that taking the survey contributes to the knowledge about how providers can better serve their patients. </w:t>
      </w:r>
      <w:r w:rsidR="00155C6D" w:rsidRPr="00155C6D">
        <w:rPr>
          <w:sz w:val="24"/>
          <w:szCs w:val="24"/>
        </w:rPr>
        <w:t xml:space="preserve">We will </w:t>
      </w:r>
      <w:r w:rsidRPr="00721A6C">
        <w:rPr>
          <w:sz w:val="24"/>
          <w:szCs w:val="24"/>
        </w:rPr>
        <w:t xml:space="preserve">provide </w:t>
      </w:r>
      <w:r w:rsidR="006538F0">
        <w:rPr>
          <w:sz w:val="24"/>
          <w:szCs w:val="24"/>
        </w:rPr>
        <w:t>PCPs with</w:t>
      </w:r>
      <w:r w:rsidR="0090251E" w:rsidRPr="00721A6C">
        <w:rPr>
          <w:sz w:val="24"/>
          <w:szCs w:val="24"/>
        </w:rPr>
        <w:t xml:space="preserve"> </w:t>
      </w:r>
      <w:r w:rsidRPr="00721A6C">
        <w:rPr>
          <w:sz w:val="24"/>
          <w:szCs w:val="24"/>
        </w:rPr>
        <w:t>a</w:t>
      </w:r>
      <w:r w:rsidR="00155C6D">
        <w:rPr>
          <w:sz w:val="24"/>
          <w:szCs w:val="24"/>
        </w:rPr>
        <w:t xml:space="preserve"> report on their own performance on the CCQM-PC including benchmarks based on other participating practices.  The report will provide a tool by which participating practices can understand where they excel and where they could improve with respect to the various composite scores. AHRQ’s contractor, AIR, has had considerable success using such a report as a non-financial incentive for participating entities in CAHPS and CAHPS-like surveys. </w:t>
      </w:r>
    </w:p>
    <w:p w:rsidR="00C85F42" w:rsidRPr="00721A6C" w:rsidRDefault="00C85F42" w:rsidP="0070013C">
      <w:pPr>
        <w:rPr>
          <w:sz w:val="24"/>
          <w:szCs w:val="24"/>
        </w:rPr>
      </w:pPr>
    </w:p>
    <w:p w:rsidR="00C85F42" w:rsidRPr="00721A6C" w:rsidRDefault="00C85F42" w:rsidP="0070013C">
      <w:pPr>
        <w:rPr>
          <w:sz w:val="24"/>
          <w:szCs w:val="24"/>
        </w:rPr>
      </w:pPr>
    </w:p>
    <w:p w:rsidR="0057087C" w:rsidRPr="00721A6C" w:rsidRDefault="00A72B63" w:rsidP="008C5826">
      <w:pPr>
        <w:pStyle w:val="Heading2"/>
        <w:rPr>
          <w:color w:val="auto"/>
          <w:sz w:val="24"/>
          <w:szCs w:val="24"/>
        </w:rPr>
      </w:pPr>
      <w:bookmarkStart w:id="13" w:name="_Toc386502298"/>
      <w:r w:rsidRPr="00721A6C">
        <w:rPr>
          <w:color w:val="auto"/>
          <w:sz w:val="24"/>
          <w:szCs w:val="24"/>
        </w:rPr>
        <w:t xml:space="preserve">10.  </w:t>
      </w:r>
      <w:r w:rsidRPr="00721A6C">
        <w:rPr>
          <w:color w:val="auto"/>
          <w:sz w:val="24"/>
          <w:szCs w:val="24"/>
          <w:u w:val="single"/>
        </w:rPr>
        <w:t>Assurance of Confidentiality</w:t>
      </w:r>
      <w:bookmarkEnd w:id="13"/>
    </w:p>
    <w:p w:rsidR="0057087C" w:rsidRPr="00721A6C" w:rsidRDefault="0057087C">
      <w:pPr>
        <w:rPr>
          <w:sz w:val="24"/>
          <w:szCs w:val="24"/>
        </w:rPr>
      </w:pPr>
    </w:p>
    <w:p w:rsidR="009921DC" w:rsidRPr="00721A6C" w:rsidRDefault="00155C6D" w:rsidP="009921DC">
      <w:pPr>
        <w:rPr>
          <w:sz w:val="24"/>
          <w:szCs w:val="24"/>
        </w:rPr>
      </w:pPr>
      <w:r>
        <w:rPr>
          <w:sz w:val="24"/>
          <w:szCs w:val="24"/>
        </w:rPr>
        <w:t xml:space="preserve">Individuals and organizations will be assured of the confidentiality of their replies under Section 934(c) of the Public Health Service Act, 42 USC 299c-3(c).  They will be told the purposes for which the information is collected and that, in accordance with this statute, any identifiable information about them will not be used or disclosed for any other purpose. </w:t>
      </w:r>
    </w:p>
    <w:p w:rsidR="009921DC" w:rsidRPr="00721A6C" w:rsidRDefault="009921DC" w:rsidP="009921DC">
      <w:pPr>
        <w:rPr>
          <w:sz w:val="24"/>
          <w:szCs w:val="24"/>
        </w:rPr>
      </w:pPr>
    </w:p>
    <w:p w:rsidR="0057087C" w:rsidRPr="00721A6C" w:rsidRDefault="00155C6D" w:rsidP="009921DC">
      <w:pPr>
        <w:rPr>
          <w:color w:val="000000"/>
          <w:sz w:val="24"/>
          <w:szCs w:val="24"/>
        </w:rPr>
      </w:pPr>
      <w:r>
        <w:rPr>
          <w:sz w:val="24"/>
          <w:szCs w:val="24"/>
        </w:rPr>
        <w:t xml:space="preserve">AIR will apply for a Health Insurance Portability and Accountability Act (HIPAA) waiver of authorization from the AIR Institutional Review Board (IRB) to enable the participating practices to share contact information as part of the recruitment and survey operations processes without obtaining prior permission from patients. Practices will be concerned about sharing the identities of their patients without informed consent and HIPAA authorization. In all of AIR’s many CAHPS survey development projects, AIR’s IRB has granted a waiver of documentation of consent and a partial waiver of HIPAA authorization, which permit practices to release patient contact information for the purpose of making initial contact. The respondents are then asked to provide consent in the cover letter that accompanies the survey in self-administered modes or in the initial telephone introduction. We will include a copy of AIR’s IRB approval and HIPAA waiver forms with the invitation letter to practices, along with an explanation of the HIPAA regulation for research uses of protected health information to demonstrate that releasing this information for this project is ethical and legal.  </w:t>
      </w:r>
    </w:p>
    <w:p w:rsidR="00D04744" w:rsidRPr="00721A6C" w:rsidRDefault="00D04744">
      <w:pPr>
        <w:rPr>
          <w:sz w:val="24"/>
          <w:szCs w:val="24"/>
        </w:rPr>
      </w:pPr>
    </w:p>
    <w:p w:rsidR="0006422B" w:rsidRPr="00721A6C" w:rsidRDefault="00155C6D">
      <w:pPr>
        <w:rPr>
          <w:sz w:val="24"/>
          <w:szCs w:val="24"/>
        </w:rPr>
      </w:pPr>
      <w:r>
        <w:rPr>
          <w:sz w:val="24"/>
          <w:szCs w:val="24"/>
        </w:rPr>
        <w:t>If a waiver of documentation of consent is granted, AIR’s survey vendor will be the only party with access to identifiable information (patient name and contact information) provided by practices for the purposes of creating the sampling frame. The analytic team at AIR will only receive a de-identified data set of survey responses.</w:t>
      </w:r>
      <w:r w:rsidRPr="00155C6D">
        <w:rPr>
          <w:sz w:val="24"/>
          <w:szCs w:val="24"/>
        </w:rPr>
        <w:t xml:space="preserve"> </w:t>
      </w:r>
    </w:p>
    <w:p w:rsidR="00F03879" w:rsidRPr="00721A6C" w:rsidRDefault="00F03879">
      <w:pPr>
        <w:rPr>
          <w:sz w:val="24"/>
          <w:szCs w:val="24"/>
        </w:rPr>
      </w:pPr>
    </w:p>
    <w:p w:rsidR="0057087C" w:rsidRPr="00721A6C" w:rsidRDefault="00155C6D" w:rsidP="002A63D2">
      <w:pPr>
        <w:pStyle w:val="Heading2"/>
        <w:rPr>
          <w:color w:val="auto"/>
          <w:sz w:val="24"/>
          <w:szCs w:val="24"/>
        </w:rPr>
      </w:pPr>
      <w:bookmarkStart w:id="14" w:name="_Toc386502299"/>
      <w:r>
        <w:rPr>
          <w:color w:val="auto"/>
          <w:sz w:val="24"/>
          <w:szCs w:val="24"/>
        </w:rPr>
        <w:t xml:space="preserve">11.  </w:t>
      </w:r>
      <w:r>
        <w:rPr>
          <w:color w:val="auto"/>
          <w:sz w:val="24"/>
          <w:szCs w:val="24"/>
          <w:u w:val="single"/>
        </w:rPr>
        <w:t>Questions of a Sensitive Nature</w:t>
      </w:r>
      <w:bookmarkEnd w:id="14"/>
    </w:p>
    <w:p w:rsidR="0057087C" w:rsidRPr="00721A6C" w:rsidRDefault="0057087C">
      <w:pPr>
        <w:rPr>
          <w:sz w:val="24"/>
          <w:szCs w:val="24"/>
        </w:rPr>
      </w:pPr>
    </w:p>
    <w:p w:rsidR="0057087C" w:rsidRPr="00CB177A" w:rsidRDefault="00155C6D">
      <w:pPr>
        <w:rPr>
          <w:sz w:val="24"/>
          <w:szCs w:val="24"/>
        </w:rPr>
      </w:pPr>
      <w:r w:rsidRPr="00E72F6B">
        <w:rPr>
          <w:sz w:val="24"/>
          <w:szCs w:val="24"/>
        </w:rPr>
        <w:t xml:space="preserve">We do not believe there </w:t>
      </w:r>
      <w:r>
        <w:rPr>
          <w:sz w:val="24"/>
          <w:szCs w:val="24"/>
        </w:rPr>
        <w:t>are questions of a sensitive nature included in the survey</w:t>
      </w:r>
      <w:r w:rsidR="00A8278D">
        <w:rPr>
          <w:sz w:val="24"/>
          <w:szCs w:val="24"/>
        </w:rPr>
        <w:t xml:space="preserve">. If </w:t>
      </w:r>
      <w:r>
        <w:rPr>
          <w:sz w:val="24"/>
          <w:szCs w:val="24"/>
        </w:rPr>
        <w:t>sensitivities are discovered</w:t>
      </w:r>
      <w:r w:rsidR="00A8278D">
        <w:rPr>
          <w:sz w:val="24"/>
          <w:szCs w:val="24"/>
        </w:rPr>
        <w:t xml:space="preserve"> in cognitive testing</w:t>
      </w:r>
      <w:r>
        <w:rPr>
          <w:sz w:val="24"/>
          <w:szCs w:val="24"/>
        </w:rPr>
        <w:t xml:space="preserve">, </w:t>
      </w:r>
      <w:r w:rsidR="00A8278D">
        <w:rPr>
          <w:sz w:val="24"/>
          <w:szCs w:val="24"/>
        </w:rPr>
        <w:t xml:space="preserve">they </w:t>
      </w:r>
      <w:r>
        <w:rPr>
          <w:sz w:val="24"/>
          <w:szCs w:val="24"/>
        </w:rPr>
        <w:t xml:space="preserve">will be modified </w:t>
      </w:r>
      <w:r w:rsidR="00A8278D">
        <w:rPr>
          <w:sz w:val="24"/>
          <w:szCs w:val="24"/>
        </w:rPr>
        <w:t xml:space="preserve">so they are not </w:t>
      </w:r>
      <w:r>
        <w:rPr>
          <w:sz w:val="24"/>
          <w:szCs w:val="24"/>
        </w:rPr>
        <w:t>sensitive nature.</w:t>
      </w:r>
    </w:p>
    <w:p w:rsidR="0057087C" w:rsidRPr="000C4512" w:rsidRDefault="00155C6D" w:rsidP="008C5826">
      <w:pPr>
        <w:pStyle w:val="Heading2"/>
        <w:rPr>
          <w:color w:val="auto"/>
          <w:sz w:val="24"/>
          <w:szCs w:val="24"/>
          <w:u w:val="single"/>
        </w:rPr>
      </w:pPr>
      <w:bookmarkStart w:id="15" w:name="_Toc386502300"/>
      <w:r w:rsidRPr="000C4512">
        <w:rPr>
          <w:color w:val="auto"/>
          <w:sz w:val="24"/>
          <w:szCs w:val="24"/>
        </w:rPr>
        <w:lastRenderedPageBreak/>
        <w:t xml:space="preserve">12.  </w:t>
      </w:r>
      <w:r w:rsidRPr="000C4512">
        <w:rPr>
          <w:color w:val="auto"/>
          <w:sz w:val="24"/>
          <w:szCs w:val="24"/>
          <w:u w:val="single"/>
        </w:rPr>
        <w:t>Estimates of Annualized Burden Hours and Costs</w:t>
      </w:r>
      <w:bookmarkEnd w:id="15"/>
    </w:p>
    <w:p w:rsidR="00FE762F" w:rsidRPr="000C4512" w:rsidRDefault="00FE762F" w:rsidP="00FE762F"/>
    <w:p w:rsidR="00AD5443" w:rsidRDefault="00FE762F" w:rsidP="004A74B0">
      <w:pPr>
        <w:rPr>
          <w:sz w:val="24"/>
          <w:szCs w:val="24"/>
        </w:rPr>
      </w:pPr>
      <w:bookmarkStart w:id="16" w:name="OLE_LINK5"/>
      <w:r w:rsidRPr="000C4512">
        <w:rPr>
          <w:sz w:val="24"/>
          <w:szCs w:val="24"/>
        </w:rPr>
        <w:t xml:space="preserve">Exhibit 1 shows the </w:t>
      </w:r>
      <w:r w:rsidR="00FC5D46" w:rsidRPr="000C4512">
        <w:rPr>
          <w:sz w:val="24"/>
          <w:szCs w:val="24"/>
        </w:rPr>
        <w:t xml:space="preserve">total </w:t>
      </w:r>
      <w:r w:rsidRPr="000C4512">
        <w:rPr>
          <w:sz w:val="24"/>
          <w:szCs w:val="24"/>
        </w:rPr>
        <w:t xml:space="preserve">estimated annualized burden hours for the </w:t>
      </w:r>
      <w:r w:rsidR="004A74B0" w:rsidRPr="000C4512">
        <w:rPr>
          <w:sz w:val="24"/>
          <w:szCs w:val="24"/>
        </w:rPr>
        <w:t xml:space="preserve">CCQM-PC pilot </w:t>
      </w:r>
      <w:r w:rsidR="00243911" w:rsidRPr="000C4512">
        <w:rPr>
          <w:sz w:val="24"/>
          <w:szCs w:val="24"/>
        </w:rPr>
        <w:t>survey</w:t>
      </w:r>
      <w:r w:rsidR="0079472B" w:rsidRPr="000C4512">
        <w:rPr>
          <w:sz w:val="24"/>
          <w:szCs w:val="24"/>
        </w:rPr>
        <w:t xml:space="preserve"> (</w:t>
      </w:r>
      <w:r w:rsidR="00926941">
        <w:rPr>
          <w:sz w:val="24"/>
          <w:szCs w:val="24"/>
        </w:rPr>
        <w:t>2,022</w:t>
      </w:r>
      <w:r w:rsidR="0079472B" w:rsidRPr="000C4512">
        <w:rPr>
          <w:sz w:val="24"/>
          <w:szCs w:val="24"/>
        </w:rPr>
        <w:t xml:space="preserve"> hours)</w:t>
      </w:r>
      <w:r w:rsidR="00926941">
        <w:rPr>
          <w:sz w:val="24"/>
          <w:szCs w:val="24"/>
        </w:rPr>
        <w:t>, including burden for survey respondents (1,890 hours) and practice staff (132 hours)</w:t>
      </w:r>
      <w:r w:rsidRPr="000C4512">
        <w:rPr>
          <w:sz w:val="24"/>
          <w:szCs w:val="24"/>
        </w:rPr>
        <w:t xml:space="preserve">.  </w:t>
      </w:r>
      <w:r w:rsidR="00AD5443" w:rsidRPr="009E3F60">
        <w:rPr>
          <w:sz w:val="24"/>
          <w:szCs w:val="24"/>
        </w:rPr>
        <w:t xml:space="preserve">With respect to the burden on </w:t>
      </w:r>
      <w:r w:rsidR="00926941">
        <w:rPr>
          <w:sz w:val="24"/>
          <w:szCs w:val="24"/>
        </w:rPr>
        <w:t xml:space="preserve">CCQM-PC </w:t>
      </w:r>
      <w:r w:rsidR="00AD5443" w:rsidRPr="009E3F60">
        <w:rPr>
          <w:sz w:val="24"/>
          <w:szCs w:val="24"/>
        </w:rPr>
        <w:t>survey respondents, t</w:t>
      </w:r>
      <w:r w:rsidR="004A74B0" w:rsidRPr="009E3F60">
        <w:rPr>
          <w:sz w:val="24"/>
          <w:szCs w:val="24"/>
        </w:rPr>
        <w:t xml:space="preserve">hirty practices will be </w:t>
      </w:r>
      <w:r w:rsidR="00243911">
        <w:rPr>
          <w:sz w:val="24"/>
          <w:szCs w:val="24"/>
        </w:rPr>
        <w:t xml:space="preserve">sampled, with the survey sent to 375 prospective respondents per sample. A 40% response rate (in keeping with response rates on other CAHPS® and CAHPS®-like surveys of similar length and mode) will yield </w:t>
      </w:r>
      <w:r w:rsidR="004A74B0" w:rsidRPr="009E3F60">
        <w:rPr>
          <w:sz w:val="24"/>
          <w:szCs w:val="24"/>
        </w:rPr>
        <w:t>150 respondents per practice. Total respondents were calculated by multiplying the number of practices by the respondents per practice, for a total of 4,500</w:t>
      </w:r>
      <w:r w:rsidR="001A6F17">
        <w:rPr>
          <w:sz w:val="24"/>
          <w:szCs w:val="24"/>
        </w:rPr>
        <w:t xml:space="preserve"> (i.e., 150x30=4,500)</w:t>
      </w:r>
      <w:r w:rsidR="004A74B0" w:rsidRPr="009E3F60">
        <w:rPr>
          <w:sz w:val="24"/>
          <w:szCs w:val="24"/>
        </w:rPr>
        <w:t xml:space="preserve">. </w:t>
      </w:r>
      <w:r w:rsidR="00AD5443" w:rsidRPr="009E3F60">
        <w:rPr>
          <w:sz w:val="24"/>
          <w:szCs w:val="24"/>
        </w:rPr>
        <w:t>The survey has 10</w:t>
      </w:r>
      <w:r w:rsidR="00224CB0">
        <w:rPr>
          <w:sz w:val="24"/>
          <w:szCs w:val="24"/>
        </w:rPr>
        <w:t>2</w:t>
      </w:r>
      <w:r w:rsidR="00AD5443">
        <w:rPr>
          <w:sz w:val="24"/>
          <w:szCs w:val="24"/>
        </w:rPr>
        <w:t xml:space="preserve"> items (</w:t>
      </w:r>
      <w:r w:rsidR="00224CB0">
        <w:rPr>
          <w:sz w:val="24"/>
          <w:szCs w:val="24"/>
        </w:rPr>
        <w:t>79</w:t>
      </w:r>
      <w:r w:rsidR="00AD5443">
        <w:rPr>
          <w:sz w:val="24"/>
          <w:szCs w:val="24"/>
        </w:rPr>
        <w:t xml:space="preserve"> assessment items, 4 items about healthcare services sought in the past 12 months, and 19 items that assess participant characteristics such as demographics)</w:t>
      </w:r>
      <w:r w:rsidR="0066072B">
        <w:rPr>
          <w:sz w:val="24"/>
          <w:szCs w:val="24"/>
        </w:rPr>
        <w:t>, with an estimated completion time of 25 minutes (.42 hours)</w:t>
      </w:r>
      <w:r w:rsidR="001A6F17">
        <w:rPr>
          <w:sz w:val="24"/>
          <w:szCs w:val="24"/>
        </w:rPr>
        <w:t xml:space="preserve"> per survey response</w:t>
      </w:r>
      <w:r w:rsidR="00AD5443">
        <w:rPr>
          <w:sz w:val="24"/>
          <w:szCs w:val="24"/>
        </w:rPr>
        <w:t>.</w:t>
      </w:r>
      <w:r w:rsidR="0066072B">
        <w:rPr>
          <w:sz w:val="24"/>
          <w:szCs w:val="24"/>
        </w:rPr>
        <w:t xml:space="preserve"> </w:t>
      </w:r>
      <w:r w:rsidR="0066072B" w:rsidRPr="0066072B">
        <w:rPr>
          <w:rFonts w:eastAsiaTheme="minorEastAsia"/>
          <w:sz w:val="24"/>
          <w:szCs w:val="24"/>
        </w:rPr>
        <w:t>This estimate is based on the length of previous CAHPS</w:t>
      </w:r>
      <w:r w:rsidR="0066072B" w:rsidRPr="0066072B">
        <w:rPr>
          <w:rFonts w:eastAsiaTheme="minorEastAsia"/>
          <w:sz w:val="24"/>
          <w:szCs w:val="24"/>
          <w:vertAlign w:val="superscript"/>
        </w:rPr>
        <w:t>®</w:t>
      </w:r>
      <w:r w:rsidR="0066072B" w:rsidRPr="0066072B">
        <w:rPr>
          <w:rFonts w:eastAsiaTheme="minorEastAsia"/>
          <w:sz w:val="24"/>
          <w:szCs w:val="24"/>
        </w:rPr>
        <w:t xml:space="preserve"> surveys of comparable length that have been administered to similar populations.</w:t>
      </w:r>
      <w:r w:rsidR="00FC5D46">
        <w:rPr>
          <w:rFonts w:eastAsiaTheme="minorEastAsia"/>
          <w:sz w:val="24"/>
          <w:szCs w:val="24"/>
        </w:rPr>
        <w:t xml:space="preserve"> </w:t>
      </w:r>
    </w:p>
    <w:p w:rsidR="00AD5443" w:rsidRDefault="00AD5443" w:rsidP="004A74B0">
      <w:pPr>
        <w:rPr>
          <w:sz w:val="24"/>
          <w:szCs w:val="24"/>
        </w:rPr>
      </w:pPr>
    </w:p>
    <w:p w:rsidR="0066072B" w:rsidRDefault="00AD5443" w:rsidP="0066072B">
      <w:pPr>
        <w:rPr>
          <w:sz w:val="24"/>
          <w:szCs w:val="24"/>
        </w:rPr>
      </w:pPr>
      <w:r>
        <w:rPr>
          <w:sz w:val="24"/>
          <w:szCs w:val="24"/>
        </w:rPr>
        <w:t xml:space="preserve">Burden hours for participating practices </w:t>
      </w:r>
      <w:r w:rsidR="00926941">
        <w:rPr>
          <w:sz w:val="24"/>
          <w:szCs w:val="24"/>
        </w:rPr>
        <w:t xml:space="preserve">are calculated based on </w:t>
      </w:r>
      <w:r w:rsidR="00DF6F8C">
        <w:rPr>
          <w:sz w:val="24"/>
          <w:szCs w:val="24"/>
        </w:rPr>
        <w:t>the total burden to one physician/ administrator and one other clinician to complete the MHI-LV. The measure author recommends that both physician and non-physician viewpoints are considered in the PCP’s response</w:t>
      </w:r>
      <w:r w:rsidR="004F56C6">
        <w:rPr>
          <w:sz w:val="24"/>
          <w:szCs w:val="24"/>
        </w:rPr>
        <w:t>, thus the estimate is based on an assumption that two clinicians per practice will complete the MHI-LV process of care items together, with only one of the clinicians (i.e., the physician/administrator) completing the items on practice characteristics</w:t>
      </w:r>
      <w:r w:rsidR="00DF6F8C">
        <w:rPr>
          <w:sz w:val="24"/>
          <w:szCs w:val="24"/>
        </w:rPr>
        <w:t>.</w:t>
      </w:r>
      <w:r w:rsidR="006D177D">
        <w:rPr>
          <w:sz w:val="24"/>
          <w:szCs w:val="24"/>
        </w:rPr>
        <w:t xml:space="preserve"> Contract staff from AIR will ensure that practices realize there is no burden to them on the MHI-LV other than the time required to fill out the MHI-LV tool (i.e., they can ignore the measure author’s reference in the instructions to a companion patient tool associated with the MHI-LV). </w:t>
      </w:r>
    </w:p>
    <w:p w:rsidR="009E3F60" w:rsidRDefault="009E3F60" w:rsidP="0066072B">
      <w:pPr>
        <w:rPr>
          <w:sz w:val="24"/>
          <w:szCs w:val="24"/>
        </w:rPr>
      </w:pPr>
    </w:p>
    <w:p w:rsidR="00D20B54" w:rsidRDefault="00D20B54" w:rsidP="00D20B54">
      <w:pPr>
        <w:pStyle w:val="PTableTitle"/>
        <w:rPr>
          <w:rFonts w:eastAsiaTheme="minorEastAsia"/>
        </w:rPr>
      </w:pPr>
      <w:r w:rsidRPr="00395EF1">
        <w:rPr>
          <w:rFonts w:eastAsiaTheme="minorEastAsia"/>
        </w:rPr>
        <w:t xml:space="preserve">Exhibit </w:t>
      </w:r>
      <w:r>
        <w:rPr>
          <w:rFonts w:eastAsiaTheme="minorEastAsia"/>
        </w:rPr>
        <w:t>1</w:t>
      </w:r>
      <w:r w:rsidRPr="00395EF1">
        <w:rPr>
          <w:rFonts w:eastAsiaTheme="minorEastAsia"/>
        </w:rPr>
        <w:t>. Estimated</w:t>
      </w:r>
      <w:r w:rsidRPr="00935E36">
        <w:rPr>
          <w:rFonts w:eastAsiaTheme="minorEastAsia"/>
        </w:rPr>
        <w:t xml:space="preserve"> </w:t>
      </w:r>
      <w:r w:rsidR="00A52A18">
        <w:rPr>
          <w:rFonts w:eastAsiaTheme="minorEastAsia"/>
        </w:rPr>
        <w:t xml:space="preserve">Annualized </w:t>
      </w:r>
      <w:r w:rsidRPr="00935E36">
        <w:rPr>
          <w:rFonts w:eastAsiaTheme="minorEastAsia"/>
        </w:rPr>
        <w:t xml:space="preserve">Burden Hours </w:t>
      </w:r>
      <w:r w:rsidRPr="00103746">
        <w:rPr>
          <w:rFonts w:eastAsiaTheme="minorEastAsia"/>
        </w:rPr>
        <w:t xml:space="preserve">for </w:t>
      </w:r>
      <w:r w:rsidR="00FC5D46">
        <w:rPr>
          <w:rFonts w:eastAsiaTheme="minorEastAsia"/>
        </w:rPr>
        <w:t xml:space="preserve">CCQM-PC Survey </w:t>
      </w:r>
      <w:r>
        <w:rPr>
          <w:rFonts w:eastAsiaTheme="minorEastAsia"/>
        </w:rPr>
        <w:t>Pilot Test</w:t>
      </w:r>
      <w:r w:rsidR="00FC5D46">
        <w:rPr>
          <w:rFonts w:eastAsiaTheme="minorEastAsia"/>
        </w:rPr>
        <w:t xml:space="preserve"> by Entity</w:t>
      </w:r>
    </w:p>
    <w:p w:rsidR="00DB6D04" w:rsidRPr="00DB6D04" w:rsidRDefault="00DB6D04" w:rsidP="00DB6D04">
      <w:pPr>
        <w:kinsoku w:val="0"/>
        <w:overflowPunct w:val="0"/>
        <w:autoSpaceDE w:val="0"/>
        <w:autoSpaceDN w:val="0"/>
        <w:adjustRightInd w:val="0"/>
        <w:spacing w:before="8" w:line="90" w:lineRule="exact"/>
        <w:rPr>
          <w:sz w:val="9"/>
          <w:szCs w:val="9"/>
        </w:rPr>
      </w:pPr>
    </w:p>
    <w:tbl>
      <w:tblPr>
        <w:tblW w:w="9468" w:type="dxa"/>
        <w:jc w:val="center"/>
        <w:tblLayout w:type="fixed"/>
        <w:tblCellMar>
          <w:left w:w="0" w:type="dxa"/>
          <w:right w:w="0" w:type="dxa"/>
        </w:tblCellMar>
        <w:tblLook w:val="0000" w:firstRow="0" w:lastRow="0" w:firstColumn="0" w:lastColumn="0" w:noHBand="0" w:noVBand="0"/>
      </w:tblPr>
      <w:tblGrid>
        <w:gridCol w:w="3769"/>
        <w:gridCol w:w="1620"/>
        <w:gridCol w:w="1530"/>
        <w:gridCol w:w="1109"/>
        <w:gridCol w:w="1440"/>
      </w:tblGrid>
      <w:tr w:rsidR="00DB6D04" w:rsidRPr="00DB6D04" w:rsidTr="00581446">
        <w:trPr>
          <w:jc w:val="center"/>
        </w:trPr>
        <w:tc>
          <w:tcPr>
            <w:tcW w:w="3769" w:type="dxa"/>
            <w:tcBorders>
              <w:top w:val="single" w:sz="8" w:space="0" w:color="000000"/>
              <w:left w:val="single" w:sz="8" w:space="0" w:color="000000"/>
              <w:bottom w:val="single" w:sz="8" w:space="0" w:color="000000"/>
              <w:right w:val="single" w:sz="8" w:space="0" w:color="000000"/>
            </w:tcBorders>
            <w:shd w:val="clear" w:color="auto" w:fill="1F497D"/>
          </w:tcPr>
          <w:p w:rsidR="00581446" w:rsidRPr="00581446" w:rsidRDefault="00581446" w:rsidP="00581446">
            <w:pPr>
              <w:kinsoku w:val="0"/>
              <w:overflowPunct w:val="0"/>
              <w:autoSpaceDE w:val="0"/>
              <w:autoSpaceDN w:val="0"/>
              <w:adjustRightInd w:val="0"/>
              <w:spacing w:before="2" w:line="110" w:lineRule="exact"/>
              <w:jc w:val="center"/>
              <w:rPr>
                <w:rFonts w:ascii="Arial" w:hAnsi="Arial" w:cs="Arial"/>
                <w:sz w:val="11"/>
                <w:szCs w:val="11"/>
              </w:rPr>
            </w:pPr>
          </w:p>
          <w:p w:rsidR="00581446" w:rsidRDefault="00581446" w:rsidP="00581446">
            <w:pPr>
              <w:kinsoku w:val="0"/>
              <w:overflowPunct w:val="0"/>
              <w:autoSpaceDE w:val="0"/>
              <w:autoSpaceDN w:val="0"/>
              <w:adjustRightInd w:val="0"/>
              <w:ind w:left="97" w:right="233"/>
              <w:jc w:val="center"/>
              <w:rPr>
                <w:rFonts w:ascii="Arial" w:hAnsi="Arial" w:cs="Arial"/>
                <w:b/>
                <w:bCs/>
                <w:color w:val="FFFFFF"/>
              </w:rPr>
            </w:pPr>
          </w:p>
          <w:p w:rsidR="00DB6D04" w:rsidRPr="00581446" w:rsidRDefault="00DB6D04" w:rsidP="00DB6D04">
            <w:pPr>
              <w:kinsoku w:val="0"/>
              <w:overflowPunct w:val="0"/>
              <w:autoSpaceDE w:val="0"/>
              <w:autoSpaceDN w:val="0"/>
              <w:adjustRightInd w:val="0"/>
              <w:spacing w:before="7" w:line="220" w:lineRule="exact"/>
              <w:rPr>
                <w:rFonts w:ascii="Arial" w:hAnsi="Arial" w:cs="Arial"/>
                <w:sz w:val="22"/>
                <w:szCs w:val="22"/>
              </w:rPr>
            </w:pPr>
          </w:p>
          <w:p w:rsidR="00DB6D04" w:rsidRPr="00581446" w:rsidRDefault="00DB6D04" w:rsidP="00DB6D04">
            <w:pPr>
              <w:kinsoku w:val="0"/>
              <w:overflowPunct w:val="0"/>
              <w:autoSpaceDE w:val="0"/>
              <w:autoSpaceDN w:val="0"/>
              <w:adjustRightInd w:val="0"/>
              <w:ind w:left="97"/>
              <w:rPr>
                <w:rFonts w:ascii="Arial" w:hAnsi="Arial" w:cs="Arial"/>
                <w:sz w:val="24"/>
                <w:szCs w:val="24"/>
              </w:rPr>
            </w:pPr>
            <w:r w:rsidRPr="00581446">
              <w:rPr>
                <w:rFonts w:ascii="Arial" w:hAnsi="Arial" w:cs="Arial"/>
                <w:b/>
                <w:bCs/>
                <w:color w:val="FFFFFF"/>
              </w:rPr>
              <w:t>D</w:t>
            </w:r>
            <w:r w:rsidRPr="00581446">
              <w:rPr>
                <w:rFonts w:ascii="Arial" w:hAnsi="Arial" w:cs="Arial"/>
                <w:b/>
                <w:bCs/>
                <w:color w:val="FFFFFF"/>
                <w:spacing w:val="1"/>
              </w:rPr>
              <w:t>a</w:t>
            </w:r>
            <w:r w:rsidRPr="00581446">
              <w:rPr>
                <w:rFonts w:ascii="Arial" w:hAnsi="Arial" w:cs="Arial"/>
                <w:b/>
                <w:bCs/>
                <w:color w:val="FFFFFF"/>
              </w:rPr>
              <w:t>ta</w:t>
            </w:r>
            <w:r w:rsidRPr="00581446">
              <w:rPr>
                <w:rFonts w:ascii="Arial" w:hAnsi="Arial" w:cs="Arial"/>
                <w:b/>
                <w:bCs/>
                <w:color w:val="FFFFFF"/>
                <w:spacing w:val="-9"/>
              </w:rPr>
              <w:t xml:space="preserve"> </w:t>
            </w:r>
            <w:r w:rsidRPr="00581446">
              <w:rPr>
                <w:rFonts w:ascii="Arial" w:hAnsi="Arial" w:cs="Arial"/>
                <w:b/>
                <w:bCs/>
                <w:color w:val="FFFFFF"/>
              </w:rPr>
              <w:t>c</w:t>
            </w:r>
            <w:r w:rsidRPr="00581446">
              <w:rPr>
                <w:rFonts w:ascii="Arial" w:hAnsi="Arial" w:cs="Arial"/>
                <w:b/>
                <w:bCs/>
                <w:color w:val="FFFFFF"/>
                <w:spacing w:val="1"/>
              </w:rPr>
              <w:t>o</w:t>
            </w:r>
            <w:r w:rsidRPr="00581446">
              <w:rPr>
                <w:rFonts w:ascii="Arial" w:hAnsi="Arial" w:cs="Arial"/>
                <w:b/>
                <w:bCs/>
                <w:color w:val="FFFFFF"/>
                <w:spacing w:val="-1"/>
              </w:rPr>
              <w:t>ll</w:t>
            </w:r>
            <w:r w:rsidRPr="00581446">
              <w:rPr>
                <w:rFonts w:ascii="Arial" w:hAnsi="Arial" w:cs="Arial"/>
                <w:b/>
                <w:bCs/>
                <w:color w:val="FFFFFF"/>
              </w:rPr>
              <w:t>ect</w:t>
            </w:r>
            <w:r w:rsidRPr="00581446">
              <w:rPr>
                <w:rFonts w:ascii="Arial" w:hAnsi="Arial" w:cs="Arial"/>
                <w:b/>
                <w:bCs/>
                <w:color w:val="FFFFFF"/>
                <w:spacing w:val="-1"/>
              </w:rPr>
              <w:t>i</w:t>
            </w:r>
            <w:r w:rsidRPr="00581446">
              <w:rPr>
                <w:rFonts w:ascii="Arial" w:hAnsi="Arial" w:cs="Arial"/>
                <w:b/>
                <w:bCs/>
                <w:color w:val="FFFFFF"/>
                <w:spacing w:val="1"/>
              </w:rPr>
              <w:t>o</w:t>
            </w:r>
            <w:r w:rsidRPr="00581446">
              <w:rPr>
                <w:rFonts w:ascii="Arial" w:hAnsi="Arial" w:cs="Arial"/>
                <w:b/>
                <w:bCs/>
                <w:color w:val="FFFFFF"/>
              </w:rPr>
              <w:t>n</w:t>
            </w:r>
            <w:r w:rsidRPr="00581446">
              <w:rPr>
                <w:rFonts w:ascii="Arial" w:hAnsi="Arial" w:cs="Arial"/>
                <w:b/>
                <w:bCs/>
                <w:color w:val="FFFFFF"/>
                <w:spacing w:val="-12"/>
              </w:rPr>
              <w:t xml:space="preserve"> </w:t>
            </w:r>
            <w:r w:rsidRPr="00581446">
              <w:rPr>
                <w:rFonts w:ascii="Arial" w:hAnsi="Arial" w:cs="Arial"/>
                <w:b/>
                <w:bCs/>
                <w:color w:val="FFFFFF"/>
                <w:spacing w:val="1"/>
              </w:rPr>
              <w:t>a</w:t>
            </w:r>
            <w:r w:rsidRPr="00581446">
              <w:rPr>
                <w:rFonts w:ascii="Arial" w:hAnsi="Arial" w:cs="Arial"/>
                <w:b/>
                <w:bCs/>
                <w:color w:val="FFFFFF"/>
              </w:rPr>
              <w:t>ct</w:t>
            </w:r>
            <w:r w:rsidRPr="00581446">
              <w:rPr>
                <w:rFonts w:ascii="Arial" w:hAnsi="Arial" w:cs="Arial"/>
                <w:b/>
                <w:bCs/>
                <w:color w:val="FFFFFF"/>
                <w:spacing w:val="-1"/>
              </w:rPr>
              <w:t>i</w:t>
            </w:r>
            <w:r w:rsidRPr="00581446">
              <w:rPr>
                <w:rFonts w:ascii="Arial" w:hAnsi="Arial" w:cs="Arial"/>
                <w:b/>
                <w:bCs/>
                <w:color w:val="FFFFFF"/>
                <w:spacing w:val="1"/>
              </w:rPr>
              <w:t>v</w:t>
            </w:r>
            <w:r w:rsidRPr="00581446">
              <w:rPr>
                <w:rFonts w:ascii="Arial" w:hAnsi="Arial" w:cs="Arial"/>
                <w:b/>
                <w:bCs/>
                <w:color w:val="FFFFFF"/>
                <w:spacing w:val="-1"/>
              </w:rPr>
              <w:t>i</w:t>
            </w:r>
            <w:r w:rsidRPr="00581446">
              <w:rPr>
                <w:rFonts w:ascii="Arial" w:hAnsi="Arial" w:cs="Arial"/>
                <w:b/>
                <w:bCs/>
                <w:color w:val="FFFFFF"/>
              </w:rPr>
              <w:t>ty</w:t>
            </w:r>
          </w:p>
        </w:tc>
        <w:tc>
          <w:tcPr>
            <w:tcW w:w="1620" w:type="dxa"/>
            <w:tcBorders>
              <w:top w:val="single" w:sz="8" w:space="0" w:color="000000"/>
              <w:left w:val="single" w:sz="8" w:space="0" w:color="000000"/>
              <w:bottom w:val="single" w:sz="8" w:space="0" w:color="000000"/>
              <w:right w:val="single" w:sz="8" w:space="0" w:color="000000"/>
            </w:tcBorders>
            <w:shd w:val="clear" w:color="auto" w:fill="1F497D"/>
          </w:tcPr>
          <w:p w:rsidR="00DB6D04" w:rsidRPr="00581446" w:rsidRDefault="00DB6D04" w:rsidP="00581446">
            <w:pPr>
              <w:kinsoku w:val="0"/>
              <w:overflowPunct w:val="0"/>
              <w:autoSpaceDE w:val="0"/>
              <w:autoSpaceDN w:val="0"/>
              <w:adjustRightInd w:val="0"/>
              <w:spacing w:before="2" w:line="110" w:lineRule="exact"/>
              <w:jc w:val="center"/>
              <w:rPr>
                <w:rFonts w:ascii="Arial" w:hAnsi="Arial" w:cs="Arial"/>
                <w:sz w:val="11"/>
                <w:szCs w:val="11"/>
              </w:rPr>
            </w:pPr>
          </w:p>
          <w:p w:rsidR="00581446" w:rsidRDefault="00581446" w:rsidP="00581446">
            <w:pPr>
              <w:kinsoku w:val="0"/>
              <w:overflowPunct w:val="0"/>
              <w:autoSpaceDE w:val="0"/>
              <w:autoSpaceDN w:val="0"/>
              <w:adjustRightInd w:val="0"/>
              <w:ind w:left="97" w:right="233"/>
              <w:jc w:val="center"/>
              <w:rPr>
                <w:rFonts w:ascii="Arial" w:hAnsi="Arial" w:cs="Arial"/>
                <w:b/>
                <w:bCs/>
                <w:color w:val="FFFFFF"/>
              </w:rPr>
            </w:pPr>
          </w:p>
          <w:p w:rsidR="00DB6D04" w:rsidRPr="00581446" w:rsidRDefault="00DB6D04" w:rsidP="00581446">
            <w:pPr>
              <w:kinsoku w:val="0"/>
              <w:overflowPunct w:val="0"/>
              <w:autoSpaceDE w:val="0"/>
              <w:autoSpaceDN w:val="0"/>
              <w:adjustRightInd w:val="0"/>
              <w:ind w:left="97" w:right="233"/>
              <w:jc w:val="center"/>
              <w:rPr>
                <w:rFonts w:ascii="Arial" w:hAnsi="Arial" w:cs="Arial"/>
                <w:sz w:val="24"/>
                <w:szCs w:val="24"/>
              </w:rPr>
            </w:pPr>
            <w:r w:rsidRPr="00581446">
              <w:rPr>
                <w:rFonts w:ascii="Arial" w:hAnsi="Arial" w:cs="Arial"/>
                <w:b/>
                <w:bCs/>
                <w:color w:val="FFFFFF"/>
              </w:rPr>
              <w:t>N</w:t>
            </w:r>
            <w:r w:rsidRPr="00581446">
              <w:rPr>
                <w:rFonts w:ascii="Arial" w:hAnsi="Arial" w:cs="Arial"/>
                <w:b/>
                <w:bCs/>
                <w:color w:val="FFFFFF"/>
                <w:spacing w:val="2"/>
              </w:rPr>
              <w:t>u</w:t>
            </w:r>
            <w:r w:rsidRPr="00581446">
              <w:rPr>
                <w:rFonts w:ascii="Arial" w:hAnsi="Arial" w:cs="Arial"/>
                <w:b/>
                <w:bCs/>
                <w:color w:val="FFFFFF"/>
                <w:spacing w:val="-3"/>
              </w:rPr>
              <w:t>m</w:t>
            </w:r>
            <w:r w:rsidRPr="00581446">
              <w:rPr>
                <w:rFonts w:ascii="Arial" w:hAnsi="Arial" w:cs="Arial"/>
                <w:b/>
                <w:bCs/>
                <w:color w:val="FFFFFF"/>
                <w:spacing w:val="-1"/>
              </w:rPr>
              <w:t>b</w:t>
            </w:r>
            <w:r w:rsidRPr="00581446">
              <w:rPr>
                <w:rFonts w:ascii="Arial" w:hAnsi="Arial" w:cs="Arial"/>
                <w:b/>
                <w:bCs/>
                <w:color w:val="FFFFFF"/>
              </w:rPr>
              <w:t>er</w:t>
            </w:r>
            <w:r w:rsidRPr="00581446">
              <w:rPr>
                <w:rFonts w:ascii="Arial" w:hAnsi="Arial" w:cs="Arial"/>
                <w:b/>
                <w:bCs/>
                <w:color w:val="FFFFFF"/>
                <w:spacing w:val="-9"/>
              </w:rPr>
              <w:t xml:space="preserve"> </w:t>
            </w:r>
            <w:r w:rsidRPr="00581446">
              <w:rPr>
                <w:rFonts w:ascii="Arial" w:hAnsi="Arial" w:cs="Arial"/>
                <w:b/>
                <w:bCs/>
                <w:color w:val="FFFFFF"/>
                <w:spacing w:val="1"/>
              </w:rPr>
              <w:t>o</w:t>
            </w:r>
            <w:r w:rsidRPr="00581446">
              <w:rPr>
                <w:rFonts w:ascii="Arial" w:hAnsi="Arial" w:cs="Arial"/>
                <w:b/>
                <w:bCs/>
                <w:color w:val="FFFFFF"/>
              </w:rPr>
              <w:t>f</w:t>
            </w:r>
            <w:r w:rsidRPr="00581446">
              <w:rPr>
                <w:rFonts w:ascii="Arial" w:hAnsi="Arial" w:cs="Arial"/>
                <w:b/>
                <w:bCs/>
                <w:color w:val="FFFFFF"/>
                <w:w w:val="99"/>
              </w:rPr>
              <w:t xml:space="preserve"> </w:t>
            </w:r>
            <w:r w:rsidRPr="00581446">
              <w:rPr>
                <w:rFonts w:ascii="Arial" w:hAnsi="Arial" w:cs="Arial"/>
                <w:b/>
                <w:bCs/>
                <w:color w:val="FFFFFF"/>
                <w:w w:val="95"/>
              </w:rPr>
              <w:t>Re</w:t>
            </w:r>
            <w:r w:rsidRPr="00581446">
              <w:rPr>
                <w:rFonts w:ascii="Arial" w:hAnsi="Arial" w:cs="Arial"/>
                <w:b/>
                <w:bCs/>
                <w:color w:val="FFFFFF"/>
                <w:spacing w:val="-1"/>
                <w:w w:val="95"/>
              </w:rPr>
              <w:t>sp</w:t>
            </w:r>
            <w:r w:rsidRPr="00581446">
              <w:rPr>
                <w:rFonts w:ascii="Arial" w:hAnsi="Arial" w:cs="Arial"/>
                <w:b/>
                <w:bCs/>
                <w:color w:val="FFFFFF"/>
                <w:w w:val="95"/>
              </w:rPr>
              <w:t>o</w:t>
            </w:r>
            <w:r w:rsidRPr="00581446">
              <w:rPr>
                <w:rFonts w:ascii="Arial" w:hAnsi="Arial" w:cs="Arial"/>
                <w:b/>
                <w:bCs/>
                <w:color w:val="FFFFFF"/>
                <w:spacing w:val="-1"/>
                <w:w w:val="95"/>
              </w:rPr>
              <w:t>nd</w:t>
            </w:r>
            <w:r w:rsidRPr="00581446">
              <w:rPr>
                <w:rFonts w:ascii="Arial" w:hAnsi="Arial" w:cs="Arial"/>
                <w:b/>
                <w:bCs/>
                <w:color w:val="FFFFFF"/>
                <w:spacing w:val="1"/>
                <w:w w:val="95"/>
              </w:rPr>
              <w:t>e</w:t>
            </w:r>
            <w:r w:rsidRPr="00581446">
              <w:rPr>
                <w:rFonts w:ascii="Arial" w:hAnsi="Arial" w:cs="Arial"/>
                <w:b/>
                <w:bCs/>
                <w:color w:val="FFFFFF"/>
                <w:spacing w:val="-1"/>
                <w:w w:val="95"/>
              </w:rPr>
              <w:t>n</w:t>
            </w:r>
            <w:r w:rsidRPr="00581446">
              <w:rPr>
                <w:rFonts w:ascii="Arial" w:hAnsi="Arial" w:cs="Arial"/>
                <w:b/>
                <w:bCs/>
                <w:color w:val="FFFFFF"/>
                <w:w w:val="95"/>
              </w:rPr>
              <w:t>ts</w:t>
            </w:r>
          </w:p>
        </w:tc>
        <w:tc>
          <w:tcPr>
            <w:tcW w:w="1530" w:type="dxa"/>
            <w:tcBorders>
              <w:top w:val="single" w:sz="8" w:space="0" w:color="000000"/>
              <w:left w:val="single" w:sz="8" w:space="0" w:color="000000"/>
              <w:bottom w:val="single" w:sz="8" w:space="0" w:color="000000"/>
              <w:right w:val="single" w:sz="8" w:space="0" w:color="000000"/>
            </w:tcBorders>
            <w:shd w:val="clear" w:color="auto" w:fill="1F497D"/>
          </w:tcPr>
          <w:p w:rsidR="00DB6D04" w:rsidRPr="00581446" w:rsidRDefault="00DB6D04" w:rsidP="00581446">
            <w:pPr>
              <w:kinsoku w:val="0"/>
              <w:overflowPunct w:val="0"/>
              <w:autoSpaceDE w:val="0"/>
              <w:autoSpaceDN w:val="0"/>
              <w:adjustRightInd w:val="0"/>
              <w:spacing w:before="3" w:line="228" w:lineRule="exact"/>
              <w:ind w:left="97" w:right="162"/>
              <w:jc w:val="center"/>
              <w:rPr>
                <w:rFonts w:ascii="Arial" w:hAnsi="Arial" w:cs="Arial"/>
                <w:color w:val="000000"/>
              </w:rPr>
            </w:pPr>
            <w:r w:rsidRPr="00581446">
              <w:rPr>
                <w:rFonts w:ascii="Arial" w:hAnsi="Arial" w:cs="Arial"/>
                <w:b/>
                <w:bCs/>
                <w:color w:val="FFFFFF"/>
              </w:rPr>
              <w:t>N</w:t>
            </w:r>
            <w:r w:rsidRPr="00581446">
              <w:rPr>
                <w:rFonts w:ascii="Arial" w:hAnsi="Arial" w:cs="Arial"/>
                <w:b/>
                <w:bCs/>
                <w:color w:val="FFFFFF"/>
                <w:spacing w:val="2"/>
              </w:rPr>
              <w:t>u</w:t>
            </w:r>
            <w:r w:rsidRPr="00581446">
              <w:rPr>
                <w:rFonts w:ascii="Arial" w:hAnsi="Arial" w:cs="Arial"/>
                <w:b/>
                <w:bCs/>
                <w:color w:val="FFFFFF"/>
                <w:spacing w:val="-3"/>
              </w:rPr>
              <w:t>m</w:t>
            </w:r>
            <w:r w:rsidRPr="00581446">
              <w:rPr>
                <w:rFonts w:ascii="Arial" w:hAnsi="Arial" w:cs="Arial"/>
                <w:b/>
                <w:bCs/>
                <w:color w:val="FFFFFF"/>
                <w:spacing w:val="-1"/>
              </w:rPr>
              <w:t>b</w:t>
            </w:r>
            <w:r w:rsidRPr="00581446">
              <w:rPr>
                <w:rFonts w:ascii="Arial" w:hAnsi="Arial" w:cs="Arial"/>
                <w:b/>
                <w:bCs/>
                <w:color w:val="FFFFFF"/>
              </w:rPr>
              <w:t>er</w:t>
            </w:r>
            <w:r w:rsidRPr="00581446">
              <w:rPr>
                <w:rFonts w:ascii="Arial" w:hAnsi="Arial" w:cs="Arial"/>
                <w:b/>
                <w:bCs/>
                <w:color w:val="FFFFFF"/>
                <w:spacing w:val="-9"/>
              </w:rPr>
              <w:t xml:space="preserve"> </w:t>
            </w:r>
            <w:r w:rsidRPr="00581446">
              <w:rPr>
                <w:rFonts w:ascii="Arial" w:hAnsi="Arial" w:cs="Arial"/>
                <w:b/>
                <w:bCs/>
                <w:color w:val="FFFFFF"/>
                <w:spacing w:val="1"/>
              </w:rPr>
              <w:t>o</w:t>
            </w:r>
            <w:r w:rsidRPr="00581446">
              <w:rPr>
                <w:rFonts w:ascii="Arial" w:hAnsi="Arial" w:cs="Arial"/>
                <w:b/>
                <w:bCs/>
                <w:color w:val="FFFFFF"/>
              </w:rPr>
              <w:t>f</w:t>
            </w:r>
            <w:r w:rsidRPr="00581446">
              <w:rPr>
                <w:rFonts w:ascii="Arial" w:hAnsi="Arial" w:cs="Arial"/>
                <w:b/>
                <w:bCs/>
                <w:color w:val="FFFFFF"/>
                <w:w w:val="99"/>
              </w:rPr>
              <w:t xml:space="preserve"> </w:t>
            </w:r>
            <w:r w:rsidRPr="00581446">
              <w:rPr>
                <w:rFonts w:ascii="Arial" w:hAnsi="Arial" w:cs="Arial"/>
                <w:b/>
                <w:bCs/>
                <w:color w:val="FFFFFF"/>
              </w:rPr>
              <w:t>re</w:t>
            </w:r>
            <w:r w:rsidRPr="00581446">
              <w:rPr>
                <w:rFonts w:ascii="Arial" w:hAnsi="Arial" w:cs="Arial"/>
                <w:b/>
                <w:bCs/>
                <w:color w:val="FFFFFF"/>
                <w:spacing w:val="-1"/>
              </w:rPr>
              <w:t>sp</w:t>
            </w:r>
            <w:r w:rsidRPr="00581446">
              <w:rPr>
                <w:rFonts w:ascii="Arial" w:hAnsi="Arial" w:cs="Arial"/>
                <w:b/>
                <w:bCs/>
                <w:color w:val="FFFFFF"/>
                <w:spacing w:val="1"/>
              </w:rPr>
              <w:t>o</w:t>
            </w:r>
            <w:r w:rsidRPr="00581446">
              <w:rPr>
                <w:rFonts w:ascii="Arial" w:hAnsi="Arial" w:cs="Arial"/>
                <w:b/>
                <w:bCs/>
                <w:color w:val="FFFFFF"/>
                <w:spacing w:val="-1"/>
              </w:rPr>
              <w:t>ns</w:t>
            </w:r>
            <w:r w:rsidRPr="00581446">
              <w:rPr>
                <w:rFonts w:ascii="Arial" w:hAnsi="Arial" w:cs="Arial"/>
                <w:b/>
                <w:bCs/>
                <w:color w:val="FFFFFF"/>
                <w:spacing w:val="2"/>
              </w:rPr>
              <w:t>e</w:t>
            </w:r>
            <w:r w:rsidRPr="00581446">
              <w:rPr>
                <w:rFonts w:ascii="Arial" w:hAnsi="Arial" w:cs="Arial"/>
                <w:b/>
                <w:bCs/>
                <w:color w:val="FFFFFF"/>
              </w:rPr>
              <w:t>s</w:t>
            </w:r>
            <w:r w:rsidRPr="00581446">
              <w:rPr>
                <w:rFonts w:ascii="Arial" w:hAnsi="Arial" w:cs="Arial"/>
                <w:b/>
                <w:bCs/>
                <w:color w:val="FFFFFF"/>
                <w:spacing w:val="-13"/>
              </w:rPr>
              <w:t xml:space="preserve"> </w:t>
            </w:r>
            <w:r w:rsidRPr="00581446">
              <w:rPr>
                <w:rFonts w:ascii="Arial" w:hAnsi="Arial" w:cs="Arial"/>
                <w:b/>
                <w:bCs/>
                <w:color w:val="FFFFFF"/>
                <w:spacing w:val="-1"/>
              </w:rPr>
              <w:t>p</w:t>
            </w:r>
            <w:r w:rsidRPr="00581446">
              <w:rPr>
                <w:rFonts w:ascii="Arial" w:hAnsi="Arial" w:cs="Arial"/>
                <w:b/>
                <w:bCs/>
                <w:color w:val="FFFFFF"/>
              </w:rPr>
              <w:t>er</w:t>
            </w:r>
          </w:p>
          <w:p w:rsidR="00DB6D04" w:rsidRPr="00581446" w:rsidRDefault="00DB6D04" w:rsidP="00581446">
            <w:pPr>
              <w:kinsoku w:val="0"/>
              <w:overflowPunct w:val="0"/>
              <w:autoSpaceDE w:val="0"/>
              <w:autoSpaceDN w:val="0"/>
              <w:adjustRightInd w:val="0"/>
              <w:spacing w:line="228" w:lineRule="exact"/>
              <w:ind w:left="97"/>
              <w:jc w:val="center"/>
              <w:rPr>
                <w:rFonts w:ascii="Arial" w:hAnsi="Arial" w:cs="Arial"/>
                <w:sz w:val="24"/>
                <w:szCs w:val="24"/>
              </w:rPr>
            </w:pPr>
            <w:r w:rsidRPr="00581446">
              <w:rPr>
                <w:rFonts w:ascii="Arial" w:hAnsi="Arial" w:cs="Arial"/>
                <w:b/>
                <w:bCs/>
                <w:color w:val="FFFFFF"/>
              </w:rPr>
              <w:t>re</w:t>
            </w:r>
            <w:r w:rsidRPr="00581446">
              <w:rPr>
                <w:rFonts w:ascii="Arial" w:hAnsi="Arial" w:cs="Arial"/>
                <w:b/>
                <w:bCs/>
                <w:color w:val="FFFFFF"/>
                <w:spacing w:val="-1"/>
              </w:rPr>
              <w:t>sp</w:t>
            </w:r>
            <w:r w:rsidRPr="00581446">
              <w:rPr>
                <w:rFonts w:ascii="Arial" w:hAnsi="Arial" w:cs="Arial"/>
                <w:b/>
                <w:bCs/>
                <w:color w:val="FFFFFF"/>
                <w:spacing w:val="1"/>
              </w:rPr>
              <w:t>o</w:t>
            </w:r>
            <w:r w:rsidRPr="00581446">
              <w:rPr>
                <w:rFonts w:ascii="Arial" w:hAnsi="Arial" w:cs="Arial"/>
                <w:b/>
                <w:bCs/>
                <w:color w:val="FFFFFF"/>
                <w:spacing w:val="-1"/>
              </w:rPr>
              <w:t>nd</w:t>
            </w:r>
            <w:r w:rsidRPr="00581446">
              <w:rPr>
                <w:rFonts w:ascii="Arial" w:hAnsi="Arial" w:cs="Arial"/>
                <w:b/>
                <w:bCs/>
                <w:color w:val="FFFFFF"/>
              </w:rPr>
              <w:t>e</w:t>
            </w:r>
            <w:r w:rsidRPr="00581446">
              <w:rPr>
                <w:rFonts w:ascii="Arial" w:hAnsi="Arial" w:cs="Arial"/>
                <w:b/>
                <w:bCs/>
                <w:color w:val="FFFFFF"/>
                <w:spacing w:val="-1"/>
              </w:rPr>
              <w:t>nt</w:t>
            </w:r>
          </w:p>
        </w:tc>
        <w:tc>
          <w:tcPr>
            <w:tcW w:w="1109" w:type="dxa"/>
            <w:tcBorders>
              <w:top w:val="single" w:sz="8" w:space="0" w:color="000000"/>
              <w:left w:val="single" w:sz="8" w:space="0" w:color="000000"/>
              <w:bottom w:val="single" w:sz="8" w:space="0" w:color="000000"/>
              <w:right w:val="single" w:sz="8" w:space="0" w:color="000000"/>
            </w:tcBorders>
            <w:shd w:val="clear" w:color="auto" w:fill="1F497D"/>
          </w:tcPr>
          <w:p w:rsidR="00581446" w:rsidRPr="00581446" w:rsidRDefault="00581446" w:rsidP="00581446">
            <w:pPr>
              <w:kinsoku w:val="0"/>
              <w:overflowPunct w:val="0"/>
              <w:autoSpaceDE w:val="0"/>
              <w:autoSpaceDN w:val="0"/>
              <w:adjustRightInd w:val="0"/>
              <w:spacing w:before="2" w:line="110" w:lineRule="exact"/>
              <w:jc w:val="center"/>
              <w:rPr>
                <w:rFonts w:ascii="Arial" w:hAnsi="Arial" w:cs="Arial"/>
                <w:sz w:val="11"/>
                <w:szCs w:val="11"/>
              </w:rPr>
            </w:pPr>
          </w:p>
          <w:p w:rsidR="00581446" w:rsidRDefault="00581446" w:rsidP="00581446">
            <w:pPr>
              <w:kinsoku w:val="0"/>
              <w:overflowPunct w:val="0"/>
              <w:autoSpaceDE w:val="0"/>
              <w:autoSpaceDN w:val="0"/>
              <w:adjustRightInd w:val="0"/>
              <w:ind w:left="97" w:right="233"/>
              <w:jc w:val="center"/>
              <w:rPr>
                <w:rFonts w:ascii="Arial" w:hAnsi="Arial" w:cs="Arial"/>
                <w:b/>
                <w:bCs/>
                <w:color w:val="FFFFFF"/>
              </w:rPr>
            </w:pPr>
          </w:p>
          <w:p w:rsidR="00DB6D04" w:rsidRPr="00581446" w:rsidRDefault="00DB6D04" w:rsidP="00581446">
            <w:pPr>
              <w:kinsoku w:val="0"/>
              <w:overflowPunct w:val="0"/>
              <w:autoSpaceDE w:val="0"/>
              <w:autoSpaceDN w:val="0"/>
              <w:adjustRightInd w:val="0"/>
              <w:ind w:left="-11" w:right="18"/>
              <w:jc w:val="center"/>
              <w:rPr>
                <w:rFonts w:ascii="Arial" w:hAnsi="Arial" w:cs="Arial"/>
                <w:sz w:val="24"/>
                <w:szCs w:val="24"/>
              </w:rPr>
            </w:pPr>
            <w:r w:rsidRPr="00581446">
              <w:rPr>
                <w:rFonts w:ascii="Arial" w:hAnsi="Arial" w:cs="Arial"/>
                <w:b/>
                <w:bCs/>
                <w:color w:val="FFFFFF"/>
                <w:spacing w:val="1"/>
              </w:rPr>
              <w:t>Ho</w:t>
            </w:r>
            <w:r w:rsidRPr="00581446">
              <w:rPr>
                <w:rFonts w:ascii="Arial" w:hAnsi="Arial" w:cs="Arial"/>
                <w:b/>
                <w:bCs/>
                <w:color w:val="FFFFFF"/>
                <w:spacing w:val="-1"/>
              </w:rPr>
              <w:t>u</w:t>
            </w:r>
            <w:r w:rsidRPr="00581446">
              <w:rPr>
                <w:rFonts w:ascii="Arial" w:hAnsi="Arial" w:cs="Arial"/>
                <w:b/>
                <w:bCs/>
                <w:color w:val="FFFFFF"/>
              </w:rPr>
              <w:t>rs</w:t>
            </w:r>
            <w:r w:rsidRPr="00581446">
              <w:rPr>
                <w:rFonts w:ascii="Arial" w:hAnsi="Arial" w:cs="Arial"/>
                <w:b/>
                <w:bCs/>
                <w:color w:val="FFFFFF"/>
                <w:spacing w:val="-10"/>
              </w:rPr>
              <w:t xml:space="preserve"> </w:t>
            </w:r>
            <w:r w:rsidRPr="00581446">
              <w:rPr>
                <w:rFonts w:ascii="Arial" w:hAnsi="Arial" w:cs="Arial"/>
                <w:b/>
                <w:bCs/>
                <w:color w:val="FFFFFF"/>
                <w:spacing w:val="-1"/>
              </w:rPr>
              <w:t>p</w:t>
            </w:r>
            <w:r w:rsidRPr="00581446">
              <w:rPr>
                <w:rFonts w:ascii="Arial" w:hAnsi="Arial" w:cs="Arial"/>
                <w:b/>
                <w:bCs/>
                <w:color w:val="FFFFFF"/>
              </w:rPr>
              <w:t>er</w:t>
            </w:r>
            <w:r w:rsidRPr="00581446">
              <w:rPr>
                <w:rFonts w:ascii="Arial" w:hAnsi="Arial" w:cs="Arial"/>
                <w:b/>
                <w:bCs/>
                <w:color w:val="FFFFFF"/>
                <w:w w:val="99"/>
              </w:rPr>
              <w:t xml:space="preserve"> </w:t>
            </w:r>
            <w:r w:rsidRPr="00581446">
              <w:rPr>
                <w:rFonts w:ascii="Arial" w:hAnsi="Arial" w:cs="Arial"/>
                <w:b/>
                <w:bCs/>
                <w:color w:val="FFFFFF"/>
              </w:rPr>
              <w:t>re</w:t>
            </w:r>
            <w:r w:rsidRPr="00581446">
              <w:rPr>
                <w:rFonts w:ascii="Arial" w:hAnsi="Arial" w:cs="Arial"/>
                <w:b/>
                <w:bCs/>
                <w:color w:val="FFFFFF"/>
                <w:spacing w:val="-1"/>
              </w:rPr>
              <w:t>sp</w:t>
            </w:r>
            <w:r w:rsidRPr="00581446">
              <w:rPr>
                <w:rFonts w:ascii="Arial" w:hAnsi="Arial" w:cs="Arial"/>
                <w:b/>
                <w:bCs/>
                <w:color w:val="FFFFFF"/>
                <w:spacing w:val="1"/>
              </w:rPr>
              <w:t>o</w:t>
            </w:r>
            <w:r w:rsidRPr="00581446">
              <w:rPr>
                <w:rFonts w:ascii="Arial" w:hAnsi="Arial" w:cs="Arial"/>
                <w:b/>
                <w:bCs/>
                <w:color w:val="FFFFFF"/>
                <w:spacing w:val="-1"/>
              </w:rPr>
              <w:t>nse</w:t>
            </w:r>
          </w:p>
        </w:tc>
        <w:tc>
          <w:tcPr>
            <w:tcW w:w="1440" w:type="dxa"/>
            <w:tcBorders>
              <w:top w:val="single" w:sz="8" w:space="0" w:color="000000"/>
              <w:left w:val="single" w:sz="8" w:space="0" w:color="000000"/>
              <w:bottom w:val="single" w:sz="8" w:space="0" w:color="000000"/>
              <w:right w:val="single" w:sz="9" w:space="0" w:color="1F497D"/>
            </w:tcBorders>
            <w:shd w:val="clear" w:color="auto" w:fill="1F497D"/>
          </w:tcPr>
          <w:p w:rsidR="00581446" w:rsidRPr="00581446" w:rsidRDefault="00581446" w:rsidP="00581446">
            <w:pPr>
              <w:kinsoku w:val="0"/>
              <w:overflowPunct w:val="0"/>
              <w:autoSpaceDE w:val="0"/>
              <w:autoSpaceDN w:val="0"/>
              <w:adjustRightInd w:val="0"/>
              <w:spacing w:before="2" w:line="110" w:lineRule="exact"/>
              <w:jc w:val="center"/>
              <w:rPr>
                <w:rFonts w:ascii="Arial" w:hAnsi="Arial" w:cs="Arial"/>
                <w:sz w:val="11"/>
                <w:szCs w:val="11"/>
              </w:rPr>
            </w:pPr>
          </w:p>
          <w:p w:rsidR="00581446" w:rsidRDefault="00DB6D04" w:rsidP="00581446">
            <w:pPr>
              <w:kinsoku w:val="0"/>
              <w:overflowPunct w:val="0"/>
              <w:autoSpaceDE w:val="0"/>
              <w:autoSpaceDN w:val="0"/>
              <w:adjustRightInd w:val="0"/>
              <w:spacing w:before="3" w:line="228" w:lineRule="exact"/>
              <w:ind w:left="97" w:right="236"/>
              <w:jc w:val="center"/>
              <w:rPr>
                <w:rFonts w:ascii="Arial" w:hAnsi="Arial" w:cs="Arial"/>
                <w:b/>
                <w:bCs/>
                <w:color w:val="FFFFFF"/>
                <w:w w:val="95"/>
              </w:rPr>
            </w:pPr>
            <w:r w:rsidRPr="00581446">
              <w:rPr>
                <w:rFonts w:ascii="Arial" w:hAnsi="Arial" w:cs="Arial"/>
                <w:b/>
                <w:bCs/>
                <w:color w:val="FFFFFF"/>
                <w:spacing w:val="-1"/>
              </w:rPr>
              <w:t>T</w:t>
            </w:r>
            <w:r w:rsidRPr="00581446">
              <w:rPr>
                <w:rFonts w:ascii="Arial" w:hAnsi="Arial" w:cs="Arial"/>
                <w:b/>
                <w:bCs/>
                <w:color w:val="FFFFFF"/>
                <w:spacing w:val="1"/>
              </w:rPr>
              <w:t>o</w:t>
            </w:r>
            <w:r w:rsidRPr="00581446">
              <w:rPr>
                <w:rFonts w:ascii="Arial" w:hAnsi="Arial" w:cs="Arial"/>
                <w:b/>
                <w:bCs/>
                <w:color w:val="FFFFFF"/>
              </w:rPr>
              <w:t>t</w:t>
            </w:r>
            <w:r w:rsidRPr="00581446">
              <w:rPr>
                <w:rFonts w:ascii="Arial" w:hAnsi="Arial" w:cs="Arial"/>
                <w:b/>
                <w:bCs/>
                <w:color w:val="FFFFFF"/>
                <w:spacing w:val="1"/>
              </w:rPr>
              <w:t>al</w:t>
            </w:r>
            <w:r w:rsidRPr="00581446">
              <w:rPr>
                <w:rFonts w:ascii="Arial" w:hAnsi="Arial" w:cs="Arial"/>
                <w:b/>
                <w:bCs/>
                <w:color w:val="FFFFFF"/>
                <w:spacing w:val="1"/>
                <w:w w:val="99"/>
              </w:rPr>
              <w:t xml:space="preserve"> </w:t>
            </w:r>
            <w:r w:rsidRPr="00581446">
              <w:rPr>
                <w:rFonts w:ascii="Arial" w:hAnsi="Arial" w:cs="Arial"/>
                <w:b/>
                <w:bCs/>
                <w:color w:val="FFFFFF"/>
                <w:w w:val="95"/>
              </w:rPr>
              <w:t>B</w:t>
            </w:r>
            <w:r w:rsidRPr="00581446">
              <w:rPr>
                <w:rFonts w:ascii="Arial" w:hAnsi="Arial" w:cs="Arial"/>
                <w:b/>
                <w:bCs/>
                <w:color w:val="FFFFFF"/>
                <w:spacing w:val="-1"/>
                <w:w w:val="95"/>
              </w:rPr>
              <w:t>u</w:t>
            </w:r>
            <w:r w:rsidRPr="00581446">
              <w:rPr>
                <w:rFonts w:ascii="Arial" w:hAnsi="Arial" w:cs="Arial"/>
                <w:b/>
                <w:bCs/>
                <w:color w:val="FFFFFF"/>
                <w:w w:val="95"/>
              </w:rPr>
              <w:t>r</w:t>
            </w:r>
            <w:r w:rsidRPr="00581446">
              <w:rPr>
                <w:rFonts w:ascii="Arial" w:hAnsi="Arial" w:cs="Arial"/>
                <w:b/>
                <w:bCs/>
                <w:color w:val="FFFFFF"/>
                <w:spacing w:val="-1"/>
                <w:w w:val="95"/>
              </w:rPr>
              <w:t>d</w:t>
            </w:r>
            <w:r w:rsidRPr="00581446">
              <w:rPr>
                <w:rFonts w:ascii="Arial" w:hAnsi="Arial" w:cs="Arial"/>
                <w:b/>
                <w:bCs/>
                <w:color w:val="FFFFFF"/>
                <w:w w:val="95"/>
              </w:rPr>
              <w:t>en</w:t>
            </w:r>
          </w:p>
          <w:p w:rsidR="00DB6D04" w:rsidRPr="00581446" w:rsidRDefault="00DB6D04" w:rsidP="00581446">
            <w:pPr>
              <w:kinsoku w:val="0"/>
              <w:overflowPunct w:val="0"/>
              <w:autoSpaceDE w:val="0"/>
              <w:autoSpaceDN w:val="0"/>
              <w:adjustRightInd w:val="0"/>
              <w:spacing w:before="3" w:line="228" w:lineRule="exact"/>
              <w:ind w:left="97" w:right="236"/>
              <w:jc w:val="center"/>
              <w:rPr>
                <w:rFonts w:ascii="Arial" w:hAnsi="Arial" w:cs="Arial"/>
                <w:sz w:val="24"/>
                <w:szCs w:val="24"/>
              </w:rPr>
            </w:pPr>
            <w:r w:rsidRPr="00581446">
              <w:rPr>
                <w:rFonts w:ascii="Arial" w:hAnsi="Arial" w:cs="Arial"/>
                <w:b/>
                <w:bCs/>
                <w:color w:val="FFFFFF"/>
                <w:spacing w:val="-1"/>
              </w:rPr>
              <w:t>h</w:t>
            </w:r>
            <w:r w:rsidRPr="00581446">
              <w:rPr>
                <w:rFonts w:ascii="Arial" w:hAnsi="Arial" w:cs="Arial"/>
                <w:b/>
                <w:bCs/>
                <w:color w:val="FFFFFF"/>
                <w:spacing w:val="1"/>
              </w:rPr>
              <w:t>o</w:t>
            </w:r>
            <w:r w:rsidRPr="00581446">
              <w:rPr>
                <w:rFonts w:ascii="Arial" w:hAnsi="Arial" w:cs="Arial"/>
                <w:b/>
                <w:bCs/>
                <w:color w:val="FFFFFF"/>
                <w:spacing w:val="-1"/>
              </w:rPr>
              <w:t>u</w:t>
            </w:r>
            <w:r w:rsidRPr="00581446">
              <w:rPr>
                <w:rFonts w:ascii="Arial" w:hAnsi="Arial" w:cs="Arial"/>
                <w:b/>
                <w:bCs/>
                <w:color w:val="FFFFFF"/>
              </w:rPr>
              <w:t>rs</w:t>
            </w:r>
          </w:p>
        </w:tc>
      </w:tr>
      <w:tr w:rsidR="00DB6D04" w:rsidRPr="00DB6D04" w:rsidTr="00581446">
        <w:trPr>
          <w:trHeight w:hRule="exact" w:val="480"/>
          <w:jc w:val="center"/>
        </w:trPr>
        <w:tc>
          <w:tcPr>
            <w:tcW w:w="3769" w:type="dxa"/>
            <w:tcBorders>
              <w:top w:val="single" w:sz="8" w:space="0" w:color="000000"/>
              <w:left w:val="single" w:sz="8" w:space="0" w:color="000000"/>
              <w:bottom w:val="single" w:sz="8" w:space="0" w:color="000000"/>
              <w:right w:val="single" w:sz="8" w:space="0" w:color="000000"/>
            </w:tcBorders>
          </w:tcPr>
          <w:p w:rsidR="00DB6D04" w:rsidRPr="00581446" w:rsidRDefault="00DB6D04" w:rsidP="00BD598C">
            <w:pPr>
              <w:kinsoku w:val="0"/>
              <w:overflowPunct w:val="0"/>
              <w:autoSpaceDE w:val="0"/>
              <w:autoSpaceDN w:val="0"/>
              <w:adjustRightInd w:val="0"/>
              <w:spacing w:line="227" w:lineRule="exact"/>
              <w:ind w:left="97"/>
              <w:rPr>
                <w:rFonts w:ascii="Arial" w:hAnsi="Arial" w:cs="Arial"/>
                <w:sz w:val="24"/>
                <w:szCs w:val="24"/>
              </w:rPr>
            </w:pPr>
            <w:r w:rsidRPr="00581446">
              <w:rPr>
                <w:rFonts w:ascii="Arial" w:hAnsi="Arial" w:cs="Arial"/>
                <w:b/>
                <w:bCs/>
              </w:rPr>
              <w:t>CC</w:t>
            </w:r>
            <w:r w:rsidRPr="00581446">
              <w:rPr>
                <w:rFonts w:ascii="Arial" w:hAnsi="Arial" w:cs="Arial"/>
                <w:b/>
                <w:bCs/>
                <w:spacing w:val="-2"/>
              </w:rPr>
              <w:t>Q</w:t>
            </w:r>
            <w:r w:rsidRPr="00581446">
              <w:rPr>
                <w:rFonts w:ascii="Arial" w:hAnsi="Arial" w:cs="Arial"/>
                <w:b/>
                <w:bCs/>
                <w:spacing w:val="3"/>
              </w:rPr>
              <w:t>M</w:t>
            </w:r>
            <w:r w:rsidRPr="00581446">
              <w:rPr>
                <w:rFonts w:ascii="Arial" w:hAnsi="Arial" w:cs="Arial"/>
                <w:b/>
                <w:bCs/>
              </w:rPr>
              <w:t>-PC</w:t>
            </w:r>
            <w:r w:rsidRPr="00581446">
              <w:rPr>
                <w:rFonts w:ascii="Arial" w:hAnsi="Arial" w:cs="Arial"/>
                <w:b/>
                <w:bCs/>
                <w:spacing w:val="-7"/>
              </w:rPr>
              <w:t xml:space="preserve"> </w:t>
            </w:r>
            <w:r w:rsidRPr="00581446">
              <w:rPr>
                <w:rFonts w:ascii="Arial" w:hAnsi="Arial" w:cs="Arial"/>
                <w:b/>
                <w:bCs/>
                <w:spacing w:val="-1"/>
              </w:rPr>
              <w:t>su</w:t>
            </w:r>
            <w:r w:rsidRPr="00581446">
              <w:rPr>
                <w:rFonts w:ascii="Arial" w:hAnsi="Arial" w:cs="Arial"/>
                <w:b/>
                <w:bCs/>
              </w:rPr>
              <w:t>r</w:t>
            </w:r>
            <w:r w:rsidRPr="00581446">
              <w:rPr>
                <w:rFonts w:ascii="Arial" w:hAnsi="Arial" w:cs="Arial"/>
                <w:b/>
                <w:bCs/>
                <w:spacing w:val="1"/>
              </w:rPr>
              <w:t>v</w:t>
            </w:r>
            <w:r w:rsidRPr="00581446">
              <w:rPr>
                <w:rFonts w:ascii="Arial" w:hAnsi="Arial" w:cs="Arial"/>
                <w:b/>
                <w:bCs/>
              </w:rPr>
              <w:t>ey</w:t>
            </w:r>
          </w:p>
        </w:tc>
        <w:tc>
          <w:tcPr>
            <w:tcW w:w="1620" w:type="dxa"/>
            <w:tcBorders>
              <w:top w:val="single" w:sz="8" w:space="0" w:color="000000"/>
              <w:left w:val="single" w:sz="8" w:space="0" w:color="000000"/>
              <w:bottom w:val="single" w:sz="8" w:space="0" w:color="000000"/>
              <w:right w:val="single" w:sz="8" w:space="0" w:color="000000"/>
            </w:tcBorders>
          </w:tcPr>
          <w:p w:rsidR="00DB6D04" w:rsidRPr="00581446" w:rsidRDefault="00DB6D04" w:rsidP="00DB6D04">
            <w:pPr>
              <w:kinsoku w:val="0"/>
              <w:overflowPunct w:val="0"/>
              <w:autoSpaceDE w:val="0"/>
              <w:autoSpaceDN w:val="0"/>
              <w:adjustRightInd w:val="0"/>
              <w:spacing w:before="2" w:line="110" w:lineRule="exact"/>
              <w:rPr>
                <w:rFonts w:ascii="Arial" w:hAnsi="Arial" w:cs="Arial"/>
                <w:sz w:val="11"/>
                <w:szCs w:val="11"/>
              </w:rPr>
            </w:pPr>
          </w:p>
          <w:p w:rsidR="00DB6D04" w:rsidRPr="00581446" w:rsidRDefault="00DB6D04" w:rsidP="00DB6D04">
            <w:pPr>
              <w:kinsoku w:val="0"/>
              <w:overflowPunct w:val="0"/>
              <w:autoSpaceDE w:val="0"/>
              <w:autoSpaceDN w:val="0"/>
              <w:adjustRightInd w:val="0"/>
              <w:ind w:left="97"/>
              <w:rPr>
                <w:rFonts w:ascii="Arial" w:hAnsi="Arial" w:cs="Arial"/>
                <w:sz w:val="24"/>
                <w:szCs w:val="24"/>
              </w:rPr>
            </w:pPr>
            <w:r w:rsidRPr="00581446">
              <w:rPr>
                <w:rFonts w:ascii="Arial" w:hAnsi="Arial" w:cs="Arial"/>
                <w:b/>
                <w:bCs/>
                <w:spacing w:val="1"/>
              </w:rPr>
              <w:t>4</w:t>
            </w:r>
            <w:r w:rsidRPr="00581446">
              <w:rPr>
                <w:rFonts w:ascii="Arial" w:hAnsi="Arial" w:cs="Arial"/>
                <w:b/>
                <w:bCs/>
              </w:rPr>
              <w:t>,</w:t>
            </w:r>
            <w:r w:rsidRPr="00581446">
              <w:rPr>
                <w:rFonts w:ascii="Arial" w:hAnsi="Arial" w:cs="Arial"/>
                <w:b/>
                <w:bCs/>
                <w:spacing w:val="1"/>
              </w:rPr>
              <w:t>500</w:t>
            </w:r>
          </w:p>
        </w:tc>
        <w:tc>
          <w:tcPr>
            <w:tcW w:w="1530" w:type="dxa"/>
            <w:tcBorders>
              <w:top w:val="single" w:sz="8" w:space="0" w:color="000000"/>
              <w:left w:val="single" w:sz="8" w:space="0" w:color="000000"/>
              <w:bottom w:val="single" w:sz="8" w:space="0" w:color="000000"/>
              <w:right w:val="single" w:sz="8" w:space="0" w:color="000000"/>
            </w:tcBorders>
          </w:tcPr>
          <w:p w:rsidR="00DB6D04" w:rsidRPr="00581446" w:rsidRDefault="00DB6D04" w:rsidP="00DB6D04">
            <w:pPr>
              <w:kinsoku w:val="0"/>
              <w:overflowPunct w:val="0"/>
              <w:autoSpaceDE w:val="0"/>
              <w:autoSpaceDN w:val="0"/>
              <w:adjustRightInd w:val="0"/>
              <w:spacing w:before="2" w:line="110" w:lineRule="exact"/>
              <w:rPr>
                <w:rFonts w:ascii="Arial" w:hAnsi="Arial" w:cs="Arial"/>
                <w:sz w:val="11"/>
                <w:szCs w:val="11"/>
              </w:rPr>
            </w:pPr>
          </w:p>
          <w:p w:rsidR="00DB6D04" w:rsidRPr="00581446" w:rsidRDefault="00DB6D04" w:rsidP="00DB6D04">
            <w:pPr>
              <w:kinsoku w:val="0"/>
              <w:overflowPunct w:val="0"/>
              <w:autoSpaceDE w:val="0"/>
              <w:autoSpaceDN w:val="0"/>
              <w:adjustRightInd w:val="0"/>
              <w:ind w:left="97"/>
              <w:rPr>
                <w:rFonts w:ascii="Arial" w:hAnsi="Arial" w:cs="Arial"/>
                <w:sz w:val="24"/>
                <w:szCs w:val="24"/>
              </w:rPr>
            </w:pPr>
            <w:r w:rsidRPr="00581446">
              <w:rPr>
                <w:rFonts w:ascii="Arial" w:hAnsi="Arial" w:cs="Arial"/>
                <w:b/>
                <w:bCs/>
              </w:rPr>
              <w:t>1</w:t>
            </w:r>
          </w:p>
        </w:tc>
        <w:tc>
          <w:tcPr>
            <w:tcW w:w="1109" w:type="dxa"/>
            <w:tcBorders>
              <w:top w:val="single" w:sz="8" w:space="0" w:color="000000"/>
              <w:left w:val="single" w:sz="8" w:space="0" w:color="000000"/>
              <w:bottom w:val="single" w:sz="8" w:space="0" w:color="000000"/>
              <w:right w:val="single" w:sz="8" w:space="0" w:color="000000"/>
            </w:tcBorders>
          </w:tcPr>
          <w:p w:rsidR="00DB6D04" w:rsidRPr="00581446" w:rsidRDefault="00DB6D04" w:rsidP="00DB6D04">
            <w:pPr>
              <w:kinsoku w:val="0"/>
              <w:overflowPunct w:val="0"/>
              <w:autoSpaceDE w:val="0"/>
              <w:autoSpaceDN w:val="0"/>
              <w:adjustRightInd w:val="0"/>
              <w:spacing w:before="2" w:line="110" w:lineRule="exact"/>
              <w:rPr>
                <w:rFonts w:ascii="Arial" w:hAnsi="Arial" w:cs="Arial"/>
                <w:sz w:val="11"/>
                <w:szCs w:val="11"/>
              </w:rPr>
            </w:pPr>
          </w:p>
          <w:p w:rsidR="00DB6D04" w:rsidRPr="00581446" w:rsidRDefault="00DB6D04" w:rsidP="00DB6D04">
            <w:pPr>
              <w:kinsoku w:val="0"/>
              <w:overflowPunct w:val="0"/>
              <w:autoSpaceDE w:val="0"/>
              <w:autoSpaceDN w:val="0"/>
              <w:adjustRightInd w:val="0"/>
              <w:ind w:left="-11"/>
              <w:rPr>
                <w:rFonts w:ascii="Arial" w:hAnsi="Arial" w:cs="Arial"/>
                <w:sz w:val="24"/>
                <w:szCs w:val="24"/>
              </w:rPr>
            </w:pPr>
            <w:r w:rsidRPr="00581446">
              <w:rPr>
                <w:rFonts w:ascii="Arial" w:hAnsi="Arial" w:cs="Arial"/>
                <w:b/>
                <w:bCs/>
                <w:spacing w:val="1"/>
              </w:rPr>
              <w:t>0</w:t>
            </w:r>
            <w:r w:rsidRPr="00581446">
              <w:rPr>
                <w:rFonts w:ascii="Arial" w:hAnsi="Arial" w:cs="Arial"/>
                <w:b/>
                <w:bCs/>
              </w:rPr>
              <w:t>.</w:t>
            </w:r>
            <w:r w:rsidRPr="00581446">
              <w:rPr>
                <w:rFonts w:ascii="Arial" w:hAnsi="Arial" w:cs="Arial"/>
                <w:b/>
                <w:bCs/>
                <w:spacing w:val="1"/>
              </w:rPr>
              <w:t>42</w:t>
            </w:r>
          </w:p>
        </w:tc>
        <w:tc>
          <w:tcPr>
            <w:tcW w:w="1440" w:type="dxa"/>
            <w:tcBorders>
              <w:top w:val="single" w:sz="8" w:space="0" w:color="000000"/>
              <w:left w:val="single" w:sz="8" w:space="0" w:color="000000"/>
              <w:bottom w:val="single" w:sz="8" w:space="0" w:color="000000"/>
              <w:right w:val="nil"/>
            </w:tcBorders>
          </w:tcPr>
          <w:p w:rsidR="00DB6D04" w:rsidRPr="00581446" w:rsidRDefault="00DB6D04" w:rsidP="00DB6D04">
            <w:pPr>
              <w:kinsoku w:val="0"/>
              <w:overflowPunct w:val="0"/>
              <w:autoSpaceDE w:val="0"/>
              <w:autoSpaceDN w:val="0"/>
              <w:adjustRightInd w:val="0"/>
              <w:spacing w:before="2" w:line="110" w:lineRule="exact"/>
              <w:rPr>
                <w:rFonts w:ascii="Arial" w:hAnsi="Arial" w:cs="Arial"/>
                <w:sz w:val="11"/>
                <w:szCs w:val="11"/>
              </w:rPr>
            </w:pPr>
          </w:p>
          <w:p w:rsidR="00DB6D04" w:rsidRPr="00581446" w:rsidRDefault="00DB6D04" w:rsidP="00DB6D04">
            <w:pPr>
              <w:kinsoku w:val="0"/>
              <w:overflowPunct w:val="0"/>
              <w:autoSpaceDE w:val="0"/>
              <w:autoSpaceDN w:val="0"/>
              <w:adjustRightInd w:val="0"/>
              <w:ind w:left="97"/>
              <w:rPr>
                <w:rFonts w:ascii="Arial" w:hAnsi="Arial" w:cs="Arial"/>
                <w:sz w:val="24"/>
                <w:szCs w:val="24"/>
              </w:rPr>
            </w:pPr>
            <w:r w:rsidRPr="00581446">
              <w:rPr>
                <w:rFonts w:ascii="Arial" w:hAnsi="Arial" w:cs="Arial"/>
                <w:b/>
                <w:bCs/>
                <w:spacing w:val="1"/>
              </w:rPr>
              <w:t>1</w:t>
            </w:r>
            <w:r w:rsidRPr="00581446">
              <w:rPr>
                <w:rFonts w:ascii="Arial" w:hAnsi="Arial" w:cs="Arial"/>
                <w:b/>
                <w:bCs/>
              </w:rPr>
              <w:t>,</w:t>
            </w:r>
            <w:r w:rsidRPr="00581446">
              <w:rPr>
                <w:rFonts w:ascii="Arial" w:hAnsi="Arial" w:cs="Arial"/>
                <w:b/>
                <w:bCs/>
                <w:spacing w:val="1"/>
              </w:rPr>
              <w:t>890</w:t>
            </w:r>
          </w:p>
        </w:tc>
      </w:tr>
      <w:tr w:rsidR="00DB6D04" w:rsidRPr="00DB6D04" w:rsidTr="00581446">
        <w:trPr>
          <w:trHeight w:hRule="exact" w:val="480"/>
          <w:jc w:val="center"/>
        </w:trPr>
        <w:tc>
          <w:tcPr>
            <w:tcW w:w="3769" w:type="dxa"/>
            <w:tcBorders>
              <w:top w:val="single" w:sz="8" w:space="0" w:color="000000"/>
              <w:left w:val="single" w:sz="8" w:space="0" w:color="000000"/>
              <w:bottom w:val="single" w:sz="8" w:space="0" w:color="000000"/>
              <w:right w:val="single" w:sz="8" w:space="0" w:color="000000"/>
            </w:tcBorders>
          </w:tcPr>
          <w:p w:rsidR="00DB6D04" w:rsidRPr="00581446" w:rsidRDefault="00DB6D04" w:rsidP="00BD598C">
            <w:pPr>
              <w:kinsoku w:val="0"/>
              <w:overflowPunct w:val="0"/>
              <w:autoSpaceDE w:val="0"/>
              <w:autoSpaceDN w:val="0"/>
              <w:adjustRightInd w:val="0"/>
              <w:spacing w:line="227" w:lineRule="exact"/>
              <w:ind w:left="97"/>
              <w:rPr>
                <w:rFonts w:ascii="Arial" w:hAnsi="Arial" w:cs="Arial"/>
                <w:sz w:val="24"/>
                <w:szCs w:val="24"/>
              </w:rPr>
            </w:pPr>
            <w:r w:rsidRPr="00581446">
              <w:rPr>
                <w:rFonts w:ascii="Arial" w:hAnsi="Arial" w:cs="Arial"/>
                <w:b/>
                <w:bCs/>
                <w:spacing w:val="1"/>
              </w:rPr>
              <w:t>MH</w:t>
            </w:r>
            <w:r w:rsidRPr="00581446">
              <w:rPr>
                <w:rFonts w:ascii="Arial" w:hAnsi="Arial" w:cs="Arial"/>
                <w:b/>
                <w:bCs/>
                <w:spacing w:val="-1"/>
              </w:rPr>
              <w:t>I</w:t>
            </w:r>
            <w:r w:rsidRPr="00581446">
              <w:rPr>
                <w:rFonts w:ascii="Arial" w:hAnsi="Arial" w:cs="Arial"/>
                <w:b/>
                <w:bCs/>
              </w:rPr>
              <w:t>-</w:t>
            </w:r>
            <w:r w:rsidRPr="00581446">
              <w:rPr>
                <w:rFonts w:ascii="Arial" w:hAnsi="Arial" w:cs="Arial"/>
                <w:b/>
                <w:bCs/>
                <w:spacing w:val="-1"/>
              </w:rPr>
              <w:t>L</w:t>
            </w:r>
            <w:r w:rsidRPr="00581446">
              <w:rPr>
                <w:rFonts w:ascii="Arial" w:hAnsi="Arial" w:cs="Arial"/>
                <w:b/>
                <w:bCs/>
              </w:rPr>
              <w:t>V</w:t>
            </w:r>
            <w:r w:rsidR="00B2199E" w:rsidRPr="00581446">
              <w:rPr>
                <w:rFonts w:ascii="Arial" w:hAnsi="Arial" w:cs="Arial"/>
                <w:b/>
                <w:bCs/>
                <w:vertAlign w:val="superscript"/>
              </w:rPr>
              <w:t>1</w:t>
            </w:r>
            <w:r w:rsidRPr="00581446">
              <w:rPr>
                <w:rFonts w:ascii="Arial" w:hAnsi="Arial" w:cs="Arial"/>
                <w:b/>
                <w:bCs/>
              </w:rPr>
              <w:t>:</w:t>
            </w:r>
            <w:r w:rsidRPr="00581446">
              <w:rPr>
                <w:rFonts w:ascii="Arial" w:hAnsi="Arial" w:cs="Arial"/>
                <w:b/>
                <w:bCs/>
                <w:spacing w:val="-16"/>
              </w:rPr>
              <w:t xml:space="preserve"> </w:t>
            </w:r>
            <w:r w:rsidRPr="00581446">
              <w:rPr>
                <w:rFonts w:ascii="Arial" w:hAnsi="Arial" w:cs="Arial"/>
                <w:b/>
                <w:bCs/>
              </w:rPr>
              <w:t>P</w:t>
            </w:r>
            <w:r w:rsidRPr="00581446">
              <w:rPr>
                <w:rFonts w:ascii="Arial" w:hAnsi="Arial" w:cs="Arial"/>
                <w:b/>
                <w:bCs/>
                <w:spacing w:val="-1"/>
              </w:rPr>
              <w:t>h</w:t>
            </w:r>
            <w:r w:rsidRPr="00581446">
              <w:rPr>
                <w:rFonts w:ascii="Arial" w:hAnsi="Arial" w:cs="Arial"/>
                <w:b/>
                <w:bCs/>
                <w:spacing w:val="1"/>
              </w:rPr>
              <w:t>y</w:t>
            </w:r>
            <w:r w:rsidRPr="00581446">
              <w:rPr>
                <w:rFonts w:ascii="Arial" w:hAnsi="Arial" w:cs="Arial"/>
                <w:b/>
                <w:bCs/>
                <w:spacing w:val="-1"/>
              </w:rPr>
              <w:t>si</w:t>
            </w:r>
            <w:r w:rsidRPr="00581446">
              <w:rPr>
                <w:rFonts w:ascii="Arial" w:hAnsi="Arial" w:cs="Arial"/>
                <w:b/>
                <w:bCs/>
              </w:rPr>
              <w:t>c</w:t>
            </w:r>
            <w:r w:rsidRPr="00581446">
              <w:rPr>
                <w:rFonts w:ascii="Arial" w:hAnsi="Arial" w:cs="Arial"/>
                <w:b/>
                <w:bCs/>
                <w:spacing w:val="-1"/>
              </w:rPr>
              <w:t>i</w:t>
            </w:r>
            <w:r w:rsidRPr="00581446">
              <w:rPr>
                <w:rFonts w:ascii="Arial" w:hAnsi="Arial" w:cs="Arial"/>
                <w:b/>
                <w:bCs/>
                <w:spacing w:val="1"/>
              </w:rPr>
              <w:t>a</w:t>
            </w:r>
            <w:r w:rsidRPr="00581446">
              <w:rPr>
                <w:rFonts w:ascii="Arial" w:hAnsi="Arial" w:cs="Arial"/>
                <w:b/>
                <w:bCs/>
                <w:spacing w:val="-1"/>
              </w:rPr>
              <w:t>n/</w:t>
            </w:r>
            <w:r w:rsidRPr="00581446">
              <w:rPr>
                <w:rFonts w:ascii="Arial" w:hAnsi="Arial" w:cs="Arial"/>
                <w:b/>
                <w:bCs/>
                <w:spacing w:val="1"/>
              </w:rPr>
              <w:t>a</w:t>
            </w:r>
            <w:r w:rsidRPr="00581446">
              <w:rPr>
                <w:rFonts w:ascii="Arial" w:hAnsi="Arial" w:cs="Arial"/>
                <w:b/>
                <w:bCs/>
                <w:spacing w:val="2"/>
              </w:rPr>
              <w:t>d</w:t>
            </w:r>
            <w:r w:rsidRPr="00581446">
              <w:rPr>
                <w:rFonts w:ascii="Arial" w:hAnsi="Arial" w:cs="Arial"/>
                <w:b/>
                <w:bCs/>
                <w:spacing w:val="-3"/>
              </w:rPr>
              <w:t>m</w:t>
            </w:r>
            <w:r w:rsidRPr="00581446">
              <w:rPr>
                <w:rFonts w:ascii="Arial" w:hAnsi="Arial" w:cs="Arial"/>
                <w:b/>
                <w:bCs/>
                <w:spacing w:val="2"/>
              </w:rPr>
              <w:t>i</w:t>
            </w:r>
            <w:r w:rsidRPr="00581446">
              <w:rPr>
                <w:rFonts w:ascii="Arial" w:hAnsi="Arial" w:cs="Arial"/>
                <w:b/>
                <w:bCs/>
                <w:spacing w:val="-1"/>
              </w:rPr>
              <w:t>ni</w:t>
            </w:r>
            <w:r w:rsidRPr="00581446">
              <w:rPr>
                <w:rFonts w:ascii="Arial" w:hAnsi="Arial" w:cs="Arial"/>
                <w:b/>
                <w:bCs/>
                <w:spacing w:val="1"/>
              </w:rPr>
              <w:t>s</w:t>
            </w:r>
            <w:r w:rsidRPr="00581446">
              <w:rPr>
                <w:rFonts w:ascii="Arial" w:hAnsi="Arial" w:cs="Arial"/>
                <w:b/>
                <w:bCs/>
              </w:rPr>
              <w:t>tr</w:t>
            </w:r>
            <w:r w:rsidRPr="00581446">
              <w:rPr>
                <w:rFonts w:ascii="Arial" w:hAnsi="Arial" w:cs="Arial"/>
                <w:b/>
                <w:bCs/>
                <w:spacing w:val="1"/>
              </w:rPr>
              <w:t>a</w:t>
            </w:r>
            <w:r w:rsidRPr="00581446">
              <w:rPr>
                <w:rFonts w:ascii="Arial" w:hAnsi="Arial" w:cs="Arial"/>
                <w:b/>
                <w:bCs/>
              </w:rPr>
              <w:t>t</w:t>
            </w:r>
            <w:r w:rsidRPr="00581446">
              <w:rPr>
                <w:rFonts w:ascii="Arial" w:hAnsi="Arial" w:cs="Arial"/>
                <w:b/>
                <w:bCs/>
                <w:spacing w:val="1"/>
              </w:rPr>
              <w:t>o</w:t>
            </w:r>
            <w:r w:rsidRPr="00581446">
              <w:rPr>
                <w:rFonts w:ascii="Arial" w:hAnsi="Arial" w:cs="Arial"/>
                <w:b/>
                <w:bCs/>
              </w:rPr>
              <w:t>r</w:t>
            </w:r>
            <w:r w:rsidRPr="00581446">
              <w:rPr>
                <w:rFonts w:ascii="Arial" w:hAnsi="Arial" w:cs="Arial"/>
                <w:b/>
                <w:bCs/>
                <w:spacing w:val="-18"/>
              </w:rPr>
              <w:t xml:space="preserve"> </w:t>
            </w:r>
          </w:p>
        </w:tc>
        <w:tc>
          <w:tcPr>
            <w:tcW w:w="1620" w:type="dxa"/>
            <w:tcBorders>
              <w:top w:val="single" w:sz="8" w:space="0" w:color="000000"/>
              <w:left w:val="single" w:sz="8" w:space="0" w:color="000000"/>
              <w:bottom w:val="single" w:sz="8" w:space="0" w:color="000000"/>
              <w:right w:val="single" w:sz="8" w:space="0" w:color="000000"/>
            </w:tcBorders>
          </w:tcPr>
          <w:p w:rsidR="00DB6D04" w:rsidRPr="00581446" w:rsidRDefault="00DB6D04" w:rsidP="00DB6D04">
            <w:pPr>
              <w:kinsoku w:val="0"/>
              <w:overflowPunct w:val="0"/>
              <w:autoSpaceDE w:val="0"/>
              <w:autoSpaceDN w:val="0"/>
              <w:adjustRightInd w:val="0"/>
              <w:spacing w:before="2" w:line="110" w:lineRule="exact"/>
              <w:rPr>
                <w:rFonts w:ascii="Arial" w:hAnsi="Arial" w:cs="Arial"/>
                <w:sz w:val="11"/>
                <w:szCs w:val="11"/>
              </w:rPr>
            </w:pPr>
          </w:p>
          <w:p w:rsidR="00DB6D04" w:rsidRPr="00581446" w:rsidRDefault="00DB6D04" w:rsidP="00DB6D04">
            <w:pPr>
              <w:kinsoku w:val="0"/>
              <w:overflowPunct w:val="0"/>
              <w:autoSpaceDE w:val="0"/>
              <w:autoSpaceDN w:val="0"/>
              <w:adjustRightInd w:val="0"/>
              <w:ind w:left="97"/>
              <w:rPr>
                <w:rFonts w:ascii="Arial" w:hAnsi="Arial" w:cs="Arial"/>
                <w:sz w:val="24"/>
                <w:szCs w:val="24"/>
              </w:rPr>
            </w:pPr>
            <w:r w:rsidRPr="00581446">
              <w:rPr>
                <w:rFonts w:ascii="Arial" w:hAnsi="Arial" w:cs="Arial"/>
                <w:b/>
                <w:bCs/>
                <w:spacing w:val="1"/>
              </w:rPr>
              <w:t>30</w:t>
            </w:r>
          </w:p>
        </w:tc>
        <w:tc>
          <w:tcPr>
            <w:tcW w:w="1530" w:type="dxa"/>
            <w:tcBorders>
              <w:top w:val="single" w:sz="8" w:space="0" w:color="000000"/>
              <w:left w:val="single" w:sz="8" w:space="0" w:color="000000"/>
              <w:bottom w:val="single" w:sz="8" w:space="0" w:color="000000"/>
              <w:right w:val="single" w:sz="8" w:space="0" w:color="000000"/>
            </w:tcBorders>
          </w:tcPr>
          <w:p w:rsidR="00DB6D04" w:rsidRPr="00581446" w:rsidRDefault="00DB6D04" w:rsidP="00DB6D04">
            <w:pPr>
              <w:kinsoku w:val="0"/>
              <w:overflowPunct w:val="0"/>
              <w:autoSpaceDE w:val="0"/>
              <w:autoSpaceDN w:val="0"/>
              <w:adjustRightInd w:val="0"/>
              <w:spacing w:before="2" w:line="110" w:lineRule="exact"/>
              <w:rPr>
                <w:rFonts w:ascii="Arial" w:hAnsi="Arial" w:cs="Arial"/>
                <w:sz w:val="11"/>
                <w:szCs w:val="11"/>
              </w:rPr>
            </w:pPr>
          </w:p>
          <w:p w:rsidR="00DB6D04" w:rsidRPr="00581446" w:rsidRDefault="00DB6D04" w:rsidP="00DB6D04">
            <w:pPr>
              <w:kinsoku w:val="0"/>
              <w:overflowPunct w:val="0"/>
              <w:autoSpaceDE w:val="0"/>
              <w:autoSpaceDN w:val="0"/>
              <w:adjustRightInd w:val="0"/>
              <w:ind w:left="97"/>
              <w:rPr>
                <w:rFonts w:ascii="Arial" w:hAnsi="Arial" w:cs="Arial"/>
                <w:sz w:val="24"/>
                <w:szCs w:val="24"/>
              </w:rPr>
            </w:pPr>
            <w:r w:rsidRPr="00581446">
              <w:rPr>
                <w:rFonts w:ascii="Arial" w:hAnsi="Arial" w:cs="Arial"/>
                <w:b/>
                <w:bCs/>
              </w:rPr>
              <w:t>1</w:t>
            </w:r>
          </w:p>
        </w:tc>
        <w:tc>
          <w:tcPr>
            <w:tcW w:w="1109" w:type="dxa"/>
            <w:tcBorders>
              <w:top w:val="single" w:sz="8" w:space="0" w:color="000000"/>
              <w:left w:val="single" w:sz="8" w:space="0" w:color="000000"/>
              <w:bottom w:val="single" w:sz="8" w:space="0" w:color="000000"/>
              <w:right w:val="single" w:sz="8" w:space="0" w:color="000000"/>
            </w:tcBorders>
          </w:tcPr>
          <w:p w:rsidR="00DB6D04" w:rsidRPr="00581446" w:rsidRDefault="00DB6D04" w:rsidP="00DB6D04">
            <w:pPr>
              <w:kinsoku w:val="0"/>
              <w:overflowPunct w:val="0"/>
              <w:autoSpaceDE w:val="0"/>
              <w:autoSpaceDN w:val="0"/>
              <w:adjustRightInd w:val="0"/>
              <w:spacing w:before="2" w:line="110" w:lineRule="exact"/>
              <w:rPr>
                <w:rFonts w:ascii="Arial" w:hAnsi="Arial" w:cs="Arial"/>
                <w:sz w:val="11"/>
                <w:szCs w:val="11"/>
              </w:rPr>
            </w:pPr>
          </w:p>
          <w:p w:rsidR="00DB6D04" w:rsidRPr="00581446" w:rsidRDefault="00DB6D04" w:rsidP="00DB6D04">
            <w:pPr>
              <w:kinsoku w:val="0"/>
              <w:overflowPunct w:val="0"/>
              <w:autoSpaceDE w:val="0"/>
              <w:autoSpaceDN w:val="0"/>
              <w:adjustRightInd w:val="0"/>
              <w:ind w:left="-11"/>
              <w:rPr>
                <w:rFonts w:ascii="Arial" w:hAnsi="Arial" w:cs="Arial"/>
                <w:sz w:val="24"/>
                <w:szCs w:val="24"/>
              </w:rPr>
            </w:pPr>
            <w:r w:rsidRPr="00581446">
              <w:rPr>
                <w:rFonts w:ascii="Arial" w:hAnsi="Arial" w:cs="Arial"/>
                <w:b/>
                <w:bCs/>
                <w:spacing w:val="1"/>
              </w:rPr>
              <w:t>2</w:t>
            </w:r>
            <w:r w:rsidRPr="00581446">
              <w:rPr>
                <w:rFonts w:ascii="Arial" w:hAnsi="Arial" w:cs="Arial"/>
                <w:b/>
                <w:bCs/>
              </w:rPr>
              <w:t>.</w:t>
            </w:r>
            <w:r w:rsidRPr="00581446">
              <w:rPr>
                <w:rFonts w:ascii="Arial" w:hAnsi="Arial" w:cs="Arial"/>
                <w:b/>
                <w:bCs/>
                <w:spacing w:val="1"/>
              </w:rPr>
              <w:t>33</w:t>
            </w:r>
          </w:p>
        </w:tc>
        <w:tc>
          <w:tcPr>
            <w:tcW w:w="1440" w:type="dxa"/>
            <w:tcBorders>
              <w:top w:val="single" w:sz="8" w:space="0" w:color="000000"/>
              <w:left w:val="single" w:sz="8" w:space="0" w:color="000000"/>
              <w:bottom w:val="single" w:sz="8" w:space="0" w:color="000000"/>
              <w:right w:val="nil"/>
            </w:tcBorders>
          </w:tcPr>
          <w:p w:rsidR="00DB6D04" w:rsidRPr="00581446" w:rsidRDefault="00DB6D04" w:rsidP="00DB6D04">
            <w:pPr>
              <w:kinsoku w:val="0"/>
              <w:overflowPunct w:val="0"/>
              <w:autoSpaceDE w:val="0"/>
              <w:autoSpaceDN w:val="0"/>
              <w:adjustRightInd w:val="0"/>
              <w:spacing w:before="2" w:line="110" w:lineRule="exact"/>
              <w:rPr>
                <w:rFonts w:ascii="Arial" w:hAnsi="Arial" w:cs="Arial"/>
                <w:sz w:val="11"/>
                <w:szCs w:val="11"/>
              </w:rPr>
            </w:pPr>
          </w:p>
          <w:p w:rsidR="00DB6D04" w:rsidRPr="00581446" w:rsidRDefault="00DB6D04" w:rsidP="00DB6D04">
            <w:pPr>
              <w:kinsoku w:val="0"/>
              <w:overflowPunct w:val="0"/>
              <w:autoSpaceDE w:val="0"/>
              <w:autoSpaceDN w:val="0"/>
              <w:adjustRightInd w:val="0"/>
              <w:ind w:left="97"/>
              <w:rPr>
                <w:rFonts w:ascii="Arial" w:hAnsi="Arial" w:cs="Arial"/>
                <w:sz w:val="24"/>
                <w:szCs w:val="24"/>
              </w:rPr>
            </w:pPr>
            <w:r w:rsidRPr="00581446">
              <w:rPr>
                <w:rFonts w:ascii="Arial" w:hAnsi="Arial" w:cs="Arial"/>
                <w:b/>
                <w:bCs/>
                <w:spacing w:val="1"/>
              </w:rPr>
              <w:t>70</w:t>
            </w:r>
          </w:p>
        </w:tc>
      </w:tr>
      <w:tr w:rsidR="00DB6D04" w:rsidRPr="00DB6D04" w:rsidTr="00581446">
        <w:trPr>
          <w:trHeight w:hRule="exact" w:val="480"/>
          <w:jc w:val="center"/>
        </w:trPr>
        <w:tc>
          <w:tcPr>
            <w:tcW w:w="3769" w:type="dxa"/>
            <w:tcBorders>
              <w:top w:val="single" w:sz="8" w:space="0" w:color="000000"/>
              <w:left w:val="single" w:sz="8" w:space="0" w:color="000000"/>
              <w:bottom w:val="single" w:sz="8" w:space="0" w:color="000000"/>
              <w:right w:val="single" w:sz="8" w:space="0" w:color="000000"/>
            </w:tcBorders>
          </w:tcPr>
          <w:p w:rsidR="00DB6D04" w:rsidRPr="00581446" w:rsidRDefault="00DB6D04" w:rsidP="00BD598C">
            <w:pPr>
              <w:kinsoku w:val="0"/>
              <w:overflowPunct w:val="0"/>
              <w:autoSpaceDE w:val="0"/>
              <w:autoSpaceDN w:val="0"/>
              <w:adjustRightInd w:val="0"/>
              <w:spacing w:line="227" w:lineRule="exact"/>
              <w:ind w:left="97"/>
              <w:rPr>
                <w:rFonts w:ascii="Arial" w:hAnsi="Arial" w:cs="Arial"/>
                <w:sz w:val="24"/>
                <w:szCs w:val="24"/>
              </w:rPr>
            </w:pPr>
            <w:r w:rsidRPr="00581446">
              <w:rPr>
                <w:rFonts w:ascii="Arial" w:hAnsi="Arial" w:cs="Arial"/>
                <w:b/>
                <w:bCs/>
                <w:spacing w:val="1"/>
              </w:rPr>
              <w:t>MH</w:t>
            </w:r>
            <w:r w:rsidRPr="00581446">
              <w:rPr>
                <w:rFonts w:ascii="Arial" w:hAnsi="Arial" w:cs="Arial"/>
                <w:b/>
                <w:bCs/>
                <w:spacing w:val="-1"/>
              </w:rPr>
              <w:t>I</w:t>
            </w:r>
            <w:r w:rsidRPr="00581446">
              <w:rPr>
                <w:rFonts w:ascii="Arial" w:hAnsi="Arial" w:cs="Arial"/>
                <w:b/>
                <w:bCs/>
              </w:rPr>
              <w:t>-</w:t>
            </w:r>
            <w:r w:rsidRPr="00581446">
              <w:rPr>
                <w:rFonts w:ascii="Arial" w:hAnsi="Arial" w:cs="Arial"/>
                <w:b/>
                <w:bCs/>
                <w:spacing w:val="-1"/>
              </w:rPr>
              <w:t>L</w:t>
            </w:r>
            <w:r w:rsidRPr="00581446">
              <w:rPr>
                <w:rFonts w:ascii="Arial" w:hAnsi="Arial" w:cs="Arial"/>
                <w:b/>
                <w:bCs/>
              </w:rPr>
              <w:t>V:</w:t>
            </w:r>
            <w:r w:rsidRPr="00581446">
              <w:rPr>
                <w:rFonts w:ascii="Arial" w:hAnsi="Arial" w:cs="Arial"/>
                <w:b/>
                <w:bCs/>
                <w:spacing w:val="-10"/>
              </w:rPr>
              <w:t xml:space="preserve"> </w:t>
            </w:r>
            <w:r w:rsidRPr="00581446">
              <w:rPr>
                <w:rFonts w:ascii="Arial" w:hAnsi="Arial" w:cs="Arial"/>
                <w:b/>
                <w:bCs/>
              </w:rPr>
              <w:t>N</w:t>
            </w:r>
            <w:r w:rsidRPr="00581446">
              <w:rPr>
                <w:rFonts w:ascii="Arial" w:hAnsi="Arial" w:cs="Arial"/>
                <w:b/>
                <w:bCs/>
                <w:spacing w:val="1"/>
              </w:rPr>
              <w:t>o</w:t>
            </w:r>
            <w:r w:rsidRPr="00581446">
              <w:rPr>
                <w:rFonts w:ascii="Arial" w:hAnsi="Arial" w:cs="Arial"/>
                <w:b/>
                <w:bCs/>
                <w:spacing w:val="-1"/>
              </w:rPr>
              <w:t>n</w:t>
            </w:r>
            <w:r w:rsidRPr="00581446">
              <w:rPr>
                <w:rFonts w:ascii="Arial" w:hAnsi="Arial" w:cs="Arial"/>
                <w:b/>
                <w:bCs/>
              </w:rPr>
              <w:t>-</w:t>
            </w:r>
            <w:r w:rsidRPr="00581446">
              <w:rPr>
                <w:rFonts w:ascii="Arial" w:hAnsi="Arial" w:cs="Arial"/>
                <w:b/>
                <w:bCs/>
                <w:spacing w:val="-1"/>
              </w:rPr>
              <w:t>ph</w:t>
            </w:r>
            <w:r w:rsidRPr="00581446">
              <w:rPr>
                <w:rFonts w:ascii="Arial" w:hAnsi="Arial" w:cs="Arial"/>
                <w:b/>
                <w:bCs/>
                <w:spacing w:val="1"/>
              </w:rPr>
              <w:t>y</w:t>
            </w:r>
            <w:r w:rsidRPr="00581446">
              <w:rPr>
                <w:rFonts w:ascii="Arial" w:hAnsi="Arial" w:cs="Arial"/>
                <w:b/>
                <w:bCs/>
                <w:spacing w:val="-1"/>
              </w:rPr>
              <w:t>si</w:t>
            </w:r>
            <w:r w:rsidRPr="00581446">
              <w:rPr>
                <w:rFonts w:ascii="Arial" w:hAnsi="Arial" w:cs="Arial"/>
                <w:b/>
                <w:bCs/>
              </w:rPr>
              <w:t>c</w:t>
            </w:r>
            <w:r w:rsidRPr="00581446">
              <w:rPr>
                <w:rFonts w:ascii="Arial" w:hAnsi="Arial" w:cs="Arial"/>
                <w:b/>
                <w:bCs/>
                <w:spacing w:val="-1"/>
              </w:rPr>
              <w:t>i</w:t>
            </w:r>
            <w:r w:rsidRPr="00581446">
              <w:rPr>
                <w:rFonts w:ascii="Arial" w:hAnsi="Arial" w:cs="Arial"/>
                <w:b/>
                <w:bCs/>
                <w:spacing w:val="1"/>
              </w:rPr>
              <w:t>a</w:t>
            </w:r>
            <w:r w:rsidRPr="00581446">
              <w:rPr>
                <w:rFonts w:ascii="Arial" w:hAnsi="Arial" w:cs="Arial"/>
                <w:b/>
                <w:bCs/>
              </w:rPr>
              <w:t>n</w:t>
            </w:r>
            <w:r w:rsidRPr="00581446">
              <w:rPr>
                <w:rFonts w:ascii="Arial" w:hAnsi="Arial" w:cs="Arial"/>
                <w:b/>
                <w:bCs/>
                <w:spacing w:val="-10"/>
              </w:rPr>
              <w:t xml:space="preserve"> </w:t>
            </w:r>
            <w:r w:rsidRPr="00581446">
              <w:rPr>
                <w:rFonts w:ascii="Arial" w:hAnsi="Arial" w:cs="Arial"/>
                <w:b/>
                <w:bCs/>
              </w:rPr>
              <w:t>c</w:t>
            </w:r>
            <w:r w:rsidRPr="00581446">
              <w:rPr>
                <w:rFonts w:ascii="Arial" w:hAnsi="Arial" w:cs="Arial"/>
                <w:b/>
                <w:bCs/>
                <w:spacing w:val="-1"/>
              </w:rPr>
              <w:t>l</w:t>
            </w:r>
            <w:r w:rsidRPr="00581446">
              <w:rPr>
                <w:rFonts w:ascii="Arial" w:hAnsi="Arial" w:cs="Arial"/>
                <w:b/>
                <w:bCs/>
                <w:spacing w:val="2"/>
              </w:rPr>
              <w:t>i</w:t>
            </w:r>
            <w:r w:rsidRPr="00581446">
              <w:rPr>
                <w:rFonts w:ascii="Arial" w:hAnsi="Arial" w:cs="Arial"/>
                <w:b/>
                <w:bCs/>
                <w:spacing w:val="-1"/>
              </w:rPr>
              <w:t>ni</w:t>
            </w:r>
            <w:r w:rsidRPr="00581446">
              <w:rPr>
                <w:rFonts w:ascii="Arial" w:hAnsi="Arial" w:cs="Arial"/>
                <w:b/>
                <w:bCs/>
              </w:rPr>
              <w:t>c</w:t>
            </w:r>
            <w:r w:rsidRPr="00581446">
              <w:rPr>
                <w:rFonts w:ascii="Arial" w:hAnsi="Arial" w:cs="Arial"/>
                <w:b/>
                <w:bCs/>
                <w:spacing w:val="-1"/>
              </w:rPr>
              <w:t>i</w:t>
            </w:r>
            <w:r w:rsidRPr="00581446">
              <w:rPr>
                <w:rFonts w:ascii="Arial" w:hAnsi="Arial" w:cs="Arial"/>
                <w:b/>
                <w:bCs/>
                <w:spacing w:val="1"/>
              </w:rPr>
              <w:t>a</w:t>
            </w:r>
            <w:r w:rsidRPr="00581446">
              <w:rPr>
                <w:rFonts w:ascii="Arial" w:hAnsi="Arial" w:cs="Arial"/>
                <w:b/>
                <w:bCs/>
              </w:rPr>
              <w:t>n</w:t>
            </w:r>
            <w:r w:rsidRPr="00581446">
              <w:rPr>
                <w:rFonts w:ascii="Arial" w:hAnsi="Arial" w:cs="Arial"/>
                <w:b/>
                <w:bCs/>
                <w:spacing w:val="-11"/>
              </w:rPr>
              <w:t xml:space="preserve"> </w:t>
            </w:r>
          </w:p>
        </w:tc>
        <w:tc>
          <w:tcPr>
            <w:tcW w:w="1620" w:type="dxa"/>
            <w:tcBorders>
              <w:top w:val="single" w:sz="8" w:space="0" w:color="000000"/>
              <w:left w:val="single" w:sz="8" w:space="0" w:color="000000"/>
              <w:bottom w:val="single" w:sz="8" w:space="0" w:color="000000"/>
              <w:right w:val="single" w:sz="8" w:space="0" w:color="000000"/>
            </w:tcBorders>
          </w:tcPr>
          <w:p w:rsidR="00DB6D04" w:rsidRPr="00581446" w:rsidRDefault="00DB6D04" w:rsidP="00DB6D04">
            <w:pPr>
              <w:kinsoku w:val="0"/>
              <w:overflowPunct w:val="0"/>
              <w:autoSpaceDE w:val="0"/>
              <w:autoSpaceDN w:val="0"/>
              <w:adjustRightInd w:val="0"/>
              <w:spacing w:before="2" w:line="110" w:lineRule="exact"/>
              <w:rPr>
                <w:rFonts w:ascii="Arial" w:hAnsi="Arial" w:cs="Arial"/>
                <w:sz w:val="11"/>
                <w:szCs w:val="11"/>
              </w:rPr>
            </w:pPr>
          </w:p>
          <w:p w:rsidR="00DB6D04" w:rsidRPr="00581446" w:rsidRDefault="00DB6D04" w:rsidP="00DB6D04">
            <w:pPr>
              <w:kinsoku w:val="0"/>
              <w:overflowPunct w:val="0"/>
              <w:autoSpaceDE w:val="0"/>
              <w:autoSpaceDN w:val="0"/>
              <w:adjustRightInd w:val="0"/>
              <w:ind w:left="97"/>
              <w:rPr>
                <w:rFonts w:ascii="Arial" w:hAnsi="Arial" w:cs="Arial"/>
                <w:sz w:val="24"/>
                <w:szCs w:val="24"/>
              </w:rPr>
            </w:pPr>
            <w:r w:rsidRPr="00581446">
              <w:rPr>
                <w:rFonts w:ascii="Arial" w:hAnsi="Arial" w:cs="Arial"/>
                <w:b/>
                <w:bCs/>
                <w:spacing w:val="1"/>
              </w:rPr>
              <w:t>30</w:t>
            </w:r>
          </w:p>
        </w:tc>
        <w:tc>
          <w:tcPr>
            <w:tcW w:w="1530" w:type="dxa"/>
            <w:tcBorders>
              <w:top w:val="single" w:sz="8" w:space="0" w:color="000000"/>
              <w:left w:val="single" w:sz="8" w:space="0" w:color="000000"/>
              <w:bottom w:val="single" w:sz="8" w:space="0" w:color="000000"/>
              <w:right w:val="single" w:sz="8" w:space="0" w:color="000000"/>
            </w:tcBorders>
          </w:tcPr>
          <w:p w:rsidR="00DB6D04" w:rsidRPr="00581446" w:rsidRDefault="00DB6D04" w:rsidP="00DB6D04">
            <w:pPr>
              <w:kinsoku w:val="0"/>
              <w:overflowPunct w:val="0"/>
              <w:autoSpaceDE w:val="0"/>
              <w:autoSpaceDN w:val="0"/>
              <w:adjustRightInd w:val="0"/>
              <w:spacing w:before="2" w:line="110" w:lineRule="exact"/>
              <w:rPr>
                <w:rFonts w:ascii="Arial" w:hAnsi="Arial" w:cs="Arial"/>
                <w:sz w:val="11"/>
                <w:szCs w:val="11"/>
              </w:rPr>
            </w:pPr>
          </w:p>
          <w:p w:rsidR="00DB6D04" w:rsidRPr="00581446" w:rsidRDefault="00DB6D04" w:rsidP="00DB6D04">
            <w:pPr>
              <w:kinsoku w:val="0"/>
              <w:overflowPunct w:val="0"/>
              <w:autoSpaceDE w:val="0"/>
              <w:autoSpaceDN w:val="0"/>
              <w:adjustRightInd w:val="0"/>
              <w:ind w:left="97"/>
              <w:rPr>
                <w:rFonts w:ascii="Arial" w:hAnsi="Arial" w:cs="Arial"/>
                <w:sz w:val="24"/>
                <w:szCs w:val="24"/>
              </w:rPr>
            </w:pPr>
            <w:r w:rsidRPr="00581446">
              <w:rPr>
                <w:rFonts w:ascii="Arial" w:hAnsi="Arial" w:cs="Arial"/>
                <w:b/>
                <w:bCs/>
              </w:rPr>
              <w:t>1</w:t>
            </w:r>
          </w:p>
        </w:tc>
        <w:tc>
          <w:tcPr>
            <w:tcW w:w="1109" w:type="dxa"/>
            <w:tcBorders>
              <w:top w:val="single" w:sz="8" w:space="0" w:color="000000"/>
              <w:left w:val="single" w:sz="8" w:space="0" w:color="000000"/>
              <w:bottom w:val="single" w:sz="8" w:space="0" w:color="000000"/>
              <w:right w:val="single" w:sz="8" w:space="0" w:color="000000"/>
            </w:tcBorders>
          </w:tcPr>
          <w:p w:rsidR="00DB6D04" w:rsidRPr="00581446" w:rsidRDefault="00DB6D04" w:rsidP="00DB6D04">
            <w:pPr>
              <w:kinsoku w:val="0"/>
              <w:overflowPunct w:val="0"/>
              <w:autoSpaceDE w:val="0"/>
              <w:autoSpaceDN w:val="0"/>
              <w:adjustRightInd w:val="0"/>
              <w:spacing w:before="2" w:line="110" w:lineRule="exact"/>
              <w:rPr>
                <w:rFonts w:ascii="Arial" w:hAnsi="Arial" w:cs="Arial"/>
                <w:sz w:val="11"/>
                <w:szCs w:val="11"/>
              </w:rPr>
            </w:pPr>
          </w:p>
          <w:p w:rsidR="00DB6D04" w:rsidRPr="00581446" w:rsidRDefault="00DB6D04" w:rsidP="00DB6D04">
            <w:pPr>
              <w:kinsoku w:val="0"/>
              <w:overflowPunct w:val="0"/>
              <w:autoSpaceDE w:val="0"/>
              <w:autoSpaceDN w:val="0"/>
              <w:adjustRightInd w:val="0"/>
              <w:ind w:left="-11"/>
              <w:rPr>
                <w:rFonts w:ascii="Arial" w:hAnsi="Arial" w:cs="Arial"/>
                <w:sz w:val="24"/>
                <w:szCs w:val="24"/>
              </w:rPr>
            </w:pPr>
            <w:r w:rsidRPr="00581446">
              <w:rPr>
                <w:rFonts w:ascii="Arial" w:hAnsi="Arial" w:cs="Arial"/>
                <w:b/>
                <w:bCs/>
                <w:spacing w:val="1"/>
              </w:rPr>
              <w:t>2</w:t>
            </w:r>
            <w:r w:rsidRPr="00581446">
              <w:rPr>
                <w:rFonts w:ascii="Arial" w:hAnsi="Arial" w:cs="Arial"/>
                <w:b/>
                <w:bCs/>
              </w:rPr>
              <w:t>.</w:t>
            </w:r>
            <w:r w:rsidRPr="00581446">
              <w:rPr>
                <w:rFonts w:ascii="Arial" w:hAnsi="Arial" w:cs="Arial"/>
                <w:b/>
                <w:bCs/>
                <w:spacing w:val="1"/>
              </w:rPr>
              <w:t>08</w:t>
            </w:r>
          </w:p>
        </w:tc>
        <w:tc>
          <w:tcPr>
            <w:tcW w:w="1440" w:type="dxa"/>
            <w:tcBorders>
              <w:top w:val="single" w:sz="8" w:space="0" w:color="000000"/>
              <w:left w:val="single" w:sz="8" w:space="0" w:color="000000"/>
              <w:bottom w:val="single" w:sz="8" w:space="0" w:color="000000"/>
              <w:right w:val="nil"/>
            </w:tcBorders>
          </w:tcPr>
          <w:p w:rsidR="00DB6D04" w:rsidRPr="00581446" w:rsidRDefault="00DB6D04" w:rsidP="00DB6D04">
            <w:pPr>
              <w:kinsoku w:val="0"/>
              <w:overflowPunct w:val="0"/>
              <w:autoSpaceDE w:val="0"/>
              <w:autoSpaceDN w:val="0"/>
              <w:adjustRightInd w:val="0"/>
              <w:spacing w:before="2" w:line="110" w:lineRule="exact"/>
              <w:rPr>
                <w:rFonts w:ascii="Arial" w:hAnsi="Arial" w:cs="Arial"/>
                <w:sz w:val="11"/>
                <w:szCs w:val="11"/>
              </w:rPr>
            </w:pPr>
          </w:p>
          <w:p w:rsidR="00DB6D04" w:rsidRPr="00581446" w:rsidRDefault="00DB6D04" w:rsidP="00DB6D04">
            <w:pPr>
              <w:kinsoku w:val="0"/>
              <w:overflowPunct w:val="0"/>
              <w:autoSpaceDE w:val="0"/>
              <w:autoSpaceDN w:val="0"/>
              <w:adjustRightInd w:val="0"/>
              <w:ind w:left="97"/>
              <w:rPr>
                <w:rFonts w:ascii="Arial" w:hAnsi="Arial" w:cs="Arial"/>
                <w:sz w:val="24"/>
                <w:szCs w:val="24"/>
              </w:rPr>
            </w:pPr>
            <w:r w:rsidRPr="00581446">
              <w:rPr>
                <w:rFonts w:ascii="Arial" w:hAnsi="Arial" w:cs="Arial"/>
                <w:b/>
                <w:bCs/>
                <w:spacing w:val="1"/>
              </w:rPr>
              <w:t>62</w:t>
            </w:r>
          </w:p>
        </w:tc>
      </w:tr>
      <w:tr w:rsidR="00DB6D04" w:rsidRPr="00DB6D04" w:rsidTr="00581446">
        <w:trPr>
          <w:trHeight w:hRule="exact" w:val="480"/>
          <w:jc w:val="center"/>
        </w:trPr>
        <w:tc>
          <w:tcPr>
            <w:tcW w:w="3769" w:type="dxa"/>
            <w:tcBorders>
              <w:top w:val="single" w:sz="8" w:space="0" w:color="000000"/>
              <w:left w:val="single" w:sz="8" w:space="0" w:color="000000"/>
              <w:bottom w:val="single" w:sz="8" w:space="0" w:color="000000"/>
              <w:right w:val="single" w:sz="8" w:space="0" w:color="000000"/>
            </w:tcBorders>
            <w:shd w:val="clear" w:color="auto" w:fill="B8CCE4"/>
          </w:tcPr>
          <w:p w:rsidR="00DB6D04" w:rsidRPr="00581446" w:rsidRDefault="00DB6D04" w:rsidP="00DB6D04">
            <w:pPr>
              <w:kinsoku w:val="0"/>
              <w:overflowPunct w:val="0"/>
              <w:autoSpaceDE w:val="0"/>
              <w:autoSpaceDN w:val="0"/>
              <w:adjustRightInd w:val="0"/>
              <w:ind w:left="97"/>
              <w:rPr>
                <w:rFonts w:ascii="Arial" w:hAnsi="Arial" w:cs="Arial"/>
                <w:sz w:val="24"/>
                <w:szCs w:val="24"/>
              </w:rPr>
            </w:pPr>
            <w:r w:rsidRPr="00581446">
              <w:rPr>
                <w:rFonts w:ascii="Arial" w:hAnsi="Arial" w:cs="Arial"/>
                <w:b/>
                <w:bCs/>
                <w:spacing w:val="-1"/>
              </w:rPr>
              <w:t>T</w:t>
            </w:r>
            <w:r w:rsidRPr="00581446">
              <w:rPr>
                <w:rFonts w:ascii="Arial" w:hAnsi="Arial" w:cs="Arial"/>
                <w:b/>
                <w:bCs/>
                <w:spacing w:val="1"/>
              </w:rPr>
              <w:t>o</w:t>
            </w:r>
            <w:r w:rsidRPr="00581446">
              <w:rPr>
                <w:rFonts w:ascii="Arial" w:hAnsi="Arial" w:cs="Arial"/>
                <w:b/>
                <w:bCs/>
              </w:rPr>
              <w:t>t</w:t>
            </w:r>
            <w:r w:rsidRPr="00581446">
              <w:rPr>
                <w:rFonts w:ascii="Arial" w:hAnsi="Arial" w:cs="Arial"/>
                <w:b/>
                <w:bCs/>
                <w:spacing w:val="1"/>
              </w:rPr>
              <w:t>al</w:t>
            </w:r>
          </w:p>
        </w:tc>
        <w:tc>
          <w:tcPr>
            <w:tcW w:w="1620" w:type="dxa"/>
            <w:tcBorders>
              <w:top w:val="single" w:sz="8" w:space="0" w:color="000000"/>
              <w:left w:val="single" w:sz="8" w:space="0" w:color="000000"/>
              <w:bottom w:val="single" w:sz="8" w:space="0" w:color="000000"/>
              <w:right w:val="single" w:sz="8" w:space="0" w:color="000000"/>
            </w:tcBorders>
            <w:shd w:val="clear" w:color="auto" w:fill="B8CCE4"/>
          </w:tcPr>
          <w:p w:rsidR="00DB6D04" w:rsidRPr="00581446" w:rsidRDefault="00DB6D04" w:rsidP="00DB6D04">
            <w:pPr>
              <w:kinsoku w:val="0"/>
              <w:overflowPunct w:val="0"/>
              <w:autoSpaceDE w:val="0"/>
              <w:autoSpaceDN w:val="0"/>
              <w:adjustRightInd w:val="0"/>
              <w:ind w:left="97"/>
              <w:rPr>
                <w:rFonts w:ascii="Arial" w:hAnsi="Arial" w:cs="Arial"/>
                <w:sz w:val="24"/>
                <w:szCs w:val="24"/>
              </w:rPr>
            </w:pPr>
          </w:p>
        </w:tc>
        <w:tc>
          <w:tcPr>
            <w:tcW w:w="1530" w:type="dxa"/>
            <w:tcBorders>
              <w:top w:val="single" w:sz="8" w:space="0" w:color="000000"/>
              <w:left w:val="single" w:sz="8" w:space="0" w:color="000000"/>
              <w:bottom w:val="single" w:sz="8" w:space="0" w:color="000000"/>
              <w:right w:val="single" w:sz="8" w:space="0" w:color="000000"/>
            </w:tcBorders>
            <w:shd w:val="clear" w:color="auto" w:fill="B8CCE4"/>
          </w:tcPr>
          <w:p w:rsidR="00DB6D04" w:rsidRPr="00581446" w:rsidRDefault="00DB6D04" w:rsidP="00DB6D04">
            <w:pPr>
              <w:kinsoku w:val="0"/>
              <w:overflowPunct w:val="0"/>
              <w:autoSpaceDE w:val="0"/>
              <w:autoSpaceDN w:val="0"/>
              <w:adjustRightInd w:val="0"/>
              <w:ind w:left="97"/>
              <w:rPr>
                <w:rFonts w:ascii="Arial" w:hAnsi="Arial" w:cs="Arial"/>
                <w:sz w:val="24"/>
                <w:szCs w:val="24"/>
              </w:rPr>
            </w:pPr>
          </w:p>
        </w:tc>
        <w:tc>
          <w:tcPr>
            <w:tcW w:w="1109" w:type="dxa"/>
            <w:tcBorders>
              <w:top w:val="single" w:sz="8" w:space="0" w:color="000000"/>
              <w:left w:val="single" w:sz="8" w:space="0" w:color="000000"/>
              <w:bottom w:val="single" w:sz="8" w:space="0" w:color="000000"/>
              <w:right w:val="single" w:sz="8" w:space="0" w:color="000000"/>
            </w:tcBorders>
            <w:shd w:val="clear" w:color="auto" w:fill="B8CCE4"/>
          </w:tcPr>
          <w:p w:rsidR="00DB6D04" w:rsidRPr="00581446" w:rsidRDefault="00DB6D04" w:rsidP="00DB6D04">
            <w:pPr>
              <w:kinsoku w:val="0"/>
              <w:overflowPunct w:val="0"/>
              <w:autoSpaceDE w:val="0"/>
              <w:autoSpaceDN w:val="0"/>
              <w:adjustRightInd w:val="0"/>
              <w:ind w:left="-11"/>
              <w:rPr>
                <w:rFonts w:ascii="Arial" w:hAnsi="Arial" w:cs="Arial"/>
                <w:sz w:val="24"/>
                <w:szCs w:val="24"/>
              </w:rPr>
            </w:pPr>
          </w:p>
        </w:tc>
        <w:tc>
          <w:tcPr>
            <w:tcW w:w="1440" w:type="dxa"/>
            <w:tcBorders>
              <w:top w:val="single" w:sz="8" w:space="0" w:color="000000"/>
              <w:left w:val="single" w:sz="8" w:space="0" w:color="000000"/>
              <w:bottom w:val="single" w:sz="8" w:space="0" w:color="000000"/>
              <w:right w:val="single" w:sz="9" w:space="0" w:color="B8CCE4"/>
            </w:tcBorders>
            <w:shd w:val="clear" w:color="auto" w:fill="B8CCE4"/>
          </w:tcPr>
          <w:p w:rsidR="00DB6D04" w:rsidRPr="00581446" w:rsidRDefault="00EA6548" w:rsidP="00DB6D04">
            <w:pPr>
              <w:kinsoku w:val="0"/>
              <w:overflowPunct w:val="0"/>
              <w:autoSpaceDE w:val="0"/>
              <w:autoSpaceDN w:val="0"/>
              <w:adjustRightInd w:val="0"/>
              <w:ind w:left="97"/>
              <w:rPr>
                <w:rFonts w:ascii="Arial" w:hAnsi="Arial" w:cs="Arial"/>
                <w:sz w:val="24"/>
                <w:szCs w:val="24"/>
              </w:rPr>
            </w:pPr>
            <w:r w:rsidRPr="00581446">
              <w:rPr>
                <w:rFonts w:ascii="Arial" w:hAnsi="Arial" w:cs="Arial"/>
                <w:b/>
                <w:bCs/>
                <w:spacing w:val="1"/>
              </w:rPr>
              <w:t>2022</w:t>
            </w:r>
          </w:p>
        </w:tc>
      </w:tr>
      <w:tr w:rsidR="00B2199E" w:rsidRPr="00DB6D04" w:rsidTr="00581446">
        <w:trPr>
          <w:trHeight w:hRule="exact" w:val="1584"/>
          <w:jc w:val="center"/>
        </w:trPr>
        <w:tc>
          <w:tcPr>
            <w:tcW w:w="9468" w:type="dxa"/>
            <w:gridSpan w:val="5"/>
            <w:tcBorders>
              <w:top w:val="single" w:sz="8" w:space="0" w:color="000000"/>
            </w:tcBorders>
            <w:shd w:val="clear" w:color="auto" w:fill="auto"/>
          </w:tcPr>
          <w:p w:rsidR="00F431CC" w:rsidRPr="00BD598C" w:rsidRDefault="00B2199E">
            <w:pPr>
              <w:kinsoku w:val="0"/>
              <w:overflowPunct w:val="0"/>
              <w:autoSpaceDE w:val="0"/>
              <w:autoSpaceDN w:val="0"/>
              <w:adjustRightInd w:val="0"/>
              <w:ind w:left="97"/>
              <w:rPr>
                <w:bCs/>
                <w:spacing w:val="1"/>
              </w:rPr>
            </w:pPr>
            <w:r>
              <w:rPr>
                <w:bCs/>
                <w:spacing w:val="1"/>
                <w:vertAlign w:val="superscript"/>
              </w:rPr>
              <w:t>1</w:t>
            </w:r>
            <w:r>
              <w:rPr>
                <w:bCs/>
                <w:spacing w:val="1"/>
              </w:rPr>
              <w:t xml:space="preserve">The instructions for completing the MHI-LV recommend that </w:t>
            </w:r>
            <w:r w:rsidR="006D4E55">
              <w:rPr>
                <w:bCs/>
                <w:spacing w:val="1"/>
              </w:rPr>
              <w:t>a physician/administrator and a non-physician clinician each fill out the index separately.  So, even though it is one form as reproduced in Appen</w:t>
            </w:r>
            <w:r w:rsidR="00620CE4">
              <w:rPr>
                <w:bCs/>
                <w:spacing w:val="1"/>
              </w:rPr>
              <w:t>d</w:t>
            </w:r>
            <w:r w:rsidR="006D4E55">
              <w:rPr>
                <w:bCs/>
                <w:spacing w:val="1"/>
              </w:rPr>
              <w:t>ix B, we have two rows in the table to describe the burden of the two individuals.  There are a series of questions on the first two pages of the index which simply require</w:t>
            </w:r>
            <w:r w:rsidR="00F431CC">
              <w:rPr>
                <w:bCs/>
                <w:spacing w:val="1"/>
              </w:rPr>
              <w:t xml:space="preserve"> administrative information and would only need to be completed once. We assume that the administrator would complete these and so the time required for the administrator to complete the MHI-LV is longer than that required for the clinician.</w:t>
            </w:r>
          </w:p>
        </w:tc>
      </w:tr>
    </w:tbl>
    <w:p w:rsidR="00926941" w:rsidRDefault="00926941" w:rsidP="00FE762F">
      <w:pPr>
        <w:rPr>
          <w:sz w:val="24"/>
          <w:szCs w:val="24"/>
        </w:rPr>
      </w:pPr>
    </w:p>
    <w:p w:rsidR="00FE762F" w:rsidRPr="00A52A18" w:rsidRDefault="00FE762F" w:rsidP="00FE762F">
      <w:pPr>
        <w:rPr>
          <w:sz w:val="24"/>
          <w:szCs w:val="24"/>
        </w:rPr>
      </w:pPr>
      <w:r w:rsidRPr="00A52A18">
        <w:rPr>
          <w:sz w:val="24"/>
          <w:szCs w:val="24"/>
        </w:rPr>
        <w:t xml:space="preserve">Exhibit 2 shows the estimated annualized cost burden associated with the </w:t>
      </w:r>
      <w:r w:rsidR="00A52A18" w:rsidRPr="00A52A18">
        <w:rPr>
          <w:sz w:val="24"/>
          <w:szCs w:val="24"/>
        </w:rPr>
        <w:t xml:space="preserve">pilot survey </w:t>
      </w:r>
      <w:r w:rsidR="00A52A18" w:rsidRPr="004A4F21">
        <w:rPr>
          <w:sz w:val="24"/>
          <w:szCs w:val="24"/>
        </w:rPr>
        <w:t xml:space="preserve">administration. </w:t>
      </w:r>
      <w:r w:rsidRPr="004A4F21">
        <w:rPr>
          <w:sz w:val="24"/>
          <w:szCs w:val="24"/>
        </w:rPr>
        <w:t xml:space="preserve">The total cost burden is estimated to be </w:t>
      </w:r>
      <w:r w:rsidR="00B864E8" w:rsidRPr="004A4F21">
        <w:rPr>
          <w:sz w:val="24"/>
          <w:szCs w:val="24"/>
        </w:rPr>
        <w:t>$</w:t>
      </w:r>
      <w:r w:rsidR="00177508">
        <w:rPr>
          <w:sz w:val="24"/>
          <w:szCs w:val="24"/>
        </w:rPr>
        <w:t>51,228</w:t>
      </w:r>
      <w:r w:rsidR="00B864E8">
        <w:rPr>
          <w:sz w:val="24"/>
          <w:szCs w:val="24"/>
        </w:rPr>
        <w:t xml:space="preserve"> for the one-time survey pilot</w:t>
      </w:r>
      <w:r w:rsidRPr="00A52A18">
        <w:rPr>
          <w:sz w:val="24"/>
          <w:szCs w:val="24"/>
        </w:rPr>
        <w:t>.</w:t>
      </w:r>
    </w:p>
    <w:p w:rsidR="0057087C" w:rsidRPr="000F0A4E" w:rsidRDefault="0057087C">
      <w:pPr>
        <w:rPr>
          <w:sz w:val="24"/>
          <w:szCs w:val="24"/>
          <w:highlight w:val="yellow"/>
        </w:rPr>
      </w:pPr>
    </w:p>
    <w:p w:rsidR="00A52A18" w:rsidRDefault="00A52A18" w:rsidP="00A52A18">
      <w:pPr>
        <w:pStyle w:val="PTableTitle"/>
        <w:rPr>
          <w:rFonts w:eastAsiaTheme="minorEastAsia"/>
        </w:rPr>
      </w:pPr>
      <w:r w:rsidRPr="00395EF1">
        <w:rPr>
          <w:rFonts w:eastAsiaTheme="minorEastAsia"/>
        </w:rPr>
        <w:lastRenderedPageBreak/>
        <w:t xml:space="preserve">Exhibit </w:t>
      </w:r>
      <w:r>
        <w:rPr>
          <w:rFonts w:eastAsiaTheme="minorEastAsia"/>
        </w:rPr>
        <w:t>2</w:t>
      </w:r>
      <w:r w:rsidRPr="00395EF1">
        <w:rPr>
          <w:rFonts w:eastAsiaTheme="minorEastAsia"/>
        </w:rPr>
        <w:t>. Estimated</w:t>
      </w:r>
      <w:r w:rsidRPr="00935E36">
        <w:rPr>
          <w:rFonts w:eastAsiaTheme="minorEastAsia"/>
        </w:rPr>
        <w:t xml:space="preserve"> </w:t>
      </w:r>
      <w:r>
        <w:rPr>
          <w:rFonts w:eastAsiaTheme="minorEastAsia"/>
        </w:rPr>
        <w:t xml:space="preserve">Annualized Cost </w:t>
      </w:r>
      <w:r w:rsidRPr="00935E36">
        <w:rPr>
          <w:rFonts w:eastAsiaTheme="minorEastAsia"/>
        </w:rPr>
        <w:t xml:space="preserve">Burden </w:t>
      </w:r>
      <w:r w:rsidRPr="00103746">
        <w:rPr>
          <w:rFonts w:eastAsiaTheme="minorEastAsia"/>
        </w:rPr>
        <w:t xml:space="preserve">for </w:t>
      </w:r>
      <w:r>
        <w:rPr>
          <w:rFonts w:eastAsiaTheme="minorEastAsia"/>
        </w:rPr>
        <w:t>CCQM-PC Survey Pilot Test by Entity</w:t>
      </w:r>
    </w:p>
    <w:tbl>
      <w:tblPr>
        <w:tblpPr w:leftFromText="180" w:rightFromText="180" w:vertAnchor="text" w:tblpY="1"/>
        <w:tblOverlap w:val="never"/>
        <w:tblW w:w="4247" w:type="pct"/>
        <w:tblLayout w:type="fixed"/>
        <w:tblLook w:val="04A0" w:firstRow="1" w:lastRow="0" w:firstColumn="1" w:lastColumn="0" w:noHBand="0" w:noVBand="1"/>
      </w:tblPr>
      <w:tblGrid>
        <w:gridCol w:w="3812"/>
        <w:gridCol w:w="1441"/>
        <w:gridCol w:w="1441"/>
        <w:gridCol w:w="1440"/>
      </w:tblGrid>
      <w:tr w:rsidR="00581446" w:rsidRPr="00581446" w:rsidTr="00581446">
        <w:trPr>
          <w:trHeight w:val="780"/>
        </w:trPr>
        <w:tc>
          <w:tcPr>
            <w:tcW w:w="2343" w:type="pct"/>
            <w:tcBorders>
              <w:top w:val="single" w:sz="8" w:space="0" w:color="auto"/>
              <w:left w:val="single" w:sz="8" w:space="0" w:color="auto"/>
              <w:bottom w:val="single" w:sz="8" w:space="0" w:color="002C5F"/>
              <w:right w:val="single" w:sz="4" w:space="0" w:color="auto"/>
            </w:tcBorders>
            <w:shd w:val="clear" w:color="000000" w:fill="1F497D" w:themeFill="text2"/>
            <w:noWrap/>
            <w:vAlign w:val="center"/>
            <w:hideMark/>
          </w:tcPr>
          <w:p w:rsidR="004F56C6" w:rsidRPr="00581446" w:rsidRDefault="004F56C6" w:rsidP="00B206FE">
            <w:pPr>
              <w:jc w:val="center"/>
              <w:rPr>
                <w:rFonts w:ascii="Arial" w:hAnsi="Arial" w:cs="Arial"/>
                <w:b/>
                <w:bCs/>
                <w:color w:val="FFFFFF" w:themeColor="background1"/>
              </w:rPr>
            </w:pPr>
            <w:r w:rsidRPr="00581446">
              <w:rPr>
                <w:rFonts w:ascii="Arial" w:hAnsi="Arial" w:cs="Arial"/>
                <w:b/>
                <w:color w:val="FFFFFF" w:themeColor="background1"/>
              </w:rPr>
              <w:t>CCQM-PC Survey</w:t>
            </w:r>
          </w:p>
        </w:tc>
        <w:tc>
          <w:tcPr>
            <w:tcW w:w="886" w:type="pct"/>
            <w:tcBorders>
              <w:top w:val="single" w:sz="8" w:space="0" w:color="auto"/>
              <w:left w:val="single" w:sz="4" w:space="0" w:color="auto"/>
              <w:bottom w:val="single" w:sz="8" w:space="0" w:color="002C5F"/>
              <w:right w:val="single" w:sz="8" w:space="0" w:color="002C5F"/>
            </w:tcBorders>
            <w:shd w:val="clear" w:color="000000" w:fill="1F497D" w:themeFill="text2"/>
            <w:vAlign w:val="center"/>
            <w:hideMark/>
          </w:tcPr>
          <w:p w:rsidR="004F56C6" w:rsidRPr="00581446" w:rsidRDefault="004F56C6" w:rsidP="00620CE4">
            <w:pPr>
              <w:jc w:val="center"/>
              <w:rPr>
                <w:rFonts w:ascii="Arial" w:hAnsi="Arial" w:cs="Arial"/>
                <w:b/>
                <w:bCs/>
                <w:color w:val="FFFFFF" w:themeColor="background1"/>
              </w:rPr>
            </w:pPr>
            <w:r w:rsidRPr="00581446">
              <w:rPr>
                <w:rFonts w:ascii="Arial" w:hAnsi="Arial" w:cs="Arial"/>
                <w:b/>
                <w:bCs/>
                <w:color w:val="FFFFFF" w:themeColor="background1"/>
              </w:rPr>
              <w:t>Total Burde</w:t>
            </w:r>
            <w:r w:rsidR="00620CE4" w:rsidRPr="00581446">
              <w:rPr>
                <w:rFonts w:ascii="Arial" w:hAnsi="Arial" w:cs="Arial"/>
                <w:b/>
                <w:bCs/>
                <w:color w:val="FFFFFF" w:themeColor="background1"/>
              </w:rPr>
              <w:t>n</w:t>
            </w:r>
            <w:r w:rsidRPr="00581446">
              <w:rPr>
                <w:rFonts w:ascii="Arial" w:hAnsi="Arial" w:cs="Arial"/>
                <w:b/>
                <w:bCs/>
                <w:color w:val="FFFFFF" w:themeColor="background1"/>
              </w:rPr>
              <w:t xml:space="preserve"> Hours</w:t>
            </w:r>
          </w:p>
        </w:tc>
        <w:tc>
          <w:tcPr>
            <w:tcW w:w="886" w:type="pct"/>
            <w:tcBorders>
              <w:top w:val="single" w:sz="8" w:space="0" w:color="auto"/>
              <w:left w:val="single" w:sz="8" w:space="0" w:color="FFFFFF"/>
              <w:bottom w:val="single" w:sz="8" w:space="0" w:color="002C5F"/>
              <w:right w:val="single" w:sz="8" w:space="0" w:color="002C5F"/>
            </w:tcBorders>
            <w:shd w:val="clear" w:color="000000" w:fill="1F497D" w:themeFill="text2"/>
            <w:vAlign w:val="center"/>
          </w:tcPr>
          <w:p w:rsidR="004F56C6" w:rsidRPr="00581446" w:rsidRDefault="004F56C6" w:rsidP="00620CE4">
            <w:pPr>
              <w:jc w:val="center"/>
              <w:rPr>
                <w:rFonts w:ascii="Arial" w:hAnsi="Arial" w:cs="Arial"/>
                <w:b/>
                <w:bCs/>
                <w:color w:val="FFFFFF" w:themeColor="background1"/>
              </w:rPr>
            </w:pPr>
            <w:r w:rsidRPr="00581446">
              <w:rPr>
                <w:rFonts w:ascii="Arial" w:hAnsi="Arial" w:cs="Arial"/>
                <w:b/>
                <w:bCs/>
                <w:color w:val="FFFFFF" w:themeColor="background1"/>
              </w:rPr>
              <w:t>Average Hourly Wage</w:t>
            </w:r>
          </w:p>
        </w:tc>
        <w:tc>
          <w:tcPr>
            <w:tcW w:w="885" w:type="pct"/>
            <w:tcBorders>
              <w:top w:val="single" w:sz="8" w:space="0" w:color="auto"/>
              <w:left w:val="single" w:sz="8" w:space="0" w:color="FFFFFF"/>
              <w:bottom w:val="single" w:sz="8" w:space="0" w:color="002C5F"/>
              <w:right w:val="single" w:sz="8" w:space="0" w:color="002C5F"/>
            </w:tcBorders>
            <w:shd w:val="clear" w:color="000000" w:fill="1F497D" w:themeFill="text2"/>
            <w:vAlign w:val="center"/>
          </w:tcPr>
          <w:p w:rsidR="004F56C6" w:rsidRPr="00581446" w:rsidRDefault="004F56C6" w:rsidP="00620CE4">
            <w:pPr>
              <w:jc w:val="center"/>
              <w:rPr>
                <w:rFonts w:ascii="Arial" w:hAnsi="Arial" w:cs="Arial"/>
                <w:b/>
                <w:bCs/>
                <w:color w:val="FFFFFF" w:themeColor="background1"/>
              </w:rPr>
            </w:pPr>
            <w:r w:rsidRPr="00581446">
              <w:rPr>
                <w:rFonts w:ascii="Arial" w:hAnsi="Arial" w:cs="Arial"/>
                <w:b/>
                <w:bCs/>
                <w:color w:val="FFFFFF" w:themeColor="background1"/>
              </w:rPr>
              <w:t>Total Cost Burden</w:t>
            </w:r>
          </w:p>
        </w:tc>
      </w:tr>
      <w:tr w:rsidR="004F56C6" w:rsidRPr="00956DE8" w:rsidTr="00BD598C">
        <w:trPr>
          <w:trHeight w:val="315"/>
        </w:trPr>
        <w:tc>
          <w:tcPr>
            <w:tcW w:w="2343" w:type="pct"/>
            <w:tcBorders>
              <w:top w:val="single" w:sz="8" w:space="0" w:color="002C5F"/>
              <w:left w:val="single" w:sz="8" w:space="0" w:color="auto"/>
              <w:bottom w:val="single" w:sz="8" w:space="0" w:color="002C5F"/>
              <w:right w:val="single" w:sz="4" w:space="0" w:color="auto"/>
            </w:tcBorders>
            <w:shd w:val="clear" w:color="auto" w:fill="auto"/>
            <w:noWrap/>
            <w:vAlign w:val="center"/>
            <w:hideMark/>
          </w:tcPr>
          <w:p w:rsidR="004F56C6" w:rsidRPr="000975E5" w:rsidRDefault="004F56C6" w:rsidP="00362882">
            <w:pPr>
              <w:rPr>
                <w:rFonts w:ascii="Arial" w:hAnsi="Arial" w:cs="Arial"/>
                <w:b/>
                <w:bCs/>
                <w:color w:val="000000"/>
              </w:rPr>
            </w:pPr>
            <w:r w:rsidRPr="000975E5">
              <w:rPr>
                <w:rFonts w:ascii="Arial" w:hAnsi="Arial" w:cs="Arial"/>
                <w:b/>
                <w:bCs/>
                <w:color w:val="000000"/>
              </w:rPr>
              <w:t>Survey Respondents</w:t>
            </w:r>
            <w:r>
              <w:rPr>
                <w:rFonts w:ascii="Arial" w:hAnsi="Arial" w:cs="Arial"/>
                <w:b/>
                <w:bCs/>
                <w:color w:val="000000"/>
              </w:rPr>
              <w:t xml:space="preserve"> </w:t>
            </w:r>
          </w:p>
        </w:tc>
        <w:tc>
          <w:tcPr>
            <w:tcW w:w="886" w:type="pct"/>
            <w:tcBorders>
              <w:top w:val="single" w:sz="8" w:space="0" w:color="002C5F"/>
              <w:left w:val="single" w:sz="4" w:space="0" w:color="auto"/>
              <w:bottom w:val="single" w:sz="8" w:space="0" w:color="002C5F"/>
              <w:right w:val="single" w:sz="8" w:space="0" w:color="002C5F"/>
            </w:tcBorders>
            <w:shd w:val="clear" w:color="auto" w:fill="auto"/>
            <w:noWrap/>
            <w:hideMark/>
          </w:tcPr>
          <w:p w:rsidR="004F56C6" w:rsidRPr="0079472B" w:rsidRDefault="004F56C6" w:rsidP="0079472B">
            <w:pPr>
              <w:jc w:val="right"/>
              <w:rPr>
                <w:rFonts w:ascii="Arial" w:hAnsi="Arial" w:cs="Arial"/>
                <w:b/>
                <w:bCs/>
                <w:color w:val="000000"/>
              </w:rPr>
            </w:pPr>
            <w:r w:rsidRPr="0079472B">
              <w:rPr>
                <w:rFonts w:ascii="Arial" w:hAnsi="Arial" w:cs="Arial"/>
                <w:b/>
                <w:bCs/>
                <w:color w:val="000000"/>
              </w:rPr>
              <w:t>1,890</w:t>
            </w:r>
          </w:p>
        </w:tc>
        <w:tc>
          <w:tcPr>
            <w:tcW w:w="886" w:type="pct"/>
            <w:tcBorders>
              <w:top w:val="single" w:sz="8" w:space="0" w:color="002C5F"/>
              <w:left w:val="single" w:sz="8" w:space="0" w:color="002C5F"/>
              <w:bottom w:val="single" w:sz="8" w:space="0" w:color="002C5F"/>
              <w:right w:val="single" w:sz="8" w:space="0" w:color="002C5F"/>
            </w:tcBorders>
          </w:tcPr>
          <w:p w:rsidR="004F56C6" w:rsidRPr="0079472B" w:rsidRDefault="004F56C6" w:rsidP="009D58CF">
            <w:pPr>
              <w:jc w:val="right"/>
              <w:rPr>
                <w:rFonts w:ascii="Arial" w:hAnsi="Arial" w:cs="Arial"/>
                <w:b/>
                <w:bCs/>
                <w:color w:val="000000"/>
              </w:rPr>
            </w:pPr>
            <w:r w:rsidRPr="0079472B">
              <w:rPr>
                <w:rFonts w:ascii="Arial" w:hAnsi="Arial" w:cs="Arial"/>
                <w:b/>
              </w:rPr>
              <w:t>$22.</w:t>
            </w:r>
            <w:r w:rsidR="00325F13">
              <w:rPr>
                <w:rFonts w:ascii="Arial" w:hAnsi="Arial" w:cs="Arial"/>
                <w:b/>
              </w:rPr>
              <w:t>33</w:t>
            </w:r>
            <w:r w:rsidR="009D58CF" w:rsidRPr="009D58CF">
              <w:rPr>
                <w:rFonts w:ascii="Arial" w:hAnsi="Arial" w:cs="Arial"/>
                <w:vertAlign w:val="superscript"/>
              </w:rPr>
              <w:t>1</w:t>
            </w:r>
          </w:p>
        </w:tc>
        <w:tc>
          <w:tcPr>
            <w:tcW w:w="885" w:type="pct"/>
            <w:tcBorders>
              <w:top w:val="single" w:sz="8" w:space="0" w:color="002C5F"/>
              <w:left w:val="single" w:sz="8" w:space="0" w:color="002C5F"/>
              <w:bottom w:val="single" w:sz="8" w:space="0" w:color="002C5F"/>
              <w:right w:val="single" w:sz="8" w:space="0" w:color="002C5F"/>
            </w:tcBorders>
          </w:tcPr>
          <w:p w:rsidR="004F56C6" w:rsidRPr="0079472B" w:rsidRDefault="004F56C6" w:rsidP="0079472B">
            <w:pPr>
              <w:jc w:val="right"/>
              <w:rPr>
                <w:rFonts w:ascii="Arial" w:hAnsi="Arial" w:cs="Arial"/>
                <w:b/>
                <w:bCs/>
                <w:color w:val="000000"/>
              </w:rPr>
            </w:pPr>
            <w:r>
              <w:rPr>
                <w:rFonts w:ascii="Arial" w:hAnsi="Arial" w:cs="Arial"/>
                <w:b/>
                <w:bCs/>
                <w:color w:val="000000"/>
              </w:rPr>
              <w:t>$42,</w:t>
            </w:r>
            <w:r w:rsidR="00EF1E1C">
              <w:rPr>
                <w:rFonts w:ascii="Arial" w:hAnsi="Arial" w:cs="Arial"/>
                <w:b/>
                <w:bCs/>
                <w:color w:val="000000"/>
              </w:rPr>
              <w:t>204</w:t>
            </w:r>
          </w:p>
        </w:tc>
      </w:tr>
      <w:tr w:rsidR="004F56C6" w:rsidRPr="00956DE8" w:rsidTr="00F65C87">
        <w:trPr>
          <w:trHeight w:val="315"/>
        </w:trPr>
        <w:tc>
          <w:tcPr>
            <w:tcW w:w="2343" w:type="pct"/>
            <w:tcBorders>
              <w:top w:val="single" w:sz="8" w:space="0" w:color="002C5F"/>
              <w:left w:val="single" w:sz="8" w:space="0" w:color="auto"/>
              <w:bottom w:val="single" w:sz="8" w:space="0" w:color="002C5F"/>
              <w:right w:val="single" w:sz="8" w:space="0" w:color="002C5F"/>
            </w:tcBorders>
            <w:shd w:val="clear" w:color="auto" w:fill="auto"/>
            <w:noWrap/>
            <w:vAlign w:val="center"/>
            <w:hideMark/>
          </w:tcPr>
          <w:p w:rsidR="004F56C6" w:rsidRDefault="004F56C6" w:rsidP="00AD66A8">
            <w:pPr>
              <w:rPr>
                <w:rFonts w:ascii="Arial" w:hAnsi="Arial" w:cs="Arial"/>
                <w:b/>
                <w:bCs/>
                <w:color w:val="000000"/>
              </w:rPr>
            </w:pPr>
            <w:r>
              <w:rPr>
                <w:rFonts w:ascii="Arial" w:hAnsi="Arial" w:cs="Arial"/>
                <w:b/>
                <w:bCs/>
                <w:color w:val="000000"/>
              </w:rPr>
              <w:t>Physician/Admi</w:t>
            </w:r>
            <w:r w:rsidR="00926941">
              <w:rPr>
                <w:rFonts w:ascii="Arial" w:hAnsi="Arial" w:cs="Arial"/>
                <w:b/>
                <w:bCs/>
                <w:color w:val="000000"/>
              </w:rPr>
              <w:t>ni</w:t>
            </w:r>
            <w:r>
              <w:rPr>
                <w:rFonts w:ascii="Arial" w:hAnsi="Arial" w:cs="Arial"/>
                <w:b/>
                <w:bCs/>
                <w:color w:val="000000"/>
              </w:rPr>
              <w:t xml:space="preserve">strator </w:t>
            </w:r>
          </w:p>
        </w:tc>
        <w:tc>
          <w:tcPr>
            <w:tcW w:w="886" w:type="pct"/>
            <w:tcBorders>
              <w:top w:val="single" w:sz="8" w:space="0" w:color="002C5F"/>
              <w:left w:val="single" w:sz="8" w:space="0" w:color="002C5F"/>
              <w:bottom w:val="single" w:sz="8" w:space="0" w:color="002C5F"/>
              <w:right w:val="single" w:sz="8" w:space="0" w:color="002C5F"/>
            </w:tcBorders>
            <w:shd w:val="clear" w:color="auto" w:fill="auto"/>
            <w:noWrap/>
            <w:hideMark/>
          </w:tcPr>
          <w:p w:rsidR="004F56C6" w:rsidRPr="0079472B" w:rsidRDefault="004F56C6" w:rsidP="0079472B">
            <w:pPr>
              <w:jc w:val="right"/>
              <w:rPr>
                <w:rFonts w:ascii="Arial" w:hAnsi="Arial" w:cs="Arial"/>
                <w:b/>
                <w:bCs/>
                <w:color w:val="000000"/>
              </w:rPr>
            </w:pPr>
            <w:r>
              <w:rPr>
                <w:rFonts w:ascii="Arial" w:hAnsi="Arial" w:cs="Arial"/>
                <w:b/>
                <w:bCs/>
                <w:color w:val="000000"/>
              </w:rPr>
              <w:t>70</w:t>
            </w:r>
          </w:p>
        </w:tc>
        <w:tc>
          <w:tcPr>
            <w:tcW w:w="886" w:type="pct"/>
            <w:tcBorders>
              <w:top w:val="single" w:sz="8" w:space="0" w:color="002C5F"/>
              <w:left w:val="single" w:sz="8" w:space="0" w:color="002C5F"/>
              <w:bottom w:val="single" w:sz="8" w:space="0" w:color="002C5F"/>
              <w:right w:val="single" w:sz="8" w:space="0" w:color="002C5F"/>
            </w:tcBorders>
          </w:tcPr>
          <w:p w:rsidR="004F56C6" w:rsidRPr="0079472B" w:rsidRDefault="00325F13" w:rsidP="00B90D57">
            <w:pPr>
              <w:jc w:val="right"/>
              <w:rPr>
                <w:rFonts w:ascii="Arial" w:hAnsi="Arial" w:cs="Arial"/>
                <w:b/>
              </w:rPr>
            </w:pPr>
            <w:r>
              <w:rPr>
                <w:rFonts w:ascii="Arial" w:hAnsi="Arial" w:cs="Arial"/>
                <w:b/>
              </w:rPr>
              <w:t>$88.43</w:t>
            </w:r>
            <w:r w:rsidR="00B90D57" w:rsidRPr="009D58CF">
              <w:rPr>
                <w:rStyle w:val="FootnoteReference"/>
                <w:rFonts w:ascii="Arial" w:hAnsi="Arial" w:cs="Arial"/>
              </w:rPr>
              <w:t>2</w:t>
            </w:r>
          </w:p>
        </w:tc>
        <w:tc>
          <w:tcPr>
            <w:tcW w:w="885" w:type="pct"/>
            <w:tcBorders>
              <w:top w:val="single" w:sz="8" w:space="0" w:color="002C5F"/>
              <w:left w:val="single" w:sz="8" w:space="0" w:color="002C5F"/>
              <w:bottom w:val="single" w:sz="8" w:space="0" w:color="002C5F"/>
              <w:right w:val="single" w:sz="8" w:space="0" w:color="002C5F"/>
            </w:tcBorders>
          </w:tcPr>
          <w:p w:rsidR="004F56C6" w:rsidRDefault="00EF1E1C" w:rsidP="0079472B">
            <w:pPr>
              <w:jc w:val="right"/>
              <w:rPr>
                <w:rFonts w:ascii="Arial" w:hAnsi="Arial" w:cs="Arial"/>
                <w:b/>
                <w:bCs/>
                <w:color w:val="000000"/>
              </w:rPr>
            </w:pPr>
            <w:r>
              <w:rPr>
                <w:rFonts w:ascii="Arial" w:hAnsi="Arial" w:cs="Arial"/>
                <w:b/>
                <w:bCs/>
                <w:color w:val="000000"/>
              </w:rPr>
              <w:t>$6,190</w:t>
            </w:r>
          </w:p>
        </w:tc>
      </w:tr>
      <w:tr w:rsidR="004F56C6" w:rsidRPr="00956DE8" w:rsidTr="00581446">
        <w:trPr>
          <w:trHeight w:val="315"/>
        </w:trPr>
        <w:tc>
          <w:tcPr>
            <w:tcW w:w="2343" w:type="pct"/>
            <w:tcBorders>
              <w:top w:val="single" w:sz="8" w:space="0" w:color="002C5F"/>
              <w:left w:val="single" w:sz="8" w:space="0" w:color="auto"/>
              <w:bottom w:val="single" w:sz="8" w:space="0" w:color="002C5F"/>
              <w:right w:val="single" w:sz="8" w:space="0" w:color="002C5F"/>
            </w:tcBorders>
            <w:shd w:val="clear" w:color="auto" w:fill="auto"/>
            <w:noWrap/>
            <w:vAlign w:val="center"/>
            <w:hideMark/>
          </w:tcPr>
          <w:p w:rsidR="004F56C6" w:rsidRDefault="004F56C6" w:rsidP="00AD66A8">
            <w:pPr>
              <w:rPr>
                <w:rFonts w:ascii="Arial" w:hAnsi="Arial" w:cs="Arial"/>
                <w:b/>
                <w:bCs/>
                <w:color w:val="000000"/>
              </w:rPr>
            </w:pPr>
            <w:r>
              <w:rPr>
                <w:rFonts w:ascii="Arial" w:hAnsi="Arial" w:cs="Arial"/>
                <w:b/>
                <w:bCs/>
                <w:color w:val="000000"/>
              </w:rPr>
              <w:t xml:space="preserve">Non-physician </w:t>
            </w:r>
            <w:r w:rsidR="0017397B">
              <w:rPr>
                <w:rFonts w:ascii="Arial" w:hAnsi="Arial" w:cs="Arial"/>
                <w:b/>
                <w:bCs/>
                <w:color w:val="000000"/>
              </w:rPr>
              <w:t>Clinician</w:t>
            </w:r>
            <w:r>
              <w:rPr>
                <w:rFonts w:ascii="Arial" w:hAnsi="Arial" w:cs="Arial"/>
                <w:b/>
                <w:bCs/>
                <w:color w:val="000000"/>
              </w:rPr>
              <w:t xml:space="preserve"> </w:t>
            </w:r>
          </w:p>
        </w:tc>
        <w:tc>
          <w:tcPr>
            <w:tcW w:w="886" w:type="pct"/>
            <w:tcBorders>
              <w:top w:val="single" w:sz="8" w:space="0" w:color="002C5F"/>
              <w:left w:val="single" w:sz="8" w:space="0" w:color="002C5F"/>
              <w:bottom w:val="single" w:sz="8" w:space="0" w:color="002C5F"/>
              <w:right w:val="single" w:sz="8" w:space="0" w:color="002C5F"/>
            </w:tcBorders>
            <w:shd w:val="clear" w:color="auto" w:fill="auto"/>
            <w:noWrap/>
            <w:hideMark/>
          </w:tcPr>
          <w:p w:rsidR="004F56C6" w:rsidRPr="0079472B" w:rsidRDefault="004F56C6" w:rsidP="00AD66A8">
            <w:pPr>
              <w:jc w:val="right"/>
              <w:rPr>
                <w:rFonts w:ascii="Arial" w:hAnsi="Arial" w:cs="Arial"/>
                <w:b/>
                <w:bCs/>
                <w:color w:val="000000"/>
              </w:rPr>
            </w:pPr>
            <w:r>
              <w:rPr>
                <w:rFonts w:ascii="Arial" w:hAnsi="Arial" w:cs="Arial"/>
                <w:b/>
                <w:bCs/>
                <w:color w:val="000000"/>
              </w:rPr>
              <w:t>62</w:t>
            </w:r>
          </w:p>
        </w:tc>
        <w:tc>
          <w:tcPr>
            <w:tcW w:w="886" w:type="pct"/>
            <w:tcBorders>
              <w:top w:val="single" w:sz="8" w:space="0" w:color="002C5F"/>
              <w:left w:val="single" w:sz="8" w:space="0" w:color="002C5F"/>
              <w:bottom w:val="single" w:sz="8" w:space="0" w:color="002C5F"/>
              <w:right w:val="single" w:sz="8" w:space="0" w:color="002C5F"/>
            </w:tcBorders>
          </w:tcPr>
          <w:p w:rsidR="004F56C6" w:rsidRPr="0079472B" w:rsidRDefault="00325F13" w:rsidP="00B90D57">
            <w:pPr>
              <w:jc w:val="right"/>
              <w:rPr>
                <w:rFonts w:ascii="Arial" w:hAnsi="Arial" w:cs="Arial"/>
                <w:b/>
              </w:rPr>
            </w:pPr>
            <w:r>
              <w:rPr>
                <w:rFonts w:ascii="Arial" w:hAnsi="Arial" w:cs="Arial"/>
                <w:b/>
              </w:rPr>
              <w:t>$45.71</w:t>
            </w:r>
            <w:r w:rsidR="00B90D57">
              <w:rPr>
                <w:rStyle w:val="FootnoteReference"/>
                <w:rFonts w:ascii="Arial" w:hAnsi="Arial" w:cs="Arial"/>
                <w:b/>
              </w:rPr>
              <w:t>3</w:t>
            </w:r>
          </w:p>
        </w:tc>
        <w:tc>
          <w:tcPr>
            <w:tcW w:w="885" w:type="pct"/>
            <w:tcBorders>
              <w:top w:val="single" w:sz="8" w:space="0" w:color="002C5F"/>
              <w:left w:val="single" w:sz="8" w:space="0" w:color="002C5F"/>
              <w:bottom w:val="single" w:sz="8" w:space="0" w:color="002C5F"/>
              <w:right w:val="single" w:sz="8" w:space="0" w:color="002C5F"/>
            </w:tcBorders>
          </w:tcPr>
          <w:p w:rsidR="004F56C6" w:rsidRDefault="00EF1E1C" w:rsidP="00AD66A8">
            <w:pPr>
              <w:jc w:val="right"/>
              <w:rPr>
                <w:rFonts w:ascii="Arial" w:hAnsi="Arial" w:cs="Arial"/>
                <w:b/>
                <w:bCs/>
                <w:color w:val="000000"/>
              </w:rPr>
            </w:pPr>
            <w:r>
              <w:rPr>
                <w:rFonts w:ascii="Arial" w:hAnsi="Arial" w:cs="Arial"/>
                <w:b/>
                <w:bCs/>
                <w:color w:val="000000"/>
              </w:rPr>
              <w:t>$2,8</w:t>
            </w:r>
            <w:r w:rsidR="00AD66A8">
              <w:rPr>
                <w:rFonts w:ascii="Arial" w:hAnsi="Arial" w:cs="Arial"/>
                <w:b/>
                <w:bCs/>
                <w:color w:val="000000"/>
              </w:rPr>
              <w:t>34</w:t>
            </w:r>
          </w:p>
        </w:tc>
      </w:tr>
      <w:tr w:rsidR="004F56C6" w:rsidRPr="00956DE8" w:rsidTr="00581446">
        <w:trPr>
          <w:trHeight w:val="315"/>
        </w:trPr>
        <w:tc>
          <w:tcPr>
            <w:tcW w:w="2343" w:type="pct"/>
            <w:tcBorders>
              <w:top w:val="single" w:sz="8" w:space="0" w:color="002C5F"/>
              <w:left w:val="single" w:sz="8" w:space="0" w:color="auto"/>
              <w:bottom w:val="single" w:sz="8" w:space="0" w:color="002C5F"/>
              <w:right w:val="single" w:sz="8" w:space="0" w:color="002C5F"/>
            </w:tcBorders>
            <w:shd w:val="clear" w:color="auto" w:fill="95B3D7" w:themeFill="accent1" w:themeFillTint="99"/>
            <w:noWrap/>
            <w:vAlign w:val="center"/>
            <w:hideMark/>
          </w:tcPr>
          <w:p w:rsidR="004F56C6" w:rsidRDefault="004F56C6" w:rsidP="00B206FE">
            <w:pPr>
              <w:rPr>
                <w:rFonts w:ascii="Arial" w:hAnsi="Arial" w:cs="Arial"/>
                <w:b/>
                <w:bCs/>
                <w:color w:val="000000"/>
              </w:rPr>
            </w:pPr>
            <w:r>
              <w:rPr>
                <w:rFonts w:ascii="Arial" w:hAnsi="Arial" w:cs="Arial"/>
                <w:b/>
                <w:bCs/>
                <w:color w:val="000000"/>
              </w:rPr>
              <w:t>TOTAL OVERALL</w:t>
            </w:r>
          </w:p>
        </w:tc>
        <w:tc>
          <w:tcPr>
            <w:tcW w:w="886" w:type="pct"/>
            <w:tcBorders>
              <w:top w:val="single" w:sz="8" w:space="0" w:color="002C5F"/>
              <w:left w:val="single" w:sz="8" w:space="0" w:color="002C5F"/>
              <w:bottom w:val="single" w:sz="8" w:space="0" w:color="002C5F"/>
              <w:right w:val="single" w:sz="8" w:space="0" w:color="002C5F"/>
            </w:tcBorders>
            <w:shd w:val="clear" w:color="auto" w:fill="95B3D7" w:themeFill="accent1" w:themeFillTint="99"/>
            <w:noWrap/>
            <w:vAlign w:val="center"/>
            <w:hideMark/>
          </w:tcPr>
          <w:p w:rsidR="004F56C6" w:rsidRPr="000975E5" w:rsidRDefault="00177508" w:rsidP="00B206FE">
            <w:pPr>
              <w:jc w:val="right"/>
              <w:rPr>
                <w:rFonts w:ascii="Arial" w:hAnsi="Arial" w:cs="Arial"/>
                <w:b/>
                <w:bCs/>
                <w:color w:val="000000"/>
              </w:rPr>
            </w:pPr>
            <w:r>
              <w:rPr>
                <w:rFonts w:ascii="Arial" w:hAnsi="Arial" w:cs="Arial"/>
                <w:b/>
                <w:bCs/>
                <w:color w:val="000000"/>
              </w:rPr>
              <w:t>2022</w:t>
            </w:r>
          </w:p>
        </w:tc>
        <w:tc>
          <w:tcPr>
            <w:tcW w:w="886" w:type="pct"/>
            <w:tcBorders>
              <w:top w:val="single" w:sz="8" w:space="0" w:color="002C5F"/>
              <w:left w:val="single" w:sz="8" w:space="0" w:color="002C5F"/>
              <w:bottom w:val="single" w:sz="8" w:space="0" w:color="002C5F"/>
              <w:right w:val="single" w:sz="8" w:space="0" w:color="002C5F"/>
            </w:tcBorders>
            <w:shd w:val="clear" w:color="auto" w:fill="95B3D7" w:themeFill="accent1" w:themeFillTint="99"/>
          </w:tcPr>
          <w:p w:rsidR="004F56C6" w:rsidRDefault="004F56C6" w:rsidP="00B206FE">
            <w:pPr>
              <w:jc w:val="right"/>
              <w:rPr>
                <w:rFonts w:ascii="Arial" w:hAnsi="Arial" w:cs="Arial"/>
                <w:b/>
                <w:bCs/>
                <w:color w:val="000000"/>
              </w:rPr>
            </w:pPr>
            <w:r>
              <w:rPr>
                <w:rFonts w:ascii="Arial" w:hAnsi="Arial" w:cs="Arial"/>
                <w:b/>
                <w:bCs/>
                <w:color w:val="000000"/>
              </w:rPr>
              <w:t>n/a</w:t>
            </w:r>
          </w:p>
        </w:tc>
        <w:tc>
          <w:tcPr>
            <w:tcW w:w="885" w:type="pct"/>
            <w:tcBorders>
              <w:top w:val="single" w:sz="8" w:space="0" w:color="002C5F"/>
              <w:left w:val="single" w:sz="8" w:space="0" w:color="002C5F"/>
              <w:bottom w:val="single" w:sz="8" w:space="0" w:color="002C5F"/>
              <w:right w:val="single" w:sz="8" w:space="0" w:color="002C5F"/>
            </w:tcBorders>
            <w:shd w:val="clear" w:color="auto" w:fill="95B3D7" w:themeFill="accent1" w:themeFillTint="99"/>
          </w:tcPr>
          <w:p w:rsidR="004F56C6" w:rsidRDefault="004F56C6" w:rsidP="00177508">
            <w:pPr>
              <w:jc w:val="right"/>
              <w:rPr>
                <w:rFonts w:ascii="Arial" w:hAnsi="Arial" w:cs="Arial"/>
                <w:b/>
                <w:bCs/>
                <w:color w:val="000000"/>
              </w:rPr>
            </w:pPr>
            <w:r>
              <w:rPr>
                <w:rFonts w:ascii="Arial" w:hAnsi="Arial" w:cs="Arial"/>
                <w:b/>
                <w:bCs/>
                <w:color w:val="000000"/>
              </w:rPr>
              <w:t>$</w:t>
            </w:r>
            <w:r w:rsidR="00177508">
              <w:rPr>
                <w:rFonts w:ascii="Arial" w:hAnsi="Arial" w:cs="Arial"/>
                <w:b/>
                <w:bCs/>
                <w:color w:val="000000"/>
              </w:rPr>
              <w:t>51</w:t>
            </w:r>
            <w:r>
              <w:rPr>
                <w:rFonts w:ascii="Arial" w:hAnsi="Arial" w:cs="Arial"/>
                <w:b/>
                <w:bCs/>
                <w:color w:val="000000"/>
              </w:rPr>
              <w:t>,</w:t>
            </w:r>
            <w:r w:rsidR="00177508">
              <w:rPr>
                <w:rFonts w:ascii="Arial" w:hAnsi="Arial" w:cs="Arial"/>
                <w:b/>
                <w:bCs/>
                <w:color w:val="000000"/>
              </w:rPr>
              <w:t>228</w:t>
            </w:r>
          </w:p>
        </w:tc>
      </w:tr>
      <w:tr w:rsidR="00F65C87" w:rsidRPr="00956DE8" w:rsidTr="00620CE4">
        <w:trPr>
          <w:trHeight w:val="315"/>
        </w:trPr>
        <w:tc>
          <w:tcPr>
            <w:tcW w:w="5000" w:type="pct"/>
            <w:gridSpan w:val="4"/>
            <w:tcBorders>
              <w:top w:val="single" w:sz="8" w:space="0" w:color="002C5F"/>
            </w:tcBorders>
            <w:shd w:val="clear" w:color="auto" w:fill="auto"/>
            <w:noWrap/>
            <w:vAlign w:val="center"/>
          </w:tcPr>
          <w:p w:rsidR="00F65C87" w:rsidRDefault="00F65C87" w:rsidP="00620CE4">
            <w:r w:rsidRPr="009D58CF">
              <w:rPr>
                <w:rFonts w:ascii="Arial" w:hAnsi="Arial" w:cs="Arial"/>
                <w:bCs/>
                <w:color w:val="000000"/>
                <w:vertAlign w:val="superscript"/>
              </w:rPr>
              <w:t>1</w:t>
            </w:r>
            <w:r w:rsidR="00B90D57">
              <w:t xml:space="preserve"> Average wage for civilian workers, </w:t>
            </w:r>
            <w:hyperlink r:id="rId13" w:history="1">
              <w:r w:rsidR="00B90D57" w:rsidRPr="00A116F2">
                <w:rPr>
                  <w:rStyle w:val="Hyperlink"/>
                </w:rPr>
                <w:t>http://www.bls.gov/news.release/ocwage.htm</w:t>
              </w:r>
            </w:hyperlink>
            <w:r w:rsidR="00B90D57">
              <w:t>.</w:t>
            </w:r>
          </w:p>
          <w:p w:rsidR="00B90D57" w:rsidRDefault="00B90D57" w:rsidP="00620CE4">
            <w:r>
              <w:rPr>
                <w:vertAlign w:val="superscript"/>
              </w:rPr>
              <w:t>2</w:t>
            </w:r>
            <w:r>
              <w:t xml:space="preserve"> Average wage for family and general practitioners, </w:t>
            </w:r>
            <w:hyperlink r:id="rId14" w:history="1">
              <w:r w:rsidRPr="00A116F2">
                <w:rPr>
                  <w:rStyle w:val="Hyperlink"/>
                </w:rPr>
                <w:t>http://www.bls.gov/news.release/ocwage.htm</w:t>
              </w:r>
            </w:hyperlink>
          </w:p>
          <w:p w:rsidR="00B90D57" w:rsidRPr="00B90D57" w:rsidRDefault="00B90D57" w:rsidP="00620CE4">
            <w:pPr>
              <w:pStyle w:val="FootnoteText"/>
              <w:rPr>
                <w:rFonts w:ascii="Arial" w:hAnsi="Arial" w:cs="Arial"/>
                <w:b/>
                <w:bCs/>
                <w:color w:val="000000"/>
              </w:rPr>
            </w:pPr>
            <w:r>
              <w:rPr>
                <w:vertAlign w:val="superscript"/>
              </w:rPr>
              <w:t>3</w:t>
            </w:r>
            <w:r>
              <w:t xml:space="preserve"> Average wage for nurse practitioners, </w:t>
            </w:r>
            <w:hyperlink r:id="rId15" w:history="1">
              <w:r w:rsidR="00FF27F3" w:rsidRPr="009A3430">
                <w:rPr>
                  <w:rStyle w:val="Hyperlink"/>
                </w:rPr>
                <w:t>http://www.bls.gov/news.release/ocwage.htm</w:t>
              </w:r>
            </w:hyperlink>
            <w:r w:rsidR="00FF27F3">
              <w:t xml:space="preserve"> </w:t>
            </w:r>
          </w:p>
        </w:tc>
      </w:tr>
    </w:tbl>
    <w:p w:rsidR="00A52A18" w:rsidRDefault="00A52A18">
      <w:pPr>
        <w:rPr>
          <w:sz w:val="24"/>
          <w:szCs w:val="24"/>
          <w:highlight w:val="yellow"/>
        </w:rPr>
      </w:pPr>
    </w:p>
    <w:p w:rsidR="00A52A18" w:rsidRPr="000F0A4E" w:rsidRDefault="00A52A18">
      <w:pPr>
        <w:rPr>
          <w:sz w:val="24"/>
          <w:szCs w:val="24"/>
          <w:highlight w:val="yellow"/>
        </w:rPr>
      </w:pPr>
    </w:p>
    <w:bookmarkEnd w:id="16"/>
    <w:p w:rsidR="004F56C6" w:rsidRDefault="004F56C6" w:rsidP="008C5826">
      <w:pPr>
        <w:pStyle w:val="Heading2"/>
        <w:rPr>
          <w:color w:val="auto"/>
          <w:sz w:val="24"/>
          <w:szCs w:val="24"/>
        </w:rPr>
      </w:pPr>
    </w:p>
    <w:p w:rsidR="00AD66A8" w:rsidRDefault="00AD66A8" w:rsidP="008C5826">
      <w:pPr>
        <w:pStyle w:val="Heading2"/>
        <w:rPr>
          <w:color w:val="auto"/>
          <w:sz w:val="24"/>
          <w:szCs w:val="24"/>
        </w:rPr>
      </w:pPr>
      <w:bookmarkStart w:id="17" w:name="_Toc386502301"/>
    </w:p>
    <w:p w:rsidR="00F65C87" w:rsidRDefault="00F65C87" w:rsidP="008C5826">
      <w:pPr>
        <w:pStyle w:val="Heading2"/>
        <w:rPr>
          <w:color w:val="auto"/>
          <w:sz w:val="24"/>
          <w:szCs w:val="24"/>
        </w:rPr>
      </w:pPr>
    </w:p>
    <w:p w:rsidR="00F65C87" w:rsidRDefault="00F65C87" w:rsidP="008C5826">
      <w:pPr>
        <w:pStyle w:val="Heading2"/>
        <w:rPr>
          <w:color w:val="auto"/>
          <w:sz w:val="24"/>
          <w:szCs w:val="24"/>
        </w:rPr>
      </w:pPr>
    </w:p>
    <w:p w:rsidR="00F65C87" w:rsidRDefault="00E72F6B" w:rsidP="00E72F6B">
      <w:pPr>
        <w:pStyle w:val="Heading2"/>
        <w:tabs>
          <w:tab w:val="left" w:pos="1073"/>
        </w:tabs>
        <w:rPr>
          <w:color w:val="auto"/>
          <w:sz w:val="24"/>
          <w:szCs w:val="24"/>
        </w:rPr>
      </w:pPr>
      <w:r>
        <w:rPr>
          <w:color w:val="auto"/>
          <w:sz w:val="24"/>
          <w:szCs w:val="24"/>
        </w:rPr>
        <w:tab/>
      </w:r>
    </w:p>
    <w:p w:rsidR="00620CE4" w:rsidRPr="00620CE4" w:rsidRDefault="00620CE4" w:rsidP="00620CE4"/>
    <w:p w:rsidR="0057087C" w:rsidRPr="008C5826" w:rsidRDefault="0057087C" w:rsidP="008C5826">
      <w:pPr>
        <w:pStyle w:val="Heading2"/>
        <w:rPr>
          <w:color w:val="auto"/>
          <w:sz w:val="24"/>
          <w:szCs w:val="24"/>
        </w:rPr>
      </w:pPr>
      <w:r w:rsidRPr="00721A6C">
        <w:rPr>
          <w:color w:val="auto"/>
          <w:sz w:val="24"/>
          <w:szCs w:val="24"/>
        </w:rPr>
        <w:t xml:space="preserve">13.  </w:t>
      </w:r>
      <w:r w:rsidR="00E209C2" w:rsidRPr="00721A6C">
        <w:rPr>
          <w:color w:val="auto"/>
          <w:sz w:val="24"/>
          <w:szCs w:val="24"/>
          <w:u w:val="single"/>
        </w:rPr>
        <w:t>Estimates of Annualized Respondent Capital and Maintenance Costs</w:t>
      </w:r>
      <w:bookmarkEnd w:id="17"/>
    </w:p>
    <w:p w:rsidR="0057087C" w:rsidRPr="00CB177A" w:rsidRDefault="0057087C">
      <w:pPr>
        <w:rPr>
          <w:sz w:val="24"/>
          <w:szCs w:val="24"/>
        </w:rPr>
      </w:pPr>
    </w:p>
    <w:p w:rsidR="003902D0" w:rsidRPr="00E873D5" w:rsidRDefault="003902D0" w:rsidP="003902D0">
      <w:pPr>
        <w:rPr>
          <w:sz w:val="24"/>
        </w:rPr>
      </w:pPr>
      <w:r w:rsidRPr="00E873D5">
        <w:rPr>
          <w:sz w:val="24"/>
        </w:rPr>
        <w:t>The</w:t>
      </w:r>
      <w:r w:rsidR="00003638">
        <w:rPr>
          <w:sz w:val="24"/>
        </w:rPr>
        <w:t>re are no direct costs to respondents other than their time to participate in the pilot study</w:t>
      </w:r>
      <w:r w:rsidRPr="00003638">
        <w:rPr>
          <w:sz w:val="24"/>
        </w:rPr>
        <w:t>.</w:t>
      </w:r>
      <w:r w:rsidRPr="00E873D5">
        <w:rPr>
          <w:sz w:val="24"/>
        </w:rPr>
        <w:t xml:space="preserve"> </w:t>
      </w:r>
    </w:p>
    <w:p w:rsidR="0057087C" w:rsidRPr="00CB177A" w:rsidRDefault="0057087C">
      <w:pPr>
        <w:rPr>
          <w:sz w:val="24"/>
          <w:szCs w:val="24"/>
        </w:rPr>
      </w:pPr>
    </w:p>
    <w:p w:rsidR="0057087C" w:rsidRPr="008C5826" w:rsidRDefault="0057087C" w:rsidP="008C5826">
      <w:pPr>
        <w:pStyle w:val="Heading2"/>
        <w:rPr>
          <w:color w:val="auto"/>
          <w:sz w:val="24"/>
          <w:szCs w:val="24"/>
        </w:rPr>
      </w:pPr>
      <w:bookmarkStart w:id="18" w:name="_Toc386502302"/>
      <w:r w:rsidRPr="00721A6C">
        <w:rPr>
          <w:color w:val="auto"/>
          <w:sz w:val="24"/>
          <w:szCs w:val="24"/>
        </w:rPr>
        <w:t xml:space="preserve">14.  </w:t>
      </w:r>
      <w:r w:rsidRPr="00721A6C">
        <w:rPr>
          <w:color w:val="auto"/>
          <w:sz w:val="24"/>
          <w:szCs w:val="24"/>
          <w:u w:val="single"/>
        </w:rPr>
        <w:t>Estimates of Annualized Cost to the Government</w:t>
      </w:r>
      <w:bookmarkEnd w:id="18"/>
    </w:p>
    <w:p w:rsidR="0057087C" w:rsidRPr="00CB177A" w:rsidRDefault="0057087C">
      <w:pPr>
        <w:rPr>
          <w:sz w:val="24"/>
          <w:szCs w:val="24"/>
        </w:rPr>
      </w:pPr>
    </w:p>
    <w:p w:rsidR="000F2EFA" w:rsidRDefault="00B6268B" w:rsidP="00656B74">
      <w:pPr>
        <w:rPr>
          <w:rFonts w:eastAsiaTheme="minorEastAsia"/>
          <w:sz w:val="24"/>
          <w:szCs w:val="24"/>
        </w:rPr>
      </w:pPr>
      <w:bookmarkStart w:id="19" w:name="OLE_LINK6"/>
      <w:r w:rsidRPr="00B6268B">
        <w:rPr>
          <w:rFonts w:eastAsiaTheme="minorEastAsia"/>
          <w:sz w:val="24"/>
          <w:szCs w:val="24"/>
        </w:rPr>
        <w:t>The cost to the Government of th</w:t>
      </w:r>
      <w:r>
        <w:rPr>
          <w:rFonts w:eastAsiaTheme="minorEastAsia"/>
          <w:sz w:val="24"/>
          <w:szCs w:val="24"/>
        </w:rPr>
        <w:t xml:space="preserve">is </w:t>
      </w:r>
      <w:r w:rsidR="00721A6C">
        <w:rPr>
          <w:rFonts w:eastAsiaTheme="minorEastAsia"/>
          <w:sz w:val="24"/>
          <w:szCs w:val="24"/>
        </w:rPr>
        <w:t xml:space="preserve">information </w:t>
      </w:r>
      <w:r w:rsidRPr="00B6268B">
        <w:rPr>
          <w:rFonts w:eastAsiaTheme="minorEastAsia"/>
          <w:sz w:val="24"/>
          <w:szCs w:val="24"/>
        </w:rPr>
        <w:t>collection that would not otherwise have been incurred is the cost of the AIR contract</w:t>
      </w:r>
      <w:r w:rsidR="00B90D57">
        <w:rPr>
          <w:rFonts w:eastAsiaTheme="minorEastAsia"/>
          <w:sz w:val="24"/>
          <w:szCs w:val="24"/>
        </w:rPr>
        <w:t xml:space="preserve"> </w:t>
      </w:r>
      <w:r w:rsidR="00D26B68">
        <w:rPr>
          <w:rFonts w:eastAsiaTheme="minorEastAsia"/>
          <w:sz w:val="24"/>
          <w:szCs w:val="24"/>
        </w:rPr>
        <w:t xml:space="preserve">($1,689,948) </w:t>
      </w:r>
      <w:r w:rsidR="00B90D57">
        <w:rPr>
          <w:rFonts w:eastAsiaTheme="minorEastAsia"/>
          <w:sz w:val="24"/>
          <w:szCs w:val="24"/>
        </w:rPr>
        <w:t>as well as the</w:t>
      </w:r>
      <w:r w:rsidR="00693BB6">
        <w:rPr>
          <w:rFonts w:eastAsiaTheme="minorEastAsia"/>
          <w:sz w:val="24"/>
          <w:szCs w:val="24"/>
        </w:rPr>
        <w:t xml:space="preserve"> labor of </w:t>
      </w:r>
      <w:r w:rsidR="00D26B68">
        <w:rPr>
          <w:rFonts w:eastAsiaTheme="minorEastAsia"/>
          <w:sz w:val="24"/>
          <w:szCs w:val="24"/>
        </w:rPr>
        <w:t xml:space="preserve">Federal </w:t>
      </w:r>
      <w:r w:rsidR="00693BB6">
        <w:rPr>
          <w:rFonts w:eastAsiaTheme="minorEastAsia"/>
          <w:sz w:val="24"/>
          <w:szCs w:val="24"/>
        </w:rPr>
        <w:t>employee(s) who provide oversight to that contract</w:t>
      </w:r>
      <w:r w:rsidR="00D26B68">
        <w:rPr>
          <w:rFonts w:eastAsiaTheme="minorEastAsia"/>
          <w:sz w:val="24"/>
          <w:szCs w:val="24"/>
        </w:rPr>
        <w:t xml:space="preserve"> ($16,824)</w:t>
      </w:r>
      <w:r w:rsidRPr="00B6268B">
        <w:rPr>
          <w:rFonts w:eastAsiaTheme="minorEastAsia"/>
          <w:sz w:val="24"/>
          <w:szCs w:val="24"/>
        </w:rPr>
        <w:t xml:space="preserve">. </w:t>
      </w:r>
      <w:r w:rsidR="000F2EFA">
        <w:rPr>
          <w:rFonts w:eastAsiaTheme="minorEastAsia"/>
          <w:sz w:val="24"/>
          <w:szCs w:val="24"/>
        </w:rPr>
        <w:t xml:space="preserve"> These costs comprise the annual (and total) cost to the Federal government of $1,706,772.  </w:t>
      </w:r>
      <w:r w:rsidR="00FD7DF9" w:rsidRPr="00B206FE">
        <w:rPr>
          <w:sz w:val="24"/>
          <w:szCs w:val="24"/>
        </w:rPr>
        <w:t>Exhibit 3 shows the estimated total and annualized cost for this project.  Although data collection will last for less than one year, the entire project is a three-year effort.</w:t>
      </w:r>
    </w:p>
    <w:p w:rsidR="00D26B68" w:rsidRDefault="00D26B68" w:rsidP="00656B74">
      <w:pPr>
        <w:rPr>
          <w:rFonts w:eastAsiaTheme="minorEastAsia"/>
          <w:sz w:val="24"/>
          <w:szCs w:val="24"/>
        </w:rPr>
      </w:pPr>
    </w:p>
    <w:p w:rsidR="000F2EFA" w:rsidRDefault="000F2EFA" w:rsidP="00656B74">
      <w:pPr>
        <w:rPr>
          <w:snapToGrid w:val="0"/>
          <w:color w:val="000000"/>
          <w:sz w:val="24"/>
          <w:szCs w:val="24"/>
        </w:rPr>
      </w:pPr>
      <w:r w:rsidRPr="00F950D2">
        <w:rPr>
          <w:snapToGrid w:val="0"/>
          <w:color w:val="000000"/>
          <w:sz w:val="24"/>
          <w:szCs w:val="24"/>
        </w:rPr>
        <w:t>Costs, including pre-OMB approval costs, have been calculated to manage and support tasks for the survey, from survey development and administration through the development of reports and presentation of findings to AHRQ staff.</w:t>
      </w:r>
      <w:r w:rsidRPr="000F2EFA">
        <w:rPr>
          <w:snapToGrid w:val="0"/>
          <w:color w:val="000000"/>
          <w:sz w:val="24"/>
          <w:szCs w:val="24"/>
        </w:rPr>
        <w:t xml:space="preserve">  </w:t>
      </w:r>
    </w:p>
    <w:p w:rsidR="000F2EFA" w:rsidRDefault="000F2EFA" w:rsidP="00656B74">
      <w:pPr>
        <w:rPr>
          <w:snapToGrid w:val="0"/>
          <w:color w:val="000000"/>
          <w:sz w:val="24"/>
          <w:szCs w:val="24"/>
        </w:rPr>
      </w:pPr>
    </w:p>
    <w:p w:rsidR="00147F5F" w:rsidRDefault="000F2EFA" w:rsidP="00656B74">
      <w:pPr>
        <w:rPr>
          <w:rFonts w:eastAsiaTheme="minorEastAsia"/>
          <w:sz w:val="24"/>
          <w:szCs w:val="24"/>
        </w:rPr>
      </w:pPr>
      <w:r w:rsidRPr="00F950D2">
        <w:rPr>
          <w:snapToGrid w:val="0"/>
          <w:color w:val="000000"/>
          <w:sz w:val="24"/>
          <w:szCs w:val="24"/>
        </w:rPr>
        <w:t xml:space="preserve">Federal Government staff time is required to conduct research and development, PRA/OMB Clearance development, and to lead and support this study.  The Health Scientist Administrator (Task Order Officer) is responsible for project management, planning, and oversight for the study.  </w:t>
      </w:r>
    </w:p>
    <w:p w:rsidR="009D58CF" w:rsidRDefault="009D58CF">
      <w:pPr>
        <w:rPr>
          <w:rFonts w:ascii="Arial" w:hAnsi="Arial" w:cs="Arial"/>
          <w:b/>
          <w:bCs/>
        </w:rPr>
      </w:pPr>
    </w:p>
    <w:p w:rsidR="009D58CF" w:rsidRDefault="009D58CF">
      <w:pPr>
        <w:rPr>
          <w:rFonts w:ascii="Arial" w:hAnsi="Arial" w:cs="Arial"/>
          <w:b/>
          <w:bCs/>
        </w:rPr>
      </w:pPr>
      <w:r>
        <w:rPr>
          <w:rFonts w:ascii="Arial" w:hAnsi="Arial" w:cs="Arial"/>
          <w:b/>
          <w:bCs/>
        </w:rPr>
        <w:br w:type="page"/>
      </w:r>
    </w:p>
    <w:p w:rsidR="00656B74" w:rsidRPr="00633217" w:rsidRDefault="00656B74" w:rsidP="00656B74">
      <w:pPr>
        <w:rPr>
          <w:rFonts w:ascii="Arial" w:hAnsi="Arial" w:cs="Arial"/>
        </w:rPr>
      </w:pPr>
      <w:r w:rsidRPr="00633217">
        <w:rPr>
          <w:rFonts w:ascii="Arial" w:hAnsi="Arial" w:cs="Arial"/>
          <w:b/>
          <w:bCs/>
        </w:rPr>
        <w:lastRenderedPageBreak/>
        <w:t>Exhibit 3.  Estimated Total and Annualized Cost</w:t>
      </w:r>
    </w:p>
    <w:tbl>
      <w:tblPr>
        <w:tblW w:w="0" w:type="auto"/>
        <w:jc w:val="center"/>
        <w:tblLayout w:type="fixed"/>
        <w:tblCellMar>
          <w:left w:w="0" w:type="dxa"/>
          <w:right w:w="0" w:type="dxa"/>
        </w:tblCellMar>
        <w:tblLook w:val="0000" w:firstRow="0" w:lastRow="0" w:firstColumn="0" w:lastColumn="0" w:noHBand="0" w:noVBand="0"/>
      </w:tblPr>
      <w:tblGrid>
        <w:gridCol w:w="4087"/>
        <w:gridCol w:w="1440"/>
        <w:gridCol w:w="1440"/>
        <w:gridCol w:w="1440"/>
        <w:gridCol w:w="1440"/>
      </w:tblGrid>
      <w:tr w:rsidR="00F950D2" w:rsidRPr="000F0A4E" w:rsidTr="00581446">
        <w:trPr>
          <w:jc w:val="center"/>
        </w:trPr>
        <w:tc>
          <w:tcPr>
            <w:tcW w:w="4087" w:type="dxa"/>
            <w:tcBorders>
              <w:top w:val="single" w:sz="4" w:space="0" w:color="auto"/>
              <w:left w:val="single" w:sz="4" w:space="0" w:color="auto"/>
              <w:bottom w:val="single" w:sz="4" w:space="0" w:color="auto"/>
              <w:right w:val="single" w:sz="4" w:space="0" w:color="auto"/>
            </w:tcBorders>
            <w:shd w:val="clear" w:color="auto" w:fill="17365D" w:themeFill="text2" w:themeFillShade="BF"/>
            <w:tcMar>
              <w:top w:w="0" w:type="dxa"/>
              <w:left w:w="108" w:type="dxa"/>
              <w:bottom w:w="0" w:type="dxa"/>
              <w:right w:w="108" w:type="dxa"/>
            </w:tcMar>
            <w:vAlign w:val="bottom"/>
          </w:tcPr>
          <w:p w:rsidR="00F950D2" w:rsidRPr="00633217" w:rsidRDefault="00F950D2" w:rsidP="00D1657C">
            <w:pPr>
              <w:rPr>
                <w:rFonts w:ascii="Arial" w:hAnsi="Arial" w:cs="Arial"/>
                <w:b/>
                <w:color w:val="FFFFFF" w:themeColor="background1"/>
              </w:rPr>
            </w:pPr>
            <w:r w:rsidRPr="00633217">
              <w:rPr>
                <w:rFonts w:ascii="Arial" w:hAnsi="Arial" w:cs="Arial"/>
                <w:b/>
                <w:color w:val="FFFFFF" w:themeColor="background1"/>
              </w:rPr>
              <w:t xml:space="preserve">Cost Component </w:t>
            </w:r>
          </w:p>
        </w:tc>
        <w:tc>
          <w:tcPr>
            <w:tcW w:w="1440"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581446" w:rsidRDefault="00581446" w:rsidP="00D1657C">
            <w:pPr>
              <w:jc w:val="center"/>
              <w:rPr>
                <w:rFonts w:ascii="Arial" w:hAnsi="Arial" w:cs="Arial"/>
                <w:sz w:val="11"/>
                <w:szCs w:val="11"/>
              </w:rPr>
            </w:pPr>
          </w:p>
          <w:p w:rsidR="00D1657C" w:rsidRDefault="00D1657C" w:rsidP="00D1657C">
            <w:pPr>
              <w:jc w:val="center"/>
              <w:rPr>
                <w:rFonts w:ascii="Arial" w:hAnsi="Arial" w:cs="Arial"/>
                <w:b/>
                <w:color w:val="FFFFFF" w:themeColor="background1"/>
              </w:rPr>
            </w:pPr>
          </w:p>
          <w:p w:rsidR="00F950D2" w:rsidRPr="00633217" w:rsidRDefault="00F950D2" w:rsidP="00D1657C">
            <w:pPr>
              <w:jc w:val="center"/>
              <w:rPr>
                <w:rFonts w:ascii="Arial" w:hAnsi="Arial" w:cs="Arial"/>
                <w:b/>
                <w:color w:val="FFFFFF" w:themeColor="background1"/>
              </w:rPr>
            </w:pPr>
            <w:r w:rsidRPr="00F950D2">
              <w:rPr>
                <w:rFonts w:ascii="Arial" w:hAnsi="Arial" w:cs="Arial"/>
                <w:b/>
                <w:color w:val="FFFFFF" w:themeColor="background1"/>
              </w:rPr>
              <w:t>Pre-OMB</w:t>
            </w:r>
          </w:p>
        </w:tc>
        <w:tc>
          <w:tcPr>
            <w:tcW w:w="1440"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581446" w:rsidRPr="00581446" w:rsidRDefault="00581446" w:rsidP="00D1657C">
            <w:pPr>
              <w:jc w:val="center"/>
              <w:rPr>
                <w:rFonts w:ascii="Arial" w:hAnsi="Arial" w:cs="Arial"/>
                <w:sz w:val="11"/>
                <w:szCs w:val="11"/>
              </w:rPr>
            </w:pPr>
          </w:p>
          <w:p w:rsidR="00D1657C" w:rsidRDefault="00D1657C" w:rsidP="00D1657C">
            <w:pPr>
              <w:jc w:val="center"/>
              <w:rPr>
                <w:rFonts w:ascii="Arial" w:hAnsi="Arial" w:cs="Arial"/>
                <w:b/>
                <w:bCs/>
                <w:color w:val="FFFFFF"/>
              </w:rPr>
            </w:pPr>
          </w:p>
          <w:p w:rsidR="00F950D2" w:rsidRPr="00F950D2" w:rsidRDefault="00F950D2" w:rsidP="00D1657C">
            <w:pPr>
              <w:jc w:val="center"/>
              <w:rPr>
                <w:rFonts w:ascii="Arial" w:hAnsi="Arial" w:cs="Arial"/>
                <w:b/>
                <w:bCs/>
                <w:color w:val="FFFFFF"/>
              </w:rPr>
            </w:pPr>
            <w:r>
              <w:rPr>
                <w:rFonts w:ascii="Arial" w:hAnsi="Arial" w:cs="Arial"/>
                <w:b/>
                <w:bCs/>
                <w:color w:val="FFFFFF"/>
              </w:rPr>
              <w:t>Post OMB</w:t>
            </w:r>
          </w:p>
        </w:tc>
        <w:tc>
          <w:tcPr>
            <w:tcW w:w="1440" w:type="dxa"/>
            <w:tcBorders>
              <w:top w:val="single" w:sz="4" w:space="0" w:color="auto"/>
              <w:left w:val="single" w:sz="4" w:space="0" w:color="auto"/>
              <w:bottom w:val="single" w:sz="4" w:space="0" w:color="auto"/>
              <w:right w:val="single" w:sz="4" w:space="0" w:color="auto"/>
            </w:tcBorders>
            <w:shd w:val="clear" w:color="auto" w:fill="17365D" w:themeFill="text2" w:themeFillShade="BF"/>
            <w:tcMar>
              <w:top w:w="0" w:type="dxa"/>
              <w:left w:w="108" w:type="dxa"/>
              <w:bottom w:w="0" w:type="dxa"/>
              <w:right w:w="108" w:type="dxa"/>
            </w:tcMar>
            <w:vAlign w:val="center"/>
          </w:tcPr>
          <w:p w:rsidR="00D1657C" w:rsidRDefault="00D1657C" w:rsidP="00D1657C">
            <w:pPr>
              <w:jc w:val="center"/>
              <w:rPr>
                <w:rFonts w:ascii="Arial" w:hAnsi="Arial" w:cs="Arial"/>
                <w:b/>
                <w:color w:val="FFFFFF" w:themeColor="background1"/>
              </w:rPr>
            </w:pPr>
          </w:p>
          <w:p w:rsidR="00F950D2" w:rsidRPr="00633217" w:rsidRDefault="00F950D2" w:rsidP="00D1657C">
            <w:pPr>
              <w:spacing w:before="80"/>
              <w:jc w:val="center"/>
              <w:rPr>
                <w:rFonts w:ascii="Arial" w:hAnsi="Arial" w:cs="Arial"/>
                <w:b/>
                <w:color w:val="FFFFFF" w:themeColor="background1"/>
              </w:rPr>
            </w:pPr>
            <w:r w:rsidRPr="00633217">
              <w:rPr>
                <w:rFonts w:ascii="Arial" w:hAnsi="Arial" w:cs="Arial"/>
                <w:b/>
                <w:color w:val="FFFFFF" w:themeColor="background1"/>
              </w:rPr>
              <w:t>Total Cost</w:t>
            </w:r>
          </w:p>
        </w:tc>
        <w:tc>
          <w:tcPr>
            <w:tcW w:w="1440" w:type="dxa"/>
            <w:tcBorders>
              <w:top w:val="single" w:sz="4" w:space="0" w:color="auto"/>
              <w:left w:val="single" w:sz="4" w:space="0" w:color="auto"/>
              <w:bottom w:val="single" w:sz="4" w:space="0" w:color="auto"/>
              <w:right w:val="single" w:sz="4" w:space="0" w:color="auto"/>
            </w:tcBorders>
            <w:shd w:val="clear" w:color="auto" w:fill="17365D" w:themeFill="text2" w:themeFillShade="BF"/>
            <w:tcMar>
              <w:top w:w="0" w:type="dxa"/>
              <w:left w:w="108" w:type="dxa"/>
              <w:bottom w:w="0" w:type="dxa"/>
              <w:right w:w="108" w:type="dxa"/>
            </w:tcMar>
            <w:vAlign w:val="center"/>
          </w:tcPr>
          <w:p w:rsidR="00581446" w:rsidRPr="00581446" w:rsidRDefault="00581446" w:rsidP="00D1657C">
            <w:pPr>
              <w:jc w:val="center"/>
              <w:rPr>
                <w:rFonts w:ascii="Arial" w:hAnsi="Arial" w:cs="Arial"/>
                <w:sz w:val="11"/>
                <w:szCs w:val="11"/>
              </w:rPr>
            </w:pPr>
          </w:p>
          <w:p w:rsidR="00F950D2" w:rsidRPr="00633217" w:rsidRDefault="00F950D2" w:rsidP="00D1657C">
            <w:pPr>
              <w:jc w:val="center"/>
              <w:rPr>
                <w:rFonts w:ascii="Arial" w:hAnsi="Arial" w:cs="Arial"/>
                <w:b/>
                <w:color w:val="FFFFFF" w:themeColor="background1"/>
              </w:rPr>
            </w:pPr>
            <w:r>
              <w:rPr>
                <w:rFonts w:ascii="Arial" w:hAnsi="Arial" w:cs="Arial"/>
                <w:b/>
                <w:bCs/>
                <w:color w:val="FFFFFF"/>
              </w:rPr>
              <w:t>Annualized Cost</w:t>
            </w:r>
            <w:r>
              <w:rPr>
                <w:rFonts w:ascii="Arial" w:hAnsi="Arial" w:cs="Arial"/>
                <w:b/>
                <w:bCs/>
                <w:color w:val="FFFFFF"/>
                <w:vertAlign w:val="superscript"/>
              </w:rPr>
              <w:t>2</w:t>
            </w:r>
          </w:p>
        </w:tc>
      </w:tr>
      <w:tr w:rsidR="00581446" w:rsidRPr="000F0A4E" w:rsidTr="00581446">
        <w:trPr>
          <w:jc w:val="center"/>
        </w:trPr>
        <w:tc>
          <w:tcPr>
            <w:tcW w:w="4087"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0" w:type="dxa"/>
              <w:left w:w="108" w:type="dxa"/>
              <w:bottom w:w="0" w:type="dxa"/>
              <w:right w:w="108" w:type="dxa"/>
            </w:tcMar>
            <w:vAlign w:val="center"/>
          </w:tcPr>
          <w:p w:rsidR="00581446" w:rsidRPr="00581446" w:rsidRDefault="00581446" w:rsidP="00581446">
            <w:pPr>
              <w:spacing w:before="80"/>
              <w:rPr>
                <w:rFonts w:ascii="Arial" w:hAnsi="Arial" w:cs="Arial"/>
                <w:b/>
                <w:i/>
              </w:rPr>
            </w:pPr>
            <w:r w:rsidRPr="00581446">
              <w:rPr>
                <w:rFonts w:ascii="Arial" w:hAnsi="Arial" w:cs="Arial"/>
                <w:b/>
                <w:i/>
                <w:color w:val="FFFFFF" w:themeColor="background1"/>
              </w:rPr>
              <w:t>Contractor Costs</w:t>
            </w:r>
          </w:p>
        </w:tc>
        <w:tc>
          <w:tcPr>
            <w:tcW w:w="144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81446" w:rsidRDefault="00581446" w:rsidP="00633217">
            <w:pPr>
              <w:jc w:val="right"/>
              <w:rPr>
                <w:rFonts w:ascii="Arial" w:hAnsi="Arial" w:cs="Arial"/>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81446" w:rsidRDefault="00581446" w:rsidP="00633217">
            <w:pPr>
              <w:jc w:val="right"/>
              <w:rPr>
                <w:rFonts w:ascii="Arial" w:hAnsi="Arial" w:cs="Arial"/>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0" w:type="dxa"/>
              <w:left w:w="108" w:type="dxa"/>
              <w:bottom w:w="0" w:type="dxa"/>
              <w:right w:w="108" w:type="dxa"/>
            </w:tcMar>
            <w:vAlign w:val="center"/>
          </w:tcPr>
          <w:p w:rsidR="00581446" w:rsidRDefault="00581446" w:rsidP="00633217">
            <w:pPr>
              <w:jc w:val="right"/>
              <w:rPr>
                <w:rFonts w:ascii="Arial" w:hAnsi="Arial" w:cs="Arial"/>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0" w:type="dxa"/>
              <w:left w:w="108" w:type="dxa"/>
              <w:bottom w:w="0" w:type="dxa"/>
              <w:right w:w="108" w:type="dxa"/>
            </w:tcMar>
            <w:vAlign w:val="center"/>
          </w:tcPr>
          <w:p w:rsidR="00581446" w:rsidRDefault="00581446" w:rsidP="00633217">
            <w:pPr>
              <w:jc w:val="right"/>
              <w:rPr>
                <w:rFonts w:ascii="Arial" w:hAnsi="Arial" w:cs="Arial"/>
                <w:b/>
                <w:bCs/>
                <w:color w:val="000000"/>
              </w:rPr>
            </w:pPr>
          </w:p>
        </w:tc>
      </w:tr>
      <w:tr w:rsidR="00F950D2" w:rsidRPr="000F0A4E" w:rsidTr="00FF27F3">
        <w:trPr>
          <w:jc w:val="center"/>
        </w:trPr>
        <w:tc>
          <w:tcPr>
            <w:tcW w:w="40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950D2" w:rsidRPr="00633217" w:rsidRDefault="00F950D2" w:rsidP="00581446">
            <w:pPr>
              <w:ind w:left="216"/>
              <w:rPr>
                <w:rFonts w:ascii="Arial" w:hAnsi="Arial" w:cs="Arial"/>
                <w:b/>
              </w:rPr>
            </w:pPr>
            <w:r w:rsidRPr="00633217">
              <w:rPr>
                <w:rFonts w:ascii="Arial" w:hAnsi="Arial" w:cs="Arial"/>
                <w:b/>
              </w:rPr>
              <w:t>Survey Development</w:t>
            </w:r>
          </w:p>
        </w:tc>
        <w:tc>
          <w:tcPr>
            <w:tcW w:w="1440" w:type="dxa"/>
            <w:tcBorders>
              <w:top w:val="single" w:sz="4" w:space="0" w:color="auto"/>
              <w:left w:val="single" w:sz="4" w:space="0" w:color="auto"/>
              <w:bottom w:val="single" w:sz="4" w:space="0" w:color="auto"/>
              <w:right w:val="single" w:sz="4" w:space="0" w:color="auto"/>
            </w:tcBorders>
            <w:vAlign w:val="center"/>
          </w:tcPr>
          <w:p w:rsidR="00F950D2" w:rsidRPr="00633217" w:rsidDel="007F1596" w:rsidRDefault="00F950D2" w:rsidP="00633217">
            <w:pPr>
              <w:jc w:val="right"/>
              <w:rPr>
                <w:rFonts w:ascii="Arial" w:hAnsi="Arial" w:cs="Arial"/>
                <w:b/>
              </w:rPr>
            </w:pPr>
            <w:r>
              <w:rPr>
                <w:rFonts w:ascii="Arial" w:hAnsi="Arial" w:cs="Arial"/>
                <w:b/>
                <w:bCs/>
                <w:color w:val="000000"/>
              </w:rPr>
              <w:t>$585,373</w:t>
            </w:r>
          </w:p>
        </w:tc>
        <w:tc>
          <w:tcPr>
            <w:tcW w:w="1440" w:type="dxa"/>
            <w:tcBorders>
              <w:top w:val="single" w:sz="4" w:space="0" w:color="auto"/>
              <w:left w:val="single" w:sz="4" w:space="0" w:color="auto"/>
              <w:bottom w:val="single" w:sz="4" w:space="0" w:color="auto"/>
              <w:right w:val="single" w:sz="4" w:space="0" w:color="auto"/>
            </w:tcBorders>
            <w:vAlign w:val="center"/>
          </w:tcPr>
          <w:p w:rsidR="00F950D2" w:rsidRPr="00633217" w:rsidDel="007F1596" w:rsidRDefault="00F950D2" w:rsidP="00633217">
            <w:pPr>
              <w:jc w:val="right"/>
              <w:rPr>
                <w:rFonts w:ascii="Arial" w:hAnsi="Arial" w:cs="Arial"/>
                <w:b/>
              </w:rPr>
            </w:pPr>
            <w:r>
              <w:rPr>
                <w:rFonts w:ascii="Arial" w:hAnsi="Arial" w:cs="Arial"/>
                <w:b/>
                <w:bCs/>
                <w:color w:val="000000"/>
              </w:rPr>
              <w:t>$0</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950D2" w:rsidRPr="00633217" w:rsidRDefault="00F950D2" w:rsidP="00633217">
            <w:pPr>
              <w:jc w:val="right"/>
              <w:rPr>
                <w:rFonts w:ascii="Arial" w:hAnsi="Arial" w:cs="Arial"/>
                <w:b/>
              </w:rPr>
            </w:pPr>
            <w:r>
              <w:rPr>
                <w:rFonts w:ascii="Arial" w:hAnsi="Arial" w:cs="Arial"/>
                <w:b/>
                <w:bCs/>
                <w:color w:val="000000"/>
              </w:rPr>
              <w:t>$585,373</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950D2" w:rsidRPr="00633217" w:rsidRDefault="00F950D2" w:rsidP="00633217">
            <w:pPr>
              <w:jc w:val="right"/>
              <w:rPr>
                <w:rFonts w:ascii="Arial" w:hAnsi="Arial" w:cs="Arial"/>
                <w:b/>
              </w:rPr>
            </w:pPr>
            <w:r>
              <w:rPr>
                <w:rFonts w:ascii="Arial" w:hAnsi="Arial" w:cs="Arial"/>
                <w:b/>
                <w:bCs/>
                <w:color w:val="000000"/>
              </w:rPr>
              <w:t>$195,124.33</w:t>
            </w:r>
          </w:p>
        </w:tc>
      </w:tr>
      <w:tr w:rsidR="00F950D2" w:rsidRPr="00FF0FF9" w:rsidTr="00FF27F3">
        <w:trPr>
          <w:jc w:val="center"/>
        </w:trPr>
        <w:tc>
          <w:tcPr>
            <w:tcW w:w="40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950D2" w:rsidRPr="00633217" w:rsidRDefault="00F950D2" w:rsidP="00581446">
            <w:pPr>
              <w:ind w:left="216"/>
              <w:rPr>
                <w:rFonts w:ascii="Arial" w:hAnsi="Arial" w:cs="Arial"/>
                <w:b/>
              </w:rPr>
            </w:pPr>
            <w:r w:rsidRPr="00633217">
              <w:rPr>
                <w:rFonts w:ascii="Arial" w:hAnsi="Arial" w:cs="Arial"/>
                <w:b/>
              </w:rPr>
              <w:t>Data Collection Activities (Pilot)</w:t>
            </w:r>
          </w:p>
        </w:tc>
        <w:tc>
          <w:tcPr>
            <w:tcW w:w="1440" w:type="dxa"/>
            <w:tcBorders>
              <w:top w:val="single" w:sz="4" w:space="0" w:color="auto"/>
              <w:left w:val="single" w:sz="4" w:space="0" w:color="auto"/>
              <w:bottom w:val="single" w:sz="4" w:space="0" w:color="auto"/>
              <w:right w:val="single" w:sz="4" w:space="0" w:color="auto"/>
            </w:tcBorders>
            <w:vAlign w:val="center"/>
          </w:tcPr>
          <w:p w:rsidR="00F950D2" w:rsidRPr="00633217" w:rsidDel="007F1596" w:rsidRDefault="00F950D2" w:rsidP="00633217">
            <w:pPr>
              <w:jc w:val="right"/>
              <w:rPr>
                <w:rFonts w:ascii="Arial" w:hAnsi="Arial" w:cs="Arial"/>
                <w:b/>
              </w:rPr>
            </w:pPr>
            <w:r>
              <w:rPr>
                <w:rFonts w:ascii="Arial" w:hAnsi="Arial" w:cs="Arial"/>
                <w:b/>
                <w:bCs/>
                <w:color w:val="000000"/>
              </w:rPr>
              <w:t> </w:t>
            </w:r>
          </w:p>
        </w:tc>
        <w:tc>
          <w:tcPr>
            <w:tcW w:w="1440" w:type="dxa"/>
            <w:tcBorders>
              <w:top w:val="single" w:sz="4" w:space="0" w:color="auto"/>
              <w:left w:val="single" w:sz="4" w:space="0" w:color="auto"/>
              <w:bottom w:val="single" w:sz="4" w:space="0" w:color="auto"/>
              <w:right w:val="single" w:sz="4" w:space="0" w:color="auto"/>
            </w:tcBorders>
            <w:vAlign w:val="center"/>
          </w:tcPr>
          <w:p w:rsidR="00F950D2" w:rsidRPr="00633217" w:rsidDel="007F1596" w:rsidRDefault="00F950D2" w:rsidP="00633217">
            <w:pPr>
              <w:jc w:val="right"/>
              <w:rPr>
                <w:rFonts w:ascii="Arial" w:hAnsi="Arial" w:cs="Arial"/>
                <w:b/>
              </w:rPr>
            </w:pPr>
            <w:r>
              <w:rPr>
                <w:rFonts w:ascii="Arial" w:hAnsi="Arial" w:cs="Arial"/>
                <w:b/>
                <w:bCs/>
                <w:color w:val="000000"/>
              </w:rPr>
              <w:t>$261,083</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950D2" w:rsidRPr="00633217" w:rsidRDefault="00F950D2" w:rsidP="00633217">
            <w:pPr>
              <w:jc w:val="right"/>
              <w:rPr>
                <w:rFonts w:ascii="Arial" w:hAnsi="Arial" w:cs="Arial"/>
                <w:b/>
              </w:rPr>
            </w:pPr>
            <w:r>
              <w:rPr>
                <w:rFonts w:ascii="Arial" w:hAnsi="Arial" w:cs="Arial"/>
                <w:b/>
                <w:bCs/>
                <w:color w:val="000000"/>
              </w:rPr>
              <w:t>$261,083</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950D2" w:rsidRPr="00633217" w:rsidRDefault="00F950D2" w:rsidP="00633217">
            <w:pPr>
              <w:jc w:val="right"/>
              <w:rPr>
                <w:rFonts w:ascii="Arial" w:hAnsi="Arial" w:cs="Arial"/>
                <w:b/>
              </w:rPr>
            </w:pPr>
            <w:r>
              <w:rPr>
                <w:rFonts w:ascii="Arial" w:hAnsi="Arial" w:cs="Arial"/>
                <w:b/>
                <w:bCs/>
                <w:color w:val="000000"/>
              </w:rPr>
              <w:t>$87,027.67</w:t>
            </w:r>
          </w:p>
        </w:tc>
      </w:tr>
      <w:tr w:rsidR="00F950D2" w:rsidRPr="00FF0FF9" w:rsidTr="00FF27F3">
        <w:trPr>
          <w:jc w:val="center"/>
        </w:trPr>
        <w:tc>
          <w:tcPr>
            <w:tcW w:w="40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950D2" w:rsidRPr="00633217" w:rsidRDefault="00F950D2" w:rsidP="00581446">
            <w:pPr>
              <w:ind w:left="216"/>
              <w:rPr>
                <w:rFonts w:ascii="Arial" w:hAnsi="Arial" w:cs="Arial"/>
                <w:b/>
              </w:rPr>
            </w:pPr>
            <w:r w:rsidRPr="00633217">
              <w:rPr>
                <w:rFonts w:ascii="Arial" w:hAnsi="Arial" w:cs="Arial"/>
                <w:b/>
              </w:rPr>
              <w:t>Data Processing and Analysis</w:t>
            </w:r>
          </w:p>
        </w:tc>
        <w:tc>
          <w:tcPr>
            <w:tcW w:w="1440" w:type="dxa"/>
            <w:tcBorders>
              <w:top w:val="single" w:sz="4" w:space="0" w:color="auto"/>
              <w:left w:val="single" w:sz="4" w:space="0" w:color="auto"/>
              <w:bottom w:val="single" w:sz="4" w:space="0" w:color="auto"/>
              <w:right w:val="single" w:sz="4" w:space="0" w:color="auto"/>
            </w:tcBorders>
            <w:vAlign w:val="center"/>
          </w:tcPr>
          <w:p w:rsidR="00F950D2" w:rsidRPr="00633217" w:rsidDel="007F1596" w:rsidRDefault="00F950D2" w:rsidP="00633217">
            <w:pPr>
              <w:jc w:val="right"/>
              <w:rPr>
                <w:rFonts w:ascii="Arial" w:hAnsi="Arial" w:cs="Arial"/>
                <w:b/>
              </w:rPr>
            </w:pPr>
            <w:r>
              <w:rPr>
                <w:rFonts w:ascii="Arial" w:hAnsi="Arial" w:cs="Arial"/>
                <w:b/>
                <w:bCs/>
                <w:color w:val="000000"/>
              </w:rPr>
              <w:t> </w:t>
            </w:r>
          </w:p>
        </w:tc>
        <w:tc>
          <w:tcPr>
            <w:tcW w:w="1440" w:type="dxa"/>
            <w:tcBorders>
              <w:top w:val="single" w:sz="4" w:space="0" w:color="auto"/>
              <w:left w:val="single" w:sz="4" w:space="0" w:color="auto"/>
              <w:bottom w:val="single" w:sz="4" w:space="0" w:color="auto"/>
              <w:right w:val="single" w:sz="4" w:space="0" w:color="auto"/>
            </w:tcBorders>
            <w:vAlign w:val="center"/>
          </w:tcPr>
          <w:p w:rsidR="00F950D2" w:rsidRPr="00633217" w:rsidDel="007F1596" w:rsidRDefault="00F950D2" w:rsidP="00633217">
            <w:pPr>
              <w:jc w:val="right"/>
              <w:rPr>
                <w:rFonts w:ascii="Arial" w:hAnsi="Arial" w:cs="Arial"/>
                <w:b/>
              </w:rPr>
            </w:pPr>
            <w:r>
              <w:rPr>
                <w:rFonts w:ascii="Arial" w:hAnsi="Arial" w:cs="Arial"/>
                <w:b/>
                <w:bCs/>
                <w:color w:val="000000"/>
              </w:rPr>
              <w:t>$118,933</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950D2" w:rsidRPr="00633217" w:rsidRDefault="00F950D2" w:rsidP="00633217">
            <w:pPr>
              <w:jc w:val="right"/>
              <w:rPr>
                <w:rFonts w:ascii="Arial" w:hAnsi="Arial" w:cs="Arial"/>
                <w:b/>
              </w:rPr>
            </w:pPr>
            <w:r>
              <w:rPr>
                <w:rFonts w:ascii="Arial" w:hAnsi="Arial" w:cs="Arial"/>
                <w:b/>
                <w:bCs/>
                <w:color w:val="000000"/>
              </w:rPr>
              <w:t>$118,933</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950D2" w:rsidRPr="00633217" w:rsidRDefault="00F950D2" w:rsidP="00633217">
            <w:pPr>
              <w:jc w:val="right"/>
              <w:rPr>
                <w:rFonts w:ascii="Arial" w:hAnsi="Arial" w:cs="Arial"/>
                <w:b/>
              </w:rPr>
            </w:pPr>
            <w:r>
              <w:rPr>
                <w:rFonts w:ascii="Arial" w:hAnsi="Arial" w:cs="Arial"/>
                <w:b/>
                <w:bCs/>
                <w:color w:val="000000"/>
              </w:rPr>
              <w:t>$39,644.33</w:t>
            </w:r>
          </w:p>
        </w:tc>
      </w:tr>
      <w:tr w:rsidR="00F950D2" w:rsidRPr="00FF0FF9" w:rsidTr="00FF27F3">
        <w:trPr>
          <w:jc w:val="center"/>
        </w:trPr>
        <w:tc>
          <w:tcPr>
            <w:tcW w:w="40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950D2" w:rsidRPr="00633217" w:rsidRDefault="00F950D2" w:rsidP="00581446">
            <w:pPr>
              <w:ind w:left="216"/>
              <w:rPr>
                <w:rFonts w:ascii="Arial" w:hAnsi="Arial" w:cs="Arial"/>
                <w:b/>
              </w:rPr>
            </w:pPr>
            <w:r w:rsidRPr="00633217">
              <w:rPr>
                <w:rFonts w:ascii="Arial" w:hAnsi="Arial" w:cs="Arial"/>
                <w:b/>
              </w:rPr>
              <w:t>Reports and Publication of Results</w:t>
            </w:r>
          </w:p>
        </w:tc>
        <w:tc>
          <w:tcPr>
            <w:tcW w:w="1440" w:type="dxa"/>
            <w:tcBorders>
              <w:top w:val="single" w:sz="4" w:space="0" w:color="auto"/>
              <w:left w:val="single" w:sz="4" w:space="0" w:color="auto"/>
              <w:bottom w:val="single" w:sz="4" w:space="0" w:color="auto"/>
              <w:right w:val="single" w:sz="4" w:space="0" w:color="auto"/>
            </w:tcBorders>
            <w:vAlign w:val="center"/>
          </w:tcPr>
          <w:p w:rsidR="00F950D2" w:rsidRPr="00633217" w:rsidDel="007F1596" w:rsidRDefault="00F950D2" w:rsidP="00633217">
            <w:pPr>
              <w:jc w:val="right"/>
              <w:rPr>
                <w:rFonts w:ascii="Arial" w:hAnsi="Arial" w:cs="Arial"/>
                <w:b/>
              </w:rPr>
            </w:pPr>
            <w:r>
              <w:rPr>
                <w:rFonts w:ascii="Arial" w:hAnsi="Arial" w:cs="Arial"/>
                <w:b/>
                <w:bCs/>
                <w:color w:val="000000"/>
              </w:rPr>
              <w:t> </w:t>
            </w:r>
          </w:p>
        </w:tc>
        <w:tc>
          <w:tcPr>
            <w:tcW w:w="1440" w:type="dxa"/>
            <w:tcBorders>
              <w:top w:val="single" w:sz="4" w:space="0" w:color="auto"/>
              <w:left w:val="single" w:sz="4" w:space="0" w:color="auto"/>
              <w:bottom w:val="single" w:sz="4" w:space="0" w:color="auto"/>
              <w:right w:val="single" w:sz="4" w:space="0" w:color="auto"/>
            </w:tcBorders>
            <w:vAlign w:val="center"/>
          </w:tcPr>
          <w:p w:rsidR="00F950D2" w:rsidRPr="00633217" w:rsidDel="007F1596" w:rsidRDefault="00F950D2" w:rsidP="00633217">
            <w:pPr>
              <w:jc w:val="right"/>
              <w:rPr>
                <w:rFonts w:ascii="Arial" w:hAnsi="Arial" w:cs="Arial"/>
                <w:b/>
              </w:rPr>
            </w:pPr>
            <w:r>
              <w:rPr>
                <w:rFonts w:ascii="Arial" w:hAnsi="Arial" w:cs="Arial"/>
                <w:b/>
                <w:bCs/>
                <w:color w:val="000000"/>
              </w:rPr>
              <w:t>$336,710</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950D2" w:rsidRPr="00633217" w:rsidRDefault="00F950D2" w:rsidP="00633217">
            <w:pPr>
              <w:jc w:val="right"/>
              <w:rPr>
                <w:rFonts w:ascii="Arial" w:hAnsi="Arial" w:cs="Arial"/>
                <w:b/>
              </w:rPr>
            </w:pPr>
            <w:r>
              <w:rPr>
                <w:rFonts w:ascii="Arial" w:hAnsi="Arial" w:cs="Arial"/>
                <w:b/>
                <w:bCs/>
                <w:color w:val="000000"/>
              </w:rPr>
              <w:t>$336,710</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950D2" w:rsidRPr="00633217" w:rsidRDefault="00F950D2" w:rsidP="00633217">
            <w:pPr>
              <w:jc w:val="right"/>
              <w:rPr>
                <w:rFonts w:ascii="Arial" w:hAnsi="Arial" w:cs="Arial"/>
                <w:b/>
              </w:rPr>
            </w:pPr>
            <w:r>
              <w:rPr>
                <w:rFonts w:ascii="Arial" w:hAnsi="Arial" w:cs="Arial"/>
                <w:b/>
                <w:bCs/>
                <w:color w:val="000000"/>
              </w:rPr>
              <w:t>$112,236.67</w:t>
            </w:r>
          </w:p>
        </w:tc>
      </w:tr>
      <w:tr w:rsidR="00F950D2" w:rsidRPr="00FF0FF9" w:rsidTr="00FF27F3">
        <w:trPr>
          <w:jc w:val="center"/>
        </w:trPr>
        <w:tc>
          <w:tcPr>
            <w:tcW w:w="40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950D2" w:rsidRPr="00633217" w:rsidRDefault="00F950D2" w:rsidP="00581446">
            <w:pPr>
              <w:ind w:left="216"/>
              <w:rPr>
                <w:rFonts w:ascii="Arial" w:hAnsi="Arial" w:cs="Arial"/>
                <w:b/>
              </w:rPr>
            </w:pPr>
            <w:r w:rsidRPr="00633217">
              <w:rPr>
                <w:rFonts w:ascii="Arial" w:hAnsi="Arial" w:cs="Arial"/>
                <w:b/>
              </w:rPr>
              <w:t>Project Management</w:t>
            </w:r>
          </w:p>
        </w:tc>
        <w:tc>
          <w:tcPr>
            <w:tcW w:w="1440" w:type="dxa"/>
            <w:tcBorders>
              <w:top w:val="single" w:sz="4" w:space="0" w:color="auto"/>
              <w:left w:val="single" w:sz="4" w:space="0" w:color="auto"/>
              <w:bottom w:val="single" w:sz="4" w:space="0" w:color="auto"/>
              <w:right w:val="single" w:sz="4" w:space="0" w:color="auto"/>
            </w:tcBorders>
            <w:vAlign w:val="center"/>
          </w:tcPr>
          <w:p w:rsidR="00F950D2" w:rsidRPr="00633217" w:rsidDel="007F1596" w:rsidRDefault="00F950D2" w:rsidP="00633217">
            <w:pPr>
              <w:jc w:val="right"/>
              <w:rPr>
                <w:rFonts w:ascii="Arial" w:hAnsi="Arial" w:cs="Arial"/>
                <w:b/>
              </w:rPr>
            </w:pPr>
            <w:r>
              <w:rPr>
                <w:rFonts w:ascii="Arial" w:hAnsi="Arial" w:cs="Arial"/>
                <w:b/>
                <w:bCs/>
                <w:color w:val="000000"/>
              </w:rPr>
              <w:t>$110,550</w:t>
            </w:r>
          </w:p>
        </w:tc>
        <w:tc>
          <w:tcPr>
            <w:tcW w:w="1440" w:type="dxa"/>
            <w:tcBorders>
              <w:top w:val="single" w:sz="4" w:space="0" w:color="auto"/>
              <w:left w:val="single" w:sz="4" w:space="0" w:color="auto"/>
              <w:bottom w:val="single" w:sz="4" w:space="0" w:color="auto"/>
              <w:right w:val="single" w:sz="4" w:space="0" w:color="auto"/>
            </w:tcBorders>
            <w:vAlign w:val="center"/>
          </w:tcPr>
          <w:p w:rsidR="00F950D2" w:rsidRPr="00633217" w:rsidDel="007F1596" w:rsidRDefault="00F950D2" w:rsidP="00633217">
            <w:pPr>
              <w:jc w:val="right"/>
              <w:rPr>
                <w:rFonts w:ascii="Arial" w:hAnsi="Arial" w:cs="Arial"/>
                <w:b/>
              </w:rPr>
            </w:pPr>
            <w:r>
              <w:rPr>
                <w:rFonts w:ascii="Arial" w:hAnsi="Arial" w:cs="Arial"/>
                <w:b/>
                <w:bCs/>
                <w:color w:val="000000"/>
              </w:rPr>
              <w:t>$56,950</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950D2" w:rsidRPr="00633217" w:rsidRDefault="00F950D2" w:rsidP="00633217">
            <w:pPr>
              <w:jc w:val="right"/>
              <w:rPr>
                <w:rFonts w:ascii="Arial" w:hAnsi="Arial" w:cs="Arial"/>
                <w:b/>
              </w:rPr>
            </w:pPr>
            <w:r>
              <w:rPr>
                <w:rFonts w:ascii="Arial" w:hAnsi="Arial" w:cs="Arial"/>
                <w:b/>
                <w:bCs/>
                <w:color w:val="000000"/>
              </w:rPr>
              <w:t>$167,500</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950D2" w:rsidRPr="00633217" w:rsidRDefault="00F950D2" w:rsidP="00633217">
            <w:pPr>
              <w:jc w:val="right"/>
              <w:rPr>
                <w:rFonts w:ascii="Arial" w:hAnsi="Arial" w:cs="Arial"/>
                <w:b/>
              </w:rPr>
            </w:pPr>
            <w:r>
              <w:rPr>
                <w:rFonts w:ascii="Arial" w:hAnsi="Arial" w:cs="Arial"/>
                <w:b/>
                <w:bCs/>
                <w:color w:val="000000"/>
              </w:rPr>
              <w:t>$55,833.33</w:t>
            </w:r>
          </w:p>
        </w:tc>
      </w:tr>
      <w:tr w:rsidR="00F950D2" w:rsidRPr="00FF0FF9" w:rsidTr="00FF27F3">
        <w:trPr>
          <w:jc w:val="center"/>
        </w:trPr>
        <w:tc>
          <w:tcPr>
            <w:tcW w:w="40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950D2" w:rsidRPr="00633217" w:rsidRDefault="00F950D2" w:rsidP="00581446">
            <w:pPr>
              <w:ind w:left="216"/>
              <w:rPr>
                <w:rFonts w:ascii="Arial" w:hAnsi="Arial" w:cs="Arial"/>
                <w:b/>
              </w:rPr>
            </w:pPr>
            <w:r w:rsidRPr="00633217">
              <w:rPr>
                <w:rFonts w:ascii="Arial" w:hAnsi="Arial" w:cs="Arial"/>
                <w:b/>
              </w:rPr>
              <w:t>Overhead</w:t>
            </w:r>
          </w:p>
        </w:tc>
        <w:tc>
          <w:tcPr>
            <w:tcW w:w="1440" w:type="dxa"/>
            <w:tcBorders>
              <w:top w:val="single" w:sz="4" w:space="0" w:color="auto"/>
              <w:left w:val="single" w:sz="4" w:space="0" w:color="auto"/>
              <w:bottom w:val="single" w:sz="4" w:space="0" w:color="auto"/>
              <w:right w:val="single" w:sz="4" w:space="0" w:color="auto"/>
            </w:tcBorders>
            <w:vAlign w:val="center"/>
          </w:tcPr>
          <w:p w:rsidR="00F950D2" w:rsidRPr="00633217" w:rsidDel="007F1596" w:rsidRDefault="00F950D2" w:rsidP="00633217">
            <w:pPr>
              <w:jc w:val="right"/>
              <w:rPr>
                <w:rFonts w:ascii="Arial" w:hAnsi="Arial" w:cs="Arial"/>
                <w:b/>
              </w:rPr>
            </w:pPr>
            <w:r>
              <w:rPr>
                <w:rFonts w:ascii="Arial" w:hAnsi="Arial" w:cs="Arial"/>
                <w:b/>
                <w:bCs/>
                <w:color w:val="000000"/>
              </w:rPr>
              <w:t>$104,345</w:t>
            </w:r>
          </w:p>
        </w:tc>
        <w:tc>
          <w:tcPr>
            <w:tcW w:w="1440" w:type="dxa"/>
            <w:tcBorders>
              <w:top w:val="single" w:sz="4" w:space="0" w:color="auto"/>
              <w:left w:val="single" w:sz="4" w:space="0" w:color="auto"/>
              <w:bottom w:val="single" w:sz="4" w:space="0" w:color="auto"/>
              <w:right w:val="single" w:sz="4" w:space="0" w:color="auto"/>
            </w:tcBorders>
            <w:vAlign w:val="center"/>
          </w:tcPr>
          <w:p w:rsidR="00F950D2" w:rsidRPr="00633217" w:rsidDel="007F1596" w:rsidRDefault="00F950D2" w:rsidP="00633217">
            <w:pPr>
              <w:jc w:val="right"/>
              <w:rPr>
                <w:rFonts w:ascii="Arial" w:hAnsi="Arial" w:cs="Arial"/>
                <w:b/>
              </w:rPr>
            </w:pPr>
            <w:r>
              <w:rPr>
                <w:rFonts w:ascii="Arial" w:hAnsi="Arial" w:cs="Arial"/>
                <w:b/>
                <w:bCs/>
                <w:color w:val="000000"/>
              </w:rPr>
              <w:t xml:space="preserve">$116,003.57 </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950D2" w:rsidRPr="00633217" w:rsidRDefault="00F950D2" w:rsidP="00633217">
            <w:pPr>
              <w:jc w:val="right"/>
              <w:rPr>
                <w:rFonts w:ascii="Arial" w:hAnsi="Arial" w:cs="Arial"/>
                <w:b/>
              </w:rPr>
            </w:pPr>
            <w:r>
              <w:rPr>
                <w:rFonts w:ascii="Arial" w:hAnsi="Arial" w:cs="Arial"/>
                <w:b/>
                <w:bCs/>
                <w:color w:val="000000"/>
              </w:rPr>
              <w:t>$220,349</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950D2" w:rsidRPr="00633217" w:rsidRDefault="00F950D2" w:rsidP="00633217">
            <w:pPr>
              <w:jc w:val="right"/>
              <w:rPr>
                <w:rFonts w:ascii="Arial" w:hAnsi="Arial" w:cs="Arial"/>
                <w:b/>
              </w:rPr>
            </w:pPr>
            <w:r>
              <w:rPr>
                <w:rFonts w:ascii="Arial" w:hAnsi="Arial" w:cs="Arial"/>
                <w:b/>
                <w:bCs/>
                <w:color w:val="000000"/>
              </w:rPr>
              <w:t>$73,449.67</w:t>
            </w:r>
          </w:p>
        </w:tc>
      </w:tr>
      <w:tr w:rsidR="00F950D2" w:rsidRPr="00FF0FF9" w:rsidTr="00FF27F3">
        <w:trPr>
          <w:jc w:val="center"/>
        </w:trPr>
        <w:tc>
          <w:tcPr>
            <w:tcW w:w="40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950D2" w:rsidRPr="00633217" w:rsidRDefault="00F950D2" w:rsidP="00581446">
            <w:pPr>
              <w:ind w:left="216"/>
              <w:rPr>
                <w:rFonts w:ascii="Arial" w:hAnsi="Arial" w:cs="Arial"/>
                <w:b/>
              </w:rPr>
            </w:pPr>
            <w:r w:rsidRPr="00F950D2">
              <w:rPr>
                <w:rFonts w:ascii="Arial" w:hAnsi="Arial" w:cs="Arial"/>
                <w:b/>
              </w:rPr>
              <w:t>SUBTOTAL CONTRACTOR COSTS</w:t>
            </w:r>
          </w:p>
        </w:tc>
        <w:tc>
          <w:tcPr>
            <w:tcW w:w="1440" w:type="dxa"/>
            <w:tcBorders>
              <w:top w:val="single" w:sz="4" w:space="0" w:color="auto"/>
              <w:left w:val="single" w:sz="4" w:space="0" w:color="auto"/>
              <w:bottom w:val="single" w:sz="4" w:space="0" w:color="auto"/>
              <w:right w:val="single" w:sz="4" w:space="0" w:color="auto"/>
            </w:tcBorders>
            <w:vAlign w:val="center"/>
          </w:tcPr>
          <w:p w:rsidR="00F950D2" w:rsidRPr="00633217" w:rsidDel="007F1596" w:rsidRDefault="00F950D2" w:rsidP="00633217">
            <w:pPr>
              <w:jc w:val="right"/>
              <w:rPr>
                <w:rFonts w:ascii="Arial" w:hAnsi="Arial" w:cs="Arial"/>
                <w:b/>
              </w:rPr>
            </w:pPr>
            <w:r>
              <w:rPr>
                <w:rFonts w:ascii="Arial" w:hAnsi="Arial" w:cs="Arial"/>
                <w:b/>
                <w:bCs/>
                <w:i/>
                <w:iCs/>
                <w:color w:val="000000"/>
              </w:rPr>
              <w:t>$800,268</w:t>
            </w:r>
          </w:p>
        </w:tc>
        <w:tc>
          <w:tcPr>
            <w:tcW w:w="1440" w:type="dxa"/>
            <w:tcBorders>
              <w:top w:val="single" w:sz="4" w:space="0" w:color="auto"/>
              <w:left w:val="single" w:sz="4" w:space="0" w:color="auto"/>
              <w:bottom w:val="single" w:sz="4" w:space="0" w:color="auto"/>
              <w:right w:val="single" w:sz="4" w:space="0" w:color="auto"/>
            </w:tcBorders>
            <w:vAlign w:val="center"/>
          </w:tcPr>
          <w:p w:rsidR="00F950D2" w:rsidRPr="00633217" w:rsidDel="007F1596" w:rsidRDefault="00F950D2" w:rsidP="00633217">
            <w:pPr>
              <w:jc w:val="right"/>
              <w:rPr>
                <w:rFonts w:ascii="Arial" w:hAnsi="Arial" w:cs="Arial"/>
                <w:b/>
              </w:rPr>
            </w:pPr>
            <w:r>
              <w:rPr>
                <w:rFonts w:ascii="Arial" w:hAnsi="Arial" w:cs="Arial"/>
                <w:b/>
                <w:bCs/>
                <w:i/>
                <w:iCs/>
                <w:color w:val="000000"/>
              </w:rPr>
              <w:t xml:space="preserve">$889,679.57 </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950D2" w:rsidRPr="00633217" w:rsidDel="007F1596" w:rsidRDefault="00F950D2" w:rsidP="00633217">
            <w:pPr>
              <w:jc w:val="right"/>
              <w:rPr>
                <w:rFonts w:ascii="Arial" w:hAnsi="Arial" w:cs="Arial"/>
                <w:b/>
              </w:rPr>
            </w:pPr>
            <w:r>
              <w:rPr>
                <w:rFonts w:ascii="Arial" w:hAnsi="Arial" w:cs="Arial"/>
                <w:b/>
                <w:bCs/>
                <w:i/>
                <w:iCs/>
                <w:color w:val="000000"/>
              </w:rPr>
              <w:t>$1,689,948</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950D2" w:rsidRPr="00633217" w:rsidDel="007F1596" w:rsidRDefault="00F950D2" w:rsidP="00633217">
            <w:pPr>
              <w:jc w:val="right"/>
              <w:rPr>
                <w:rFonts w:ascii="Arial" w:hAnsi="Arial" w:cs="Arial"/>
                <w:b/>
              </w:rPr>
            </w:pPr>
            <w:r>
              <w:rPr>
                <w:rFonts w:ascii="Arial" w:hAnsi="Arial" w:cs="Arial"/>
                <w:b/>
                <w:bCs/>
                <w:i/>
                <w:iCs/>
                <w:color w:val="000000"/>
              </w:rPr>
              <w:t>$563,316.00</w:t>
            </w:r>
          </w:p>
        </w:tc>
      </w:tr>
      <w:tr w:rsidR="001F29DC" w:rsidRPr="001F29DC" w:rsidTr="00FF27F3">
        <w:trPr>
          <w:jc w:val="center"/>
        </w:trPr>
        <w:tc>
          <w:tcPr>
            <w:tcW w:w="4087"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0" w:type="dxa"/>
              <w:left w:w="108" w:type="dxa"/>
              <w:bottom w:w="0" w:type="dxa"/>
              <w:right w:w="108" w:type="dxa"/>
            </w:tcMar>
            <w:vAlign w:val="center"/>
          </w:tcPr>
          <w:p w:rsidR="001F29DC" w:rsidRPr="001F29DC" w:rsidRDefault="001F29DC" w:rsidP="00581446">
            <w:pPr>
              <w:spacing w:before="80"/>
              <w:rPr>
                <w:rFonts w:ascii="Arial" w:hAnsi="Arial" w:cs="Arial"/>
                <w:b/>
                <w:color w:val="FFFFFF" w:themeColor="background1"/>
              </w:rPr>
            </w:pPr>
            <w:r w:rsidRPr="001F29DC">
              <w:rPr>
                <w:rFonts w:ascii="Arial" w:hAnsi="Arial" w:cs="Arial"/>
                <w:b/>
                <w:bCs/>
                <w:i/>
                <w:iCs/>
                <w:color w:val="FFFFFF" w:themeColor="background1"/>
              </w:rPr>
              <w:t xml:space="preserve">Government Personnel and </w:t>
            </w:r>
            <w:r>
              <w:rPr>
                <w:rFonts w:ascii="Arial" w:hAnsi="Arial" w:cs="Arial"/>
                <w:b/>
                <w:bCs/>
                <w:i/>
                <w:iCs/>
                <w:color w:val="FFFFFF" w:themeColor="background1"/>
              </w:rPr>
              <w:br/>
            </w:r>
            <w:r w:rsidRPr="001F29DC">
              <w:rPr>
                <w:rFonts w:ascii="Arial" w:hAnsi="Arial" w:cs="Arial"/>
                <w:b/>
                <w:bCs/>
                <w:i/>
                <w:iCs/>
                <w:color w:val="FFFFFF" w:themeColor="background1"/>
              </w:rPr>
              <w:t>Non-</w:t>
            </w:r>
            <w:r w:rsidR="00FF27F3">
              <w:rPr>
                <w:rFonts w:ascii="Arial" w:hAnsi="Arial" w:cs="Arial"/>
                <w:b/>
                <w:bCs/>
                <w:i/>
                <w:iCs/>
                <w:color w:val="FFFFFF" w:themeColor="background1"/>
              </w:rPr>
              <w:t>P</w:t>
            </w:r>
            <w:r w:rsidR="00FF27F3" w:rsidRPr="001F29DC">
              <w:rPr>
                <w:rFonts w:ascii="Arial" w:hAnsi="Arial" w:cs="Arial"/>
                <w:b/>
                <w:bCs/>
                <w:i/>
                <w:iCs/>
                <w:color w:val="FFFFFF" w:themeColor="background1"/>
              </w:rPr>
              <w:t xml:space="preserve">ersonnel </w:t>
            </w:r>
            <w:r w:rsidRPr="001F29DC">
              <w:rPr>
                <w:rFonts w:ascii="Arial" w:hAnsi="Arial" w:cs="Arial"/>
                <w:b/>
                <w:bCs/>
                <w:i/>
                <w:iCs/>
                <w:color w:val="FFFFFF" w:themeColor="background1"/>
              </w:rPr>
              <w:t>Costs</w:t>
            </w:r>
          </w:p>
        </w:tc>
        <w:tc>
          <w:tcPr>
            <w:tcW w:w="144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1F29DC" w:rsidRPr="001F29DC" w:rsidDel="007F1596" w:rsidRDefault="001F29DC" w:rsidP="00633217">
            <w:pPr>
              <w:jc w:val="right"/>
              <w:rPr>
                <w:rFonts w:ascii="Arial" w:hAnsi="Arial" w:cs="Arial"/>
                <w:b/>
                <w:color w:val="FFFFFF" w:themeColor="background1"/>
              </w:rPr>
            </w:pPr>
            <w:r w:rsidRPr="001F29DC">
              <w:rPr>
                <w:rFonts w:ascii="Arial" w:hAnsi="Arial" w:cs="Arial"/>
                <w:b/>
                <w:bCs/>
                <w:color w:val="FFFFFF" w:themeColor="background1"/>
              </w:rPr>
              <w:t> </w:t>
            </w:r>
          </w:p>
        </w:tc>
        <w:tc>
          <w:tcPr>
            <w:tcW w:w="144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1F29DC" w:rsidRPr="001F29DC" w:rsidDel="007F1596" w:rsidRDefault="001F29DC" w:rsidP="00633217">
            <w:pPr>
              <w:jc w:val="right"/>
              <w:rPr>
                <w:rFonts w:ascii="Arial" w:hAnsi="Arial" w:cs="Arial"/>
                <w:b/>
                <w:color w:val="FFFFFF" w:themeColor="background1"/>
              </w:rPr>
            </w:pPr>
            <w:r w:rsidRPr="001F29DC">
              <w:rPr>
                <w:rFonts w:ascii="Arial" w:hAnsi="Arial" w:cs="Arial"/>
                <w:b/>
                <w:bCs/>
                <w:color w:val="FFFFFF" w:themeColor="background1"/>
              </w:rPr>
              <w:t> </w:t>
            </w:r>
          </w:p>
        </w:tc>
        <w:tc>
          <w:tcPr>
            <w:tcW w:w="1440"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0" w:type="dxa"/>
              <w:left w:w="108" w:type="dxa"/>
              <w:bottom w:w="0" w:type="dxa"/>
              <w:right w:w="108" w:type="dxa"/>
            </w:tcMar>
            <w:vAlign w:val="center"/>
          </w:tcPr>
          <w:p w:rsidR="001F29DC" w:rsidRPr="001F29DC" w:rsidDel="007F1596" w:rsidRDefault="001F29DC" w:rsidP="00633217">
            <w:pPr>
              <w:jc w:val="right"/>
              <w:rPr>
                <w:rFonts w:ascii="Arial" w:hAnsi="Arial" w:cs="Arial"/>
                <w:b/>
                <w:color w:val="FFFFFF" w:themeColor="background1"/>
              </w:rPr>
            </w:pPr>
            <w:r w:rsidRPr="001F29DC">
              <w:rPr>
                <w:rFonts w:ascii="Arial" w:hAnsi="Arial" w:cs="Arial"/>
                <w:b/>
                <w:bCs/>
                <w:color w:val="FFFFFF" w:themeColor="background1"/>
              </w:rPr>
              <w:t> </w:t>
            </w:r>
          </w:p>
        </w:tc>
        <w:tc>
          <w:tcPr>
            <w:tcW w:w="1440"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0" w:type="dxa"/>
              <w:left w:w="108" w:type="dxa"/>
              <w:bottom w:w="0" w:type="dxa"/>
              <w:right w:w="108" w:type="dxa"/>
            </w:tcMar>
            <w:vAlign w:val="center"/>
          </w:tcPr>
          <w:p w:rsidR="001F29DC" w:rsidRPr="001F29DC" w:rsidDel="007F1596" w:rsidRDefault="001F29DC" w:rsidP="00633217">
            <w:pPr>
              <w:jc w:val="right"/>
              <w:rPr>
                <w:rFonts w:ascii="Arial" w:hAnsi="Arial" w:cs="Arial"/>
                <w:b/>
                <w:color w:val="FFFFFF" w:themeColor="background1"/>
              </w:rPr>
            </w:pPr>
            <w:r w:rsidRPr="001F29DC">
              <w:rPr>
                <w:rFonts w:ascii="Arial" w:hAnsi="Arial" w:cs="Arial"/>
                <w:b/>
                <w:bCs/>
                <w:color w:val="FFFFFF" w:themeColor="background1"/>
              </w:rPr>
              <w:t> </w:t>
            </w:r>
          </w:p>
        </w:tc>
      </w:tr>
      <w:tr w:rsidR="001F29DC" w:rsidRPr="00FF0FF9" w:rsidTr="00FF27F3">
        <w:trPr>
          <w:jc w:val="center"/>
        </w:trPr>
        <w:tc>
          <w:tcPr>
            <w:tcW w:w="40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1446" w:rsidRDefault="001F29DC" w:rsidP="00581446">
            <w:pPr>
              <w:ind w:left="216"/>
              <w:rPr>
                <w:rFonts w:ascii="Arial" w:hAnsi="Arial" w:cs="Arial"/>
                <w:b/>
                <w:bCs/>
                <w:color w:val="000000"/>
              </w:rPr>
            </w:pPr>
            <w:r>
              <w:rPr>
                <w:rFonts w:ascii="Arial" w:hAnsi="Arial" w:cs="Arial"/>
                <w:b/>
                <w:bCs/>
                <w:color w:val="000000"/>
              </w:rPr>
              <w:t>Health Scientist Administrator</w:t>
            </w:r>
            <w:r w:rsidR="00581446">
              <w:rPr>
                <w:rFonts w:ascii="Arial" w:hAnsi="Arial" w:cs="Arial"/>
                <w:b/>
                <w:bCs/>
                <w:color w:val="000000"/>
              </w:rPr>
              <w:t>—</w:t>
            </w:r>
          </w:p>
          <w:p w:rsidR="001F29DC" w:rsidRPr="00633217" w:rsidRDefault="001F29DC" w:rsidP="00581446">
            <w:pPr>
              <w:ind w:left="216"/>
              <w:rPr>
                <w:rFonts w:ascii="Arial" w:hAnsi="Arial" w:cs="Arial"/>
                <w:b/>
              </w:rPr>
            </w:pPr>
            <w:r>
              <w:rPr>
                <w:rFonts w:ascii="Arial" w:hAnsi="Arial" w:cs="Arial"/>
                <w:b/>
                <w:bCs/>
                <w:color w:val="000000"/>
              </w:rPr>
              <w:t>GS 14, Step 9</w:t>
            </w:r>
            <w:r>
              <w:rPr>
                <w:rFonts w:ascii="Arial" w:hAnsi="Arial" w:cs="Arial"/>
                <w:b/>
                <w:bCs/>
                <w:color w:val="000000"/>
                <w:vertAlign w:val="superscript"/>
              </w:rPr>
              <w:t>1</w:t>
            </w:r>
          </w:p>
        </w:tc>
        <w:tc>
          <w:tcPr>
            <w:tcW w:w="1440" w:type="dxa"/>
            <w:tcBorders>
              <w:top w:val="single" w:sz="4" w:space="0" w:color="auto"/>
              <w:left w:val="single" w:sz="4" w:space="0" w:color="auto"/>
              <w:bottom w:val="single" w:sz="4" w:space="0" w:color="auto"/>
              <w:right w:val="single" w:sz="4" w:space="0" w:color="auto"/>
            </w:tcBorders>
            <w:vAlign w:val="center"/>
          </w:tcPr>
          <w:p w:rsidR="001F29DC" w:rsidRPr="00633217" w:rsidDel="007F1596" w:rsidRDefault="001F29DC" w:rsidP="00FF27F3">
            <w:pPr>
              <w:jc w:val="right"/>
              <w:rPr>
                <w:rFonts w:ascii="Arial" w:hAnsi="Arial" w:cs="Arial"/>
                <w:b/>
              </w:rPr>
            </w:pPr>
            <w:r>
              <w:rPr>
                <w:rFonts w:ascii="Arial" w:hAnsi="Arial" w:cs="Arial"/>
                <w:b/>
                <w:bCs/>
              </w:rPr>
              <w:t>$6,7</w:t>
            </w:r>
            <w:r w:rsidR="00FF27F3">
              <w:rPr>
                <w:rFonts w:ascii="Arial" w:hAnsi="Arial" w:cs="Arial"/>
                <w:b/>
                <w:bCs/>
              </w:rPr>
              <w:t>30</w:t>
            </w:r>
            <w:r>
              <w:rPr>
                <w:rFonts w:ascii="Arial" w:hAnsi="Arial" w:cs="Arial"/>
                <w:b/>
                <w:bCs/>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1F29DC" w:rsidRPr="00633217" w:rsidDel="007F1596" w:rsidRDefault="001F29DC" w:rsidP="00FF27F3">
            <w:pPr>
              <w:jc w:val="right"/>
              <w:rPr>
                <w:rFonts w:ascii="Arial" w:hAnsi="Arial" w:cs="Arial"/>
                <w:b/>
              </w:rPr>
            </w:pPr>
            <w:r>
              <w:rPr>
                <w:rFonts w:ascii="Arial" w:hAnsi="Arial" w:cs="Arial"/>
                <w:b/>
                <w:bCs/>
              </w:rPr>
              <w:t>$10,09</w:t>
            </w:r>
            <w:r w:rsidR="00FF27F3">
              <w:rPr>
                <w:rFonts w:ascii="Arial" w:hAnsi="Arial" w:cs="Arial"/>
                <w:b/>
                <w:bCs/>
              </w:rPr>
              <w:t>5</w:t>
            </w:r>
            <w:r>
              <w:rPr>
                <w:rFonts w:ascii="Arial" w:hAnsi="Arial" w:cs="Arial"/>
                <w:b/>
                <w:bCs/>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F29DC" w:rsidRPr="00633217" w:rsidDel="007F1596" w:rsidRDefault="001F29DC" w:rsidP="00FF27F3">
            <w:pPr>
              <w:jc w:val="right"/>
              <w:rPr>
                <w:rFonts w:ascii="Arial" w:hAnsi="Arial" w:cs="Arial"/>
                <w:b/>
              </w:rPr>
            </w:pPr>
            <w:r>
              <w:rPr>
                <w:rFonts w:ascii="Arial" w:hAnsi="Arial" w:cs="Arial"/>
                <w:b/>
                <w:bCs/>
              </w:rPr>
              <w:t xml:space="preserve">$16,824 </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F29DC" w:rsidRPr="00633217" w:rsidDel="007F1596" w:rsidRDefault="001F29DC" w:rsidP="00633217">
            <w:pPr>
              <w:jc w:val="right"/>
              <w:rPr>
                <w:rFonts w:ascii="Arial" w:hAnsi="Arial" w:cs="Arial"/>
                <w:b/>
              </w:rPr>
            </w:pPr>
            <w:r>
              <w:rPr>
                <w:rFonts w:ascii="Arial" w:hAnsi="Arial" w:cs="Arial"/>
                <w:b/>
                <w:bCs/>
                <w:color w:val="000000"/>
              </w:rPr>
              <w:t>$5,608</w:t>
            </w:r>
          </w:p>
        </w:tc>
      </w:tr>
      <w:tr w:rsidR="001F29DC" w:rsidRPr="00FF0FF9" w:rsidTr="00FF27F3">
        <w:trPr>
          <w:jc w:val="center"/>
        </w:trPr>
        <w:tc>
          <w:tcPr>
            <w:tcW w:w="40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F29DC" w:rsidRPr="00633217" w:rsidRDefault="001F29DC" w:rsidP="00581446">
            <w:pPr>
              <w:ind w:left="216"/>
              <w:rPr>
                <w:rFonts w:ascii="Arial" w:hAnsi="Arial" w:cs="Arial"/>
                <w:b/>
              </w:rPr>
            </w:pPr>
            <w:r>
              <w:rPr>
                <w:rFonts w:ascii="Arial" w:hAnsi="Arial" w:cs="Arial"/>
                <w:b/>
                <w:bCs/>
                <w:color w:val="000000"/>
              </w:rPr>
              <w:t>Non-personnel Costs</w:t>
            </w:r>
          </w:p>
        </w:tc>
        <w:tc>
          <w:tcPr>
            <w:tcW w:w="1440" w:type="dxa"/>
            <w:tcBorders>
              <w:top w:val="single" w:sz="4" w:space="0" w:color="auto"/>
              <w:left w:val="single" w:sz="4" w:space="0" w:color="auto"/>
              <w:bottom w:val="single" w:sz="4" w:space="0" w:color="auto"/>
              <w:right w:val="single" w:sz="4" w:space="0" w:color="auto"/>
            </w:tcBorders>
            <w:vAlign w:val="center"/>
          </w:tcPr>
          <w:p w:rsidR="001F29DC" w:rsidRPr="00633217" w:rsidDel="007F1596" w:rsidRDefault="001F29DC" w:rsidP="00633217">
            <w:pPr>
              <w:jc w:val="right"/>
              <w:rPr>
                <w:rFonts w:ascii="Arial" w:hAnsi="Arial" w:cs="Arial"/>
                <w:b/>
              </w:rPr>
            </w:pPr>
            <w:r>
              <w:rPr>
                <w:rFonts w:ascii="Arial" w:hAnsi="Arial" w:cs="Arial"/>
                <w:b/>
                <w:bCs/>
              </w:rPr>
              <w:t xml:space="preserve">$0 </w:t>
            </w:r>
          </w:p>
        </w:tc>
        <w:tc>
          <w:tcPr>
            <w:tcW w:w="1440" w:type="dxa"/>
            <w:tcBorders>
              <w:top w:val="single" w:sz="4" w:space="0" w:color="auto"/>
              <w:left w:val="single" w:sz="4" w:space="0" w:color="auto"/>
              <w:bottom w:val="single" w:sz="4" w:space="0" w:color="auto"/>
              <w:right w:val="single" w:sz="4" w:space="0" w:color="auto"/>
            </w:tcBorders>
            <w:vAlign w:val="center"/>
          </w:tcPr>
          <w:p w:rsidR="001F29DC" w:rsidRPr="00633217" w:rsidDel="007F1596" w:rsidRDefault="001F29DC" w:rsidP="00633217">
            <w:pPr>
              <w:jc w:val="right"/>
              <w:rPr>
                <w:rFonts w:ascii="Arial" w:hAnsi="Arial" w:cs="Arial"/>
                <w:b/>
              </w:rPr>
            </w:pPr>
            <w:r>
              <w:rPr>
                <w:rFonts w:ascii="Arial" w:hAnsi="Arial" w:cs="Arial"/>
                <w:b/>
                <w:bCs/>
              </w:rPr>
              <w:t xml:space="preserve">$0 </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F29DC" w:rsidRPr="00633217" w:rsidDel="007F1596" w:rsidRDefault="001F29DC" w:rsidP="00633217">
            <w:pPr>
              <w:jc w:val="right"/>
              <w:rPr>
                <w:rFonts w:ascii="Arial" w:hAnsi="Arial" w:cs="Arial"/>
                <w:b/>
              </w:rPr>
            </w:pPr>
            <w:r>
              <w:rPr>
                <w:rFonts w:ascii="Arial" w:hAnsi="Arial" w:cs="Arial"/>
                <w:b/>
                <w:bCs/>
              </w:rPr>
              <w:t xml:space="preserve">$0 </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F29DC" w:rsidRPr="00633217" w:rsidDel="007F1596" w:rsidRDefault="001F29DC" w:rsidP="00633217">
            <w:pPr>
              <w:jc w:val="right"/>
              <w:rPr>
                <w:rFonts w:ascii="Arial" w:hAnsi="Arial" w:cs="Arial"/>
                <w:b/>
              </w:rPr>
            </w:pPr>
            <w:r>
              <w:rPr>
                <w:rFonts w:ascii="Arial" w:hAnsi="Arial" w:cs="Arial"/>
                <w:b/>
                <w:bCs/>
                <w:color w:val="000000"/>
              </w:rPr>
              <w:t>$0.00</w:t>
            </w:r>
          </w:p>
        </w:tc>
      </w:tr>
      <w:tr w:rsidR="001F29DC" w:rsidRPr="00FF0FF9" w:rsidTr="00FF27F3">
        <w:trPr>
          <w:jc w:val="center"/>
        </w:trPr>
        <w:tc>
          <w:tcPr>
            <w:tcW w:w="40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F29DC" w:rsidRPr="00633217" w:rsidRDefault="001F29DC" w:rsidP="00581446">
            <w:pPr>
              <w:ind w:left="216"/>
              <w:rPr>
                <w:rFonts w:ascii="Arial" w:hAnsi="Arial" w:cs="Arial"/>
                <w:b/>
              </w:rPr>
            </w:pPr>
            <w:r>
              <w:rPr>
                <w:rFonts w:ascii="Arial" w:hAnsi="Arial" w:cs="Arial"/>
                <w:b/>
                <w:bCs/>
                <w:i/>
                <w:iCs/>
                <w:color w:val="000000"/>
              </w:rPr>
              <w:t>SUBTOTAL GOVERNMENT PERSONNEL AND NON-PERSONNEL COSTS</w:t>
            </w:r>
          </w:p>
        </w:tc>
        <w:tc>
          <w:tcPr>
            <w:tcW w:w="1440" w:type="dxa"/>
            <w:tcBorders>
              <w:top w:val="single" w:sz="4" w:space="0" w:color="auto"/>
              <w:left w:val="single" w:sz="4" w:space="0" w:color="auto"/>
              <w:bottom w:val="single" w:sz="4" w:space="0" w:color="auto"/>
              <w:right w:val="single" w:sz="4" w:space="0" w:color="auto"/>
            </w:tcBorders>
            <w:vAlign w:val="center"/>
          </w:tcPr>
          <w:p w:rsidR="001F29DC" w:rsidRPr="00633217" w:rsidDel="007F1596" w:rsidRDefault="00FF27F3" w:rsidP="00FF27F3">
            <w:pPr>
              <w:jc w:val="right"/>
              <w:rPr>
                <w:rFonts w:ascii="Arial" w:hAnsi="Arial" w:cs="Arial"/>
                <w:b/>
              </w:rPr>
            </w:pPr>
            <w:r>
              <w:rPr>
                <w:rFonts w:ascii="Arial" w:hAnsi="Arial" w:cs="Arial"/>
                <w:b/>
                <w:bCs/>
                <w:i/>
                <w:iCs/>
                <w:color w:val="000000"/>
              </w:rPr>
              <w:t>$</w:t>
            </w:r>
            <w:r w:rsidR="001F29DC">
              <w:rPr>
                <w:rFonts w:ascii="Arial" w:hAnsi="Arial" w:cs="Arial"/>
                <w:b/>
                <w:bCs/>
                <w:i/>
                <w:iCs/>
                <w:color w:val="000000"/>
              </w:rPr>
              <w:t>6</w:t>
            </w:r>
            <w:r>
              <w:rPr>
                <w:rFonts w:ascii="Arial" w:hAnsi="Arial" w:cs="Arial"/>
                <w:b/>
                <w:bCs/>
                <w:i/>
                <w:iCs/>
                <w:color w:val="000000"/>
              </w:rPr>
              <w:t>,</w:t>
            </w:r>
            <w:r w:rsidR="001F29DC">
              <w:rPr>
                <w:rFonts w:ascii="Arial" w:hAnsi="Arial" w:cs="Arial"/>
                <w:b/>
                <w:bCs/>
                <w:i/>
                <w:iCs/>
                <w:color w:val="000000"/>
              </w:rPr>
              <w:t>7</w:t>
            </w:r>
            <w:r>
              <w:rPr>
                <w:rFonts w:ascii="Arial" w:hAnsi="Arial" w:cs="Arial"/>
                <w:b/>
                <w:bCs/>
                <w:i/>
                <w:iCs/>
                <w:color w:val="000000"/>
              </w:rPr>
              <w:t>30</w:t>
            </w:r>
          </w:p>
        </w:tc>
        <w:tc>
          <w:tcPr>
            <w:tcW w:w="1440" w:type="dxa"/>
            <w:tcBorders>
              <w:top w:val="single" w:sz="4" w:space="0" w:color="auto"/>
              <w:left w:val="single" w:sz="4" w:space="0" w:color="auto"/>
              <w:bottom w:val="single" w:sz="4" w:space="0" w:color="auto"/>
              <w:right w:val="single" w:sz="4" w:space="0" w:color="auto"/>
            </w:tcBorders>
            <w:vAlign w:val="center"/>
          </w:tcPr>
          <w:p w:rsidR="001F29DC" w:rsidRPr="00633217" w:rsidDel="007F1596" w:rsidRDefault="00FF27F3" w:rsidP="00FF27F3">
            <w:pPr>
              <w:jc w:val="right"/>
              <w:rPr>
                <w:rFonts w:ascii="Arial" w:hAnsi="Arial" w:cs="Arial"/>
                <w:b/>
              </w:rPr>
            </w:pPr>
            <w:r>
              <w:rPr>
                <w:rFonts w:ascii="Arial" w:hAnsi="Arial" w:cs="Arial"/>
                <w:b/>
                <w:bCs/>
                <w:i/>
                <w:iCs/>
                <w:color w:val="000000"/>
              </w:rPr>
              <w:t>$</w:t>
            </w:r>
            <w:r w:rsidR="001F29DC">
              <w:rPr>
                <w:rFonts w:ascii="Arial" w:hAnsi="Arial" w:cs="Arial"/>
                <w:b/>
                <w:bCs/>
                <w:i/>
                <w:iCs/>
                <w:color w:val="000000"/>
              </w:rPr>
              <w:t>10</w:t>
            </w:r>
            <w:r>
              <w:rPr>
                <w:rFonts w:ascii="Arial" w:hAnsi="Arial" w:cs="Arial"/>
                <w:b/>
                <w:bCs/>
                <w:i/>
                <w:iCs/>
                <w:color w:val="000000"/>
              </w:rPr>
              <w:t>,</w:t>
            </w:r>
            <w:r w:rsidR="001F29DC">
              <w:rPr>
                <w:rFonts w:ascii="Arial" w:hAnsi="Arial" w:cs="Arial"/>
                <w:b/>
                <w:bCs/>
                <w:i/>
                <w:iCs/>
                <w:color w:val="000000"/>
              </w:rPr>
              <w:t>09</w:t>
            </w:r>
            <w:r>
              <w:rPr>
                <w:rFonts w:ascii="Arial" w:hAnsi="Arial" w:cs="Arial"/>
                <w:b/>
                <w:bCs/>
                <w:i/>
                <w:iCs/>
                <w:color w:val="000000"/>
              </w:rPr>
              <w:t>5</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F29DC" w:rsidRPr="00633217" w:rsidDel="007F1596" w:rsidRDefault="00FF27F3" w:rsidP="00FF27F3">
            <w:pPr>
              <w:jc w:val="right"/>
              <w:rPr>
                <w:rFonts w:ascii="Arial" w:hAnsi="Arial" w:cs="Arial"/>
                <w:b/>
              </w:rPr>
            </w:pPr>
            <w:r>
              <w:rPr>
                <w:rFonts w:ascii="Arial" w:hAnsi="Arial" w:cs="Arial"/>
                <w:b/>
                <w:bCs/>
                <w:i/>
                <w:iCs/>
                <w:color w:val="000000"/>
              </w:rPr>
              <w:t>$</w:t>
            </w:r>
            <w:r w:rsidR="001F29DC">
              <w:rPr>
                <w:rFonts w:ascii="Arial" w:hAnsi="Arial" w:cs="Arial"/>
                <w:b/>
                <w:bCs/>
                <w:i/>
                <w:iCs/>
                <w:color w:val="000000"/>
              </w:rPr>
              <w:t>16</w:t>
            </w:r>
            <w:r>
              <w:rPr>
                <w:rFonts w:ascii="Arial" w:hAnsi="Arial" w:cs="Arial"/>
                <w:b/>
                <w:bCs/>
                <w:i/>
                <w:iCs/>
                <w:color w:val="000000"/>
              </w:rPr>
              <w:t>,</w:t>
            </w:r>
            <w:r w:rsidR="001F29DC">
              <w:rPr>
                <w:rFonts w:ascii="Arial" w:hAnsi="Arial" w:cs="Arial"/>
                <w:b/>
                <w:bCs/>
                <w:i/>
                <w:iCs/>
                <w:color w:val="000000"/>
              </w:rPr>
              <w:t>824</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F29DC" w:rsidRPr="00633217" w:rsidDel="007F1596" w:rsidRDefault="001F29DC" w:rsidP="00633217">
            <w:pPr>
              <w:jc w:val="right"/>
              <w:rPr>
                <w:rFonts w:ascii="Arial" w:hAnsi="Arial" w:cs="Arial"/>
                <w:b/>
              </w:rPr>
            </w:pPr>
            <w:r>
              <w:rPr>
                <w:rFonts w:ascii="Arial" w:hAnsi="Arial" w:cs="Arial"/>
                <w:b/>
                <w:bCs/>
                <w:i/>
                <w:iCs/>
                <w:color w:val="000000"/>
              </w:rPr>
              <w:t>$5,608</w:t>
            </w:r>
          </w:p>
        </w:tc>
      </w:tr>
      <w:tr w:rsidR="001F29DC" w:rsidRPr="00FF0FF9" w:rsidTr="00FF27F3">
        <w:trPr>
          <w:jc w:val="center"/>
        </w:trPr>
        <w:tc>
          <w:tcPr>
            <w:tcW w:w="4087"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0" w:type="dxa"/>
              <w:left w:w="108" w:type="dxa"/>
              <w:bottom w:w="0" w:type="dxa"/>
              <w:right w:w="108" w:type="dxa"/>
            </w:tcMar>
            <w:vAlign w:val="center"/>
          </w:tcPr>
          <w:p w:rsidR="001F29DC" w:rsidRPr="00581446" w:rsidRDefault="001F29DC" w:rsidP="00581446">
            <w:pPr>
              <w:spacing w:before="80"/>
              <w:rPr>
                <w:rFonts w:ascii="Arial" w:hAnsi="Arial" w:cs="Arial"/>
                <w:b/>
              </w:rPr>
            </w:pPr>
            <w:r w:rsidRPr="00581446">
              <w:rPr>
                <w:rFonts w:ascii="Arial" w:hAnsi="Arial" w:cs="Arial"/>
                <w:b/>
              </w:rPr>
              <w:t>Total Costs</w:t>
            </w:r>
          </w:p>
        </w:tc>
        <w:tc>
          <w:tcPr>
            <w:tcW w:w="144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1F29DC" w:rsidRPr="00581446" w:rsidDel="007F1596" w:rsidRDefault="001F29DC" w:rsidP="00581446">
            <w:pPr>
              <w:spacing w:before="80"/>
              <w:jc w:val="right"/>
              <w:rPr>
                <w:rFonts w:ascii="Arial" w:hAnsi="Arial" w:cs="Arial"/>
                <w:b/>
              </w:rPr>
            </w:pPr>
            <w:r w:rsidRPr="00581446">
              <w:rPr>
                <w:rFonts w:ascii="Arial" w:hAnsi="Arial" w:cs="Arial"/>
                <w:b/>
                <w:bCs/>
              </w:rPr>
              <w:t xml:space="preserve">$806,998 </w:t>
            </w:r>
          </w:p>
        </w:tc>
        <w:tc>
          <w:tcPr>
            <w:tcW w:w="144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1F29DC" w:rsidRPr="00581446" w:rsidDel="007F1596" w:rsidRDefault="001F29DC" w:rsidP="00581446">
            <w:pPr>
              <w:spacing w:before="80"/>
              <w:jc w:val="right"/>
              <w:rPr>
                <w:rFonts w:ascii="Arial" w:hAnsi="Arial" w:cs="Arial"/>
                <w:b/>
              </w:rPr>
            </w:pPr>
            <w:r w:rsidRPr="00581446">
              <w:rPr>
                <w:rFonts w:ascii="Arial" w:hAnsi="Arial" w:cs="Arial"/>
                <w:b/>
                <w:bCs/>
              </w:rPr>
              <w:t xml:space="preserve">$899,774 </w:t>
            </w:r>
          </w:p>
        </w:tc>
        <w:tc>
          <w:tcPr>
            <w:tcW w:w="1440"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0" w:type="dxa"/>
              <w:left w:w="108" w:type="dxa"/>
              <w:bottom w:w="0" w:type="dxa"/>
              <w:right w:w="108" w:type="dxa"/>
            </w:tcMar>
            <w:vAlign w:val="center"/>
          </w:tcPr>
          <w:p w:rsidR="001F29DC" w:rsidRPr="00581446" w:rsidRDefault="001F29DC" w:rsidP="00581446">
            <w:pPr>
              <w:spacing w:before="80"/>
              <w:jc w:val="right"/>
              <w:rPr>
                <w:rFonts w:ascii="Arial" w:hAnsi="Arial" w:cs="Arial"/>
                <w:b/>
              </w:rPr>
            </w:pPr>
            <w:r w:rsidRPr="00581446">
              <w:rPr>
                <w:rFonts w:ascii="Arial" w:hAnsi="Arial" w:cs="Arial"/>
                <w:b/>
                <w:bCs/>
              </w:rPr>
              <w:t xml:space="preserve">$1,706,772 </w:t>
            </w:r>
          </w:p>
        </w:tc>
        <w:tc>
          <w:tcPr>
            <w:tcW w:w="1440"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0" w:type="dxa"/>
              <w:left w:w="108" w:type="dxa"/>
              <w:bottom w:w="0" w:type="dxa"/>
              <w:right w:w="108" w:type="dxa"/>
            </w:tcMar>
            <w:vAlign w:val="center"/>
          </w:tcPr>
          <w:p w:rsidR="001F29DC" w:rsidRPr="00581446" w:rsidRDefault="001F29DC" w:rsidP="00581446">
            <w:pPr>
              <w:spacing w:before="80"/>
              <w:jc w:val="right"/>
              <w:rPr>
                <w:rFonts w:ascii="Arial" w:hAnsi="Arial" w:cs="Arial"/>
                <w:b/>
              </w:rPr>
            </w:pPr>
            <w:r w:rsidRPr="00581446">
              <w:rPr>
                <w:rFonts w:ascii="Arial" w:hAnsi="Arial" w:cs="Arial"/>
                <w:b/>
                <w:bCs/>
                <w:i/>
                <w:iCs/>
              </w:rPr>
              <w:t>$568,924</w:t>
            </w:r>
          </w:p>
        </w:tc>
      </w:tr>
      <w:tr w:rsidR="001F29DC" w:rsidRPr="00FF0FF9" w:rsidTr="00FF27F3">
        <w:trPr>
          <w:jc w:val="center"/>
        </w:trPr>
        <w:tc>
          <w:tcPr>
            <w:tcW w:w="1440" w:type="dxa"/>
            <w:gridSpan w:val="5"/>
            <w:tcBorders>
              <w:top w:val="nil"/>
            </w:tcBorders>
            <w:shd w:val="clear" w:color="auto" w:fill="auto"/>
            <w:tcMar>
              <w:top w:w="0" w:type="dxa"/>
              <w:left w:w="108" w:type="dxa"/>
              <w:bottom w:w="0" w:type="dxa"/>
              <w:right w:w="108" w:type="dxa"/>
            </w:tcMar>
            <w:vAlign w:val="center"/>
          </w:tcPr>
          <w:p w:rsidR="001F29DC" w:rsidRPr="001F29DC" w:rsidRDefault="001F29DC" w:rsidP="001F29DC">
            <w:r w:rsidRPr="001F29DC">
              <w:rPr>
                <w:vertAlign w:val="superscript"/>
              </w:rPr>
              <w:t>1</w:t>
            </w:r>
            <w:r w:rsidRPr="001F29DC">
              <w:t xml:space="preserve"> Based on 2014 OPM Pay Schedule for the Washington-Baltimore-Northern VA locality pay area: http://www.opm.gov/policy-data-oversight/pay-leave/salaries-wages/salary-tables/pdf/2014/DCB.pdf, annual salary of $134,595; 5% time pre-OMB and 7.5% post-OMB</w:t>
            </w:r>
          </w:p>
        </w:tc>
      </w:tr>
      <w:tr w:rsidR="001F29DC" w:rsidRPr="00FF0FF9" w:rsidTr="00FF27F3">
        <w:trPr>
          <w:jc w:val="center"/>
        </w:trPr>
        <w:tc>
          <w:tcPr>
            <w:tcW w:w="1440" w:type="dxa"/>
            <w:gridSpan w:val="5"/>
            <w:shd w:val="clear" w:color="auto" w:fill="auto"/>
            <w:tcMar>
              <w:top w:w="0" w:type="dxa"/>
              <w:left w:w="108" w:type="dxa"/>
              <w:bottom w:w="0" w:type="dxa"/>
              <w:right w:w="108" w:type="dxa"/>
            </w:tcMar>
            <w:vAlign w:val="center"/>
          </w:tcPr>
          <w:p w:rsidR="001F29DC" w:rsidRPr="001F29DC" w:rsidRDefault="001F29DC" w:rsidP="001F29DC">
            <w:r w:rsidRPr="001F29DC">
              <w:rPr>
                <w:vertAlign w:val="superscript"/>
              </w:rPr>
              <w:t>2</w:t>
            </w:r>
            <w:r w:rsidRPr="001F29DC">
              <w:t xml:space="preserve"> Annualized cost divides each line item by the three (i.e., the three years of the project).</w:t>
            </w:r>
          </w:p>
        </w:tc>
      </w:tr>
      <w:bookmarkEnd w:id="19"/>
    </w:tbl>
    <w:p w:rsidR="00D26B68" w:rsidRPr="001F29DC" w:rsidRDefault="00D26B68" w:rsidP="001F29DC"/>
    <w:p w:rsidR="0057087C" w:rsidRPr="00FF0FF9" w:rsidRDefault="0057087C" w:rsidP="008C5826">
      <w:pPr>
        <w:pStyle w:val="Heading2"/>
        <w:rPr>
          <w:color w:val="auto"/>
          <w:sz w:val="24"/>
          <w:szCs w:val="24"/>
        </w:rPr>
      </w:pPr>
      <w:bookmarkStart w:id="20" w:name="_Toc386502303"/>
      <w:r w:rsidRPr="00FF0FF9">
        <w:rPr>
          <w:color w:val="auto"/>
          <w:sz w:val="24"/>
          <w:szCs w:val="24"/>
        </w:rPr>
        <w:t xml:space="preserve">15.  </w:t>
      </w:r>
      <w:r w:rsidRPr="00FF0FF9">
        <w:rPr>
          <w:color w:val="auto"/>
          <w:sz w:val="24"/>
          <w:szCs w:val="24"/>
          <w:u w:val="single"/>
        </w:rPr>
        <w:t>Change</w:t>
      </w:r>
      <w:r w:rsidR="00A33144" w:rsidRPr="00FF0FF9">
        <w:rPr>
          <w:color w:val="auto"/>
          <w:sz w:val="24"/>
          <w:szCs w:val="24"/>
          <w:u w:val="single"/>
        </w:rPr>
        <w:t>s</w:t>
      </w:r>
      <w:r w:rsidRPr="00FF0FF9">
        <w:rPr>
          <w:color w:val="auto"/>
          <w:sz w:val="24"/>
          <w:szCs w:val="24"/>
          <w:u w:val="single"/>
        </w:rPr>
        <w:t xml:space="preserve"> in </w:t>
      </w:r>
      <w:r w:rsidR="00A33144" w:rsidRPr="00FF0FF9">
        <w:rPr>
          <w:color w:val="auto"/>
          <w:sz w:val="24"/>
          <w:szCs w:val="24"/>
          <w:u w:val="single"/>
        </w:rPr>
        <w:t xml:space="preserve">Hour </w:t>
      </w:r>
      <w:r w:rsidRPr="00FF0FF9">
        <w:rPr>
          <w:color w:val="auto"/>
          <w:sz w:val="24"/>
          <w:szCs w:val="24"/>
          <w:u w:val="single"/>
        </w:rPr>
        <w:t>Burden</w:t>
      </w:r>
      <w:bookmarkEnd w:id="20"/>
    </w:p>
    <w:p w:rsidR="0057087C" w:rsidRPr="00FF0FF9" w:rsidRDefault="0057087C">
      <w:pPr>
        <w:rPr>
          <w:sz w:val="24"/>
          <w:szCs w:val="24"/>
        </w:rPr>
      </w:pPr>
    </w:p>
    <w:p w:rsidR="0057087C" w:rsidRPr="00FF0FF9" w:rsidRDefault="0057087C">
      <w:pPr>
        <w:rPr>
          <w:sz w:val="24"/>
          <w:szCs w:val="24"/>
        </w:rPr>
      </w:pPr>
      <w:r w:rsidRPr="00FF0FF9">
        <w:rPr>
          <w:sz w:val="24"/>
          <w:szCs w:val="24"/>
        </w:rPr>
        <w:t xml:space="preserve">This is a new </w:t>
      </w:r>
      <w:r w:rsidR="000F0A4E" w:rsidRPr="00FF0FF9">
        <w:rPr>
          <w:sz w:val="24"/>
          <w:szCs w:val="24"/>
        </w:rPr>
        <w:t xml:space="preserve">information collection </w:t>
      </w:r>
      <w:r w:rsidRPr="00FF0FF9">
        <w:rPr>
          <w:sz w:val="24"/>
          <w:szCs w:val="24"/>
        </w:rPr>
        <w:t>activity</w:t>
      </w:r>
      <w:r w:rsidR="00B044C0" w:rsidRPr="00FF0FF9">
        <w:rPr>
          <w:sz w:val="24"/>
          <w:szCs w:val="24"/>
        </w:rPr>
        <w:t>.</w:t>
      </w:r>
    </w:p>
    <w:p w:rsidR="0057087C" w:rsidRPr="00FF0FF9" w:rsidRDefault="0057087C">
      <w:pPr>
        <w:rPr>
          <w:sz w:val="24"/>
          <w:szCs w:val="24"/>
        </w:rPr>
      </w:pPr>
    </w:p>
    <w:p w:rsidR="0057087C" w:rsidRPr="008C5826" w:rsidRDefault="00155C6D" w:rsidP="008C5826">
      <w:pPr>
        <w:pStyle w:val="Heading2"/>
        <w:rPr>
          <w:b w:val="0"/>
          <w:color w:val="auto"/>
          <w:sz w:val="24"/>
          <w:szCs w:val="24"/>
        </w:rPr>
      </w:pPr>
      <w:bookmarkStart w:id="21" w:name="_Toc386502304"/>
      <w:r w:rsidRPr="00FF0FF9">
        <w:rPr>
          <w:color w:val="auto"/>
          <w:sz w:val="24"/>
          <w:szCs w:val="24"/>
        </w:rPr>
        <w:t xml:space="preserve">16.  </w:t>
      </w:r>
      <w:r w:rsidRPr="00FF0FF9">
        <w:rPr>
          <w:color w:val="auto"/>
          <w:sz w:val="24"/>
          <w:u w:val="single"/>
        </w:rPr>
        <w:t>Time Schedule, P</w:t>
      </w:r>
      <w:r w:rsidR="00E209C2" w:rsidRPr="00FF0FF9">
        <w:rPr>
          <w:color w:val="auto"/>
          <w:sz w:val="24"/>
          <w:u w:val="single"/>
        </w:rPr>
        <w:t>ublication and Analysis Plans</w:t>
      </w:r>
      <w:bookmarkEnd w:id="21"/>
    </w:p>
    <w:p w:rsidR="0057087C" w:rsidRPr="00CB177A" w:rsidRDefault="0057087C">
      <w:pPr>
        <w:rPr>
          <w:sz w:val="24"/>
          <w:szCs w:val="24"/>
        </w:rPr>
      </w:pPr>
    </w:p>
    <w:p w:rsidR="002112A0" w:rsidRPr="00A951E7" w:rsidRDefault="00A951E7" w:rsidP="002112A0">
      <w:pPr>
        <w:rPr>
          <w:sz w:val="24"/>
          <w:szCs w:val="24"/>
        </w:rPr>
      </w:pPr>
      <w:r w:rsidRPr="00A951E7">
        <w:rPr>
          <w:i/>
          <w:sz w:val="24"/>
          <w:szCs w:val="24"/>
        </w:rPr>
        <w:t xml:space="preserve">Schedule and Publication Plans. </w:t>
      </w:r>
      <w:r w:rsidR="008B3FF5" w:rsidRPr="00A951E7">
        <w:rPr>
          <w:sz w:val="24"/>
          <w:szCs w:val="24"/>
        </w:rPr>
        <w:t>AHRQ targets fall</w:t>
      </w:r>
      <w:r w:rsidR="002D5636">
        <w:rPr>
          <w:sz w:val="24"/>
          <w:szCs w:val="24"/>
        </w:rPr>
        <w:t xml:space="preserve"> to winter</w:t>
      </w:r>
      <w:r w:rsidR="008B3FF5" w:rsidRPr="00A951E7">
        <w:rPr>
          <w:sz w:val="24"/>
          <w:szCs w:val="24"/>
        </w:rPr>
        <w:t xml:space="preserve"> </w:t>
      </w:r>
      <w:r w:rsidR="0079383C" w:rsidRPr="00A951E7">
        <w:rPr>
          <w:sz w:val="24"/>
          <w:szCs w:val="24"/>
        </w:rPr>
        <w:t xml:space="preserve">2014 </w:t>
      </w:r>
      <w:r w:rsidR="008B3FF5" w:rsidRPr="00A951E7">
        <w:rPr>
          <w:sz w:val="24"/>
          <w:szCs w:val="24"/>
        </w:rPr>
        <w:t>as the timeframe for administration of the pilot s</w:t>
      </w:r>
      <w:r w:rsidR="002D5636">
        <w:rPr>
          <w:sz w:val="24"/>
          <w:szCs w:val="24"/>
        </w:rPr>
        <w:t>urvey</w:t>
      </w:r>
      <w:r w:rsidR="008B3FF5" w:rsidRPr="00A951E7">
        <w:rPr>
          <w:sz w:val="24"/>
          <w:szCs w:val="24"/>
        </w:rPr>
        <w:t xml:space="preserve">. </w:t>
      </w:r>
      <w:r w:rsidR="0079383C" w:rsidRPr="00A951E7">
        <w:rPr>
          <w:sz w:val="24"/>
          <w:szCs w:val="24"/>
        </w:rPr>
        <w:t xml:space="preserve">Data collection will be open for a three month period, including initial sendout of the survey by mail, reminder cards, follow up by phone for non-responders, and CATI-supported phone interviews where needed to supplement the mail responses. </w:t>
      </w:r>
      <w:r w:rsidR="00A27C34" w:rsidRPr="00A951E7">
        <w:rPr>
          <w:sz w:val="24"/>
          <w:szCs w:val="24"/>
        </w:rPr>
        <w:t>As soon as OMB approval is received,</w:t>
      </w:r>
      <w:r w:rsidR="002112A0" w:rsidRPr="00A951E7">
        <w:rPr>
          <w:rFonts w:ascii="Calibri" w:hAnsi="Calibri"/>
          <w:sz w:val="22"/>
          <w:szCs w:val="22"/>
        </w:rPr>
        <w:t xml:space="preserve"> </w:t>
      </w:r>
      <w:r w:rsidR="002112A0" w:rsidRPr="00A951E7">
        <w:rPr>
          <w:sz w:val="24"/>
          <w:szCs w:val="24"/>
        </w:rPr>
        <w:t>pilot s</w:t>
      </w:r>
      <w:r w:rsidR="002D5636">
        <w:rPr>
          <w:sz w:val="24"/>
          <w:szCs w:val="24"/>
        </w:rPr>
        <w:t xml:space="preserve">urvey </w:t>
      </w:r>
      <w:r w:rsidR="002112A0" w:rsidRPr="00A951E7">
        <w:rPr>
          <w:sz w:val="24"/>
          <w:szCs w:val="24"/>
        </w:rPr>
        <w:t xml:space="preserve">activities will begin. </w:t>
      </w:r>
      <w:r w:rsidR="0079383C" w:rsidRPr="00A951E7">
        <w:rPr>
          <w:sz w:val="24"/>
          <w:szCs w:val="24"/>
        </w:rPr>
        <w:t xml:space="preserve">Cognitive testing of the survey will already have occurred (and was designed in a way that would not require its clearance through OMB). </w:t>
      </w:r>
      <w:r w:rsidR="002112A0" w:rsidRPr="00A951E7">
        <w:rPr>
          <w:sz w:val="24"/>
          <w:szCs w:val="24"/>
        </w:rPr>
        <w:t>The estimated time</w:t>
      </w:r>
      <w:r w:rsidR="0074731F" w:rsidRPr="00A951E7">
        <w:rPr>
          <w:sz w:val="24"/>
          <w:szCs w:val="24"/>
        </w:rPr>
        <w:t xml:space="preserve"> schedule </w:t>
      </w:r>
      <w:r w:rsidR="002112A0" w:rsidRPr="00A951E7">
        <w:rPr>
          <w:sz w:val="24"/>
          <w:szCs w:val="24"/>
        </w:rPr>
        <w:t>to conduct the</w:t>
      </w:r>
      <w:r w:rsidR="0079383C" w:rsidRPr="00A951E7">
        <w:rPr>
          <w:sz w:val="24"/>
          <w:szCs w:val="24"/>
        </w:rPr>
        <w:t xml:space="preserve"> data collection</w:t>
      </w:r>
      <w:r w:rsidR="002112A0" w:rsidRPr="00A951E7">
        <w:rPr>
          <w:sz w:val="24"/>
          <w:szCs w:val="24"/>
        </w:rPr>
        <w:t xml:space="preserve"> activities is shown below:</w:t>
      </w:r>
    </w:p>
    <w:p w:rsidR="002112A0" w:rsidRPr="00A951E7" w:rsidRDefault="002112A0" w:rsidP="002112A0">
      <w:pPr>
        <w:rPr>
          <w:sz w:val="24"/>
          <w:szCs w:val="24"/>
        </w:rPr>
      </w:pPr>
    </w:p>
    <w:p w:rsidR="002D5636" w:rsidRDefault="002D5636" w:rsidP="00203F5D">
      <w:pPr>
        <w:numPr>
          <w:ilvl w:val="0"/>
          <w:numId w:val="2"/>
        </w:numPr>
        <w:rPr>
          <w:sz w:val="24"/>
          <w:szCs w:val="24"/>
        </w:rPr>
      </w:pPr>
      <w:r>
        <w:rPr>
          <w:sz w:val="24"/>
          <w:szCs w:val="24"/>
        </w:rPr>
        <w:t>Finalize recruitment (2 months)</w:t>
      </w:r>
    </w:p>
    <w:p w:rsidR="002112A0" w:rsidRPr="00A951E7" w:rsidRDefault="002112A0" w:rsidP="00203F5D">
      <w:pPr>
        <w:numPr>
          <w:ilvl w:val="0"/>
          <w:numId w:val="2"/>
        </w:numPr>
        <w:rPr>
          <w:sz w:val="24"/>
          <w:szCs w:val="24"/>
        </w:rPr>
      </w:pPr>
      <w:r w:rsidRPr="00A951E7">
        <w:rPr>
          <w:sz w:val="24"/>
          <w:szCs w:val="24"/>
        </w:rPr>
        <w:t>Pilot study data collection (</w:t>
      </w:r>
      <w:r w:rsidR="0079383C" w:rsidRPr="00A951E7">
        <w:rPr>
          <w:sz w:val="24"/>
          <w:szCs w:val="24"/>
        </w:rPr>
        <w:t>3</w:t>
      </w:r>
      <w:r w:rsidR="0094006E" w:rsidRPr="00A951E7">
        <w:rPr>
          <w:sz w:val="24"/>
          <w:szCs w:val="24"/>
        </w:rPr>
        <w:t xml:space="preserve"> months)</w:t>
      </w:r>
    </w:p>
    <w:p w:rsidR="002112A0" w:rsidRPr="00A951E7" w:rsidRDefault="00CE191F" w:rsidP="00203F5D">
      <w:pPr>
        <w:numPr>
          <w:ilvl w:val="0"/>
          <w:numId w:val="2"/>
        </w:numPr>
        <w:rPr>
          <w:sz w:val="24"/>
          <w:szCs w:val="24"/>
        </w:rPr>
      </w:pPr>
      <w:r>
        <w:rPr>
          <w:sz w:val="24"/>
          <w:szCs w:val="24"/>
        </w:rPr>
        <w:t>Data</w:t>
      </w:r>
      <w:r w:rsidRPr="00A951E7">
        <w:rPr>
          <w:sz w:val="24"/>
          <w:szCs w:val="24"/>
        </w:rPr>
        <w:t xml:space="preserve"> </w:t>
      </w:r>
      <w:r w:rsidR="00766349" w:rsidRPr="00A951E7">
        <w:rPr>
          <w:sz w:val="24"/>
          <w:szCs w:val="24"/>
        </w:rPr>
        <w:t>analysis, d</w:t>
      </w:r>
      <w:r w:rsidR="0094006E" w:rsidRPr="00A951E7">
        <w:rPr>
          <w:sz w:val="24"/>
          <w:szCs w:val="24"/>
        </w:rPr>
        <w:t xml:space="preserve">evelopment of </w:t>
      </w:r>
      <w:r w:rsidR="00766349" w:rsidRPr="00A951E7">
        <w:rPr>
          <w:sz w:val="24"/>
          <w:szCs w:val="24"/>
        </w:rPr>
        <w:t xml:space="preserve">draft </w:t>
      </w:r>
      <w:r w:rsidR="002112A0" w:rsidRPr="00A951E7">
        <w:rPr>
          <w:sz w:val="24"/>
          <w:szCs w:val="24"/>
        </w:rPr>
        <w:t>technical report (</w:t>
      </w:r>
      <w:r w:rsidR="002D5636">
        <w:rPr>
          <w:sz w:val="24"/>
          <w:szCs w:val="24"/>
        </w:rPr>
        <w:t>2</w:t>
      </w:r>
      <w:r w:rsidR="0094006E" w:rsidRPr="00A951E7">
        <w:rPr>
          <w:sz w:val="24"/>
          <w:szCs w:val="24"/>
        </w:rPr>
        <w:t xml:space="preserve"> months</w:t>
      </w:r>
      <w:r w:rsidR="002112A0" w:rsidRPr="00A951E7">
        <w:rPr>
          <w:sz w:val="24"/>
          <w:szCs w:val="24"/>
        </w:rPr>
        <w:t>)</w:t>
      </w:r>
    </w:p>
    <w:p w:rsidR="002112A0" w:rsidRPr="00A951E7" w:rsidRDefault="00766349" w:rsidP="00203F5D">
      <w:pPr>
        <w:numPr>
          <w:ilvl w:val="0"/>
          <w:numId w:val="2"/>
        </w:numPr>
        <w:rPr>
          <w:sz w:val="24"/>
          <w:szCs w:val="24"/>
        </w:rPr>
      </w:pPr>
      <w:r w:rsidRPr="00A951E7">
        <w:rPr>
          <w:sz w:val="24"/>
          <w:szCs w:val="24"/>
        </w:rPr>
        <w:t>Final technical report</w:t>
      </w:r>
      <w:r w:rsidR="00D76231" w:rsidRPr="00A951E7">
        <w:rPr>
          <w:sz w:val="24"/>
          <w:szCs w:val="24"/>
        </w:rPr>
        <w:t xml:space="preserve">, plan for item revisions and supplemental analyses </w:t>
      </w:r>
      <w:r w:rsidR="002112A0" w:rsidRPr="00A951E7">
        <w:rPr>
          <w:sz w:val="24"/>
          <w:szCs w:val="24"/>
        </w:rPr>
        <w:t>(</w:t>
      </w:r>
      <w:r w:rsidR="0094006E" w:rsidRPr="00A951E7">
        <w:rPr>
          <w:sz w:val="24"/>
          <w:szCs w:val="24"/>
        </w:rPr>
        <w:t>2 months</w:t>
      </w:r>
      <w:r w:rsidR="002112A0" w:rsidRPr="00A951E7">
        <w:rPr>
          <w:sz w:val="24"/>
          <w:szCs w:val="24"/>
        </w:rPr>
        <w:t>)</w:t>
      </w:r>
    </w:p>
    <w:p w:rsidR="00D76231" w:rsidRPr="00A951E7" w:rsidRDefault="00D76231" w:rsidP="00203F5D">
      <w:pPr>
        <w:numPr>
          <w:ilvl w:val="0"/>
          <w:numId w:val="2"/>
        </w:numPr>
        <w:rPr>
          <w:sz w:val="24"/>
          <w:szCs w:val="24"/>
        </w:rPr>
      </w:pPr>
      <w:r w:rsidRPr="00A951E7">
        <w:rPr>
          <w:sz w:val="24"/>
          <w:szCs w:val="24"/>
        </w:rPr>
        <w:t>Supplemental analyses; final survey item set and supporting documentation (</w:t>
      </w:r>
      <w:r w:rsidR="002D5636">
        <w:rPr>
          <w:sz w:val="24"/>
          <w:szCs w:val="24"/>
        </w:rPr>
        <w:t>3</w:t>
      </w:r>
      <w:r w:rsidRPr="00A951E7">
        <w:rPr>
          <w:sz w:val="24"/>
          <w:szCs w:val="24"/>
        </w:rPr>
        <w:t xml:space="preserve"> months)</w:t>
      </w:r>
    </w:p>
    <w:p w:rsidR="002112A0" w:rsidRPr="00A951E7" w:rsidRDefault="002112A0" w:rsidP="002112A0">
      <w:pPr>
        <w:rPr>
          <w:sz w:val="24"/>
          <w:szCs w:val="24"/>
        </w:rPr>
      </w:pPr>
    </w:p>
    <w:p w:rsidR="00A27C34" w:rsidRPr="00A951E7" w:rsidRDefault="003D0095">
      <w:pPr>
        <w:rPr>
          <w:sz w:val="24"/>
          <w:szCs w:val="24"/>
        </w:rPr>
      </w:pPr>
      <w:r w:rsidRPr="00A951E7">
        <w:rPr>
          <w:sz w:val="24"/>
          <w:szCs w:val="24"/>
        </w:rPr>
        <w:lastRenderedPageBreak/>
        <w:t>T</w:t>
      </w:r>
      <w:r w:rsidR="002112A0" w:rsidRPr="00A951E7">
        <w:rPr>
          <w:sz w:val="24"/>
          <w:szCs w:val="24"/>
        </w:rPr>
        <w:t xml:space="preserve">he final version of the </w:t>
      </w:r>
      <w:r w:rsidR="00D76231" w:rsidRPr="00A951E7">
        <w:rPr>
          <w:sz w:val="24"/>
          <w:szCs w:val="24"/>
        </w:rPr>
        <w:t xml:space="preserve">CCQM-PC </w:t>
      </w:r>
      <w:r w:rsidR="00854C19" w:rsidRPr="00A951E7">
        <w:rPr>
          <w:sz w:val="24"/>
          <w:szCs w:val="24"/>
        </w:rPr>
        <w:t xml:space="preserve">and </w:t>
      </w:r>
      <w:r w:rsidRPr="00A951E7">
        <w:rPr>
          <w:sz w:val="24"/>
          <w:szCs w:val="24"/>
        </w:rPr>
        <w:t xml:space="preserve">accompanying </w:t>
      </w:r>
      <w:r w:rsidR="00A951E7" w:rsidRPr="00A951E7">
        <w:rPr>
          <w:sz w:val="24"/>
          <w:szCs w:val="24"/>
        </w:rPr>
        <w:t xml:space="preserve">documentation </w:t>
      </w:r>
      <w:r w:rsidR="002112A0" w:rsidRPr="00A951E7">
        <w:rPr>
          <w:sz w:val="24"/>
          <w:szCs w:val="24"/>
        </w:rPr>
        <w:t>will be made available in the public domain on the AHRQ Web site.</w:t>
      </w:r>
    </w:p>
    <w:p w:rsidR="00A27C34" w:rsidRPr="000F0A4E" w:rsidRDefault="00A27C34">
      <w:pPr>
        <w:rPr>
          <w:sz w:val="24"/>
          <w:szCs w:val="24"/>
          <w:highlight w:val="yellow"/>
        </w:rPr>
      </w:pPr>
    </w:p>
    <w:p w:rsidR="00E53DC9" w:rsidRPr="00E401F2" w:rsidRDefault="00A951E7" w:rsidP="00E401F2">
      <w:pPr>
        <w:rPr>
          <w:sz w:val="24"/>
          <w:szCs w:val="24"/>
        </w:rPr>
      </w:pPr>
      <w:r w:rsidRPr="00007CEE">
        <w:rPr>
          <w:i/>
          <w:sz w:val="24"/>
          <w:szCs w:val="24"/>
        </w:rPr>
        <w:t xml:space="preserve">Analysis Plans. </w:t>
      </w:r>
      <w:r w:rsidR="0057087C" w:rsidRPr="00007CEE">
        <w:rPr>
          <w:sz w:val="24"/>
          <w:szCs w:val="24"/>
        </w:rPr>
        <w:t xml:space="preserve">The </w:t>
      </w:r>
      <w:r w:rsidR="002D5636">
        <w:rPr>
          <w:sz w:val="24"/>
          <w:szCs w:val="24"/>
        </w:rPr>
        <w:t xml:space="preserve">primary </w:t>
      </w:r>
      <w:r w:rsidR="0057087C" w:rsidRPr="00007CEE">
        <w:rPr>
          <w:sz w:val="24"/>
          <w:szCs w:val="24"/>
        </w:rPr>
        <w:t>purpose of th</w:t>
      </w:r>
      <w:r w:rsidR="002D5636">
        <w:rPr>
          <w:sz w:val="24"/>
          <w:szCs w:val="24"/>
        </w:rPr>
        <w:t xml:space="preserve">e pilot </w:t>
      </w:r>
      <w:r w:rsidR="0057087C" w:rsidRPr="00007CEE">
        <w:rPr>
          <w:sz w:val="24"/>
          <w:szCs w:val="24"/>
        </w:rPr>
        <w:t xml:space="preserve">survey </w:t>
      </w:r>
      <w:r w:rsidR="00BF1B9E">
        <w:rPr>
          <w:sz w:val="24"/>
          <w:szCs w:val="24"/>
        </w:rPr>
        <w:t xml:space="preserve">is to </w:t>
      </w:r>
      <w:r w:rsidR="0057087C" w:rsidRPr="00007CEE">
        <w:rPr>
          <w:sz w:val="24"/>
          <w:szCs w:val="24"/>
        </w:rPr>
        <w:t xml:space="preserve">test </w:t>
      </w:r>
      <w:r w:rsidR="008732C2" w:rsidRPr="00007CEE">
        <w:rPr>
          <w:sz w:val="24"/>
          <w:szCs w:val="24"/>
        </w:rPr>
        <w:t xml:space="preserve">the </w:t>
      </w:r>
      <w:r w:rsidR="00365657" w:rsidRPr="00007CEE">
        <w:rPr>
          <w:sz w:val="24"/>
          <w:szCs w:val="24"/>
        </w:rPr>
        <w:t>CCQM-PC</w:t>
      </w:r>
      <w:r w:rsidR="00BF1B9E">
        <w:rPr>
          <w:sz w:val="24"/>
          <w:szCs w:val="24"/>
        </w:rPr>
        <w:t>, assess any issues with item functioning, and e</w:t>
      </w:r>
      <w:r w:rsidR="002D5636">
        <w:rPr>
          <w:sz w:val="24"/>
          <w:szCs w:val="24"/>
        </w:rPr>
        <w:t>stablish its psychometrics</w:t>
      </w:r>
      <w:r w:rsidR="0057087C" w:rsidRPr="00007CEE">
        <w:rPr>
          <w:sz w:val="24"/>
          <w:szCs w:val="24"/>
        </w:rPr>
        <w:t>.</w:t>
      </w:r>
      <w:r w:rsidR="00496F64" w:rsidRPr="00007CEE">
        <w:rPr>
          <w:sz w:val="24"/>
          <w:szCs w:val="24"/>
        </w:rPr>
        <w:t xml:space="preserve"> Psychometric analyses </w:t>
      </w:r>
      <w:r w:rsidR="00476C50" w:rsidRPr="00007CEE">
        <w:rPr>
          <w:sz w:val="24"/>
          <w:szCs w:val="24"/>
        </w:rPr>
        <w:t xml:space="preserve">of the pilot data </w:t>
      </w:r>
      <w:r w:rsidR="00496F64" w:rsidRPr="00007CEE">
        <w:rPr>
          <w:sz w:val="24"/>
          <w:szCs w:val="24"/>
        </w:rPr>
        <w:t xml:space="preserve">will involve an examination of item-level non-response and variability. </w:t>
      </w:r>
      <w:r w:rsidR="00E53DC9" w:rsidRPr="00007CEE">
        <w:rPr>
          <w:sz w:val="24"/>
          <w:szCs w:val="24"/>
        </w:rPr>
        <w:t>After the pilot survey has been conducted, we will conduct psychometric analyses based on th</w:t>
      </w:r>
      <w:r w:rsidR="00E53DC9" w:rsidRPr="00E401F2">
        <w:rPr>
          <w:sz w:val="24"/>
          <w:szCs w:val="24"/>
        </w:rPr>
        <w:t>e item responses to identify the most important and appropriate items for each care coordination domain identified in the conceptual framework</w:t>
      </w:r>
      <w:r w:rsidR="00E401F2">
        <w:rPr>
          <w:sz w:val="24"/>
          <w:szCs w:val="24"/>
        </w:rPr>
        <w:t xml:space="preserve"> and formative research with consumers</w:t>
      </w:r>
      <w:r w:rsidR="00E53DC9" w:rsidRPr="00E401F2">
        <w:rPr>
          <w:sz w:val="24"/>
          <w:szCs w:val="24"/>
        </w:rPr>
        <w:t xml:space="preserve">. The analyses will be conducted using the classical factor analysis approach, which is the CAHPS standard. The </w:t>
      </w:r>
      <w:r w:rsidR="00086BC4">
        <w:rPr>
          <w:sz w:val="24"/>
          <w:szCs w:val="24"/>
        </w:rPr>
        <w:t>analyses</w:t>
      </w:r>
      <w:r w:rsidR="00E53DC9" w:rsidRPr="00E401F2">
        <w:rPr>
          <w:sz w:val="24"/>
          <w:szCs w:val="24"/>
        </w:rPr>
        <w:t xml:space="preserve"> will include the following components—</w:t>
      </w:r>
    </w:p>
    <w:p w:rsidR="00E53DC9" w:rsidRPr="00E401F2" w:rsidRDefault="00E53DC9" w:rsidP="00E53DC9">
      <w:pPr>
        <w:pStyle w:val="CCBullet1"/>
      </w:pPr>
      <w:r w:rsidRPr="00E401F2">
        <w:t xml:space="preserve">Item </w:t>
      </w:r>
      <w:r w:rsidR="00BF1B9E">
        <w:t>f</w:t>
      </w:r>
      <w:r w:rsidRPr="00E401F2">
        <w:t xml:space="preserve">unctioning </w:t>
      </w:r>
      <w:r w:rsidR="00BF1B9E">
        <w:t>a</w:t>
      </w:r>
      <w:r w:rsidRPr="00E401F2">
        <w:t>nalysis</w:t>
      </w:r>
    </w:p>
    <w:p w:rsidR="00E53DC9" w:rsidRPr="00FD1E36" w:rsidRDefault="00E53DC9" w:rsidP="00E53DC9">
      <w:pPr>
        <w:pStyle w:val="CCBullet1"/>
      </w:pPr>
      <w:r w:rsidRPr="00FD1E36">
        <w:t>Confirmatory Factor Analysis</w:t>
      </w:r>
    </w:p>
    <w:p w:rsidR="00E53DC9" w:rsidRPr="00FD1E36" w:rsidRDefault="00E53DC9" w:rsidP="00E53DC9">
      <w:pPr>
        <w:pStyle w:val="CCBullet1"/>
      </w:pPr>
      <w:r w:rsidRPr="00FD1E36">
        <w:t>Exploratory Factor Analysis</w:t>
      </w:r>
    </w:p>
    <w:p w:rsidR="00E53DC9" w:rsidRPr="00FD1E36" w:rsidRDefault="00E53DC9" w:rsidP="00BF1B9E">
      <w:pPr>
        <w:pStyle w:val="CCBullet1"/>
      </w:pPr>
      <w:r w:rsidRPr="00FD1E36">
        <w:t>Test of the Reliability of the Survey</w:t>
      </w:r>
    </w:p>
    <w:p w:rsidR="00E53DC9" w:rsidRPr="00FD1E36" w:rsidRDefault="00E53DC9" w:rsidP="00BF1B9E">
      <w:pPr>
        <w:pStyle w:val="CCBullet1"/>
      </w:pPr>
      <w:r w:rsidRPr="00FD1E36">
        <w:t xml:space="preserve">Scoring of the Composites </w:t>
      </w:r>
    </w:p>
    <w:p w:rsidR="00E53DC9" w:rsidRPr="00FD1E36" w:rsidRDefault="00E53DC9" w:rsidP="00E53DC9">
      <w:pPr>
        <w:pStyle w:val="CCBullet1"/>
      </w:pPr>
      <w:r w:rsidRPr="00FD1E36">
        <w:t xml:space="preserve">Evaluation of the </w:t>
      </w:r>
      <w:r w:rsidR="00BF1B9E">
        <w:t>r</w:t>
      </w:r>
      <w:r w:rsidRPr="00FD1E36">
        <w:t>eliability,</w:t>
      </w:r>
      <w:r w:rsidR="00BF1B9E">
        <w:t xml:space="preserve"> v</w:t>
      </w:r>
      <w:r w:rsidRPr="00FD1E36">
        <w:t xml:space="preserve">alidity, and </w:t>
      </w:r>
      <w:r w:rsidR="00BF1B9E">
        <w:t>v</w:t>
      </w:r>
      <w:r w:rsidRPr="00FD1E36">
        <w:t xml:space="preserve">ariability of the </w:t>
      </w:r>
      <w:r w:rsidR="00BF1B9E">
        <w:t>c</w:t>
      </w:r>
      <w:r w:rsidRPr="00FD1E36">
        <w:t xml:space="preserve">omposite and </w:t>
      </w:r>
      <w:r w:rsidR="00BF1B9E">
        <w:t>any s</w:t>
      </w:r>
      <w:r w:rsidRPr="00FD1E36">
        <w:t>ingle-</w:t>
      </w:r>
      <w:r w:rsidR="00BF1B9E">
        <w:t>i</w:t>
      </w:r>
      <w:r w:rsidRPr="00FD1E36">
        <w:t>tem Scores</w:t>
      </w:r>
    </w:p>
    <w:p w:rsidR="00C21DE2" w:rsidRDefault="00C21DE2" w:rsidP="009D58CF">
      <w:pPr>
        <w:pStyle w:val="CCBullet1Last"/>
        <w:spacing w:after="240"/>
      </w:pPr>
      <w:r w:rsidRPr="001066D5">
        <w:t>Case mix adjustment (if the data indicate this is needed).</w:t>
      </w:r>
    </w:p>
    <w:p w:rsidR="00804352" w:rsidRDefault="00804352" w:rsidP="009D58CF">
      <w:pPr>
        <w:pStyle w:val="BodyText"/>
        <w:spacing w:after="240"/>
        <w:ind w:firstLine="0"/>
      </w:pPr>
      <w:r w:rsidRPr="00FD1E36">
        <w:t xml:space="preserve">Each of these components is described in </w:t>
      </w:r>
      <w:r>
        <w:t>subsequent sections</w:t>
      </w:r>
      <w:r w:rsidRPr="00FD1E36">
        <w:t>.</w:t>
      </w:r>
    </w:p>
    <w:p w:rsidR="00BF1B9E" w:rsidRDefault="00BF1B9E" w:rsidP="009D58CF">
      <w:pPr>
        <w:pStyle w:val="BodyText"/>
        <w:spacing w:after="240"/>
        <w:ind w:firstLine="0"/>
      </w:pPr>
      <w:r>
        <w:t xml:space="preserve">A secondary goal of the information collection is to collect information </w:t>
      </w:r>
      <w:r w:rsidR="00DE10EC">
        <w:t xml:space="preserve">from practices about their philosophies and engagement in processes of care that are more or less aligned with the principles of the medical home model. The planned analysis for examining the MHI-LV in relation to </w:t>
      </w:r>
      <w:r w:rsidR="00451293">
        <w:t xml:space="preserve">CCQM-PC will involve, at minimum, comparison of patients’ </w:t>
      </w:r>
      <w:r w:rsidR="00DE10EC">
        <w:t>CCQM-PC</w:t>
      </w:r>
      <w:r w:rsidR="00451293">
        <w:t xml:space="preserve"> scores for practices that self-assess as low vs. high on MHI-LV overall and/or domain scores. We do not know what the distribution of MHI-LV scores will be among the selected practices, thus we may restrict the analysis to practices in the top or bottom third relative to other included practices</w:t>
      </w:r>
      <w:r w:rsidR="00804352">
        <w:t>, particularly if there appear to be clusters of practices at the top or bottom of the scoring range</w:t>
      </w:r>
      <w:r w:rsidR="00451293">
        <w:t xml:space="preserve">. Of primary interest in this analysis is whether patient-reported experiences of care coordination vary </w:t>
      </w:r>
      <w:r w:rsidR="00804352">
        <w:t>in ways that would be e</w:t>
      </w:r>
      <w:r w:rsidR="00451293">
        <w:t xml:space="preserve">xpected </w:t>
      </w:r>
      <w:r w:rsidR="00804352">
        <w:t xml:space="preserve">among </w:t>
      </w:r>
      <w:r w:rsidR="00451293">
        <w:t xml:space="preserve">practices </w:t>
      </w:r>
      <w:r w:rsidR="00804352">
        <w:t xml:space="preserve">that have more or </w:t>
      </w:r>
      <w:r w:rsidR="00784F1D">
        <w:t xml:space="preserve">fewer </w:t>
      </w:r>
      <w:r w:rsidR="00804352">
        <w:t xml:space="preserve">processes of care in place that are conducive to supporting care coordination and high quality care. </w:t>
      </w:r>
      <w:r w:rsidR="006C0079">
        <w:tab/>
      </w:r>
    </w:p>
    <w:p w:rsidR="00E53DC9" w:rsidRPr="00F64EF3" w:rsidRDefault="00E53DC9" w:rsidP="009D58CF">
      <w:pPr>
        <w:pStyle w:val="BodyText"/>
        <w:spacing w:after="240"/>
        <w:ind w:firstLine="720"/>
        <w:rPr>
          <w:szCs w:val="24"/>
        </w:rPr>
      </w:pPr>
      <w:bookmarkStart w:id="22" w:name="_Toc366678762"/>
      <w:r w:rsidRPr="006C0079">
        <w:rPr>
          <w:i/>
          <w:u w:val="single"/>
        </w:rPr>
        <w:t>Item Functioning Analysis.</w:t>
      </w:r>
      <w:bookmarkEnd w:id="22"/>
      <w:r w:rsidRPr="006C0079">
        <w:t xml:space="preserve"> </w:t>
      </w:r>
      <w:r w:rsidRPr="00F64EF3">
        <w:t>Item-functioning analysis involves calculating the rate of occurrence of various survey item dispositions, including assessments of respondents’ ability to follow any skip patterns in the survey (i.e., what proportion of respondents skip items they are supposed to skip, versus those who fail to skip items they are supposed to skip), and the rate of item nonresponse (when patients fail to respond to items they are eligible to answer).</w:t>
      </w:r>
      <w:r w:rsidRPr="00F64EF3">
        <w:rPr>
          <w:szCs w:val="24"/>
        </w:rPr>
        <w:t xml:space="preserve"> </w:t>
      </w:r>
    </w:p>
    <w:p w:rsidR="00E53DC9" w:rsidRPr="00F64EF3" w:rsidRDefault="00E53DC9" w:rsidP="009D58CF">
      <w:pPr>
        <w:pStyle w:val="BodyText"/>
        <w:spacing w:after="240"/>
        <w:ind w:firstLine="0"/>
      </w:pPr>
      <w:r w:rsidRPr="00F64EF3">
        <w:t xml:space="preserve">The goal of the item functioning analysis is to identify any survey questions that may have been confusing or burdensome to respondents by flagging items with high rates of nonresponse and identifying areas of the survey where skip instructions were not correctly followed. When correlated with participant characteristics or experience, high rates of nonresponse can potentially bias the survey results. Inordinate rates of nonresponse to a question suggest that the </w:t>
      </w:r>
      <w:r w:rsidRPr="00F64EF3">
        <w:lastRenderedPageBreak/>
        <w:t xml:space="preserve">question was poorly understood by respondents (who skipped the item because they were not sure how to reply), that the item did not apply to the respondent, or that the item asked for sensitive information that respondents may have been unwilling to give. Failure to follow skip instructions can suggest that those instructions were unclear or inappropriate (and thus the respondent ignored or chose not to follow the instructions), or that the format of the survey made it difficult for respondents to understand the skip instructions (and thus they were unable to follow the skip instructions). </w:t>
      </w:r>
    </w:p>
    <w:p w:rsidR="00E53DC9" w:rsidRDefault="00E53DC9" w:rsidP="009D58CF">
      <w:pPr>
        <w:pStyle w:val="BodyText"/>
        <w:spacing w:after="240"/>
        <w:ind w:firstLine="0"/>
      </w:pPr>
      <w:r w:rsidRPr="00F64EF3">
        <w:t>The item functioning analysis will be conducted at both the item level and the respondent level. The former is used to identify problem items, while the latter is designed to identify respondents who might have had problems completing the survey.</w:t>
      </w:r>
    </w:p>
    <w:p w:rsidR="00E53DC9" w:rsidRPr="00727E9B" w:rsidRDefault="00E53DC9" w:rsidP="009D58CF">
      <w:pPr>
        <w:pStyle w:val="BodyText"/>
        <w:spacing w:after="240"/>
        <w:ind w:firstLine="720"/>
      </w:pPr>
      <w:bookmarkStart w:id="23" w:name="_Toc366678763"/>
      <w:r w:rsidRPr="006C0079">
        <w:rPr>
          <w:i/>
          <w:u w:val="single"/>
        </w:rPr>
        <w:t>Confirmatory Factor Analysis.</w:t>
      </w:r>
      <w:bookmarkEnd w:id="23"/>
      <w:r w:rsidRPr="006C0079">
        <w:rPr>
          <w:i/>
          <w:u w:val="single"/>
        </w:rPr>
        <w:t xml:space="preserve"> </w:t>
      </w:r>
      <w:r w:rsidRPr="00727E9B">
        <w:t xml:space="preserve">A confirmatory factor analysis </w:t>
      </w:r>
      <w:r>
        <w:t xml:space="preserve">(CFA) </w:t>
      </w:r>
      <w:r w:rsidRPr="00727E9B">
        <w:t>involves explicitly testing the full set of linkages between survey items and the latent constructs to which they are thought to belong. The latent constructs (i.e., domains or factors), the items, the loadings of the items on the factors, and any correlations among items and among factors are collectively referred to as the hypothesized factor structure.</w:t>
      </w:r>
      <w:r>
        <w:t xml:space="preserve"> </w:t>
      </w:r>
      <w:r w:rsidRPr="00727E9B">
        <w:t>The domain-item map will inform this hypothesized factor structure. We will test the fidelity of observed question responses to this conceptual model by conducting CFA using structural equation modeling (SEM)</w:t>
      </w:r>
      <w:r w:rsidRPr="00D713FC">
        <w:rPr>
          <w:vertAlign w:val="superscript"/>
        </w:rPr>
        <w:endnoteReference w:id="10"/>
      </w:r>
      <w:r w:rsidRPr="00F7674B">
        <w:rPr>
          <w:vertAlign w:val="superscript"/>
        </w:rPr>
        <w:t xml:space="preserve">, </w:t>
      </w:r>
      <w:r w:rsidRPr="00727E9B">
        <w:rPr>
          <w:vertAlign w:val="superscript"/>
        </w:rPr>
        <w:endnoteReference w:id="11"/>
      </w:r>
      <w:r w:rsidRPr="00727E9B">
        <w:t xml:space="preserve">. </w:t>
      </w:r>
    </w:p>
    <w:p w:rsidR="00E53DC9" w:rsidRPr="00727E9B" w:rsidRDefault="00E53DC9" w:rsidP="009D58CF">
      <w:pPr>
        <w:pStyle w:val="BodyText"/>
        <w:spacing w:after="240"/>
        <w:ind w:firstLine="0"/>
      </w:pPr>
      <w:r w:rsidRPr="00727E9B">
        <w:t xml:space="preserve">With large samples, even trivial departures from the specified model may be statistically rejected; therefore, it is customary to use practical fit indices to evaluate the hypothesized model. Specifically, we rely on the comparative fit index (CFI) and non-normed fit index (NNFI) along with the standardized root mean square residual (RMSEA) </w:t>
      </w:r>
      <w:r w:rsidRPr="00D90A22">
        <w:rPr>
          <w:vertAlign w:val="superscript"/>
        </w:rPr>
        <w:endnoteReference w:id="12"/>
      </w:r>
      <w:r w:rsidRPr="00D713FC">
        <w:rPr>
          <w:vertAlign w:val="superscript"/>
        </w:rPr>
        <w:t>,</w:t>
      </w:r>
      <w:r w:rsidRPr="00727E9B">
        <w:rPr>
          <w:vertAlign w:val="superscript"/>
        </w:rPr>
        <w:endnoteReference w:id="13"/>
      </w:r>
      <w:r w:rsidRPr="00D713FC">
        <w:rPr>
          <w:vertAlign w:val="superscript"/>
        </w:rPr>
        <w:t>,</w:t>
      </w:r>
      <w:r w:rsidRPr="00727E9B">
        <w:rPr>
          <w:vertAlign w:val="superscript"/>
        </w:rPr>
        <w:endnoteReference w:id="14"/>
      </w:r>
      <w:r w:rsidRPr="00727E9B">
        <w:t>. The CFI and NNFI compare the fit of the specified model to that of a model which specifies no covariation (the null model). Both indices run from a value of “0” (no relationship between the predicted and observed correlation matrix) to “1.0” (the predicted correlation matrix is identical to the observed). The NNFI, also known as the Taylor-Lewis Index (TLI)</w:t>
      </w:r>
      <w:r>
        <w:t>,</w:t>
      </w:r>
      <w:r w:rsidRPr="00727E9B">
        <w:t xml:space="preserve"> includes a greater correction for the number of parameters in the model (analogous to an adjusted R2) than the CFI. The RMSEA is the amount of variance that is not predicted by the model and has associated confidence intervals (which the CFI and NNFI do not). A CFI and NNFI less than 0.90 and an RMSEA greater than 0.10 indicate that the hypothesized model may not be the best description of the data. Excellent fit of the model to the data is considered if the CFI and NNFI are equal to or greater than 0.95 and the RMSEA </w:t>
      </w:r>
      <w:r>
        <w:t>is equal to or less than 0.06.</w:t>
      </w:r>
    </w:p>
    <w:p w:rsidR="00804352" w:rsidRDefault="00E53DC9" w:rsidP="009D58CF">
      <w:pPr>
        <w:pStyle w:val="BodyText"/>
        <w:spacing w:after="240"/>
        <w:ind w:firstLine="0"/>
      </w:pPr>
      <w:r w:rsidRPr="00727E9B">
        <w:t>CAHPS surveys typically contain at least some structured missing data, which results from patients skipping questions that do not apply to their experiences</w:t>
      </w:r>
      <w:r w:rsidR="00E401F2">
        <w:t xml:space="preserve">. Alternatively, they may respond to a tailored “not applicable” option written into specific items. </w:t>
      </w:r>
      <w:r w:rsidR="00804352">
        <w:t>W</w:t>
      </w:r>
      <w:r w:rsidR="00804352" w:rsidRPr="00727E9B">
        <w:t>e will conduct the CFA using Mplus, which implements a pair-wise deletion of missing values and uses the appropriate poly- and tetrachoric correlations as input. This eliminates the need for imputation and uses a more appropriate input for the modeling</w:t>
      </w:r>
      <w:r w:rsidR="00804352">
        <w:t xml:space="preserve"> than other programs do</w:t>
      </w:r>
      <w:r w:rsidR="00804352" w:rsidRPr="00727E9B">
        <w:t>.</w:t>
      </w:r>
    </w:p>
    <w:p w:rsidR="00224CB0" w:rsidRDefault="00E53DC9" w:rsidP="009D58CF">
      <w:pPr>
        <w:pStyle w:val="BodyText"/>
        <w:spacing w:after="240"/>
        <w:ind w:firstLine="720"/>
      </w:pPr>
      <w:bookmarkStart w:id="24" w:name="_Toc366678764"/>
      <w:r w:rsidRPr="006C0079">
        <w:rPr>
          <w:i/>
          <w:u w:val="single"/>
        </w:rPr>
        <w:t>Exploratory Factor Analysis.</w:t>
      </w:r>
      <w:bookmarkEnd w:id="24"/>
      <w:r w:rsidRPr="004023B6">
        <w:t xml:space="preserve"> It is often the case in CAHPS surveys that the observed data do not fit the hypothesized factor structure. If this is the case with the </w:t>
      </w:r>
      <w:r w:rsidR="001F3338">
        <w:t>CCQM-PC</w:t>
      </w:r>
      <w:r w:rsidRPr="004023B6">
        <w:t xml:space="preserve">, we will conduct an exploratory factor analysis </w:t>
      </w:r>
      <w:r>
        <w:t xml:space="preserve">(EFA) </w:t>
      </w:r>
      <w:r w:rsidRPr="004023B6">
        <w:t xml:space="preserve">to identify the underlying factor structure in the data. The EFA will use the principal factor method with squared multiple correlations as initial-communality estimates and oblique rotation (promax) with Kaiser normalization. The number of </w:t>
      </w:r>
      <w:r w:rsidRPr="004023B6">
        <w:lastRenderedPageBreak/>
        <w:t>factors will be determined by parallel analysis</w:t>
      </w:r>
      <w:r w:rsidRPr="004023B6">
        <w:rPr>
          <w:vertAlign w:val="superscript"/>
        </w:rPr>
        <w:endnoteReference w:id="15"/>
      </w:r>
      <w:r w:rsidRPr="004023B6">
        <w:t xml:space="preserve"> as well as the interpretability of the rotated-factor-pattern matrix </w:t>
      </w:r>
      <w:r w:rsidRPr="004023B6">
        <w:rPr>
          <w:vertAlign w:val="superscript"/>
        </w:rPr>
        <w:endnoteReference w:id="16"/>
      </w:r>
      <w:r w:rsidRPr="004023B6">
        <w:t>). Items will be assigned to a factor that have standardized-regression coefficients greater than 0.40 following Stevens</w:t>
      </w:r>
      <w:r w:rsidRPr="004023B6">
        <w:rPr>
          <w:vertAlign w:val="superscript"/>
        </w:rPr>
        <w:endnoteReference w:id="17"/>
      </w:r>
      <w:r w:rsidRPr="004023B6">
        <w:t xml:space="preserve"> and no coefficients on secondary factors that differ from the primary factor by less than 0.20.</w:t>
      </w:r>
    </w:p>
    <w:p w:rsidR="00E53DC9" w:rsidRPr="004023B6" w:rsidRDefault="00E53DC9" w:rsidP="009D58CF">
      <w:pPr>
        <w:pStyle w:val="BodyText"/>
        <w:spacing w:after="240"/>
        <w:ind w:firstLine="0"/>
        <w:rPr>
          <w:rFonts w:cstheme="minorHAnsi"/>
        </w:rPr>
      </w:pPr>
      <w:r w:rsidRPr="004023B6">
        <w:rPr>
          <w:rFonts w:cstheme="minorHAnsi"/>
        </w:rPr>
        <w:t xml:space="preserve">Alternative factor structures will be hypothesized using information from the EFA, as well as input from the analysis team and AHRQ regarding the face validity of the factors in the alternative structures. We will test all alternative structures using CFA. If multiple structures display a good fit to the data, we will rely on reliability and validity analyses to help determine the final factor structure (see below). </w:t>
      </w:r>
    </w:p>
    <w:p w:rsidR="00224CB0" w:rsidRDefault="00E53DC9" w:rsidP="009D58CF">
      <w:pPr>
        <w:pStyle w:val="BodyText"/>
        <w:spacing w:after="240"/>
        <w:ind w:firstLine="720"/>
        <w:rPr>
          <w:rFonts w:eastAsia="Calibri" w:cstheme="minorHAnsi"/>
          <w:szCs w:val="24"/>
        </w:rPr>
      </w:pPr>
      <w:bookmarkStart w:id="25" w:name="_Toc366678765"/>
      <w:r w:rsidRPr="006C0079">
        <w:rPr>
          <w:i/>
          <w:u w:val="single"/>
        </w:rPr>
        <w:t>Test of the Reliability of the Survey.</w:t>
      </w:r>
      <w:bookmarkEnd w:id="25"/>
      <w:r w:rsidRPr="004023B6">
        <w:rPr>
          <w:rFonts w:cstheme="minorHAnsi"/>
          <w:b/>
          <w:bCs/>
        </w:rPr>
        <w:t xml:space="preserve"> </w:t>
      </w:r>
      <w:r w:rsidRPr="006E136B">
        <w:rPr>
          <w:rFonts w:cstheme="minorHAnsi"/>
        </w:rPr>
        <w:t>One of the primary purposes of a CAHPS survey is to be able to detect varia</w:t>
      </w:r>
      <w:r w:rsidRPr="006111F4">
        <w:rPr>
          <w:rFonts w:cstheme="minorHAnsi"/>
        </w:rPr>
        <w:t xml:space="preserve">bility across reporting units. Even though the </w:t>
      </w:r>
      <w:r w:rsidR="001F3338">
        <w:rPr>
          <w:rFonts w:cstheme="minorHAnsi"/>
        </w:rPr>
        <w:t xml:space="preserve">CCQM-PC </w:t>
      </w:r>
      <w:r w:rsidRPr="006111F4">
        <w:rPr>
          <w:rFonts w:cstheme="minorHAnsi"/>
        </w:rPr>
        <w:t xml:space="preserve">will not </w:t>
      </w:r>
      <w:r w:rsidR="0077442F">
        <w:rPr>
          <w:rFonts w:cstheme="minorHAnsi"/>
        </w:rPr>
        <w:t xml:space="preserve">pursue the CAHPS® trademark, it </w:t>
      </w:r>
      <w:r w:rsidRPr="006E136B">
        <w:rPr>
          <w:rFonts w:cstheme="minorHAnsi"/>
        </w:rPr>
        <w:t>is still relevant</w:t>
      </w:r>
      <w:r w:rsidR="0077442F">
        <w:rPr>
          <w:rFonts w:cstheme="minorHAnsi"/>
        </w:rPr>
        <w:t xml:space="preserve"> to understand how care coordination differs among the units—in this case, primary care practices—because a range of practice types and ownership models will be included in the pilot</w:t>
      </w:r>
      <w:r w:rsidRPr="006E136B">
        <w:rPr>
          <w:rFonts w:cstheme="minorHAnsi"/>
        </w:rPr>
        <w:t xml:space="preserve">. </w:t>
      </w:r>
      <w:r w:rsidR="0077442F">
        <w:rPr>
          <w:rFonts w:cstheme="minorHAnsi"/>
        </w:rPr>
        <w:t xml:space="preserve">The practices vary on many characteristics that past research has shown to be associated with capacity for quality improvement and practice redesign (e.g, practice size, ownership status). </w:t>
      </w:r>
      <w:r w:rsidRPr="006E136B">
        <w:rPr>
          <w:rFonts w:cstheme="minorHAnsi"/>
        </w:rPr>
        <w:t xml:space="preserve">Thus, one of the major goals for the composites and other survey items from this measure is to be able to discriminate across </w:t>
      </w:r>
      <w:r w:rsidR="001F3338">
        <w:rPr>
          <w:rFonts w:cstheme="minorHAnsi"/>
        </w:rPr>
        <w:t>PCPs</w:t>
      </w:r>
      <w:r w:rsidRPr="006E136B">
        <w:rPr>
          <w:rFonts w:cstheme="minorHAnsi"/>
        </w:rPr>
        <w:t>. This ability is referred to as unit-level reliability, and there are two statistics used to assess this reliability. One is a measure of inter-unit reliability (IUR) based on the F-statistic from an analysis of variance (ANOVA). The IUR is equal to F-1/F; it can also be calculated as the between-unit variance minus the within-unit variance over the between-unit varianc</w:t>
      </w:r>
      <w:r>
        <w:rPr>
          <w:rFonts w:cstheme="minorHAnsi"/>
        </w:rPr>
        <w:t>e.</w:t>
      </w:r>
      <w:r w:rsidRPr="006E136B">
        <w:rPr>
          <w:rStyle w:val="EndnoteReference"/>
          <w:rFonts w:cstheme="minorHAnsi"/>
        </w:rPr>
        <w:endnoteReference w:id="18"/>
      </w:r>
      <w:r w:rsidRPr="00D81A61">
        <w:rPr>
          <w:rFonts w:cstheme="minorHAnsi"/>
          <w:vertAlign w:val="superscript"/>
        </w:rPr>
        <w:t xml:space="preserve">, </w:t>
      </w:r>
      <w:r>
        <w:rPr>
          <w:rStyle w:val="EndnoteReference"/>
          <w:rFonts w:cstheme="minorHAnsi"/>
        </w:rPr>
        <w:endnoteReference w:id="19"/>
      </w:r>
      <w:r w:rsidRPr="006E136B">
        <w:rPr>
          <w:rFonts w:cstheme="minorHAnsi"/>
        </w:rPr>
        <w:t xml:space="preserve"> The other measure is the intra-class correlation (ICC), </w:t>
      </w:r>
      <w:r w:rsidRPr="006E136B">
        <w:rPr>
          <w:rFonts w:eastAsia="Calibri" w:cstheme="minorHAnsi"/>
          <w:szCs w:val="24"/>
        </w:rPr>
        <w:t>which is also calculated using statistics produced by an ANOVA. The ICC is the between-unit variance minus the within-unit variance over the total variance adjusted for the average number of respondents per reporting unit.</w:t>
      </w:r>
      <w:r w:rsidRPr="006E136B">
        <w:rPr>
          <w:rStyle w:val="EndnoteReference"/>
          <w:rFonts w:eastAsia="Calibri" w:cstheme="minorHAnsi"/>
          <w:szCs w:val="24"/>
        </w:rPr>
        <w:endnoteReference w:id="20"/>
      </w:r>
      <w:r w:rsidRPr="006E136B">
        <w:rPr>
          <w:rFonts w:eastAsia="Calibri" w:cstheme="minorHAnsi"/>
          <w:szCs w:val="24"/>
        </w:rPr>
        <w:t xml:space="preserve"> </w:t>
      </w:r>
    </w:p>
    <w:p w:rsidR="00E53DC9" w:rsidRPr="006E136B" w:rsidRDefault="00E53DC9" w:rsidP="009D58CF">
      <w:pPr>
        <w:pStyle w:val="BodyText"/>
        <w:spacing w:after="240"/>
        <w:ind w:firstLine="0"/>
      </w:pPr>
      <w:r w:rsidRPr="006E136B">
        <w:rPr>
          <w:rFonts w:eastAsia="Calibri"/>
          <w:szCs w:val="24"/>
        </w:rPr>
        <w:t>The</w:t>
      </w:r>
      <w:r w:rsidRPr="006E136B">
        <w:t xml:space="preserve"> IUR provides the reliability based on the sample size associated with the data, while the ICC indicates the reliability of a measure for a single respondent. Scales with reliability coefficients above 0.70 provide adequate precision for use in statistical analysis of group-level comparisons.</w:t>
      </w:r>
      <w:r w:rsidRPr="006E136B">
        <w:rPr>
          <w:vertAlign w:val="superscript"/>
        </w:rPr>
        <w:endnoteReference w:id="21"/>
      </w:r>
    </w:p>
    <w:p w:rsidR="00E53DC9" w:rsidRPr="006E136B" w:rsidRDefault="00E53DC9" w:rsidP="009D58CF">
      <w:pPr>
        <w:pStyle w:val="BodyText"/>
        <w:spacing w:after="240"/>
        <w:ind w:firstLine="0"/>
      </w:pPr>
      <w:r w:rsidRPr="009D2D5D">
        <w:t>In addition, using the ICC and the Spearman-Brown prophecy formula,</w:t>
      </w:r>
      <w:r w:rsidRPr="009D2D5D">
        <w:rPr>
          <w:rStyle w:val="EndnoteReference"/>
          <w:rFonts w:eastAsia="Calibri" w:cstheme="minorHAnsi"/>
          <w:szCs w:val="24"/>
        </w:rPr>
        <w:endnoteReference w:id="22"/>
      </w:r>
      <w:r w:rsidRPr="009D2D5D">
        <w:rPr>
          <w:vertAlign w:val="superscript"/>
        </w:rPr>
        <w:t>,</w:t>
      </w:r>
      <w:r w:rsidRPr="009D2D5D">
        <w:rPr>
          <w:rStyle w:val="EndnoteReference"/>
        </w:rPr>
        <w:endnoteReference w:id="23"/>
      </w:r>
      <w:r w:rsidRPr="009D2D5D">
        <w:t xml:space="preserve"> and adjusting for</w:t>
      </w:r>
      <w:r w:rsidRPr="006E136B">
        <w:t xml:space="preserve"> the item-level response rates due to skip instructions, we can estimate the number of complete responses, as well as the total effective sample size, needed for a composite or item to yield an acceptable IUR. </w:t>
      </w:r>
    </w:p>
    <w:p w:rsidR="00224CB0" w:rsidRDefault="00E53DC9" w:rsidP="009D58CF">
      <w:pPr>
        <w:pStyle w:val="BodyText"/>
        <w:spacing w:after="240"/>
        <w:ind w:firstLine="720"/>
      </w:pPr>
      <w:bookmarkStart w:id="26" w:name="_Toc366678766"/>
      <w:r w:rsidRPr="006C0079">
        <w:rPr>
          <w:i/>
          <w:u w:val="single"/>
        </w:rPr>
        <w:t>Determination of Composite- and Single-item Scores</w:t>
      </w:r>
      <w:bookmarkEnd w:id="26"/>
      <w:r w:rsidRPr="006C0079">
        <w:rPr>
          <w:i/>
          <w:u w:val="single"/>
        </w:rPr>
        <w:t>.</w:t>
      </w:r>
      <w:r w:rsidRPr="00DA163D">
        <w:t xml:space="preserve"> Items assigned to factors based on the results of factor analysis will comprise multi-item composite measures. Those items that do not relate to any of the composites may be retained in the survey as single-item measures depending on their importance </w:t>
      </w:r>
      <w:r w:rsidR="006A344A">
        <w:t>to</w:t>
      </w:r>
      <w:r w:rsidRPr="00DA163D">
        <w:t xml:space="preserve"> </w:t>
      </w:r>
      <w:r w:rsidR="001F3338">
        <w:t xml:space="preserve">AHRQ, its contractors, the stakeholder panel, </w:t>
      </w:r>
      <w:r w:rsidRPr="00DA163D">
        <w:t xml:space="preserve">and </w:t>
      </w:r>
      <w:r w:rsidR="006A344A">
        <w:t>prior</w:t>
      </w:r>
      <w:r w:rsidRPr="00DA163D">
        <w:t xml:space="preserve"> qualitative analysis and public comments. In calculating composite scores, we </w:t>
      </w:r>
      <w:r w:rsidR="0077442F">
        <w:t xml:space="preserve">will </w:t>
      </w:r>
      <w:r w:rsidRPr="00DA163D">
        <w:t>use the CAHPS Analysis Program.</w:t>
      </w:r>
      <w:r w:rsidRPr="00DC128B">
        <w:rPr>
          <w:vertAlign w:val="superscript"/>
        </w:rPr>
        <w:footnoteReference w:id="1"/>
      </w:r>
      <w:r w:rsidRPr="00DA163D">
        <w:t xml:space="preserve"> </w:t>
      </w:r>
    </w:p>
    <w:p w:rsidR="00E53DC9" w:rsidRPr="00D1657C" w:rsidRDefault="009D58CF" w:rsidP="00D1657C">
      <w:pPr>
        <w:rPr>
          <w:sz w:val="24"/>
        </w:rPr>
      </w:pPr>
      <w:r>
        <w:br w:type="page"/>
      </w:r>
      <w:r w:rsidR="00E53DC9" w:rsidRPr="00D1657C">
        <w:rPr>
          <w:sz w:val="24"/>
        </w:rPr>
        <w:lastRenderedPageBreak/>
        <w:t xml:space="preserve">The CAHPS Analysis Program provides a standardized way to— </w:t>
      </w:r>
    </w:p>
    <w:p w:rsidR="00E53DC9" w:rsidRPr="00C17F4D" w:rsidRDefault="00E53DC9" w:rsidP="00E53DC9">
      <w:pPr>
        <w:pStyle w:val="CCBullet1"/>
      </w:pPr>
      <w:r w:rsidRPr="00C17F4D">
        <w:t xml:space="preserve">Construct composite scores out of individual items </w:t>
      </w:r>
    </w:p>
    <w:p w:rsidR="00E53DC9" w:rsidRPr="00C17F4D" w:rsidRDefault="00E53DC9" w:rsidP="00E53DC9">
      <w:pPr>
        <w:pStyle w:val="CCBullet1"/>
      </w:pPr>
      <w:r w:rsidRPr="00C17F4D">
        <w:t xml:space="preserve">Adjust for case-mix </w:t>
      </w:r>
    </w:p>
    <w:p w:rsidR="00E53DC9" w:rsidRPr="00C17F4D" w:rsidRDefault="00E53DC9" w:rsidP="00E53DC9">
      <w:pPr>
        <w:pStyle w:val="CCBullet1"/>
      </w:pPr>
      <w:r w:rsidRPr="00C17F4D">
        <w:t xml:space="preserve">Estimate unit scores </w:t>
      </w:r>
    </w:p>
    <w:p w:rsidR="00E53DC9" w:rsidRPr="00C17F4D" w:rsidRDefault="00E53DC9" w:rsidP="00E53DC9">
      <w:pPr>
        <w:pStyle w:val="CCBullet1"/>
      </w:pPr>
      <w:r w:rsidRPr="00C17F4D">
        <w:t xml:space="preserve">Test the significance of unit rankings </w:t>
      </w:r>
    </w:p>
    <w:p w:rsidR="00E53DC9" w:rsidRPr="00C17F4D" w:rsidRDefault="00E53DC9" w:rsidP="00E53DC9">
      <w:pPr>
        <w:pStyle w:val="CCBullet1"/>
      </w:pPr>
      <w:r w:rsidRPr="00C17F4D">
        <w:t xml:space="preserve">Apply sampling weights </w:t>
      </w:r>
    </w:p>
    <w:p w:rsidR="00E53DC9" w:rsidRPr="00C17F4D" w:rsidRDefault="00E53DC9" w:rsidP="009D58CF">
      <w:pPr>
        <w:pStyle w:val="CCBullet1Last"/>
        <w:spacing w:after="240"/>
      </w:pPr>
      <w:r w:rsidRPr="00C17F4D">
        <w:t>Report unit-level quality results</w:t>
      </w:r>
      <w:r w:rsidR="00086BC4">
        <w:t>—in the case of the CCQM-PC, this would be the quality of care coordination perceived by patients within practices.</w:t>
      </w:r>
    </w:p>
    <w:p w:rsidR="00E53DC9" w:rsidRPr="00C17F4D" w:rsidRDefault="00E53DC9" w:rsidP="009D58CF">
      <w:pPr>
        <w:pStyle w:val="BodyText"/>
        <w:spacing w:after="240"/>
        <w:ind w:firstLine="0"/>
      </w:pPr>
      <w:r w:rsidRPr="00C17F4D">
        <w:t xml:space="preserve">The CAHPS Analysis Program generates output that can be used to calculate the performance of each </w:t>
      </w:r>
      <w:r w:rsidR="001F3338">
        <w:t xml:space="preserve">practice </w:t>
      </w:r>
      <w:r w:rsidRPr="00C17F4D">
        <w:t xml:space="preserve">and, where appropriate, show how a </w:t>
      </w:r>
      <w:r w:rsidR="001F3338">
        <w:t>practice</w:t>
      </w:r>
      <w:r w:rsidRPr="00C17F4D">
        <w:t xml:space="preserve">’s performance compares to the overall performance of other </w:t>
      </w:r>
      <w:r w:rsidR="00086BC4">
        <w:t>practices</w:t>
      </w:r>
      <w:r w:rsidRPr="00C17F4D">
        <w:t xml:space="preserve">. </w:t>
      </w:r>
    </w:p>
    <w:p w:rsidR="00E53DC9" w:rsidRDefault="00E53DC9" w:rsidP="009D58CF">
      <w:pPr>
        <w:pStyle w:val="BodyText"/>
        <w:spacing w:after="240"/>
        <w:ind w:firstLine="720"/>
      </w:pPr>
      <w:bookmarkStart w:id="27" w:name="_Toc366678767"/>
      <w:r w:rsidRPr="006C0079">
        <w:rPr>
          <w:i/>
          <w:u w:val="single"/>
        </w:rPr>
        <w:t>Evaluation of Reliability, Variability, and Validity of Composite Scores.</w:t>
      </w:r>
      <w:bookmarkEnd w:id="27"/>
      <w:r w:rsidRPr="001F3338">
        <w:rPr>
          <w:i/>
          <w:sz w:val="22"/>
        </w:rPr>
        <w:t xml:space="preserve"> </w:t>
      </w:r>
      <w:r w:rsidRPr="00C17F4D">
        <w:t xml:space="preserve">Internal-consistency reliability is a traditional method used to evaluate the amount of systematic variance among the items in a composite and is widely used and understood. We will provide estimates </w:t>
      </w:r>
      <w:r>
        <w:t xml:space="preserve">of </w:t>
      </w:r>
      <w:r w:rsidRPr="00C17F4D">
        <w:t>this reliability using Cronbach’s Alpha.</w:t>
      </w:r>
    </w:p>
    <w:p w:rsidR="00E53DC9" w:rsidRPr="00C17F4D" w:rsidRDefault="00E53DC9" w:rsidP="009D58CF">
      <w:pPr>
        <w:pStyle w:val="BodyText"/>
        <w:spacing w:after="240"/>
        <w:ind w:firstLine="0"/>
        <w:rPr>
          <w:rFonts w:cstheme="minorHAnsi"/>
        </w:rPr>
      </w:pPr>
      <w:r w:rsidRPr="00C17F4D">
        <w:rPr>
          <w:rFonts w:cstheme="minorHAnsi"/>
        </w:rPr>
        <w:t>Lack of variability in scores can attenuate validity coefficients and reduce the amount of information provided by the survey</w:t>
      </w:r>
      <w:r>
        <w:rPr>
          <w:rFonts w:cstheme="minorHAnsi"/>
        </w:rPr>
        <w:t>,</w:t>
      </w:r>
      <w:r w:rsidRPr="00C17F4D">
        <w:rPr>
          <w:rFonts w:cstheme="minorHAnsi"/>
        </w:rPr>
        <w:t xml:space="preserve"> so we evaluate the distributional properties of the scores. For variability, we are most interested in knowing the percentage of respondents with the highest (ceiling effect) and lowest (floor effect) possible scores. Ceiling and floor effects indicate the percentage of people for whom it would be impossible to assess improvement or decrement, respectively, over time. Composites or single items with high ceiling and/or floor effects should be considered for modification or deletion.</w:t>
      </w:r>
    </w:p>
    <w:p w:rsidR="00E53DC9" w:rsidRPr="00C17F4D" w:rsidRDefault="00E53DC9" w:rsidP="009D58CF">
      <w:pPr>
        <w:pStyle w:val="BodyText"/>
        <w:spacing w:after="240"/>
        <w:ind w:firstLine="0"/>
        <w:rPr>
          <w:rFonts w:cstheme="minorHAnsi"/>
        </w:rPr>
      </w:pPr>
      <w:r w:rsidRPr="00C17F4D">
        <w:rPr>
          <w:rFonts w:cstheme="minorHAnsi"/>
        </w:rPr>
        <w:t>Construct validity will be assessed using the multi-trait, multi-method approach. This approach entails comparing the correlations of items with their composite total (correcting for overlap</w:t>
      </w:r>
      <w:r w:rsidRPr="00C17F4D">
        <w:rPr>
          <w:rStyle w:val="EndnoteReference"/>
          <w:rFonts w:cstheme="minorHAnsi"/>
        </w:rPr>
        <w:endnoteReference w:id="24"/>
      </w:r>
      <w:r w:rsidRPr="00C17F4D">
        <w:rPr>
          <w:rFonts w:cstheme="minorHAnsi"/>
        </w:rPr>
        <w:t>) to the correlations of items with competing composites. The ‘scaling success’ statistic (an indicator of discriminant validity) is one of a number of pieces of evidence that bears on the construct validity of the proposed composites</w:t>
      </w:r>
      <w:r>
        <w:rPr>
          <w:rFonts w:cstheme="minorHAnsi"/>
        </w:rPr>
        <w:t>—</w:t>
      </w:r>
      <w:r w:rsidRPr="00C17F4D">
        <w:rPr>
          <w:rFonts w:cstheme="minorHAnsi"/>
        </w:rPr>
        <w:t>scaling success of 100</w:t>
      </w:r>
      <w:r>
        <w:rPr>
          <w:rFonts w:cstheme="minorHAnsi"/>
        </w:rPr>
        <w:t xml:space="preserve"> percent</w:t>
      </w:r>
      <w:r w:rsidRPr="00C17F4D">
        <w:rPr>
          <w:rFonts w:cstheme="minorHAnsi"/>
        </w:rPr>
        <w:t xml:space="preserve"> indicates that all items correlate more highly (at least one standard error higher) with their own composites than with competing composites. The logic for this analysis as an evaluation of construct validity follows that laid out by Campbell and Fiske (1959).</w:t>
      </w:r>
      <w:r w:rsidRPr="00C17F4D">
        <w:rPr>
          <w:rStyle w:val="EndnoteReference"/>
          <w:rFonts w:cstheme="minorHAnsi"/>
        </w:rPr>
        <w:endnoteReference w:id="25"/>
      </w:r>
      <w:r w:rsidRPr="00C17F4D">
        <w:rPr>
          <w:rFonts w:cstheme="minorHAnsi"/>
        </w:rPr>
        <w:t xml:space="preserve"> In addition, to evaluate the relative importance of the items and composites in predicting the overall evaluations of the </w:t>
      </w:r>
      <w:r w:rsidR="00086BC4">
        <w:rPr>
          <w:rFonts w:cstheme="minorHAnsi"/>
        </w:rPr>
        <w:t>practices</w:t>
      </w:r>
      <w:r w:rsidRPr="00C17F4D">
        <w:rPr>
          <w:rFonts w:cstheme="minorHAnsi"/>
        </w:rPr>
        <w:t xml:space="preserve"> (i.e., criterion validity), we will regress the overall rating of care coordination on all of the composites. The better a composite can predict the overall rating of care coordination, the higher the validity of that composite would be. In addition, we can look at correlations between </w:t>
      </w:r>
      <w:r>
        <w:rPr>
          <w:rFonts w:cstheme="minorHAnsi"/>
        </w:rPr>
        <w:t>c</w:t>
      </w:r>
      <w:r w:rsidRPr="00C17F4D">
        <w:rPr>
          <w:rFonts w:cstheme="minorHAnsi"/>
        </w:rPr>
        <w:t xml:space="preserve">are </w:t>
      </w:r>
      <w:r>
        <w:rPr>
          <w:rFonts w:cstheme="minorHAnsi"/>
        </w:rPr>
        <w:t>c</w:t>
      </w:r>
      <w:r w:rsidRPr="00C17F4D">
        <w:rPr>
          <w:rFonts w:cstheme="minorHAnsi"/>
        </w:rPr>
        <w:t xml:space="preserve">oordination composites from the </w:t>
      </w:r>
      <w:r w:rsidR="00086BC4">
        <w:rPr>
          <w:rFonts w:cstheme="minorHAnsi"/>
        </w:rPr>
        <w:t xml:space="preserve">CCQM-PC and the self-assessment by practices on the MHI-LV. </w:t>
      </w:r>
    </w:p>
    <w:p w:rsidR="00E53DC9" w:rsidRPr="00DA163D" w:rsidRDefault="00E53DC9" w:rsidP="009D58CF">
      <w:pPr>
        <w:pStyle w:val="BodyText"/>
        <w:spacing w:after="240"/>
        <w:ind w:firstLine="720"/>
      </w:pPr>
      <w:bookmarkStart w:id="28" w:name="_Toc366678768"/>
      <w:r w:rsidRPr="006C0079">
        <w:rPr>
          <w:i/>
          <w:u w:val="single"/>
        </w:rPr>
        <w:t>Identification of Important Case-Mix Adjusters.</w:t>
      </w:r>
      <w:bookmarkEnd w:id="28"/>
      <w:r w:rsidRPr="00007CEE">
        <w:rPr>
          <w:i/>
          <w:sz w:val="22"/>
        </w:rPr>
        <w:t xml:space="preserve"> </w:t>
      </w:r>
      <w:r w:rsidRPr="00DA163D">
        <w:t xml:space="preserve">One </w:t>
      </w:r>
      <w:r w:rsidR="004724DA">
        <w:t xml:space="preserve">opportunity offered by developing the CCQM-PC in the </w:t>
      </w:r>
      <w:r w:rsidRPr="00DA163D">
        <w:t>CAHPS</w:t>
      </w:r>
      <w:r w:rsidR="00086BC4">
        <w:t xml:space="preserve">® </w:t>
      </w:r>
      <w:r w:rsidR="004724DA">
        <w:t xml:space="preserve">tradition is that primary care practices can be compared to a </w:t>
      </w:r>
      <w:r w:rsidRPr="00DA163D">
        <w:t xml:space="preserve">benchmark, typically the mean of all reporting units in a particular universe. In order to make comparisons, it is important to control for the influence of patient characteristics on the outcome variables (composite scores and overall ratings). </w:t>
      </w:r>
    </w:p>
    <w:p w:rsidR="00E53DC9" w:rsidRPr="00DA163D" w:rsidRDefault="00E53DC9" w:rsidP="00007CEE">
      <w:pPr>
        <w:pStyle w:val="BodyText"/>
        <w:ind w:firstLine="0"/>
      </w:pPr>
      <w:r w:rsidRPr="00DA163D">
        <w:lastRenderedPageBreak/>
        <w:t xml:space="preserve">Past research has shown that some types of patients, such as older patients or patients in better health, tend to give higher ratings of their hospital care than patients who are younger or in poor </w:t>
      </w:r>
      <w:r w:rsidRPr="001F3289">
        <w:t xml:space="preserve">health </w:t>
      </w:r>
      <w:r w:rsidRPr="001F3289">
        <w:rPr>
          <w:rStyle w:val="EndnoteReference"/>
        </w:rPr>
        <w:endnoteReference w:id="26"/>
      </w:r>
      <w:r w:rsidRPr="001F3289">
        <w:t>. Conversely</w:t>
      </w:r>
      <w:r w:rsidRPr="00DA163D">
        <w:t>, those patients with more education tend to give lower ratings of their health care experiences. These are characteristics of the patients that are related to the CAHPS scores but are not within the control of the provider, nor are they believed to reflect true differences in the quality of care deli</w:t>
      </w:r>
      <w:r w:rsidR="00007CEE">
        <w:t>vered. With respect to the CCQM-PC, when comparing PCP</w:t>
      </w:r>
      <w:r w:rsidRPr="00DA163D">
        <w:t xml:space="preserve">s to each other or to some benchmark, the differences should derive entirely from differences in the quality of care </w:t>
      </w:r>
      <w:r w:rsidR="00007CEE">
        <w:t xml:space="preserve">coordination </w:t>
      </w:r>
      <w:r w:rsidRPr="00DA163D">
        <w:t xml:space="preserve">provided. However, if the differences derive in part from differences in their patient populations, it is important to remove (i.e., adjust for) the portion of the scores that come from patient characteristics so </w:t>
      </w:r>
      <w:r w:rsidR="00007CEE">
        <w:t>PCPs</w:t>
      </w:r>
      <w:r w:rsidRPr="00DA163D">
        <w:t xml:space="preserve"> are not held accountable for factors that are beyond their control. Thus, the three goals of case-mix adjustment are to</w:t>
      </w:r>
      <w:r>
        <w:rPr>
          <w:rStyle w:val="EndnoteReference"/>
        </w:rPr>
        <w:endnoteReference w:id="27"/>
      </w:r>
      <w:r w:rsidRPr="00DA163D">
        <w:t>—</w:t>
      </w:r>
    </w:p>
    <w:p w:rsidR="00E53DC9" w:rsidRPr="00C17F4D" w:rsidRDefault="00E53DC9" w:rsidP="00203F5D">
      <w:pPr>
        <w:pStyle w:val="CCNumberlist"/>
        <w:numPr>
          <w:ilvl w:val="0"/>
          <w:numId w:val="6"/>
        </w:numPr>
      </w:pPr>
      <w:r w:rsidRPr="00C17F4D">
        <w:t>Help remove the effects of individual patient characteristics that can affect ratings</w:t>
      </w:r>
    </w:p>
    <w:p w:rsidR="00E53DC9" w:rsidRPr="00C17F4D" w:rsidRDefault="00E53DC9" w:rsidP="00E53DC9">
      <w:pPr>
        <w:pStyle w:val="CCNumberlist"/>
      </w:pPr>
      <w:r w:rsidRPr="00C17F4D">
        <w:t xml:space="preserve">Remove effects that might be considered spurious (i.e., that reflect something other than quality of care) </w:t>
      </w:r>
    </w:p>
    <w:p w:rsidR="00E53DC9" w:rsidRPr="00C17F4D" w:rsidRDefault="00E53DC9" w:rsidP="009D58CF">
      <w:pPr>
        <w:pStyle w:val="CCNumberlistlast"/>
        <w:numPr>
          <w:ilvl w:val="0"/>
          <w:numId w:val="5"/>
        </w:numPr>
        <w:spacing w:after="240"/>
      </w:pPr>
      <w:r w:rsidRPr="00C17F4D">
        <w:t>Remove incentives for p</w:t>
      </w:r>
      <w:r w:rsidR="004724DA">
        <w:t xml:space="preserve">ractices to </w:t>
      </w:r>
      <w:r w:rsidRPr="00C17F4D">
        <w:t xml:space="preserve">avoid </w:t>
      </w:r>
      <w:r w:rsidR="004724DA">
        <w:t xml:space="preserve">aspects of care coordination that are more complicated with particular subgroups of </w:t>
      </w:r>
      <w:r w:rsidRPr="00C17F4D">
        <w:t>patients</w:t>
      </w:r>
      <w:r>
        <w:t>.</w:t>
      </w:r>
    </w:p>
    <w:p w:rsidR="00E53DC9" w:rsidRPr="00C17F4D" w:rsidRDefault="00E53DC9" w:rsidP="00007CEE">
      <w:pPr>
        <w:pStyle w:val="BodyText"/>
        <w:ind w:firstLine="0"/>
      </w:pPr>
      <w:r w:rsidRPr="00C17F4D">
        <w:t xml:space="preserve">Zaslavsky </w:t>
      </w:r>
      <w:r w:rsidRPr="001F3289">
        <w:rPr>
          <w:vertAlign w:val="superscript"/>
        </w:rPr>
        <w:t>21</w:t>
      </w:r>
      <w:r>
        <w:rPr>
          <w:vertAlign w:val="superscript"/>
        </w:rPr>
        <w:t xml:space="preserve"> </w:t>
      </w:r>
      <w:r w:rsidRPr="00C17F4D">
        <w:t>outlines three conditions to be met in the selection of variables for case-mix adjustment</w:t>
      </w:r>
      <w:r>
        <w:t>:</w:t>
      </w:r>
    </w:p>
    <w:p w:rsidR="00E53DC9" w:rsidRPr="00C17F4D" w:rsidRDefault="00E53DC9" w:rsidP="004724DA">
      <w:pPr>
        <w:pStyle w:val="CCNumberlist"/>
        <w:numPr>
          <w:ilvl w:val="0"/>
          <w:numId w:val="19"/>
        </w:numPr>
      </w:pPr>
      <w:r w:rsidRPr="00C17F4D">
        <w:t xml:space="preserve">Within reporting units, </w:t>
      </w:r>
      <w:r w:rsidR="00784F1D">
        <w:t>t</w:t>
      </w:r>
      <w:r w:rsidRPr="00C17F4D">
        <w:t>he case-mix variables must be related to the outcome measures (ratings). That is, the variables must have sufficient predictive power in relation to the outcomes (e.g., older patients give higher ratings of their care). These variables are referred to as “predictors” of the outcome being examined.</w:t>
      </w:r>
    </w:p>
    <w:p w:rsidR="00E53DC9" w:rsidRPr="00C17F4D" w:rsidRDefault="00E53DC9" w:rsidP="00E53DC9">
      <w:pPr>
        <w:pStyle w:val="CCNumberlist"/>
      </w:pPr>
      <w:r w:rsidRPr="00C17F4D">
        <w:t>There must be variation between reporting units on these predictor variables. That is, the predictors must be unevenly distributed across reporting units (e.g., one treatment center might have a patient population that tends to be much younger than the patient population of a treatment center in another location). This condition is the heterogeneity factor of the predictor.</w:t>
      </w:r>
    </w:p>
    <w:p w:rsidR="00E53DC9" w:rsidRPr="00C17F4D" w:rsidRDefault="00E53DC9" w:rsidP="009D58CF">
      <w:pPr>
        <w:pStyle w:val="CCNumberlistlast"/>
        <w:numPr>
          <w:ilvl w:val="0"/>
          <w:numId w:val="5"/>
        </w:numPr>
        <w:spacing w:after="240"/>
      </w:pPr>
      <w:r w:rsidRPr="00C17F4D">
        <w:t>The case-mix variables must be appropriate for adjustment because they are not themselves determined by the provider’s actions. That is, they must be characteristics that are brought to the provider by the patient (e.g., age or education), not characteristics that might be consequences of the patient’s satisfaction with, or assessment of, the provider. Predictors that are consequences of the patient’s satisfaction with the provider are endogenous. For example, patients who are happy with their treatment at a particular provider tend to stay with their provider longer, and thus the length of the relationship with the provider would be endogenous: the quality of care in this situation predicts the length of the relationship, rather than the reverse. This appropriateness criterion cannot be assessed statistically; rather, it must be determined based on researchers’ knowledge of a particular care setting and patient population.</w:t>
      </w:r>
    </w:p>
    <w:p w:rsidR="00E53DC9" w:rsidRPr="00C17F4D" w:rsidRDefault="00E53DC9" w:rsidP="00007CEE">
      <w:pPr>
        <w:pStyle w:val="BodyText"/>
        <w:ind w:firstLine="0"/>
      </w:pPr>
      <w:r w:rsidRPr="00C17F4D">
        <w:t>The case-mix analysis follows four steps</w:t>
      </w:r>
      <w:r>
        <w:t>—</w:t>
      </w:r>
    </w:p>
    <w:p w:rsidR="00E53DC9" w:rsidRPr="00C17F4D" w:rsidRDefault="00E53DC9" w:rsidP="004724DA">
      <w:pPr>
        <w:pStyle w:val="CCNumberlist"/>
        <w:numPr>
          <w:ilvl w:val="0"/>
          <w:numId w:val="20"/>
        </w:numPr>
      </w:pPr>
      <w:r w:rsidRPr="00C17F4D">
        <w:t>Selection of potential case-mix adjusters</w:t>
      </w:r>
    </w:p>
    <w:p w:rsidR="00E53DC9" w:rsidRPr="00C17F4D" w:rsidRDefault="00E53DC9" w:rsidP="004724DA">
      <w:pPr>
        <w:pStyle w:val="CCNumberlist"/>
        <w:numPr>
          <w:ilvl w:val="0"/>
          <w:numId w:val="20"/>
        </w:numPr>
      </w:pPr>
      <w:r w:rsidRPr="00C17F4D">
        <w:t>Estimation of predictive power of the selected adjusters</w:t>
      </w:r>
    </w:p>
    <w:p w:rsidR="00E53DC9" w:rsidRPr="00C17F4D" w:rsidRDefault="00E53DC9" w:rsidP="004724DA">
      <w:pPr>
        <w:pStyle w:val="CCNumberlist"/>
        <w:numPr>
          <w:ilvl w:val="0"/>
          <w:numId w:val="20"/>
        </w:numPr>
      </w:pPr>
      <w:r w:rsidRPr="00C17F4D">
        <w:t>Estimation of heterogeneity (the degree to which the adjusters vary across providers)</w:t>
      </w:r>
    </w:p>
    <w:p w:rsidR="00E53DC9" w:rsidRPr="00C17F4D" w:rsidRDefault="00E53DC9" w:rsidP="009D58CF">
      <w:pPr>
        <w:pStyle w:val="CCNumberlistlast"/>
        <w:numPr>
          <w:ilvl w:val="0"/>
          <w:numId w:val="20"/>
        </w:numPr>
        <w:spacing w:after="240"/>
      </w:pPr>
      <w:r w:rsidRPr="00C17F4D">
        <w:lastRenderedPageBreak/>
        <w:t>Calculation of explanatory power and impact of each adjuster</w:t>
      </w:r>
    </w:p>
    <w:p w:rsidR="00E53DC9" w:rsidRPr="00C17F4D" w:rsidRDefault="00E53DC9" w:rsidP="009D58CF">
      <w:pPr>
        <w:pStyle w:val="BodyText"/>
        <w:spacing w:after="240"/>
        <w:ind w:firstLine="0"/>
      </w:pPr>
      <w:r w:rsidRPr="00C17F4D">
        <w:t xml:space="preserve">Heterogeneity—differing distributions of candidate </w:t>
      </w:r>
      <w:r>
        <w:t>case-mix</w:t>
      </w:r>
      <w:r w:rsidRPr="00C17F4D">
        <w:t xml:space="preserve"> adjusters among the </w:t>
      </w:r>
      <w:r w:rsidR="00007CEE">
        <w:t>PCPs</w:t>
      </w:r>
      <w:r w:rsidRPr="00C17F4D">
        <w:t xml:space="preserve"> being compared—and impact, which is a function of heterogeneity, are necessary conditions for choosing a </w:t>
      </w:r>
      <w:r>
        <w:t>case-mix</w:t>
      </w:r>
      <w:r w:rsidRPr="00C17F4D">
        <w:t xml:space="preserve"> adjuster. Those variables with a significant impact will be recommended as case</w:t>
      </w:r>
      <w:r>
        <w:t xml:space="preserve"> </w:t>
      </w:r>
      <w:r w:rsidRPr="00C17F4D">
        <w:t xml:space="preserve">mix adjusters. </w:t>
      </w:r>
      <w:r>
        <w:t xml:space="preserve">The project team will also obtain the input of the stakeholder panel in determining candidate case-mix adjusters. </w:t>
      </w:r>
    </w:p>
    <w:p w:rsidR="00E53DC9" w:rsidRDefault="00E53DC9" w:rsidP="002A63D2">
      <w:pPr>
        <w:ind w:firstLine="720"/>
        <w:rPr>
          <w:sz w:val="24"/>
          <w:szCs w:val="24"/>
        </w:rPr>
      </w:pPr>
      <w:bookmarkStart w:id="29" w:name="_Toc366766116"/>
      <w:r w:rsidRPr="006C0079">
        <w:rPr>
          <w:i/>
          <w:sz w:val="24"/>
          <w:szCs w:val="24"/>
          <w:u w:val="single"/>
        </w:rPr>
        <w:t>Revise Survey Questionnaire Based on Field Test Findings</w:t>
      </w:r>
      <w:bookmarkEnd w:id="29"/>
      <w:r w:rsidR="00007CEE" w:rsidRPr="006C0079">
        <w:rPr>
          <w:i/>
          <w:sz w:val="24"/>
          <w:szCs w:val="24"/>
          <w:u w:val="single"/>
        </w:rPr>
        <w:t xml:space="preserve">. </w:t>
      </w:r>
      <w:r w:rsidRPr="006C0079">
        <w:rPr>
          <w:sz w:val="24"/>
          <w:szCs w:val="24"/>
        </w:rPr>
        <w:t>Based on the psychometric evaluation of the pilot</w:t>
      </w:r>
      <w:r w:rsidR="004724DA" w:rsidRPr="006C0079">
        <w:rPr>
          <w:sz w:val="24"/>
          <w:szCs w:val="24"/>
        </w:rPr>
        <w:t xml:space="preserve"> survey</w:t>
      </w:r>
      <w:r w:rsidRPr="006C0079">
        <w:rPr>
          <w:sz w:val="24"/>
          <w:szCs w:val="24"/>
        </w:rPr>
        <w:t xml:space="preserve">, we will revise the </w:t>
      </w:r>
      <w:r w:rsidR="004724DA" w:rsidRPr="006C0079">
        <w:rPr>
          <w:sz w:val="24"/>
          <w:szCs w:val="24"/>
        </w:rPr>
        <w:t xml:space="preserve">CCQM-PC </w:t>
      </w:r>
      <w:r w:rsidRPr="006C0079">
        <w:rPr>
          <w:sz w:val="24"/>
          <w:szCs w:val="24"/>
        </w:rPr>
        <w:t>as necessary. This evaluation typically indicates that we can eliminate questions that do not contribute substantially to a composite measure or serve as an effective case-mix adjuster.</w:t>
      </w:r>
      <w:r w:rsidR="00007CEE" w:rsidRPr="006C0079">
        <w:rPr>
          <w:sz w:val="24"/>
          <w:szCs w:val="24"/>
        </w:rPr>
        <w:t xml:space="preserve"> </w:t>
      </w:r>
    </w:p>
    <w:p w:rsidR="002A63D2" w:rsidRDefault="002A63D2" w:rsidP="002A63D2">
      <w:pPr>
        <w:ind w:firstLine="720"/>
        <w:rPr>
          <w:sz w:val="24"/>
          <w:szCs w:val="24"/>
        </w:rPr>
      </w:pPr>
    </w:p>
    <w:p w:rsidR="0057087C" w:rsidRPr="008C5826" w:rsidRDefault="0057087C" w:rsidP="002A63D2">
      <w:pPr>
        <w:pStyle w:val="Heading2"/>
        <w:rPr>
          <w:color w:val="auto"/>
          <w:sz w:val="24"/>
          <w:szCs w:val="24"/>
        </w:rPr>
      </w:pPr>
      <w:bookmarkStart w:id="30" w:name="_Toc386502305"/>
      <w:r w:rsidRPr="008C5826">
        <w:rPr>
          <w:color w:val="auto"/>
          <w:sz w:val="24"/>
          <w:szCs w:val="24"/>
        </w:rPr>
        <w:t xml:space="preserve">17.  </w:t>
      </w:r>
      <w:r w:rsidRPr="008C5826">
        <w:rPr>
          <w:color w:val="auto"/>
          <w:sz w:val="24"/>
          <w:szCs w:val="24"/>
          <w:u w:val="single"/>
        </w:rPr>
        <w:t>Exemption for Display of Expiration Date</w:t>
      </w:r>
      <w:bookmarkEnd w:id="30"/>
    </w:p>
    <w:p w:rsidR="0057087C" w:rsidRPr="00CB177A" w:rsidRDefault="0057087C" w:rsidP="002A63D2">
      <w:pPr>
        <w:rPr>
          <w:sz w:val="24"/>
          <w:szCs w:val="24"/>
        </w:rPr>
      </w:pPr>
    </w:p>
    <w:p w:rsidR="0057087C" w:rsidRPr="00CB177A" w:rsidRDefault="0057087C">
      <w:pPr>
        <w:rPr>
          <w:sz w:val="24"/>
          <w:szCs w:val="24"/>
        </w:rPr>
      </w:pPr>
      <w:r w:rsidRPr="00CB177A">
        <w:rPr>
          <w:sz w:val="24"/>
          <w:szCs w:val="24"/>
        </w:rPr>
        <w:t>No exemption is being requested.</w:t>
      </w:r>
    </w:p>
    <w:p w:rsidR="00FB3821" w:rsidRDefault="00FB3821">
      <w:pPr>
        <w:rPr>
          <w:b/>
          <w:sz w:val="24"/>
          <w:szCs w:val="24"/>
        </w:rPr>
      </w:pPr>
    </w:p>
    <w:p w:rsidR="002A63D2" w:rsidRDefault="002A63D2">
      <w:pPr>
        <w:rPr>
          <w:b/>
          <w:sz w:val="24"/>
          <w:szCs w:val="24"/>
        </w:rPr>
      </w:pPr>
    </w:p>
    <w:p w:rsidR="00ED3641" w:rsidRDefault="00155C6D" w:rsidP="002A63D2">
      <w:pPr>
        <w:spacing w:before="200"/>
        <w:rPr>
          <w:rFonts w:asciiTheme="majorHAnsi" w:hAnsiTheme="majorHAnsi"/>
          <w:b/>
          <w:sz w:val="24"/>
          <w:szCs w:val="24"/>
          <w:u w:val="single"/>
        </w:rPr>
      </w:pPr>
      <w:r w:rsidRPr="00155C6D">
        <w:rPr>
          <w:rFonts w:asciiTheme="majorHAnsi" w:hAnsiTheme="majorHAnsi"/>
          <w:b/>
          <w:sz w:val="24"/>
          <w:szCs w:val="24"/>
          <w:u w:val="single"/>
        </w:rPr>
        <w:t>List of Attachments</w:t>
      </w:r>
    </w:p>
    <w:p w:rsidR="002A63D2" w:rsidRPr="001410EA" w:rsidRDefault="002A63D2" w:rsidP="002A63D2">
      <w:pPr>
        <w:rPr>
          <w:rFonts w:asciiTheme="majorHAnsi" w:hAnsiTheme="majorHAnsi"/>
          <w:b/>
          <w:sz w:val="24"/>
          <w:szCs w:val="24"/>
          <w:u w:val="single"/>
        </w:rPr>
      </w:pPr>
    </w:p>
    <w:p w:rsidR="00876E02" w:rsidRDefault="00FA67B5" w:rsidP="00876E02">
      <w:pPr>
        <w:rPr>
          <w:sz w:val="24"/>
          <w:szCs w:val="24"/>
        </w:rPr>
      </w:pPr>
      <w:bookmarkStart w:id="31" w:name="_Toc277862455"/>
      <w:r w:rsidRPr="00FA67B5">
        <w:rPr>
          <w:sz w:val="24"/>
          <w:szCs w:val="24"/>
        </w:rPr>
        <w:t>Appendix</w:t>
      </w:r>
      <w:r w:rsidR="00876E02" w:rsidRPr="00FA67B5">
        <w:rPr>
          <w:sz w:val="24"/>
          <w:szCs w:val="24"/>
        </w:rPr>
        <w:t xml:space="preserve"> </w:t>
      </w:r>
      <w:r w:rsidR="0078430C">
        <w:rPr>
          <w:sz w:val="24"/>
          <w:szCs w:val="24"/>
        </w:rPr>
        <w:t>A</w:t>
      </w:r>
      <w:r w:rsidR="00876E02" w:rsidRPr="00FA67B5">
        <w:rPr>
          <w:sz w:val="24"/>
          <w:szCs w:val="24"/>
        </w:rPr>
        <w:t xml:space="preserve"> – C</w:t>
      </w:r>
      <w:r w:rsidRPr="00FA67B5">
        <w:rPr>
          <w:sz w:val="24"/>
          <w:szCs w:val="24"/>
        </w:rPr>
        <w:t>are Coordination Quality Measure for Primary Care (CCQM-PC)</w:t>
      </w:r>
    </w:p>
    <w:p w:rsidR="0078430C" w:rsidRDefault="0078430C" w:rsidP="00876E02">
      <w:pPr>
        <w:rPr>
          <w:sz w:val="24"/>
          <w:szCs w:val="24"/>
        </w:rPr>
      </w:pPr>
    </w:p>
    <w:p w:rsidR="0078430C" w:rsidRPr="00FA67B5" w:rsidRDefault="0078430C" w:rsidP="00876E02">
      <w:pPr>
        <w:rPr>
          <w:sz w:val="24"/>
          <w:szCs w:val="24"/>
        </w:rPr>
      </w:pPr>
      <w:r>
        <w:rPr>
          <w:sz w:val="24"/>
          <w:szCs w:val="24"/>
        </w:rPr>
        <w:t>Appendix B</w:t>
      </w:r>
      <w:r w:rsidRPr="00FA67B5">
        <w:rPr>
          <w:sz w:val="24"/>
          <w:szCs w:val="24"/>
        </w:rPr>
        <w:t xml:space="preserve"> – </w:t>
      </w:r>
      <w:r w:rsidR="00721A6C">
        <w:rPr>
          <w:sz w:val="24"/>
          <w:szCs w:val="24"/>
        </w:rPr>
        <w:t>The Medical Home Index: Adult, Long Version (MHI-LV)</w:t>
      </w:r>
    </w:p>
    <w:p w:rsidR="00876E02" w:rsidRPr="000F0A4E" w:rsidRDefault="00876E02" w:rsidP="00876E02">
      <w:pPr>
        <w:rPr>
          <w:sz w:val="24"/>
          <w:szCs w:val="24"/>
          <w:highlight w:val="yellow"/>
        </w:rPr>
      </w:pPr>
    </w:p>
    <w:p w:rsidR="00876E02" w:rsidRPr="00FA67B5" w:rsidRDefault="00FA67B5" w:rsidP="00876E02">
      <w:pPr>
        <w:rPr>
          <w:sz w:val="24"/>
          <w:szCs w:val="24"/>
        </w:rPr>
      </w:pPr>
      <w:r w:rsidRPr="00FA67B5">
        <w:rPr>
          <w:sz w:val="24"/>
          <w:szCs w:val="24"/>
        </w:rPr>
        <w:t>Appendix</w:t>
      </w:r>
      <w:r w:rsidR="00876E02" w:rsidRPr="00FA67B5">
        <w:rPr>
          <w:sz w:val="24"/>
          <w:szCs w:val="24"/>
        </w:rPr>
        <w:t xml:space="preserve"> C – </w:t>
      </w:r>
      <w:r w:rsidRPr="00FA67B5">
        <w:rPr>
          <w:sz w:val="24"/>
          <w:szCs w:val="24"/>
        </w:rPr>
        <w:t xml:space="preserve">Recruitment </w:t>
      </w:r>
      <w:r w:rsidR="00544884">
        <w:rPr>
          <w:sz w:val="24"/>
          <w:szCs w:val="24"/>
        </w:rPr>
        <w:t xml:space="preserve">and Consent </w:t>
      </w:r>
      <w:r w:rsidR="00721A6C">
        <w:rPr>
          <w:sz w:val="24"/>
          <w:szCs w:val="24"/>
        </w:rPr>
        <w:t>M</w:t>
      </w:r>
      <w:r w:rsidR="00544884">
        <w:rPr>
          <w:sz w:val="24"/>
          <w:szCs w:val="24"/>
        </w:rPr>
        <w:t>aterials</w:t>
      </w:r>
    </w:p>
    <w:p w:rsidR="00E90D86" w:rsidRPr="000F0A4E" w:rsidRDefault="00E90D86" w:rsidP="00876E02">
      <w:pPr>
        <w:rPr>
          <w:sz w:val="24"/>
          <w:szCs w:val="24"/>
          <w:highlight w:val="yellow"/>
        </w:rPr>
      </w:pPr>
    </w:p>
    <w:p w:rsidR="00E90D86" w:rsidRPr="00FA67B5" w:rsidRDefault="00FA67B5" w:rsidP="00876E02">
      <w:pPr>
        <w:rPr>
          <w:sz w:val="24"/>
          <w:szCs w:val="24"/>
        </w:rPr>
      </w:pPr>
      <w:r w:rsidRPr="00FA67B5">
        <w:rPr>
          <w:sz w:val="24"/>
          <w:szCs w:val="24"/>
        </w:rPr>
        <w:t>Appendix</w:t>
      </w:r>
      <w:r w:rsidR="00E90D86" w:rsidRPr="00FA67B5">
        <w:rPr>
          <w:sz w:val="24"/>
          <w:szCs w:val="24"/>
        </w:rPr>
        <w:t xml:space="preserve"> D –</w:t>
      </w:r>
      <w:r w:rsidR="008628FB">
        <w:rPr>
          <w:sz w:val="24"/>
          <w:szCs w:val="24"/>
        </w:rPr>
        <w:t xml:space="preserve"> Federal Register Notice</w:t>
      </w:r>
    </w:p>
    <w:p w:rsidR="00876E02" w:rsidRPr="000F0A4E" w:rsidRDefault="00876E02" w:rsidP="00876E02">
      <w:pPr>
        <w:rPr>
          <w:sz w:val="24"/>
          <w:szCs w:val="24"/>
          <w:highlight w:val="yellow"/>
        </w:rPr>
      </w:pPr>
    </w:p>
    <w:p w:rsidR="00E90D86" w:rsidRPr="00FA67B5" w:rsidRDefault="00FA67B5" w:rsidP="00876E02">
      <w:pPr>
        <w:rPr>
          <w:sz w:val="24"/>
          <w:szCs w:val="24"/>
        </w:rPr>
      </w:pPr>
      <w:r w:rsidRPr="00FA67B5">
        <w:rPr>
          <w:sz w:val="24"/>
          <w:szCs w:val="24"/>
        </w:rPr>
        <w:t>Appendix</w:t>
      </w:r>
      <w:r w:rsidR="00876E02" w:rsidRPr="00FA67B5">
        <w:rPr>
          <w:sz w:val="24"/>
          <w:szCs w:val="24"/>
        </w:rPr>
        <w:t xml:space="preserve"> </w:t>
      </w:r>
      <w:r w:rsidR="00E90D86" w:rsidRPr="00FA67B5">
        <w:rPr>
          <w:sz w:val="24"/>
          <w:szCs w:val="24"/>
        </w:rPr>
        <w:t>E</w:t>
      </w:r>
      <w:r w:rsidR="00876E02" w:rsidRPr="00FA67B5">
        <w:rPr>
          <w:sz w:val="24"/>
          <w:szCs w:val="24"/>
        </w:rPr>
        <w:t xml:space="preserve"> – </w:t>
      </w:r>
      <w:r w:rsidRPr="00FA67B5">
        <w:rPr>
          <w:sz w:val="24"/>
          <w:szCs w:val="24"/>
        </w:rPr>
        <w:t xml:space="preserve">List of </w:t>
      </w:r>
      <w:r w:rsidR="00900444">
        <w:rPr>
          <w:sz w:val="24"/>
          <w:szCs w:val="24"/>
        </w:rPr>
        <w:t xml:space="preserve">CCQM-PC </w:t>
      </w:r>
      <w:r w:rsidRPr="00FA67B5">
        <w:rPr>
          <w:sz w:val="24"/>
          <w:szCs w:val="24"/>
        </w:rPr>
        <w:t>Consultants</w:t>
      </w:r>
      <w:r w:rsidR="00900444">
        <w:rPr>
          <w:sz w:val="24"/>
          <w:szCs w:val="24"/>
        </w:rPr>
        <w:t xml:space="preserve"> and Stakeholder Panel Members</w:t>
      </w:r>
    </w:p>
    <w:p w:rsidR="008628FB" w:rsidRDefault="008628FB" w:rsidP="008628FB">
      <w:pPr>
        <w:rPr>
          <w:sz w:val="24"/>
          <w:szCs w:val="24"/>
        </w:rPr>
      </w:pPr>
    </w:p>
    <w:p w:rsidR="008628FB" w:rsidRPr="00FA67B5" w:rsidRDefault="008628FB" w:rsidP="008628FB">
      <w:pPr>
        <w:rPr>
          <w:sz w:val="24"/>
          <w:szCs w:val="24"/>
        </w:rPr>
      </w:pPr>
      <w:r w:rsidRPr="00FA67B5">
        <w:rPr>
          <w:sz w:val="24"/>
          <w:szCs w:val="24"/>
        </w:rPr>
        <w:t xml:space="preserve">Appendix </w:t>
      </w:r>
      <w:r>
        <w:rPr>
          <w:sz w:val="24"/>
          <w:szCs w:val="24"/>
        </w:rPr>
        <w:t>F</w:t>
      </w:r>
      <w:r w:rsidRPr="00FA67B5">
        <w:rPr>
          <w:sz w:val="24"/>
          <w:szCs w:val="24"/>
        </w:rPr>
        <w:t xml:space="preserve"> –</w:t>
      </w:r>
      <w:r>
        <w:rPr>
          <w:sz w:val="24"/>
          <w:szCs w:val="24"/>
        </w:rPr>
        <w:t xml:space="preserve">  Public Comments and AHRQ Response</w:t>
      </w:r>
    </w:p>
    <w:p w:rsidR="00876E02" w:rsidRDefault="00876E02" w:rsidP="00876E02">
      <w:pPr>
        <w:rPr>
          <w:sz w:val="24"/>
          <w:szCs w:val="24"/>
          <w:highlight w:val="yellow"/>
        </w:rPr>
      </w:pPr>
    </w:p>
    <w:p w:rsidR="008628FB" w:rsidRPr="000F0A4E" w:rsidRDefault="008628FB" w:rsidP="00876E02">
      <w:pPr>
        <w:rPr>
          <w:sz w:val="24"/>
          <w:szCs w:val="24"/>
          <w:highlight w:val="yellow"/>
        </w:rPr>
      </w:pPr>
    </w:p>
    <w:p w:rsidR="00634DCA" w:rsidRDefault="00E16002" w:rsidP="000F0A4E">
      <w:pPr>
        <w:rPr>
          <w:b/>
          <w:sz w:val="24"/>
          <w:szCs w:val="24"/>
          <w:u w:val="single"/>
        </w:rPr>
      </w:pPr>
      <w:r w:rsidRPr="000F0A4E">
        <w:rPr>
          <w:sz w:val="24"/>
          <w:szCs w:val="24"/>
          <w:highlight w:val="yellow"/>
        </w:rPr>
        <w:t xml:space="preserve"> </w:t>
      </w:r>
      <w:bookmarkEnd w:id="31"/>
    </w:p>
    <w:sectPr w:rsidR="00634DCA" w:rsidSect="00D15C89">
      <w:footerReference w:type="default" r:id="rId16"/>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C78" w:rsidRDefault="00751C78">
      <w:r>
        <w:separator/>
      </w:r>
    </w:p>
  </w:endnote>
  <w:endnote w:type="continuationSeparator" w:id="0">
    <w:p w:rsidR="00751C78" w:rsidRDefault="00751C78">
      <w:r>
        <w:continuationSeparator/>
      </w:r>
    </w:p>
  </w:endnote>
  <w:endnote w:id="1">
    <w:p w:rsidR="00751C78" w:rsidRPr="0078430C" w:rsidRDefault="00751C78" w:rsidP="009D1201">
      <w:pPr>
        <w:pStyle w:val="EndnoteText"/>
        <w:spacing w:after="240"/>
        <w:rPr>
          <w:rFonts w:ascii="Times New Roman" w:hAnsi="Times New Roman" w:cs="Times New Roman"/>
          <w:sz w:val="22"/>
          <w:szCs w:val="22"/>
        </w:rPr>
      </w:pPr>
      <w:r w:rsidRPr="0078430C">
        <w:rPr>
          <w:rStyle w:val="EndnoteReference"/>
          <w:rFonts w:ascii="Times New Roman" w:hAnsi="Times New Roman" w:cs="Times New Roman"/>
          <w:sz w:val="22"/>
          <w:szCs w:val="22"/>
        </w:rPr>
        <w:endnoteRef/>
      </w:r>
      <w:r w:rsidRPr="0078430C">
        <w:rPr>
          <w:rFonts w:ascii="Times New Roman" w:hAnsi="Times New Roman" w:cs="Times New Roman"/>
          <w:sz w:val="22"/>
          <w:szCs w:val="22"/>
        </w:rPr>
        <w:t xml:space="preserve"> Davis,</w:t>
      </w:r>
      <w:r>
        <w:rPr>
          <w:rFonts w:ascii="Times New Roman" w:hAnsi="Times New Roman" w:cs="Times New Roman"/>
          <w:sz w:val="22"/>
          <w:szCs w:val="22"/>
        </w:rPr>
        <w:t xml:space="preserve"> K, </w:t>
      </w:r>
      <w:r w:rsidRPr="0078430C">
        <w:rPr>
          <w:rFonts w:ascii="Times New Roman" w:hAnsi="Times New Roman" w:cs="Times New Roman"/>
          <w:sz w:val="22"/>
          <w:szCs w:val="22"/>
        </w:rPr>
        <w:t>Schoen</w:t>
      </w:r>
      <w:r>
        <w:rPr>
          <w:rFonts w:ascii="Times New Roman" w:hAnsi="Times New Roman" w:cs="Times New Roman"/>
          <w:sz w:val="22"/>
          <w:szCs w:val="22"/>
        </w:rPr>
        <w:t>, C</w:t>
      </w:r>
      <w:r w:rsidRPr="0078430C">
        <w:rPr>
          <w:rFonts w:ascii="Times New Roman" w:hAnsi="Times New Roman" w:cs="Times New Roman"/>
          <w:sz w:val="22"/>
          <w:szCs w:val="22"/>
        </w:rPr>
        <w:t xml:space="preserve">, Stremikis, </w:t>
      </w:r>
      <w:r>
        <w:rPr>
          <w:rFonts w:ascii="Times New Roman" w:hAnsi="Times New Roman" w:cs="Times New Roman"/>
          <w:sz w:val="22"/>
          <w:szCs w:val="22"/>
        </w:rPr>
        <w:t xml:space="preserve">K. </w:t>
      </w:r>
      <w:r w:rsidRPr="0078430C">
        <w:rPr>
          <w:rFonts w:ascii="Times New Roman" w:hAnsi="Times New Roman" w:cs="Times New Roman"/>
          <w:sz w:val="22"/>
          <w:szCs w:val="22"/>
        </w:rPr>
        <w:t xml:space="preserve">Mirror, Mirror on the Wall: How the Performance of the U.S. Health Care System Compares Internationally 2010 Update, The Commonwealth Fund, June 2010. </w:t>
      </w:r>
    </w:p>
  </w:endnote>
  <w:endnote w:id="2">
    <w:p w:rsidR="00751C78" w:rsidRPr="0078430C" w:rsidRDefault="00751C78" w:rsidP="009D1201">
      <w:pPr>
        <w:pStyle w:val="EndnoteText"/>
        <w:spacing w:after="240"/>
        <w:rPr>
          <w:rFonts w:ascii="Times New Roman" w:hAnsi="Times New Roman" w:cs="Times New Roman"/>
          <w:sz w:val="22"/>
          <w:szCs w:val="22"/>
        </w:rPr>
      </w:pPr>
      <w:r w:rsidRPr="0078430C">
        <w:rPr>
          <w:rStyle w:val="EndnoteReference"/>
          <w:rFonts w:ascii="Times New Roman" w:hAnsi="Times New Roman" w:cs="Times New Roman"/>
          <w:sz w:val="22"/>
          <w:szCs w:val="22"/>
        </w:rPr>
        <w:endnoteRef/>
      </w:r>
      <w:r w:rsidRPr="0078430C">
        <w:rPr>
          <w:rFonts w:ascii="Times New Roman" w:hAnsi="Times New Roman" w:cs="Times New Roman"/>
          <w:sz w:val="22"/>
          <w:szCs w:val="22"/>
        </w:rPr>
        <w:t xml:space="preserve"> Ferrante JM, Balasubramanian BA, Hudson SV, Crabtree BF. Principles of the Patient-Centered Medical Home and Preventive Services Delivery. Annals of Family Medicine, 8(2)</w:t>
      </w:r>
      <w:r>
        <w:rPr>
          <w:rFonts w:ascii="Times New Roman" w:hAnsi="Times New Roman" w:cs="Times New Roman"/>
          <w:sz w:val="22"/>
          <w:szCs w:val="22"/>
        </w:rPr>
        <w:t>:</w:t>
      </w:r>
      <w:r w:rsidRPr="0078430C">
        <w:rPr>
          <w:rFonts w:ascii="Times New Roman" w:hAnsi="Times New Roman" w:cs="Times New Roman"/>
          <w:sz w:val="22"/>
          <w:szCs w:val="22"/>
        </w:rPr>
        <w:t xml:space="preserve">108-116, 2010. </w:t>
      </w:r>
    </w:p>
  </w:endnote>
  <w:endnote w:id="3">
    <w:p w:rsidR="00751C78" w:rsidRPr="0078430C" w:rsidRDefault="00751C78" w:rsidP="009D1201">
      <w:pPr>
        <w:pStyle w:val="EndnoteText"/>
        <w:spacing w:after="240"/>
        <w:rPr>
          <w:rFonts w:ascii="Times New Roman" w:hAnsi="Times New Roman" w:cs="Times New Roman"/>
          <w:sz w:val="22"/>
          <w:szCs w:val="22"/>
        </w:rPr>
      </w:pPr>
      <w:r w:rsidRPr="0078430C">
        <w:rPr>
          <w:rStyle w:val="EndnoteReference"/>
          <w:rFonts w:ascii="Times New Roman" w:hAnsi="Times New Roman" w:cs="Times New Roman"/>
          <w:sz w:val="22"/>
          <w:szCs w:val="22"/>
        </w:rPr>
        <w:endnoteRef/>
      </w:r>
      <w:r w:rsidRPr="0078430C">
        <w:rPr>
          <w:rFonts w:ascii="Times New Roman" w:hAnsi="Times New Roman" w:cs="Times New Roman"/>
          <w:sz w:val="22"/>
          <w:szCs w:val="22"/>
        </w:rPr>
        <w:t xml:space="preserve"> Stange KC, Nutting PA, Miller WL, Jaén CR, Crabtree BF, Flocke SA, et al. Defining and measuring the patient-centered medical home. J</w:t>
      </w:r>
      <w:r>
        <w:rPr>
          <w:rFonts w:ascii="Times New Roman" w:hAnsi="Times New Roman" w:cs="Times New Roman"/>
          <w:sz w:val="22"/>
          <w:szCs w:val="22"/>
        </w:rPr>
        <w:t>ournal of</w:t>
      </w:r>
      <w:r w:rsidRPr="0078430C">
        <w:rPr>
          <w:rFonts w:ascii="Times New Roman" w:hAnsi="Times New Roman" w:cs="Times New Roman"/>
          <w:sz w:val="22"/>
          <w:szCs w:val="22"/>
        </w:rPr>
        <w:t xml:space="preserve"> Gen</w:t>
      </w:r>
      <w:r>
        <w:rPr>
          <w:rFonts w:ascii="Times New Roman" w:hAnsi="Times New Roman" w:cs="Times New Roman"/>
          <w:sz w:val="22"/>
          <w:szCs w:val="22"/>
        </w:rPr>
        <w:t>eral</w:t>
      </w:r>
      <w:r w:rsidRPr="0078430C">
        <w:rPr>
          <w:rFonts w:ascii="Times New Roman" w:hAnsi="Times New Roman" w:cs="Times New Roman"/>
          <w:sz w:val="22"/>
          <w:szCs w:val="22"/>
        </w:rPr>
        <w:t xml:space="preserve"> Intern</w:t>
      </w:r>
      <w:r>
        <w:rPr>
          <w:rFonts w:ascii="Times New Roman" w:hAnsi="Times New Roman" w:cs="Times New Roman"/>
          <w:sz w:val="22"/>
          <w:szCs w:val="22"/>
        </w:rPr>
        <w:t>al</w:t>
      </w:r>
      <w:r w:rsidRPr="0078430C">
        <w:rPr>
          <w:rFonts w:ascii="Times New Roman" w:hAnsi="Times New Roman" w:cs="Times New Roman"/>
          <w:sz w:val="22"/>
          <w:szCs w:val="22"/>
        </w:rPr>
        <w:t xml:space="preserve"> Med</w:t>
      </w:r>
      <w:r>
        <w:rPr>
          <w:rFonts w:ascii="Times New Roman" w:hAnsi="Times New Roman" w:cs="Times New Roman"/>
          <w:sz w:val="22"/>
          <w:szCs w:val="22"/>
        </w:rPr>
        <w:t>icine,</w:t>
      </w:r>
      <w:r w:rsidRPr="0078430C">
        <w:rPr>
          <w:rFonts w:ascii="Times New Roman" w:hAnsi="Times New Roman" w:cs="Times New Roman"/>
          <w:sz w:val="22"/>
          <w:szCs w:val="22"/>
        </w:rPr>
        <w:t xml:space="preserve"> 25(6):601-612</w:t>
      </w:r>
      <w:r>
        <w:rPr>
          <w:rFonts w:ascii="Times New Roman" w:hAnsi="Times New Roman" w:cs="Times New Roman"/>
          <w:sz w:val="22"/>
          <w:szCs w:val="22"/>
        </w:rPr>
        <w:t>, 2010</w:t>
      </w:r>
      <w:r w:rsidRPr="0078430C">
        <w:rPr>
          <w:rFonts w:ascii="Times New Roman" w:hAnsi="Times New Roman" w:cs="Times New Roman"/>
          <w:sz w:val="22"/>
          <w:szCs w:val="22"/>
        </w:rPr>
        <w:t xml:space="preserve">. </w:t>
      </w:r>
    </w:p>
  </w:endnote>
  <w:endnote w:id="4">
    <w:p w:rsidR="00751C78" w:rsidRPr="0078430C" w:rsidRDefault="00751C78" w:rsidP="009D1201">
      <w:pPr>
        <w:pStyle w:val="EndnoteText"/>
        <w:spacing w:after="240"/>
        <w:rPr>
          <w:rFonts w:ascii="Times New Roman" w:hAnsi="Times New Roman" w:cs="Times New Roman"/>
          <w:sz w:val="22"/>
          <w:szCs w:val="22"/>
        </w:rPr>
      </w:pPr>
      <w:r w:rsidRPr="0078430C">
        <w:rPr>
          <w:rStyle w:val="EndnoteReference"/>
          <w:rFonts w:ascii="Times New Roman" w:hAnsi="Times New Roman" w:cs="Times New Roman"/>
          <w:sz w:val="22"/>
          <w:szCs w:val="22"/>
        </w:rPr>
        <w:endnoteRef/>
      </w:r>
      <w:r w:rsidRPr="0078430C">
        <w:rPr>
          <w:rFonts w:ascii="Times New Roman" w:hAnsi="Times New Roman" w:cs="Times New Roman"/>
          <w:sz w:val="22"/>
          <w:szCs w:val="22"/>
        </w:rPr>
        <w:t xml:space="preserve"> U.S. PUBLIC LAW 111 - 148 - Patient Protection And Affordable Care Act - H.R. 3590</w:t>
      </w:r>
    </w:p>
  </w:endnote>
  <w:endnote w:id="5">
    <w:p w:rsidR="00751C78" w:rsidRPr="0078430C" w:rsidRDefault="00751C78" w:rsidP="00122BE6">
      <w:pPr>
        <w:pStyle w:val="EndnoteText"/>
        <w:spacing w:after="240"/>
        <w:rPr>
          <w:rFonts w:ascii="Times New Roman" w:hAnsi="Times New Roman" w:cs="Times New Roman"/>
          <w:sz w:val="22"/>
          <w:szCs w:val="22"/>
        </w:rPr>
      </w:pPr>
      <w:r w:rsidRPr="0078430C">
        <w:rPr>
          <w:rStyle w:val="EndnoteReference"/>
          <w:rFonts w:ascii="Times New Roman" w:hAnsi="Times New Roman" w:cs="Times New Roman"/>
          <w:sz w:val="22"/>
          <w:szCs w:val="22"/>
        </w:rPr>
        <w:endnoteRef/>
      </w:r>
      <w:r w:rsidRPr="0078430C">
        <w:rPr>
          <w:rFonts w:ascii="Times New Roman" w:hAnsi="Times New Roman" w:cs="Times New Roman"/>
          <w:sz w:val="22"/>
          <w:szCs w:val="22"/>
        </w:rPr>
        <w:t xml:space="preserve"> McDonald KM, Sundaram V, Bravata DM, Lewis R, Lin N, Kraft S et al. Care coordination. Vol 7 of: Shojania KG, McDonald KM, Wachter RM, Owens DK, editors. Closing The Quality Gap: A Critical Analysis Of Quality Improvement Strategies. Technical Review 9 (Prepared by Stanford-UCSF Evidence-Based Practice Center under contract No. 290-02-0017). AHRQ Publication No. 04(07)-0051-7. Rockville, MD: Agency for Healthcare Research and Quality. June 2007.</w:t>
      </w:r>
    </w:p>
  </w:endnote>
  <w:endnote w:id="6">
    <w:p w:rsidR="00751C78" w:rsidRPr="0078430C" w:rsidRDefault="00751C78" w:rsidP="00122BE6">
      <w:pPr>
        <w:pStyle w:val="EndnoteText"/>
        <w:spacing w:after="240"/>
        <w:rPr>
          <w:rFonts w:ascii="Times New Roman" w:hAnsi="Times New Roman" w:cs="Times New Roman"/>
          <w:sz w:val="22"/>
          <w:szCs w:val="22"/>
        </w:rPr>
      </w:pPr>
      <w:r w:rsidRPr="0078430C">
        <w:rPr>
          <w:rStyle w:val="EndnoteReference"/>
          <w:rFonts w:ascii="Times New Roman" w:hAnsi="Times New Roman" w:cs="Times New Roman"/>
          <w:sz w:val="22"/>
          <w:szCs w:val="22"/>
        </w:rPr>
        <w:endnoteRef/>
      </w:r>
      <w:r w:rsidRPr="0078430C">
        <w:rPr>
          <w:rFonts w:ascii="Times New Roman" w:hAnsi="Times New Roman" w:cs="Times New Roman"/>
          <w:sz w:val="22"/>
          <w:szCs w:val="22"/>
        </w:rPr>
        <w:t xml:space="preserve"> McDonald KM, Schultz E, Albin L, Pineda N, Lonhart J, Sundaram V et al. </w:t>
      </w:r>
      <w:r w:rsidRPr="0078430C">
        <w:rPr>
          <w:rFonts w:ascii="Times New Roman" w:hAnsi="Times New Roman" w:cs="Times New Roman"/>
          <w:i/>
          <w:sz w:val="22"/>
          <w:szCs w:val="22"/>
        </w:rPr>
        <w:t xml:space="preserve">Care Coordination Measures Atlas. </w:t>
      </w:r>
      <w:r w:rsidRPr="0078430C">
        <w:rPr>
          <w:rFonts w:ascii="Times New Roman" w:hAnsi="Times New Roman" w:cs="Times New Roman"/>
          <w:sz w:val="22"/>
          <w:szCs w:val="22"/>
        </w:rPr>
        <w:t>AHRQ Publication No. 11-0023-EF, January 2011. Agency for Healthcare Research and Quality, Rockville, MD. http://www.ahrq.gov/qual/careatlas/.</w:t>
      </w:r>
    </w:p>
  </w:endnote>
  <w:endnote w:id="7">
    <w:p w:rsidR="00751C78" w:rsidRPr="0078430C" w:rsidRDefault="00751C78" w:rsidP="00122BE6">
      <w:pPr>
        <w:pStyle w:val="EndnoteText"/>
        <w:spacing w:after="240"/>
        <w:rPr>
          <w:rFonts w:ascii="Times New Roman" w:hAnsi="Times New Roman" w:cs="Times New Roman"/>
          <w:sz w:val="22"/>
          <w:szCs w:val="22"/>
        </w:rPr>
      </w:pPr>
      <w:r w:rsidRPr="0078430C">
        <w:rPr>
          <w:rStyle w:val="EndnoteReference"/>
          <w:rFonts w:ascii="Times New Roman" w:hAnsi="Times New Roman" w:cs="Times New Roman"/>
          <w:sz w:val="22"/>
          <w:szCs w:val="22"/>
        </w:rPr>
        <w:endnoteRef/>
      </w:r>
      <w:r w:rsidRPr="0078430C">
        <w:rPr>
          <w:rFonts w:ascii="Times New Roman" w:hAnsi="Times New Roman" w:cs="Times New Roman"/>
          <w:sz w:val="22"/>
          <w:szCs w:val="22"/>
        </w:rPr>
        <w:t xml:space="preserve"> McDonald KM, Schultz E, Pineda N, Lonhart J, Chapman, T. and Davies, S. Care Coordination Accountability Measures for Primary Care Practice (Prepared by Stanford University under subcontract to Battelle on Contract No. 290-04-0020). AHRQ Publication No.12-0019-EF. Rockville, MD: Agency for Healthcare Research and Quality. January 2012.  </w:t>
      </w:r>
    </w:p>
  </w:endnote>
  <w:endnote w:id="8">
    <w:p w:rsidR="00751C78" w:rsidRPr="0078430C" w:rsidRDefault="00751C78" w:rsidP="00122BE6">
      <w:pPr>
        <w:pStyle w:val="EndnoteText"/>
        <w:spacing w:after="240"/>
        <w:rPr>
          <w:rFonts w:ascii="Times New Roman" w:hAnsi="Times New Roman" w:cs="Times New Roman"/>
          <w:sz w:val="22"/>
          <w:szCs w:val="22"/>
        </w:rPr>
      </w:pPr>
      <w:r w:rsidRPr="0078430C">
        <w:rPr>
          <w:rStyle w:val="EndnoteReference"/>
          <w:rFonts w:ascii="Times New Roman" w:hAnsi="Times New Roman" w:cs="Times New Roman"/>
          <w:sz w:val="22"/>
          <w:szCs w:val="22"/>
        </w:rPr>
        <w:endnoteRef/>
      </w:r>
      <w:r w:rsidRPr="0078430C">
        <w:rPr>
          <w:rFonts w:ascii="Times New Roman" w:hAnsi="Times New Roman" w:cs="Times New Roman"/>
          <w:sz w:val="22"/>
          <w:szCs w:val="22"/>
        </w:rPr>
        <w:t xml:space="preserve"> McDonald KM, Schultz E, Chapman T, Davies S, Pineda N, Lonhart J et al. Prospects for Care Coordination Measurement Using Electronic Data Sources. (Prepared under contract number 290-04-0020 AHRQ SQI-II.) AHRQ Publication No. 12-0014-EF. Agency for Healthcare Research and Quality, Rockville, MD. March 2012  https://www.pcpcc.net/content/joint-principles-patient-centered-medical-home. </w:t>
      </w:r>
    </w:p>
  </w:endnote>
  <w:endnote w:id="9">
    <w:p w:rsidR="00751C78" w:rsidRDefault="00751C78">
      <w:pPr>
        <w:rPr>
          <w:sz w:val="22"/>
          <w:szCs w:val="22"/>
        </w:rPr>
      </w:pPr>
      <w:r w:rsidRPr="00155C6D">
        <w:rPr>
          <w:rStyle w:val="EndnoteReference"/>
          <w:sz w:val="22"/>
          <w:szCs w:val="22"/>
        </w:rPr>
        <w:endnoteRef/>
      </w:r>
      <w:r w:rsidRPr="00155C6D">
        <w:rPr>
          <w:sz w:val="22"/>
          <w:szCs w:val="22"/>
        </w:rPr>
        <w:t xml:space="preserve"> Center for Medical Home Improvement (CMHI) Web site. Available at: </w:t>
      </w:r>
      <w:hyperlink r:id="rId1" w:anchor="measurement" w:history="1">
        <w:r w:rsidRPr="00155C6D">
          <w:rPr>
            <w:rStyle w:val="Hyperlink"/>
            <w:sz w:val="22"/>
            <w:szCs w:val="22"/>
          </w:rPr>
          <w:t>http://www.medicalhomeimprovement.org/knowledge/practices.html#measurement</w:t>
        </w:r>
      </w:hyperlink>
      <w:r w:rsidRPr="00155C6D">
        <w:rPr>
          <w:sz w:val="22"/>
          <w:szCs w:val="22"/>
        </w:rPr>
        <w:t xml:space="preserve"> Accessed: April 14, 2014</w:t>
      </w:r>
      <w:r>
        <w:rPr>
          <w:sz w:val="22"/>
          <w:szCs w:val="22"/>
        </w:rPr>
        <w:t>.</w:t>
      </w:r>
    </w:p>
    <w:p w:rsidR="00751C78" w:rsidRPr="0078430C" w:rsidRDefault="00751C78">
      <w:pPr>
        <w:pStyle w:val="EndnoteText"/>
        <w:rPr>
          <w:rFonts w:ascii="Times New Roman" w:hAnsi="Times New Roman" w:cs="Times New Roman"/>
          <w:sz w:val="22"/>
          <w:szCs w:val="22"/>
        </w:rPr>
      </w:pPr>
    </w:p>
  </w:endnote>
  <w:endnote w:id="10">
    <w:p w:rsidR="00751C78" w:rsidRPr="0078430C" w:rsidRDefault="00751C78" w:rsidP="00E53DC9">
      <w:pPr>
        <w:pStyle w:val="EndnoteText"/>
        <w:keepLines/>
        <w:rPr>
          <w:rFonts w:ascii="Times New Roman" w:hAnsi="Times New Roman" w:cs="Times New Roman"/>
          <w:sz w:val="22"/>
          <w:szCs w:val="22"/>
        </w:rPr>
      </w:pPr>
      <w:r w:rsidRPr="00155C6D">
        <w:rPr>
          <w:rStyle w:val="EndnoteReference"/>
          <w:rFonts w:ascii="Times New Roman" w:hAnsi="Times New Roman" w:cs="Times New Roman"/>
          <w:sz w:val="22"/>
          <w:szCs w:val="22"/>
        </w:rPr>
        <w:endnoteRef/>
      </w:r>
      <w:r w:rsidRPr="00155C6D">
        <w:rPr>
          <w:rFonts w:ascii="Times New Roman" w:hAnsi="Times New Roman" w:cs="Times New Roman"/>
          <w:sz w:val="22"/>
          <w:szCs w:val="22"/>
        </w:rPr>
        <w:t xml:space="preserve"> Hoyle RH (ed.). Structural equation modeling: concepts, issues, and applications. Thousand Oaks, CA: SAGE Publications, Inc., 1995. </w:t>
      </w:r>
    </w:p>
  </w:endnote>
  <w:endnote w:id="11">
    <w:p w:rsidR="00751C78" w:rsidRDefault="00751C78" w:rsidP="00E53DC9">
      <w:pPr>
        <w:keepLines/>
        <w:spacing w:after="40"/>
        <w:ind w:left="360" w:hanging="360"/>
        <w:rPr>
          <w:sz w:val="22"/>
          <w:szCs w:val="22"/>
        </w:rPr>
      </w:pPr>
    </w:p>
    <w:p w:rsidR="00751C78" w:rsidRPr="0078430C" w:rsidRDefault="00751C78" w:rsidP="00633217">
      <w:pPr>
        <w:keepLines/>
        <w:spacing w:after="40"/>
        <w:rPr>
          <w:sz w:val="22"/>
          <w:szCs w:val="22"/>
        </w:rPr>
      </w:pPr>
      <w:r w:rsidRPr="00155C6D">
        <w:rPr>
          <w:rStyle w:val="EndnoteReference"/>
          <w:rFonts w:eastAsiaTheme="majorEastAsia"/>
          <w:sz w:val="22"/>
          <w:szCs w:val="22"/>
        </w:rPr>
        <w:endnoteRef/>
      </w:r>
      <w:r w:rsidRPr="00155C6D">
        <w:rPr>
          <w:sz w:val="22"/>
          <w:szCs w:val="22"/>
        </w:rPr>
        <w:t xml:space="preserve">    Keller SD, O’Malley AJ, Hays RD, et al. Methods used to streamline the CAHPS</w:t>
      </w:r>
      <w:r w:rsidRPr="00155C6D">
        <w:rPr>
          <w:sz w:val="22"/>
          <w:szCs w:val="22"/>
          <w:vertAlign w:val="superscript"/>
        </w:rPr>
        <w:t>®</w:t>
      </w:r>
      <w:r>
        <w:rPr>
          <w:sz w:val="22"/>
          <w:szCs w:val="22"/>
        </w:rPr>
        <w:t xml:space="preserve"> Hospital Survey. </w:t>
      </w:r>
      <w:r w:rsidRPr="00155C6D">
        <w:rPr>
          <w:iCs/>
          <w:sz w:val="22"/>
          <w:szCs w:val="22"/>
        </w:rPr>
        <w:t>Health Serv</w:t>
      </w:r>
      <w:r>
        <w:rPr>
          <w:iCs/>
          <w:sz w:val="22"/>
          <w:szCs w:val="22"/>
        </w:rPr>
        <w:t>ices</w:t>
      </w:r>
      <w:r w:rsidRPr="00155C6D">
        <w:rPr>
          <w:iCs/>
          <w:sz w:val="22"/>
          <w:szCs w:val="22"/>
        </w:rPr>
        <w:t xml:space="preserve"> Res</w:t>
      </w:r>
      <w:r>
        <w:rPr>
          <w:iCs/>
          <w:sz w:val="22"/>
          <w:szCs w:val="22"/>
        </w:rPr>
        <w:t xml:space="preserve">earch, </w:t>
      </w:r>
      <w:r w:rsidRPr="00155C6D">
        <w:rPr>
          <w:sz w:val="22"/>
          <w:szCs w:val="22"/>
        </w:rPr>
        <w:t>40(6):2057-7</w:t>
      </w:r>
      <w:r>
        <w:rPr>
          <w:sz w:val="22"/>
          <w:szCs w:val="22"/>
        </w:rPr>
        <w:t>, 2005.</w:t>
      </w:r>
    </w:p>
  </w:endnote>
  <w:endnote w:id="12">
    <w:p w:rsidR="00751C78" w:rsidRDefault="00751C78" w:rsidP="00E53DC9">
      <w:pPr>
        <w:pStyle w:val="EndnoteText"/>
        <w:keepLines/>
        <w:rPr>
          <w:rFonts w:ascii="Times New Roman" w:hAnsi="Times New Roman" w:cs="Times New Roman"/>
          <w:sz w:val="22"/>
          <w:szCs w:val="22"/>
        </w:rPr>
      </w:pPr>
    </w:p>
    <w:p w:rsidR="00751C78" w:rsidRPr="0078430C" w:rsidRDefault="00751C78" w:rsidP="00E53DC9">
      <w:pPr>
        <w:pStyle w:val="EndnoteText"/>
        <w:keepLines/>
        <w:rPr>
          <w:rFonts w:ascii="Times New Roman" w:hAnsi="Times New Roman" w:cs="Times New Roman"/>
          <w:sz w:val="22"/>
          <w:szCs w:val="22"/>
        </w:rPr>
      </w:pPr>
      <w:r w:rsidRPr="00155C6D">
        <w:rPr>
          <w:rStyle w:val="EndnoteReference"/>
          <w:rFonts w:ascii="Times New Roman" w:hAnsi="Times New Roman" w:cs="Times New Roman"/>
          <w:sz w:val="22"/>
          <w:szCs w:val="22"/>
        </w:rPr>
        <w:endnoteRef/>
      </w:r>
      <w:r w:rsidRPr="00155C6D">
        <w:rPr>
          <w:rFonts w:ascii="Times New Roman" w:hAnsi="Times New Roman" w:cs="Times New Roman"/>
          <w:sz w:val="22"/>
          <w:szCs w:val="22"/>
        </w:rPr>
        <w:t xml:space="preserve"> Hu L, Bentler PM. Cutoff criteria for fit indexes in covariance structure analysis: Conventional criteria versus new alternatives. Struct</w:t>
      </w:r>
      <w:r>
        <w:rPr>
          <w:rFonts w:ascii="Times New Roman" w:hAnsi="Times New Roman" w:cs="Times New Roman"/>
          <w:sz w:val="22"/>
          <w:szCs w:val="22"/>
        </w:rPr>
        <w:t>ural</w:t>
      </w:r>
      <w:r w:rsidRPr="00155C6D">
        <w:rPr>
          <w:rFonts w:ascii="Times New Roman" w:hAnsi="Times New Roman" w:cs="Times New Roman"/>
          <w:sz w:val="22"/>
          <w:szCs w:val="22"/>
        </w:rPr>
        <w:t xml:space="preserve"> Equ</w:t>
      </w:r>
      <w:r>
        <w:rPr>
          <w:rFonts w:ascii="Times New Roman" w:hAnsi="Times New Roman" w:cs="Times New Roman"/>
          <w:sz w:val="22"/>
          <w:szCs w:val="22"/>
        </w:rPr>
        <w:t>ations</w:t>
      </w:r>
      <w:r w:rsidRPr="00155C6D">
        <w:rPr>
          <w:rFonts w:ascii="Times New Roman" w:hAnsi="Times New Roman" w:cs="Times New Roman"/>
          <w:sz w:val="22"/>
          <w:szCs w:val="22"/>
        </w:rPr>
        <w:t xml:space="preserve"> Modeling</w:t>
      </w:r>
      <w:r>
        <w:rPr>
          <w:rFonts w:ascii="Times New Roman" w:hAnsi="Times New Roman" w:cs="Times New Roman"/>
          <w:sz w:val="22"/>
          <w:szCs w:val="22"/>
        </w:rPr>
        <w:t xml:space="preserve">, </w:t>
      </w:r>
      <w:r w:rsidRPr="00155C6D">
        <w:rPr>
          <w:rFonts w:ascii="Times New Roman" w:hAnsi="Times New Roman" w:cs="Times New Roman"/>
          <w:sz w:val="22"/>
          <w:szCs w:val="22"/>
        </w:rPr>
        <w:t>6(1):1-55</w:t>
      </w:r>
      <w:r>
        <w:rPr>
          <w:rFonts w:ascii="Times New Roman" w:hAnsi="Times New Roman" w:cs="Times New Roman"/>
          <w:sz w:val="22"/>
          <w:szCs w:val="22"/>
        </w:rPr>
        <w:t>, 1999</w:t>
      </w:r>
      <w:r w:rsidRPr="00155C6D">
        <w:rPr>
          <w:rFonts w:ascii="Times New Roman" w:hAnsi="Times New Roman" w:cs="Times New Roman"/>
          <w:sz w:val="22"/>
          <w:szCs w:val="22"/>
        </w:rPr>
        <w:t>.</w:t>
      </w:r>
    </w:p>
  </w:endnote>
  <w:endnote w:id="13">
    <w:p w:rsidR="00751C78" w:rsidRDefault="00751C78" w:rsidP="00E53DC9">
      <w:pPr>
        <w:keepLines/>
        <w:spacing w:after="40"/>
        <w:ind w:left="360" w:hanging="360"/>
        <w:rPr>
          <w:sz w:val="22"/>
          <w:szCs w:val="22"/>
        </w:rPr>
      </w:pPr>
    </w:p>
    <w:p w:rsidR="00751C78" w:rsidRPr="0078430C" w:rsidRDefault="00751C78" w:rsidP="00633217">
      <w:pPr>
        <w:keepLines/>
        <w:spacing w:after="40"/>
        <w:rPr>
          <w:sz w:val="22"/>
          <w:szCs w:val="22"/>
        </w:rPr>
      </w:pPr>
      <w:r w:rsidRPr="00155C6D">
        <w:rPr>
          <w:rStyle w:val="EndnoteReference"/>
          <w:rFonts w:eastAsiaTheme="majorEastAsia"/>
          <w:sz w:val="22"/>
          <w:szCs w:val="22"/>
        </w:rPr>
        <w:endnoteRef/>
      </w:r>
      <w:r w:rsidRPr="00155C6D">
        <w:rPr>
          <w:sz w:val="22"/>
          <w:szCs w:val="22"/>
        </w:rPr>
        <w:t xml:space="preserve"> Kenny, DA. Measuring Model Fit. </w:t>
      </w:r>
      <w:hyperlink r:id="rId2" w:history="1">
        <w:r w:rsidRPr="00155C6D">
          <w:rPr>
            <w:rStyle w:val="Hyperlink"/>
            <w:sz w:val="22"/>
            <w:szCs w:val="22"/>
          </w:rPr>
          <w:t>http://davidakenny.net/cm/fit.htm</w:t>
        </w:r>
      </w:hyperlink>
      <w:r w:rsidRPr="00155C6D">
        <w:rPr>
          <w:sz w:val="22"/>
          <w:szCs w:val="22"/>
        </w:rPr>
        <w:t>. Revised July 5, 2012. Accessed September 11, 2013.</w:t>
      </w:r>
    </w:p>
  </w:endnote>
  <w:endnote w:id="14">
    <w:p w:rsidR="00751C78" w:rsidRDefault="00751C78" w:rsidP="00E53DC9">
      <w:pPr>
        <w:pStyle w:val="EndnoteText"/>
        <w:keepLines/>
        <w:rPr>
          <w:rFonts w:ascii="Times New Roman" w:hAnsi="Times New Roman" w:cs="Times New Roman"/>
          <w:sz w:val="22"/>
          <w:szCs w:val="22"/>
        </w:rPr>
      </w:pPr>
    </w:p>
    <w:p w:rsidR="00751C78" w:rsidRPr="0078430C" w:rsidRDefault="00751C78" w:rsidP="00E53DC9">
      <w:pPr>
        <w:pStyle w:val="EndnoteText"/>
        <w:keepLines/>
        <w:rPr>
          <w:rFonts w:ascii="Times New Roman" w:hAnsi="Times New Roman" w:cs="Times New Roman"/>
          <w:sz w:val="22"/>
          <w:szCs w:val="22"/>
        </w:rPr>
      </w:pPr>
      <w:r w:rsidRPr="00155C6D">
        <w:rPr>
          <w:rStyle w:val="EndnoteReference"/>
          <w:rFonts w:ascii="Times New Roman" w:hAnsi="Times New Roman" w:cs="Times New Roman"/>
          <w:sz w:val="22"/>
          <w:szCs w:val="22"/>
        </w:rPr>
        <w:endnoteRef/>
      </w:r>
      <w:r w:rsidRPr="00155C6D">
        <w:rPr>
          <w:rFonts w:ascii="Times New Roman" w:hAnsi="Times New Roman" w:cs="Times New Roman"/>
          <w:sz w:val="22"/>
          <w:szCs w:val="22"/>
        </w:rPr>
        <w:t xml:space="preserve"> Suhr, DD (2006). Exploratory or confirmatory factor analysis? Paper 200-31. In: SAS Institute Inc. Proceedings of the thirty-first annual SAS</w:t>
      </w:r>
      <w:r w:rsidRPr="00155C6D">
        <w:rPr>
          <w:rFonts w:ascii="Times New Roman" w:hAnsi="Times New Roman" w:cs="Times New Roman"/>
          <w:sz w:val="22"/>
          <w:szCs w:val="22"/>
          <w:vertAlign w:val="superscript"/>
        </w:rPr>
        <w:t>®</w:t>
      </w:r>
      <w:r w:rsidRPr="00155C6D">
        <w:rPr>
          <w:rFonts w:ascii="Times New Roman" w:hAnsi="Times New Roman" w:cs="Times New Roman"/>
          <w:sz w:val="22"/>
          <w:szCs w:val="22"/>
        </w:rPr>
        <w:t xml:space="preserve"> Users Group International Conference. 2006 March 26–29; San Francisco, CA. Cary (NC): SAS Institute Inc.; 2006:1-17. </w:t>
      </w:r>
    </w:p>
  </w:endnote>
  <w:endnote w:id="15">
    <w:p w:rsidR="00751C78" w:rsidRDefault="00751C78" w:rsidP="00E53DC9">
      <w:pPr>
        <w:pStyle w:val="EndnoteText"/>
        <w:keepLines/>
        <w:rPr>
          <w:rFonts w:ascii="Times New Roman" w:hAnsi="Times New Roman" w:cs="Times New Roman"/>
          <w:sz w:val="22"/>
          <w:szCs w:val="22"/>
        </w:rPr>
      </w:pPr>
    </w:p>
    <w:p w:rsidR="00751C78" w:rsidRPr="0078430C" w:rsidRDefault="00751C78" w:rsidP="00E53DC9">
      <w:pPr>
        <w:pStyle w:val="EndnoteText"/>
        <w:keepLines/>
        <w:rPr>
          <w:rFonts w:ascii="Times New Roman" w:hAnsi="Times New Roman" w:cs="Times New Roman"/>
          <w:sz w:val="22"/>
          <w:szCs w:val="22"/>
        </w:rPr>
      </w:pPr>
      <w:r w:rsidRPr="00155C6D">
        <w:rPr>
          <w:rStyle w:val="EndnoteReference"/>
          <w:rFonts w:ascii="Times New Roman" w:hAnsi="Times New Roman" w:cs="Times New Roman"/>
          <w:sz w:val="22"/>
          <w:szCs w:val="22"/>
        </w:rPr>
        <w:endnoteRef/>
      </w:r>
      <w:r w:rsidRPr="00155C6D">
        <w:rPr>
          <w:rFonts w:ascii="Times New Roman" w:hAnsi="Times New Roman" w:cs="Times New Roman"/>
          <w:sz w:val="22"/>
          <w:szCs w:val="22"/>
        </w:rPr>
        <w:t xml:space="preserve"> Horn JL. A rationale and a test for the number of factors in factor analysis. </w:t>
      </w:r>
      <w:r w:rsidRPr="00155C6D">
        <w:rPr>
          <w:rFonts w:ascii="Times New Roman" w:hAnsi="Times New Roman" w:cs="Times New Roman"/>
          <w:iCs/>
          <w:sz w:val="22"/>
          <w:szCs w:val="22"/>
        </w:rPr>
        <w:t>Psychometrika</w:t>
      </w:r>
      <w:r>
        <w:rPr>
          <w:rFonts w:ascii="Times New Roman" w:hAnsi="Times New Roman" w:cs="Times New Roman"/>
          <w:iCs/>
          <w:sz w:val="22"/>
          <w:szCs w:val="22"/>
        </w:rPr>
        <w:t>,</w:t>
      </w:r>
      <w:r w:rsidRPr="00155C6D">
        <w:rPr>
          <w:rFonts w:ascii="Times New Roman" w:hAnsi="Times New Roman" w:cs="Times New Roman"/>
          <w:sz w:val="22"/>
          <w:szCs w:val="22"/>
        </w:rPr>
        <w:t xml:space="preserve"> 30: 179-85</w:t>
      </w:r>
      <w:r>
        <w:rPr>
          <w:rFonts w:ascii="Times New Roman" w:hAnsi="Times New Roman" w:cs="Times New Roman"/>
          <w:sz w:val="22"/>
          <w:szCs w:val="22"/>
        </w:rPr>
        <w:t>, 1965</w:t>
      </w:r>
      <w:r w:rsidRPr="00155C6D">
        <w:rPr>
          <w:rFonts w:ascii="Times New Roman" w:hAnsi="Times New Roman" w:cs="Times New Roman"/>
          <w:sz w:val="22"/>
          <w:szCs w:val="22"/>
        </w:rPr>
        <w:t>.</w:t>
      </w:r>
    </w:p>
  </w:endnote>
  <w:endnote w:id="16">
    <w:p w:rsidR="00751C78" w:rsidRDefault="00751C78" w:rsidP="00E53DC9">
      <w:pPr>
        <w:pStyle w:val="EndnoteText"/>
        <w:keepLines/>
        <w:rPr>
          <w:rFonts w:ascii="Times New Roman" w:hAnsi="Times New Roman" w:cs="Times New Roman"/>
          <w:sz w:val="22"/>
          <w:szCs w:val="22"/>
        </w:rPr>
      </w:pPr>
    </w:p>
    <w:p w:rsidR="00751C78" w:rsidRPr="0078430C" w:rsidRDefault="00751C78" w:rsidP="00E53DC9">
      <w:pPr>
        <w:pStyle w:val="EndnoteText"/>
        <w:keepLines/>
        <w:rPr>
          <w:rFonts w:ascii="Times New Roman" w:hAnsi="Times New Roman" w:cs="Times New Roman"/>
          <w:sz w:val="22"/>
          <w:szCs w:val="22"/>
        </w:rPr>
      </w:pPr>
      <w:r w:rsidRPr="00155C6D">
        <w:rPr>
          <w:rStyle w:val="EndnoteReference"/>
          <w:rFonts w:ascii="Times New Roman" w:hAnsi="Times New Roman" w:cs="Times New Roman"/>
          <w:sz w:val="22"/>
          <w:szCs w:val="22"/>
        </w:rPr>
        <w:endnoteRef/>
      </w:r>
      <w:r w:rsidRPr="00155C6D">
        <w:rPr>
          <w:rFonts w:ascii="Times New Roman" w:hAnsi="Times New Roman" w:cs="Times New Roman"/>
          <w:sz w:val="22"/>
          <w:szCs w:val="22"/>
        </w:rPr>
        <w:t xml:space="preserve"> Thurstone LL. </w:t>
      </w:r>
      <w:r w:rsidRPr="00155C6D">
        <w:rPr>
          <w:rStyle w:val="Emphasis"/>
          <w:rFonts w:ascii="Times New Roman" w:hAnsi="Times New Roman" w:cs="Times New Roman"/>
          <w:sz w:val="22"/>
          <w:szCs w:val="22"/>
        </w:rPr>
        <w:t>Multiple-factor analysis</w:t>
      </w:r>
      <w:r w:rsidRPr="00155C6D">
        <w:rPr>
          <w:rFonts w:ascii="Times New Roman" w:hAnsi="Times New Roman" w:cs="Times New Roman"/>
          <w:sz w:val="22"/>
          <w:szCs w:val="22"/>
        </w:rPr>
        <w:t>. Chicago: University of Chicago Press, 1947. </w:t>
      </w:r>
    </w:p>
  </w:endnote>
  <w:endnote w:id="17">
    <w:p w:rsidR="00751C78" w:rsidRDefault="00751C78" w:rsidP="00E53DC9">
      <w:pPr>
        <w:pStyle w:val="NormalWeb"/>
        <w:keepLines/>
        <w:spacing w:before="0" w:beforeAutospacing="0" w:after="40" w:afterAutospacing="0"/>
        <w:ind w:left="360" w:hanging="360"/>
        <w:rPr>
          <w:sz w:val="22"/>
          <w:szCs w:val="22"/>
        </w:rPr>
      </w:pPr>
    </w:p>
    <w:p w:rsidR="00751C78" w:rsidRPr="0078430C" w:rsidRDefault="00751C78" w:rsidP="00D1657C">
      <w:pPr>
        <w:pStyle w:val="NormalWeb"/>
        <w:keepLines/>
        <w:spacing w:before="0" w:beforeAutospacing="0" w:after="40" w:afterAutospacing="0"/>
        <w:ind w:left="360" w:hanging="360"/>
        <w:rPr>
          <w:sz w:val="22"/>
          <w:szCs w:val="22"/>
        </w:rPr>
      </w:pPr>
      <w:r w:rsidRPr="00155C6D">
        <w:rPr>
          <w:rStyle w:val="EndnoteReference"/>
          <w:rFonts w:eastAsiaTheme="majorEastAsia"/>
          <w:sz w:val="22"/>
          <w:szCs w:val="22"/>
        </w:rPr>
        <w:endnoteRef/>
      </w:r>
      <w:r w:rsidRPr="00155C6D">
        <w:rPr>
          <w:sz w:val="22"/>
          <w:szCs w:val="22"/>
        </w:rPr>
        <w:t xml:space="preserve"> Stevens J. Applied multivariate statistics for the social sciences.</w:t>
      </w:r>
      <w:r w:rsidRPr="00155C6D">
        <w:rPr>
          <w:i/>
          <w:sz w:val="22"/>
          <w:szCs w:val="22"/>
        </w:rPr>
        <w:t xml:space="preserve"> </w:t>
      </w:r>
      <w:r w:rsidRPr="00155C6D">
        <w:rPr>
          <w:sz w:val="22"/>
          <w:szCs w:val="22"/>
        </w:rPr>
        <w:t>2nd ed. Hillsdale, NJ: Erlbaum, 1992.</w:t>
      </w:r>
    </w:p>
  </w:endnote>
  <w:endnote w:id="18">
    <w:p w:rsidR="00751C78" w:rsidRDefault="00751C78" w:rsidP="00E53DC9">
      <w:pPr>
        <w:pStyle w:val="EndnoteText"/>
        <w:keepLines/>
        <w:rPr>
          <w:rFonts w:ascii="Times New Roman" w:hAnsi="Times New Roman" w:cs="Times New Roman"/>
          <w:sz w:val="22"/>
          <w:szCs w:val="22"/>
        </w:rPr>
      </w:pPr>
    </w:p>
    <w:p w:rsidR="00751C78" w:rsidRDefault="00751C78" w:rsidP="00D1657C">
      <w:pPr>
        <w:pStyle w:val="EndnoteText"/>
        <w:keepLines/>
        <w:spacing w:after="40"/>
        <w:ind w:left="360" w:hanging="360"/>
        <w:rPr>
          <w:rFonts w:ascii="Times New Roman" w:hAnsi="Times New Roman" w:cs="Times New Roman"/>
          <w:sz w:val="22"/>
          <w:szCs w:val="22"/>
        </w:rPr>
      </w:pPr>
      <w:r w:rsidRPr="00155C6D">
        <w:rPr>
          <w:rStyle w:val="EndnoteReference"/>
          <w:rFonts w:ascii="Times New Roman" w:hAnsi="Times New Roman" w:cs="Times New Roman"/>
          <w:sz w:val="22"/>
          <w:szCs w:val="22"/>
        </w:rPr>
        <w:endnoteRef/>
      </w:r>
      <w:r w:rsidRPr="00155C6D">
        <w:rPr>
          <w:rFonts w:ascii="Times New Roman" w:hAnsi="Times New Roman" w:cs="Times New Roman"/>
          <w:sz w:val="22"/>
          <w:szCs w:val="22"/>
        </w:rPr>
        <w:t xml:space="preserve"> Winer BJ. Statistical principles in experimental design. New York: McGraw-Hill, 1970. </w:t>
      </w:r>
    </w:p>
    <w:p w:rsidR="00751C78" w:rsidRPr="0078430C" w:rsidRDefault="00751C78" w:rsidP="00D1657C">
      <w:pPr>
        <w:pStyle w:val="EndnoteText"/>
        <w:keepLines/>
        <w:spacing w:after="40"/>
        <w:ind w:left="360" w:hanging="360"/>
        <w:rPr>
          <w:rFonts w:ascii="Times New Roman" w:hAnsi="Times New Roman" w:cs="Times New Roman"/>
          <w:sz w:val="22"/>
          <w:szCs w:val="22"/>
        </w:rPr>
      </w:pPr>
    </w:p>
  </w:endnote>
  <w:endnote w:id="19">
    <w:p w:rsidR="00751C78" w:rsidRPr="0078430C" w:rsidRDefault="00751C78" w:rsidP="00E53DC9">
      <w:pPr>
        <w:pStyle w:val="EndnoteText"/>
        <w:rPr>
          <w:rFonts w:ascii="Times New Roman" w:hAnsi="Times New Roman" w:cs="Times New Roman"/>
          <w:sz w:val="22"/>
          <w:szCs w:val="22"/>
        </w:rPr>
      </w:pPr>
      <w:r w:rsidRPr="00155C6D">
        <w:rPr>
          <w:rStyle w:val="EndnoteReference"/>
          <w:rFonts w:ascii="Times New Roman" w:hAnsi="Times New Roman" w:cs="Times New Roman"/>
          <w:sz w:val="22"/>
          <w:szCs w:val="22"/>
        </w:rPr>
        <w:endnoteRef/>
      </w:r>
      <w:r w:rsidRPr="00155C6D">
        <w:rPr>
          <w:rFonts w:ascii="Times New Roman" w:hAnsi="Times New Roman" w:cs="Times New Roman"/>
          <w:sz w:val="22"/>
          <w:szCs w:val="22"/>
        </w:rPr>
        <w:t xml:space="preserve"> Zaslavsky AM, Buntin MJB. Using survey measures to assess risk selection among Medicare Managed care plans. Inquiry</w:t>
      </w:r>
      <w:r>
        <w:rPr>
          <w:rFonts w:ascii="Times New Roman" w:hAnsi="Times New Roman" w:cs="Times New Roman"/>
          <w:sz w:val="22"/>
          <w:szCs w:val="22"/>
        </w:rPr>
        <w:t xml:space="preserve">, </w:t>
      </w:r>
      <w:r w:rsidRPr="00155C6D">
        <w:rPr>
          <w:rFonts w:ascii="Times New Roman" w:hAnsi="Times New Roman" w:cs="Times New Roman"/>
          <w:sz w:val="22"/>
          <w:szCs w:val="22"/>
        </w:rPr>
        <w:t>39(2):138-51</w:t>
      </w:r>
      <w:r>
        <w:rPr>
          <w:rFonts w:ascii="Times New Roman" w:hAnsi="Times New Roman" w:cs="Times New Roman"/>
          <w:sz w:val="22"/>
          <w:szCs w:val="22"/>
        </w:rPr>
        <w:t>, 1965</w:t>
      </w:r>
      <w:r w:rsidRPr="00155C6D">
        <w:rPr>
          <w:rFonts w:ascii="Times New Roman" w:hAnsi="Times New Roman" w:cs="Times New Roman"/>
          <w:sz w:val="22"/>
          <w:szCs w:val="22"/>
        </w:rPr>
        <w:t>.</w:t>
      </w:r>
    </w:p>
  </w:endnote>
  <w:endnote w:id="20">
    <w:p w:rsidR="00751C78" w:rsidRDefault="00751C78" w:rsidP="00E53DC9">
      <w:pPr>
        <w:pStyle w:val="EndnoteText"/>
        <w:keepLines/>
        <w:rPr>
          <w:rFonts w:ascii="Times New Roman" w:hAnsi="Times New Roman" w:cs="Times New Roman"/>
          <w:sz w:val="22"/>
          <w:szCs w:val="22"/>
        </w:rPr>
      </w:pPr>
    </w:p>
    <w:p w:rsidR="00751C78" w:rsidRPr="0078430C" w:rsidRDefault="00751C78" w:rsidP="00E53DC9">
      <w:pPr>
        <w:pStyle w:val="EndnoteText"/>
        <w:keepLines/>
        <w:rPr>
          <w:rFonts w:ascii="Times New Roman" w:hAnsi="Times New Roman" w:cs="Times New Roman"/>
          <w:sz w:val="22"/>
          <w:szCs w:val="22"/>
        </w:rPr>
      </w:pPr>
      <w:r w:rsidRPr="00155C6D">
        <w:rPr>
          <w:rStyle w:val="EndnoteReference"/>
          <w:rFonts w:ascii="Times New Roman" w:hAnsi="Times New Roman" w:cs="Times New Roman"/>
          <w:sz w:val="22"/>
          <w:szCs w:val="22"/>
        </w:rPr>
        <w:endnoteRef/>
      </w:r>
      <w:r w:rsidRPr="00155C6D">
        <w:rPr>
          <w:rFonts w:ascii="Times New Roman" w:hAnsi="Times New Roman" w:cs="Times New Roman"/>
          <w:sz w:val="22"/>
          <w:szCs w:val="22"/>
        </w:rPr>
        <w:t xml:space="preserve"> Hays RD, Revicki D. Reliability and validity (including responsiveness). In: Fayers P, Hays R, eds. Assessing quality of life in clinical trials: Methods and practices. 2nd ed. Oxford: Oxford University Press; 2005:41-53.</w:t>
      </w:r>
    </w:p>
  </w:endnote>
  <w:endnote w:id="21">
    <w:p w:rsidR="00751C78" w:rsidRDefault="00751C78" w:rsidP="00E53DC9">
      <w:pPr>
        <w:pStyle w:val="EndnoteText"/>
        <w:keepLines/>
        <w:rPr>
          <w:rFonts w:ascii="Times New Roman" w:hAnsi="Times New Roman" w:cs="Times New Roman"/>
          <w:sz w:val="22"/>
          <w:szCs w:val="22"/>
        </w:rPr>
      </w:pPr>
    </w:p>
    <w:p w:rsidR="00751C78" w:rsidRPr="0078430C" w:rsidRDefault="00751C78" w:rsidP="00E53DC9">
      <w:pPr>
        <w:pStyle w:val="EndnoteText"/>
        <w:keepLines/>
        <w:rPr>
          <w:rFonts w:ascii="Times New Roman" w:hAnsi="Times New Roman" w:cs="Times New Roman"/>
          <w:sz w:val="22"/>
          <w:szCs w:val="22"/>
        </w:rPr>
      </w:pPr>
      <w:r w:rsidRPr="00155C6D">
        <w:rPr>
          <w:rStyle w:val="EndnoteReference"/>
          <w:rFonts w:ascii="Times New Roman" w:hAnsi="Times New Roman" w:cs="Times New Roman"/>
          <w:sz w:val="22"/>
          <w:szCs w:val="22"/>
        </w:rPr>
        <w:endnoteRef/>
      </w:r>
      <w:r w:rsidRPr="00155C6D">
        <w:rPr>
          <w:rFonts w:ascii="Times New Roman" w:hAnsi="Times New Roman" w:cs="Times New Roman"/>
          <w:sz w:val="22"/>
          <w:szCs w:val="22"/>
        </w:rPr>
        <w:t xml:space="preserve"> Nunnally JC. </w:t>
      </w:r>
      <w:r w:rsidRPr="00155C6D">
        <w:rPr>
          <w:rFonts w:ascii="Times New Roman" w:hAnsi="Times New Roman" w:cs="Times New Roman"/>
          <w:iCs/>
          <w:sz w:val="22"/>
          <w:szCs w:val="22"/>
        </w:rPr>
        <w:t>Psychometric theory.</w:t>
      </w:r>
      <w:r w:rsidRPr="00155C6D">
        <w:rPr>
          <w:rFonts w:ascii="Times New Roman" w:hAnsi="Times New Roman" w:cs="Times New Roman"/>
          <w:sz w:val="22"/>
          <w:szCs w:val="22"/>
        </w:rPr>
        <w:t xml:space="preserve"> 2nd edition. New York: McGraw</w:t>
      </w:r>
      <w:r w:rsidRPr="00155C6D">
        <w:rPr>
          <w:rFonts w:ascii="Times New Roman" w:hAnsi="Times New Roman" w:cs="Times New Roman"/>
          <w:sz w:val="22"/>
          <w:szCs w:val="22"/>
        </w:rPr>
        <w:noBreakHyphen/>
        <w:t>Hill Book Company; 1978.</w:t>
      </w:r>
    </w:p>
  </w:endnote>
  <w:endnote w:id="22">
    <w:p w:rsidR="00751C78" w:rsidRDefault="00751C78" w:rsidP="00E53DC9">
      <w:pPr>
        <w:pStyle w:val="EndnoteText"/>
        <w:keepLines/>
        <w:rPr>
          <w:rFonts w:ascii="Times New Roman" w:hAnsi="Times New Roman" w:cs="Times New Roman"/>
          <w:sz w:val="22"/>
          <w:szCs w:val="22"/>
        </w:rPr>
      </w:pPr>
    </w:p>
    <w:p w:rsidR="00751C78" w:rsidRPr="0078430C" w:rsidRDefault="00751C78" w:rsidP="00E53DC9">
      <w:pPr>
        <w:pStyle w:val="EndnoteText"/>
        <w:keepLines/>
        <w:rPr>
          <w:rFonts w:ascii="Times New Roman" w:hAnsi="Times New Roman" w:cs="Times New Roman"/>
          <w:sz w:val="22"/>
          <w:szCs w:val="22"/>
        </w:rPr>
      </w:pPr>
      <w:r w:rsidRPr="00155C6D">
        <w:rPr>
          <w:rStyle w:val="EndnoteReference"/>
          <w:rFonts w:ascii="Times New Roman" w:hAnsi="Times New Roman" w:cs="Times New Roman"/>
          <w:sz w:val="22"/>
          <w:szCs w:val="22"/>
        </w:rPr>
        <w:endnoteRef/>
      </w:r>
      <w:r w:rsidRPr="00155C6D">
        <w:rPr>
          <w:rFonts w:ascii="Times New Roman" w:hAnsi="Times New Roman" w:cs="Times New Roman"/>
          <w:sz w:val="22"/>
          <w:szCs w:val="22"/>
        </w:rPr>
        <w:t xml:space="preserve"> Spearman CC. Correlation calculated from faulty data. Brit J Psychol 1910;3:271-95. </w:t>
      </w:r>
    </w:p>
  </w:endnote>
  <w:endnote w:id="23">
    <w:p w:rsidR="00751C78" w:rsidRDefault="00751C78" w:rsidP="00E53DC9">
      <w:pPr>
        <w:pStyle w:val="EndnoteText"/>
        <w:keepLines/>
        <w:rPr>
          <w:rFonts w:ascii="Times New Roman" w:hAnsi="Times New Roman" w:cs="Times New Roman"/>
          <w:sz w:val="22"/>
          <w:szCs w:val="22"/>
        </w:rPr>
      </w:pPr>
    </w:p>
    <w:p w:rsidR="00751C78" w:rsidRPr="0078430C" w:rsidRDefault="00751C78" w:rsidP="00E53DC9">
      <w:pPr>
        <w:pStyle w:val="EndnoteText"/>
        <w:keepLines/>
        <w:rPr>
          <w:rFonts w:ascii="Times New Roman" w:hAnsi="Times New Roman" w:cs="Times New Roman"/>
          <w:sz w:val="22"/>
          <w:szCs w:val="22"/>
        </w:rPr>
      </w:pPr>
      <w:r w:rsidRPr="00155C6D">
        <w:rPr>
          <w:rStyle w:val="EndnoteReference"/>
          <w:rFonts w:ascii="Times New Roman" w:hAnsi="Times New Roman" w:cs="Times New Roman"/>
          <w:sz w:val="22"/>
          <w:szCs w:val="22"/>
        </w:rPr>
        <w:endnoteRef/>
      </w:r>
      <w:r w:rsidRPr="00155C6D">
        <w:rPr>
          <w:rFonts w:ascii="Times New Roman" w:hAnsi="Times New Roman" w:cs="Times New Roman"/>
          <w:sz w:val="22"/>
          <w:szCs w:val="22"/>
        </w:rPr>
        <w:t xml:space="preserve"> Brown W. Some experimental results in the correlation of mental abilities. Brit</w:t>
      </w:r>
      <w:r>
        <w:rPr>
          <w:rFonts w:ascii="Times New Roman" w:hAnsi="Times New Roman" w:cs="Times New Roman"/>
          <w:sz w:val="22"/>
          <w:szCs w:val="22"/>
        </w:rPr>
        <w:t>ish</w:t>
      </w:r>
      <w:r w:rsidRPr="00155C6D">
        <w:rPr>
          <w:rFonts w:ascii="Times New Roman" w:hAnsi="Times New Roman" w:cs="Times New Roman"/>
          <w:sz w:val="22"/>
          <w:szCs w:val="22"/>
        </w:rPr>
        <w:t xml:space="preserve"> J</w:t>
      </w:r>
      <w:r>
        <w:rPr>
          <w:rFonts w:ascii="Times New Roman" w:hAnsi="Times New Roman" w:cs="Times New Roman"/>
          <w:sz w:val="22"/>
          <w:szCs w:val="22"/>
        </w:rPr>
        <w:t xml:space="preserve">ournal of </w:t>
      </w:r>
      <w:r w:rsidRPr="00155C6D">
        <w:rPr>
          <w:rFonts w:ascii="Times New Roman" w:hAnsi="Times New Roman" w:cs="Times New Roman"/>
          <w:sz w:val="22"/>
          <w:szCs w:val="22"/>
        </w:rPr>
        <w:t>Psychol</w:t>
      </w:r>
      <w:r>
        <w:rPr>
          <w:rFonts w:ascii="Times New Roman" w:hAnsi="Times New Roman" w:cs="Times New Roman"/>
          <w:sz w:val="22"/>
          <w:szCs w:val="22"/>
        </w:rPr>
        <w:t xml:space="preserve">ogy, </w:t>
      </w:r>
      <w:r w:rsidRPr="00155C6D">
        <w:rPr>
          <w:rFonts w:ascii="Times New Roman" w:hAnsi="Times New Roman" w:cs="Times New Roman"/>
          <w:sz w:val="22"/>
          <w:szCs w:val="22"/>
        </w:rPr>
        <w:t>3:296-322</w:t>
      </w:r>
      <w:r>
        <w:rPr>
          <w:rFonts w:ascii="Times New Roman" w:hAnsi="Times New Roman" w:cs="Times New Roman"/>
          <w:sz w:val="22"/>
          <w:szCs w:val="22"/>
        </w:rPr>
        <w:t>, 1910</w:t>
      </w:r>
      <w:r w:rsidRPr="00155C6D">
        <w:rPr>
          <w:rFonts w:ascii="Times New Roman" w:hAnsi="Times New Roman" w:cs="Times New Roman"/>
          <w:sz w:val="22"/>
          <w:szCs w:val="22"/>
        </w:rPr>
        <w:t>.</w:t>
      </w:r>
    </w:p>
  </w:endnote>
  <w:endnote w:id="24">
    <w:p w:rsidR="00751C78" w:rsidRDefault="00751C78" w:rsidP="00E53DC9">
      <w:pPr>
        <w:pStyle w:val="EndnoteText"/>
        <w:keepLines/>
        <w:rPr>
          <w:rFonts w:ascii="Times New Roman" w:hAnsi="Times New Roman" w:cs="Times New Roman"/>
          <w:sz w:val="22"/>
          <w:szCs w:val="22"/>
        </w:rPr>
      </w:pPr>
    </w:p>
    <w:p w:rsidR="00751C78" w:rsidRPr="0078430C" w:rsidRDefault="00751C78" w:rsidP="00E53DC9">
      <w:pPr>
        <w:pStyle w:val="EndnoteText"/>
        <w:keepLines/>
        <w:rPr>
          <w:rFonts w:ascii="Times New Roman" w:hAnsi="Times New Roman" w:cs="Times New Roman"/>
          <w:sz w:val="22"/>
          <w:szCs w:val="22"/>
        </w:rPr>
      </w:pPr>
      <w:r w:rsidRPr="00155C6D">
        <w:rPr>
          <w:rStyle w:val="EndnoteReference"/>
          <w:rFonts w:ascii="Times New Roman" w:hAnsi="Times New Roman" w:cs="Times New Roman"/>
          <w:sz w:val="22"/>
          <w:szCs w:val="22"/>
        </w:rPr>
        <w:endnoteRef/>
      </w:r>
      <w:r w:rsidRPr="00155C6D">
        <w:rPr>
          <w:rFonts w:ascii="Times New Roman" w:hAnsi="Times New Roman" w:cs="Times New Roman"/>
          <w:sz w:val="22"/>
          <w:szCs w:val="22"/>
        </w:rPr>
        <w:t xml:space="preserve"> Howard KI, Forehand GG. A method for correcting item-total correlations for the effect of relevant item inclusion</w:t>
      </w:r>
      <w:r>
        <w:rPr>
          <w:rFonts w:ascii="Times New Roman" w:hAnsi="Times New Roman" w:cs="Times New Roman"/>
          <w:sz w:val="22"/>
          <w:szCs w:val="22"/>
        </w:rPr>
        <w:t xml:space="preserve">, </w:t>
      </w:r>
      <w:r w:rsidRPr="00155C6D">
        <w:rPr>
          <w:rFonts w:ascii="Times New Roman" w:hAnsi="Times New Roman" w:cs="Times New Roman"/>
          <w:sz w:val="22"/>
          <w:szCs w:val="22"/>
        </w:rPr>
        <w:t>Educ</w:t>
      </w:r>
      <w:r>
        <w:rPr>
          <w:rFonts w:ascii="Times New Roman" w:hAnsi="Times New Roman" w:cs="Times New Roman"/>
          <w:sz w:val="22"/>
          <w:szCs w:val="22"/>
        </w:rPr>
        <w:t>ational</w:t>
      </w:r>
      <w:r w:rsidRPr="00155C6D">
        <w:rPr>
          <w:rFonts w:ascii="Times New Roman" w:hAnsi="Times New Roman" w:cs="Times New Roman"/>
          <w:sz w:val="22"/>
          <w:szCs w:val="22"/>
        </w:rPr>
        <w:t xml:space="preserve"> </w:t>
      </w:r>
      <w:r>
        <w:rPr>
          <w:rFonts w:ascii="Times New Roman" w:hAnsi="Times New Roman" w:cs="Times New Roman"/>
          <w:sz w:val="22"/>
          <w:szCs w:val="22"/>
        </w:rPr>
        <w:t xml:space="preserve">and </w:t>
      </w:r>
      <w:r w:rsidRPr="00155C6D">
        <w:rPr>
          <w:rFonts w:ascii="Times New Roman" w:hAnsi="Times New Roman" w:cs="Times New Roman"/>
          <w:sz w:val="22"/>
          <w:szCs w:val="22"/>
        </w:rPr>
        <w:t>Psychol</w:t>
      </w:r>
      <w:r>
        <w:rPr>
          <w:rFonts w:ascii="Times New Roman" w:hAnsi="Times New Roman" w:cs="Times New Roman"/>
          <w:sz w:val="22"/>
          <w:szCs w:val="22"/>
        </w:rPr>
        <w:t>ogical</w:t>
      </w:r>
      <w:r w:rsidRPr="00155C6D">
        <w:rPr>
          <w:rFonts w:ascii="Times New Roman" w:hAnsi="Times New Roman" w:cs="Times New Roman"/>
          <w:sz w:val="22"/>
          <w:szCs w:val="22"/>
        </w:rPr>
        <w:t xml:space="preserve"> Meas</w:t>
      </w:r>
      <w:r>
        <w:rPr>
          <w:rFonts w:ascii="Times New Roman" w:hAnsi="Times New Roman" w:cs="Times New Roman"/>
          <w:sz w:val="22"/>
          <w:szCs w:val="22"/>
        </w:rPr>
        <w:t>urement,</w:t>
      </w:r>
      <w:r w:rsidRPr="0078430C" w:rsidDel="001410EA">
        <w:rPr>
          <w:rFonts w:ascii="Times New Roman" w:hAnsi="Times New Roman" w:cs="Times New Roman"/>
          <w:sz w:val="22"/>
          <w:szCs w:val="22"/>
        </w:rPr>
        <w:t xml:space="preserve"> </w:t>
      </w:r>
      <w:r w:rsidRPr="00155C6D">
        <w:rPr>
          <w:rFonts w:ascii="Times New Roman" w:hAnsi="Times New Roman" w:cs="Times New Roman"/>
          <w:sz w:val="22"/>
          <w:szCs w:val="22"/>
        </w:rPr>
        <w:t>22(4):731-5</w:t>
      </w:r>
      <w:r>
        <w:rPr>
          <w:rFonts w:ascii="Times New Roman" w:hAnsi="Times New Roman" w:cs="Times New Roman"/>
          <w:sz w:val="22"/>
          <w:szCs w:val="22"/>
        </w:rPr>
        <w:t>, 1962</w:t>
      </w:r>
      <w:r w:rsidRPr="00155C6D">
        <w:rPr>
          <w:rFonts w:ascii="Times New Roman" w:hAnsi="Times New Roman" w:cs="Times New Roman"/>
          <w:sz w:val="22"/>
          <w:szCs w:val="22"/>
        </w:rPr>
        <w:t>.</w:t>
      </w:r>
    </w:p>
  </w:endnote>
  <w:endnote w:id="25">
    <w:p w:rsidR="00751C78" w:rsidRDefault="00751C78" w:rsidP="00E53DC9">
      <w:pPr>
        <w:pStyle w:val="EndnoteText"/>
        <w:keepLines/>
        <w:rPr>
          <w:rFonts w:ascii="Times New Roman" w:hAnsi="Times New Roman" w:cs="Times New Roman"/>
          <w:sz w:val="22"/>
          <w:szCs w:val="22"/>
        </w:rPr>
      </w:pPr>
    </w:p>
    <w:p w:rsidR="00751C78" w:rsidRPr="0078430C" w:rsidRDefault="00751C78" w:rsidP="00E53DC9">
      <w:pPr>
        <w:pStyle w:val="EndnoteText"/>
        <w:keepLines/>
        <w:rPr>
          <w:rFonts w:ascii="Times New Roman" w:hAnsi="Times New Roman" w:cs="Times New Roman"/>
          <w:sz w:val="22"/>
          <w:szCs w:val="22"/>
        </w:rPr>
      </w:pPr>
      <w:r w:rsidRPr="00155C6D">
        <w:rPr>
          <w:rStyle w:val="EndnoteReference"/>
          <w:rFonts w:ascii="Times New Roman" w:hAnsi="Times New Roman" w:cs="Times New Roman"/>
          <w:sz w:val="22"/>
          <w:szCs w:val="22"/>
        </w:rPr>
        <w:endnoteRef/>
      </w:r>
      <w:r w:rsidRPr="00155C6D">
        <w:rPr>
          <w:rFonts w:ascii="Times New Roman" w:hAnsi="Times New Roman" w:cs="Times New Roman"/>
          <w:sz w:val="22"/>
          <w:szCs w:val="22"/>
        </w:rPr>
        <w:t xml:space="preserve"> Campbell DT, Fiske DW. Convergent and discriminant validation by the multitrait-multimethod matrix. Psychol</w:t>
      </w:r>
      <w:r>
        <w:rPr>
          <w:rFonts w:ascii="Times New Roman" w:hAnsi="Times New Roman" w:cs="Times New Roman"/>
          <w:sz w:val="22"/>
          <w:szCs w:val="22"/>
        </w:rPr>
        <w:t>ical</w:t>
      </w:r>
      <w:r w:rsidRPr="00155C6D">
        <w:rPr>
          <w:rFonts w:ascii="Times New Roman" w:hAnsi="Times New Roman" w:cs="Times New Roman"/>
          <w:sz w:val="22"/>
          <w:szCs w:val="22"/>
        </w:rPr>
        <w:t xml:space="preserve"> Bull</w:t>
      </w:r>
      <w:r>
        <w:rPr>
          <w:rFonts w:ascii="Times New Roman" w:hAnsi="Times New Roman" w:cs="Times New Roman"/>
          <w:sz w:val="22"/>
          <w:szCs w:val="22"/>
        </w:rPr>
        <w:t xml:space="preserve">etin, </w:t>
      </w:r>
      <w:r w:rsidRPr="00155C6D">
        <w:rPr>
          <w:rFonts w:ascii="Times New Roman" w:hAnsi="Times New Roman" w:cs="Times New Roman"/>
          <w:sz w:val="22"/>
          <w:szCs w:val="22"/>
        </w:rPr>
        <w:t>56:81-105</w:t>
      </w:r>
      <w:r>
        <w:rPr>
          <w:rFonts w:ascii="Times New Roman" w:hAnsi="Times New Roman" w:cs="Times New Roman"/>
          <w:sz w:val="22"/>
          <w:szCs w:val="22"/>
        </w:rPr>
        <w:t>, 1962</w:t>
      </w:r>
      <w:r w:rsidRPr="00155C6D">
        <w:rPr>
          <w:rFonts w:ascii="Times New Roman" w:hAnsi="Times New Roman" w:cs="Times New Roman"/>
          <w:sz w:val="22"/>
          <w:szCs w:val="22"/>
        </w:rPr>
        <w:t>.</w:t>
      </w:r>
    </w:p>
  </w:endnote>
  <w:endnote w:id="26">
    <w:p w:rsidR="00751C78" w:rsidRDefault="00751C78" w:rsidP="00E53DC9">
      <w:pPr>
        <w:pStyle w:val="EndnoteText"/>
        <w:keepLines/>
        <w:rPr>
          <w:rFonts w:ascii="Times New Roman" w:hAnsi="Times New Roman" w:cs="Times New Roman"/>
          <w:sz w:val="22"/>
          <w:szCs w:val="22"/>
        </w:rPr>
      </w:pPr>
    </w:p>
    <w:p w:rsidR="00751C78" w:rsidRPr="0078430C" w:rsidRDefault="00751C78" w:rsidP="00E53DC9">
      <w:pPr>
        <w:pStyle w:val="EndnoteText"/>
        <w:keepLines/>
        <w:rPr>
          <w:rFonts w:ascii="Times New Roman" w:hAnsi="Times New Roman" w:cs="Times New Roman"/>
          <w:sz w:val="22"/>
          <w:szCs w:val="22"/>
        </w:rPr>
      </w:pPr>
      <w:r w:rsidRPr="00155C6D">
        <w:rPr>
          <w:rStyle w:val="EndnoteReference"/>
          <w:rFonts w:ascii="Times New Roman" w:hAnsi="Times New Roman" w:cs="Times New Roman"/>
          <w:sz w:val="22"/>
          <w:szCs w:val="22"/>
        </w:rPr>
        <w:endnoteRef/>
      </w:r>
      <w:r w:rsidRPr="00155C6D">
        <w:rPr>
          <w:rFonts w:ascii="Times New Roman" w:hAnsi="Times New Roman" w:cs="Times New Roman"/>
          <w:sz w:val="22"/>
          <w:szCs w:val="22"/>
        </w:rPr>
        <w:t xml:space="preserve"> O’Malley AJ, Zaslavsky AM, Elliott MN, Zaborski L, Cleary PD. Case-mix adjustment of the CAHPS Hospital Survey. Health Serv</w:t>
      </w:r>
      <w:r>
        <w:rPr>
          <w:rFonts w:ascii="Times New Roman" w:hAnsi="Times New Roman" w:cs="Times New Roman"/>
          <w:sz w:val="22"/>
          <w:szCs w:val="22"/>
        </w:rPr>
        <w:t>ices</w:t>
      </w:r>
      <w:r w:rsidRPr="00155C6D">
        <w:rPr>
          <w:rFonts w:ascii="Times New Roman" w:hAnsi="Times New Roman" w:cs="Times New Roman"/>
          <w:sz w:val="22"/>
          <w:szCs w:val="22"/>
        </w:rPr>
        <w:t xml:space="preserve"> Res</w:t>
      </w:r>
      <w:r>
        <w:rPr>
          <w:rFonts w:ascii="Times New Roman" w:hAnsi="Times New Roman" w:cs="Times New Roman"/>
          <w:sz w:val="22"/>
          <w:szCs w:val="22"/>
        </w:rPr>
        <w:t xml:space="preserve">earch, </w:t>
      </w:r>
      <w:r w:rsidRPr="00155C6D">
        <w:rPr>
          <w:rFonts w:ascii="Times New Roman" w:hAnsi="Times New Roman" w:cs="Times New Roman"/>
          <w:sz w:val="22"/>
          <w:szCs w:val="22"/>
        </w:rPr>
        <w:t>40(6, pt 2):2162–81</w:t>
      </w:r>
      <w:r>
        <w:rPr>
          <w:rFonts w:ascii="Times New Roman" w:hAnsi="Times New Roman" w:cs="Times New Roman"/>
          <w:sz w:val="22"/>
          <w:szCs w:val="22"/>
        </w:rPr>
        <w:t xml:space="preserve">, </w:t>
      </w:r>
      <w:r w:rsidRPr="0078430C">
        <w:rPr>
          <w:rFonts w:ascii="Times New Roman" w:hAnsi="Times New Roman" w:cs="Times New Roman"/>
          <w:sz w:val="22"/>
          <w:szCs w:val="22"/>
        </w:rPr>
        <w:t>2005</w:t>
      </w:r>
      <w:r>
        <w:rPr>
          <w:rFonts w:ascii="Times New Roman" w:hAnsi="Times New Roman" w:cs="Times New Roman"/>
          <w:sz w:val="22"/>
          <w:szCs w:val="22"/>
        </w:rPr>
        <w:t>.</w:t>
      </w:r>
    </w:p>
  </w:endnote>
  <w:endnote w:id="27">
    <w:p w:rsidR="00751C78" w:rsidRDefault="00751C78" w:rsidP="00E53DC9">
      <w:pPr>
        <w:keepLines/>
        <w:spacing w:after="40"/>
        <w:ind w:left="360" w:hanging="360"/>
        <w:rPr>
          <w:sz w:val="22"/>
          <w:szCs w:val="22"/>
        </w:rPr>
      </w:pPr>
    </w:p>
    <w:p w:rsidR="00751C78" w:rsidRPr="0078430C" w:rsidRDefault="00751C78" w:rsidP="00633217">
      <w:pPr>
        <w:keepLines/>
        <w:spacing w:after="40"/>
        <w:rPr>
          <w:sz w:val="22"/>
          <w:szCs w:val="22"/>
        </w:rPr>
      </w:pPr>
      <w:r w:rsidRPr="00155C6D">
        <w:rPr>
          <w:rStyle w:val="EndnoteReference"/>
          <w:rFonts w:eastAsiaTheme="majorEastAsia"/>
          <w:sz w:val="22"/>
          <w:szCs w:val="22"/>
        </w:rPr>
        <w:endnoteRef/>
      </w:r>
      <w:r w:rsidRPr="00155C6D">
        <w:rPr>
          <w:sz w:val="22"/>
          <w:szCs w:val="22"/>
        </w:rPr>
        <w:t xml:space="preserve"> Zaslavsky AM. Proceedings of the Joint Statistical Meetings. (Section on Government Statistics and Social Statistics), American Statistical Association; 1998. Issues in Case-Mix Adjustment of Measures of the Quality of Health Plans; pp. 56–65.</w:t>
      </w:r>
    </w:p>
    <w:p w:rsidR="00751C78" w:rsidRPr="0078430C" w:rsidRDefault="00751C78" w:rsidP="00E53DC9">
      <w:pPr>
        <w:pStyle w:val="EndnoteText"/>
        <w:rPr>
          <w:rFonts w:ascii="Times New Roman" w:hAnsi="Times New Roman" w:cs="Times New Roman"/>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C78" w:rsidRDefault="00751C78">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51C78" w:rsidRDefault="00751C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604"/>
      <w:docPartObj>
        <w:docPartGallery w:val="Page Numbers (Bottom of Page)"/>
        <w:docPartUnique/>
      </w:docPartObj>
    </w:sdtPr>
    <w:sdtEndPr/>
    <w:sdtContent>
      <w:p w:rsidR="00751C78" w:rsidRDefault="00751C78">
        <w:pPr>
          <w:pStyle w:val="Footer"/>
          <w:jc w:val="center"/>
        </w:pPr>
        <w:r>
          <w:fldChar w:fldCharType="begin"/>
        </w:r>
        <w:r>
          <w:instrText xml:space="preserve"> PAGE   \* MERGEFORMAT </w:instrText>
        </w:r>
        <w:r>
          <w:fldChar w:fldCharType="separate"/>
        </w:r>
        <w:r w:rsidR="00A77666">
          <w:rPr>
            <w:noProof/>
          </w:rPr>
          <w:t>i</w:t>
        </w:r>
        <w:r>
          <w:rPr>
            <w:noProof/>
          </w:rPr>
          <w:fldChar w:fldCharType="end"/>
        </w:r>
      </w:p>
    </w:sdtContent>
  </w:sdt>
  <w:p w:rsidR="00751C78" w:rsidRDefault="00751C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607"/>
      <w:docPartObj>
        <w:docPartGallery w:val="Page Numbers (Bottom of Page)"/>
        <w:docPartUnique/>
      </w:docPartObj>
    </w:sdtPr>
    <w:sdtEndPr>
      <w:rPr>
        <w:rFonts w:ascii="Times New Roman" w:hAnsi="Times New Roman"/>
      </w:rPr>
    </w:sdtEndPr>
    <w:sdtContent>
      <w:p w:rsidR="00751C78" w:rsidRPr="00F950D2" w:rsidRDefault="00751C78" w:rsidP="00D77131">
        <w:pPr>
          <w:pStyle w:val="Footer"/>
          <w:rPr>
            <w:rFonts w:ascii="Times New Roman" w:hAnsi="Times New Roman"/>
          </w:rPr>
        </w:pPr>
        <w:r w:rsidRPr="00F950D2">
          <w:rPr>
            <w:rFonts w:ascii="Times New Roman" w:hAnsi="Times New Roman"/>
          </w:rPr>
          <w:t>OMB Package_Supporting Statement Part A: Small Scale Pilot</w:t>
        </w:r>
        <w:r w:rsidRPr="00F950D2">
          <w:rPr>
            <w:rFonts w:ascii="Times New Roman" w:hAnsi="Times New Roman"/>
          </w:rPr>
          <w:tab/>
        </w:r>
        <w:r w:rsidRPr="00F950D2">
          <w:rPr>
            <w:rFonts w:ascii="Times New Roman" w:hAnsi="Times New Roman"/>
          </w:rPr>
          <w:fldChar w:fldCharType="begin"/>
        </w:r>
        <w:r w:rsidRPr="00F950D2">
          <w:rPr>
            <w:rFonts w:ascii="Times New Roman" w:hAnsi="Times New Roman"/>
          </w:rPr>
          <w:instrText xml:space="preserve"> PAGE   \* MERGEFORMAT </w:instrText>
        </w:r>
        <w:r w:rsidRPr="00F950D2">
          <w:rPr>
            <w:rFonts w:ascii="Times New Roman" w:hAnsi="Times New Roman"/>
          </w:rPr>
          <w:fldChar w:fldCharType="separate"/>
        </w:r>
        <w:r w:rsidR="00A77666">
          <w:rPr>
            <w:rFonts w:ascii="Times New Roman" w:hAnsi="Times New Roman"/>
            <w:noProof/>
          </w:rPr>
          <w:t>8</w:t>
        </w:r>
        <w:r w:rsidRPr="00F950D2">
          <w:rPr>
            <w:rFonts w:ascii="Times New Roman" w:hAnsi="Times New Roman"/>
            <w:noProof/>
          </w:rPr>
          <w:fldChar w:fldCharType="end"/>
        </w:r>
      </w:p>
    </w:sdtContent>
  </w:sdt>
  <w:p w:rsidR="00751C78" w:rsidRDefault="00751C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C78" w:rsidRDefault="00751C78">
      <w:r>
        <w:separator/>
      </w:r>
    </w:p>
  </w:footnote>
  <w:footnote w:type="continuationSeparator" w:id="0">
    <w:p w:rsidR="00751C78" w:rsidRDefault="00751C78">
      <w:r>
        <w:continuationSeparator/>
      </w:r>
    </w:p>
  </w:footnote>
  <w:footnote w:id="1">
    <w:p w:rsidR="00751C78" w:rsidRPr="00184D66" w:rsidRDefault="00751C78" w:rsidP="00E53DC9">
      <w:pPr>
        <w:pStyle w:val="FootnoteText"/>
      </w:pPr>
      <w:r w:rsidRPr="00D713FC">
        <w:rPr>
          <w:rStyle w:val="FooterChar"/>
          <w:szCs w:val="18"/>
          <w:vertAlign w:val="superscript"/>
        </w:rPr>
        <w:footnoteRef/>
      </w:r>
      <w:r w:rsidRPr="00184D66">
        <w:t xml:space="preserve"> </w:t>
      </w:r>
      <w:r w:rsidRPr="00F2026F">
        <w:t xml:space="preserve">Comprehensive instructions for using the CAHPS analysis program are provided in </w:t>
      </w:r>
      <w:r w:rsidRPr="00F2026F">
        <w:rPr>
          <w:b/>
          <w:i/>
        </w:rPr>
        <w:t>Instructions for Analyzing CAHPS Data</w:t>
      </w:r>
      <w:r w:rsidRPr="00F2026F">
        <w:t xml:space="preserve"> (Document No. 15), which is included in the </w:t>
      </w:r>
      <w:r w:rsidRPr="00F2026F">
        <w:rPr>
          <w:b/>
          <w:i/>
        </w:rPr>
        <w:t>CAHPS Survey</w:t>
      </w:r>
      <w:r>
        <w:rPr>
          <w:b/>
          <w:i/>
        </w:rPr>
        <w:t xml:space="preserve"> and Reporting Kit. </w:t>
      </w:r>
      <w:r w:rsidRPr="00184D66">
        <w:t xml:space="preserve">CAHPS Reporting Kit materials are available at: </w:t>
      </w:r>
      <w:hyperlink r:id="rId1" w:history="1">
        <w:r w:rsidRPr="00184D66">
          <w:rPr>
            <w:rStyle w:val="Hyperlink"/>
            <w:szCs w:val="18"/>
          </w:rPr>
          <w:t>https://www.cahps.ahrq.gov/cahpskit/CAHPSKIT_main.asp</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1A9"/>
    <w:multiLevelType w:val="hybridMultilevel"/>
    <w:tmpl w:val="4AD43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950B1"/>
    <w:multiLevelType w:val="hybridMultilevel"/>
    <w:tmpl w:val="95E4CC52"/>
    <w:lvl w:ilvl="0" w:tplc="04090001">
      <w:start w:val="1"/>
      <w:numFmt w:val="bullet"/>
      <w:lvlText w:val=""/>
      <w:lvlJc w:val="left"/>
      <w:pPr>
        <w:ind w:left="720" w:hanging="360"/>
      </w:pPr>
      <w:rPr>
        <w:rFonts w:ascii="Symbol" w:hAnsi="Symbol" w:hint="default"/>
        <w:color w:val="auto"/>
        <w:spacing w:val="-20"/>
        <w:w w:val="10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80CF4"/>
    <w:multiLevelType w:val="hybridMultilevel"/>
    <w:tmpl w:val="C9CE939E"/>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D332A1"/>
    <w:multiLevelType w:val="singleLevel"/>
    <w:tmpl w:val="04090001"/>
    <w:lvl w:ilvl="0">
      <w:start w:val="1"/>
      <w:numFmt w:val="bullet"/>
      <w:pStyle w:val="CCNumberlistlast"/>
      <w:lvlText w:val=""/>
      <w:lvlJc w:val="left"/>
      <w:pPr>
        <w:tabs>
          <w:tab w:val="num" w:pos="360"/>
        </w:tabs>
        <w:ind w:left="360" w:hanging="360"/>
      </w:pPr>
      <w:rPr>
        <w:rFonts w:ascii="Symbol" w:hAnsi="Symbol" w:hint="default"/>
      </w:rPr>
    </w:lvl>
  </w:abstractNum>
  <w:abstractNum w:abstractNumId="4">
    <w:nsid w:val="1C505B9C"/>
    <w:multiLevelType w:val="hybridMultilevel"/>
    <w:tmpl w:val="40767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A83886"/>
    <w:multiLevelType w:val="hybridMultilevel"/>
    <w:tmpl w:val="71A2DB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3EF20F4"/>
    <w:multiLevelType w:val="hybridMultilevel"/>
    <w:tmpl w:val="9D9C1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794CAC"/>
    <w:multiLevelType w:val="hybridMultilevel"/>
    <w:tmpl w:val="EF5401D6"/>
    <w:lvl w:ilvl="0" w:tplc="C2247656">
      <w:start w:val="1"/>
      <w:numFmt w:val="bullet"/>
      <w:pStyle w:val="CCBullet1"/>
      <w:lvlText w:val=""/>
      <w:lvlJc w:val="left"/>
      <w:pPr>
        <w:ind w:left="720" w:hanging="360"/>
      </w:pPr>
      <w:rPr>
        <w:rFonts w:ascii="Symbol" w:hAnsi="Symbol" w:hint="default"/>
        <w:color w:val="002C5F"/>
        <w:spacing w:val="-20"/>
        <w:w w:val="100"/>
        <w:sz w:val="24"/>
      </w:rPr>
    </w:lvl>
    <w:lvl w:ilvl="1" w:tplc="8730DA36">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433E72"/>
    <w:multiLevelType w:val="hybridMultilevel"/>
    <w:tmpl w:val="C8AE354A"/>
    <w:lvl w:ilvl="0" w:tplc="04090001">
      <w:start w:val="1"/>
      <w:numFmt w:val="bullet"/>
      <w:lvlText w:val=""/>
      <w:lvlJc w:val="left"/>
      <w:pPr>
        <w:ind w:left="720" w:hanging="360"/>
      </w:pPr>
      <w:rPr>
        <w:rFonts w:ascii="Symbol" w:hAnsi="Symbol" w:hint="default"/>
        <w:color w:val="auto"/>
        <w:spacing w:val="-20"/>
        <w:w w:val="10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A84925"/>
    <w:multiLevelType w:val="hybridMultilevel"/>
    <w:tmpl w:val="C0F4D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3C1160B"/>
    <w:multiLevelType w:val="hybridMultilevel"/>
    <w:tmpl w:val="7D1ABD38"/>
    <w:lvl w:ilvl="0" w:tplc="B994E288">
      <w:start w:val="1"/>
      <w:numFmt w:val="bullet"/>
      <w:pStyle w:val="CCBullet1Last"/>
      <w:lvlText w:val=""/>
      <w:lvlJc w:val="left"/>
      <w:pPr>
        <w:ind w:left="720" w:hanging="360"/>
      </w:pPr>
      <w:rPr>
        <w:rFonts w:ascii="Symbol" w:hAnsi="Symbol" w:hint="default"/>
        <w:color w:val="002C5F"/>
        <w:spacing w:val="-20"/>
        <w:w w:val="10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FC7CDC"/>
    <w:multiLevelType w:val="hybridMultilevel"/>
    <w:tmpl w:val="3548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C763A5"/>
    <w:multiLevelType w:val="hybridMultilevel"/>
    <w:tmpl w:val="4240F9BC"/>
    <w:lvl w:ilvl="0" w:tplc="687CEBC4">
      <w:start w:val="1"/>
      <w:numFmt w:val="decimal"/>
      <w:pStyle w:val="CCNumberlist"/>
      <w:lvlText w:val="%1."/>
      <w:lvlJc w:val="left"/>
      <w:pPr>
        <w:ind w:left="720" w:hanging="360"/>
      </w:pPr>
      <w:rPr>
        <w:rFonts w:hint="default"/>
        <w:color w:val="auto"/>
        <w:spacing w:val="-20"/>
        <w:w w:val="10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C43133"/>
    <w:multiLevelType w:val="hybridMultilevel"/>
    <w:tmpl w:val="C22C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9270DA"/>
    <w:multiLevelType w:val="hybridMultilevel"/>
    <w:tmpl w:val="5564797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D614FF3"/>
    <w:multiLevelType w:val="hybridMultilevel"/>
    <w:tmpl w:val="CCB6194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1"/>
  </w:num>
  <w:num w:numId="5">
    <w:abstractNumId w:val="12"/>
  </w:num>
  <w:num w:numId="6">
    <w:abstractNumId w:val="12"/>
    <w:lvlOverride w:ilvl="0">
      <w:startOverride w:val="1"/>
    </w:lvlOverride>
  </w:num>
  <w:num w:numId="7">
    <w:abstractNumId w:val="1"/>
  </w:num>
  <w:num w:numId="8">
    <w:abstractNumId w:val="2"/>
  </w:num>
  <w:num w:numId="9">
    <w:abstractNumId w:val="7"/>
  </w:num>
  <w:num w:numId="10">
    <w:abstractNumId w:val="10"/>
  </w:num>
  <w:num w:numId="1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num>
  <w:num w:numId="15">
    <w:abstractNumId w:val="4"/>
  </w:num>
  <w:num w:numId="16">
    <w:abstractNumId w:val="15"/>
  </w:num>
  <w:num w:numId="17">
    <w:abstractNumId w:val="5"/>
  </w:num>
  <w:num w:numId="18">
    <w:abstractNumId w:val="9"/>
  </w:num>
  <w:num w:numId="19">
    <w:abstractNumId w:val="12"/>
    <w:lvlOverride w:ilvl="0">
      <w:startOverride w:val="1"/>
    </w:lvlOverride>
  </w:num>
  <w:num w:numId="20">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161"/>
    <w:rsid w:val="00000E24"/>
    <w:rsid w:val="00002A8B"/>
    <w:rsid w:val="00003638"/>
    <w:rsid w:val="00004F18"/>
    <w:rsid w:val="00007CEE"/>
    <w:rsid w:val="00012C91"/>
    <w:rsid w:val="00012DB6"/>
    <w:rsid w:val="000137E3"/>
    <w:rsid w:val="00015CA7"/>
    <w:rsid w:val="00017360"/>
    <w:rsid w:val="00017B9E"/>
    <w:rsid w:val="000200F6"/>
    <w:rsid w:val="00026470"/>
    <w:rsid w:val="0003322A"/>
    <w:rsid w:val="00033751"/>
    <w:rsid w:val="00034393"/>
    <w:rsid w:val="00034BAC"/>
    <w:rsid w:val="000366AC"/>
    <w:rsid w:val="00043753"/>
    <w:rsid w:val="00044EB2"/>
    <w:rsid w:val="00050A98"/>
    <w:rsid w:val="00050FE6"/>
    <w:rsid w:val="0005180E"/>
    <w:rsid w:val="00052A3F"/>
    <w:rsid w:val="00055DA6"/>
    <w:rsid w:val="0006422B"/>
    <w:rsid w:val="000642AB"/>
    <w:rsid w:val="00065B5E"/>
    <w:rsid w:val="00067206"/>
    <w:rsid w:val="00067354"/>
    <w:rsid w:val="00067AF0"/>
    <w:rsid w:val="000748C8"/>
    <w:rsid w:val="000761E1"/>
    <w:rsid w:val="000804BF"/>
    <w:rsid w:val="00080DCD"/>
    <w:rsid w:val="00081C1F"/>
    <w:rsid w:val="00082792"/>
    <w:rsid w:val="00085CF8"/>
    <w:rsid w:val="00086453"/>
    <w:rsid w:val="00086BC4"/>
    <w:rsid w:val="00090F13"/>
    <w:rsid w:val="0009249F"/>
    <w:rsid w:val="00095106"/>
    <w:rsid w:val="00095C35"/>
    <w:rsid w:val="00095C91"/>
    <w:rsid w:val="000975E5"/>
    <w:rsid w:val="00097889"/>
    <w:rsid w:val="000A0699"/>
    <w:rsid w:val="000A3475"/>
    <w:rsid w:val="000A34EB"/>
    <w:rsid w:val="000A37B3"/>
    <w:rsid w:val="000A4B34"/>
    <w:rsid w:val="000A5379"/>
    <w:rsid w:val="000B0490"/>
    <w:rsid w:val="000B48BF"/>
    <w:rsid w:val="000C16CC"/>
    <w:rsid w:val="000C17F8"/>
    <w:rsid w:val="000C2EC4"/>
    <w:rsid w:val="000C4512"/>
    <w:rsid w:val="000C5819"/>
    <w:rsid w:val="000C6BD8"/>
    <w:rsid w:val="000C74A1"/>
    <w:rsid w:val="000D1A1D"/>
    <w:rsid w:val="000D3F12"/>
    <w:rsid w:val="000E21BA"/>
    <w:rsid w:val="000E2EEF"/>
    <w:rsid w:val="000E36F0"/>
    <w:rsid w:val="000E4D9B"/>
    <w:rsid w:val="000E4E82"/>
    <w:rsid w:val="000E7227"/>
    <w:rsid w:val="000E7EA0"/>
    <w:rsid w:val="000F0A4E"/>
    <w:rsid w:val="000F0D3E"/>
    <w:rsid w:val="000F2EFA"/>
    <w:rsid w:val="000F47D4"/>
    <w:rsid w:val="000F4EDF"/>
    <w:rsid w:val="000F7251"/>
    <w:rsid w:val="000F7770"/>
    <w:rsid w:val="00101293"/>
    <w:rsid w:val="00101D28"/>
    <w:rsid w:val="001066D5"/>
    <w:rsid w:val="00107DEC"/>
    <w:rsid w:val="0011206C"/>
    <w:rsid w:val="001146C4"/>
    <w:rsid w:val="001152BB"/>
    <w:rsid w:val="00120AA8"/>
    <w:rsid w:val="00122BE6"/>
    <w:rsid w:val="00127E95"/>
    <w:rsid w:val="001302F5"/>
    <w:rsid w:val="0013058C"/>
    <w:rsid w:val="00131093"/>
    <w:rsid w:val="00132CA3"/>
    <w:rsid w:val="00134FE2"/>
    <w:rsid w:val="00136179"/>
    <w:rsid w:val="001410EA"/>
    <w:rsid w:val="00144ECD"/>
    <w:rsid w:val="00147F5F"/>
    <w:rsid w:val="00150BD2"/>
    <w:rsid w:val="00151BCD"/>
    <w:rsid w:val="00155C6D"/>
    <w:rsid w:val="00157544"/>
    <w:rsid w:val="00161238"/>
    <w:rsid w:val="00167858"/>
    <w:rsid w:val="001704FF"/>
    <w:rsid w:val="001711B9"/>
    <w:rsid w:val="00171DDF"/>
    <w:rsid w:val="0017397B"/>
    <w:rsid w:val="0017401B"/>
    <w:rsid w:val="00177508"/>
    <w:rsid w:val="00177B44"/>
    <w:rsid w:val="00180BDC"/>
    <w:rsid w:val="00185B21"/>
    <w:rsid w:val="00190033"/>
    <w:rsid w:val="00190F73"/>
    <w:rsid w:val="0019245F"/>
    <w:rsid w:val="001928C4"/>
    <w:rsid w:val="00192BD3"/>
    <w:rsid w:val="001936AB"/>
    <w:rsid w:val="00193B15"/>
    <w:rsid w:val="00196D72"/>
    <w:rsid w:val="001978DA"/>
    <w:rsid w:val="001979FA"/>
    <w:rsid w:val="001A16CF"/>
    <w:rsid w:val="001A3607"/>
    <w:rsid w:val="001A6F17"/>
    <w:rsid w:val="001B13E5"/>
    <w:rsid w:val="001B1940"/>
    <w:rsid w:val="001B3437"/>
    <w:rsid w:val="001B3660"/>
    <w:rsid w:val="001B3E94"/>
    <w:rsid w:val="001B4100"/>
    <w:rsid w:val="001B4AA9"/>
    <w:rsid w:val="001B5FDD"/>
    <w:rsid w:val="001C0EE7"/>
    <w:rsid w:val="001C2BF0"/>
    <w:rsid w:val="001C513A"/>
    <w:rsid w:val="001C5583"/>
    <w:rsid w:val="001D16FA"/>
    <w:rsid w:val="001D2509"/>
    <w:rsid w:val="001D6027"/>
    <w:rsid w:val="001D6B6C"/>
    <w:rsid w:val="001E18B9"/>
    <w:rsid w:val="001E3894"/>
    <w:rsid w:val="001E43EA"/>
    <w:rsid w:val="001E452E"/>
    <w:rsid w:val="001F008C"/>
    <w:rsid w:val="001F29DC"/>
    <w:rsid w:val="001F3338"/>
    <w:rsid w:val="002003A0"/>
    <w:rsid w:val="00203F5D"/>
    <w:rsid w:val="00204011"/>
    <w:rsid w:val="002112A0"/>
    <w:rsid w:val="0021366F"/>
    <w:rsid w:val="00214846"/>
    <w:rsid w:val="002148C5"/>
    <w:rsid w:val="00216DFA"/>
    <w:rsid w:val="002223CA"/>
    <w:rsid w:val="00224CB0"/>
    <w:rsid w:val="002250C6"/>
    <w:rsid w:val="00236C09"/>
    <w:rsid w:val="00236E4F"/>
    <w:rsid w:val="0024077A"/>
    <w:rsid w:val="00243911"/>
    <w:rsid w:val="00244894"/>
    <w:rsid w:val="0025398D"/>
    <w:rsid w:val="00262784"/>
    <w:rsid w:val="002630DD"/>
    <w:rsid w:val="00266286"/>
    <w:rsid w:val="00266D8B"/>
    <w:rsid w:val="00267225"/>
    <w:rsid w:val="00271DB0"/>
    <w:rsid w:val="00272355"/>
    <w:rsid w:val="002759CB"/>
    <w:rsid w:val="00280183"/>
    <w:rsid w:val="00281C87"/>
    <w:rsid w:val="00282B16"/>
    <w:rsid w:val="00284A5F"/>
    <w:rsid w:val="00287B42"/>
    <w:rsid w:val="00291087"/>
    <w:rsid w:val="00291128"/>
    <w:rsid w:val="00291686"/>
    <w:rsid w:val="00294E96"/>
    <w:rsid w:val="00295441"/>
    <w:rsid w:val="00297A54"/>
    <w:rsid w:val="002A14D6"/>
    <w:rsid w:val="002A173E"/>
    <w:rsid w:val="002A1E79"/>
    <w:rsid w:val="002A315C"/>
    <w:rsid w:val="002A3BA3"/>
    <w:rsid w:val="002A481E"/>
    <w:rsid w:val="002A4963"/>
    <w:rsid w:val="002A49D4"/>
    <w:rsid w:val="002A63D2"/>
    <w:rsid w:val="002A71E1"/>
    <w:rsid w:val="002B02BA"/>
    <w:rsid w:val="002B10C0"/>
    <w:rsid w:val="002B1BD8"/>
    <w:rsid w:val="002B312B"/>
    <w:rsid w:val="002B3F36"/>
    <w:rsid w:val="002B4F2E"/>
    <w:rsid w:val="002C0B1B"/>
    <w:rsid w:val="002C5116"/>
    <w:rsid w:val="002C626E"/>
    <w:rsid w:val="002C6699"/>
    <w:rsid w:val="002D3B00"/>
    <w:rsid w:val="002D4122"/>
    <w:rsid w:val="002D52C2"/>
    <w:rsid w:val="002D5636"/>
    <w:rsid w:val="002D6431"/>
    <w:rsid w:val="002E0179"/>
    <w:rsid w:val="002E094D"/>
    <w:rsid w:val="002E0FA4"/>
    <w:rsid w:val="002E1720"/>
    <w:rsid w:val="002E5FED"/>
    <w:rsid w:val="002E67CA"/>
    <w:rsid w:val="002F019C"/>
    <w:rsid w:val="002F0C82"/>
    <w:rsid w:val="00303B74"/>
    <w:rsid w:val="00304BDC"/>
    <w:rsid w:val="0030513B"/>
    <w:rsid w:val="003066AE"/>
    <w:rsid w:val="00312519"/>
    <w:rsid w:val="00313794"/>
    <w:rsid w:val="0031389E"/>
    <w:rsid w:val="00313B23"/>
    <w:rsid w:val="00313F4B"/>
    <w:rsid w:val="003251E0"/>
    <w:rsid w:val="00325F13"/>
    <w:rsid w:val="00331BDA"/>
    <w:rsid w:val="003321EC"/>
    <w:rsid w:val="00334CC3"/>
    <w:rsid w:val="0033654A"/>
    <w:rsid w:val="00342E5C"/>
    <w:rsid w:val="003442B1"/>
    <w:rsid w:val="00344CF4"/>
    <w:rsid w:val="00345DE5"/>
    <w:rsid w:val="0034684E"/>
    <w:rsid w:val="00347BBF"/>
    <w:rsid w:val="00347C42"/>
    <w:rsid w:val="0035373D"/>
    <w:rsid w:val="00354DC9"/>
    <w:rsid w:val="003561B0"/>
    <w:rsid w:val="00356BBB"/>
    <w:rsid w:val="00362547"/>
    <w:rsid w:val="00362882"/>
    <w:rsid w:val="00365657"/>
    <w:rsid w:val="003707A7"/>
    <w:rsid w:val="00373C77"/>
    <w:rsid w:val="003746CE"/>
    <w:rsid w:val="00376292"/>
    <w:rsid w:val="003765FA"/>
    <w:rsid w:val="00380D0C"/>
    <w:rsid w:val="003859F2"/>
    <w:rsid w:val="003902D0"/>
    <w:rsid w:val="003908A6"/>
    <w:rsid w:val="00393EE3"/>
    <w:rsid w:val="00395DB1"/>
    <w:rsid w:val="003A35B6"/>
    <w:rsid w:val="003A5074"/>
    <w:rsid w:val="003A6632"/>
    <w:rsid w:val="003B020A"/>
    <w:rsid w:val="003B1A4B"/>
    <w:rsid w:val="003B1C64"/>
    <w:rsid w:val="003B31B8"/>
    <w:rsid w:val="003B3E67"/>
    <w:rsid w:val="003B6B5D"/>
    <w:rsid w:val="003B6BE5"/>
    <w:rsid w:val="003B729B"/>
    <w:rsid w:val="003C24EF"/>
    <w:rsid w:val="003D0095"/>
    <w:rsid w:val="003D0A54"/>
    <w:rsid w:val="003D1394"/>
    <w:rsid w:val="003D3D00"/>
    <w:rsid w:val="003D5983"/>
    <w:rsid w:val="003E252A"/>
    <w:rsid w:val="003E406D"/>
    <w:rsid w:val="003E6A62"/>
    <w:rsid w:val="003F1422"/>
    <w:rsid w:val="003F4206"/>
    <w:rsid w:val="003F4357"/>
    <w:rsid w:val="003F4788"/>
    <w:rsid w:val="003F47FA"/>
    <w:rsid w:val="003F738E"/>
    <w:rsid w:val="00400D38"/>
    <w:rsid w:val="004049B1"/>
    <w:rsid w:val="004151F8"/>
    <w:rsid w:val="0042302B"/>
    <w:rsid w:val="00424EEA"/>
    <w:rsid w:val="00426150"/>
    <w:rsid w:val="00435ADA"/>
    <w:rsid w:val="0043662E"/>
    <w:rsid w:val="00437F79"/>
    <w:rsid w:val="00440C57"/>
    <w:rsid w:val="004420BA"/>
    <w:rsid w:val="004445CB"/>
    <w:rsid w:val="00447675"/>
    <w:rsid w:val="00447A17"/>
    <w:rsid w:val="00451293"/>
    <w:rsid w:val="0046079F"/>
    <w:rsid w:val="004621B2"/>
    <w:rsid w:val="004631BC"/>
    <w:rsid w:val="004724DA"/>
    <w:rsid w:val="004735ED"/>
    <w:rsid w:val="0047429C"/>
    <w:rsid w:val="00474935"/>
    <w:rsid w:val="00474B31"/>
    <w:rsid w:val="00476766"/>
    <w:rsid w:val="00476C50"/>
    <w:rsid w:val="00480D19"/>
    <w:rsid w:val="004818C7"/>
    <w:rsid w:val="00482A86"/>
    <w:rsid w:val="004848E4"/>
    <w:rsid w:val="00485763"/>
    <w:rsid w:val="00492371"/>
    <w:rsid w:val="004932C3"/>
    <w:rsid w:val="00496A66"/>
    <w:rsid w:val="00496F64"/>
    <w:rsid w:val="004A1CFD"/>
    <w:rsid w:val="004A4F21"/>
    <w:rsid w:val="004A611A"/>
    <w:rsid w:val="004A74B0"/>
    <w:rsid w:val="004B611E"/>
    <w:rsid w:val="004C1843"/>
    <w:rsid w:val="004C1E37"/>
    <w:rsid w:val="004C2187"/>
    <w:rsid w:val="004C76B3"/>
    <w:rsid w:val="004D09CC"/>
    <w:rsid w:val="004D0EB7"/>
    <w:rsid w:val="004D302F"/>
    <w:rsid w:val="004D4BAC"/>
    <w:rsid w:val="004D4ECD"/>
    <w:rsid w:val="004D574C"/>
    <w:rsid w:val="004D7590"/>
    <w:rsid w:val="004F035F"/>
    <w:rsid w:val="004F4D90"/>
    <w:rsid w:val="004F56C6"/>
    <w:rsid w:val="00502A66"/>
    <w:rsid w:val="00503B44"/>
    <w:rsid w:val="005048D3"/>
    <w:rsid w:val="00505819"/>
    <w:rsid w:val="00505A66"/>
    <w:rsid w:val="00512104"/>
    <w:rsid w:val="005125A7"/>
    <w:rsid w:val="00513724"/>
    <w:rsid w:val="00520D3D"/>
    <w:rsid w:val="00521983"/>
    <w:rsid w:val="00521ADD"/>
    <w:rsid w:val="00523B5C"/>
    <w:rsid w:val="005258E9"/>
    <w:rsid w:val="0052643D"/>
    <w:rsid w:val="00531077"/>
    <w:rsid w:val="005319BF"/>
    <w:rsid w:val="00531CAB"/>
    <w:rsid w:val="00534F91"/>
    <w:rsid w:val="005409BD"/>
    <w:rsid w:val="005416A6"/>
    <w:rsid w:val="005432BA"/>
    <w:rsid w:val="00544884"/>
    <w:rsid w:val="00545ADE"/>
    <w:rsid w:val="005540E9"/>
    <w:rsid w:val="0055505C"/>
    <w:rsid w:val="00555D17"/>
    <w:rsid w:val="00555F00"/>
    <w:rsid w:val="00556501"/>
    <w:rsid w:val="0055755B"/>
    <w:rsid w:val="005615AD"/>
    <w:rsid w:val="005624B5"/>
    <w:rsid w:val="0056316F"/>
    <w:rsid w:val="00565937"/>
    <w:rsid w:val="00565A75"/>
    <w:rsid w:val="0056703D"/>
    <w:rsid w:val="0057087C"/>
    <w:rsid w:val="005709DA"/>
    <w:rsid w:val="00571FC1"/>
    <w:rsid w:val="00575BB6"/>
    <w:rsid w:val="00577626"/>
    <w:rsid w:val="00577EB0"/>
    <w:rsid w:val="00580E7E"/>
    <w:rsid w:val="00581446"/>
    <w:rsid w:val="00581770"/>
    <w:rsid w:val="00581C43"/>
    <w:rsid w:val="00581E66"/>
    <w:rsid w:val="005849CB"/>
    <w:rsid w:val="0059622D"/>
    <w:rsid w:val="00596B03"/>
    <w:rsid w:val="005A01F6"/>
    <w:rsid w:val="005A2564"/>
    <w:rsid w:val="005A43EA"/>
    <w:rsid w:val="005A4F9B"/>
    <w:rsid w:val="005A623F"/>
    <w:rsid w:val="005B263B"/>
    <w:rsid w:val="005B3296"/>
    <w:rsid w:val="005B63DB"/>
    <w:rsid w:val="005B7663"/>
    <w:rsid w:val="005C40AF"/>
    <w:rsid w:val="005C589F"/>
    <w:rsid w:val="005E13DA"/>
    <w:rsid w:val="005E34D6"/>
    <w:rsid w:val="005E634F"/>
    <w:rsid w:val="005E7469"/>
    <w:rsid w:val="005F2D9B"/>
    <w:rsid w:val="005F45D5"/>
    <w:rsid w:val="005F79B9"/>
    <w:rsid w:val="00600BC9"/>
    <w:rsid w:val="006056F1"/>
    <w:rsid w:val="00611158"/>
    <w:rsid w:val="00611EAA"/>
    <w:rsid w:val="00616008"/>
    <w:rsid w:val="00620CE4"/>
    <w:rsid w:val="0062368E"/>
    <w:rsid w:val="00627DEE"/>
    <w:rsid w:val="00633217"/>
    <w:rsid w:val="006345FD"/>
    <w:rsid w:val="00634D9E"/>
    <w:rsid w:val="00634DCA"/>
    <w:rsid w:val="00634EF0"/>
    <w:rsid w:val="006370C2"/>
    <w:rsid w:val="00641780"/>
    <w:rsid w:val="00644510"/>
    <w:rsid w:val="006450DA"/>
    <w:rsid w:val="0064510B"/>
    <w:rsid w:val="00645A56"/>
    <w:rsid w:val="00645F14"/>
    <w:rsid w:val="0064733F"/>
    <w:rsid w:val="006538F0"/>
    <w:rsid w:val="00656B74"/>
    <w:rsid w:val="0066072B"/>
    <w:rsid w:val="00661146"/>
    <w:rsid w:val="00661756"/>
    <w:rsid w:val="0066333F"/>
    <w:rsid w:val="00663504"/>
    <w:rsid w:val="006635C4"/>
    <w:rsid w:val="006654D1"/>
    <w:rsid w:val="00670774"/>
    <w:rsid w:val="006715F4"/>
    <w:rsid w:val="00671A01"/>
    <w:rsid w:val="00675B28"/>
    <w:rsid w:val="00680370"/>
    <w:rsid w:val="0068447E"/>
    <w:rsid w:val="00685981"/>
    <w:rsid w:val="00687C77"/>
    <w:rsid w:val="00687D73"/>
    <w:rsid w:val="00690EEB"/>
    <w:rsid w:val="00691EDB"/>
    <w:rsid w:val="00692247"/>
    <w:rsid w:val="00693BB6"/>
    <w:rsid w:val="00697397"/>
    <w:rsid w:val="006A00E2"/>
    <w:rsid w:val="006A344A"/>
    <w:rsid w:val="006A56C5"/>
    <w:rsid w:val="006A6058"/>
    <w:rsid w:val="006A7FFD"/>
    <w:rsid w:val="006B00CE"/>
    <w:rsid w:val="006B03F6"/>
    <w:rsid w:val="006B0624"/>
    <w:rsid w:val="006B56AA"/>
    <w:rsid w:val="006B6655"/>
    <w:rsid w:val="006C0079"/>
    <w:rsid w:val="006C131A"/>
    <w:rsid w:val="006C1F1C"/>
    <w:rsid w:val="006C2838"/>
    <w:rsid w:val="006C73F1"/>
    <w:rsid w:val="006C769D"/>
    <w:rsid w:val="006D177D"/>
    <w:rsid w:val="006D1D07"/>
    <w:rsid w:val="006D2082"/>
    <w:rsid w:val="006D4E55"/>
    <w:rsid w:val="006D6CBD"/>
    <w:rsid w:val="006E11A5"/>
    <w:rsid w:val="006E2841"/>
    <w:rsid w:val="006E3134"/>
    <w:rsid w:val="006E3230"/>
    <w:rsid w:val="006E50AC"/>
    <w:rsid w:val="006E56BE"/>
    <w:rsid w:val="006E7313"/>
    <w:rsid w:val="006E7551"/>
    <w:rsid w:val="006F1A94"/>
    <w:rsid w:val="006F2BD8"/>
    <w:rsid w:val="006F3C73"/>
    <w:rsid w:val="0070013C"/>
    <w:rsid w:val="0070244E"/>
    <w:rsid w:val="00702FFB"/>
    <w:rsid w:val="0070407B"/>
    <w:rsid w:val="007056FA"/>
    <w:rsid w:val="00705777"/>
    <w:rsid w:val="00705D68"/>
    <w:rsid w:val="0070607F"/>
    <w:rsid w:val="00706735"/>
    <w:rsid w:val="0070750C"/>
    <w:rsid w:val="007110FC"/>
    <w:rsid w:val="00714FB4"/>
    <w:rsid w:val="0071504C"/>
    <w:rsid w:val="00716493"/>
    <w:rsid w:val="00717759"/>
    <w:rsid w:val="0071781D"/>
    <w:rsid w:val="007201ED"/>
    <w:rsid w:val="00721A6C"/>
    <w:rsid w:val="00722B9A"/>
    <w:rsid w:val="007256CB"/>
    <w:rsid w:val="00726493"/>
    <w:rsid w:val="00727439"/>
    <w:rsid w:val="007324AF"/>
    <w:rsid w:val="007325D7"/>
    <w:rsid w:val="00733EA7"/>
    <w:rsid w:val="00735C47"/>
    <w:rsid w:val="00740DCD"/>
    <w:rsid w:val="007439B6"/>
    <w:rsid w:val="00743E46"/>
    <w:rsid w:val="0074433E"/>
    <w:rsid w:val="00747121"/>
    <w:rsid w:val="0074731F"/>
    <w:rsid w:val="0075020F"/>
    <w:rsid w:val="00751C78"/>
    <w:rsid w:val="00752416"/>
    <w:rsid w:val="00754F13"/>
    <w:rsid w:val="0075747F"/>
    <w:rsid w:val="00760494"/>
    <w:rsid w:val="00761E6E"/>
    <w:rsid w:val="0076612D"/>
    <w:rsid w:val="00766349"/>
    <w:rsid w:val="007674A8"/>
    <w:rsid w:val="00767C9B"/>
    <w:rsid w:val="00770D38"/>
    <w:rsid w:val="00770DC5"/>
    <w:rsid w:val="0077196C"/>
    <w:rsid w:val="00773440"/>
    <w:rsid w:val="007737F8"/>
    <w:rsid w:val="007743BC"/>
    <w:rsid w:val="0077442F"/>
    <w:rsid w:val="00774431"/>
    <w:rsid w:val="007779A1"/>
    <w:rsid w:val="007817CC"/>
    <w:rsid w:val="00783B2C"/>
    <w:rsid w:val="0078430C"/>
    <w:rsid w:val="007847E9"/>
    <w:rsid w:val="00784F1D"/>
    <w:rsid w:val="007932AB"/>
    <w:rsid w:val="0079383C"/>
    <w:rsid w:val="0079472B"/>
    <w:rsid w:val="0079770B"/>
    <w:rsid w:val="007A2B3D"/>
    <w:rsid w:val="007A35CD"/>
    <w:rsid w:val="007A4C60"/>
    <w:rsid w:val="007B4631"/>
    <w:rsid w:val="007B6019"/>
    <w:rsid w:val="007B6379"/>
    <w:rsid w:val="007B669D"/>
    <w:rsid w:val="007B6AE8"/>
    <w:rsid w:val="007C08AB"/>
    <w:rsid w:val="007C7330"/>
    <w:rsid w:val="007D53F8"/>
    <w:rsid w:val="007D7D61"/>
    <w:rsid w:val="007E2449"/>
    <w:rsid w:val="007E7063"/>
    <w:rsid w:val="007F0536"/>
    <w:rsid w:val="007F0E22"/>
    <w:rsid w:val="007F1596"/>
    <w:rsid w:val="007F22BB"/>
    <w:rsid w:val="00801D71"/>
    <w:rsid w:val="00802AA0"/>
    <w:rsid w:val="00804352"/>
    <w:rsid w:val="00810325"/>
    <w:rsid w:val="0081084E"/>
    <w:rsid w:val="00811272"/>
    <w:rsid w:val="00811992"/>
    <w:rsid w:val="0081432A"/>
    <w:rsid w:val="00816853"/>
    <w:rsid w:val="0082317B"/>
    <w:rsid w:val="00824A40"/>
    <w:rsid w:val="00827FA6"/>
    <w:rsid w:val="00830F19"/>
    <w:rsid w:val="00834E1F"/>
    <w:rsid w:val="008367E8"/>
    <w:rsid w:val="008376AF"/>
    <w:rsid w:val="008406C1"/>
    <w:rsid w:val="00841FA9"/>
    <w:rsid w:val="00844A74"/>
    <w:rsid w:val="0084566F"/>
    <w:rsid w:val="008462A1"/>
    <w:rsid w:val="0084643A"/>
    <w:rsid w:val="0084748D"/>
    <w:rsid w:val="008516D6"/>
    <w:rsid w:val="00851729"/>
    <w:rsid w:val="008530B0"/>
    <w:rsid w:val="00854C19"/>
    <w:rsid w:val="00857B73"/>
    <w:rsid w:val="00857DB8"/>
    <w:rsid w:val="00860CD5"/>
    <w:rsid w:val="00861D59"/>
    <w:rsid w:val="008628FB"/>
    <w:rsid w:val="00863732"/>
    <w:rsid w:val="00865BD9"/>
    <w:rsid w:val="00865E38"/>
    <w:rsid w:val="0086634F"/>
    <w:rsid w:val="008700A6"/>
    <w:rsid w:val="008713DE"/>
    <w:rsid w:val="00871B7A"/>
    <w:rsid w:val="00872C86"/>
    <w:rsid w:val="008732C2"/>
    <w:rsid w:val="0087428B"/>
    <w:rsid w:val="00876E02"/>
    <w:rsid w:val="00877B4F"/>
    <w:rsid w:val="00885D7C"/>
    <w:rsid w:val="00890B8A"/>
    <w:rsid w:val="008915B2"/>
    <w:rsid w:val="00896C0D"/>
    <w:rsid w:val="008971D1"/>
    <w:rsid w:val="008A0011"/>
    <w:rsid w:val="008A20BC"/>
    <w:rsid w:val="008A22DD"/>
    <w:rsid w:val="008A2DF5"/>
    <w:rsid w:val="008A5418"/>
    <w:rsid w:val="008A5CB6"/>
    <w:rsid w:val="008B1271"/>
    <w:rsid w:val="008B1335"/>
    <w:rsid w:val="008B3FF5"/>
    <w:rsid w:val="008B5136"/>
    <w:rsid w:val="008B5819"/>
    <w:rsid w:val="008B5EBB"/>
    <w:rsid w:val="008B64FF"/>
    <w:rsid w:val="008C054A"/>
    <w:rsid w:val="008C5826"/>
    <w:rsid w:val="008C5AE1"/>
    <w:rsid w:val="008D2620"/>
    <w:rsid w:val="008D6768"/>
    <w:rsid w:val="008D7061"/>
    <w:rsid w:val="008E228A"/>
    <w:rsid w:val="008E2AB0"/>
    <w:rsid w:val="008E748E"/>
    <w:rsid w:val="008E793E"/>
    <w:rsid w:val="008F17A0"/>
    <w:rsid w:val="008F3918"/>
    <w:rsid w:val="00900444"/>
    <w:rsid w:val="0090251E"/>
    <w:rsid w:val="00902AEB"/>
    <w:rsid w:val="00904D8B"/>
    <w:rsid w:val="0090733D"/>
    <w:rsid w:val="00907576"/>
    <w:rsid w:val="00907F46"/>
    <w:rsid w:val="009105AD"/>
    <w:rsid w:val="009138D6"/>
    <w:rsid w:val="009213AF"/>
    <w:rsid w:val="00921AE4"/>
    <w:rsid w:val="009222D0"/>
    <w:rsid w:val="00923466"/>
    <w:rsid w:val="00925A4F"/>
    <w:rsid w:val="00926941"/>
    <w:rsid w:val="00930F8D"/>
    <w:rsid w:val="00933C5D"/>
    <w:rsid w:val="00934440"/>
    <w:rsid w:val="00937FEA"/>
    <w:rsid w:val="0094006E"/>
    <w:rsid w:val="00942D36"/>
    <w:rsid w:val="0094723D"/>
    <w:rsid w:val="00950800"/>
    <w:rsid w:val="00953718"/>
    <w:rsid w:val="00953D3B"/>
    <w:rsid w:val="00957D0D"/>
    <w:rsid w:val="00960092"/>
    <w:rsid w:val="00960C47"/>
    <w:rsid w:val="009640F2"/>
    <w:rsid w:val="00965706"/>
    <w:rsid w:val="00965A17"/>
    <w:rsid w:val="00966BA9"/>
    <w:rsid w:val="00971488"/>
    <w:rsid w:val="00974CC7"/>
    <w:rsid w:val="00990F3E"/>
    <w:rsid w:val="009916E1"/>
    <w:rsid w:val="009921DC"/>
    <w:rsid w:val="009927E2"/>
    <w:rsid w:val="00995175"/>
    <w:rsid w:val="00995C3C"/>
    <w:rsid w:val="009A1085"/>
    <w:rsid w:val="009A2E6E"/>
    <w:rsid w:val="009A7432"/>
    <w:rsid w:val="009A7F25"/>
    <w:rsid w:val="009B0B75"/>
    <w:rsid w:val="009B18AC"/>
    <w:rsid w:val="009B3269"/>
    <w:rsid w:val="009B33AD"/>
    <w:rsid w:val="009C0552"/>
    <w:rsid w:val="009C0B1A"/>
    <w:rsid w:val="009C2454"/>
    <w:rsid w:val="009C4A29"/>
    <w:rsid w:val="009C5E5A"/>
    <w:rsid w:val="009C60A7"/>
    <w:rsid w:val="009D1201"/>
    <w:rsid w:val="009D2473"/>
    <w:rsid w:val="009D3BF9"/>
    <w:rsid w:val="009D58CF"/>
    <w:rsid w:val="009D5BA9"/>
    <w:rsid w:val="009D7665"/>
    <w:rsid w:val="009E030D"/>
    <w:rsid w:val="009E0D66"/>
    <w:rsid w:val="009E10C9"/>
    <w:rsid w:val="009E3F60"/>
    <w:rsid w:val="009E6F2C"/>
    <w:rsid w:val="009F205E"/>
    <w:rsid w:val="009F3A5C"/>
    <w:rsid w:val="009F3BFB"/>
    <w:rsid w:val="009F6642"/>
    <w:rsid w:val="009F76BB"/>
    <w:rsid w:val="00A007D4"/>
    <w:rsid w:val="00A01DCD"/>
    <w:rsid w:val="00A03C13"/>
    <w:rsid w:val="00A10C50"/>
    <w:rsid w:val="00A13BEE"/>
    <w:rsid w:val="00A2134F"/>
    <w:rsid w:val="00A27784"/>
    <w:rsid w:val="00A27C34"/>
    <w:rsid w:val="00A27EC7"/>
    <w:rsid w:val="00A30F8B"/>
    <w:rsid w:val="00A32302"/>
    <w:rsid w:val="00A33144"/>
    <w:rsid w:val="00A33BF1"/>
    <w:rsid w:val="00A3537D"/>
    <w:rsid w:val="00A360C3"/>
    <w:rsid w:val="00A40AB5"/>
    <w:rsid w:val="00A418CF"/>
    <w:rsid w:val="00A44794"/>
    <w:rsid w:val="00A51099"/>
    <w:rsid w:val="00A52A18"/>
    <w:rsid w:val="00A641C0"/>
    <w:rsid w:val="00A648D7"/>
    <w:rsid w:val="00A66704"/>
    <w:rsid w:val="00A72B63"/>
    <w:rsid w:val="00A77666"/>
    <w:rsid w:val="00A8278D"/>
    <w:rsid w:val="00A853EA"/>
    <w:rsid w:val="00A87A6C"/>
    <w:rsid w:val="00A91B46"/>
    <w:rsid w:val="00A91BC4"/>
    <w:rsid w:val="00A9229F"/>
    <w:rsid w:val="00A93ECD"/>
    <w:rsid w:val="00A94523"/>
    <w:rsid w:val="00A951E7"/>
    <w:rsid w:val="00A97A52"/>
    <w:rsid w:val="00AA1E9A"/>
    <w:rsid w:val="00AA2277"/>
    <w:rsid w:val="00AB73D9"/>
    <w:rsid w:val="00AC12D9"/>
    <w:rsid w:val="00AC38AD"/>
    <w:rsid w:val="00AC658B"/>
    <w:rsid w:val="00AC7BBC"/>
    <w:rsid w:val="00AD0F19"/>
    <w:rsid w:val="00AD4E91"/>
    <w:rsid w:val="00AD5443"/>
    <w:rsid w:val="00AD66A8"/>
    <w:rsid w:val="00AE5F5B"/>
    <w:rsid w:val="00AE7650"/>
    <w:rsid w:val="00AF15FE"/>
    <w:rsid w:val="00AF2BEB"/>
    <w:rsid w:val="00AF6CD6"/>
    <w:rsid w:val="00B0121B"/>
    <w:rsid w:val="00B040CA"/>
    <w:rsid w:val="00B044C0"/>
    <w:rsid w:val="00B05670"/>
    <w:rsid w:val="00B07E46"/>
    <w:rsid w:val="00B1494E"/>
    <w:rsid w:val="00B206FE"/>
    <w:rsid w:val="00B2199E"/>
    <w:rsid w:val="00B258E5"/>
    <w:rsid w:val="00B26B7F"/>
    <w:rsid w:val="00B32FCF"/>
    <w:rsid w:val="00B333EA"/>
    <w:rsid w:val="00B55BD5"/>
    <w:rsid w:val="00B57628"/>
    <w:rsid w:val="00B60C68"/>
    <w:rsid w:val="00B62023"/>
    <w:rsid w:val="00B6268B"/>
    <w:rsid w:val="00B636EF"/>
    <w:rsid w:val="00B65495"/>
    <w:rsid w:val="00B662C1"/>
    <w:rsid w:val="00B6693D"/>
    <w:rsid w:val="00B7348F"/>
    <w:rsid w:val="00B7672B"/>
    <w:rsid w:val="00B771D0"/>
    <w:rsid w:val="00B77823"/>
    <w:rsid w:val="00B80683"/>
    <w:rsid w:val="00B81537"/>
    <w:rsid w:val="00B826B5"/>
    <w:rsid w:val="00B84EB0"/>
    <w:rsid w:val="00B85D30"/>
    <w:rsid w:val="00B85F8B"/>
    <w:rsid w:val="00B864E8"/>
    <w:rsid w:val="00B86872"/>
    <w:rsid w:val="00B86DAD"/>
    <w:rsid w:val="00B90D57"/>
    <w:rsid w:val="00B916CE"/>
    <w:rsid w:val="00B927F7"/>
    <w:rsid w:val="00B93EB3"/>
    <w:rsid w:val="00B9664C"/>
    <w:rsid w:val="00B974BE"/>
    <w:rsid w:val="00B9763E"/>
    <w:rsid w:val="00BA06C9"/>
    <w:rsid w:val="00BA17B2"/>
    <w:rsid w:val="00BA3895"/>
    <w:rsid w:val="00BA4973"/>
    <w:rsid w:val="00BA6A7F"/>
    <w:rsid w:val="00BB1520"/>
    <w:rsid w:val="00BB1950"/>
    <w:rsid w:val="00BB1FA2"/>
    <w:rsid w:val="00BC2805"/>
    <w:rsid w:val="00BC3A1E"/>
    <w:rsid w:val="00BC5AC3"/>
    <w:rsid w:val="00BC713E"/>
    <w:rsid w:val="00BC792F"/>
    <w:rsid w:val="00BD1BE6"/>
    <w:rsid w:val="00BD56D2"/>
    <w:rsid w:val="00BD598C"/>
    <w:rsid w:val="00BD71D7"/>
    <w:rsid w:val="00BD786A"/>
    <w:rsid w:val="00BE0931"/>
    <w:rsid w:val="00BE1A77"/>
    <w:rsid w:val="00BE3251"/>
    <w:rsid w:val="00BE3FEE"/>
    <w:rsid w:val="00BF0C54"/>
    <w:rsid w:val="00BF1B9E"/>
    <w:rsid w:val="00C0267A"/>
    <w:rsid w:val="00C03E00"/>
    <w:rsid w:val="00C052D2"/>
    <w:rsid w:val="00C05851"/>
    <w:rsid w:val="00C12ACE"/>
    <w:rsid w:val="00C12FC2"/>
    <w:rsid w:val="00C16A6A"/>
    <w:rsid w:val="00C21DE2"/>
    <w:rsid w:val="00C23473"/>
    <w:rsid w:val="00C2445A"/>
    <w:rsid w:val="00C260A9"/>
    <w:rsid w:val="00C277BE"/>
    <w:rsid w:val="00C27810"/>
    <w:rsid w:val="00C30D44"/>
    <w:rsid w:val="00C30F81"/>
    <w:rsid w:val="00C33CE7"/>
    <w:rsid w:val="00C33E58"/>
    <w:rsid w:val="00C35D50"/>
    <w:rsid w:val="00C422F9"/>
    <w:rsid w:val="00C433AE"/>
    <w:rsid w:val="00C43C25"/>
    <w:rsid w:val="00C44919"/>
    <w:rsid w:val="00C456ED"/>
    <w:rsid w:val="00C4670E"/>
    <w:rsid w:val="00C50303"/>
    <w:rsid w:val="00C50666"/>
    <w:rsid w:val="00C563A5"/>
    <w:rsid w:val="00C605C5"/>
    <w:rsid w:val="00C623B8"/>
    <w:rsid w:val="00C62900"/>
    <w:rsid w:val="00C64C25"/>
    <w:rsid w:val="00C65831"/>
    <w:rsid w:val="00C74680"/>
    <w:rsid w:val="00C74AD0"/>
    <w:rsid w:val="00C83AB2"/>
    <w:rsid w:val="00C85F42"/>
    <w:rsid w:val="00C86735"/>
    <w:rsid w:val="00C92AE6"/>
    <w:rsid w:val="00C92C5D"/>
    <w:rsid w:val="00C97BAD"/>
    <w:rsid w:val="00CA0F25"/>
    <w:rsid w:val="00CA17C4"/>
    <w:rsid w:val="00CA1E0E"/>
    <w:rsid w:val="00CA4E0A"/>
    <w:rsid w:val="00CB0B27"/>
    <w:rsid w:val="00CB177A"/>
    <w:rsid w:val="00CB18D5"/>
    <w:rsid w:val="00CB442E"/>
    <w:rsid w:val="00CB7234"/>
    <w:rsid w:val="00CC3F0F"/>
    <w:rsid w:val="00CC7AE1"/>
    <w:rsid w:val="00CD41D5"/>
    <w:rsid w:val="00CD49BE"/>
    <w:rsid w:val="00CD67BD"/>
    <w:rsid w:val="00CD689B"/>
    <w:rsid w:val="00CD737E"/>
    <w:rsid w:val="00CE191F"/>
    <w:rsid w:val="00CE3C46"/>
    <w:rsid w:val="00CE53F1"/>
    <w:rsid w:val="00CE7F0B"/>
    <w:rsid w:val="00CF2230"/>
    <w:rsid w:val="00CF2524"/>
    <w:rsid w:val="00CF3065"/>
    <w:rsid w:val="00CF3BCC"/>
    <w:rsid w:val="00CF4747"/>
    <w:rsid w:val="00CF4E26"/>
    <w:rsid w:val="00D00FD7"/>
    <w:rsid w:val="00D01066"/>
    <w:rsid w:val="00D02BEE"/>
    <w:rsid w:val="00D036F2"/>
    <w:rsid w:val="00D04744"/>
    <w:rsid w:val="00D07533"/>
    <w:rsid w:val="00D12769"/>
    <w:rsid w:val="00D136AE"/>
    <w:rsid w:val="00D13877"/>
    <w:rsid w:val="00D13CF7"/>
    <w:rsid w:val="00D15C89"/>
    <w:rsid w:val="00D16036"/>
    <w:rsid w:val="00D1657C"/>
    <w:rsid w:val="00D17C7A"/>
    <w:rsid w:val="00D20104"/>
    <w:rsid w:val="00D20B54"/>
    <w:rsid w:val="00D216F6"/>
    <w:rsid w:val="00D21BBA"/>
    <w:rsid w:val="00D25494"/>
    <w:rsid w:val="00D2604F"/>
    <w:rsid w:val="00D26B68"/>
    <w:rsid w:val="00D33150"/>
    <w:rsid w:val="00D342FE"/>
    <w:rsid w:val="00D370CB"/>
    <w:rsid w:val="00D4238C"/>
    <w:rsid w:val="00D4272A"/>
    <w:rsid w:val="00D4306F"/>
    <w:rsid w:val="00D530DB"/>
    <w:rsid w:val="00D55542"/>
    <w:rsid w:val="00D55E55"/>
    <w:rsid w:val="00D60F4C"/>
    <w:rsid w:val="00D62913"/>
    <w:rsid w:val="00D67E9C"/>
    <w:rsid w:val="00D67F12"/>
    <w:rsid w:val="00D71525"/>
    <w:rsid w:val="00D741A0"/>
    <w:rsid w:val="00D76231"/>
    <w:rsid w:val="00D77131"/>
    <w:rsid w:val="00D77DE4"/>
    <w:rsid w:val="00D80746"/>
    <w:rsid w:val="00D8296F"/>
    <w:rsid w:val="00D84393"/>
    <w:rsid w:val="00D86D7F"/>
    <w:rsid w:val="00D937E7"/>
    <w:rsid w:val="00D97FAF"/>
    <w:rsid w:val="00DA050A"/>
    <w:rsid w:val="00DA4E0B"/>
    <w:rsid w:val="00DA5221"/>
    <w:rsid w:val="00DB1C33"/>
    <w:rsid w:val="00DB6D04"/>
    <w:rsid w:val="00DC53CD"/>
    <w:rsid w:val="00DC70EA"/>
    <w:rsid w:val="00DD3D69"/>
    <w:rsid w:val="00DE10EC"/>
    <w:rsid w:val="00DE1161"/>
    <w:rsid w:val="00DE1E45"/>
    <w:rsid w:val="00DE580F"/>
    <w:rsid w:val="00DF1ED3"/>
    <w:rsid w:val="00DF24D7"/>
    <w:rsid w:val="00DF6F8C"/>
    <w:rsid w:val="00E004CF"/>
    <w:rsid w:val="00E0665C"/>
    <w:rsid w:val="00E16002"/>
    <w:rsid w:val="00E17A1B"/>
    <w:rsid w:val="00E209C2"/>
    <w:rsid w:val="00E24EFE"/>
    <w:rsid w:val="00E34199"/>
    <w:rsid w:val="00E3677C"/>
    <w:rsid w:val="00E3791D"/>
    <w:rsid w:val="00E401F2"/>
    <w:rsid w:val="00E416F0"/>
    <w:rsid w:val="00E42BB9"/>
    <w:rsid w:val="00E461AA"/>
    <w:rsid w:val="00E47DAA"/>
    <w:rsid w:val="00E53CA4"/>
    <w:rsid w:val="00E53DC9"/>
    <w:rsid w:val="00E53E4C"/>
    <w:rsid w:val="00E53FCE"/>
    <w:rsid w:val="00E63266"/>
    <w:rsid w:val="00E65E1F"/>
    <w:rsid w:val="00E70EE6"/>
    <w:rsid w:val="00E72F6B"/>
    <w:rsid w:val="00E73281"/>
    <w:rsid w:val="00E73E80"/>
    <w:rsid w:val="00E73EEE"/>
    <w:rsid w:val="00E74CD6"/>
    <w:rsid w:val="00E755BB"/>
    <w:rsid w:val="00E80587"/>
    <w:rsid w:val="00E86E2F"/>
    <w:rsid w:val="00E90A2D"/>
    <w:rsid w:val="00E90C88"/>
    <w:rsid w:val="00E90D86"/>
    <w:rsid w:val="00E939D1"/>
    <w:rsid w:val="00E955CD"/>
    <w:rsid w:val="00E95AAF"/>
    <w:rsid w:val="00EA00E4"/>
    <w:rsid w:val="00EA6548"/>
    <w:rsid w:val="00EA6FA6"/>
    <w:rsid w:val="00EA7F44"/>
    <w:rsid w:val="00EB13DF"/>
    <w:rsid w:val="00EB1ED9"/>
    <w:rsid w:val="00EB3E8D"/>
    <w:rsid w:val="00EC3137"/>
    <w:rsid w:val="00EC51ED"/>
    <w:rsid w:val="00EC6281"/>
    <w:rsid w:val="00EC7774"/>
    <w:rsid w:val="00ED3641"/>
    <w:rsid w:val="00EE469C"/>
    <w:rsid w:val="00EE4E38"/>
    <w:rsid w:val="00EF0400"/>
    <w:rsid w:val="00EF1DFB"/>
    <w:rsid w:val="00EF1E1C"/>
    <w:rsid w:val="00EF791C"/>
    <w:rsid w:val="00F01696"/>
    <w:rsid w:val="00F01FF1"/>
    <w:rsid w:val="00F03879"/>
    <w:rsid w:val="00F063D1"/>
    <w:rsid w:val="00F0644F"/>
    <w:rsid w:val="00F0670F"/>
    <w:rsid w:val="00F14EC5"/>
    <w:rsid w:val="00F154FB"/>
    <w:rsid w:val="00F15C89"/>
    <w:rsid w:val="00F204F5"/>
    <w:rsid w:val="00F22740"/>
    <w:rsid w:val="00F25685"/>
    <w:rsid w:val="00F32125"/>
    <w:rsid w:val="00F33497"/>
    <w:rsid w:val="00F40380"/>
    <w:rsid w:val="00F41D05"/>
    <w:rsid w:val="00F42B97"/>
    <w:rsid w:val="00F431CC"/>
    <w:rsid w:val="00F47EF7"/>
    <w:rsid w:val="00F5357F"/>
    <w:rsid w:val="00F53E98"/>
    <w:rsid w:val="00F56E07"/>
    <w:rsid w:val="00F60538"/>
    <w:rsid w:val="00F6067B"/>
    <w:rsid w:val="00F65C87"/>
    <w:rsid w:val="00F7182A"/>
    <w:rsid w:val="00F72129"/>
    <w:rsid w:val="00F752AD"/>
    <w:rsid w:val="00F75C9F"/>
    <w:rsid w:val="00F77591"/>
    <w:rsid w:val="00F805FC"/>
    <w:rsid w:val="00F811C6"/>
    <w:rsid w:val="00F81453"/>
    <w:rsid w:val="00F827E9"/>
    <w:rsid w:val="00F86551"/>
    <w:rsid w:val="00F9100C"/>
    <w:rsid w:val="00F92565"/>
    <w:rsid w:val="00F950D2"/>
    <w:rsid w:val="00F97106"/>
    <w:rsid w:val="00FA0563"/>
    <w:rsid w:val="00FA1CA3"/>
    <w:rsid w:val="00FA3320"/>
    <w:rsid w:val="00FA3B94"/>
    <w:rsid w:val="00FA5B12"/>
    <w:rsid w:val="00FA67B5"/>
    <w:rsid w:val="00FB2226"/>
    <w:rsid w:val="00FB3821"/>
    <w:rsid w:val="00FC1327"/>
    <w:rsid w:val="00FC1924"/>
    <w:rsid w:val="00FC4966"/>
    <w:rsid w:val="00FC5D46"/>
    <w:rsid w:val="00FC7D48"/>
    <w:rsid w:val="00FD0579"/>
    <w:rsid w:val="00FD3F67"/>
    <w:rsid w:val="00FD6422"/>
    <w:rsid w:val="00FD6872"/>
    <w:rsid w:val="00FD7DF9"/>
    <w:rsid w:val="00FE09B1"/>
    <w:rsid w:val="00FE1284"/>
    <w:rsid w:val="00FE762F"/>
    <w:rsid w:val="00FE774F"/>
    <w:rsid w:val="00FF0FF9"/>
    <w:rsid w:val="00FF27F3"/>
    <w:rsid w:val="00FF7C56"/>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449"/>
  </w:style>
  <w:style w:type="paragraph" w:styleId="Heading1">
    <w:name w:val="heading 1"/>
    <w:basedOn w:val="Normal"/>
    <w:next w:val="Normal"/>
    <w:link w:val="Heading1Char"/>
    <w:uiPriority w:val="9"/>
    <w:qFormat/>
    <w:rsid w:val="008C58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58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759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
    <w:name w:val="1AutoList2"/>
    <w:rsid w:val="007E2449"/>
    <w:pPr>
      <w:tabs>
        <w:tab w:val="left" w:pos="720"/>
      </w:tabs>
      <w:ind w:left="720" w:hanging="720"/>
    </w:pPr>
    <w:rPr>
      <w:rFonts w:ascii="Courier 10cpi" w:hAnsi="Courier 10cpi"/>
      <w:snapToGrid w:val="0"/>
      <w:sz w:val="24"/>
    </w:rPr>
  </w:style>
  <w:style w:type="character" w:styleId="PageNumber">
    <w:name w:val="page number"/>
    <w:basedOn w:val="DefaultParagraphFont"/>
    <w:rsid w:val="007E2449"/>
  </w:style>
  <w:style w:type="paragraph" w:styleId="Footer">
    <w:name w:val="footer"/>
    <w:basedOn w:val="Normal"/>
    <w:link w:val="FooterChar"/>
    <w:rsid w:val="007E2449"/>
    <w:pPr>
      <w:tabs>
        <w:tab w:val="center" w:pos="4320"/>
        <w:tab w:val="right" w:pos="8640"/>
      </w:tabs>
    </w:pPr>
    <w:rPr>
      <w:rFonts w:ascii="Courier 10cpi" w:hAnsi="Courier 10cpi"/>
      <w:snapToGrid w:val="0"/>
    </w:rPr>
  </w:style>
  <w:style w:type="paragraph" w:customStyle="1" w:styleId="H3">
    <w:name w:val="H3"/>
    <w:basedOn w:val="Normal"/>
    <w:next w:val="Normal"/>
    <w:rsid w:val="007E2449"/>
    <w:pPr>
      <w:keepNext/>
      <w:spacing w:before="100" w:after="100"/>
      <w:outlineLvl w:val="3"/>
    </w:pPr>
    <w:rPr>
      <w:b/>
      <w:snapToGrid w:val="0"/>
      <w:sz w:val="28"/>
    </w:rPr>
  </w:style>
  <w:style w:type="character" w:styleId="Emphasis">
    <w:name w:val="Emphasis"/>
    <w:basedOn w:val="DefaultParagraphFont"/>
    <w:uiPriority w:val="20"/>
    <w:qFormat/>
    <w:rsid w:val="007E2449"/>
    <w:rPr>
      <w:i/>
    </w:rPr>
  </w:style>
  <w:style w:type="character" w:styleId="Strong">
    <w:name w:val="Strong"/>
    <w:basedOn w:val="DefaultParagraphFont"/>
    <w:qFormat/>
    <w:rsid w:val="007E2449"/>
    <w:rPr>
      <w:b/>
    </w:rPr>
  </w:style>
  <w:style w:type="paragraph" w:styleId="BalloonText">
    <w:name w:val="Balloon Text"/>
    <w:basedOn w:val="Normal"/>
    <w:semiHidden/>
    <w:rsid w:val="007E2449"/>
    <w:rPr>
      <w:rFonts w:ascii="Tahoma" w:hAnsi="Tahoma" w:cs="Tahoma"/>
      <w:sz w:val="16"/>
      <w:szCs w:val="16"/>
    </w:rPr>
  </w:style>
  <w:style w:type="character" w:styleId="CommentReference">
    <w:name w:val="annotation reference"/>
    <w:basedOn w:val="DefaultParagraphFont"/>
    <w:uiPriority w:val="99"/>
    <w:semiHidden/>
    <w:rsid w:val="007E2449"/>
    <w:rPr>
      <w:sz w:val="16"/>
      <w:szCs w:val="16"/>
    </w:rPr>
  </w:style>
  <w:style w:type="paragraph" w:styleId="CommentText">
    <w:name w:val="annotation text"/>
    <w:basedOn w:val="Normal"/>
    <w:semiHidden/>
    <w:rsid w:val="007E2449"/>
  </w:style>
  <w:style w:type="paragraph" w:styleId="CommentSubject">
    <w:name w:val="annotation subject"/>
    <w:basedOn w:val="CommentText"/>
    <w:next w:val="CommentText"/>
    <w:semiHidden/>
    <w:rsid w:val="007E2449"/>
    <w:rPr>
      <w:b/>
      <w:bCs/>
    </w:rPr>
  </w:style>
  <w:style w:type="paragraph" w:styleId="Header">
    <w:name w:val="header"/>
    <w:basedOn w:val="Normal"/>
    <w:rsid w:val="007E2449"/>
    <w:pPr>
      <w:tabs>
        <w:tab w:val="center" w:pos="4320"/>
        <w:tab w:val="right" w:pos="8640"/>
      </w:tabs>
    </w:pPr>
  </w:style>
  <w:style w:type="character" w:styleId="Hyperlink">
    <w:name w:val="Hyperlink"/>
    <w:basedOn w:val="DefaultParagraphFont"/>
    <w:uiPriority w:val="99"/>
    <w:rsid w:val="00801D71"/>
    <w:rPr>
      <w:color w:val="0000FF"/>
      <w:u w:val="single"/>
    </w:rPr>
  </w:style>
  <w:style w:type="paragraph" w:styleId="NormalWeb">
    <w:name w:val="Normal (Web)"/>
    <w:basedOn w:val="Normal"/>
    <w:uiPriority w:val="99"/>
    <w:rsid w:val="007E2449"/>
    <w:pPr>
      <w:spacing w:before="100" w:beforeAutospacing="1" w:after="100" w:afterAutospacing="1"/>
    </w:pPr>
    <w:rPr>
      <w:sz w:val="24"/>
      <w:szCs w:val="24"/>
    </w:rPr>
  </w:style>
  <w:style w:type="character" w:styleId="FollowedHyperlink">
    <w:name w:val="FollowedHyperlink"/>
    <w:basedOn w:val="DefaultParagraphFont"/>
    <w:rsid w:val="00801D71"/>
    <w:rPr>
      <w:color w:val="800080"/>
      <w:u w:val="single"/>
    </w:rPr>
  </w:style>
  <w:style w:type="table" w:styleId="TableGrid">
    <w:name w:val="Table Grid"/>
    <w:basedOn w:val="TableNormal"/>
    <w:rsid w:val="00127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C92AE6"/>
  </w:style>
  <w:style w:type="character" w:styleId="FootnoteReference">
    <w:name w:val="footnote reference"/>
    <w:basedOn w:val="DefaultParagraphFont"/>
    <w:uiPriority w:val="99"/>
    <w:semiHidden/>
    <w:rsid w:val="00C92AE6"/>
    <w:rPr>
      <w:vertAlign w:val="superscript"/>
    </w:rPr>
  </w:style>
  <w:style w:type="table" w:customStyle="1" w:styleId="MediumShading1-Accent11">
    <w:name w:val="Medium Shading 1 - Accent 11"/>
    <w:basedOn w:val="TableNormal"/>
    <w:uiPriority w:val="63"/>
    <w:rsid w:val="0068598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131093"/>
    <w:pPr>
      <w:ind w:left="720"/>
      <w:contextualSpacing/>
    </w:pPr>
  </w:style>
  <w:style w:type="character" w:customStyle="1" w:styleId="Heading1Char">
    <w:name w:val="Heading 1 Char"/>
    <w:basedOn w:val="DefaultParagraphFont"/>
    <w:link w:val="Heading1"/>
    <w:uiPriority w:val="9"/>
    <w:rsid w:val="008C582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C5826"/>
    <w:pPr>
      <w:spacing w:line="276" w:lineRule="auto"/>
      <w:outlineLvl w:val="9"/>
    </w:pPr>
  </w:style>
  <w:style w:type="character" w:customStyle="1" w:styleId="Heading2Char">
    <w:name w:val="Heading 2 Char"/>
    <w:basedOn w:val="DefaultParagraphFont"/>
    <w:link w:val="Heading2"/>
    <w:uiPriority w:val="9"/>
    <w:rsid w:val="008C5826"/>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8C5826"/>
    <w:pPr>
      <w:spacing w:after="100"/>
    </w:pPr>
  </w:style>
  <w:style w:type="paragraph" w:styleId="TOC2">
    <w:name w:val="toc 2"/>
    <w:basedOn w:val="Normal"/>
    <w:next w:val="Normal"/>
    <w:autoRedefine/>
    <w:uiPriority w:val="39"/>
    <w:unhideWhenUsed/>
    <w:rsid w:val="008C5826"/>
    <w:pPr>
      <w:spacing w:after="100"/>
      <w:ind w:left="200"/>
    </w:pPr>
  </w:style>
  <w:style w:type="paragraph" w:customStyle="1" w:styleId="TT-TableTitle">
    <w:name w:val="TT-Table Title"/>
    <w:rsid w:val="001A3607"/>
    <w:pPr>
      <w:tabs>
        <w:tab w:val="left" w:pos="1152"/>
      </w:tabs>
      <w:spacing w:line="240" w:lineRule="atLeast"/>
      <w:ind w:left="1152" w:hanging="1152"/>
    </w:pPr>
    <w:rPr>
      <w:sz w:val="22"/>
    </w:rPr>
  </w:style>
  <w:style w:type="paragraph" w:styleId="BodyText">
    <w:name w:val="Body Text"/>
    <w:link w:val="BodyTextChar"/>
    <w:rsid w:val="000D3F12"/>
    <w:pPr>
      <w:spacing w:after="120"/>
      <w:ind w:firstLine="360"/>
    </w:pPr>
    <w:rPr>
      <w:rFonts w:eastAsiaTheme="minorHAnsi" w:cstheme="minorBidi"/>
      <w:sz w:val="24"/>
      <w:szCs w:val="22"/>
    </w:rPr>
  </w:style>
  <w:style w:type="character" w:customStyle="1" w:styleId="BodyTextChar">
    <w:name w:val="Body Text Char"/>
    <w:basedOn w:val="DefaultParagraphFont"/>
    <w:link w:val="BodyText"/>
    <w:rsid w:val="000D3F12"/>
    <w:rPr>
      <w:rFonts w:eastAsiaTheme="minorHAnsi" w:cstheme="minorBidi"/>
      <w:sz w:val="24"/>
      <w:szCs w:val="22"/>
    </w:rPr>
  </w:style>
  <w:style w:type="paragraph" w:customStyle="1" w:styleId="CCNumberlist">
    <w:name w:val="CC.Number list"/>
    <w:basedOn w:val="Normal"/>
    <w:autoRedefine/>
    <w:qFormat/>
    <w:rsid w:val="000D3F12"/>
    <w:pPr>
      <w:numPr>
        <w:numId w:val="5"/>
      </w:numPr>
      <w:autoSpaceDE w:val="0"/>
      <w:autoSpaceDN w:val="0"/>
      <w:adjustRightInd w:val="0"/>
      <w:spacing w:before="60" w:after="60"/>
    </w:pPr>
    <w:rPr>
      <w:color w:val="000000" w:themeColor="text1"/>
      <w:sz w:val="24"/>
      <w:szCs w:val="24"/>
    </w:rPr>
  </w:style>
  <w:style w:type="character" w:customStyle="1" w:styleId="Heading3Char">
    <w:name w:val="Heading 3 Char"/>
    <w:basedOn w:val="DefaultParagraphFont"/>
    <w:link w:val="Heading3"/>
    <w:uiPriority w:val="9"/>
    <w:rsid w:val="004D7590"/>
    <w:rPr>
      <w:rFonts w:asciiTheme="majorHAnsi" w:eastAsiaTheme="majorEastAsia" w:hAnsiTheme="majorHAnsi" w:cstheme="majorBidi"/>
      <w:b/>
      <w:bCs/>
      <w:color w:val="4F81BD" w:themeColor="accent1"/>
    </w:rPr>
  </w:style>
  <w:style w:type="paragraph" w:customStyle="1" w:styleId="CCBullet1">
    <w:name w:val="CC.Bullet 1"/>
    <w:basedOn w:val="ListParagraph"/>
    <w:qFormat/>
    <w:rsid w:val="004D7590"/>
    <w:pPr>
      <w:numPr>
        <w:numId w:val="9"/>
      </w:numPr>
      <w:autoSpaceDE w:val="0"/>
      <w:autoSpaceDN w:val="0"/>
      <w:adjustRightInd w:val="0"/>
      <w:spacing w:before="60" w:after="60"/>
      <w:ind w:left="360"/>
      <w:contextualSpacing w:val="0"/>
    </w:pPr>
    <w:rPr>
      <w:color w:val="000000"/>
      <w:sz w:val="24"/>
      <w:szCs w:val="24"/>
    </w:rPr>
  </w:style>
  <w:style w:type="paragraph" w:styleId="EndnoteText">
    <w:name w:val="endnote text"/>
    <w:basedOn w:val="Normal"/>
    <w:link w:val="EndnoteTextChar"/>
    <w:uiPriority w:val="99"/>
    <w:unhideWhenUsed/>
    <w:rsid w:val="009D1201"/>
    <w:rPr>
      <w:rFonts w:ascii="Calibri" w:eastAsiaTheme="minorHAnsi" w:hAnsi="Calibri" w:cstheme="minorBidi"/>
    </w:rPr>
  </w:style>
  <w:style w:type="character" w:customStyle="1" w:styleId="EndnoteTextChar">
    <w:name w:val="Endnote Text Char"/>
    <w:basedOn w:val="DefaultParagraphFont"/>
    <w:link w:val="EndnoteText"/>
    <w:uiPriority w:val="99"/>
    <w:rsid w:val="009D1201"/>
    <w:rPr>
      <w:rFonts w:ascii="Calibri" w:eastAsiaTheme="minorHAnsi" w:hAnsi="Calibri" w:cstheme="minorBidi"/>
    </w:rPr>
  </w:style>
  <w:style w:type="character" w:styleId="EndnoteReference">
    <w:name w:val="endnote reference"/>
    <w:basedOn w:val="DefaultParagraphFont"/>
    <w:uiPriority w:val="99"/>
    <w:unhideWhenUsed/>
    <w:rsid w:val="009D1201"/>
    <w:rPr>
      <w:vertAlign w:val="superscript"/>
    </w:rPr>
  </w:style>
  <w:style w:type="character" w:customStyle="1" w:styleId="PBodyTextChar">
    <w:name w:val="P.Body Text Char"/>
    <w:basedOn w:val="DefaultParagraphFont"/>
    <w:link w:val="PBodyText"/>
    <w:locked/>
    <w:rsid w:val="009D1201"/>
  </w:style>
  <w:style w:type="paragraph" w:customStyle="1" w:styleId="PBodyText">
    <w:name w:val="P.Body Text"/>
    <w:link w:val="PBodyTextChar"/>
    <w:qFormat/>
    <w:rsid w:val="009D1201"/>
    <w:pPr>
      <w:spacing w:line="480" w:lineRule="auto"/>
      <w:ind w:firstLine="432"/>
    </w:pPr>
  </w:style>
  <w:style w:type="character" w:customStyle="1" w:styleId="FooterChar">
    <w:name w:val="Footer Char"/>
    <w:basedOn w:val="DefaultParagraphFont"/>
    <w:link w:val="Footer"/>
    <w:rsid w:val="00D77131"/>
    <w:rPr>
      <w:rFonts w:ascii="Courier 10cpi" w:hAnsi="Courier 10cpi"/>
      <w:snapToGrid w:val="0"/>
    </w:rPr>
  </w:style>
  <w:style w:type="character" w:customStyle="1" w:styleId="FootnoteTextChar">
    <w:name w:val="Footnote Text Char"/>
    <w:basedOn w:val="DefaultParagraphFont"/>
    <w:link w:val="FootnoteText"/>
    <w:uiPriority w:val="99"/>
    <w:rsid w:val="00E53DC9"/>
  </w:style>
  <w:style w:type="paragraph" w:customStyle="1" w:styleId="CCBullet1Last">
    <w:name w:val="CC.Bullet 1 Last"/>
    <w:qFormat/>
    <w:rsid w:val="00E53DC9"/>
    <w:pPr>
      <w:numPr>
        <w:numId w:val="10"/>
      </w:numPr>
      <w:spacing w:before="60" w:after="120"/>
      <w:ind w:left="360"/>
    </w:pPr>
    <w:rPr>
      <w:color w:val="000000"/>
      <w:sz w:val="24"/>
      <w:szCs w:val="24"/>
    </w:rPr>
  </w:style>
  <w:style w:type="paragraph" w:customStyle="1" w:styleId="CCTableHead">
    <w:name w:val="CC.Table Head"/>
    <w:basedOn w:val="Normal"/>
    <w:qFormat/>
    <w:rsid w:val="00E53DC9"/>
    <w:pPr>
      <w:keepNext/>
      <w:spacing w:before="120" w:after="60"/>
    </w:pPr>
    <w:rPr>
      <w:rFonts w:ascii="Arial" w:eastAsiaTheme="minorHAnsi" w:hAnsi="Arial" w:cs="Arial"/>
      <w:b/>
      <w:bCs/>
    </w:rPr>
  </w:style>
  <w:style w:type="paragraph" w:customStyle="1" w:styleId="CCNumberlistlast">
    <w:name w:val="CC.Number list last"/>
    <w:basedOn w:val="CCNumberlist"/>
    <w:qFormat/>
    <w:rsid w:val="00E53DC9"/>
    <w:pPr>
      <w:numPr>
        <w:numId w:val="1"/>
      </w:numPr>
      <w:spacing w:after="120"/>
    </w:pPr>
  </w:style>
  <w:style w:type="paragraph" w:customStyle="1" w:styleId="PTableTitle">
    <w:name w:val="P.Table Title"/>
    <w:uiPriority w:val="99"/>
    <w:rsid w:val="004A74B0"/>
    <w:pPr>
      <w:keepNext/>
      <w:keepLines/>
      <w:spacing w:after="60"/>
      <w:ind w:left="1224" w:hanging="1224"/>
    </w:pPr>
    <w:rPr>
      <w:rFonts w:ascii="Arial" w:hAnsi="Arial" w:cs="Times"/>
      <w:b/>
      <w:bCs/>
      <w:szCs w:val="24"/>
    </w:rPr>
  </w:style>
  <w:style w:type="paragraph" w:styleId="Revision">
    <w:name w:val="Revision"/>
    <w:hidden/>
    <w:uiPriority w:val="99"/>
    <w:semiHidden/>
    <w:rsid w:val="00990F3E"/>
  </w:style>
  <w:style w:type="paragraph" w:styleId="TOC3">
    <w:name w:val="toc 3"/>
    <w:basedOn w:val="Normal"/>
    <w:next w:val="Normal"/>
    <w:autoRedefine/>
    <w:uiPriority w:val="39"/>
    <w:unhideWhenUsed/>
    <w:rsid w:val="00FF0FF9"/>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449"/>
  </w:style>
  <w:style w:type="paragraph" w:styleId="Heading1">
    <w:name w:val="heading 1"/>
    <w:basedOn w:val="Normal"/>
    <w:next w:val="Normal"/>
    <w:link w:val="Heading1Char"/>
    <w:uiPriority w:val="9"/>
    <w:qFormat/>
    <w:rsid w:val="008C58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58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759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
    <w:name w:val="1AutoList2"/>
    <w:rsid w:val="007E2449"/>
    <w:pPr>
      <w:tabs>
        <w:tab w:val="left" w:pos="720"/>
      </w:tabs>
      <w:ind w:left="720" w:hanging="720"/>
    </w:pPr>
    <w:rPr>
      <w:rFonts w:ascii="Courier 10cpi" w:hAnsi="Courier 10cpi"/>
      <w:snapToGrid w:val="0"/>
      <w:sz w:val="24"/>
    </w:rPr>
  </w:style>
  <w:style w:type="character" w:styleId="PageNumber">
    <w:name w:val="page number"/>
    <w:basedOn w:val="DefaultParagraphFont"/>
    <w:rsid w:val="007E2449"/>
  </w:style>
  <w:style w:type="paragraph" w:styleId="Footer">
    <w:name w:val="footer"/>
    <w:basedOn w:val="Normal"/>
    <w:link w:val="FooterChar"/>
    <w:rsid w:val="007E2449"/>
    <w:pPr>
      <w:tabs>
        <w:tab w:val="center" w:pos="4320"/>
        <w:tab w:val="right" w:pos="8640"/>
      </w:tabs>
    </w:pPr>
    <w:rPr>
      <w:rFonts w:ascii="Courier 10cpi" w:hAnsi="Courier 10cpi"/>
      <w:snapToGrid w:val="0"/>
    </w:rPr>
  </w:style>
  <w:style w:type="paragraph" w:customStyle="1" w:styleId="H3">
    <w:name w:val="H3"/>
    <w:basedOn w:val="Normal"/>
    <w:next w:val="Normal"/>
    <w:rsid w:val="007E2449"/>
    <w:pPr>
      <w:keepNext/>
      <w:spacing w:before="100" w:after="100"/>
      <w:outlineLvl w:val="3"/>
    </w:pPr>
    <w:rPr>
      <w:b/>
      <w:snapToGrid w:val="0"/>
      <w:sz w:val="28"/>
    </w:rPr>
  </w:style>
  <w:style w:type="character" w:styleId="Emphasis">
    <w:name w:val="Emphasis"/>
    <w:basedOn w:val="DefaultParagraphFont"/>
    <w:uiPriority w:val="20"/>
    <w:qFormat/>
    <w:rsid w:val="007E2449"/>
    <w:rPr>
      <w:i/>
    </w:rPr>
  </w:style>
  <w:style w:type="character" w:styleId="Strong">
    <w:name w:val="Strong"/>
    <w:basedOn w:val="DefaultParagraphFont"/>
    <w:qFormat/>
    <w:rsid w:val="007E2449"/>
    <w:rPr>
      <w:b/>
    </w:rPr>
  </w:style>
  <w:style w:type="paragraph" w:styleId="BalloonText">
    <w:name w:val="Balloon Text"/>
    <w:basedOn w:val="Normal"/>
    <w:semiHidden/>
    <w:rsid w:val="007E2449"/>
    <w:rPr>
      <w:rFonts w:ascii="Tahoma" w:hAnsi="Tahoma" w:cs="Tahoma"/>
      <w:sz w:val="16"/>
      <w:szCs w:val="16"/>
    </w:rPr>
  </w:style>
  <w:style w:type="character" w:styleId="CommentReference">
    <w:name w:val="annotation reference"/>
    <w:basedOn w:val="DefaultParagraphFont"/>
    <w:uiPriority w:val="99"/>
    <w:semiHidden/>
    <w:rsid w:val="007E2449"/>
    <w:rPr>
      <w:sz w:val="16"/>
      <w:szCs w:val="16"/>
    </w:rPr>
  </w:style>
  <w:style w:type="paragraph" w:styleId="CommentText">
    <w:name w:val="annotation text"/>
    <w:basedOn w:val="Normal"/>
    <w:semiHidden/>
    <w:rsid w:val="007E2449"/>
  </w:style>
  <w:style w:type="paragraph" w:styleId="CommentSubject">
    <w:name w:val="annotation subject"/>
    <w:basedOn w:val="CommentText"/>
    <w:next w:val="CommentText"/>
    <w:semiHidden/>
    <w:rsid w:val="007E2449"/>
    <w:rPr>
      <w:b/>
      <w:bCs/>
    </w:rPr>
  </w:style>
  <w:style w:type="paragraph" w:styleId="Header">
    <w:name w:val="header"/>
    <w:basedOn w:val="Normal"/>
    <w:rsid w:val="007E2449"/>
    <w:pPr>
      <w:tabs>
        <w:tab w:val="center" w:pos="4320"/>
        <w:tab w:val="right" w:pos="8640"/>
      </w:tabs>
    </w:pPr>
  </w:style>
  <w:style w:type="character" w:styleId="Hyperlink">
    <w:name w:val="Hyperlink"/>
    <w:basedOn w:val="DefaultParagraphFont"/>
    <w:uiPriority w:val="99"/>
    <w:rsid w:val="00801D71"/>
    <w:rPr>
      <w:color w:val="0000FF"/>
      <w:u w:val="single"/>
    </w:rPr>
  </w:style>
  <w:style w:type="paragraph" w:styleId="NormalWeb">
    <w:name w:val="Normal (Web)"/>
    <w:basedOn w:val="Normal"/>
    <w:uiPriority w:val="99"/>
    <w:rsid w:val="007E2449"/>
    <w:pPr>
      <w:spacing w:before="100" w:beforeAutospacing="1" w:after="100" w:afterAutospacing="1"/>
    </w:pPr>
    <w:rPr>
      <w:sz w:val="24"/>
      <w:szCs w:val="24"/>
    </w:rPr>
  </w:style>
  <w:style w:type="character" w:styleId="FollowedHyperlink">
    <w:name w:val="FollowedHyperlink"/>
    <w:basedOn w:val="DefaultParagraphFont"/>
    <w:rsid w:val="00801D71"/>
    <w:rPr>
      <w:color w:val="800080"/>
      <w:u w:val="single"/>
    </w:rPr>
  </w:style>
  <w:style w:type="table" w:styleId="TableGrid">
    <w:name w:val="Table Grid"/>
    <w:basedOn w:val="TableNormal"/>
    <w:rsid w:val="00127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C92AE6"/>
  </w:style>
  <w:style w:type="character" w:styleId="FootnoteReference">
    <w:name w:val="footnote reference"/>
    <w:basedOn w:val="DefaultParagraphFont"/>
    <w:uiPriority w:val="99"/>
    <w:semiHidden/>
    <w:rsid w:val="00C92AE6"/>
    <w:rPr>
      <w:vertAlign w:val="superscript"/>
    </w:rPr>
  </w:style>
  <w:style w:type="table" w:customStyle="1" w:styleId="MediumShading1-Accent11">
    <w:name w:val="Medium Shading 1 - Accent 11"/>
    <w:basedOn w:val="TableNormal"/>
    <w:uiPriority w:val="63"/>
    <w:rsid w:val="0068598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131093"/>
    <w:pPr>
      <w:ind w:left="720"/>
      <w:contextualSpacing/>
    </w:pPr>
  </w:style>
  <w:style w:type="character" w:customStyle="1" w:styleId="Heading1Char">
    <w:name w:val="Heading 1 Char"/>
    <w:basedOn w:val="DefaultParagraphFont"/>
    <w:link w:val="Heading1"/>
    <w:uiPriority w:val="9"/>
    <w:rsid w:val="008C582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C5826"/>
    <w:pPr>
      <w:spacing w:line="276" w:lineRule="auto"/>
      <w:outlineLvl w:val="9"/>
    </w:pPr>
  </w:style>
  <w:style w:type="character" w:customStyle="1" w:styleId="Heading2Char">
    <w:name w:val="Heading 2 Char"/>
    <w:basedOn w:val="DefaultParagraphFont"/>
    <w:link w:val="Heading2"/>
    <w:uiPriority w:val="9"/>
    <w:rsid w:val="008C5826"/>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8C5826"/>
    <w:pPr>
      <w:spacing w:after="100"/>
    </w:pPr>
  </w:style>
  <w:style w:type="paragraph" w:styleId="TOC2">
    <w:name w:val="toc 2"/>
    <w:basedOn w:val="Normal"/>
    <w:next w:val="Normal"/>
    <w:autoRedefine/>
    <w:uiPriority w:val="39"/>
    <w:unhideWhenUsed/>
    <w:rsid w:val="008C5826"/>
    <w:pPr>
      <w:spacing w:after="100"/>
      <w:ind w:left="200"/>
    </w:pPr>
  </w:style>
  <w:style w:type="paragraph" w:customStyle="1" w:styleId="TT-TableTitle">
    <w:name w:val="TT-Table Title"/>
    <w:rsid w:val="001A3607"/>
    <w:pPr>
      <w:tabs>
        <w:tab w:val="left" w:pos="1152"/>
      </w:tabs>
      <w:spacing w:line="240" w:lineRule="atLeast"/>
      <w:ind w:left="1152" w:hanging="1152"/>
    </w:pPr>
    <w:rPr>
      <w:sz w:val="22"/>
    </w:rPr>
  </w:style>
  <w:style w:type="paragraph" w:styleId="BodyText">
    <w:name w:val="Body Text"/>
    <w:link w:val="BodyTextChar"/>
    <w:rsid w:val="000D3F12"/>
    <w:pPr>
      <w:spacing w:after="120"/>
      <w:ind w:firstLine="360"/>
    </w:pPr>
    <w:rPr>
      <w:rFonts w:eastAsiaTheme="minorHAnsi" w:cstheme="minorBidi"/>
      <w:sz w:val="24"/>
      <w:szCs w:val="22"/>
    </w:rPr>
  </w:style>
  <w:style w:type="character" w:customStyle="1" w:styleId="BodyTextChar">
    <w:name w:val="Body Text Char"/>
    <w:basedOn w:val="DefaultParagraphFont"/>
    <w:link w:val="BodyText"/>
    <w:rsid w:val="000D3F12"/>
    <w:rPr>
      <w:rFonts w:eastAsiaTheme="minorHAnsi" w:cstheme="minorBidi"/>
      <w:sz w:val="24"/>
      <w:szCs w:val="22"/>
    </w:rPr>
  </w:style>
  <w:style w:type="paragraph" w:customStyle="1" w:styleId="CCNumberlist">
    <w:name w:val="CC.Number list"/>
    <w:basedOn w:val="Normal"/>
    <w:autoRedefine/>
    <w:qFormat/>
    <w:rsid w:val="000D3F12"/>
    <w:pPr>
      <w:numPr>
        <w:numId w:val="5"/>
      </w:numPr>
      <w:autoSpaceDE w:val="0"/>
      <w:autoSpaceDN w:val="0"/>
      <w:adjustRightInd w:val="0"/>
      <w:spacing w:before="60" w:after="60"/>
    </w:pPr>
    <w:rPr>
      <w:color w:val="000000" w:themeColor="text1"/>
      <w:sz w:val="24"/>
      <w:szCs w:val="24"/>
    </w:rPr>
  </w:style>
  <w:style w:type="character" w:customStyle="1" w:styleId="Heading3Char">
    <w:name w:val="Heading 3 Char"/>
    <w:basedOn w:val="DefaultParagraphFont"/>
    <w:link w:val="Heading3"/>
    <w:uiPriority w:val="9"/>
    <w:rsid w:val="004D7590"/>
    <w:rPr>
      <w:rFonts w:asciiTheme="majorHAnsi" w:eastAsiaTheme="majorEastAsia" w:hAnsiTheme="majorHAnsi" w:cstheme="majorBidi"/>
      <w:b/>
      <w:bCs/>
      <w:color w:val="4F81BD" w:themeColor="accent1"/>
    </w:rPr>
  </w:style>
  <w:style w:type="paragraph" w:customStyle="1" w:styleId="CCBullet1">
    <w:name w:val="CC.Bullet 1"/>
    <w:basedOn w:val="ListParagraph"/>
    <w:qFormat/>
    <w:rsid w:val="004D7590"/>
    <w:pPr>
      <w:numPr>
        <w:numId w:val="9"/>
      </w:numPr>
      <w:autoSpaceDE w:val="0"/>
      <w:autoSpaceDN w:val="0"/>
      <w:adjustRightInd w:val="0"/>
      <w:spacing w:before="60" w:after="60"/>
      <w:ind w:left="360"/>
      <w:contextualSpacing w:val="0"/>
    </w:pPr>
    <w:rPr>
      <w:color w:val="000000"/>
      <w:sz w:val="24"/>
      <w:szCs w:val="24"/>
    </w:rPr>
  </w:style>
  <w:style w:type="paragraph" w:styleId="EndnoteText">
    <w:name w:val="endnote text"/>
    <w:basedOn w:val="Normal"/>
    <w:link w:val="EndnoteTextChar"/>
    <w:uiPriority w:val="99"/>
    <w:unhideWhenUsed/>
    <w:rsid w:val="009D1201"/>
    <w:rPr>
      <w:rFonts w:ascii="Calibri" w:eastAsiaTheme="minorHAnsi" w:hAnsi="Calibri" w:cstheme="minorBidi"/>
    </w:rPr>
  </w:style>
  <w:style w:type="character" w:customStyle="1" w:styleId="EndnoteTextChar">
    <w:name w:val="Endnote Text Char"/>
    <w:basedOn w:val="DefaultParagraphFont"/>
    <w:link w:val="EndnoteText"/>
    <w:uiPriority w:val="99"/>
    <w:rsid w:val="009D1201"/>
    <w:rPr>
      <w:rFonts w:ascii="Calibri" w:eastAsiaTheme="minorHAnsi" w:hAnsi="Calibri" w:cstheme="minorBidi"/>
    </w:rPr>
  </w:style>
  <w:style w:type="character" w:styleId="EndnoteReference">
    <w:name w:val="endnote reference"/>
    <w:basedOn w:val="DefaultParagraphFont"/>
    <w:uiPriority w:val="99"/>
    <w:unhideWhenUsed/>
    <w:rsid w:val="009D1201"/>
    <w:rPr>
      <w:vertAlign w:val="superscript"/>
    </w:rPr>
  </w:style>
  <w:style w:type="character" w:customStyle="1" w:styleId="PBodyTextChar">
    <w:name w:val="P.Body Text Char"/>
    <w:basedOn w:val="DefaultParagraphFont"/>
    <w:link w:val="PBodyText"/>
    <w:locked/>
    <w:rsid w:val="009D1201"/>
  </w:style>
  <w:style w:type="paragraph" w:customStyle="1" w:styleId="PBodyText">
    <w:name w:val="P.Body Text"/>
    <w:link w:val="PBodyTextChar"/>
    <w:qFormat/>
    <w:rsid w:val="009D1201"/>
    <w:pPr>
      <w:spacing w:line="480" w:lineRule="auto"/>
      <w:ind w:firstLine="432"/>
    </w:pPr>
  </w:style>
  <w:style w:type="character" w:customStyle="1" w:styleId="FooterChar">
    <w:name w:val="Footer Char"/>
    <w:basedOn w:val="DefaultParagraphFont"/>
    <w:link w:val="Footer"/>
    <w:rsid w:val="00D77131"/>
    <w:rPr>
      <w:rFonts w:ascii="Courier 10cpi" w:hAnsi="Courier 10cpi"/>
      <w:snapToGrid w:val="0"/>
    </w:rPr>
  </w:style>
  <w:style w:type="character" w:customStyle="1" w:styleId="FootnoteTextChar">
    <w:name w:val="Footnote Text Char"/>
    <w:basedOn w:val="DefaultParagraphFont"/>
    <w:link w:val="FootnoteText"/>
    <w:uiPriority w:val="99"/>
    <w:rsid w:val="00E53DC9"/>
  </w:style>
  <w:style w:type="paragraph" w:customStyle="1" w:styleId="CCBullet1Last">
    <w:name w:val="CC.Bullet 1 Last"/>
    <w:qFormat/>
    <w:rsid w:val="00E53DC9"/>
    <w:pPr>
      <w:numPr>
        <w:numId w:val="10"/>
      </w:numPr>
      <w:spacing w:before="60" w:after="120"/>
      <w:ind w:left="360"/>
    </w:pPr>
    <w:rPr>
      <w:color w:val="000000"/>
      <w:sz w:val="24"/>
      <w:szCs w:val="24"/>
    </w:rPr>
  </w:style>
  <w:style w:type="paragraph" w:customStyle="1" w:styleId="CCTableHead">
    <w:name w:val="CC.Table Head"/>
    <w:basedOn w:val="Normal"/>
    <w:qFormat/>
    <w:rsid w:val="00E53DC9"/>
    <w:pPr>
      <w:keepNext/>
      <w:spacing w:before="120" w:after="60"/>
    </w:pPr>
    <w:rPr>
      <w:rFonts w:ascii="Arial" w:eastAsiaTheme="minorHAnsi" w:hAnsi="Arial" w:cs="Arial"/>
      <w:b/>
      <w:bCs/>
    </w:rPr>
  </w:style>
  <w:style w:type="paragraph" w:customStyle="1" w:styleId="CCNumberlistlast">
    <w:name w:val="CC.Number list last"/>
    <w:basedOn w:val="CCNumberlist"/>
    <w:qFormat/>
    <w:rsid w:val="00E53DC9"/>
    <w:pPr>
      <w:numPr>
        <w:numId w:val="1"/>
      </w:numPr>
      <w:spacing w:after="120"/>
    </w:pPr>
  </w:style>
  <w:style w:type="paragraph" w:customStyle="1" w:styleId="PTableTitle">
    <w:name w:val="P.Table Title"/>
    <w:uiPriority w:val="99"/>
    <w:rsid w:val="004A74B0"/>
    <w:pPr>
      <w:keepNext/>
      <w:keepLines/>
      <w:spacing w:after="60"/>
      <w:ind w:left="1224" w:hanging="1224"/>
    </w:pPr>
    <w:rPr>
      <w:rFonts w:ascii="Arial" w:hAnsi="Arial" w:cs="Times"/>
      <w:b/>
      <w:bCs/>
      <w:szCs w:val="24"/>
    </w:rPr>
  </w:style>
  <w:style w:type="paragraph" w:styleId="Revision">
    <w:name w:val="Revision"/>
    <w:hidden/>
    <w:uiPriority w:val="99"/>
    <w:semiHidden/>
    <w:rsid w:val="00990F3E"/>
  </w:style>
  <w:style w:type="paragraph" w:styleId="TOC3">
    <w:name w:val="toc 3"/>
    <w:basedOn w:val="Normal"/>
    <w:next w:val="Normal"/>
    <w:autoRedefine/>
    <w:uiPriority w:val="39"/>
    <w:unhideWhenUsed/>
    <w:rsid w:val="00FF0FF9"/>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0862">
      <w:bodyDiv w:val="1"/>
      <w:marLeft w:val="0"/>
      <w:marRight w:val="0"/>
      <w:marTop w:val="0"/>
      <w:marBottom w:val="0"/>
      <w:divBdr>
        <w:top w:val="none" w:sz="0" w:space="0" w:color="auto"/>
        <w:left w:val="none" w:sz="0" w:space="0" w:color="auto"/>
        <w:bottom w:val="none" w:sz="0" w:space="0" w:color="auto"/>
        <w:right w:val="none" w:sz="0" w:space="0" w:color="auto"/>
      </w:divBdr>
      <w:divsChild>
        <w:div w:id="1415711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376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62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2898188">
      <w:bodyDiv w:val="1"/>
      <w:marLeft w:val="0"/>
      <w:marRight w:val="0"/>
      <w:marTop w:val="0"/>
      <w:marBottom w:val="0"/>
      <w:divBdr>
        <w:top w:val="none" w:sz="0" w:space="0" w:color="auto"/>
        <w:left w:val="none" w:sz="0" w:space="0" w:color="auto"/>
        <w:bottom w:val="none" w:sz="0" w:space="0" w:color="auto"/>
        <w:right w:val="none" w:sz="0" w:space="0" w:color="auto"/>
      </w:divBdr>
    </w:div>
    <w:div w:id="114063649">
      <w:bodyDiv w:val="1"/>
      <w:marLeft w:val="0"/>
      <w:marRight w:val="0"/>
      <w:marTop w:val="0"/>
      <w:marBottom w:val="0"/>
      <w:divBdr>
        <w:top w:val="none" w:sz="0" w:space="0" w:color="auto"/>
        <w:left w:val="none" w:sz="0" w:space="0" w:color="auto"/>
        <w:bottom w:val="none" w:sz="0" w:space="0" w:color="auto"/>
        <w:right w:val="none" w:sz="0" w:space="0" w:color="auto"/>
      </w:divBdr>
    </w:div>
    <w:div w:id="180780654">
      <w:bodyDiv w:val="1"/>
      <w:marLeft w:val="0"/>
      <w:marRight w:val="0"/>
      <w:marTop w:val="0"/>
      <w:marBottom w:val="0"/>
      <w:divBdr>
        <w:top w:val="none" w:sz="0" w:space="0" w:color="auto"/>
        <w:left w:val="none" w:sz="0" w:space="0" w:color="auto"/>
        <w:bottom w:val="none" w:sz="0" w:space="0" w:color="auto"/>
        <w:right w:val="none" w:sz="0" w:space="0" w:color="auto"/>
      </w:divBdr>
    </w:div>
    <w:div w:id="201944704">
      <w:bodyDiv w:val="1"/>
      <w:marLeft w:val="0"/>
      <w:marRight w:val="0"/>
      <w:marTop w:val="0"/>
      <w:marBottom w:val="0"/>
      <w:divBdr>
        <w:top w:val="none" w:sz="0" w:space="0" w:color="auto"/>
        <w:left w:val="none" w:sz="0" w:space="0" w:color="auto"/>
        <w:bottom w:val="none" w:sz="0" w:space="0" w:color="auto"/>
        <w:right w:val="none" w:sz="0" w:space="0" w:color="auto"/>
      </w:divBdr>
    </w:div>
    <w:div w:id="232744149">
      <w:bodyDiv w:val="1"/>
      <w:marLeft w:val="0"/>
      <w:marRight w:val="0"/>
      <w:marTop w:val="0"/>
      <w:marBottom w:val="0"/>
      <w:divBdr>
        <w:top w:val="none" w:sz="0" w:space="0" w:color="auto"/>
        <w:left w:val="none" w:sz="0" w:space="0" w:color="auto"/>
        <w:bottom w:val="none" w:sz="0" w:space="0" w:color="auto"/>
        <w:right w:val="none" w:sz="0" w:space="0" w:color="auto"/>
      </w:divBdr>
    </w:div>
    <w:div w:id="281428323">
      <w:bodyDiv w:val="1"/>
      <w:marLeft w:val="0"/>
      <w:marRight w:val="0"/>
      <w:marTop w:val="0"/>
      <w:marBottom w:val="0"/>
      <w:divBdr>
        <w:top w:val="none" w:sz="0" w:space="0" w:color="auto"/>
        <w:left w:val="none" w:sz="0" w:space="0" w:color="auto"/>
        <w:bottom w:val="none" w:sz="0" w:space="0" w:color="auto"/>
        <w:right w:val="none" w:sz="0" w:space="0" w:color="auto"/>
      </w:divBdr>
      <w:divsChild>
        <w:div w:id="1601062864">
          <w:marLeft w:val="0"/>
          <w:marRight w:val="0"/>
          <w:marTop w:val="0"/>
          <w:marBottom w:val="0"/>
          <w:divBdr>
            <w:top w:val="none" w:sz="0" w:space="0" w:color="auto"/>
            <w:left w:val="none" w:sz="0" w:space="0" w:color="auto"/>
            <w:bottom w:val="none" w:sz="0" w:space="0" w:color="auto"/>
            <w:right w:val="none" w:sz="0" w:space="0" w:color="auto"/>
          </w:divBdr>
          <w:divsChild>
            <w:div w:id="534081610">
              <w:marLeft w:val="0"/>
              <w:marRight w:val="0"/>
              <w:marTop w:val="0"/>
              <w:marBottom w:val="0"/>
              <w:divBdr>
                <w:top w:val="none" w:sz="0" w:space="0" w:color="auto"/>
                <w:left w:val="single" w:sz="6" w:space="0" w:color="E2E2E2"/>
                <w:bottom w:val="none" w:sz="0" w:space="0" w:color="auto"/>
                <w:right w:val="single" w:sz="6" w:space="0" w:color="E2E2E2"/>
              </w:divBdr>
              <w:divsChild>
                <w:div w:id="2129199268">
                  <w:marLeft w:val="0"/>
                  <w:marRight w:val="0"/>
                  <w:marTop w:val="0"/>
                  <w:marBottom w:val="0"/>
                  <w:divBdr>
                    <w:top w:val="none" w:sz="0" w:space="0" w:color="auto"/>
                    <w:left w:val="none" w:sz="0" w:space="0" w:color="auto"/>
                    <w:bottom w:val="none" w:sz="0" w:space="0" w:color="auto"/>
                    <w:right w:val="none" w:sz="0" w:space="0" w:color="auto"/>
                  </w:divBdr>
                  <w:divsChild>
                    <w:div w:id="59081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484254">
      <w:bodyDiv w:val="1"/>
      <w:marLeft w:val="0"/>
      <w:marRight w:val="0"/>
      <w:marTop w:val="0"/>
      <w:marBottom w:val="0"/>
      <w:divBdr>
        <w:top w:val="none" w:sz="0" w:space="0" w:color="auto"/>
        <w:left w:val="none" w:sz="0" w:space="0" w:color="auto"/>
        <w:bottom w:val="none" w:sz="0" w:space="0" w:color="auto"/>
        <w:right w:val="none" w:sz="0" w:space="0" w:color="auto"/>
      </w:divBdr>
    </w:div>
    <w:div w:id="337193570">
      <w:bodyDiv w:val="1"/>
      <w:marLeft w:val="0"/>
      <w:marRight w:val="0"/>
      <w:marTop w:val="0"/>
      <w:marBottom w:val="0"/>
      <w:divBdr>
        <w:top w:val="none" w:sz="0" w:space="0" w:color="auto"/>
        <w:left w:val="none" w:sz="0" w:space="0" w:color="auto"/>
        <w:bottom w:val="none" w:sz="0" w:space="0" w:color="auto"/>
        <w:right w:val="none" w:sz="0" w:space="0" w:color="auto"/>
      </w:divBdr>
    </w:div>
    <w:div w:id="417793177">
      <w:bodyDiv w:val="1"/>
      <w:marLeft w:val="0"/>
      <w:marRight w:val="0"/>
      <w:marTop w:val="0"/>
      <w:marBottom w:val="0"/>
      <w:divBdr>
        <w:top w:val="none" w:sz="0" w:space="0" w:color="auto"/>
        <w:left w:val="none" w:sz="0" w:space="0" w:color="auto"/>
        <w:bottom w:val="none" w:sz="0" w:space="0" w:color="auto"/>
        <w:right w:val="none" w:sz="0" w:space="0" w:color="auto"/>
      </w:divBdr>
      <w:divsChild>
        <w:div w:id="1026447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2830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280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38186611">
      <w:bodyDiv w:val="1"/>
      <w:marLeft w:val="0"/>
      <w:marRight w:val="0"/>
      <w:marTop w:val="0"/>
      <w:marBottom w:val="0"/>
      <w:divBdr>
        <w:top w:val="none" w:sz="0" w:space="0" w:color="auto"/>
        <w:left w:val="none" w:sz="0" w:space="0" w:color="auto"/>
        <w:bottom w:val="none" w:sz="0" w:space="0" w:color="auto"/>
        <w:right w:val="none" w:sz="0" w:space="0" w:color="auto"/>
      </w:divBdr>
    </w:div>
    <w:div w:id="447354944">
      <w:bodyDiv w:val="1"/>
      <w:marLeft w:val="0"/>
      <w:marRight w:val="0"/>
      <w:marTop w:val="0"/>
      <w:marBottom w:val="0"/>
      <w:divBdr>
        <w:top w:val="none" w:sz="0" w:space="0" w:color="auto"/>
        <w:left w:val="none" w:sz="0" w:space="0" w:color="auto"/>
        <w:bottom w:val="none" w:sz="0" w:space="0" w:color="auto"/>
        <w:right w:val="none" w:sz="0" w:space="0" w:color="auto"/>
      </w:divBdr>
    </w:div>
    <w:div w:id="607127319">
      <w:bodyDiv w:val="1"/>
      <w:marLeft w:val="0"/>
      <w:marRight w:val="0"/>
      <w:marTop w:val="0"/>
      <w:marBottom w:val="0"/>
      <w:divBdr>
        <w:top w:val="none" w:sz="0" w:space="0" w:color="auto"/>
        <w:left w:val="none" w:sz="0" w:space="0" w:color="auto"/>
        <w:bottom w:val="none" w:sz="0" w:space="0" w:color="auto"/>
        <w:right w:val="none" w:sz="0" w:space="0" w:color="auto"/>
      </w:divBdr>
    </w:div>
    <w:div w:id="679967513">
      <w:bodyDiv w:val="1"/>
      <w:marLeft w:val="0"/>
      <w:marRight w:val="0"/>
      <w:marTop w:val="0"/>
      <w:marBottom w:val="0"/>
      <w:divBdr>
        <w:top w:val="none" w:sz="0" w:space="0" w:color="auto"/>
        <w:left w:val="none" w:sz="0" w:space="0" w:color="auto"/>
        <w:bottom w:val="none" w:sz="0" w:space="0" w:color="auto"/>
        <w:right w:val="none" w:sz="0" w:space="0" w:color="auto"/>
      </w:divBdr>
    </w:div>
    <w:div w:id="808015232">
      <w:bodyDiv w:val="1"/>
      <w:marLeft w:val="0"/>
      <w:marRight w:val="0"/>
      <w:marTop w:val="0"/>
      <w:marBottom w:val="0"/>
      <w:divBdr>
        <w:top w:val="none" w:sz="0" w:space="0" w:color="auto"/>
        <w:left w:val="none" w:sz="0" w:space="0" w:color="auto"/>
        <w:bottom w:val="none" w:sz="0" w:space="0" w:color="auto"/>
        <w:right w:val="none" w:sz="0" w:space="0" w:color="auto"/>
      </w:divBdr>
      <w:divsChild>
        <w:div w:id="963079700">
          <w:marLeft w:val="0"/>
          <w:marRight w:val="0"/>
          <w:marTop w:val="0"/>
          <w:marBottom w:val="0"/>
          <w:divBdr>
            <w:top w:val="none" w:sz="0" w:space="0" w:color="auto"/>
            <w:left w:val="none" w:sz="0" w:space="0" w:color="auto"/>
            <w:bottom w:val="none" w:sz="0" w:space="0" w:color="auto"/>
            <w:right w:val="none" w:sz="0" w:space="0" w:color="auto"/>
          </w:divBdr>
          <w:divsChild>
            <w:div w:id="885725074">
              <w:marLeft w:val="0"/>
              <w:marRight w:val="0"/>
              <w:marTop w:val="0"/>
              <w:marBottom w:val="0"/>
              <w:divBdr>
                <w:top w:val="none" w:sz="0" w:space="0" w:color="auto"/>
                <w:left w:val="single" w:sz="6" w:space="0" w:color="E2E2E2"/>
                <w:bottom w:val="none" w:sz="0" w:space="0" w:color="auto"/>
                <w:right w:val="single" w:sz="6" w:space="0" w:color="E2E2E2"/>
              </w:divBdr>
              <w:divsChild>
                <w:div w:id="1746296767">
                  <w:marLeft w:val="0"/>
                  <w:marRight w:val="0"/>
                  <w:marTop w:val="0"/>
                  <w:marBottom w:val="0"/>
                  <w:divBdr>
                    <w:top w:val="none" w:sz="0" w:space="0" w:color="auto"/>
                    <w:left w:val="none" w:sz="0" w:space="0" w:color="auto"/>
                    <w:bottom w:val="none" w:sz="0" w:space="0" w:color="auto"/>
                    <w:right w:val="none" w:sz="0" w:space="0" w:color="auto"/>
                  </w:divBdr>
                  <w:divsChild>
                    <w:div w:id="191681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11420">
      <w:bodyDiv w:val="1"/>
      <w:marLeft w:val="0"/>
      <w:marRight w:val="0"/>
      <w:marTop w:val="0"/>
      <w:marBottom w:val="0"/>
      <w:divBdr>
        <w:top w:val="none" w:sz="0" w:space="0" w:color="auto"/>
        <w:left w:val="none" w:sz="0" w:space="0" w:color="auto"/>
        <w:bottom w:val="none" w:sz="0" w:space="0" w:color="auto"/>
        <w:right w:val="none" w:sz="0" w:space="0" w:color="auto"/>
      </w:divBdr>
    </w:div>
    <w:div w:id="854268861">
      <w:bodyDiv w:val="1"/>
      <w:marLeft w:val="0"/>
      <w:marRight w:val="0"/>
      <w:marTop w:val="0"/>
      <w:marBottom w:val="0"/>
      <w:divBdr>
        <w:top w:val="none" w:sz="0" w:space="0" w:color="auto"/>
        <w:left w:val="none" w:sz="0" w:space="0" w:color="auto"/>
        <w:bottom w:val="none" w:sz="0" w:space="0" w:color="auto"/>
        <w:right w:val="none" w:sz="0" w:space="0" w:color="auto"/>
      </w:divBdr>
    </w:div>
    <w:div w:id="966349051">
      <w:bodyDiv w:val="1"/>
      <w:marLeft w:val="0"/>
      <w:marRight w:val="0"/>
      <w:marTop w:val="0"/>
      <w:marBottom w:val="0"/>
      <w:divBdr>
        <w:top w:val="none" w:sz="0" w:space="0" w:color="auto"/>
        <w:left w:val="none" w:sz="0" w:space="0" w:color="auto"/>
        <w:bottom w:val="none" w:sz="0" w:space="0" w:color="auto"/>
        <w:right w:val="none" w:sz="0" w:space="0" w:color="auto"/>
      </w:divBdr>
    </w:div>
    <w:div w:id="1038050056">
      <w:bodyDiv w:val="1"/>
      <w:marLeft w:val="0"/>
      <w:marRight w:val="0"/>
      <w:marTop w:val="0"/>
      <w:marBottom w:val="0"/>
      <w:divBdr>
        <w:top w:val="none" w:sz="0" w:space="0" w:color="auto"/>
        <w:left w:val="none" w:sz="0" w:space="0" w:color="auto"/>
        <w:bottom w:val="none" w:sz="0" w:space="0" w:color="auto"/>
        <w:right w:val="none" w:sz="0" w:space="0" w:color="auto"/>
      </w:divBdr>
    </w:div>
    <w:div w:id="1055590317">
      <w:bodyDiv w:val="1"/>
      <w:marLeft w:val="0"/>
      <w:marRight w:val="0"/>
      <w:marTop w:val="0"/>
      <w:marBottom w:val="0"/>
      <w:divBdr>
        <w:top w:val="none" w:sz="0" w:space="0" w:color="auto"/>
        <w:left w:val="none" w:sz="0" w:space="0" w:color="auto"/>
        <w:bottom w:val="none" w:sz="0" w:space="0" w:color="auto"/>
        <w:right w:val="none" w:sz="0" w:space="0" w:color="auto"/>
      </w:divBdr>
    </w:div>
    <w:div w:id="1259211530">
      <w:bodyDiv w:val="1"/>
      <w:marLeft w:val="0"/>
      <w:marRight w:val="0"/>
      <w:marTop w:val="0"/>
      <w:marBottom w:val="0"/>
      <w:divBdr>
        <w:top w:val="none" w:sz="0" w:space="0" w:color="auto"/>
        <w:left w:val="none" w:sz="0" w:space="0" w:color="auto"/>
        <w:bottom w:val="none" w:sz="0" w:space="0" w:color="auto"/>
        <w:right w:val="none" w:sz="0" w:space="0" w:color="auto"/>
      </w:divBdr>
    </w:div>
    <w:div w:id="1412005739">
      <w:bodyDiv w:val="1"/>
      <w:marLeft w:val="0"/>
      <w:marRight w:val="0"/>
      <w:marTop w:val="0"/>
      <w:marBottom w:val="0"/>
      <w:divBdr>
        <w:top w:val="none" w:sz="0" w:space="0" w:color="auto"/>
        <w:left w:val="none" w:sz="0" w:space="0" w:color="auto"/>
        <w:bottom w:val="none" w:sz="0" w:space="0" w:color="auto"/>
        <w:right w:val="none" w:sz="0" w:space="0" w:color="auto"/>
      </w:divBdr>
    </w:div>
    <w:div w:id="1452165409">
      <w:bodyDiv w:val="1"/>
      <w:marLeft w:val="0"/>
      <w:marRight w:val="0"/>
      <w:marTop w:val="0"/>
      <w:marBottom w:val="0"/>
      <w:divBdr>
        <w:top w:val="none" w:sz="0" w:space="0" w:color="auto"/>
        <w:left w:val="none" w:sz="0" w:space="0" w:color="auto"/>
        <w:bottom w:val="none" w:sz="0" w:space="0" w:color="auto"/>
        <w:right w:val="none" w:sz="0" w:space="0" w:color="auto"/>
      </w:divBdr>
    </w:div>
    <w:div w:id="1584296301">
      <w:bodyDiv w:val="1"/>
      <w:marLeft w:val="0"/>
      <w:marRight w:val="0"/>
      <w:marTop w:val="0"/>
      <w:marBottom w:val="0"/>
      <w:divBdr>
        <w:top w:val="none" w:sz="0" w:space="0" w:color="auto"/>
        <w:left w:val="none" w:sz="0" w:space="0" w:color="auto"/>
        <w:bottom w:val="none" w:sz="0" w:space="0" w:color="auto"/>
        <w:right w:val="none" w:sz="0" w:space="0" w:color="auto"/>
      </w:divBdr>
    </w:div>
    <w:div w:id="1714230686">
      <w:bodyDiv w:val="1"/>
      <w:marLeft w:val="0"/>
      <w:marRight w:val="0"/>
      <w:marTop w:val="0"/>
      <w:marBottom w:val="0"/>
      <w:divBdr>
        <w:top w:val="none" w:sz="0" w:space="0" w:color="auto"/>
        <w:left w:val="none" w:sz="0" w:space="0" w:color="auto"/>
        <w:bottom w:val="none" w:sz="0" w:space="0" w:color="auto"/>
        <w:right w:val="none" w:sz="0" w:space="0" w:color="auto"/>
      </w:divBdr>
    </w:div>
    <w:div w:id="1728188038">
      <w:bodyDiv w:val="1"/>
      <w:marLeft w:val="0"/>
      <w:marRight w:val="0"/>
      <w:marTop w:val="0"/>
      <w:marBottom w:val="0"/>
      <w:divBdr>
        <w:top w:val="none" w:sz="0" w:space="0" w:color="auto"/>
        <w:left w:val="none" w:sz="0" w:space="0" w:color="auto"/>
        <w:bottom w:val="none" w:sz="0" w:space="0" w:color="auto"/>
        <w:right w:val="none" w:sz="0" w:space="0" w:color="auto"/>
      </w:divBdr>
    </w:div>
    <w:div w:id="1736315762">
      <w:bodyDiv w:val="1"/>
      <w:marLeft w:val="0"/>
      <w:marRight w:val="0"/>
      <w:marTop w:val="0"/>
      <w:marBottom w:val="0"/>
      <w:divBdr>
        <w:top w:val="none" w:sz="0" w:space="0" w:color="auto"/>
        <w:left w:val="none" w:sz="0" w:space="0" w:color="auto"/>
        <w:bottom w:val="none" w:sz="0" w:space="0" w:color="auto"/>
        <w:right w:val="none" w:sz="0" w:space="0" w:color="auto"/>
      </w:divBdr>
    </w:div>
    <w:div w:id="179201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s.gov/news.release/ocwage.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hrq.gov/qual/careatlas/careatlas3.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hrq.gov/hrqa99.pdf" TargetMode="External"/><Relationship Id="rId5" Type="http://schemas.openxmlformats.org/officeDocument/2006/relationships/settings" Target="settings.xml"/><Relationship Id="rId15" Type="http://schemas.openxmlformats.org/officeDocument/2006/relationships/hyperlink" Target="http://www.bls.gov/news.release/ocwage.htm"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bls.gov/news.release/ocwage.htm"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davidakenny.net/cm/fit.htm" TargetMode="External"/><Relationship Id="rId1" Type="http://schemas.openxmlformats.org/officeDocument/2006/relationships/hyperlink" Target="http://www.medicalhomeimprovement.org/knowledge/practices.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ahps.ahrq.gov/cahpskit/CAHPSKIT_mai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EA297-548E-4123-B5F7-1ED0D240B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7243</Words>
  <Characters>41290</Characters>
  <Application>Microsoft Office Word</Application>
  <DocSecurity>4</DocSecurity>
  <Lines>344</Lines>
  <Paragraphs>96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AHCPR</Company>
  <LinksUpToDate>false</LinksUpToDate>
  <CharactersWithSpaces>48437</CharactersWithSpaces>
  <SharedDoc>false</SharedDoc>
  <HLinks>
    <vt:vector size="6" baseType="variant">
      <vt:variant>
        <vt:i4>4915211</vt:i4>
      </vt:variant>
      <vt:variant>
        <vt:i4>0</vt:i4>
      </vt:variant>
      <vt:variant>
        <vt:i4>0</vt:i4>
      </vt:variant>
      <vt:variant>
        <vt:i4>5</vt:i4>
      </vt:variant>
      <vt:variant>
        <vt:lpwstr>http://www.ahrq.gov/qual/hospculture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AHCPR</dc:creator>
  <cp:lastModifiedBy>Janice Genevro</cp:lastModifiedBy>
  <cp:revision>2</cp:revision>
  <cp:lastPrinted>2014-01-31T15:14:00Z</cp:lastPrinted>
  <dcterms:created xsi:type="dcterms:W3CDTF">2014-12-19T22:14:00Z</dcterms:created>
  <dcterms:modified xsi:type="dcterms:W3CDTF">2014-12-19T22:14:00Z</dcterms:modified>
</cp:coreProperties>
</file>