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4C" w:rsidRPr="0042005A"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42005A">
        <w:rPr>
          <w:b/>
          <w:bCs/>
          <w:sz w:val="24"/>
          <w:u w:val="single"/>
        </w:rPr>
        <w:t>Supporting Statement – Part B</w:t>
      </w:r>
    </w:p>
    <w:p w:rsidR="009C7A4C" w:rsidRPr="0042005A" w:rsidRDefault="00B16E98"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42005A">
        <w:rPr>
          <w:b/>
          <w:bCs/>
          <w:sz w:val="24"/>
        </w:rPr>
        <w:t xml:space="preserve">Date: </w:t>
      </w:r>
      <w:r w:rsidR="000D2A92">
        <w:rPr>
          <w:b/>
          <w:bCs/>
          <w:sz w:val="24"/>
        </w:rPr>
        <w:t>12/01</w:t>
      </w:r>
      <w:r w:rsidRPr="0042005A">
        <w:rPr>
          <w:b/>
          <w:bCs/>
          <w:sz w:val="24"/>
        </w:rPr>
        <w:t>/2012</w:t>
      </w:r>
    </w:p>
    <w:p w:rsidR="00B16E98" w:rsidRPr="0042005A" w:rsidRDefault="00B16E98"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9C7A4C" w:rsidRPr="0042005A" w:rsidRDefault="00E17878"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Pr>
          <w:bCs/>
          <w:sz w:val="24"/>
        </w:rPr>
        <w:t>Collections of Information Employing Statistical Methods</w:t>
      </w:r>
    </w:p>
    <w:p w:rsidR="009C7A4C" w:rsidRPr="0042005A"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Pr="0042005A"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   Potential Respondent Universe and Sample Selection Method</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2E41" w:rsidRPr="0042005A" w:rsidRDefault="00E17878" w:rsidP="000F2E41">
      <w:pPr>
        <w:widowControl/>
        <w:autoSpaceDE/>
        <w:autoSpaceDN/>
        <w:adjustRightInd/>
        <w:spacing w:after="120" w:line="276" w:lineRule="auto"/>
        <w:contextualSpacing/>
        <w:rPr>
          <w:sz w:val="24"/>
        </w:rPr>
      </w:pPr>
      <w:r>
        <w:rPr>
          <w:color w:val="000000"/>
          <w:sz w:val="24"/>
        </w:rPr>
        <w:t>The sample will be composed of a geographically-stratified random sample of 2,000 home health agencies (HHAs) with one claim drawn from each provider.  The home health agency, referring provider, and beneficiary associated with each claim will be interviewed.  Interviews will include questions and collection of documentation aimed at confirming that the beneficiary received the service prescribed, that the service was medically necessary, that the beneficiary was eligible to receive the service and that</w:t>
      </w:r>
      <w:r>
        <w:rPr>
          <w:sz w:val="24"/>
        </w:rPr>
        <w:t xml:space="preserve"> there is no evidence of intent to defraud Medicare on the part of the HHA and/or the referring provide.</w:t>
      </w:r>
    </w:p>
    <w:p w:rsidR="00443997" w:rsidRPr="0042005A" w:rsidRDefault="00443997"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To reduce data collection issues related to beneficiary recall of services rendered, the sampling strategy for the Probable Fraud Measurement Pilot will focus on recently rendered services.  In addition, the pilot will be conducted in two waves, with the second wave drawn approximately three months after the first wave.  This will minimize the gap between each claim’s submission date and the date of data collection.</w:t>
      </w:r>
    </w:p>
    <w:p w:rsidR="007C784B" w:rsidRPr="0042005A" w:rsidRDefault="007C784B"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C784B" w:rsidRPr="0042005A" w:rsidRDefault="00E17878" w:rsidP="007C78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sample for each wave will be drawn in two stages.  In the first stage, a home health agency will be randomly selected; in the second stage, one claim will be randomly selected for each agency.  The sampling frame for the first stage consists of all home health agencies that submitted claims (defined as paid final claims appearing in Medicare’s Common Working File) during the sampling period (defined as one quarter prior to the sampling date).</w:t>
      </w:r>
      <w:r w:rsidR="00E2252C" w:rsidRPr="0042005A">
        <w:rPr>
          <w:rStyle w:val="FootnoteReference"/>
          <w:sz w:val="24"/>
        </w:rPr>
        <w:footnoteReference w:id="1"/>
      </w:r>
      <w:r w:rsidR="00E2252C" w:rsidRPr="0042005A">
        <w:rPr>
          <w:sz w:val="24"/>
        </w:rPr>
        <w:t xml:space="preserve">  T</w:t>
      </w:r>
      <w:r w:rsidR="007C784B" w:rsidRPr="0042005A">
        <w:rPr>
          <w:rStyle w:val="FootnoteReference"/>
          <w:sz w:val="24"/>
          <w:vertAlign w:val="baseline"/>
        </w:rPr>
        <w:t xml:space="preserve">he sampling frame for the second </w:t>
      </w:r>
      <w:r>
        <w:rPr>
          <w:rStyle w:val="FootnoteReference"/>
          <w:sz w:val="24"/>
          <w:vertAlign w:val="baseline"/>
        </w:rPr>
        <w:t xml:space="preserve">stage consists of all </w:t>
      </w:r>
      <w:r w:rsidRPr="00E17878">
        <w:rPr>
          <w:sz w:val="24"/>
        </w:rPr>
        <w:t xml:space="preserve">paid </w:t>
      </w:r>
      <w:r>
        <w:rPr>
          <w:rStyle w:val="FootnoteReference"/>
          <w:sz w:val="24"/>
          <w:vertAlign w:val="baseline"/>
        </w:rPr>
        <w:t xml:space="preserve">claims submitted by these home health agencies during the sampling period.  </w:t>
      </w:r>
      <w:r w:rsidRPr="00E17878">
        <w:rPr>
          <w:sz w:val="24"/>
        </w:rPr>
        <w:t>The universe of potential respondents for the referring provider interview consists of all providers who were reported as the attending provider on claims submitted during the sampling period, while the universe of potential respondents for the beneficiary interview consists of all beneficiaries listed as recipients of the home health services on claims submitted during the sampling period.</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 xml:space="preserve">The sample will be stratified first by seven zones, and the total sample will be drawn in proportion to the number of providers in the universe for each zone.  Each zone will be further subdivided into two sets of areas representing low and high cost areas for information collection, based on information provided by the contractors conducting the interviews.  Specifically, a low-cost area is defined as a location that the contractor can reach by car without needing to make an overnight stay, and a high-cost area is defined as a location that would require the contractor to stay overnight if traveling by car.  </w:t>
      </w:r>
      <w:bookmarkStart w:id="0" w:name="_GoBack"/>
      <w:bookmarkEnd w:id="0"/>
      <w:r w:rsidR="007220AE" w:rsidRPr="0042005A">
        <w:rPr>
          <w:sz w:val="24"/>
        </w:rPr>
        <w:t xml:space="preserve">To </w:t>
      </w:r>
      <w:r w:rsidR="0061049B" w:rsidRPr="0042005A">
        <w:rPr>
          <w:sz w:val="24"/>
        </w:rPr>
        <w:t xml:space="preserve">decrease </w:t>
      </w:r>
      <w:r w:rsidR="007220AE" w:rsidRPr="0042005A">
        <w:rPr>
          <w:sz w:val="24"/>
        </w:rPr>
        <w:t xml:space="preserve">the cost of collecting data for the pilot, the low-cost </w:t>
      </w:r>
      <w:r w:rsidR="007220AE" w:rsidRPr="0042005A">
        <w:rPr>
          <w:sz w:val="24"/>
        </w:rPr>
        <w:lastRenderedPageBreak/>
        <w:t>areas will be oversampled</w:t>
      </w:r>
      <w:r w:rsidRPr="00E17878">
        <w:rPr>
          <w:sz w:val="24"/>
        </w:rPr>
        <w:t xml:space="preserve">.  </w:t>
      </w:r>
      <w:r w:rsidRPr="00E17878">
        <w:rPr>
          <w:color w:val="000000"/>
          <w:sz w:val="24"/>
        </w:rPr>
        <w:t>Given knowledge of the stratification used to draw the sample and the universe of Medicare home health claims, the sampling frame can be used to produce nationally representative populations of Medicare home health claims, beneficiaries and providers.</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2252C" w:rsidRPr="0042005A" w:rsidRDefault="00E17878" w:rsidP="00E2252C">
      <w:pPr>
        <w:pStyle w:val="Caption"/>
        <w:keepNext/>
        <w:widowControl/>
        <w:jc w:val="center"/>
        <w:rPr>
          <w:sz w:val="24"/>
        </w:rPr>
      </w:pPr>
      <w:r w:rsidRPr="00E17878">
        <w:t xml:space="preserve">Table </w:t>
      </w:r>
      <w:fldSimple w:instr=" SEQ Table \* ARABIC ">
        <w:r w:rsidRPr="00E17878">
          <w:rPr>
            <w:noProof/>
          </w:rPr>
          <w:t>1</w:t>
        </w:r>
      </w:fldSimple>
      <w:r w:rsidRPr="00E17878">
        <w:t>: Geographic Strata</w:t>
      </w:r>
    </w:p>
    <w:tbl>
      <w:tblPr>
        <w:tblW w:w="5685" w:type="dxa"/>
        <w:tblInd w:w="1845" w:type="dxa"/>
        <w:tblCellMar>
          <w:left w:w="0" w:type="dxa"/>
          <w:right w:w="0" w:type="dxa"/>
        </w:tblCellMar>
        <w:tblLook w:val="04A0"/>
      </w:tblPr>
      <w:tblGrid>
        <w:gridCol w:w="825"/>
        <w:gridCol w:w="4860"/>
      </w:tblGrid>
      <w:tr w:rsidR="00494B00" w:rsidRPr="0042005A" w:rsidTr="00494B00">
        <w:trPr>
          <w:trHeight w:val="300"/>
        </w:trPr>
        <w:tc>
          <w:tcPr>
            <w:tcW w:w="825"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494B00" w:rsidRPr="0042005A" w:rsidRDefault="00E17878" w:rsidP="00E2252C">
            <w:pPr>
              <w:keepNext/>
              <w:keepLines/>
              <w:widowControl/>
              <w:spacing w:before="480"/>
              <w:jc w:val="center"/>
              <w:outlineLvl w:val="0"/>
              <w:rPr>
                <w:rFonts w:ascii="Arial" w:hAnsi="Arial" w:cs="Arial"/>
                <w:b/>
                <w:bCs/>
                <w:color w:val="000000"/>
                <w:sz w:val="16"/>
                <w:szCs w:val="16"/>
              </w:rPr>
            </w:pPr>
            <w:r w:rsidRPr="00E17878">
              <w:rPr>
                <w:rFonts w:ascii="Arial" w:hAnsi="Arial" w:cs="Arial"/>
                <w:b/>
                <w:bCs/>
                <w:color w:val="000000"/>
                <w:sz w:val="16"/>
                <w:szCs w:val="16"/>
              </w:rPr>
              <w:t>Strata</w:t>
            </w:r>
          </w:p>
        </w:tc>
        <w:tc>
          <w:tcPr>
            <w:tcW w:w="486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494B00" w:rsidRPr="0042005A" w:rsidRDefault="00E17878" w:rsidP="00E2252C">
            <w:pPr>
              <w:keepNext/>
              <w:keepLines/>
              <w:widowControl/>
              <w:spacing w:before="480"/>
              <w:outlineLvl w:val="0"/>
              <w:rPr>
                <w:rFonts w:ascii="Arial" w:hAnsi="Arial" w:cs="Arial"/>
                <w:b/>
                <w:bCs/>
                <w:color w:val="000000"/>
                <w:sz w:val="16"/>
                <w:szCs w:val="16"/>
              </w:rPr>
            </w:pPr>
            <w:r w:rsidRPr="00E17878">
              <w:rPr>
                <w:rFonts w:ascii="Arial" w:hAnsi="Arial" w:cs="Arial"/>
                <w:b/>
                <w:bCs/>
                <w:color w:val="000000"/>
                <w:sz w:val="16"/>
                <w:szCs w:val="16"/>
              </w:rPr>
              <w:t>States</w:t>
            </w:r>
          </w:p>
        </w:tc>
      </w:tr>
      <w:tr w:rsidR="00494B00" w:rsidRPr="0042005A" w:rsidTr="00494B00">
        <w:trPr>
          <w:trHeight w:val="300"/>
        </w:trPr>
        <w:tc>
          <w:tcPr>
            <w:tcW w:w="8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494B00" w:rsidRPr="0042005A" w:rsidRDefault="00E17878" w:rsidP="00494B00">
            <w:pPr>
              <w:keepNext/>
              <w:keepLines/>
              <w:spacing w:before="480"/>
              <w:jc w:val="center"/>
              <w:outlineLvl w:val="0"/>
              <w:rPr>
                <w:rFonts w:ascii="Arial" w:hAnsi="Arial" w:cs="Arial"/>
                <w:color w:val="000000"/>
                <w:sz w:val="16"/>
                <w:szCs w:val="16"/>
              </w:rPr>
            </w:pPr>
            <w:r w:rsidRPr="00E17878">
              <w:rPr>
                <w:rFonts w:ascii="Arial" w:hAnsi="Arial" w:cs="Arial"/>
                <w:color w:val="000000"/>
                <w:sz w:val="16"/>
                <w:szCs w:val="16"/>
              </w:rPr>
              <w:t xml:space="preserve">  1</w:t>
            </w:r>
          </w:p>
        </w:tc>
        <w:tc>
          <w:tcPr>
            <w:tcW w:w="4860" w:type="dxa"/>
            <w:tcBorders>
              <w:top w:val="nil"/>
              <w:left w:val="nil"/>
              <w:bottom w:val="nil"/>
              <w:right w:val="single" w:sz="8" w:space="0" w:color="auto"/>
            </w:tcBorders>
            <w:noWrap/>
            <w:tcMar>
              <w:top w:w="0" w:type="dxa"/>
              <w:left w:w="108" w:type="dxa"/>
              <w:bottom w:w="0" w:type="dxa"/>
              <w:right w:w="108" w:type="dxa"/>
            </w:tcMar>
            <w:vAlign w:val="bottom"/>
            <w:hideMark/>
          </w:tcPr>
          <w:p w:rsidR="00494B00" w:rsidRPr="0042005A" w:rsidRDefault="00E17878" w:rsidP="00494B00">
            <w:pPr>
              <w:keepNext/>
              <w:keepLines/>
              <w:spacing w:before="480"/>
              <w:outlineLvl w:val="0"/>
              <w:rPr>
                <w:rFonts w:ascii="Arial" w:hAnsi="Arial" w:cs="Arial"/>
                <w:color w:val="000000"/>
                <w:sz w:val="16"/>
                <w:szCs w:val="16"/>
              </w:rPr>
            </w:pPr>
            <w:r w:rsidRPr="00E17878">
              <w:rPr>
                <w:rFonts w:ascii="Arial" w:hAnsi="Arial" w:cs="Arial"/>
                <w:color w:val="000000"/>
                <w:sz w:val="16"/>
                <w:szCs w:val="16"/>
              </w:rPr>
              <w:t>AS, CA, GU, HI, MP, and NV</w:t>
            </w:r>
          </w:p>
        </w:tc>
      </w:tr>
      <w:tr w:rsidR="00494B00" w:rsidRPr="0042005A" w:rsidTr="00494B00">
        <w:trPr>
          <w:trHeight w:val="300"/>
        </w:trPr>
        <w:tc>
          <w:tcPr>
            <w:tcW w:w="8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494B00" w:rsidRPr="0042005A" w:rsidRDefault="00E17878" w:rsidP="00494B00">
            <w:pPr>
              <w:keepNext/>
              <w:keepLines/>
              <w:spacing w:before="480"/>
              <w:jc w:val="center"/>
              <w:outlineLvl w:val="0"/>
              <w:rPr>
                <w:rFonts w:ascii="Arial" w:hAnsi="Arial" w:cs="Arial"/>
                <w:color w:val="000000"/>
                <w:sz w:val="16"/>
                <w:szCs w:val="16"/>
              </w:rPr>
            </w:pPr>
            <w:r w:rsidRPr="00E17878">
              <w:rPr>
                <w:rFonts w:ascii="Arial" w:hAnsi="Arial" w:cs="Arial"/>
                <w:color w:val="000000"/>
                <w:sz w:val="16"/>
                <w:szCs w:val="16"/>
              </w:rPr>
              <w:t xml:space="preserve">  2</w:t>
            </w:r>
          </w:p>
        </w:tc>
        <w:tc>
          <w:tcPr>
            <w:tcW w:w="4860" w:type="dxa"/>
            <w:tcBorders>
              <w:top w:val="nil"/>
              <w:left w:val="nil"/>
              <w:bottom w:val="nil"/>
              <w:right w:val="single" w:sz="8" w:space="0" w:color="auto"/>
            </w:tcBorders>
            <w:noWrap/>
            <w:tcMar>
              <w:top w:w="0" w:type="dxa"/>
              <w:left w:w="108" w:type="dxa"/>
              <w:bottom w:w="0" w:type="dxa"/>
              <w:right w:w="108" w:type="dxa"/>
            </w:tcMar>
            <w:vAlign w:val="bottom"/>
            <w:hideMark/>
          </w:tcPr>
          <w:p w:rsidR="00494B00" w:rsidRPr="0042005A" w:rsidRDefault="00E17878" w:rsidP="00494B00">
            <w:pPr>
              <w:keepNext/>
              <w:keepLines/>
              <w:spacing w:before="480"/>
              <w:outlineLvl w:val="0"/>
              <w:rPr>
                <w:rFonts w:ascii="Arial" w:hAnsi="Arial" w:cs="Arial"/>
                <w:color w:val="000000"/>
                <w:sz w:val="16"/>
                <w:szCs w:val="16"/>
              </w:rPr>
            </w:pPr>
            <w:r w:rsidRPr="00E17878">
              <w:rPr>
                <w:rFonts w:ascii="Arial" w:hAnsi="Arial" w:cs="Arial"/>
                <w:color w:val="000000"/>
                <w:sz w:val="16"/>
                <w:szCs w:val="16"/>
              </w:rPr>
              <w:t>AK, AZ, IA, ID, KS, MO, MT, NE, ND, OR, SD, UT, WA and WY</w:t>
            </w:r>
          </w:p>
        </w:tc>
      </w:tr>
      <w:tr w:rsidR="00494B00" w:rsidRPr="0042005A" w:rsidTr="00494B00">
        <w:trPr>
          <w:trHeight w:val="300"/>
        </w:trPr>
        <w:tc>
          <w:tcPr>
            <w:tcW w:w="8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494B00" w:rsidRPr="0042005A" w:rsidRDefault="00E17878" w:rsidP="00494B00">
            <w:pPr>
              <w:keepNext/>
              <w:keepLines/>
              <w:spacing w:before="480"/>
              <w:jc w:val="center"/>
              <w:outlineLvl w:val="0"/>
              <w:rPr>
                <w:rFonts w:ascii="Arial" w:hAnsi="Arial" w:cs="Arial"/>
                <w:color w:val="000000"/>
                <w:sz w:val="16"/>
                <w:szCs w:val="16"/>
              </w:rPr>
            </w:pPr>
            <w:r w:rsidRPr="00E17878">
              <w:rPr>
                <w:rFonts w:ascii="Arial" w:hAnsi="Arial" w:cs="Arial"/>
                <w:color w:val="000000"/>
                <w:sz w:val="16"/>
                <w:szCs w:val="16"/>
              </w:rPr>
              <w:t xml:space="preserve">  3</w:t>
            </w:r>
          </w:p>
        </w:tc>
        <w:tc>
          <w:tcPr>
            <w:tcW w:w="4860" w:type="dxa"/>
            <w:tcBorders>
              <w:top w:val="nil"/>
              <w:left w:val="nil"/>
              <w:bottom w:val="nil"/>
              <w:right w:val="single" w:sz="8" w:space="0" w:color="auto"/>
            </w:tcBorders>
            <w:noWrap/>
            <w:tcMar>
              <w:top w:w="0" w:type="dxa"/>
              <w:left w:w="108" w:type="dxa"/>
              <w:bottom w:w="0" w:type="dxa"/>
              <w:right w:w="108" w:type="dxa"/>
            </w:tcMar>
            <w:vAlign w:val="bottom"/>
            <w:hideMark/>
          </w:tcPr>
          <w:p w:rsidR="00494B00" w:rsidRPr="0042005A" w:rsidRDefault="00E17878" w:rsidP="00494B00">
            <w:pPr>
              <w:keepNext/>
              <w:keepLines/>
              <w:spacing w:before="480"/>
              <w:outlineLvl w:val="0"/>
              <w:rPr>
                <w:rFonts w:ascii="Arial" w:hAnsi="Arial" w:cs="Arial"/>
                <w:color w:val="000000"/>
                <w:sz w:val="16"/>
                <w:szCs w:val="16"/>
              </w:rPr>
            </w:pPr>
            <w:r w:rsidRPr="00E17878">
              <w:rPr>
                <w:rFonts w:ascii="Arial" w:hAnsi="Arial" w:cs="Arial"/>
                <w:color w:val="000000"/>
                <w:sz w:val="16"/>
                <w:szCs w:val="16"/>
              </w:rPr>
              <w:t>IL, IN, KY, MI, MN, OH and WI</w:t>
            </w:r>
          </w:p>
        </w:tc>
      </w:tr>
      <w:tr w:rsidR="00494B00" w:rsidRPr="0042005A" w:rsidTr="00494B00">
        <w:trPr>
          <w:trHeight w:val="300"/>
        </w:trPr>
        <w:tc>
          <w:tcPr>
            <w:tcW w:w="8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494B00" w:rsidRPr="0042005A" w:rsidRDefault="00E17878" w:rsidP="00494B00">
            <w:pPr>
              <w:keepNext/>
              <w:keepLines/>
              <w:spacing w:before="480"/>
              <w:jc w:val="center"/>
              <w:outlineLvl w:val="0"/>
              <w:rPr>
                <w:rFonts w:ascii="Arial" w:hAnsi="Arial" w:cs="Arial"/>
                <w:color w:val="000000"/>
                <w:sz w:val="16"/>
                <w:szCs w:val="16"/>
              </w:rPr>
            </w:pPr>
            <w:r w:rsidRPr="00E17878">
              <w:rPr>
                <w:rFonts w:ascii="Arial" w:hAnsi="Arial" w:cs="Arial"/>
                <w:color w:val="000000"/>
                <w:sz w:val="16"/>
                <w:szCs w:val="16"/>
              </w:rPr>
              <w:t xml:space="preserve">  4</w:t>
            </w:r>
          </w:p>
        </w:tc>
        <w:tc>
          <w:tcPr>
            <w:tcW w:w="4860" w:type="dxa"/>
            <w:tcBorders>
              <w:top w:val="nil"/>
              <w:left w:val="nil"/>
              <w:bottom w:val="nil"/>
              <w:right w:val="single" w:sz="8" w:space="0" w:color="auto"/>
            </w:tcBorders>
            <w:noWrap/>
            <w:tcMar>
              <w:top w:w="0" w:type="dxa"/>
              <w:left w:w="108" w:type="dxa"/>
              <w:bottom w:w="0" w:type="dxa"/>
              <w:right w:w="108" w:type="dxa"/>
            </w:tcMar>
            <w:vAlign w:val="bottom"/>
            <w:hideMark/>
          </w:tcPr>
          <w:p w:rsidR="00494B00" w:rsidRPr="0042005A" w:rsidRDefault="00E17878" w:rsidP="00494B00">
            <w:pPr>
              <w:keepNext/>
              <w:keepLines/>
              <w:spacing w:before="480"/>
              <w:outlineLvl w:val="0"/>
              <w:rPr>
                <w:rFonts w:ascii="Arial" w:hAnsi="Arial" w:cs="Arial"/>
                <w:color w:val="000000"/>
                <w:sz w:val="16"/>
                <w:szCs w:val="16"/>
              </w:rPr>
            </w:pPr>
            <w:r w:rsidRPr="00E17878">
              <w:rPr>
                <w:rFonts w:ascii="Arial" w:hAnsi="Arial" w:cs="Arial"/>
                <w:color w:val="000000"/>
                <w:sz w:val="16"/>
                <w:szCs w:val="16"/>
              </w:rPr>
              <w:t>CO, NM, OK and TX</w:t>
            </w:r>
          </w:p>
        </w:tc>
      </w:tr>
      <w:tr w:rsidR="00494B00" w:rsidRPr="0042005A" w:rsidTr="00494B00">
        <w:trPr>
          <w:trHeight w:val="300"/>
        </w:trPr>
        <w:tc>
          <w:tcPr>
            <w:tcW w:w="8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494B00" w:rsidRPr="0042005A" w:rsidRDefault="00E17878" w:rsidP="00494B00">
            <w:pPr>
              <w:keepNext/>
              <w:keepLines/>
              <w:spacing w:before="480"/>
              <w:jc w:val="center"/>
              <w:outlineLvl w:val="0"/>
              <w:rPr>
                <w:rFonts w:ascii="Arial" w:hAnsi="Arial" w:cs="Arial"/>
                <w:color w:val="000000"/>
                <w:sz w:val="16"/>
                <w:szCs w:val="16"/>
              </w:rPr>
            </w:pPr>
            <w:r w:rsidRPr="00E17878">
              <w:rPr>
                <w:rFonts w:ascii="Arial" w:hAnsi="Arial" w:cs="Arial"/>
                <w:color w:val="000000"/>
                <w:sz w:val="16"/>
                <w:szCs w:val="16"/>
              </w:rPr>
              <w:t xml:space="preserve">  5</w:t>
            </w:r>
          </w:p>
        </w:tc>
        <w:tc>
          <w:tcPr>
            <w:tcW w:w="4860" w:type="dxa"/>
            <w:tcBorders>
              <w:top w:val="nil"/>
              <w:left w:val="nil"/>
              <w:bottom w:val="nil"/>
              <w:right w:val="single" w:sz="8" w:space="0" w:color="auto"/>
            </w:tcBorders>
            <w:noWrap/>
            <w:tcMar>
              <w:top w:w="0" w:type="dxa"/>
              <w:left w:w="108" w:type="dxa"/>
              <w:bottom w:w="0" w:type="dxa"/>
              <w:right w:w="108" w:type="dxa"/>
            </w:tcMar>
            <w:vAlign w:val="bottom"/>
            <w:hideMark/>
          </w:tcPr>
          <w:p w:rsidR="00494B00" w:rsidRPr="0042005A" w:rsidRDefault="00E17878" w:rsidP="00494B00">
            <w:pPr>
              <w:keepNext/>
              <w:keepLines/>
              <w:spacing w:before="480"/>
              <w:outlineLvl w:val="0"/>
              <w:rPr>
                <w:rFonts w:ascii="Arial" w:hAnsi="Arial" w:cs="Arial"/>
                <w:color w:val="000000"/>
                <w:sz w:val="16"/>
                <w:szCs w:val="16"/>
              </w:rPr>
            </w:pPr>
            <w:r w:rsidRPr="00E17878">
              <w:rPr>
                <w:rFonts w:ascii="Arial" w:hAnsi="Arial" w:cs="Arial"/>
                <w:color w:val="000000"/>
                <w:sz w:val="16"/>
                <w:szCs w:val="16"/>
              </w:rPr>
              <w:t>AL, AR, GA, LA, MS, NC, SC, TN, VA and WV</w:t>
            </w:r>
          </w:p>
        </w:tc>
      </w:tr>
      <w:tr w:rsidR="00494B00" w:rsidRPr="0042005A" w:rsidTr="00494B00">
        <w:trPr>
          <w:trHeight w:val="300"/>
        </w:trPr>
        <w:tc>
          <w:tcPr>
            <w:tcW w:w="82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494B00" w:rsidRPr="0042005A" w:rsidRDefault="00E17878" w:rsidP="00494B00">
            <w:pPr>
              <w:jc w:val="center"/>
              <w:rPr>
                <w:rFonts w:ascii="Arial" w:hAnsi="Arial" w:cs="Arial"/>
                <w:color w:val="000000"/>
                <w:sz w:val="16"/>
                <w:szCs w:val="16"/>
              </w:rPr>
            </w:pPr>
            <w:r w:rsidRPr="00E17878">
              <w:rPr>
                <w:rFonts w:ascii="Arial" w:hAnsi="Arial" w:cs="Arial"/>
                <w:color w:val="000000"/>
                <w:sz w:val="16"/>
                <w:szCs w:val="16"/>
              </w:rPr>
              <w:t xml:space="preserve">  6</w:t>
            </w:r>
          </w:p>
        </w:tc>
        <w:tc>
          <w:tcPr>
            <w:tcW w:w="4860" w:type="dxa"/>
            <w:tcBorders>
              <w:top w:val="nil"/>
              <w:left w:val="nil"/>
              <w:bottom w:val="nil"/>
              <w:right w:val="single" w:sz="8" w:space="0" w:color="auto"/>
            </w:tcBorders>
            <w:noWrap/>
            <w:tcMar>
              <w:top w:w="0" w:type="dxa"/>
              <w:left w:w="108" w:type="dxa"/>
              <w:bottom w:w="0" w:type="dxa"/>
              <w:right w:w="108" w:type="dxa"/>
            </w:tcMar>
            <w:vAlign w:val="bottom"/>
            <w:hideMark/>
          </w:tcPr>
          <w:p w:rsidR="00494B00" w:rsidRPr="0042005A" w:rsidRDefault="00E17878" w:rsidP="00494B00">
            <w:pPr>
              <w:rPr>
                <w:rFonts w:ascii="Arial" w:hAnsi="Arial" w:cs="Arial"/>
                <w:color w:val="000000"/>
                <w:sz w:val="16"/>
                <w:szCs w:val="16"/>
              </w:rPr>
            </w:pPr>
            <w:r w:rsidRPr="00E17878">
              <w:rPr>
                <w:rFonts w:ascii="Arial" w:hAnsi="Arial" w:cs="Arial"/>
                <w:color w:val="000000"/>
                <w:sz w:val="16"/>
                <w:szCs w:val="16"/>
              </w:rPr>
              <w:t>CT, DC, DE, MA, MD, ME, NH, NJ, NY, PA, RI and VT</w:t>
            </w:r>
          </w:p>
        </w:tc>
      </w:tr>
      <w:tr w:rsidR="00494B00" w:rsidRPr="0042005A" w:rsidTr="00494B00">
        <w:trPr>
          <w:trHeight w:val="300"/>
        </w:trPr>
        <w:tc>
          <w:tcPr>
            <w:tcW w:w="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94B00" w:rsidRPr="0042005A" w:rsidRDefault="00E17878" w:rsidP="00494B00">
            <w:pPr>
              <w:jc w:val="center"/>
              <w:rPr>
                <w:rFonts w:ascii="Arial" w:hAnsi="Arial" w:cs="Arial"/>
                <w:color w:val="000000"/>
                <w:sz w:val="16"/>
                <w:szCs w:val="16"/>
              </w:rPr>
            </w:pPr>
            <w:r w:rsidRPr="00E17878">
              <w:rPr>
                <w:rFonts w:ascii="Arial" w:hAnsi="Arial" w:cs="Arial"/>
                <w:color w:val="000000"/>
                <w:sz w:val="16"/>
                <w:szCs w:val="16"/>
              </w:rPr>
              <w:t xml:space="preserve">  7</w:t>
            </w:r>
          </w:p>
        </w:tc>
        <w:tc>
          <w:tcPr>
            <w:tcW w:w="4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94B00" w:rsidRPr="0042005A" w:rsidRDefault="00E17878" w:rsidP="00494B00">
            <w:pPr>
              <w:rPr>
                <w:rFonts w:ascii="Arial" w:hAnsi="Arial" w:cs="Arial"/>
                <w:color w:val="000000"/>
                <w:sz w:val="16"/>
                <w:szCs w:val="16"/>
              </w:rPr>
            </w:pPr>
            <w:r w:rsidRPr="00E17878">
              <w:rPr>
                <w:rFonts w:ascii="Arial" w:hAnsi="Arial" w:cs="Arial"/>
                <w:color w:val="000000"/>
                <w:sz w:val="16"/>
                <w:szCs w:val="16"/>
              </w:rPr>
              <w:t>FL, PR and VI</w:t>
            </w:r>
          </w:p>
        </w:tc>
      </w:tr>
    </w:tbl>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 xml:space="preserve">Expected response rates for home health agencies and referring providers are close to 100 percent because these entities are required to respond to requests for documentation.  Under section 1833(e) of the Social Security Act, the Department of Health and Human Services has the authority to obtain sufficient information to substantiate claims for reimbursement.  Additionally, under 42 C.F.R. § 424.516(f)(1), providers who furnish home health services are required to maintain documentation for 7 years from the date of service and to provide access to that documentation upon the request of CMS or a Medicare contractor.  Under 42 C.F.R.424.516(f)(2), the same requirements apply to physicians who refer patients for home health services.  </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Because beneficiary participation is voluntary, response rates in the beneficiary interview are likely to be considerably lower.  Previous efforts to collect similar information from beneficiaries by mail or phone, conducted by the Office of Inspector General, have had response rates ranging from 36 percent to 55 percent.</w:t>
      </w:r>
      <w:r w:rsidR="006D53B0" w:rsidRPr="0042005A">
        <w:rPr>
          <w:rStyle w:val="FootnoteReference"/>
          <w:sz w:val="24"/>
        </w:rPr>
        <w:footnoteReference w:id="2"/>
      </w:r>
      <w:r w:rsidR="007220AE" w:rsidRPr="0042005A">
        <w:rPr>
          <w:sz w:val="24"/>
        </w:rPr>
        <w:t xml:space="preserve"> </w:t>
      </w:r>
      <w:r w:rsidR="000B0DA1" w:rsidRPr="0042005A">
        <w:rPr>
          <w:sz w:val="24"/>
        </w:rPr>
        <w:t xml:space="preserve"> The Home Health Consumer Assessment of Healthcare Providers and Systems Survey, which surveys the home health population regarding their perception of quality of care issues, </w:t>
      </w:r>
      <w:r w:rsidR="001E211B" w:rsidRPr="0042005A">
        <w:rPr>
          <w:sz w:val="24"/>
        </w:rPr>
        <w:t>is expected to have response</w:t>
      </w:r>
      <w:r w:rsidRPr="00E17878">
        <w:rPr>
          <w:sz w:val="24"/>
        </w:rPr>
        <w:t xml:space="preserve"> rates of 39 percent, 46 percent, and 52 percent for mail, telephone, and mixed modes respectively.</w:t>
      </w:r>
      <w:r w:rsidR="001E211B" w:rsidRPr="0042005A">
        <w:rPr>
          <w:rStyle w:val="FootnoteReference"/>
          <w:sz w:val="24"/>
        </w:rPr>
        <w:footnoteReference w:id="3"/>
      </w:r>
      <w:r w:rsidR="00D86109" w:rsidRPr="0042005A">
        <w:rPr>
          <w:sz w:val="24"/>
        </w:rPr>
        <w:t xml:space="preserve">  The use of in-person data collection for this pilot may increase response rates, so estimates of response rates using these sources are likely to </w:t>
      </w:r>
      <w:r w:rsidR="00D86109" w:rsidRPr="0042005A">
        <w:rPr>
          <w:sz w:val="24"/>
        </w:rPr>
        <w:lastRenderedPageBreak/>
        <w:t xml:space="preserve">be conservative. </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2.  Information Collection and Statistical Procedures</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 xml:space="preserve">Most interviews will be unannounced and in-person.  Trained and experienced interviewers with knowledge of the Medicare program will conduct in-person unannounced interviews of home health agencies and collect documentation from those agencies.  Interviews with all referring providers will occur by appointment, but the interviewers will not disclose to providers in advance the purpose of the interview.  The pilot will use a mixed mode for referring provider interviews; half of the interviews will be conducted in-person and half by telephone.  Beneficiary interviews will be unannounced and in-person.  The pilot uses unannounced interviews when feasible to reduce the opportunity for fraudulent providers to alter or fabricate records or to coach beneficiaries in answering questions.  As described in Part A of this Supporting Statement, a member of a Review Panel will use information from the interviews in concert with other information to determine whether a sampled claim meets the pilot’s definition of probable fraud. </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84605"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 xml:space="preserve">The estimated rate of payments made based on claims that are probable fraud will be calculated for the population of home health claims by using standard methods to develop weights for each sampled claim.  In the non-stratified version of this two-stage design, the sampling procedure described above implies a weight for sample claim </w:t>
      </w:r>
      <w:r w:rsidRPr="00E17878">
        <w:rPr>
          <w:i/>
          <w:sz w:val="24"/>
        </w:rPr>
        <w:t>i</w:t>
      </w:r>
      <w:r w:rsidRPr="00E17878">
        <w:rPr>
          <w:sz w:val="24"/>
        </w:rPr>
        <w:t>, denoted by ω</w:t>
      </w:r>
      <w:r>
        <w:rPr>
          <w:i/>
          <w:sz w:val="24"/>
          <w:vertAlign w:val="subscript"/>
        </w:rPr>
        <w:t>i</w:t>
      </w:r>
      <w:r w:rsidRPr="00E17878">
        <w:rPr>
          <w:sz w:val="24"/>
        </w:rPr>
        <w:t xml:space="preserve">, equal to </w:t>
      </w:r>
      <w:r w:rsidRPr="00E17878">
        <w:rPr>
          <w:i/>
          <w:sz w:val="24"/>
        </w:rPr>
        <w:t>(1/n)*N</w:t>
      </w:r>
      <w:r>
        <w:rPr>
          <w:i/>
          <w:sz w:val="24"/>
          <w:vertAlign w:val="subscript"/>
        </w:rPr>
        <w:t>p</w:t>
      </w:r>
      <w:r w:rsidRPr="00E17878">
        <w:rPr>
          <w:sz w:val="24"/>
        </w:rPr>
        <w:t>*</w:t>
      </w:r>
      <w:r w:rsidRPr="00E17878">
        <w:rPr>
          <w:i/>
          <w:sz w:val="24"/>
        </w:rPr>
        <w:t>N</w:t>
      </w:r>
      <w:r>
        <w:rPr>
          <w:i/>
          <w:sz w:val="24"/>
          <w:vertAlign w:val="subscript"/>
        </w:rPr>
        <w:t>k</w:t>
      </w:r>
      <w:r>
        <w:rPr>
          <w:sz w:val="24"/>
          <w:vertAlign w:val="subscript"/>
        </w:rPr>
        <w:t>,</w:t>
      </w:r>
      <w:r w:rsidRPr="00E17878">
        <w:rPr>
          <w:sz w:val="24"/>
        </w:rPr>
        <w:t xml:space="preserve">, where </w:t>
      </w:r>
      <w:r w:rsidRPr="00E17878">
        <w:rPr>
          <w:i/>
          <w:sz w:val="24"/>
        </w:rPr>
        <w:t>n</w:t>
      </w:r>
      <w:r w:rsidRPr="00E17878">
        <w:rPr>
          <w:sz w:val="24"/>
        </w:rPr>
        <w:t xml:space="preserve"> is the number of claims in the sample, </w:t>
      </w:r>
      <w:r w:rsidRPr="00E17878">
        <w:rPr>
          <w:i/>
          <w:sz w:val="24"/>
        </w:rPr>
        <w:t>N</w:t>
      </w:r>
      <w:r>
        <w:rPr>
          <w:i/>
          <w:sz w:val="24"/>
          <w:vertAlign w:val="subscript"/>
        </w:rPr>
        <w:t>p</w:t>
      </w:r>
      <w:r w:rsidRPr="00E17878">
        <w:rPr>
          <w:sz w:val="24"/>
        </w:rPr>
        <w:t xml:space="preserve"> is the number of providers in the population, and </w:t>
      </w:r>
      <w:r w:rsidRPr="00E17878">
        <w:rPr>
          <w:i/>
          <w:sz w:val="24"/>
        </w:rPr>
        <w:t>N</w:t>
      </w:r>
      <w:r>
        <w:rPr>
          <w:i/>
          <w:sz w:val="24"/>
          <w:vertAlign w:val="subscript"/>
        </w:rPr>
        <w:t>k</w:t>
      </w:r>
      <w:r w:rsidRPr="00E17878">
        <w:rPr>
          <w:sz w:val="24"/>
        </w:rPr>
        <w:t xml:space="preserve"> is the number of claims in the population for provider </w:t>
      </w:r>
      <w:r w:rsidRPr="00E17878">
        <w:rPr>
          <w:i/>
          <w:sz w:val="24"/>
        </w:rPr>
        <w:t>k</w:t>
      </w:r>
      <w:r w:rsidRPr="00E17878">
        <w:rPr>
          <w:sz w:val="24"/>
        </w:rPr>
        <w:t xml:space="preserve"> (the rendering provider on sample claim </w:t>
      </w:r>
      <w:r w:rsidRPr="00E17878">
        <w:rPr>
          <w:i/>
          <w:sz w:val="24"/>
        </w:rPr>
        <w:t>i</w:t>
      </w:r>
      <w:r w:rsidRPr="00E17878">
        <w:rPr>
          <w:sz w:val="24"/>
        </w:rPr>
        <w:t>).</w:t>
      </w:r>
      <w:r w:rsidR="008D0EF5" w:rsidRPr="0042005A">
        <w:rPr>
          <w:rStyle w:val="FootnoteReference"/>
          <w:sz w:val="24"/>
        </w:rPr>
        <w:footnoteReference w:id="4"/>
      </w:r>
    </w:p>
    <w:p w:rsidR="007D35B6" w:rsidRPr="0042005A" w:rsidRDefault="007D35B6"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D35B6" w:rsidRPr="0042005A" w:rsidRDefault="00E17878" w:rsidP="007D35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To estimate the total amount of payments associated with probable fraud in the population using sample data,</w:t>
      </w:r>
      <w:r w:rsidR="007D35B6" w:rsidRPr="0042005A">
        <w:rPr>
          <w:rStyle w:val="FootnoteReference"/>
          <w:sz w:val="24"/>
        </w:rPr>
        <w:footnoteReference w:id="5"/>
      </w:r>
      <w:r w:rsidR="007D35B6" w:rsidRPr="0042005A">
        <w:rPr>
          <w:sz w:val="24"/>
        </w:rPr>
        <w:t xml:space="preserve"> calculate  </w:t>
      </w:r>
    </w:p>
    <w:p w:rsidR="007D35B6" w:rsidRPr="0042005A" w:rsidRDefault="00552835" w:rsidP="008D0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m:oMathPara>
        <m:oMath>
          <m:acc>
            <m:accPr>
              <m:ctrlPr>
                <w:rPr>
                  <w:rFonts w:ascii="Cambria Math" w:hAnsi="Cambria Math"/>
                  <w:sz w:val="24"/>
                </w:rPr>
              </m:ctrlPr>
            </m:accPr>
            <m:e>
              <m:r>
                <m:rPr>
                  <m:sty m:val="p"/>
                </m:rPr>
                <w:rPr>
                  <w:rFonts w:ascii="Cambria Math"/>
                  <w:sz w:val="24"/>
                </w:rPr>
                <m:t>PFP</m:t>
              </m:r>
            </m:e>
          </m:acc>
          <m:r>
            <w:rPr>
              <w:rFonts w:ascii="Cambria Math" w:eastAsia="Cambria Math"/>
              <w:sz w:val="24"/>
            </w:rPr>
            <m:t>=</m:t>
          </m:r>
          <m:nary>
            <m:naryPr>
              <m:chr m:val="∑"/>
              <m:grow m:val="on"/>
              <m:ctrlPr>
                <w:rPr>
                  <w:rFonts w:ascii="Cambria Math" w:hAnsi="Cambria Math"/>
                  <w:sz w:val="24"/>
                </w:rPr>
              </m:ctrlPr>
            </m:naryPr>
            <m:sub>
              <m:r>
                <w:rPr>
                  <w:rFonts w:ascii="Cambria Math" w:eastAsia="Cambria Math" w:hAnsi="Cambria Math"/>
                  <w:sz w:val="24"/>
                </w:rPr>
                <m:t>i</m:t>
              </m:r>
              <m:r>
                <w:rPr>
                  <w:rFonts w:ascii="Cambria Math" w:eastAsia="Cambria Math"/>
                  <w:sz w:val="24"/>
                </w:rPr>
                <m:t>=1</m:t>
              </m:r>
            </m:sub>
            <m:sup>
              <m:r>
                <w:rPr>
                  <w:rFonts w:ascii="Cambria Math" w:eastAsia="Cambria Math" w:hAnsi="Cambria Math"/>
                  <w:sz w:val="24"/>
                </w:rPr>
                <m:t>n</m:t>
              </m:r>
            </m:sup>
            <m:e>
              <m:sSub>
                <m:sSubPr>
                  <m:ctrlPr>
                    <w:rPr>
                      <w:rFonts w:ascii="Cambria Math" w:hAnsi="Cambria Math"/>
                      <w:sz w:val="24"/>
                    </w:rPr>
                  </m:ctrlPr>
                </m:sSubPr>
                <m:e>
                  <m:r>
                    <w:rPr>
                      <w:rFonts w:ascii="Cambria Math"/>
                      <w:sz w:val="24"/>
                    </w:rPr>
                    <m:t>Y</m:t>
                  </m:r>
                </m:e>
                <m:sub>
                  <m:r>
                    <w:rPr>
                      <w:rFonts w:ascii="Cambria Math"/>
                      <w:sz w:val="24"/>
                    </w:rPr>
                    <m:t>i</m:t>
                  </m:r>
                </m:sub>
              </m:sSub>
              <m:r>
                <w:rPr>
                  <w:rFonts w:ascii="Cambria Math" w:hAnsi="Cambria Math"/>
                  <w:sz w:val="24"/>
                </w:rPr>
                <m:t>*</m:t>
              </m:r>
              <m:sSub>
                <m:sSubPr>
                  <m:ctrlPr>
                    <w:rPr>
                      <w:rFonts w:ascii="Cambria Math" w:hAnsi="Cambria Math"/>
                      <w:sz w:val="24"/>
                    </w:rPr>
                  </m:ctrlPr>
                </m:sSubPr>
                <m:e>
                  <m:sSub>
                    <m:sSubPr>
                      <m:ctrlPr>
                        <w:rPr>
                          <w:rFonts w:ascii="Cambria Math" w:hAnsi="Cambria Math"/>
                          <w:sz w:val="24"/>
                        </w:rPr>
                      </m:ctrlPr>
                    </m:sSubPr>
                    <m:e>
                      <m:r>
                        <w:rPr>
                          <w:rFonts w:ascii="Cambria Math"/>
                          <w:sz w:val="24"/>
                        </w:rPr>
                        <m:t>p</m:t>
                      </m:r>
                    </m:e>
                    <m:sub>
                      <m:r>
                        <w:rPr>
                          <w:rFonts w:ascii="Cambria Math"/>
                          <w:sz w:val="24"/>
                        </w:rPr>
                        <m:t>i</m:t>
                      </m:r>
                    </m:sub>
                  </m:sSub>
                  <m:r>
                    <w:rPr>
                      <w:rFonts w:ascii="Cambria Math" w:hAnsi="Cambria Math"/>
                      <w:sz w:val="24"/>
                    </w:rPr>
                    <m:t>*ω</m:t>
                  </m:r>
                </m:e>
                <m:sub>
                  <m:r>
                    <w:rPr>
                      <w:rFonts w:ascii="Cambria Math"/>
                      <w:sz w:val="24"/>
                    </w:rPr>
                    <m:t>i</m:t>
                  </m:r>
                </m:sub>
              </m:sSub>
            </m:e>
          </m:nary>
        </m:oMath>
      </m:oMathPara>
    </w:p>
    <w:p w:rsidR="007D35B6" w:rsidRPr="0042005A" w:rsidRDefault="007D35B6" w:rsidP="007D35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2005A">
        <w:rPr>
          <w:sz w:val="24"/>
        </w:rPr>
        <w:t xml:space="preserve">where </w:t>
      </w:r>
      <w:r w:rsidR="00E17878" w:rsidRPr="00E17878">
        <w:rPr>
          <w:i/>
          <w:sz w:val="24"/>
        </w:rPr>
        <w:t>n</w:t>
      </w:r>
      <w:r w:rsidR="00E17878" w:rsidRPr="00E17878">
        <w:rPr>
          <w:sz w:val="24"/>
        </w:rPr>
        <w:t xml:space="preserve"> is the number of claims in the sample, </w:t>
      </w:r>
      <w:r w:rsidR="00E17878" w:rsidRPr="00E17878">
        <w:rPr>
          <w:i/>
          <w:sz w:val="24"/>
        </w:rPr>
        <w:t>Y</w:t>
      </w:r>
      <w:r w:rsidR="00E17878">
        <w:rPr>
          <w:i/>
          <w:sz w:val="24"/>
          <w:vertAlign w:val="subscript"/>
        </w:rPr>
        <w:t>i</w:t>
      </w:r>
      <w:r w:rsidR="00E17878" w:rsidRPr="00E17878">
        <w:rPr>
          <w:sz w:val="24"/>
        </w:rPr>
        <w:t xml:space="preserve"> is the payment amount on claim </w:t>
      </w:r>
      <w:r w:rsidR="00E17878" w:rsidRPr="00E17878">
        <w:rPr>
          <w:i/>
          <w:sz w:val="24"/>
        </w:rPr>
        <w:t>i</w:t>
      </w:r>
      <w:r w:rsidR="00E17878" w:rsidRPr="00E17878">
        <w:rPr>
          <w:sz w:val="24"/>
        </w:rPr>
        <w:t xml:space="preserve">, </w:t>
      </w:r>
      <w:r w:rsidR="00E17878" w:rsidRPr="00E17878">
        <w:rPr>
          <w:i/>
          <w:sz w:val="24"/>
        </w:rPr>
        <w:t>p</w:t>
      </w:r>
      <w:r w:rsidR="00E17878">
        <w:rPr>
          <w:i/>
          <w:sz w:val="24"/>
          <w:vertAlign w:val="subscript"/>
        </w:rPr>
        <w:t>i</w:t>
      </w:r>
      <w:r w:rsidR="00E17878" w:rsidRPr="00E17878">
        <w:rPr>
          <w:sz w:val="24"/>
        </w:rPr>
        <w:t xml:space="preserve"> is equal to 1 if the claim is classified as probable fraud and 0 otherwise, and </w:t>
      </w:r>
      <w:r w:rsidR="00E17878" w:rsidRPr="00E17878">
        <w:rPr>
          <w:i/>
          <w:sz w:val="24"/>
        </w:rPr>
        <w:t>ω</w:t>
      </w:r>
      <w:r w:rsidR="00E17878">
        <w:rPr>
          <w:i/>
          <w:sz w:val="24"/>
          <w:vertAlign w:val="subscript"/>
        </w:rPr>
        <w:t>i</w:t>
      </w:r>
      <w:r w:rsidR="00E17878" w:rsidRPr="00E17878">
        <w:rPr>
          <w:sz w:val="24"/>
        </w:rPr>
        <w:t xml:space="preserve"> is the weight for claim </w:t>
      </w:r>
      <w:r w:rsidR="00E17878" w:rsidRPr="00E17878">
        <w:rPr>
          <w:i/>
          <w:sz w:val="24"/>
        </w:rPr>
        <w:t>i.</w:t>
      </w:r>
      <w:r w:rsidR="00E17878" w:rsidRPr="00E17878">
        <w:rPr>
          <w:sz w:val="24"/>
        </w:rPr>
        <w:t xml:space="preserve">  The estimated rate of payments based on probable fraud in the population is then given by </w:t>
      </w:r>
    </w:p>
    <w:p w:rsidR="007D35B6" w:rsidRPr="0042005A" w:rsidRDefault="00552835" w:rsidP="008D0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m:oMathPara>
        <m:oMath>
          <m:acc>
            <m:accPr>
              <m:ctrlPr>
                <w:rPr>
                  <w:rFonts w:ascii="Cambria Math" w:hAnsi="Cambria Math"/>
                  <w:sz w:val="24"/>
                </w:rPr>
              </m:ctrlPr>
            </m:accPr>
            <m:e>
              <m:r>
                <m:rPr>
                  <m:sty m:val="p"/>
                </m:rPr>
                <w:rPr>
                  <w:rFonts w:ascii="Cambria Math"/>
                  <w:sz w:val="24"/>
                </w:rPr>
                <m:t>r</m:t>
              </m:r>
            </m:e>
          </m:acc>
          <m:r>
            <w:rPr>
              <w:rFonts w:ascii="Cambria Math" w:eastAsia="Cambria Math"/>
              <w:sz w:val="24"/>
            </w:rPr>
            <m:t>=</m:t>
          </m:r>
          <m:f>
            <m:fPr>
              <m:ctrlPr>
                <w:rPr>
                  <w:rFonts w:ascii="Cambria Math" w:hAnsi="Cambria Math"/>
                  <w:sz w:val="24"/>
                </w:rPr>
              </m:ctrlPr>
            </m:fPr>
            <m:num>
              <m:acc>
                <m:accPr>
                  <m:ctrlPr>
                    <w:rPr>
                      <w:rFonts w:ascii="Cambria Math" w:hAnsi="Cambria Math"/>
                      <w:sz w:val="24"/>
                    </w:rPr>
                  </m:ctrlPr>
                </m:accPr>
                <m:e>
                  <m:r>
                    <m:rPr>
                      <m:sty m:val="p"/>
                    </m:rPr>
                    <w:rPr>
                      <w:rFonts w:ascii="Cambria Math"/>
                      <w:sz w:val="24"/>
                    </w:rPr>
                    <m:t>PFP</m:t>
                  </m:r>
                </m:e>
              </m:acc>
            </m:num>
            <m:den>
              <m:r>
                <m:rPr>
                  <m:sty m:val="p"/>
                </m:rPr>
                <w:rPr>
                  <w:rFonts w:ascii="Cambria Math"/>
                  <w:sz w:val="24"/>
                </w:rPr>
                <m:t>P</m:t>
              </m:r>
            </m:den>
          </m:f>
        </m:oMath>
      </m:oMathPara>
    </w:p>
    <w:p w:rsidR="008D0EF5" w:rsidRPr="0042005A" w:rsidRDefault="007D35B6" w:rsidP="007D35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2005A">
        <w:rPr>
          <w:sz w:val="24"/>
        </w:rPr>
        <w:t>where P is</w:t>
      </w:r>
      <w:r w:rsidR="00E17878" w:rsidRPr="00E17878">
        <w:rPr>
          <w:sz w:val="24"/>
        </w:rPr>
        <w:t xml:space="preserve"> the total amount of payments in the population of claims.  </w:t>
      </w:r>
    </w:p>
    <w:p w:rsidR="008D0EF5" w:rsidRPr="0042005A" w:rsidRDefault="008D0EF5" w:rsidP="007D35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D35B6" w:rsidRPr="0042005A" w:rsidRDefault="00E17878" w:rsidP="007D35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The variance of the estimated rate of payments based on probable fraud is given by</w:t>
      </w:r>
    </w:p>
    <w:p w:rsidR="007D35B6" w:rsidRPr="0042005A" w:rsidRDefault="00552835" w:rsidP="008D0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m:oMathPara>
        <m:oMath>
          <m:acc>
            <m:accPr>
              <m:ctrlPr>
                <w:rPr>
                  <w:rFonts w:ascii="Cambria Math" w:hAnsi="Cambria Math"/>
                  <w:i/>
                  <w:sz w:val="24"/>
                </w:rPr>
              </m:ctrlPr>
            </m:accPr>
            <m:e>
              <m:r>
                <w:rPr>
                  <w:rFonts w:ascii="Cambria Math" w:hAnsi="Cambria Math"/>
                  <w:sz w:val="24"/>
                </w:rPr>
                <m:t>V</m:t>
              </m:r>
            </m:e>
          </m:acc>
          <m:d>
            <m:dPr>
              <m:ctrlPr>
                <w:rPr>
                  <w:rFonts w:ascii="Cambria Math" w:hAnsi="Cambria Math"/>
                  <w:i/>
                  <w:sz w:val="24"/>
                </w:rPr>
              </m:ctrlPr>
            </m:dPr>
            <m:e>
              <m:acc>
                <m:accPr>
                  <m:ctrlPr>
                    <w:rPr>
                      <w:rFonts w:ascii="Cambria Math" w:hAnsi="Cambria Math"/>
                      <w:i/>
                      <w:sz w:val="24"/>
                    </w:rPr>
                  </m:ctrlPr>
                </m:accPr>
                <m:e>
                  <m:r>
                    <w:rPr>
                      <w:rFonts w:ascii="Cambria Math" w:hAnsi="Cambria Math"/>
                      <w:sz w:val="24"/>
                    </w:rPr>
                    <m:t>r</m:t>
                  </m:r>
                </m:e>
              </m:acc>
            </m:e>
          </m:d>
          <m:r>
            <w:rPr>
              <w:rFonts w:ascii="Cambria Math" w:hAnsi="Cambria Math"/>
              <w:sz w:val="24"/>
            </w:rPr>
            <m:t xml:space="preserve">= </m:t>
          </m:r>
          <m:f>
            <m:fPr>
              <m:ctrlPr>
                <w:rPr>
                  <w:rFonts w:ascii="Cambria Math" w:hAnsi="Cambria Math"/>
                  <w:i/>
                  <w:sz w:val="24"/>
                </w:rPr>
              </m:ctrlPr>
            </m:fPr>
            <m:num>
              <m:f>
                <m:fPr>
                  <m:ctrlPr>
                    <w:rPr>
                      <w:rFonts w:ascii="Cambria Math" w:hAnsi="Cambria Math"/>
                      <w:i/>
                      <w:sz w:val="24"/>
                    </w:rPr>
                  </m:ctrlPr>
                </m:fPr>
                <m:num>
                  <m:r>
                    <w:rPr>
                      <w:rFonts w:ascii="Cambria Math" w:hAnsi="Cambria Math"/>
                      <w:sz w:val="24"/>
                    </w:rPr>
                    <m:t>1</m:t>
                  </m:r>
                </m:num>
                <m:den>
                  <m:r>
                    <w:rPr>
                      <w:rFonts w:ascii="Cambria Math" w:hAnsi="Cambria Math"/>
                      <w:sz w:val="24"/>
                    </w:rPr>
                    <m:t>n</m:t>
                  </m:r>
                  <m:d>
                    <m:dPr>
                      <m:ctrlPr>
                        <w:rPr>
                          <w:rFonts w:ascii="Cambria Math" w:hAnsi="Cambria Math"/>
                          <w:i/>
                          <w:sz w:val="24"/>
                        </w:rPr>
                      </m:ctrlPr>
                    </m:dPr>
                    <m:e>
                      <m:r>
                        <w:rPr>
                          <w:rFonts w:ascii="Cambria Math" w:hAnsi="Cambria Math"/>
                          <w:sz w:val="24"/>
                        </w:rPr>
                        <m:t>n-1</m:t>
                      </m:r>
                    </m:e>
                  </m:d>
                </m:den>
              </m:f>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sz w:val="24"/>
                                </w:rPr>
                              </m:ctrlPr>
                            </m:sSubPr>
                            <m:e>
                              <m:r>
                                <w:rPr>
                                  <w:rFonts w:ascii="Cambria Math"/>
                                  <w:sz w:val="24"/>
                                </w:rPr>
                                <m:t>Y</m:t>
                              </m:r>
                            </m:e>
                            <m:sub>
                              <m:r>
                                <w:rPr>
                                  <w:rFonts w:ascii="Cambria Math"/>
                                  <w:sz w:val="24"/>
                                </w:rPr>
                                <m:t>i</m:t>
                              </m:r>
                            </m:sub>
                          </m:sSub>
                          <m:sSub>
                            <m:sSubPr>
                              <m:ctrlPr>
                                <w:rPr>
                                  <w:rFonts w:ascii="Cambria Math" w:hAnsi="Cambria Math"/>
                                  <w:sz w:val="24"/>
                                </w:rPr>
                              </m:ctrlPr>
                            </m:sSubPr>
                            <m:e>
                              <m:sSub>
                                <m:sSubPr>
                                  <m:ctrlPr>
                                    <w:rPr>
                                      <w:rFonts w:ascii="Cambria Math" w:hAnsi="Cambria Math"/>
                                      <w:sz w:val="24"/>
                                    </w:rPr>
                                  </m:ctrlPr>
                                </m:sSubPr>
                                <m:e>
                                  <m:r>
                                    <w:rPr>
                                      <w:rFonts w:ascii="Cambria Math"/>
                                      <w:sz w:val="24"/>
                                    </w:rPr>
                                    <m:t>p</m:t>
                                  </m:r>
                                </m:e>
                                <m:sub>
                                  <m:r>
                                    <w:rPr>
                                      <w:rFonts w:ascii="Cambria Math"/>
                                      <w:sz w:val="24"/>
                                    </w:rPr>
                                    <m:t>i</m:t>
                                  </m:r>
                                </m:sub>
                              </m:sSub>
                              <m:r>
                                <w:rPr>
                                  <w:rFonts w:ascii="Cambria Math" w:hAnsi="Cambria Math"/>
                                  <w:sz w:val="24"/>
                                </w:rPr>
                                <m:t>ω</m:t>
                              </m:r>
                            </m:e>
                            <m:sub>
                              <m:r>
                                <w:rPr>
                                  <w:rFonts w:ascii="Cambria Math"/>
                                  <w:sz w:val="24"/>
                                </w:rPr>
                                <m:t>i</m:t>
                              </m:r>
                            </m:sub>
                          </m:sSub>
                          <m:r>
                            <w:rPr>
                              <w:rFonts w:ascii="Cambria Math" w:hAnsi="Cambria Math"/>
                              <w:sz w:val="24"/>
                            </w:rPr>
                            <m:t xml:space="preserve">n- </m:t>
                          </m:r>
                          <m:acc>
                            <m:accPr>
                              <m:ctrlPr>
                                <w:rPr>
                                  <w:rFonts w:ascii="Cambria Math" w:hAnsi="Cambria Math"/>
                                  <w:i/>
                                  <w:sz w:val="24"/>
                                </w:rPr>
                              </m:ctrlPr>
                            </m:accPr>
                            <m:e>
                              <m:r>
                                <m:rPr>
                                  <m:sty m:val="p"/>
                                </m:rPr>
                                <w:rPr>
                                  <w:rFonts w:ascii="Cambria Math"/>
                                  <w:sz w:val="24"/>
                                </w:rPr>
                                <m:t>PFP</m:t>
                              </m:r>
                            </m:e>
                          </m:acc>
                        </m:e>
                      </m:d>
                    </m:e>
                    <m:sup>
                      <m:r>
                        <w:rPr>
                          <w:rFonts w:ascii="Cambria Math" w:hAnsi="Cambria Math"/>
                          <w:sz w:val="24"/>
                        </w:rPr>
                        <m:t>2</m:t>
                      </m:r>
                    </m:sup>
                  </m:sSup>
                </m:e>
              </m:nary>
            </m:num>
            <m:den>
              <m:sSup>
                <m:sSupPr>
                  <m:ctrlPr>
                    <w:rPr>
                      <w:rFonts w:ascii="Cambria Math" w:hAnsi="Cambria Math"/>
                      <w:i/>
                      <w:sz w:val="24"/>
                    </w:rPr>
                  </m:ctrlPr>
                </m:sSupPr>
                <m:e>
                  <m:r>
                    <w:rPr>
                      <w:rFonts w:ascii="Cambria Math" w:hAnsi="Cambria Math"/>
                      <w:sz w:val="24"/>
                    </w:rPr>
                    <m:t>P</m:t>
                  </m:r>
                </m:e>
                <m:sup>
                  <m:r>
                    <w:rPr>
                      <w:rFonts w:ascii="Cambria Math" w:hAnsi="Cambria Math"/>
                      <w:sz w:val="24"/>
                    </w:rPr>
                    <m:t>2</m:t>
                  </m:r>
                </m:sup>
              </m:sSup>
            </m:den>
          </m:f>
          <m:r>
            <w:rPr>
              <w:rFonts w:ascii="Cambria Math" w:hAnsi="Cambria Math"/>
              <w:sz w:val="24"/>
            </w:rPr>
            <m:t>.</m:t>
          </m:r>
          <m:r>
            <m:rPr>
              <m:sty m:val="p"/>
            </m:rPr>
            <w:rPr>
              <w:sz w:val="24"/>
            </w:rPr>
            <w:br/>
          </m:r>
        </m:oMath>
      </m:oMathPara>
    </w:p>
    <w:p w:rsidR="007D35B6" w:rsidRPr="0042005A" w:rsidRDefault="007D35B6" w:rsidP="007D35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To determine the sample size required for the pilot, the pilot sponsors examined a series of simulations estimating the variance of the rate of probable fraud payments in the sample under a variety of assumptions, including different assumptions regarding the relationship between probable fraud and payment amount.  The simulations indicate that with a total sample size of 2,000 claims (i.e., 2,000 home health agencies, 2,000 referring providers, and 2,000 beneficiaries), the width of a 95 percent confidence interval around the probable fraud rate would be two percentage points under the assumptions that 7.5 percent of claims in the population represent probable fraud and that the amount of likely fraudulent payment is equal to the full payment amount on the claim.</w:t>
      </w:r>
      <w:r w:rsidR="008D0EF5" w:rsidRPr="0042005A">
        <w:rPr>
          <w:rStyle w:val="FootnoteReference"/>
          <w:sz w:val="24"/>
        </w:rPr>
        <w:footnoteReference w:id="6"/>
      </w:r>
      <w:r w:rsidR="001D6086" w:rsidRPr="0042005A">
        <w:rPr>
          <w:sz w:val="24"/>
        </w:rPr>
        <w:t xml:space="preserve">  </w:t>
      </w:r>
      <w:r w:rsidR="009E26E0" w:rsidRPr="0042005A">
        <w:rPr>
          <w:sz w:val="24"/>
        </w:rPr>
        <w:t>CMS</w:t>
      </w:r>
      <w:r w:rsidR="007220AE" w:rsidRPr="0042005A">
        <w:rPr>
          <w:sz w:val="24"/>
        </w:rPr>
        <w:t xml:space="preserve"> has determined that </w:t>
      </w:r>
      <w:r w:rsidR="001D6086" w:rsidRPr="0042005A">
        <w:rPr>
          <w:sz w:val="24"/>
        </w:rPr>
        <w:t>this sample size</w:t>
      </w:r>
      <w:r w:rsidRPr="00E17878">
        <w:rPr>
          <w:sz w:val="24"/>
        </w:rPr>
        <w:t xml:space="preserve"> will provide a sufficiently accurate estimate of probable fraud in home health payments.  The sample size was chosen to balance conflicting factors, including the level of effort required to collect information from the three parties for each claim and the need for a representative national sample.</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3.  Methods to Maximize Response Rates</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 xml:space="preserve">Because home health agencies and referring providers are required </w:t>
      </w:r>
      <w:r w:rsidRPr="00E17878">
        <w:rPr>
          <w:sz w:val="23"/>
          <w:szCs w:val="23"/>
        </w:rPr>
        <w:t xml:space="preserve">by 42 C.F.R. § 424.516(f)(1)-(2) </w:t>
      </w:r>
      <w:r w:rsidRPr="00E17878">
        <w:rPr>
          <w:sz w:val="24"/>
        </w:rPr>
        <w:t>to provide documentation supporting payment, non-response issues are expected to be negligible for these respondents.  Providers who refuse to provide documentation or are unavailable during reasonable business hours in multiple instances may be in violation of Medicare’s conditions of participation; lack of response is therefore crucial information that will be weighed heavily in determining whether a claim represents probable fraud.</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The pilot design seeks to maximize beneficiary response rates while maintaining the voluntary nature of beneficiary participation.  Interviewers will make two attempts to contact beneficiaries in person and leave contact information to encourage follow-up beneficiary response.  At the start of each interview, beneficiaries will be given a letter of authorization that describes the purpose of the pilot, states who is collecting the information, and provides contact information should the beneficiary have questions or require additional information.  Interviewer scripts also contain the information supplied in this letter.  Interviewers will be provided with and undergo training on responses to frequently asked questions that cover likely beneficiary concerns.   Prepared responses include confirming that beneficiary response is voluntary,  that benefits will not be affected by responses, and that personal health information will be protected.  Interviewers will also undergo training to ensure that they can answer beneficiary questions regarding how the information collected will be used.</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To ensure sufficient accuracy and reliability of information collected, interviews will be conducted by contractors or CMS staff that have extensive experience interviewing beneficiaries and providers as well as experience collecting supporting documentation required by Medicare.  Contractors and CMS staff will conduct their interviews as part of their normal course of work.</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lastRenderedPageBreak/>
        <w:t>4.</w:t>
      </w:r>
      <w:r w:rsidRPr="00E17878">
        <w:rPr>
          <w:sz w:val="24"/>
        </w:rPr>
        <w:tab/>
        <w:t>Tests of Procedures</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90B03"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CMS tested the data collection procedures and instruments in December 2011 by using the proposed protocols to collect information from nine beneficiaries, nine home health agencies, and nine referring providers.  Nine home health agencies were randomly selected from the Los Angeles area for the testing, which was conducted by trained CMS investigators in the Center for Program Integrity (CPI) Los Angeles Field Office.</w:t>
      </w:r>
    </w:p>
    <w:p w:rsidR="00E90B03" w:rsidRPr="0042005A" w:rsidRDefault="00E90B03"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 xml:space="preserve">During the test the investigators successfully interviewed all nine home health agencies and all nine referring providers included in the sample.  They successfully interviewed three of the nine beneficiaries in the sample.  Investigators reported that interviews with beneficiaries lasted about 15 minutes.  Interviews with home health agencies lasted between 1 and 1.5 hours, and interviews with referring providers lasted about 45 minutes.  Improvements were made to both the data collection instrument and protocols based on feedback from investigators. </w:t>
      </w:r>
    </w:p>
    <w:p w:rsidR="00A04ACE" w:rsidRPr="0042005A" w:rsidRDefault="00A04AC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A04ACE" w:rsidP="00BB443E">
      <w:pPr>
        <w:rPr>
          <w:sz w:val="24"/>
        </w:rPr>
      </w:pPr>
      <w:r w:rsidRPr="0042005A">
        <w:rPr>
          <w:sz w:val="24"/>
        </w:rPr>
        <w:t>CMS will conduct a pre-test of the full probable fraud pilot methodology for a small sample of 130 claims to ensure that review panel members have adequate information to make consistent probable fraud determinations.  These claims will be drawn from a limited number of geographic areas selected to increase the likelihood that the small sample includes substantial numbers of both probable fraud and non-probable fraud claims.  Pre-test sample claims will undergo the full data collection process described in the pilot design.</w:t>
      </w:r>
    </w:p>
    <w:p w:rsidR="00A04ACE" w:rsidRPr="0042005A" w:rsidRDefault="00A04ACE" w:rsidP="00BB443E">
      <w:pPr>
        <w:rPr>
          <w:sz w:val="24"/>
        </w:rPr>
      </w:pPr>
    </w:p>
    <w:p w:rsidR="00A04ACE" w:rsidRPr="0042005A" w:rsidRDefault="00A04ACE" w:rsidP="00BB443E">
      <w:pPr>
        <w:rPr>
          <w:sz w:val="24"/>
        </w:rPr>
      </w:pPr>
      <w:r w:rsidRPr="0042005A">
        <w:rPr>
          <w:sz w:val="24"/>
        </w:rPr>
        <w:t xml:space="preserve">CMS will use these 130 claims to test all components of the probable fraud methodology and make any needed adjustments to ensure the success of the full pilot.  First, once data collection is complete, the review panel will enter a training period in which they </w:t>
      </w:r>
      <w:r w:rsidR="00976EEB" w:rsidRPr="0042005A">
        <w:rPr>
          <w:sz w:val="24"/>
        </w:rPr>
        <w:t xml:space="preserve">will </w:t>
      </w:r>
      <w:r w:rsidRPr="0042005A">
        <w:rPr>
          <w:sz w:val="24"/>
        </w:rPr>
        <w:t xml:space="preserve">use 30 of the claims from the pre-test sample to refine the review instrument.  At the conclusion of this training period, each of the 100 remaining cases will undergo independent review by two randomly chosen panel members.  </w:t>
      </w:r>
      <w:r w:rsidR="00BB443E" w:rsidRPr="0042005A">
        <w:rPr>
          <w:sz w:val="24"/>
        </w:rPr>
        <w:t>After</w:t>
      </w:r>
      <w:r w:rsidRPr="0042005A">
        <w:rPr>
          <w:sz w:val="24"/>
        </w:rPr>
        <w:t xml:space="preserve"> this double-blind review is complete, CMS will measure inter-rater reliability of the two reviewers using </w:t>
      </w:r>
      <w:r w:rsidR="00105A83" w:rsidRPr="0042005A">
        <w:rPr>
          <w:sz w:val="24"/>
        </w:rPr>
        <w:t>Cohen’s Kappa, a common measure of inter-rater reliability in medical and social science research; a Kappa value of 0.60 or above is generally considered an indicator of a good level of agreement.  Next, CMS will convene the review panel members for a facilitated session to provide feedback on whether there were any additional information sources that would be helpful to assessing each case.  Based on the feedback from the review panel, the inter-rater reliability rating, and other lessons learned during the pre-test, CMS will make any necessary adjustments to the pilot methodology.</w:t>
      </w:r>
    </w:p>
    <w:p w:rsidR="003048CE" w:rsidRPr="0042005A" w:rsidRDefault="003048C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0AE" w:rsidRPr="0042005A" w:rsidRDefault="00E17878"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5.  Individuals Consulted</w:t>
      </w:r>
    </w:p>
    <w:p w:rsidR="007220AE" w:rsidRPr="0042005A" w:rsidRDefault="007220AE" w:rsidP="00722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E0438" w:rsidRPr="0042005A" w:rsidRDefault="00E178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The sampling design was prepared by Acumen, LLC.  The pilot design as a whole, including the sampling design, has been reviewed by the CMS/ASPE Executive Committee overseeing the pilot as well as by a Technical Expert Panel.  The members of the Technical Expert Panel include:</w:t>
      </w:r>
    </w:p>
    <w:p w:rsidR="003427BA" w:rsidRPr="0042005A" w:rsidRDefault="00E17878" w:rsidP="006163DD">
      <w:pPr>
        <w:pStyle w:val="ListParagraph"/>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Dr. Laurie Feinberg, Department of Justice</w:t>
      </w:r>
    </w:p>
    <w:p w:rsidR="003427BA" w:rsidRPr="0042005A" w:rsidRDefault="00E17878" w:rsidP="006163DD">
      <w:pPr>
        <w:pStyle w:val="ListParagraph"/>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Dr. Floyd J. Fowler, University of Massachusetts-Boston</w:t>
      </w:r>
    </w:p>
    <w:p w:rsidR="003427BA" w:rsidRPr="0042005A" w:rsidRDefault="00E17878" w:rsidP="006163DD">
      <w:pPr>
        <w:pStyle w:val="ListParagraph"/>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Dr. Steven C. Hill, Agency for Healthcare Research and Quality (AHRQ)</w:t>
      </w:r>
    </w:p>
    <w:p w:rsidR="003427BA" w:rsidRPr="0042005A" w:rsidRDefault="00E17878" w:rsidP="006163DD">
      <w:pPr>
        <w:pStyle w:val="ListParagraph"/>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lastRenderedPageBreak/>
        <w:t>Dr. Michael Larsen, George Washington University</w:t>
      </w:r>
    </w:p>
    <w:p w:rsidR="003427BA" w:rsidRPr="0042005A" w:rsidRDefault="00E17878" w:rsidP="006163DD">
      <w:pPr>
        <w:pStyle w:val="ListParagraph"/>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Dr. Jennifer Madans, National Center for Health Statistics (NCHS)</w:t>
      </w:r>
    </w:p>
    <w:p w:rsidR="003427BA" w:rsidRPr="0042005A" w:rsidRDefault="00E17878" w:rsidP="006163DD">
      <w:pPr>
        <w:pStyle w:val="ListParagraph"/>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Dr. Adrian Oleck, formerly of AdminaStar</w:t>
      </w:r>
    </w:p>
    <w:p w:rsidR="003427BA" w:rsidRPr="0042005A" w:rsidRDefault="00E17878" w:rsidP="006163DD">
      <w:pPr>
        <w:pStyle w:val="ListParagraph"/>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17878">
        <w:rPr>
          <w:sz w:val="24"/>
        </w:rPr>
        <w:t>Dr. Malcolm Sparrow, John F. Kennedy School of Government, Harvard University</w:t>
      </w:r>
    </w:p>
    <w:p w:rsidR="003A3179" w:rsidRPr="0042005A" w:rsidRDefault="003A3179" w:rsidP="00A73B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003A3179" w:rsidRPr="00A73B73" w:rsidRDefault="00E17878" w:rsidP="00A73B73">
      <w:pPr>
        <w:rPr>
          <w:sz w:val="24"/>
        </w:rPr>
      </w:pPr>
      <w:r w:rsidRPr="00E17878">
        <w:rPr>
          <w:sz w:val="24"/>
        </w:rPr>
        <w:t>Additional information about this information collection may be obtained from Kelly Gent, Deputy Director, Data Analytics and Control Group, Center for Program Integrity, (410) 786-0198, Kelly.Gent@cms.hhs.gov.</w:t>
      </w:r>
      <w:r w:rsidR="00F55F0F" w:rsidRPr="00A73B73">
        <w:rPr>
          <w:sz w:val="24"/>
        </w:rPr>
        <w:t xml:space="preserve"> </w:t>
      </w:r>
    </w:p>
    <w:sectPr w:rsidR="003A3179" w:rsidRPr="00A73B73" w:rsidSect="009C7A4C">
      <w:footerReference w:type="default" r:id="rId8"/>
      <w:endnotePr>
        <w:numFmt w:val="decimal"/>
      </w:endnotePr>
      <w:pgSz w:w="12240" w:h="15840"/>
      <w:pgMar w:top="1440" w:right="1296"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075" w:rsidRDefault="00D25075">
      <w:r>
        <w:separator/>
      </w:r>
    </w:p>
  </w:endnote>
  <w:endnote w:type="continuationSeparator" w:id="0">
    <w:p w:rsidR="00D25075" w:rsidRDefault="00D250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CE" w:rsidRDefault="00A04ACE">
    <w:pPr>
      <w:spacing w:line="240" w:lineRule="exact"/>
    </w:pPr>
  </w:p>
  <w:p w:rsidR="00A04ACE" w:rsidRDefault="00552835">
    <w:pPr>
      <w:framePr w:w="9505" w:wrap="notBeside" w:vAnchor="text" w:hAnchor="text" w:x="1" w:y="1"/>
      <w:jc w:val="center"/>
      <w:rPr>
        <w:sz w:val="24"/>
      </w:rPr>
    </w:pPr>
    <w:r>
      <w:rPr>
        <w:sz w:val="24"/>
      </w:rPr>
      <w:fldChar w:fldCharType="begin"/>
    </w:r>
    <w:r w:rsidR="00A04ACE">
      <w:rPr>
        <w:sz w:val="24"/>
      </w:rPr>
      <w:instrText xml:space="preserve">PAGE </w:instrText>
    </w:r>
    <w:r>
      <w:rPr>
        <w:sz w:val="24"/>
      </w:rPr>
      <w:fldChar w:fldCharType="separate"/>
    </w:r>
    <w:r w:rsidR="00F843A6">
      <w:rPr>
        <w:noProof/>
        <w:sz w:val="24"/>
      </w:rPr>
      <w:t>1</w:t>
    </w:r>
    <w:r>
      <w:rPr>
        <w:sz w:val="24"/>
      </w:rPr>
      <w:fldChar w:fldCharType="end"/>
    </w:r>
  </w:p>
  <w:p w:rsidR="00A04ACE" w:rsidRDefault="00A04ACE">
    <w:pPr>
      <w:ind w:right="144"/>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075" w:rsidRDefault="00D25075">
      <w:r>
        <w:separator/>
      </w:r>
    </w:p>
  </w:footnote>
  <w:footnote w:type="continuationSeparator" w:id="0">
    <w:p w:rsidR="00D25075" w:rsidRDefault="00D25075">
      <w:r>
        <w:continuationSeparator/>
      </w:r>
    </w:p>
  </w:footnote>
  <w:footnote w:id="1">
    <w:p w:rsidR="00A04ACE" w:rsidRDefault="00A04ACE">
      <w:pPr>
        <w:pStyle w:val="FootnoteText"/>
      </w:pPr>
      <w:r>
        <w:rPr>
          <w:rStyle w:val="FootnoteReference"/>
        </w:rPr>
        <w:footnoteRef/>
      </w:r>
      <w:r>
        <w:t xml:space="preserve"> Depending on the date that the sample is drawn, the sampling time period may be adjusted to account for seasonality in claims submission.</w:t>
      </w:r>
    </w:p>
  </w:footnote>
  <w:footnote w:id="2">
    <w:p w:rsidR="00A04ACE" w:rsidRDefault="00A04ACE" w:rsidP="006D53B0">
      <w:pPr>
        <w:pStyle w:val="FootnoteText"/>
      </w:pPr>
      <w:r>
        <w:rPr>
          <w:rStyle w:val="FootnoteReference"/>
        </w:rPr>
        <w:footnoteRef/>
      </w:r>
      <w:r>
        <w:t xml:space="preserve"> </w:t>
      </w:r>
      <w:r w:rsidRPr="00A76518">
        <w:t>United States Department of Health &amp; Human Services Office of the Inspector General</w:t>
      </w:r>
      <w:r>
        <w:t>,</w:t>
      </w:r>
      <w:r w:rsidRPr="00A76518">
        <w:t xml:space="preserve"> “</w:t>
      </w:r>
      <w:r>
        <w:t>Beneficiary Awareness of Medicare Fraud: A Follow-up,</w:t>
      </w:r>
      <w:r w:rsidRPr="00A76518">
        <w:t>”</w:t>
      </w:r>
      <w:r>
        <w:t xml:space="preserve"> 2001, and “Medicare Payments for Power Wheelchairs,” 2004.</w:t>
      </w:r>
    </w:p>
  </w:footnote>
  <w:footnote w:id="3">
    <w:p w:rsidR="00A04ACE" w:rsidRDefault="00A04ACE" w:rsidP="001E211B">
      <w:pPr>
        <w:pStyle w:val="FootnoteText"/>
      </w:pPr>
      <w:r>
        <w:rPr>
          <w:rStyle w:val="FootnoteReference"/>
        </w:rPr>
        <w:footnoteRef/>
      </w:r>
      <w:r>
        <w:t xml:space="preserve"> </w:t>
      </w:r>
      <w:r w:rsidRPr="00A76518">
        <w:t>United States Department of Health &amp; Human Services</w:t>
      </w:r>
      <w:r>
        <w:t xml:space="preserve"> Centers for Medicare &amp; Medicaid Services, “Home Health Care CAHPS Survey Protocols and Guidelines Manual,” September 2010.  Available at: </w:t>
      </w:r>
      <w:r w:rsidRPr="00D86109">
        <w:t>https://homehealthcahps.org/SurveyandProtocols/SurveyMaterials.aspx#catid1</w:t>
      </w:r>
    </w:p>
  </w:footnote>
  <w:footnote w:id="4">
    <w:p w:rsidR="00A04ACE" w:rsidRDefault="00A04ACE">
      <w:pPr>
        <w:pStyle w:val="FootnoteText"/>
      </w:pPr>
      <w:r>
        <w:rPr>
          <w:rStyle w:val="FootnoteReference"/>
        </w:rPr>
        <w:footnoteRef/>
      </w:r>
      <w:r>
        <w:t xml:space="preserve"> The stratified random sample that will be used for this pilot is the combination of a series of simple random samples, with weights adapted accordingly.</w:t>
      </w:r>
    </w:p>
  </w:footnote>
  <w:footnote w:id="5">
    <w:p w:rsidR="00A04ACE" w:rsidRDefault="00A04ACE">
      <w:pPr>
        <w:pStyle w:val="FootnoteText"/>
      </w:pPr>
      <w:r>
        <w:rPr>
          <w:rStyle w:val="FootnoteReference"/>
        </w:rPr>
        <w:footnoteRef/>
      </w:r>
      <w:r>
        <w:t xml:space="preserve"> Calculating the rate of probable fraud in claims follows an analogous procedure.</w:t>
      </w:r>
    </w:p>
  </w:footnote>
  <w:footnote w:id="6">
    <w:p w:rsidR="00A04ACE" w:rsidRDefault="00A04ACE">
      <w:pPr>
        <w:pStyle w:val="FootnoteText"/>
      </w:pPr>
      <w:r>
        <w:rPr>
          <w:rStyle w:val="FootnoteReference"/>
        </w:rPr>
        <w:footnoteRef/>
      </w:r>
      <w:r>
        <w:t xml:space="preserve"> Confidence intervals produced by the simulations are not symmetric.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E0BD9"/>
    <w:multiLevelType w:val="hybridMultilevel"/>
    <w:tmpl w:val="43C6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816FE"/>
    <w:multiLevelType w:val="hybridMultilevel"/>
    <w:tmpl w:val="A88C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6369F"/>
    <w:multiLevelType w:val="hybridMultilevel"/>
    <w:tmpl w:val="661A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9B0A6E"/>
    <w:multiLevelType w:val="hybridMultilevel"/>
    <w:tmpl w:val="993E6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039FB"/>
    <w:multiLevelType w:val="hybridMultilevel"/>
    <w:tmpl w:val="1386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680741"/>
    <w:multiLevelType w:val="hybridMultilevel"/>
    <w:tmpl w:val="B8508510"/>
    <w:lvl w:ilvl="0" w:tplc="27F8B4A6">
      <w:start w:val="410"/>
      <w:numFmt w:val="bullet"/>
      <w:lvlText w:val=""/>
      <w:lvlJc w:val="left"/>
      <w:pPr>
        <w:ind w:left="720" w:hanging="360"/>
      </w:pPr>
      <w:rPr>
        <w:rFonts w:ascii="Wingdings" w:eastAsia="Times New Roman" w:hAnsi="Wingdings" w:cstheme="minorHAns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6D5FCF"/>
    <w:multiLevelType w:val="hybridMultilevel"/>
    <w:tmpl w:val="949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footnotePr>
    <w:footnote w:id="-1"/>
    <w:footnote w:id="0"/>
  </w:footnotePr>
  <w:endnotePr>
    <w:numFmt w:val="decimal"/>
    <w:endnote w:id="-1"/>
    <w:endnote w:id="0"/>
  </w:endnotePr>
  <w:compat/>
  <w:rsids>
    <w:rsidRoot w:val="009C7A4C"/>
    <w:rsid w:val="00003ED5"/>
    <w:rsid w:val="000535DA"/>
    <w:rsid w:val="00056EDB"/>
    <w:rsid w:val="00084605"/>
    <w:rsid w:val="00095428"/>
    <w:rsid w:val="000A6740"/>
    <w:rsid w:val="000B0DA1"/>
    <w:rsid w:val="000B7B75"/>
    <w:rsid w:val="000C61C4"/>
    <w:rsid w:val="000D2A92"/>
    <w:rsid w:val="000E0438"/>
    <w:rsid w:val="000E316B"/>
    <w:rsid w:val="000F0862"/>
    <w:rsid w:val="000F2E41"/>
    <w:rsid w:val="000F456C"/>
    <w:rsid w:val="000F7ECF"/>
    <w:rsid w:val="000F7F95"/>
    <w:rsid w:val="00105A83"/>
    <w:rsid w:val="001138D1"/>
    <w:rsid w:val="001231B8"/>
    <w:rsid w:val="00140BB9"/>
    <w:rsid w:val="001435BB"/>
    <w:rsid w:val="0017772E"/>
    <w:rsid w:val="00194A7B"/>
    <w:rsid w:val="001D6086"/>
    <w:rsid w:val="001E211B"/>
    <w:rsid w:val="001E2C5B"/>
    <w:rsid w:val="00200086"/>
    <w:rsid w:val="0020213F"/>
    <w:rsid w:val="0021525F"/>
    <w:rsid w:val="00230C41"/>
    <w:rsid w:val="00231BCE"/>
    <w:rsid w:val="00241B13"/>
    <w:rsid w:val="0026029C"/>
    <w:rsid w:val="00260D7D"/>
    <w:rsid w:val="00266078"/>
    <w:rsid w:val="00273C23"/>
    <w:rsid w:val="00281609"/>
    <w:rsid w:val="002A2BA9"/>
    <w:rsid w:val="002F1C6D"/>
    <w:rsid w:val="003048CE"/>
    <w:rsid w:val="0032235E"/>
    <w:rsid w:val="003427BA"/>
    <w:rsid w:val="00350F7A"/>
    <w:rsid w:val="00354FEA"/>
    <w:rsid w:val="00377350"/>
    <w:rsid w:val="00396535"/>
    <w:rsid w:val="003A18E2"/>
    <w:rsid w:val="003A3179"/>
    <w:rsid w:val="003A6491"/>
    <w:rsid w:val="003B3BA7"/>
    <w:rsid w:val="003C063C"/>
    <w:rsid w:val="003C7772"/>
    <w:rsid w:val="003D0D61"/>
    <w:rsid w:val="003D349A"/>
    <w:rsid w:val="003D3E8E"/>
    <w:rsid w:val="003E73B0"/>
    <w:rsid w:val="004000F6"/>
    <w:rsid w:val="004008B3"/>
    <w:rsid w:val="00415E70"/>
    <w:rsid w:val="0042005A"/>
    <w:rsid w:val="00442248"/>
    <w:rsid w:val="00443997"/>
    <w:rsid w:val="00452760"/>
    <w:rsid w:val="004667E0"/>
    <w:rsid w:val="004771B3"/>
    <w:rsid w:val="00483EDD"/>
    <w:rsid w:val="00494B00"/>
    <w:rsid w:val="004B0138"/>
    <w:rsid w:val="004C7373"/>
    <w:rsid w:val="004D152E"/>
    <w:rsid w:val="004D6F26"/>
    <w:rsid w:val="004E023A"/>
    <w:rsid w:val="005222C4"/>
    <w:rsid w:val="00523930"/>
    <w:rsid w:val="00534651"/>
    <w:rsid w:val="00552835"/>
    <w:rsid w:val="00582350"/>
    <w:rsid w:val="005C7AE8"/>
    <w:rsid w:val="005D7FAD"/>
    <w:rsid w:val="005E1FAD"/>
    <w:rsid w:val="005F77FB"/>
    <w:rsid w:val="00603913"/>
    <w:rsid w:val="0061049B"/>
    <w:rsid w:val="006163DD"/>
    <w:rsid w:val="00622D33"/>
    <w:rsid w:val="00623F67"/>
    <w:rsid w:val="00664222"/>
    <w:rsid w:val="00694812"/>
    <w:rsid w:val="006C2B11"/>
    <w:rsid w:val="006D53B0"/>
    <w:rsid w:val="006D6FE2"/>
    <w:rsid w:val="006E4D5B"/>
    <w:rsid w:val="007220AE"/>
    <w:rsid w:val="00753375"/>
    <w:rsid w:val="00754F47"/>
    <w:rsid w:val="00785694"/>
    <w:rsid w:val="007C40AA"/>
    <w:rsid w:val="007C784B"/>
    <w:rsid w:val="007D0E5A"/>
    <w:rsid w:val="007D35B6"/>
    <w:rsid w:val="00800C2C"/>
    <w:rsid w:val="00802243"/>
    <w:rsid w:val="0083039A"/>
    <w:rsid w:val="00844A25"/>
    <w:rsid w:val="00847C8F"/>
    <w:rsid w:val="00854082"/>
    <w:rsid w:val="008640BD"/>
    <w:rsid w:val="00885A21"/>
    <w:rsid w:val="008D0EF5"/>
    <w:rsid w:val="008E323A"/>
    <w:rsid w:val="008F1F2F"/>
    <w:rsid w:val="008F71B8"/>
    <w:rsid w:val="00927819"/>
    <w:rsid w:val="00935F8B"/>
    <w:rsid w:val="0095697C"/>
    <w:rsid w:val="00976EEB"/>
    <w:rsid w:val="00977E48"/>
    <w:rsid w:val="00985EF8"/>
    <w:rsid w:val="009B46EB"/>
    <w:rsid w:val="009B4DA6"/>
    <w:rsid w:val="009C7A4C"/>
    <w:rsid w:val="009E26E0"/>
    <w:rsid w:val="009F3FEF"/>
    <w:rsid w:val="009F73AD"/>
    <w:rsid w:val="00A04ACE"/>
    <w:rsid w:val="00A27C69"/>
    <w:rsid w:val="00A36498"/>
    <w:rsid w:val="00A51C1D"/>
    <w:rsid w:val="00A553BB"/>
    <w:rsid w:val="00A73B73"/>
    <w:rsid w:val="00A77293"/>
    <w:rsid w:val="00A86BE3"/>
    <w:rsid w:val="00AA7D43"/>
    <w:rsid w:val="00AB16BE"/>
    <w:rsid w:val="00B03D5D"/>
    <w:rsid w:val="00B11D57"/>
    <w:rsid w:val="00B16E98"/>
    <w:rsid w:val="00B325FC"/>
    <w:rsid w:val="00B3629A"/>
    <w:rsid w:val="00B36978"/>
    <w:rsid w:val="00B465A7"/>
    <w:rsid w:val="00B63C3A"/>
    <w:rsid w:val="00B83834"/>
    <w:rsid w:val="00B91BE5"/>
    <w:rsid w:val="00BB443E"/>
    <w:rsid w:val="00BB6A3D"/>
    <w:rsid w:val="00BE24E5"/>
    <w:rsid w:val="00BE4FC9"/>
    <w:rsid w:val="00BF5276"/>
    <w:rsid w:val="00C0130F"/>
    <w:rsid w:val="00C01406"/>
    <w:rsid w:val="00C119ED"/>
    <w:rsid w:val="00C73A1A"/>
    <w:rsid w:val="00C76EC6"/>
    <w:rsid w:val="00C901F4"/>
    <w:rsid w:val="00CE03CB"/>
    <w:rsid w:val="00D1347D"/>
    <w:rsid w:val="00D25075"/>
    <w:rsid w:val="00D54266"/>
    <w:rsid w:val="00D75904"/>
    <w:rsid w:val="00D82906"/>
    <w:rsid w:val="00D86109"/>
    <w:rsid w:val="00D9342A"/>
    <w:rsid w:val="00DC4C71"/>
    <w:rsid w:val="00DC74F4"/>
    <w:rsid w:val="00DD02D5"/>
    <w:rsid w:val="00DD1100"/>
    <w:rsid w:val="00DE2C42"/>
    <w:rsid w:val="00DF13E2"/>
    <w:rsid w:val="00E00431"/>
    <w:rsid w:val="00E13C3B"/>
    <w:rsid w:val="00E13F13"/>
    <w:rsid w:val="00E17878"/>
    <w:rsid w:val="00E2252C"/>
    <w:rsid w:val="00E22643"/>
    <w:rsid w:val="00E32E73"/>
    <w:rsid w:val="00E50571"/>
    <w:rsid w:val="00E50574"/>
    <w:rsid w:val="00E57683"/>
    <w:rsid w:val="00E77588"/>
    <w:rsid w:val="00E90B03"/>
    <w:rsid w:val="00EA3B2B"/>
    <w:rsid w:val="00EB2C29"/>
    <w:rsid w:val="00F436B8"/>
    <w:rsid w:val="00F55F0F"/>
    <w:rsid w:val="00F80467"/>
    <w:rsid w:val="00F843A6"/>
    <w:rsid w:val="00F97774"/>
    <w:rsid w:val="00FA7D81"/>
    <w:rsid w:val="00FB6714"/>
    <w:rsid w:val="00FC0345"/>
    <w:rsid w:val="00FC5276"/>
    <w:rsid w:val="00FF2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A4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664222"/>
    <w:rPr>
      <w:sz w:val="16"/>
      <w:szCs w:val="16"/>
    </w:rPr>
  </w:style>
  <w:style w:type="paragraph" w:styleId="CommentText">
    <w:name w:val="annotation text"/>
    <w:basedOn w:val="Normal"/>
    <w:link w:val="CommentTextChar"/>
    <w:uiPriority w:val="99"/>
    <w:rsid w:val="00664222"/>
    <w:rPr>
      <w:szCs w:val="20"/>
    </w:rPr>
  </w:style>
  <w:style w:type="character" w:customStyle="1" w:styleId="CommentTextChar">
    <w:name w:val="Comment Text Char"/>
    <w:basedOn w:val="DefaultParagraphFont"/>
    <w:link w:val="CommentText"/>
    <w:uiPriority w:val="99"/>
    <w:rsid w:val="00664222"/>
  </w:style>
  <w:style w:type="paragraph" w:styleId="CommentSubject">
    <w:name w:val="annotation subject"/>
    <w:basedOn w:val="CommentText"/>
    <w:next w:val="CommentText"/>
    <w:link w:val="CommentSubjectChar"/>
    <w:rsid w:val="00664222"/>
    <w:rPr>
      <w:b/>
      <w:bCs/>
    </w:rPr>
  </w:style>
  <w:style w:type="character" w:customStyle="1" w:styleId="CommentSubjectChar">
    <w:name w:val="Comment Subject Char"/>
    <w:link w:val="CommentSubject"/>
    <w:rsid w:val="00664222"/>
    <w:rPr>
      <w:b/>
      <w:bCs/>
    </w:rPr>
  </w:style>
  <w:style w:type="paragraph" w:styleId="BalloonText">
    <w:name w:val="Balloon Text"/>
    <w:basedOn w:val="Normal"/>
    <w:link w:val="BalloonTextChar"/>
    <w:rsid w:val="00664222"/>
    <w:rPr>
      <w:rFonts w:ascii="Tahoma" w:hAnsi="Tahoma"/>
      <w:sz w:val="16"/>
      <w:szCs w:val="16"/>
    </w:rPr>
  </w:style>
  <w:style w:type="character" w:customStyle="1" w:styleId="BalloonTextChar">
    <w:name w:val="Balloon Text Char"/>
    <w:link w:val="BalloonText"/>
    <w:rsid w:val="00664222"/>
    <w:rPr>
      <w:rFonts w:ascii="Tahoma" w:hAnsi="Tahoma" w:cs="Tahoma"/>
      <w:sz w:val="16"/>
      <w:szCs w:val="16"/>
    </w:rPr>
  </w:style>
  <w:style w:type="paragraph" w:styleId="FootnoteText">
    <w:name w:val="footnote text"/>
    <w:basedOn w:val="Normal"/>
    <w:link w:val="FootnoteTextChar"/>
    <w:uiPriority w:val="99"/>
    <w:rsid w:val="001435BB"/>
    <w:rPr>
      <w:szCs w:val="20"/>
    </w:rPr>
  </w:style>
  <w:style w:type="character" w:customStyle="1" w:styleId="FootnoteTextChar">
    <w:name w:val="Footnote Text Char"/>
    <w:basedOn w:val="DefaultParagraphFont"/>
    <w:link w:val="FootnoteText"/>
    <w:uiPriority w:val="99"/>
    <w:rsid w:val="001435BB"/>
  </w:style>
  <w:style w:type="character" w:styleId="FootnoteReference">
    <w:name w:val="footnote reference"/>
    <w:uiPriority w:val="99"/>
    <w:rsid w:val="001435BB"/>
    <w:rPr>
      <w:vertAlign w:val="superscript"/>
    </w:rPr>
  </w:style>
  <w:style w:type="paragraph" w:styleId="Caption">
    <w:name w:val="caption"/>
    <w:basedOn w:val="Normal"/>
    <w:next w:val="Normal"/>
    <w:unhideWhenUsed/>
    <w:qFormat/>
    <w:rsid w:val="00E2252C"/>
    <w:rPr>
      <w:b/>
      <w:bCs/>
      <w:szCs w:val="20"/>
    </w:rPr>
  </w:style>
  <w:style w:type="character" w:styleId="Hyperlink">
    <w:name w:val="Hyperlink"/>
    <w:basedOn w:val="DefaultParagraphFont"/>
    <w:rsid w:val="000F7F95"/>
    <w:rPr>
      <w:color w:val="0000FF" w:themeColor="hyperlink"/>
      <w:u w:val="single"/>
    </w:rPr>
  </w:style>
  <w:style w:type="paragraph" w:styleId="ListParagraph">
    <w:name w:val="List Paragraph"/>
    <w:basedOn w:val="Normal"/>
    <w:uiPriority w:val="34"/>
    <w:qFormat/>
    <w:rsid w:val="003427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A4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664222"/>
    <w:rPr>
      <w:sz w:val="16"/>
      <w:szCs w:val="16"/>
    </w:rPr>
  </w:style>
  <w:style w:type="paragraph" w:styleId="CommentText">
    <w:name w:val="annotation text"/>
    <w:basedOn w:val="Normal"/>
    <w:link w:val="CommentTextChar"/>
    <w:uiPriority w:val="99"/>
    <w:rsid w:val="00664222"/>
    <w:rPr>
      <w:szCs w:val="20"/>
    </w:rPr>
  </w:style>
  <w:style w:type="character" w:customStyle="1" w:styleId="CommentTextChar">
    <w:name w:val="Comment Text Char"/>
    <w:basedOn w:val="DefaultParagraphFont"/>
    <w:link w:val="CommentText"/>
    <w:uiPriority w:val="99"/>
    <w:rsid w:val="00664222"/>
  </w:style>
  <w:style w:type="paragraph" w:styleId="CommentSubject">
    <w:name w:val="annotation subject"/>
    <w:basedOn w:val="CommentText"/>
    <w:next w:val="CommentText"/>
    <w:link w:val="CommentSubjectChar"/>
    <w:rsid w:val="00664222"/>
    <w:rPr>
      <w:b/>
      <w:bCs/>
      <w:lang w:val="x-none" w:eastAsia="x-none"/>
    </w:rPr>
  </w:style>
  <w:style w:type="character" w:customStyle="1" w:styleId="CommentSubjectChar">
    <w:name w:val="Comment Subject Char"/>
    <w:link w:val="CommentSubject"/>
    <w:rsid w:val="00664222"/>
    <w:rPr>
      <w:b/>
      <w:bCs/>
    </w:rPr>
  </w:style>
  <w:style w:type="paragraph" w:styleId="BalloonText">
    <w:name w:val="Balloon Text"/>
    <w:basedOn w:val="Normal"/>
    <w:link w:val="BalloonTextChar"/>
    <w:rsid w:val="00664222"/>
    <w:rPr>
      <w:rFonts w:ascii="Tahoma" w:hAnsi="Tahoma"/>
      <w:sz w:val="16"/>
      <w:szCs w:val="16"/>
      <w:lang w:val="x-none" w:eastAsia="x-none"/>
    </w:rPr>
  </w:style>
  <w:style w:type="character" w:customStyle="1" w:styleId="BalloonTextChar">
    <w:name w:val="Balloon Text Char"/>
    <w:link w:val="BalloonText"/>
    <w:rsid w:val="00664222"/>
    <w:rPr>
      <w:rFonts w:ascii="Tahoma" w:hAnsi="Tahoma" w:cs="Tahoma"/>
      <w:sz w:val="16"/>
      <w:szCs w:val="16"/>
    </w:rPr>
  </w:style>
  <w:style w:type="paragraph" w:styleId="FootnoteText">
    <w:name w:val="footnote text"/>
    <w:basedOn w:val="Normal"/>
    <w:link w:val="FootnoteTextChar"/>
    <w:uiPriority w:val="99"/>
    <w:rsid w:val="001435BB"/>
    <w:rPr>
      <w:szCs w:val="20"/>
    </w:rPr>
  </w:style>
  <w:style w:type="character" w:customStyle="1" w:styleId="FootnoteTextChar">
    <w:name w:val="Footnote Text Char"/>
    <w:basedOn w:val="DefaultParagraphFont"/>
    <w:link w:val="FootnoteText"/>
    <w:uiPriority w:val="99"/>
    <w:rsid w:val="001435BB"/>
  </w:style>
  <w:style w:type="character" w:styleId="FootnoteReference">
    <w:name w:val="footnote reference"/>
    <w:uiPriority w:val="99"/>
    <w:rsid w:val="001435BB"/>
    <w:rPr>
      <w:vertAlign w:val="superscript"/>
    </w:rPr>
  </w:style>
  <w:style w:type="paragraph" w:styleId="Caption">
    <w:name w:val="caption"/>
    <w:basedOn w:val="Normal"/>
    <w:next w:val="Normal"/>
    <w:unhideWhenUsed/>
    <w:qFormat/>
    <w:rsid w:val="00E2252C"/>
    <w:rPr>
      <w:b/>
      <w:bCs/>
      <w:szCs w:val="20"/>
    </w:rPr>
  </w:style>
  <w:style w:type="character" w:styleId="Hyperlink">
    <w:name w:val="Hyperlink"/>
    <w:basedOn w:val="DefaultParagraphFont"/>
    <w:rsid w:val="000F7F95"/>
    <w:rPr>
      <w:color w:val="0000FF" w:themeColor="hyperlink"/>
      <w:u w:val="single"/>
    </w:rPr>
  </w:style>
  <w:style w:type="paragraph" w:styleId="ListParagraph">
    <w:name w:val="List Paragraph"/>
    <w:basedOn w:val="Normal"/>
    <w:uiPriority w:val="34"/>
    <w:qFormat/>
    <w:rsid w:val="003427BA"/>
    <w:pPr>
      <w:ind w:left="720"/>
      <w:contextualSpacing/>
    </w:pPr>
  </w:style>
</w:styles>
</file>

<file path=word/webSettings.xml><?xml version="1.0" encoding="utf-8"?>
<w:webSettings xmlns:r="http://schemas.openxmlformats.org/officeDocument/2006/relationships" xmlns:w="http://schemas.openxmlformats.org/wordprocessingml/2006/main">
  <w:divs>
    <w:div w:id="71322036">
      <w:bodyDiv w:val="1"/>
      <w:marLeft w:val="0"/>
      <w:marRight w:val="0"/>
      <w:marTop w:val="0"/>
      <w:marBottom w:val="0"/>
      <w:divBdr>
        <w:top w:val="none" w:sz="0" w:space="0" w:color="auto"/>
        <w:left w:val="none" w:sz="0" w:space="0" w:color="auto"/>
        <w:bottom w:val="none" w:sz="0" w:space="0" w:color="auto"/>
        <w:right w:val="none" w:sz="0" w:space="0" w:color="auto"/>
      </w:divBdr>
    </w:div>
    <w:div w:id="12132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B976-2060-4CA5-9FAE-52E3EF48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2168</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14224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CMS</dc:creator>
  <cp:lastModifiedBy>CMS</cp:lastModifiedBy>
  <cp:revision>3</cp:revision>
  <cp:lastPrinted>2012-01-31T16:17:00Z</cp:lastPrinted>
  <dcterms:created xsi:type="dcterms:W3CDTF">2012-11-30T19:45:00Z</dcterms:created>
  <dcterms:modified xsi:type="dcterms:W3CDTF">2012-11-30T19:46:00Z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-1782454054</vt:i4>
  </property>
  <property fmtid="{D5CDD505-2E9C-101B-9397-08002B2CF9AE}" pid="4" name="_EmailSubject">
    <vt:lpwstr>ROCIS Uploads for ICR REFERENCE NUMBER: 201207-0938-001 </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PreviousAdHocReviewCycleID">
    <vt:i4>-116365056</vt:i4>
  </property>
</Properties>
</file>