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06" w:rsidRPr="007D6E75" w:rsidRDefault="00837C06" w:rsidP="00837C06">
      <w:pPr>
        <w:jc w:val="center"/>
      </w:pPr>
      <w:bookmarkStart w:id="0" w:name="_GoBack"/>
      <w:bookmarkEnd w:id="0"/>
      <w:r>
        <w:t>Application to Use Burden/Hours from Generic PRA Clearance:</w:t>
      </w:r>
    </w:p>
    <w:p w:rsidR="00837C06" w:rsidRDefault="00837C06" w:rsidP="00837C06">
      <w:pPr>
        <w:jc w:val="center"/>
      </w:pPr>
      <w:r w:rsidRPr="007D6E75">
        <w:t>Medicaid and CHIP State Plan, Waiver, and Program Submissions</w:t>
      </w:r>
    </w:p>
    <w:p w:rsidR="00837C06" w:rsidRDefault="00837C06" w:rsidP="00C0702F">
      <w:pPr>
        <w:jc w:val="center"/>
      </w:pPr>
      <w:r>
        <w:t>(</w:t>
      </w:r>
      <w:r w:rsidRPr="007D6E75">
        <w:t>CMS-10398, OMB 0938-1148</w:t>
      </w:r>
      <w:r>
        <w:t>)</w:t>
      </w:r>
    </w:p>
    <w:p w:rsidR="00837C06" w:rsidRDefault="00837C06" w:rsidP="00837C06">
      <w:pPr>
        <w:jc w:val="center"/>
      </w:pPr>
    </w:p>
    <w:p w:rsidR="00837C06" w:rsidRPr="00400CC1" w:rsidRDefault="00837C06" w:rsidP="00837C06">
      <w:pPr>
        <w:pStyle w:val="Title"/>
        <w:rPr>
          <w:b w:val="0"/>
          <w:sz w:val="24"/>
          <w:szCs w:val="24"/>
        </w:rPr>
      </w:pPr>
      <w:r w:rsidRPr="00400CC1">
        <w:rPr>
          <w:sz w:val="24"/>
          <w:szCs w:val="24"/>
        </w:rPr>
        <w:t>Information Collection #</w:t>
      </w:r>
      <w:r w:rsidR="00621155">
        <w:rPr>
          <w:sz w:val="24"/>
          <w:szCs w:val="24"/>
        </w:rPr>
        <w:t>7</w:t>
      </w:r>
      <w:r w:rsidRPr="00400CC1">
        <w:rPr>
          <w:sz w:val="24"/>
          <w:szCs w:val="24"/>
        </w:rPr>
        <w:t>: CHIPRA</w:t>
      </w:r>
      <w:r w:rsidR="00400CC1" w:rsidRPr="00400CC1">
        <w:rPr>
          <w:rFonts w:eastAsiaTheme="minorEastAsia"/>
          <w:sz w:val="24"/>
          <w:szCs w:val="24"/>
        </w:rPr>
        <w:t xml:space="preserve"> Connecting Kids to Coverage Outreach and Enrollment</w:t>
      </w:r>
      <w:r w:rsidR="00FD3216">
        <w:rPr>
          <w:rFonts w:eastAsiaTheme="minorEastAsia"/>
          <w:sz w:val="24"/>
          <w:szCs w:val="24"/>
        </w:rPr>
        <w:t xml:space="preserve"> </w:t>
      </w:r>
      <w:r w:rsidR="00CE601B">
        <w:rPr>
          <w:rFonts w:eastAsiaTheme="minorEastAsia"/>
          <w:sz w:val="24"/>
          <w:szCs w:val="24"/>
        </w:rPr>
        <w:t>G</w:t>
      </w:r>
      <w:r w:rsidRPr="00400CC1">
        <w:rPr>
          <w:sz w:val="24"/>
          <w:szCs w:val="24"/>
        </w:rPr>
        <w:t>rant</w:t>
      </w:r>
      <w:r w:rsidR="00FD3216">
        <w:rPr>
          <w:sz w:val="24"/>
          <w:szCs w:val="24"/>
        </w:rPr>
        <w:t xml:space="preserve"> </w:t>
      </w:r>
      <w:r w:rsidR="00CE601B">
        <w:rPr>
          <w:rFonts w:eastAsiaTheme="minorEastAsia"/>
          <w:sz w:val="24"/>
          <w:szCs w:val="24"/>
        </w:rPr>
        <w:t>(</w:t>
      </w:r>
      <w:r w:rsidR="00CE601B" w:rsidRPr="00400CC1">
        <w:rPr>
          <w:rFonts w:eastAsiaTheme="minorEastAsia"/>
          <w:sz w:val="24"/>
          <w:szCs w:val="24"/>
        </w:rPr>
        <w:t>Cycle III)</w:t>
      </w:r>
      <w:r w:rsidRPr="00400CC1">
        <w:rPr>
          <w:sz w:val="24"/>
          <w:szCs w:val="24"/>
        </w:rPr>
        <w:t xml:space="preserve"> Semi-Annual Report Template</w:t>
      </w:r>
      <w:r w:rsidR="0000689B">
        <w:rPr>
          <w:sz w:val="24"/>
          <w:szCs w:val="24"/>
        </w:rPr>
        <w:t xml:space="preserve"> - Revised</w:t>
      </w:r>
    </w:p>
    <w:p w:rsidR="00837C06" w:rsidRPr="007D6E75" w:rsidRDefault="00F20953" w:rsidP="00837C06">
      <w:pPr>
        <w:jc w:val="center"/>
        <w:rPr>
          <w:b/>
        </w:rPr>
      </w:pPr>
      <w:r>
        <w:rPr>
          <w:b/>
        </w:rPr>
        <w:t xml:space="preserve">February </w:t>
      </w:r>
      <w:r w:rsidR="000F649B">
        <w:rPr>
          <w:b/>
        </w:rPr>
        <w:t>17</w:t>
      </w:r>
      <w:r w:rsidR="00837C06" w:rsidRPr="007D6E75">
        <w:rPr>
          <w:b/>
        </w:rPr>
        <w:t>, 201</w:t>
      </w:r>
      <w:r>
        <w:rPr>
          <w:b/>
        </w:rPr>
        <w:t>4</w:t>
      </w:r>
    </w:p>
    <w:p w:rsidR="00837C06" w:rsidRDefault="00837C06" w:rsidP="00C0702F"/>
    <w:p w:rsidR="00837C06" w:rsidRDefault="00837C06" w:rsidP="00837C06">
      <w:pPr>
        <w:jc w:val="center"/>
      </w:pPr>
    </w:p>
    <w:p w:rsidR="00837C06" w:rsidRDefault="00837C06" w:rsidP="00837C06">
      <w:pPr>
        <w:jc w:val="center"/>
      </w:pPr>
    </w:p>
    <w:p w:rsidR="00837C06" w:rsidRDefault="00837C06" w:rsidP="00837C06">
      <w:pPr>
        <w:jc w:val="center"/>
      </w:pPr>
      <w:r>
        <w:t>Center for Medicaid and CHIP Services (CMCS)</w:t>
      </w:r>
    </w:p>
    <w:p w:rsidR="00837C06" w:rsidRDefault="00837C06" w:rsidP="00837C06">
      <w:pPr>
        <w:jc w:val="center"/>
      </w:pPr>
      <w:r>
        <w:t>Centers for Medicare &amp; Medicaid Services (CMS)</w:t>
      </w:r>
    </w:p>
    <w:p w:rsidR="00837C06" w:rsidRDefault="00837C06">
      <w:pPr>
        <w:rPr>
          <w:rFonts w:eastAsiaTheme="majorEastAsia" w:cs="Times New Roman"/>
          <w:b/>
          <w:bCs/>
          <w:szCs w:val="24"/>
          <w:u w:val="single"/>
        </w:rPr>
      </w:pPr>
    </w:p>
    <w:p w:rsidR="00837C06" w:rsidRDefault="00837C06">
      <w:pPr>
        <w:rPr>
          <w:rFonts w:eastAsiaTheme="majorEastAsia" w:cs="Times New Roman"/>
          <w:b/>
          <w:bCs/>
          <w:szCs w:val="24"/>
          <w:u w:val="single"/>
        </w:rPr>
      </w:pPr>
      <w:r>
        <w:rPr>
          <w:rFonts w:cs="Times New Roman"/>
          <w:szCs w:val="24"/>
        </w:rPr>
        <w:br w:type="page"/>
      </w:r>
    </w:p>
    <w:p w:rsidR="009713D2" w:rsidRPr="00A449BD" w:rsidRDefault="009713D2" w:rsidP="00A449BD">
      <w:pPr>
        <w:pStyle w:val="Heading1"/>
        <w:rPr>
          <w:rFonts w:eastAsia="Times" w:cs="Times New Roman"/>
          <w:szCs w:val="24"/>
        </w:rPr>
      </w:pPr>
      <w:r w:rsidRPr="00A449BD">
        <w:rPr>
          <w:highlight w:val="yellow"/>
        </w:rPr>
        <w:lastRenderedPageBreak/>
        <w:t xml:space="preserve">CMS requests expedited approval of this collection instrument for release upon OMB approval.  An expedited approval is needed to </w:t>
      </w:r>
      <w:r w:rsidRPr="00A449BD">
        <w:rPr>
          <w:rFonts w:cs="Times New Roman"/>
          <w:szCs w:val="24"/>
          <w:highlight w:val="yellow"/>
        </w:rPr>
        <w:t>minimize the disruption to timely grant reporting.</w:t>
      </w:r>
      <w:r w:rsidRPr="00A449BD">
        <w:rPr>
          <w:rFonts w:cs="Times New Roman"/>
          <w:szCs w:val="24"/>
        </w:rPr>
        <w:t xml:space="preserve"> </w:t>
      </w:r>
    </w:p>
    <w:p w:rsidR="009713D2" w:rsidRDefault="009713D2" w:rsidP="00A449BD">
      <w:pPr>
        <w:pStyle w:val="Heading1"/>
      </w:pPr>
    </w:p>
    <w:p w:rsidR="009713D2" w:rsidRDefault="009713D2" w:rsidP="00A449BD">
      <w:pPr>
        <w:pStyle w:val="Heading1"/>
      </w:pPr>
    </w:p>
    <w:p w:rsidR="00EB2BB0" w:rsidRDefault="00EB2BB0" w:rsidP="00A449BD">
      <w:pPr>
        <w:pStyle w:val="Heading1"/>
      </w:pPr>
      <w:r w:rsidRPr="00D86D3B">
        <w:t>A. Background</w:t>
      </w:r>
    </w:p>
    <w:p w:rsidR="00376324" w:rsidRDefault="00376324" w:rsidP="00376324"/>
    <w:p w:rsidR="00376324" w:rsidRPr="00376324" w:rsidRDefault="00376324" w:rsidP="00376324">
      <w:pPr>
        <w:spacing w:after="0"/>
        <w:rPr>
          <w:rFonts w:eastAsiaTheme="minorEastAsia" w:cs="Times New Roman"/>
          <w:szCs w:val="24"/>
        </w:rPr>
      </w:pPr>
      <w:r w:rsidRPr="00376324">
        <w:rPr>
          <w:rFonts w:eastAsiaTheme="minorEastAsia" w:cs="Times New Roman"/>
          <w:szCs w:val="24"/>
        </w:rPr>
        <w:t xml:space="preserve">The Children’s Health Insurance Program Reauthorization Act of 2009 (CHIPRA) </w:t>
      </w:r>
    </w:p>
    <w:p w:rsidR="00376324" w:rsidRPr="00376324" w:rsidRDefault="00376324" w:rsidP="00376324">
      <w:pPr>
        <w:spacing w:after="0"/>
        <w:rPr>
          <w:rFonts w:eastAsiaTheme="minorEastAsia" w:cs="Times New Roman"/>
          <w:szCs w:val="24"/>
        </w:rPr>
      </w:pPr>
      <w:r w:rsidRPr="00376324">
        <w:rPr>
          <w:rFonts w:eastAsiaTheme="minorEastAsia" w:cs="Times New Roman"/>
          <w:szCs w:val="24"/>
        </w:rPr>
        <w:t xml:space="preserve">(Pub. L. 111-3), signed into law by President Obama on February 4, 2009, reauthorized the Children’s Health Insurance Program (CHIP) through federal fiscal year (FFY) 2013. </w:t>
      </w:r>
    </w:p>
    <w:p w:rsidR="00376324" w:rsidRPr="00376324" w:rsidRDefault="00376324" w:rsidP="00376324">
      <w:pPr>
        <w:spacing w:after="0"/>
        <w:rPr>
          <w:rFonts w:eastAsiaTheme="minorEastAsia" w:cs="Times New Roman"/>
          <w:szCs w:val="24"/>
        </w:rPr>
      </w:pPr>
      <w:r w:rsidRPr="00376324">
        <w:rPr>
          <w:rFonts w:eastAsiaTheme="minorEastAsia" w:cs="Times New Roman"/>
          <w:szCs w:val="24"/>
        </w:rPr>
        <w:t xml:space="preserve">(The ACA extended CHIP funding through 2015.)  In addition to financing health coverage for low-income children, the law contained provisions aimed at reducing the number of children who were eligible for Medicaid or CHIP but are not enrolled and improving retention so that eligible children stay covered for as long as they qualified.  To support such efforts, CHIPRA provided a total of $100 million for outreach and enrollment activities, including $80 million for grants to states, local governments, community-based and non-profit organizations and others; $10 million in grant funds exclusively for Indian health care providers and tribal entities; and $10 million devoted to a national outreach and enrollment campaign.  </w:t>
      </w:r>
    </w:p>
    <w:p w:rsidR="00376324" w:rsidRPr="00376324" w:rsidRDefault="00376324" w:rsidP="00376324">
      <w:pPr>
        <w:spacing w:after="0"/>
        <w:rPr>
          <w:rFonts w:eastAsiaTheme="minorEastAsia" w:cs="Times New Roman"/>
          <w:szCs w:val="24"/>
        </w:rPr>
      </w:pPr>
    </w:p>
    <w:p w:rsidR="00376324" w:rsidRPr="00376324" w:rsidRDefault="00376324" w:rsidP="00376324">
      <w:pPr>
        <w:spacing w:after="0"/>
        <w:rPr>
          <w:rFonts w:eastAsiaTheme="minorEastAsia" w:cs="Times New Roman"/>
          <w:szCs w:val="24"/>
        </w:rPr>
      </w:pPr>
      <w:r w:rsidRPr="00376324">
        <w:rPr>
          <w:rFonts w:eastAsiaTheme="minorEastAsia" w:cs="Times New Roman"/>
          <w:szCs w:val="24"/>
        </w:rPr>
        <w:t xml:space="preserve">To continue this work, section 10203(d)(2)(E) of the Patient Protection and ACA, enacted on March 23, 2010, provided an additional $40 million in funding for outreach and enrollment activities, available through FFY 2015.  These funds </w:t>
      </w:r>
      <w:r w:rsidR="00BD7844">
        <w:rPr>
          <w:rFonts w:eastAsiaTheme="minorEastAsia" w:cs="Times New Roman"/>
          <w:szCs w:val="24"/>
        </w:rPr>
        <w:t>were</w:t>
      </w:r>
      <w:r w:rsidRPr="00376324">
        <w:rPr>
          <w:rFonts w:eastAsiaTheme="minorEastAsia" w:cs="Times New Roman"/>
          <w:szCs w:val="24"/>
        </w:rPr>
        <w:t xml:space="preserve"> allocated in the same proportion as </w:t>
      </w:r>
    </w:p>
    <w:p w:rsidR="00376324" w:rsidRPr="00376324" w:rsidRDefault="00376324" w:rsidP="00376324">
      <w:pPr>
        <w:spacing w:after="0"/>
        <w:rPr>
          <w:rFonts w:eastAsiaTheme="minorEastAsia" w:cs="Times New Roman"/>
          <w:szCs w:val="24"/>
        </w:rPr>
      </w:pPr>
      <w:r w:rsidRPr="00376324">
        <w:rPr>
          <w:rFonts w:eastAsiaTheme="minorEastAsia" w:cs="Times New Roman"/>
          <w:szCs w:val="24"/>
        </w:rPr>
        <w:t xml:space="preserve">the funding available through CHIPRA, with $32 million for grants to states, local governments, community-based and non-profit organizations; $4 million for Indian health care providers </w:t>
      </w:r>
    </w:p>
    <w:p w:rsidR="00376324" w:rsidRPr="00376324" w:rsidRDefault="00376324" w:rsidP="00376324">
      <w:pPr>
        <w:spacing w:after="0"/>
        <w:rPr>
          <w:rFonts w:eastAsiaTheme="minorEastAsia" w:cs="Times New Roman"/>
          <w:szCs w:val="24"/>
        </w:rPr>
      </w:pPr>
      <w:r w:rsidRPr="00376324">
        <w:rPr>
          <w:rFonts w:eastAsiaTheme="minorEastAsia" w:cs="Times New Roman"/>
          <w:szCs w:val="24"/>
        </w:rPr>
        <w:t>and tribal entities (as noted above, these funds will be made available in a separate FOA</w:t>
      </w:r>
      <w:r w:rsidR="009D0F5B">
        <w:rPr>
          <w:rFonts w:eastAsiaTheme="minorEastAsia" w:cs="Times New Roman"/>
          <w:szCs w:val="24"/>
        </w:rPr>
        <w:t xml:space="preserve"> to be released in the second quarter of FY14</w:t>
      </w:r>
      <w:r w:rsidRPr="00376324">
        <w:rPr>
          <w:rFonts w:eastAsiaTheme="minorEastAsia" w:cs="Times New Roman"/>
          <w:szCs w:val="24"/>
        </w:rPr>
        <w:t>); and $4 million for a national outreach and enrollment campaign.</w:t>
      </w:r>
    </w:p>
    <w:p w:rsidR="007C5FAA" w:rsidRDefault="007C5FAA" w:rsidP="00376324">
      <w:pPr>
        <w:rPr>
          <w:rFonts w:eastAsiaTheme="minorEastAsia" w:cs="Times New Roman"/>
          <w:szCs w:val="24"/>
        </w:rPr>
      </w:pPr>
    </w:p>
    <w:p w:rsidR="007C5FAA" w:rsidRDefault="00376324" w:rsidP="007C5FAA">
      <w:pPr>
        <w:rPr>
          <w:rFonts w:eastAsiaTheme="minorEastAsia" w:cs="Times New Roman"/>
          <w:szCs w:val="24"/>
        </w:rPr>
      </w:pPr>
      <w:r>
        <w:rPr>
          <w:rFonts w:eastAsiaTheme="minorEastAsia" w:cs="Times New Roman"/>
          <w:szCs w:val="24"/>
        </w:rPr>
        <w:t>T</w:t>
      </w:r>
      <w:r w:rsidRPr="00376324">
        <w:rPr>
          <w:rFonts w:eastAsiaTheme="minorEastAsia" w:cs="Times New Roman"/>
          <w:szCs w:val="24"/>
        </w:rPr>
        <w:t>o date, a total of $</w:t>
      </w:r>
      <w:r w:rsidR="007C5FAA">
        <w:rPr>
          <w:rFonts w:eastAsiaTheme="minorEastAsia" w:cs="Times New Roman"/>
          <w:szCs w:val="24"/>
        </w:rPr>
        <w:t>122</w:t>
      </w:r>
      <w:r w:rsidRPr="00376324">
        <w:rPr>
          <w:rFonts w:eastAsiaTheme="minorEastAsia" w:cs="Times New Roman"/>
          <w:szCs w:val="24"/>
        </w:rPr>
        <w:t xml:space="preserve"> million in grant funding has been awarded.  The first $40 million</w:t>
      </w:r>
      <w:r w:rsidR="007C5FAA">
        <w:rPr>
          <w:rFonts w:eastAsiaTheme="minorEastAsia" w:cs="Times New Roman"/>
          <w:szCs w:val="24"/>
        </w:rPr>
        <w:t xml:space="preserve"> in grants</w:t>
      </w:r>
      <w:r w:rsidRPr="00376324">
        <w:rPr>
          <w:rFonts w:eastAsiaTheme="minorEastAsia" w:cs="Times New Roman"/>
          <w:szCs w:val="24"/>
        </w:rPr>
        <w:t>,</w:t>
      </w:r>
      <w:r w:rsidR="007C5FAA">
        <w:rPr>
          <w:rFonts w:eastAsiaTheme="minorEastAsia" w:cs="Times New Roman"/>
          <w:szCs w:val="24"/>
        </w:rPr>
        <w:t xml:space="preserve"> entitled CHIPRA Outreach and Enrollment Grants (Cycle I),</w:t>
      </w:r>
      <w:r w:rsidRPr="00376324">
        <w:rPr>
          <w:rFonts w:eastAsiaTheme="minorEastAsia" w:cs="Times New Roman"/>
          <w:szCs w:val="24"/>
        </w:rPr>
        <w:t xml:space="preserve"> </w:t>
      </w:r>
      <w:r w:rsidR="007C5FAA">
        <w:rPr>
          <w:rFonts w:eastAsiaTheme="minorEastAsia" w:cs="Times New Roman"/>
          <w:szCs w:val="24"/>
        </w:rPr>
        <w:t xml:space="preserve">were awarded in September 2009, to </w:t>
      </w:r>
      <w:r w:rsidRPr="00376324">
        <w:rPr>
          <w:rFonts w:eastAsiaTheme="minorEastAsia" w:cs="Times New Roman"/>
          <w:szCs w:val="24"/>
        </w:rPr>
        <w:t xml:space="preserve">68 grantees in 42 states.  This was followed in April 2010 with awards amounting to $10 million in grants to 41 American Indian/Alaska Native (AI/AN) grantees in 19 states.  </w:t>
      </w:r>
      <w:r w:rsidR="009D0F5B">
        <w:rPr>
          <w:rFonts w:eastAsiaTheme="minorEastAsia" w:cs="Times New Roman"/>
          <w:szCs w:val="24"/>
        </w:rPr>
        <w:t>The second cohort, CHIPRA Outreach and Enrollment Grants (</w:t>
      </w:r>
      <w:r w:rsidRPr="00376324">
        <w:rPr>
          <w:rFonts w:eastAsiaTheme="minorEastAsia" w:cs="Times New Roman"/>
          <w:szCs w:val="24"/>
        </w:rPr>
        <w:t>Cycle II</w:t>
      </w:r>
      <w:r w:rsidR="009D0F5B">
        <w:rPr>
          <w:rFonts w:eastAsiaTheme="minorEastAsia" w:cs="Times New Roman"/>
          <w:szCs w:val="24"/>
        </w:rPr>
        <w:t>),</w:t>
      </w:r>
      <w:r w:rsidRPr="00376324">
        <w:rPr>
          <w:rFonts w:eastAsiaTheme="minorEastAsia" w:cs="Times New Roman"/>
          <w:szCs w:val="24"/>
        </w:rPr>
        <w:t xml:space="preserve"> were awarded in August 2011 with another $40 million going to 39 grantees in 23 states.  </w:t>
      </w:r>
      <w:r w:rsidR="007C5FAA">
        <w:rPr>
          <w:rFonts w:eastAsiaTheme="minorEastAsia" w:cs="Times New Roman"/>
          <w:szCs w:val="24"/>
        </w:rPr>
        <w:t xml:space="preserve"> </w:t>
      </w:r>
    </w:p>
    <w:p w:rsidR="00376324" w:rsidRDefault="007C5FAA" w:rsidP="007C5FAA">
      <w:pPr>
        <w:rPr>
          <w:rFonts w:eastAsiaTheme="minorEastAsia" w:cs="Times New Roman"/>
          <w:szCs w:val="24"/>
        </w:rPr>
      </w:pPr>
      <w:r>
        <w:rPr>
          <w:rFonts w:eastAsiaTheme="minorEastAsia" w:cs="Times New Roman"/>
          <w:szCs w:val="24"/>
        </w:rPr>
        <w:t xml:space="preserve">In July 2013, 41 </w:t>
      </w:r>
      <w:r w:rsidR="00D151AF" w:rsidRPr="00BD7844">
        <w:rPr>
          <w:rFonts w:eastAsiaTheme="minorEastAsia" w:cs="Times New Roman"/>
          <w:szCs w:val="24"/>
        </w:rPr>
        <w:t xml:space="preserve">Connecting Kids to Coverage Outreach and Enrollment </w:t>
      </w:r>
      <w:r w:rsidR="00FD3216">
        <w:rPr>
          <w:rFonts w:eastAsiaTheme="minorEastAsia" w:cs="Times New Roman"/>
          <w:szCs w:val="24"/>
        </w:rPr>
        <w:t>G</w:t>
      </w:r>
      <w:r>
        <w:rPr>
          <w:rFonts w:eastAsiaTheme="minorEastAsia" w:cs="Times New Roman"/>
          <w:szCs w:val="24"/>
        </w:rPr>
        <w:t>ra</w:t>
      </w:r>
      <w:r w:rsidR="00FD3216">
        <w:rPr>
          <w:rFonts w:eastAsiaTheme="minorEastAsia" w:cs="Times New Roman"/>
          <w:szCs w:val="24"/>
        </w:rPr>
        <w:t>nts (Cycle III)</w:t>
      </w:r>
      <w:r>
        <w:rPr>
          <w:rFonts w:eastAsiaTheme="minorEastAsia" w:cs="Times New Roman"/>
          <w:szCs w:val="24"/>
        </w:rPr>
        <w:t xml:space="preserve">, totaling $32 million were awarded in </w:t>
      </w:r>
      <w:r w:rsidRPr="00BD7844">
        <w:rPr>
          <w:rFonts w:eastAsiaTheme="minorEastAsia" w:cs="Times New Roman"/>
          <w:szCs w:val="24"/>
        </w:rPr>
        <w:t>22 states</w:t>
      </w:r>
      <w:r>
        <w:rPr>
          <w:rFonts w:eastAsiaTheme="minorEastAsia" w:cs="Times New Roman"/>
          <w:szCs w:val="24"/>
        </w:rPr>
        <w:t xml:space="preserve">.  </w:t>
      </w:r>
      <w:r w:rsidRPr="00BD7844">
        <w:rPr>
          <w:rFonts w:eastAsiaTheme="minorEastAsia" w:cs="Times New Roman"/>
          <w:szCs w:val="24"/>
        </w:rPr>
        <w:t xml:space="preserve"> </w:t>
      </w:r>
      <w:r w:rsidR="00376324" w:rsidRPr="00376324">
        <w:rPr>
          <w:rFonts w:eastAsiaTheme="minorEastAsia" w:cs="Times New Roman"/>
          <w:szCs w:val="24"/>
        </w:rPr>
        <w:t xml:space="preserve">Cycle III grants will support outreach strategies similar to those conducted in previous grant cycles, and also will fund activities designed to help families understand new application procedures and health coverage opportunities, including Medicaid, CHIP and insurance affordability programs under the ACA.  </w:t>
      </w:r>
    </w:p>
    <w:p w:rsidR="00D151AF" w:rsidRPr="00BD7844" w:rsidRDefault="00D151AF" w:rsidP="00D151AF">
      <w:pPr>
        <w:rPr>
          <w:rFonts w:eastAsiaTheme="minorEastAsia" w:cs="Times New Roman"/>
          <w:szCs w:val="24"/>
        </w:rPr>
      </w:pPr>
      <w:r w:rsidRPr="00BD7844">
        <w:rPr>
          <w:rFonts w:eastAsiaTheme="minorEastAsia" w:cs="Times New Roman"/>
          <w:szCs w:val="24"/>
        </w:rPr>
        <w:lastRenderedPageBreak/>
        <w:t>The broad goal</w:t>
      </w:r>
      <w:r w:rsidR="005967BC">
        <w:rPr>
          <w:rFonts w:eastAsiaTheme="minorEastAsia" w:cs="Times New Roman"/>
          <w:szCs w:val="24"/>
        </w:rPr>
        <w:t xml:space="preserve">, for all these outreach and enrollment grants, </w:t>
      </w:r>
      <w:r w:rsidRPr="00BD7844">
        <w:rPr>
          <w:rFonts w:eastAsiaTheme="minorEastAsia" w:cs="Times New Roman"/>
          <w:szCs w:val="24"/>
        </w:rPr>
        <w:t xml:space="preserve">is to reduce the number of children who are eligible for Medicaid and the Children’s Health Insurance Program (CHIP) but are not enrolled, and to keep them covered for as long as they qualify. Given that the timing of the </w:t>
      </w:r>
      <w:r w:rsidR="005967BC">
        <w:rPr>
          <w:rFonts w:eastAsiaTheme="minorEastAsia" w:cs="Times New Roman"/>
          <w:szCs w:val="24"/>
        </w:rPr>
        <w:t xml:space="preserve">Cycle III </w:t>
      </w:r>
      <w:r w:rsidRPr="00BD7844">
        <w:rPr>
          <w:rFonts w:eastAsiaTheme="minorEastAsia" w:cs="Times New Roman"/>
          <w:szCs w:val="24"/>
        </w:rPr>
        <w:t>grant awards leads up to and overlaps the implementation of the Affordable Care Act, the projects funded also must help prepare organizations and communities for the significant changes that will occur with respect to the enrollment and renewal process.</w:t>
      </w:r>
    </w:p>
    <w:p w:rsidR="00D151AF" w:rsidRPr="00BD7844" w:rsidRDefault="00D151AF" w:rsidP="00D151AF">
      <w:pPr>
        <w:rPr>
          <w:rFonts w:eastAsiaTheme="minorEastAsia" w:cs="Times New Roman"/>
          <w:szCs w:val="24"/>
        </w:rPr>
      </w:pPr>
      <w:r w:rsidRPr="00BD7844">
        <w:rPr>
          <w:rFonts w:eastAsiaTheme="minorEastAsia" w:cs="Times New Roman"/>
          <w:szCs w:val="24"/>
        </w:rPr>
        <w:t>Applicants for Cycle III grants were required to design their proposals to address issues in one of five primary focus areas.  The focus areas and the number of applications being recommended in each is below:</w:t>
      </w:r>
    </w:p>
    <w:p w:rsidR="00D151AF" w:rsidRPr="00BD7844" w:rsidRDefault="00D151AF" w:rsidP="00D151AF">
      <w:pPr>
        <w:widowControl w:val="0"/>
        <w:numPr>
          <w:ilvl w:val="0"/>
          <w:numId w:val="2"/>
        </w:numPr>
        <w:spacing w:after="0" w:line="240" w:lineRule="auto"/>
        <w:rPr>
          <w:rFonts w:eastAsia="Times New Roman" w:cs="Times New Roman"/>
          <w:snapToGrid w:val="0"/>
          <w:szCs w:val="24"/>
        </w:rPr>
      </w:pPr>
      <w:r w:rsidRPr="00BD7844">
        <w:rPr>
          <w:rFonts w:eastAsia="Times New Roman" w:cs="Times New Roman"/>
          <w:snapToGrid w:val="0"/>
          <w:szCs w:val="24"/>
        </w:rPr>
        <w:t>Engaging schools in outreach, enrollment and retention activities (9 awards);</w:t>
      </w:r>
    </w:p>
    <w:p w:rsidR="00D151AF" w:rsidRPr="00BD7844" w:rsidRDefault="00D151AF" w:rsidP="00D151AF">
      <w:pPr>
        <w:widowControl w:val="0"/>
        <w:numPr>
          <w:ilvl w:val="0"/>
          <w:numId w:val="2"/>
        </w:numPr>
        <w:spacing w:after="0" w:line="240" w:lineRule="auto"/>
        <w:rPr>
          <w:rFonts w:eastAsia="Times New Roman" w:cs="Times New Roman"/>
          <w:snapToGrid w:val="0"/>
          <w:szCs w:val="24"/>
        </w:rPr>
      </w:pPr>
      <w:r w:rsidRPr="00BD7844">
        <w:rPr>
          <w:rFonts w:eastAsia="Times New Roman" w:cs="Times New Roman"/>
          <w:snapToGrid w:val="0"/>
          <w:szCs w:val="24"/>
        </w:rPr>
        <w:t>Bridging health coverage disparities by reaching out to subgroups of children that exhibit lower-than-average hea</w:t>
      </w:r>
      <w:r>
        <w:rPr>
          <w:rFonts w:eastAsia="Times New Roman" w:cs="Times New Roman"/>
          <w:snapToGrid w:val="0"/>
          <w:szCs w:val="24"/>
        </w:rPr>
        <w:t>l</w:t>
      </w:r>
      <w:r w:rsidRPr="00BD7844">
        <w:rPr>
          <w:rFonts w:eastAsia="Times New Roman" w:cs="Times New Roman"/>
          <w:snapToGrid w:val="0"/>
          <w:szCs w:val="24"/>
        </w:rPr>
        <w:t>th coverage rates (8 awards);</w:t>
      </w:r>
    </w:p>
    <w:p w:rsidR="00D151AF" w:rsidRPr="00BD7844" w:rsidRDefault="00D151AF" w:rsidP="00D151AF">
      <w:pPr>
        <w:widowControl w:val="0"/>
        <w:numPr>
          <w:ilvl w:val="0"/>
          <w:numId w:val="2"/>
        </w:numPr>
        <w:spacing w:after="0" w:line="240" w:lineRule="auto"/>
        <w:rPr>
          <w:rFonts w:eastAsia="Times New Roman" w:cs="Times New Roman"/>
          <w:snapToGrid w:val="0"/>
          <w:szCs w:val="24"/>
        </w:rPr>
      </w:pPr>
      <w:r w:rsidRPr="00BD7844">
        <w:rPr>
          <w:rFonts w:eastAsia="Times New Roman" w:cs="Times New Roman"/>
          <w:snapToGrid w:val="0"/>
          <w:szCs w:val="24"/>
        </w:rPr>
        <w:t xml:space="preserve">Designing and executing targeted enrollment strategies to streamline health coverage enrollment for individuals participating in other public benefit programs such as SNAP, WIC or other programs (3 awards); </w:t>
      </w:r>
    </w:p>
    <w:p w:rsidR="00D151AF" w:rsidRPr="00BD7844" w:rsidRDefault="00D151AF" w:rsidP="00D151AF">
      <w:pPr>
        <w:widowControl w:val="0"/>
        <w:numPr>
          <w:ilvl w:val="0"/>
          <w:numId w:val="2"/>
        </w:numPr>
        <w:spacing w:after="0" w:line="240" w:lineRule="auto"/>
        <w:rPr>
          <w:rFonts w:eastAsia="Times New Roman" w:cs="Times New Roman"/>
          <w:snapToGrid w:val="0"/>
          <w:szCs w:val="24"/>
        </w:rPr>
      </w:pPr>
      <w:r w:rsidRPr="00BD7844">
        <w:rPr>
          <w:rFonts w:eastAsia="Times New Roman" w:cs="Times New Roman"/>
          <w:snapToGrid w:val="0"/>
          <w:szCs w:val="24"/>
        </w:rPr>
        <w:t>Establishing and developing application assistance resources to provide high quality, reliable Medicaid and CHIP enrollment and renewal services in local communities (13 awards); and</w:t>
      </w:r>
    </w:p>
    <w:p w:rsidR="00D151AF" w:rsidRPr="00BD7844" w:rsidRDefault="00D151AF" w:rsidP="00D151AF">
      <w:pPr>
        <w:widowControl w:val="0"/>
        <w:numPr>
          <w:ilvl w:val="0"/>
          <w:numId w:val="2"/>
        </w:numPr>
        <w:spacing w:after="0" w:line="240" w:lineRule="auto"/>
        <w:rPr>
          <w:rFonts w:eastAsia="Times New Roman" w:cs="Times New Roman"/>
          <w:snapToGrid w:val="0"/>
          <w:szCs w:val="24"/>
        </w:rPr>
      </w:pPr>
      <w:r w:rsidRPr="00BD7844">
        <w:rPr>
          <w:rFonts w:eastAsia="Times New Roman" w:cs="Times New Roman"/>
          <w:snapToGrid w:val="0"/>
          <w:szCs w:val="24"/>
        </w:rPr>
        <w:t xml:space="preserve">Conducting training programs to equip communities to help families understand the new application and enrollment system and to deliver effective assistance to families with children eligible for Medicaid or CHIP (8 awards). </w:t>
      </w:r>
    </w:p>
    <w:p w:rsidR="00D151AF" w:rsidRPr="00BD7844" w:rsidRDefault="00D151AF" w:rsidP="00D151AF">
      <w:pPr>
        <w:rPr>
          <w:rFonts w:eastAsiaTheme="minorEastAsia" w:cs="Times New Roman"/>
          <w:szCs w:val="24"/>
        </w:rPr>
      </w:pPr>
    </w:p>
    <w:p w:rsidR="00EB2BB0" w:rsidRPr="005967BC" w:rsidRDefault="00EB2BB0" w:rsidP="005967BC">
      <w:pPr>
        <w:rPr>
          <w:rFonts w:eastAsiaTheme="minorEastAsia" w:cs="Times New Roman"/>
          <w:b/>
          <w:szCs w:val="24"/>
          <w:u w:val="single"/>
        </w:rPr>
      </w:pPr>
      <w:r w:rsidRPr="005967BC">
        <w:rPr>
          <w:rFonts w:cs="Times New Roman"/>
          <w:b/>
          <w:szCs w:val="24"/>
          <w:u w:val="single"/>
        </w:rPr>
        <w:t>B. Description of Information Collection</w:t>
      </w:r>
    </w:p>
    <w:p w:rsidR="00EB2BB0" w:rsidRPr="00D86D3B" w:rsidRDefault="00EB2BB0" w:rsidP="00D86D3B">
      <w:pPr>
        <w:spacing w:after="0" w:line="240" w:lineRule="auto"/>
        <w:rPr>
          <w:rFonts w:cs="Times New Roman"/>
          <w:szCs w:val="24"/>
        </w:rPr>
      </w:pPr>
    </w:p>
    <w:p w:rsidR="00EB2BB0" w:rsidRPr="00D86D3B" w:rsidRDefault="00132759" w:rsidP="00D86D3B">
      <w:pPr>
        <w:spacing w:after="0" w:line="240" w:lineRule="auto"/>
        <w:rPr>
          <w:rFonts w:cs="Times New Roman"/>
          <w:szCs w:val="24"/>
        </w:rPr>
      </w:pPr>
      <w:r w:rsidRPr="00D86D3B">
        <w:rPr>
          <w:rFonts w:cs="Times New Roman"/>
          <w:szCs w:val="24"/>
        </w:rPr>
        <w:t>Section 2113(d</w:t>
      </w:r>
      <w:r w:rsidR="00EB2BB0" w:rsidRPr="00D86D3B">
        <w:rPr>
          <w:rFonts w:cs="Times New Roman"/>
          <w:szCs w:val="24"/>
        </w:rPr>
        <w:t xml:space="preserve">) </w:t>
      </w:r>
      <w:r w:rsidRPr="00D86D3B">
        <w:rPr>
          <w:rFonts w:cs="Times New Roman"/>
          <w:szCs w:val="24"/>
        </w:rPr>
        <w:t xml:space="preserve">of the Social Security Act requires that CMS publish enrollment data and annual reports to Congress on the grant-funded outreach and enrollment efforts. CMS has contracted with an external evaluator to assess, synthesize and report on the success and lessons of the CHPRA grants. In order to conduct the evaluation and meet Congressional requirements, CMS proposes to collect </w:t>
      </w:r>
      <w:r w:rsidR="00594A64" w:rsidRPr="00D86D3B">
        <w:rPr>
          <w:rFonts w:cs="Times New Roman"/>
          <w:szCs w:val="24"/>
        </w:rPr>
        <w:t xml:space="preserve">periodically </w:t>
      </w:r>
      <w:r w:rsidRPr="00D86D3B">
        <w:rPr>
          <w:rFonts w:cs="Times New Roman"/>
          <w:szCs w:val="24"/>
        </w:rPr>
        <w:t xml:space="preserve">specific </w:t>
      </w:r>
      <w:r w:rsidR="00594A64" w:rsidRPr="00D86D3B">
        <w:rPr>
          <w:rFonts w:cs="Times New Roman"/>
          <w:szCs w:val="24"/>
        </w:rPr>
        <w:t xml:space="preserve">data and narrative information from each grantee. </w:t>
      </w:r>
    </w:p>
    <w:p w:rsidR="005967BC" w:rsidRDefault="009F02B3" w:rsidP="00D86D3B">
      <w:pPr>
        <w:spacing w:after="0" w:line="240" w:lineRule="auto"/>
        <w:rPr>
          <w:rFonts w:cs="Times New Roman"/>
          <w:szCs w:val="24"/>
        </w:rPr>
      </w:pPr>
      <w:r w:rsidRPr="00D86D3B">
        <w:rPr>
          <w:rFonts w:cs="Times New Roman"/>
          <w:szCs w:val="24"/>
        </w:rPr>
        <w:t>The CHIPRA Cycle II</w:t>
      </w:r>
      <w:r w:rsidR="005967BC">
        <w:rPr>
          <w:rFonts w:cs="Times New Roman"/>
          <w:szCs w:val="24"/>
        </w:rPr>
        <w:t>I</w:t>
      </w:r>
      <w:r w:rsidRPr="00D86D3B">
        <w:rPr>
          <w:rFonts w:cs="Times New Roman"/>
          <w:szCs w:val="24"/>
        </w:rPr>
        <w:t xml:space="preserve"> Semi-Annual Report template is attached. </w:t>
      </w:r>
    </w:p>
    <w:p w:rsidR="005967BC" w:rsidRDefault="005967BC" w:rsidP="00D86D3B">
      <w:pPr>
        <w:spacing w:after="0" w:line="240" w:lineRule="auto"/>
        <w:rPr>
          <w:rFonts w:cs="Times New Roman"/>
          <w:szCs w:val="24"/>
        </w:rPr>
      </w:pPr>
    </w:p>
    <w:p w:rsidR="00EB2BB0" w:rsidRPr="00D86D3B" w:rsidRDefault="009F02B3" w:rsidP="00D86D3B">
      <w:pPr>
        <w:spacing w:after="0" w:line="240" w:lineRule="auto"/>
        <w:rPr>
          <w:rFonts w:cs="Times New Roman"/>
          <w:szCs w:val="24"/>
        </w:rPr>
      </w:pPr>
      <w:r w:rsidRPr="00D86D3B">
        <w:rPr>
          <w:rFonts w:cs="Times New Roman"/>
          <w:szCs w:val="24"/>
        </w:rPr>
        <w:t xml:space="preserve">The </w:t>
      </w:r>
      <w:r w:rsidR="005967BC">
        <w:rPr>
          <w:rFonts w:cs="Times New Roman"/>
          <w:szCs w:val="24"/>
        </w:rPr>
        <w:t>d</w:t>
      </w:r>
      <w:r w:rsidRPr="00D86D3B">
        <w:rPr>
          <w:rFonts w:cs="Times New Roman"/>
          <w:szCs w:val="24"/>
        </w:rPr>
        <w:t>ocument is designed to allow grantees t</w:t>
      </w:r>
      <w:r w:rsidR="00944906" w:rsidRPr="00D86D3B">
        <w:rPr>
          <w:rFonts w:cs="Times New Roman"/>
          <w:szCs w:val="24"/>
        </w:rPr>
        <w:t>o answer the questions in the Microsoft</w:t>
      </w:r>
      <w:r w:rsidRPr="00D86D3B">
        <w:rPr>
          <w:rFonts w:cs="Times New Roman"/>
          <w:szCs w:val="24"/>
        </w:rPr>
        <w:t xml:space="preserve"> Word document and return it to CMS for review. </w:t>
      </w:r>
      <w:r w:rsidR="00EB2BB0" w:rsidRPr="00D86D3B">
        <w:rPr>
          <w:rFonts w:cs="Times New Roman"/>
          <w:szCs w:val="24"/>
        </w:rPr>
        <w:t>The attached framework (collection format) is designe</w:t>
      </w:r>
      <w:r w:rsidR="00724779" w:rsidRPr="00D86D3B">
        <w:rPr>
          <w:rFonts w:cs="Times New Roman"/>
          <w:szCs w:val="24"/>
        </w:rPr>
        <w:t xml:space="preserve">d to: </w:t>
      </w:r>
    </w:p>
    <w:p w:rsidR="00EB2BB0" w:rsidRPr="00D86D3B" w:rsidRDefault="00EB2BB0" w:rsidP="00D86D3B">
      <w:pPr>
        <w:numPr>
          <w:ilvl w:val="0"/>
          <w:numId w:val="1"/>
        </w:numPr>
        <w:spacing w:after="0" w:line="240" w:lineRule="auto"/>
        <w:rPr>
          <w:rFonts w:cs="Times New Roman"/>
          <w:szCs w:val="24"/>
        </w:rPr>
      </w:pPr>
      <w:r w:rsidRPr="00D86D3B">
        <w:rPr>
          <w:rFonts w:cs="Times New Roman"/>
          <w:szCs w:val="24"/>
        </w:rPr>
        <w:t xml:space="preserve">Recognize the diversity of </w:t>
      </w:r>
      <w:r w:rsidR="00724779" w:rsidRPr="00D86D3B">
        <w:rPr>
          <w:rFonts w:cs="Times New Roman"/>
          <w:szCs w:val="24"/>
        </w:rPr>
        <w:t>grant project designs and</w:t>
      </w:r>
      <w:r w:rsidRPr="00D86D3B">
        <w:rPr>
          <w:rFonts w:cs="Times New Roman"/>
          <w:szCs w:val="24"/>
        </w:rPr>
        <w:t xml:space="preserve"> approaches to </w:t>
      </w:r>
      <w:r w:rsidR="00724779" w:rsidRPr="00D86D3B">
        <w:rPr>
          <w:rFonts w:cs="Times New Roman"/>
          <w:szCs w:val="24"/>
        </w:rPr>
        <w:t xml:space="preserve">outreach and enrollment, and </w:t>
      </w:r>
      <w:r w:rsidRPr="00D86D3B">
        <w:rPr>
          <w:rFonts w:cs="Times New Roman"/>
          <w:szCs w:val="24"/>
        </w:rPr>
        <w:t xml:space="preserve">allow </w:t>
      </w:r>
      <w:r w:rsidR="00724779" w:rsidRPr="00D86D3B">
        <w:rPr>
          <w:rFonts w:cs="Times New Roman"/>
          <w:szCs w:val="24"/>
        </w:rPr>
        <w:t>grantees</w:t>
      </w:r>
      <w:r w:rsidRPr="00D86D3B">
        <w:rPr>
          <w:rFonts w:cs="Times New Roman"/>
          <w:szCs w:val="24"/>
        </w:rPr>
        <w:t xml:space="preserve"> flexibility to highlight k</w:t>
      </w:r>
      <w:r w:rsidR="00724779" w:rsidRPr="00D86D3B">
        <w:rPr>
          <w:rFonts w:cs="Times New Roman"/>
          <w:szCs w:val="24"/>
        </w:rPr>
        <w:t xml:space="preserve">ey accomplishments, challenges, and lessons learned of their projects; </w:t>
      </w:r>
    </w:p>
    <w:p w:rsidR="00724779" w:rsidRPr="00D86D3B" w:rsidRDefault="00724779" w:rsidP="00D86D3B">
      <w:pPr>
        <w:numPr>
          <w:ilvl w:val="0"/>
          <w:numId w:val="1"/>
        </w:numPr>
        <w:spacing w:after="0" w:line="240" w:lineRule="auto"/>
        <w:rPr>
          <w:rFonts w:cs="Times New Roman"/>
          <w:szCs w:val="24"/>
        </w:rPr>
      </w:pPr>
      <w:r w:rsidRPr="00D86D3B">
        <w:rPr>
          <w:rFonts w:cs="Times New Roman"/>
          <w:szCs w:val="24"/>
        </w:rPr>
        <w:t xml:space="preserve">Allow grantees to report on the strategies for outreach and enrollment that were most effective and least effective in enrolling children in Medicaid and CHIP; </w:t>
      </w:r>
    </w:p>
    <w:p w:rsidR="00EB2BB0" w:rsidRPr="00D86D3B" w:rsidRDefault="00EB2BB0" w:rsidP="00D86D3B">
      <w:pPr>
        <w:numPr>
          <w:ilvl w:val="0"/>
          <w:numId w:val="1"/>
        </w:numPr>
        <w:spacing w:after="0" w:line="240" w:lineRule="auto"/>
        <w:rPr>
          <w:rFonts w:cs="Times New Roman"/>
          <w:szCs w:val="24"/>
        </w:rPr>
      </w:pPr>
      <w:r w:rsidRPr="00D86D3B">
        <w:rPr>
          <w:rFonts w:cs="Times New Roman"/>
          <w:szCs w:val="24"/>
        </w:rPr>
        <w:t xml:space="preserve">Provide consistency across </w:t>
      </w:r>
      <w:r w:rsidR="00724779" w:rsidRPr="00D86D3B">
        <w:rPr>
          <w:rFonts w:cs="Times New Roman"/>
          <w:szCs w:val="24"/>
        </w:rPr>
        <w:t>the grant program</w:t>
      </w:r>
      <w:r w:rsidRPr="00D86D3B">
        <w:rPr>
          <w:rFonts w:cs="Times New Roman"/>
          <w:szCs w:val="24"/>
        </w:rPr>
        <w:t xml:space="preserve"> in the structure, con</w:t>
      </w:r>
      <w:r w:rsidR="00724779" w:rsidRPr="00D86D3B">
        <w:rPr>
          <w:rFonts w:cs="Times New Roman"/>
          <w:szCs w:val="24"/>
        </w:rPr>
        <w:t xml:space="preserve">tent, and format of the report; </w:t>
      </w:r>
    </w:p>
    <w:p w:rsidR="00EB2BB0" w:rsidRPr="00D86D3B" w:rsidRDefault="00724779" w:rsidP="00D86D3B">
      <w:pPr>
        <w:numPr>
          <w:ilvl w:val="0"/>
          <w:numId w:val="1"/>
        </w:numPr>
        <w:spacing w:after="0" w:line="240" w:lineRule="auto"/>
        <w:rPr>
          <w:rFonts w:cs="Times New Roman"/>
          <w:szCs w:val="24"/>
        </w:rPr>
      </w:pPr>
      <w:r w:rsidRPr="00D86D3B">
        <w:rPr>
          <w:rFonts w:cs="Times New Roman"/>
          <w:szCs w:val="24"/>
        </w:rPr>
        <w:lastRenderedPageBreak/>
        <w:t>Allow for accurate and effective evaluation of the outcomes and strategies of grantees as compared to their proposal and goals</w:t>
      </w:r>
    </w:p>
    <w:p w:rsidR="005967BC" w:rsidRDefault="005967BC" w:rsidP="00D86D3B">
      <w:pPr>
        <w:spacing w:after="0" w:line="240" w:lineRule="auto"/>
        <w:rPr>
          <w:rFonts w:cs="Times New Roman"/>
          <w:szCs w:val="24"/>
        </w:rPr>
      </w:pPr>
    </w:p>
    <w:p w:rsidR="00554566" w:rsidRPr="00D86D3B" w:rsidRDefault="00C8393D" w:rsidP="00D86D3B">
      <w:pPr>
        <w:spacing w:after="0" w:line="240" w:lineRule="auto"/>
        <w:rPr>
          <w:rFonts w:cs="Times New Roman"/>
          <w:szCs w:val="24"/>
        </w:rPr>
      </w:pPr>
      <w:r w:rsidRPr="00D86D3B">
        <w:rPr>
          <w:rFonts w:cs="Times New Roman"/>
          <w:szCs w:val="24"/>
        </w:rPr>
        <w:t xml:space="preserve">For each Semi-Annual Report, the appropriate reporting period and due dates will be populated in the template where indicated. </w:t>
      </w:r>
    </w:p>
    <w:p w:rsidR="00C8393D" w:rsidRDefault="00C8393D" w:rsidP="00D86D3B">
      <w:pPr>
        <w:spacing w:after="0" w:line="240" w:lineRule="auto"/>
        <w:rPr>
          <w:rFonts w:cs="Times New Roman"/>
          <w:szCs w:val="24"/>
        </w:rPr>
      </w:pPr>
      <w:r w:rsidRPr="00D86D3B">
        <w:rPr>
          <w:rFonts w:cs="Times New Roman"/>
          <w:szCs w:val="24"/>
        </w:rPr>
        <w:t xml:space="preserve">All </w:t>
      </w:r>
      <w:r w:rsidR="005967BC">
        <w:rPr>
          <w:rFonts w:cs="Times New Roman"/>
          <w:szCs w:val="24"/>
        </w:rPr>
        <w:t>41</w:t>
      </w:r>
      <w:r w:rsidRPr="00D86D3B">
        <w:rPr>
          <w:rFonts w:cs="Times New Roman"/>
          <w:szCs w:val="24"/>
        </w:rPr>
        <w:t xml:space="preserve"> grantees will report on the attached template, questions one through 1</w:t>
      </w:r>
      <w:r w:rsidR="005967BC">
        <w:rPr>
          <w:rFonts w:cs="Times New Roman"/>
          <w:szCs w:val="24"/>
        </w:rPr>
        <w:t>4</w:t>
      </w:r>
      <w:r w:rsidRPr="00D86D3B">
        <w:rPr>
          <w:rFonts w:cs="Times New Roman"/>
          <w:szCs w:val="24"/>
        </w:rPr>
        <w:t xml:space="preserve">. </w:t>
      </w:r>
      <w:r w:rsidR="005967BC">
        <w:rPr>
          <w:rFonts w:cs="Times New Roman"/>
          <w:szCs w:val="24"/>
        </w:rPr>
        <w:t xml:space="preserve">Those grantees that are </w:t>
      </w:r>
      <w:r w:rsidR="00CE601B">
        <w:rPr>
          <w:rFonts w:cs="Times New Roman"/>
          <w:szCs w:val="24"/>
        </w:rPr>
        <w:t xml:space="preserve">concentrating on Focus Area 5 (Training Programs) are </w:t>
      </w:r>
      <w:r w:rsidR="007F70C2" w:rsidRPr="00D86D3B">
        <w:rPr>
          <w:rFonts w:cs="Times New Roman"/>
          <w:szCs w:val="24"/>
        </w:rPr>
        <w:t>required to complete questions 1</w:t>
      </w:r>
      <w:r w:rsidR="00CE601B">
        <w:rPr>
          <w:rFonts w:cs="Times New Roman"/>
          <w:szCs w:val="24"/>
        </w:rPr>
        <w:t>5</w:t>
      </w:r>
      <w:r w:rsidR="007F70C2" w:rsidRPr="00D86D3B">
        <w:rPr>
          <w:rFonts w:cs="Times New Roman"/>
          <w:szCs w:val="24"/>
        </w:rPr>
        <w:t xml:space="preserve"> through 2</w:t>
      </w:r>
      <w:r w:rsidR="00CE601B">
        <w:rPr>
          <w:rFonts w:cs="Times New Roman"/>
          <w:szCs w:val="24"/>
        </w:rPr>
        <w:t>1</w:t>
      </w:r>
      <w:r w:rsidR="007F70C2" w:rsidRPr="00D86D3B">
        <w:rPr>
          <w:rFonts w:cs="Times New Roman"/>
          <w:szCs w:val="24"/>
        </w:rPr>
        <w:t xml:space="preserve"> of the template. </w:t>
      </w:r>
    </w:p>
    <w:p w:rsidR="00D86D3B" w:rsidRPr="00D86D3B" w:rsidRDefault="00D86D3B" w:rsidP="00D86D3B">
      <w:pPr>
        <w:spacing w:after="0" w:line="240" w:lineRule="auto"/>
        <w:rPr>
          <w:rFonts w:cs="Times New Roman"/>
          <w:szCs w:val="24"/>
        </w:rPr>
      </w:pPr>
    </w:p>
    <w:p w:rsidR="00EB2BB0" w:rsidRDefault="00EB2BB0" w:rsidP="00D86D3B">
      <w:pPr>
        <w:spacing w:after="0" w:line="240" w:lineRule="auto"/>
        <w:rPr>
          <w:rFonts w:cs="Times New Roman"/>
          <w:szCs w:val="24"/>
        </w:rPr>
      </w:pPr>
      <w:r w:rsidRPr="00D86D3B">
        <w:rPr>
          <w:rFonts w:cs="Times New Roman"/>
          <w:szCs w:val="24"/>
        </w:rPr>
        <w:t>We are requesting approval of this information collection for reporting in Federal fiscal years 201</w:t>
      </w:r>
      <w:r w:rsidR="005967BC">
        <w:rPr>
          <w:rFonts w:cs="Times New Roman"/>
          <w:szCs w:val="24"/>
        </w:rPr>
        <w:t>4</w:t>
      </w:r>
      <w:r w:rsidRPr="00D86D3B">
        <w:rPr>
          <w:rFonts w:cs="Times New Roman"/>
          <w:szCs w:val="24"/>
        </w:rPr>
        <w:t xml:space="preserve"> through 201</w:t>
      </w:r>
      <w:r w:rsidR="005967BC">
        <w:rPr>
          <w:rFonts w:cs="Times New Roman"/>
          <w:szCs w:val="24"/>
        </w:rPr>
        <w:t>7</w:t>
      </w:r>
      <w:r w:rsidRPr="00D86D3B">
        <w:rPr>
          <w:rFonts w:cs="Times New Roman"/>
          <w:szCs w:val="24"/>
        </w:rPr>
        <w:t xml:space="preserve">. We require grantees to complete a Final Report for this grant program. The template for the Final Report will be submitted </w:t>
      </w:r>
      <w:r w:rsidR="00C8393D" w:rsidRPr="00D86D3B">
        <w:rPr>
          <w:rFonts w:cs="Times New Roman"/>
          <w:szCs w:val="24"/>
        </w:rPr>
        <w:t xml:space="preserve">separately </w:t>
      </w:r>
      <w:r w:rsidRPr="00D86D3B">
        <w:rPr>
          <w:rFonts w:cs="Times New Roman"/>
          <w:szCs w:val="24"/>
        </w:rPr>
        <w:t xml:space="preserve">for PRA approval. </w:t>
      </w:r>
    </w:p>
    <w:p w:rsidR="00D86D3B" w:rsidRPr="00D86D3B" w:rsidRDefault="00D86D3B" w:rsidP="00D86D3B">
      <w:pPr>
        <w:spacing w:after="0" w:line="240" w:lineRule="auto"/>
        <w:rPr>
          <w:rFonts w:cs="Times New Roman"/>
          <w:szCs w:val="24"/>
        </w:rPr>
      </w:pPr>
    </w:p>
    <w:p w:rsidR="00EB2BB0" w:rsidRPr="00D86D3B" w:rsidRDefault="00EB2BB0" w:rsidP="00A449BD">
      <w:pPr>
        <w:pStyle w:val="Heading1"/>
      </w:pPr>
      <w:r w:rsidRPr="00D86D3B">
        <w:t>C. Deviations from Generic Request</w:t>
      </w:r>
    </w:p>
    <w:p w:rsidR="00D86D3B" w:rsidRDefault="00D86D3B" w:rsidP="00D86D3B">
      <w:pPr>
        <w:spacing w:after="0" w:line="240" w:lineRule="auto"/>
        <w:rPr>
          <w:rFonts w:cs="Times New Roman"/>
          <w:szCs w:val="24"/>
        </w:rPr>
      </w:pPr>
    </w:p>
    <w:p w:rsidR="00EB2BB0" w:rsidRDefault="00D86D3B" w:rsidP="00D86D3B">
      <w:pPr>
        <w:spacing w:after="0" w:line="240" w:lineRule="auto"/>
        <w:rPr>
          <w:rFonts w:cs="Times New Roman"/>
          <w:szCs w:val="24"/>
        </w:rPr>
      </w:pPr>
      <w:r>
        <w:rPr>
          <w:rFonts w:cs="Times New Roman"/>
          <w:szCs w:val="24"/>
        </w:rPr>
        <w:t>No deviations are requested.</w:t>
      </w:r>
    </w:p>
    <w:p w:rsidR="00D86D3B" w:rsidRPr="00D86D3B" w:rsidRDefault="00D86D3B" w:rsidP="00D86D3B">
      <w:pPr>
        <w:spacing w:after="0" w:line="240" w:lineRule="auto"/>
        <w:rPr>
          <w:rFonts w:cs="Times New Roman"/>
          <w:szCs w:val="24"/>
        </w:rPr>
      </w:pPr>
    </w:p>
    <w:p w:rsidR="00EB2BB0" w:rsidRPr="00D86D3B" w:rsidRDefault="00EB2BB0" w:rsidP="00A449BD">
      <w:pPr>
        <w:pStyle w:val="Heading1"/>
      </w:pPr>
      <w:r w:rsidRPr="00D86D3B">
        <w:t>D. Burden Hour Deduction</w:t>
      </w:r>
    </w:p>
    <w:p w:rsidR="00D86D3B" w:rsidRPr="00D86D3B" w:rsidRDefault="00D86D3B" w:rsidP="00D86D3B">
      <w:pPr>
        <w:spacing w:after="0" w:line="240" w:lineRule="auto"/>
        <w:rPr>
          <w:rFonts w:cs="Times New Roman"/>
          <w:szCs w:val="24"/>
        </w:rPr>
      </w:pPr>
    </w:p>
    <w:p w:rsidR="00FE2919" w:rsidRDefault="00FE2919" w:rsidP="00D86D3B">
      <w:pPr>
        <w:spacing w:after="0" w:line="240" w:lineRule="auto"/>
        <w:rPr>
          <w:rFonts w:cs="Times New Roman"/>
          <w:szCs w:val="24"/>
        </w:rPr>
      </w:pPr>
      <w:r>
        <w:rPr>
          <w:rFonts w:cs="Times New Roman"/>
          <w:szCs w:val="24"/>
        </w:rPr>
        <w:t xml:space="preserve">This package revises the CHIPRA Grant Cycle II Semi-Annual Report Template that was approved </w:t>
      </w:r>
      <w:r w:rsidR="000D7695">
        <w:rPr>
          <w:rFonts w:cs="Times New Roman"/>
          <w:szCs w:val="24"/>
        </w:rPr>
        <w:t xml:space="preserve">by OMB </w:t>
      </w:r>
      <w:r>
        <w:rPr>
          <w:rFonts w:cs="Times New Roman"/>
          <w:szCs w:val="24"/>
        </w:rPr>
        <w:t xml:space="preserve">on May 1, 2012. </w:t>
      </w:r>
      <w:r w:rsidR="000D7695">
        <w:rPr>
          <w:rFonts w:cs="Times New Roman"/>
          <w:szCs w:val="24"/>
        </w:rPr>
        <w:t>Specifically, t</w:t>
      </w:r>
      <w:r>
        <w:rPr>
          <w:rFonts w:cs="Times New Roman"/>
          <w:szCs w:val="24"/>
        </w:rPr>
        <w:t>his package revises the Template (Crosswalk attached) and increases the number of respondents from 39 to 41. The hours per response remains the same.</w:t>
      </w:r>
    </w:p>
    <w:p w:rsidR="00FE2919" w:rsidRDefault="00FE2919" w:rsidP="00D86D3B">
      <w:pPr>
        <w:spacing w:after="0" w:line="240" w:lineRule="auto"/>
        <w:rPr>
          <w:rFonts w:cs="Times New Roman"/>
          <w:szCs w:val="24"/>
        </w:rPr>
      </w:pPr>
    </w:p>
    <w:p w:rsidR="00486761" w:rsidRPr="00D86D3B" w:rsidRDefault="00486761" w:rsidP="00D86D3B">
      <w:pPr>
        <w:spacing w:after="0" w:line="240" w:lineRule="auto"/>
        <w:rPr>
          <w:rFonts w:cs="Times New Roman"/>
          <w:szCs w:val="24"/>
        </w:rPr>
      </w:pPr>
      <w:r w:rsidRPr="004C6563">
        <w:rPr>
          <w:rFonts w:cs="Times New Roman"/>
          <w:szCs w:val="24"/>
        </w:rPr>
        <w:t xml:space="preserve">The total approved burden ceiling of the generic ICR is 86,240 hours, and CMS previously requested to use </w:t>
      </w:r>
      <w:r w:rsidR="00990E7D" w:rsidRPr="004C6563">
        <w:rPr>
          <w:rFonts w:cs="Times New Roman"/>
          <w:szCs w:val="24"/>
        </w:rPr>
        <w:t>45,993</w:t>
      </w:r>
      <w:r w:rsidRPr="004C6563">
        <w:rPr>
          <w:rFonts w:cs="Times New Roman"/>
          <w:szCs w:val="24"/>
        </w:rPr>
        <w:t xml:space="preserve"> hours, leaving our burden ceiling at </w:t>
      </w:r>
      <w:r w:rsidR="00990E7D" w:rsidRPr="004C6563">
        <w:rPr>
          <w:rFonts w:cs="Times New Roman"/>
          <w:szCs w:val="24"/>
        </w:rPr>
        <w:t>40,247</w:t>
      </w:r>
      <w:r w:rsidRPr="004C6563">
        <w:rPr>
          <w:rFonts w:cs="Times New Roman"/>
          <w:szCs w:val="24"/>
        </w:rPr>
        <w:t xml:space="preserve"> hours. CMS estimates that each </w:t>
      </w:r>
      <w:r w:rsidR="00120DC6" w:rsidRPr="004C6563">
        <w:rPr>
          <w:rFonts w:cs="Times New Roman"/>
          <w:szCs w:val="24"/>
        </w:rPr>
        <w:t>grantee</w:t>
      </w:r>
      <w:r w:rsidRPr="004C6563">
        <w:rPr>
          <w:rFonts w:cs="Times New Roman"/>
          <w:szCs w:val="24"/>
        </w:rPr>
        <w:t xml:space="preserve"> will complete the collection of data and submission to CMS </w:t>
      </w:r>
      <w:r w:rsidR="00120DC6" w:rsidRPr="004C6563">
        <w:rPr>
          <w:rFonts w:cs="Times New Roman"/>
          <w:szCs w:val="24"/>
        </w:rPr>
        <w:t xml:space="preserve">twice a year </w:t>
      </w:r>
      <w:r w:rsidRPr="004C6563">
        <w:rPr>
          <w:rFonts w:cs="Times New Roman"/>
          <w:szCs w:val="24"/>
        </w:rPr>
        <w:t>within 20</w:t>
      </w:r>
      <w:r w:rsidRPr="00D86D3B">
        <w:rPr>
          <w:rFonts w:cs="Times New Roman"/>
          <w:szCs w:val="24"/>
        </w:rPr>
        <w:t xml:space="preserve"> hours</w:t>
      </w:r>
      <w:r w:rsidR="00120DC6">
        <w:rPr>
          <w:rFonts w:cs="Times New Roman"/>
          <w:szCs w:val="24"/>
        </w:rPr>
        <w:t xml:space="preserve"> per submission</w:t>
      </w:r>
      <w:r w:rsidRPr="00D86D3B">
        <w:rPr>
          <w:rFonts w:cs="Times New Roman"/>
          <w:szCs w:val="24"/>
        </w:rPr>
        <w:t xml:space="preserve">. There is a potential universe of </w:t>
      </w:r>
      <w:r w:rsidR="00FE2919">
        <w:rPr>
          <w:rFonts w:cs="Times New Roman"/>
          <w:szCs w:val="24"/>
        </w:rPr>
        <w:t xml:space="preserve">2 additional </w:t>
      </w:r>
      <w:r w:rsidRPr="00D86D3B">
        <w:rPr>
          <w:rFonts w:cs="Times New Roman"/>
          <w:szCs w:val="24"/>
        </w:rPr>
        <w:t xml:space="preserve">respondents, so the total burden deducted from the total for this request is </w:t>
      </w:r>
      <w:r w:rsidR="00FE2919">
        <w:rPr>
          <w:rFonts w:cs="Times New Roman"/>
          <w:szCs w:val="24"/>
        </w:rPr>
        <w:t>80</w:t>
      </w:r>
      <w:r w:rsidRPr="00D86D3B">
        <w:rPr>
          <w:rFonts w:cs="Times New Roman"/>
          <w:szCs w:val="24"/>
        </w:rPr>
        <w:t xml:space="preserve"> hours. </w:t>
      </w:r>
    </w:p>
    <w:p w:rsidR="00EB2BB0" w:rsidRPr="00D86D3B" w:rsidRDefault="00EB2BB0" w:rsidP="00D86D3B">
      <w:pPr>
        <w:spacing w:after="0" w:line="240" w:lineRule="auto"/>
        <w:rPr>
          <w:rFonts w:cs="Times New Roman"/>
          <w:szCs w:val="24"/>
        </w:rPr>
      </w:pPr>
    </w:p>
    <w:p w:rsidR="00EB2BB0" w:rsidRPr="00D86D3B" w:rsidRDefault="00EB2BB0" w:rsidP="00A449BD">
      <w:pPr>
        <w:pStyle w:val="Heading1"/>
      </w:pPr>
      <w:r w:rsidRPr="00D86D3B">
        <w:t>E. Timeline</w:t>
      </w:r>
    </w:p>
    <w:p w:rsidR="00EB2BB0" w:rsidRPr="00D86D3B" w:rsidRDefault="00EB2BB0" w:rsidP="00D86D3B">
      <w:pPr>
        <w:spacing w:after="0" w:line="240" w:lineRule="auto"/>
        <w:rPr>
          <w:rFonts w:cs="Times New Roman"/>
          <w:szCs w:val="24"/>
        </w:rPr>
      </w:pPr>
    </w:p>
    <w:p w:rsidR="00594A64" w:rsidRPr="00D86D3B" w:rsidRDefault="00594A64" w:rsidP="00D86D3B">
      <w:pPr>
        <w:spacing w:after="0" w:line="240" w:lineRule="auto"/>
        <w:rPr>
          <w:rFonts w:cs="Times New Roman"/>
          <w:szCs w:val="24"/>
        </w:rPr>
      </w:pPr>
      <w:r w:rsidRPr="00D86D3B">
        <w:rPr>
          <w:rFonts w:cs="Times New Roman"/>
          <w:szCs w:val="24"/>
        </w:rPr>
        <w:t>The CHIPRA Cycle II</w:t>
      </w:r>
      <w:r w:rsidR="00CE601B">
        <w:rPr>
          <w:rFonts w:cs="Times New Roman"/>
          <w:szCs w:val="24"/>
        </w:rPr>
        <w:t>I</w:t>
      </w:r>
      <w:r w:rsidRPr="00D86D3B">
        <w:rPr>
          <w:rFonts w:cs="Times New Roman"/>
          <w:szCs w:val="24"/>
        </w:rPr>
        <w:t xml:space="preserve"> Semi-Annual Report template is designed to collect reports</w:t>
      </w:r>
      <w:r w:rsidR="00C8393D" w:rsidRPr="00D86D3B">
        <w:rPr>
          <w:rFonts w:cs="Times New Roman"/>
          <w:szCs w:val="24"/>
        </w:rPr>
        <w:t xml:space="preserve"> twice annually for two years. I</w:t>
      </w:r>
      <w:r w:rsidRPr="00D86D3B">
        <w:rPr>
          <w:rFonts w:cs="Times New Roman"/>
          <w:szCs w:val="24"/>
        </w:rPr>
        <w:t>n addition, some grantees may request and receive no-cost extensions of their grants for up to one additional year</w:t>
      </w:r>
      <w:r w:rsidR="00C8393D" w:rsidRPr="00D86D3B">
        <w:rPr>
          <w:rFonts w:cs="Times New Roman"/>
          <w:szCs w:val="24"/>
        </w:rPr>
        <w:t>, and those grants will continue to use this template</w:t>
      </w:r>
      <w:r w:rsidRPr="00D86D3B">
        <w:rPr>
          <w:rFonts w:cs="Times New Roman"/>
          <w:szCs w:val="24"/>
        </w:rPr>
        <w:t xml:space="preserve">. </w:t>
      </w:r>
    </w:p>
    <w:p w:rsidR="00594A64" w:rsidRDefault="00923767" w:rsidP="00D86D3B">
      <w:pPr>
        <w:spacing w:after="0" w:line="240" w:lineRule="auto"/>
        <w:rPr>
          <w:rFonts w:cs="Times New Roman"/>
          <w:szCs w:val="24"/>
        </w:rPr>
      </w:pPr>
      <w:r w:rsidRPr="00D86D3B">
        <w:rPr>
          <w:rFonts w:cs="Times New Roman"/>
          <w:szCs w:val="24"/>
        </w:rPr>
        <w:t>Because grant reporting customarily falls on the end of a fiscal quarter and the grant award did not coincide with a fiscal quarter, the semi-annual reporting periods were adjusted to coincide with the fiscal quarter. The following is the planned reporting periods and report due dates for the two-year budget period of the Cycle II</w:t>
      </w:r>
      <w:r w:rsidR="00CE601B">
        <w:rPr>
          <w:rFonts w:cs="Times New Roman"/>
          <w:szCs w:val="24"/>
        </w:rPr>
        <w:t>I</w:t>
      </w:r>
      <w:r w:rsidRPr="00D86D3B">
        <w:rPr>
          <w:rFonts w:cs="Times New Roman"/>
          <w:szCs w:val="24"/>
        </w:rPr>
        <w:t xml:space="preserve"> grants.</w:t>
      </w:r>
    </w:p>
    <w:p w:rsidR="00D86D3B" w:rsidRPr="00D86D3B" w:rsidRDefault="00D86D3B" w:rsidP="00D86D3B">
      <w:pPr>
        <w:spacing w:after="0" w:line="240" w:lineRule="auto"/>
        <w:rPr>
          <w:rFonts w:cs="Times New Roman"/>
          <w:szCs w:val="24"/>
        </w:rPr>
      </w:pPr>
    </w:p>
    <w:tbl>
      <w:tblPr>
        <w:tblStyle w:val="TableGrid"/>
        <w:tblW w:w="0" w:type="auto"/>
        <w:tblInd w:w="772" w:type="dxa"/>
        <w:tblLook w:val="04A0" w:firstRow="1" w:lastRow="0" w:firstColumn="1" w:lastColumn="0" w:noHBand="0" w:noVBand="1"/>
      </w:tblPr>
      <w:tblGrid>
        <w:gridCol w:w="3603"/>
        <w:gridCol w:w="1980"/>
        <w:gridCol w:w="2123"/>
      </w:tblGrid>
      <w:tr w:rsidR="00923767" w:rsidRPr="00D86D3B" w:rsidTr="00944906">
        <w:trPr>
          <w:trHeight w:val="346"/>
        </w:trPr>
        <w:tc>
          <w:tcPr>
            <w:tcW w:w="3603" w:type="dxa"/>
            <w:tcBorders>
              <w:bottom w:val="single" w:sz="12" w:space="0" w:color="auto"/>
            </w:tcBorders>
            <w:vAlign w:val="bottom"/>
          </w:tcPr>
          <w:p w:rsidR="00923767" w:rsidRPr="00D86D3B" w:rsidRDefault="00923767" w:rsidP="00D86D3B">
            <w:pPr>
              <w:rPr>
                <w:rFonts w:cs="Times New Roman"/>
                <w:szCs w:val="24"/>
              </w:rPr>
            </w:pPr>
            <w:r w:rsidRPr="00D86D3B">
              <w:rPr>
                <w:rFonts w:cs="Times New Roman"/>
                <w:szCs w:val="24"/>
              </w:rPr>
              <w:t>Reporting Period</w:t>
            </w:r>
          </w:p>
        </w:tc>
        <w:tc>
          <w:tcPr>
            <w:tcW w:w="1980" w:type="dxa"/>
            <w:tcBorders>
              <w:bottom w:val="single" w:sz="12" w:space="0" w:color="auto"/>
            </w:tcBorders>
            <w:vAlign w:val="bottom"/>
          </w:tcPr>
          <w:p w:rsidR="00923767" w:rsidRPr="00D86D3B" w:rsidRDefault="00292C0A" w:rsidP="00D86D3B">
            <w:pPr>
              <w:rPr>
                <w:rFonts w:cs="Times New Roman"/>
                <w:szCs w:val="24"/>
              </w:rPr>
            </w:pPr>
            <w:r w:rsidRPr="00D86D3B">
              <w:rPr>
                <w:rFonts w:cs="Times New Roman"/>
                <w:szCs w:val="24"/>
              </w:rPr>
              <w:t>Open Date</w:t>
            </w:r>
          </w:p>
        </w:tc>
        <w:tc>
          <w:tcPr>
            <w:tcW w:w="2123" w:type="dxa"/>
            <w:tcBorders>
              <w:bottom w:val="single" w:sz="12" w:space="0" w:color="auto"/>
            </w:tcBorders>
            <w:vAlign w:val="bottom"/>
          </w:tcPr>
          <w:p w:rsidR="00923767" w:rsidRPr="00D86D3B" w:rsidRDefault="00923767" w:rsidP="00D86D3B">
            <w:pPr>
              <w:rPr>
                <w:rFonts w:cs="Times New Roman"/>
                <w:szCs w:val="24"/>
              </w:rPr>
            </w:pPr>
            <w:r w:rsidRPr="00D86D3B">
              <w:rPr>
                <w:rFonts w:cs="Times New Roman"/>
                <w:szCs w:val="24"/>
              </w:rPr>
              <w:t>Due Date</w:t>
            </w:r>
          </w:p>
        </w:tc>
      </w:tr>
      <w:tr w:rsidR="00923767" w:rsidRPr="00D86D3B" w:rsidTr="00944906">
        <w:trPr>
          <w:trHeight w:val="346"/>
        </w:trPr>
        <w:tc>
          <w:tcPr>
            <w:tcW w:w="3603" w:type="dxa"/>
            <w:tcBorders>
              <w:top w:val="single" w:sz="12" w:space="0" w:color="auto"/>
            </w:tcBorders>
            <w:vAlign w:val="bottom"/>
          </w:tcPr>
          <w:p w:rsidR="00923767" w:rsidRPr="00D86D3B" w:rsidRDefault="00FD3216" w:rsidP="00FD3216">
            <w:pPr>
              <w:rPr>
                <w:rFonts w:cs="Times New Roman"/>
                <w:szCs w:val="24"/>
              </w:rPr>
            </w:pPr>
            <w:r>
              <w:rPr>
                <w:rFonts w:cs="Times New Roman"/>
                <w:szCs w:val="24"/>
              </w:rPr>
              <w:t>July 15, 2013 to December 31, 2013</w:t>
            </w:r>
          </w:p>
        </w:tc>
        <w:tc>
          <w:tcPr>
            <w:tcW w:w="1980" w:type="dxa"/>
            <w:tcBorders>
              <w:top w:val="single" w:sz="12" w:space="0" w:color="auto"/>
            </w:tcBorders>
            <w:vAlign w:val="bottom"/>
          </w:tcPr>
          <w:p w:rsidR="00923767" w:rsidRPr="00D86D3B" w:rsidRDefault="005827C4" w:rsidP="00D86D3B">
            <w:pPr>
              <w:rPr>
                <w:rFonts w:cs="Times New Roman"/>
                <w:szCs w:val="24"/>
              </w:rPr>
            </w:pPr>
            <w:r>
              <w:rPr>
                <w:rFonts w:cs="Times New Roman"/>
                <w:szCs w:val="24"/>
              </w:rPr>
              <w:t>TBD based on PRA approval</w:t>
            </w:r>
          </w:p>
        </w:tc>
        <w:tc>
          <w:tcPr>
            <w:tcW w:w="2123" w:type="dxa"/>
            <w:tcBorders>
              <w:top w:val="single" w:sz="12" w:space="0" w:color="auto"/>
            </w:tcBorders>
            <w:vAlign w:val="bottom"/>
          </w:tcPr>
          <w:p w:rsidR="00923767" w:rsidRPr="00D86D3B" w:rsidRDefault="005827C4" w:rsidP="00D86D3B">
            <w:pPr>
              <w:rPr>
                <w:rFonts w:cs="Times New Roman"/>
                <w:szCs w:val="24"/>
              </w:rPr>
            </w:pPr>
            <w:r>
              <w:rPr>
                <w:rFonts w:cs="Times New Roman"/>
                <w:szCs w:val="24"/>
              </w:rPr>
              <w:t>TBD based on PRA approval</w:t>
            </w:r>
          </w:p>
        </w:tc>
      </w:tr>
      <w:tr w:rsidR="00923767" w:rsidRPr="00D86D3B" w:rsidTr="00944906">
        <w:trPr>
          <w:trHeight w:val="346"/>
        </w:trPr>
        <w:tc>
          <w:tcPr>
            <w:tcW w:w="3603" w:type="dxa"/>
            <w:vAlign w:val="bottom"/>
          </w:tcPr>
          <w:p w:rsidR="00923767" w:rsidRPr="00D86D3B" w:rsidRDefault="00FD3216" w:rsidP="00D86D3B">
            <w:pPr>
              <w:rPr>
                <w:rFonts w:cs="Times New Roman"/>
                <w:szCs w:val="24"/>
              </w:rPr>
            </w:pPr>
            <w:r>
              <w:rPr>
                <w:rFonts w:cs="Times New Roman"/>
                <w:szCs w:val="24"/>
              </w:rPr>
              <w:t>January 1, 2014 to June 30, 2014</w:t>
            </w:r>
          </w:p>
        </w:tc>
        <w:tc>
          <w:tcPr>
            <w:tcW w:w="1980" w:type="dxa"/>
            <w:vAlign w:val="bottom"/>
          </w:tcPr>
          <w:p w:rsidR="00923767" w:rsidRPr="00D86D3B" w:rsidRDefault="005827C4" w:rsidP="00D86D3B">
            <w:pPr>
              <w:rPr>
                <w:rFonts w:cs="Times New Roman"/>
                <w:szCs w:val="24"/>
              </w:rPr>
            </w:pPr>
            <w:r>
              <w:rPr>
                <w:rFonts w:cs="Times New Roman"/>
                <w:szCs w:val="24"/>
              </w:rPr>
              <w:t>July 1, 2014</w:t>
            </w:r>
          </w:p>
        </w:tc>
        <w:tc>
          <w:tcPr>
            <w:tcW w:w="2123" w:type="dxa"/>
            <w:vAlign w:val="bottom"/>
          </w:tcPr>
          <w:p w:rsidR="00923767" w:rsidRPr="00D86D3B" w:rsidRDefault="00FD3216" w:rsidP="00D86D3B">
            <w:pPr>
              <w:rPr>
                <w:rFonts w:cs="Times New Roman"/>
                <w:szCs w:val="24"/>
              </w:rPr>
            </w:pPr>
            <w:r>
              <w:rPr>
                <w:rFonts w:cs="Times New Roman"/>
                <w:szCs w:val="24"/>
              </w:rPr>
              <w:t>July 30, 2014</w:t>
            </w:r>
          </w:p>
        </w:tc>
      </w:tr>
      <w:tr w:rsidR="00923767" w:rsidRPr="00D86D3B" w:rsidTr="00944906">
        <w:trPr>
          <w:trHeight w:val="346"/>
        </w:trPr>
        <w:tc>
          <w:tcPr>
            <w:tcW w:w="3603" w:type="dxa"/>
            <w:vAlign w:val="bottom"/>
          </w:tcPr>
          <w:p w:rsidR="00923767" w:rsidRPr="00D86D3B" w:rsidRDefault="00FD3216" w:rsidP="00D86D3B">
            <w:pPr>
              <w:rPr>
                <w:rFonts w:cs="Times New Roman"/>
                <w:szCs w:val="24"/>
              </w:rPr>
            </w:pPr>
            <w:r>
              <w:rPr>
                <w:rFonts w:cs="Times New Roman"/>
                <w:szCs w:val="24"/>
              </w:rPr>
              <w:t>July 1, 2014 to December 31, 2014</w:t>
            </w:r>
          </w:p>
        </w:tc>
        <w:tc>
          <w:tcPr>
            <w:tcW w:w="1980" w:type="dxa"/>
            <w:vAlign w:val="bottom"/>
          </w:tcPr>
          <w:p w:rsidR="00923767" w:rsidRPr="00D86D3B" w:rsidRDefault="005827C4" w:rsidP="00D86D3B">
            <w:pPr>
              <w:rPr>
                <w:rFonts w:cs="Times New Roman"/>
                <w:szCs w:val="24"/>
              </w:rPr>
            </w:pPr>
            <w:r>
              <w:rPr>
                <w:rFonts w:cs="Times New Roman"/>
                <w:szCs w:val="24"/>
              </w:rPr>
              <w:t>January 1, 2015</w:t>
            </w:r>
          </w:p>
        </w:tc>
        <w:tc>
          <w:tcPr>
            <w:tcW w:w="2123" w:type="dxa"/>
            <w:vAlign w:val="bottom"/>
          </w:tcPr>
          <w:p w:rsidR="00923767" w:rsidRPr="00D86D3B" w:rsidRDefault="00FD3216" w:rsidP="00D86D3B">
            <w:pPr>
              <w:rPr>
                <w:rFonts w:cs="Times New Roman"/>
                <w:szCs w:val="24"/>
              </w:rPr>
            </w:pPr>
            <w:r>
              <w:rPr>
                <w:rFonts w:cs="Times New Roman"/>
                <w:szCs w:val="24"/>
              </w:rPr>
              <w:t>January 30, 2015</w:t>
            </w:r>
          </w:p>
        </w:tc>
      </w:tr>
      <w:tr w:rsidR="00923767" w:rsidRPr="00D86D3B" w:rsidTr="00944906">
        <w:trPr>
          <w:trHeight w:val="346"/>
        </w:trPr>
        <w:tc>
          <w:tcPr>
            <w:tcW w:w="3603" w:type="dxa"/>
            <w:vAlign w:val="bottom"/>
          </w:tcPr>
          <w:p w:rsidR="00923767" w:rsidRPr="00D86D3B" w:rsidRDefault="00FD3216" w:rsidP="00D86D3B">
            <w:pPr>
              <w:rPr>
                <w:rFonts w:cs="Times New Roman"/>
                <w:szCs w:val="24"/>
              </w:rPr>
            </w:pPr>
            <w:r>
              <w:rPr>
                <w:rFonts w:cs="Times New Roman"/>
                <w:szCs w:val="24"/>
              </w:rPr>
              <w:t>January 1, 2015 to July 14, 2015</w:t>
            </w:r>
          </w:p>
        </w:tc>
        <w:tc>
          <w:tcPr>
            <w:tcW w:w="1980" w:type="dxa"/>
            <w:vAlign w:val="bottom"/>
          </w:tcPr>
          <w:p w:rsidR="00923767" w:rsidRPr="00D86D3B" w:rsidRDefault="005827C4" w:rsidP="00D86D3B">
            <w:pPr>
              <w:rPr>
                <w:rFonts w:cs="Times New Roman"/>
                <w:szCs w:val="24"/>
              </w:rPr>
            </w:pPr>
            <w:r>
              <w:rPr>
                <w:rFonts w:cs="Times New Roman"/>
                <w:szCs w:val="24"/>
              </w:rPr>
              <w:t>July 15, 2015</w:t>
            </w:r>
          </w:p>
        </w:tc>
        <w:tc>
          <w:tcPr>
            <w:tcW w:w="2123" w:type="dxa"/>
            <w:vAlign w:val="bottom"/>
          </w:tcPr>
          <w:p w:rsidR="00923767" w:rsidRPr="00D86D3B" w:rsidRDefault="00FD3216" w:rsidP="00D86D3B">
            <w:pPr>
              <w:rPr>
                <w:rFonts w:cs="Times New Roman"/>
                <w:szCs w:val="24"/>
              </w:rPr>
            </w:pPr>
            <w:r>
              <w:rPr>
                <w:rFonts w:cs="Times New Roman"/>
                <w:szCs w:val="24"/>
              </w:rPr>
              <w:t xml:space="preserve">August 14, 2015 </w:t>
            </w:r>
          </w:p>
        </w:tc>
      </w:tr>
    </w:tbl>
    <w:p w:rsidR="005827C4" w:rsidRDefault="005827C4" w:rsidP="005827C4">
      <w:pPr>
        <w:tabs>
          <w:tab w:val="left" w:pos="720"/>
          <w:tab w:val="left" w:pos="1440"/>
          <w:tab w:val="right" w:pos="8640"/>
        </w:tabs>
        <w:spacing w:after="0" w:line="240" w:lineRule="auto"/>
        <w:rPr>
          <w:rFonts w:eastAsia="Times" w:cs="Times New Roman"/>
          <w:szCs w:val="24"/>
        </w:rPr>
      </w:pPr>
    </w:p>
    <w:p w:rsidR="00FD3216" w:rsidRPr="00FD3216" w:rsidRDefault="00FD3216" w:rsidP="005827C4">
      <w:pPr>
        <w:tabs>
          <w:tab w:val="left" w:pos="720"/>
          <w:tab w:val="left" w:pos="1440"/>
          <w:tab w:val="right" w:pos="8640"/>
        </w:tabs>
        <w:spacing w:after="0" w:line="240" w:lineRule="auto"/>
        <w:rPr>
          <w:rFonts w:eastAsia="Times" w:cs="Times New Roman"/>
          <w:szCs w:val="24"/>
        </w:rPr>
      </w:pPr>
      <w:r w:rsidRPr="00FD3216">
        <w:rPr>
          <w:rFonts w:eastAsia="Times" w:cs="Times New Roman"/>
          <w:szCs w:val="24"/>
        </w:rPr>
        <w:t xml:space="preserve">The reporting period for the final report will be: July 15, 2013 to July 14, 2015.  </w:t>
      </w:r>
    </w:p>
    <w:p w:rsidR="00FD3216" w:rsidRPr="00FD3216" w:rsidRDefault="00FD3216" w:rsidP="00FD3216">
      <w:pPr>
        <w:tabs>
          <w:tab w:val="left" w:pos="720"/>
          <w:tab w:val="left" w:pos="1440"/>
          <w:tab w:val="right" w:pos="8640"/>
        </w:tabs>
        <w:spacing w:after="0" w:line="240" w:lineRule="auto"/>
        <w:ind w:left="1080"/>
        <w:rPr>
          <w:rFonts w:eastAsia="Times" w:cs="Times New Roman"/>
          <w:szCs w:val="24"/>
        </w:rPr>
      </w:pPr>
    </w:p>
    <w:p w:rsidR="00EB2BB0" w:rsidRPr="00C0702F" w:rsidRDefault="00923767" w:rsidP="00C0702F">
      <w:pPr>
        <w:tabs>
          <w:tab w:val="left" w:pos="-2070"/>
        </w:tabs>
        <w:spacing w:after="0" w:line="240" w:lineRule="auto"/>
        <w:rPr>
          <w:rFonts w:eastAsia="Times" w:cs="Times New Roman"/>
          <w:b/>
          <w:szCs w:val="24"/>
        </w:rPr>
      </w:pPr>
      <w:r w:rsidRPr="00D86D3B">
        <w:rPr>
          <w:rFonts w:cs="Times New Roman"/>
          <w:szCs w:val="24"/>
        </w:rPr>
        <w:t xml:space="preserve">Note that the first report is </w:t>
      </w:r>
      <w:r w:rsidR="00C0702F">
        <w:rPr>
          <w:rFonts w:cs="Times New Roman"/>
          <w:szCs w:val="24"/>
        </w:rPr>
        <w:t xml:space="preserve">delayed. </w:t>
      </w:r>
      <w:r w:rsidR="00292C0A" w:rsidRPr="00D86D3B">
        <w:rPr>
          <w:rFonts w:cs="Times New Roman"/>
          <w:szCs w:val="24"/>
        </w:rPr>
        <w:t xml:space="preserve"> </w:t>
      </w:r>
      <w:r w:rsidR="00594A64" w:rsidRPr="00D86D3B">
        <w:rPr>
          <w:rFonts w:cs="Times New Roman"/>
          <w:szCs w:val="24"/>
        </w:rPr>
        <w:t>Grantees</w:t>
      </w:r>
      <w:r w:rsidR="00EB2BB0" w:rsidRPr="00D86D3B">
        <w:rPr>
          <w:rFonts w:cs="Times New Roman"/>
          <w:szCs w:val="24"/>
        </w:rPr>
        <w:t xml:space="preserve"> currently have no PRA-approved </w:t>
      </w:r>
      <w:r w:rsidR="00292C0A" w:rsidRPr="00D86D3B">
        <w:rPr>
          <w:rFonts w:cs="Times New Roman"/>
          <w:szCs w:val="24"/>
        </w:rPr>
        <w:t>instrument</w:t>
      </w:r>
      <w:r w:rsidR="00EB2BB0" w:rsidRPr="00D86D3B">
        <w:rPr>
          <w:rFonts w:cs="Times New Roman"/>
          <w:szCs w:val="24"/>
        </w:rPr>
        <w:t xml:space="preserve"> to submit their </w:t>
      </w:r>
      <w:r w:rsidR="00292C0A" w:rsidRPr="00D86D3B">
        <w:rPr>
          <w:rFonts w:cs="Times New Roman"/>
          <w:szCs w:val="24"/>
        </w:rPr>
        <w:t>periodic grant reports</w:t>
      </w:r>
      <w:r w:rsidR="00EB2BB0" w:rsidRPr="00D86D3B">
        <w:rPr>
          <w:rFonts w:cs="Times New Roman"/>
          <w:szCs w:val="24"/>
        </w:rPr>
        <w:t xml:space="preserve">, </w:t>
      </w:r>
      <w:r w:rsidR="00292C0A" w:rsidRPr="00D86D3B">
        <w:rPr>
          <w:rFonts w:cs="Times New Roman"/>
          <w:szCs w:val="24"/>
        </w:rPr>
        <w:t>therefore</w:t>
      </w:r>
      <w:r w:rsidR="00EB2BB0" w:rsidRPr="00D86D3B">
        <w:rPr>
          <w:rFonts w:cs="Times New Roman"/>
          <w:szCs w:val="24"/>
        </w:rPr>
        <w:t xml:space="preserve"> we </w:t>
      </w:r>
      <w:r w:rsidR="00CE601B">
        <w:rPr>
          <w:rFonts w:cs="Times New Roman"/>
          <w:szCs w:val="24"/>
        </w:rPr>
        <w:t>will be</w:t>
      </w:r>
      <w:r w:rsidR="00EB2BB0" w:rsidRPr="00D86D3B">
        <w:rPr>
          <w:rFonts w:cs="Times New Roman"/>
          <w:szCs w:val="24"/>
        </w:rPr>
        <w:t xml:space="preserve"> requesting approval of this collection as soon as possible to minimize the disruption to timely </w:t>
      </w:r>
      <w:r w:rsidR="00292C0A" w:rsidRPr="00D86D3B">
        <w:rPr>
          <w:rFonts w:cs="Times New Roman"/>
          <w:szCs w:val="24"/>
        </w:rPr>
        <w:t>grant reporting</w:t>
      </w:r>
      <w:r w:rsidR="00EB2BB0" w:rsidRPr="00D86D3B">
        <w:rPr>
          <w:rFonts w:cs="Times New Roman"/>
          <w:szCs w:val="24"/>
        </w:rPr>
        <w:t xml:space="preserve">. </w:t>
      </w:r>
    </w:p>
    <w:p w:rsidR="00F41D65" w:rsidRDefault="00F41D65" w:rsidP="00D86D3B">
      <w:pPr>
        <w:spacing w:after="0" w:line="240" w:lineRule="auto"/>
        <w:rPr>
          <w:rFonts w:cs="Times New Roman"/>
          <w:szCs w:val="24"/>
        </w:rPr>
      </w:pPr>
    </w:p>
    <w:p w:rsidR="00125560" w:rsidRDefault="00D86D3B" w:rsidP="00D86D3B">
      <w:pPr>
        <w:spacing w:after="0" w:line="240" w:lineRule="auto"/>
        <w:rPr>
          <w:rFonts w:cs="Times New Roman"/>
          <w:szCs w:val="24"/>
        </w:rPr>
      </w:pPr>
      <w:r>
        <w:rPr>
          <w:rFonts w:cs="Times New Roman"/>
          <w:szCs w:val="24"/>
        </w:rPr>
        <w:t>The following attachments are provided for this information collection:</w:t>
      </w:r>
    </w:p>
    <w:p w:rsidR="00D86D3B" w:rsidRPr="00D86D3B" w:rsidRDefault="00D86D3B" w:rsidP="00D86D3B">
      <w:pPr>
        <w:spacing w:after="0" w:line="240" w:lineRule="auto"/>
        <w:rPr>
          <w:rFonts w:cs="Times New Roman"/>
          <w:szCs w:val="24"/>
        </w:rPr>
      </w:pPr>
      <w:r>
        <w:rPr>
          <w:rFonts w:cs="Times New Roman"/>
          <w:szCs w:val="24"/>
        </w:rPr>
        <w:t xml:space="preserve">Attachment A – CHIPRA </w:t>
      </w:r>
      <w:r w:rsidR="00CE601B">
        <w:rPr>
          <w:rFonts w:cs="Times New Roman"/>
          <w:szCs w:val="24"/>
        </w:rPr>
        <w:t>Connecting Kids to Coverage (Cycle III)</w:t>
      </w:r>
      <w:r>
        <w:rPr>
          <w:rFonts w:cs="Times New Roman"/>
          <w:szCs w:val="24"/>
        </w:rPr>
        <w:t xml:space="preserve"> Outreach and Enrollment Grant</w:t>
      </w:r>
      <w:r w:rsidR="00FD3216" w:rsidRPr="00FD3216">
        <w:rPr>
          <w:rFonts w:cs="Times New Roman"/>
          <w:szCs w:val="24"/>
        </w:rPr>
        <w:t xml:space="preserve"> </w:t>
      </w:r>
      <w:r w:rsidR="00FD3216">
        <w:rPr>
          <w:rFonts w:cs="Times New Roman"/>
          <w:szCs w:val="24"/>
        </w:rPr>
        <w:t>(Cycle III)</w:t>
      </w:r>
      <w:r>
        <w:rPr>
          <w:rFonts w:cs="Times New Roman"/>
          <w:szCs w:val="24"/>
        </w:rPr>
        <w:t xml:space="preserve"> S</w:t>
      </w:r>
      <w:r w:rsidR="00CE601B">
        <w:rPr>
          <w:rFonts w:cs="Times New Roman"/>
          <w:szCs w:val="24"/>
        </w:rPr>
        <w:t>e</w:t>
      </w:r>
      <w:r>
        <w:rPr>
          <w:rFonts w:cs="Times New Roman"/>
          <w:szCs w:val="24"/>
        </w:rPr>
        <w:t>mi-Annual Report Template</w:t>
      </w:r>
    </w:p>
    <w:sectPr w:rsidR="00D86D3B" w:rsidRPr="00D86D3B" w:rsidSect="00F41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8726B"/>
    <w:multiLevelType w:val="hybridMultilevel"/>
    <w:tmpl w:val="4E88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C2A0D"/>
    <w:multiLevelType w:val="hybridMultilevel"/>
    <w:tmpl w:val="43F2F78A"/>
    <w:lvl w:ilvl="0" w:tplc="35067360">
      <w:start w:val="1"/>
      <w:numFmt w:val="decimal"/>
      <w:lvlText w:val="%1."/>
      <w:lvlJc w:val="left"/>
      <w:pPr>
        <w:tabs>
          <w:tab w:val="num" w:pos="810"/>
        </w:tabs>
        <w:ind w:left="810" w:hanging="360"/>
      </w:pPr>
      <w:rPr>
        <w:b w:val="0"/>
      </w:rPr>
    </w:lvl>
    <w:lvl w:ilvl="1" w:tplc="2B3CFF6E">
      <w:start w:val="1"/>
      <w:numFmt w:val="lowerLetter"/>
      <w:lvlText w:val="%2."/>
      <w:lvlJc w:val="left"/>
      <w:pPr>
        <w:tabs>
          <w:tab w:val="num" w:pos="1350"/>
        </w:tabs>
        <w:ind w:left="135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B0"/>
    <w:rsid w:val="000006DE"/>
    <w:rsid w:val="0000689B"/>
    <w:rsid w:val="00043000"/>
    <w:rsid w:val="00096F1D"/>
    <w:rsid w:val="000D7695"/>
    <w:rsid w:val="000F4705"/>
    <w:rsid w:val="000F649B"/>
    <w:rsid w:val="00120DC6"/>
    <w:rsid w:val="00125560"/>
    <w:rsid w:val="00132759"/>
    <w:rsid w:val="001417B5"/>
    <w:rsid w:val="00292C0A"/>
    <w:rsid w:val="00333FD5"/>
    <w:rsid w:val="003602DD"/>
    <w:rsid w:val="00376324"/>
    <w:rsid w:val="00400CC1"/>
    <w:rsid w:val="00441301"/>
    <w:rsid w:val="00486761"/>
    <w:rsid w:val="004C6563"/>
    <w:rsid w:val="00554566"/>
    <w:rsid w:val="005827C4"/>
    <w:rsid w:val="00594A64"/>
    <w:rsid w:val="005967BC"/>
    <w:rsid w:val="00621155"/>
    <w:rsid w:val="00685D6F"/>
    <w:rsid w:val="00721E4B"/>
    <w:rsid w:val="00724779"/>
    <w:rsid w:val="007C4F6F"/>
    <w:rsid w:val="007C5FAA"/>
    <w:rsid w:val="007E5B66"/>
    <w:rsid w:val="007F70C2"/>
    <w:rsid w:val="00827AD7"/>
    <w:rsid w:val="008327B1"/>
    <w:rsid w:val="00837C06"/>
    <w:rsid w:val="0085509A"/>
    <w:rsid w:val="00923767"/>
    <w:rsid w:val="00944906"/>
    <w:rsid w:val="009713D2"/>
    <w:rsid w:val="00990E7D"/>
    <w:rsid w:val="009D0F5B"/>
    <w:rsid w:val="009F02B3"/>
    <w:rsid w:val="00A1297C"/>
    <w:rsid w:val="00A449BD"/>
    <w:rsid w:val="00AE2323"/>
    <w:rsid w:val="00BD7844"/>
    <w:rsid w:val="00C0702F"/>
    <w:rsid w:val="00C8393D"/>
    <w:rsid w:val="00CE601B"/>
    <w:rsid w:val="00D151AF"/>
    <w:rsid w:val="00D86D3B"/>
    <w:rsid w:val="00E33C35"/>
    <w:rsid w:val="00EB2BB0"/>
    <w:rsid w:val="00F20953"/>
    <w:rsid w:val="00F41D65"/>
    <w:rsid w:val="00FD2004"/>
    <w:rsid w:val="00FD3216"/>
    <w:rsid w:val="00FE2919"/>
    <w:rsid w:val="00FE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B0"/>
    <w:rPr>
      <w:rFonts w:ascii="Times New Roman" w:hAnsi="Times New Roman"/>
      <w:sz w:val="24"/>
    </w:rPr>
  </w:style>
  <w:style w:type="paragraph" w:styleId="Heading1">
    <w:name w:val="heading 1"/>
    <w:basedOn w:val="Normal"/>
    <w:next w:val="Normal"/>
    <w:link w:val="Heading1Char"/>
    <w:autoRedefine/>
    <w:uiPriority w:val="9"/>
    <w:qFormat/>
    <w:rsid w:val="00A449BD"/>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BD"/>
    <w:rPr>
      <w:rFonts w:ascii="Times New Roman" w:eastAsiaTheme="majorEastAsia" w:hAnsi="Times New Roman" w:cstheme="majorBidi"/>
      <w:b/>
      <w:bCs/>
      <w:sz w:val="24"/>
      <w:szCs w:val="28"/>
      <w:u w:val="single"/>
    </w:rPr>
  </w:style>
  <w:style w:type="table" w:styleId="TableGrid">
    <w:name w:val="Table Grid"/>
    <w:basedOn w:val="TableNormal"/>
    <w:uiPriority w:val="59"/>
    <w:rsid w:val="0092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37C06"/>
    <w:pPr>
      <w:spacing w:before="240" w:after="240" w:line="240" w:lineRule="auto"/>
      <w:jc w:val="center"/>
    </w:pPr>
    <w:rPr>
      <w:rFonts w:eastAsia="Times New Roman" w:cs="Times New Roman"/>
      <w:b/>
      <w:bCs/>
      <w:sz w:val="56"/>
      <w:szCs w:val="56"/>
    </w:rPr>
  </w:style>
  <w:style w:type="character" w:customStyle="1" w:styleId="TitleChar">
    <w:name w:val="Title Char"/>
    <w:basedOn w:val="DefaultParagraphFont"/>
    <w:link w:val="Title"/>
    <w:rsid w:val="00837C06"/>
    <w:rPr>
      <w:rFonts w:ascii="Times New Roman" w:eastAsia="Times New Roman" w:hAnsi="Times New Roman" w:cs="Times New Roman"/>
      <w:b/>
      <w:bCs/>
      <w:sz w:val="56"/>
      <w:szCs w:val="56"/>
    </w:rPr>
  </w:style>
  <w:style w:type="paragraph" w:styleId="BalloonText">
    <w:name w:val="Balloon Text"/>
    <w:basedOn w:val="Normal"/>
    <w:link w:val="BalloonTextChar"/>
    <w:uiPriority w:val="99"/>
    <w:semiHidden/>
    <w:unhideWhenUsed/>
    <w:rsid w:val="00000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6DE"/>
    <w:rPr>
      <w:rFonts w:ascii="Tahoma" w:hAnsi="Tahoma" w:cs="Tahoma"/>
      <w:sz w:val="16"/>
      <w:szCs w:val="16"/>
    </w:rPr>
  </w:style>
  <w:style w:type="character" w:styleId="CommentReference">
    <w:name w:val="annotation reference"/>
    <w:basedOn w:val="DefaultParagraphFont"/>
    <w:uiPriority w:val="99"/>
    <w:semiHidden/>
    <w:unhideWhenUsed/>
    <w:rsid w:val="00FD2004"/>
    <w:rPr>
      <w:sz w:val="16"/>
      <w:szCs w:val="16"/>
    </w:rPr>
  </w:style>
  <w:style w:type="paragraph" w:styleId="CommentText">
    <w:name w:val="annotation text"/>
    <w:basedOn w:val="Normal"/>
    <w:link w:val="CommentTextChar"/>
    <w:uiPriority w:val="99"/>
    <w:semiHidden/>
    <w:unhideWhenUsed/>
    <w:rsid w:val="00FD2004"/>
    <w:pPr>
      <w:spacing w:line="240" w:lineRule="auto"/>
    </w:pPr>
    <w:rPr>
      <w:sz w:val="20"/>
      <w:szCs w:val="20"/>
    </w:rPr>
  </w:style>
  <w:style w:type="character" w:customStyle="1" w:styleId="CommentTextChar">
    <w:name w:val="Comment Text Char"/>
    <w:basedOn w:val="DefaultParagraphFont"/>
    <w:link w:val="CommentText"/>
    <w:uiPriority w:val="99"/>
    <w:semiHidden/>
    <w:rsid w:val="00FD200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2004"/>
    <w:rPr>
      <w:b/>
      <w:bCs/>
    </w:rPr>
  </w:style>
  <w:style w:type="character" w:customStyle="1" w:styleId="CommentSubjectChar">
    <w:name w:val="Comment Subject Char"/>
    <w:basedOn w:val="CommentTextChar"/>
    <w:link w:val="CommentSubject"/>
    <w:uiPriority w:val="99"/>
    <w:semiHidden/>
    <w:rsid w:val="00FD2004"/>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B0"/>
    <w:rPr>
      <w:rFonts w:ascii="Times New Roman" w:hAnsi="Times New Roman"/>
      <w:sz w:val="24"/>
    </w:rPr>
  </w:style>
  <w:style w:type="paragraph" w:styleId="Heading1">
    <w:name w:val="heading 1"/>
    <w:basedOn w:val="Normal"/>
    <w:next w:val="Normal"/>
    <w:link w:val="Heading1Char"/>
    <w:autoRedefine/>
    <w:uiPriority w:val="9"/>
    <w:qFormat/>
    <w:rsid w:val="00A449BD"/>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BD"/>
    <w:rPr>
      <w:rFonts w:ascii="Times New Roman" w:eastAsiaTheme="majorEastAsia" w:hAnsi="Times New Roman" w:cstheme="majorBidi"/>
      <w:b/>
      <w:bCs/>
      <w:sz w:val="24"/>
      <w:szCs w:val="28"/>
      <w:u w:val="single"/>
    </w:rPr>
  </w:style>
  <w:style w:type="table" w:styleId="TableGrid">
    <w:name w:val="Table Grid"/>
    <w:basedOn w:val="TableNormal"/>
    <w:uiPriority w:val="59"/>
    <w:rsid w:val="0092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37C06"/>
    <w:pPr>
      <w:spacing w:before="240" w:after="240" w:line="240" w:lineRule="auto"/>
      <w:jc w:val="center"/>
    </w:pPr>
    <w:rPr>
      <w:rFonts w:eastAsia="Times New Roman" w:cs="Times New Roman"/>
      <w:b/>
      <w:bCs/>
      <w:sz w:val="56"/>
      <w:szCs w:val="56"/>
    </w:rPr>
  </w:style>
  <w:style w:type="character" w:customStyle="1" w:styleId="TitleChar">
    <w:name w:val="Title Char"/>
    <w:basedOn w:val="DefaultParagraphFont"/>
    <w:link w:val="Title"/>
    <w:rsid w:val="00837C06"/>
    <w:rPr>
      <w:rFonts w:ascii="Times New Roman" w:eastAsia="Times New Roman" w:hAnsi="Times New Roman" w:cs="Times New Roman"/>
      <w:b/>
      <w:bCs/>
      <w:sz w:val="56"/>
      <w:szCs w:val="56"/>
    </w:rPr>
  </w:style>
  <w:style w:type="paragraph" w:styleId="BalloonText">
    <w:name w:val="Balloon Text"/>
    <w:basedOn w:val="Normal"/>
    <w:link w:val="BalloonTextChar"/>
    <w:uiPriority w:val="99"/>
    <w:semiHidden/>
    <w:unhideWhenUsed/>
    <w:rsid w:val="00000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6DE"/>
    <w:rPr>
      <w:rFonts w:ascii="Tahoma" w:hAnsi="Tahoma" w:cs="Tahoma"/>
      <w:sz w:val="16"/>
      <w:szCs w:val="16"/>
    </w:rPr>
  </w:style>
  <w:style w:type="character" w:styleId="CommentReference">
    <w:name w:val="annotation reference"/>
    <w:basedOn w:val="DefaultParagraphFont"/>
    <w:uiPriority w:val="99"/>
    <w:semiHidden/>
    <w:unhideWhenUsed/>
    <w:rsid w:val="00FD2004"/>
    <w:rPr>
      <w:sz w:val="16"/>
      <w:szCs w:val="16"/>
    </w:rPr>
  </w:style>
  <w:style w:type="paragraph" w:styleId="CommentText">
    <w:name w:val="annotation text"/>
    <w:basedOn w:val="Normal"/>
    <w:link w:val="CommentTextChar"/>
    <w:uiPriority w:val="99"/>
    <w:semiHidden/>
    <w:unhideWhenUsed/>
    <w:rsid w:val="00FD2004"/>
    <w:pPr>
      <w:spacing w:line="240" w:lineRule="auto"/>
    </w:pPr>
    <w:rPr>
      <w:sz w:val="20"/>
      <w:szCs w:val="20"/>
    </w:rPr>
  </w:style>
  <w:style w:type="character" w:customStyle="1" w:styleId="CommentTextChar">
    <w:name w:val="Comment Text Char"/>
    <w:basedOn w:val="DefaultParagraphFont"/>
    <w:link w:val="CommentText"/>
    <w:uiPriority w:val="99"/>
    <w:semiHidden/>
    <w:rsid w:val="00FD200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2004"/>
    <w:rPr>
      <w:b/>
      <w:bCs/>
    </w:rPr>
  </w:style>
  <w:style w:type="character" w:customStyle="1" w:styleId="CommentSubjectChar">
    <w:name w:val="Comment Subject Char"/>
    <w:basedOn w:val="CommentTextChar"/>
    <w:link w:val="CommentSubject"/>
    <w:uiPriority w:val="99"/>
    <w:semiHidden/>
    <w:rsid w:val="00FD200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Burian</dc:creator>
  <cp:lastModifiedBy>Mitch Bryman</cp:lastModifiedBy>
  <cp:revision>2</cp:revision>
  <cp:lastPrinted>2014-03-07T17:46:00Z</cp:lastPrinted>
  <dcterms:created xsi:type="dcterms:W3CDTF">2014-12-22T19:43:00Z</dcterms:created>
  <dcterms:modified xsi:type="dcterms:W3CDTF">2014-12-22T19:43:00Z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-1987518403</vt:i4>
  </property>
  <property fmtid="{D5CDD505-2E9C-101B-9397-08002B2CF9AE}" pid="3" name="_NewReviewCycle">
    <vt:lpwstr/>
  </property>
  <property fmtid="{D5CDD505-2E9C-101B-9397-08002B2CF9AE}" pid="4" name="_EmailSubject">
    <vt:lpwstr>**Expedited Approval Needed*Generic PRA Submission </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782332890</vt:i4>
  </property>
  <property fmtid="{D5CDD505-2E9C-101B-9397-08002B2CF9AE}" pid="8" name="_ReviewingToolsShownOnce">
    <vt:lpwstr/>
  </property>
</Properties>
</file>