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273D9" w14:textId="77777777" w:rsidR="00DE3B74" w:rsidRPr="00724A79" w:rsidRDefault="00DE3B74" w:rsidP="00DE3B74">
      <w:pPr>
        <w:rPr>
          <w:rFonts w:ascii="Arial" w:hAnsi="Arial" w:cs="Arial"/>
          <w:sz w:val="22"/>
          <w:szCs w:val="22"/>
        </w:rPr>
      </w:pPr>
      <w:bookmarkStart w:id="0" w:name="_GoBack"/>
      <w:bookmarkEnd w:id="0"/>
    </w:p>
    <w:p w14:paraId="49AFDA3D" w14:textId="54F668E0" w:rsidR="00271003" w:rsidRPr="00724A79" w:rsidRDefault="00271003" w:rsidP="00724A79">
      <w:pPr>
        <w:contextualSpacing/>
        <w:rPr>
          <w:rFonts w:ascii="Arial" w:hAnsi="Arial" w:cs="Arial"/>
          <w:sz w:val="22"/>
          <w:szCs w:val="22"/>
        </w:rPr>
      </w:pPr>
      <w:r w:rsidRPr="00724A79">
        <w:rPr>
          <w:rFonts w:ascii="Arial" w:hAnsi="Arial" w:cs="Arial"/>
          <w:sz w:val="22"/>
          <w:szCs w:val="22"/>
        </w:rPr>
        <w:t xml:space="preserve">CMS received comment </w:t>
      </w:r>
      <w:r w:rsidR="00432CA1" w:rsidRPr="00724A79">
        <w:rPr>
          <w:rFonts w:ascii="Arial" w:hAnsi="Arial" w:cs="Arial"/>
          <w:sz w:val="22"/>
          <w:szCs w:val="22"/>
        </w:rPr>
        <w:t xml:space="preserve">dated October 13, 2015, </w:t>
      </w:r>
      <w:r w:rsidRPr="00724A79">
        <w:rPr>
          <w:rFonts w:ascii="Arial" w:hAnsi="Arial" w:cs="Arial"/>
          <w:sz w:val="22"/>
          <w:szCs w:val="22"/>
        </w:rPr>
        <w:t xml:space="preserve">from </w:t>
      </w:r>
      <w:r w:rsidRPr="00724A79">
        <w:rPr>
          <w:rFonts w:ascii="Arial" w:hAnsi="Arial" w:cs="Arial"/>
          <w:sz w:val="22"/>
          <w:szCs w:val="22"/>
        </w:rPr>
        <w:t>National Council’s</w:t>
      </w:r>
      <w:r w:rsidR="00432CA1" w:rsidRPr="00724A79">
        <w:rPr>
          <w:rFonts w:ascii="Arial" w:hAnsi="Arial" w:cs="Arial"/>
          <w:sz w:val="22"/>
          <w:szCs w:val="22"/>
        </w:rPr>
        <w:t xml:space="preserve"> </w:t>
      </w:r>
      <w:r w:rsidR="00432CA1" w:rsidRPr="00724A79">
        <w:rPr>
          <w:rFonts w:ascii="Arial" w:hAnsi="Arial" w:cs="Arial"/>
          <w:sz w:val="22"/>
          <w:szCs w:val="22"/>
        </w:rPr>
        <w:t>President and CEO</w:t>
      </w:r>
      <w:r w:rsidR="00724A79" w:rsidRPr="00724A79">
        <w:rPr>
          <w:rFonts w:ascii="Arial" w:hAnsi="Arial" w:cs="Arial"/>
          <w:sz w:val="22"/>
          <w:szCs w:val="22"/>
        </w:rPr>
        <w:t xml:space="preserve">, </w:t>
      </w:r>
      <w:r w:rsidR="00724A79" w:rsidRPr="00724A79">
        <w:rPr>
          <w:rFonts w:ascii="Arial" w:hAnsi="Arial" w:cs="Arial"/>
          <w:sz w:val="22"/>
          <w:szCs w:val="22"/>
        </w:rPr>
        <w:t>Linda Rosenberg</w:t>
      </w:r>
      <w:r w:rsidR="00432CA1" w:rsidRPr="00724A79">
        <w:rPr>
          <w:rFonts w:ascii="Arial" w:hAnsi="Arial" w:cs="Arial"/>
          <w:sz w:val="22"/>
          <w:szCs w:val="22"/>
        </w:rPr>
        <w:t xml:space="preserve">. The comments and our response </w:t>
      </w:r>
      <w:proofErr w:type="gramStart"/>
      <w:r w:rsidR="00432CA1" w:rsidRPr="00724A79">
        <w:rPr>
          <w:rFonts w:ascii="Arial" w:hAnsi="Arial" w:cs="Arial"/>
          <w:sz w:val="22"/>
          <w:szCs w:val="22"/>
        </w:rPr>
        <w:t>can be found</w:t>
      </w:r>
      <w:proofErr w:type="gramEnd"/>
      <w:r w:rsidR="00432CA1" w:rsidRPr="00724A79">
        <w:rPr>
          <w:rFonts w:ascii="Arial" w:hAnsi="Arial" w:cs="Arial"/>
          <w:sz w:val="22"/>
          <w:szCs w:val="22"/>
        </w:rPr>
        <w:t xml:space="preserve"> below.</w:t>
      </w:r>
      <w:r w:rsidR="00724A79" w:rsidRPr="00724A79">
        <w:rPr>
          <w:rFonts w:ascii="Arial" w:hAnsi="Arial" w:cs="Arial"/>
          <w:sz w:val="22"/>
          <w:szCs w:val="22"/>
        </w:rPr>
        <w:t xml:space="preserve"> </w:t>
      </w:r>
    </w:p>
    <w:p w14:paraId="7A542176" w14:textId="77777777" w:rsidR="00271003" w:rsidRPr="00724A79" w:rsidRDefault="00271003" w:rsidP="00DE3B74">
      <w:pPr>
        <w:jc w:val="both"/>
        <w:rPr>
          <w:rFonts w:ascii="Arial" w:hAnsi="Arial" w:cs="Arial"/>
          <w:sz w:val="22"/>
          <w:szCs w:val="22"/>
        </w:rPr>
      </w:pPr>
    </w:p>
    <w:p w14:paraId="5EAA1B54" w14:textId="3A7D884B" w:rsidR="00271003" w:rsidRPr="00724A79" w:rsidRDefault="00271003" w:rsidP="00DE3B74">
      <w:pPr>
        <w:jc w:val="both"/>
        <w:rPr>
          <w:rFonts w:ascii="Arial" w:hAnsi="Arial" w:cs="Arial"/>
          <w:b/>
          <w:sz w:val="22"/>
          <w:szCs w:val="22"/>
          <w:u w:val="single"/>
        </w:rPr>
      </w:pPr>
      <w:r w:rsidRPr="00724A79">
        <w:rPr>
          <w:rFonts w:ascii="Arial" w:hAnsi="Arial" w:cs="Arial"/>
          <w:sz w:val="22"/>
          <w:szCs w:val="22"/>
        </w:rPr>
        <w:t xml:space="preserve">CMS also acknowledges receipt of the National Council’s Privileged and Confidential memorandum dated October 12, 2015 from Charles </w:t>
      </w:r>
      <w:proofErr w:type="spellStart"/>
      <w:r w:rsidRPr="00724A79">
        <w:rPr>
          <w:rFonts w:ascii="Arial" w:hAnsi="Arial" w:cs="Arial"/>
          <w:sz w:val="22"/>
          <w:szCs w:val="22"/>
        </w:rPr>
        <w:t>Ingoglia</w:t>
      </w:r>
      <w:proofErr w:type="spellEnd"/>
      <w:r w:rsidRPr="00724A79">
        <w:rPr>
          <w:rFonts w:ascii="Arial" w:hAnsi="Arial" w:cs="Arial"/>
          <w:sz w:val="22"/>
          <w:szCs w:val="22"/>
        </w:rPr>
        <w:t>, Senior Vice President, Public Policy and Practice Improvement. CMS believes the issues outlined in the memorandum are more closely related to the PPS-2 methodology for Certified Community Behavioral Health Clinics (</w:t>
      </w:r>
      <w:proofErr w:type="spellStart"/>
      <w:r w:rsidRPr="00724A79">
        <w:rPr>
          <w:rFonts w:ascii="Arial" w:hAnsi="Arial" w:cs="Arial"/>
          <w:sz w:val="22"/>
          <w:szCs w:val="22"/>
        </w:rPr>
        <w:t>CCBHC</w:t>
      </w:r>
      <w:proofErr w:type="spellEnd"/>
      <w:proofErr w:type="gramStart"/>
      <w:r w:rsidRPr="00724A79">
        <w:rPr>
          <w:rFonts w:ascii="Arial" w:hAnsi="Arial" w:cs="Arial"/>
          <w:sz w:val="22"/>
          <w:szCs w:val="22"/>
        </w:rPr>
        <w:t>) which</w:t>
      </w:r>
      <w:proofErr w:type="gramEnd"/>
      <w:r w:rsidRPr="00724A79">
        <w:rPr>
          <w:rFonts w:ascii="Arial" w:hAnsi="Arial" w:cs="Arial"/>
          <w:sz w:val="22"/>
          <w:szCs w:val="22"/>
        </w:rPr>
        <w:t xml:space="preserve"> was published as part of the Demonstration Request for Application (</w:t>
      </w:r>
      <w:proofErr w:type="spellStart"/>
      <w:r w:rsidRPr="00724A79">
        <w:rPr>
          <w:rFonts w:ascii="Arial" w:hAnsi="Arial" w:cs="Arial"/>
          <w:sz w:val="22"/>
          <w:szCs w:val="22"/>
        </w:rPr>
        <w:t>RFA</w:t>
      </w:r>
      <w:proofErr w:type="spellEnd"/>
      <w:r w:rsidRPr="00724A79">
        <w:rPr>
          <w:rFonts w:ascii="Arial" w:hAnsi="Arial" w:cs="Arial"/>
          <w:sz w:val="22"/>
          <w:szCs w:val="22"/>
        </w:rPr>
        <w:t>) issued on May 20, 2015. Therefore, CMS will address these concerns apart from the  National Council’s comments submitted on the CMS model cost report and will discuss these concerns as part of the November 16, 2015 meeting scheduled with the National Council.</w:t>
      </w:r>
    </w:p>
    <w:p w14:paraId="49CF53AD" w14:textId="77777777" w:rsidR="00271003" w:rsidRPr="00724A79" w:rsidRDefault="00271003" w:rsidP="00DE3B74">
      <w:pPr>
        <w:jc w:val="both"/>
        <w:rPr>
          <w:rFonts w:ascii="Arial" w:hAnsi="Arial" w:cs="Arial"/>
          <w:b/>
          <w:sz w:val="22"/>
          <w:szCs w:val="22"/>
          <w:u w:val="single"/>
        </w:rPr>
      </w:pPr>
    </w:p>
    <w:p w14:paraId="1F43030E" w14:textId="139C058B" w:rsidR="00DE3B74" w:rsidRDefault="006230F0" w:rsidP="00DE3B74">
      <w:pPr>
        <w:jc w:val="both"/>
      </w:pPr>
      <w:r w:rsidRPr="006230F0">
        <w:rPr>
          <w:b/>
          <w:u w:val="single"/>
        </w:rPr>
        <w:t>Comment:</w:t>
      </w:r>
      <w:r>
        <w:t xml:space="preserve"> </w:t>
      </w:r>
      <w:r w:rsidR="00DE3B74">
        <w:t>The National Council for Behavioral Health (National Council)</w:t>
      </w:r>
      <w:r w:rsidR="00DE3B74" w:rsidRPr="00EA72EC">
        <w:t xml:space="preserve"> welcomes the opportuni</w:t>
      </w:r>
      <w:r w:rsidR="00041155">
        <w:t>ty to provide comments on CMS’</w:t>
      </w:r>
      <w:r w:rsidR="00DE3B74" w:rsidRPr="00EA72EC">
        <w:t xml:space="preserve"> </w:t>
      </w:r>
      <w:r w:rsidR="00792560">
        <w:t xml:space="preserve">cost reporting instructions </w:t>
      </w:r>
      <w:r w:rsidR="00DE3B74" w:rsidRPr="00EA72EC">
        <w:t>for Certified Community Behavi</w:t>
      </w:r>
      <w:r w:rsidR="00792560">
        <w:t>oral Health Clinics (</w:t>
      </w:r>
      <w:proofErr w:type="spellStart"/>
      <w:r w:rsidR="00792560">
        <w:t>CCBHCs</w:t>
      </w:r>
      <w:proofErr w:type="spellEnd"/>
      <w:r w:rsidR="00792560">
        <w:t>) participating</w:t>
      </w:r>
      <w:r w:rsidR="00DE3B74" w:rsidRPr="00EA72EC">
        <w:t xml:space="preserve"> in the Section 223 demonstration program. This demonstration program provides an important opportunity to not only increase individuals’ access to community mental health and substance use treatment services</w:t>
      </w:r>
      <w:r w:rsidR="00792560">
        <w:t>,</w:t>
      </w:r>
      <w:r w:rsidR="00DE3B74" w:rsidRPr="00EA72EC">
        <w:t xml:space="preserve"> but to also set new higher standards for behavioral heal</w:t>
      </w:r>
      <w:r w:rsidR="00DE3B74" w:rsidRPr="00232666">
        <w:t>th providers. The National Council is a non-pro</w:t>
      </w:r>
      <w:r w:rsidR="000A7579">
        <w:t>fit association representing 2,50</w:t>
      </w:r>
      <w:r w:rsidR="00DE3B74" w:rsidRPr="00232666">
        <w:t>0 community-based mental health and addiction treatment providers. Along with our member organizations, we are dedicated to fostering clinical and operational innovation and promoting policies that ensure that all Americans have access to high quality health care services.</w:t>
      </w:r>
    </w:p>
    <w:p w14:paraId="68D904E7" w14:textId="77777777" w:rsidR="00DE3B74" w:rsidRPr="0007330B" w:rsidRDefault="00DE3B74" w:rsidP="005A0FAC">
      <w:pPr>
        <w:pStyle w:val="PlainText"/>
      </w:pPr>
    </w:p>
    <w:p w14:paraId="689E036F" w14:textId="016A1B68" w:rsidR="00C0217F" w:rsidRPr="0007330B" w:rsidRDefault="00C0217F" w:rsidP="001402D1">
      <w:pPr>
        <w:rPr>
          <w:rFonts w:ascii="Arial" w:hAnsi="Arial" w:cs="Arial"/>
          <w:sz w:val="22"/>
          <w:szCs w:val="22"/>
        </w:rPr>
      </w:pPr>
      <w:r w:rsidRPr="0007330B">
        <w:rPr>
          <w:rFonts w:ascii="Arial" w:hAnsi="Arial" w:cs="Arial"/>
          <w:b/>
          <w:sz w:val="22"/>
          <w:szCs w:val="22"/>
          <w:u w:val="single"/>
        </w:rPr>
        <w:t>CMS</w:t>
      </w:r>
      <w:r w:rsidR="0007330B" w:rsidRPr="0007330B">
        <w:rPr>
          <w:rFonts w:ascii="Arial" w:hAnsi="Arial" w:cs="Arial"/>
          <w:b/>
          <w:sz w:val="22"/>
          <w:szCs w:val="22"/>
          <w:u w:val="single"/>
        </w:rPr>
        <w:t xml:space="preserve"> Response</w:t>
      </w:r>
      <w:r w:rsidRPr="0007330B">
        <w:rPr>
          <w:rFonts w:ascii="Arial" w:hAnsi="Arial" w:cs="Arial"/>
          <w:b/>
          <w:sz w:val="22"/>
          <w:szCs w:val="22"/>
        </w:rPr>
        <w:t>:</w:t>
      </w:r>
      <w:r w:rsidRPr="0007330B">
        <w:rPr>
          <w:rFonts w:ascii="Arial" w:hAnsi="Arial" w:cs="Arial"/>
          <w:sz w:val="22"/>
          <w:szCs w:val="22"/>
        </w:rPr>
        <w:t xml:space="preserve"> We appreciate the opportunity to respond to the National Council’s comments related to CMS’s model cost report and instructions. </w:t>
      </w:r>
    </w:p>
    <w:p w14:paraId="7FE68518" w14:textId="77777777" w:rsidR="005C73A3" w:rsidRPr="00381254" w:rsidRDefault="005C73A3" w:rsidP="005C73A3">
      <w:pPr>
        <w:ind w:left="360"/>
        <w:jc w:val="center"/>
        <w:rPr>
          <w:rFonts w:ascii="Arial" w:hAnsi="Arial" w:cs="Arial"/>
          <w:sz w:val="22"/>
          <w:szCs w:val="22"/>
        </w:rPr>
      </w:pPr>
      <w:r w:rsidRPr="00381254">
        <w:rPr>
          <w:rFonts w:ascii="Arial" w:hAnsi="Arial" w:cs="Arial"/>
        </w:rPr>
        <w:t>* * *</w:t>
      </w:r>
    </w:p>
    <w:p w14:paraId="3C8B6677" w14:textId="77777777" w:rsidR="00BE2C62" w:rsidRPr="00563EB0" w:rsidRDefault="00BE2C62" w:rsidP="00DE3B74">
      <w:pPr>
        <w:rPr>
          <w:b/>
        </w:rPr>
      </w:pPr>
    </w:p>
    <w:p w14:paraId="4AE6AEAF" w14:textId="00FE2F55" w:rsidR="00BE2C62" w:rsidRDefault="006230F0" w:rsidP="00BE2C62">
      <w:r w:rsidRPr="006230F0">
        <w:rPr>
          <w:b/>
          <w:u w:val="single"/>
        </w:rPr>
        <w:t>Comment:</w:t>
      </w:r>
      <w:r>
        <w:rPr>
          <w:b/>
          <w:u w:val="single"/>
        </w:rPr>
        <w:t xml:space="preserve"> </w:t>
      </w:r>
      <w:r w:rsidR="00BE2C62">
        <w:t xml:space="preserve">We understand that the legislative intent of the </w:t>
      </w:r>
      <w:proofErr w:type="spellStart"/>
      <w:r w:rsidR="00BE2C62">
        <w:t>CCBHC</w:t>
      </w:r>
      <w:proofErr w:type="spellEnd"/>
      <w:r w:rsidR="00BE2C62">
        <w:t xml:space="preserve"> demonstration program is to increase access to and </w:t>
      </w:r>
      <w:r w:rsidR="000A7579">
        <w:t xml:space="preserve">the </w:t>
      </w:r>
      <w:r w:rsidR="00BE2C62">
        <w:t xml:space="preserve">quality of community behavioral health services.  As </w:t>
      </w:r>
      <w:r w:rsidR="00BE2C62">
        <w:lastRenderedPageBreak/>
        <w:t>designed in the statute, services are intended to be team-based, peer and recovery-</w:t>
      </w:r>
      <w:r w:rsidR="000A7579">
        <w:t>focused</w:t>
      </w:r>
      <w:r w:rsidR="00BE2C62">
        <w:t>.  We are concerned that the model cost report</w:t>
      </w:r>
      <w:r w:rsidR="00F830A8">
        <w:t xml:space="preserve"> structure does not support the </w:t>
      </w:r>
      <w:r w:rsidR="00BE2C62">
        <w:t>overarching goals or assumptions of the demonstration program.</w:t>
      </w:r>
    </w:p>
    <w:p w14:paraId="0EC8460B" w14:textId="77777777" w:rsidR="00BE2C62" w:rsidRPr="00381254" w:rsidRDefault="00BE2C62" w:rsidP="00BE2C62">
      <w:pPr>
        <w:rPr>
          <w:sz w:val="22"/>
          <w:szCs w:val="22"/>
        </w:rPr>
      </w:pPr>
    </w:p>
    <w:p w14:paraId="3433DF00" w14:textId="6AD11414" w:rsidR="00933507" w:rsidRPr="00381254" w:rsidRDefault="00933507" w:rsidP="00BE2C62">
      <w:pPr>
        <w:rPr>
          <w:rFonts w:ascii="Arial" w:hAnsi="Arial" w:cs="Arial"/>
          <w:sz w:val="22"/>
          <w:szCs w:val="22"/>
        </w:rPr>
      </w:pPr>
      <w:r w:rsidRPr="00381254">
        <w:rPr>
          <w:rFonts w:ascii="Arial" w:hAnsi="Arial" w:cs="Arial"/>
          <w:b/>
          <w:sz w:val="22"/>
          <w:szCs w:val="22"/>
          <w:u w:val="single"/>
        </w:rPr>
        <w:t>CMS</w:t>
      </w:r>
      <w:r w:rsidR="00381254" w:rsidRPr="00381254">
        <w:rPr>
          <w:rFonts w:ascii="Arial" w:hAnsi="Arial" w:cs="Arial"/>
          <w:b/>
          <w:sz w:val="22"/>
          <w:szCs w:val="22"/>
          <w:u w:val="single"/>
        </w:rPr>
        <w:t xml:space="preserve"> Response</w:t>
      </w:r>
      <w:r w:rsidRPr="00381254">
        <w:rPr>
          <w:rFonts w:ascii="Arial" w:hAnsi="Arial" w:cs="Arial"/>
          <w:b/>
          <w:sz w:val="22"/>
          <w:szCs w:val="22"/>
          <w:u w:val="single"/>
        </w:rPr>
        <w:t>:</w:t>
      </w:r>
      <w:r w:rsidRPr="00381254">
        <w:rPr>
          <w:rFonts w:ascii="Arial" w:hAnsi="Arial" w:cs="Arial"/>
          <w:sz w:val="22"/>
          <w:szCs w:val="22"/>
        </w:rPr>
        <w:t xml:space="preserve"> This cost report </w:t>
      </w:r>
      <w:proofErr w:type="gramStart"/>
      <w:r w:rsidRPr="00381254">
        <w:rPr>
          <w:rFonts w:ascii="Arial" w:hAnsi="Arial" w:cs="Arial"/>
          <w:sz w:val="22"/>
          <w:szCs w:val="22"/>
        </w:rPr>
        <w:t>was developed</w:t>
      </w:r>
      <w:proofErr w:type="gramEnd"/>
      <w:r w:rsidRPr="00381254">
        <w:rPr>
          <w:rFonts w:ascii="Arial" w:hAnsi="Arial" w:cs="Arial"/>
          <w:sz w:val="22"/>
          <w:szCs w:val="22"/>
        </w:rPr>
        <w:t xml:space="preserve"> in accordance with regulation</w:t>
      </w:r>
      <w:r w:rsidR="000C5DF8" w:rsidRPr="00381254">
        <w:rPr>
          <w:rFonts w:ascii="Arial" w:hAnsi="Arial" w:cs="Arial"/>
          <w:sz w:val="22"/>
          <w:szCs w:val="22"/>
        </w:rPr>
        <w:t xml:space="preserve"> at 45 </w:t>
      </w:r>
      <w:proofErr w:type="spellStart"/>
      <w:r w:rsidR="000C5DF8" w:rsidRPr="00381254">
        <w:rPr>
          <w:rFonts w:ascii="Arial" w:hAnsi="Arial" w:cs="Arial"/>
          <w:sz w:val="22"/>
          <w:szCs w:val="22"/>
        </w:rPr>
        <w:t>CFR</w:t>
      </w:r>
      <w:proofErr w:type="spellEnd"/>
      <w:r w:rsidR="000C5DF8" w:rsidRPr="00381254">
        <w:rPr>
          <w:rFonts w:ascii="Arial" w:hAnsi="Arial" w:cs="Arial"/>
          <w:sz w:val="22"/>
          <w:szCs w:val="22"/>
        </w:rPr>
        <w:t xml:space="preserve"> </w:t>
      </w:r>
      <w:r w:rsidR="00381254">
        <w:rPr>
          <w:rFonts w:ascii="Arial" w:hAnsi="Arial" w:cs="Arial"/>
          <w:sz w:val="22"/>
          <w:szCs w:val="22"/>
        </w:rPr>
        <w:t xml:space="preserve">part </w:t>
      </w:r>
      <w:r w:rsidR="000C5DF8" w:rsidRPr="00381254">
        <w:rPr>
          <w:rFonts w:ascii="Arial" w:hAnsi="Arial" w:cs="Arial"/>
          <w:sz w:val="22"/>
          <w:szCs w:val="22"/>
        </w:rPr>
        <w:t xml:space="preserve">75 Uniform Administrative Requirements, Cost Principles, and Audit Requirements for </w:t>
      </w:r>
      <w:proofErr w:type="spellStart"/>
      <w:r w:rsidR="000C5DF8" w:rsidRPr="00381254">
        <w:rPr>
          <w:rFonts w:ascii="Arial" w:hAnsi="Arial" w:cs="Arial"/>
          <w:sz w:val="22"/>
          <w:szCs w:val="22"/>
        </w:rPr>
        <w:t>HHS</w:t>
      </w:r>
      <w:proofErr w:type="spellEnd"/>
      <w:r w:rsidR="000C5DF8" w:rsidRPr="00381254">
        <w:rPr>
          <w:rFonts w:ascii="Arial" w:hAnsi="Arial" w:cs="Arial"/>
          <w:sz w:val="22"/>
          <w:szCs w:val="22"/>
        </w:rPr>
        <w:t xml:space="preserve"> Awards and 42 </w:t>
      </w:r>
      <w:proofErr w:type="spellStart"/>
      <w:r w:rsidR="000C5DF8" w:rsidRPr="00381254">
        <w:rPr>
          <w:rFonts w:ascii="Arial" w:hAnsi="Arial" w:cs="Arial"/>
          <w:sz w:val="22"/>
          <w:szCs w:val="22"/>
        </w:rPr>
        <w:t>CFR</w:t>
      </w:r>
      <w:proofErr w:type="spellEnd"/>
      <w:r w:rsidR="000C5DF8" w:rsidRPr="00381254">
        <w:rPr>
          <w:rFonts w:ascii="Arial" w:hAnsi="Arial" w:cs="Arial"/>
          <w:sz w:val="22"/>
          <w:szCs w:val="22"/>
        </w:rPr>
        <w:t xml:space="preserve"> </w:t>
      </w:r>
      <w:r w:rsidR="00381254">
        <w:rPr>
          <w:rFonts w:ascii="Arial" w:hAnsi="Arial" w:cs="Arial"/>
          <w:sz w:val="22"/>
          <w:szCs w:val="22"/>
        </w:rPr>
        <w:t xml:space="preserve">part </w:t>
      </w:r>
      <w:r w:rsidR="000C5DF8" w:rsidRPr="00381254">
        <w:rPr>
          <w:rFonts w:ascii="Arial" w:hAnsi="Arial" w:cs="Arial"/>
          <w:sz w:val="22"/>
          <w:szCs w:val="22"/>
        </w:rPr>
        <w:t>413 Principles of Reasonable Cost Reimbursement</w:t>
      </w:r>
      <w:r w:rsidR="00873A45" w:rsidRPr="00381254" w:rsidDel="00873A45">
        <w:rPr>
          <w:rFonts w:ascii="Arial" w:hAnsi="Arial" w:cs="Arial"/>
          <w:sz w:val="22"/>
          <w:szCs w:val="22"/>
        </w:rPr>
        <w:t xml:space="preserve"> </w:t>
      </w:r>
      <w:r w:rsidR="00873A45" w:rsidRPr="00381254">
        <w:rPr>
          <w:rFonts w:ascii="Arial" w:hAnsi="Arial" w:cs="Arial"/>
          <w:sz w:val="22"/>
          <w:szCs w:val="22"/>
        </w:rPr>
        <w:t>c</w:t>
      </w:r>
      <w:r w:rsidRPr="00381254">
        <w:rPr>
          <w:rFonts w:ascii="Arial" w:hAnsi="Arial" w:cs="Arial"/>
          <w:sz w:val="22"/>
          <w:szCs w:val="22"/>
        </w:rPr>
        <w:t>oncerning the identification of allowed cost</w:t>
      </w:r>
      <w:r w:rsidR="0041315D" w:rsidRPr="00381254">
        <w:rPr>
          <w:rFonts w:ascii="Arial" w:hAnsi="Arial" w:cs="Arial"/>
          <w:sz w:val="22"/>
          <w:szCs w:val="22"/>
        </w:rPr>
        <w:t>s</w:t>
      </w:r>
      <w:r w:rsidRPr="00381254">
        <w:rPr>
          <w:rFonts w:ascii="Arial" w:hAnsi="Arial" w:cs="Arial"/>
          <w:sz w:val="22"/>
          <w:szCs w:val="22"/>
        </w:rPr>
        <w:t xml:space="preserve"> for the specific services authorized in statute for this demonstration. Section 4 of the PPS guidance contains cost reporting and documentation requirements.  Moreover, in developing the CMS </w:t>
      </w:r>
      <w:proofErr w:type="spellStart"/>
      <w:proofErr w:type="gramStart"/>
      <w:r w:rsidRPr="00381254">
        <w:rPr>
          <w:rFonts w:ascii="Arial" w:hAnsi="Arial" w:cs="Arial"/>
          <w:sz w:val="22"/>
          <w:szCs w:val="22"/>
        </w:rPr>
        <w:t>CCBHC</w:t>
      </w:r>
      <w:proofErr w:type="spellEnd"/>
      <w:proofErr w:type="gramEnd"/>
      <w:r w:rsidRPr="00381254">
        <w:rPr>
          <w:rFonts w:ascii="Arial" w:hAnsi="Arial" w:cs="Arial"/>
          <w:sz w:val="22"/>
          <w:szCs w:val="22"/>
        </w:rPr>
        <w:t xml:space="preserve"> cost report we reviewed cost reporting methods as shown in the Medicare </w:t>
      </w:r>
      <w:proofErr w:type="spellStart"/>
      <w:r w:rsidRPr="00381254">
        <w:rPr>
          <w:rFonts w:ascii="Arial" w:hAnsi="Arial" w:cs="Arial"/>
          <w:sz w:val="22"/>
          <w:szCs w:val="22"/>
        </w:rPr>
        <w:t>FQHC</w:t>
      </w:r>
      <w:proofErr w:type="spellEnd"/>
      <w:r w:rsidRPr="00381254">
        <w:rPr>
          <w:rFonts w:ascii="Arial" w:hAnsi="Arial" w:cs="Arial"/>
          <w:sz w:val="22"/>
          <w:szCs w:val="22"/>
        </w:rPr>
        <w:t xml:space="preserve"> Form 222 cost report and other cost reports such as the Medicare hospital cost report</w:t>
      </w:r>
      <w:r w:rsidR="00BA60D1" w:rsidRPr="00381254">
        <w:rPr>
          <w:rFonts w:ascii="Arial" w:hAnsi="Arial" w:cs="Arial"/>
          <w:sz w:val="22"/>
          <w:szCs w:val="22"/>
        </w:rPr>
        <w:t xml:space="preserve"> and </w:t>
      </w:r>
      <w:r w:rsidR="00E95BEB" w:rsidRPr="00381254">
        <w:rPr>
          <w:rFonts w:ascii="Arial" w:hAnsi="Arial" w:cs="Arial"/>
          <w:sz w:val="22"/>
          <w:szCs w:val="22"/>
        </w:rPr>
        <w:t xml:space="preserve">subsequently </w:t>
      </w:r>
      <w:r w:rsidR="00BA60D1" w:rsidRPr="00381254">
        <w:rPr>
          <w:rFonts w:ascii="Arial" w:hAnsi="Arial" w:cs="Arial"/>
          <w:sz w:val="22"/>
          <w:szCs w:val="22"/>
        </w:rPr>
        <w:t>created an</w:t>
      </w:r>
      <w:r w:rsidR="00873A45" w:rsidRPr="00381254">
        <w:rPr>
          <w:rFonts w:ascii="Arial" w:hAnsi="Arial" w:cs="Arial"/>
          <w:sz w:val="22"/>
          <w:szCs w:val="22"/>
        </w:rPr>
        <w:t xml:space="preserve"> </w:t>
      </w:r>
      <w:r w:rsidR="00BA60D1" w:rsidRPr="00381254">
        <w:rPr>
          <w:rFonts w:ascii="Arial" w:hAnsi="Arial" w:cs="Arial"/>
          <w:sz w:val="22"/>
          <w:szCs w:val="22"/>
        </w:rPr>
        <w:t xml:space="preserve">adaptation of these reports with specific reporting </w:t>
      </w:r>
      <w:r w:rsidR="0093181B" w:rsidRPr="00381254">
        <w:rPr>
          <w:rFonts w:ascii="Arial" w:hAnsi="Arial" w:cs="Arial"/>
          <w:sz w:val="22"/>
          <w:szCs w:val="22"/>
        </w:rPr>
        <w:t xml:space="preserve">fields for services authorized under this demonstration. </w:t>
      </w:r>
      <w:r w:rsidR="00BA60D1" w:rsidRPr="00381254">
        <w:rPr>
          <w:rFonts w:ascii="Arial" w:hAnsi="Arial" w:cs="Arial"/>
          <w:sz w:val="22"/>
          <w:szCs w:val="22"/>
        </w:rPr>
        <w:t xml:space="preserve">   </w:t>
      </w:r>
    </w:p>
    <w:p w14:paraId="576542D0" w14:textId="77777777" w:rsidR="005C73A3" w:rsidRPr="00381254" w:rsidRDefault="005C73A3" w:rsidP="005C73A3">
      <w:pPr>
        <w:ind w:left="360"/>
        <w:jc w:val="center"/>
        <w:rPr>
          <w:rFonts w:ascii="Arial" w:hAnsi="Arial" w:cs="Arial"/>
          <w:sz w:val="22"/>
          <w:szCs w:val="22"/>
        </w:rPr>
      </w:pPr>
      <w:r w:rsidRPr="00381254">
        <w:rPr>
          <w:rFonts w:ascii="Arial" w:hAnsi="Arial" w:cs="Arial"/>
        </w:rPr>
        <w:t>* * *</w:t>
      </w:r>
    </w:p>
    <w:p w14:paraId="62C10399" w14:textId="77777777" w:rsidR="005C73A3" w:rsidRPr="00381254" w:rsidRDefault="005C73A3" w:rsidP="005C73A3">
      <w:pPr>
        <w:rPr>
          <w:rFonts w:ascii="Arial" w:hAnsi="Arial" w:cs="Arial"/>
          <w:sz w:val="22"/>
          <w:szCs w:val="22"/>
        </w:rPr>
      </w:pPr>
    </w:p>
    <w:p w14:paraId="38C40180" w14:textId="77777777" w:rsidR="00BE2C62" w:rsidRDefault="00015F24" w:rsidP="00BE2C62">
      <w:pPr>
        <w:rPr>
          <w:b/>
        </w:rPr>
      </w:pPr>
      <w:r>
        <w:rPr>
          <w:b/>
        </w:rPr>
        <w:t>Cost Report Instructions</w:t>
      </w:r>
      <w:r w:rsidR="006E4AC8">
        <w:rPr>
          <w:b/>
        </w:rPr>
        <w:t xml:space="preserve"> Comments</w:t>
      </w:r>
    </w:p>
    <w:p w14:paraId="527A4C76" w14:textId="77777777" w:rsidR="00D47D7D" w:rsidRDefault="00D47D7D" w:rsidP="00BE2C62">
      <w:pPr>
        <w:rPr>
          <w:b/>
        </w:rPr>
      </w:pPr>
    </w:p>
    <w:p w14:paraId="38D43737" w14:textId="71CF2E77" w:rsidR="006B60F1" w:rsidRDefault="00C26007" w:rsidP="00BE2C62">
      <w:pPr>
        <w:rPr>
          <w:b/>
        </w:rPr>
      </w:pPr>
      <w:r>
        <w:rPr>
          <w:b/>
        </w:rPr>
        <w:t>Section 2</w:t>
      </w:r>
      <w:r w:rsidR="00717FC5">
        <w:rPr>
          <w:b/>
        </w:rPr>
        <w:t>:</w:t>
      </w:r>
      <w:r w:rsidR="006B60F1">
        <w:rPr>
          <w:b/>
        </w:rPr>
        <w:t xml:space="preserve"> </w:t>
      </w:r>
    </w:p>
    <w:p w14:paraId="4057057C" w14:textId="77777777" w:rsidR="00015F24" w:rsidRDefault="00A34AF9" w:rsidP="00BE2C62">
      <w:pPr>
        <w:rPr>
          <w:b/>
        </w:rPr>
      </w:pPr>
      <w:r>
        <w:rPr>
          <w:b/>
        </w:rPr>
        <w:t>Provider Informa</w:t>
      </w:r>
      <w:r w:rsidR="00F830A8">
        <w:rPr>
          <w:b/>
        </w:rPr>
        <w:t>tion Tab</w:t>
      </w:r>
    </w:p>
    <w:p w14:paraId="657A2AFB" w14:textId="77777777" w:rsidR="00265AAC" w:rsidRDefault="00F830A8" w:rsidP="00BE2C62">
      <w:r>
        <w:rPr>
          <w:b/>
        </w:rPr>
        <w:t xml:space="preserve">Page </w:t>
      </w:r>
      <w:proofErr w:type="gramStart"/>
      <w:r>
        <w:rPr>
          <w:b/>
        </w:rPr>
        <w:t>5</w:t>
      </w:r>
      <w:proofErr w:type="gramEnd"/>
      <w:r>
        <w:rPr>
          <w:b/>
        </w:rPr>
        <w:t xml:space="preserve">, </w:t>
      </w:r>
      <w:r w:rsidR="00BE2C62" w:rsidRPr="00015F24">
        <w:rPr>
          <w:b/>
        </w:rPr>
        <w:t>Line 9</w:t>
      </w:r>
      <w:r w:rsidR="00BE2C62">
        <w:t xml:space="preserve">: </w:t>
      </w:r>
      <w:r w:rsidR="00016848">
        <w:t xml:space="preserve">RE: </w:t>
      </w:r>
      <w:proofErr w:type="spellStart"/>
      <w:r w:rsidR="00016848">
        <w:t>NPI</w:t>
      </w:r>
      <w:proofErr w:type="spellEnd"/>
    </w:p>
    <w:p w14:paraId="1ACFBD39" w14:textId="7EB3B37A" w:rsidR="00BE2C62" w:rsidRDefault="00546212" w:rsidP="00BE2C62">
      <w:r w:rsidRPr="006230F0">
        <w:rPr>
          <w:b/>
          <w:u w:val="single"/>
        </w:rPr>
        <w:t>Comment:</w:t>
      </w:r>
      <w:r>
        <w:rPr>
          <w:b/>
          <w:u w:val="single"/>
        </w:rPr>
        <w:t xml:space="preserve"> </w:t>
      </w:r>
      <w:r w:rsidR="00BE2C62">
        <w:t>While it may seem straightforward to request a list of staff, this raises a question for us regarding the definition of visit and its differential treatm</w:t>
      </w:r>
      <w:r w:rsidR="005015BB">
        <w:t>ent and implications under PPS-</w:t>
      </w:r>
      <w:r w:rsidR="00BE2C62">
        <w:t>1</w:t>
      </w:r>
      <w:r w:rsidR="005015BB">
        <w:t xml:space="preserve"> and PPS-</w:t>
      </w:r>
      <w:r w:rsidR="00BE2C62">
        <w:t>2.  The goal of the statute is to increase quality and access.  The statute encourages new evidence-based mechanisms of deliveri</w:t>
      </w:r>
      <w:r w:rsidR="00C26007">
        <w:t>ng services; however,</w:t>
      </w:r>
      <w:r w:rsidR="00BE2C62">
        <w:t xml:space="preserve"> concern</w:t>
      </w:r>
      <w:r w:rsidR="00C26007">
        <w:t>s</w:t>
      </w:r>
      <w:r w:rsidR="00BE2C62">
        <w:t xml:space="preserve"> </w:t>
      </w:r>
      <w:r w:rsidR="00C26007">
        <w:t>arise when taking into consideration</w:t>
      </w:r>
      <w:r w:rsidR="000549EB">
        <w:t xml:space="preserve"> </w:t>
      </w:r>
      <w:r w:rsidR="006E4AC8">
        <w:t xml:space="preserve">real life </w:t>
      </w:r>
      <w:r w:rsidR="00C26007">
        <w:t>example</w:t>
      </w:r>
      <w:r w:rsidR="000549EB">
        <w:t>s such as the one</w:t>
      </w:r>
      <w:r w:rsidR="00C26007">
        <w:t xml:space="preserve"> of</w:t>
      </w:r>
      <w:r w:rsidR="00BE2C62">
        <w:t xml:space="preserve"> a psychiatric nurse </w:t>
      </w:r>
      <w:r w:rsidR="00015F24">
        <w:t xml:space="preserve">seeing a patient and administering an injection of </w:t>
      </w:r>
      <w:proofErr w:type="spellStart"/>
      <w:r w:rsidR="00015F24">
        <w:t>Prolixin</w:t>
      </w:r>
      <w:proofErr w:type="spellEnd"/>
      <w:r w:rsidR="006E4AC8">
        <w:t>;</w:t>
      </w:r>
      <w:r w:rsidR="00C26007">
        <w:t xml:space="preserve"> </w:t>
      </w:r>
      <w:r w:rsidR="006B60F1">
        <w:t>this</w:t>
      </w:r>
      <w:r w:rsidR="00C26007">
        <w:t xml:space="preserve"> </w:t>
      </w:r>
      <w:r w:rsidR="00015F24">
        <w:t xml:space="preserve">would </w:t>
      </w:r>
      <w:r w:rsidR="00016848">
        <w:t xml:space="preserve">presumably </w:t>
      </w:r>
      <w:r w:rsidR="00015F24">
        <w:t>not count as a vi</w:t>
      </w:r>
      <w:r w:rsidR="005015BB">
        <w:t>sit under PPS-</w:t>
      </w:r>
      <w:r w:rsidR="006B60F1">
        <w:t xml:space="preserve">1 </w:t>
      </w:r>
      <w:r w:rsidR="00016848">
        <w:t xml:space="preserve">or </w:t>
      </w:r>
      <w:r w:rsidR="005015BB">
        <w:t>under PPS-</w:t>
      </w:r>
      <w:r w:rsidR="00C26007" w:rsidRPr="00C26007">
        <w:t>2</w:t>
      </w:r>
      <w:r w:rsidR="00C26007" w:rsidRPr="0012424F">
        <w:t xml:space="preserve">. </w:t>
      </w:r>
      <w:r w:rsidR="00686DF6" w:rsidRPr="0012424F">
        <w:t>If the same definition of “visit” is used, there will be disparities in reimbursements.</w:t>
      </w:r>
      <w:r w:rsidR="00686DF6" w:rsidRPr="00686DF6">
        <w:t xml:space="preserve"> Under PPS-1, the costs of this </w:t>
      </w:r>
      <w:proofErr w:type="gramStart"/>
      <w:r w:rsidR="00686DF6" w:rsidRPr="00686DF6">
        <w:t>would clearly be counted</w:t>
      </w:r>
      <w:proofErr w:type="gramEnd"/>
      <w:r w:rsidR="00686DF6" w:rsidRPr="00686DF6">
        <w:t xml:space="preserve"> in setting the all-inclusive rate, but would not be counted as an encounter. </w:t>
      </w:r>
      <w:r w:rsidR="00016848">
        <w:t xml:space="preserve">Under </w:t>
      </w:r>
      <w:proofErr w:type="gramStart"/>
      <w:r w:rsidR="00016848">
        <w:t>PPS-2</w:t>
      </w:r>
      <w:proofErr w:type="gramEnd"/>
      <w:r w:rsidR="00016848">
        <w:t xml:space="preserve"> it would not count as an unduplicated monthly encounter since it is not a visit and therefore, the </w:t>
      </w:r>
      <w:proofErr w:type="spellStart"/>
      <w:r w:rsidR="00016848">
        <w:t>CCBHC</w:t>
      </w:r>
      <w:proofErr w:type="spellEnd"/>
      <w:r w:rsidR="00016848">
        <w:t xml:space="preserve"> would not receive payment. </w:t>
      </w:r>
    </w:p>
    <w:p w14:paraId="2E9AE59C" w14:textId="77777777" w:rsidR="005458D9" w:rsidRPr="00381254" w:rsidRDefault="005458D9" w:rsidP="00BE2C62">
      <w:pPr>
        <w:rPr>
          <w:sz w:val="22"/>
          <w:szCs w:val="22"/>
        </w:rPr>
      </w:pPr>
    </w:p>
    <w:p w14:paraId="07676A77" w14:textId="71FC3B26" w:rsidR="00BB213F" w:rsidRPr="00381254" w:rsidRDefault="00473719" w:rsidP="0012424F">
      <w:pPr>
        <w:rPr>
          <w:rFonts w:ascii="Arial" w:hAnsi="Arial" w:cs="Arial"/>
          <w:sz w:val="22"/>
          <w:szCs w:val="22"/>
        </w:rPr>
      </w:pPr>
      <w:r w:rsidRPr="00381254">
        <w:rPr>
          <w:rFonts w:ascii="Arial" w:hAnsi="Arial" w:cs="Arial"/>
          <w:b/>
          <w:sz w:val="22"/>
          <w:szCs w:val="22"/>
          <w:u w:val="single"/>
        </w:rPr>
        <w:t>CMS</w:t>
      </w:r>
      <w:r w:rsidR="00381254" w:rsidRPr="00381254">
        <w:rPr>
          <w:rFonts w:ascii="Arial" w:hAnsi="Arial" w:cs="Arial"/>
          <w:b/>
          <w:sz w:val="22"/>
          <w:szCs w:val="22"/>
          <w:u w:val="single"/>
        </w:rPr>
        <w:t xml:space="preserve"> Response</w:t>
      </w:r>
      <w:r w:rsidRPr="00381254">
        <w:rPr>
          <w:rFonts w:ascii="Arial" w:hAnsi="Arial" w:cs="Arial"/>
          <w:b/>
          <w:sz w:val="22"/>
          <w:szCs w:val="22"/>
          <w:u w:val="single"/>
        </w:rPr>
        <w:t>:</w:t>
      </w:r>
      <w:r w:rsidR="0012424F" w:rsidRPr="00381254">
        <w:rPr>
          <w:rFonts w:ascii="Arial" w:hAnsi="Arial" w:cs="Arial"/>
          <w:sz w:val="22"/>
          <w:szCs w:val="22"/>
        </w:rPr>
        <w:t xml:space="preserve"> The commenter appears to be making the point that</w:t>
      </w:r>
      <w:r w:rsidR="00BB213F" w:rsidRPr="00381254">
        <w:rPr>
          <w:rFonts w:ascii="Arial" w:hAnsi="Arial" w:cs="Arial"/>
          <w:sz w:val="22"/>
          <w:szCs w:val="22"/>
        </w:rPr>
        <w:t xml:space="preserve"> a payable demonstration visit </w:t>
      </w:r>
      <w:r w:rsidR="00187663" w:rsidRPr="00381254">
        <w:rPr>
          <w:rFonts w:ascii="Arial" w:hAnsi="Arial" w:cs="Arial"/>
          <w:sz w:val="22"/>
          <w:szCs w:val="22"/>
        </w:rPr>
        <w:t>may</w:t>
      </w:r>
      <w:r w:rsidR="00BB213F" w:rsidRPr="00381254">
        <w:rPr>
          <w:rFonts w:ascii="Arial" w:hAnsi="Arial" w:cs="Arial"/>
          <w:sz w:val="22"/>
          <w:szCs w:val="22"/>
        </w:rPr>
        <w:t xml:space="preserve"> not</w:t>
      </w:r>
      <w:r w:rsidR="00187663" w:rsidRPr="00381254">
        <w:rPr>
          <w:rFonts w:ascii="Arial" w:hAnsi="Arial" w:cs="Arial"/>
          <w:sz w:val="22"/>
          <w:szCs w:val="22"/>
        </w:rPr>
        <w:t xml:space="preserve"> occur</w:t>
      </w:r>
      <w:r w:rsidR="00BB213F" w:rsidRPr="00381254">
        <w:rPr>
          <w:rFonts w:ascii="Arial" w:hAnsi="Arial" w:cs="Arial"/>
          <w:sz w:val="22"/>
          <w:szCs w:val="22"/>
        </w:rPr>
        <w:t xml:space="preserve"> for all of the activities related to costs reimbursed through the PPS rate. </w:t>
      </w:r>
      <w:r w:rsidR="00187663" w:rsidRPr="00381254">
        <w:rPr>
          <w:rFonts w:ascii="Arial" w:hAnsi="Arial" w:cs="Arial"/>
          <w:sz w:val="22"/>
          <w:szCs w:val="22"/>
        </w:rPr>
        <w:t xml:space="preserve">CMS responds to this concern by re-stating that the </w:t>
      </w:r>
      <w:proofErr w:type="spellStart"/>
      <w:r w:rsidR="00187663" w:rsidRPr="00381254">
        <w:rPr>
          <w:rFonts w:ascii="Arial" w:hAnsi="Arial" w:cs="Arial"/>
          <w:sz w:val="22"/>
          <w:szCs w:val="22"/>
        </w:rPr>
        <w:t>CCBHC</w:t>
      </w:r>
      <w:proofErr w:type="spellEnd"/>
      <w:r w:rsidR="00187663" w:rsidRPr="00381254">
        <w:rPr>
          <w:rFonts w:ascii="Arial" w:hAnsi="Arial" w:cs="Arial"/>
          <w:sz w:val="22"/>
          <w:szCs w:val="22"/>
        </w:rPr>
        <w:t xml:space="preserve"> PPS rate </w:t>
      </w:r>
      <w:proofErr w:type="gramStart"/>
      <w:r w:rsidR="00187663" w:rsidRPr="00381254">
        <w:rPr>
          <w:rFonts w:ascii="Arial" w:hAnsi="Arial" w:cs="Arial"/>
          <w:sz w:val="22"/>
          <w:szCs w:val="22"/>
        </w:rPr>
        <w:t>is intended</w:t>
      </w:r>
      <w:proofErr w:type="gramEnd"/>
      <w:r w:rsidR="00187663" w:rsidRPr="00381254">
        <w:rPr>
          <w:rFonts w:ascii="Arial" w:hAnsi="Arial" w:cs="Arial"/>
          <w:sz w:val="22"/>
          <w:szCs w:val="22"/>
        </w:rPr>
        <w:t xml:space="preserve"> to reimburse the </w:t>
      </w:r>
      <w:r w:rsidR="00187663" w:rsidRPr="00381254">
        <w:rPr>
          <w:rFonts w:ascii="Arial" w:hAnsi="Arial" w:cs="Arial"/>
          <w:i/>
          <w:sz w:val="22"/>
          <w:szCs w:val="22"/>
        </w:rPr>
        <w:t xml:space="preserve">expected </w:t>
      </w:r>
      <w:r w:rsidR="00187663" w:rsidRPr="00381254">
        <w:rPr>
          <w:rFonts w:ascii="Arial" w:hAnsi="Arial" w:cs="Arial"/>
          <w:sz w:val="22"/>
          <w:szCs w:val="22"/>
        </w:rPr>
        <w:t xml:space="preserve">cost of care, which may vary from the actual cost of care. The CMS </w:t>
      </w:r>
      <w:proofErr w:type="spellStart"/>
      <w:r w:rsidR="00187663" w:rsidRPr="00381254">
        <w:rPr>
          <w:rFonts w:ascii="Arial" w:hAnsi="Arial" w:cs="Arial"/>
          <w:sz w:val="22"/>
          <w:szCs w:val="22"/>
        </w:rPr>
        <w:t>CCBHC</w:t>
      </w:r>
      <w:proofErr w:type="spellEnd"/>
      <w:r w:rsidR="00187663" w:rsidRPr="00381254">
        <w:rPr>
          <w:rFonts w:ascii="Arial" w:hAnsi="Arial" w:cs="Arial"/>
          <w:sz w:val="22"/>
          <w:szCs w:val="22"/>
        </w:rPr>
        <w:t xml:space="preserve"> cost report </w:t>
      </w:r>
      <w:proofErr w:type="gramStart"/>
      <w:r w:rsidR="00187663" w:rsidRPr="00381254">
        <w:rPr>
          <w:rFonts w:ascii="Arial" w:hAnsi="Arial" w:cs="Arial"/>
          <w:sz w:val="22"/>
          <w:szCs w:val="22"/>
        </w:rPr>
        <w:t>is designed</w:t>
      </w:r>
      <w:proofErr w:type="gramEnd"/>
      <w:r w:rsidR="00187663" w:rsidRPr="00381254">
        <w:rPr>
          <w:rFonts w:ascii="Arial" w:hAnsi="Arial" w:cs="Arial"/>
          <w:sz w:val="22"/>
          <w:szCs w:val="22"/>
        </w:rPr>
        <w:t xml:space="preserve"> to allow clinics to report all cost, including expected cost, necessary for the state to determine the rate</w:t>
      </w:r>
      <w:r w:rsidR="00816FCD" w:rsidRPr="00381254">
        <w:rPr>
          <w:rFonts w:ascii="Arial" w:hAnsi="Arial" w:cs="Arial"/>
          <w:sz w:val="22"/>
          <w:szCs w:val="22"/>
        </w:rPr>
        <w:t xml:space="preserve"> for both PPS-1 and PPS-2</w:t>
      </w:r>
      <w:r w:rsidR="00187663" w:rsidRPr="00381254">
        <w:rPr>
          <w:rFonts w:ascii="Arial" w:hAnsi="Arial" w:cs="Arial"/>
          <w:sz w:val="22"/>
          <w:szCs w:val="22"/>
        </w:rPr>
        <w:t>. No change</w:t>
      </w:r>
      <w:r w:rsidR="00EE0235" w:rsidRPr="00381254">
        <w:rPr>
          <w:rFonts w:ascii="Arial" w:hAnsi="Arial" w:cs="Arial"/>
          <w:sz w:val="22"/>
          <w:szCs w:val="22"/>
        </w:rPr>
        <w:t xml:space="preserve"> </w:t>
      </w:r>
      <w:proofErr w:type="gramStart"/>
      <w:r w:rsidR="00EE0235" w:rsidRPr="00381254">
        <w:rPr>
          <w:rFonts w:ascii="Arial" w:hAnsi="Arial" w:cs="Arial"/>
          <w:sz w:val="22"/>
          <w:szCs w:val="22"/>
        </w:rPr>
        <w:t>was</w:t>
      </w:r>
      <w:r w:rsidR="00187663" w:rsidRPr="00381254">
        <w:rPr>
          <w:rFonts w:ascii="Arial" w:hAnsi="Arial" w:cs="Arial"/>
          <w:sz w:val="22"/>
          <w:szCs w:val="22"/>
        </w:rPr>
        <w:t xml:space="preserve"> made</w:t>
      </w:r>
      <w:proofErr w:type="gramEnd"/>
      <w:r w:rsidR="00187663" w:rsidRPr="00381254">
        <w:rPr>
          <w:rFonts w:ascii="Arial" w:hAnsi="Arial" w:cs="Arial"/>
          <w:sz w:val="22"/>
          <w:szCs w:val="22"/>
        </w:rPr>
        <w:t xml:space="preserve"> to the cost report</w:t>
      </w:r>
      <w:r w:rsidR="00EE0235" w:rsidRPr="00381254">
        <w:rPr>
          <w:rFonts w:ascii="Arial" w:hAnsi="Arial" w:cs="Arial"/>
          <w:sz w:val="22"/>
          <w:szCs w:val="22"/>
        </w:rPr>
        <w:t xml:space="preserve"> in response to this comment</w:t>
      </w:r>
      <w:r w:rsidR="002251E9" w:rsidRPr="00381254">
        <w:rPr>
          <w:rFonts w:ascii="Arial" w:hAnsi="Arial" w:cs="Arial"/>
          <w:sz w:val="22"/>
          <w:szCs w:val="22"/>
        </w:rPr>
        <w:t>.</w:t>
      </w:r>
      <w:r w:rsidR="00187663" w:rsidRPr="00381254">
        <w:rPr>
          <w:rFonts w:ascii="Arial" w:hAnsi="Arial" w:cs="Arial"/>
          <w:sz w:val="22"/>
          <w:szCs w:val="22"/>
        </w:rPr>
        <w:t xml:space="preserve">  </w:t>
      </w:r>
    </w:p>
    <w:p w14:paraId="0C2C49A0" w14:textId="77777777" w:rsidR="005C73A3" w:rsidRPr="00381254" w:rsidRDefault="005C73A3" w:rsidP="005C73A3">
      <w:pPr>
        <w:ind w:left="360"/>
        <w:jc w:val="center"/>
        <w:rPr>
          <w:rFonts w:ascii="Arial" w:hAnsi="Arial" w:cs="Arial"/>
          <w:sz w:val="22"/>
          <w:szCs w:val="22"/>
        </w:rPr>
      </w:pPr>
      <w:r w:rsidRPr="00381254">
        <w:rPr>
          <w:rFonts w:ascii="Arial" w:hAnsi="Arial" w:cs="Arial"/>
        </w:rPr>
        <w:t>* * *</w:t>
      </w:r>
    </w:p>
    <w:p w14:paraId="256C1413" w14:textId="77777777" w:rsidR="00473719" w:rsidRPr="00381254" w:rsidRDefault="00473719" w:rsidP="00BE2C62">
      <w:pPr>
        <w:rPr>
          <w:b/>
          <w:sz w:val="22"/>
          <w:szCs w:val="22"/>
        </w:rPr>
      </w:pPr>
    </w:p>
    <w:p w14:paraId="3E4AE343" w14:textId="77777777" w:rsidR="00265AAC" w:rsidRDefault="00F830A8" w:rsidP="00BE2C62">
      <w:r>
        <w:rPr>
          <w:b/>
        </w:rPr>
        <w:lastRenderedPageBreak/>
        <w:t xml:space="preserve">Page </w:t>
      </w:r>
      <w:proofErr w:type="gramStart"/>
      <w:r>
        <w:rPr>
          <w:b/>
        </w:rPr>
        <w:t>5</w:t>
      </w:r>
      <w:proofErr w:type="gramEnd"/>
      <w:r>
        <w:rPr>
          <w:b/>
        </w:rPr>
        <w:t xml:space="preserve">, </w:t>
      </w:r>
      <w:r w:rsidR="00BE2C62" w:rsidRPr="00015F24">
        <w:rPr>
          <w:b/>
        </w:rPr>
        <w:t>Line 9</w:t>
      </w:r>
      <w:r w:rsidR="00BE2C62">
        <w:t xml:space="preserve">: </w:t>
      </w:r>
      <w:r w:rsidR="00016848">
        <w:t xml:space="preserve">RE: </w:t>
      </w:r>
      <w:proofErr w:type="spellStart"/>
      <w:r w:rsidR="00016848">
        <w:t>NPI</w:t>
      </w:r>
      <w:proofErr w:type="spellEnd"/>
    </w:p>
    <w:p w14:paraId="59FD4A52" w14:textId="4186D86F" w:rsidR="00BE2C62" w:rsidRDefault="00546212" w:rsidP="00BE2C62">
      <w:r w:rsidRPr="006230F0">
        <w:rPr>
          <w:b/>
          <w:u w:val="single"/>
        </w:rPr>
        <w:t>Comment:</w:t>
      </w:r>
      <w:r>
        <w:rPr>
          <w:b/>
          <w:u w:val="single"/>
        </w:rPr>
        <w:t xml:space="preserve"> </w:t>
      </w:r>
      <w:r w:rsidR="00BE2C62">
        <w:t xml:space="preserve">The model cost report assumes that all practitioners in a </w:t>
      </w:r>
      <w:proofErr w:type="spellStart"/>
      <w:r w:rsidR="00BE2C62">
        <w:t>CCBHC</w:t>
      </w:r>
      <w:proofErr w:type="spellEnd"/>
      <w:r w:rsidR="00BE2C62">
        <w:t xml:space="preserve"> would have an </w:t>
      </w:r>
      <w:proofErr w:type="spellStart"/>
      <w:r w:rsidR="00BE2C62">
        <w:t>NPI</w:t>
      </w:r>
      <w:proofErr w:type="spellEnd"/>
      <w:r w:rsidR="00BE2C62">
        <w:t xml:space="preserve">. This is inconsistent with current practice and with the required services that a </w:t>
      </w:r>
      <w:proofErr w:type="spellStart"/>
      <w:r w:rsidR="00BE2C62">
        <w:t>CCBHC</w:t>
      </w:r>
      <w:proofErr w:type="spellEnd"/>
      <w:r w:rsidR="00BE2C62">
        <w:t xml:space="preserve"> must provide.  </w:t>
      </w:r>
      <w:proofErr w:type="gramStart"/>
      <w:r w:rsidR="00BE2C62">
        <w:t>In most states</w:t>
      </w:r>
      <w:r w:rsidR="00C26007">
        <w:t>,</w:t>
      </w:r>
      <w:r w:rsidR="00BE2C62">
        <w:t xml:space="preserve"> the facility is licensed and submits all claims for both the professional and para-professional staff th</w:t>
      </w:r>
      <w:r w:rsidR="006E4AC8">
        <w:t>at work for that organization</w:t>
      </w:r>
      <w:r w:rsidR="000A7579">
        <w:t xml:space="preserve"> under the organization </w:t>
      </w:r>
      <w:proofErr w:type="spellStart"/>
      <w:r w:rsidR="000A7579">
        <w:t>NPI</w:t>
      </w:r>
      <w:proofErr w:type="spellEnd"/>
      <w:r w:rsidR="006E4AC8">
        <w:t>.</w:t>
      </w:r>
      <w:proofErr w:type="gramEnd"/>
      <w:r w:rsidR="006E4AC8">
        <w:t xml:space="preserve">  </w:t>
      </w:r>
      <w:r w:rsidR="00BE2C62">
        <w:t>It is highly unlikely that case aids, mobile crisis teams, drivers or peer provide</w:t>
      </w:r>
      <w:r w:rsidR="000A7579">
        <w:t xml:space="preserve">rs would be able to obtain </w:t>
      </w:r>
      <w:proofErr w:type="spellStart"/>
      <w:r w:rsidR="000A7579">
        <w:t>NPIs</w:t>
      </w:r>
      <w:proofErr w:type="spellEnd"/>
      <w:r w:rsidR="000A7579">
        <w:t xml:space="preserve"> and t</w:t>
      </w:r>
      <w:r w:rsidR="00BE2C62">
        <w:t xml:space="preserve">he statute requires the utilization of these types of professionals.  A </w:t>
      </w:r>
      <w:proofErr w:type="spellStart"/>
      <w:r w:rsidR="00BE2C62">
        <w:t>CCBHC</w:t>
      </w:r>
      <w:proofErr w:type="spellEnd"/>
      <w:r w:rsidR="00BE2C62">
        <w:t xml:space="preserve"> may not be able to submit a cost report with the required </w:t>
      </w:r>
      <w:proofErr w:type="spellStart"/>
      <w:r w:rsidR="00BE2C62">
        <w:t>NPI</w:t>
      </w:r>
      <w:proofErr w:type="spellEnd"/>
      <w:r w:rsidR="00BE2C62">
        <w:t xml:space="preserve"> information, thus making the</w:t>
      </w:r>
      <w:r w:rsidR="001C6140">
        <w:t xml:space="preserve"> </w:t>
      </w:r>
      <w:r w:rsidR="006E4AC8">
        <w:t xml:space="preserve">desk audit </w:t>
      </w:r>
      <w:r w:rsidR="001C6140">
        <w:t xml:space="preserve">of its </w:t>
      </w:r>
      <w:r w:rsidR="00BE2C62">
        <w:t xml:space="preserve">cost report deemed incomplete. </w:t>
      </w:r>
    </w:p>
    <w:p w14:paraId="6519027B" w14:textId="77777777" w:rsidR="000344D0" w:rsidRPr="00381254" w:rsidRDefault="000344D0" w:rsidP="00BE2C62">
      <w:pPr>
        <w:rPr>
          <w:sz w:val="22"/>
          <w:szCs w:val="22"/>
        </w:rPr>
      </w:pPr>
    </w:p>
    <w:p w14:paraId="0B810898" w14:textId="72A46661" w:rsidR="002251E9" w:rsidRPr="00381254" w:rsidRDefault="00473719" w:rsidP="00BE2C62">
      <w:pPr>
        <w:rPr>
          <w:rFonts w:ascii="Arial" w:hAnsi="Arial" w:cs="Arial"/>
          <w:sz w:val="22"/>
          <w:szCs w:val="22"/>
        </w:rPr>
      </w:pPr>
      <w:r w:rsidRPr="00381254">
        <w:rPr>
          <w:rFonts w:ascii="Arial" w:hAnsi="Arial" w:cs="Arial"/>
          <w:b/>
          <w:sz w:val="22"/>
          <w:szCs w:val="22"/>
          <w:u w:val="single"/>
        </w:rPr>
        <w:t>CMS</w:t>
      </w:r>
      <w:r w:rsidR="00381254" w:rsidRPr="00381254">
        <w:rPr>
          <w:rFonts w:ascii="Arial" w:hAnsi="Arial" w:cs="Arial"/>
          <w:b/>
          <w:sz w:val="22"/>
          <w:szCs w:val="22"/>
          <w:u w:val="single"/>
        </w:rPr>
        <w:t xml:space="preserve"> Response</w:t>
      </w:r>
      <w:r w:rsidRPr="00381254">
        <w:rPr>
          <w:rFonts w:ascii="Arial" w:hAnsi="Arial" w:cs="Arial"/>
          <w:b/>
          <w:sz w:val="22"/>
          <w:szCs w:val="22"/>
          <w:u w:val="single"/>
        </w:rPr>
        <w:t>:</w:t>
      </w:r>
      <w:r w:rsidRPr="00381254">
        <w:rPr>
          <w:rFonts w:ascii="Arial" w:hAnsi="Arial" w:cs="Arial"/>
          <w:sz w:val="22"/>
          <w:szCs w:val="22"/>
        </w:rPr>
        <w:t xml:space="preserve"> </w:t>
      </w:r>
      <w:r w:rsidR="002251E9" w:rsidRPr="00381254">
        <w:rPr>
          <w:rFonts w:ascii="Arial" w:hAnsi="Arial" w:cs="Arial"/>
          <w:sz w:val="22"/>
          <w:szCs w:val="22"/>
        </w:rPr>
        <w:t>The commenter asserts that CMS wrongly assumes</w:t>
      </w:r>
      <w:r w:rsidR="00090DA6" w:rsidRPr="00381254">
        <w:rPr>
          <w:rFonts w:ascii="Arial" w:hAnsi="Arial" w:cs="Arial"/>
          <w:sz w:val="22"/>
          <w:szCs w:val="22"/>
        </w:rPr>
        <w:t xml:space="preserve"> </w:t>
      </w:r>
      <w:r w:rsidR="002251E9" w:rsidRPr="00381254">
        <w:rPr>
          <w:rFonts w:ascii="Arial" w:hAnsi="Arial" w:cs="Arial"/>
          <w:sz w:val="22"/>
          <w:szCs w:val="22"/>
        </w:rPr>
        <w:t xml:space="preserve">all practitioners will have an </w:t>
      </w:r>
      <w:proofErr w:type="spellStart"/>
      <w:r w:rsidR="002251E9" w:rsidRPr="00381254">
        <w:rPr>
          <w:rFonts w:ascii="Arial" w:hAnsi="Arial" w:cs="Arial"/>
          <w:sz w:val="22"/>
          <w:szCs w:val="22"/>
        </w:rPr>
        <w:t>NPI</w:t>
      </w:r>
      <w:proofErr w:type="spellEnd"/>
      <w:r w:rsidR="002251E9" w:rsidRPr="00381254">
        <w:rPr>
          <w:rFonts w:ascii="Arial" w:hAnsi="Arial" w:cs="Arial"/>
          <w:sz w:val="22"/>
          <w:szCs w:val="22"/>
        </w:rPr>
        <w:t xml:space="preserve"> and that</w:t>
      </w:r>
      <w:r w:rsidR="00090DA6" w:rsidRPr="00381254">
        <w:rPr>
          <w:rFonts w:ascii="Arial" w:hAnsi="Arial" w:cs="Arial"/>
          <w:sz w:val="22"/>
          <w:szCs w:val="22"/>
        </w:rPr>
        <w:t>,</w:t>
      </w:r>
      <w:r w:rsidR="002251E9" w:rsidRPr="00381254">
        <w:rPr>
          <w:rFonts w:ascii="Arial" w:hAnsi="Arial" w:cs="Arial"/>
          <w:sz w:val="22"/>
          <w:szCs w:val="22"/>
        </w:rPr>
        <w:t xml:space="preserve"> absent this information</w:t>
      </w:r>
      <w:r w:rsidR="00090DA6" w:rsidRPr="00381254">
        <w:rPr>
          <w:rFonts w:ascii="Arial" w:hAnsi="Arial" w:cs="Arial"/>
          <w:sz w:val="22"/>
          <w:szCs w:val="22"/>
        </w:rPr>
        <w:t>,</w:t>
      </w:r>
      <w:r w:rsidR="002251E9" w:rsidRPr="00381254">
        <w:rPr>
          <w:rFonts w:ascii="Arial" w:hAnsi="Arial" w:cs="Arial"/>
          <w:sz w:val="22"/>
          <w:szCs w:val="22"/>
        </w:rPr>
        <w:t xml:space="preserve"> a clinic’s cost report would be “deemed incomplete.”</w:t>
      </w:r>
    </w:p>
    <w:p w14:paraId="703375E0" w14:textId="77777777" w:rsidR="00090DA6" w:rsidRPr="00381254" w:rsidRDefault="00090DA6" w:rsidP="00BE2C62">
      <w:pPr>
        <w:rPr>
          <w:rFonts w:ascii="Arial" w:hAnsi="Arial" w:cs="Arial"/>
          <w:sz w:val="22"/>
          <w:szCs w:val="22"/>
        </w:rPr>
      </w:pPr>
    </w:p>
    <w:p w14:paraId="013DF73C" w14:textId="77777777" w:rsidR="002251E9" w:rsidRPr="00381254" w:rsidRDefault="0098449D" w:rsidP="00BE2C62">
      <w:pPr>
        <w:rPr>
          <w:rFonts w:ascii="Arial" w:hAnsi="Arial" w:cs="Arial"/>
          <w:sz w:val="22"/>
          <w:szCs w:val="22"/>
        </w:rPr>
      </w:pPr>
      <w:r w:rsidRPr="00381254">
        <w:rPr>
          <w:rFonts w:ascii="Arial" w:hAnsi="Arial" w:cs="Arial"/>
          <w:sz w:val="22"/>
          <w:szCs w:val="22"/>
        </w:rPr>
        <w:t xml:space="preserve">In response to this </w:t>
      </w:r>
      <w:proofErr w:type="gramStart"/>
      <w:r w:rsidRPr="00381254">
        <w:rPr>
          <w:rFonts w:ascii="Arial" w:hAnsi="Arial" w:cs="Arial"/>
          <w:sz w:val="22"/>
          <w:szCs w:val="22"/>
        </w:rPr>
        <w:t>comment</w:t>
      </w:r>
      <w:proofErr w:type="gramEnd"/>
      <w:r w:rsidRPr="00381254">
        <w:rPr>
          <w:rFonts w:ascii="Arial" w:hAnsi="Arial" w:cs="Arial"/>
          <w:sz w:val="22"/>
          <w:szCs w:val="22"/>
        </w:rPr>
        <w:t xml:space="preserve"> </w:t>
      </w:r>
      <w:r w:rsidR="00090DA6" w:rsidRPr="00381254">
        <w:rPr>
          <w:rFonts w:ascii="Arial" w:hAnsi="Arial" w:cs="Arial"/>
          <w:sz w:val="22"/>
          <w:szCs w:val="22"/>
        </w:rPr>
        <w:t>CMS has modified the cost report instructions</w:t>
      </w:r>
      <w:r w:rsidRPr="00381254">
        <w:rPr>
          <w:rFonts w:ascii="Arial" w:hAnsi="Arial" w:cs="Arial"/>
          <w:sz w:val="22"/>
          <w:szCs w:val="22"/>
        </w:rPr>
        <w:t>, though not the cost report,</w:t>
      </w:r>
      <w:r w:rsidR="00090DA6" w:rsidRPr="00381254">
        <w:rPr>
          <w:rFonts w:ascii="Arial" w:hAnsi="Arial" w:cs="Arial"/>
          <w:sz w:val="22"/>
          <w:szCs w:val="22"/>
        </w:rPr>
        <w:t xml:space="preserve"> to clarify that a clinic must report all practitioner </w:t>
      </w:r>
      <w:proofErr w:type="spellStart"/>
      <w:r w:rsidR="00090DA6" w:rsidRPr="00381254">
        <w:rPr>
          <w:rFonts w:ascii="Arial" w:hAnsi="Arial" w:cs="Arial"/>
          <w:sz w:val="22"/>
          <w:szCs w:val="22"/>
        </w:rPr>
        <w:t>NPIs</w:t>
      </w:r>
      <w:proofErr w:type="spellEnd"/>
      <w:r w:rsidRPr="00381254">
        <w:rPr>
          <w:rFonts w:ascii="Arial" w:hAnsi="Arial" w:cs="Arial"/>
          <w:sz w:val="22"/>
          <w:szCs w:val="22"/>
        </w:rPr>
        <w:t xml:space="preserve"> but only</w:t>
      </w:r>
      <w:r w:rsidR="00090DA6" w:rsidRPr="00381254">
        <w:rPr>
          <w:rFonts w:ascii="Arial" w:hAnsi="Arial" w:cs="Arial"/>
          <w:sz w:val="22"/>
          <w:szCs w:val="22"/>
        </w:rPr>
        <w:t xml:space="preserve"> to the extent this information is available.</w:t>
      </w:r>
      <w:r w:rsidRPr="00381254">
        <w:rPr>
          <w:rFonts w:ascii="Arial" w:hAnsi="Arial" w:cs="Arial"/>
          <w:sz w:val="22"/>
          <w:szCs w:val="22"/>
        </w:rPr>
        <w:t xml:space="preserve"> We will continue to require reporting of </w:t>
      </w:r>
      <w:proofErr w:type="spellStart"/>
      <w:r w:rsidRPr="00381254">
        <w:rPr>
          <w:rFonts w:ascii="Arial" w:hAnsi="Arial" w:cs="Arial"/>
          <w:sz w:val="22"/>
          <w:szCs w:val="22"/>
        </w:rPr>
        <w:t>NPIs</w:t>
      </w:r>
      <w:proofErr w:type="spellEnd"/>
      <w:r w:rsidRPr="00381254">
        <w:rPr>
          <w:rFonts w:ascii="Arial" w:hAnsi="Arial" w:cs="Arial"/>
          <w:sz w:val="22"/>
          <w:szCs w:val="22"/>
        </w:rPr>
        <w:t xml:space="preserve"> for the following reasons.</w:t>
      </w:r>
    </w:p>
    <w:p w14:paraId="414258CB" w14:textId="77777777" w:rsidR="00090DA6" w:rsidRPr="00381254" w:rsidRDefault="00090DA6" w:rsidP="00BE2C62">
      <w:pPr>
        <w:rPr>
          <w:rFonts w:ascii="Arial" w:hAnsi="Arial" w:cs="Arial"/>
          <w:sz w:val="22"/>
          <w:szCs w:val="22"/>
        </w:rPr>
      </w:pPr>
    </w:p>
    <w:p w14:paraId="29552CBB" w14:textId="77777777" w:rsidR="000344D0" w:rsidRPr="00381254" w:rsidRDefault="00D262D0" w:rsidP="00BE2C62">
      <w:pPr>
        <w:rPr>
          <w:rFonts w:ascii="Arial" w:hAnsi="Arial" w:cs="Arial"/>
          <w:sz w:val="22"/>
          <w:szCs w:val="22"/>
        </w:rPr>
      </w:pPr>
      <w:r w:rsidRPr="00381254">
        <w:rPr>
          <w:rFonts w:ascii="Arial" w:hAnsi="Arial" w:cs="Arial"/>
          <w:sz w:val="22"/>
          <w:szCs w:val="22"/>
        </w:rPr>
        <w:t>Collecting the</w:t>
      </w:r>
      <w:r w:rsidR="00473719" w:rsidRPr="00381254">
        <w:rPr>
          <w:rFonts w:ascii="Arial" w:hAnsi="Arial" w:cs="Arial"/>
          <w:sz w:val="22"/>
          <w:szCs w:val="22"/>
        </w:rPr>
        <w:t xml:space="preserve"> </w:t>
      </w:r>
      <w:proofErr w:type="spellStart"/>
      <w:r w:rsidR="00473719" w:rsidRPr="00381254">
        <w:rPr>
          <w:rFonts w:ascii="Arial" w:hAnsi="Arial" w:cs="Arial"/>
          <w:sz w:val="22"/>
          <w:szCs w:val="22"/>
        </w:rPr>
        <w:t>NPI</w:t>
      </w:r>
      <w:proofErr w:type="spellEnd"/>
      <w:r w:rsidR="00473719" w:rsidRPr="00381254">
        <w:rPr>
          <w:rFonts w:ascii="Arial" w:hAnsi="Arial" w:cs="Arial"/>
          <w:sz w:val="22"/>
          <w:szCs w:val="22"/>
        </w:rPr>
        <w:t xml:space="preserve"> on the </w:t>
      </w:r>
      <w:proofErr w:type="spellStart"/>
      <w:r w:rsidR="00473719" w:rsidRPr="00381254">
        <w:rPr>
          <w:rFonts w:ascii="Arial" w:hAnsi="Arial" w:cs="Arial"/>
          <w:sz w:val="22"/>
          <w:szCs w:val="22"/>
        </w:rPr>
        <w:t>CCBHC</w:t>
      </w:r>
      <w:proofErr w:type="spellEnd"/>
      <w:r w:rsidR="00473719" w:rsidRPr="00381254">
        <w:rPr>
          <w:rFonts w:ascii="Arial" w:hAnsi="Arial" w:cs="Arial"/>
          <w:sz w:val="22"/>
          <w:szCs w:val="22"/>
        </w:rPr>
        <w:t xml:space="preserve"> cost report promotes program inte</w:t>
      </w:r>
      <w:r w:rsidRPr="00381254">
        <w:rPr>
          <w:rFonts w:ascii="Arial" w:hAnsi="Arial" w:cs="Arial"/>
          <w:sz w:val="22"/>
          <w:szCs w:val="22"/>
        </w:rPr>
        <w:t>grity in two ways:</w:t>
      </w:r>
    </w:p>
    <w:p w14:paraId="43A1BDBA" w14:textId="77777777" w:rsidR="000344D0" w:rsidRPr="00381254" w:rsidRDefault="000344D0" w:rsidP="00BE2C62">
      <w:pPr>
        <w:rPr>
          <w:rFonts w:ascii="Arial" w:hAnsi="Arial" w:cs="Arial"/>
          <w:sz w:val="22"/>
          <w:szCs w:val="22"/>
        </w:rPr>
      </w:pPr>
    </w:p>
    <w:p w14:paraId="2EF86076" w14:textId="77777777" w:rsidR="000344D0" w:rsidRPr="00381254" w:rsidRDefault="000344D0" w:rsidP="00D262D0">
      <w:pPr>
        <w:pStyle w:val="ListParagraph"/>
        <w:numPr>
          <w:ilvl w:val="0"/>
          <w:numId w:val="2"/>
        </w:numPr>
        <w:rPr>
          <w:rFonts w:ascii="Arial" w:eastAsia="MS Mincho" w:hAnsi="Arial" w:cs="Arial"/>
          <w:lang w:eastAsia="ja-JP"/>
        </w:rPr>
      </w:pPr>
      <w:r w:rsidRPr="00381254">
        <w:rPr>
          <w:rFonts w:ascii="Arial" w:eastAsia="MS Mincho" w:hAnsi="Arial" w:cs="Arial"/>
          <w:lang w:eastAsia="ja-JP"/>
        </w:rPr>
        <w:t xml:space="preserve"> A state may use this information to identify duplicate billing for services.  </w:t>
      </w:r>
    </w:p>
    <w:p w14:paraId="09996B2F" w14:textId="77777777" w:rsidR="00D262D0" w:rsidRPr="00381254" w:rsidRDefault="00473719" w:rsidP="000344D0">
      <w:pPr>
        <w:pStyle w:val="ListParagraph"/>
        <w:numPr>
          <w:ilvl w:val="0"/>
          <w:numId w:val="2"/>
        </w:numPr>
        <w:rPr>
          <w:rFonts w:ascii="Arial" w:eastAsia="MS Mincho" w:hAnsi="Arial" w:cs="Arial"/>
          <w:lang w:eastAsia="ja-JP"/>
        </w:rPr>
      </w:pPr>
      <w:r w:rsidRPr="00381254">
        <w:rPr>
          <w:rFonts w:ascii="Arial" w:eastAsia="MS Mincho" w:hAnsi="Arial" w:cs="Arial"/>
          <w:lang w:eastAsia="ja-JP"/>
        </w:rPr>
        <w:t xml:space="preserve">Reporting the </w:t>
      </w:r>
      <w:proofErr w:type="spellStart"/>
      <w:r w:rsidRPr="00381254">
        <w:rPr>
          <w:rFonts w:ascii="Arial" w:eastAsia="MS Mincho" w:hAnsi="Arial" w:cs="Arial"/>
          <w:lang w:eastAsia="ja-JP"/>
        </w:rPr>
        <w:t>NPI</w:t>
      </w:r>
      <w:proofErr w:type="spellEnd"/>
      <w:r w:rsidRPr="00381254">
        <w:rPr>
          <w:rFonts w:ascii="Arial" w:eastAsia="MS Mincho" w:hAnsi="Arial" w:cs="Arial"/>
          <w:lang w:eastAsia="ja-JP"/>
        </w:rPr>
        <w:t xml:space="preserve"> facilitates the identification of practitioners excluded from Medicaid. </w:t>
      </w:r>
      <w:r w:rsidR="000344D0" w:rsidRPr="00381254">
        <w:rPr>
          <w:rFonts w:ascii="Arial" w:eastAsia="MS Mincho" w:hAnsi="Arial" w:cs="Arial"/>
          <w:lang w:eastAsia="ja-JP"/>
        </w:rPr>
        <w:t xml:space="preserve">Federal regulations at 42 </w:t>
      </w:r>
      <w:proofErr w:type="spellStart"/>
      <w:r w:rsidR="000344D0" w:rsidRPr="00381254">
        <w:rPr>
          <w:rFonts w:ascii="Arial" w:eastAsia="MS Mincho" w:hAnsi="Arial" w:cs="Arial"/>
          <w:lang w:eastAsia="ja-JP"/>
        </w:rPr>
        <w:t>CFR</w:t>
      </w:r>
      <w:proofErr w:type="spellEnd"/>
      <w:r w:rsidR="000344D0" w:rsidRPr="00381254">
        <w:rPr>
          <w:rFonts w:ascii="Arial" w:eastAsia="MS Mincho" w:hAnsi="Arial" w:cs="Arial"/>
          <w:lang w:eastAsia="ja-JP"/>
        </w:rPr>
        <w:t xml:space="preserve"> §1001.1901(b)(1) prohibit payment under Medicare, Medicaid, and other Federal health care programs for any item or service furnished by any provider during its exclusion period, and until such time that that provider is reinstated.  Accordingly, these providers </w:t>
      </w:r>
      <w:proofErr w:type="gramStart"/>
      <w:r w:rsidR="000344D0" w:rsidRPr="00381254">
        <w:rPr>
          <w:rFonts w:ascii="Arial" w:eastAsia="MS Mincho" w:hAnsi="Arial" w:cs="Arial"/>
          <w:lang w:eastAsia="ja-JP"/>
        </w:rPr>
        <w:t>are prohibited</w:t>
      </w:r>
      <w:proofErr w:type="gramEnd"/>
      <w:r w:rsidR="000344D0" w:rsidRPr="00381254">
        <w:rPr>
          <w:rFonts w:ascii="Arial" w:eastAsia="MS Mincho" w:hAnsi="Arial" w:cs="Arial"/>
          <w:lang w:eastAsia="ja-JP"/>
        </w:rPr>
        <w:t xml:space="preserve"> from working during their exclusion period for any entity that receives Federal funding for health care programs. </w:t>
      </w:r>
      <w:r w:rsidR="00A60A0A" w:rsidRPr="00381254">
        <w:rPr>
          <w:rFonts w:ascii="Arial" w:eastAsia="MS Mincho" w:hAnsi="Arial" w:cs="Arial"/>
          <w:lang w:eastAsia="ja-JP"/>
        </w:rPr>
        <w:t xml:space="preserve"> </w:t>
      </w:r>
    </w:p>
    <w:p w14:paraId="5DB19528" w14:textId="77777777" w:rsidR="00D262D0" w:rsidRPr="00381254" w:rsidRDefault="00D262D0" w:rsidP="00D262D0">
      <w:pPr>
        <w:ind w:left="360"/>
        <w:rPr>
          <w:rFonts w:ascii="Arial" w:hAnsi="Arial" w:cs="Arial"/>
          <w:sz w:val="22"/>
          <w:szCs w:val="22"/>
        </w:rPr>
      </w:pPr>
    </w:p>
    <w:p w14:paraId="00B40A62" w14:textId="77777777" w:rsidR="006E52B4" w:rsidRPr="00381254" w:rsidRDefault="00A60A0A" w:rsidP="00D262D0">
      <w:pPr>
        <w:rPr>
          <w:rFonts w:ascii="Arial" w:hAnsi="Arial" w:cs="Arial"/>
          <w:sz w:val="22"/>
          <w:szCs w:val="22"/>
        </w:rPr>
      </w:pPr>
      <w:r w:rsidRPr="00381254">
        <w:rPr>
          <w:rFonts w:ascii="Arial" w:hAnsi="Arial" w:cs="Arial"/>
          <w:sz w:val="22"/>
          <w:szCs w:val="22"/>
        </w:rPr>
        <w:t xml:space="preserve">Including the names and </w:t>
      </w:r>
      <w:proofErr w:type="spellStart"/>
      <w:r w:rsidRPr="00381254">
        <w:rPr>
          <w:rFonts w:ascii="Arial" w:hAnsi="Arial" w:cs="Arial"/>
          <w:sz w:val="22"/>
          <w:szCs w:val="22"/>
        </w:rPr>
        <w:t>NPIs</w:t>
      </w:r>
      <w:proofErr w:type="spellEnd"/>
      <w:r w:rsidRPr="00381254">
        <w:rPr>
          <w:rFonts w:ascii="Arial" w:hAnsi="Arial" w:cs="Arial"/>
          <w:sz w:val="22"/>
          <w:szCs w:val="22"/>
        </w:rPr>
        <w:t xml:space="preserve"> (when applicable) of employees working with the </w:t>
      </w:r>
      <w:proofErr w:type="spellStart"/>
      <w:r w:rsidRPr="00381254">
        <w:rPr>
          <w:rFonts w:ascii="Arial" w:hAnsi="Arial" w:cs="Arial"/>
          <w:sz w:val="22"/>
          <w:szCs w:val="22"/>
        </w:rPr>
        <w:t>CCBHC</w:t>
      </w:r>
      <w:proofErr w:type="spellEnd"/>
      <w:r w:rsidRPr="00381254">
        <w:rPr>
          <w:rFonts w:ascii="Arial" w:hAnsi="Arial" w:cs="Arial"/>
          <w:sz w:val="22"/>
          <w:szCs w:val="22"/>
        </w:rPr>
        <w:t xml:space="preserve"> can assist states in assuring the Federal funds are being properly safeguarded</w:t>
      </w:r>
      <w:r w:rsidR="00473719" w:rsidRPr="00381254">
        <w:rPr>
          <w:rFonts w:ascii="Arial" w:hAnsi="Arial" w:cs="Arial"/>
          <w:sz w:val="22"/>
          <w:szCs w:val="22"/>
        </w:rPr>
        <w:t>.  B</w:t>
      </w:r>
      <w:r w:rsidR="00A46E6E" w:rsidRPr="00381254">
        <w:rPr>
          <w:rFonts w:ascii="Arial" w:hAnsi="Arial" w:cs="Arial"/>
          <w:sz w:val="22"/>
          <w:szCs w:val="22"/>
        </w:rPr>
        <w:t>y collecting this information, states can verify that providers are not employing persons excluded from par</w:t>
      </w:r>
      <w:r w:rsidR="00D262D0" w:rsidRPr="00381254">
        <w:rPr>
          <w:rFonts w:ascii="Arial" w:hAnsi="Arial" w:cs="Arial"/>
          <w:sz w:val="22"/>
          <w:szCs w:val="22"/>
        </w:rPr>
        <w:t xml:space="preserve">ticipating in Federal programs.  </w:t>
      </w:r>
    </w:p>
    <w:p w14:paraId="57B4D2A8" w14:textId="57A1E1FC" w:rsidR="00381254" w:rsidRPr="00381254" w:rsidRDefault="00381254" w:rsidP="00381254">
      <w:pPr>
        <w:ind w:left="360"/>
        <w:jc w:val="center"/>
        <w:rPr>
          <w:rFonts w:ascii="Arial" w:hAnsi="Arial" w:cs="Arial"/>
          <w:sz w:val="22"/>
          <w:szCs w:val="22"/>
        </w:rPr>
      </w:pPr>
      <w:r w:rsidRPr="00381254">
        <w:rPr>
          <w:rFonts w:ascii="Arial" w:hAnsi="Arial" w:cs="Arial"/>
        </w:rPr>
        <w:t>* * *</w:t>
      </w:r>
    </w:p>
    <w:p w14:paraId="2B5E321A" w14:textId="77777777" w:rsidR="00381254" w:rsidRPr="00381254" w:rsidRDefault="00381254" w:rsidP="00BE2C62">
      <w:pPr>
        <w:rPr>
          <w:rFonts w:ascii="Arial" w:hAnsi="Arial" w:cs="Arial"/>
          <w:sz w:val="22"/>
          <w:szCs w:val="22"/>
        </w:rPr>
      </w:pPr>
    </w:p>
    <w:p w14:paraId="5C6BE93B" w14:textId="77777777" w:rsidR="00546212" w:rsidRDefault="00F830A8" w:rsidP="00BE2C62">
      <w:r>
        <w:rPr>
          <w:b/>
        </w:rPr>
        <w:t xml:space="preserve">Page </w:t>
      </w:r>
      <w:proofErr w:type="gramStart"/>
      <w:r>
        <w:rPr>
          <w:b/>
        </w:rPr>
        <w:t>5</w:t>
      </w:r>
      <w:proofErr w:type="gramEnd"/>
      <w:r>
        <w:rPr>
          <w:b/>
        </w:rPr>
        <w:t xml:space="preserve">, </w:t>
      </w:r>
      <w:r w:rsidR="00BE2C62" w:rsidRPr="00015F24">
        <w:rPr>
          <w:b/>
        </w:rPr>
        <w:t>Line 10:</w:t>
      </w:r>
      <w:r w:rsidR="00BE2C62">
        <w:t xml:space="preserve"> </w:t>
      </w:r>
    </w:p>
    <w:p w14:paraId="738F60A4" w14:textId="68414EC7" w:rsidR="00265AAC" w:rsidRDefault="00546212" w:rsidP="00546212">
      <w:r w:rsidRPr="006230F0">
        <w:rPr>
          <w:b/>
          <w:u w:val="single"/>
        </w:rPr>
        <w:t>Comment:</w:t>
      </w:r>
      <w:r>
        <w:rPr>
          <w:b/>
          <w:u w:val="single"/>
        </w:rPr>
        <w:t xml:space="preserve"> </w:t>
      </w:r>
      <w:r>
        <w:t xml:space="preserve"> </w:t>
      </w:r>
      <w:r w:rsidR="00265AAC">
        <w:t>“</w:t>
      </w:r>
      <w:r w:rsidR="00265AAC" w:rsidRPr="002E6E4E">
        <w:t>List the names of all supervisory behavioral health professionals</w:t>
      </w:r>
      <w:r w:rsidR="00231DB0">
        <w:t>..</w:t>
      </w:r>
      <w:r w:rsidR="00265AAC" w:rsidRPr="002E6E4E">
        <w:t>.</w:t>
      </w:r>
      <w:r w:rsidR="00265AAC">
        <w:t>”</w:t>
      </w:r>
    </w:p>
    <w:p w14:paraId="5E7B7BFC" w14:textId="77777777" w:rsidR="00BE2C62" w:rsidRDefault="006E4AC8" w:rsidP="00BE2C62">
      <w:r>
        <w:t xml:space="preserve">What is the purpose of </w:t>
      </w:r>
      <w:r w:rsidR="00BE2C62">
        <w:t xml:space="preserve">tracking the number of supervision hours? What is the relevance of this information to the statutory intent?  </w:t>
      </w:r>
      <w:r w:rsidR="00012A35">
        <w:t xml:space="preserve">Asking </w:t>
      </w:r>
      <w:proofErr w:type="spellStart"/>
      <w:r w:rsidR="00012A35">
        <w:t>CCBHCS</w:t>
      </w:r>
      <w:proofErr w:type="spellEnd"/>
      <w:r w:rsidR="00012A35">
        <w:t xml:space="preserve"> to track by minute supervision time for staff that </w:t>
      </w:r>
      <w:proofErr w:type="gramStart"/>
      <w:r w:rsidR="00012A35">
        <w:t>are</w:t>
      </w:r>
      <w:proofErr w:type="gramEnd"/>
      <w:r w:rsidR="00012A35">
        <w:t xml:space="preserve"> frequently shared between programs </w:t>
      </w:r>
      <w:r w:rsidR="00BE2C62">
        <w:t>appear</w:t>
      </w:r>
      <w:r w:rsidR="00012A35">
        <w:t>s</w:t>
      </w:r>
      <w:r w:rsidR="00BE2C62">
        <w:t xml:space="preserve"> to only increase paperwork efforts, without adding any value or clarity.</w:t>
      </w:r>
      <w:r w:rsidR="001E28D1" w:rsidRPr="001E28D1">
        <w:t xml:space="preserve"> </w:t>
      </w:r>
      <w:r w:rsidR="000A7579">
        <w:t>Additionally,</w:t>
      </w:r>
      <w:r w:rsidR="001E28D1">
        <w:t xml:space="preserve"> there is quite a bit of discrepancy across states in how </w:t>
      </w:r>
      <w:r w:rsidR="00012A35">
        <w:t>supervision</w:t>
      </w:r>
      <w:r w:rsidR="001E28D1">
        <w:t xml:space="preserve"> </w:t>
      </w:r>
      <w:proofErr w:type="gramStart"/>
      <w:r w:rsidR="001E28D1">
        <w:t>is defined</w:t>
      </w:r>
      <w:proofErr w:type="gramEnd"/>
      <w:r w:rsidR="001E28D1">
        <w:t xml:space="preserve"> and most providers have not usually captured this information.  </w:t>
      </w:r>
    </w:p>
    <w:p w14:paraId="42505348" w14:textId="77777777" w:rsidR="006E52B4" w:rsidRPr="003C2083" w:rsidRDefault="006E52B4" w:rsidP="00BE2C62">
      <w:pPr>
        <w:rPr>
          <w:rFonts w:ascii="Arial" w:hAnsi="Arial" w:cs="Arial"/>
          <w:b/>
          <w:sz w:val="22"/>
          <w:szCs w:val="22"/>
        </w:rPr>
      </w:pPr>
    </w:p>
    <w:p w14:paraId="1E97B7BE" w14:textId="5AD5C623" w:rsidR="006E52B4" w:rsidRPr="003C2083" w:rsidRDefault="006E52B4" w:rsidP="00BE2C62">
      <w:pPr>
        <w:rPr>
          <w:rFonts w:ascii="Arial" w:hAnsi="Arial" w:cs="Arial"/>
          <w:sz w:val="22"/>
          <w:szCs w:val="22"/>
        </w:rPr>
      </w:pPr>
      <w:r w:rsidRPr="003C2083">
        <w:rPr>
          <w:rFonts w:ascii="Arial" w:hAnsi="Arial" w:cs="Arial"/>
          <w:b/>
          <w:sz w:val="22"/>
          <w:szCs w:val="22"/>
          <w:u w:val="single"/>
        </w:rPr>
        <w:t>CMS</w:t>
      </w:r>
      <w:r w:rsidR="003C2083" w:rsidRPr="003C2083">
        <w:rPr>
          <w:rFonts w:ascii="Arial" w:hAnsi="Arial" w:cs="Arial"/>
          <w:b/>
          <w:sz w:val="22"/>
          <w:szCs w:val="22"/>
          <w:u w:val="single"/>
        </w:rPr>
        <w:t xml:space="preserve"> Response</w:t>
      </w:r>
      <w:r w:rsidRPr="003C2083">
        <w:rPr>
          <w:rFonts w:ascii="Arial" w:hAnsi="Arial" w:cs="Arial"/>
          <w:b/>
          <w:sz w:val="22"/>
          <w:szCs w:val="22"/>
          <w:u w:val="single"/>
        </w:rPr>
        <w:t>:</w:t>
      </w:r>
      <w:r w:rsidRPr="003C2083">
        <w:rPr>
          <w:rFonts w:ascii="Arial" w:hAnsi="Arial" w:cs="Arial"/>
          <w:sz w:val="22"/>
          <w:szCs w:val="22"/>
        </w:rPr>
        <w:t xml:space="preserve"> </w:t>
      </w:r>
      <w:r w:rsidR="00A00980" w:rsidRPr="003C2083">
        <w:rPr>
          <w:rFonts w:ascii="Arial" w:hAnsi="Arial" w:cs="Arial"/>
          <w:sz w:val="22"/>
          <w:szCs w:val="22"/>
        </w:rPr>
        <w:t xml:space="preserve">To meet </w:t>
      </w:r>
      <w:proofErr w:type="spellStart"/>
      <w:r w:rsidR="00A00980" w:rsidRPr="003C2083">
        <w:rPr>
          <w:rFonts w:ascii="Arial" w:hAnsi="Arial" w:cs="Arial"/>
          <w:sz w:val="22"/>
          <w:szCs w:val="22"/>
        </w:rPr>
        <w:t>SAMHSA’s</w:t>
      </w:r>
      <w:proofErr w:type="spellEnd"/>
      <w:r w:rsidR="00A00980" w:rsidRPr="003C2083">
        <w:rPr>
          <w:rFonts w:ascii="Arial" w:hAnsi="Arial" w:cs="Arial"/>
          <w:sz w:val="22"/>
          <w:szCs w:val="22"/>
        </w:rPr>
        <w:t xml:space="preserve"> Program Requirement 1: Staffing</w:t>
      </w:r>
      <w:r w:rsidR="00157ED0" w:rsidRPr="003C2083">
        <w:rPr>
          <w:rFonts w:ascii="Arial" w:hAnsi="Arial" w:cs="Arial"/>
          <w:sz w:val="22"/>
          <w:szCs w:val="22"/>
        </w:rPr>
        <w:t>,</w:t>
      </w:r>
      <w:r w:rsidR="00A00980" w:rsidRPr="003C2083">
        <w:rPr>
          <w:rFonts w:ascii="Arial" w:hAnsi="Arial" w:cs="Arial"/>
          <w:sz w:val="22"/>
          <w:szCs w:val="22"/>
        </w:rPr>
        <w:t xml:space="preserve"> all clinics must submit information that demonstrates qualified practitioners will be providing demonstration services. CMS believes this information suffices and has modified the cost report by removing the names of supervisory personnel and their hours.  </w:t>
      </w:r>
    </w:p>
    <w:p w14:paraId="4BC1EC97" w14:textId="77777777" w:rsidR="003C2083" w:rsidRPr="003C2083" w:rsidRDefault="003C2083" w:rsidP="003C2083">
      <w:pPr>
        <w:ind w:left="360"/>
        <w:jc w:val="center"/>
        <w:rPr>
          <w:rFonts w:ascii="Arial" w:hAnsi="Arial" w:cs="Arial"/>
          <w:sz w:val="22"/>
          <w:szCs w:val="22"/>
        </w:rPr>
      </w:pPr>
      <w:r w:rsidRPr="003C2083">
        <w:rPr>
          <w:rFonts w:ascii="Arial" w:hAnsi="Arial" w:cs="Arial"/>
          <w:sz w:val="22"/>
          <w:szCs w:val="22"/>
        </w:rPr>
        <w:t>* * *</w:t>
      </w:r>
    </w:p>
    <w:p w14:paraId="699E496D" w14:textId="77777777" w:rsidR="003C2083" w:rsidRPr="003C2083" w:rsidRDefault="003C2083" w:rsidP="003C2083">
      <w:pPr>
        <w:rPr>
          <w:rFonts w:ascii="Arial" w:hAnsi="Arial" w:cs="Arial"/>
          <w:sz w:val="22"/>
          <w:szCs w:val="22"/>
        </w:rPr>
      </w:pPr>
    </w:p>
    <w:p w14:paraId="2C7823A0" w14:textId="77777777" w:rsidR="00546212" w:rsidRDefault="00F830A8" w:rsidP="00265AAC">
      <w:r>
        <w:rPr>
          <w:b/>
        </w:rPr>
        <w:t xml:space="preserve">Page </w:t>
      </w:r>
      <w:proofErr w:type="gramStart"/>
      <w:r>
        <w:rPr>
          <w:b/>
        </w:rPr>
        <w:t>5</w:t>
      </w:r>
      <w:proofErr w:type="gramEnd"/>
      <w:r>
        <w:rPr>
          <w:b/>
        </w:rPr>
        <w:t xml:space="preserve">, </w:t>
      </w:r>
      <w:r w:rsidR="00BE2C62" w:rsidRPr="00015F24">
        <w:rPr>
          <w:b/>
        </w:rPr>
        <w:t>Line 14 – 15</w:t>
      </w:r>
      <w:r w:rsidR="00265AAC">
        <w:t xml:space="preserve">: </w:t>
      </w:r>
    </w:p>
    <w:p w14:paraId="2671E431" w14:textId="29B1B9A9" w:rsidR="00231DB0" w:rsidRDefault="00546212" w:rsidP="00546212">
      <w:r w:rsidRPr="006230F0">
        <w:rPr>
          <w:b/>
          <w:u w:val="single"/>
        </w:rPr>
        <w:t>Comment:</w:t>
      </w:r>
      <w:r>
        <w:rPr>
          <w:b/>
          <w:u w:val="single"/>
        </w:rPr>
        <w:t xml:space="preserve"> </w:t>
      </w:r>
      <w:r>
        <w:t xml:space="preserve"> </w:t>
      </w:r>
      <w:r w:rsidR="00265AAC">
        <w:t xml:space="preserve">“Enter the hours of operation and the total hours for each day of the week that the site operates as a </w:t>
      </w:r>
      <w:proofErr w:type="spellStart"/>
      <w:r w:rsidR="00265AAC">
        <w:t>CCBHC</w:t>
      </w:r>
      <w:proofErr w:type="spellEnd"/>
      <w:r w:rsidR="00265AAC">
        <w:t>.</w:t>
      </w:r>
      <w:r w:rsidR="00231DB0">
        <w:t>”</w:t>
      </w:r>
    </w:p>
    <w:p w14:paraId="7A4BE677" w14:textId="77777777" w:rsidR="00F35298" w:rsidRPr="00F47DE7" w:rsidRDefault="00BE2C62" w:rsidP="00265AAC">
      <w:r>
        <w:t xml:space="preserve">The statute and implementing guidance from </w:t>
      </w:r>
      <w:proofErr w:type="spellStart"/>
      <w:r>
        <w:t>SAMHSA</w:t>
      </w:r>
      <w:proofErr w:type="spellEnd"/>
      <w:r>
        <w:t xml:space="preserve"> indicate that </w:t>
      </w:r>
      <w:proofErr w:type="spellStart"/>
      <w:r>
        <w:t>CCBHCs</w:t>
      </w:r>
      <w:proofErr w:type="spellEnd"/>
      <w:r>
        <w:t xml:space="preserve"> have 24-hour a day responsibilities and </w:t>
      </w:r>
      <w:proofErr w:type="gramStart"/>
      <w:r>
        <w:t>are not confined</w:t>
      </w:r>
      <w:proofErr w:type="gramEnd"/>
      <w:r>
        <w:t xml:space="preserve"> to delivering services within the four walls of the clinic</w:t>
      </w:r>
      <w:r w:rsidR="000A7579">
        <w:t xml:space="preserve">. </w:t>
      </w:r>
      <w:proofErr w:type="gramStart"/>
      <w:r w:rsidR="000A7579">
        <w:t>Therefore</w:t>
      </w:r>
      <w:proofErr w:type="gramEnd"/>
      <w:r w:rsidR="000A7579">
        <w:t xml:space="preserve"> we do not understand why this information is being requested and suggest that t</w:t>
      </w:r>
      <w:r>
        <w:t>hese lines</w:t>
      </w:r>
      <w:r w:rsidR="00012A35">
        <w:t xml:space="preserve"> only</w:t>
      </w:r>
      <w:r>
        <w:t xml:space="preserve"> increase </w:t>
      </w:r>
      <w:r w:rsidR="00012A35">
        <w:t xml:space="preserve">the </w:t>
      </w:r>
      <w:r>
        <w:t>paperwork</w:t>
      </w:r>
      <w:r w:rsidR="001C6140">
        <w:t xml:space="preserve"> report</w:t>
      </w:r>
      <w:r w:rsidR="00012A35">
        <w:t>ing</w:t>
      </w:r>
      <w:r w:rsidR="001C6140">
        <w:t xml:space="preserve"> process</w:t>
      </w:r>
      <w:r>
        <w:t xml:space="preserve"> </w:t>
      </w:r>
      <w:r w:rsidR="00012A35">
        <w:t xml:space="preserve">and </w:t>
      </w:r>
      <w:r>
        <w:t xml:space="preserve">burden </w:t>
      </w:r>
      <w:r w:rsidR="001C6140">
        <w:t>with no statutory justifi</w:t>
      </w:r>
      <w:r w:rsidR="00012A35">
        <w:t>cation, or value add</w:t>
      </w:r>
      <w:r w:rsidR="001C6140">
        <w:t>.</w:t>
      </w:r>
    </w:p>
    <w:p w14:paraId="4CD56C0D" w14:textId="77777777" w:rsidR="00FA4CE2" w:rsidRPr="003C2083" w:rsidRDefault="00FA4CE2" w:rsidP="00BE2C62">
      <w:pPr>
        <w:rPr>
          <w:b/>
          <w:sz w:val="22"/>
          <w:szCs w:val="22"/>
        </w:rPr>
      </w:pPr>
    </w:p>
    <w:p w14:paraId="329EFC46" w14:textId="31B9341A" w:rsidR="005458D9" w:rsidRPr="003C2083" w:rsidRDefault="008E120F" w:rsidP="00BE2C62">
      <w:pPr>
        <w:rPr>
          <w:rFonts w:ascii="Arial" w:hAnsi="Arial" w:cs="Arial"/>
          <w:sz w:val="22"/>
          <w:szCs w:val="22"/>
        </w:rPr>
      </w:pPr>
      <w:r w:rsidRPr="003C2083">
        <w:rPr>
          <w:rFonts w:ascii="Arial" w:hAnsi="Arial" w:cs="Arial"/>
          <w:b/>
          <w:sz w:val="22"/>
          <w:szCs w:val="22"/>
          <w:u w:val="single"/>
        </w:rPr>
        <w:t>CMS</w:t>
      </w:r>
      <w:r w:rsidR="003C2083" w:rsidRPr="003C2083">
        <w:rPr>
          <w:rFonts w:ascii="Arial" w:hAnsi="Arial" w:cs="Arial"/>
          <w:b/>
          <w:sz w:val="22"/>
          <w:szCs w:val="22"/>
          <w:u w:val="single"/>
        </w:rPr>
        <w:t xml:space="preserve"> Response</w:t>
      </w:r>
      <w:r w:rsidRPr="003C2083">
        <w:rPr>
          <w:rFonts w:ascii="Arial" w:hAnsi="Arial" w:cs="Arial"/>
          <w:b/>
          <w:sz w:val="22"/>
          <w:szCs w:val="22"/>
          <w:u w:val="single"/>
        </w:rPr>
        <w:t>:</w:t>
      </w:r>
      <w:r w:rsidRPr="003C2083">
        <w:rPr>
          <w:rFonts w:ascii="Arial" w:hAnsi="Arial" w:cs="Arial"/>
          <w:sz w:val="22"/>
          <w:szCs w:val="22"/>
        </w:rPr>
        <w:t xml:space="preserve"> </w:t>
      </w:r>
      <w:r w:rsidR="00116C7C" w:rsidRPr="003C2083">
        <w:rPr>
          <w:rFonts w:ascii="Arial" w:hAnsi="Arial" w:cs="Arial"/>
          <w:sz w:val="22"/>
          <w:szCs w:val="22"/>
        </w:rPr>
        <w:t>This information</w:t>
      </w:r>
      <w:r w:rsidR="00117E82" w:rsidRPr="003C2083">
        <w:rPr>
          <w:rFonts w:ascii="Arial" w:hAnsi="Arial" w:cs="Arial"/>
          <w:sz w:val="22"/>
          <w:szCs w:val="22"/>
        </w:rPr>
        <w:t>, which excludes the hours associated with mobile crisis team,</w:t>
      </w:r>
      <w:r w:rsidR="00116C7C" w:rsidRPr="003C2083">
        <w:rPr>
          <w:rFonts w:ascii="Arial" w:hAnsi="Arial" w:cs="Arial"/>
          <w:sz w:val="22"/>
          <w:szCs w:val="22"/>
        </w:rPr>
        <w:t xml:space="preserve"> </w:t>
      </w:r>
      <w:r w:rsidR="00117E82" w:rsidRPr="003C2083">
        <w:rPr>
          <w:rFonts w:ascii="Arial" w:hAnsi="Arial" w:cs="Arial"/>
          <w:sz w:val="22"/>
          <w:szCs w:val="22"/>
        </w:rPr>
        <w:t>will assist in the evaluation of access to behavioral health services made available through the demonstration.</w:t>
      </w:r>
      <w:r w:rsidR="00116C7C" w:rsidRPr="003C2083">
        <w:rPr>
          <w:rFonts w:ascii="Arial" w:hAnsi="Arial" w:cs="Arial"/>
          <w:sz w:val="22"/>
          <w:szCs w:val="22"/>
        </w:rPr>
        <w:t xml:space="preserve"> CMS has modified the cost report instructions to clarify the</w:t>
      </w:r>
      <w:r w:rsidR="00117E82" w:rsidRPr="003C2083">
        <w:rPr>
          <w:rFonts w:ascii="Arial" w:hAnsi="Arial" w:cs="Arial"/>
          <w:sz w:val="22"/>
          <w:szCs w:val="22"/>
        </w:rPr>
        <w:t xml:space="preserve"> hour of the mobile crisis team are excluded.</w:t>
      </w:r>
      <w:r w:rsidR="00116C7C" w:rsidRPr="003C2083">
        <w:rPr>
          <w:rFonts w:ascii="Arial" w:hAnsi="Arial" w:cs="Arial"/>
          <w:sz w:val="22"/>
          <w:szCs w:val="22"/>
        </w:rPr>
        <w:t xml:space="preserve">  </w:t>
      </w:r>
    </w:p>
    <w:p w14:paraId="0B00514D" w14:textId="77777777" w:rsidR="003C2083" w:rsidRPr="003C2083" w:rsidRDefault="003C2083" w:rsidP="003C2083">
      <w:pPr>
        <w:ind w:left="360"/>
        <w:jc w:val="center"/>
        <w:rPr>
          <w:rFonts w:ascii="Arial" w:hAnsi="Arial" w:cs="Arial"/>
          <w:sz w:val="22"/>
          <w:szCs w:val="22"/>
        </w:rPr>
      </w:pPr>
      <w:r w:rsidRPr="003C2083">
        <w:rPr>
          <w:rFonts w:ascii="Arial" w:hAnsi="Arial" w:cs="Arial"/>
          <w:sz w:val="22"/>
          <w:szCs w:val="22"/>
        </w:rPr>
        <w:t>* * *</w:t>
      </w:r>
    </w:p>
    <w:p w14:paraId="263BAFD8" w14:textId="77777777" w:rsidR="003C2083" w:rsidRPr="003C2083" w:rsidRDefault="003C2083" w:rsidP="003C2083">
      <w:pPr>
        <w:rPr>
          <w:rFonts w:ascii="Arial" w:hAnsi="Arial" w:cs="Arial"/>
          <w:sz w:val="22"/>
          <w:szCs w:val="22"/>
        </w:rPr>
      </w:pPr>
    </w:p>
    <w:p w14:paraId="0C58BFDF" w14:textId="77777777" w:rsidR="00E60E45" w:rsidRDefault="00E60E45" w:rsidP="00BE2C62">
      <w:pPr>
        <w:rPr>
          <w:b/>
        </w:rPr>
      </w:pPr>
      <w:r>
        <w:rPr>
          <w:b/>
        </w:rPr>
        <w:t>Section 5:</w:t>
      </w:r>
    </w:p>
    <w:p w14:paraId="43C58529" w14:textId="77777777" w:rsidR="00E60E45" w:rsidRDefault="00E60E45" w:rsidP="00BE2C62">
      <w:pPr>
        <w:rPr>
          <w:b/>
        </w:rPr>
      </w:pPr>
      <w:r>
        <w:rPr>
          <w:b/>
        </w:rPr>
        <w:t>Trial Balance Tab</w:t>
      </w:r>
    </w:p>
    <w:p w14:paraId="222C629C" w14:textId="77777777" w:rsidR="00546212" w:rsidRDefault="00E60E45" w:rsidP="00BE2C62">
      <w:r>
        <w:rPr>
          <w:b/>
        </w:rPr>
        <w:t xml:space="preserve">Page 15, Part </w:t>
      </w:r>
      <w:proofErr w:type="spellStart"/>
      <w:r>
        <w:rPr>
          <w:b/>
        </w:rPr>
        <w:t>3</w:t>
      </w:r>
      <w:r w:rsidR="00BE2C62" w:rsidRPr="00015F24">
        <w:rPr>
          <w:b/>
        </w:rPr>
        <w:t>A</w:t>
      </w:r>
      <w:proofErr w:type="spellEnd"/>
      <w:r w:rsidR="00265AAC">
        <w:t xml:space="preserve">: </w:t>
      </w:r>
    </w:p>
    <w:p w14:paraId="0B9243C0" w14:textId="035E4516" w:rsidR="00BE2C62" w:rsidRDefault="00546212" w:rsidP="00546212">
      <w:r w:rsidRPr="006230F0">
        <w:rPr>
          <w:b/>
          <w:u w:val="single"/>
        </w:rPr>
        <w:t>Comment:</w:t>
      </w:r>
      <w:r>
        <w:rPr>
          <w:b/>
          <w:u w:val="single"/>
        </w:rPr>
        <w:t xml:space="preserve"> </w:t>
      </w:r>
      <w:r>
        <w:t xml:space="preserve"> </w:t>
      </w:r>
      <w:r w:rsidR="00265AAC">
        <w:t>“E</w:t>
      </w:r>
      <w:r w:rsidR="00265AAC" w:rsidRPr="003B1CDD">
        <w:t xml:space="preserve">nter the </w:t>
      </w:r>
      <w:r w:rsidR="00265AAC">
        <w:t xml:space="preserve">subtotal of direct </w:t>
      </w:r>
      <w:r w:rsidR="00265AAC" w:rsidRPr="003B1CDD">
        <w:t>cost</w:t>
      </w:r>
      <w:r w:rsidR="00265AAC">
        <w:t>s</w:t>
      </w:r>
      <w:r w:rsidR="00265AAC" w:rsidRPr="003B1CDD">
        <w:t xml:space="preserve"> </w:t>
      </w:r>
      <w:r w:rsidR="00265AAC">
        <w:t>for non-</w:t>
      </w:r>
      <w:proofErr w:type="spellStart"/>
      <w:r w:rsidR="00265AAC">
        <w:t>CCBHC</w:t>
      </w:r>
      <w:proofErr w:type="spellEnd"/>
      <w:r w:rsidR="00265AAC" w:rsidRPr="003B1CDD">
        <w:t xml:space="preserve"> services</w:t>
      </w:r>
      <w:r w:rsidR="00265AAC">
        <w:t xml:space="preserve"> covered by Medicaid, </w:t>
      </w:r>
      <w:r w:rsidR="00265AAC" w:rsidRPr="003B1CDD">
        <w:t>excluding overhead</w:t>
      </w:r>
      <w:r w:rsidR="00265AAC">
        <w:t>, such as physician visits for physical care, and specify in the Comments tab</w:t>
      </w:r>
      <w:r w:rsidR="00265AAC" w:rsidRPr="003B1CDD">
        <w:t>.</w:t>
      </w:r>
      <w:r w:rsidR="00265AAC">
        <w:t>”</w:t>
      </w:r>
      <w:r w:rsidR="00D32BA0">
        <w:t xml:space="preserve"> </w:t>
      </w:r>
      <w:r w:rsidR="00BE2C62">
        <w:t xml:space="preserve">The statute requires </w:t>
      </w:r>
      <w:proofErr w:type="spellStart"/>
      <w:r w:rsidR="00BE2C62">
        <w:t>CCBHCs</w:t>
      </w:r>
      <w:proofErr w:type="spellEnd"/>
      <w:r w:rsidR="00012A35">
        <w:t xml:space="preserve"> to</w:t>
      </w:r>
      <w:r w:rsidR="00BE2C62">
        <w:t xml:space="preserve"> screen for primary care </w:t>
      </w:r>
      <w:r w:rsidR="001C6140">
        <w:t xml:space="preserve">conditions and a physician has an obligation to treat medical conditions that </w:t>
      </w:r>
      <w:proofErr w:type="gramStart"/>
      <w:r w:rsidR="001C6140">
        <w:t>are brought</w:t>
      </w:r>
      <w:proofErr w:type="gramEnd"/>
      <w:r w:rsidR="001C6140">
        <w:t xml:space="preserve"> to the</w:t>
      </w:r>
      <w:r w:rsidR="00362D90">
        <w:t>ir</w:t>
      </w:r>
      <w:r w:rsidR="001C6140">
        <w:t xml:space="preserve"> attention</w:t>
      </w:r>
      <w:r w:rsidR="00362D90">
        <w:t>. It is unrealistic for a physician to allocate that cost by the minute.</w:t>
      </w:r>
      <w:r w:rsidR="005458D9">
        <w:t xml:space="preserve"> </w:t>
      </w:r>
      <w:r w:rsidR="00362D90">
        <w:t xml:space="preserve"> This is another example of a requirement that is not consistent with </w:t>
      </w:r>
      <w:r w:rsidR="00362D90" w:rsidRPr="00957CA9">
        <w:t>statutory</w:t>
      </w:r>
      <w:r w:rsidR="00362D90">
        <w:t xml:space="preserve"> intent and unnecessarily increases the paperwork burden for </w:t>
      </w:r>
      <w:proofErr w:type="spellStart"/>
      <w:r w:rsidR="00362D90">
        <w:t>CCBHCs</w:t>
      </w:r>
      <w:proofErr w:type="spellEnd"/>
      <w:r w:rsidR="00362D90">
        <w:t>.</w:t>
      </w:r>
      <w:r w:rsidR="00BE2C62">
        <w:t xml:space="preserve">  </w:t>
      </w:r>
    </w:p>
    <w:p w14:paraId="053DC5AA" w14:textId="77777777" w:rsidR="00E97E75" w:rsidRPr="003C2083" w:rsidRDefault="00E97E75" w:rsidP="00BE2C62">
      <w:pPr>
        <w:rPr>
          <w:b/>
          <w:sz w:val="22"/>
          <w:szCs w:val="22"/>
        </w:rPr>
      </w:pPr>
    </w:p>
    <w:p w14:paraId="2DD4C4FB" w14:textId="23963B3D" w:rsidR="001966EF" w:rsidRPr="003C2083" w:rsidRDefault="005458D9" w:rsidP="00BE2C62">
      <w:pPr>
        <w:rPr>
          <w:rFonts w:ascii="Arial" w:hAnsi="Arial" w:cs="Arial"/>
          <w:sz w:val="22"/>
          <w:szCs w:val="22"/>
        </w:rPr>
      </w:pPr>
      <w:r w:rsidRPr="003C2083">
        <w:rPr>
          <w:rFonts w:ascii="Arial" w:hAnsi="Arial" w:cs="Arial"/>
          <w:b/>
          <w:sz w:val="22"/>
          <w:szCs w:val="22"/>
          <w:u w:val="single"/>
        </w:rPr>
        <w:t>CMS</w:t>
      </w:r>
      <w:r w:rsidR="003C2083" w:rsidRPr="003C2083">
        <w:rPr>
          <w:rFonts w:ascii="Arial" w:hAnsi="Arial" w:cs="Arial"/>
          <w:b/>
          <w:sz w:val="22"/>
          <w:szCs w:val="22"/>
          <w:u w:val="single"/>
        </w:rPr>
        <w:t xml:space="preserve"> Response</w:t>
      </w:r>
      <w:r w:rsidR="00D600F5" w:rsidRPr="003C2083">
        <w:rPr>
          <w:rFonts w:ascii="Arial" w:hAnsi="Arial" w:cs="Arial"/>
          <w:b/>
          <w:sz w:val="22"/>
          <w:szCs w:val="22"/>
          <w:u w:val="single"/>
        </w:rPr>
        <w:t>:</w:t>
      </w:r>
      <w:r w:rsidR="00D600F5" w:rsidRPr="003C2083">
        <w:rPr>
          <w:rFonts w:ascii="Arial" w:hAnsi="Arial" w:cs="Arial"/>
          <w:sz w:val="22"/>
          <w:szCs w:val="22"/>
        </w:rPr>
        <w:t xml:space="preserve">  </w:t>
      </w:r>
      <w:r w:rsidRPr="003C2083">
        <w:rPr>
          <w:rFonts w:ascii="Arial" w:hAnsi="Arial" w:cs="Arial"/>
          <w:sz w:val="22"/>
          <w:szCs w:val="22"/>
        </w:rPr>
        <w:t xml:space="preserve">The intent of </w:t>
      </w:r>
      <w:r w:rsidR="001966EF" w:rsidRPr="003C2083">
        <w:rPr>
          <w:rFonts w:ascii="Arial" w:hAnsi="Arial" w:cs="Arial"/>
          <w:sz w:val="22"/>
          <w:szCs w:val="22"/>
        </w:rPr>
        <w:t xml:space="preserve">Part </w:t>
      </w:r>
      <w:proofErr w:type="spellStart"/>
      <w:r w:rsidR="001966EF" w:rsidRPr="003C2083">
        <w:rPr>
          <w:rFonts w:ascii="Arial" w:hAnsi="Arial" w:cs="Arial"/>
          <w:sz w:val="22"/>
          <w:szCs w:val="22"/>
        </w:rPr>
        <w:t>3A</w:t>
      </w:r>
      <w:proofErr w:type="spellEnd"/>
      <w:r w:rsidR="001966EF" w:rsidRPr="003C2083">
        <w:rPr>
          <w:rFonts w:ascii="Arial" w:hAnsi="Arial" w:cs="Arial"/>
          <w:sz w:val="22"/>
          <w:szCs w:val="22"/>
        </w:rPr>
        <w:t xml:space="preserve"> is to capture total direct cost </w:t>
      </w:r>
      <w:r w:rsidR="00076D2F" w:rsidRPr="003C2083">
        <w:rPr>
          <w:rFonts w:ascii="Arial" w:hAnsi="Arial" w:cs="Arial"/>
          <w:sz w:val="22"/>
          <w:szCs w:val="22"/>
        </w:rPr>
        <w:t>for</w:t>
      </w:r>
      <w:r w:rsidR="001966EF" w:rsidRPr="003C2083">
        <w:rPr>
          <w:rFonts w:ascii="Arial" w:hAnsi="Arial" w:cs="Arial"/>
          <w:sz w:val="22"/>
          <w:szCs w:val="22"/>
        </w:rPr>
        <w:t xml:space="preserve"> non</w:t>
      </w:r>
      <w:r w:rsidR="004862B6" w:rsidRPr="003C2083">
        <w:rPr>
          <w:rFonts w:ascii="Arial" w:hAnsi="Arial" w:cs="Arial"/>
          <w:sz w:val="22"/>
          <w:szCs w:val="22"/>
        </w:rPr>
        <w:t>-</w:t>
      </w:r>
      <w:r w:rsidR="001966EF" w:rsidRPr="003C2083">
        <w:rPr>
          <w:rFonts w:ascii="Arial" w:hAnsi="Arial" w:cs="Arial"/>
          <w:sz w:val="22"/>
          <w:szCs w:val="22"/>
        </w:rPr>
        <w:t>demonstration services.</w:t>
      </w:r>
      <w:r w:rsidR="00076D2F" w:rsidRPr="003C2083">
        <w:rPr>
          <w:rFonts w:ascii="Arial" w:hAnsi="Arial" w:cs="Arial"/>
          <w:sz w:val="22"/>
          <w:szCs w:val="22"/>
        </w:rPr>
        <w:t xml:space="preserve"> States </w:t>
      </w:r>
      <w:proofErr w:type="gramStart"/>
      <w:r w:rsidR="00076D2F" w:rsidRPr="003C2083">
        <w:rPr>
          <w:rFonts w:ascii="Arial" w:hAnsi="Arial" w:cs="Arial"/>
          <w:sz w:val="22"/>
          <w:szCs w:val="22"/>
        </w:rPr>
        <w:t>are expected</w:t>
      </w:r>
      <w:proofErr w:type="gramEnd"/>
      <w:r w:rsidR="00076D2F" w:rsidRPr="003C2083">
        <w:rPr>
          <w:rFonts w:ascii="Arial" w:hAnsi="Arial" w:cs="Arial"/>
          <w:sz w:val="22"/>
          <w:szCs w:val="22"/>
        </w:rPr>
        <w:t xml:space="preserve"> to require that clinics appropriately allocate cost between demonstration and non</w:t>
      </w:r>
      <w:r w:rsidR="004862B6" w:rsidRPr="003C2083">
        <w:rPr>
          <w:rFonts w:ascii="Arial" w:hAnsi="Arial" w:cs="Arial"/>
          <w:sz w:val="22"/>
          <w:szCs w:val="22"/>
        </w:rPr>
        <w:t>-</w:t>
      </w:r>
      <w:r w:rsidR="00076D2F" w:rsidRPr="003C2083">
        <w:rPr>
          <w:rFonts w:ascii="Arial" w:hAnsi="Arial" w:cs="Arial"/>
          <w:sz w:val="22"/>
          <w:szCs w:val="22"/>
        </w:rPr>
        <w:t xml:space="preserve">demonstration services. This may entail a type of time study, but not </w:t>
      </w:r>
      <w:proofErr w:type="gramStart"/>
      <w:r w:rsidR="00076D2F" w:rsidRPr="003C2083">
        <w:rPr>
          <w:rFonts w:ascii="Arial" w:hAnsi="Arial" w:cs="Arial"/>
          <w:sz w:val="22"/>
          <w:szCs w:val="22"/>
        </w:rPr>
        <w:t>necessarily</w:t>
      </w:r>
      <w:proofErr w:type="gramEnd"/>
      <w:r w:rsidR="00076D2F" w:rsidRPr="003C2083">
        <w:rPr>
          <w:rFonts w:ascii="Arial" w:hAnsi="Arial" w:cs="Arial"/>
          <w:sz w:val="22"/>
          <w:szCs w:val="22"/>
        </w:rPr>
        <w:t xml:space="preserve"> </w:t>
      </w:r>
      <w:r w:rsidR="00066D6F" w:rsidRPr="003C2083">
        <w:rPr>
          <w:rFonts w:ascii="Arial" w:hAnsi="Arial" w:cs="Arial"/>
          <w:sz w:val="22"/>
          <w:szCs w:val="22"/>
        </w:rPr>
        <w:t>a random moment time study (</w:t>
      </w:r>
      <w:proofErr w:type="spellStart"/>
      <w:r w:rsidR="00076D2F" w:rsidRPr="003C2083">
        <w:rPr>
          <w:rFonts w:ascii="Arial" w:hAnsi="Arial" w:cs="Arial"/>
          <w:sz w:val="22"/>
          <w:szCs w:val="22"/>
        </w:rPr>
        <w:t>RMTS</w:t>
      </w:r>
      <w:proofErr w:type="spellEnd"/>
      <w:r w:rsidR="00066D6F" w:rsidRPr="003C2083">
        <w:rPr>
          <w:rFonts w:ascii="Arial" w:hAnsi="Arial" w:cs="Arial"/>
          <w:sz w:val="22"/>
          <w:szCs w:val="22"/>
        </w:rPr>
        <w:t>)</w:t>
      </w:r>
      <w:r w:rsidR="00076D2F" w:rsidRPr="003C2083">
        <w:rPr>
          <w:rFonts w:ascii="Arial" w:hAnsi="Arial" w:cs="Arial"/>
          <w:sz w:val="22"/>
          <w:szCs w:val="22"/>
        </w:rPr>
        <w:t>, to apportion cost associated with a practitioner’s time.</w:t>
      </w:r>
      <w:r w:rsidR="00EC22A8" w:rsidRPr="003C2083">
        <w:rPr>
          <w:rFonts w:ascii="Arial" w:hAnsi="Arial" w:cs="Arial"/>
          <w:sz w:val="22"/>
          <w:szCs w:val="22"/>
        </w:rPr>
        <w:t xml:space="preserve"> CMS has modified the cost report instructions by removing this example cited above.</w:t>
      </w:r>
      <w:r w:rsidR="004862B6" w:rsidRPr="003C2083">
        <w:rPr>
          <w:rFonts w:ascii="Arial" w:hAnsi="Arial" w:cs="Arial"/>
          <w:sz w:val="22"/>
          <w:szCs w:val="22"/>
        </w:rPr>
        <w:t xml:space="preserve">  CMS also plans to provide technical assistance to states specifically on indirect cost identification.  </w:t>
      </w:r>
    </w:p>
    <w:p w14:paraId="13644025" w14:textId="77777777" w:rsidR="003C2083" w:rsidRPr="003C2083" w:rsidRDefault="003C2083" w:rsidP="003C2083">
      <w:pPr>
        <w:ind w:left="360"/>
        <w:jc w:val="center"/>
        <w:rPr>
          <w:rFonts w:ascii="Arial" w:hAnsi="Arial" w:cs="Arial"/>
          <w:sz w:val="22"/>
          <w:szCs w:val="22"/>
        </w:rPr>
      </w:pPr>
      <w:r w:rsidRPr="003C2083">
        <w:rPr>
          <w:rFonts w:ascii="Arial" w:hAnsi="Arial" w:cs="Arial"/>
          <w:sz w:val="22"/>
          <w:szCs w:val="22"/>
        </w:rPr>
        <w:t>* * *</w:t>
      </w:r>
    </w:p>
    <w:p w14:paraId="07FD7807" w14:textId="77777777" w:rsidR="003C2083" w:rsidRPr="003C2083" w:rsidRDefault="003C2083" w:rsidP="003C2083">
      <w:pPr>
        <w:rPr>
          <w:rFonts w:ascii="Arial" w:hAnsi="Arial" w:cs="Arial"/>
          <w:sz w:val="22"/>
          <w:szCs w:val="22"/>
        </w:rPr>
      </w:pPr>
    </w:p>
    <w:p w14:paraId="41D57025" w14:textId="77777777" w:rsidR="00E60E45" w:rsidRDefault="00E60E45" w:rsidP="00BE2C62">
      <w:pPr>
        <w:rPr>
          <w:b/>
        </w:rPr>
      </w:pPr>
      <w:r>
        <w:rPr>
          <w:b/>
        </w:rPr>
        <w:t>Section 8:</w:t>
      </w:r>
    </w:p>
    <w:p w14:paraId="343C0506" w14:textId="77777777" w:rsidR="00F830A8" w:rsidRDefault="00E60E45" w:rsidP="00BE2C62">
      <w:pPr>
        <w:rPr>
          <w:b/>
        </w:rPr>
      </w:pPr>
      <w:r w:rsidRPr="00E60E45">
        <w:rPr>
          <w:b/>
        </w:rPr>
        <w:t>Allocation Description Tab</w:t>
      </w:r>
      <w:r w:rsidR="006B60F1">
        <w:rPr>
          <w:b/>
        </w:rPr>
        <w:t xml:space="preserve"> </w:t>
      </w:r>
    </w:p>
    <w:p w14:paraId="528D20E0" w14:textId="77777777" w:rsidR="00546212" w:rsidRDefault="00BE2C62" w:rsidP="00BE2C62">
      <w:pPr>
        <w:rPr>
          <w:b/>
        </w:rPr>
      </w:pPr>
      <w:r w:rsidRPr="00015F24">
        <w:rPr>
          <w:b/>
        </w:rPr>
        <w:t>Page 19</w:t>
      </w:r>
      <w:r w:rsidR="00D47D7D">
        <w:rPr>
          <w:b/>
        </w:rPr>
        <w:t xml:space="preserve">: </w:t>
      </w:r>
    </w:p>
    <w:p w14:paraId="7D9978E3" w14:textId="521385DD" w:rsidR="00BE2C62" w:rsidRDefault="00546212" w:rsidP="00BE2C62">
      <w:r w:rsidRPr="006230F0">
        <w:rPr>
          <w:b/>
          <w:u w:val="single"/>
        </w:rPr>
        <w:t>Comment:</w:t>
      </w:r>
      <w:r>
        <w:rPr>
          <w:b/>
          <w:u w:val="single"/>
        </w:rPr>
        <w:t xml:space="preserve"> </w:t>
      </w:r>
      <w:r w:rsidR="00957CA9">
        <w:t xml:space="preserve">The guidance provided regarding Random Moment Time Study </w:t>
      </w:r>
      <w:proofErr w:type="gramStart"/>
      <w:r w:rsidR="00957CA9">
        <w:t>is not reflected</w:t>
      </w:r>
      <w:proofErr w:type="gramEnd"/>
      <w:r w:rsidR="00957CA9">
        <w:t xml:space="preserve"> in the cost and time burden estimate provided by CMS. Such a </w:t>
      </w:r>
      <w:proofErr w:type="spellStart"/>
      <w:r w:rsidR="00957CA9">
        <w:t>RMTS</w:t>
      </w:r>
      <w:proofErr w:type="spellEnd"/>
      <w:r w:rsidR="00957CA9">
        <w:t xml:space="preserve"> would involve every staff member of the organization over a specified time and would be </w:t>
      </w:r>
      <w:r w:rsidR="00012A35">
        <w:t xml:space="preserve">very </w:t>
      </w:r>
      <w:r w:rsidR="00957CA9">
        <w:t xml:space="preserve">costly to complete. </w:t>
      </w:r>
    </w:p>
    <w:p w14:paraId="03BFA823" w14:textId="77777777" w:rsidR="00BC73DF" w:rsidRPr="003C2083" w:rsidRDefault="00BC73DF" w:rsidP="00BE2C62">
      <w:pPr>
        <w:rPr>
          <w:sz w:val="22"/>
          <w:szCs w:val="22"/>
        </w:rPr>
      </w:pPr>
    </w:p>
    <w:p w14:paraId="6AA1EA01" w14:textId="1D6C139C" w:rsidR="003D1CF9" w:rsidRPr="003C2083" w:rsidRDefault="004E022F" w:rsidP="00BE2C62">
      <w:pPr>
        <w:rPr>
          <w:rFonts w:ascii="Arial" w:hAnsi="Arial" w:cs="Arial"/>
          <w:sz w:val="22"/>
          <w:szCs w:val="22"/>
        </w:rPr>
      </w:pPr>
      <w:r w:rsidRPr="003C2083">
        <w:rPr>
          <w:rFonts w:ascii="Arial" w:hAnsi="Arial" w:cs="Arial"/>
          <w:b/>
          <w:sz w:val="22"/>
          <w:szCs w:val="22"/>
          <w:u w:val="single"/>
        </w:rPr>
        <w:t>CMS</w:t>
      </w:r>
      <w:r w:rsidR="003C2083" w:rsidRPr="003C2083">
        <w:rPr>
          <w:rFonts w:ascii="Arial" w:hAnsi="Arial" w:cs="Arial"/>
          <w:b/>
          <w:sz w:val="22"/>
          <w:szCs w:val="22"/>
          <w:u w:val="single"/>
        </w:rPr>
        <w:t xml:space="preserve"> Response</w:t>
      </w:r>
      <w:r w:rsidRPr="003C2083">
        <w:rPr>
          <w:rFonts w:ascii="Arial" w:hAnsi="Arial" w:cs="Arial"/>
          <w:b/>
          <w:sz w:val="22"/>
          <w:szCs w:val="22"/>
          <w:u w:val="single"/>
        </w:rPr>
        <w:t>:</w:t>
      </w:r>
      <w:r w:rsidRPr="003C2083">
        <w:rPr>
          <w:rFonts w:ascii="Arial" w:hAnsi="Arial" w:cs="Arial"/>
          <w:sz w:val="22"/>
          <w:szCs w:val="22"/>
        </w:rPr>
        <w:t xml:space="preserve"> </w:t>
      </w:r>
      <w:r w:rsidR="003D1CF9" w:rsidRPr="003C2083">
        <w:rPr>
          <w:rFonts w:ascii="Arial" w:hAnsi="Arial" w:cs="Arial"/>
          <w:sz w:val="22"/>
          <w:szCs w:val="22"/>
        </w:rPr>
        <w:t>A random moment time study</w:t>
      </w:r>
      <w:r w:rsidR="00500258" w:rsidRPr="003C2083">
        <w:rPr>
          <w:rFonts w:ascii="Arial" w:hAnsi="Arial" w:cs="Arial"/>
          <w:sz w:val="22"/>
          <w:szCs w:val="22"/>
        </w:rPr>
        <w:t xml:space="preserve"> (</w:t>
      </w:r>
      <w:proofErr w:type="spellStart"/>
      <w:r w:rsidR="00500258" w:rsidRPr="003C2083">
        <w:rPr>
          <w:rFonts w:ascii="Arial" w:hAnsi="Arial" w:cs="Arial"/>
          <w:sz w:val="22"/>
          <w:szCs w:val="22"/>
        </w:rPr>
        <w:t>RMTS</w:t>
      </w:r>
      <w:proofErr w:type="spellEnd"/>
      <w:r w:rsidR="00500258" w:rsidRPr="003C2083">
        <w:rPr>
          <w:rFonts w:ascii="Arial" w:hAnsi="Arial" w:cs="Arial"/>
          <w:sz w:val="22"/>
          <w:szCs w:val="22"/>
        </w:rPr>
        <w:t xml:space="preserve">) </w:t>
      </w:r>
      <w:r w:rsidR="003D1CF9" w:rsidRPr="003C2083">
        <w:rPr>
          <w:rFonts w:ascii="Arial" w:hAnsi="Arial" w:cs="Arial"/>
          <w:sz w:val="22"/>
          <w:szCs w:val="22"/>
        </w:rPr>
        <w:t xml:space="preserve">is not a requirement to complete the </w:t>
      </w:r>
      <w:r w:rsidR="00A32935" w:rsidRPr="003C2083">
        <w:rPr>
          <w:rFonts w:ascii="Arial" w:hAnsi="Arial" w:cs="Arial"/>
          <w:sz w:val="22"/>
          <w:szCs w:val="22"/>
        </w:rPr>
        <w:t xml:space="preserve">CMS </w:t>
      </w:r>
      <w:proofErr w:type="spellStart"/>
      <w:r w:rsidR="00A32935" w:rsidRPr="003C2083">
        <w:rPr>
          <w:rFonts w:ascii="Arial" w:hAnsi="Arial" w:cs="Arial"/>
          <w:sz w:val="22"/>
          <w:szCs w:val="22"/>
        </w:rPr>
        <w:t>CCBHC</w:t>
      </w:r>
      <w:proofErr w:type="spellEnd"/>
      <w:r w:rsidR="00A32935" w:rsidRPr="003C2083">
        <w:rPr>
          <w:rFonts w:ascii="Arial" w:hAnsi="Arial" w:cs="Arial"/>
          <w:sz w:val="22"/>
          <w:szCs w:val="22"/>
        </w:rPr>
        <w:t xml:space="preserve"> </w:t>
      </w:r>
      <w:r w:rsidR="003D1CF9" w:rsidRPr="003C2083">
        <w:rPr>
          <w:rFonts w:ascii="Arial" w:hAnsi="Arial" w:cs="Arial"/>
          <w:sz w:val="22"/>
          <w:szCs w:val="22"/>
        </w:rPr>
        <w:t>cost report.</w:t>
      </w:r>
      <w:r w:rsidR="00A32935" w:rsidRPr="003C2083">
        <w:rPr>
          <w:rFonts w:ascii="Arial" w:hAnsi="Arial" w:cs="Arial"/>
          <w:sz w:val="22"/>
          <w:szCs w:val="22"/>
        </w:rPr>
        <w:t xml:space="preserve"> </w:t>
      </w:r>
      <w:r w:rsidR="003D1CF9" w:rsidRPr="003C2083">
        <w:rPr>
          <w:rFonts w:ascii="Arial" w:hAnsi="Arial" w:cs="Arial"/>
          <w:sz w:val="22"/>
          <w:szCs w:val="22"/>
        </w:rPr>
        <w:t xml:space="preserve">The </w:t>
      </w:r>
      <w:proofErr w:type="spellStart"/>
      <w:r w:rsidR="00A60FC0" w:rsidRPr="003C2083">
        <w:rPr>
          <w:rFonts w:ascii="Arial" w:hAnsi="Arial" w:cs="Arial"/>
          <w:sz w:val="22"/>
          <w:szCs w:val="22"/>
        </w:rPr>
        <w:t>RMTS</w:t>
      </w:r>
      <w:proofErr w:type="spellEnd"/>
      <w:r w:rsidR="003D1CF9" w:rsidRPr="003C2083">
        <w:rPr>
          <w:rFonts w:ascii="Arial" w:hAnsi="Arial" w:cs="Arial"/>
          <w:sz w:val="22"/>
          <w:szCs w:val="22"/>
        </w:rPr>
        <w:t xml:space="preserve"> </w:t>
      </w:r>
      <w:proofErr w:type="gramStart"/>
      <w:r w:rsidR="003D1CF9" w:rsidRPr="003C2083">
        <w:rPr>
          <w:rFonts w:ascii="Arial" w:hAnsi="Arial" w:cs="Arial"/>
          <w:sz w:val="22"/>
          <w:szCs w:val="22"/>
        </w:rPr>
        <w:t xml:space="preserve">is </w:t>
      </w:r>
      <w:r w:rsidR="002C5DDF" w:rsidRPr="003C2083">
        <w:rPr>
          <w:rFonts w:ascii="Arial" w:hAnsi="Arial" w:cs="Arial"/>
          <w:sz w:val="22"/>
          <w:szCs w:val="22"/>
        </w:rPr>
        <w:t>mentioned</w:t>
      </w:r>
      <w:proofErr w:type="gramEnd"/>
      <w:r w:rsidR="003D1CF9" w:rsidRPr="003C2083">
        <w:rPr>
          <w:rFonts w:ascii="Arial" w:hAnsi="Arial" w:cs="Arial"/>
          <w:sz w:val="22"/>
          <w:szCs w:val="22"/>
        </w:rPr>
        <w:t xml:space="preserve"> in </w:t>
      </w:r>
      <w:r w:rsidR="00500258" w:rsidRPr="003C2083">
        <w:rPr>
          <w:rFonts w:ascii="Arial" w:hAnsi="Arial" w:cs="Arial"/>
          <w:sz w:val="22"/>
          <w:szCs w:val="22"/>
        </w:rPr>
        <w:t>the cost report instructions</w:t>
      </w:r>
      <w:r w:rsidR="003D1CF9" w:rsidRPr="003C2083">
        <w:rPr>
          <w:rFonts w:ascii="Arial" w:hAnsi="Arial" w:cs="Arial"/>
          <w:sz w:val="22"/>
          <w:szCs w:val="22"/>
        </w:rPr>
        <w:t xml:space="preserve"> as an </w:t>
      </w:r>
      <w:r w:rsidR="003D1CF9" w:rsidRPr="003C2083">
        <w:rPr>
          <w:rFonts w:ascii="Arial" w:hAnsi="Arial" w:cs="Arial"/>
          <w:i/>
          <w:sz w:val="22"/>
          <w:szCs w:val="22"/>
        </w:rPr>
        <w:t xml:space="preserve">example </w:t>
      </w:r>
      <w:r w:rsidR="003D1CF9" w:rsidRPr="003C2083">
        <w:rPr>
          <w:rFonts w:ascii="Arial" w:hAnsi="Arial" w:cs="Arial"/>
          <w:sz w:val="22"/>
          <w:szCs w:val="22"/>
        </w:rPr>
        <w:t>of an allocati</w:t>
      </w:r>
      <w:r w:rsidR="007D60DE" w:rsidRPr="003C2083">
        <w:rPr>
          <w:rFonts w:ascii="Arial" w:hAnsi="Arial" w:cs="Arial"/>
          <w:sz w:val="22"/>
          <w:szCs w:val="22"/>
        </w:rPr>
        <w:t>on method for personnel service cost</w:t>
      </w:r>
      <w:r w:rsidR="003D1CF9" w:rsidRPr="003C2083">
        <w:rPr>
          <w:rFonts w:ascii="Arial" w:hAnsi="Arial" w:cs="Arial"/>
          <w:sz w:val="22"/>
          <w:szCs w:val="22"/>
        </w:rPr>
        <w:t>.  A</w:t>
      </w:r>
      <w:r w:rsidR="002C5DDF" w:rsidRPr="003C2083">
        <w:rPr>
          <w:rFonts w:ascii="Arial" w:hAnsi="Arial" w:cs="Arial"/>
          <w:sz w:val="22"/>
          <w:szCs w:val="22"/>
        </w:rPr>
        <w:t xml:space="preserve"> state may elect to permit a</w:t>
      </w:r>
      <w:r w:rsidR="003D1CF9" w:rsidRPr="003C2083">
        <w:rPr>
          <w:rFonts w:ascii="Arial" w:hAnsi="Arial" w:cs="Arial"/>
          <w:sz w:val="22"/>
          <w:szCs w:val="22"/>
        </w:rPr>
        <w:t xml:space="preserve"> clinic</w:t>
      </w:r>
      <w:r w:rsidR="002C5DDF" w:rsidRPr="003C2083">
        <w:rPr>
          <w:rFonts w:ascii="Arial" w:hAnsi="Arial" w:cs="Arial"/>
          <w:sz w:val="22"/>
          <w:szCs w:val="22"/>
        </w:rPr>
        <w:t xml:space="preserve"> to </w:t>
      </w:r>
      <w:r w:rsidR="003D1CF9" w:rsidRPr="003C2083">
        <w:rPr>
          <w:rFonts w:ascii="Arial" w:hAnsi="Arial" w:cs="Arial"/>
          <w:sz w:val="22"/>
          <w:szCs w:val="22"/>
        </w:rPr>
        <w:t xml:space="preserve">use </w:t>
      </w:r>
      <w:r w:rsidR="002C5DDF" w:rsidRPr="003C2083">
        <w:rPr>
          <w:rFonts w:ascii="Arial" w:hAnsi="Arial" w:cs="Arial"/>
          <w:sz w:val="22"/>
          <w:szCs w:val="22"/>
        </w:rPr>
        <w:t>an</w:t>
      </w:r>
      <w:r w:rsidR="003D1CF9" w:rsidRPr="003C2083">
        <w:rPr>
          <w:rFonts w:ascii="Arial" w:hAnsi="Arial" w:cs="Arial"/>
          <w:sz w:val="22"/>
          <w:szCs w:val="22"/>
        </w:rPr>
        <w:t>other method</w:t>
      </w:r>
      <w:r w:rsidR="002C5DDF" w:rsidRPr="003C2083">
        <w:rPr>
          <w:rFonts w:ascii="Arial" w:hAnsi="Arial" w:cs="Arial"/>
          <w:sz w:val="22"/>
          <w:szCs w:val="22"/>
        </w:rPr>
        <w:t xml:space="preserve"> to</w:t>
      </w:r>
      <w:r w:rsidR="003D1CF9" w:rsidRPr="003C2083">
        <w:rPr>
          <w:rFonts w:ascii="Arial" w:hAnsi="Arial" w:cs="Arial"/>
          <w:sz w:val="22"/>
          <w:szCs w:val="22"/>
        </w:rPr>
        <w:t xml:space="preserve"> allocat</w:t>
      </w:r>
      <w:r w:rsidR="002C5DDF" w:rsidRPr="003C2083">
        <w:rPr>
          <w:rFonts w:ascii="Arial" w:hAnsi="Arial" w:cs="Arial"/>
          <w:sz w:val="22"/>
          <w:szCs w:val="22"/>
        </w:rPr>
        <w:t>e</w:t>
      </w:r>
      <w:r w:rsidR="003D1CF9" w:rsidRPr="003C2083">
        <w:rPr>
          <w:rFonts w:ascii="Arial" w:hAnsi="Arial" w:cs="Arial"/>
          <w:sz w:val="22"/>
          <w:szCs w:val="22"/>
        </w:rPr>
        <w:t xml:space="preserve"> </w:t>
      </w:r>
      <w:r w:rsidR="007D60DE" w:rsidRPr="003C2083">
        <w:rPr>
          <w:rFonts w:ascii="Arial" w:hAnsi="Arial" w:cs="Arial"/>
          <w:sz w:val="22"/>
          <w:szCs w:val="22"/>
        </w:rPr>
        <w:t xml:space="preserve">personnel </w:t>
      </w:r>
      <w:r w:rsidR="003D1CF9" w:rsidRPr="003C2083">
        <w:rPr>
          <w:rFonts w:ascii="Arial" w:hAnsi="Arial" w:cs="Arial"/>
          <w:sz w:val="22"/>
          <w:szCs w:val="22"/>
        </w:rPr>
        <w:t xml:space="preserve">costs.  </w:t>
      </w:r>
      <w:r w:rsidR="000C5DF8" w:rsidRPr="003C2083">
        <w:rPr>
          <w:rFonts w:ascii="Arial" w:hAnsi="Arial" w:cs="Arial"/>
          <w:sz w:val="22"/>
          <w:szCs w:val="22"/>
        </w:rPr>
        <w:t>CMS did not make any changes to</w:t>
      </w:r>
      <w:r w:rsidR="002C5DDF" w:rsidRPr="003C2083">
        <w:rPr>
          <w:rFonts w:ascii="Arial" w:hAnsi="Arial" w:cs="Arial"/>
          <w:sz w:val="22"/>
          <w:szCs w:val="22"/>
        </w:rPr>
        <w:t xml:space="preserve"> the cost report instructions </w:t>
      </w:r>
      <w:r w:rsidR="000C5DF8" w:rsidRPr="003C2083">
        <w:rPr>
          <w:rFonts w:ascii="Arial" w:hAnsi="Arial" w:cs="Arial"/>
          <w:sz w:val="22"/>
          <w:szCs w:val="22"/>
        </w:rPr>
        <w:t>in response to this comment.</w:t>
      </w:r>
    </w:p>
    <w:p w14:paraId="6997A471" w14:textId="77777777" w:rsidR="003C2083" w:rsidRPr="003C2083" w:rsidRDefault="003C2083" w:rsidP="003C2083">
      <w:pPr>
        <w:ind w:left="360"/>
        <w:jc w:val="center"/>
        <w:rPr>
          <w:rFonts w:ascii="Arial" w:hAnsi="Arial" w:cs="Arial"/>
          <w:sz w:val="22"/>
          <w:szCs w:val="22"/>
        </w:rPr>
      </w:pPr>
      <w:r w:rsidRPr="003C2083">
        <w:rPr>
          <w:rFonts w:ascii="Arial" w:hAnsi="Arial" w:cs="Arial"/>
          <w:sz w:val="22"/>
          <w:szCs w:val="22"/>
        </w:rPr>
        <w:t>* * *</w:t>
      </w:r>
    </w:p>
    <w:p w14:paraId="798C7B88" w14:textId="77777777" w:rsidR="003C2083" w:rsidRPr="003C2083" w:rsidRDefault="003C2083" w:rsidP="003C2083">
      <w:pPr>
        <w:rPr>
          <w:rFonts w:ascii="Arial" w:hAnsi="Arial" w:cs="Arial"/>
          <w:sz w:val="22"/>
          <w:szCs w:val="22"/>
        </w:rPr>
      </w:pPr>
    </w:p>
    <w:p w14:paraId="38DDD1F7" w14:textId="77777777" w:rsidR="00E60E45" w:rsidRPr="006B60F1" w:rsidRDefault="00E60E45" w:rsidP="00BE2C62">
      <w:pPr>
        <w:rPr>
          <w:b/>
        </w:rPr>
      </w:pPr>
      <w:r w:rsidRPr="006B60F1">
        <w:rPr>
          <w:b/>
        </w:rPr>
        <w:t>Section 9:</w:t>
      </w:r>
    </w:p>
    <w:p w14:paraId="30CCBAC3" w14:textId="77777777" w:rsidR="00F830A8" w:rsidRDefault="00E60E45" w:rsidP="00BE2C62">
      <w:pPr>
        <w:rPr>
          <w:b/>
        </w:rPr>
      </w:pPr>
      <w:r w:rsidRPr="006B60F1">
        <w:rPr>
          <w:b/>
        </w:rPr>
        <w:t xml:space="preserve">Indirect Cost Allocation Plan </w:t>
      </w:r>
    </w:p>
    <w:p w14:paraId="52035D5B" w14:textId="77777777" w:rsidR="00546212" w:rsidRDefault="006B60F1" w:rsidP="00012A35">
      <w:pPr>
        <w:rPr>
          <w:b/>
        </w:rPr>
      </w:pPr>
      <w:r>
        <w:rPr>
          <w:b/>
        </w:rPr>
        <w:t>Page 20</w:t>
      </w:r>
      <w:r w:rsidR="00D47D7D">
        <w:rPr>
          <w:b/>
        </w:rPr>
        <w:t>:</w:t>
      </w:r>
      <w:r w:rsidR="00F830A8">
        <w:rPr>
          <w:b/>
        </w:rPr>
        <w:t xml:space="preserve"> </w:t>
      </w:r>
    </w:p>
    <w:p w14:paraId="39259000" w14:textId="19120774" w:rsidR="00012A35" w:rsidRDefault="00546212" w:rsidP="00012A35">
      <w:r w:rsidRPr="006230F0">
        <w:rPr>
          <w:b/>
          <w:u w:val="single"/>
        </w:rPr>
        <w:t>Comment:</w:t>
      </w:r>
      <w:r>
        <w:rPr>
          <w:b/>
          <w:u w:val="single"/>
        </w:rPr>
        <w:t xml:space="preserve"> </w:t>
      </w:r>
      <w:r w:rsidR="00012A35">
        <w:t xml:space="preserve">We do not believe that the allocation methodologies align with the required services in the statute.  </w:t>
      </w:r>
      <w:proofErr w:type="spellStart"/>
      <w:r w:rsidR="00012A35">
        <w:t>CCBHCs</w:t>
      </w:r>
      <w:proofErr w:type="spellEnd"/>
      <w:r w:rsidR="00012A35">
        <w:t xml:space="preserve"> and states </w:t>
      </w:r>
      <w:proofErr w:type="gramStart"/>
      <w:r w:rsidR="00012A35">
        <w:t>will be challenged</w:t>
      </w:r>
      <w:proofErr w:type="gramEnd"/>
      <w:r w:rsidR="00012A35">
        <w:t xml:space="preserve"> to know what has to be excluded from the overhead calculation to ensure that they are not double counting.  This section once again introduces a substantial paperwork effort for a process is not very well defined and with a cost reporting year that does not reconcile with the fiscal year. </w:t>
      </w:r>
    </w:p>
    <w:p w14:paraId="71121C93" w14:textId="77777777" w:rsidR="00012A35" w:rsidRPr="00F830A8" w:rsidRDefault="00012A35" w:rsidP="00012A35"/>
    <w:p w14:paraId="5EDF25AB" w14:textId="77777777" w:rsidR="006B60F1" w:rsidRPr="00F830A8" w:rsidRDefault="00012A35" w:rsidP="00BE2C62">
      <w:r>
        <w:t xml:space="preserve">This lack of clarity throughout the cost report instructions will likely create a conflict between the development of sufficient data set to allow for the evaluation of the </w:t>
      </w:r>
      <w:proofErr w:type="spellStart"/>
      <w:r>
        <w:t>CCBHC</w:t>
      </w:r>
      <w:proofErr w:type="spellEnd"/>
      <w:r>
        <w:t xml:space="preserve"> pilot on one hand, and the autonomy of states to use whichever cost report they may wish. If states are free to use whatever cost report they may wish, then the paperwork requirements of states transferring the data from their cost report to the information that would be required by CMS would clearly exceed the estimated 33 hours for a desk audit (See tables below).</w:t>
      </w:r>
      <w:r w:rsidR="00BE2C62">
        <w:t xml:space="preserve"> </w:t>
      </w:r>
    </w:p>
    <w:p w14:paraId="31B4EB1C" w14:textId="77777777" w:rsidR="008C5004" w:rsidRPr="003C2083" w:rsidRDefault="008C5004" w:rsidP="00BE2C62">
      <w:pPr>
        <w:rPr>
          <w:rFonts w:ascii="Arial" w:hAnsi="Arial" w:cs="Arial"/>
          <w:b/>
          <w:sz w:val="22"/>
          <w:szCs w:val="22"/>
        </w:rPr>
      </w:pPr>
    </w:p>
    <w:p w14:paraId="04AC70C9" w14:textId="5027E9A9" w:rsidR="00D37AAD" w:rsidRPr="003C2083" w:rsidRDefault="009E4422" w:rsidP="00BE2C62">
      <w:pPr>
        <w:rPr>
          <w:rFonts w:ascii="Arial" w:hAnsi="Arial" w:cs="Arial"/>
          <w:sz w:val="22"/>
          <w:szCs w:val="22"/>
        </w:rPr>
      </w:pPr>
      <w:r w:rsidRPr="003C2083">
        <w:rPr>
          <w:rFonts w:ascii="Arial" w:hAnsi="Arial" w:cs="Arial"/>
          <w:b/>
          <w:sz w:val="22"/>
          <w:szCs w:val="22"/>
          <w:u w:val="single"/>
        </w:rPr>
        <w:t>CMS</w:t>
      </w:r>
      <w:r w:rsidR="003C2083" w:rsidRPr="003C2083">
        <w:rPr>
          <w:rFonts w:ascii="Arial" w:hAnsi="Arial" w:cs="Arial"/>
          <w:b/>
          <w:sz w:val="22"/>
          <w:szCs w:val="22"/>
          <w:u w:val="single"/>
        </w:rPr>
        <w:t xml:space="preserve"> Response</w:t>
      </w:r>
      <w:r w:rsidRPr="003C2083">
        <w:rPr>
          <w:rFonts w:ascii="Arial" w:hAnsi="Arial" w:cs="Arial"/>
          <w:b/>
          <w:sz w:val="22"/>
          <w:szCs w:val="22"/>
          <w:u w:val="single"/>
        </w:rPr>
        <w:t>:</w:t>
      </w:r>
      <w:r w:rsidR="00793D07" w:rsidRPr="003C2083">
        <w:rPr>
          <w:rFonts w:ascii="Arial" w:hAnsi="Arial" w:cs="Arial"/>
          <w:b/>
          <w:sz w:val="22"/>
          <w:szCs w:val="22"/>
        </w:rPr>
        <w:t xml:space="preserve"> </w:t>
      </w:r>
      <w:r w:rsidR="00793D07" w:rsidRPr="003C2083">
        <w:rPr>
          <w:rFonts w:ascii="Arial" w:hAnsi="Arial" w:cs="Arial"/>
          <w:sz w:val="22"/>
          <w:szCs w:val="22"/>
        </w:rPr>
        <w:t xml:space="preserve">The indirect cost allocation tab (not Plan) </w:t>
      </w:r>
      <w:r w:rsidR="00B13AF9" w:rsidRPr="003C2083">
        <w:rPr>
          <w:rFonts w:ascii="Arial" w:hAnsi="Arial" w:cs="Arial"/>
          <w:sz w:val="22"/>
          <w:szCs w:val="22"/>
        </w:rPr>
        <w:t>aligns with all of the methods permitted when identifying indirect cost for direct services, including demonstration services.</w:t>
      </w:r>
      <w:r w:rsidR="00793D07" w:rsidRPr="003C2083">
        <w:rPr>
          <w:rFonts w:ascii="Arial" w:hAnsi="Arial" w:cs="Arial"/>
          <w:sz w:val="22"/>
          <w:szCs w:val="22"/>
        </w:rPr>
        <w:t xml:space="preserve"> I</w:t>
      </w:r>
      <w:r w:rsidR="00B13AF9" w:rsidRPr="003C2083">
        <w:rPr>
          <w:rFonts w:ascii="Arial" w:hAnsi="Arial" w:cs="Arial"/>
          <w:sz w:val="22"/>
          <w:szCs w:val="22"/>
        </w:rPr>
        <w:t xml:space="preserve">n this </w:t>
      </w:r>
      <w:proofErr w:type="gramStart"/>
      <w:r w:rsidR="00B13AF9" w:rsidRPr="003C2083">
        <w:rPr>
          <w:rFonts w:ascii="Arial" w:hAnsi="Arial" w:cs="Arial"/>
          <w:sz w:val="22"/>
          <w:szCs w:val="22"/>
        </w:rPr>
        <w:t>tab</w:t>
      </w:r>
      <w:proofErr w:type="gramEnd"/>
      <w:r w:rsidR="00B13AF9" w:rsidRPr="003C2083">
        <w:rPr>
          <w:rFonts w:ascii="Arial" w:hAnsi="Arial" w:cs="Arial"/>
          <w:sz w:val="22"/>
          <w:szCs w:val="22"/>
        </w:rPr>
        <w:t xml:space="preserve"> CMS</w:t>
      </w:r>
      <w:r w:rsidR="00793D07" w:rsidRPr="003C2083">
        <w:rPr>
          <w:rFonts w:ascii="Arial" w:hAnsi="Arial" w:cs="Arial"/>
          <w:sz w:val="22"/>
          <w:szCs w:val="22"/>
        </w:rPr>
        <w:t xml:space="preserve"> does not introduce an additional paperwork burden beyond what is already established in regulation</w:t>
      </w:r>
      <w:r w:rsidR="00B13AF9" w:rsidRPr="003C2083">
        <w:rPr>
          <w:rFonts w:ascii="Arial" w:hAnsi="Arial" w:cs="Arial"/>
          <w:sz w:val="22"/>
          <w:szCs w:val="22"/>
        </w:rPr>
        <w:t xml:space="preserve"> with respect to the identification of indirect cost</w:t>
      </w:r>
      <w:r w:rsidR="00793D07" w:rsidRPr="003C2083">
        <w:rPr>
          <w:rFonts w:ascii="Arial" w:hAnsi="Arial" w:cs="Arial"/>
          <w:sz w:val="22"/>
          <w:szCs w:val="22"/>
        </w:rPr>
        <w:t xml:space="preserve">. </w:t>
      </w:r>
    </w:p>
    <w:p w14:paraId="666F79CD" w14:textId="77777777" w:rsidR="00D37AAD" w:rsidRPr="003C2083" w:rsidRDefault="00D37AAD" w:rsidP="00BE2C62">
      <w:pPr>
        <w:rPr>
          <w:rFonts w:ascii="Arial" w:hAnsi="Arial" w:cs="Arial"/>
          <w:sz w:val="22"/>
          <w:szCs w:val="22"/>
        </w:rPr>
      </w:pPr>
    </w:p>
    <w:p w14:paraId="5DA0A2CF" w14:textId="77777777" w:rsidR="00793D07" w:rsidRPr="003C2083" w:rsidRDefault="00347279" w:rsidP="00BE2C62">
      <w:pPr>
        <w:rPr>
          <w:rFonts w:ascii="Arial" w:hAnsi="Arial" w:cs="Arial"/>
          <w:sz w:val="22"/>
          <w:szCs w:val="22"/>
        </w:rPr>
      </w:pPr>
      <w:r w:rsidRPr="003C2083">
        <w:rPr>
          <w:rFonts w:ascii="Arial" w:hAnsi="Arial" w:cs="Arial"/>
          <w:sz w:val="22"/>
          <w:szCs w:val="22"/>
        </w:rPr>
        <w:t>The commenter appears to be addressing apportionment of cost between fiscal years, rather than reconciliation. Responding to this concern, i</w:t>
      </w:r>
      <w:r w:rsidR="00D37AAD" w:rsidRPr="003C2083">
        <w:rPr>
          <w:rFonts w:ascii="Arial" w:hAnsi="Arial" w:cs="Arial"/>
          <w:sz w:val="22"/>
          <w:szCs w:val="22"/>
        </w:rPr>
        <w:t>f</w:t>
      </w:r>
      <w:r w:rsidR="008949C5" w:rsidRPr="003C2083">
        <w:rPr>
          <w:rFonts w:ascii="Arial" w:hAnsi="Arial" w:cs="Arial"/>
          <w:sz w:val="22"/>
          <w:szCs w:val="22"/>
        </w:rPr>
        <w:t xml:space="preserve"> a clinic intends to use cost from multiple fiscal years</w:t>
      </w:r>
      <w:r w:rsidRPr="003C2083">
        <w:rPr>
          <w:rFonts w:ascii="Arial" w:hAnsi="Arial" w:cs="Arial"/>
          <w:sz w:val="22"/>
          <w:szCs w:val="22"/>
        </w:rPr>
        <w:t xml:space="preserve"> then</w:t>
      </w:r>
      <w:r w:rsidR="008949C5" w:rsidRPr="003C2083">
        <w:rPr>
          <w:rFonts w:ascii="Arial" w:hAnsi="Arial" w:cs="Arial"/>
          <w:sz w:val="22"/>
          <w:szCs w:val="22"/>
        </w:rPr>
        <w:t xml:space="preserve"> it can work with the state to assure that methods </w:t>
      </w:r>
      <w:r w:rsidR="00D37AAD" w:rsidRPr="003C2083">
        <w:rPr>
          <w:rFonts w:ascii="Arial" w:hAnsi="Arial" w:cs="Arial"/>
          <w:sz w:val="22"/>
          <w:szCs w:val="22"/>
        </w:rPr>
        <w:t xml:space="preserve">to apportion cost are acceptable. </w:t>
      </w:r>
    </w:p>
    <w:p w14:paraId="62951B98" w14:textId="77777777" w:rsidR="003C2083" w:rsidRPr="003C2083" w:rsidRDefault="003C2083" w:rsidP="003C2083">
      <w:pPr>
        <w:ind w:left="360"/>
        <w:jc w:val="center"/>
        <w:rPr>
          <w:rFonts w:ascii="Arial" w:hAnsi="Arial" w:cs="Arial"/>
          <w:sz w:val="22"/>
          <w:szCs w:val="22"/>
        </w:rPr>
      </w:pPr>
      <w:r w:rsidRPr="003C2083">
        <w:rPr>
          <w:rFonts w:ascii="Arial" w:hAnsi="Arial" w:cs="Arial"/>
          <w:sz w:val="22"/>
          <w:szCs w:val="22"/>
        </w:rPr>
        <w:t>* * *</w:t>
      </w:r>
    </w:p>
    <w:p w14:paraId="7692CA45" w14:textId="77777777" w:rsidR="00BC73DF" w:rsidRPr="003C2083" w:rsidRDefault="00BC73DF" w:rsidP="00BE2C62">
      <w:pPr>
        <w:rPr>
          <w:rFonts w:ascii="Arial" w:hAnsi="Arial" w:cs="Arial"/>
          <w:sz w:val="22"/>
          <w:szCs w:val="22"/>
        </w:rPr>
      </w:pPr>
    </w:p>
    <w:p w14:paraId="7866A88E" w14:textId="77777777" w:rsidR="006B60F1" w:rsidRDefault="006B60F1" w:rsidP="00BE2C62">
      <w:pPr>
        <w:rPr>
          <w:b/>
        </w:rPr>
      </w:pPr>
      <w:r>
        <w:rPr>
          <w:b/>
        </w:rPr>
        <w:t xml:space="preserve">Section 10: </w:t>
      </w:r>
    </w:p>
    <w:p w14:paraId="155D5A95" w14:textId="77777777" w:rsidR="00F830A8" w:rsidRDefault="006B60F1" w:rsidP="00BE2C62">
      <w:pPr>
        <w:rPr>
          <w:b/>
        </w:rPr>
      </w:pPr>
      <w:r>
        <w:rPr>
          <w:b/>
        </w:rPr>
        <w:t xml:space="preserve">Anticipated Costs Tab </w:t>
      </w:r>
    </w:p>
    <w:p w14:paraId="63B4B85E" w14:textId="77777777" w:rsidR="00546212" w:rsidRDefault="00BE2C62" w:rsidP="00BE2C62">
      <w:pPr>
        <w:rPr>
          <w:b/>
        </w:rPr>
      </w:pPr>
      <w:r w:rsidRPr="00015F24">
        <w:rPr>
          <w:b/>
        </w:rPr>
        <w:t>Page 23</w:t>
      </w:r>
      <w:r w:rsidR="00D47D7D">
        <w:rPr>
          <w:b/>
        </w:rPr>
        <w:t xml:space="preserve">: </w:t>
      </w:r>
    </w:p>
    <w:p w14:paraId="3968B782" w14:textId="1B55B1BD" w:rsidR="00BE2C62" w:rsidRDefault="00546212" w:rsidP="00BE2C62">
      <w:r w:rsidRPr="006230F0">
        <w:rPr>
          <w:b/>
          <w:u w:val="single"/>
        </w:rPr>
        <w:t>Comment:</w:t>
      </w:r>
      <w:r>
        <w:rPr>
          <w:b/>
          <w:u w:val="single"/>
        </w:rPr>
        <w:t xml:space="preserve"> </w:t>
      </w:r>
      <w:r w:rsidR="00957CA9">
        <w:t>In</w:t>
      </w:r>
      <w:r w:rsidR="006B60F1">
        <w:t xml:space="preserve"> Column </w:t>
      </w:r>
      <w:proofErr w:type="gramStart"/>
      <w:r w:rsidR="006B60F1">
        <w:t>2</w:t>
      </w:r>
      <w:proofErr w:type="gramEnd"/>
      <w:r w:rsidR="006B60F1">
        <w:t xml:space="preserve"> “</w:t>
      </w:r>
      <w:r w:rsidR="006B60F1" w:rsidRPr="006B60F1">
        <w:t xml:space="preserve">Enter the additional expenses associated with providing new or expanded </w:t>
      </w:r>
      <w:proofErr w:type="spellStart"/>
      <w:r w:rsidR="006B60F1" w:rsidRPr="006B60F1">
        <w:t>CCBHC</w:t>
      </w:r>
      <w:proofErr w:type="spellEnd"/>
      <w:r w:rsidR="006B60F1" w:rsidRPr="006B60F1">
        <w:t xml:space="preserve"> services.  The amount entered should be the additional cost expected that is not already accou</w:t>
      </w:r>
      <w:r w:rsidR="006B60F1">
        <w:t>nted for in the Trial Balance</w:t>
      </w:r>
      <w:r w:rsidR="00231DB0">
        <w:t>.</w:t>
      </w:r>
      <w:r w:rsidR="00BE2C62">
        <w:t>”</w:t>
      </w:r>
      <w:r w:rsidR="00231DB0">
        <w:t xml:space="preserve"> This section</w:t>
      </w:r>
      <w:r w:rsidR="00BE2C62">
        <w:t xml:space="preserve"> is ambiguous.  </w:t>
      </w:r>
      <w:r w:rsidR="00231DB0">
        <w:t xml:space="preserve">How </w:t>
      </w:r>
      <w:proofErr w:type="gramStart"/>
      <w:r w:rsidR="00231DB0">
        <w:t>are</w:t>
      </w:r>
      <w:r w:rsidR="000A7579">
        <w:t xml:space="preserve"> a</w:t>
      </w:r>
      <w:r w:rsidR="00957CA9">
        <w:t xml:space="preserve">nticipated costs </w:t>
      </w:r>
      <w:r w:rsidR="000A7579">
        <w:t>defined</w:t>
      </w:r>
      <w:proofErr w:type="gramEnd"/>
      <w:r w:rsidR="000A7579">
        <w:t>? We urge</w:t>
      </w:r>
      <w:r w:rsidR="00957CA9">
        <w:t xml:space="preserve"> </w:t>
      </w:r>
      <w:r w:rsidR="000A7579">
        <w:t>CMS</w:t>
      </w:r>
      <w:r w:rsidR="00957CA9">
        <w:t xml:space="preserve"> </w:t>
      </w:r>
      <w:r w:rsidR="000A7579">
        <w:t xml:space="preserve">to </w:t>
      </w:r>
      <w:r w:rsidR="00957CA9">
        <w:t>develop additional state guidance to facilitate rate setting</w:t>
      </w:r>
      <w:r w:rsidR="00231DB0">
        <w:t xml:space="preserve"> in this area and to avoid problems with state desk audits.</w:t>
      </w:r>
    </w:p>
    <w:p w14:paraId="0154C49B" w14:textId="77777777" w:rsidR="00576017" w:rsidRPr="003C2083" w:rsidRDefault="00576017" w:rsidP="00BE2C62">
      <w:pPr>
        <w:rPr>
          <w:b/>
          <w:sz w:val="22"/>
          <w:szCs w:val="22"/>
        </w:rPr>
      </w:pPr>
    </w:p>
    <w:p w14:paraId="2C0721A3" w14:textId="263005F1" w:rsidR="00F830A8" w:rsidRPr="003C2083" w:rsidRDefault="00576017" w:rsidP="00BE2C62">
      <w:pPr>
        <w:rPr>
          <w:rFonts w:ascii="Arial" w:hAnsi="Arial" w:cs="Arial"/>
          <w:sz w:val="22"/>
          <w:szCs w:val="22"/>
        </w:rPr>
      </w:pPr>
      <w:r w:rsidRPr="003C2083">
        <w:rPr>
          <w:rFonts w:ascii="Arial" w:hAnsi="Arial" w:cs="Arial"/>
          <w:b/>
          <w:sz w:val="22"/>
          <w:szCs w:val="22"/>
          <w:u w:val="single"/>
        </w:rPr>
        <w:t>CMS</w:t>
      </w:r>
      <w:r w:rsidR="003C2083" w:rsidRPr="003C2083">
        <w:rPr>
          <w:rFonts w:ascii="Arial" w:hAnsi="Arial" w:cs="Arial"/>
          <w:b/>
          <w:sz w:val="22"/>
          <w:szCs w:val="22"/>
          <w:u w:val="single"/>
        </w:rPr>
        <w:t xml:space="preserve"> Response</w:t>
      </w:r>
      <w:r w:rsidRPr="003C2083">
        <w:rPr>
          <w:rFonts w:ascii="Arial" w:hAnsi="Arial" w:cs="Arial"/>
          <w:b/>
          <w:sz w:val="22"/>
          <w:szCs w:val="22"/>
          <w:u w:val="single"/>
        </w:rPr>
        <w:t>:</w:t>
      </w:r>
      <w:r w:rsidRPr="003C2083">
        <w:rPr>
          <w:rFonts w:ascii="Arial" w:hAnsi="Arial" w:cs="Arial"/>
          <w:sz w:val="22"/>
          <w:szCs w:val="22"/>
        </w:rPr>
        <w:t xml:space="preserve"> We will develop additional guidance</w:t>
      </w:r>
      <w:r w:rsidR="00111D34" w:rsidRPr="003C2083">
        <w:rPr>
          <w:rFonts w:ascii="Arial" w:hAnsi="Arial" w:cs="Arial"/>
          <w:sz w:val="22"/>
          <w:szCs w:val="22"/>
        </w:rPr>
        <w:t xml:space="preserve"> during the planning phase of the demonstration,</w:t>
      </w:r>
      <w:r w:rsidRPr="003C2083">
        <w:rPr>
          <w:rFonts w:ascii="Arial" w:hAnsi="Arial" w:cs="Arial"/>
          <w:sz w:val="22"/>
          <w:szCs w:val="22"/>
        </w:rPr>
        <w:t xml:space="preserve"> based on </w:t>
      </w:r>
      <w:r w:rsidR="00111D34" w:rsidRPr="003C2083">
        <w:rPr>
          <w:rFonts w:ascii="Arial" w:hAnsi="Arial" w:cs="Arial"/>
          <w:sz w:val="22"/>
          <w:szCs w:val="22"/>
        </w:rPr>
        <w:t xml:space="preserve">questions and comments from states; the cost report </w:t>
      </w:r>
      <w:r w:rsidRPr="003C2083">
        <w:rPr>
          <w:rFonts w:ascii="Arial" w:hAnsi="Arial" w:cs="Arial"/>
          <w:sz w:val="22"/>
          <w:szCs w:val="22"/>
        </w:rPr>
        <w:t xml:space="preserve">instructions </w:t>
      </w:r>
      <w:r w:rsidR="00111D34" w:rsidRPr="003C2083">
        <w:rPr>
          <w:rFonts w:ascii="Arial" w:hAnsi="Arial" w:cs="Arial"/>
          <w:sz w:val="22"/>
          <w:szCs w:val="22"/>
        </w:rPr>
        <w:t>were not</w:t>
      </w:r>
      <w:r w:rsidRPr="003C2083">
        <w:rPr>
          <w:rFonts w:ascii="Arial" w:hAnsi="Arial" w:cs="Arial"/>
          <w:sz w:val="22"/>
          <w:szCs w:val="22"/>
        </w:rPr>
        <w:t xml:space="preserve"> modified </w:t>
      </w:r>
      <w:proofErr w:type="gramStart"/>
      <w:r w:rsidRPr="003C2083">
        <w:rPr>
          <w:rFonts w:ascii="Arial" w:hAnsi="Arial" w:cs="Arial"/>
          <w:sz w:val="22"/>
          <w:szCs w:val="22"/>
        </w:rPr>
        <w:t>as a result</w:t>
      </w:r>
      <w:proofErr w:type="gramEnd"/>
      <w:r w:rsidRPr="003C2083">
        <w:rPr>
          <w:rFonts w:ascii="Arial" w:hAnsi="Arial" w:cs="Arial"/>
          <w:sz w:val="22"/>
          <w:szCs w:val="22"/>
        </w:rPr>
        <w:t xml:space="preserve"> of this comment.</w:t>
      </w:r>
    </w:p>
    <w:p w14:paraId="67DDF990" w14:textId="77777777" w:rsidR="003C2083" w:rsidRPr="003C2083" w:rsidRDefault="003C2083" w:rsidP="003C2083">
      <w:pPr>
        <w:ind w:left="360"/>
        <w:jc w:val="center"/>
        <w:rPr>
          <w:rFonts w:ascii="Arial" w:hAnsi="Arial" w:cs="Arial"/>
          <w:sz w:val="22"/>
          <w:szCs w:val="22"/>
        </w:rPr>
      </w:pPr>
      <w:r w:rsidRPr="003C2083">
        <w:rPr>
          <w:rFonts w:ascii="Arial" w:hAnsi="Arial" w:cs="Arial"/>
          <w:sz w:val="22"/>
          <w:szCs w:val="22"/>
        </w:rPr>
        <w:t>* * *</w:t>
      </w:r>
    </w:p>
    <w:p w14:paraId="28A22DF4" w14:textId="77777777" w:rsidR="00576017" w:rsidRPr="003C2083" w:rsidRDefault="00576017" w:rsidP="00BE2C62">
      <w:pPr>
        <w:rPr>
          <w:sz w:val="22"/>
          <w:szCs w:val="22"/>
        </w:rPr>
      </w:pPr>
    </w:p>
    <w:p w14:paraId="70C9B068" w14:textId="77777777" w:rsidR="00015F24" w:rsidRPr="006B60F1" w:rsidRDefault="006B60F1" w:rsidP="00BE2C62">
      <w:pPr>
        <w:rPr>
          <w:b/>
        </w:rPr>
      </w:pPr>
      <w:r w:rsidRPr="006B60F1">
        <w:rPr>
          <w:b/>
        </w:rPr>
        <w:t>Section 12</w:t>
      </w:r>
      <w:r w:rsidR="00717FC5">
        <w:rPr>
          <w:b/>
        </w:rPr>
        <w:t>:</w:t>
      </w:r>
    </w:p>
    <w:p w14:paraId="04818846" w14:textId="77777777" w:rsidR="00F830A8" w:rsidRDefault="006B60F1" w:rsidP="00BE2C62">
      <w:pPr>
        <w:rPr>
          <w:b/>
        </w:rPr>
      </w:pPr>
      <w:r>
        <w:rPr>
          <w:b/>
        </w:rPr>
        <w:t>Monthly Visits Tab</w:t>
      </w:r>
      <w:r w:rsidR="00957CA9">
        <w:rPr>
          <w:b/>
        </w:rPr>
        <w:t>—Refer to Exhibit A</w:t>
      </w:r>
    </w:p>
    <w:p w14:paraId="4190687E" w14:textId="77777777" w:rsidR="00546212" w:rsidRDefault="00D47D7D" w:rsidP="00BE2C62">
      <w:pPr>
        <w:rPr>
          <w:b/>
        </w:rPr>
      </w:pPr>
      <w:r>
        <w:rPr>
          <w:b/>
        </w:rPr>
        <w:t>Page 25:</w:t>
      </w:r>
      <w:r w:rsidR="00F830A8">
        <w:rPr>
          <w:b/>
        </w:rPr>
        <w:t xml:space="preserve"> </w:t>
      </w:r>
    </w:p>
    <w:p w14:paraId="7855924F" w14:textId="578B076F" w:rsidR="00BE2C62" w:rsidRPr="00882E93" w:rsidRDefault="00546212" w:rsidP="00BE2C62">
      <w:pPr>
        <w:rPr>
          <w:b/>
        </w:rPr>
      </w:pPr>
      <w:r w:rsidRPr="006230F0">
        <w:rPr>
          <w:b/>
          <w:u w:val="single"/>
        </w:rPr>
        <w:t>Comment:</w:t>
      </w:r>
      <w:r>
        <w:rPr>
          <w:b/>
          <w:u w:val="single"/>
        </w:rPr>
        <w:t xml:space="preserve"> </w:t>
      </w:r>
      <w:r w:rsidR="00231DB0">
        <w:t xml:space="preserve">We provide substantial response to this section in the attached memo, </w:t>
      </w:r>
      <w:r w:rsidR="00012A35">
        <w:t>“</w:t>
      </w:r>
      <w:r w:rsidR="000A7579">
        <w:t>PPS-2 Methodology for Certified Community Behavioral Health Clinics</w:t>
      </w:r>
      <w:r w:rsidR="00012A35">
        <w:t>,”</w:t>
      </w:r>
      <w:r w:rsidR="00BE2C62">
        <w:t xml:space="preserve"> </w:t>
      </w:r>
      <w:r w:rsidR="00F62F2A">
        <w:t xml:space="preserve">from </w:t>
      </w:r>
      <w:proofErr w:type="spellStart"/>
      <w:r w:rsidR="00F62F2A">
        <w:t>Feldesman</w:t>
      </w:r>
      <w:proofErr w:type="spellEnd"/>
      <w:r w:rsidR="00F62F2A">
        <w:t xml:space="preserve"> Tucker </w:t>
      </w:r>
      <w:r w:rsidR="00231DB0">
        <w:t xml:space="preserve">marked as Exhibit A.  Given </w:t>
      </w:r>
      <w:r w:rsidR="00BE2C62">
        <w:t xml:space="preserve">the statute’s flexibility, we urge OMB to explore whether </w:t>
      </w:r>
      <w:proofErr w:type="gramStart"/>
      <w:r w:rsidR="00BE2C62">
        <w:t>a reconciliation</w:t>
      </w:r>
      <w:proofErr w:type="gramEnd"/>
      <w:r w:rsidR="00BE2C62">
        <w:t xml:space="preserve"> to actual costs, subject to a re-def</w:t>
      </w:r>
      <w:r w:rsidR="00267873">
        <w:t>inition of costs as defined in E</w:t>
      </w:r>
      <w:r w:rsidR="00BE2C62">
        <w:t>xhibit A, during the demonstration period might be a way in which PPS</w:t>
      </w:r>
      <w:r w:rsidR="00012A35">
        <w:t xml:space="preserve"> 2</w:t>
      </w:r>
      <w:r w:rsidR="00BE2C62">
        <w:t xml:space="preserve"> could be developed in a way that is conformant</w:t>
      </w:r>
      <w:r w:rsidR="000A7579">
        <w:t xml:space="preserve"> with cost report principles</w:t>
      </w:r>
      <w:r w:rsidR="00BE2C62">
        <w:t>.</w:t>
      </w:r>
    </w:p>
    <w:p w14:paraId="05DAD956" w14:textId="77777777" w:rsidR="00D47D7D" w:rsidRDefault="00D47D7D" w:rsidP="00BE2C62"/>
    <w:p w14:paraId="1A06846D" w14:textId="338B69E5" w:rsidR="006B60F1" w:rsidRDefault="003B4378" w:rsidP="006B60F1">
      <w:pPr>
        <w:rPr>
          <w:rFonts w:ascii="Arial" w:hAnsi="Arial" w:cs="Arial"/>
          <w:sz w:val="22"/>
          <w:szCs w:val="22"/>
        </w:rPr>
      </w:pPr>
      <w:r w:rsidRPr="003C2083">
        <w:rPr>
          <w:rFonts w:ascii="Arial" w:hAnsi="Arial" w:cs="Arial"/>
          <w:b/>
          <w:sz w:val="22"/>
          <w:szCs w:val="22"/>
          <w:u w:val="single"/>
        </w:rPr>
        <w:t>CMS</w:t>
      </w:r>
      <w:r w:rsidR="003C2083" w:rsidRPr="003C2083">
        <w:rPr>
          <w:rFonts w:ascii="Arial" w:hAnsi="Arial" w:cs="Arial"/>
          <w:b/>
          <w:sz w:val="22"/>
          <w:szCs w:val="22"/>
          <w:u w:val="single"/>
        </w:rPr>
        <w:t xml:space="preserve"> Response</w:t>
      </w:r>
      <w:r w:rsidRPr="003C2083">
        <w:rPr>
          <w:rFonts w:ascii="Arial" w:hAnsi="Arial" w:cs="Arial"/>
          <w:b/>
          <w:sz w:val="22"/>
          <w:szCs w:val="22"/>
          <w:u w:val="single"/>
        </w:rPr>
        <w:t>:</w:t>
      </w:r>
      <w:r w:rsidRPr="003C2083">
        <w:rPr>
          <w:rFonts w:ascii="Arial" w:hAnsi="Arial" w:cs="Arial"/>
          <w:sz w:val="22"/>
          <w:szCs w:val="22"/>
        </w:rPr>
        <w:t xml:space="preserve"> </w:t>
      </w:r>
    </w:p>
    <w:p w14:paraId="2BC6306F" w14:textId="7BEAC42D" w:rsidR="00880693" w:rsidRPr="003C2083" w:rsidRDefault="00880693" w:rsidP="006B60F1">
      <w:pPr>
        <w:rPr>
          <w:rFonts w:ascii="Arial" w:hAnsi="Arial" w:cs="Arial"/>
          <w:sz w:val="22"/>
          <w:szCs w:val="22"/>
        </w:rPr>
      </w:pPr>
    </w:p>
    <w:p w14:paraId="6D3CCDF8" w14:textId="77777777" w:rsidR="006B60F1" w:rsidRPr="003C2083" w:rsidRDefault="006B60F1" w:rsidP="006B60F1">
      <w:pPr>
        <w:rPr>
          <w:rFonts w:ascii="Arial" w:hAnsi="Arial" w:cs="Arial"/>
          <w:b/>
          <w:sz w:val="22"/>
          <w:szCs w:val="22"/>
        </w:rPr>
      </w:pPr>
      <w:r w:rsidRPr="003C2083">
        <w:rPr>
          <w:rFonts w:ascii="Arial" w:hAnsi="Arial" w:cs="Arial"/>
          <w:b/>
          <w:sz w:val="22"/>
          <w:szCs w:val="22"/>
        </w:rPr>
        <w:t xml:space="preserve">Burden Hour Deduction </w:t>
      </w:r>
    </w:p>
    <w:p w14:paraId="50B6840D" w14:textId="77777777" w:rsidR="006B60F1" w:rsidRPr="003C2083" w:rsidRDefault="006B60F1" w:rsidP="006B60F1">
      <w:pPr>
        <w:rPr>
          <w:rFonts w:ascii="Arial" w:hAnsi="Arial" w:cs="Arial"/>
          <w:i/>
          <w:sz w:val="22"/>
          <w:szCs w:val="22"/>
        </w:rPr>
      </w:pPr>
      <w:r w:rsidRPr="003C2083">
        <w:rPr>
          <w:rFonts w:ascii="Arial" w:hAnsi="Arial" w:cs="Arial"/>
          <w:i/>
          <w:sz w:val="22"/>
          <w:szCs w:val="22"/>
        </w:rPr>
        <w:t>Wage Estimate</w:t>
      </w:r>
    </w:p>
    <w:p w14:paraId="04F4C25D" w14:textId="77777777" w:rsidR="006B60F1" w:rsidRPr="003C2083" w:rsidRDefault="000A7579" w:rsidP="006B60F1">
      <w:pPr>
        <w:rPr>
          <w:rFonts w:ascii="Arial" w:hAnsi="Arial" w:cs="Arial"/>
          <w:sz w:val="22"/>
          <w:szCs w:val="22"/>
        </w:rPr>
      </w:pPr>
      <w:proofErr w:type="gramStart"/>
      <w:r w:rsidRPr="003C2083">
        <w:rPr>
          <w:rFonts w:ascii="Arial" w:hAnsi="Arial" w:cs="Arial"/>
          <w:sz w:val="22"/>
          <w:szCs w:val="22"/>
        </w:rPr>
        <w:t xml:space="preserve">CMS provided an estimate of </w:t>
      </w:r>
      <w:r w:rsidR="006B60F1" w:rsidRPr="003C2083">
        <w:rPr>
          <w:rFonts w:ascii="Arial" w:hAnsi="Arial" w:cs="Arial"/>
          <w:sz w:val="22"/>
          <w:szCs w:val="22"/>
        </w:rPr>
        <w:t xml:space="preserve">81.5 hours </w:t>
      </w:r>
      <w:r w:rsidR="005D6274" w:rsidRPr="003C2083">
        <w:rPr>
          <w:rFonts w:ascii="Arial" w:hAnsi="Arial" w:cs="Arial"/>
          <w:sz w:val="22"/>
          <w:szCs w:val="22"/>
        </w:rPr>
        <w:t xml:space="preserve">per </w:t>
      </w:r>
      <w:proofErr w:type="spellStart"/>
      <w:r w:rsidR="005D6274" w:rsidRPr="003C2083">
        <w:rPr>
          <w:rFonts w:ascii="Arial" w:hAnsi="Arial" w:cs="Arial"/>
          <w:sz w:val="22"/>
          <w:szCs w:val="22"/>
        </w:rPr>
        <w:t>CCBHC</w:t>
      </w:r>
      <w:proofErr w:type="spellEnd"/>
      <w:r w:rsidR="005D6274" w:rsidRPr="003C2083">
        <w:rPr>
          <w:rFonts w:ascii="Arial" w:hAnsi="Arial" w:cs="Arial"/>
          <w:sz w:val="22"/>
          <w:szCs w:val="22"/>
        </w:rPr>
        <w:t xml:space="preserve"> to</w:t>
      </w:r>
      <w:r w:rsidR="006B60F1" w:rsidRPr="003C2083">
        <w:rPr>
          <w:rFonts w:ascii="Arial" w:hAnsi="Arial" w:cs="Arial"/>
          <w:sz w:val="22"/>
          <w:szCs w:val="22"/>
        </w:rPr>
        <w:t xml:space="preserve"> </w:t>
      </w:r>
      <w:r w:rsidR="005D6274" w:rsidRPr="003C2083">
        <w:rPr>
          <w:rFonts w:ascii="Arial" w:hAnsi="Arial" w:cs="Arial"/>
          <w:sz w:val="22"/>
          <w:szCs w:val="22"/>
        </w:rPr>
        <w:t>compile all of the necessary data and documentation to complete the cost report</w:t>
      </w:r>
      <w:r w:rsidR="006B60F1" w:rsidRPr="003C2083">
        <w:rPr>
          <w:rFonts w:ascii="Arial" w:hAnsi="Arial" w:cs="Arial"/>
          <w:sz w:val="22"/>
          <w:szCs w:val="22"/>
        </w:rPr>
        <w:t xml:space="preserve"> – we estimate that it will take </w:t>
      </w:r>
      <w:r w:rsidR="00C23852" w:rsidRPr="003C2083">
        <w:rPr>
          <w:rFonts w:ascii="Arial" w:hAnsi="Arial" w:cs="Arial"/>
          <w:sz w:val="22"/>
          <w:szCs w:val="22"/>
        </w:rPr>
        <w:t>two</w:t>
      </w:r>
      <w:r w:rsidR="006B60F1" w:rsidRPr="003C2083">
        <w:rPr>
          <w:rFonts w:ascii="Arial" w:hAnsi="Arial" w:cs="Arial"/>
          <w:sz w:val="22"/>
          <w:szCs w:val="22"/>
        </w:rPr>
        <w:t xml:space="preserve"> times the amount of time to compile the information that is required to complete the cost report</w:t>
      </w:r>
      <w:r w:rsidR="00073887" w:rsidRPr="003C2083">
        <w:rPr>
          <w:rFonts w:ascii="Arial" w:hAnsi="Arial" w:cs="Arial"/>
          <w:sz w:val="22"/>
          <w:szCs w:val="22"/>
        </w:rPr>
        <w:t xml:space="preserve"> for clinics</w:t>
      </w:r>
      <w:r w:rsidR="00F47DE7" w:rsidRPr="003C2083">
        <w:rPr>
          <w:rFonts w:ascii="Arial" w:hAnsi="Arial" w:cs="Arial"/>
          <w:sz w:val="22"/>
          <w:szCs w:val="22"/>
        </w:rPr>
        <w:t xml:space="preserve"> using the PPS-</w:t>
      </w:r>
      <w:r w:rsidR="00073887" w:rsidRPr="003C2083">
        <w:rPr>
          <w:rFonts w:ascii="Arial" w:hAnsi="Arial" w:cs="Arial"/>
          <w:sz w:val="22"/>
          <w:szCs w:val="22"/>
        </w:rPr>
        <w:t xml:space="preserve">1 model and </w:t>
      </w:r>
      <w:r w:rsidR="00C23852" w:rsidRPr="003C2083">
        <w:rPr>
          <w:rFonts w:ascii="Arial" w:hAnsi="Arial" w:cs="Arial"/>
          <w:sz w:val="22"/>
          <w:szCs w:val="22"/>
        </w:rPr>
        <w:t>three</w:t>
      </w:r>
      <w:r w:rsidR="00073887" w:rsidRPr="003C2083">
        <w:rPr>
          <w:rFonts w:ascii="Arial" w:hAnsi="Arial" w:cs="Arial"/>
          <w:sz w:val="22"/>
          <w:szCs w:val="22"/>
        </w:rPr>
        <w:t xml:space="preserve"> times the amount of</w:t>
      </w:r>
      <w:r w:rsidR="00F47DE7" w:rsidRPr="003C2083">
        <w:rPr>
          <w:rFonts w:ascii="Arial" w:hAnsi="Arial" w:cs="Arial"/>
          <w:sz w:val="22"/>
          <w:szCs w:val="22"/>
        </w:rPr>
        <w:t xml:space="preserve"> time for clinics using the PPS-</w:t>
      </w:r>
      <w:r w:rsidR="00073887" w:rsidRPr="003C2083">
        <w:rPr>
          <w:rFonts w:ascii="Arial" w:hAnsi="Arial" w:cs="Arial"/>
          <w:sz w:val="22"/>
          <w:szCs w:val="22"/>
        </w:rPr>
        <w:t>2 model.</w:t>
      </w:r>
      <w:proofErr w:type="gramEnd"/>
      <w:r w:rsidR="00073887" w:rsidRPr="003C2083">
        <w:rPr>
          <w:rFonts w:ascii="Arial" w:hAnsi="Arial" w:cs="Arial"/>
          <w:sz w:val="22"/>
          <w:szCs w:val="22"/>
        </w:rPr>
        <w:t xml:space="preserve"> </w:t>
      </w:r>
      <w:r w:rsidR="006B60F1" w:rsidRPr="003C2083">
        <w:rPr>
          <w:rFonts w:ascii="Arial" w:hAnsi="Arial" w:cs="Arial"/>
          <w:sz w:val="22"/>
          <w:szCs w:val="22"/>
        </w:rPr>
        <w:t xml:space="preserve">The </w:t>
      </w:r>
      <w:proofErr w:type="gramStart"/>
      <w:r w:rsidR="006B60F1" w:rsidRPr="003C2083">
        <w:rPr>
          <w:rFonts w:ascii="Arial" w:hAnsi="Arial" w:cs="Arial"/>
          <w:sz w:val="22"/>
          <w:szCs w:val="22"/>
        </w:rPr>
        <w:t>cost reporting</w:t>
      </w:r>
      <w:proofErr w:type="gramEnd"/>
      <w:r w:rsidR="006B60F1" w:rsidRPr="003C2083">
        <w:rPr>
          <w:rFonts w:ascii="Arial" w:hAnsi="Arial" w:cs="Arial"/>
          <w:sz w:val="22"/>
          <w:szCs w:val="22"/>
        </w:rPr>
        <w:t xml:space="preserve"> year is not likely to reconcile with the fiscal year of the </w:t>
      </w:r>
      <w:proofErr w:type="spellStart"/>
      <w:r w:rsidR="006B60F1" w:rsidRPr="003C2083">
        <w:rPr>
          <w:rFonts w:ascii="Arial" w:hAnsi="Arial" w:cs="Arial"/>
          <w:sz w:val="22"/>
          <w:szCs w:val="22"/>
        </w:rPr>
        <w:t>CCBHC</w:t>
      </w:r>
      <w:proofErr w:type="spellEnd"/>
      <w:r w:rsidR="006B60F1" w:rsidRPr="003C2083">
        <w:rPr>
          <w:rFonts w:ascii="Arial" w:hAnsi="Arial" w:cs="Arial"/>
          <w:sz w:val="22"/>
          <w:szCs w:val="22"/>
        </w:rPr>
        <w:t>, therefore the level of effort estimate appears vastly under-stated</w:t>
      </w:r>
      <w:r w:rsidR="00231DB0" w:rsidRPr="003C2083">
        <w:rPr>
          <w:rFonts w:ascii="Arial" w:hAnsi="Arial" w:cs="Arial"/>
          <w:sz w:val="22"/>
          <w:szCs w:val="22"/>
        </w:rPr>
        <w:t xml:space="preserve"> current community based behavioral health organizations have no expense completing cost reports and do not tend to have financial and accounting systems that segregate costs at the level of specificity needed to complete cost report</w:t>
      </w:r>
      <w:r w:rsidR="00267873" w:rsidRPr="003C2083">
        <w:rPr>
          <w:rFonts w:ascii="Arial" w:hAnsi="Arial" w:cs="Arial"/>
          <w:sz w:val="22"/>
          <w:szCs w:val="22"/>
        </w:rPr>
        <w:t>s</w:t>
      </w:r>
      <w:r w:rsidR="006B60F1" w:rsidRPr="003C2083">
        <w:rPr>
          <w:rFonts w:ascii="Arial" w:hAnsi="Arial" w:cs="Arial"/>
          <w:sz w:val="22"/>
          <w:szCs w:val="22"/>
        </w:rPr>
        <w:t xml:space="preserve">. </w:t>
      </w:r>
      <w:r w:rsidR="00231DB0" w:rsidRPr="003C2083">
        <w:rPr>
          <w:rFonts w:ascii="Arial" w:hAnsi="Arial" w:cs="Arial"/>
          <w:sz w:val="22"/>
          <w:szCs w:val="22"/>
        </w:rPr>
        <w:t>This coupled with lack of alignment with fiscal years will result in significant worksheet and back up documentation.</w:t>
      </w:r>
      <w:r w:rsidR="006B60F1" w:rsidRPr="003C2083">
        <w:rPr>
          <w:rFonts w:ascii="Arial" w:hAnsi="Arial" w:cs="Arial"/>
          <w:sz w:val="22"/>
          <w:szCs w:val="22"/>
        </w:rPr>
        <w:t xml:space="preserve"> </w:t>
      </w:r>
      <w:r w:rsidR="003C5DCD" w:rsidRPr="003C2083">
        <w:rPr>
          <w:rFonts w:ascii="Arial" w:hAnsi="Arial" w:cs="Arial"/>
          <w:sz w:val="22"/>
          <w:szCs w:val="22"/>
        </w:rPr>
        <w:t>Additionally, t</w:t>
      </w:r>
      <w:r w:rsidR="006B60F1" w:rsidRPr="003C2083">
        <w:rPr>
          <w:rFonts w:ascii="Arial" w:hAnsi="Arial" w:cs="Arial"/>
          <w:sz w:val="22"/>
          <w:szCs w:val="22"/>
        </w:rPr>
        <w:t xml:space="preserve">he level of reallocations, estimates based on the current cost reports </w:t>
      </w:r>
      <w:r w:rsidR="00267873" w:rsidRPr="003C2083">
        <w:rPr>
          <w:rFonts w:ascii="Arial" w:hAnsi="Arial" w:cs="Arial"/>
          <w:sz w:val="22"/>
          <w:szCs w:val="22"/>
        </w:rPr>
        <w:t>would require much higher levels</w:t>
      </w:r>
      <w:r w:rsidR="006B60F1" w:rsidRPr="003C2083">
        <w:rPr>
          <w:rFonts w:ascii="Arial" w:hAnsi="Arial" w:cs="Arial"/>
          <w:sz w:val="22"/>
          <w:szCs w:val="22"/>
        </w:rPr>
        <w:t xml:space="preserve"> of staff. </w:t>
      </w:r>
      <w:r w:rsidR="005D6274" w:rsidRPr="003C2083">
        <w:rPr>
          <w:rFonts w:ascii="Arial" w:hAnsi="Arial" w:cs="Arial"/>
          <w:sz w:val="22"/>
          <w:szCs w:val="22"/>
        </w:rPr>
        <w:t xml:space="preserve">Therefore, we estimate that the cost for a </w:t>
      </w:r>
      <w:proofErr w:type="spellStart"/>
      <w:r w:rsidR="005D6274" w:rsidRPr="003C2083">
        <w:rPr>
          <w:rFonts w:ascii="Arial" w:hAnsi="Arial" w:cs="Arial"/>
          <w:sz w:val="22"/>
          <w:szCs w:val="22"/>
        </w:rPr>
        <w:t>CCBHC</w:t>
      </w:r>
      <w:proofErr w:type="spellEnd"/>
      <w:r w:rsidR="005D6274" w:rsidRPr="003C2083">
        <w:rPr>
          <w:rFonts w:ascii="Arial" w:hAnsi="Arial" w:cs="Arial"/>
          <w:sz w:val="22"/>
          <w:szCs w:val="22"/>
        </w:rPr>
        <w:t xml:space="preserve"> and states to complete and review one cost report is $19,811.44.</w:t>
      </w:r>
    </w:p>
    <w:p w14:paraId="3CD122E2" w14:textId="77777777" w:rsidR="00016848" w:rsidRPr="003C2083" w:rsidRDefault="00016848" w:rsidP="006B60F1">
      <w:pPr>
        <w:rPr>
          <w:rFonts w:ascii="Arial" w:hAnsi="Arial" w:cs="Arial"/>
          <w:sz w:val="22"/>
          <w:szCs w:val="22"/>
        </w:rPr>
      </w:pPr>
    </w:p>
    <w:p w14:paraId="3E33FB50" w14:textId="77777777" w:rsidR="00C23852" w:rsidRPr="003C2083" w:rsidRDefault="00C23852" w:rsidP="006B60F1">
      <w:pPr>
        <w:rPr>
          <w:rFonts w:ascii="Arial" w:hAnsi="Arial" w:cs="Arial"/>
          <w:sz w:val="22"/>
          <w:szCs w:val="22"/>
        </w:rPr>
      </w:pPr>
      <w:r w:rsidRPr="003C2083">
        <w:rPr>
          <w:rFonts w:ascii="Arial" w:hAnsi="Arial" w:cs="Arial"/>
          <w:sz w:val="22"/>
          <w:szCs w:val="22"/>
        </w:rPr>
        <w:t>Chief Executives were not included in the review of the cost reports. To derive average costs, we used data from the U.S. Bureau of Labor Statistics’ May 2014 National Occupational Employment and Wage Estimates.</w:t>
      </w:r>
      <w:r w:rsidR="00F47DE7" w:rsidRPr="003C2083">
        <w:rPr>
          <w:rFonts w:ascii="Arial" w:hAnsi="Arial" w:cs="Arial"/>
          <w:sz w:val="22"/>
          <w:szCs w:val="22"/>
        </w:rPr>
        <w:t xml:space="preserve"> We estimate that the Chief Executives would spend </w:t>
      </w:r>
      <w:r w:rsidR="00FA4CE2" w:rsidRPr="003C2083">
        <w:rPr>
          <w:rFonts w:ascii="Arial" w:hAnsi="Arial" w:cs="Arial"/>
          <w:sz w:val="22"/>
          <w:szCs w:val="22"/>
        </w:rPr>
        <w:t>10</w:t>
      </w:r>
      <w:r w:rsidR="00F47DE7" w:rsidRPr="003C2083">
        <w:rPr>
          <w:rFonts w:ascii="Arial" w:hAnsi="Arial" w:cs="Arial"/>
          <w:sz w:val="22"/>
          <w:szCs w:val="22"/>
        </w:rPr>
        <w:t xml:space="preserve"> hours reviewing the cost reports for a PPS-1 model and </w:t>
      </w:r>
      <w:r w:rsidR="00FA4CE2" w:rsidRPr="003C2083">
        <w:rPr>
          <w:rFonts w:ascii="Arial" w:hAnsi="Arial" w:cs="Arial"/>
          <w:sz w:val="22"/>
          <w:szCs w:val="22"/>
        </w:rPr>
        <w:t>15</w:t>
      </w:r>
      <w:r w:rsidR="00F47DE7" w:rsidRPr="003C2083">
        <w:rPr>
          <w:rFonts w:ascii="Arial" w:hAnsi="Arial" w:cs="Arial"/>
          <w:sz w:val="22"/>
          <w:szCs w:val="22"/>
        </w:rPr>
        <w:t xml:space="preserve"> hours for a PPS-2 model.</w:t>
      </w:r>
    </w:p>
    <w:p w14:paraId="6B3D0347" w14:textId="77777777" w:rsidR="006B60F1" w:rsidRPr="003C2083" w:rsidRDefault="006B60F1" w:rsidP="006B60F1">
      <w:pPr>
        <w:rPr>
          <w:rFonts w:ascii="Arial" w:hAnsi="Arial" w:cs="Arial"/>
          <w:sz w:val="22"/>
          <w:szCs w:val="22"/>
        </w:rPr>
      </w:pPr>
    </w:p>
    <w:p w14:paraId="1EB3A51E" w14:textId="77777777" w:rsidR="006B60F1" w:rsidRPr="003C2083" w:rsidRDefault="006B60F1" w:rsidP="006B60F1">
      <w:pPr>
        <w:rPr>
          <w:rFonts w:ascii="Arial" w:hAnsi="Arial" w:cs="Arial"/>
          <w:i/>
          <w:sz w:val="22"/>
          <w:szCs w:val="22"/>
        </w:rPr>
      </w:pPr>
      <w:proofErr w:type="gramStart"/>
      <w:r w:rsidRPr="003C2083">
        <w:rPr>
          <w:rFonts w:ascii="Arial" w:hAnsi="Arial" w:cs="Arial"/>
          <w:i/>
          <w:sz w:val="22"/>
          <w:szCs w:val="22"/>
        </w:rPr>
        <w:t>State desk audit.</w:t>
      </w:r>
      <w:proofErr w:type="gramEnd"/>
      <w:r w:rsidRPr="003C2083">
        <w:rPr>
          <w:rFonts w:ascii="Arial" w:hAnsi="Arial" w:cs="Arial"/>
          <w:i/>
          <w:sz w:val="22"/>
          <w:szCs w:val="22"/>
        </w:rPr>
        <w:t xml:space="preserve">  </w:t>
      </w:r>
    </w:p>
    <w:p w14:paraId="6CD24025" w14:textId="77777777" w:rsidR="006B60F1" w:rsidRPr="003C2083" w:rsidRDefault="006B60F1" w:rsidP="006B60F1">
      <w:pPr>
        <w:rPr>
          <w:rFonts w:ascii="Arial" w:hAnsi="Arial" w:cs="Arial"/>
          <w:sz w:val="22"/>
          <w:szCs w:val="22"/>
        </w:rPr>
      </w:pPr>
      <w:r w:rsidRPr="003C2083">
        <w:rPr>
          <w:rFonts w:ascii="Arial" w:hAnsi="Arial" w:cs="Arial"/>
          <w:sz w:val="22"/>
          <w:szCs w:val="22"/>
        </w:rPr>
        <w:t xml:space="preserve">As previously stated, since the reporting year and fiscal year are not likely to reconcile, </w:t>
      </w:r>
      <w:proofErr w:type="spellStart"/>
      <w:r w:rsidRPr="003C2083">
        <w:rPr>
          <w:rFonts w:ascii="Arial" w:hAnsi="Arial" w:cs="Arial"/>
          <w:sz w:val="22"/>
          <w:szCs w:val="22"/>
        </w:rPr>
        <w:t>CCBHC</w:t>
      </w:r>
      <w:r w:rsidR="005D6274" w:rsidRPr="003C2083">
        <w:rPr>
          <w:rFonts w:ascii="Arial" w:hAnsi="Arial" w:cs="Arial"/>
          <w:sz w:val="22"/>
          <w:szCs w:val="22"/>
        </w:rPr>
        <w:t>s</w:t>
      </w:r>
      <w:proofErr w:type="spellEnd"/>
      <w:r w:rsidRPr="003C2083">
        <w:rPr>
          <w:rFonts w:ascii="Arial" w:hAnsi="Arial" w:cs="Arial"/>
          <w:sz w:val="22"/>
          <w:szCs w:val="22"/>
        </w:rPr>
        <w:t xml:space="preserve"> will submit many worksheets and backup justification documents that will require significant time to review.  We estimate that each desk audit will take at least twice as long for a PPS-1 state and up </w:t>
      </w:r>
      <w:r w:rsidR="00F47DE7" w:rsidRPr="003C2083">
        <w:rPr>
          <w:rFonts w:ascii="Arial" w:hAnsi="Arial" w:cs="Arial"/>
          <w:sz w:val="22"/>
          <w:szCs w:val="22"/>
        </w:rPr>
        <w:t>to three times longer for a PPS-</w:t>
      </w:r>
      <w:r w:rsidRPr="003C2083">
        <w:rPr>
          <w:rFonts w:ascii="Arial" w:hAnsi="Arial" w:cs="Arial"/>
          <w:sz w:val="22"/>
          <w:szCs w:val="22"/>
        </w:rPr>
        <w:t xml:space="preserve">2 state. This includes a desk audit of anticipated </w:t>
      </w:r>
      <w:proofErr w:type="gramStart"/>
      <w:r w:rsidRPr="003C2083">
        <w:rPr>
          <w:rFonts w:ascii="Arial" w:hAnsi="Arial" w:cs="Arial"/>
          <w:sz w:val="22"/>
          <w:szCs w:val="22"/>
        </w:rPr>
        <w:t>costs which</w:t>
      </w:r>
      <w:proofErr w:type="gramEnd"/>
      <w:r w:rsidRPr="003C2083">
        <w:rPr>
          <w:rFonts w:ascii="Arial" w:hAnsi="Arial" w:cs="Arial"/>
          <w:sz w:val="22"/>
          <w:szCs w:val="22"/>
        </w:rPr>
        <w:t xml:space="preserve"> will likewise involve substantial back up and review.</w:t>
      </w:r>
    </w:p>
    <w:p w14:paraId="58F3B9E2" w14:textId="77777777" w:rsidR="00016848" w:rsidRPr="003C2083" w:rsidRDefault="00016848" w:rsidP="006B60F1">
      <w:pPr>
        <w:rPr>
          <w:rFonts w:ascii="Arial" w:hAnsi="Arial" w:cs="Arial"/>
          <w:sz w:val="22"/>
          <w:szCs w:val="22"/>
        </w:rPr>
      </w:pPr>
    </w:p>
    <w:p w14:paraId="192F096B" w14:textId="77777777" w:rsidR="00E322D6" w:rsidRPr="003C2083" w:rsidRDefault="00C23852" w:rsidP="00C23852">
      <w:pPr>
        <w:rPr>
          <w:rFonts w:ascii="Arial" w:hAnsi="Arial" w:cs="Arial"/>
          <w:sz w:val="22"/>
          <w:szCs w:val="22"/>
        </w:rPr>
      </w:pPr>
      <w:r w:rsidRPr="003C2083">
        <w:rPr>
          <w:rFonts w:ascii="Arial" w:hAnsi="Arial" w:cs="Arial"/>
          <w:sz w:val="22"/>
          <w:szCs w:val="22"/>
        </w:rPr>
        <w:t>Based on the feedback we have received from the states applying</w:t>
      </w:r>
      <w:r w:rsidR="005D6274" w:rsidRPr="003C2083">
        <w:rPr>
          <w:rFonts w:ascii="Arial" w:hAnsi="Arial" w:cs="Arial"/>
          <w:sz w:val="22"/>
          <w:szCs w:val="22"/>
        </w:rPr>
        <w:t xml:space="preserve"> for the planning grant</w:t>
      </w:r>
      <w:r w:rsidRPr="003C2083">
        <w:rPr>
          <w:rFonts w:ascii="Arial" w:hAnsi="Arial" w:cs="Arial"/>
          <w:sz w:val="22"/>
          <w:szCs w:val="22"/>
        </w:rPr>
        <w:t>, each state is looking to certify</w:t>
      </w:r>
      <w:r w:rsidR="005D6274" w:rsidRPr="003C2083">
        <w:rPr>
          <w:rFonts w:ascii="Arial" w:hAnsi="Arial" w:cs="Arial"/>
          <w:sz w:val="22"/>
          <w:szCs w:val="22"/>
        </w:rPr>
        <w:t xml:space="preserve"> an average of</w:t>
      </w:r>
      <w:r w:rsidRPr="003C2083">
        <w:rPr>
          <w:rFonts w:ascii="Arial" w:hAnsi="Arial" w:cs="Arial"/>
          <w:sz w:val="22"/>
          <w:szCs w:val="22"/>
        </w:rPr>
        <w:t xml:space="preserve"> six clinics.</w:t>
      </w:r>
      <w:r w:rsidR="005D6274" w:rsidRPr="003C2083">
        <w:rPr>
          <w:rFonts w:ascii="Arial" w:hAnsi="Arial" w:cs="Arial"/>
          <w:sz w:val="22"/>
          <w:szCs w:val="22"/>
        </w:rPr>
        <w:t xml:space="preserve"> PPS rate development happens during the planning year and thus up to 23 states and 129 </w:t>
      </w:r>
      <w:proofErr w:type="spellStart"/>
      <w:r w:rsidR="005D6274" w:rsidRPr="003C2083">
        <w:rPr>
          <w:rFonts w:ascii="Arial" w:hAnsi="Arial" w:cs="Arial"/>
          <w:sz w:val="22"/>
          <w:szCs w:val="22"/>
        </w:rPr>
        <w:t>CCBHCs</w:t>
      </w:r>
      <w:proofErr w:type="spellEnd"/>
      <w:r w:rsidR="005D6274" w:rsidRPr="003C2083">
        <w:rPr>
          <w:rFonts w:ascii="Arial" w:hAnsi="Arial" w:cs="Arial"/>
          <w:sz w:val="22"/>
          <w:szCs w:val="22"/>
        </w:rPr>
        <w:t xml:space="preserve"> will be involved.</w:t>
      </w:r>
      <w:r w:rsidRPr="003C2083">
        <w:rPr>
          <w:rFonts w:ascii="Arial" w:hAnsi="Arial" w:cs="Arial"/>
          <w:sz w:val="22"/>
          <w:szCs w:val="22"/>
        </w:rPr>
        <w:t xml:space="preserve"> This will change the costs projected, which </w:t>
      </w:r>
      <w:proofErr w:type="gramStart"/>
      <w:r w:rsidRPr="003C2083">
        <w:rPr>
          <w:rFonts w:ascii="Arial" w:hAnsi="Arial" w:cs="Arial"/>
          <w:sz w:val="22"/>
          <w:szCs w:val="22"/>
        </w:rPr>
        <w:t>were based</w:t>
      </w:r>
      <w:proofErr w:type="gramEnd"/>
      <w:r w:rsidRPr="003C2083">
        <w:rPr>
          <w:rFonts w:ascii="Arial" w:hAnsi="Arial" w:cs="Arial"/>
          <w:sz w:val="22"/>
          <w:szCs w:val="22"/>
        </w:rPr>
        <w:t xml:space="preserve"> on two clinics for each state. We have provided an updated chart below calculating the costs for six </w:t>
      </w:r>
      <w:proofErr w:type="spellStart"/>
      <w:r w:rsidRPr="003C2083">
        <w:rPr>
          <w:rFonts w:ascii="Arial" w:hAnsi="Arial" w:cs="Arial"/>
          <w:sz w:val="22"/>
          <w:szCs w:val="22"/>
        </w:rPr>
        <w:t>CCBHCs</w:t>
      </w:r>
      <w:proofErr w:type="spellEnd"/>
      <w:r w:rsidRPr="003C2083">
        <w:rPr>
          <w:rFonts w:ascii="Arial" w:hAnsi="Arial" w:cs="Arial"/>
          <w:sz w:val="22"/>
          <w:szCs w:val="22"/>
        </w:rPr>
        <w:t xml:space="preserve"> and a state to complete and review one cost report. </w:t>
      </w:r>
    </w:p>
    <w:p w14:paraId="3C88FA14" w14:textId="77777777" w:rsidR="006B60F1" w:rsidRPr="003C2083" w:rsidRDefault="006B60F1" w:rsidP="006B60F1">
      <w:pPr>
        <w:rPr>
          <w:rFonts w:ascii="Arial" w:hAnsi="Arial" w:cs="Arial"/>
          <w:sz w:val="22"/>
          <w:szCs w:val="22"/>
        </w:rPr>
      </w:pPr>
    </w:p>
    <w:p w14:paraId="6DEEB18C" w14:textId="77777777" w:rsidR="005D6274" w:rsidRPr="003C2083" w:rsidRDefault="00010AFC" w:rsidP="006B60F1">
      <w:pPr>
        <w:rPr>
          <w:rFonts w:ascii="Arial" w:hAnsi="Arial" w:cs="Arial"/>
          <w:b/>
          <w:sz w:val="22"/>
          <w:szCs w:val="22"/>
        </w:rPr>
      </w:pPr>
      <w:r w:rsidRPr="003C2083">
        <w:rPr>
          <w:rFonts w:ascii="Arial" w:hAnsi="Arial" w:cs="Arial"/>
          <w:b/>
          <w:sz w:val="22"/>
          <w:szCs w:val="22"/>
        </w:rPr>
        <w:t xml:space="preserve">FIGURE 1: </w:t>
      </w:r>
      <w:r w:rsidR="005D6274" w:rsidRPr="003C2083">
        <w:rPr>
          <w:rFonts w:ascii="Arial" w:hAnsi="Arial" w:cs="Arial"/>
          <w:b/>
          <w:sz w:val="22"/>
          <w:szCs w:val="22"/>
        </w:rPr>
        <w:t>CMS’ DESK AUDIT ESTIMATE</w:t>
      </w:r>
    </w:p>
    <w:p w14:paraId="791E315B" w14:textId="77777777" w:rsidR="00753FCD" w:rsidRPr="003C2083" w:rsidRDefault="00753FCD" w:rsidP="006B60F1">
      <w:pPr>
        <w:rPr>
          <w:rFonts w:ascii="Arial" w:hAnsi="Arial" w:cs="Arial"/>
          <w:sz w:val="22"/>
          <w:szCs w:val="22"/>
        </w:rPr>
      </w:pPr>
      <w:r w:rsidRPr="003C2083">
        <w:rPr>
          <w:rFonts w:ascii="Arial" w:hAnsi="Arial" w:cs="Arial"/>
          <w:sz w:val="22"/>
          <w:szCs w:val="22"/>
        </w:rPr>
        <w:t xml:space="preserve">This chart reflects the CMS’ estimates for the desk audit. It does not provide separate estimates for PPS-1 and PPS-2. It is calculated on the assumption that each state will only certify </w:t>
      </w:r>
      <w:proofErr w:type="gramStart"/>
      <w:r w:rsidRPr="003C2083">
        <w:rPr>
          <w:rFonts w:ascii="Arial" w:hAnsi="Arial" w:cs="Arial"/>
          <w:sz w:val="22"/>
          <w:szCs w:val="22"/>
        </w:rPr>
        <w:t>2</w:t>
      </w:r>
      <w:proofErr w:type="gramEnd"/>
      <w:r w:rsidRPr="003C2083">
        <w:rPr>
          <w:rFonts w:ascii="Arial" w:hAnsi="Arial" w:cs="Arial"/>
          <w:sz w:val="22"/>
          <w:szCs w:val="22"/>
        </w:rPr>
        <w:t xml:space="preserve"> clinics. </w:t>
      </w:r>
    </w:p>
    <w:p w14:paraId="4FFD857A" w14:textId="77777777" w:rsidR="00873A45" w:rsidRPr="003C2083" w:rsidRDefault="00873A45" w:rsidP="006B60F1">
      <w:pPr>
        <w:rPr>
          <w:rFonts w:ascii="Arial" w:hAnsi="Arial" w:cs="Arial"/>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530"/>
        <w:gridCol w:w="1620"/>
        <w:gridCol w:w="1080"/>
        <w:gridCol w:w="1710"/>
        <w:gridCol w:w="1710"/>
      </w:tblGrid>
      <w:tr w:rsidR="005D6274" w:rsidRPr="003C2083" w14:paraId="2A819DED" w14:textId="77777777" w:rsidTr="00496980">
        <w:trPr>
          <w:trHeight w:val="800"/>
          <w:tblHeader/>
        </w:trPr>
        <w:tc>
          <w:tcPr>
            <w:tcW w:w="2430" w:type="dxa"/>
            <w:shd w:val="clear" w:color="auto" w:fill="auto"/>
          </w:tcPr>
          <w:p w14:paraId="165866AC" w14:textId="77777777" w:rsidR="005D6274" w:rsidRPr="003C2083" w:rsidRDefault="005D6274" w:rsidP="00496980">
            <w:pPr>
              <w:rPr>
                <w:rFonts w:ascii="Arial" w:hAnsi="Arial" w:cs="Arial"/>
                <w:b/>
                <w:sz w:val="22"/>
                <w:szCs w:val="22"/>
              </w:rPr>
            </w:pPr>
            <w:r w:rsidRPr="003C2083">
              <w:rPr>
                <w:rFonts w:ascii="Arial" w:hAnsi="Arial" w:cs="Arial"/>
                <w:b/>
                <w:sz w:val="22"/>
                <w:szCs w:val="22"/>
              </w:rPr>
              <w:t>Occupation Title</w:t>
            </w:r>
          </w:p>
        </w:tc>
        <w:tc>
          <w:tcPr>
            <w:tcW w:w="1530" w:type="dxa"/>
            <w:shd w:val="clear" w:color="auto" w:fill="auto"/>
          </w:tcPr>
          <w:p w14:paraId="58679CA4" w14:textId="77777777" w:rsidR="005D6274" w:rsidRPr="003C2083" w:rsidRDefault="005D6274" w:rsidP="00496980">
            <w:pPr>
              <w:rPr>
                <w:rFonts w:ascii="Arial" w:hAnsi="Arial" w:cs="Arial"/>
                <w:b/>
                <w:sz w:val="22"/>
                <w:szCs w:val="22"/>
              </w:rPr>
            </w:pPr>
            <w:r w:rsidRPr="003C2083">
              <w:rPr>
                <w:rFonts w:ascii="Arial" w:hAnsi="Arial" w:cs="Arial"/>
                <w:b/>
                <w:sz w:val="22"/>
                <w:szCs w:val="22"/>
              </w:rPr>
              <w:t>Occupation Code</w:t>
            </w:r>
          </w:p>
        </w:tc>
        <w:tc>
          <w:tcPr>
            <w:tcW w:w="1620" w:type="dxa"/>
            <w:shd w:val="clear" w:color="auto" w:fill="auto"/>
          </w:tcPr>
          <w:p w14:paraId="19F11659" w14:textId="77777777" w:rsidR="005D6274" w:rsidRPr="003C2083" w:rsidRDefault="005D6274" w:rsidP="00496980">
            <w:pPr>
              <w:rPr>
                <w:rFonts w:ascii="Arial" w:hAnsi="Arial" w:cs="Arial"/>
                <w:b/>
                <w:sz w:val="22"/>
                <w:szCs w:val="22"/>
              </w:rPr>
            </w:pPr>
            <w:r w:rsidRPr="003C2083">
              <w:rPr>
                <w:rFonts w:ascii="Arial" w:hAnsi="Arial" w:cs="Arial"/>
                <w:b/>
                <w:sz w:val="22"/>
                <w:szCs w:val="22"/>
              </w:rPr>
              <w:t>Mean Hourly Wage</w:t>
            </w:r>
          </w:p>
        </w:tc>
        <w:tc>
          <w:tcPr>
            <w:tcW w:w="1080" w:type="dxa"/>
            <w:shd w:val="clear" w:color="auto" w:fill="auto"/>
          </w:tcPr>
          <w:p w14:paraId="50F314D8" w14:textId="77777777" w:rsidR="005D6274" w:rsidRPr="003C2083" w:rsidRDefault="005D6274" w:rsidP="00496980">
            <w:pPr>
              <w:rPr>
                <w:rFonts w:ascii="Arial" w:hAnsi="Arial" w:cs="Arial"/>
                <w:b/>
                <w:sz w:val="22"/>
                <w:szCs w:val="22"/>
              </w:rPr>
            </w:pPr>
            <w:r w:rsidRPr="003C2083">
              <w:rPr>
                <w:rFonts w:ascii="Arial" w:hAnsi="Arial" w:cs="Arial"/>
                <w:b/>
                <w:sz w:val="22"/>
                <w:szCs w:val="22"/>
              </w:rPr>
              <w:t>Fringe Benefit</w:t>
            </w:r>
          </w:p>
        </w:tc>
        <w:tc>
          <w:tcPr>
            <w:tcW w:w="1710" w:type="dxa"/>
          </w:tcPr>
          <w:p w14:paraId="18738B5F" w14:textId="77777777" w:rsidR="005D6274" w:rsidRPr="003C2083" w:rsidRDefault="005D6274" w:rsidP="00496980">
            <w:pPr>
              <w:rPr>
                <w:rFonts w:ascii="Arial" w:hAnsi="Arial" w:cs="Arial"/>
                <w:b/>
                <w:sz w:val="22"/>
                <w:szCs w:val="22"/>
              </w:rPr>
            </w:pPr>
            <w:r w:rsidRPr="003C2083">
              <w:rPr>
                <w:rFonts w:ascii="Arial" w:hAnsi="Arial" w:cs="Arial"/>
                <w:b/>
                <w:sz w:val="22"/>
                <w:szCs w:val="22"/>
              </w:rPr>
              <w:t>Adjusted Hourly Wage</w:t>
            </w:r>
          </w:p>
        </w:tc>
        <w:tc>
          <w:tcPr>
            <w:tcW w:w="1710" w:type="dxa"/>
          </w:tcPr>
          <w:p w14:paraId="23B67A61" w14:textId="77777777" w:rsidR="005D6274" w:rsidRPr="003C2083" w:rsidRDefault="005D6274" w:rsidP="00496980">
            <w:pPr>
              <w:rPr>
                <w:rFonts w:ascii="Arial" w:hAnsi="Arial" w:cs="Arial"/>
                <w:b/>
                <w:sz w:val="22"/>
                <w:szCs w:val="22"/>
              </w:rPr>
            </w:pPr>
            <w:r w:rsidRPr="003C2083">
              <w:rPr>
                <w:rFonts w:ascii="Arial" w:hAnsi="Arial" w:cs="Arial"/>
                <w:b/>
                <w:sz w:val="22"/>
                <w:szCs w:val="22"/>
              </w:rPr>
              <w:t>Hours per request</w:t>
            </w:r>
          </w:p>
        </w:tc>
      </w:tr>
      <w:tr w:rsidR="005D6274" w:rsidRPr="003C2083" w14:paraId="01897AD0" w14:textId="77777777" w:rsidTr="00496980">
        <w:tc>
          <w:tcPr>
            <w:tcW w:w="2430" w:type="dxa"/>
            <w:shd w:val="clear" w:color="auto" w:fill="auto"/>
          </w:tcPr>
          <w:p w14:paraId="499459E6" w14:textId="77777777" w:rsidR="005D6274" w:rsidRPr="003C2083" w:rsidRDefault="005D6274" w:rsidP="00496980">
            <w:pPr>
              <w:rPr>
                <w:rFonts w:ascii="Arial" w:hAnsi="Arial" w:cs="Arial"/>
                <w:sz w:val="22"/>
                <w:szCs w:val="22"/>
              </w:rPr>
            </w:pPr>
            <w:r w:rsidRPr="003C2083">
              <w:rPr>
                <w:rFonts w:ascii="Arial" w:hAnsi="Arial" w:cs="Arial"/>
                <w:sz w:val="22"/>
                <w:szCs w:val="22"/>
              </w:rPr>
              <w:t>Staff Accountant</w:t>
            </w:r>
          </w:p>
        </w:tc>
        <w:tc>
          <w:tcPr>
            <w:tcW w:w="1530" w:type="dxa"/>
            <w:shd w:val="clear" w:color="auto" w:fill="auto"/>
          </w:tcPr>
          <w:p w14:paraId="5B49AD5C" w14:textId="77777777" w:rsidR="005D6274" w:rsidRPr="003C2083" w:rsidRDefault="005D6274" w:rsidP="00496980">
            <w:pPr>
              <w:rPr>
                <w:rFonts w:ascii="Arial" w:hAnsi="Arial" w:cs="Arial"/>
                <w:sz w:val="22"/>
                <w:szCs w:val="22"/>
              </w:rPr>
            </w:pPr>
            <w:r w:rsidRPr="003C2083">
              <w:rPr>
                <w:rFonts w:ascii="Arial" w:hAnsi="Arial" w:cs="Arial"/>
                <w:sz w:val="22"/>
                <w:szCs w:val="22"/>
              </w:rPr>
              <w:t>13-2011</w:t>
            </w:r>
          </w:p>
        </w:tc>
        <w:tc>
          <w:tcPr>
            <w:tcW w:w="1620" w:type="dxa"/>
            <w:shd w:val="clear" w:color="auto" w:fill="auto"/>
          </w:tcPr>
          <w:p w14:paraId="348C9656" w14:textId="77777777" w:rsidR="005D6274" w:rsidRPr="003C2083" w:rsidRDefault="005D6274" w:rsidP="00496980">
            <w:pPr>
              <w:rPr>
                <w:rFonts w:ascii="Arial" w:hAnsi="Arial" w:cs="Arial"/>
                <w:sz w:val="22"/>
                <w:szCs w:val="22"/>
              </w:rPr>
            </w:pPr>
            <w:r w:rsidRPr="003C2083">
              <w:rPr>
                <w:rFonts w:ascii="Arial" w:hAnsi="Arial" w:cs="Arial"/>
                <w:sz w:val="22"/>
                <w:szCs w:val="22"/>
              </w:rPr>
              <w:t>35.42</w:t>
            </w:r>
          </w:p>
        </w:tc>
        <w:tc>
          <w:tcPr>
            <w:tcW w:w="1080" w:type="dxa"/>
            <w:shd w:val="clear" w:color="auto" w:fill="auto"/>
          </w:tcPr>
          <w:p w14:paraId="10703B02" w14:textId="77777777" w:rsidR="005D6274" w:rsidRPr="003C2083" w:rsidRDefault="005D6274" w:rsidP="00496980">
            <w:pPr>
              <w:rPr>
                <w:rFonts w:ascii="Arial" w:hAnsi="Arial" w:cs="Arial"/>
                <w:sz w:val="22"/>
                <w:szCs w:val="22"/>
              </w:rPr>
            </w:pPr>
            <w:r w:rsidRPr="003C2083">
              <w:rPr>
                <w:rFonts w:ascii="Arial" w:hAnsi="Arial" w:cs="Arial"/>
                <w:sz w:val="22"/>
                <w:szCs w:val="22"/>
              </w:rPr>
              <w:t>35.42</w:t>
            </w:r>
          </w:p>
        </w:tc>
        <w:tc>
          <w:tcPr>
            <w:tcW w:w="1710" w:type="dxa"/>
          </w:tcPr>
          <w:p w14:paraId="3C94866E" w14:textId="77777777" w:rsidR="005D6274" w:rsidRPr="003C2083" w:rsidRDefault="005D6274" w:rsidP="00496980">
            <w:pPr>
              <w:rPr>
                <w:rFonts w:ascii="Arial" w:hAnsi="Arial" w:cs="Arial"/>
                <w:sz w:val="22"/>
                <w:szCs w:val="22"/>
              </w:rPr>
            </w:pPr>
            <w:r w:rsidRPr="003C2083">
              <w:rPr>
                <w:rFonts w:ascii="Arial" w:hAnsi="Arial" w:cs="Arial"/>
                <w:sz w:val="22"/>
                <w:szCs w:val="22"/>
              </w:rPr>
              <w:t>70.84</w:t>
            </w:r>
          </w:p>
        </w:tc>
        <w:tc>
          <w:tcPr>
            <w:tcW w:w="1710" w:type="dxa"/>
          </w:tcPr>
          <w:p w14:paraId="28F60779" w14:textId="77777777" w:rsidR="005D6274" w:rsidRPr="003C2083" w:rsidRDefault="005D6274" w:rsidP="00496980">
            <w:pPr>
              <w:rPr>
                <w:rFonts w:ascii="Arial" w:hAnsi="Arial" w:cs="Arial"/>
                <w:sz w:val="22"/>
                <w:szCs w:val="22"/>
              </w:rPr>
            </w:pPr>
            <w:r w:rsidRPr="003C2083">
              <w:rPr>
                <w:rFonts w:ascii="Arial" w:hAnsi="Arial" w:cs="Arial"/>
                <w:sz w:val="22"/>
                <w:szCs w:val="22"/>
              </w:rPr>
              <w:t>81.5</w:t>
            </w:r>
          </w:p>
        </w:tc>
      </w:tr>
      <w:tr w:rsidR="005D6274" w:rsidRPr="003C2083" w14:paraId="4AD2F75A" w14:textId="77777777" w:rsidTr="00496980">
        <w:tc>
          <w:tcPr>
            <w:tcW w:w="2430" w:type="dxa"/>
            <w:shd w:val="clear" w:color="auto" w:fill="auto"/>
          </w:tcPr>
          <w:p w14:paraId="1239267A" w14:textId="77777777" w:rsidR="005D6274" w:rsidRPr="003C2083" w:rsidRDefault="005D6274" w:rsidP="00496980">
            <w:pPr>
              <w:rPr>
                <w:rFonts w:ascii="Arial" w:hAnsi="Arial" w:cs="Arial"/>
                <w:sz w:val="22"/>
                <w:szCs w:val="22"/>
              </w:rPr>
            </w:pPr>
            <w:r w:rsidRPr="003C2083">
              <w:rPr>
                <w:rFonts w:ascii="Arial" w:hAnsi="Arial" w:cs="Arial"/>
                <w:sz w:val="22"/>
                <w:szCs w:val="22"/>
              </w:rPr>
              <w:t>Finance Manager</w:t>
            </w:r>
          </w:p>
        </w:tc>
        <w:tc>
          <w:tcPr>
            <w:tcW w:w="1530" w:type="dxa"/>
            <w:shd w:val="clear" w:color="auto" w:fill="auto"/>
          </w:tcPr>
          <w:p w14:paraId="3585D08B" w14:textId="77777777" w:rsidR="005D6274" w:rsidRPr="003C2083" w:rsidRDefault="005D6274" w:rsidP="00496980">
            <w:pPr>
              <w:rPr>
                <w:rFonts w:ascii="Arial" w:hAnsi="Arial" w:cs="Arial"/>
                <w:sz w:val="22"/>
                <w:szCs w:val="22"/>
              </w:rPr>
            </w:pPr>
            <w:r w:rsidRPr="003C2083">
              <w:rPr>
                <w:rFonts w:ascii="Arial" w:hAnsi="Arial" w:cs="Arial"/>
                <w:sz w:val="22"/>
                <w:szCs w:val="22"/>
              </w:rPr>
              <w:t>11-3031</w:t>
            </w:r>
          </w:p>
        </w:tc>
        <w:tc>
          <w:tcPr>
            <w:tcW w:w="1620" w:type="dxa"/>
            <w:shd w:val="clear" w:color="auto" w:fill="auto"/>
          </w:tcPr>
          <w:p w14:paraId="699E28A4" w14:textId="77777777" w:rsidR="005D6274" w:rsidRPr="003C2083" w:rsidRDefault="005D6274" w:rsidP="00496980">
            <w:pPr>
              <w:rPr>
                <w:rFonts w:ascii="Arial" w:hAnsi="Arial" w:cs="Arial"/>
                <w:sz w:val="22"/>
                <w:szCs w:val="22"/>
              </w:rPr>
            </w:pPr>
            <w:r w:rsidRPr="003C2083">
              <w:rPr>
                <w:rFonts w:ascii="Arial" w:hAnsi="Arial" w:cs="Arial"/>
                <w:sz w:val="22"/>
                <w:szCs w:val="22"/>
              </w:rPr>
              <w:t>62.61</w:t>
            </w:r>
          </w:p>
        </w:tc>
        <w:tc>
          <w:tcPr>
            <w:tcW w:w="1080" w:type="dxa"/>
            <w:shd w:val="clear" w:color="auto" w:fill="auto"/>
          </w:tcPr>
          <w:p w14:paraId="738A1050" w14:textId="77777777" w:rsidR="005D6274" w:rsidRPr="003C2083" w:rsidRDefault="005D6274" w:rsidP="00496980">
            <w:pPr>
              <w:rPr>
                <w:rFonts w:ascii="Arial" w:hAnsi="Arial" w:cs="Arial"/>
                <w:sz w:val="22"/>
                <w:szCs w:val="22"/>
              </w:rPr>
            </w:pPr>
            <w:r w:rsidRPr="003C2083">
              <w:rPr>
                <w:rFonts w:ascii="Arial" w:hAnsi="Arial" w:cs="Arial"/>
                <w:sz w:val="22"/>
                <w:szCs w:val="22"/>
              </w:rPr>
              <w:t>62.61</w:t>
            </w:r>
          </w:p>
        </w:tc>
        <w:tc>
          <w:tcPr>
            <w:tcW w:w="1710" w:type="dxa"/>
          </w:tcPr>
          <w:p w14:paraId="12A0CD1E" w14:textId="77777777" w:rsidR="005D6274" w:rsidRPr="003C2083" w:rsidRDefault="005D6274" w:rsidP="00496980">
            <w:pPr>
              <w:rPr>
                <w:rFonts w:ascii="Arial" w:hAnsi="Arial" w:cs="Arial"/>
                <w:sz w:val="22"/>
                <w:szCs w:val="22"/>
              </w:rPr>
            </w:pPr>
            <w:r w:rsidRPr="003C2083">
              <w:rPr>
                <w:rFonts w:ascii="Arial" w:hAnsi="Arial" w:cs="Arial"/>
                <w:sz w:val="22"/>
                <w:szCs w:val="22"/>
              </w:rPr>
              <w:t>125.22</w:t>
            </w:r>
          </w:p>
        </w:tc>
        <w:tc>
          <w:tcPr>
            <w:tcW w:w="1710" w:type="dxa"/>
          </w:tcPr>
          <w:p w14:paraId="3DE9BBB6" w14:textId="77777777" w:rsidR="005D6274" w:rsidRPr="003C2083" w:rsidRDefault="005D6274" w:rsidP="00496980">
            <w:pPr>
              <w:rPr>
                <w:rFonts w:ascii="Arial" w:hAnsi="Arial" w:cs="Arial"/>
                <w:sz w:val="22"/>
                <w:szCs w:val="22"/>
              </w:rPr>
            </w:pPr>
            <w:r w:rsidRPr="003C2083">
              <w:rPr>
                <w:rFonts w:ascii="Arial" w:hAnsi="Arial" w:cs="Arial"/>
                <w:sz w:val="22"/>
                <w:szCs w:val="22"/>
              </w:rPr>
              <w:t>33</w:t>
            </w:r>
          </w:p>
        </w:tc>
      </w:tr>
      <w:tr w:rsidR="005D6274" w:rsidRPr="003C2083" w14:paraId="7A143BDF" w14:textId="77777777" w:rsidTr="00496980">
        <w:tc>
          <w:tcPr>
            <w:tcW w:w="2430" w:type="dxa"/>
            <w:shd w:val="clear" w:color="auto" w:fill="auto"/>
          </w:tcPr>
          <w:p w14:paraId="1A68276A" w14:textId="77777777" w:rsidR="005D6274" w:rsidRPr="003C2083" w:rsidRDefault="005D6274" w:rsidP="00496980">
            <w:pPr>
              <w:rPr>
                <w:rFonts w:ascii="Arial" w:hAnsi="Arial" w:cs="Arial"/>
                <w:sz w:val="22"/>
                <w:szCs w:val="22"/>
              </w:rPr>
            </w:pPr>
            <w:r w:rsidRPr="003C2083">
              <w:rPr>
                <w:rFonts w:ascii="Arial" w:hAnsi="Arial" w:cs="Arial"/>
                <w:sz w:val="22"/>
                <w:szCs w:val="22"/>
              </w:rPr>
              <w:t>Total</w:t>
            </w:r>
          </w:p>
        </w:tc>
        <w:tc>
          <w:tcPr>
            <w:tcW w:w="1530" w:type="dxa"/>
            <w:shd w:val="clear" w:color="auto" w:fill="auto"/>
          </w:tcPr>
          <w:p w14:paraId="28BCE0AE" w14:textId="77777777" w:rsidR="005D6274" w:rsidRPr="003C2083" w:rsidRDefault="005D6274" w:rsidP="00496980">
            <w:pPr>
              <w:rPr>
                <w:rFonts w:ascii="Arial" w:hAnsi="Arial" w:cs="Arial"/>
                <w:sz w:val="22"/>
                <w:szCs w:val="22"/>
              </w:rPr>
            </w:pPr>
          </w:p>
        </w:tc>
        <w:tc>
          <w:tcPr>
            <w:tcW w:w="1620" w:type="dxa"/>
            <w:shd w:val="clear" w:color="auto" w:fill="auto"/>
          </w:tcPr>
          <w:p w14:paraId="71043E83" w14:textId="77777777" w:rsidR="005D6274" w:rsidRPr="003C2083" w:rsidRDefault="005D6274" w:rsidP="00496980">
            <w:pPr>
              <w:rPr>
                <w:rFonts w:ascii="Arial" w:hAnsi="Arial" w:cs="Arial"/>
                <w:sz w:val="22"/>
                <w:szCs w:val="22"/>
              </w:rPr>
            </w:pPr>
            <w:r w:rsidRPr="003C2083">
              <w:rPr>
                <w:rFonts w:ascii="Arial" w:hAnsi="Arial" w:cs="Arial"/>
                <w:sz w:val="22"/>
                <w:szCs w:val="22"/>
              </w:rPr>
              <w:t>97.82</w:t>
            </w:r>
          </w:p>
        </w:tc>
        <w:tc>
          <w:tcPr>
            <w:tcW w:w="1080" w:type="dxa"/>
            <w:shd w:val="clear" w:color="auto" w:fill="auto"/>
          </w:tcPr>
          <w:p w14:paraId="4ADF167C" w14:textId="77777777" w:rsidR="005D6274" w:rsidRPr="003C2083" w:rsidRDefault="005D6274" w:rsidP="00496980">
            <w:pPr>
              <w:rPr>
                <w:rFonts w:ascii="Arial" w:hAnsi="Arial" w:cs="Arial"/>
                <w:sz w:val="22"/>
                <w:szCs w:val="22"/>
              </w:rPr>
            </w:pPr>
            <w:r w:rsidRPr="003C2083">
              <w:rPr>
                <w:rFonts w:ascii="Arial" w:hAnsi="Arial" w:cs="Arial"/>
                <w:sz w:val="22"/>
                <w:szCs w:val="22"/>
              </w:rPr>
              <w:t>97.82</w:t>
            </w:r>
          </w:p>
        </w:tc>
        <w:tc>
          <w:tcPr>
            <w:tcW w:w="1710" w:type="dxa"/>
          </w:tcPr>
          <w:p w14:paraId="6B6E664A" w14:textId="77777777" w:rsidR="005D6274" w:rsidRPr="003C2083" w:rsidRDefault="005D6274" w:rsidP="00496980">
            <w:pPr>
              <w:rPr>
                <w:rFonts w:ascii="Arial" w:hAnsi="Arial" w:cs="Arial"/>
                <w:sz w:val="22"/>
                <w:szCs w:val="22"/>
              </w:rPr>
            </w:pPr>
            <w:r w:rsidRPr="003C2083">
              <w:rPr>
                <w:rFonts w:ascii="Arial" w:hAnsi="Arial" w:cs="Arial"/>
                <w:sz w:val="22"/>
                <w:szCs w:val="22"/>
              </w:rPr>
              <w:t>196.06</w:t>
            </w:r>
          </w:p>
        </w:tc>
        <w:tc>
          <w:tcPr>
            <w:tcW w:w="1710" w:type="dxa"/>
          </w:tcPr>
          <w:p w14:paraId="05571D85" w14:textId="77777777" w:rsidR="005D6274" w:rsidRPr="003C2083" w:rsidRDefault="005D6274" w:rsidP="00496980">
            <w:pPr>
              <w:rPr>
                <w:rFonts w:ascii="Arial" w:hAnsi="Arial" w:cs="Arial"/>
                <w:sz w:val="22"/>
                <w:szCs w:val="22"/>
              </w:rPr>
            </w:pPr>
            <w:r w:rsidRPr="003C2083">
              <w:rPr>
                <w:rFonts w:ascii="Arial" w:hAnsi="Arial" w:cs="Arial"/>
                <w:sz w:val="22"/>
                <w:szCs w:val="22"/>
              </w:rPr>
              <w:t>114.5</w:t>
            </w:r>
          </w:p>
        </w:tc>
      </w:tr>
    </w:tbl>
    <w:p w14:paraId="7549E1EE" w14:textId="77777777" w:rsidR="005D6274" w:rsidRPr="003C2083" w:rsidRDefault="005D6274" w:rsidP="006B60F1">
      <w:pPr>
        <w:rPr>
          <w:rFonts w:ascii="Arial" w:hAnsi="Arial" w:cs="Arial"/>
          <w:sz w:val="22"/>
          <w:szCs w:val="22"/>
        </w:rPr>
      </w:pPr>
    </w:p>
    <w:p w14:paraId="2E6D547C" w14:textId="77777777" w:rsidR="00753FCD" w:rsidRPr="003C2083" w:rsidRDefault="00753FCD" w:rsidP="006B60F1">
      <w:pPr>
        <w:rPr>
          <w:rFonts w:ascii="Arial" w:hAnsi="Arial" w:cs="Arial"/>
          <w:sz w:val="22"/>
          <w:szCs w:val="22"/>
        </w:rPr>
      </w:pPr>
    </w:p>
    <w:p w14:paraId="334ED79D" w14:textId="77777777" w:rsidR="006B60F1" w:rsidRPr="003C2083" w:rsidRDefault="00010AFC" w:rsidP="006B60F1">
      <w:pPr>
        <w:rPr>
          <w:rFonts w:ascii="Arial" w:hAnsi="Arial" w:cs="Arial"/>
          <w:b/>
          <w:sz w:val="22"/>
          <w:szCs w:val="22"/>
        </w:rPr>
      </w:pPr>
      <w:r w:rsidRPr="003C2083">
        <w:rPr>
          <w:rFonts w:ascii="Arial" w:hAnsi="Arial" w:cs="Arial"/>
          <w:b/>
          <w:sz w:val="22"/>
          <w:szCs w:val="22"/>
        </w:rPr>
        <w:t xml:space="preserve">FIGURE 2: </w:t>
      </w:r>
      <w:r w:rsidR="00753FCD" w:rsidRPr="003C2083">
        <w:rPr>
          <w:rFonts w:ascii="Arial" w:hAnsi="Arial" w:cs="Arial"/>
          <w:b/>
          <w:sz w:val="22"/>
          <w:szCs w:val="22"/>
        </w:rPr>
        <w:t xml:space="preserve">NATIONAL COUNCIL’S </w:t>
      </w:r>
      <w:r w:rsidR="006B60F1" w:rsidRPr="003C2083">
        <w:rPr>
          <w:rFonts w:ascii="Arial" w:hAnsi="Arial" w:cs="Arial"/>
          <w:b/>
          <w:sz w:val="22"/>
          <w:szCs w:val="22"/>
        </w:rPr>
        <w:t>PPS 1 DESK AUDIT</w:t>
      </w:r>
      <w:r w:rsidR="00F830A8" w:rsidRPr="003C2083">
        <w:rPr>
          <w:rFonts w:ascii="Arial" w:hAnsi="Arial" w:cs="Arial"/>
          <w:b/>
          <w:sz w:val="22"/>
          <w:szCs w:val="22"/>
        </w:rPr>
        <w:t xml:space="preserve"> ESTIMATE</w:t>
      </w:r>
    </w:p>
    <w:p w14:paraId="72B26F35" w14:textId="77777777" w:rsidR="005D6274" w:rsidRPr="003C2083" w:rsidRDefault="00010AFC" w:rsidP="006B60F1">
      <w:pPr>
        <w:rPr>
          <w:rFonts w:ascii="Arial" w:hAnsi="Arial" w:cs="Arial"/>
          <w:sz w:val="22"/>
          <w:szCs w:val="22"/>
        </w:rPr>
      </w:pPr>
      <w:r w:rsidRPr="003C2083">
        <w:rPr>
          <w:rFonts w:ascii="Arial" w:hAnsi="Arial" w:cs="Arial"/>
          <w:sz w:val="22"/>
          <w:szCs w:val="22"/>
        </w:rPr>
        <w:t xml:space="preserve">This chart looks at the amount of time it would take two </w:t>
      </w:r>
      <w:proofErr w:type="spellStart"/>
      <w:r w:rsidRPr="003C2083">
        <w:rPr>
          <w:rFonts w:ascii="Arial" w:hAnsi="Arial" w:cs="Arial"/>
          <w:sz w:val="22"/>
          <w:szCs w:val="22"/>
        </w:rPr>
        <w:t>CCBHCs</w:t>
      </w:r>
      <w:proofErr w:type="spellEnd"/>
      <w:r w:rsidRPr="003C2083">
        <w:rPr>
          <w:rFonts w:ascii="Arial" w:hAnsi="Arial" w:cs="Arial"/>
          <w:sz w:val="22"/>
          <w:szCs w:val="22"/>
        </w:rPr>
        <w:t xml:space="preserve"> to complete and review the cost report if working with a PPS-1 model. We estimate that it will take twice as long as CMS’ estimate</w:t>
      </w:r>
      <w:r w:rsidR="00BA2607" w:rsidRPr="003C2083">
        <w:rPr>
          <w:rFonts w:ascii="Arial" w:hAnsi="Arial" w:cs="Arial"/>
          <w:sz w:val="22"/>
          <w:szCs w:val="22"/>
        </w:rPr>
        <w:t xml:space="preserve"> in Figure 1</w:t>
      </w:r>
      <w:r w:rsidRPr="003C2083">
        <w:rPr>
          <w:rFonts w:ascii="Arial" w:hAnsi="Arial" w:cs="Arial"/>
          <w:sz w:val="22"/>
          <w:szCs w:val="22"/>
        </w:rPr>
        <w:t xml:space="preserve">. In addition, we factored in the time it would take Chief Executives to review the cost report. </w:t>
      </w:r>
      <w:r w:rsidR="00753FCD" w:rsidRPr="003C2083">
        <w:rPr>
          <w:rFonts w:ascii="Arial" w:hAnsi="Arial" w:cs="Arial"/>
          <w:sz w:val="22"/>
          <w:szCs w:val="22"/>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530"/>
        <w:gridCol w:w="1620"/>
        <w:gridCol w:w="1080"/>
        <w:gridCol w:w="1710"/>
        <w:gridCol w:w="1710"/>
      </w:tblGrid>
      <w:tr w:rsidR="006B60F1" w:rsidRPr="003C2083" w14:paraId="5021FB93" w14:textId="77777777" w:rsidTr="005D4D93">
        <w:trPr>
          <w:trHeight w:val="800"/>
          <w:tblHeader/>
        </w:trPr>
        <w:tc>
          <w:tcPr>
            <w:tcW w:w="2430" w:type="dxa"/>
            <w:shd w:val="clear" w:color="auto" w:fill="auto"/>
          </w:tcPr>
          <w:p w14:paraId="426147E7" w14:textId="77777777" w:rsidR="006B60F1" w:rsidRPr="003C2083" w:rsidRDefault="006B60F1" w:rsidP="005D4D93">
            <w:pPr>
              <w:rPr>
                <w:rFonts w:ascii="Arial" w:hAnsi="Arial" w:cs="Arial"/>
                <w:b/>
                <w:sz w:val="22"/>
                <w:szCs w:val="22"/>
              </w:rPr>
            </w:pPr>
            <w:r w:rsidRPr="003C2083">
              <w:rPr>
                <w:rFonts w:ascii="Arial" w:hAnsi="Arial" w:cs="Arial"/>
                <w:b/>
                <w:sz w:val="22"/>
                <w:szCs w:val="22"/>
              </w:rPr>
              <w:t>Occupation Title</w:t>
            </w:r>
          </w:p>
        </w:tc>
        <w:tc>
          <w:tcPr>
            <w:tcW w:w="1530" w:type="dxa"/>
            <w:shd w:val="clear" w:color="auto" w:fill="auto"/>
          </w:tcPr>
          <w:p w14:paraId="2910484E" w14:textId="77777777" w:rsidR="006B60F1" w:rsidRPr="003C2083" w:rsidRDefault="006B60F1" w:rsidP="005D4D93">
            <w:pPr>
              <w:rPr>
                <w:rFonts w:ascii="Arial" w:hAnsi="Arial" w:cs="Arial"/>
                <w:b/>
                <w:sz w:val="22"/>
                <w:szCs w:val="22"/>
              </w:rPr>
            </w:pPr>
            <w:r w:rsidRPr="003C2083">
              <w:rPr>
                <w:rFonts w:ascii="Arial" w:hAnsi="Arial" w:cs="Arial"/>
                <w:b/>
                <w:sz w:val="22"/>
                <w:szCs w:val="22"/>
              </w:rPr>
              <w:t>Occupation Code</w:t>
            </w:r>
          </w:p>
        </w:tc>
        <w:tc>
          <w:tcPr>
            <w:tcW w:w="1620" w:type="dxa"/>
            <w:shd w:val="clear" w:color="auto" w:fill="auto"/>
          </w:tcPr>
          <w:p w14:paraId="70B29493" w14:textId="77777777" w:rsidR="006B60F1" w:rsidRPr="003C2083" w:rsidRDefault="006B60F1" w:rsidP="005D4D93">
            <w:pPr>
              <w:rPr>
                <w:rFonts w:ascii="Arial" w:hAnsi="Arial" w:cs="Arial"/>
                <w:b/>
                <w:sz w:val="22"/>
                <w:szCs w:val="22"/>
              </w:rPr>
            </w:pPr>
            <w:r w:rsidRPr="003C2083">
              <w:rPr>
                <w:rFonts w:ascii="Arial" w:hAnsi="Arial" w:cs="Arial"/>
                <w:b/>
                <w:sz w:val="22"/>
                <w:szCs w:val="22"/>
              </w:rPr>
              <w:t>Mean Hourly Wage</w:t>
            </w:r>
          </w:p>
        </w:tc>
        <w:tc>
          <w:tcPr>
            <w:tcW w:w="1080" w:type="dxa"/>
            <w:shd w:val="clear" w:color="auto" w:fill="auto"/>
          </w:tcPr>
          <w:p w14:paraId="0DFACD1B" w14:textId="77777777" w:rsidR="006B60F1" w:rsidRPr="003C2083" w:rsidRDefault="006B60F1" w:rsidP="005D4D93">
            <w:pPr>
              <w:rPr>
                <w:rFonts w:ascii="Arial" w:hAnsi="Arial" w:cs="Arial"/>
                <w:b/>
                <w:sz w:val="22"/>
                <w:szCs w:val="22"/>
              </w:rPr>
            </w:pPr>
            <w:r w:rsidRPr="003C2083">
              <w:rPr>
                <w:rFonts w:ascii="Arial" w:hAnsi="Arial" w:cs="Arial"/>
                <w:b/>
                <w:sz w:val="22"/>
                <w:szCs w:val="22"/>
              </w:rPr>
              <w:t>Fringe Benefit</w:t>
            </w:r>
          </w:p>
        </w:tc>
        <w:tc>
          <w:tcPr>
            <w:tcW w:w="1710" w:type="dxa"/>
          </w:tcPr>
          <w:p w14:paraId="699B4877" w14:textId="77777777" w:rsidR="006B60F1" w:rsidRPr="003C2083" w:rsidRDefault="006B60F1" w:rsidP="005D4D93">
            <w:pPr>
              <w:rPr>
                <w:rFonts w:ascii="Arial" w:hAnsi="Arial" w:cs="Arial"/>
                <w:b/>
                <w:sz w:val="22"/>
                <w:szCs w:val="22"/>
              </w:rPr>
            </w:pPr>
            <w:r w:rsidRPr="003C2083">
              <w:rPr>
                <w:rFonts w:ascii="Arial" w:hAnsi="Arial" w:cs="Arial"/>
                <w:b/>
                <w:sz w:val="22"/>
                <w:szCs w:val="22"/>
              </w:rPr>
              <w:t>Adjusted Hourly Wage</w:t>
            </w:r>
          </w:p>
        </w:tc>
        <w:tc>
          <w:tcPr>
            <w:tcW w:w="1710" w:type="dxa"/>
          </w:tcPr>
          <w:p w14:paraId="0537FE43" w14:textId="77777777" w:rsidR="006B60F1" w:rsidRPr="003C2083" w:rsidRDefault="006B60F1" w:rsidP="005D4D93">
            <w:pPr>
              <w:rPr>
                <w:rFonts w:ascii="Arial" w:hAnsi="Arial" w:cs="Arial"/>
                <w:b/>
                <w:sz w:val="22"/>
                <w:szCs w:val="22"/>
              </w:rPr>
            </w:pPr>
            <w:r w:rsidRPr="003C2083">
              <w:rPr>
                <w:rFonts w:ascii="Arial" w:hAnsi="Arial" w:cs="Arial"/>
                <w:b/>
                <w:sz w:val="22"/>
                <w:szCs w:val="22"/>
              </w:rPr>
              <w:t>Hours per request</w:t>
            </w:r>
          </w:p>
        </w:tc>
      </w:tr>
      <w:tr w:rsidR="006B60F1" w:rsidRPr="003C2083" w14:paraId="0ED3962F" w14:textId="77777777" w:rsidTr="005D4D93">
        <w:tc>
          <w:tcPr>
            <w:tcW w:w="2430" w:type="dxa"/>
            <w:shd w:val="clear" w:color="auto" w:fill="auto"/>
          </w:tcPr>
          <w:p w14:paraId="42BD08D3" w14:textId="77777777" w:rsidR="006B60F1" w:rsidRPr="003C2083" w:rsidRDefault="006B60F1" w:rsidP="005D4D93">
            <w:pPr>
              <w:rPr>
                <w:rFonts w:ascii="Arial" w:hAnsi="Arial" w:cs="Arial"/>
                <w:sz w:val="22"/>
                <w:szCs w:val="22"/>
              </w:rPr>
            </w:pPr>
            <w:r w:rsidRPr="003C2083">
              <w:rPr>
                <w:rFonts w:ascii="Arial" w:hAnsi="Arial" w:cs="Arial"/>
                <w:sz w:val="22"/>
                <w:szCs w:val="22"/>
              </w:rPr>
              <w:t>Staff Accountant</w:t>
            </w:r>
          </w:p>
        </w:tc>
        <w:tc>
          <w:tcPr>
            <w:tcW w:w="1530" w:type="dxa"/>
            <w:shd w:val="clear" w:color="auto" w:fill="auto"/>
          </w:tcPr>
          <w:p w14:paraId="690858FF" w14:textId="77777777" w:rsidR="006B60F1" w:rsidRPr="003C2083" w:rsidRDefault="006B60F1" w:rsidP="005D4D93">
            <w:pPr>
              <w:rPr>
                <w:rFonts w:ascii="Arial" w:hAnsi="Arial" w:cs="Arial"/>
                <w:sz w:val="22"/>
                <w:szCs w:val="22"/>
              </w:rPr>
            </w:pPr>
            <w:r w:rsidRPr="003C2083">
              <w:rPr>
                <w:rFonts w:ascii="Arial" w:hAnsi="Arial" w:cs="Arial"/>
                <w:sz w:val="22"/>
                <w:szCs w:val="22"/>
              </w:rPr>
              <w:t>13-2011</w:t>
            </w:r>
          </w:p>
        </w:tc>
        <w:tc>
          <w:tcPr>
            <w:tcW w:w="1620" w:type="dxa"/>
            <w:shd w:val="clear" w:color="auto" w:fill="auto"/>
          </w:tcPr>
          <w:p w14:paraId="004B2062" w14:textId="77777777" w:rsidR="006B60F1" w:rsidRPr="003C2083" w:rsidRDefault="006B60F1" w:rsidP="005D4D93">
            <w:pPr>
              <w:rPr>
                <w:rFonts w:ascii="Arial" w:hAnsi="Arial" w:cs="Arial"/>
                <w:sz w:val="22"/>
                <w:szCs w:val="22"/>
              </w:rPr>
            </w:pPr>
            <w:r w:rsidRPr="003C2083">
              <w:rPr>
                <w:rFonts w:ascii="Arial" w:hAnsi="Arial" w:cs="Arial"/>
                <w:sz w:val="22"/>
                <w:szCs w:val="22"/>
              </w:rPr>
              <w:t>35.42</w:t>
            </w:r>
          </w:p>
        </w:tc>
        <w:tc>
          <w:tcPr>
            <w:tcW w:w="1080" w:type="dxa"/>
            <w:shd w:val="clear" w:color="auto" w:fill="auto"/>
          </w:tcPr>
          <w:p w14:paraId="5D25F8BC" w14:textId="77777777" w:rsidR="006B60F1" w:rsidRPr="003C2083" w:rsidRDefault="006B60F1" w:rsidP="005D4D93">
            <w:pPr>
              <w:rPr>
                <w:rFonts w:ascii="Arial" w:hAnsi="Arial" w:cs="Arial"/>
                <w:sz w:val="22"/>
                <w:szCs w:val="22"/>
              </w:rPr>
            </w:pPr>
            <w:r w:rsidRPr="003C2083">
              <w:rPr>
                <w:rFonts w:ascii="Arial" w:hAnsi="Arial" w:cs="Arial"/>
                <w:sz w:val="22"/>
                <w:szCs w:val="22"/>
              </w:rPr>
              <w:t>35.42</w:t>
            </w:r>
          </w:p>
        </w:tc>
        <w:tc>
          <w:tcPr>
            <w:tcW w:w="1710" w:type="dxa"/>
          </w:tcPr>
          <w:p w14:paraId="14C439CA" w14:textId="77777777" w:rsidR="006B60F1" w:rsidRPr="003C2083" w:rsidRDefault="006B60F1" w:rsidP="005D4D93">
            <w:pPr>
              <w:rPr>
                <w:rFonts w:ascii="Arial" w:hAnsi="Arial" w:cs="Arial"/>
                <w:sz w:val="22"/>
                <w:szCs w:val="22"/>
              </w:rPr>
            </w:pPr>
            <w:r w:rsidRPr="003C2083">
              <w:rPr>
                <w:rFonts w:ascii="Arial" w:hAnsi="Arial" w:cs="Arial"/>
                <w:sz w:val="22"/>
                <w:szCs w:val="22"/>
              </w:rPr>
              <w:t>70.84</w:t>
            </w:r>
          </w:p>
        </w:tc>
        <w:tc>
          <w:tcPr>
            <w:tcW w:w="1710" w:type="dxa"/>
          </w:tcPr>
          <w:p w14:paraId="46E9B50D" w14:textId="77777777" w:rsidR="006B60F1" w:rsidRPr="003C2083" w:rsidRDefault="006B60F1" w:rsidP="005D4D93">
            <w:pPr>
              <w:rPr>
                <w:rFonts w:ascii="Arial" w:hAnsi="Arial" w:cs="Arial"/>
                <w:sz w:val="22"/>
                <w:szCs w:val="22"/>
              </w:rPr>
            </w:pPr>
            <w:r w:rsidRPr="003C2083">
              <w:rPr>
                <w:rFonts w:ascii="Arial" w:hAnsi="Arial" w:cs="Arial"/>
                <w:sz w:val="22"/>
                <w:szCs w:val="22"/>
              </w:rPr>
              <w:t>163</w:t>
            </w:r>
          </w:p>
        </w:tc>
      </w:tr>
      <w:tr w:rsidR="006B60F1" w:rsidRPr="003C2083" w14:paraId="6A04E85F" w14:textId="77777777" w:rsidTr="005D4D93">
        <w:tc>
          <w:tcPr>
            <w:tcW w:w="2430" w:type="dxa"/>
            <w:shd w:val="clear" w:color="auto" w:fill="auto"/>
          </w:tcPr>
          <w:p w14:paraId="6635301C" w14:textId="77777777" w:rsidR="006B60F1" w:rsidRPr="003C2083" w:rsidRDefault="006B60F1" w:rsidP="005D4D93">
            <w:pPr>
              <w:rPr>
                <w:rFonts w:ascii="Arial" w:hAnsi="Arial" w:cs="Arial"/>
                <w:sz w:val="22"/>
                <w:szCs w:val="22"/>
              </w:rPr>
            </w:pPr>
            <w:r w:rsidRPr="003C2083">
              <w:rPr>
                <w:rFonts w:ascii="Arial" w:hAnsi="Arial" w:cs="Arial"/>
                <w:sz w:val="22"/>
                <w:szCs w:val="22"/>
              </w:rPr>
              <w:t>Finance Manager</w:t>
            </w:r>
          </w:p>
        </w:tc>
        <w:tc>
          <w:tcPr>
            <w:tcW w:w="1530" w:type="dxa"/>
            <w:shd w:val="clear" w:color="auto" w:fill="auto"/>
          </w:tcPr>
          <w:p w14:paraId="2183945D" w14:textId="77777777" w:rsidR="006B60F1" w:rsidRPr="003C2083" w:rsidRDefault="006B60F1" w:rsidP="005D4D93">
            <w:pPr>
              <w:rPr>
                <w:rFonts w:ascii="Arial" w:hAnsi="Arial" w:cs="Arial"/>
                <w:sz w:val="22"/>
                <w:szCs w:val="22"/>
              </w:rPr>
            </w:pPr>
            <w:r w:rsidRPr="003C2083">
              <w:rPr>
                <w:rFonts w:ascii="Arial" w:hAnsi="Arial" w:cs="Arial"/>
                <w:sz w:val="22"/>
                <w:szCs w:val="22"/>
              </w:rPr>
              <w:t>11-3031</w:t>
            </w:r>
          </w:p>
        </w:tc>
        <w:tc>
          <w:tcPr>
            <w:tcW w:w="1620" w:type="dxa"/>
            <w:shd w:val="clear" w:color="auto" w:fill="auto"/>
          </w:tcPr>
          <w:p w14:paraId="4FDF86BB" w14:textId="77777777" w:rsidR="006B60F1" w:rsidRPr="003C2083" w:rsidRDefault="006B60F1" w:rsidP="005D4D93">
            <w:pPr>
              <w:rPr>
                <w:rFonts w:ascii="Arial" w:hAnsi="Arial" w:cs="Arial"/>
                <w:sz w:val="22"/>
                <w:szCs w:val="22"/>
              </w:rPr>
            </w:pPr>
            <w:r w:rsidRPr="003C2083">
              <w:rPr>
                <w:rFonts w:ascii="Arial" w:hAnsi="Arial" w:cs="Arial"/>
                <w:sz w:val="22"/>
                <w:szCs w:val="22"/>
              </w:rPr>
              <w:t>62.61</w:t>
            </w:r>
          </w:p>
        </w:tc>
        <w:tc>
          <w:tcPr>
            <w:tcW w:w="1080" w:type="dxa"/>
            <w:shd w:val="clear" w:color="auto" w:fill="auto"/>
          </w:tcPr>
          <w:p w14:paraId="4D4090B2" w14:textId="77777777" w:rsidR="006B60F1" w:rsidRPr="003C2083" w:rsidRDefault="006B60F1" w:rsidP="005D4D93">
            <w:pPr>
              <w:rPr>
                <w:rFonts w:ascii="Arial" w:hAnsi="Arial" w:cs="Arial"/>
                <w:sz w:val="22"/>
                <w:szCs w:val="22"/>
              </w:rPr>
            </w:pPr>
            <w:r w:rsidRPr="003C2083">
              <w:rPr>
                <w:rFonts w:ascii="Arial" w:hAnsi="Arial" w:cs="Arial"/>
                <w:sz w:val="22"/>
                <w:szCs w:val="22"/>
              </w:rPr>
              <w:t>62.61</w:t>
            </w:r>
          </w:p>
        </w:tc>
        <w:tc>
          <w:tcPr>
            <w:tcW w:w="1710" w:type="dxa"/>
          </w:tcPr>
          <w:p w14:paraId="40FBD18F" w14:textId="77777777" w:rsidR="006B60F1" w:rsidRPr="003C2083" w:rsidRDefault="006B60F1" w:rsidP="005D4D93">
            <w:pPr>
              <w:rPr>
                <w:rFonts w:ascii="Arial" w:hAnsi="Arial" w:cs="Arial"/>
                <w:sz w:val="22"/>
                <w:szCs w:val="22"/>
              </w:rPr>
            </w:pPr>
            <w:r w:rsidRPr="003C2083">
              <w:rPr>
                <w:rFonts w:ascii="Arial" w:hAnsi="Arial" w:cs="Arial"/>
                <w:sz w:val="22"/>
                <w:szCs w:val="22"/>
              </w:rPr>
              <w:t>125.22</w:t>
            </w:r>
          </w:p>
        </w:tc>
        <w:tc>
          <w:tcPr>
            <w:tcW w:w="1710" w:type="dxa"/>
          </w:tcPr>
          <w:p w14:paraId="17A32D13" w14:textId="77777777" w:rsidR="006B60F1" w:rsidRPr="003C2083" w:rsidRDefault="006B60F1" w:rsidP="005D4D93">
            <w:pPr>
              <w:rPr>
                <w:rFonts w:ascii="Arial" w:hAnsi="Arial" w:cs="Arial"/>
                <w:sz w:val="22"/>
                <w:szCs w:val="22"/>
              </w:rPr>
            </w:pPr>
            <w:r w:rsidRPr="003C2083">
              <w:rPr>
                <w:rFonts w:ascii="Arial" w:hAnsi="Arial" w:cs="Arial"/>
                <w:sz w:val="22"/>
                <w:szCs w:val="22"/>
              </w:rPr>
              <w:t>66</w:t>
            </w:r>
          </w:p>
        </w:tc>
      </w:tr>
      <w:tr w:rsidR="002D701B" w:rsidRPr="003C2083" w14:paraId="0312F25E" w14:textId="77777777" w:rsidTr="005D4D93">
        <w:tc>
          <w:tcPr>
            <w:tcW w:w="2430" w:type="dxa"/>
            <w:shd w:val="clear" w:color="auto" w:fill="auto"/>
          </w:tcPr>
          <w:p w14:paraId="595386BC" w14:textId="77777777" w:rsidR="002D701B" w:rsidRPr="003C2083" w:rsidRDefault="002D701B" w:rsidP="005D4D93">
            <w:pPr>
              <w:rPr>
                <w:rFonts w:ascii="Arial" w:hAnsi="Arial" w:cs="Arial"/>
                <w:sz w:val="22"/>
                <w:szCs w:val="22"/>
              </w:rPr>
            </w:pPr>
            <w:r w:rsidRPr="003C2083">
              <w:rPr>
                <w:rFonts w:ascii="Arial" w:hAnsi="Arial" w:cs="Arial"/>
                <w:sz w:val="22"/>
                <w:szCs w:val="22"/>
              </w:rPr>
              <w:t>Chief Executives</w:t>
            </w:r>
          </w:p>
        </w:tc>
        <w:tc>
          <w:tcPr>
            <w:tcW w:w="1530" w:type="dxa"/>
            <w:shd w:val="clear" w:color="auto" w:fill="auto"/>
          </w:tcPr>
          <w:p w14:paraId="7464CEA8" w14:textId="77777777" w:rsidR="002D701B" w:rsidRPr="003C2083" w:rsidRDefault="002D701B" w:rsidP="005D4D93">
            <w:pPr>
              <w:rPr>
                <w:rFonts w:ascii="Arial" w:hAnsi="Arial" w:cs="Arial"/>
                <w:sz w:val="22"/>
                <w:szCs w:val="22"/>
              </w:rPr>
            </w:pPr>
            <w:r w:rsidRPr="003C2083">
              <w:rPr>
                <w:rFonts w:ascii="Arial" w:hAnsi="Arial" w:cs="Arial"/>
                <w:sz w:val="22"/>
                <w:szCs w:val="22"/>
              </w:rPr>
              <w:t>11-1011</w:t>
            </w:r>
          </w:p>
        </w:tc>
        <w:tc>
          <w:tcPr>
            <w:tcW w:w="1620" w:type="dxa"/>
            <w:shd w:val="clear" w:color="auto" w:fill="auto"/>
          </w:tcPr>
          <w:p w14:paraId="5A59069B" w14:textId="77777777" w:rsidR="002D701B" w:rsidRPr="003C2083" w:rsidRDefault="002D701B" w:rsidP="005D4D93">
            <w:pPr>
              <w:rPr>
                <w:rFonts w:ascii="Arial" w:hAnsi="Arial" w:cs="Arial"/>
                <w:sz w:val="22"/>
                <w:szCs w:val="22"/>
              </w:rPr>
            </w:pPr>
            <w:r w:rsidRPr="003C2083">
              <w:rPr>
                <w:rFonts w:ascii="Arial" w:hAnsi="Arial" w:cs="Arial"/>
                <w:sz w:val="22"/>
                <w:szCs w:val="22"/>
              </w:rPr>
              <w:t>74.93</w:t>
            </w:r>
          </w:p>
        </w:tc>
        <w:tc>
          <w:tcPr>
            <w:tcW w:w="1080" w:type="dxa"/>
            <w:shd w:val="clear" w:color="auto" w:fill="auto"/>
          </w:tcPr>
          <w:p w14:paraId="245F40A7" w14:textId="77777777" w:rsidR="002D701B" w:rsidRPr="003C2083" w:rsidRDefault="002D701B" w:rsidP="005D4D93">
            <w:pPr>
              <w:rPr>
                <w:rFonts w:ascii="Arial" w:hAnsi="Arial" w:cs="Arial"/>
                <w:sz w:val="22"/>
                <w:szCs w:val="22"/>
              </w:rPr>
            </w:pPr>
            <w:r w:rsidRPr="003C2083">
              <w:rPr>
                <w:rFonts w:ascii="Arial" w:hAnsi="Arial" w:cs="Arial"/>
                <w:sz w:val="22"/>
                <w:szCs w:val="22"/>
              </w:rPr>
              <w:t>74.93</w:t>
            </w:r>
          </w:p>
        </w:tc>
        <w:tc>
          <w:tcPr>
            <w:tcW w:w="1710" w:type="dxa"/>
          </w:tcPr>
          <w:p w14:paraId="7540000F" w14:textId="77777777" w:rsidR="002D701B" w:rsidRPr="003C2083" w:rsidRDefault="002D701B" w:rsidP="005D4D93">
            <w:pPr>
              <w:rPr>
                <w:rFonts w:ascii="Arial" w:hAnsi="Arial" w:cs="Arial"/>
                <w:sz w:val="22"/>
                <w:szCs w:val="22"/>
              </w:rPr>
            </w:pPr>
            <w:r w:rsidRPr="003C2083">
              <w:rPr>
                <w:rFonts w:ascii="Arial" w:hAnsi="Arial" w:cs="Arial"/>
                <w:sz w:val="22"/>
                <w:szCs w:val="22"/>
              </w:rPr>
              <w:t>149.86</w:t>
            </w:r>
          </w:p>
        </w:tc>
        <w:tc>
          <w:tcPr>
            <w:tcW w:w="1710" w:type="dxa"/>
          </w:tcPr>
          <w:p w14:paraId="334F44E6" w14:textId="77777777" w:rsidR="002D701B" w:rsidRPr="003C2083" w:rsidRDefault="002D701B" w:rsidP="005D4D93">
            <w:pPr>
              <w:rPr>
                <w:rFonts w:ascii="Arial" w:hAnsi="Arial" w:cs="Arial"/>
                <w:sz w:val="22"/>
                <w:szCs w:val="22"/>
              </w:rPr>
            </w:pPr>
            <w:r w:rsidRPr="003C2083">
              <w:rPr>
                <w:rFonts w:ascii="Arial" w:hAnsi="Arial" w:cs="Arial"/>
                <w:sz w:val="22"/>
                <w:szCs w:val="22"/>
              </w:rPr>
              <w:t>10</w:t>
            </w:r>
          </w:p>
        </w:tc>
      </w:tr>
      <w:tr w:rsidR="006B60F1" w:rsidRPr="003C2083" w14:paraId="7FEDC481" w14:textId="77777777" w:rsidTr="005D4D93">
        <w:tc>
          <w:tcPr>
            <w:tcW w:w="2430" w:type="dxa"/>
            <w:shd w:val="clear" w:color="auto" w:fill="auto"/>
          </w:tcPr>
          <w:p w14:paraId="08E8A637" w14:textId="77777777" w:rsidR="006B60F1" w:rsidRPr="003C2083" w:rsidRDefault="006B60F1" w:rsidP="005D4D93">
            <w:pPr>
              <w:rPr>
                <w:rFonts w:ascii="Arial" w:hAnsi="Arial" w:cs="Arial"/>
                <w:sz w:val="22"/>
                <w:szCs w:val="22"/>
              </w:rPr>
            </w:pPr>
            <w:r w:rsidRPr="003C2083">
              <w:rPr>
                <w:rFonts w:ascii="Arial" w:hAnsi="Arial" w:cs="Arial"/>
                <w:sz w:val="22"/>
                <w:szCs w:val="22"/>
              </w:rPr>
              <w:t>Total</w:t>
            </w:r>
          </w:p>
        </w:tc>
        <w:tc>
          <w:tcPr>
            <w:tcW w:w="1530" w:type="dxa"/>
            <w:shd w:val="clear" w:color="auto" w:fill="auto"/>
          </w:tcPr>
          <w:p w14:paraId="603D49F2" w14:textId="77777777" w:rsidR="006B60F1" w:rsidRPr="003C2083" w:rsidRDefault="006B60F1" w:rsidP="005D4D93">
            <w:pPr>
              <w:rPr>
                <w:rFonts w:ascii="Arial" w:hAnsi="Arial" w:cs="Arial"/>
                <w:sz w:val="22"/>
                <w:szCs w:val="22"/>
              </w:rPr>
            </w:pPr>
          </w:p>
        </w:tc>
        <w:tc>
          <w:tcPr>
            <w:tcW w:w="1620" w:type="dxa"/>
            <w:shd w:val="clear" w:color="auto" w:fill="auto"/>
          </w:tcPr>
          <w:p w14:paraId="2A4AC211" w14:textId="77777777" w:rsidR="006B60F1" w:rsidRPr="003C2083" w:rsidRDefault="002D701B" w:rsidP="005D4D93">
            <w:pPr>
              <w:rPr>
                <w:rFonts w:ascii="Arial" w:hAnsi="Arial" w:cs="Arial"/>
                <w:sz w:val="22"/>
                <w:szCs w:val="22"/>
              </w:rPr>
            </w:pPr>
            <w:r w:rsidRPr="003C2083">
              <w:rPr>
                <w:rFonts w:ascii="Arial" w:hAnsi="Arial" w:cs="Arial"/>
                <w:sz w:val="22"/>
                <w:szCs w:val="22"/>
              </w:rPr>
              <w:t>172.96</w:t>
            </w:r>
          </w:p>
        </w:tc>
        <w:tc>
          <w:tcPr>
            <w:tcW w:w="1080" w:type="dxa"/>
            <w:shd w:val="clear" w:color="auto" w:fill="auto"/>
          </w:tcPr>
          <w:p w14:paraId="1103C5B8" w14:textId="77777777" w:rsidR="006B60F1" w:rsidRPr="003C2083" w:rsidRDefault="002D701B" w:rsidP="005D4D93">
            <w:pPr>
              <w:rPr>
                <w:rFonts w:ascii="Arial" w:hAnsi="Arial" w:cs="Arial"/>
                <w:sz w:val="22"/>
                <w:szCs w:val="22"/>
              </w:rPr>
            </w:pPr>
            <w:r w:rsidRPr="003C2083">
              <w:rPr>
                <w:rFonts w:ascii="Arial" w:hAnsi="Arial" w:cs="Arial"/>
                <w:sz w:val="22"/>
                <w:szCs w:val="22"/>
              </w:rPr>
              <w:t>172.96</w:t>
            </w:r>
          </w:p>
        </w:tc>
        <w:tc>
          <w:tcPr>
            <w:tcW w:w="1710" w:type="dxa"/>
          </w:tcPr>
          <w:p w14:paraId="58C4D884" w14:textId="77777777" w:rsidR="006B60F1" w:rsidRPr="003C2083" w:rsidRDefault="002D701B" w:rsidP="005D4D93">
            <w:pPr>
              <w:rPr>
                <w:rFonts w:ascii="Arial" w:hAnsi="Arial" w:cs="Arial"/>
                <w:sz w:val="22"/>
                <w:szCs w:val="22"/>
              </w:rPr>
            </w:pPr>
            <w:r w:rsidRPr="003C2083">
              <w:rPr>
                <w:rFonts w:ascii="Arial" w:hAnsi="Arial" w:cs="Arial"/>
                <w:sz w:val="22"/>
                <w:szCs w:val="22"/>
              </w:rPr>
              <w:t>345.92</w:t>
            </w:r>
          </w:p>
        </w:tc>
        <w:tc>
          <w:tcPr>
            <w:tcW w:w="1710" w:type="dxa"/>
          </w:tcPr>
          <w:p w14:paraId="12B33465" w14:textId="77777777" w:rsidR="006B60F1" w:rsidRPr="003C2083" w:rsidRDefault="002D701B" w:rsidP="005D4D93">
            <w:pPr>
              <w:rPr>
                <w:rFonts w:ascii="Arial" w:hAnsi="Arial" w:cs="Arial"/>
                <w:sz w:val="22"/>
                <w:szCs w:val="22"/>
              </w:rPr>
            </w:pPr>
            <w:r w:rsidRPr="003C2083">
              <w:rPr>
                <w:rFonts w:ascii="Arial" w:hAnsi="Arial" w:cs="Arial"/>
                <w:sz w:val="22"/>
                <w:szCs w:val="22"/>
              </w:rPr>
              <w:t>23</w:t>
            </w:r>
            <w:r w:rsidR="006B60F1" w:rsidRPr="003C2083">
              <w:rPr>
                <w:rFonts w:ascii="Arial" w:hAnsi="Arial" w:cs="Arial"/>
                <w:sz w:val="22"/>
                <w:szCs w:val="22"/>
              </w:rPr>
              <w:t>9</w:t>
            </w:r>
          </w:p>
        </w:tc>
      </w:tr>
    </w:tbl>
    <w:p w14:paraId="5F988372" w14:textId="77777777" w:rsidR="006B60F1" w:rsidRPr="003C2083" w:rsidRDefault="006B60F1" w:rsidP="006B60F1">
      <w:pPr>
        <w:rPr>
          <w:rFonts w:ascii="Arial" w:hAnsi="Arial" w:cs="Arial"/>
          <w:sz w:val="22"/>
          <w:szCs w:val="22"/>
        </w:rPr>
      </w:pPr>
    </w:p>
    <w:p w14:paraId="78F78C8B" w14:textId="77777777" w:rsidR="006B60F1" w:rsidRPr="003C2083" w:rsidRDefault="006B60F1" w:rsidP="006B60F1">
      <w:pPr>
        <w:rPr>
          <w:rFonts w:ascii="Arial" w:hAnsi="Arial" w:cs="Arial"/>
          <w:sz w:val="22"/>
          <w:szCs w:val="22"/>
        </w:rPr>
      </w:pPr>
      <w:r w:rsidRPr="003C2083">
        <w:rPr>
          <w:rFonts w:ascii="Arial" w:hAnsi="Arial" w:cs="Arial"/>
          <w:sz w:val="22"/>
          <w:szCs w:val="22"/>
        </w:rPr>
        <w:t xml:space="preserve">The total combined cost for a </w:t>
      </w:r>
      <w:proofErr w:type="spellStart"/>
      <w:r w:rsidRPr="003C2083">
        <w:rPr>
          <w:rFonts w:ascii="Arial" w:hAnsi="Arial" w:cs="Arial"/>
          <w:sz w:val="22"/>
          <w:szCs w:val="22"/>
        </w:rPr>
        <w:t>CCBHC</w:t>
      </w:r>
      <w:proofErr w:type="spellEnd"/>
      <w:r w:rsidRPr="003C2083">
        <w:rPr>
          <w:rFonts w:ascii="Arial" w:hAnsi="Arial" w:cs="Arial"/>
          <w:sz w:val="22"/>
          <w:szCs w:val="22"/>
        </w:rPr>
        <w:t xml:space="preserve"> and states to complete and review one cost report is </w:t>
      </w:r>
      <w:r w:rsidR="00F830A8" w:rsidRPr="003C2083">
        <w:rPr>
          <w:rFonts w:ascii="Arial" w:hAnsi="Arial" w:cs="Arial"/>
          <w:sz w:val="22"/>
          <w:szCs w:val="22"/>
        </w:rPr>
        <w:t>$</w:t>
      </w:r>
      <w:r w:rsidR="00B21098" w:rsidRPr="003C2083">
        <w:rPr>
          <w:rFonts w:ascii="Arial" w:hAnsi="Arial" w:cs="Arial"/>
          <w:sz w:val="22"/>
          <w:szCs w:val="22"/>
        </w:rPr>
        <w:t>21,310.04</w:t>
      </w:r>
      <w:r w:rsidR="003C5DCD" w:rsidRPr="003C2083">
        <w:rPr>
          <w:rFonts w:ascii="Arial" w:hAnsi="Arial" w:cs="Arial"/>
          <w:sz w:val="22"/>
          <w:szCs w:val="22"/>
        </w:rPr>
        <w:t>.</w:t>
      </w:r>
    </w:p>
    <w:p w14:paraId="4BD7B26C" w14:textId="77777777" w:rsidR="006B60F1" w:rsidRPr="003C2083" w:rsidRDefault="006B60F1" w:rsidP="006B60F1">
      <w:pPr>
        <w:rPr>
          <w:rFonts w:ascii="Arial" w:hAnsi="Arial" w:cs="Arial"/>
          <w:sz w:val="22"/>
          <w:szCs w:val="22"/>
        </w:rPr>
      </w:pPr>
    </w:p>
    <w:p w14:paraId="2CE4B1E0" w14:textId="77777777" w:rsidR="00F830A8" w:rsidRPr="003C2083" w:rsidRDefault="00010AFC" w:rsidP="006B60F1">
      <w:pPr>
        <w:rPr>
          <w:rFonts w:ascii="Arial" w:hAnsi="Arial" w:cs="Arial"/>
          <w:b/>
          <w:sz w:val="22"/>
          <w:szCs w:val="22"/>
        </w:rPr>
      </w:pPr>
      <w:r w:rsidRPr="003C2083">
        <w:rPr>
          <w:rFonts w:ascii="Arial" w:hAnsi="Arial" w:cs="Arial"/>
          <w:b/>
          <w:sz w:val="22"/>
          <w:szCs w:val="22"/>
        </w:rPr>
        <w:t xml:space="preserve">FIGURE 3: NATIONAL COUNCIL’S </w:t>
      </w:r>
      <w:r w:rsidR="003C5DCD" w:rsidRPr="003C2083">
        <w:rPr>
          <w:rFonts w:ascii="Arial" w:hAnsi="Arial" w:cs="Arial"/>
          <w:b/>
          <w:sz w:val="22"/>
          <w:szCs w:val="22"/>
        </w:rPr>
        <w:t xml:space="preserve">PPS 1 DESK AUDIT </w:t>
      </w:r>
      <w:proofErr w:type="gramStart"/>
      <w:r w:rsidR="003C5DCD" w:rsidRPr="003C2083">
        <w:rPr>
          <w:rFonts w:ascii="Arial" w:hAnsi="Arial" w:cs="Arial"/>
          <w:b/>
          <w:sz w:val="22"/>
          <w:szCs w:val="22"/>
        </w:rPr>
        <w:t>ESTIMATE—</w:t>
      </w:r>
      <w:proofErr w:type="gramEnd"/>
      <w:r w:rsidRPr="003C2083">
        <w:rPr>
          <w:rFonts w:ascii="Arial" w:hAnsi="Arial" w:cs="Arial"/>
          <w:b/>
          <w:sz w:val="22"/>
          <w:szCs w:val="22"/>
        </w:rPr>
        <w:t>SIX CLINICS</w:t>
      </w:r>
    </w:p>
    <w:p w14:paraId="5C88B3A4" w14:textId="77777777" w:rsidR="00010AFC" w:rsidRPr="003C2083" w:rsidRDefault="00010AFC" w:rsidP="006B60F1">
      <w:pPr>
        <w:rPr>
          <w:rFonts w:ascii="Arial" w:hAnsi="Arial" w:cs="Arial"/>
          <w:sz w:val="22"/>
          <w:szCs w:val="22"/>
        </w:rPr>
      </w:pPr>
      <w:r w:rsidRPr="003C2083">
        <w:rPr>
          <w:rFonts w:ascii="Arial" w:hAnsi="Arial" w:cs="Arial"/>
          <w:sz w:val="22"/>
          <w:szCs w:val="22"/>
        </w:rPr>
        <w:t xml:space="preserve">This chart looks at the amount of time it would take six </w:t>
      </w:r>
      <w:proofErr w:type="spellStart"/>
      <w:r w:rsidRPr="003C2083">
        <w:rPr>
          <w:rFonts w:ascii="Arial" w:hAnsi="Arial" w:cs="Arial"/>
          <w:sz w:val="22"/>
          <w:szCs w:val="22"/>
        </w:rPr>
        <w:t>CCBHCs</w:t>
      </w:r>
      <w:proofErr w:type="spellEnd"/>
      <w:r w:rsidRPr="003C2083">
        <w:rPr>
          <w:rFonts w:ascii="Arial" w:hAnsi="Arial" w:cs="Arial"/>
          <w:sz w:val="22"/>
          <w:szCs w:val="22"/>
        </w:rPr>
        <w:t xml:space="preserve"> to complete and review the cost report if working with a PPS-1 model. Based on the feedback we have received from the states applying for the planning grant, each state is looking to certify an average of six clinics. We estimate that it will take three times as long as our estimates in Figure 2. In addition, we factored in the time it would take Chief Executives to review the cost report.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530"/>
        <w:gridCol w:w="1620"/>
        <w:gridCol w:w="1080"/>
        <w:gridCol w:w="1710"/>
        <w:gridCol w:w="1710"/>
      </w:tblGrid>
      <w:tr w:rsidR="003C5DCD" w:rsidRPr="003C2083" w14:paraId="29C40E9C" w14:textId="77777777" w:rsidTr="00496980">
        <w:trPr>
          <w:trHeight w:val="800"/>
          <w:tblHeader/>
        </w:trPr>
        <w:tc>
          <w:tcPr>
            <w:tcW w:w="2430" w:type="dxa"/>
            <w:shd w:val="clear" w:color="auto" w:fill="auto"/>
          </w:tcPr>
          <w:p w14:paraId="03608F8C" w14:textId="77777777" w:rsidR="003C5DCD" w:rsidRPr="003C2083" w:rsidRDefault="003C5DCD" w:rsidP="00496980">
            <w:pPr>
              <w:rPr>
                <w:rFonts w:ascii="Arial" w:hAnsi="Arial" w:cs="Arial"/>
                <w:b/>
                <w:sz w:val="22"/>
                <w:szCs w:val="22"/>
              </w:rPr>
            </w:pPr>
            <w:r w:rsidRPr="003C2083">
              <w:rPr>
                <w:rFonts w:ascii="Arial" w:hAnsi="Arial" w:cs="Arial"/>
                <w:b/>
                <w:sz w:val="22"/>
                <w:szCs w:val="22"/>
              </w:rPr>
              <w:t>Occupation Title</w:t>
            </w:r>
          </w:p>
        </w:tc>
        <w:tc>
          <w:tcPr>
            <w:tcW w:w="1530" w:type="dxa"/>
            <w:shd w:val="clear" w:color="auto" w:fill="auto"/>
          </w:tcPr>
          <w:p w14:paraId="2A6F8FBB" w14:textId="77777777" w:rsidR="003C5DCD" w:rsidRPr="003C2083" w:rsidRDefault="003C5DCD" w:rsidP="00496980">
            <w:pPr>
              <w:rPr>
                <w:rFonts w:ascii="Arial" w:hAnsi="Arial" w:cs="Arial"/>
                <w:b/>
                <w:sz w:val="22"/>
                <w:szCs w:val="22"/>
              </w:rPr>
            </w:pPr>
            <w:r w:rsidRPr="003C2083">
              <w:rPr>
                <w:rFonts w:ascii="Arial" w:hAnsi="Arial" w:cs="Arial"/>
                <w:b/>
                <w:sz w:val="22"/>
                <w:szCs w:val="22"/>
              </w:rPr>
              <w:t>Occupation Code</w:t>
            </w:r>
          </w:p>
        </w:tc>
        <w:tc>
          <w:tcPr>
            <w:tcW w:w="1620" w:type="dxa"/>
            <w:shd w:val="clear" w:color="auto" w:fill="auto"/>
          </w:tcPr>
          <w:p w14:paraId="14E9B04F" w14:textId="77777777" w:rsidR="003C5DCD" w:rsidRPr="003C2083" w:rsidRDefault="003C5DCD" w:rsidP="00496980">
            <w:pPr>
              <w:rPr>
                <w:rFonts w:ascii="Arial" w:hAnsi="Arial" w:cs="Arial"/>
                <w:b/>
                <w:sz w:val="22"/>
                <w:szCs w:val="22"/>
              </w:rPr>
            </w:pPr>
            <w:r w:rsidRPr="003C2083">
              <w:rPr>
                <w:rFonts w:ascii="Arial" w:hAnsi="Arial" w:cs="Arial"/>
                <w:b/>
                <w:sz w:val="22"/>
                <w:szCs w:val="22"/>
              </w:rPr>
              <w:t>Mean Hourly Wage</w:t>
            </w:r>
          </w:p>
        </w:tc>
        <w:tc>
          <w:tcPr>
            <w:tcW w:w="1080" w:type="dxa"/>
            <w:shd w:val="clear" w:color="auto" w:fill="auto"/>
          </w:tcPr>
          <w:p w14:paraId="641D8317" w14:textId="77777777" w:rsidR="003C5DCD" w:rsidRPr="003C2083" w:rsidRDefault="003C5DCD" w:rsidP="00496980">
            <w:pPr>
              <w:rPr>
                <w:rFonts w:ascii="Arial" w:hAnsi="Arial" w:cs="Arial"/>
                <w:b/>
                <w:sz w:val="22"/>
                <w:szCs w:val="22"/>
              </w:rPr>
            </w:pPr>
            <w:r w:rsidRPr="003C2083">
              <w:rPr>
                <w:rFonts w:ascii="Arial" w:hAnsi="Arial" w:cs="Arial"/>
                <w:b/>
                <w:sz w:val="22"/>
                <w:szCs w:val="22"/>
              </w:rPr>
              <w:t>Fringe Benefit</w:t>
            </w:r>
          </w:p>
        </w:tc>
        <w:tc>
          <w:tcPr>
            <w:tcW w:w="1710" w:type="dxa"/>
          </w:tcPr>
          <w:p w14:paraId="5B3AF2A1" w14:textId="77777777" w:rsidR="003C5DCD" w:rsidRPr="003C2083" w:rsidRDefault="003C5DCD" w:rsidP="00496980">
            <w:pPr>
              <w:rPr>
                <w:rFonts w:ascii="Arial" w:hAnsi="Arial" w:cs="Arial"/>
                <w:b/>
                <w:sz w:val="22"/>
                <w:szCs w:val="22"/>
              </w:rPr>
            </w:pPr>
            <w:r w:rsidRPr="003C2083">
              <w:rPr>
                <w:rFonts w:ascii="Arial" w:hAnsi="Arial" w:cs="Arial"/>
                <w:b/>
                <w:sz w:val="22"/>
                <w:szCs w:val="22"/>
              </w:rPr>
              <w:t>Adjusted Hourly Wage</w:t>
            </w:r>
          </w:p>
        </w:tc>
        <w:tc>
          <w:tcPr>
            <w:tcW w:w="1710" w:type="dxa"/>
          </w:tcPr>
          <w:p w14:paraId="7F7AEC31" w14:textId="77777777" w:rsidR="003C5DCD" w:rsidRPr="003C2083" w:rsidRDefault="003C5DCD" w:rsidP="00496980">
            <w:pPr>
              <w:rPr>
                <w:rFonts w:ascii="Arial" w:hAnsi="Arial" w:cs="Arial"/>
                <w:b/>
                <w:sz w:val="22"/>
                <w:szCs w:val="22"/>
              </w:rPr>
            </w:pPr>
            <w:r w:rsidRPr="003C2083">
              <w:rPr>
                <w:rFonts w:ascii="Arial" w:hAnsi="Arial" w:cs="Arial"/>
                <w:b/>
                <w:sz w:val="22"/>
                <w:szCs w:val="22"/>
              </w:rPr>
              <w:t>Hours per request</w:t>
            </w:r>
          </w:p>
        </w:tc>
      </w:tr>
      <w:tr w:rsidR="003C5DCD" w:rsidRPr="003C2083" w14:paraId="515E3E2E" w14:textId="77777777" w:rsidTr="00496980">
        <w:tc>
          <w:tcPr>
            <w:tcW w:w="2430" w:type="dxa"/>
            <w:shd w:val="clear" w:color="auto" w:fill="auto"/>
          </w:tcPr>
          <w:p w14:paraId="6171456B" w14:textId="77777777" w:rsidR="003C5DCD" w:rsidRPr="003C2083" w:rsidRDefault="003C5DCD" w:rsidP="00496980">
            <w:pPr>
              <w:rPr>
                <w:rFonts w:ascii="Arial" w:hAnsi="Arial" w:cs="Arial"/>
                <w:sz w:val="22"/>
                <w:szCs w:val="22"/>
              </w:rPr>
            </w:pPr>
            <w:r w:rsidRPr="003C2083">
              <w:rPr>
                <w:rFonts w:ascii="Arial" w:hAnsi="Arial" w:cs="Arial"/>
                <w:sz w:val="22"/>
                <w:szCs w:val="22"/>
              </w:rPr>
              <w:t>Staff Accountant</w:t>
            </w:r>
          </w:p>
        </w:tc>
        <w:tc>
          <w:tcPr>
            <w:tcW w:w="1530" w:type="dxa"/>
            <w:shd w:val="clear" w:color="auto" w:fill="auto"/>
          </w:tcPr>
          <w:p w14:paraId="51811667" w14:textId="77777777" w:rsidR="003C5DCD" w:rsidRPr="003C2083" w:rsidRDefault="003C5DCD" w:rsidP="00496980">
            <w:pPr>
              <w:rPr>
                <w:rFonts w:ascii="Arial" w:hAnsi="Arial" w:cs="Arial"/>
                <w:sz w:val="22"/>
                <w:szCs w:val="22"/>
              </w:rPr>
            </w:pPr>
            <w:r w:rsidRPr="003C2083">
              <w:rPr>
                <w:rFonts w:ascii="Arial" w:hAnsi="Arial" w:cs="Arial"/>
                <w:sz w:val="22"/>
                <w:szCs w:val="22"/>
              </w:rPr>
              <w:t>13-2011</w:t>
            </w:r>
          </w:p>
        </w:tc>
        <w:tc>
          <w:tcPr>
            <w:tcW w:w="1620" w:type="dxa"/>
            <w:shd w:val="clear" w:color="auto" w:fill="auto"/>
          </w:tcPr>
          <w:p w14:paraId="604542E9" w14:textId="77777777" w:rsidR="003C5DCD" w:rsidRPr="003C2083" w:rsidRDefault="003C5DCD" w:rsidP="00496980">
            <w:pPr>
              <w:rPr>
                <w:rFonts w:ascii="Arial" w:hAnsi="Arial" w:cs="Arial"/>
                <w:sz w:val="22"/>
                <w:szCs w:val="22"/>
              </w:rPr>
            </w:pPr>
            <w:r w:rsidRPr="003C2083">
              <w:rPr>
                <w:rFonts w:ascii="Arial" w:hAnsi="Arial" w:cs="Arial"/>
                <w:sz w:val="22"/>
                <w:szCs w:val="22"/>
              </w:rPr>
              <w:t>35.42</w:t>
            </w:r>
          </w:p>
        </w:tc>
        <w:tc>
          <w:tcPr>
            <w:tcW w:w="1080" w:type="dxa"/>
            <w:shd w:val="clear" w:color="auto" w:fill="auto"/>
          </w:tcPr>
          <w:p w14:paraId="5C24C826" w14:textId="77777777" w:rsidR="003C5DCD" w:rsidRPr="003C2083" w:rsidRDefault="003C5DCD" w:rsidP="00496980">
            <w:pPr>
              <w:rPr>
                <w:rFonts w:ascii="Arial" w:hAnsi="Arial" w:cs="Arial"/>
                <w:sz w:val="22"/>
                <w:szCs w:val="22"/>
              </w:rPr>
            </w:pPr>
            <w:r w:rsidRPr="003C2083">
              <w:rPr>
                <w:rFonts w:ascii="Arial" w:hAnsi="Arial" w:cs="Arial"/>
                <w:sz w:val="22"/>
                <w:szCs w:val="22"/>
              </w:rPr>
              <w:t>35.42</w:t>
            </w:r>
          </w:p>
        </w:tc>
        <w:tc>
          <w:tcPr>
            <w:tcW w:w="1710" w:type="dxa"/>
          </w:tcPr>
          <w:p w14:paraId="0A1F3C0A" w14:textId="77777777" w:rsidR="003C5DCD" w:rsidRPr="003C2083" w:rsidRDefault="003C5DCD" w:rsidP="00496980">
            <w:pPr>
              <w:rPr>
                <w:rFonts w:ascii="Arial" w:hAnsi="Arial" w:cs="Arial"/>
                <w:sz w:val="22"/>
                <w:szCs w:val="22"/>
              </w:rPr>
            </w:pPr>
            <w:r w:rsidRPr="003C2083">
              <w:rPr>
                <w:rFonts w:ascii="Arial" w:hAnsi="Arial" w:cs="Arial"/>
                <w:sz w:val="22"/>
                <w:szCs w:val="22"/>
              </w:rPr>
              <w:t>70.84</w:t>
            </w:r>
          </w:p>
        </w:tc>
        <w:tc>
          <w:tcPr>
            <w:tcW w:w="1710" w:type="dxa"/>
          </w:tcPr>
          <w:p w14:paraId="6B4F0420" w14:textId="77777777" w:rsidR="003C5DCD" w:rsidRPr="003C2083" w:rsidRDefault="003C5DCD" w:rsidP="003C5DCD">
            <w:pPr>
              <w:rPr>
                <w:rFonts w:ascii="Arial" w:hAnsi="Arial" w:cs="Arial"/>
                <w:sz w:val="22"/>
                <w:szCs w:val="22"/>
              </w:rPr>
            </w:pPr>
            <w:r w:rsidRPr="003C2083">
              <w:rPr>
                <w:rFonts w:ascii="Arial" w:hAnsi="Arial" w:cs="Arial"/>
                <w:sz w:val="22"/>
                <w:szCs w:val="22"/>
              </w:rPr>
              <w:t>489</w:t>
            </w:r>
          </w:p>
        </w:tc>
      </w:tr>
      <w:tr w:rsidR="003C5DCD" w:rsidRPr="003C2083" w14:paraId="0219B9A6" w14:textId="77777777" w:rsidTr="00496980">
        <w:tc>
          <w:tcPr>
            <w:tcW w:w="2430" w:type="dxa"/>
            <w:shd w:val="clear" w:color="auto" w:fill="auto"/>
          </w:tcPr>
          <w:p w14:paraId="27843C9C" w14:textId="77777777" w:rsidR="003C5DCD" w:rsidRPr="003C2083" w:rsidRDefault="003C5DCD" w:rsidP="00496980">
            <w:pPr>
              <w:rPr>
                <w:rFonts w:ascii="Arial" w:hAnsi="Arial" w:cs="Arial"/>
                <w:sz w:val="22"/>
                <w:szCs w:val="22"/>
              </w:rPr>
            </w:pPr>
            <w:r w:rsidRPr="003C2083">
              <w:rPr>
                <w:rFonts w:ascii="Arial" w:hAnsi="Arial" w:cs="Arial"/>
                <w:sz w:val="22"/>
                <w:szCs w:val="22"/>
              </w:rPr>
              <w:t>Finance Manager</w:t>
            </w:r>
          </w:p>
        </w:tc>
        <w:tc>
          <w:tcPr>
            <w:tcW w:w="1530" w:type="dxa"/>
            <w:shd w:val="clear" w:color="auto" w:fill="auto"/>
          </w:tcPr>
          <w:p w14:paraId="1715F49B" w14:textId="77777777" w:rsidR="003C5DCD" w:rsidRPr="003C2083" w:rsidRDefault="003C5DCD" w:rsidP="00496980">
            <w:pPr>
              <w:rPr>
                <w:rFonts w:ascii="Arial" w:hAnsi="Arial" w:cs="Arial"/>
                <w:sz w:val="22"/>
                <w:szCs w:val="22"/>
              </w:rPr>
            </w:pPr>
            <w:r w:rsidRPr="003C2083">
              <w:rPr>
                <w:rFonts w:ascii="Arial" w:hAnsi="Arial" w:cs="Arial"/>
                <w:sz w:val="22"/>
                <w:szCs w:val="22"/>
              </w:rPr>
              <w:t>11-3031</w:t>
            </w:r>
          </w:p>
        </w:tc>
        <w:tc>
          <w:tcPr>
            <w:tcW w:w="1620" w:type="dxa"/>
            <w:shd w:val="clear" w:color="auto" w:fill="auto"/>
          </w:tcPr>
          <w:p w14:paraId="4055A02C" w14:textId="77777777" w:rsidR="003C5DCD" w:rsidRPr="003C2083" w:rsidRDefault="003C5DCD" w:rsidP="00496980">
            <w:pPr>
              <w:rPr>
                <w:rFonts w:ascii="Arial" w:hAnsi="Arial" w:cs="Arial"/>
                <w:sz w:val="22"/>
                <w:szCs w:val="22"/>
              </w:rPr>
            </w:pPr>
            <w:r w:rsidRPr="003C2083">
              <w:rPr>
                <w:rFonts w:ascii="Arial" w:hAnsi="Arial" w:cs="Arial"/>
                <w:sz w:val="22"/>
                <w:szCs w:val="22"/>
              </w:rPr>
              <w:t>62.61</w:t>
            </w:r>
          </w:p>
        </w:tc>
        <w:tc>
          <w:tcPr>
            <w:tcW w:w="1080" w:type="dxa"/>
            <w:shd w:val="clear" w:color="auto" w:fill="auto"/>
          </w:tcPr>
          <w:p w14:paraId="2FEE84DD" w14:textId="77777777" w:rsidR="003C5DCD" w:rsidRPr="003C2083" w:rsidRDefault="003C5DCD" w:rsidP="00496980">
            <w:pPr>
              <w:rPr>
                <w:rFonts w:ascii="Arial" w:hAnsi="Arial" w:cs="Arial"/>
                <w:sz w:val="22"/>
                <w:szCs w:val="22"/>
              </w:rPr>
            </w:pPr>
            <w:r w:rsidRPr="003C2083">
              <w:rPr>
                <w:rFonts w:ascii="Arial" w:hAnsi="Arial" w:cs="Arial"/>
                <w:sz w:val="22"/>
                <w:szCs w:val="22"/>
              </w:rPr>
              <w:t>62.61</w:t>
            </w:r>
          </w:p>
        </w:tc>
        <w:tc>
          <w:tcPr>
            <w:tcW w:w="1710" w:type="dxa"/>
          </w:tcPr>
          <w:p w14:paraId="6C6BD3B2" w14:textId="77777777" w:rsidR="003C5DCD" w:rsidRPr="003C2083" w:rsidRDefault="003C5DCD" w:rsidP="00496980">
            <w:pPr>
              <w:rPr>
                <w:rFonts w:ascii="Arial" w:hAnsi="Arial" w:cs="Arial"/>
                <w:sz w:val="22"/>
                <w:szCs w:val="22"/>
              </w:rPr>
            </w:pPr>
            <w:r w:rsidRPr="003C2083">
              <w:rPr>
                <w:rFonts w:ascii="Arial" w:hAnsi="Arial" w:cs="Arial"/>
                <w:sz w:val="22"/>
                <w:szCs w:val="22"/>
              </w:rPr>
              <w:t>125.22</w:t>
            </w:r>
          </w:p>
        </w:tc>
        <w:tc>
          <w:tcPr>
            <w:tcW w:w="1710" w:type="dxa"/>
          </w:tcPr>
          <w:p w14:paraId="7FA54374" w14:textId="77777777" w:rsidR="003C5DCD" w:rsidRPr="003C2083" w:rsidRDefault="003C5DCD" w:rsidP="00496980">
            <w:pPr>
              <w:rPr>
                <w:rFonts w:ascii="Arial" w:hAnsi="Arial" w:cs="Arial"/>
                <w:sz w:val="22"/>
                <w:szCs w:val="22"/>
              </w:rPr>
            </w:pPr>
            <w:r w:rsidRPr="003C2083">
              <w:rPr>
                <w:rFonts w:ascii="Arial" w:hAnsi="Arial" w:cs="Arial"/>
                <w:sz w:val="22"/>
                <w:szCs w:val="22"/>
              </w:rPr>
              <w:t>198</w:t>
            </w:r>
          </w:p>
        </w:tc>
      </w:tr>
      <w:tr w:rsidR="00B21098" w:rsidRPr="003C2083" w14:paraId="547443D4" w14:textId="77777777" w:rsidTr="00496980">
        <w:tc>
          <w:tcPr>
            <w:tcW w:w="2430" w:type="dxa"/>
            <w:shd w:val="clear" w:color="auto" w:fill="auto"/>
          </w:tcPr>
          <w:p w14:paraId="2FF3B633" w14:textId="77777777" w:rsidR="00B21098" w:rsidRPr="003C2083" w:rsidRDefault="00B21098" w:rsidP="00B21098">
            <w:pPr>
              <w:rPr>
                <w:rFonts w:ascii="Arial" w:hAnsi="Arial" w:cs="Arial"/>
                <w:sz w:val="22"/>
                <w:szCs w:val="22"/>
              </w:rPr>
            </w:pPr>
            <w:r w:rsidRPr="003C2083">
              <w:rPr>
                <w:rFonts w:ascii="Arial" w:hAnsi="Arial" w:cs="Arial"/>
                <w:sz w:val="22"/>
                <w:szCs w:val="22"/>
              </w:rPr>
              <w:t>Chief Executives</w:t>
            </w:r>
          </w:p>
        </w:tc>
        <w:tc>
          <w:tcPr>
            <w:tcW w:w="1530" w:type="dxa"/>
            <w:shd w:val="clear" w:color="auto" w:fill="auto"/>
          </w:tcPr>
          <w:p w14:paraId="33A19268" w14:textId="77777777" w:rsidR="00B21098" w:rsidRPr="003C2083" w:rsidRDefault="00B21098" w:rsidP="00B21098">
            <w:pPr>
              <w:rPr>
                <w:rFonts w:ascii="Arial" w:hAnsi="Arial" w:cs="Arial"/>
                <w:sz w:val="22"/>
                <w:szCs w:val="22"/>
              </w:rPr>
            </w:pPr>
            <w:r w:rsidRPr="003C2083">
              <w:rPr>
                <w:rFonts w:ascii="Arial" w:hAnsi="Arial" w:cs="Arial"/>
                <w:sz w:val="22"/>
                <w:szCs w:val="22"/>
              </w:rPr>
              <w:t>11-1011</w:t>
            </w:r>
          </w:p>
        </w:tc>
        <w:tc>
          <w:tcPr>
            <w:tcW w:w="1620" w:type="dxa"/>
            <w:shd w:val="clear" w:color="auto" w:fill="auto"/>
          </w:tcPr>
          <w:p w14:paraId="587A5C06" w14:textId="77777777" w:rsidR="00B21098" w:rsidRPr="003C2083" w:rsidRDefault="00B21098" w:rsidP="00B21098">
            <w:pPr>
              <w:rPr>
                <w:rFonts w:ascii="Arial" w:hAnsi="Arial" w:cs="Arial"/>
                <w:sz w:val="22"/>
                <w:szCs w:val="22"/>
              </w:rPr>
            </w:pPr>
            <w:r w:rsidRPr="003C2083">
              <w:rPr>
                <w:rFonts w:ascii="Arial" w:hAnsi="Arial" w:cs="Arial"/>
                <w:sz w:val="22"/>
                <w:szCs w:val="22"/>
              </w:rPr>
              <w:t>74.93</w:t>
            </w:r>
          </w:p>
        </w:tc>
        <w:tc>
          <w:tcPr>
            <w:tcW w:w="1080" w:type="dxa"/>
            <w:shd w:val="clear" w:color="auto" w:fill="auto"/>
          </w:tcPr>
          <w:p w14:paraId="69292D84" w14:textId="77777777" w:rsidR="00B21098" w:rsidRPr="003C2083" w:rsidRDefault="00B21098" w:rsidP="00B21098">
            <w:pPr>
              <w:rPr>
                <w:rFonts w:ascii="Arial" w:hAnsi="Arial" w:cs="Arial"/>
                <w:sz w:val="22"/>
                <w:szCs w:val="22"/>
              </w:rPr>
            </w:pPr>
            <w:r w:rsidRPr="003C2083">
              <w:rPr>
                <w:rFonts w:ascii="Arial" w:hAnsi="Arial" w:cs="Arial"/>
                <w:sz w:val="22"/>
                <w:szCs w:val="22"/>
              </w:rPr>
              <w:t>74.93</w:t>
            </w:r>
          </w:p>
        </w:tc>
        <w:tc>
          <w:tcPr>
            <w:tcW w:w="1710" w:type="dxa"/>
          </w:tcPr>
          <w:p w14:paraId="6BC40AE6" w14:textId="77777777" w:rsidR="00B21098" w:rsidRPr="003C2083" w:rsidRDefault="00B21098" w:rsidP="00B21098">
            <w:pPr>
              <w:rPr>
                <w:rFonts w:ascii="Arial" w:hAnsi="Arial" w:cs="Arial"/>
                <w:sz w:val="22"/>
                <w:szCs w:val="22"/>
              </w:rPr>
            </w:pPr>
            <w:r w:rsidRPr="003C2083">
              <w:rPr>
                <w:rFonts w:ascii="Arial" w:hAnsi="Arial" w:cs="Arial"/>
                <w:sz w:val="22"/>
                <w:szCs w:val="22"/>
              </w:rPr>
              <w:t>149.86</w:t>
            </w:r>
          </w:p>
        </w:tc>
        <w:tc>
          <w:tcPr>
            <w:tcW w:w="1710" w:type="dxa"/>
          </w:tcPr>
          <w:p w14:paraId="5AE3139D" w14:textId="77777777" w:rsidR="00B21098" w:rsidRPr="003C2083" w:rsidRDefault="00B21098" w:rsidP="00B21098">
            <w:pPr>
              <w:rPr>
                <w:rFonts w:ascii="Arial" w:hAnsi="Arial" w:cs="Arial"/>
                <w:sz w:val="22"/>
                <w:szCs w:val="22"/>
              </w:rPr>
            </w:pPr>
            <w:r w:rsidRPr="003C2083">
              <w:rPr>
                <w:rFonts w:ascii="Arial" w:hAnsi="Arial" w:cs="Arial"/>
                <w:sz w:val="22"/>
                <w:szCs w:val="22"/>
              </w:rPr>
              <w:t>30</w:t>
            </w:r>
          </w:p>
        </w:tc>
      </w:tr>
      <w:tr w:rsidR="003C5DCD" w:rsidRPr="003C2083" w14:paraId="2459B8EF" w14:textId="77777777" w:rsidTr="00496980">
        <w:tc>
          <w:tcPr>
            <w:tcW w:w="2430" w:type="dxa"/>
            <w:shd w:val="clear" w:color="auto" w:fill="auto"/>
          </w:tcPr>
          <w:p w14:paraId="0B5AF509" w14:textId="77777777" w:rsidR="003C5DCD" w:rsidRPr="003C2083" w:rsidRDefault="003C5DCD" w:rsidP="00496980">
            <w:pPr>
              <w:rPr>
                <w:rFonts w:ascii="Arial" w:hAnsi="Arial" w:cs="Arial"/>
                <w:sz w:val="22"/>
                <w:szCs w:val="22"/>
              </w:rPr>
            </w:pPr>
            <w:r w:rsidRPr="003C2083">
              <w:rPr>
                <w:rFonts w:ascii="Arial" w:hAnsi="Arial" w:cs="Arial"/>
                <w:sz w:val="22"/>
                <w:szCs w:val="22"/>
              </w:rPr>
              <w:t>Total</w:t>
            </w:r>
          </w:p>
        </w:tc>
        <w:tc>
          <w:tcPr>
            <w:tcW w:w="1530" w:type="dxa"/>
            <w:shd w:val="clear" w:color="auto" w:fill="auto"/>
          </w:tcPr>
          <w:p w14:paraId="3B7705A7" w14:textId="77777777" w:rsidR="003C5DCD" w:rsidRPr="003C2083" w:rsidRDefault="003C5DCD" w:rsidP="00496980">
            <w:pPr>
              <w:rPr>
                <w:rFonts w:ascii="Arial" w:hAnsi="Arial" w:cs="Arial"/>
                <w:sz w:val="22"/>
                <w:szCs w:val="22"/>
              </w:rPr>
            </w:pPr>
          </w:p>
        </w:tc>
        <w:tc>
          <w:tcPr>
            <w:tcW w:w="1620" w:type="dxa"/>
            <w:shd w:val="clear" w:color="auto" w:fill="auto"/>
          </w:tcPr>
          <w:p w14:paraId="6020B806" w14:textId="77777777" w:rsidR="003C5DCD" w:rsidRPr="003C2083" w:rsidRDefault="00B21098" w:rsidP="00496980">
            <w:pPr>
              <w:rPr>
                <w:rFonts w:ascii="Arial" w:hAnsi="Arial" w:cs="Arial"/>
                <w:sz w:val="22"/>
                <w:szCs w:val="22"/>
              </w:rPr>
            </w:pPr>
            <w:r w:rsidRPr="003C2083">
              <w:rPr>
                <w:rFonts w:ascii="Arial" w:hAnsi="Arial" w:cs="Arial"/>
                <w:sz w:val="22"/>
                <w:szCs w:val="22"/>
              </w:rPr>
              <w:t>172.96</w:t>
            </w:r>
          </w:p>
        </w:tc>
        <w:tc>
          <w:tcPr>
            <w:tcW w:w="1080" w:type="dxa"/>
            <w:shd w:val="clear" w:color="auto" w:fill="auto"/>
          </w:tcPr>
          <w:p w14:paraId="6240AEA5" w14:textId="77777777" w:rsidR="003C5DCD" w:rsidRPr="003C2083" w:rsidRDefault="00B21098" w:rsidP="00496980">
            <w:pPr>
              <w:rPr>
                <w:rFonts w:ascii="Arial" w:hAnsi="Arial" w:cs="Arial"/>
                <w:sz w:val="22"/>
                <w:szCs w:val="22"/>
              </w:rPr>
            </w:pPr>
            <w:r w:rsidRPr="003C2083">
              <w:rPr>
                <w:rFonts w:ascii="Arial" w:hAnsi="Arial" w:cs="Arial"/>
                <w:sz w:val="22"/>
                <w:szCs w:val="22"/>
              </w:rPr>
              <w:t>172.96</w:t>
            </w:r>
          </w:p>
        </w:tc>
        <w:tc>
          <w:tcPr>
            <w:tcW w:w="1710" w:type="dxa"/>
          </w:tcPr>
          <w:p w14:paraId="6678E26E" w14:textId="77777777" w:rsidR="003C5DCD" w:rsidRPr="003C2083" w:rsidRDefault="00B21098" w:rsidP="00496980">
            <w:pPr>
              <w:rPr>
                <w:rFonts w:ascii="Arial" w:hAnsi="Arial" w:cs="Arial"/>
                <w:sz w:val="22"/>
                <w:szCs w:val="22"/>
              </w:rPr>
            </w:pPr>
            <w:r w:rsidRPr="003C2083">
              <w:rPr>
                <w:rFonts w:ascii="Arial" w:hAnsi="Arial" w:cs="Arial"/>
                <w:sz w:val="22"/>
                <w:szCs w:val="22"/>
              </w:rPr>
              <w:t>345.92</w:t>
            </w:r>
          </w:p>
        </w:tc>
        <w:tc>
          <w:tcPr>
            <w:tcW w:w="1710" w:type="dxa"/>
          </w:tcPr>
          <w:p w14:paraId="469384C8" w14:textId="77777777" w:rsidR="003C5DCD" w:rsidRPr="003C2083" w:rsidRDefault="00B21098" w:rsidP="00496980">
            <w:pPr>
              <w:rPr>
                <w:rFonts w:ascii="Arial" w:hAnsi="Arial" w:cs="Arial"/>
                <w:sz w:val="22"/>
                <w:szCs w:val="22"/>
              </w:rPr>
            </w:pPr>
            <w:r w:rsidRPr="003C2083">
              <w:rPr>
                <w:rFonts w:ascii="Arial" w:hAnsi="Arial" w:cs="Arial"/>
                <w:sz w:val="22"/>
                <w:szCs w:val="22"/>
              </w:rPr>
              <w:t>717</w:t>
            </w:r>
          </w:p>
        </w:tc>
      </w:tr>
    </w:tbl>
    <w:p w14:paraId="21187F38" w14:textId="77777777" w:rsidR="00F830A8" w:rsidRPr="003C2083" w:rsidRDefault="00F830A8" w:rsidP="006B60F1">
      <w:pPr>
        <w:rPr>
          <w:rFonts w:ascii="Arial" w:hAnsi="Arial" w:cs="Arial"/>
          <w:sz w:val="22"/>
          <w:szCs w:val="22"/>
        </w:rPr>
      </w:pPr>
    </w:p>
    <w:p w14:paraId="43D54B61" w14:textId="77777777" w:rsidR="00F830A8" w:rsidRPr="003C2083" w:rsidRDefault="003C5DCD" w:rsidP="006B60F1">
      <w:pPr>
        <w:rPr>
          <w:rFonts w:ascii="Arial" w:hAnsi="Arial" w:cs="Arial"/>
          <w:sz w:val="22"/>
          <w:szCs w:val="22"/>
        </w:rPr>
      </w:pPr>
      <w:r w:rsidRPr="003C2083">
        <w:rPr>
          <w:rFonts w:ascii="Arial" w:hAnsi="Arial" w:cs="Arial"/>
          <w:sz w:val="22"/>
          <w:szCs w:val="22"/>
        </w:rPr>
        <w:t xml:space="preserve">The total combined cost for six </w:t>
      </w:r>
      <w:proofErr w:type="spellStart"/>
      <w:r w:rsidRPr="003C2083">
        <w:rPr>
          <w:rFonts w:ascii="Arial" w:hAnsi="Arial" w:cs="Arial"/>
          <w:sz w:val="22"/>
          <w:szCs w:val="22"/>
        </w:rPr>
        <w:t>CCBHCs</w:t>
      </w:r>
      <w:proofErr w:type="spellEnd"/>
      <w:r w:rsidRPr="003C2083">
        <w:rPr>
          <w:rFonts w:ascii="Arial" w:hAnsi="Arial" w:cs="Arial"/>
          <w:sz w:val="22"/>
          <w:szCs w:val="22"/>
        </w:rPr>
        <w:t xml:space="preserve"> and state to complete and review one cost report is $</w:t>
      </w:r>
      <w:r w:rsidR="00B21098" w:rsidRPr="003C2083">
        <w:rPr>
          <w:rFonts w:ascii="Arial" w:hAnsi="Arial" w:cs="Arial"/>
          <w:sz w:val="22"/>
          <w:szCs w:val="22"/>
        </w:rPr>
        <w:t>63,930.12</w:t>
      </w:r>
      <w:r w:rsidRPr="003C2083">
        <w:rPr>
          <w:rFonts w:ascii="Arial" w:hAnsi="Arial" w:cs="Arial"/>
          <w:sz w:val="22"/>
          <w:szCs w:val="22"/>
        </w:rPr>
        <w:t>.</w:t>
      </w:r>
    </w:p>
    <w:p w14:paraId="68B99F61" w14:textId="77777777" w:rsidR="00F830A8" w:rsidRPr="003C2083" w:rsidRDefault="00F830A8" w:rsidP="006B60F1">
      <w:pPr>
        <w:rPr>
          <w:rFonts w:ascii="Arial" w:hAnsi="Arial" w:cs="Arial"/>
          <w:sz w:val="22"/>
          <w:szCs w:val="22"/>
        </w:rPr>
      </w:pPr>
    </w:p>
    <w:p w14:paraId="34242F98" w14:textId="77777777" w:rsidR="006B60F1" w:rsidRPr="003C2083" w:rsidRDefault="00010AFC" w:rsidP="006B60F1">
      <w:pPr>
        <w:rPr>
          <w:rFonts w:ascii="Arial" w:hAnsi="Arial" w:cs="Arial"/>
          <w:b/>
          <w:sz w:val="22"/>
          <w:szCs w:val="22"/>
        </w:rPr>
      </w:pPr>
      <w:r w:rsidRPr="003C2083">
        <w:rPr>
          <w:rFonts w:ascii="Arial" w:hAnsi="Arial" w:cs="Arial"/>
          <w:b/>
          <w:sz w:val="22"/>
          <w:szCs w:val="22"/>
        </w:rPr>
        <w:t xml:space="preserve">FIGURE 4: NATIONAL COUNCIL’S </w:t>
      </w:r>
      <w:r w:rsidR="006B60F1" w:rsidRPr="003C2083">
        <w:rPr>
          <w:rFonts w:ascii="Arial" w:hAnsi="Arial" w:cs="Arial"/>
          <w:b/>
          <w:sz w:val="22"/>
          <w:szCs w:val="22"/>
        </w:rPr>
        <w:t>PPS 2 DESK AUDIT</w:t>
      </w:r>
      <w:r w:rsidR="00F830A8" w:rsidRPr="003C2083">
        <w:rPr>
          <w:rFonts w:ascii="Arial" w:hAnsi="Arial" w:cs="Arial"/>
          <w:b/>
          <w:sz w:val="22"/>
          <w:szCs w:val="22"/>
        </w:rPr>
        <w:t xml:space="preserve"> ESTIMATE</w:t>
      </w:r>
    </w:p>
    <w:p w14:paraId="6B42AE83" w14:textId="77777777" w:rsidR="00BA2607" w:rsidRPr="003C2083" w:rsidRDefault="00BA2607" w:rsidP="00BA2607">
      <w:pPr>
        <w:rPr>
          <w:rFonts w:ascii="Arial" w:hAnsi="Arial" w:cs="Arial"/>
          <w:sz w:val="22"/>
          <w:szCs w:val="22"/>
        </w:rPr>
      </w:pPr>
      <w:r w:rsidRPr="003C2083">
        <w:rPr>
          <w:rFonts w:ascii="Arial" w:hAnsi="Arial" w:cs="Arial"/>
          <w:sz w:val="22"/>
          <w:szCs w:val="22"/>
        </w:rPr>
        <w:t xml:space="preserve">This chart looks at the amount of time it would take two </w:t>
      </w:r>
      <w:proofErr w:type="spellStart"/>
      <w:r w:rsidRPr="003C2083">
        <w:rPr>
          <w:rFonts w:ascii="Arial" w:hAnsi="Arial" w:cs="Arial"/>
          <w:sz w:val="22"/>
          <w:szCs w:val="22"/>
        </w:rPr>
        <w:t>CCBHCs</w:t>
      </w:r>
      <w:proofErr w:type="spellEnd"/>
      <w:r w:rsidRPr="003C2083">
        <w:rPr>
          <w:rFonts w:ascii="Arial" w:hAnsi="Arial" w:cs="Arial"/>
          <w:sz w:val="22"/>
          <w:szCs w:val="22"/>
        </w:rPr>
        <w:t xml:space="preserve"> to complete and review the cost report if working with a PPS-2 model. We estimate that it will take three times as long as CMS’ estimates in Figure 1. In addition, we factored in the time it would take Chief Executives to review the cost report. </w:t>
      </w:r>
    </w:p>
    <w:p w14:paraId="782DBEB0" w14:textId="77777777" w:rsidR="00BA2607" w:rsidRPr="003C2083" w:rsidRDefault="00BA2607" w:rsidP="006B60F1">
      <w:pPr>
        <w:rPr>
          <w:rFonts w:ascii="Arial" w:hAnsi="Arial" w:cs="Arial"/>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530"/>
        <w:gridCol w:w="1620"/>
        <w:gridCol w:w="1080"/>
        <w:gridCol w:w="1710"/>
        <w:gridCol w:w="1710"/>
      </w:tblGrid>
      <w:tr w:rsidR="006B60F1" w:rsidRPr="003C2083" w14:paraId="52AD7FB9" w14:textId="77777777" w:rsidTr="005D4D93">
        <w:trPr>
          <w:trHeight w:val="800"/>
          <w:tblHeader/>
        </w:trPr>
        <w:tc>
          <w:tcPr>
            <w:tcW w:w="2430" w:type="dxa"/>
            <w:shd w:val="clear" w:color="auto" w:fill="auto"/>
          </w:tcPr>
          <w:p w14:paraId="0DF963BF" w14:textId="77777777" w:rsidR="006B60F1" w:rsidRPr="003C2083" w:rsidRDefault="006B60F1" w:rsidP="005D4D93">
            <w:pPr>
              <w:rPr>
                <w:rFonts w:ascii="Arial" w:hAnsi="Arial" w:cs="Arial"/>
                <w:b/>
                <w:sz w:val="22"/>
                <w:szCs w:val="22"/>
              </w:rPr>
            </w:pPr>
            <w:r w:rsidRPr="003C2083">
              <w:rPr>
                <w:rFonts w:ascii="Arial" w:hAnsi="Arial" w:cs="Arial"/>
                <w:b/>
                <w:sz w:val="22"/>
                <w:szCs w:val="22"/>
              </w:rPr>
              <w:t>Occupation Title</w:t>
            </w:r>
          </w:p>
        </w:tc>
        <w:tc>
          <w:tcPr>
            <w:tcW w:w="1530" w:type="dxa"/>
            <w:shd w:val="clear" w:color="auto" w:fill="auto"/>
          </w:tcPr>
          <w:p w14:paraId="337448F7" w14:textId="77777777" w:rsidR="006B60F1" w:rsidRPr="003C2083" w:rsidRDefault="006B60F1" w:rsidP="005D4D93">
            <w:pPr>
              <w:rPr>
                <w:rFonts w:ascii="Arial" w:hAnsi="Arial" w:cs="Arial"/>
                <w:b/>
                <w:sz w:val="22"/>
                <w:szCs w:val="22"/>
              </w:rPr>
            </w:pPr>
            <w:r w:rsidRPr="003C2083">
              <w:rPr>
                <w:rFonts w:ascii="Arial" w:hAnsi="Arial" w:cs="Arial"/>
                <w:b/>
                <w:sz w:val="22"/>
                <w:szCs w:val="22"/>
              </w:rPr>
              <w:t>Occupation Code</w:t>
            </w:r>
          </w:p>
        </w:tc>
        <w:tc>
          <w:tcPr>
            <w:tcW w:w="1620" w:type="dxa"/>
            <w:shd w:val="clear" w:color="auto" w:fill="auto"/>
          </w:tcPr>
          <w:p w14:paraId="0F1FF683" w14:textId="77777777" w:rsidR="006B60F1" w:rsidRPr="003C2083" w:rsidRDefault="006B60F1" w:rsidP="005D4D93">
            <w:pPr>
              <w:rPr>
                <w:rFonts w:ascii="Arial" w:hAnsi="Arial" w:cs="Arial"/>
                <w:b/>
                <w:sz w:val="22"/>
                <w:szCs w:val="22"/>
              </w:rPr>
            </w:pPr>
            <w:r w:rsidRPr="003C2083">
              <w:rPr>
                <w:rFonts w:ascii="Arial" w:hAnsi="Arial" w:cs="Arial"/>
                <w:b/>
                <w:sz w:val="22"/>
                <w:szCs w:val="22"/>
              </w:rPr>
              <w:t>Mean Hourly Wage</w:t>
            </w:r>
          </w:p>
        </w:tc>
        <w:tc>
          <w:tcPr>
            <w:tcW w:w="1080" w:type="dxa"/>
            <w:shd w:val="clear" w:color="auto" w:fill="auto"/>
          </w:tcPr>
          <w:p w14:paraId="5840BDB4" w14:textId="77777777" w:rsidR="006B60F1" w:rsidRPr="003C2083" w:rsidRDefault="006B60F1" w:rsidP="005D4D93">
            <w:pPr>
              <w:rPr>
                <w:rFonts w:ascii="Arial" w:hAnsi="Arial" w:cs="Arial"/>
                <w:b/>
                <w:sz w:val="22"/>
                <w:szCs w:val="22"/>
              </w:rPr>
            </w:pPr>
            <w:r w:rsidRPr="003C2083">
              <w:rPr>
                <w:rFonts w:ascii="Arial" w:hAnsi="Arial" w:cs="Arial"/>
                <w:b/>
                <w:sz w:val="22"/>
                <w:szCs w:val="22"/>
              </w:rPr>
              <w:t>Fringe Benefit</w:t>
            </w:r>
          </w:p>
        </w:tc>
        <w:tc>
          <w:tcPr>
            <w:tcW w:w="1710" w:type="dxa"/>
          </w:tcPr>
          <w:p w14:paraId="46BA927C" w14:textId="77777777" w:rsidR="006B60F1" w:rsidRPr="003C2083" w:rsidRDefault="006B60F1" w:rsidP="005D4D93">
            <w:pPr>
              <w:rPr>
                <w:rFonts w:ascii="Arial" w:hAnsi="Arial" w:cs="Arial"/>
                <w:b/>
                <w:sz w:val="22"/>
                <w:szCs w:val="22"/>
              </w:rPr>
            </w:pPr>
            <w:r w:rsidRPr="003C2083">
              <w:rPr>
                <w:rFonts w:ascii="Arial" w:hAnsi="Arial" w:cs="Arial"/>
                <w:b/>
                <w:sz w:val="22"/>
                <w:szCs w:val="22"/>
              </w:rPr>
              <w:t>Adjusted Hourly Wage</w:t>
            </w:r>
          </w:p>
        </w:tc>
        <w:tc>
          <w:tcPr>
            <w:tcW w:w="1710" w:type="dxa"/>
          </w:tcPr>
          <w:p w14:paraId="7E926EB1" w14:textId="77777777" w:rsidR="006B60F1" w:rsidRPr="003C2083" w:rsidRDefault="006B60F1" w:rsidP="005D4D93">
            <w:pPr>
              <w:rPr>
                <w:rFonts w:ascii="Arial" w:hAnsi="Arial" w:cs="Arial"/>
                <w:b/>
                <w:sz w:val="22"/>
                <w:szCs w:val="22"/>
              </w:rPr>
            </w:pPr>
            <w:r w:rsidRPr="003C2083">
              <w:rPr>
                <w:rFonts w:ascii="Arial" w:hAnsi="Arial" w:cs="Arial"/>
                <w:b/>
                <w:sz w:val="22"/>
                <w:szCs w:val="22"/>
              </w:rPr>
              <w:t>Hours per request</w:t>
            </w:r>
          </w:p>
        </w:tc>
      </w:tr>
      <w:tr w:rsidR="006B60F1" w:rsidRPr="003C2083" w14:paraId="26E59EDD" w14:textId="77777777" w:rsidTr="005D4D93">
        <w:tc>
          <w:tcPr>
            <w:tcW w:w="2430" w:type="dxa"/>
            <w:shd w:val="clear" w:color="auto" w:fill="auto"/>
          </w:tcPr>
          <w:p w14:paraId="6509CD1F" w14:textId="77777777" w:rsidR="006B60F1" w:rsidRPr="003C2083" w:rsidRDefault="006B60F1" w:rsidP="005D4D93">
            <w:pPr>
              <w:rPr>
                <w:rFonts w:ascii="Arial" w:hAnsi="Arial" w:cs="Arial"/>
                <w:sz w:val="22"/>
                <w:szCs w:val="22"/>
              </w:rPr>
            </w:pPr>
            <w:r w:rsidRPr="003C2083">
              <w:rPr>
                <w:rFonts w:ascii="Arial" w:hAnsi="Arial" w:cs="Arial"/>
                <w:sz w:val="22"/>
                <w:szCs w:val="22"/>
              </w:rPr>
              <w:t>Staff Accountant</w:t>
            </w:r>
          </w:p>
        </w:tc>
        <w:tc>
          <w:tcPr>
            <w:tcW w:w="1530" w:type="dxa"/>
            <w:shd w:val="clear" w:color="auto" w:fill="auto"/>
          </w:tcPr>
          <w:p w14:paraId="440F1433" w14:textId="77777777" w:rsidR="006B60F1" w:rsidRPr="003C2083" w:rsidRDefault="006B60F1" w:rsidP="005D4D93">
            <w:pPr>
              <w:rPr>
                <w:rFonts w:ascii="Arial" w:hAnsi="Arial" w:cs="Arial"/>
                <w:sz w:val="22"/>
                <w:szCs w:val="22"/>
              </w:rPr>
            </w:pPr>
            <w:r w:rsidRPr="003C2083">
              <w:rPr>
                <w:rFonts w:ascii="Arial" w:hAnsi="Arial" w:cs="Arial"/>
                <w:sz w:val="22"/>
                <w:szCs w:val="22"/>
              </w:rPr>
              <w:t>13-2011</w:t>
            </w:r>
          </w:p>
        </w:tc>
        <w:tc>
          <w:tcPr>
            <w:tcW w:w="1620" w:type="dxa"/>
            <w:shd w:val="clear" w:color="auto" w:fill="auto"/>
          </w:tcPr>
          <w:p w14:paraId="1186BEA0" w14:textId="77777777" w:rsidR="006B60F1" w:rsidRPr="003C2083" w:rsidRDefault="006B60F1" w:rsidP="005D4D93">
            <w:pPr>
              <w:rPr>
                <w:rFonts w:ascii="Arial" w:hAnsi="Arial" w:cs="Arial"/>
                <w:sz w:val="22"/>
                <w:szCs w:val="22"/>
              </w:rPr>
            </w:pPr>
            <w:r w:rsidRPr="003C2083">
              <w:rPr>
                <w:rFonts w:ascii="Arial" w:hAnsi="Arial" w:cs="Arial"/>
                <w:sz w:val="22"/>
                <w:szCs w:val="22"/>
              </w:rPr>
              <w:t>35.42</w:t>
            </w:r>
          </w:p>
        </w:tc>
        <w:tc>
          <w:tcPr>
            <w:tcW w:w="1080" w:type="dxa"/>
            <w:shd w:val="clear" w:color="auto" w:fill="auto"/>
          </w:tcPr>
          <w:p w14:paraId="794BA849" w14:textId="77777777" w:rsidR="006B60F1" w:rsidRPr="003C2083" w:rsidRDefault="006B60F1" w:rsidP="005D4D93">
            <w:pPr>
              <w:rPr>
                <w:rFonts w:ascii="Arial" w:hAnsi="Arial" w:cs="Arial"/>
                <w:sz w:val="22"/>
                <w:szCs w:val="22"/>
              </w:rPr>
            </w:pPr>
            <w:r w:rsidRPr="003C2083">
              <w:rPr>
                <w:rFonts w:ascii="Arial" w:hAnsi="Arial" w:cs="Arial"/>
                <w:sz w:val="22"/>
                <w:szCs w:val="22"/>
              </w:rPr>
              <w:t>35.42</w:t>
            </w:r>
          </w:p>
        </w:tc>
        <w:tc>
          <w:tcPr>
            <w:tcW w:w="1710" w:type="dxa"/>
          </w:tcPr>
          <w:p w14:paraId="6683E025" w14:textId="77777777" w:rsidR="006B60F1" w:rsidRPr="003C2083" w:rsidRDefault="006B60F1" w:rsidP="005D4D93">
            <w:pPr>
              <w:rPr>
                <w:rFonts w:ascii="Arial" w:hAnsi="Arial" w:cs="Arial"/>
                <w:sz w:val="22"/>
                <w:szCs w:val="22"/>
              </w:rPr>
            </w:pPr>
            <w:r w:rsidRPr="003C2083">
              <w:rPr>
                <w:rFonts w:ascii="Arial" w:hAnsi="Arial" w:cs="Arial"/>
                <w:sz w:val="22"/>
                <w:szCs w:val="22"/>
              </w:rPr>
              <w:t>70.84</w:t>
            </w:r>
          </w:p>
        </w:tc>
        <w:tc>
          <w:tcPr>
            <w:tcW w:w="1710" w:type="dxa"/>
          </w:tcPr>
          <w:p w14:paraId="6C3ACD5F" w14:textId="77777777" w:rsidR="006B60F1" w:rsidRPr="003C2083" w:rsidRDefault="006B60F1" w:rsidP="005D4D93">
            <w:pPr>
              <w:rPr>
                <w:rFonts w:ascii="Arial" w:hAnsi="Arial" w:cs="Arial"/>
                <w:sz w:val="22"/>
                <w:szCs w:val="22"/>
              </w:rPr>
            </w:pPr>
            <w:r w:rsidRPr="003C2083">
              <w:rPr>
                <w:rFonts w:ascii="Arial" w:hAnsi="Arial" w:cs="Arial"/>
                <w:sz w:val="22"/>
                <w:szCs w:val="22"/>
              </w:rPr>
              <w:t>244.5</w:t>
            </w:r>
          </w:p>
        </w:tc>
      </w:tr>
      <w:tr w:rsidR="006B60F1" w:rsidRPr="003C2083" w14:paraId="20D8092F" w14:textId="77777777" w:rsidTr="005D4D93">
        <w:tc>
          <w:tcPr>
            <w:tcW w:w="2430" w:type="dxa"/>
            <w:shd w:val="clear" w:color="auto" w:fill="auto"/>
          </w:tcPr>
          <w:p w14:paraId="520C46BF" w14:textId="77777777" w:rsidR="006B60F1" w:rsidRPr="003C2083" w:rsidRDefault="006B60F1" w:rsidP="005D4D93">
            <w:pPr>
              <w:rPr>
                <w:rFonts w:ascii="Arial" w:hAnsi="Arial" w:cs="Arial"/>
                <w:sz w:val="22"/>
                <w:szCs w:val="22"/>
              </w:rPr>
            </w:pPr>
            <w:r w:rsidRPr="003C2083">
              <w:rPr>
                <w:rFonts w:ascii="Arial" w:hAnsi="Arial" w:cs="Arial"/>
                <w:sz w:val="22"/>
                <w:szCs w:val="22"/>
              </w:rPr>
              <w:t>Finance Manager</w:t>
            </w:r>
          </w:p>
        </w:tc>
        <w:tc>
          <w:tcPr>
            <w:tcW w:w="1530" w:type="dxa"/>
            <w:shd w:val="clear" w:color="auto" w:fill="auto"/>
          </w:tcPr>
          <w:p w14:paraId="3C02EBA6" w14:textId="77777777" w:rsidR="006B60F1" w:rsidRPr="003C2083" w:rsidRDefault="006B60F1" w:rsidP="005D4D93">
            <w:pPr>
              <w:rPr>
                <w:rFonts w:ascii="Arial" w:hAnsi="Arial" w:cs="Arial"/>
                <w:sz w:val="22"/>
                <w:szCs w:val="22"/>
              </w:rPr>
            </w:pPr>
            <w:r w:rsidRPr="003C2083">
              <w:rPr>
                <w:rFonts w:ascii="Arial" w:hAnsi="Arial" w:cs="Arial"/>
                <w:sz w:val="22"/>
                <w:szCs w:val="22"/>
              </w:rPr>
              <w:t>11-3031</w:t>
            </w:r>
          </w:p>
        </w:tc>
        <w:tc>
          <w:tcPr>
            <w:tcW w:w="1620" w:type="dxa"/>
            <w:shd w:val="clear" w:color="auto" w:fill="auto"/>
          </w:tcPr>
          <w:p w14:paraId="5717061C" w14:textId="77777777" w:rsidR="006B60F1" w:rsidRPr="003C2083" w:rsidRDefault="006B60F1" w:rsidP="005D4D93">
            <w:pPr>
              <w:rPr>
                <w:rFonts w:ascii="Arial" w:hAnsi="Arial" w:cs="Arial"/>
                <w:sz w:val="22"/>
                <w:szCs w:val="22"/>
              </w:rPr>
            </w:pPr>
            <w:r w:rsidRPr="003C2083">
              <w:rPr>
                <w:rFonts w:ascii="Arial" w:hAnsi="Arial" w:cs="Arial"/>
                <w:sz w:val="22"/>
                <w:szCs w:val="22"/>
              </w:rPr>
              <w:t>62.61</w:t>
            </w:r>
          </w:p>
        </w:tc>
        <w:tc>
          <w:tcPr>
            <w:tcW w:w="1080" w:type="dxa"/>
            <w:shd w:val="clear" w:color="auto" w:fill="auto"/>
          </w:tcPr>
          <w:p w14:paraId="295252F7" w14:textId="77777777" w:rsidR="006B60F1" w:rsidRPr="003C2083" w:rsidRDefault="006B60F1" w:rsidP="005D4D93">
            <w:pPr>
              <w:rPr>
                <w:rFonts w:ascii="Arial" w:hAnsi="Arial" w:cs="Arial"/>
                <w:sz w:val="22"/>
                <w:szCs w:val="22"/>
              </w:rPr>
            </w:pPr>
            <w:r w:rsidRPr="003C2083">
              <w:rPr>
                <w:rFonts w:ascii="Arial" w:hAnsi="Arial" w:cs="Arial"/>
                <w:sz w:val="22"/>
                <w:szCs w:val="22"/>
              </w:rPr>
              <w:t>62.61</w:t>
            </w:r>
          </w:p>
        </w:tc>
        <w:tc>
          <w:tcPr>
            <w:tcW w:w="1710" w:type="dxa"/>
          </w:tcPr>
          <w:p w14:paraId="56458BB2" w14:textId="77777777" w:rsidR="006B60F1" w:rsidRPr="003C2083" w:rsidRDefault="006B60F1" w:rsidP="005D4D93">
            <w:pPr>
              <w:rPr>
                <w:rFonts w:ascii="Arial" w:hAnsi="Arial" w:cs="Arial"/>
                <w:sz w:val="22"/>
                <w:szCs w:val="22"/>
              </w:rPr>
            </w:pPr>
            <w:r w:rsidRPr="003C2083">
              <w:rPr>
                <w:rFonts w:ascii="Arial" w:hAnsi="Arial" w:cs="Arial"/>
                <w:sz w:val="22"/>
                <w:szCs w:val="22"/>
              </w:rPr>
              <w:t>125.22</w:t>
            </w:r>
          </w:p>
        </w:tc>
        <w:tc>
          <w:tcPr>
            <w:tcW w:w="1710" w:type="dxa"/>
          </w:tcPr>
          <w:p w14:paraId="450D0DD2" w14:textId="77777777" w:rsidR="006B60F1" w:rsidRPr="003C2083" w:rsidRDefault="006B60F1" w:rsidP="005D4D93">
            <w:pPr>
              <w:rPr>
                <w:rFonts w:ascii="Arial" w:hAnsi="Arial" w:cs="Arial"/>
                <w:sz w:val="22"/>
                <w:szCs w:val="22"/>
              </w:rPr>
            </w:pPr>
            <w:r w:rsidRPr="003C2083">
              <w:rPr>
                <w:rFonts w:ascii="Arial" w:hAnsi="Arial" w:cs="Arial"/>
                <w:sz w:val="22"/>
                <w:szCs w:val="22"/>
              </w:rPr>
              <w:t>99</w:t>
            </w:r>
          </w:p>
        </w:tc>
      </w:tr>
      <w:tr w:rsidR="00B21098" w:rsidRPr="003C2083" w14:paraId="7100B61C" w14:textId="77777777" w:rsidTr="005D4D93">
        <w:tc>
          <w:tcPr>
            <w:tcW w:w="2430" w:type="dxa"/>
            <w:shd w:val="clear" w:color="auto" w:fill="auto"/>
          </w:tcPr>
          <w:p w14:paraId="1AE50606" w14:textId="77777777" w:rsidR="00B21098" w:rsidRPr="003C2083" w:rsidRDefault="00B21098" w:rsidP="00B21098">
            <w:pPr>
              <w:rPr>
                <w:rFonts w:ascii="Arial" w:hAnsi="Arial" w:cs="Arial"/>
                <w:sz w:val="22"/>
                <w:szCs w:val="22"/>
              </w:rPr>
            </w:pPr>
            <w:r w:rsidRPr="003C2083">
              <w:rPr>
                <w:rFonts w:ascii="Arial" w:hAnsi="Arial" w:cs="Arial"/>
                <w:sz w:val="22"/>
                <w:szCs w:val="22"/>
              </w:rPr>
              <w:t>Chief Executives</w:t>
            </w:r>
          </w:p>
        </w:tc>
        <w:tc>
          <w:tcPr>
            <w:tcW w:w="1530" w:type="dxa"/>
            <w:shd w:val="clear" w:color="auto" w:fill="auto"/>
          </w:tcPr>
          <w:p w14:paraId="5F24E5A0" w14:textId="77777777" w:rsidR="00B21098" w:rsidRPr="003C2083" w:rsidRDefault="00B21098" w:rsidP="00B21098">
            <w:pPr>
              <w:rPr>
                <w:rFonts w:ascii="Arial" w:hAnsi="Arial" w:cs="Arial"/>
                <w:sz w:val="22"/>
                <w:szCs w:val="22"/>
              </w:rPr>
            </w:pPr>
            <w:r w:rsidRPr="003C2083">
              <w:rPr>
                <w:rFonts w:ascii="Arial" w:hAnsi="Arial" w:cs="Arial"/>
                <w:sz w:val="22"/>
                <w:szCs w:val="22"/>
              </w:rPr>
              <w:t>11-1011</w:t>
            </w:r>
          </w:p>
        </w:tc>
        <w:tc>
          <w:tcPr>
            <w:tcW w:w="1620" w:type="dxa"/>
            <w:shd w:val="clear" w:color="auto" w:fill="auto"/>
          </w:tcPr>
          <w:p w14:paraId="258A15FA" w14:textId="77777777" w:rsidR="00B21098" w:rsidRPr="003C2083" w:rsidRDefault="00B21098" w:rsidP="00B21098">
            <w:pPr>
              <w:rPr>
                <w:rFonts w:ascii="Arial" w:hAnsi="Arial" w:cs="Arial"/>
                <w:sz w:val="22"/>
                <w:szCs w:val="22"/>
              </w:rPr>
            </w:pPr>
            <w:r w:rsidRPr="003C2083">
              <w:rPr>
                <w:rFonts w:ascii="Arial" w:hAnsi="Arial" w:cs="Arial"/>
                <w:sz w:val="22"/>
                <w:szCs w:val="22"/>
              </w:rPr>
              <w:t>74.93</w:t>
            </w:r>
          </w:p>
        </w:tc>
        <w:tc>
          <w:tcPr>
            <w:tcW w:w="1080" w:type="dxa"/>
            <w:shd w:val="clear" w:color="auto" w:fill="auto"/>
          </w:tcPr>
          <w:p w14:paraId="3D79CC0C" w14:textId="77777777" w:rsidR="00B21098" w:rsidRPr="003C2083" w:rsidRDefault="00B21098" w:rsidP="00B21098">
            <w:pPr>
              <w:rPr>
                <w:rFonts w:ascii="Arial" w:hAnsi="Arial" w:cs="Arial"/>
                <w:sz w:val="22"/>
                <w:szCs w:val="22"/>
              </w:rPr>
            </w:pPr>
            <w:r w:rsidRPr="003C2083">
              <w:rPr>
                <w:rFonts w:ascii="Arial" w:hAnsi="Arial" w:cs="Arial"/>
                <w:sz w:val="22"/>
                <w:szCs w:val="22"/>
              </w:rPr>
              <w:t>74.93</w:t>
            </w:r>
          </w:p>
        </w:tc>
        <w:tc>
          <w:tcPr>
            <w:tcW w:w="1710" w:type="dxa"/>
          </w:tcPr>
          <w:p w14:paraId="0495B2FE" w14:textId="77777777" w:rsidR="00B21098" w:rsidRPr="003C2083" w:rsidRDefault="00B21098" w:rsidP="00B21098">
            <w:pPr>
              <w:rPr>
                <w:rFonts w:ascii="Arial" w:hAnsi="Arial" w:cs="Arial"/>
                <w:sz w:val="22"/>
                <w:szCs w:val="22"/>
              </w:rPr>
            </w:pPr>
            <w:r w:rsidRPr="003C2083">
              <w:rPr>
                <w:rFonts w:ascii="Arial" w:hAnsi="Arial" w:cs="Arial"/>
                <w:sz w:val="22"/>
                <w:szCs w:val="22"/>
              </w:rPr>
              <w:t>149.86</w:t>
            </w:r>
          </w:p>
        </w:tc>
        <w:tc>
          <w:tcPr>
            <w:tcW w:w="1710" w:type="dxa"/>
          </w:tcPr>
          <w:p w14:paraId="7E006A73" w14:textId="77777777" w:rsidR="00B21098" w:rsidRPr="003C2083" w:rsidRDefault="00B21098" w:rsidP="00B21098">
            <w:pPr>
              <w:rPr>
                <w:rFonts w:ascii="Arial" w:hAnsi="Arial" w:cs="Arial"/>
                <w:sz w:val="22"/>
                <w:szCs w:val="22"/>
              </w:rPr>
            </w:pPr>
            <w:r w:rsidRPr="003C2083">
              <w:rPr>
                <w:rFonts w:ascii="Arial" w:hAnsi="Arial" w:cs="Arial"/>
                <w:sz w:val="22"/>
                <w:szCs w:val="22"/>
              </w:rPr>
              <w:t>15</w:t>
            </w:r>
          </w:p>
        </w:tc>
      </w:tr>
      <w:tr w:rsidR="006B60F1" w:rsidRPr="003C2083" w14:paraId="6D88782C" w14:textId="77777777" w:rsidTr="005D4D93">
        <w:tc>
          <w:tcPr>
            <w:tcW w:w="2430" w:type="dxa"/>
            <w:shd w:val="clear" w:color="auto" w:fill="auto"/>
          </w:tcPr>
          <w:p w14:paraId="43574596" w14:textId="77777777" w:rsidR="006B60F1" w:rsidRPr="003C2083" w:rsidRDefault="006B60F1" w:rsidP="005D4D93">
            <w:pPr>
              <w:rPr>
                <w:rFonts w:ascii="Arial" w:hAnsi="Arial" w:cs="Arial"/>
                <w:sz w:val="22"/>
                <w:szCs w:val="22"/>
              </w:rPr>
            </w:pPr>
            <w:r w:rsidRPr="003C2083">
              <w:rPr>
                <w:rFonts w:ascii="Arial" w:hAnsi="Arial" w:cs="Arial"/>
                <w:sz w:val="22"/>
                <w:szCs w:val="22"/>
              </w:rPr>
              <w:t>Total</w:t>
            </w:r>
          </w:p>
        </w:tc>
        <w:tc>
          <w:tcPr>
            <w:tcW w:w="1530" w:type="dxa"/>
            <w:shd w:val="clear" w:color="auto" w:fill="auto"/>
          </w:tcPr>
          <w:p w14:paraId="06155740" w14:textId="77777777" w:rsidR="006B60F1" w:rsidRPr="003C2083" w:rsidRDefault="006B60F1" w:rsidP="005D4D93">
            <w:pPr>
              <w:rPr>
                <w:rFonts w:ascii="Arial" w:hAnsi="Arial" w:cs="Arial"/>
                <w:sz w:val="22"/>
                <w:szCs w:val="22"/>
              </w:rPr>
            </w:pPr>
          </w:p>
        </w:tc>
        <w:tc>
          <w:tcPr>
            <w:tcW w:w="1620" w:type="dxa"/>
            <w:shd w:val="clear" w:color="auto" w:fill="auto"/>
          </w:tcPr>
          <w:p w14:paraId="7BC0D7DC" w14:textId="77777777" w:rsidR="006B60F1" w:rsidRPr="003C2083" w:rsidRDefault="00B21098" w:rsidP="005D4D93">
            <w:pPr>
              <w:rPr>
                <w:rFonts w:ascii="Arial" w:hAnsi="Arial" w:cs="Arial"/>
                <w:sz w:val="22"/>
                <w:szCs w:val="22"/>
              </w:rPr>
            </w:pPr>
            <w:r w:rsidRPr="003C2083">
              <w:rPr>
                <w:rFonts w:ascii="Arial" w:hAnsi="Arial" w:cs="Arial"/>
                <w:sz w:val="22"/>
                <w:szCs w:val="22"/>
              </w:rPr>
              <w:t>195.75</w:t>
            </w:r>
          </w:p>
        </w:tc>
        <w:tc>
          <w:tcPr>
            <w:tcW w:w="1080" w:type="dxa"/>
            <w:shd w:val="clear" w:color="auto" w:fill="auto"/>
          </w:tcPr>
          <w:p w14:paraId="30261A2B" w14:textId="77777777" w:rsidR="006B60F1" w:rsidRPr="003C2083" w:rsidRDefault="00B21098" w:rsidP="005D4D93">
            <w:pPr>
              <w:rPr>
                <w:rFonts w:ascii="Arial" w:hAnsi="Arial" w:cs="Arial"/>
                <w:sz w:val="22"/>
                <w:szCs w:val="22"/>
              </w:rPr>
            </w:pPr>
            <w:r w:rsidRPr="003C2083">
              <w:rPr>
                <w:rFonts w:ascii="Arial" w:hAnsi="Arial" w:cs="Arial"/>
                <w:sz w:val="22"/>
                <w:szCs w:val="22"/>
              </w:rPr>
              <w:t>195.75</w:t>
            </w:r>
          </w:p>
        </w:tc>
        <w:tc>
          <w:tcPr>
            <w:tcW w:w="1710" w:type="dxa"/>
          </w:tcPr>
          <w:p w14:paraId="40C6B837" w14:textId="77777777" w:rsidR="006B60F1" w:rsidRPr="003C2083" w:rsidRDefault="00B21098" w:rsidP="005D4D93">
            <w:pPr>
              <w:rPr>
                <w:rFonts w:ascii="Arial" w:hAnsi="Arial" w:cs="Arial"/>
                <w:sz w:val="22"/>
                <w:szCs w:val="22"/>
              </w:rPr>
            </w:pPr>
            <w:r w:rsidRPr="003C2083">
              <w:rPr>
                <w:rFonts w:ascii="Arial" w:hAnsi="Arial" w:cs="Arial"/>
                <w:sz w:val="22"/>
                <w:szCs w:val="22"/>
              </w:rPr>
              <w:t>345.92</w:t>
            </w:r>
          </w:p>
        </w:tc>
        <w:tc>
          <w:tcPr>
            <w:tcW w:w="1710" w:type="dxa"/>
          </w:tcPr>
          <w:p w14:paraId="2295F298" w14:textId="77777777" w:rsidR="006B60F1" w:rsidRPr="003C2083" w:rsidRDefault="006B60F1" w:rsidP="00B21098">
            <w:pPr>
              <w:rPr>
                <w:rFonts w:ascii="Arial" w:hAnsi="Arial" w:cs="Arial"/>
                <w:sz w:val="22"/>
                <w:szCs w:val="22"/>
              </w:rPr>
            </w:pPr>
            <w:r w:rsidRPr="003C2083">
              <w:rPr>
                <w:rFonts w:ascii="Arial" w:hAnsi="Arial" w:cs="Arial"/>
                <w:sz w:val="22"/>
                <w:szCs w:val="22"/>
              </w:rPr>
              <w:t>3</w:t>
            </w:r>
            <w:r w:rsidR="00B21098" w:rsidRPr="003C2083">
              <w:rPr>
                <w:rFonts w:ascii="Arial" w:hAnsi="Arial" w:cs="Arial"/>
                <w:sz w:val="22"/>
                <w:szCs w:val="22"/>
              </w:rPr>
              <w:t>58</w:t>
            </w:r>
            <w:r w:rsidRPr="003C2083">
              <w:rPr>
                <w:rFonts w:ascii="Arial" w:hAnsi="Arial" w:cs="Arial"/>
                <w:sz w:val="22"/>
                <w:szCs w:val="22"/>
              </w:rPr>
              <w:t>.5</w:t>
            </w:r>
          </w:p>
        </w:tc>
      </w:tr>
    </w:tbl>
    <w:p w14:paraId="277730B7" w14:textId="77777777" w:rsidR="006B60F1" w:rsidRPr="003C2083" w:rsidRDefault="006B60F1" w:rsidP="006B60F1">
      <w:pPr>
        <w:rPr>
          <w:rFonts w:ascii="Arial" w:hAnsi="Arial" w:cs="Arial"/>
          <w:sz w:val="22"/>
          <w:szCs w:val="22"/>
        </w:rPr>
      </w:pPr>
    </w:p>
    <w:p w14:paraId="2294925B" w14:textId="77777777" w:rsidR="00686DF6" w:rsidRPr="003C2083" w:rsidRDefault="006B60F1" w:rsidP="006B60F1">
      <w:pPr>
        <w:rPr>
          <w:rFonts w:ascii="Arial" w:hAnsi="Arial" w:cs="Arial"/>
          <w:sz w:val="22"/>
          <w:szCs w:val="22"/>
        </w:rPr>
      </w:pPr>
      <w:r w:rsidRPr="003C2083">
        <w:rPr>
          <w:rFonts w:ascii="Arial" w:hAnsi="Arial" w:cs="Arial"/>
          <w:sz w:val="22"/>
          <w:szCs w:val="22"/>
        </w:rPr>
        <w:t xml:space="preserve">The total combined cost for a </w:t>
      </w:r>
      <w:proofErr w:type="spellStart"/>
      <w:r w:rsidRPr="003C2083">
        <w:rPr>
          <w:rFonts w:ascii="Arial" w:hAnsi="Arial" w:cs="Arial"/>
          <w:sz w:val="22"/>
          <w:szCs w:val="22"/>
        </w:rPr>
        <w:t>CCBHC</w:t>
      </w:r>
      <w:proofErr w:type="spellEnd"/>
      <w:r w:rsidRPr="003C2083">
        <w:rPr>
          <w:rFonts w:ascii="Arial" w:hAnsi="Arial" w:cs="Arial"/>
          <w:sz w:val="22"/>
          <w:szCs w:val="22"/>
        </w:rPr>
        <w:t xml:space="preserve"> and states to complete and review one cost report is </w:t>
      </w:r>
      <w:r w:rsidR="00F830A8" w:rsidRPr="003C2083">
        <w:rPr>
          <w:rFonts w:ascii="Arial" w:hAnsi="Arial" w:cs="Arial"/>
          <w:sz w:val="22"/>
          <w:szCs w:val="22"/>
        </w:rPr>
        <w:t>$</w:t>
      </w:r>
      <w:r w:rsidR="00B21098" w:rsidRPr="003C2083">
        <w:rPr>
          <w:rFonts w:ascii="Arial" w:hAnsi="Arial" w:cs="Arial"/>
          <w:sz w:val="22"/>
          <w:szCs w:val="22"/>
        </w:rPr>
        <w:t>31,965.06</w:t>
      </w:r>
      <w:r w:rsidR="003C5DCD" w:rsidRPr="003C2083">
        <w:rPr>
          <w:rFonts w:ascii="Arial" w:hAnsi="Arial" w:cs="Arial"/>
          <w:sz w:val="22"/>
          <w:szCs w:val="22"/>
        </w:rPr>
        <w:t>.</w:t>
      </w:r>
    </w:p>
    <w:p w14:paraId="38BF778A" w14:textId="77777777" w:rsidR="00686DF6" w:rsidRPr="003C2083" w:rsidRDefault="00686DF6" w:rsidP="006B60F1">
      <w:pPr>
        <w:rPr>
          <w:rFonts w:ascii="Arial" w:hAnsi="Arial" w:cs="Arial"/>
          <w:sz w:val="22"/>
          <w:szCs w:val="22"/>
        </w:rPr>
      </w:pPr>
    </w:p>
    <w:p w14:paraId="2459B1BE" w14:textId="77777777" w:rsidR="003C5DCD" w:rsidRPr="003C2083" w:rsidRDefault="00010AFC" w:rsidP="006B60F1">
      <w:pPr>
        <w:rPr>
          <w:rFonts w:ascii="Arial" w:hAnsi="Arial" w:cs="Arial"/>
          <w:b/>
          <w:sz w:val="22"/>
          <w:szCs w:val="22"/>
        </w:rPr>
      </w:pPr>
      <w:r w:rsidRPr="003C2083">
        <w:rPr>
          <w:rFonts w:ascii="Arial" w:hAnsi="Arial" w:cs="Arial"/>
          <w:b/>
          <w:sz w:val="22"/>
          <w:szCs w:val="22"/>
        </w:rPr>
        <w:t xml:space="preserve">FIGURE 5: NATIONAL COUNCIL’S </w:t>
      </w:r>
      <w:r w:rsidR="003C5DCD" w:rsidRPr="003C2083">
        <w:rPr>
          <w:rFonts w:ascii="Arial" w:hAnsi="Arial" w:cs="Arial"/>
          <w:b/>
          <w:sz w:val="22"/>
          <w:szCs w:val="22"/>
        </w:rPr>
        <w:t xml:space="preserve">PPS 2 DESK AUDIT </w:t>
      </w:r>
      <w:proofErr w:type="gramStart"/>
      <w:r w:rsidR="003C5DCD" w:rsidRPr="003C2083">
        <w:rPr>
          <w:rFonts w:ascii="Arial" w:hAnsi="Arial" w:cs="Arial"/>
          <w:b/>
          <w:sz w:val="22"/>
          <w:szCs w:val="22"/>
        </w:rPr>
        <w:t>ESTIMATE</w:t>
      </w:r>
      <w:r w:rsidRPr="003C2083">
        <w:rPr>
          <w:rFonts w:ascii="Arial" w:hAnsi="Arial" w:cs="Arial"/>
          <w:b/>
          <w:sz w:val="22"/>
          <w:szCs w:val="22"/>
        </w:rPr>
        <w:t>—</w:t>
      </w:r>
      <w:proofErr w:type="gramEnd"/>
      <w:r w:rsidRPr="003C2083">
        <w:rPr>
          <w:rFonts w:ascii="Arial" w:hAnsi="Arial" w:cs="Arial"/>
          <w:b/>
          <w:sz w:val="22"/>
          <w:szCs w:val="22"/>
        </w:rPr>
        <w:t xml:space="preserve">SIX CLINICS </w:t>
      </w:r>
    </w:p>
    <w:p w14:paraId="200479E0" w14:textId="77777777" w:rsidR="00BA2607" w:rsidRPr="003C2083" w:rsidRDefault="00BA2607" w:rsidP="006B60F1">
      <w:pPr>
        <w:rPr>
          <w:rFonts w:ascii="Arial" w:hAnsi="Arial" w:cs="Arial"/>
          <w:sz w:val="22"/>
          <w:szCs w:val="22"/>
        </w:rPr>
      </w:pPr>
      <w:r w:rsidRPr="003C2083">
        <w:rPr>
          <w:rFonts w:ascii="Arial" w:hAnsi="Arial" w:cs="Arial"/>
          <w:sz w:val="22"/>
          <w:szCs w:val="22"/>
        </w:rPr>
        <w:t xml:space="preserve">This chart looks at the amount of time it would take six </w:t>
      </w:r>
      <w:proofErr w:type="spellStart"/>
      <w:r w:rsidRPr="003C2083">
        <w:rPr>
          <w:rFonts w:ascii="Arial" w:hAnsi="Arial" w:cs="Arial"/>
          <w:sz w:val="22"/>
          <w:szCs w:val="22"/>
        </w:rPr>
        <w:t>CCBHCs</w:t>
      </w:r>
      <w:proofErr w:type="spellEnd"/>
      <w:r w:rsidRPr="003C2083">
        <w:rPr>
          <w:rFonts w:ascii="Arial" w:hAnsi="Arial" w:cs="Arial"/>
          <w:sz w:val="22"/>
          <w:szCs w:val="22"/>
        </w:rPr>
        <w:t xml:space="preserve"> to complete and review the cost report if working with a PPS-2 model. Based on the feedback we have received from the states applying for the planning grant, each state is looking to certify an average of six clinics. We estimate that it will take three times as long as our estimates in Figure 4. In addition, we factored in the time it would take Chief Executives to review the cost report.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530"/>
        <w:gridCol w:w="1620"/>
        <w:gridCol w:w="1080"/>
        <w:gridCol w:w="1710"/>
        <w:gridCol w:w="1710"/>
      </w:tblGrid>
      <w:tr w:rsidR="003C5DCD" w:rsidRPr="003C2083" w14:paraId="131B0586" w14:textId="77777777" w:rsidTr="00496980">
        <w:trPr>
          <w:trHeight w:val="800"/>
          <w:tblHeader/>
        </w:trPr>
        <w:tc>
          <w:tcPr>
            <w:tcW w:w="2430" w:type="dxa"/>
            <w:shd w:val="clear" w:color="auto" w:fill="auto"/>
          </w:tcPr>
          <w:p w14:paraId="66C45486" w14:textId="77777777" w:rsidR="003C5DCD" w:rsidRPr="003C2083" w:rsidRDefault="003C5DCD" w:rsidP="00496980">
            <w:pPr>
              <w:rPr>
                <w:rFonts w:ascii="Arial" w:hAnsi="Arial" w:cs="Arial"/>
                <w:b/>
                <w:sz w:val="22"/>
                <w:szCs w:val="22"/>
              </w:rPr>
            </w:pPr>
            <w:r w:rsidRPr="003C2083">
              <w:rPr>
                <w:rFonts w:ascii="Arial" w:hAnsi="Arial" w:cs="Arial"/>
                <w:b/>
                <w:sz w:val="22"/>
                <w:szCs w:val="22"/>
              </w:rPr>
              <w:t>Occupation Title</w:t>
            </w:r>
          </w:p>
        </w:tc>
        <w:tc>
          <w:tcPr>
            <w:tcW w:w="1530" w:type="dxa"/>
            <w:shd w:val="clear" w:color="auto" w:fill="auto"/>
          </w:tcPr>
          <w:p w14:paraId="14EB83D5" w14:textId="77777777" w:rsidR="003C5DCD" w:rsidRPr="003C2083" w:rsidRDefault="003C5DCD" w:rsidP="00496980">
            <w:pPr>
              <w:rPr>
                <w:rFonts w:ascii="Arial" w:hAnsi="Arial" w:cs="Arial"/>
                <w:b/>
                <w:sz w:val="22"/>
                <w:szCs w:val="22"/>
              </w:rPr>
            </w:pPr>
            <w:r w:rsidRPr="003C2083">
              <w:rPr>
                <w:rFonts w:ascii="Arial" w:hAnsi="Arial" w:cs="Arial"/>
                <w:b/>
                <w:sz w:val="22"/>
                <w:szCs w:val="22"/>
              </w:rPr>
              <w:t>Occupation Code</w:t>
            </w:r>
          </w:p>
        </w:tc>
        <w:tc>
          <w:tcPr>
            <w:tcW w:w="1620" w:type="dxa"/>
            <w:shd w:val="clear" w:color="auto" w:fill="auto"/>
          </w:tcPr>
          <w:p w14:paraId="2A2D2C1E" w14:textId="77777777" w:rsidR="003C5DCD" w:rsidRPr="003C2083" w:rsidRDefault="003C5DCD" w:rsidP="00496980">
            <w:pPr>
              <w:rPr>
                <w:rFonts w:ascii="Arial" w:hAnsi="Arial" w:cs="Arial"/>
                <w:b/>
                <w:sz w:val="22"/>
                <w:szCs w:val="22"/>
              </w:rPr>
            </w:pPr>
            <w:r w:rsidRPr="003C2083">
              <w:rPr>
                <w:rFonts w:ascii="Arial" w:hAnsi="Arial" w:cs="Arial"/>
                <w:b/>
                <w:sz w:val="22"/>
                <w:szCs w:val="22"/>
              </w:rPr>
              <w:t>Mean Hourly Wage</w:t>
            </w:r>
          </w:p>
        </w:tc>
        <w:tc>
          <w:tcPr>
            <w:tcW w:w="1080" w:type="dxa"/>
            <w:shd w:val="clear" w:color="auto" w:fill="auto"/>
          </w:tcPr>
          <w:p w14:paraId="2202350C" w14:textId="77777777" w:rsidR="003C5DCD" w:rsidRPr="003C2083" w:rsidRDefault="003C5DCD" w:rsidP="00496980">
            <w:pPr>
              <w:rPr>
                <w:rFonts w:ascii="Arial" w:hAnsi="Arial" w:cs="Arial"/>
                <w:b/>
                <w:sz w:val="22"/>
                <w:szCs w:val="22"/>
              </w:rPr>
            </w:pPr>
            <w:r w:rsidRPr="003C2083">
              <w:rPr>
                <w:rFonts w:ascii="Arial" w:hAnsi="Arial" w:cs="Arial"/>
                <w:b/>
                <w:sz w:val="22"/>
                <w:szCs w:val="22"/>
              </w:rPr>
              <w:t>Fringe Benefit</w:t>
            </w:r>
          </w:p>
        </w:tc>
        <w:tc>
          <w:tcPr>
            <w:tcW w:w="1710" w:type="dxa"/>
          </w:tcPr>
          <w:p w14:paraId="49B9BF09" w14:textId="77777777" w:rsidR="003C5DCD" w:rsidRPr="003C2083" w:rsidRDefault="003C5DCD" w:rsidP="00496980">
            <w:pPr>
              <w:rPr>
                <w:rFonts w:ascii="Arial" w:hAnsi="Arial" w:cs="Arial"/>
                <w:b/>
                <w:sz w:val="22"/>
                <w:szCs w:val="22"/>
              </w:rPr>
            </w:pPr>
            <w:r w:rsidRPr="003C2083">
              <w:rPr>
                <w:rFonts w:ascii="Arial" w:hAnsi="Arial" w:cs="Arial"/>
                <w:b/>
                <w:sz w:val="22"/>
                <w:szCs w:val="22"/>
              </w:rPr>
              <w:t>Adjusted Hourly Wage</w:t>
            </w:r>
          </w:p>
        </w:tc>
        <w:tc>
          <w:tcPr>
            <w:tcW w:w="1710" w:type="dxa"/>
          </w:tcPr>
          <w:p w14:paraId="75E2A684" w14:textId="77777777" w:rsidR="003C5DCD" w:rsidRPr="003C2083" w:rsidRDefault="003C5DCD" w:rsidP="00496980">
            <w:pPr>
              <w:rPr>
                <w:rFonts w:ascii="Arial" w:hAnsi="Arial" w:cs="Arial"/>
                <w:b/>
                <w:sz w:val="22"/>
                <w:szCs w:val="22"/>
              </w:rPr>
            </w:pPr>
            <w:r w:rsidRPr="003C2083">
              <w:rPr>
                <w:rFonts w:ascii="Arial" w:hAnsi="Arial" w:cs="Arial"/>
                <w:b/>
                <w:sz w:val="22"/>
                <w:szCs w:val="22"/>
              </w:rPr>
              <w:t>Hours per request</w:t>
            </w:r>
          </w:p>
        </w:tc>
      </w:tr>
      <w:tr w:rsidR="003C5DCD" w:rsidRPr="003C2083" w14:paraId="267F01C9" w14:textId="77777777" w:rsidTr="00496980">
        <w:tc>
          <w:tcPr>
            <w:tcW w:w="2430" w:type="dxa"/>
            <w:shd w:val="clear" w:color="auto" w:fill="auto"/>
          </w:tcPr>
          <w:p w14:paraId="0EAFAAFE" w14:textId="77777777" w:rsidR="003C5DCD" w:rsidRPr="003C2083" w:rsidRDefault="003C5DCD" w:rsidP="00496980">
            <w:pPr>
              <w:rPr>
                <w:rFonts w:ascii="Arial" w:hAnsi="Arial" w:cs="Arial"/>
                <w:sz w:val="22"/>
                <w:szCs w:val="22"/>
              </w:rPr>
            </w:pPr>
            <w:r w:rsidRPr="003C2083">
              <w:rPr>
                <w:rFonts w:ascii="Arial" w:hAnsi="Arial" w:cs="Arial"/>
                <w:sz w:val="22"/>
                <w:szCs w:val="22"/>
              </w:rPr>
              <w:t>Staff Accountant</w:t>
            </w:r>
          </w:p>
        </w:tc>
        <w:tc>
          <w:tcPr>
            <w:tcW w:w="1530" w:type="dxa"/>
            <w:shd w:val="clear" w:color="auto" w:fill="auto"/>
          </w:tcPr>
          <w:p w14:paraId="043F866D" w14:textId="77777777" w:rsidR="003C5DCD" w:rsidRPr="003C2083" w:rsidRDefault="003C5DCD" w:rsidP="00496980">
            <w:pPr>
              <w:rPr>
                <w:rFonts w:ascii="Arial" w:hAnsi="Arial" w:cs="Arial"/>
                <w:sz w:val="22"/>
                <w:szCs w:val="22"/>
              </w:rPr>
            </w:pPr>
            <w:r w:rsidRPr="003C2083">
              <w:rPr>
                <w:rFonts w:ascii="Arial" w:hAnsi="Arial" w:cs="Arial"/>
                <w:sz w:val="22"/>
                <w:szCs w:val="22"/>
              </w:rPr>
              <w:t>13-2011</w:t>
            </w:r>
          </w:p>
        </w:tc>
        <w:tc>
          <w:tcPr>
            <w:tcW w:w="1620" w:type="dxa"/>
            <w:shd w:val="clear" w:color="auto" w:fill="auto"/>
          </w:tcPr>
          <w:p w14:paraId="1414C743" w14:textId="77777777" w:rsidR="003C5DCD" w:rsidRPr="003C2083" w:rsidRDefault="003C5DCD" w:rsidP="00496980">
            <w:pPr>
              <w:rPr>
                <w:rFonts w:ascii="Arial" w:hAnsi="Arial" w:cs="Arial"/>
                <w:sz w:val="22"/>
                <w:szCs w:val="22"/>
              </w:rPr>
            </w:pPr>
            <w:r w:rsidRPr="003C2083">
              <w:rPr>
                <w:rFonts w:ascii="Arial" w:hAnsi="Arial" w:cs="Arial"/>
                <w:sz w:val="22"/>
                <w:szCs w:val="22"/>
              </w:rPr>
              <w:t>35.42</w:t>
            </w:r>
          </w:p>
        </w:tc>
        <w:tc>
          <w:tcPr>
            <w:tcW w:w="1080" w:type="dxa"/>
            <w:shd w:val="clear" w:color="auto" w:fill="auto"/>
          </w:tcPr>
          <w:p w14:paraId="7C2D09A3" w14:textId="77777777" w:rsidR="003C5DCD" w:rsidRPr="003C2083" w:rsidRDefault="003C5DCD" w:rsidP="00496980">
            <w:pPr>
              <w:rPr>
                <w:rFonts w:ascii="Arial" w:hAnsi="Arial" w:cs="Arial"/>
                <w:sz w:val="22"/>
                <w:szCs w:val="22"/>
              </w:rPr>
            </w:pPr>
            <w:r w:rsidRPr="003C2083">
              <w:rPr>
                <w:rFonts w:ascii="Arial" w:hAnsi="Arial" w:cs="Arial"/>
                <w:sz w:val="22"/>
                <w:szCs w:val="22"/>
              </w:rPr>
              <w:t>35.42</w:t>
            </w:r>
          </w:p>
        </w:tc>
        <w:tc>
          <w:tcPr>
            <w:tcW w:w="1710" w:type="dxa"/>
          </w:tcPr>
          <w:p w14:paraId="66D7AA2C" w14:textId="77777777" w:rsidR="003C5DCD" w:rsidRPr="003C2083" w:rsidRDefault="003C5DCD" w:rsidP="00496980">
            <w:pPr>
              <w:rPr>
                <w:rFonts w:ascii="Arial" w:hAnsi="Arial" w:cs="Arial"/>
                <w:sz w:val="22"/>
                <w:szCs w:val="22"/>
              </w:rPr>
            </w:pPr>
            <w:r w:rsidRPr="003C2083">
              <w:rPr>
                <w:rFonts w:ascii="Arial" w:hAnsi="Arial" w:cs="Arial"/>
                <w:sz w:val="22"/>
                <w:szCs w:val="22"/>
              </w:rPr>
              <w:t>70.84</w:t>
            </w:r>
          </w:p>
        </w:tc>
        <w:tc>
          <w:tcPr>
            <w:tcW w:w="1710" w:type="dxa"/>
          </w:tcPr>
          <w:p w14:paraId="7AA852D7" w14:textId="77777777" w:rsidR="003C5DCD" w:rsidRPr="003C2083" w:rsidRDefault="003C5DCD" w:rsidP="00496980">
            <w:pPr>
              <w:rPr>
                <w:rFonts w:ascii="Arial" w:hAnsi="Arial" w:cs="Arial"/>
                <w:sz w:val="22"/>
                <w:szCs w:val="22"/>
              </w:rPr>
            </w:pPr>
            <w:r w:rsidRPr="003C2083">
              <w:rPr>
                <w:rFonts w:ascii="Arial" w:hAnsi="Arial" w:cs="Arial"/>
                <w:sz w:val="22"/>
                <w:szCs w:val="22"/>
              </w:rPr>
              <w:t>733.5</w:t>
            </w:r>
          </w:p>
        </w:tc>
      </w:tr>
      <w:tr w:rsidR="003C5DCD" w:rsidRPr="003C2083" w14:paraId="0265B32B" w14:textId="77777777" w:rsidTr="00496980">
        <w:tc>
          <w:tcPr>
            <w:tcW w:w="2430" w:type="dxa"/>
            <w:shd w:val="clear" w:color="auto" w:fill="auto"/>
          </w:tcPr>
          <w:p w14:paraId="71744346" w14:textId="77777777" w:rsidR="003C5DCD" w:rsidRPr="003C2083" w:rsidRDefault="003C5DCD" w:rsidP="00496980">
            <w:pPr>
              <w:rPr>
                <w:rFonts w:ascii="Arial" w:hAnsi="Arial" w:cs="Arial"/>
                <w:sz w:val="22"/>
                <w:szCs w:val="22"/>
              </w:rPr>
            </w:pPr>
            <w:r w:rsidRPr="003C2083">
              <w:rPr>
                <w:rFonts w:ascii="Arial" w:hAnsi="Arial" w:cs="Arial"/>
                <w:sz w:val="22"/>
                <w:szCs w:val="22"/>
              </w:rPr>
              <w:t>Finance Manager</w:t>
            </w:r>
          </w:p>
        </w:tc>
        <w:tc>
          <w:tcPr>
            <w:tcW w:w="1530" w:type="dxa"/>
            <w:shd w:val="clear" w:color="auto" w:fill="auto"/>
          </w:tcPr>
          <w:p w14:paraId="1445CAAB" w14:textId="77777777" w:rsidR="003C5DCD" w:rsidRPr="003C2083" w:rsidRDefault="003C5DCD" w:rsidP="00496980">
            <w:pPr>
              <w:rPr>
                <w:rFonts w:ascii="Arial" w:hAnsi="Arial" w:cs="Arial"/>
                <w:sz w:val="22"/>
                <w:szCs w:val="22"/>
              </w:rPr>
            </w:pPr>
            <w:r w:rsidRPr="003C2083">
              <w:rPr>
                <w:rFonts w:ascii="Arial" w:hAnsi="Arial" w:cs="Arial"/>
                <w:sz w:val="22"/>
                <w:szCs w:val="22"/>
              </w:rPr>
              <w:t>11-3031</w:t>
            </w:r>
          </w:p>
        </w:tc>
        <w:tc>
          <w:tcPr>
            <w:tcW w:w="1620" w:type="dxa"/>
            <w:shd w:val="clear" w:color="auto" w:fill="auto"/>
          </w:tcPr>
          <w:p w14:paraId="547CCDDF" w14:textId="77777777" w:rsidR="003C5DCD" w:rsidRPr="003C2083" w:rsidRDefault="003C5DCD" w:rsidP="00496980">
            <w:pPr>
              <w:rPr>
                <w:rFonts w:ascii="Arial" w:hAnsi="Arial" w:cs="Arial"/>
                <w:sz w:val="22"/>
                <w:szCs w:val="22"/>
              </w:rPr>
            </w:pPr>
            <w:r w:rsidRPr="003C2083">
              <w:rPr>
                <w:rFonts w:ascii="Arial" w:hAnsi="Arial" w:cs="Arial"/>
                <w:sz w:val="22"/>
                <w:szCs w:val="22"/>
              </w:rPr>
              <w:t>62.61</w:t>
            </w:r>
          </w:p>
        </w:tc>
        <w:tc>
          <w:tcPr>
            <w:tcW w:w="1080" w:type="dxa"/>
            <w:shd w:val="clear" w:color="auto" w:fill="auto"/>
          </w:tcPr>
          <w:p w14:paraId="52F2D65A" w14:textId="77777777" w:rsidR="003C5DCD" w:rsidRPr="003C2083" w:rsidRDefault="003C5DCD" w:rsidP="00496980">
            <w:pPr>
              <w:rPr>
                <w:rFonts w:ascii="Arial" w:hAnsi="Arial" w:cs="Arial"/>
                <w:sz w:val="22"/>
                <w:szCs w:val="22"/>
              </w:rPr>
            </w:pPr>
            <w:r w:rsidRPr="003C2083">
              <w:rPr>
                <w:rFonts w:ascii="Arial" w:hAnsi="Arial" w:cs="Arial"/>
                <w:sz w:val="22"/>
                <w:szCs w:val="22"/>
              </w:rPr>
              <w:t>62.61</w:t>
            </w:r>
          </w:p>
        </w:tc>
        <w:tc>
          <w:tcPr>
            <w:tcW w:w="1710" w:type="dxa"/>
          </w:tcPr>
          <w:p w14:paraId="49161B94" w14:textId="77777777" w:rsidR="003C5DCD" w:rsidRPr="003C2083" w:rsidRDefault="003C5DCD" w:rsidP="00496980">
            <w:pPr>
              <w:rPr>
                <w:rFonts w:ascii="Arial" w:hAnsi="Arial" w:cs="Arial"/>
                <w:sz w:val="22"/>
                <w:szCs w:val="22"/>
              </w:rPr>
            </w:pPr>
            <w:r w:rsidRPr="003C2083">
              <w:rPr>
                <w:rFonts w:ascii="Arial" w:hAnsi="Arial" w:cs="Arial"/>
                <w:sz w:val="22"/>
                <w:szCs w:val="22"/>
              </w:rPr>
              <w:t>125.22</w:t>
            </w:r>
          </w:p>
        </w:tc>
        <w:tc>
          <w:tcPr>
            <w:tcW w:w="1710" w:type="dxa"/>
          </w:tcPr>
          <w:p w14:paraId="702CD148" w14:textId="77777777" w:rsidR="003C5DCD" w:rsidRPr="003C2083" w:rsidRDefault="003C5DCD" w:rsidP="00496980">
            <w:pPr>
              <w:rPr>
                <w:rFonts w:ascii="Arial" w:hAnsi="Arial" w:cs="Arial"/>
                <w:sz w:val="22"/>
                <w:szCs w:val="22"/>
              </w:rPr>
            </w:pPr>
            <w:r w:rsidRPr="003C2083">
              <w:rPr>
                <w:rFonts w:ascii="Arial" w:hAnsi="Arial" w:cs="Arial"/>
                <w:sz w:val="22"/>
                <w:szCs w:val="22"/>
              </w:rPr>
              <w:t>297</w:t>
            </w:r>
          </w:p>
        </w:tc>
      </w:tr>
      <w:tr w:rsidR="00B21098" w:rsidRPr="003C2083" w14:paraId="4AAD3896" w14:textId="77777777" w:rsidTr="00496980">
        <w:tc>
          <w:tcPr>
            <w:tcW w:w="2430" w:type="dxa"/>
            <w:shd w:val="clear" w:color="auto" w:fill="auto"/>
          </w:tcPr>
          <w:p w14:paraId="12971D6A" w14:textId="77777777" w:rsidR="00B21098" w:rsidRPr="003C2083" w:rsidRDefault="00B21098" w:rsidP="00B21098">
            <w:pPr>
              <w:rPr>
                <w:rFonts w:ascii="Arial" w:hAnsi="Arial" w:cs="Arial"/>
                <w:sz w:val="22"/>
                <w:szCs w:val="22"/>
              </w:rPr>
            </w:pPr>
            <w:r w:rsidRPr="003C2083">
              <w:rPr>
                <w:rFonts w:ascii="Arial" w:hAnsi="Arial" w:cs="Arial"/>
                <w:sz w:val="22"/>
                <w:szCs w:val="22"/>
              </w:rPr>
              <w:t>Chief Executives</w:t>
            </w:r>
          </w:p>
        </w:tc>
        <w:tc>
          <w:tcPr>
            <w:tcW w:w="1530" w:type="dxa"/>
            <w:shd w:val="clear" w:color="auto" w:fill="auto"/>
          </w:tcPr>
          <w:p w14:paraId="4A50261B" w14:textId="77777777" w:rsidR="00B21098" w:rsidRPr="003C2083" w:rsidRDefault="00B21098" w:rsidP="00B21098">
            <w:pPr>
              <w:rPr>
                <w:rFonts w:ascii="Arial" w:hAnsi="Arial" w:cs="Arial"/>
                <w:sz w:val="22"/>
                <w:szCs w:val="22"/>
              </w:rPr>
            </w:pPr>
            <w:r w:rsidRPr="003C2083">
              <w:rPr>
                <w:rFonts w:ascii="Arial" w:hAnsi="Arial" w:cs="Arial"/>
                <w:sz w:val="22"/>
                <w:szCs w:val="22"/>
              </w:rPr>
              <w:t>11-1011</w:t>
            </w:r>
          </w:p>
        </w:tc>
        <w:tc>
          <w:tcPr>
            <w:tcW w:w="1620" w:type="dxa"/>
            <w:shd w:val="clear" w:color="auto" w:fill="auto"/>
          </w:tcPr>
          <w:p w14:paraId="7FD2A5EF" w14:textId="77777777" w:rsidR="00B21098" w:rsidRPr="003C2083" w:rsidRDefault="00B21098" w:rsidP="00B21098">
            <w:pPr>
              <w:rPr>
                <w:rFonts w:ascii="Arial" w:hAnsi="Arial" w:cs="Arial"/>
                <w:sz w:val="22"/>
                <w:szCs w:val="22"/>
              </w:rPr>
            </w:pPr>
            <w:r w:rsidRPr="003C2083">
              <w:rPr>
                <w:rFonts w:ascii="Arial" w:hAnsi="Arial" w:cs="Arial"/>
                <w:sz w:val="22"/>
                <w:szCs w:val="22"/>
              </w:rPr>
              <w:t>74.93</w:t>
            </w:r>
          </w:p>
        </w:tc>
        <w:tc>
          <w:tcPr>
            <w:tcW w:w="1080" w:type="dxa"/>
            <w:shd w:val="clear" w:color="auto" w:fill="auto"/>
          </w:tcPr>
          <w:p w14:paraId="4F34B0A4" w14:textId="77777777" w:rsidR="00B21098" w:rsidRPr="003C2083" w:rsidRDefault="00B21098" w:rsidP="00B21098">
            <w:pPr>
              <w:rPr>
                <w:rFonts w:ascii="Arial" w:hAnsi="Arial" w:cs="Arial"/>
                <w:sz w:val="22"/>
                <w:szCs w:val="22"/>
              </w:rPr>
            </w:pPr>
            <w:r w:rsidRPr="003C2083">
              <w:rPr>
                <w:rFonts w:ascii="Arial" w:hAnsi="Arial" w:cs="Arial"/>
                <w:sz w:val="22"/>
                <w:szCs w:val="22"/>
              </w:rPr>
              <w:t>74.93</w:t>
            </w:r>
          </w:p>
        </w:tc>
        <w:tc>
          <w:tcPr>
            <w:tcW w:w="1710" w:type="dxa"/>
          </w:tcPr>
          <w:p w14:paraId="3369764B" w14:textId="77777777" w:rsidR="00B21098" w:rsidRPr="003C2083" w:rsidRDefault="00B21098" w:rsidP="00B21098">
            <w:pPr>
              <w:rPr>
                <w:rFonts w:ascii="Arial" w:hAnsi="Arial" w:cs="Arial"/>
                <w:sz w:val="22"/>
                <w:szCs w:val="22"/>
              </w:rPr>
            </w:pPr>
            <w:r w:rsidRPr="003C2083">
              <w:rPr>
                <w:rFonts w:ascii="Arial" w:hAnsi="Arial" w:cs="Arial"/>
                <w:sz w:val="22"/>
                <w:szCs w:val="22"/>
              </w:rPr>
              <w:t>149.86</w:t>
            </w:r>
          </w:p>
        </w:tc>
        <w:tc>
          <w:tcPr>
            <w:tcW w:w="1710" w:type="dxa"/>
          </w:tcPr>
          <w:p w14:paraId="6FEBF89B" w14:textId="77777777" w:rsidR="00B21098" w:rsidRPr="003C2083" w:rsidRDefault="00B21098" w:rsidP="00B21098">
            <w:pPr>
              <w:rPr>
                <w:rFonts w:ascii="Arial" w:hAnsi="Arial" w:cs="Arial"/>
                <w:sz w:val="22"/>
                <w:szCs w:val="22"/>
              </w:rPr>
            </w:pPr>
            <w:r w:rsidRPr="003C2083">
              <w:rPr>
                <w:rFonts w:ascii="Arial" w:hAnsi="Arial" w:cs="Arial"/>
                <w:sz w:val="22"/>
                <w:szCs w:val="22"/>
              </w:rPr>
              <w:t>45</w:t>
            </w:r>
          </w:p>
        </w:tc>
      </w:tr>
      <w:tr w:rsidR="003C5DCD" w:rsidRPr="003C2083" w14:paraId="2318B130" w14:textId="77777777" w:rsidTr="00496980">
        <w:tc>
          <w:tcPr>
            <w:tcW w:w="2430" w:type="dxa"/>
            <w:shd w:val="clear" w:color="auto" w:fill="auto"/>
          </w:tcPr>
          <w:p w14:paraId="7260AA15" w14:textId="77777777" w:rsidR="003C5DCD" w:rsidRPr="003C2083" w:rsidRDefault="003C5DCD" w:rsidP="00496980">
            <w:pPr>
              <w:rPr>
                <w:rFonts w:ascii="Arial" w:hAnsi="Arial" w:cs="Arial"/>
                <w:sz w:val="22"/>
                <w:szCs w:val="22"/>
              </w:rPr>
            </w:pPr>
            <w:r w:rsidRPr="003C2083">
              <w:rPr>
                <w:rFonts w:ascii="Arial" w:hAnsi="Arial" w:cs="Arial"/>
                <w:sz w:val="22"/>
                <w:szCs w:val="22"/>
              </w:rPr>
              <w:t>Total</w:t>
            </w:r>
          </w:p>
        </w:tc>
        <w:tc>
          <w:tcPr>
            <w:tcW w:w="1530" w:type="dxa"/>
            <w:shd w:val="clear" w:color="auto" w:fill="auto"/>
          </w:tcPr>
          <w:p w14:paraId="0169CE6F" w14:textId="77777777" w:rsidR="003C5DCD" w:rsidRPr="003C2083" w:rsidRDefault="003C5DCD" w:rsidP="00496980">
            <w:pPr>
              <w:rPr>
                <w:rFonts w:ascii="Arial" w:hAnsi="Arial" w:cs="Arial"/>
                <w:sz w:val="22"/>
                <w:szCs w:val="22"/>
              </w:rPr>
            </w:pPr>
          </w:p>
        </w:tc>
        <w:tc>
          <w:tcPr>
            <w:tcW w:w="1620" w:type="dxa"/>
            <w:shd w:val="clear" w:color="auto" w:fill="auto"/>
          </w:tcPr>
          <w:p w14:paraId="532133E4" w14:textId="77777777" w:rsidR="003C5DCD" w:rsidRPr="003C2083" w:rsidRDefault="00B21098" w:rsidP="00496980">
            <w:pPr>
              <w:rPr>
                <w:rFonts w:ascii="Arial" w:hAnsi="Arial" w:cs="Arial"/>
                <w:sz w:val="22"/>
                <w:szCs w:val="22"/>
              </w:rPr>
            </w:pPr>
            <w:r w:rsidRPr="003C2083">
              <w:rPr>
                <w:rFonts w:ascii="Arial" w:hAnsi="Arial" w:cs="Arial"/>
                <w:sz w:val="22"/>
                <w:szCs w:val="22"/>
              </w:rPr>
              <w:t>172.75</w:t>
            </w:r>
          </w:p>
        </w:tc>
        <w:tc>
          <w:tcPr>
            <w:tcW w:w="1080" w:type="dxa"/>
            <w:shd w:val="clear" w:color="auto" w:fill="auto"/>
          </w:tcPr>
          <w:p w14:paraId="3BD09B2E" w14:textId="77777777" w:rsidR="003C5DCD" w:rsidRPr="003C2083" w:rsidRDefault="00B21098" w:rsidP="00496980">
            <w:pPr>
              <w:rPr>
                <w:rFonts w:ascii="Arial" w:hAnsi="Arial" w:cs="Arial"/>
                <w:sz w:val="22"/>
                <w:szCs w:val="22"/>
              </w:rPr>
            </w:pPr>
            <w:r w:rsidRPr="003C2083">
              <w:rPr>
                <w:rFonts w:ascii="Arial" w:hAnsi="Arial" w:cs="Arial"/>
                <w:sz w:val="22"/>
                <w:szCs w:val="22"/>
              </w:rPr>
              <w:t>172.75</w:t>
            </w:r>
          </w:p>
        </w:tc>
        <w:tc>
          <w:tcPr>
            <w:tcW w:w="1710" w:type="dxa"/>
          </w:tcPr>
          <w:p w14:paraId="4CDE017C" w14:textId="77777777" w:rsidR="003C5DCD" w:rsidRPr="003C2083" w:rsidRDefault="00B21098" w:rsidP="00496980">
            <w:pPr>
              <w:rPr>
                <w:rFonts w:ascii="Arial" w:hAnsi="Arial" w:cs="Arial"/>
                <w:sz w:val="22"/>
                <w:szCs w:val="22"/>
              </w:rPr>
            </w:pPr>
            <w:r w:rsidRPr="003C2083">
              <w:rPr>
                <w:rFonts w:ascii="Arial" w:hAnsi="Arial" w:cs="Arial"/>
                <w:sz w:val="22"/>
                <w:szCs w:val="22"/>
              </w:rPr>
              <w:t>345.92</w:t>
            </w:r>
          </w:p>
        </w:tc>
        <w:tc>
          <w:tcPr>
            <w:tcW w:w="1710" w:type="dxa"/>
          </w:tcPr>
          <w:p w14:paraId="7BEBE0B6" w14:textId="77777777" w:rsidR="003C5DCD" w:rsidRPr="003C2083" w:rsidRDefault="00B21098" w:rsidP="00496980">
            <w:pPr>
              <w:rPr>
                <w:rFonts w:ascii="Arial" w:hAnsi="Arial" w:cs="Arial"/>
                <w:sz w:val="22"/>
                <w:szCs w:val="22"/>
              </w:rPr>
            </w:pPr>
            <w:r w:rsidRPr="003C2083">
              <w:rPr>
                <w:rFonts w:ascii="Arial" w:hAnsi="Arial" w:cs="Arial"/>
                <w:sz w:val="22"/>
                <w:szCs w:val="22"/>
              </w:rPr>
              <w:t>1075</w:t>
            </w:r>
            <w:r w:rsidR="003C5DCD" w:rsidRPr="003C2083">
              <w:rPr>
                <w:rFonts w:ascii="Arial" w:hAnsi="Arial" w:cs="Arial"/>
                <w:sz w:val="22"/>
                <w:szCs w:val="22"/>
              </w:rPr>
              <w:t>.5</w:t>
            </w:r>
          </w:p>
        </w:tc>
      </w:tr>
    </w:tbl>
    <w:p w14:paraId="055236B6" w14:textId="77777777" w:rsidR="003C5DCD" w:rsidRPr="003C2083" w:rsidRDefault="003C5DCD" w:rsidP="006B60F1">
      <w:pPr>
        <w:rPr>
          <w:rFonts w:ascii="Arial" w:hAnsi="Arial" w:cs="Arial"/>
          <w:sz w:val="22"/>
          <w:szCs w:val="22"/>
        </w:rPr>
      </w:pPr>
    </w:p>
    <w:p w14:paraId="3E09A767" w14:textId="77777777" w:rsidR="003C5DCD" w:rsidRDefault="003C5DCD" w:rsidP="006B60F1">
      <w:pPr>
        <w:rPr>
          <w:rFonts w:ascii="Arial" w:hAnsi="Arial" w:cs="Arial"/>
          <w:sz w:val="22"/>
          <w:szCs w:val="22"/>
        </w:rPr>
      </w:pPr>
      <w:r w:rsidRPr="003C2083">
        <w:rPr>
          <w:rFonts w:ascii="Arial" w:hAnsi="Arial" w:cs="Arial"/>
          <w:sz w:val="22"/>
          <w:szCs w:val="22"/>
        </w:rPr>
        <w:t xml:space="preserve">The total combined cost for </w:t>
      </w:r>
      <w:r w:rsidR="005015BB" w:rsidRPr="003C2083">
        <w:rPr>
          <w:rFonts w:ascii="Arial" w:hAnsi="Arial" w:cs="Arial"/>
          <w:sz w:val="22"/>
          <w:szCs w:val="22"/>
        </w:rPr>
        <w:t>six</w:t>
      </w:r>
      <w:r w:rsidRPr="003C2083">
        <w:rPr>
          <w:rFonts w:ascii="Arial" w:hAnsi="Arial" w:cs="Arial"/>
          <w:sz w:val="22"/>
          <w:szCs w:val="22"/>
        </w:rPr>
        <w:t xml:space="preserve"> </w:t>
      </w:r>
      <w:proofErr w:type="spellStart"/>
      <w:r w:rsidRPr="003C2083">
        <w:rPr>
          <w:rFonts w:ascii="Arial" w:hAnsi="Arial" w:cs="Arial"/>
          <w:sz w:val="22"/>
          <w:szCs w:val="22"/>
        </w:rPr>
        <w:t>CCBHCs</w:t>
      </w:r>
      <w:proofErr w:type="spellEnd"/>
      <w:r w:rsidRPr="003C2083">
        <w:rPr>
          <w:rFonts w:ascii="Arial" w:hAnsi="Arial" w:cs="Arial"/>
          <w:sz w:val="22"/>
          <w:szCs w:val="22"/>
        </w:rPr>
        <w:t xml:space="preserve"> and a state to complete and review one cost report is $</w:t>
      </w:r>
      <w:r w:rsidR="00B21098" w:rsidRPr="003C2083">
        <w:rPr>
          <w:rFonts w:ascii="Arial" w:hAnsi="Arial" w:cs="Arial"/>
          <w:sz w:val="22"/>
          <w:szCs w:val="22"/>
        </w:rPr>
        <w:t>95,895.18</w:t>
      </w:r>
      <w:r w:rsidRPr="003C2083">
        <w:rPr>
          <w:rFonts w:ascii="Arial" w:hAnsi="Arial" w:cs="Arial"/>
          <w:sz w:val="22"/>
          <w:szCs w:val="22"/>
        </w:rPr>
        <w:t>.</w:t>
      </w:r>
    </w:p>
    <w:p w14:paraId="1901375B" w14:textId="77777777" w:rsidR="00271003" w:rsidRDefault="00271003" w:rsidP="006B60F1">
      <w:pPr>
        <w:rPr>
          <w:rFonts w:ascii="Arial" w:hAnsi="Arial" w:cs="Arial"/>
          <w:sz w:val="22"/>
          <w:szCs w:val="22"/>
        </w:rPr>
      </w:pPr>
    </w:p>
    <w:sectPr w:rsidR="00271003" w:rsidSect="00374DBD">
      <w:headerReference w:type="default" r:id="rId12"/>
      <w:footerReference w:type="default" r:id="rId13"/>
      <w:pgSz w:w="12240" w:h="15840"/>
      <w:pgMar w:top="135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8D9CC" w14:textId="77777777" w:rsidR="004A7995" w:rsidRDefault="004A7995" w:rsidP="00D35BC0">
      <w:r>
        <w:separator/>
      </w:r>
    </w:p>
  </w:endnote>
  <w:endnote w:type="continuationSeparator" w:id="0">
    <w:p w14:paraId="54F0C6AA" w14:textId="77777777" w:rsidR="004A7995" w:rsidRDefault="004A7995" w:rsidP="00D3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2AB94" w14:textId="77777777" w:rsidR="00A72DD5" w:rsidRDefault="00FE7194">
    <w:pPr>
      <w:pStyle w:val="Footer"/>
    </w:pPr>
    <w:r>
      <w:rPr>
        <w:noProof/>
        <w:lang w:eastAsia="en-US"/>
      </w:rPr>
      <w:drawing>
        <wp:anchor distT="0" distB="0" distL="114300" distR="114300" simplePos="0" relativeHeight="251661312" behindDoc="1" locked="0" layoutInCell="1" allowOverlap="1" wp14:anchorId="3A6F8F72" wp14:editId="64DED3DD">
          <wp:simplePos x="0" y="0"/>
          <wp:positionH relativeFrom="page">
            <wp:posOffset>0</wp:posOffset>
          </wp:positionH>
          <wp:positionV relativeFrom="page">
            <wp:posOffset>9328150</wp:posOffset>
          </wp:positionV>
          <wp:extent cx="7772400" cy="6794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SAAS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7810172" cy="68275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AE6F5" w14:textId="77777777" w:rsidR="004A7995" w:rsidRDefault="004A7995" w:rsidP="00D35BC0">
      <w:r>
        <w:separator/>
      </w:r>
    </w:p>
  </w:footnote>
  <w:footnote w:type="continuationSeparator" w:id="0">
    <w:p w14:paraId="5F683C6B" w14:textId="77777777" w:rsidR="004A7995" w:rsidRDefault="004A7995" w:rsidP="00D3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C0F42" w14:textId="77777777" w:rsidR="00A72DD5" w:rsidRDefault="00FE7194">
    <w:pPr>
      <w:pStyle w:val="Header"/>
    </w:pPr>
    <w:r>
      <w:rPr>
        <w:noProof/>
        <w:lang w:eastAsia="en-US"/>
      </w:rPr>
      <w:drawing>
        <wp:anchor distT="0" distB="0" distL="114300" distR="114300" simplePos="0" relativeHeight="251660288" behindDoc="1" locked="0" layoutInCell="1" allowOverlap="1" wp14:anchorId="2E135CEB" wp14:editId="37E07EDC">
          <wp:simplePos x="0" y="0"/>
          <wp:positionH relativeFrom="page">
            <wp:posOffset>0</wp:posOffset>
          </wp:positionH>
          <wp:positionV relativeFrom="page">
            <wp:posOffset>0</wp:posOffset>
          </wp:positionV>
          <wp:extent cx="7772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SAAS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A58C4"/>
    <w:multiLevelType w:val="hybridMultilevel"/>
    <w:tmpl w:val="B91C0618"/>
    <w:lvl w:ilvl="0" w:tplc="518CDEE0">
      <w:start w:val="81"/>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0976EE"/>
    <w:multiLevelType w:val="hybridMultilevel"/>
    <w:tmpl w:val="A5CE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2569C9"/>
    <w:multiLevelType w:val="hybridMultilevel"/>
    <w:tmpl w:val="F42A96D0"/>
    <w:lvl w:ilvl="0" w:tplc="31F4AF34">
      <w:start w:val="1"/>
      <w:numFmt w:val="bullet"/>
      <w:lvlText w:val=""/>
      <w:lvlJc w:val="left"/>
      <w:pPr>
        <w:ind w:left="720" w:hanging="360"/>
      </w:pPr>
      <w:rPr>
        <w:rFonts w:ascii="Symbol" w:hAnsi="Symbol" w:hint="default"/>
        <w:color w:val="4F81B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C0"/>
    <w:rsid w:val="00010AFC"/>
    <w:rsid w:val="00012A35"/>
    <w:rsid w:val="00015F24"/>
    <w:rsid w:val="00016848"/>
    <w:rsid w:val="000344D0"/>
    <w:rsid w:val="00041155"/>
    <w:rsid w:val="000549EB"/>
    <w:rsid w:val="00066D6F"/>
    <w:rsid w:val="0007330B"/>
    <w:rsid w:val="00073887"/>
    <w:rsid w:val="00076D2F"/>
    <w:rsid w:val="00090DA6"/>
    <w:rsid w:val="000A1B33"/>
    <w:rsid w:val="000A7579"/>
    <w:rsid w:val="000B6225"/>
    <w:rsid w:val="000C01D3"/>
    <w:rsid w:val="000C5DF8"/>
    <w:rsid w:val="000C69BB"/>
    <w:rsid w:val="000D4BEB"/>
    <w:rsid w:val="000D5B1F"/>
    <w:rsid w:val="00104FC2"/>
    <w:rsid w:val="00111D34"/>
    <w:rsid w:val="00116C7C"/>
    <w:rsid w:val="00117E82"/>
    <w:rsid w:val="0012424F"/>
    <w:rsid w:val="00133512"/>
    <w:rsid w:val="001402D1"/>
    <w:rsid w:val="00157ED0"/>
    <w:rsid w:val="00187663"/>
    <w:rsid w:val="0019482F"/>
    <w:rsid w:val="001966EF"/>
    <w:rsid w:val="001C6140"/>
    <w:rsid w:val="001E28D1"/>
    <w:rsid w:val="001E56B1"/>
    <w:rsid w:val="002251E9"/>
    <w:rsid w:val="00226F23"/>
    <w:rsid w:val="00231DB0"/>
    <w:rsid w:val="002407EA"/>
    <w:rsid w:val="00265AAC"/>
    <w:rsid w:val="00267873"/>
    <w:rsid w:val="00271003"/>
    <w:rsid w:val="002735E8"/>
    <w:rsid w:val="0028657D"/>
    <w:rsid w:val="00296554"/>
    <w:rsid w:val="002C5DDF"/>
    <w:rsid w:val="002D701B"/>
    <w:rsid w:val="00316594"/>
    <w:rsid w:val="00347279"/>
    <w:rsid w:val="0035723B"/>
    <w:rsid w:val="00362D90"/>
    <w:rsid w:val="00374DBD"/>
    <w:rsid w:val="00381254"/>
    <w:rsid w:val="003B4378"/>
    <w:rsid w:val="003C2083"/>
    <w:rsid w:val="003C5DCD"/>
    <w:rsid w:val="003D1CF9"/>
    <w:rsid w:val="0040086E"/>
    <w:rsid w:val="00401197"/>
    <w:rsid w:val="0041315D"/>
    <w:rsid w:val="00432CA1"/>
    <w:rsid w:val="004353AC"/>
    <w:rsid w:val="00437B7F"/>
    <w:rsid w:val="0044339F"/>
    <w:rsid w:val="00462408"/>
    <w:rsid w:val="00473719"/>
    <w:rsid w:val="004862B6"/>
    <w:rsid w:val="00487DED"/>
    <w:rsid w:val="004A1E22"/>
    <w:rsid w:val="004A3B9B"/>
    <w:rsid w:val="004A7995"/>
    <w:rsid w:val="004B760D"/>
    <w:rsid w:val="004C3C71"/>
    <w:rsid w:val="004E022F"/>
    <w:rsid w:val="004F6DA1"/>
    <w:rsid w:val="00500258"/>
    <w:rsid w:val="005015BB"/>
    <w:rsid w:val="00520F0B"/>
    <w:rsid w:val="00535298"/>
    <w:rsid w:val="005458D9"/>
    <w:rsid w:val="00546212"/>
    <w:rsid w:val="00555E7E"/>
    <w:rsid w:val="00563EB0"/>
    <w:rsid w:val="00576017"/>
    <w:rsid w:val="00597136"/>
    <w:rsid w:val="005A0FAC"/>
    <w:rsid w:val="005A50C7"/>
    <w:rsid w:val="005A729A"/>
    <w:rsid w:val="005A7FAB"/>
    <w:rsid w:val="005C73A3"/>
    <w:rsid w:val="005D088A"/>
    <w:rsid w:val="005D5F54"/>
    <w:rsid w:val="005D6274"/>
    <w:rsid w:val="006053B3"/>
    <w:rsid w:val="006230F0"/>
    <w:rsid w:val="0063011F"/>
    <w:rsid w:val="00646041"/>
    <w:rsid w:val="0066430A"/>
    <w:rsid w:val="00686DF6"/>
    <w:rsid w:val="00697D37"/>
    <w:rsid w:val="006B60F1"/>
    <w:rsid w:val="006D3237"/>
    <w:rsid w:val="006E1F10"/>
    <w:rsid w:val="006E4AC8"/>
    <w:rsid w:val="006E4D07"/>
    <w:rsid w:val="006E52B4"/>
    <w:rsid w:val="006F5D19"/>
    <w:rsid w:val="00717FC5"/>
    <w:rsid w:val="00724A79"/>
    <w:rsid w:val="007301ED"/>
    <w:rsid w:val="0074448B"/>
    <w:rsid w:val="007471EA"/>
    <w:rsid w:val="00753FCD"/>
    <w:rsid w:val="007600B4"/>
    <w:rsid w:val="00792560"/>
    <w:rsid w:val="00793D07"/>
    <w:rsid w:val="00794CE5"/>
    <w:rsid w:val="007A0D48"/>
    <w:rsid w:val="007B7AD8"/>
    <w:rsid w:val="007C2597"/>
    <w:rsid w:val="007D0713"/>
    <w:rsid w:val="007D527F"/>
    <w:rsid w:val="007D60DE"/>
    <w:rsid w:val="008149B6"/>
    <w:rsid w:val="00816FCD"/>
    <w:rsid w:val="00873A45"/>
    <w:rsid w:val="00880693"/>
    <w:rsid w:val="00882E93"/>
    <w:rsid w:val="00892E71"/>
    <w:rsid w:val="008949C5"/>
    <w:rsid w:val="008B2EAB"/>
    <w:rsid w:val="008C0C34"/>
    <w:rsid w:val="008C5004"/>
    <w:rsid w:val="008E120F"/>
    <w:rsid w:val="0093181B"/>
    <w:rsid w:val="00933507"/>
    <w:rsid w:val="00957CA9"/>
    <w:rsid w:val="00960C81"/>
    <w:rsid w:val="00967AEC"/>
    <w:rsid w:val="00974BCF"/>
    <w:rsid w:val="009772FB"/>
    <w:rsid w:val="0098449D"/>
    <w:rsid w:val="009B38DE"/>
    <w:rsid w:val="009C276D"/>
    <w:rsid w:val="009C4A01"/>
    <w:rsid w:val="009D38EE"/>
    <w:rsid w:val="009E4422"/>
    <w:rsid w:val="009E68C9"/>
    <w:rsid w:val="009F6EFC"/>
    <w:rsid w:val="00A00980"/>
    <w:rsid w:val="00A03CB9"/>
    <w:rsid w:val="00A05486"/>
    <w:rsid w:val="00A32935"/>
    <w:rsid w:val="00A34AF9"/>
    <w:rsid w:val="00A46E6E"/>
    <w:rsid w:val="00A47F3A"/>
    <w:rsid w:val="00A60A0A"/>
    <w:rsid w:val="00A60FC0"/>
    <w:rsid w:val="00A625C1"/>
    <w:rsid w:val="00A72DD5"/>
    <w:rsid w:val="00AA2655"/>
    <w:rsid w:val="00B06D47"/>
    <w:rsid w:val="00B13AF9"/>
    <w:rsid w:val="00B21098"/>
    <w:rsid w:val="00B32351"/>
    <w:rsid w:val="00BA2607"/>
    <w:rsid w:val="00BA60D1"/>
    <w:rsid w:val="00BB213F"/>
    <w:rsid w:val="00BC73DF"/>
    <w:rsid w:val="00BE2C62"/>
    <w:rsid w:val="00C0217F"/>
    <w:rsid w:val="00C1260D"/>
    <w:rsid w:val="00C12B0A"/>
    <w:rsid w:val="00C23852"/>
    <w:rsid w:val="00C26007"/>
    <w:rsid w:val="00C737B4"/>
    <w:rsid w:val="00C9118F"/>
    <w:rsid w:val="00CA7E72"/>
    <w:rsid w:val="00CE099E"/>
    <w:rsid w:val="00D05327"/>
    <w:rsid w:val="00D262D0"/>
    <w:rsid w:val="00D32BA0"/>
    <w:rsid w:val="00D35BC0"/>
    <w:rsid w:val="00D37AAD"/>
    <w:rsid w:val="00D47D7D"/>
    <w:rsid w:val="00D600F5"/>
    <w:rsid w:val="00D67078"/>
    <w:rsid w:val="00D92036"/>
    <w:rsid w:val="00DE3B74"/>
    <w:rsid w:val="00DE788C"/>
    <w:rsid w:val="00E007DE"/>
    <w:rsid w:val="00E1141B"/>
    <w:rsid w:val="00E16865"/>
    <w:rsid w:val="00E322D6"/>
    <w:rsid w:val="00E601BA"/>
    <w:rsid w:val="00E60E45"/>
    <w:rsid w:val="00E7123F"/>
    <w:rsid w:val="00E95BEB"/>
    <w:rsid w:val="00E97E75"/>
    <w:rsid w:val="00EA628F"/>
    <w:rsid w:val="00EA6D71"/>
    <w:rsid w:val="00EC22A8"/>
    <w:rsid w:val="00ED5389"/>
    <w:rsid w:val="00EE0235"/>
    <w:rsid w:val="00F35298"/>
    <w:rsid w:val="00F47DE7"/>
    <w:rsid w:val="00F53C36"/>
    <w:rsid w:val="00F62F2A"/>
    <w:rsid w:val="00F81473"/>
    <w:rsid w:val="00F830A8"/>
    <w:rsid w:val="00F85BBF"/>
    <w:rsid w:val="00FA4CE2"/>
    <w:rsid w:val="00FC40B2"/>
    <w:rsid w:val="00FD417E"/>
    <w:rsid w:val="00FD7535"/>
    <w:rsid w:val="00FE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51A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D5"/>
    <w:rPr>
      <w:rFonts w:ascii="Cambria" w:eastAsia="MS Mincho" w:hAnsi="Cambria"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BC0"/>
    <w:pPr>
      <w:tabs>
        <w:tab w:val="center" w:pos="4320"/>
        <w:tab w:val="right" w:pos="8640"/>
      </w:tabs>
    </w:pPr>
  </w:style>
  <w:style w:type="character" w:customStyle="1" w:styleId="HeaderChar">
    <w:name w:val="Header Char"/>
    <w:basedOn w:val="DefaultParagraphFont"/>
    <w:link w:val="Header"/>
    <w:uiPriority w:val="99"/>
    <w:rsid w:val="00D35BC0"/>
  </w:style>
  <w:style w:type="paragraph" w:styleId="Footer">
    <w:name w:val="footer"/>
    <w:basedOn w:val="Normal"/>
    <w:link w:val="FooterChar"/>
    <w:uiPriority w:val="99"/>
    <w:unhideWhenUsed/>
    <w:rsid w:val="00D35BC0"/>
    <w:pPr>
      <w:tabs>
        <w:tab w:val="center" w:pos="4320"/>
        <w:tab w:val="right" w:pos="8640"/>
      </w:tabs>
    </w:pPr>
  </w:style>
  <w:style w:type="character" w:customStyle="1" w:styleId="FooterChar">
    <w:name w:val="Footer Char"/>
    <w:basedOn w:val="DefaultParagraphFont"/>
    <w:link w:val="Footer"/>
    <w:uiPriority w:val="99"/>
    <w:rsid w:val="00D35BC0"/>
  </w:style>
  <w:style w:type="paragraph" w:styleId="BalloonText">
    <w:name w:val="Balloon Text"/>
    <w:basedOn w:val="Normal"/>
    <w:link w:val="BalloonTextChar"/>
    <w:uiPriority w:val="99"/>
    <w:semiHidden/>
    <w:unhideWhenUsed/>
    <w:rsid w:val="00D35B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5BC0"/>
    <w:rPr>
      <w:rFonts w:ascii="Lucida Grande" w:hAnsi="Lucida Grande" w:cs="Lucida Grande"/>
      <w:sz w:val="18"/>
      <w:szCs w:val="18"/>
    </w:rPr>
  </w:style>
  <w:style w:type="paragraph" w:styleId="PlainText">
    <w:name w:val="Plain Text"/>
    <w:basedOn w:val="Normal"/>
    <w:link w:val="PlainTextChar"/>
    <w:uiPriority w:val="99"/>
    <w:unhideWhenUsed/>
    <w:rsid w:val="00DE3B74"/>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DE3B74"/>
    <w:rPr>
      <w:rFonts w:ascii="Calibri" w:eastAsiaTheme="minorHAnsi" w:hAnsi="Calibri" w:cs="Times New Roman"/>
      <w:sz w:val="22"/>
      <w:szCs w:val="22"/>
    </w:rPr>
  </w:style>
  <w:style w:type="paragraph" w:styleId="ListParagraph">
    <w:name w:val="List Paragraph"/>
    <w:basedOn w:val="Normal"/>
    <w:uiPriority w:val="34"/>
    <w:qFormat/>
    <w:rsid w:val="00DE3B74"/>
    <w:pPr>
      <w:ind w:left="720"/>
    </w:pPr>
    <w:rPr>
      <w:rFonts w:ascii="Calibri" w:eastAsiaTheme="minorHAnsi" w:hAnsi="Calibri"/>
      <w:sz w:val="22"/>
      <w:szCs w:val="22"/>
      <w:lang w:eastAsia="en-US"/>
    </w:rPr>
  </w:style>
  <w:style w:type="character" w:styleId="Hyperlink">
    <w:name w:val="Hyperlink"/>
    <w:basedOn w:val="DefaultParagraphFont"/>
    <w:uiPriority w:val="99"/>
    <w:unhideWhenUsed/>
    <w:rsid w:val="00DE3B74"/>
    <w:rPr>
      <w:color w:val="0000FF" w:themeColor="hyperlink"/>
      <w:u w:val="single"/>
    </w:rPr>
  </w:style>
  <w:style w:type="table" w:styleId="TableGrid">
    <w:name w:val="Table Grid"/>
    <w:basedOn w:val="TableNormal"/>
    <w:uiPriority w:val="59"/>
    <w:rsid w:val="003C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69BB"/>
    <w:rPr>
      <w:sz w:val="16"/>
      <w:szCs w:val="16"/>
    </w:rPr>
  </w:style>
  <w:style w:type="paragraph" w:styleId="CommentText">
    <w:name w:val="annotation text"/>
    <w:basedOn w:val="Normal"/>
    <w:link w:val="CommentTextChar"/>
    <w:uiPriority w:val="99"/>
    <w:semiHidden/>
    <w:unhideWhenUsed/>
    <w:rsid w:val="000C69BB"/>
    <w:rPr>
      <w:sz w:val="20"/>
      <w:szCs w:val="20"/>
    </w:rPr>
  </w:style>
  <w:style w:type="character" w:customStyle="1" w:styleId="CommentTextChar">
    <w:name w:val="Comment Text Char"/>
    <w:basedOn w:val="DefaultParagraphFont"/>
    <w:link w:val="CommentText"/>
    <w:uiPriority w:val="99"/>
    <w:semiHidden/>
    <w:rsid w:val="000C69BB"/>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C69BB"/>
    <w:rPr>
      <w:b/>
      <w:bCs/>
    </w:rPr>
  </w:style>
  <w:style w:type="character" w:customStyle="1" w:styleId="CommentSubjectChar">
    <w:name w:val="Comment Subject Char"/>
    <w:basedOn w:val="CommentTextChar"/>
    <w:link w:val="CommentSubject"/>
    <w:uiPriority w:val="99"/>
    <w:semiHidden/>
    <w:rsid w:val="000C69BB"/>
    <w:rPr>
      <w:rFonts w:ascii="Cambria" w:eastAsia="MS Mincho" w:hAnsi="Cambria" w:cs="Times New Roman"/>
      <w:b/>
      <w:b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D5"/>
    <w:rPr>
      <w:rFonts w:ascii="Cambria" w:eastAsia="MS Mincho" w:hAnsi="Cambria"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BC0"/>
    <w:pPr>
      <w:tabs>
        <w:tab w:val="center" w:pos="4320"/>
        <w:tab w:val="right" w:pos="8640"/>
      </w:tabs>
    </w:pPr>
  </w:style>
  <w:style w:type="character" w:customStyle="1" w:styleId="HeaderChar">
    <w:name w:val="Header Char"/>
    <w:basedOn w:val="DefaultParagraphFont"/>
    <w:link w:val="Header"/>
    <w:uiPriority w:val="99"/>
    <w:rsid w:val="00D35BC0"/>
  </w:style>
  <w:style w:type="paragraph" w:styleId="Footer">
    <w:name w:val="footer"/>
    <w:basedOn w:val="Normal"/>
    <w:link w:val="FooterChar"/>
    <w:uiPriority w:val="99"/>
    <w:unhideWhenUsed/>
    <w:rsid w:val="00D35BC0"/>
    <w:pPr>
      <w:tabs>
        <w:tab w:val="center" w:pos="4320"/>
        <w:tab w:val="right" w:pos="8640"/>
      </w:tabs>
    </w:pPr>
  </w:style>
  <w:style w:type="character" w:customStyle="1" w:styleId="FooterChar">
    <w:name w:val="Footer Char"/>
    <w:basedOn w:val="DefaultParagraphFont"/>
    <w:link w:val="Footer"/>
    <w:uiPriority w:val="99"/>
    <w:rsid w:val="00D35BC0"/>
  </w:style>
  <w:style w:type="paragraph" w:styleId="BalloonText">
    <w:name w:val="Balloon Text"/>
    <w:basedOn w:val="Normal"/>
    <w:link w:val="BalloonTextChar"/>
    <w:uiPriority w:val="99"/>
    <w:semiHidden/>
    <w:unhideWhenUsed/>
    <w:rsid w:val="00D35B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5BC0"/>
    <w:rPr>
      <w:rFonts w:ascii="Lucida Grande" w:hAnsi="Lucida Grande" w:cs="Lucida Grande"/>
      <w:sz w:val="18"/>
      <w:szCs w:val="18"/>
    </w:rPr>
  </w:style>
  <w:style w:type="paragraph" w:styleId="PlainText">
    <w:name w:val="Plain Text"/>
    <w:basedOn w:val="Normal"/>
    <w:link w:val="PlainTextChar"/>
    <w:uiPriority w:val="99"/>
    <w:unhideWhenUsed/>
    <w:rsid w:val="00DE3B74"/>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DE3B74"/>
    <w:rPr>
      <w:rFonts w:ascii="Calibri" w:eastAsiaTheme="minorHAnsi" w:hAnsi="Calibri" w:cs="Times New Roman"/>
      <w:sz w:val="22"/>
      <w:szCs w:val="22"/>
    </w:rPr>
  </w:style>
  <w:style w:type="paragraph" w:styleId="ListParagraph">
    <w:name w:val="List Paragraph"/>
    <w:basedOn w:val="Normal"/>
    <w:uiPriority w:val="34"/>
    <w:qFormat/>
    <w:rsid w:val="00DE3B74"/>
    <w:pPr>
      <w:ind w:left="720"/>
    </w:pPr>
    <w:rPr>
      <w:rFonts w:ascii="Calibri" w:eastAsiaTheme="minorHAnsi" w:hAnsi="Calibri"/>
      <w:sz w:val="22"/>
      <w:szCs w:val="22"/>
      <w:lang w:eastAsia="en-US"/>
    </w:rPr>
  </w:style>
  <w:style w:type="character" w:styleId="Hyperlink">
    <w:name w:val="Hyperlink"/>
    <w:basedOn w:val="DefaultParagraphFont"/>
    <w:uiPriority w:val="99"/>
    <w:unhideWhenUsed/>
    <w:rsid w:val="00DE3B74"/>
    <w:rPr>
      <w:color w:val="0000FF" w:themeColor="hyperlink"/>
      <w:u w:val="single"/>
    </w:rPr>
  </w:style>
  <w:style w:type="table" w:styleId="TableGrid">
    <w:name w:val="Table Grid"/>
    <w:basedOn w:val="TableNormal"/>
    <w:uiPriority w:val="59"/>
    <w:rsid w:val="003C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69BB"/>
    <w:rPr>
      <w:sz w:val="16"/>
      <w:szCs w:val="16"/>
    </w:rPr>
  </w:style>
  <w:style w:type="paragraph" w:styleId="CommentText">
    <w:name w:val="annotation text"/>
    <w:basedOn w:val="Normal"/>
    <w:link w:val="CommentTextChar"/>
    <w:uiPriority w:val="99"/>
    <w:semiHidden/>
    <w:unhideWhenUsed/>
    <w:rsid w:val="000C69BB"/>
    <w:rPr>
      <w:sz w:val="20"/>
      <w:szCs w:val="20"/>
    </w:rPr>
  </w:style>
  <w:style w:type="character" w:customStyle="1" w:styleId="CommentTextChar">
    <w:name w:val="Comment Text Char"/>
    <w:basedOn w:val="DefaultParagraphFont"/>
    <w:link w:val="CommentText"/>
    <w:uiPriority w:val="99"/>
    <w:semiHidden/>
    <w:rsid w:val="000C69BB"/>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C69BB"/>
    <w:rPr>
      <w:b/>
      <w:bCs/>
    </w:rPr>
  </w:style>
  <w:style w:type="character" w:customStyle="1" w:styleId="CommentSubjectChar">
    <w:name w:val="Comment Subject Char"/>
    <w:basedOn w:val="CommentTextChar"/>
    <w:link w:val="CommentSubject"/>
    <w:uiPriority w:val="99"/>
    <w:semiHidden/>
    <w:rsid w:val="000C69BB"/>
    <w:rPr>
      <w:rFonts w:ascii="Cambria" w:eastAsia="MS Mincho" w:hAnsi="Cambria"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A141BA02C7F40BADECCF9FCC4F8D3" ma:contentTypeVersion="0" ma:contentTypeDescription="Create a new document." ma:contentTypeScope="" ma:versionID="d1606a7ef74a19de5e6343bec1d0532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93B6-E399-4E42-94EA-5AFC9FFBA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702955-BAB4-4516-8B92-F6D87FC189FC}">
  <ds:schemaRefs>
    <ds:schemaRef ds:uri="http://purl.org/dc/elements/1.1/"/>
    <ds:schemaRef ds:uri="http://www.w3.org/XML/1998/namespace"/>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3691F7-B5CC-494E-B5E8-DA98125F2F36}">
  <ds:schemaRefs>
    <ds:schemaRef ds:uri="http://schemas.microsoft.com/sharepoint/v3/contenttype/forms"/>
  </ds:schemaRefs>
</ds:datastoreItem>
</file>

<file path=customXml/itemProps4.xml><?xml version="1.0" encoding="utf-8"?>
<ds:datastoreItem xmlns:ds="http://schemas.openxmlformats.org/officeDocument/2006/customXml" ds:itemID="{6890A2E6-9ECA-482B-933E-57DCF7A1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National Council</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Milano</dc:creator>
  <cp:lastModifiedBy>Mitch Bryman</cp:lastModifiedBy>
  <cp:revision>11</cp:revision>
  <cp:lastPrinted>2015-10-26T16:25:00Z</cp:lastPrinted>
  <dcterms:created xsi:type="dcterms:W3CDTF">2015-11-16T11:49:00Z</dcterms:created>
  <dcterms:modified xsi:type="dcterms:W3CDTF">2015-11-16T12:19:00Z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0x010100C05A141BA02C7F40BADECCF9FCC4F8D3</vt:lpwstr>
  </property>
  <property fmtid="{D5CDD505-2E9C-101B-9397-08002B2CF9AE}" pid="4" name="_AdHocReviewCycleID">
    <vt:i4>-1713698542</vt:i4>
  </property>
  <property fmtid="{D5CDD505-2E9C-101B-9397-08002B2CF9AE}" pid="5" name="_EmailSubject">
    <vt:lpwstr>Cost Report Items for PRA</vt:lpwstr>
  </property>
  <property fmtid="{D5CDD505-2E9C-101B-9397-08002B2CF9AE}" pid="6" name="_AuthorEmail">
    <vt:lpwstr>Danielle.Motley@cms.hhs.gov</vt:lpwstr>
  </property>
  <property fmtid="{D5CDD505-2E9C-101B-9397-08002B2CF9AE}" pid="7" name="_AuthorEmailDisplayName">
    <vt:lpwstr>Motley, Danielle O. (CMS/CMCS)</vt:lpwstr>
  </property>
  <property fmtid="{D5CDD505-2E9C-101B-9397-08002B2CF9AE}" pid="8" name="_PreviousAdHocReviewCycleID">
    <vt:i4>1560402346</vt:i4>
  </property>
  <property fmtid="{D5CDD505-2E9C-101B-9397-08002B2CF9AE}" pid="9" name="_ReviewingToolsShownOnce">
    <vt:lpwstr/>
  </property>
</Properties>
</file>