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F20F7"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29105CC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3C3145A" w14:textId="77777777" w:rsidR="00DF098E" w:rsidRPr="008111D2" w:rsidRDefault="007D6E75" w:rsidP="008111D2">
      <w:pPr>
        <w:spacing w:after="0" w:line="240" w:lineRule="auto"/>
        <w:jc w:val="center"/>
        <w:rPr>
          <w:szCs w:val="24"/>
        </w:rPr>
      </w:pPr>
      <w:r w:rsidRPr="008111D2">
        <w:rPr>
          <w:szCs w:val="24"/>
        </w:rPr>
        <w:t>(CMS-10398, OMB 0938-1148)</w:t>
      </w:r>
    </w:p>
    <w:p w14:paraId="1DF0C266" w14:textId="77777777" w:rsidR="007D6E75" w:rsidRPr="008111D2" w:rsidRDefault="007D6E75" w:rsidP="008111D2">
      <w:pPr>
        <w:spacing w:after="0" w:line="240" w:lineRule="auto"/>
        <w:jc w:val="center"/>
        <w:rPr>
          <w:szCs w:val="24"/>
        </w:rPr>
      </w:pPr>
    </w:p>
    <w:p w14:paraId="7D057965" w14:textId="1046816A" w:rsidR="00630142" w:rsidRDefault="00630142" w:rsidP="00630142">
      <w:pPr>
        <w:spacing w:after="0" w:line="240" w:lineRule="auto"/>
        <w:jc w:val="center"/>
        <w:rPr>
          <w:rFonts w:cs="Times New Roman"/>
          <w:b/>
          <w:szCs w:val="24"/>
        </w:rPr>
      </w:pPr>
      <w:r>
        <w:rPr>
          <w:rFonts w:cs="Times New Roman"/>
          <w:b/>
          <w:szCs w:val="24"/>
        </w:rPr>
        <w:t xml:space="preserve">Generic </w:t>
      </w:r>
      <w:r w:rsidR="00CB646D" w:rsidRPr="00B87C30">
        <w:rPr>
          <w:rFonts w:cs="Times New Roman"/>
          <w:b/>
          <w:szCs w:val="24"/>
        </w:rPr>
        <w:t xml:space="preserve">Information Collection </w:t>
      </w:r>
      <w:r>
        <w:rPr>
          <w:rFonts w:cs="Times New Roman"/>
          <w:b/>
          <w:szCs w:val="24"/>
        </w:rPr>
        <w:t xml:space="preserve">(GenIC) </w:t>
      </w:r>
      <w:r w:rsidR="00D11AA4" w:rsidRPr="00B87C30">
        <w:rPr>
          <w:rFonts w:cs="Times New Roman"/>
          <w:b/>
          <w:szCs w:val="24"/>
        </w:rPr>
        <w:t>#4</w:t>
      </w:r>
      <w:r w:rsidR="00333547" w:rsidRPr="00B87C30">
        <w:rPr>
          <w:rFonts w:cs="Times New Roman"/>
          <w:b/>
          <w:szCs w:val="24"/>
        </w:rPr>
        <w:t>3</w:t>
      </w:r>
    </w:p>
    <w:p w14:paraId="385E86B7" w14:textId="23E717EA" w:rsidR="007D6E75" w:rsidRPr="008111D2" w:rsidRDefault="00121EE3" w:rsidP="00630142">
      <w:pPr>
        <w:spacing w:after="0" w:line="240" w:lineRule="auto"/>
        <w:jc w:val="center"/>
        <w:rPr>
          <w:b/>
          <w:szCs w:val="24"/>
        </w:rPr>
      </w:pPr>
      <w:r w:rsidRPr="00B87C30">
        <w:rPr>
          <w:rFonts w:cs="Times New Roman"/>
          <w:b/>
          <w:szCs w:val="24"/>
        </w:rPr>
        <w:t xml:space="preserve">Section 223 </w:t>
      </w:r>
      <w:r w:rsidR="00333547" w:rsidRPr="00B87C30">
        <w:rPr>
          <w:rFonts w:cs="Times New Roman"/>
          <w:b/>
          <w:szCs w:val="24"/>
        </w:rPr>
        <w:t>Demonstration Programs to Improve Community Mental Health Services</w:t>
      </w:r>
    </w:p>
    <w:p w14:paraId="1D62F525" w14:textId="77777777" w:rsidR="007D6E75" w:rsidRPr="008111D2" w:rsidRDefault="007D6E75" w:rsidP="008111D2">
      <w:pPr>
        <w:spacing w:after="0" w:line="240" w:lineRule="auto"/>
        <w:jc w:val="center"/>
        <w:rPr>
          <w:szCs w:val="24"/>
        </w:rPr>
      </w:pPr>
    </w:p>
    <w:p w14:paraId="78635E09" w14:textId="77777777" w:rsidR="007D6E75" w:rsidRPr="008111D2" w:rsidRDefault="007D6E75" w:rsidP="008111D2">
      <w:pPr>
        <w:spacing w:after="0" w:line="240" w:lineRule="auto"/>
        <w:jc w:val="center"/>
        <w:rPr>
          <w:szCs w:val="24"/>
        </w:rPr>
      </w:pPr>
    </w:p>
    <w:p w14:paraId="171B780F" w14:textId="77777777" w:rsidR="007D6E75" w:rsidRPr="008111D2" w:rsidRDefault="007D6E75" w:rsidP="008111D2">
      <w:pPr>
        <w:spacing w:after="0" w:line="240" w:lineRule="auto"/>
        <w:jc w:val="center"/>
        <w:rPr>
          <w:szCs w:val="24"/>
        </w:rPr>
      </w:pPr>
    </w:p>
    <w:p w14:paraId="13D9836F"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1A9404B4"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3B853CE4" w14:textId="77777777" w:rsidR="007D6E75" w:rsidRPr="008111D2" w:rsidRDefault="007D6E75" w:rsidP="008111D2">
      <w:pPr>
        <w:spacing w:after="0" w:line="240" w:lineRule="auto"/>
        <w:rPr>
          <w:szCs w:val="24"/>
        </w:rPr>
        <w:sectPr w:rsidR="007D6E75" w:rsidRPr="008111D2" w:rsidSect="007D5D74">
          <w:footerReference w:type="default" r:id="rId8"/>
          <w:pgSz w:w="12240" w:h="15840" w:code="1"/>
          <w:pgMar w:top="1440" w:right="1440" w:bottom="1440" w:left="1440" w:header="720" w:footer="720" w:gutter="0"/>
          <w:cols w:space="720"/>
          <w:vAlign w:val="center"/>
          <w:titlePg/>
          <w:docGrid w:linePitch="360"/>
        </w:sectPr>
      </w:pPr>
    </w:p>
    <w:p w14:paraId="17FC83B9" w14:textId="0B030399" w:rsidR="00FD3BB9" w:rsidRDefault="00933E99" w:rsidP="00BD025A">
      <w:pPr>
        <w:spacing w:after="0" w:line="240" w:lineRule="auto"/>
      </w:pPr>
      <w:r w:rsidRPr="007D5D74">
        <w:rPr>
          <w:highlight w:val="yellow"/>
        </w:rPr>
        <w:lastRenderedPageBreak/>
        <w:t>CMS requ</w:t>
      </w:r>
      <w:r w:rsidR="00FD3BB9" w:rsidRPr="007D5D74">
        <w:rPr>
          <w:highlight w:val="yellow"/>
        </w:rPr>
        <w:t xml:space="preserve">ests </w:t>
      </w:r>
      <w:r w:rsidRPr="007D5D74">
        <w:rPr>
          <w:highlight w:val="yellow"/>
        </w:rPr>
        <w:t xml:space="preserve">expedited review </w:t>
      </w:r>
      <w:r w:rsidR="00DE73A2" w:rsidRPr="007D5D74">
        <w:rPr>
          <w:highlight w:val="yellow"/>
        </w:rPr>
        <w:t xml:space="preserve">and approval </w:t>
      </w:r>
      <w:r w:rsidR="00FD3BB9" w:rsidRPr="007D5D74">
        <w:rPr>
          <w:highlight w:val="yellow"/>
        </w:rPr>
        <w:t>(see Timeline for details)</w:t>
      </w:r>
      <w:r w:rsidR="00047BAA">
        <w:rPr>
          <w:highlight w:val="yellow"/>
        </w:rPr>
        <w:t xml:space="preserve"> </w:t>
      </w:r>
      <w:r w:rsidR="00FD3BB9" w:rsidRPr="007D5D74">
        <w:rPr>
          <w:highlight w:val="yellow"/>
        </w:rPr>
        <w:t>by December 14, 2015.</w:t>
      </w:r>
    </w:p>
    <w:p w14:paraId="2D9FDB50" w14:textId="77777777" w:rsidR="00FD3BB9" w:rsidRDefault="00FD3BB9" w:rsidP="00BD025A">
      <w:pPr>
        <w:spacing w:after="0" w:line="240" w:lineRule="auto"/>
      </w:pPr>
    </w:p>
    <w:p w14:paraId="37BFF5C0" w14:textId="77777777" w:rsidR="007D6E75" w:rsidRPr="00F54374" w:rsidRDefault="007D6E75" w:rsidP="002928B6">
      <w:pPr>
        <w:pStyle w:val="Heading1"/>
      </w:pPr>
      <w:r w:rsidRPr="00F54374">
        <w:t>A. Background</w:t>
      </w:r>
    </w:p>
    <w:p w14:paraId="4A0550A5" w14:textId="77777777" w:rsidR="002D7087" w:rsidRDefault="002D7087" w:rsidP="00C740E2">
      <w:pPr>
        <w:spacing w:after="0" w:line="240" w:lineRule="auto"/>
        <w:rPr>
          <w:rFonts w:cs="Times New Roman"/>
          <w:szCs w:val="24"/>
        </w:rPr>
      </w:pPr>
    </w:p>
    <w:p w14:paraId="5A43A0F6" w14:textId="77777777" w:rsidR="00C740E2" w:rsidRDefault="00C740E2" w:rsidP="00C740E2">
      <w:pPr>
        <w:spacing w:after="0" w:line="240" w:lineRule="auto"/>
        <w:rPr>
          <w:rFonts w:cs="Times New Roman"/>
          <w:szCs w:val="24"/>
        </w:rPr>
      </w:pPr>
      <w:r w:rsidRPr="006F66FD">
        <w:rPr>
          <w:rFonts w:cs="Times New Roman"/>
          <w:szCs w:val="24"/>
        </w:rPr>
        <w:t>On April 1, 2014, the Protecting Access to Medicare Act of 2014 (Public Law 113-93) was enacted.  The law included “Demonstration Programs to Improve Community Mental Health Services” at Section 223 of the Act.  The program requires:</w:t>
      </w:r>
    </w:p>
    <w:p w14:paraId="6F82F1E1" w14:textId="77777777" w:rsidR="00C740E2" w:rsidRDefault="00C740E2" w:rsidP="00C740E2">
      <w:pPr>
        <w:spacing w:after="0" w:line="240" w:lineRule="auto"/>
        <w:rPr>
          <w:rFonts w:cs="Times New Roman"/>
          <w:szCs w:val="24"/>
        </w:rPr>
      </w:pPr>
    </w:p>
    <w:p w14:paraId="0D862FE4" w14:textId="77777777" w:rsidR="00C740E2" w:rsidRPr="006F66FD" w:rsidRDefault="00C740E2" w:rsidP="00C740E2">
      <w:pPr>
        <w:spacing w:after="0" w:line="240" w:lineRule="auto"/>
        <w:ind w:left="288"/>
        <w:rPr>
          <w:rFonts w:cs="Times New Roman"/>
          <w:szCs w:val="24"/>
        </w:rPr>
      </w:pPr>
      <w:r w:rsidRPr="006F66FD">
        <w:rPr>
          <w:rFonts w:cs="Times New Roman"/>
          <w:szCs w:val="24"/>
        </w:rPr>
        <w:t xml:space="preserve">(1) </w:t>
      </w:r>
      <w:r>
        <w:rPr>
          <w:rFonts w:cs="Times New Roman"/>
          <w:szCs w:val="24"/>
        </w:rPr>
        <w:t xml:space="preserve">the </w:t>
      </w:r>
      <w:r w:rsidRPr="006F66FD">
        <w:rPr>
          <w:rFonts w:cs="Times New Roman"/>
          <w:szCs w:val="24"/>
        </w:rPr>
        <w:t xml:space="preserve">establishment and publication of criteria for clinics to be certified by a state as a certified community behavioral health clinic (CCBHC) to participate in a demonstration program; </w:t>
      </w:r>
    </w:p>
    <w:p w14:paraId="6FE7E7B6" w14:textId="77777777" w:rsidR="00C740E2" w:rsidRPr="006F66FD" w:rsidRDefault="00C740E2" w:rsidP="00C740E2">
      <w:pPr>
        <w:spacing w:after="0" w:line="240" w:lineRule="auto"/>
        <w:ind w:left="288" w:hanging="18"/>
        <w:rPr>
          <w:rFonts w:cs="Times New Roman"/>
          <w:szCs w:val="24"/>
        </w:rPr>
      </w:pPr>
      <w:r w:rsidRPr="006F66FD">
        <w:rPr>
          <w:rFonts w:cs="Times New Roman"/>
          <w:szCs w:val="24"/>
        </w:rPr>
        <w:t xml:space="preserve">(2) the issuance of guidance on the development of a Prospective Payment System (PPS) for testing during the demonstration program; and </w:t>
      </w:r>
    </w:p>
    <w:p w14:paraId="2EB11F90" w14:textId="77777777" w:rsidR="00C740E2" w:rsidRDefault="00C740E2" w:rsidP="00C740E2">
      <w:pPr>
        <w:spacing w:after="0" w:line="240" w:lineRule="auto"/>
        <w:ind w:left="288" w:hanging="18"/>
        <w:rPr>
          <w:rFonts w:cs="Times New Roman"/>
          <w:szCs w:val="24"/>
        </w:rPr>
      </w:pPr>
      <w:r w:rsidRPr="006F66FD">
        <w:rPr>
          <w:rFonts w:cs="Times New Roman"/>
          <w:szCs w:val="24"/>
        </w:rPr>
        <w:t xml:space="preserve">(3) the awarding of planning grants for the purpose of developing proposals to participate in a time-limited demonstration program. </w:t>
      </w:r>
    </w:p>
    <w:p w14:paraId="5C14A742" w14:textId="77777777" w:rsidR="00C740E2" w:rsidRPr="006F66FD" w:rsidRDefault="00C740E2" w:rsidP="00C740E2">
      <w:pPr>
        <w:spacing w:after="0" w:line="240" w:lineRule="auto"/>
        <w:ind w:left="288" w:hanging="18"/>
        <w:rPr>
          <w:rFonts w:cs="Times New Roman"/>
          <w:szCs w:val="24"/>
        </w:rPr>
      </w:pPr>
    </w:p>
    <w:p w14:paraId="1F6187EA" w14:textId="77777777" w:rsidR="00C740E2" w:rsidRPr="006F66FD" w:rsidRDefault="00C740E2" w:rsidP="00C740E2">
      <w:pPr>
        <w:spacing w:after="0" w:line="240" w:lineRule="auto"/>
        <w:rPr>
          <w:rFonts w:cs="Times New Roman"/>
          <w:szCs w:val="24"/>
        </w:rPr>
      </w:pPr>
      <w:r w:rsidRPr="006F66FD">
        <w:rPr>
          <w:rFonts w:cs="Times New Roman"/>
          <w:szCs w:val="24"/>
        </w:rPr>
        <w:t xml:space="preserve">The overall goal is to evaluate demonstration programs in up to eight states that will establish CCBHCs according to specified criteria that will make them eligible for enhanced Medicaid </w:t>
      </w:r>
      <w:r>
        <w:rPr>
          <w:rFonts w:cs="Times New Roman"/>
          <w:szCs w:val="24"/>
        </w:rPr>
        <w:t>payment</w:t>
      </w:r>
      <w:r w:rsidRPr="006F66FD">
        <w:rPr>
          <w:rFonts w:cs="Times New Roman"/>
          <w:szCs w:val="24"/>
        </w:rPr>
        <w:t xml:space="preserve"> through the PPS.</w:t>
      </w:r>
    </w:p>
    <w:p w14:paraId="7BA7D5ED" w14:textId="77777777" w:rsidR="00C740E2" w:rsidRPr="006F66FD" w:rsidRDefault="00C740E2" w:rsidP="00C740E2">
      <w:pPr>
        <w:spacing w:after="0" w:line="240" w:lineRule="auto"/>
        <w:rPr>
          <w:rFonts w:cs="Times New Roman"/>
          <w:szCs w:val="24"/>
        </w:rPr>
      </w:pPr>
    </w:p>
    <w:p w14:paraId="70C6CE98" w14:textId="77777777" w:rsidR="00C740E2" w:rsidRPr="006F66FD" w:rsidRDefault="00C740E2" w:rsidP="00C740E2">
      <w:pPr>
        <w:spacing w:after="0" w:line="240" w:lineRule="auto"/>
        <w:rPr>
          <w:rFonts w:cs="Times New Roman"/>
          <w:szCs w:val="24"/>
        </w:rPr>
      </w:pPr>
      <w:r w:rsidRPr="006F66FD">
        <w:rPr>
          <w:rFonts w:cs="Times New Roman"/>
          <w:szCs w:val="24"/>
        </w:rPr>
        <w:t xml:space="preserve">Populations to be served are adults with serious mental illness, children with serious emotional disturbance, those with long term and serious substance use disorders, as well as others with </w:t>
      </w:r>
      <w:r w:rsidR="005A318E">
        <w:rPr>
          <w:rFonts w:cs="Times New Roman"/>
          <w:szCs w:val="24"/>
        </w:rPr>
        <w:t xml:space="preserve">comorbid </w:t>
      </w:r>
      <w:r w:rsidRPr="006F66FD">
        <w:rPr>
          <w:rFonts w:cs="Times New Roman"/>
          <w:szCs w:val="24"/>
        </w:rPr>
        <w:t>mental illness and substance use disorders.</w:t>
      </w:r>
    </w:p>
    <w:p w14:paraId="15F093D5" w14:textId="77777777" w:rsidR="00C740E2" w:rsidRPr="006F66FD" w:rsidRDefault="00C740E2" w:rsidP="00C740E2">
      <w:pPr>
        <w:spacing w:after="0" w:line="240" w:lineRule="auto"/>
        <w:rPr>
          <w:rFonts w:cs="Times New Roman"/>
          <w:szCs w:val="24"/>
        </w:rPr>
      </w:pPr>
    </w:p>
    <w:p w14:paraId="49641A89" w14:textId="77777777" w:rsidR="00C740E2" w:rsidRDefault="00C740E2" w:rsidP="00C740E2">
      <w:pPr>
        <w:spacing w:after="0" w:line="240" w:lineRule="auto"/>
        <w:rPr>
          <w:rFonts w:cs="Times New Roman"/>
          <w:szCs w:val="24"/>
        </w:rPr>
      </w:pPr>
      <w:r w:rsidRPr="006F66FD">
        <w:rPr>
          <w:rFonts w:cs="Times New Roman"/>
          <w:szCs w:val="24"/>
        </w:rPr>
        <w:t>CMS is working collaboratively with the Substance Abuse and Mental Health Services Administration (SAM</w:t>
      </w:r>
      <w:r w:rsidR="00A211F4">
        <w:rPr>
          <w:rFonts w:cs="Times New Roman"/>
          <w:szCs w:val="24"/>
        </w:rPr>
        <w:t>H</w:t>
      </w:r>
      <w:r w:rsidRPr="006F66FD">
        <w:rPr>
          <w:rFonts w:cs="Times New Roman"/>
          <w:szCs w:val="24"/>
        </w:rPr>
        <w:t xml:space="preserve">SA) and the Assistant Secretary for Planning and Evaluation (ASPE) to implement </w:t>
      </w:r>
      <w:r>
        <w:rPr>
          <w:rFonts w:cs="Times New Roman"/>
          <w:szCs w:val="24"/>
        </w:rPr>
        <w:t xml:space="preserve">the </w:t>
      </w:r>
      <w:r w:rsidRPr="006F66FD">
        <w:rPr>
          <w:rFonts w:cs="Times New Roman"/>
          <w:szCs w:val="24"/>
        </w:rPr>
        <w:t>Section 223</w:t>
      </w:r>
      <w:r>
        <w:rPr>
          <w:rFonts w:cs="Times New Roman"/>
          <w:szCs w:val="24"/>
        </w:rPr>
        <w:t xml:space="preserve"> </w:t>
      </w:r>
      <w:r w:rsidRPr="006F66FD">
        <w:rPr>
          <w:rFonts w:cs="Times New Roman"/>
          <w:szCs w:val="24"/>
        </w:rPr>
        <w:t>Demonstration Programs to Improve Community Mental Health Services.</w:t>
      </w:r>
    </w:p>
    <w:p w14:paraId="205AD08A" w14:textId="77777777" w:rsidR="00C740E2" w:rsidRDefault="00C740E2" w:rsidP="00C740E2">
      <w:pPr>
        <w:spacing w:after="0" w:line="240" w:lineRule="auto"/>
        <w:rPr>
          <w:rFonts w:cs="Times New Roman"/>
          <w:szCs w:val="24"/>
        </w:rPr>
      </w:pPr>
    </w:p>
    <w:p w14:paraId="56FEFEA5" w14:textId="77777777" w:rsidR="00C740E2" w:rsidRDefault="00C740E2" w:rsidP="00C740E2">
      <w:pPr>
        <w:spacing w:after="0" w:line="240" w:lineRule="auto"/>
        <w:ind w:firstLine="288"/>
        <w:rPr>
          <w:rFonts w:cs="Times New Roman"/>
          <w:b/>
          <w:szCs w:val="24"/>
        </w:rPr>
      </w:pPr>
      <w:r w:rsidRPr="00596FB5">
        <w:rPr>
          <w:rFonts w:cs="Times New Roman"/>
          <w:b/>
          <w:szCs w:val="24"/>
        </w:rPr>
        <w:t>*CMS prepared guidance to states to establish a prospective payment system,</w:t>
      </w:r>
      <w:r>
        <w:rPr>
          <w:rFonts w:cs="Times New Roman"/>
          <w:b/>
          <w:szCs w:val="24"/>
        </w:rPr>
        <w:t xml:space="preserve"> that is </w:t>
      </w:r>
      <w:r w:rsidRPr="00596FB5">
        <w:rPr>
          <w:rFonts w:cs="Times New Roman"/>
          <w:b/>
          <w:szCs w:val="24"/>
        </w:rPr>
        <w:t>found in</w:t>
      </w:r>
      <w:r>
        <w:rPr>
          <w:rFonts w:cs="Times New Roman"/>
          <w:b/>
          <w:szCs w:val="24"/>
        </w:rPr>
        <w:t xml:space="preserve"> the Request for Applications (RFA)</w:t>
      </w:r>
      <w:r w:rsidRPr="00596FB5">
        <w:rPr>
          <w:rFonts w:cs="Times New Roman"/>
          <w:b/>
          <w:szCs w:val="24"/>
        </w:rPr>
        <w:t xml:space="preserve"> under Appendix III - Section 223 Demonstration Programs to Improve Community Mental Health Services Prospective Payment System (PPS) Guidance. </w:t>
      </w:r>
      <w:r>
        <w:rPr>
          <w:rFonts w:cs="Times New Roman"/>
          <w:b/>
          <w:szCs w:val="24"/>
        </w:rPr>
        <w:t xml:space="preserve">The RFA pertains to demonstration planning grants. </w:t>
      </w:r>
    </w:p>
    <w:p w14:paraId="0F7BE8D8" w14:textId="77777777" w:rsidR="00C740E2" w:rsidRPr="00596FB5" w:rsidRDefault="00C740E2" w:rsidP="00C740E2">
      <w:pPr>
        <w:spacing w:after="0" w:line="240" w:lineRule="auto"/>
        <w:ind w:firstLine="288"/>
        <w:rPr>
          <w:rFonts w:cs="Times New Roman"/>
          <w:b/>
          <w:szCs w:val="24"/>
        </w:rPr>
      </w:pPr>
      <w:r w:rsidRPr="00596FB5">
        <w:rPr>
          <w:rFonts w:cs="Times New Roman"/>
          <w:b/>
          <w:szCs w:val="24"/>
        </w:rPr>
        <w:t xml:space="preserve"> </w:t>
      </w:r>
    </w:p>
    <w:p w14:paraId="1FA06556" w14:textId="77777777" w:rsidR="00C740E2" w:rsidRDefault="00C740E2" w:rsidP="00C740E2">
      <w:pPr>
        <w:spacing w:after="0" w:line="240" w:lineRule="auto"/>
        <w:ind w:firstLine="288"/>
        <w:rPr>
          <w:rFonts w:cs="Times New Roman"/>
          <w:szCs w:val="24"/>
        </w:rPr>
      </w:pPr>
      <w:r w:rsidRPr="006F66FD">
        <w:rPr>
          <w:rFonts w:cs="Times New Roman"/>
          <w:szCs w:val="24"/>
        </w:rPr>
        <w:t xml:space="preserve">*SAMHSA developed the certification criteria found in the RFA under Appendix II - Criteria for the Demonstration Program to Improve Community Mental Health Centers and to Establish Certified Community Behavioral Health Clinics.  </w:t>
      </w:r>
    </w:p>
    <w:p w14:paraId="675C56ED" w14:textId="77777777" w:rsidR="00C740E2" w:rsidRPr="006F66FD" w:rsidRDefault="00C740E2" w:rsidP="00C740E2">
      <w:pPr>
        <w:spacing w:after="0" w:line="240" w:lineRule="auto"/>
        <w:ind w:firstLine="288"/>
        <w:rPr>
          <w:rFonts w:cs="Times New Roman"/>
          <w:szCs w:val="24"/>
        </w:rPr>
      </w:pPr>
    </w:p>
    <w:p w14:paraId="5C7FB543" w14:textId="77777777" w:rsidR="00C740E2" w:rsidRPr="006F66FD" w:rsidRDefault="00C740E2" w:rsidP="00C740E2">
      <w:pPr>
        <w:spacing w:after="0" w:line="240" w:lineRule="auto"/>
        <w:ind w:firstLine="288"/>
        <w:rPr>
          <w:rFonts w:cs="Times New Roman"/>
          <w:szCs w:val="24"/>
        </w:rPr>
      </w:pPr>
      <w:r w:rsidRPr="006F66FD">
        <w:rPr>
          <w:rFonts w:cs="Times New Roman"/>
          <w:szCs w:val="24"/>
        </w:rPr>
        <w:t xml:space="preserve">*ASPE will direct the national evaluation of the demonstration program. </w:t>
      </w:r>
    </w:p>
    <w:p w14:paraId="2A59AC26" w14:textId="77777777" w:rsidR="00C740E2" w:rsidRPr="006F66FD" w:rsidRDefault="00C740E2" w:rsidP="00C740E2">
      <w:pPr>
        <w:spacing w:after="0" w:line="240" w:lineRule="auto"/>
        <w:rPr>
          <w:rFonts w:cs="Times New Roman"/>
          <w:szCs w:val="24"/>
        </w:rPr>
      </w:pPr>
    </w:p>
    <w:p w14:paraId="4D2DFB5B" w14:textId="77777777" w:rsidR="00C740E2" w:rsidRPr="006F66FD" w:rsidRDefault="00C740E2" w:rsidP="00C740E2">
      <w:pPr>
        <w:spacing w:after="0" w:line="240" w:lineRule="auto"/>
        <w:rPr>
          <w:rFonts w:cs="Times New Roman"/>
          <w:szCs w:val="24"/>
        </w:rPr>
      </w:pPr>
      <w:r w:rsidRPr="006F66FD">
        <w:rPr>
          <w:rFonts w:cs="Times New Roman"/>
          <w:szCs w:val="24"/>
        </w:rPr>
        <w:t>The awarding of Planning Grants</w:t>
      </w:r>
      <w:r>
        <w:rPr>
          <w:rFonts w:cs="Times New Roman"/>
          <w:szCs w:val="24"/>
        </w:rPr>
        <w:t xml:space="preserve"> to states</w:t>
      </w:r>
      <w:r w:rsidRPr="006F66FD">
        <w:rPr>
          <w:rFonts w:cs="Times New Roman"/>
          <w:szCs w:val="24"/>
        </w:rPr>
        <w:t xml:space="preserve"> is the first phase of a two-phase process.  Phase I provides funds for one year to states to certify community behavioral health clinics, establish a PPS for Medicaid reimbursable behavioral health services provided by the certified clinics, and prepare an application to participate in a two-year demonstration program.</w:t>
      </w:r>
      <w:r>
        <w:rPr>
          <w:rFonts w:cs="Times New Roman"/>
          <w:szCs w:val="24"/>
        </w:rPr>
        <w:t xml:space="preserve"> Phase II consists of the two-year demonstration that is slated to begin early 2017.</w:t>
      </w:r>
    </w:p>
    <w:p w14:paraId="329C885B" w14:textId="77777777" w:rsidR="009B19E8" w:rsidRPr="008111D2" w:rsidRDefault="009B19E8" w:rsidP="002928B6">
      <w:pPr>
        <w:pStyle w:val="Heading1"/>
      </w:pPr>
    </w:p>
    <w:p w14:paraId="3A27E8A5" w14:textId="77777777" w:rsidR="007D6E75" w:rsidRPr="008111D2" w:rsidRDefault="007D6E75" w:rsidP="002928B6">
      <w:pPr>
        <w:pStyle w:val="Heading1"/>
      </w:pPr>
      <w:r w:rsidRPr="008111D2">
        <w:t>B. Description of Information Collection</w:t>
      </w:r>
    </w:p>
    <w:p w14:paraId="3AA5C33C" w14:textId="77777777" w:rsidR="00075863" w:rsidRDefault="00075863" w:rsidP="006F66FD">
      <w:pPr>
        <w:spacing w:after="0" w:line="240" w:lineRule="auto"/>
        <w:rPr>
          <w:rFonts w:cs="Times New Roman"/>
          <w:szCs w:val="24"/>
          <w:u w:val="single"/>
        </w:rPr>
      </w:pPr>
    </w:p>
    <w:p w14:paraId="2814D6C3" w14:textId="77777777" w:rsidR="006F66FD" w:rsidRPr="00596FB5" w:rsidRDefault="006F66FD" w:rsidP="006F66FD">
      <w:pPr>
        <w:spacing w:after="0" w:line="240" w:lineRule="auto"/>
        <w:rPr>
          <w:rFonts w:cs="Times New Roman"/>
          <w:szCs w:val="24"/>
          <w:u w:val="single"/>
        </w:rPr>
      </w:pPr>
      <w:r w:rsidRPr="00596FB5">
        <w:rPr>
          <w:rFonts w:cs="Times New Roman"/>
          <w:szCs w:val="24"/>
          <w:u w:val="single"/>
        </w:rPr>
        <w:t>CCBHC Cost Report</w:t>
      </w:r>
    </w:p>
    <w:p w14:paraId="427FC1FE" w14:textId="77777777" w:rsidR="00CE0707" w:rsidRDefault="00CE0707" w:rsidP="00CE0707">
      <w:pPr>
        <w:spacing w:after="0" w:line="240" w:lineRule="auto"/>
        <w:rPr>
          <w:rFonts w:cs="Times New Roman"/>
          <w:szCs w:val="24"/>
        </w:rPr>
      </w:pPr>
    </w:p>
    <w:p w14:paraId="3A420E3B" w14:textId="5F8196F4" w:rsidR="00CE0707" w:rsidRPr="006F66FD" w:rsidRDefault="00CE0707" w:rsidP="00CE0707">
      <w:pPr>
        <w:spacing w:after="0" w:line="240" w:lineRule="auto"/>
        <w:rPr>
          <w:rFonts w:cs="Times New Roman"/>
          <w:szCs w:val="24"/>
        </w:rPr>
      </w:pPr>
      <w:r w:rsidRPr="006F66FD">
        <w:rPr>
          <w:rFonts w:cs="Times New Roman"/>
          <w:szCs w:val="24"/>
        </w:rPr>
        <w:t xml:space="preserve">The </w:t>
      </w:r>
      <w:r>
        <w:rPr>
          <w:rFonts w:cs="Times New Roman"/>
          <w:szCs w:val="24"/>
        </w:rPr>
        <w:t xml:space="preserve">cost report </w:t>
      </w:r>
      <w:r w:rsidRPr="006F66FD">
        <w:rPr>
          <w:rFonts w:cs="Times New Roman"/>
          <w:szCs w:val="24"/>
        </w:rPr>
        <w:t xml:space="preserve">provides the format the </w:t>
      </w:r>
      <w:r>
        <w:rPr>
          <w:rFonts w:cs="Times New Roman"/>
          <w:szCs w:val="24"/>
        </w:rPr>
        <w:t xml:space="preserve">state or </w:t>
      </w:r>
      <w:r w:rsidRPr="006F66FD">
        <w:rPr>
          <w:rFonts w:cs="Times New Roman"/>
          <w:szCs w:val="24"/>
        </w:rPr>
        <w:t xml:space="preserve">CCBHCs may use to calculate </w:t>
      </w:r>
      <w:r>
        <w:rPr>
          <w:rFonts w:cs="Times New Roman"/>
          <w:szCs w:val="24"/>
        </w:rPr>
        <w:t>P</w:t>
      </w:r>
      <w:r w:rsidRPr="006F66FD">
        <w:rPr>
          <w:rFonts w:cs="Times New Roman"/>
          <w:szCs w:val="24"/>
        </w:rPr>
        <w:t>PS rates in the Demonstration Program. The proposed PPS rates would be effective beginning January 1, 2017.</w:t>
      </w:r>
    </w:p>
    <w:p w14:paraId="1328C8ED" w14:textId="77777777" w:rsidR="00CE0707" w:rsidRPr="006F66FD" w:rsidRDefault="00CE0707" w:rsidP="00CE0707">
      <w:pPr>
        <w:spacing w:after="0" w:line="240" w:lineRule="auto"/>
        <w:rPr>
          <w:rFonts w:cs="Times New Roman"/>
          <w:szCs w:val="24"/>
        </w:rPr>
      </w:pPr>
    </w:p>
    <w:p w14:paraId="1EB0D742" w14:textId="77777777" w:rsidR="006F66FD" w:rsidRPr="006F66FD" w:rsidRDefault="006F66FD" w:rsidP="006F66FD">
      <w:pPr>
        <w:spacing w:after="0" w:line="240" w:lineRule="auto"/>
        <w:rPr>
          <w:rFonts w:cs="Times New Roman"/>
          <w:szCs w:val="24"/>
        </w:rPr>
      </w:pPr>
      <w:r w:rsidRPr="006F66FD">
        <w:rPr>
          <w:rFonts w:cs="Times New Roman"/>
          <w:szCs w:val="24"/>
        </w:rPr>
        <w:t xml:space="preserve">Data from the cost report will be used to develop the PPS rate for each individual clinic in each state participating in the demonstration.  The PPS rates will be specific to each clinic.  CMS offers states the option of using one of two methodologies: either the Certified Clinic Prospective Payment System (CC PPS-1), which is a daily rate, or </w:t>
      </w:r>
      <w:r w:rsidR="00A211F4">
        <w:rPr>
          <w:rFonts w:cs="Times New Roman"/>
          <w:szCs w:val="24"/>
        </w:rPr>
        <w:t xml:space="preserve">the </w:t>
      </w:r>
      <w:r w:rsidRPr="006F66FD">
        <w:rPr>
          <w:rFonts w:cs="Times New Roman"/>
          <w:szCs w:val="24"/>
        </w:rPr>
        <w:t xml:space="preserve">CC PPS Alternative (CC PPS-2), which is a monthly rate.  CCBHCs in states that choose CC PPS-2 rate methodology will require additional time to gather data for certain populations and account for outlier thresholds.  </w:t>
      </w:r>
    </w:p>
    <w:p w14:paraId="013ECA6F" w14:textId="77777777" w:rsidR="006F66FD" w:rsidRPr="006F66FD" w:rsidRDefault="006F66FD" w:rsidP="006F66FD">
      <w:pPr>
        <w:spacing w:after="0" w:line="240" w:lineRule="auto"/>
        <w:rPr>
          <w:rFonts w:cs="Times New Roman"/>
          <w:szCs w:val="24"/>
        </w:rPr>
      </w:pPr>
    </w:p>
    <w:p w14:paraId="60E8B46D" w14:textId="77777777" w:rsidR="006F66FD" w:rsidRPr="006F66FD" w:rsidRDefault="006F66FD" w:rsidP="006F66FD">
      <w:pPr>
        <w:spacing w:after="0" w:line="240" w:lineRule="auto"/>
        <w:rPr>
          <w:rFonts w:cs="Times New Roman"/>
          <w:szCs w:val="24"/>
        </w:rPr>
      </w:pPr>
      <w:r w:rsidRPr="006F66FD">
        <w:rPr>
          <w:rFonts w:cs="Times New Roman"/>
          <w:szCs w:val="24"/>
        </w:rPr>
        <w:t xml:space="preserve">Because use of this cost report involves participation in the two- year Demonstration Program, the information is expected to be collected once, assuming rates are trended forward for the second year of the demonstration using the Medicare Economic Index (MEI).  However, if the state requires CCBHCs to rebase the cost report for year two of the demonstration, the CCBHC would complete the cost report twice. </w:t>
      </w:r>
    </w:p>
    <w:p w14:paraId="5A5EAAF7" w14:textId="77777777" w:rsidR="006F66FD" w:rsidRPr="006F66FD" w:rsidRDefault="006F66FD" w:rsidP="006F66FD">
      <w:pPr>
        <w:spacing w:after="0" w:line="240" w:lineRule="auto"/>
        <w:rPr>
          <w:rFonts w:cs="Times New Roman"/>
          <w:szCs w:val="24"/>
        </w:rPr>
      </w:pPr>
    </w:p>
    <w:p w14:paraId="7CD1A436" w14:textId="77777777" w:rsidR="006F66FD" w:rsidRPr="006F66FD" w:rsidRDefault="006F66FD" w:rsidP="006F66FD">
      <w:pPr>
        <w:spacing w:after="0" w:line="240" w:lineRule="auto"/>
        <w:rPr>
          <w:rFonts w:cs="Times New Roman"/>
          <w:szCs w:val="24"/>
        </w:rPr>
      </w:pPr>
      <w:r w:rsidRPr="006F66FD">
        <w:rPr>
          <w:rFonts w:cs="Times New Roman"/>
          <w:szCs w:val="24"/>
        </w:rPr>
        <w:t xml:space="preserve">Up to eight states may be selected to participate in the Demonstration Program.   There must be at least two CCBHCs per state, but there is no express limit on the number within a state.  </w:t>
      </w:r>
    </w:p>
    <w:p w14:paraId="1195ADB2" w14:textId="77777777" w:rsidR="006F66FD" w:rsidRPr="006F66FD" w:rsidRDefault="006F66FD" w:rsidP="006F66FD">
      <w:pPr>
        <w:spacing w:after="0" w:line="240" w:lineRule="auto"/>
        <w:rPr>
          <w:rFonts w:cs="Times New Roman"/>
          <w:szCs w:val="24"/>
        </w:rPr>
      </w:pPr>
    </w:p>
    <w:p w14:paraId="363545BB" w14:textId="77777777" w:rsidR="006F66FD" w:rsidRPr="003644B6" w:rsidRDefault="003644B6" w:rsidP="006F66FD">
      <w:pPr>
        <w:spacing w:after="0" w:line="240" w:lineRule="auto"/>
        <w:rPr>
          <w:rFonts w:cs="Times New Roman"/>
          <w:szCs w:val="24"/>
          <w:u w:val="single"/>
        </w:rPr>
      </w:pPr>
      <w:r w:rsidRPr="003644B6">
        <w:rPr>
          <w:rFonts w:cs="Times New Roman"/>
          <w:szCs w:val="24"/>
          <w:u w:val="single"/>
        </w:rPr>
        <w:t xml:space="preserve">Section 223 State </w:t>
      </w:r>
      <w:r w:rsidR="006F66FD" w:rsidRPr="003644B6">
        <w:rPr>
          <w:rFonts w:cs="Times New Roman"/>
          <w:szCs w:val="24"/>
          <w:u w:val="single"/>
        </w:rPr>
        <w:t>Planning Grant Application</w:t>
      </w:r>
    </w:p>
    <w:p w14:paraId="34C0D606" w14:textId="77777777" w:rsidR="003644B6" w:rsidRPr="006F66FD" w:rsidRDefault="003644B6" w:rsidP="006F66FD">
      <w:pPr>
        <w:spacing w:after="0" w:line="240" w:lineRule="auto"/>
        <w:rPr>
          <w:rFonts w:cs="Times New Roman"/>
          <w:szCs w:val="24"/>
        </w:rPr>
      </w:pPr>
    </w:p>
    <w:p w14:paraId="64DF7BC5" w14:textId="77777777" w:rsidR="006F66FD" w:rsidRPr="006F66FD" w:rsidRDefault="00CE0707" w:rsidP="006F66FD">
      <w:pPr>
        <w:spacing w:after="0" w:line="240" w:lineRule="auto"/>
        <w:rPr>
          <w:rFonts w:cs="Times New Roman"/>
          <w:szCs w:val="24"/>
        </w:rPr>
      </w:pPr>
      <w:r>
        <w:rPr>
          <w:rFonts w:cs="Times New Roman"/>
          <w:szCs w:val="24"/>
        </w:rPr>
        <w:t>On O</w:t>
      </w:r>
      <w:r w:rsidR="00A94F97">
        <w:rPr>
          <w:rFonts w:cs="Times New Roman"/>
          <w:szCs w:val="24"/>
        </w:rPr>
        <w:t xml:space="preserve">ctober </w:t>
      </w:r>
      <w:r w:rsidR="00E2502B">
        <w:rPr>
          <w:rFonts w:cs="Times New Roman"/>
          <w:szCs w:val="24"/>
        </w:rPr>
        <w:t xml:space="preserve">19, 2015, SAMHSA awarded </w:t>
      </w:r>
      <w:r w:rsidR="00546E01">
        <w:rPr>
          <w:rFonts w:cs="Times New Roman"/>
          <w:szCs w:val="24"/>
        </w:rPr>
        <w:t xml:space="preserve">24 </w:t>
      </w:r>
      <w:r w:rsidR="006F66FD" w:rsidRPr="006F66FD">
        <w:rPr>
          <w:rFonts w:cs="Times New Roman"/>
          <w:szCs w:val="24"/>
        </w:rPr>
        <w:t xml:space="preserve">Planning grants </w:t>
      </w:r>
      <w:r w:rsidR="00546E01">
        <w:rPr>
          <w:rFonts w:cs="Times New Roman"/>
          <w:szCs w:val="24"/>
        </w:rPr>
        <w:t xml:space="preserve">to </w:t>
      </w:r>
      <w:r w:rsidR="006F66FD" w:rsidRPr="006F66FD">
        <w:rPr>
          <w:rFonts w:cs="Times New Roman"/>
          <w:szCs w:val="24"/>
        </w:rPr>
        <w:t>states</w:t>
      </w:r>
      <w:r w:rsidR="00546E01">
        <w:rPr>
          <w:rFonts w:cs="Times New Roman"/>
          <w:szCs w:val="24"/>
        </w:rPr>
        <w:t xml:space="preserve"> to </w:t>
      </w:r>
      <w:r w:rsidR="00546E01" w:rsidRPr="006F66FD">
        <w:rPr>
          <w:rFonts w:cs="Times New Roman"/>
          <w:szCs w:val="24"/>
        </w:rPr>
        <w:t>provide</w:t>
      </w:r>
      <w:r w:rsidR="00546E01">
        <w:rPr>
          <w:rFonts w:cs="Times New Roman"/>
          <w:szCs w:val="24"/>
        </w:rPr>
        <w:t xml:space="preserve"> funding through the </w:t>
      </w:r>
      <w:r w:rsidR="00546E01" w:rsidRPr="006F66FD">
        <w:rPr>
          <w:rFonts w:cs="Times New Roman"/>
          <w:szCs w:val="24"/>
        </w:rPr>
        <w:t xml:space="preserve">one year </w:t>
      </w:r>
      <w:r w:rsidR="00546E01">
        <w:rPr>
          <w:rFonts w:cs="Times New Roman"/>
          <w:szCs w:val="24"/>
        </w:rPr>
        <w:t xml:space="preserve">planning phase of the demonstration. Federal grant funding will be used by states to </w:t>
      </w:r>
      <w:r w:rsidR="00546E01" w:rsidRPr="006F66FD">
        <w:rPr>
          <w:rFonts w:cs="Times New Roman"/>
          <w:szCs w:val="24"/>
        </w:rPr>
        <w:t>certify community behavioral health clinics, establish</w:t>
      </w:r>
      <w:r w:rsidR="00546E01">
        <w:rPr>
          <w:rFonts w:cs="Times New Roman"/>
          <w:szCs w:val="24"/>
        </w:rPr>
        <w:t xml:space="preserve"> </w:t>
      </w:r>
      <w:r w:rsidR="00546E01" w:rsidRPr="006F66FD">
        <w:rPr>
          <w:rFonts w:cs="Times New Roman"/>
          <w:szCs w:val="24"/>
        </w:rPr>
        <w:t>a PPS for Medicaid reimburs</w:t>
      </w:r>
      <w:r w:rsidR="00546E01">
        <w:rPr>
          <w:rFonts w:cs="Times New Roman"/>
          <w:szCs w:val="24"/>
        </w:rPr>
        <w:t>able behavioral health services</w:t>
      </w:r>
      <w:r w:rsidR="00546E01" w:rsidRPr="006F66FD">
        <w:rPr>
          <w:rFonts w:cs="Times New Roman"/>
          <w:szCs w:val="24"/>
        </w:rPr>
        <w:t>, and prepare an application to participate in a two-year demonstration program.</w:t>
      </w:r>
      <w:r w:rsidR="00546E01">
        <w:rPr>
          <w:rFonts w:cs="Times New Roman"/>
          <w:szCs w:val="24"/>
        </w:rPr>
        <w:t xml:space="preserve"> </w:t>
      </w:r>
      <w:r w:rsidR="00E2502B">
        <w:rPr>
          <w:rFonts w:cs="Times New Roman"/>
          <w:szCs w:val="24"/>
        </w:rPr>
        <w:t xml:space="preserve"> </w:t>
      </w:r>
      <w:r w:rsidR="00546E01">
        <w:rPr>
          <w:rFonts w:cs="Times New Roman"/>
          <w:szCs w:val="24"/>
        </w:rPr>
        <w:t xml:space="preserve">At the end of the planning phase of the demonstration, states are required to submit an application </w:t>
      </w:r>
      <w:r w:rsidR="006F66FD" w:rsidRPr="006F66FD">
        <w:rPr>
          <w:rFonts w:cs="Times New Roman"/>
          <w:szCs w:val="24"/>
        </w:rPr>
        <w:t>to</w:t>
      </w:r>
      <w:r w:rsidR="00546E01">
        <w:rPr>
          <w:rFonts w:cs="Times New Roman"/>
          <w:szCs w:val="24"/>
        </w:rPr>
        <w:t xml:space="preserve"> </w:t>
      </w:r>
      <w:r w:rsidR="006F66FD" w:rsidRPr="006F66FD">
        <w:rPr>
          <w:rFonts w:cs="Times New Roman"/>
          <w:szCs w:val="24"/>
        </w:rPr>
        <w:t xml:space="preserve">show that they can meet all demonstration requirements set by SAMHSA and CMS. </w:t>
      </w:r>
    </w:p>
    <w:p w14:paraId="6C9C1B5E" w14:textId="77777777" w:rsidR="006F66FD" w:rsidRPr="006F66FD" w:rsidRDefault="006F66FD" w:rsidP="006F66FD">
      <w:pPr>
        <w:spacing w:after="0" w:line="240" w:lineRule="auto"/>
        <w:rPr>
          <w:rFonts w:cs="Times New Roman"/>
          <w:szCs w:val="24"/>
        </w:rPr>
      </w:pPr>
    </w:p>
    <w:p w14:paraId="3BD2C715" w14:textId="77777777" w:rsidR="006F66FD" w:rsidRDefault="006F66FD" w:rsidP="006F66FD">
      <w:pPr>
        <w:spacing w:after="0" w:line="240" w:lineRule="auto"/>
        <w:rPr>
          <w:rFonts w:cs="Times New Roman"/>
          <w:szCs w:val="24"/>
        </w:rPr>
      </w:pPr>
      <w:r w:rsidRPr="006F66FD">
        <w:rPr>
          <w:rFonts w:cs="Times New Roman"/>
          <w:szCs w:val="24"/>
        </w:rPr>
        <w:t xml:space="preserve">States should complete the </w:t>
      </w:r>
      <w:r w:rsidR="00E47B65" w:rsidRPr="006F66FD">
        <w:rPr>
          <w:rFonts w:cs="Times New Roman"/>
          <w:szCs w:val="24"/>
        </w:rPr>
        <w:t>one time</w:t>
      </w:r>
      <w:r w:rsidR="00E47B65">
        <w:rPr>
          <w:rFonts w:cs="Times New Roman"/>
          <w:szCs w:val="24"/>
        </w:rPr>
        <w:t xml:space="preserve"> application </w:t>
      </w:r>
      <w:r w:rsidRPr="006F66FD">
        <w:rPr>
          <w:rFonts w:cs="Times New Roman"/>
          <w:szCs w:val="24"/>
        </w:rPr>
        <w:t>template that includes the PPS methodology and criteria for a clinic to become certified prior to being selected for the demonstration program.  The template will serve as the application for consideration to participate in the demonstration.</w:t>
      </w:r>
    </w:p>
    <w:p w14:paraId="202C33B1" w14:textId="77777777" w:rsidR="002928B6" w:rsidRPr="002928B6" w:rsidRDefault="002928B6" w:rsidP="00E57856">
      <w:pPr>
        <w:keepNext/>
        <w:keepLines/>
        <w:spacing w:after="0" w:line="240" w:lineRule="auto"/>
        <w:outlineLvl w:val="0"/>
        <w:rPr>
          <w:rFonts w:eastAsiaTheme="majorEastAsia" w:cs="Times New Roman"/>
          <w:b/>
          <w:bCs/>
          <w:color w:val="000000" w:themeColor="text1"/>
          <w:szCs w:val="24"/>
        </w:rPr>
      </w:pPr>
    </w:p>
    <w:p w14:paraId="5AC7D694" w14:textId="77777777" w:rsidR="007D6E75" w:rsidRPr="008111D2" w:rsidRDefault="007D6E75" w:rsidP="00E57856">
      <w:pPr>
        <w:pStyle w:val="Heading1"/>
      </w:pPr>
      <w:r w:rsidRPr="008111D2">
        <w:t>C. Deviations from Generic Request</w:t>
      </w:r>
    </w:p>
    <w:p w14:paraId="3F7FDE55" w14:textId="77777777" w:rsidR="006F66FD" w:rsidRDefault="006F66FD" w:rsidP="00E57856">
      <w:pPr>
        <w:spacing w:after="0" w:line="240" w:lineRule="auto"/>
        <w:rPr>
          <w:szCs w:val="24"/>
        </w:rPr>
      </w:pPr>
    </w:p>
    <w:p w14:paraId="061E6EE8" w14:textId="1FB744A5" w:rsidR="00E2436A" w:rsidRDefault="000537D3" w:rsidP="00E57856">
      <w:pPr>
        <w:spacing w:after="0" w:line="240" w:lineRule="auto"/>
      </w:pPr>
      <w:r>
        <w:t>C</w:t>
      </w:r>
      <w:r w:rsidR="00E57856">
        <w:t>ollections approved under this package</w:t>
      </w:r>
      <w:r>
        <w:t xml:space="preserve"> </w:t>
      </w:r>
      <w:r w:rsidR="00E57856">
        <w:t xml:space="preserve">are reviewed/approved under OMB’s generic process. As such, they are usually not subject to formal public review and comment. In this instance, however, CMS </w:t>
      </w:r>
      <w:r>
        <w:t xml:space="preserve">was </w:t>
      </w:r>
      <w:r w:rsidR="00E57856">
        <w:t xml:space="preserve">interested in receiving public input </w:t>
      </w:r>
      <w:r>
        <w:t xml:space="preserve">with regard to the cost report. Consequently, CMS published a 30-day Federal Register notice on September 14, 2015 (80 FR 55118). The </w:t>
      </w:r>
      <w:r w:rsidR="00E57856">
        <w:t xml:space="preserve">cost report, cost report instructions, and Supporting Statement </w:t>
      </w:r>
      <w:r>
        <w:t xml:space="preserve">were posted on CMS’ website </w:t>
      </w:r>
      <w:r w:rsidR="00E57856">
        <w:t>for public review</w:t>
      </w:r>
      <w:r>
        <w:t>/comment</w:t>
      </w:r>
      <w:r w:rsidR="00E57856">
        <w:t>.</w:t>
      </w:r>
      <w:r>
        <w:t xml:space="preserve"> Comments were received and have been added to this package along with our response.</w:t>
      </w:r>
      <w:r w:rsidR="00802786">
        <w:t xml:space="preserve"> We have also added a Crosswalk which sets out the specific changes that were made subsequent to the publication of the 30-day notice.</w:t>
      </w:r>
      <w:r w:rsidR="00A33C4B">
        <w:t xml:space="preserve"> </w:t>
      </w:r>
      <w:r w:rsidR="00E2436A">
        <w:t>The planning grant application was not set out for public comment.</w:t>
      </w:r>
    </w:p>
    <w:p w14:paraId="589169A2" w14:textId="77777777" w:rsidR="00E2436A" w:rsidRPr="00E57856" w:rsidRDefault="00E2436A" w:rsidP="00E57856">
      <w:pPr>
        <w:spacing w:after="0" w:line="240" w:lineRule="auto"/>
      </w:pPr>
    </w:p>
    <w:p w14:paraId="492D928A" w14:textId="77777777" w:rsidR="007D6E75" w:rsidRPr="008111D2" w:rsidRDefault="007D6E75" w:rsidP="00E57856">
      <w:pPr>
        <w:pStyle w:val="Heading1"/>
      </w:pPr>
      <w:r w:rsidRPr="008111D2">
        <w:t>D. Burden Hour Deduction</w:t>
      </w:r>
    </w:p>
    <w:p w14:paraId="745B9F02" w14:textId="77777777" w:rsidR="006F66FD" w:rsidRDefault="006F66FD" w:rsidP="00E57856">
      <w:pPr>
        <w:spacing w:after="0" w:line="240" w:lineRule="auto"/>
        <w:rPr>
          <w:szCs w:val="24"/>
        </w:rPr>
      </w:pPr>
    </w:p>
    <w:p w14:paraId="79EFF89F" w14:textId="77777777" w:rsidR="00D11AA4" w:rsidRDefault="007C0200" w:rsidP="00E57856">
      <w:pPr>
        <w:spacing w:after="0" w:line="240" w:lineRule="auto"/>
        <w:rPr>
          <w:szCs w:val="24"/>
        </w:rPr>
      </w:pPr>
      <w:r w:rsidRPr="00C62F33">
        <w:rPr>
          <w:szCs w:val="24"/>
        </w:rPr>
        <w:t xml:space="preserve">The total approved burden ceiling of the generic ICR is </w:t>
      </w:r>
      <w:r w:rsidR="00D11AA4" w:rsidRPr="00C62F33">
        <w:rPr>
          <w:szCs w:val="24"/>
        </w:rPr>
        <w:t>154,104</w:t>
      </w:r>
      <w:r w:rsidRPr="00C62F33">
        <w:rPr>
          <w:szCs w:val="24"/>
        </w:rPr>
        <w:t xml:space="preserve"> hours, and CMS pr</w:t>
      </w:r>
      <w:r w:rsidR="00D11AA4" w:rsidRPr="00C62F33">
        <w:rPr>
          <w:szCs w:val="24"/>
        </w:rPr>
        <w:t>eviously requested to use 6</w:t>
      </w:r>
      <w:r w:rsidR="00016E13" w:rsidRPr="00C62F33">
        <w:rPr>
          <w:szCs w:val="24"/>
        </w:rPr>
        <w:t>5</w:t>
      </w:r>
      <w:r w:rsidR="00D11AA4" w:rsidRPr="00C62F33">
        <w:rPr>
          <w:szCs w:val="24"/>
        </w:rPr>
        <w:t>,</w:t>
      </w:r>
      <w:r w:rsidR="00FC42BB" w:rsidRPr="00C62F33">
        <w:rPr>
          <w:szCs w:val="24"/>
        </w:rPr>
        <w:t>447</w:t>
      </w:r>
      <w:r w:rsidRPr="00C62F33">
        <w:rPr>
          <w:szCs w:val="24"/>
        </w:rPr>
        <w:t xml:space="preserve"> hours, leaving our burden ceiling at </w:t>
      </w:r>
      <w:r w:rsidR="00D11AA4" w:rsidRPr="00C62F33">
        <w:rPr>
          <w:szCs w:val="24"/>
        </w:rPr>
        <w:t>8</w:t>
      </w:r>
      <w:r w:rsidR="00016E13" w:rsidRPr="00C62F33">
        <w:rPr>
          <w:szCs w:val="24"/>
        </w:rPr>
        <w:t>8</w:t>
      </w:r>
      <w:r w:rsidR="00D11AA4" w:rsidRPr="00C62F33">
        <w:rPr>
          <w:szCs w:val="24"/>
        </w:rPr>
        <w:t>,</w:t>
      </w:r>
      <w:r w:rsidR="00016E13" w:rsidRPr="00C62F33">
        <w:rPr>
          <w:szCs w:val="24"/>
        </w:rPr>
        <w:t>6</w:t>
      </w:r>
      <w:r w:rsidR="00FC42BB" w:rsidRPr="00C62F33">
        <w:rPr>
          <w:szCs w:val="24"/>
        </w:rPr>
        <w:t>27</w:t>
      </w:r>
      <w:r w:rsidRPr="00C62F33">
        <w:rPr>
          <w:szCs w:val="24"/>
        </w:rPr>
        <w:t xml:space="preserve"> hours.</w:t>
      </w:r>
    </w:p>
    <w:p w14:paraId="0621F75B" w14:textId="77777777" w:rsidR="00244D07" w:rsidRDefault="00244D07" w:rsidP="00016E13">
      <w:pPr>
        <w:spacing w:after="0" w:line="240" w:lineRule="auto"/>
        <w:rPr>
          <w:szCs w:val="24"/>
        </w:rPr>
      </w:pPr>
    </w:p>
    <w:p w14:paraId="601B20D1" w14:textId="659CC8C3" w:rsidR="00B12D73" w:rsidRPr="00596FB5" w:rsidRDefault="009E6719" w:rsidP="00B12D73">
      <w:pPr>
        <w:spacing w:after="0" w:line="240" w:lineRule="auto"/>
        <w:rPr>
          <w:rFonts w:cs="Times New Roman"/>
          <w:szCs w:val="24"/>
          <w:u w:val="single"/>
        </w:rPr>
      </w:pPr>
      <w:r w:rsidRPr="007D5D74">
        <w:rPr>
          <w:rFonts w:cs="Times New Roman"/>
          <w:szCs w:val="24"/>
        </w:rPr>
        <w:t xml:space="preserve">D.1. </w:t>
      </w:r>
      <w:r w:rsidR="00B12D73" w:rsidRPr="00596FB5">
        <w:rPr>
          <w:rFonts w:cs="Times New Roman"/>
          <w:szCs w:val="24"/>
          <w:u w:val="single"/>
        </w:rPr>
        <w:t>CCBHC Cost Report</w:t>
      </w:r>
    </w:p>
    <w:p w14:paraId="0BC6EC10" w14:textId="77777777" w:rsidR="005012D4" w:rsidRDefault="005012D4" w:rsidP="005012D4">
      <w:pPr>
        <w:spacing w:after="0" w:line="240" w:lineRule="auto"/>
        <w:rPr>
          <w:rFonts w:eastAsia="Calibri" w:cs="Times New Roman"/>
          <w:szCs w:val="24"/>
        </w:rPr>
      </w:pPr>
    </w:p>
    <w:p w14:paraId="695AD822" w14:textId="4ACED594" w:rsidR="00BF504D" w:rsidRPr="00BF504D" w:rsidRDefault="009E6719" w:rsidP="005012D4">
      <w:pPr>
        <w:spacing w:after="0" w:line="240" w:lineRule="auto"/>
        <w:rPr>
          <w:rFonts w:eastAsia="Calibri" w:cs="Times New Roman"/>
          <w:i/>
          <w:szCs w:val="24"/>
        </w:rPr>
      </w:pPr>
      <w:r>
        <w:rPr>
          <w:rFonts w:eastAsia="Calibri" w:cs="Times New Roman"/>
          <w:i/>
          <w:szCs w:val="24"/>
        </w:rPr>
        <w:t xml:space="preserve">D.1.1 </w:t>
      </w:r>
      <w:r w:rsidR="00BF504D" w:rsidRPr="00BF504D">
        <w:rPr>
          <w:rFonts w:eastAsia="Calibri" w:cs="Times New Roman"/>
          <w:i/>
          <w:szCs w:val="24"/>
        </w:rPr>
        <w:t>CCBHC Burden</w:t>
      </w:r>
    </w:p>
    <w:p w14:paraId="5D2284A4" w14:textId="77777777" w:rsidR="00BF504D" w:rsidRPr="005012D4" w:rsidRDefault="00BF504D" w:rsidP="005012D4">
      <w:pPr>
        <w:spacing w:after="0" w:line="240" w:lineRule="auto"/>
        <w:rPr>
          <w:rFonts w:eastAsia="Calibri" w:cs="Times New Roman"/>
          <w:szCs w:val="24"/>
        </w:rPr>
      </w:pPr>
    </w:p>
    <w:p w14:paraId="10475DD3" w14:textId="77777777" w:rsidR="005012D4" w:rsidRPr="005012D4" w:rsidRDefault="005012D4" w:rsidP="005012D4">
      <w:pPr>
        <w:spacing w:after="0" w:line="240" w:lineRule="auto"/>
        <w:rPr>
          <w:rFonts w:eastAsia="Calibri" w:cs="Times New Roman"/>
          <w:szCs w:val="24"/>
        </w:rPr>
      </w:pPr>
      <w:r w:rsidRPr="005012D4">
        <w:rPr>
          <w:rFonts w:eastAsia="Calibri" w:cs="Times New Roman"/>
          <w:szCs w:val="24"/>
        </w:rPr>
        <w:t xml:space="preserve">The burden for CCBHCs to complete the cost report is estimated to average </w:t>
      </w:r>
      <w:r>
        <w:rPr>
          <w:rFonts w:eastAsia="Calibri" w:cs="Times New Roman"/>
          <w:szCs w:val="24"/>
        </w:rPr>
        <w:t xml:space="preserve">56.33 </w:t>
      </w:r>
      <w:r w:rsidRPr="005012D4">
        <w:rPr>
          <w:rFonts w:eastAsia="Calibri" w:cs="Times New Roman"/>
          <w:szCs w:val="24"/>
        </w:rPr>
        <w:t xml:space="preserve">hours per response for CC PPS-1 and </w:t>
      </w:r>
      <w:r>
        <w:rPr>
          <w:rFonts w:eastAsia="Calibri" w:cs="Times New Roman"/>
          <w:szCs w:val="24"/>
        </w:rPr>
        <w:t>112.66</w:t>
      </w:r>
      <w:r w:rsidRPr="005012D4">
        <w:rPr>
          <w:rFonts w:eastAsia="Calibri" w:cs="Times New Roman"/>
          <w:szCs w:val="24"/>
        </w:rPr>
        <w:t xml:space="preserve"> hours per response for CC PPS-2</w:t>
      </w:r>
      <w:r>
        <w:rPr>
          <w:rFonts w:eastAsia="Calibri" w:cs="Times New Roman"/>
          <w:szCs w:val="24"/>
        </w:rPr>
        <w:t xml:space="preserve">. </w:t>
      </w:r>
      <w:r w:rsidRPr="005012D4">
        <w:rPr>
          <w:rFonts w:eastAsia="Calibri" w:cs="Times New Roman"/>
          <w:szCs w:val="24"/>
        </w:rPr>
        <w:t xml:space="preserve">This includes time for reviewing instructions, searching existing data sources, analyzing that data, and completing and reviewing </w:t>
      </w:r>
      <w:r>
        <w:rPr>
          <w:rFonts w:eastAsia="Calibri" w:cs="Times New Roman"/>
          <w:szCs w:val="24"/>
        </w:rPr>
        <w:t xml:space="preserve">the collection of information. Since </w:t>
      </w:r>
      <w:r w:rsidRPr="00320FAA">
        <w:rPr>
          <w:rFonts w:cs="Times New Roman"/>
          <w:szCs w:val="24"/>
        </w:rPr>
        <w:t>CC PPS-2 rate methodology require</w:t>
      </w:r>
      <w:r>
        <w:rPr>
          <w:rFonts w:cs="Times New Roman"/>
          <w:szCs w:val="24"/>
        </w:rPr>
        <w:t>s</w:t>
      </w:r>
      <w:r w:rsidRPr="00320FAA">
        <w:rPr>
          <w:rFonts w:cs="Times New Roman"/>
          <w:szCs w:val="24"/>
        </w:rPr>
        <w:t xml:space="preserve"> additional time to gather data for certain populations</w:t>
      </w:r>
      <w:r>
        <w:rPr>
          <w:rFonts w:cs="Times New Roman"/>
          <w:szCs w:val="24"/>
        </w:rPr>
        <w:t xml:space="preserve">, we anticipate that it would take twice as long to complete and review each cost report. </w:t>
      </w:r>
      <w:r w:rsidRPr="005012D4">
        <w:rPr>
          <w:rFonts w:eastAsia="Calibri" w:cs="Times New Roman"/>
          <w:szCs w:val="24"/>
        </w:rPr>
        <w:t xml:space="preserve">We anticipate that the complexity of the cost report and the certification requirements will require </w:t>
      </w:r>
      <w:r w:rsidR="005941AE">
        <w:rPr>
          <w:rFonts w:eastAsia="Calibri" w:cs="Times New Roman"/>
          <w:szCs w:val="24"/>
        </w:rPr>
        <w:t>varying</w:t>
      </w:r>
      <w:r w:rsidRPr="005012D4">
        <w:rPr>
          <w:rFonts w:eastAsia="Calibri" w:cs="Times New Roman"/>
          <w:szCs w:val="24"/>
        </w:rPr>
        <w:t xml:space="preserve"> levels of employee to gather, input, and review the data.  </w:t>
      </w:r>
      <w:r w:rsidR="00037BF2">
        <w:rPr>
          <w:rFonts w:eastAsia="Calibri" w:cs="Times New Roman"/>
          <w:szCs w:val="24"/>
        </w:rPr>
        <w:t>Regardless of the methodology used, w</w:t>
      </w:r>
      <w:r w:rsidRPr="005012D4">
        <w:rPr>
          <w:rFonts w:eastAsia="Calibri" w:cs="Times New Roman"/>
          <w:szCs w:val="24"/>
        </w:rPr>
        <w:t>e expect that a Staff Accountant (13-2011) at a rate of $70.84/</w:t>
      </w:r>
      <w:r w:rsidR="00037BF2">
        <w:rPr>
          <w:rFonts w:eastAsia="Calibri" w:cs="Times New Roman"/>
          <w:szCs w:val="24"/>
        </w:rPr>
        <w:t>hr</w:t>
      </w:r>
      <w:r w:rsidRPr="005012D4">
        <w:rPr>
          <w:rFonts w:eastAsia="Calibri" w:cs="Times New Roman"/>
          <w:szCs w:val="24"/>
        </w:rPr>
        <w:t xml:space="preserve"> would complete the report</w:t>
      </w:r>
      <w:r w:rsidR="00037BF2">
        <w:rPr>
          <w:rFonts w:eastAsia="Calibri" w:cs="Times New Roman"/>
          <w:szCs w:val="24"/>
        </w:rPr>
        <w:t xml:space="preserve"> and that</w:t>
      </w:r>
      <w:r w:rsidRPr="005012D4">
        <w:rPr>
          <w:rFonts w:eastAsia="Calibri" w:cs="Times New Roman"/>
          <w:szCs w:val="24"/>
        </w:rPr>
        <w:t xml:space="preserve"> a Chief Executive (11-1011) at a rate of $</w:t>
      </w:r>
      <w:r w:rsidR="005A1C9D">
        <w:rPr>
          <w:rFonts w:eastAsia="Calibri" w:cs="Times New Roman"/>
          <w:szCs w:val="24"/>
        </w:rPr>
        <w:t>173.76</w:t>
      </w:r>
      <w:r w:rsidRPr="005012D4">
        <w:rPr>
          <w:rFonts w:eastAsia="Calibri" w:cs="Times New Roman"/>
          <w:szCs w:val="24"/>
        </w:rPr>
        <w:t xml:space="preserve">/hr would review and certify the report. </w:t>
      </w:r>
    </w:p>
    <w:p w14:paraId="1CE71DC1" w14:textId="77777777" w:rsidR="005012D4" w:rsidRPr="005012D4" w:rsidRDefault="005012D4" w:rsidP="005012D4">
      <w:pPr>
        <w:spacing w:after="0" w:line="240" w:lineRule="auto"/>
        <w:rPr>
          <w:rFonts w:eastAsia="Calibri" w:cs="Times New Roman"/>
          <w:szCs w:val="24"/>
        </w:rPr>
      </w:pPr>
    </w:p>
    <w:p w14:paraId="696D2E22" w14:textId="77777777" w:rsidR="005012D4" w:rsidRPr="005012D4" w:rsidRDefault="005012D4" w:rsidP="005012D4">
      <w:pPr>
        <w:spacing w:after="0" w:line="240" w:lineRule="auto"/>
        <w:rPr>
          <w:rFonts w:eastAsia="Calibri" w:cs="Times New Roman"/>
          <w:szCs w:val="24"/>
        </w:rPr>
      </w:pPr>
      <w:r w:rsidRPr="003E54B3">
        <w:rPr>
          <w:rFonts w:eastAsia="Calibri" w:cs="Times New Roman"/>
          <w:szCs w:val="24"/>
        </w:rPr>
        <w:t xml:space="preserve">Projecting a total of 48 CCBHC respondents (at 2 clinics per state), we anticipate 24 CCBHC respondents for each </w:t>
      </w:r>
      <w:r w:rsidR="003E54B3" w:rsidRPr="003E54B3">
        <w:rPr>
          <w:rFonts w:eastAsia="Calibri" w:cs="Times New Roman"/>
          <w:szCs w:val="24"/>
        </w:rPr>
        <w:t xml:space="preserve">of the two </w:t>
      </w:r>
      <w:r w:rsidRPr="003E54B3">
        <w:rPr>
          <w:rFonts w:eastAsia="Calibri" w:cs="Times New Roman"/>
          <w:szCs w:val="24"/>
        </w:rPr>
        <w:t>PPS methodolog</w:t>
      </w:r>
      <w:r w:rsidR="003E54B3" w:rsidRPr="003E54B3">
        <w:rPr>
          <w:rFonts w:eastAsia="Calibri" w:cs="Times New Roman"/>
          <w:szCs w:val="24"/>
        </w:rPr>
        <w:t>ies (24 for CC PPS-1 and 24 for CC PPS-2)</w:t>
      </w:r>
      <w:r w:rsidRPr="003E54B3">
        <w:rPr>
          <w:rFonts w:eastAsia="Calibri" w:cs="Times New Roman"/>
          <w:szCs w:val="24"/>
        </w:rPr>
        <w:t>.</w:t>
      </w:r>
    </w:p>
    <w:p w14:paraId="1C8FB0F6" w14:textId="77777777" w:rsidR="005012D4" w:rsidRPr="005012D4" w:rsidRDefault="005012D4" w:rsidP="005012D4">
      <w:pPr>
        <w:spacing w:after="0" w:line="240" w:lineRule="auto"/>
        <w:rPr>
          <w:rFonts w:eastAsia="Calibri" w:cs="Times New Roman"/>
          <w:szCs w:val="24"/>
        </w:rPr>
      </w:pPr>
    </w:p>
    <w:p w14:paraId="4F848257" w14:textId="53251FA0" w:rsidR="000D3EE0" w:rsidRDefault="00CE69F2" w:rsidP="000D3EE0">
      <w:pPr>
        <w:spacing w:after="0" w:line="240" w:lineRule="auto"/>
        <w:rPr>
          <w:rFonts w:eastAsia="Calibri" w:cs="Times New Roman"/>
          <w:szCs w:val="24"/>
        </w:rPr>
      </w:pPr>
      <w:r>
        <w:rPr>
          <w:rFonts w:eastAsia="Calibri" w:cs="Times New Roman"/>
          <w:szCs w:val="24"/>
        </w:rPr>
        <w:t>F</w:t>
      </w:r>
      <w:r w:rsidR="005012D4" w:rsidRPr="00326A78">
        <w:rPr>
          <w:rFonts w:eastAsia="Calibri" w:cs="Times New Roman"/>
          <w:szCs w:val="24"/>
        </w:rPr>
        <w:t>or one CC PPS-1 cost report</w:t>
      </w:r>
      <w:r>
        <w:rPr>
          <w:rFonts w:eastAsia="Calibri" w:cs="Times New Roman"/>
          <w:szCs w:val="24"/>
        </w:rPr>
        <w:t xml:space="preserve">, we estimate </w:t>
      </w:r>
      <w:r w:rsidR="00037BF2" w:rsidRPr="00326A78">
        <w:rPr>
          <w:rFonts w:eastAsia="Calibri" w:cs="Times New Roman"/>
          <w:szCs w:val="24"/>
        </w:rPr>
        <w:t>56.33</w:t>
      </w:r>
      <w:r w:rsidR="005012D4" w:rsidRPr="00326A78">
        <w:rPr>
          <w:rFonts w:eastAsia="Calibri" w:cs="Times New Roman"/>
          <w:szCs w:val="24"/>
        </w:rPr>
        <w:t xml:space="preserve"> hours </w:t>
      </w:r>
      <w:r w:rsidRPr="00326A78">
        <w:rPr>
          <w:rFonts w:eastAsia="Calibri" w:cs="Times New Roman"/>
          <w:szCs w:val="24"/>
        </w:rPr>
        <w:t>(Staff Accountant 54.33 hours; Chief Executive 2 hours)</w:t>
      </w:r>
      <w:r>
        <w:rPr>
          <w:rFonts w:eastAsia="Calibri" w:cs="Times New Roman"/>
          <w:szCs w:val="24"/>
        </w:rPr>
        <w:t xml:space="preserve"> </w:t>
      </w:r>
      <w:r w:rsidR="005012D4" w:rsidRPr="00326A78">
        <w:rPr>
          <w:rFonts w:eastAsia="Calibri" w:cs="Times New Roman"/>
          <w:szCs w:val="24"/>
        </w:rPr>
        <w:t>and $</w:t>
      </w:r>
      <w:r w:rsidR="00037BF2" w:rsidRPr="00326A78">
        <w:rPr>
          <w:rFonts w:eastAsia="Calibri" w:cs="Times New Roman"/>
          <w:szCs w:val="24"/>
        </w:rPr>
        <w:t>4,196.25</w:t>
      </w:r>
      <w:r w:rsidR="005012D4" w:rsidRPr="00326A78">
        <w:rPr>
          <w:rFonts w:eastAsia="Calibri" w:cs="Times New Roman"/>
          <w:szCs w:val="24"/>
        </w:rPr>
        <w:t xml:space="preserve">.  </w:t>
      </w:r>
      <w:r w:rsidR="000D3EE0">
        <w:rPr>
          <w:rFonts w:eastAsia="Calibri" w:cs="Times New Roman"/>
          <w:szCs w:val="24"/>
        </w:rPr>
        <w:t>F</w:t>
      </w:r>
      <w:r w:rsidR="000D3EE0" w:rsidRPr="005012D4">
        <w:rPr>
          <w:rFonts w:eastAsia="Calibri" w:cs="Times New Roman"/>
          <w:szCs w:val="24"/>
        </w:rPr>
        <w:t xml:space="preserve">or 24 </w:t>
      </w:r>
      <w:r w:rsidR="000D3EE0">
        <w:rPr>
          <w:rFonts w:eastAsia="Calibri" w:cs="Times New Roman"/>
          <w:szCs w:val="24"/>
        </w:rPr>
        <w:t>cost reports, we estimate 1,351.92</w:t>
      </w:r>
      <w:r w:rsidR="000D3EE0" w:rsidRPr="005012D4">
        <w:rPr>
          <w:rFonts w:eastAsia="Calibri" w:cs="Times New Roman"/>
          <w:szCs w:val="24"/>
        </w:rPr>
        <w:t xml:space="preserve"> hours and $</w:t>
      </w:r>
      <w:r w:rsidR="000D3EE0">
        <w:rPr>
          <w:rFonts w:eastAsia="Calibri" w:cs="Times New Roman"/>
          <w:szCs w:val="24"/>
        </w:rPr>
        <w:t>100,710</w:t>
      </w:r>
      <w:r w:rsidR="000D3EE0" w:rsidRPr="005012D4">
        <w:rPr>
          <w:rFonts w:eastAsia="Calibri" w:cs="Times New Roman"/>
          <w:szCs w:val="24"/>
        </w:rPr>
        <w:t>.</w:t>
      </w:r>
    </w:p>
    <w:p w14:paraId="29892D8E" w14:textId="77777777" w:rsidR="000D3EE0" w:rsidRDefault="000D3EE0" w:rsidP="005012D4">
      <w:pPr>
        <w:spacing w:after="0" w:line="240" w:lineRule="auto"/>
        <w:rPr>
          <w:rFonts w:eastAsia="Calibri" w:cs="Times New Roman"/>
          <w:szCs w:val="24"/>
        </w:rPr>
      </w:pPr>
    </w:p>
    <w:p w14:paraId="0EA57449" w14:textId="452F6A0D" w:rsidR="000D3EE0" w:rsidRDefault="005012D4" w:rsidP="005012D4">
      <w:pPr>
        <w:spacing w:after="0" w:line="240" w:lineRule="auto"/>
        <w:rPr>
          <w:rFonts w:eastAsia="Calibri" w:cs="Times New Roman"/>
          <w:szCs w:val="24"/>
        </w:rPr>
      </w:pPr>
      <w:r w:rsidRPr="00326A78">
        <w:rPr>
          <w:rFonts w:eastAsia="Calibri" w:cs="Times New Roman"/>
          <w:szCs w:val="24"/>
        </w:rPr>
        <w:t>Given the complexity of CC PPS-2</w:t>
      </w:r>
      <w:r w:rsidRPr="005012D4">
        <w:rPr>
          <w:rFonts w:eastAsia="Calibri" w:cs="Times New Roman"/>
          <w:szCs w:val="24"/>
        </w:rPr>
        <w:t xml:space="preserve"> (i.e., additional data requirements, special population calculations, etc.), we anticipate that about </w:t>
      </w:r>
      <w:r w:rsidR="00037BF2">
        <w:rPr>
          <w:rFonts w:eastAsia="Calibri" w:cs="Times New Roman"/>
          <w:szCs w:val="24"/>
        </w:rPr>
        <w:t>56</w:t>
      </w:r>
      <w:r w:rsidRPr="005012D4">
        <w:rPr>
          <w:rFonts w:eastAsia="Calibri" w:cs="Times New Roman"/>
          <w:szCs w:val="24"/>
        </w:rPr>
        <w:t xml:space="preserve"> additional hours will be required to complete the cost report. </w:t>
      </w:r>
      <w:r w:rsidR="00CE69F2">
        <w:rPr>
          <w:rFonts w:eastAsia="Calibri" w:cs="Times New Roman"/>
          <w:szCs w:val="24"/>
        </w:rPr>
        <w:t>F</w:t>
      </w:r>
      <w:r w:rsidRPr="005012D4">
        <w:rPr>
          <w:rFonts w:eastAsia="Calibri" w:cs="Times New Roman"/>
          <w:szCs w:val="24"/>
        </w:rPr>
        <w:t>or one CC PPS-2 cost report</w:t>
      </w:r>
      <w:r w:rsidR="00CE69F2">
        <w:rPr>
          <w:rFonts w:eastAsia="Calibri" w:cs="Times New Roman"/>
          <w:szCs w:val="24"/>
        </w:rPr>
        <w:t xml:space="preserve">, we estimate </w:t>
      </w:r>
      <w:r w:rsidR="00037BF2">
        <w:rPr>
          <w:rFonts w:eastAsia="Calibri" w:cs="Times New Roman"/>
          <w:szCs w:val="24"/>
        </w:rPr>
        <w:t>112.66</w:t>
      </w:r>
      <w:r w:rsidRPr="005012D4">
        <w:rPr>
          <w:rFonts w:eastAsia="Calibri" w:cs="Times New Roman"/>
          <w:szCs w:val="24"/>
        </w:rPr>
        <w:t xml:space="preserve"> hours </w:t>
      </w:r>
      <w:r w:rsidR="00CE69F2" w:rsidRPr="005012D4">
        <w:rPr>
          <w:rFonts w:eastAsia="Calibri" w:cs="Times New Roman"/>
          <w:szCs w:val="24"/>
        </w:rPr>
        <w:t xml:space="preserve">(Staff Accountant </w:t>
      </w:r>
      <w:r w:rsidR="00CE69F2">
        <w:rPr>
          <w:rFonts w:eastAsia="Calibri" w:cs="Times New Roman"/>
          <w:szCs w:val="24"/>
        </w:rPr>
        <w:t>108.66</w:t>
      </w:r>
      <w:r w:rsidR="00CE69F2" w:rsidRPr="005012D4">
        <w:rPr>
          <w:rFonts w:eastAsia="Calibri" w:cs="Times New Roman"/>
          <w:szCs w:val="24"/>
        </w:rPr>
        <w:t xml:space="preserve"> hours; Chief Executive </w:t>
      </w:r>
      <w:r w:rsidR="00CE69F2">
        <w:rPr>
          <w:rFonts w:eastAsia="Calibri" w:cs="Times New Roman"/>
          <w:szCs w:val="24"/>
        </w:rPr>
        <w:t>4</w:t>
      </w:r>
      <w:r w:rsidR="00CE69F2" w:rsidRPr="005012D4">
        <w:rPr>
          <w:rFonts w:eastAsia="Calibri" w:cs="Times New Roman"/>
          <w:szCs w:val="24"/>
        </w:rPr>
        <w:t xml:space="preserve"> hours)</w:t>
      </w:r>
      <w:r w:rsidR="00CE69F2">
        <w:rPr>
          <w:rFonts w:eastAsia="Calibri" w:cs="Times New Roman"/>
          <w:szCs w:val="24"/>
        </w:rPr>
        <w:t xml:space="preserve"> </w:t>
      </w:r>
      <w:r w:rsidRPr="005012D4">
        <w:rPr>
          <w:rFonts w:eastAsia="Calibri" w:cs="Times New Roman"/>
          <w:szCs w:val="24"/>
        </w:rPr>
        <w:t>and $</w:t>
      </w:r>
      <w:r w:rsidR="00037BF2">
        <w:rPr>
          <w:rFonts w:eastAsia="Calibri" w:cs="Times New Roman"/>
          <w:szCs w:val="24"/>
        </w:rPr>
        <w:t>8,392.51</w:t>
      </w:r>
      <w:r w:rsidRPr="005012D4">
        <w:rPr>
          <w:rFonts w:eastAsia="Calibri" w:cs="Times New Roman"/>
          <w:szCs w:val="24"/>
        </w:rPr>
        <w:t>.</w:t>
      </w:r>
      <w:r w:rsidR="000D3EE0">
        <w:rPr>
          <w:rFonts w:eastAsia="Calibri" w:cs="Times New Roman"/>
          <w:szCs w:val="24"/>
        </w:rPr>
        <w:t xml:space="preserve"> </w:t>
      </w:r>
      <w:r w:rsidRPr="005012D4">
        <w:rPr>
          <w:rFonts w:eastAsia="Calibri" w:cs="Times New Roman"/>
          <w:szCs w:val="24"/>
        </w:rPr>
        <w:t xml:space="preserve">For 24 </w:t>
      </w:r>
      <w:r w:rsidR="000D3EE0">
        <w:rPr>
          <w:rFonts w:eastAsia="Calibri" w:cs="Times New Roman"/>
          <w:szCs w:val="24"/>
        </w:rPr>
        <w:t xml:space="preserve">cost reports we estimate </w:t>
      </w:r>
      <w:r w:rsidR="005A1C9D">
        <w:rPr>
          <w:rFonts w:eastAsia="Calibri" w:cs="Times New Roman"/>
          <w:szCs w:val="24"/>
        </w:rPr>
        <w:t>2,703.84</w:t>
      </w:r>
      <w:r w:rsidRPr="005012D4">
        <w:rPr>
          <w:rFonts w:eastAsia="Calibri" w:cs="Times New Roman"/>
          <w:szCs w:val="24"/>
        </w:rPr>
        <w:t xml:space="preserve"> hours and $</w:t>
      </w:r>
      <w:r w:rsidR="005A1C9D">
        <w:rPr>
          <w:rFonts w:eastAsia="Calibri" w:cs="Times New Roman"/>
          <w:szCs w:val="24"/>
        </w:rPr>
        <w:t>201,420.24</w:t>
      </w:r>
      <w:r w:rsidRPr="005012D4">
        <w:rPr>
          <w:rFonts w:eastAsia="Calibri" w:cs="Times New Roman"/>
          <w:szCs w:val="24"/>
        </w:rPr>
        <w:t xml:space="preserve">.  </w:t>
      </w:r>
    </w:p>
    <w:p w14:paraId="7C6AC3DF" w14:textId="77777777" w:rsidR="000D3EE0" w:rsidRDefault="000D3EE0" w:rsidP="005012D4">
      <w:pPr>
        <w:spacing w:after="0" w:line="240" w:lineRule="auto"/>
        <w:rPr>
          <w:rFonts w:eastAsia="Calibri" w:cs="Times New Roman"/>
          <w:szCs w:val="24"/>
        </w:rPr>
      </w:pPr>
    </w:p>
    <w:p w14:paraId="26E93A6C" w14:textId="77777777" w:rsidR="005012D4" w:rsidRPr="005012D4" w:rsidRDefault="005012D4" w:rsidP="005012D4">
      <w:pPr>
        <w:spacing w:after="0" w:line="240" w:lineRule="auto"/>
        <w:rPr>
          <w:rFonts w:eastAsia="Calibri" w:cs="Times New Roman"/>
          <w:szCs w:val="24"/>
        </w:rPr>
      </w:pPr>
      <w:r w:rsidRPr="005012D4">
        <w:rPr>
          <w:rFonts w:eastAsia="Calibri" w:cs="Times New Roman"/>
          <w:szCs w:val="24"/>
        </w:rPr>
        <w:t xml:space="preserve">In aggregate for both PPS methodologies, we estimate </w:t>
      </w:r>
      <w:r w:rsidR="005A1C9D">
        <w:rPr>
          <w:rFonts w:eastAsia="Calibri" w:cs="Times New Roman"/>
          <w:szCs w:val="24"/>
        </w:rPr>
        <w:t>4,055.76</w:t>
      </w:r>
      <w:r w:rsidRPr="005012D4">
        <w:rPr>
          <w:rFonts w:eastAsia="Calibri" w:cs="Times New Roman"/>
          <w:szCs w:val="24"/>
        </w:rPr>
        <w:t xml:space="preserve"> hours and $</w:t>
      </w:r>
      <w:r w:rsidR="005A1C9D">
        <w:rPr>
          <w:rFonts w:eastAsia="Calibri" w:cs="Times New Roman"/>
          <w:szCs w:val="24"/>
        </w:rPr>
        <w:t>302,130.24</w:t>
      </w:r>
      <w:r w:rsidRPr="005012D4">
        <w:rPr>
          <w:rFonts w:eastAsia="Calibri" w:cs="Times New Roman"/>
          <w:szCs w:val="24"/>
        </w:rPr>
        <w:t>.</w:t>
      </w:r>
    </w:p>
    <w:p w14:paraId="5C73172D" w14:textId="77777777" w:rsidR="005012D4" w:rsidRPr="005012D4" w:rsidRDefault="005012D4" w:rsidP="005012D4">
      <w:pPr>
        <w:spacing w:after="0" w:line="240" w:lineRule="auto"/>
        <w:rPr>
          <w:rFonts w:eastAsia="Calibri" w:cs="Times New Roman"/>
          <w:szCs w:val="24"/>
        </w:rPr>
      </w:pPr>
    </w:p>
    <w:p w14:paraId="464D004D" w14:textId="07772265" w:rsidR="005012D4" w:rsidRPr="005012D4" w:rsidRDefault="00F10894" w:rsidP="005012D4">
      <w:pPr>
        <w:spacing w:after="0" w:line="240" w:lineRule="auto"/>
        <w:rPr>
          <w:rFonts w:eastAsia="Calibri" w:cs="Times New Roman"/>
          <w:i/>
          <w:szCs w:val="24"/>
        </w:rPr>
      </w:pPr>
      <w:r>
        <w:rPr>
          <w:rFonts w:eastAsia="Calibri" w:cs="Times New Roman"/>
          <w:i/>
          <w:szCs w:val="24"/>
        </w:rPr>
        <w:t>D.1.</w:t>
      </w:r>
      <w:r>
        <w:rPr>
          <w:rFonts w:eastAsia="Calibri" w:cs="Times New Roman"/>
          <w:i/>
          <w:szCs w:val="24"/>
        </w:rPr>
        <w:t>2</w:t>
      </w:r>
      <w:r>
        <w:rPr>
          <w:rFonts w:eastAsia="Calibri" w:cs="Times New Roman"/>
          <w:i/>
          <w:szCs w:val="24"/>
        </w:rPr>
        <w:t xml:space="preserve"> </w:t>
      </w:r>
      <w:r w:rsidR="005012D4" w:rsidRPr="005012D4">
        <w:rPr>
          <w:rFonts w:eastAsia="Calibri" w:cs="Times New Roman"/>
          <w:i/>
          <w:szCs w:val="24"/>
        </w:rPr>
        <w:t>State Burden</w:t>
      </w:r>
    </w:p>
    <w:p w14:paraId="1311537B" w14:textId="77777777" w:rsidR="005012D4" w:rsidRPr="005012D4" w:rsidRDefault="005012D4" w:rsidP="005012D4">
      <w:pPr>
        <w:spacing w:after="0" w:line="240" w:lineRule="auto"/>
        <w:rPr>
          <w:rFonts w:eastAsia="Calibri" w:cs="Times New Roman"/>
          <w:szCs w:val="24"/>
        </w:rPr>
      </w:pPr>
    </w:p>
    <w:p w14:paraId="1ABC506E" w14:textId="4DFEC2BC" w:rsidR="00500371" w:rsidRDefault="005012D4" w:rsidP="005012D4">
      <w:pPr>
        <w:spacing w:after="0" w:line="240" w:lineRule="auto"/>
        <w:rPr>
          <w:rFonts w:eastAsia="Calibri" w:cs="Times New Roman"/>
          <w:szCs w:val="24"/>
        </w:rPr>
      </w:pPr>
      <w:r w:rsidRPr="005012D4">
        <w:rPr>
          <w:rFonts w:eastAsia="Calibri" w:cs="Times New Roman"/>
          <w:szCs w:val="24"/>
        </w:rPr>
        <w:t xml:space="preserve">States will be required to review the cost reports through a desk-review or an audit.  We estimate the average time for a Finance Manager (11-3031) at a rate of $125.22/hr </w:t>
      </w:r>
      <w:r w:rsidR="00037BF2">
        <w:rPr>
          <w:rFonts w:eastAsia="Calibri" w:cs="Times New Roman"/>
          <w:szCs w:val="24"/>
        </w:rPr>
        <w:t>to complete a desk review</w:t>
      </w:r>
      <w:r w:rsidRPr="005012D4">
        <w:rPr>
          <w:rFonts w:eastAsia="Calibri" w:cs="Times New Roman"/>
          <w:szCs w:val="24"/>
        </w:rPr>
        <w:t xml:space="preserve"> is </w:t>
      </w:r>
      <w:r w:rsidR="00037BF2">
        <w:rPr>
          <w:rFonts w:eastAsia="Calibri" w:cs="Times New Roman"/>
          <w:szCs w:val="24"/>
        </w:rPr>
        <w:t>22</w:t>
      </w:r>
      <w:r w:rsidRPr="005012D4">
        <w:rPr>
          <w:rFonts w:eastAsia="Calibri" w:cs="Times New Roman"/>
          <w:szCs w:val="24"/>
        </w:rPr>
        <w:t xml:space="preserve"> hours for CC PPS-1 and </w:t>
      </w:r>
      <w:r w:rsidR="00037BF2">
        <w:rPr>
          <w:rFonts w:eastAsia="Calibri" w:cs="Times New Roman"/>
          <w:szCs w:val="24"/>
        </w:rPr>
        <w:t>44</w:t>
      </w:r>
      <w:r w:rsidRPr="005012D4">
        <w:rPr>
          <w:rFonts w:eastAsia="Calibri" w:cs="Times New Roman"/>
          <w:szCs w:val="24"/>
        </w:rPr>
        <w:t xml:space="preserve"> hours for CC PPS-2.  We project that 24 states will review responses from 2 CCBHCs per state, evenly distributed by PPS methodology (i.e., 24 CC PPS-1 and 24 CC PPS-2 responses).</w:t>
      </w:r>
    </w:p>
    <w:p w14:paraId="45664F06" w14:textId="77777777" w:rsidR="00500371" w:rsidRDefault="00500371" w:rsidP="005012D4">
      <w:pPr>
        <w:spacing w:after="0" w:line="240" w:lineRule="auto"/>
        <w:rPr>
          <w:rFonts w:eastAsia="Calibri" w:cs="Times New Roman"/>
          <w:szCs w:val="24"/>
        </w:rPr>
      </w:pPr>
    </w:p>
    <w:p w14:paraId="73C73868" w14:textId="140197C3" w:rsidR="00DC05EB" w:rsidRDefault="00DC05EB" w:rsidP="00DC05EB">
      <w:pPr>
        <w:spacing w:after="0" w:line="240" w:lineRule="auto"/>
        <w:rPr>
          <w:rFonts w:eastAsia="Calibri" w:cs="Times New Roman"/>
          <w:szCs w:val="24"/>
        </w:rPr>
      </w:pPr>
      <w:r>
        <w:rPr>
          <w:rFonts w:eastAsia="Calibri" w:cs="Times New Roman"/>
          <w:szCs w:val="24"/>
        </w:rPr>
        <w:t>F</w:t>
      </w:r>
      <w:r w:rsidRPr="00326A78">
        <w:rPr>
          <w:rFonts w:eastAsia="Calibri" w:cs="Times New Roman"/>
          <w:szCs w:val="24"/>
        </w:rPr>
        <w:t>or one CC PPS-1 cost report</w:t>
      </w:r>
      <w:r>
        <w:rPr>
          <w:rFonts w:eastAsia="Calibri" w:cs="Times New Roman"/>
          <w:szCs w:val="24"/>
        </w:rPr>
        <w:t xml:space="preserve">, we estimate </w:t>
      </w:r>
      <w:r>
        <w:rPr>
          <w:rFonts w:eastAsia="Calibri" w:cs="Times New Roman"/>
          <w:szCs w:val="24"/>
        </w:rPr>
        <w:t xml:space="preserve">22 </w:t>
      </w:r>
      <w:r w:rsidRPr="00326A78">
        <w:rPr>
          <w:rFonts w:eastAsia="Calibri" w:cs="Times New Roman"/>
          <w:szCs w:val="24"/>
        </w:rPr>
        <w:t xml:space="preserve">hours </w:t>
      </w:r>
      <w:r>
        <w:rPr>
          <w:rFonts w:eastAsia="Calibri" w:cs="Times New Roman"/>
          <w:szCs w:val="24"/>
        </w:rPr>
        <w:t>at a cost of $2,754.84</w:t>
      </w:r>
      <w:r w:rsidRPr="00326A78">
        <w:rPr>
          <w:rFonts w:eastAsia="Calibri" w:cs="Times New Roman"/>
          <w:szCs w:val="24"/>
        </w:rPr>
        <w:t xml:space="preserve">.  </w:t>
      </w:r>
      <w:r>
        <w:rPr>
          <w:rFonts w:eastAsia="Calibri" w:cs="Times New Roman"/>
          <w:szCs w:val="24"/>
        </w:rPr>
        <w:t>F</w:t>
      </w:r>
      <w:r w:rsidRPr="005012D4">
        <w:rPr>
          <w:rFonts w:eastAsia="Calibri" w:cs="Times New Roman"/>
          <w:szCs w:val="24"/>
        </w:rPr>
        <w:t xml:space="preserve">or 24 </w:t>
      </w:r>
      <w:r>
        <w:rPr>
          <w:rFonts w:eastAsia="Calibri" w:cs="Times New Roman"/>
          <w:szCs w:val="24"/>
        </w:rPr>
        <w:t xml:space="preserve">cost reports, we estimate </w:t>
      </w:r>
      <w:r>
        <w:rPr>
          <w:rFonts w:eastAsia="Calibri" w:cs="Times New Roman"/>
          <w:szCs w:val="24"/>
        </w:rPr>
        <w:t>528</w:t>
      </w:r>
      <w:r w:rsidRPr="005012D4">
        <w:rPr>
          <w:rFonts w:eastAsia="Calibri" w:cs="Times New Roman"/>
          <w:szCs w:val="24"/>
        </w:rPr>
        <w:t xml:space="preserve"> hours </w:t>
      </w:r>
      <w:r>
        <w:rPr>
          <w:rFonts w:eastAsia="Calibri" w:cs="Times New Roman"/>
          <w:szCs w:val="24"/>
        </w:rPr>
        <w:t xml:space="preserve">at a cost of </w:t>
      </w:r>
      <w:r w:rsidRPr="005012D4">
        <w:rPr>
          <w:rFonts w:eastAsia="Calibri" w:cs="Times New Roman"/>
          <w:szCs w:val="24"/>
        </w:rPr>
        <w:t>$</w:t>
      </w:r>
      <w:r w:rsidR="00A12068">
        <w:rPr>
          <w:rFonts w:eastAsia="Calibri" w:cs="Times New Roman"/>
          <w:szCs w:val="24"/>
        </w:rPr>
        <w:t>66,116.16</w:t>
      </w:r>
      <w:r w:rsidRPr="005012D4">
        <w:rPr>
          <w:rFonts w:eastAsia="Calibri" w:cs="Times New Roman"/>
          <w:szCs w:val="24"/>
        </w:rPr>
        <w:t>.</w:t>
      </w:r>
    </w:p>
    <w:p w14:paraId="41817E43" w14:textId="77777777" w:rsidR="00DC05EB" w:rsidRDefault="00DC05EB" w:rsidP="005012D4">
      <w:pPr>
        <w:spacing w:after="0" w:line="240" w:lineRule="auto"/>
        <w:rPr>
          <w:rFonts w:eastAsia="Calibri" w:cs="Times New Roman"/>
          <w:szCs w:val="24"/>
        </w:rPr>
      </w:pPr>
    </w:p>
    <w:p w14:paraId="3E976EC5" w14:textId="135446E9" w:rsidR="00A12068" w:rsidRDefault="00A12068" w:rsidP="00A12068">
      <w:pPr>
        <w:spacing w:after="0" w:line="240" w:lineRule="auto"/>
        <w:rPr>
          <w:rFonts w:eastAsia="Calibri" w:cs="Times New Roman"/>
          <w:szCs w:val="24"/>
        </w:rPr>
      </w:pPr>
      <w:r>
        <w:rPr>
          <w:rFonts w:eastAsia="Calibri" w:cs="Times New Roman"/>
          <w:szCs w:val="24"/>
        </w:rPr>
        <w:t>F</w:t>
      </w:r>
      <w:r w:rsidRPr="00326A78">
        <w:rPr>
          <w:rFonts w:eastAsia="Calibri" w:cs="Times New Roman"/>
          <w:szCs w:val="24"/>
        </w:rPr>
        <w:t>or one CC PPS-</w:t>
      </w:r>
      <w:r>
        <w:rPr>
          <w:rFonts w:eastAsia="Calibri" w:cs="Times New Roman"/>
          <w:szCs w:val="24"/>
        </w:rPr>
        <w:t>2</w:t>
      </w:r>
      <w:r w:rsidRPr="00326A78">
        <w:rPr>
          <w:rFonts w:eastAsia="Calibri" w:cs="Times New Roman"/>
          <w:szCs w:val="24"/>
        </w:rPr>
        <w:t xml:space="preserve"> cost report</w:t>
      </w:r>
      <w:r>
        <w:rPr>
          <w:rFonts w:eastAsia="Calibri" w:cs="Times New Roman"/>
          <w:szCs w:val="24"/>
        </w:rPr>
        <w:t xml:space="preserve">, we estimate </w:t>
      </w:r>
      <w:r>
        <w:rPr>
          <w:rFonts w:eastAsia="Calibri" w:cs="Times New Roman"/>
          <w:szCs w:val="24"/>
        </w:rPr>
        <w:t>44</w:t>
      </w:r>
      <w:r>
        <w:rPr>
          <w:rFonts w:eastAsia="Calibri" w:cs="Times New Roman"/>
          <w:szCs w:val="24"/>
        </w:rPr>
        <w:t xml:space="preserve"> </w:t>
      </w:r>
      <w:r w:rsidRPr="00326A78">
        <w:rPr>
          <w:rFonts w:eastAsia="Calibri" w:cs="Times New Roman"/>
          <w:szCs w:val="24"/>
        </w:rPr>
        <w:t xml:space="preserve">hours </w:t>
      </w:r>
      <w:r>
        <w:rPr>
          <w:rFonts w:eastAsia="Calibri" w:cs="Times New Roman"/>
          <w:szCs w:val="24"/>
        </w:rPr>
        <w:t>at a cost of $</w:t>
      </w:r>
      <w:r>
        <w:rPr>
          <w:rFonts w:eastAsia="Calibri" w:cs="Times New Roman"/>
          <w:szCs w:val="24"/>
        </w:rPr>
        <w:t>5</w:t>
      </w:r>
      <w:r>
        <w:rPr>
          <w:rFonts w:eastAsia="Calibri" w:cs="Times New Roman"/>
          <w:szCs w:val="24"/>
        </w:rPr>
        <w:t>,</w:t>
      </w:r>
      <w:r>
        <w:rPr>
          <w:rFonts w:eastAsia="Calibri" w:cs="Times New Roman"/>
          <w:szCs w:val="24"/>
        </w:rPr>
        <w:t>509</w:t>
      </w:r>
      <w:r>
        <w:rPr>
          <w:rFonts w:eastAsia="Calibri" w:cs="Times New Roman"/>
          <w:szCs w:val="24"/>
        </w:rPr>
        <w:t>.</w:t>
      </w:r>
      <w:r>
        <w:rPr>
          <w:rFonts w:eastAsia="Calibri" w:cs="Times New Roman"/>
          <w:szCs w:val="24"/>
        </w:rPr>
        <w:t>68</w:t>
      </w:r>
      <w:r w:rsidRPr="00326A78">
        <w:rPr>
          <w:rFonts w:eastAsia="Calibri" w:cs="Times New Roman"/>
          <w:szCs w:val="24"/>
        </w:rPr>
        <w:t xml:space="preserve">.  </w:t>
      </w:r>
      <w:r>
        <w:rPr>
          <w:rFonts w:eastAsia="Calibri" w:cs="Times New Roman"/>
          <w:szCs w:val="24"/>
        </w:rPr>
        <w:t>F</w:t>
      </w:r>
      <w:r w:rsidRPr="005012D4">
        <w:rPr>
          <w:rFonts w:eastAsia="Calibri" w:cs="Times New Roman"/>
          <w:szCs w:val="24"/>
        </w:rPr>
        <w:t xml:space="preserve">or 24 </w:t>
      </w:r>
      <w:r>
        <w:rPr>
          <w:rFonts w:eastAsia="Calibri" w:cs="Times New Roman"/>
          <w:szCs w:val="24"/>
        </w:rPr>
        <w:t xml:space="preserve">cost reports, we estimate </w:t>
      </w:r>
      <w:r>
        <w:rPr>
          <w:rFonts w:eastAsia="Calibri" w:cs="Times New Roman"/>
          <w:szCs w:val="24"/>
        </w:rPr>
        <w:t>1,056</w:t>
      </w:r>
      <w:r w:rsidRPr="005012D4">
        <w:rPr>
          <w:rFonts w:eastAsia="Calibri" w:cs="Times New Roman"/>
          <w:szCs w:val="24"/>
        </w:rPr>
        <w:t xml:space="preserve"> hours </w:t>
      </w:r>
      <w:r>
        <w:rPr>
          <w:rFonts w:eastAsia="Calibri" w:cs="Times New Roman"/>
          <w:szCs w:val="24"/>
        </w:rPr>
        <w:t xml:space="preserve">at a cost of </w:t>
      </w:r>
      <w:r w:rsidRPr="005012D4">
        <w:rPr>
          <w:rFonts w:eastAsia="Calibri" w:cs="Times New Roman"/>
          <w:szCs w:val="24"/>
        </w:rPr>
        <w:t>$</w:t>
      </w:r>
      <w:r>
        <w:rPr>
          <w:rFonts w:eastAsia="Calibri" w:cs="Times New Roman"/>
          <w:szCs w:val="24"/>
        </w:rPr>
        <w:t>32</w:t>
      </w:r>
      <w:r>
        <w:rPr>
          <w:rFonts w:eastAsia="Calibri" w:cs="Times New Roman"/>
          <w:szCs w:val="24"/>
        </w:rPr>
        <w:t>,</w:t>
      </w:r>
      <w:r>
        <w:rPr>
          <w:rFonts w:eastAsia="Calibri" w:cs="Times New Roman"/>
          <w:szCs w:val="24"/>
        </w:rPr>
        <w:t>232</w:t>
      </w:r>
      <w:r>
        <w:rPr>
          <w:rFonts w:eastAsia="Calibri" w:cs="Times New Roman"/>
          <w:szCs w:val="24"/>
        </w:rPr>
        <w:t>.</w:t>
      </w:r>
      <w:r>
        <w:rPr>
          <w:rFonts w:eastAsia="Calibri" w:cs="Times New Roman"/>
          <w:szCs w:val="24"/>
        </w:rPr>
        <w:t>32</w:t>
      </w:r>
      <w:r w:rsidRPr="005012D4">
        <w:rPr>
          <w:rFonts w:eastAsia="Calibri" w:cs="Times New Roman"/>
          <w:szCs w:val="24"/>
        </w:rPr>
        <w:t>.</w:t>
      </w:r>
    </w:p>
    <w:p w14:paraId="6DB81511" w14:textId="77777777" w:rsidR="00500371" w:rsidRDefault="00500371" w:rsidP="005012D4">
      <w:pPr>
        <w:spacing w:after="0" w:line="240" w:lineRule="auto"/>
        <w:rPr>
          <w:rFonts w:eastAsia="Calibri" w:cs="Times New Roman"/>
          <w:szCs w:val="24"/>
        </w:rPr>
      </w:pPr>
    </w:p>
    <w:p w14:paraId="4A0D22F7" w14:textId="77777777" w:rsidR="005012D4" w:rsidRPr="005012D4" w:rsidRDefault="005012D4" w:rsidP="005012D4">
      <w:pPr>
        <w:spacing w:after="0" w:line="240" w:lineRule="auto"/>
        <w:rPr>
          <w:rFonts w:eastAsia="Calibri" w:cs="Times New Roman"/>
          <w:szCs w:val="24"/>
        </w:rPr>
      </w:pPr>
      <w:r w:rsidRPr="005012D4">
        <w:rPr>
          <w:rFonts w:eastAsia="Calibri" w:cs="Times New Roman"/>
          <w:szCs w:val="24"/>
        </w:rPr>
        <w:t>In aggregate for both PPS methodologies, we estimate 1,584 hours at a cost of $198,348.48.</w:t>
      </w:r>
    </w:p>
    <w:p w14:paraId="7503316C" w14:textId="77777777" w:rsidR="005012D4" w:rsidRPr="005012D4" w:rsidRDefault="005012D4" w:rsidP="005012D4">
      <w:pPr>
        <w:spacing w:after="0" w:line="240" w:lineRule="auto"/>
        <w:rPr>
          <w:rFonts w:eastAsia="Calibri" w:cs="Times New Roman"/>
          <w:szCs w:val="24"/>
        </w:rPr>
      </w:pPr>
    </w:p>
    <w:p w14:paraId="168BF852" w14:textId="0193DC37" w:rsidR="005012D4" w:rsidRPr="005012D4" w:rsidRDefault="00F10894" w:rsidP="005012D4">
      <w:pPr>
        <w:spacing w:after="0" w:line="240" w:lineRule="auto"/>
        <w:rPr>
          <w:rFonts w:eastAsia="Calibri" w:cs="Times New Roman"/>
          <w:i/>
          <w:szCs w:val="24"/>
        </w:rPr>
      </w:pPr>
      <w:r>
        <w:rPr>
          <w:rFonts w:eastAsia="Calibri" w:cs="Times New Roman"/>
          <w:i/>
          <w:szCs w:val="24"/>
        </w:rPr>
        <w:t>D.1.</w:t>
      </w:r>
      <w:r>
        <w:rPr>
          <w:rFonts w:eastAsia="Calibri" w:cs="Times New Roman"/>
          <w:i/>
          <w:szCs w:val="24"/>
        </w:rPr>
        <w:t>3</w:t>
      </w:r>
      <w:r>
        <w:rPr>
          <w:rFonts w:eastAsia="Calibri" w:cs="Times New Roman"/>
          <w:i/>
          <w:szCs w:val="24"/>
        </w:rPr>
        <w:t xml:space="preserve"> </w:t>
      </w:r>
      <w:r w:rsidR="00B12D73">
        <w:rPr>
          <w:rFonts w:eastAsia="Calibri" w:cs="Times New Roman"/>
          <w:i/>
          <w:szCs w:val="24"/>
        </w:rPr>
        <w:t>Cost Report</w:t>
      </w:r>
      <w:r w:rsidR="00D75453">
        <w:rPr>
          <w:rFonts w:eastAsia="Calibri" w:cs="Times New Roman"/>
          <w:i/>
          <w:szCs w:val="24"/>
        </w:rPr>
        <w:t xml:space="preserve"> Subtotal</w:t>
      </w:r>
    </w:p>
    <w:p w14:paraId="12C20D7A" w14:textId="77777777" w:rsidR="005012D4" w:rsidRDefault="005012D4" w:rsidP="005012D4">
      <w:pPr>
        <w:spacing w:after="0" w:line="240" w:lineRule="auto"/>
        <w:rPr>
          <w:rFonts w:eastAsia="Calibri" w:cs="Times New Roman"/>
          <w:szCs w:val="24"/>
        </w:rPr>
      </w:pPr>
    </w:p>
    <w:p w14:paraId="398BB0D3" w14:textId="77777777" w:rsidR="00E100DE" w:rsidRDefault="00E100DE" w:rsidP="00E100DE">
      <w:pPr>
        <w:spacing w:after="0" w:line="240" w:lineRule="auto"/>
        <w:rPr>
          <w:rFonts w:cs="Times New Roman"/>
          <w:szCs w:val="24"/>
        </w:rPr>
      </w:pPr>
      <w:r w:rsidRPr="007D6208">
        <w:rPr>
          <w:rFonts w:cs="Times New Roman"/>
          <w:szCs w:val="24"/>
        </w:rPr>
        <w:t>To derive average costs, we used data from the U.S. Bureau of Labor Statistics’ May 2014 National Occupational Employment and Wage Estimates for all salary estimates (</w:t>
      </w:r>
      <w:hyperlink r:id="rId9" w:history="1">
        <w:r w:rsidRPr="001E783C">
          <w:rPr>
            <w:rStyle w:val="Hyperlink"/>
            <w:rFonts w:cs="Times New Roman"/>
            <w:szCs w:val="24"/>
          </w:rPr>
          <w:t>http://www.bls.gov/oes/current/oes_nat.htm</w:t>
        </w:r>
      </w:hyperlink>
      <w:r w:rsidRPr="007D6208">
        <w:rPr>
          <w:rFonts w:cs="Times New Roman"/>
          <w:szCs w:val="24"/>
        </w:rPr>
        <w:t>). In this regard, the following table presents the 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3F0B6EA3" w14:textId="77777777" w:rsidR="00E100DE" w:rsidRDefault="00E100DE" w:rsidP="00E100DE">
      <w:pPr>
        <w:spacing w:after="0" w:line="240" w:lineRule="auto"/>
        <w:rPr>
          <w:i/>
          <w:szCs w:val="24"/>
        </w:rPr>
      </w:pPr>
    </w:p>
    <w:p w14:paraId="34A030D7" w14:textId="77777777" w:rsidR="00867C3D" w:rsidRDefault="00867C3D" w:rsidP="00E100DE">
      <w:pPr>
        <w:spacing w:after="0" w:line="240" w:lineRule="auto"/>
        <w:rPr>
          <w:i/>
          <w:szCs w:val="24"/>
        </w:rPr>
      </w:pPr>
      <w:r>
        <w:rPr>
          <w:i/>
          <w:szCs w:val="24"/>
        </w:rPr>
        <w:t>Table 1</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40"/>
        <w:gridCol w:w="1620"/>
        <w:gridCol w:w="1260"/>
        <w:gridCol w:w="1800"/>
        <w:gridCol w:w="1260"/>
        <w:gridCol w:w="1260"/>
      </w:tblGrid>
      <w:tr w:rsidR="00E100DE" w:rsidRPr="002E2118" w14:paraId="0956B329" w14:textId="77777777" w:rsidTr="009E14C4">
        <w:trPr>
          <w:trHeight w:val="656"/>
          <w:tblHeader/>
        </w:trPr>
        <w:tc>
          <w:tcPr>
            <w:tcW w:w="1980" w:type="dxa"/>
            <w:vMerge w:val="restart"/>
            <w:shd w:val="clear" w:color="auto" w:fill="auto"/>
            <w:vAlign w:val="center"/>
          </w:tcPr>
          <w:p w14:paraId="007E88D8" w14:textId="77777777" w:rsidR="00E100DE" w:rsidRPr="002E2118" w:rsidRDefault="00E100DE" w:rsidP="009E14C4">
            <w:pPr>
              <w:spacing w:after="0" w:line="240" w:lineRule="auto"/>
              <w:jc w:val="center"/>
              <w:rPr>
                <w:rFonts w:cs="Times New Roman"/>
                <w:b/>
                <w:szCs w:val="24"/>
              </w:rPr>
            </w:pPr>
            <w:r w:rsidRPr="002E2118">
              <w:rPr>
                <w:rFonts w:cs="Times New Roman"/>
                <w:b/>
                <w:szCs w:val="24"/>
              </w:rPr>
              <w:t>Occupation Title</w:t>
            </w:r>
          </w:p>
        </w:tc>
        <w:tc>
          <w:tcPr>
            <w:tcW w:w="1440" w:type="dxa"/>
            <w:vMerge w:val="restart"/>
            <w:shd w:val="clear" w:color="auto" w:fill="auto"/>
            <w:vAlign w:val="center"/>
          </w:tcPr>
          <w:p w14:paraId="115466B1" w14:textId="77777777" w:rsidR="00E100DE" w:rsidRPr="002E2118" w:rsidRDefault="00E100DE" w:rsidP="009E14C4">
            <w:pPr>
              <w:spacing w:after="0" w:line="240" w:lineRule="auto"/>
              <w:jc w:val="center"/>
              <w:rPr>
                <w:rFonts w:cs="Times New Roman"/>
                <w:b/>
                <w:szCs w:val="24"/>
              </w:rPr>
            </w:pPr>
            <w:r w:rsidRPr="002E2118">
              <w:rPr>
                <w:rFonts w:cs="Times New Roman"/>
                <w:b/>
                <w:szCs w:val="24"/>
              </w:rPr>
              <w:t>Occupation Code</w:t>
            </w:r>
          </w:p>
        </w:tc>
        <w:tc>
          <w:tcPr>
            <w:tcW w:w="1620" w:type="dxa"/>
            <w:vMerge w:val="restart"/>
            <w:shd w:val="clear" w:color="auto" w:fill="auto"/>
            <w:vAlign w:val="center"/>
          </w:tcPr>
          <w:p w14:paraId="6DF44BD2" w14:textId="77777777" w:rsidR="00E100DE" w:rsidRPr="002E2118" w:rsidRDefault="00E100DE" w:rsidP="009E14C4">
            <w:pPr>
              <w:spacing w:after="0" w:line="240" w:lineRule="auto"/>
              <w:jc w:val="center"/>
              <w:rPr>
                <w:rFonts w:cs="Times New Roman"/>
                <w:b/>
                <w:szCs w:val="24"/>
              </w:rPr>
            </w:pPr>
            <w:r w:rsidRPr="002E2118">
              <w:rPr>
                <w:rFonts w:cs="Times New Roman"/>
                <w:b/>
                <w:szCs w:val="24"/>
              </w:rPr>
              <w:t>Mean Hourly Wage</w:t>
            </w:r>
          </w:p>
        </w:tc>
        <w:tc>
          <w:tcPr>
            <w:tcW w:w="1260" w:type="dxa"/>
            <w:vMerge w:val="restart"/>
            <w:shd w:val="clear" w:color="auto" w:fill="auto"/>
            <w:vAlign w:val="center"/>
          </w:tcPr>
          <w:p w14:paraId="500DB37B" w14:textId="77777777" w:rsidR="00E100DE" w:rsidRPr="002E2118" w:rsidRDefault="00E100DE" w:rsidP="009E14C4">
            <w:pPr>
              <w:spacing w:after="0" w:line="240" w:lineRule="auto"/>
              <w:jc w:val="center"/>
              <w:rPr>
                <w:rFonts w:cs="Times New Roman"/>
                <w:b/>
                <w:szCs w:val="24"/>
              </w:rPr>
            </w:pPr>
            <w:r w:rsidRPr="002E2118">
              <w:rPr>
                <w:rFonts w:cs="Times New Roman"/>
                <w:b/>
                <w:szCs w:val="24"/>
              </w:rPr>
              <w:t>Fringe Benefit</w:t>
            </w:r>
          </w:p>
        </w:tc>
        <w:tc>
          <w:tcPr>
            <w:tcW w:w="1800" w:type="dxa"/>
            <w:vMerge w:val="restart"/>
            <w:vAlign w:val="center"/>
          </w:tcPr>
          <w:p w14:paraId="38AB6567" w14:textId="77777777" w:rsidR="00E100DE" w:rsidRPr="002E2118" w:rsidRDefault="00E100DE" w:rsidP="009E14C4">
            <w:pPr>
              <w:spacing w:after="0" w:line="240" w:lineRule="auto"/>
              <w:jc w:val="center"/>
              <w:rPr>
                <w:rFonts w:cs="Times New Roman"/>
                <w:b/>
                <w:szCs w:val="24"/>
              </w:rPr>
            </w:pPr>
            <w:r>
              <w:rPr>
                <w:rFonts w:cs="Times New Roman"/>
                <w:b/>
                <w:szCs w:val="24"/>
              </w:rPr>
              <w:t xml:space="preserve">Adjusted </w:t>
            </w:r>
            <w:r w:rsidRPr="002E2118">
              <w:rPr>
                <w:rFonts w:cs="Times New Roman"/>
                <w:b/>
                <w:szCs w:val="24"/>
              </w:rPr>
              <w:t>Hourly Wage</w:t>
            </w:r>
          </w:p>
        </w:tc>
        <w:tc>
          <w:tcPr>
            <w:tcW w:w="2520" w:type="dxa"/>
            <w:gridSpan w:val="2"/>
            <w:vAlign w:val="center"/>
          </w:tcPr>
          <w:p w14:paraId="225DF397" w14:textId="77777777" w:rsidR="00E100DE" w:rsidRDefault="00E100DE" w:rsidP="009E14C4">
            <w:pPr>
              <w:spacing w:after="0" w:line="240" w:lineRule="auto"/>
              <w:jc w:val="center"/>
              <w:rPr>
                <w:rFonts w:cs="Times New Roman"/>
                <w:b/>
                <w:szCs w:val="24"/>
              </w:rPr>
            </w:pPr>
            <w:r>
              <w:rPr>
                <w:rFonts w:cs="Times New Roman"/>
                <w:b/>
                <w:szCs w:val="24"/>
              </w:rPr>
              <w:t>Hours per request</w:t>
            </w:r>
          </w:p>
        </w:tc>
      </w:tr>
      <w:tr w:rsidR="00E100DE" w:rsidRPr="002E2118" w14:paraId="6F84A097" w14:textId="77777777" w:rsidTr="009E14C4">
        <w:trPr>
          <w:trHeight w:val="530"/>
          <w:tblHeader/>
        </w:trPr>
        <w:tc>
          <w:tcPr>
            <w:tcW w:w="1980" w:type="dxa"/>
            <w:vMerge/>
            <w:shd w:val="clear" w:color="auto" w:fill="auto"/>
            <w:vAlign w:val="center"/>
          </w:tcPr>
          <w:p w14:paraId="5E23F46C" w14:textId="77777777" w:rsidR="00E100DE" w:rsidRPr="002E2118" w:rsidRDefault="00E100DE" w:rsidP="009E14C4">
            <w:pPr>
              <w:spacing w:after="0" w:line="240" w:lineRule="auto"/>
              <w:jc w:val="center"/>
              <w:rPr>
                <w:rFonts w:cs="Times New Roman"/>
                <w:b/>
                <w:szCs w:val="24"/>
              </w:rPr>
            </w:pPr>
          </w:p>
        </w:tc>
        <w:tc>
          <w:tcPr>
            <w:tcW w:w="1440" w:type="dxa"/>
            <w:vMerge/>
            <w:shd w:val="clear" w:color="auto" w:fill="auto"/>
            <w:vAlign w:val="center"/>
          </w:tcPr>
          <w:p w14:paraId="2464CCD8" w14:textId="77777777" w:rsidR="00E100DE" w:rsidRPr="002E2118" w:rsidRDefault="00E100DE" w:rsidP="009E14C4">
            <w:pPr>
              <w:spacing w:after="0" w:line="240" w:lineRule="auto"/>
              <w:jc w:val="center"/>
              <w:rPr>
                <w:rFonts w:cs="Times New Roman"/>
                <w:b/>
                <w:szCs w:val="24"/>
              </w:rPr>
            </w:pPr>
          </w:p>
        </w:tc>
        <w:tc>
          <w:tcPr>
            <w:tcW w:w="1620" w:type="dxa"/>
            <w:vMerge/>
            <w:shd w:val="clear" w:color="auto" w:fill="auto"/>
            <w:vAlign w:val="center"/>
          </w:tcPr>
          <w:p w14:paraId="4A134CBD" w14:textId="77777777" w:rsidR="00E100DE" w:rsidRPr="002E2118" w:rsidRDefault="00E100DE" w:rsidP="009E14C4">
            <w:pPr>
              <w:spacing w:after="0" w:line="240" w:lineRule="auto"/>
              <w:jc w:val="center"/>
              <w:rPr>
                <w:rFonts w:cs="Times New Roman"/>
                <w:b/>
                <w:szCs w:val="24"/>
              </w:rPr>
            </w:pPr>
          </w:p>
        </w:tc>
        <w:tc>
          <w:tcPr>
            <w:tcW w:w="1260" w:type="dxa"/>
            <w:vMerge/>
            <w:shd w:val="clear" w:color="auto" w:fill="auto"/>
            <w:vAlign w:val="center"/>
          </w:tcPr>
          <w:p w14:paraId="6173D96E" w14:textId="77777777" w:rsidR="00E100DE" w:rsidRPr="002E2118" w:rsidRDefault="00E100DE" w:rsidP="009E14C4">
            <w:pPr>
              <w:spacing w:after="0" w:line="240" w:lineRule="auto"/>
              <w:jc w:val="center"/>
              <w:rPr>
                <w:rFonts w:cs="Times New Roman"/>
                <w:b/>
                <w:szCs w:val="24"/>
              </w:rPr>
            </w:pPr>
          </w:p>
        </w:tc>
        <w:tc>
          <w:tcPr>
            <w:tcW w:w="1800" w:type="dxa"/>
            <w:vMerge/>
            <w:vAlign w:val="center"/>
          </w:tcPr>
          <w:p w14:paraId="34694AF2" w14:textId="77777777" w:rsidR="00E100DE" w:rsidRDefault="00E100DE" w:rsidP="009E14C4">
            <w:pPr>
              <w:spacing w:after="0" w:line="240" w:lineRule="auto"/>
              <w:jc w:val="center"/>
              <w:rPr>
                <w:rFonts w:cs="Times New Roman"/>
                <w:b/>
                <w:szCs w:val="24"/>
              </w:rPr>
            </w:pPr>
          </w:p>
        </w:tc>
        <w:tc>
          <w:tcPr>
            <w:tcW w:w="1260" w:type="dxa"/>
            <w:vAlign w:val="center"/>
          </w:tcPr>
          <w:p w14:paraId="466CF4AA" w14:textId="77777777" w:rsidR="00E100DE" w:rsidRDefault="00E100DE" w:rsidP="009E14C4">
            <w:pPr>
              <w:spacing w:after="0" w:line="240" w:lineRule="auto"/>
              <w:jc w:val="center"/>
              <w:rPr>
                <w:rFonts w:cs="Times New Roman"/>
                <w:b/>
                <w:szCs w:val="24"/>
              </w:rPr>
            </w:pPr>
            <w:r>
              <w:rPr>
                <w:rFonts w:cs="Times New Roman"/>
                <w:b/>
                <w:szCs w:val="24"/>
              </w:rPr>
              <w:t>CC PPS-1</w:t>
            </w:r>
          </w:p>
        </w:tc>
        <w:tc>
          <w:tcPr>
            <w:tcW w:w="1260" w:type="dxa"/>
            <w:vAlign w:val="center"/>
          </w:tcPr>
          <w:p w14:paraId="5CF2F3ED" w14:textId="77777777" w:rsidR="00E100DE" w:rsidRDefault="00E100DE" w:rsidP="009E14C4">
            <w:pPr>
              <w:spacing w:after="0" w:line="240" w:lineRule="auto"/>
              <w:jc w:val="center"/>
              <w:rPr>
                <w:rFonts w:cs="Times New Roman"/>
                <w:b/>
                <w:szCs w:val="24"/>
              </w:rPr>
            </w:pPr>
            <w:r>
              <w:rPr>
                <w:rFonts w:cs="Times New Roman"/>
                <w:b/>
                <w:szCs w:val="24"/>
              </w:rPr>
              <w:t>CC PPS-2</w:t>
            </w:r>
          </w:p>
        </w:tc>
      </w:tr>
      <w:tr w:rsidR="00E100DE" w:rsidRPr="002E2118" w14:paraId="5E04EF16" w14:textId="77777777" w:rsidTr="009E14C4">
        <w:tc>
          <w:tcPr>
            <w:tcW w:w="1980" w:type="dxa"/>
            <w:shd w:val="clear" w:color="auto" w:fill="auto"/>
          </w:tcPr>
          <w:p w14:paraId="4E11A45C" w14:textId="2073E2B4" w:rsidR="00E100DE" w:rsidRDefault="00E100DE" w:rsidP="009E14C4">
            <w:pPr>
              <w:spacing w:after="0" w:line="240" w:lineRule="auto"/>
              <w:rPr>
                <w:rFonts w:cs="Times New Roman"/>
                <w:szCs w:val="24"/>
              </w:rPr>
            </w:pPr>
            <w:r>
              <w:rPr>
                <w:rFonts w:cs="Times New Roman"/>
                <w:szCs w:val="24"/>
              </w:rPr>
              <w:t>Staff Accountant</w:t>
            </w:r>
            <w:r w:rsidR="00D75453">
              <w:rPr>
                <w:rFonts w:cs="Times New Roman"/>
                <w:szCs w:val="24"/>
              </w:rPr>
              <w:t xml:space="preserve"> (clinic)</w:t>
            </w:r>
          </w:p>
        </w:tc>
        <w:tc>
          <w:tcPr>
            <w:tcW w:w="1440" w:type="dxa"/>
            <w:shd w:val="clear" w:color="auto" w:fill="auto"/>
          </w:tcPr>
          <w:p w14:paraId="15DB3FA8" w14:textId="77777777" w:rsidR="00E100DE" w:rsidRDefault="00E100DE" w:rsidP="009E14C4">
            <w:pPr>
              <w:spacing w:after="0" w:line="240" w:lineRule="auto"/>
              <w:jc w:val="center"/>
              <w:rPr>
                <w:rFonts w:cs="Times New Roman"/>
                <w:szCs w:val="24"/>
              </w:rPr>
            </w:pPr>
            <w:r>
              <w:rPr>
                <w:rFonts w:cs="Times New Roman"/>
                <w:szCs w:val="24"/>
              </w:rPr>
              <w:t>13-2011</w:t>
            </w:r>
          </w:p>
        </w:tc>
        <w:tc>
          <w:tcPr>
            <w:tcW w:w="1620" w:type="dxa"/>
            <w:shd w:val="clear" w:color="auto" w:fill="auto"/>
          </w:tcPr>
          <w:p w14:paraId="1725C888" w14:textId="77777777" w:rsidR="00E100DE" w:rsidRDefault="00E100DE" w:rsidP="009E14C4">
            <w:pPr>
              <w:spacing w:after="0" w:line="240" w:lineRule="auto"/>
              <w:jc w:val="center"/>
              <w:rPr>
                <w:rFonts w:cs="Times New Roman"/>
                <w:szCs w:val="24"/>
              </w:rPr>
            </w:pPr>
            <w:r>
              <w:rPr>
                <w:rFonts w:cs="Times New Roman"/>
                <w:szCs w:val="24"/>
              </w:rPr>
              <w:t>35.42</w:t>
            </w:r>
          </w:p>
        </w:tc>
        <w:tc>
          <w:tcPr>
            <w:tcW w:w="1260" w:type="dxa"/>
            <w:shd w:val="clear" w:color="auto" w:fill="auto"/>
          </w:tcPr>
          <w:p w14:paraId="1F8ABB3C" w14:textId="77777777" w:rsidR="00E100DE" w:rsidRDefault="00E100DE" w:rsidP="009E14C4">
            <w:pPr>
              <w:spacing w:after="0" w:line="240" w:lineRule="auto"/>
              <w:jc w:val="center"/>
              <w:rPr>
                <w:rFonts w:cs="Times New Roman"/>
                <w:szCs w:val="24"/>
              </w:rPr>
            </w:pPr>
            <w:r>
              <w:rPr>
                <w:rFonts w:cs="Times New Roman"/>
                <w:szCs w:val="24"/>
              </w:rPr>
              <w:t>35.42</w:t>
            </w:r>
          </w:p>
        </w:tc>
        <w:tc>
          <w:tcPr>
            <w:tcW w:w="1800" w:type="dxa"/>
          </w:tcPr>
          <w:p w14:paraId="283DBE9F" w14:textId="77777777" w:rsidR="00E100DE" w:rsidRDefault="00E100DE" w:rsidP="009E14C4">
            <w:pPr>
              <w:spacing w:after="0" w:line="240" w:lineRule="auto"/>
              <w:jc w:val="center"/>
              <w:rPr>
                <w:rFonts w:cs="Times New Roman"/>
                <w:szCs w:val="24"/>
              </w:rPr>
            </w:pPr>
            <w:r>
              <w:rPr>
                <w:rFonts w:cs="Times New Roman"/>
                <w:szCs w:val="24"/>
              </w:rPr>
              <w:t>70.84</w:t>
            </w:r>
          </w:p>
        </w:tc>
        <w:tc>
          <w:tcPr>
            <w:tcW w:w="1260" w:type="dxa"/>
            <w:vAlign w:val="center"/>
          </w:tcPr>
          <w:p w14:paraId="63C69AB9" w14:textId="77777777" w:rsidR="00E100DE" w:rsidRDefault="00E100DE" w:rsidP="009E14C4">
            <w:pPr>
              <w:spacing w:after="0" w:line="240" w:lineRule="auto"/>
              <w:jc w:val="center"/>
              <w:rPr>
                <w:rFonts w:cs="Times New Roman"/>
                <w:szCs w:val="24"/>
              </w:rPr>
            </w:pPr>
            <w:r>
              <w:rPr>
                <w:rFonts w:cs="Times New Roman"/>
                <w:szCs w:val="24"/>
              </w:rPr>
              <w:t>54.33</w:t>
            </w:r>
          </w:p>
        </w:tc>
        <w:tc>
          <w:tcPr>
            <w:tcW w:w="1260" w:type="dxa"/>
            <w:vAlign w:val="center"/>
          </w:tcPr>
          <w:p w14:paraId="552A978D" w14:textId="77777777" w:rsidR="00E100DE" w:rsidRDefault="00E100DE" w:rsidP="009E14C4">
            <w:pPr>
              <w:spacing w:after="0" w:line="240" w:lineRule="auto"/>
              <w:jc w:val="center"/>
              <w:rPr>
                <w:rFonts w:cs="Times New Roman"/>
                <w:szCs w:val="24"/>
              </w:rPr>
            </w:pPr>
            <w:r>
              <w:rPr>
                <w:rFonts w:cs="Times New Roman"/>
                <w:szCs w:val="24"/>
              </w:rPr>
              <w:t>108.66</w:t>
            </w:r>
          </w:p>
        </w:tc>
      </w:tr>
      <w:tr w:rsidR="00E100DE" w:rsidRPr="002E2118" w14:paraId="17759847" w14:textId="77777777" w:rsidTr="009E14C4">
        <w:tc>
          <w:tcPr>
            <w:tcW w:w="1980" w:type="dxa"/>
            <w:shd w:val="clear" w:color="auto" w:fill="auto"/>
          </w:tcPr>
          <w:p w14:paraId="7E550A49" w14:textId="18CCDA20" w:rsidR="00E100DE" w:rsidRDefault="00E100DE" w:rsidP="009E14C4">
            <w:pPr>
              <w:spacing w:after="0" w:line="240" w:lineRule="auto"/>
              <w:rPr>
                <w:rFonts w:cs="Times New Roman"/>
                <w:szCs w:val="24"/>
              </w:rPr>
            </w:pPr>
            <w:r>
              <w:rPr>
                <w:rFonts w:cs="Times New Roman"/>
                <w:szCs w:val="24"/>
              </w:rPr>
              <w:t>Finance Manager</w:t>
            </w:r>
            <w:r w:rsidR="00D75453">
              <w:rPr>
                <w:rFonts w:cs="Times New Roman"/>
                <w:szCs w:val="24"/>
              </w:rPr>
              <w:t xml:space="preserve"> (state)</w:t>
            </w:r>
          </w:p>
        </w:tc>
        <w:tc>
          <w:tcPr>
            <w:tcW w:w="1440" w:type="dxa"/>
            <w:shd w:val="clear" w:color="auto" w:fill="auto"/>
          </w:tcPr>
          <w:p w14:paraId="1F7896EC" w14:textId="77777777" w:rsidR="00E100DE" w:rsidRDefault="00E100DE" w:rsidP="009E14C4">
            <w:pPr>
              <w:spacing w:after="0" w:line="240" w:lineRule="auto"/>
              <w:jc w:val="center"/>
              <w:rPr>
                <w:rFonts w:cs="Times New Roman"/>
                <w:szCs w:val="24"/>
              </w:rPr>
            </w:pPr>
            <w:r>
              <w:rPr>
                <w:rFonts w:cs="Times New Roman"/>
                <w:szCs w:val="24"/>
              </w:rPr>
              <w:t>11-3031</w:t>
            </w:r>
          </w:p>
        </w:tc>
        <w:tc>
          <w:tcPr>
            <w:tcW w:w="1620" w:type="dxa"/>
            <w:shd w:val="clear" w:color="auto" w:fill="auto"/>
          </w:tcPr>
          <w:p w14:paraId="70428DB5" w14:textId="77777777" w:rsidR="00E100DE" w:rsidRDefault="00E100DE" w:rsidP="009E14C4">
            <w:pPr>
              <w:spacing w:after="0" w:line="240" w:lineRule="auto"/>
              <w:jc w:val="center"/>
              <w:rPr>
                <w:rFonts w:cs="Times New Roman"/>
                <w:szCs w:val="24"/>
              </w:rPr>
            </w:pPr>
            <w:r>
              <w:rPr>
                <w:rFonts w:cs="Times New Roman"/>
                <w:szCs w:val="24"/>
              </w:rPr>
              <w:t>62.61</w:t>
            </w:r>
          </w:p>
        </w:tc>
        <w:tc>
          <w:tcPr>
            <w:tcW w:w="1260" w:type="dxa"/>
            <w:shd w:val="clear" w:color="auto" w:fill="auto"/>
          </w:tcPr>
          <w:p w14:paraId="44435EE0" w14:textId="77777777" w:rsidR="00E100DE" w:rsidRDefault="00E100DE" w:rsidP="009E14C4">
            <w:pPr>
              <w:spacing w:after="0" w:line="240" w:lineRule="auto"/>
              <w:jc w:val="center"/>
              <w:rPr>
                <w:rFonts w:cs="Times New Roman"/>
                <w:szCs w:val="24"/>
              </w:rPr>
            </w:pPr>
            <w:r>
              <w:rPr>
                <w:rFonts w:cs="Times New Roman"/>
                <w:szCs w:val="24"/>
              </w:rPr>
              <w:t>62.61</w:t>
            </w:r>
          </w:p>
        </w:tc>
        <w:tc>
          <w:tcPr>
            <w:tcW w:w="1800" w:type="dxa"/>
          </w:tcPr>
          <w:p w14:paraId="679B969B" w14:textId="77777777" w:rsidR="00E100DE" w:rsidRDefault="00E100DE" w:rsidP="009E14C4">
            <w:pPr>
              <w:spacing w:after="0" w:line="240" w:lineRule="auto"/>
              <w:jc w:val="center"/>
              <w:rPr>
                <w:rFonts w:cs="Times New Roman"/>
                <w:szCs w:val="24"/>
              </w:rPr>
            </w:pPr>
            <w:r>
              <w:rPr>
                <w:rFonts w:cs="Times New Roman"/>
                <w:szCs w:val="24"/>
              </w:rPr>
              <w:t>125.22</w:t>
            </w:r>
          </w:p>
        </w:tc>
        <w:tc>
          <w:tcPr>
            <w:tcW w:w="1260" w:type="dxa"/>
            <w:vAlign w:val="center"/>
          </w:tcPr>
          <w:p w14:paraId="56EDB357" w14:textId="77777777" w:rsidR="00E100DE" w:rsidRDefault="00E100DE" w:rsidP="009E14C4">
            <w:pPr>
              <w:spacing w:after="0" w:line="240" w:lineRule="auto"/>
              <w:jc w:val="center"/>
              <w:rPr>
                <w:rFonts w:cs="Times New Roman"/>
                <w:szCs w:val="24"/>
              </w:rPr>
            </w:pPr>
            <w:r>
              <w:rPr>
                <w:rFonts w:cs="Times New Roman"/>
                <w:szCs w:val="24"/>
              </w:rPr>
              <w:t>22</w:t>
            </w:r>
          </w:p>
        </w:tc>
        <w:tc>
          <w:tcPr>
            <w:tcW w:w="1260" w:type="dxa"/>
            <w:vAlign w:val="center"/>
          </w:tcPr>
          <w:p w14:paraId="7805F42F" w14:textId="77777777" w:rsidR="00E100DE" w:rsidRDefault="00E100DE" w:rsidP="009E14C4">
            <w:pPr>
              <w:spacing w:after="0" w:line="240" w:lineRule="auto"/>
              <w:jc w:val="center"/>
              <w:rPr>
                <w:rFonts w:cs="Times New Roman"/>
                <w:szCs w:val="24"/>
              </w:rPr>
            </w:pPr>
            <w:r>
              <w:rPr>
                <w:rFonts w:cs="Times New Roman"/>
                <w:szCs w:val="24"/>
              </w:rPr>
              <w:t>44</w:t>
            </w:r>
          </w:p>
        </w:tc>
      </w:tr>
      <w:tr w:rsidR="00E100DE" w:rsidRPr="002E2118" w14:paraId="4C395425" w14:textId="77777777" w:rsidTr="009E14C4">
        <w:tc>
          <w:tcPr>
            <w:tcW w:w="1980" w:type="dxa"/>
            <w:tcBorders>
              <w:bottom w:val="single" w:sz="4" w:space="0" w:color="auto"/>
            </w:tcBorders>
            <w:shd w:val="clear" w:color="auto" w:fill="auto"/>
          </w:tcPr>
          <w:p w14:paraId="155F902C" w14:textId="05D8CE97" w:rsidR="00E100DE" w:rsidRDefault="00E100DE" w:rsidP="009E14C4">
            <w:pPr>
              <w:spacing w:after="0" w:line="240" w:lineRule="auto"/>
              <w:rPr>
                <w:rFonts w:cs="Times New Roman"/>
                <w:szCs w:val="24"/>
              </w:rPr>
            </w:pPr>
            <w:r>
              <w:rPr>
                <w:rFonts w:cs="Times New Roman"/>
                <w:szCs w:val="24"/>
              </w:rPr>
              <w:t>Chief Executive</w:t>
            </w:r>
            <w:r w:rsidR="00D75453">
              <w:rPr>
                <w:rFonts w:cs="Times New Roman"/>
                <w:szCs w:val="24"/>
              </w:rPr>
              <w:t xml:space="preserve"> (clinic)</w:t>
            </w:r>
          </w:p>
        </w:tc>
        <w:tc>
          <w:tcPr>
            <w:tcW w:w="1440" w:type="dxa"/>
            <w:tcBorders>
              <w:bottom w:val="single" w:sz="4" w:space="0" w:color="auto"/>
            </w:tcBorders>
            <w:shd w:val="clear" w:color="auto" w:fill="auto"/>
          </w:tcPr>
          <w:p w14:paraId="0E2A9A31" w14:textId="77777777" w:rsidR="00E100DE" w:rsidRDefault="00E100DE" w:rsidP="009E14C4">
            <w:pPr>
              <w:spacing w:after="0" w:line="240" w:lineRule="auto"/>
              <w:jc w:val="center"/>
              <w:rPr>
                <w:rFonts w:cs="Times New Roman"/>
                <w:szCs w:val="24"/>
              </w:rPr>
            </w:pPr>
            <w:r>
              <w:rPr>
                <w:rFonts w:cs="Times New Roman"/>
                <w:szCs w:val="24"/>
              </w:rPr>
              <w:t>11-1011</w:t>
            </w:r>
          </w:p>
        </w:tc>
        <w:tc>
          <w:tcPr>
            <w:tcW w:w="1620" w:type="dxa"/>
            <w:tcBorders>
              <w:bottom w:val="single" w:sz="4" w:space="0" w:color="auto"/>
            </w:tcBorders>
            <w:shd w:val="clear" w:color="auto" w:fill="auto"/>
          </w:tcPr>
          <w:p w14:paraId="1369F1BE" w14:textId="77777777" w:rsidR="00E100DE" w:rsidRDefault="00E100DE" w:rsidP="009E14C4">
            <w:pPr>
              <w:spacing w:after="0" w:line="240" w:lineRule="auto"/>
              <w:jc w:val="center"/>
              <w:rPr>
                <w:rFonts w:cs="Times New Roman"/>
                <w:szCs w:val="24"/>
              </w:rPr>
            </w:pPr>
            <w:r>
              <w:rPr>
                <w:rFonts w:cs="Times New Roman"/>
                <w:szCs w:val="24"/>
              </w:rPr>
              <w:t>86.88</w:t>
            </w:r>
          </w:p>
        </w:tc>
        <w:tc>
          <w:tcPr>
            <w:tcW w:w="1260" w:type="dxa"/>
            <w:tcBorders>
              <w:bottom w:val="single" w:sz="4" w:space="0" w:color="auto"/>
            </w:tcBorders>
            <w:shd w:val="clear" w:color="auto" w:fill="auto"/>
          </w:tcPr>
          <w:p w14:paraId="626BB261" w14:textId="77777777" w:rsidR="00E100DE" w:rsidRDefault="00E100DE" w:rsidP="009E14C4">
            <w:pPr>
              <w:spacing w:after="0" w:line="240" w:lineRule="auto"/>
              <w:jc w:val="center"/>
              <w:rPr>
                <w:rFonts w:cs="Times New Roman"/>
                <w:szCs w:val="24"/>
              </w:rPr>
            </w:pPr>
            <w:r>
              <w:rPr>
                <w:rFonts w:cs="Times New Roman"/>
                <w:szCs w:val="24"/>
              </w:rPr>
              <w:t>86.88</w:t>
            </w:r>
          </w:p>
        </w:tc>
        <w:tc>
          <w:tcPr>
            <w:tcW w:w="1800" w:type="dxa"/>
            <w:tcBorders>
              <w:bottom w:val="single" w:sz="12" w:space="0" w:color="auto"/>
            </w:tcBorders>
          </w:tcPr>
          <w:p w14:paraId="58A72175" w14:textId="77777777" w:rsidR="00E100DE" w:rsidRDefault="00E100DE" w:rsidP="009E14C4">
            <w:pPr>
              <w:spacing w:after="0" w:line="240" w:lineRule="auto"/>
              <w:jc w:val="center"/>
              <w:rPr>
                <w:rFonts w:cs="Times New Roman"/>
                <w:szCs w:val="24"/>
              </w:rPr>
            </w:pPr>
            <w:r>
              <w:rPr>
                <w:rFonts w:cs="Times New Roman"/>
                <w:szCs w:val="24"/>
              </w:rPr>
              <w:t>173.76</w:t>
            </w:r>
          </w:p>
        </w:tc>
        <w:tc>
          <w:tcPr>
            <w:tcW w:w="1260" w:type="dxa"/>
            <w:tcBorders>
              <w:bottom w:val="single" w:sz="12" w:space="0" w:color="auto"/>
            </w:tcBorders>
            <w:vAlign w:val="center"/>
          </w:tcPr>
          <w:p w14:paraId="1EBB66C3" w14:textId="77777777" w:rsidR="00E100DE" w:rsidRDefault="00E100DE" w:rsidP="009E14C4">
            <w:pPr>
              <w:spacing w:after="0" w:line="240" w:lineRule="auto"/>
              <w:jc w:val="center"/>
              <w:rPr>
                <w:rFonts w:cs="Times New Roman"/>
                <w:szCs w:val="24"/>
              </w:rPr>
            </w:pPr>
            <w:r>
              <w:rPr>
                <w:rFonts w:cs="Times New Roman"/>
                <w:szCs w:val="24"/>
              </w:rPr>
              <w:t>2</w:t>
            </w:r>
          </w:p>
        </w:tc>
        <w:tc>
          <w:tcPr>
            <w:tcW w:w="1260" w:type="dxa"/>
            <w:tcBorders>
              <w:bottom w:val="single" w:sz="12" w:space="0" w:color="auto"/>
            </w:tcBorders>
            <w:vAlign w:val="center"/>
          </w:tcPr>
          <w:p w14:paraId="166217D7" w14:textId="77777777" w:rsidR="00E100DE" w:rsidRDefault="00E100DE" w:rsidP="009E14C4">
            <w:pPr>
              <w:spacing w:after="0" w:line="240" w:lineRule="auto"/>
              <w:jc w:val="center"/>
              <w:rPr>
                <w:rFonts w:cs="Times New Roman"/>
                <w:szCs w:val="24"/>
              </w:rPr>
            </w:pPr>
            <w:r>
              <w:rPr>
                <w:rFonts w:cs="Times New Roman"/>
                <w:szCs w:val="24"/>
              </w:rPr>
              <w:t>4</w:t>
            </w:r>
          </w:p>
        </w:tc>
      </w:tr>
      <w:tr w:rsidR="00E100DE" w:rsidRPr="002E2118" w14:paraId="74A067A8" w14:textId="77777777" w:rsidTr="009E14C4">
        <w:tc>
          <w:tcPr>
            <w:tcW w:w="1980" w:type="dxa"/>
            <w:tcBorders>
              <w:left w:val="nil"/>
              <w:bottom w:val="nil"/>
              <w:right w:val="nil"/>
            </w:tcBorders>
            <w:shd w:val="clear" w:color="auto" w:fill="auto"/>
          </w:tcPr>
          <w:p w14:paraId="4E5DDC64" w14:textId="77777777" w:rsidR="00E100DE" w:rsidRPr="002E2118" w:rsidRDefault="00E100DE" w:rsidP="009E14C4">
            <w:pPr>
              <w:spacing w:after="0" w:line="240" w:lineRule="auto"/>
              <w:rPr>
                <w:rFonts w:cs="Times New Roman"/>
                <w:szCs w:val="24"/>
              </w:rPr>
            </w:pPr>
          </w:p>
        </w:tc>
        <w:tc>
          <w:tcPr>
            <w:tcW w:w="1440" w:type="dxa"/>
            <w:tcBorders>
              <w:left w:val="nil"/>
              <w:bottom w:val="nil"/>
              <w:right w:val="nil"/>
            </w:tcBorders>
            <w:shd w:val="clear" w:color="auto" w:fill="auto"/>
          </w:tcPr>
          <w:p w14:paraId="01DCD714" w14:textId="77777777" w:rsidR="00E100DE" w:rsidRPr="002E2118" w:rsidRDefault="00E100DE" w:rsidP="009E14C4">
            <w:pPr>
              <w:spacing w:after="0" w:line="240" w:lineRule="auto"/>
              <w:jc w:val="center"/>
              <w:rPr>
                <w:rFonts w:cs="Times New Roman"/>
                <w:szCs w:val="24"/>
              </w:rPr>
            </w:pPr>
          </w:p>
        </w:tc>
        <w:tc>
          <w:tcPr>
            <w:tcW w:w="1620" w:type="dxa"/>
            <w:tcBorders>
              <w:left w:val="nil"/>
              <w:bottom w:val="nil"/>
              <w:right w:val="nil"/>
            </w:tcBorders>
            <w:shd w:val="clear" w:color="auto" w:fill="auto"/>
          </w:tcPr>
          <w:p w14:paraId="1033B937" w14:textId="77777777" w:rsidR="00E100DE" w:rsidRPr="002E2118" w:rsidRDefault="00E100DE" w:rsidP="009E14C4">
            <w:pPr>
              <w:spacing w:after="0" w:line="240" w:lineRule="auto"/>
              <w:jc w:val="center"/>
              <w:rPr>
                <w:rFonts w:cs="Times New Roman"/>
                <w:szCs w:val="24"/>
              </w:rPr>
            </w:pPr>
          </w:p>
        </w:tc>
        <w:tc>
          <w:tcPr>
            <w:tcW w:w="1260" w:type="dxa"/>
            <w:tcBorders>
              <w:left w:val="nil"/>
              <w:bottom w:val="nil"/>
              <w:right w:val="single" w:sz="12" w:space="0" w:color="auto"/>
            </w:tcBorders>
            <w:shd w:val="clear" w:color="auto" w:fill="auto"/>
          </w:tcPr>
          <w:p w14:paraId="2B552722" w14:textId="77777777" w:rsidR="00E100DE" w:rsidRPr="002E2118" w:rsidRDefault="00E100DE" w:rsidP="009E14C4">
            <w:pPr>
              <w:spacing w:after="0" w:line="240" w:lineRule="auto"/>
              <w:jc w:val="center"/>
              <w:rPr>
                <w:rFonts w:cs="Times New Roman"/>
                <w:szCs w:val="24"/>
              </w:rPr>
            </w:pPr>
          </w:p>
        </w:tc>
        <w:tc>
          <w:tcPr>
            <w:tcW w:w="1800" w:type="dxa"/>
            <w:tcBorders>
              <w:top w:val="single" w:sz="12" w:space="0" w:color="auto"/>
              <w:left w:val="single" w:sz="12" w:space="0" w:color="auto"/>
              <w:bottom w:val="single" w:sz="12" w:space="0" w:color="auto"/>
            </w:tcBorders>
          </w:tcPr>
          <w:p w14:paraId="7CCB1E03" w14:textId="77777777" w:rsidR="00E100DE" w:rsidRPr="002E2118" w:rsidRDefault="00E100DE" w:rsidP="009E14C4">
            <w:pPr>
              <w:spacing w:after="0" w:line="240" w:lineRule="auto"/>
              <w:jc w:val="center"/>
              <w:rPr>
                <w:rFonts w:cs="Times New Roman"/>
                <w:szCs w:val="24"/>
              </w:rPr>
            </w:pPr>
            <w:r>
              <w:rPr>
                <w:rFonts w:cs="Times New Roman"/>
                <w:szCs w:val="24"/>
              </w:rPr>
              <w:t>Total Hours           per request</w:t>
            </w:r>
          </w:p>
        </w:tc>
        <w:tc>
          <w:tcPr>
            <w:tcW w:w="1260" w:type="dxa"/>
            <w:tcBorders>
              <w:top w:val="single" w:sz="12" w:space="0" w:color="auto"/>
              <w:bottom w:val="single" w:sz="12" w:space="0" w:color="auto"/>
            </w:tcBorders>
            <w:vAlign w:val="center"/>
          </w:tcPr>
          <w:p w14:paraId="174B510E" w14:textId="77777777" w:rsidR="00E100DE" w:rsidRDefault="00A211F4" w:rsidP="009E14C4">
            <w:pPr>
              <w:spacing w:after="0" w:line="240" w:lineRule="auto"/>
              <w:jc w:val="center"/>
              <w:rPr>
                <w:rFonts w:cs="Times New Roman"/>
                <w:szCs w:val="24"/>
              </w:rPr>
            </w:pPr>
            <w:r>
              <w:rPr>
                <w:rFonts w:cs="Times New Roman"/>
                <w:szCs w:val="24"/>
              </w:rPr>
              <w:t>78.33</w:t>
            </w:r>
          </w:p>
        </w:tc>
        <w:tc>
          <w:tcPr>
            <w:tcW w:w="1260" w:type="dxa"/>
            <w:tcBorders>
              <w:top w:val="single" w:sz="12" w:space="0" w:color="auto"/>
              <w:bottom w:val="single" w:sz="12" w:space="0" w:color="auto"/>
              <w:right w:val="single" w:sz="12" w:space="0" w:color="auto"/>
            </w:tcBorders>
            <w:vAlign w:val="center"/>
          </w:tcPr>
          <w:p w14:paraId="3F713238" w14:textId="77777777" w:rsidR="00E100DE" w:rsidRDefault="00A211F4" w:rsidP="00A211F4">
            <w:pPr>
              <w:spacing w:after="0" w:line="240" w:lineRule="auto"/>
              <w:jc w:val="center"/>
              <w:rPr>
                <w:rFonts w:cs="Times New Roman"/>
                <w:szCs w:val="24"/>
              </w:rPr>
            </w:pPr>
            <w:r>
              <w:rPr>
                <w:rFonts w:cs="Times New Roman"/>
                <w:szCs w:val="24"/>
              </w:rPr>
              <w:t>156</w:t>
            </w:r>
            <w:r w:rsidR="00E100DE">
              <w:rPr>
                <w:rFonts w:cs="Times New Roman"/>
                <w:szCs w:val="24"/>
              </w:rPr>
              <w:t>.66</w:t>
            </w:r>
          </w:p>
        </w:tc>
      </w:tr>
    </w:tbl>
    <w:p w14:paraId="48B585A7" w14:textId="77777777" w:rsidR="00E100DE" w:rsidRDefault="00E100DE" w:rsidP="00E100DE">
      <w:pPr>
        <w:spacing w:after="0" w:line="240" w:lineRule="auto"/>
        <w:rPr>
          <w:szCs w:val="24"/>
        </w:rPr>
      </w:pPr>
    </w:p>
    <w:p w14:paraId="76D5279D" w14:textId="77777777" w:rsidR="00E100DE" w:rsidRDefault="00E100DE" w:rsidP="00E100DE">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6A5DAAF8" w14:textId="77777777" w:rsidR="00E100DE" w:rsidRPr="005012D4" w:rsidRDefault="00E100DE" w:rsidP="005012D4">
      <w:pPr>
        <w:spacing w:after="0" w:line="240" w:lineRule="auto"/>
        <w:rPr>
          <w:rFonts w:eastAsia="Calibri" w:cs="Times New Roman"/>
          <w:szCs w:val="24"/>
        </w:rPr>
      </w:pPr>
    </w:p>
    <w:p w14:paraId="2674CC87" w14:textId="77777777" w:rsidR="00500371" w:rsidRPr="00084402" w:rsidRDefault="005012D4" w:rsidP="005012D4">
      <w:pPr>
        <w:spacing w:after="0" w:line="240" w:lineRule="auto"/>
        <w:rPr>
          <w:rFonts w:eastAsia="Calibri" w:cs="Times New Roman"/>
          <w:szCs w:val="24"/>
        </w:rPr>
      </w:pPr>
      <w:r w:rsidRPr="00084402">
        <w:rPr>
          <w:rFonts w:eastAsia="Calibri" w:cs="Times New Roman"/>
          <w:szCs w:val="24"/>
        </w:rPr>
        <w:t xml:space="preserve">The total burden for CC PPS-1 is </w:t>
      </w:r>
      <w:r w:rsidR="005854DF" w:rsidRPr="00084402">
        <w:rPr>
          <w:rFonts w:eastAsia="Calibri" w:cs="Times New Roman"/>
          <w:szCs w:val="24"/>
        </w:rPr>
        <w:t>1,879.25</w:t>
      </w:r>
      <w:r w:rsidRPr="00084402">
        <w:rPr>
          <w:rFonts w:eastAsia="Calibri" w:cs="Times New Roman"/>
          <w:szCs w:val="24"/>
        </w:rPr>
        <w:t xml:space="preserve"> hours (</w:t>
      </w:r>
      <w:r w:rsidR="005854DF" w:rsidRPr="00084402">
        <w:rPr>
          <w:rFonts w:eastAsia="Calibri" w:cs="Times New Roman"/>
          <w:szCs w:val="24"/>
        </w:rPr>
        <w:t>1,351.92</w:t>
      </w:r>
      <w:r w:rsidRPr="00084402">
        <w:rPr>
          <w:rFonts w:eastAsia="Calibri" w:cs="Times New Roman"/>
          <w:szCs w:val="24"/>
        </w:rPr>
        <w:t xml:space="preserve"> hours + </w:t>
      </w:r>
      <w:r w:rsidR="005854DF" w:rsidRPr="00084402">
        <w:rPr>
          <w:rFonts w:eastAsia="Calibri" w:cs="Times New Roman"/>
          <w:szCs w:val="24"/>
        </w:rPr>
        <w:t>558</w:t>
      </w:r>
      <w:r w:rsidRPr="00084402">
        <w:rPr>
          <w:rFonts w:eastAsia="Calibri" w:cs="Times New Roman"/>
          <w:szCs w:val="24"/>
        </w:rPr>
        <w:t xml:space="preserve"> hours) at a cost of $</w:t>
      </w:r>
      <w:r w:rsidR="005854DF" w:rsidRPr="00084402">
        <w:rPr>
          <w:rFonts w:eastAsia="Calibri" w:cs="Times New Roman"/>
          <w:szCs w:val="24"/>
        </w:rPr>
        <w:t>166,826.16</w:t>
      </w:r>
      <w:r w:rsidRPr="00084402">
        <w:rPr>
          <w:rFonts w:eastAsia="Calibri" w:cs="Times New Roman"/>
          <w:szCs w:val="24"/>
        </w:rPr>
        <w:t xml:space="preserve"> ($</w:t>
      </w:r>
      <w:r w:rsidR="005854DF" w:rsidRPr="00084402">
        <w:rPr>
          <w:rFonts w:eastAsia="Calibri" w:cs="Times New Roman"/>
          <w:szCs w:val="24"/>
        </w:rPr>
        <w:t>100,710</w:t>
      </w:r>
      <w:r w:rsidRPr="00084402">
        <w:rPr>
          <w:rFonts w:eastAsia="Calibri" w:cs="Times New Roman"/>
          <w:szCs w:val="24"/>
        </w:rPr>
        <w:t xml:space="preserve"> + $</w:t>
      </w:r>
      <w:r w:rsidR="005854DF" w:rsidRPr="00084402">
        <w:rPr>
          <w:rFonts w:eastAsia="Calibri" w:cs="Times New Roman"/>
          <w:szCs w:val="24"/>
        </w:rPr>
        <w:t>66,116.16</w:t>
      </w:r>
      <w:r w:rsidRPr="00084402">
        <w:rPr>
          <w:rFonts w:eastAsia="Calibri" w:cs="Times New Roman"/>
          <w:szCs w:val="24"/>
        </w:rPr>
        <w:t xml:space="preserve">).  </w:t>
      </w:r>
    </w:p>
    <w:p w14:paraId="69D7281D" w14:textId="77777777" w:rsidR="00500371" w:rsidRPr="00084402" w:rsidRDefault="00500371" w:rsidP="005012D4">
      <w:pPr>
        <w:spacing w:after="0" w:line="240" w:lineRule="auto"/>
        <w:rPr>
          <w:rFonts w:eastAsia="Calibri" w:cs="Times New Roman"/>
          <w:szCs w:val="24"/>
        </w:rPr>
      </w:pPr>
    </w:p>
    <w:p w14:paraId="7E2ACEE7" w14:textId="77777777" w:rsidR="00500371" w:rsidRDefault="005012D4" w:rsidP="005012D4">
      <w:pPr>
        <w:spacing w:after="0" w:line="240" w:lineRule="auto"/>
        <w:rPr>
          <w:rFonts w:eastAsia="Calibri" w:cs="Times New Roman"/>
          <w:szCs w:val="24"/>
        </w:rPr>
      </w:pPr>
      <w:r w:rsidRPr="00084402">
        <w:rPr>
          <w:rFonts w:eastAsia="Calibri" w:cs="Times New Roman"/>
          <w:szCs w:val="24"/>
        </w:rPr>
        <w:lastRenderedPageBreak/>
        <w:t xml:space="preserve">The total burden for CC PPS-2 is </w:t>
      </w:r>
      <w:r w:rsidR="005854DF" w:rsidRPr="00084402">
        <w:rPr>
          <w:rFonts w:eastAsia="Calibri" w:cs="Times New Roman"/>
          <w:szCs w:val="24"/>
        </w:rPr>
        <w:t>3,759.84</w:t>
      </w:r>
      <w:r w:rsidRPr="00084402">
        <w:rPr>
          <w:rFonts w:eastAsia="Calibri" w:cs="Times New Roman"/>
          <w:szCs w:val="24"/>
        </w:rPr>
        <w:t xml:space="preserve"> hours (</w:t>
      </w:r>
      <w:r w:rsidR="00A211F4" w:rsidRPr="00084402">
        <w:rPr>
          <w:rFonts w:eastAsia="Calibri" w:cs="Times New Roman"/>
          <w:szCs w:val="24"/>
        </w:rPr>
        <w:t xml:space="preserve">2,703.84 </w:t>
      </w:r>
      <w:r w:rsidRPr="00084402">
        <w:rPr>
          <w:rFonts w:eastAsia="Calibri" w:cs="Times New Roman"/>
          <w:szCs w:val="24"/>
        </w:rPr>
        <w:t xml:space="preserve">+ </w:t>
      </w:r>
      <w:r w:rsidR="00A211F4" w:rsidRPr="00084402">
        <w:rPr>
          <w:rFonts w:eastAsia="Calibri" w:cs="Times New Roman"/>
          <w:szCs w:val="24"/>
        </w:rPr>
        <w:t xml:space="preserve">1,056 hours </w:t>
      </w:r>
      <w:r w:rsidRPr="00084402">
        <w:rPr>
          <w:rFonts w:eastAsia="Calibri" w:cs="Times New Roman"/>
          <w:szCs w:val="24"/>
        </w:rPr>
        <w:t>hours) at a cost of $</w:t>
      </w:r>
      <w:r w:rsidR="005854DF" w:rsidRPr="00084402">
        <w:rPr>
          <w:rFonts w:eastAsia="Calibri" w:cs="Times New Roman"/>
          <w:szCs w:val="24"/>
        </w:rPr>
        <w:t>3</w:t>
      </w:r>
      <w:r w:rsidR="00FA1B4E" w:rsidRPr="00084402">
        <w:rPr>
          <w:rFonts w:eastAsia="Calibri" w:cs="Times New Roman"/>
          <w:szCs w:val="24"/>
        </w:rPr>
        <w:t>33</w:t>
      </w:r>
      <w:r w:rsidR="005854DF" w:rsidRPr="00084402">
        <w:rPr>
          <w:rFonts w:eastAsia="Calibri" w:cs="Times New Roman"/>
          <w:szCs w:val="24"/>
        </w:rPr>
        <w:t>,</w:t>
      </w:r>
      <w:r w:rsidR="00FA1B4E" w:rsidRPr="00084402">
        <w:rPr>
          <w:rFonts w:eastAsia="Calibri" w:cs="Times New Roman"/>
          <w:szCs w:val="24"/>
        </w:rPr>
        <w:t>652</w:t>
      </w:r>
      <w:r w:rsidR="005854DF" w:rsidRPr="00084402">
        <w:rPr>
          <w:rFonts w:eastAsia="Calibri" w:cs="Times New Roman"/>
          <w:szCs w:val="24"/>
        </w:rPr>
        <w:t>.</w:t>
      </w:r>
      <w:r w:rsidR="00FA1B4E" w:rsidRPr="00084402">
        <w:rPr>
          <w:rFonts w:eastAsia="Calibri" w:cs="Times New Roman"/>
          <w:szCs w:val="24"/>
        </w:rPr>
        <w:t>56</w:t>
      </w:r>
      <w:r w:rsidRPr="00084402">
        <w:rPr>
          <w:rFonts w:eastAsia="Calibri" w:cs="Times New Roman"/>
          <w:szCs w:val="24"/>
        </w:rPr>
        <w:t xml:space="preserve"> (</w:t>
      </w:r>
      <w:r w:rsidR="00A211F4" w:rsidRPr="00084402">
        <w:rPr>
          <w:rFonts w:eastAsia="Calibri" w:cs="Times New Roman"/>
          <w:szCs w:val="24"/>
        </w:rPr>
        <w:t>$201,420.24</w:t>
      </w:r>
      <w:r w:rsidRPr="00084402">
        <w:rPr>
          <w:rFonts w:eastAsia="Calibri" w:cs="Times New Roman"/>
          <w:szCs w:val="24"/>
        </w:rPr>
        <w:t>+</w:t>
      </w:r>
      <w:r w:rsidR="00A211F4">
        <w:rPr>
          <w:rFonts w:eastAsia="Calibri" w:cs="Times New Roman"/>
          <w:szCs w:val="24"/>
        </w:rPr>
        <w:t xml:space="preserve"> </w:t>
      </w:r>
      <w:r w:rsidR="00A211F4" w:rsidRPr="00084402">
        <w:rPr>
          <w:rFonts w:eastAsia="Calibri" w:cs="Times New Roman"/>
          <w:szCs w:val="24"/>
        </w:rPr>
        <w:t xml:space="preserve">$132,232.32 </w:t>
      </w:r>
      <w:r w:rsidRPr="00084402">
        <w:rPr>
          <w:rFonts w:eastAsia="Calibri" w:cs="Times New Roman"/>
          <w:szCs w:val="24"/>
        </w:rPr>
        <w:t>).</w:t>
      </w:r>
      <w:r w:rsidRPr="005012D4">
        <w:rPr>
          <w:rFonts w:eastAsia="Calibri" w:cs="Times New Roman"/>
          <w:szCs w:val="24"/>
        </w:rPr>
        <w:t xml:space="preserve">  </w:t>
      </w:r>
    </w:p>
    <w:p w14:paraId="4B50631C" w14:textId="77777777" w:rsidR="00500371" w:rsidRDefault="00500371" w:rsidP="005012D4">
      <w:pPr>
        <w:spacing w:after="0" w:line="240" w:lineRule="auto"/>
        <w:rPr>
          <w:rFonts w:eastAsia="Calibri" w:cs="Times New Roman"/>
          <w:szCs w:val="24"/>
        </w:rPr>
      </w:pPr>
    </w:p>
    <w:p w14:paraId="65F7184A" w14:textId="77777777" w:rsidR="005012D4" w:rsidRDefault="005012D4" w:rsidP="005012D4">
      <w:pPr>
        <w:spacing w:after="0" w:line="240" w:lineRule="auto"/>
        <w:rPr>
          <w:rFonts w:eastAsia="Calibri" w:cs="Times New Roman"/>
          <w:szCs w:val="24"/>
        </w:rPr>
      </w:pPr>
      <w:r w:rsidRPr="005012D4">
        <w:rPr>
          <w:rFonts w:eastAsia="Calibri" w:cs="Times New Roman"/>
          <w:szCs w:val="24"/>
        </w:rPr>
        <w:t xml:space="preserve">The total aggregate burden for both PPS methodologies is </w:t>
      </w:r>
      <w:r w:rsidR="005854DF">
        <w:rPr>
          <w:rFonts w:eastAsia="Calibri" w:cs="Times New Roman"/>
          <w:szCs w:val="24"/>
        </w:rPr>
        <w:t xml:space="preserve">5,639.09 </w:t>
      </w:r>
      <w:r w:rsidRPr="005012D4">
        <w:rPr>
          <w:rFonts w:eastAsia="Calibri" w:cs="Times New Roman"/>
          <w:szCs w:val="24"/>
        </w:rPr>
        <w:t>hours at a cost of $</w:t>
      </w:r>
      <w:r w:rsidR="005854DF">
        <w:rPr>
          <w:rFonts w:eastAsia="Calibri" w:cs="Times New Roman"/>
          <w:szCs w:val="24"/>
        </w:rPr>
        <w:t>5</w:t>
      </w:r>
      <w:r w:rsidR="007D53D6">
        <w:rPr>
          <w:rFonts w:eastAsia="Calibri" w:cs="Times New Roman"/>
          <w:szCs w:val="24"/>
        </w:rPr>
        <w:t>00</w:t>
      </w:r>
      <w:r w:rsidR="005854DF">
        <w:rPr>
          <w:rFonts w:eastAsia="Calibri" w:cs="Times New Roman"/>
          <w:szCs w:val="24"/>
        </w:rPr>
        <w:t>,</w:t>
      </w:r>
      <w:r w:rsidR="007D53D6">
        <w:rPr>
          <w:rFonts w:eastAsia="Calibri" w:cs="Times New Roman"/>
          <w:szCs w:val="24"/>
        </w:rPr>
        <w:t>478</w:t>
      </w:r>
      <w:r w:rsidR="005854DF">
        <w:rPr>
          <w:rFonts w:eastAsia="Calibri" w:cs="Times New Roman"/>
          <w:szCs w:val="24"/>
        </w:rPr>
        <w:t>.</w:t>
      </w:r>
      <w:r w:rsidR="007D53D6">
        <w:rPr>
          <w:rFonts w:eastAsia="Calibri" w:cs="Times New Roman"/>
          <w:szCs w:val="24"/>
        </w:rPr>
        <w:t>72</w:t>
      </w:r>
      <w:r w:rsidRPr="005012D4">
        <w:rPr>
          <w:rFonts w:eastAsia="Calibri" w:cs="Times New Roman"/>
          <w:szCs w:val="24"/>
        </w:rPr>
        <w:t>.</w:t>
      </w:r>
    </w:p>
    <w:p w14:paraId="536BB708" w14:textId="77777777" w:rsidR="00536CA4" w:rsidRDefault="00536CA4" w:rsidP="005012D4">
      <w:pPr>
        <w:spacing w:after="0" w:line="240" w:lineRule="auto"/>
        <w:rPr>
          <w:rFonts w:eastAsia="Calibri" w:cs="Times New Roman"/>
          <w:szCs w:val="24"/>
        </w:rPr>
      </w:pPr>
    </w:p>
    <w:p w14:paraId="66599A2D" w14:textId="23AFE1E4" w:rsidR="00B12D73" w:rsidRPr="00B12D73" w:rsidRDefault="00F10894" w:rsidP="00B12D73">
      <w:pPr>
        <w:spacing w:after="0" w:line="240" w:lineRule="auto"/>
        <w:rPr>
          <w:rFonts w:cs="Times New Roman"/>
          <w:i/>
          <w:color w:val="000000" w:themeColor="text1"/>
          <w:szCs w:val="24"/>
        </w:rPr>
      </w:pPr>
      <w:r>
        <w:rPr>
          <w:rFonts w:eastAsia="Calibri" w:cs="Times New Roman"/>
          <w:i/>
          <w:szCs w:val="24"/>
        </w:rPr>
        <w:t>D.1.</w:t>
      </w:r>
      <w:r>
        <w:rPr>
          <w:rFonts w:eastAsia="Calibri" w:cs="Times New Roman"/>
          <w:i/>
          <w:szCs w:val="24"/>
        </w:rPr>
        <w:t>4</w:t>
      </w:r>
      <w:r>
        <w:rPr>
          <w:rFonts w:eastAsia="Calibri" w:cs="Times New Roman"/>
          <w:i/>
          <w:szCs w:val="24"/>
        </w:rPr>
        <w:t xml:space="preserve"> </w:t>
      </w:r>
      <w:r w:rsidR="006158F2">
        <w:rPr>
          <w:rFonts w:cs="Times New Roman"/>
          <w:i/>
          <w:color w:val="000000" w:themeColor="text1"/>
          <w:szCs w:val="24"/>
        </w:rPr>
        <w:t xml:space="preserve">Cost Report </w:t>
      </w:r>
      <w:r w:rsidR="00B12D73" w:rsidRPr="00B12D73">
        <w:rPr>
          <w:rFonts w:cs="Times New Roman"/>
          <w:i/>
          <w:color w:val="000000" w:themeColor="text1"/>
          <w:szCs w:val="24"/>
        </w:rPr>
        <w:t>Attachments</w:t>
      </w:r>
    </w:p>
    <w:p w14:paraId="167C9C3F" w14:textId="77777777" w:rsidR="00B12D73" w:rsidRPr="009C6528" w:rsidRDefault="00B12D73" w:rsidP="00B12D73">
      <w:pPr>
        <w:spacing w:after="0" w:line="240" w:lineRule="auto"/>
        <w:rPr>
          <w:rFonts w:cs="Times New Roman"/>
          <w:color w:val="000000" w:themeColor="text1"/>
          <w:szCs w:val="24"/>
        </w:rPr>
      </w:pPr>
    </w:p>
    <w:p w14:paraId="4582E5F1" w14:textId="77777777" w:rsidR="00DD76C3" w:rsidRPr="009C6528" w:rsidRDefault="00DD76C3" w:rsidP="00DD76C3">
      <w:pPr>
        <w:pStyle w:val="ListParagraph"/>
        <w:numPr>
          <w:ilvl w:val="0"/>
          <w:numId w:val="13"/>
        </w:numPr>
        <w:spacing w:after="0" w:line="240" w:lineRule="auto"/>
        <w:rPr>
          <w:rFonts w:ascii="Times New Roman" w:hAnsi="Times New Roman"/>
          <w:color w:val="000000" w:themeColor="text1"/>
          <w:sz w:val="24"/>
          <w:szCs w:val="24"/>
        </w:rPr>
      </w:pPr>
      <w:r w:rsidRPr="009C6528">
        <w:rPr>
          <w:rFonts w:ascii="Times New Roman" w:hAnsi="Times New Roman"/>
          <w:color w:val="000000" w:themeColor="text1"/>
          <w:sz w:val="24"/>
          <w:szCs w:val="24"/>
        </w:rPr>
        <w:t>CCBHC Cost Report</w:t>
      </w:r>
    </w:p>
    <w:p w14:paraId="49BC2C36" w14:textId="77777777" w:rsidR="00B12D73" w:rsidRPr="009C6528" w:rsidRDefault="00B12D73" w:rsidP="00B12D73">
      <w:pPr>
        <w:pStyle w:val="ListParagraph"/>
        <w:numPr>
          <w:ilvl w:val="0"/>
          <w:numId w:val="13"/>
        </w:numPr>
        <w:spacing w:after="0" w:line="240" w:lineRule="auto"/>
        <w:rPr>
          <w:rFonts w:ascii="Times New Roman" w:hAnsi="Times New Roman"/>
          <w:color w:val="000000" w:themeColor="text1"/>
          <w:sz w:val="24"/>
          <w:szCs w:val="24"/>
        </w:rPr>
      </w:pPr>
      <w:r w:rsidRPr="009C6528">
        <w:rPr>
          <w:rFonts w:ascii="Times New Roman" w:hAnsi="Times New Roman"/>
          <w:color w:val="000000" w:themeColor="text1"/>
          <w:sz w:val="24"/>
          <w:szCs w:val="24"/>
        </w:rPr>
        <w:t>CCBHC Cost Report Instructions</w:t>
      </w:r>
    </w:p>
    <w:p w14:paraId="52F8EF67" w14:textId="77777777" w:rsidR="009C6528" w:rsidRPr="00F21C5B" w:rsidRDefault="009C6528" w:rsidP="009C6528">
      <w:pPr>
        <w:pStyle w:val="ListParagraph"/>
        <w:numPr>
          <w:ilvl w:val="0"/>
          <w:numId w:val="13"/>
        </w:numPr>
        <w:spacing w:after="0" w:line="240" w:lineRule="auto"/>
        <w:rPr>
          <w:rFonts w:ascii="Times New Roman" w:hAnsi="Times New Roman"/>
          <w:sz w:val="24"/>
          <w:szCs w:val="24"/>
        </w:rPr>
      </w:pPr>
      <w:r w:rsidRPr="00F21C5B">
        <w:rPr>
          <w:rFonts w:ascii="Times New Roman" w:hAnsi="Times New Roman"/>
          <w:sz w:val="24"/>
          <w:szCs w:val="24"/>
        </w:rPr>
        <w:t>Crosswalk (changes subsequent to the publication of the 30-day Federal Register notice.</w:t>
      </w:r>
    </w:p>
    <w:p w14:paraId="69081FE4" w14:textId="4CD31162" w:rsidR="009C6528" w:rsidRPr="00F21C5B" w:rsidRDefault="007C3B87" w:rsidP="009C6528">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Combined Public Comment and CMS </w:t>
      </w:r>
      <w:bookmarkStart w:id="0" w:name="_GoBack"/>
      <w:bookmarkEnd w:id="0"/>
      <w:r w:rsidR="009C6528" w:rsidRPr="00F21C5B">
        <w:rPr>
          <w:rFonts w:ascii="Times New Roman" w:hAnsi="Times New Roman"/>
          <w:sz w:val="24"/>
          <w:szCs w:val="24"/>
        </w:rPr>
        <w:t>Response to Public Comments</w:t>
      </w:r>
    </w:p>
    <w:p w14:paraId="77BC6C27" w14:textId="77777777" w:rsidR="009C6528" w:rsidRDefault="009C6528" w:rsidP="005012D4">
      <w:pPr>
        <w:spacing w:after="0" w:line="240" w:lineRule="auto"/>
        <w:rPr>
          <w:rFonts w:eastAsia="Calibri" w:cs="Times New Roman"/>
          <w:szCs w:val="24"/>
        </w:rPr>
      </w:pPr>
    </w:p>
    <w:p w14:paraId="128E1DD0" w14:textId="7A6EF8A9" w:rsidR="003644B6" w:rsidRPr="006018C1" w:rsidRDefault="00BC15EE" w:rsidP="003644B6">
      <w:pPr>
        <w:spacing w:after="0" w:line="240" w:lineRule="auto"/>
        <w:rPr>
          <w:rFonts w:cs="Times New Roman"/>
          <w:szCs w:val="24"/>
          <w:u w:val="single"/>
        </w:rPr>
      </w:pPr>
      <w:r w:rsidRPr="006018C1">
        <w:rPr>
          <w:rFonts w:eastAsia="Calibri" w:cs="Times New Roman"/>
          <w:szCs w:val="24"/>
        </w:rPr>
        <w:t>D.</w:t>
      </w:r>
      <w:r w:rsidRPr="006018C1">
        <w:rPr>
          <w:rFonts w:eastAsia="Calibri" w:cs="Times New Roman"/>
          <w:szCs w:val="24"/>
        </w:rPr>
        <w:t>2</w:t>
      </w:r>
      <w:r w:rsidRPr="006018C1">
        <w:rPr>
          <w:rFonts w:eastAsia="Calibri" w:cs="Times New Roman"/>
          <w:szCs w:val="24"/>
        </w:rPr>
        <w:t xml:space="preserve">. </w:t>
      </w:r>
      <w:r w:rsidR="003644B6" w:rsidRPr="006018C1">
        <w:rPr>
          <w:rFonts w:cs="Times New Roman"/>
          <w:szCs w:val="24"/>
          <w:u w:val="single"/>
        </w:rPr>
        <w:t>Section 223 State Planning Grant Application</w:t>
      </w:r>
    </w:p>
    <w:p w14:paraId="711A81F6" w14:textId="77777777" w:rsidR="00B12D73" w:rsidRDefault="00B12D73" w:rsidP="005012D4">
      <w:pPr>
        <w:spacing w:after="0" w:line="240" w:lineRule="auto"/>
        <w:rPr>
          <w:rFonts w:eastAsia="Calibri" w:cs="Times New Roman"/>
          <w:szCs w:val="24"/>
        </w:rPr>
      </w:pPr>
    </w:p>
    <w:p w14:paraId="20F8AC8F" w14:textId="6F5FFE6A" w:rsidR="00A84AD5" w:rsidRPr="002E2118" w:rsidRDefault="00BC15EE" w:rsidP="00A84AD5">
      <w:pPr>
        <w:spacing w:after="0" w:line="240" w:lineRule="auto"/>
        <w:rPr>
          <w:i/>
        </w:rPr>
      </w:pPr>
      <w:r>
        <w:rPr>
          <w:rFonts w:eastAsia="Calibri" w:cs="Times New Roman"/>
          <w:i/>
          <w:szCs w:val="24"/>
        </w:rPr>
        <w:t>D.</w:t>
      </w:r>
      <w:r>
        <w:rPr>
          <w:rFonts w:eastAsia="Calibri" w:cs="Times New Roman"/>
          <w:i/>
          <w:szCs w:val="24"/>
        </w:rPr>
        <w:t>2</w:t>
      </w:r>
      <w:r>
        <w:rPr>
          <w:rFonts w:eastAsia="Calibri" w:cs="Times New Roman"/>
          <w:i/>
          <w:szCs w:val="24"/>
        </w:rPr>
        <w:t xml:space="preserve">.1 </w:t>
      </w:r>
      <w:r w:rsidR="00A84AD5">
        <w:rPr>
          <w:i/>
        </w:rPr>
        <w:t>Planning Grant Application</w:t>
      </w:r>
      <w:r w:rsidR="00FF65FA">
        <w:rPr>
          <w:i/>
        </w:rPr>
        <w:t xml:space="preserve"> Subtotal</w:t>
      </w:r>
    </w:p>
    <w:p w14:paraId="7F00BCE4" w14:textId="77777777" w:rsidR="00A84AD5" w:rsidRDefault="00A84AD5" w:rsidP="0041080E">
      <w:pPr>
        <w:spacing w:after="0" w:line="240" w:lineRule="auto"/>
      </w:pPr>
    </w:p>
    <w:p w14:paraId="5A5B79F4" w14:textId="77777777" w:rsidR="0041080E" w:rsidRPr="008244D2" w:rsidRDefault="0041080E" w:rsidP="0041080E">
      <w:pPr>
        <w:spacing w:after="0" w:line="240" w:lineRule="auto"/>
        <w:rPr>
          <w:szCs w:val="24"/>
        </w:rPr>
      </w:pPr>
      <w:r>
        <w:t>Planning grants can be awarded to up to 25 states and a state must be awarded a planning grant to qualify to apply to participate in the demonstration. Therefore, up to 25 s</w:t>
      </w:r>
      <w:r w:rsidRPr="007115BC">
        <w:t>tates may utilize the</w:t>
      </w:r>
      <w:r>
        <w:t xml:space="preserve"> demonstration application</w:t>
      </w:r>
      <w:r w:rsidR="00A84AD5">
        <w:t>.</w:t>
      </w:r>
    </w:p>
    <w:p w14:paraId="02625AB0" w14:textId="77777777" w:rsidR="0041080E" w:rsidRDefault="0041080E" w:rsidP="0041080E">
      <w:pPr>
        <w:spacing w:after="0" w:line="240" w:lineRule="auto"/>
        <w:rPr>
          <w:i/>
          <w:szCs w:val="24"/>
        </w:rPr>
      </w:pPr>
    </w:p>
    <w:p w14:paraId="123DCBA3" w14:textId="77777777" w:rsidR="00A84AD5" w:rsidRDefault="0041080E" w:rsidP="0041080E">
      <w:pPr>
        <w:spacing w:after="0" w:line="240" w:lineRule="auto"/>
        <w:rPr>
          <w:rFonts w:cs="Times New Roman"/>
          <w:szCs w:val="24"/>
        </w:rPr>
      </w:pPr>
      <w:r w:rsidRPr="0088206C">
        <w:rPr>
          <w:rFonts w:cs="Times New Roman"/>
          <w:szCs w:val="24"/>
        </w:rPr>
        <w:t xml:space="preserve">Respondents will each submit one proposal.  </w:t>
      </w:r>
      <w:r>
        <w:rPr>
          <w:rFonts w:cs="Times New Roman"/>
          <w:szCs w:val="24"/>
        </w:rPr>
        <w:t xml:space="preserve">There is a </w:t>
      </w:r>
      <w:r w:rsidRPr="0088206C">
        <w:rPr>
          <w:rFonts w:cs="Times New Roman"/>
          <w:szCs w:val="24"/>
        </w:rPr>
        <w:t xml:space="preserve">minimum of two clinics per state </w:t>
      </w:r>
      <w:r>
        <w:rPr>
          <w:rFonts w:cs="Times New Roman"/>
          <w:szCs w:val="24"/>
        </w:rPr>
        <w:t xml:space="preserve">that </w:t>
      </w:r>
      <w:r w:rsidRPr="0088206C">
        <w:rPr>
          <w:rFonts w:cs="Times New Roman"/>
          <w:szCs w:val="24"/>
        </w:rPr>
        <w:t xml:space="preserve">will be certified.  It is impossible at this point to determine the maximum number of clinics per state.  The cost burden estimate below provides an estimate for a single state with two clinics.  Most components of the proposal will be a single amount per state, with only a few components requiring more time and resources if more than two clinics are certified.  </w:t>
      </w:r>
    </w:p>
    <w:p w14:paraId="67B9DA72" w14:textId="77777777" w:rsidR="00A84AD5" w:rsidRDefault="00A84AD5" w:rsidP="0041080E">
      <w:pPr>
        <w:spacing w:after="0" w:line="240" w:lineRule="auto"/>
        <w:rPr>
          <w:rFonts w:cs="Times New Roman"/>
          <w:szCs w:val="24"/>
        </w:rPr>
      </w:pPr>
    </w:p>
    <w:p w14:paraId="5FFE3B07" w14:textId="77777777" w:rsidR="00CA7366" w:rsidRDefault="00A84AD5" w:rsidP="00CA7366">
      <w:pPr>
        <w:spacing w:after="0" w:line="240" w:lineRule="auto"/>
        <w:rPr>
          <w:rFonts w:cs="Times New Roman"/>
          <w:szCs w:val="24"/>
        </w:rPr>
      </w:pPr>
      <w:r w:rsidRPr="00C3238D">
        <w:rPr>
          <w:rFonts w:cs="Times New Roman"/>
          <w:szCs w:val="24"/>
        </w:rPr>
        <w:t xml:space="preserve">CMS has reviewed the wages from the Bureau of Labor Statistics </w:t>
      </w:r>
      <w:r>
        <w:rPr>
          <w:rFonts w:cs="Times New Roman"/>
          <w:szCs w:val="24"/>
        </w:rPr>
        <w:t xml:space="preserve">and estimates that a State Government Financial Specialist (13-2099) would be needed to provide data underlying the proposal (8.5 hours) (see </w:t>
      </w:r>
      <w:hyperlink r:id="rId10" w:history="1">
        <w:r w:rsidRPr="0031238E">
          <w:rPr>
            <w:rStyle w:val="Hyperlink"/>
            <w:rFonts w:cs="Times New Roman"/>
            <w:szCs w:val="24"/>
          </w:rPr>
          <w:t>http://www.bls.gov/oes/current/oes132099.htm</w:t>
        </w:r>
      </w:hyperlink>
      <w:r>
        <w:rPr>
          <w:rFonts w:cs="Times New Roman"/>
          <w:szCs w:val="24"/>
        </w:rPr>
        <w:t xml:space="preserve">).  A State Government Financial Manager (11-3031) would be needed to complete part of the PPS Methodology Description (6.5 hours) (see </w:t>
      </w:r>
      <w:hyperlink r:id="rId11" w:history="1">
        <w:r w:rsidRPr="0031238E">
          <w:rPr>
            <w:rStyle w:val="Hyperlink"/>
            <w:rFonts w:cs="Times New Roman"/>
            <w:szCs w:val="24"/>
          </w:rPr>
          <w:t>http://www.bls.gov/oes/current/oes113031.htm</w:t>
        </w:r>
      </w:hyperlink>
      <w:r>
        <w:rPr>
          <w:rFonts w:cs="Times New Roman"/>
          <w:szCs w:val="24"/>
        </w:rPr>
        <w:t xml:space="preserve">).  A State Government General and Operations Manager (11-1021) </w:t>
      </w:r>
      <w:r w:rsidRPr="00C3238D">
        <w:rPr>
          <w:rFonts w:cs="Times New Roman"/>
          <w:szCs w:val="24"/>
        </w:rPr>
        <w:t xml:space="preserve">would be necessary to </w:t>
      </w:r>
      <w:r>
        <w:rPr>
          <w:rFonts w:cs="Times New Roman"/>
          <w:szCs w:val="24"/>
        </w:rPr>
        <w:t xml:space="preserve">oversee collection of information and prepare most of the proposal (59 hours) (see </w:t>
      </w:r>
      <w:hyperlink r:id="rId12" w:history="1">
        <w:r w:rsidRPr="0031238E">
          <w:rPr>
            <w:rStyle w:val="Hyperlink"/>
            <w:rFonts w:cs="Times New Roman"/>
            <w:szCs w:val="24"/>
          </w:rPr>
          <w:t>http://www.bls.gov/oes/current/oes111021.htm</w:t>
        </w:r>
      </w:hyperlink>
      <w:r>
        <w:rPr>
          <w:rFonts w:cs="Times New Roman"/>
          <w:szCs w:val="24"/>
        </w:rPr>
        <w:t xml:space="preserve">).  </w:t>
      </w:r>
      <w:r w:rsidR="00CB50B2">
        <w:rPr>
          <w:rFonts w:cs="Times New Roman"/>
          <w:szCs w:val="24"/>
        </w:rPr>
        <w:t>(see Table 2)</w:t>
      </w:r>
    </w:p>
    <w:p w14:paraId="372B5FCC" w14:textId="77777777" w:rsidR="00CA7366" w:rsidRDefault="00CA7366" w:rsidP="00CA7366">
      <w:pPr>
        <w:spacing w:after="0" w:line="240" w:lineRule="auto"/>
        <w:rPr>
          <w:rFonts w:cs="Times New Roman"/>
          <w:szCs w:val="24"/>
        </w:rPr>
      </w:pPr>
    </w:p>
    <w:p w14:paraId="1606F04D" w14:textId="77777777" w:rsidR="00E90D74" w:rsidRDefault="0041080E" w:rsidP="0041080E">
      <w:pPr>
        <w:spacing w:after="0" w:line="240" w:lineRule="auto"/>
        <w:rPr>
          <w:rFonts w:cs="Times New Roman"/>
          <w:szCs w:val="24"/>
        </w:rPr>
      </w:pPr>
      <w:r>
        <w:rPr>
          <w:rFonts w:cs="Times New Roman"/>
          <w:szCs w:val="24"/>
        </w:rPr>
        <w:t xml:space="preserve">The mean hourly wage for a State Government Financial Specialist is $28.91 with a fringe benefit of 100% giving us an hourly wage of $57.82.  A State Government Financial Manager has a mean hourly wage of $45.47 with a fringe benefit of 100% giving us an hourly wage of $90.94.  The mean hourly wage for a State Government General and Operations Manager is $45.64 giving us an hourly wage of $91.28.  </w:t>
      </w:r>
      <w:r w:rsidR="00CB50B2">
        <w:rPr>
          <w:rFonts w:cs="Times New Roman"/>
          <w:szCs w:val="24"/>
        </w:rPr>
        <w:t>(see Table 2)</w:t>
      </w:r>
    </w:p>
    <w:p w14:paraId="233D6FA0" w14:textId="77777777" w:rsidR="00E90D74" w:rsidRDefault="00E90D74" w:rsidP="0041080E">
      <w:pPr>
        <w:spacing w:after="0" w:line="240" w:lineRule="auto"/>
        <w:rPr>
          <w:rFonts w:cs="Times New Roman"/>
          <w:szCs w:val="24"/>
        </w:rPr>
      </w:pPr>
    </w:p>
    <w:p w14:paraId="06F002B4" w14:textId="77777777" w:rsidR="0041080E" w:rsidRPr="00C3238D" w:rsidRDefault="00E90D74" w:rsidP="0041080E">
      <w:pPr>
        <w:spacing w:after="0" w:line="240" w:lineRule="auto"/>
        <w:rPr>
          <w:rFonts w:cs="Times New Roman"/>
          <w:szCs w:val="24"/>
        </w:rPr>
      </w:pPr>
      <w:r w:rsidRPr="00CA7366">
        <w:rPr>
          <w:rFonts w:cs="Times New Roman"/>
          <w:szCs w:val="24"/>
        </w:rPr>
        <w:t>Consequently, the burden for states to complete the cost report is estimated to average 74 hours per response.</w:t>
      </w:r>
      <w:r w:rsidRPr="00C3238D">
        <w:rPr>
          <w:rFonts w:cs="Times New Roman"/>
          <w:szCs w:val="24"/>
        </w:rPr>
        <w:t xml:space="preserve"> </w:t>
      </w:r>
      <w:r>
        <w:rPr>
          <w:rFonts w:cs="Times New Roman"/>
          <w:szCs w:val="24"/>
        </w:rPr>
        <w:t xml:space="preserve"> There is a potential universe of 1 response per State for 2 clinics.  Each response will be submitted by the state from 2 clinics per state.  We have a potential universe of 25 </w:t>
      </w:r>
      <w:r>
        <w:rPr>
          <w:rFonts w:cs="Times New Roman"/>
          <w:szCs w:val="24"/>
        </w:rPr>
        <w:lastRenderedPageBreak/>
        <w:t xml:space="preserve">respondents.  In aggregate, we estimate 1,850 hours (25 responses x 74 hours). </w:t>
      </w:r>
      <w:r w:rsidR="0041080E">
        <w:rPr>
          <w:rFonts w:cs="Times New Roman"/>
          <w:szCs w:val="24"/>
        </w:rPr>
        <w:t>There is a total of 25 responses giving us a total cost of $161,703.</w:t>
      </w:r>
    </w:p>
    <w:p w14:paraId="40A461FF" w14:textId="77777777" w:rsidR="0041080E" w:rsidRDefault="0041080E" w:rsidP="0041080E">
      <w:pPr>
        <w:spacing w:after="0" w:line="240" w:lineRule="auto"/>
        <w:rPr>
          <w:rFonts w:cs="Times New Roman"/>
          <w:szCs w:val="24"/>
        </w:rPr>
      </w:pPr>
    </w:p>
    <w:p w14:paraId="7D504CB9" w14:textId="77777777" w:rsidR="00E100DE" w:rsidRDefault="00E100DE" w:rsidP="00E100DE">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C9C544A" w14:textId="77777777" w:rsidR="0041080E" w:rsidRDefault="0041080E" w:rsidP="0041080E">
      <w:pPr>
        <w:spacing w:after="0" w:line="240" w:lineRule="auto"/>
        <w:rPr>
          <w:rFonts w:cs="Times New Roman"/>
          <w:szCs w:val="24"/>
        </w:rPr>
      </w:pPr>
    </w:p>
    <w:p w14:paraId="645A50C1" w14:textId="77777777" w:rsidR="0041080E" w:rsidRPr="0088206C" w:rsidRDefault="0041080E" w:rsidP="0041080E">
      <w:pPr>
        <w:spacing w:after="0" w:line="240" w:lineRule="auto"/>
        <w:rPr>
          <w:rFonts w:cs="Times New Roman"/>
          <w:szCs w:val="24"/>
        </w:rPr>
      </w:pPr>
      <w:r>
        <w:rPr>
          <w:rFonts w:cs="Times New Roman"/>
          <w:szCs w:val="24"/>
        </w:rPr>
        <w:t>At these</w:t>
      </w:r>
      <w:r w:rsidRPr="0088206C">
        <w:rPr>
          <w:rFonts w:cs="Times New Roman"/>
          <w:szCs w:val="24"/>
        </w:rPr>
        <w:t xml:space="preserve"> rate</w:t>
      </w:r>
      <w:r>
        <w:rPr>
          <w:rFonts w:cs="Times New Roman"/>
          <w:szCs w:val="24"/>
        </w:rPr>
        <w:t>s</w:t>
      </w:r>
      <w:r w:rsidRPr="0088206C">
        <w:rPr>
          <w:rFonts w:cs="Times New Roman"/>
          <w:szCs w:val="24"/>
        </w:rPr>
        <w:t xml:space="preserve"> it</w:t>
      </w:r>
      <w:r>
        <w:rPr>
          <w:rFonts w:cs="Times New Roman"/>
          <w:szCs w:val="24"/>
        </w:rPr>
        <w:t xml:space="preserve"> will cost approximately $6,468.10 to complete one response</w:t>
      </w:r>
      <w:r w:rsidRPr="0088206C">
        <w:rPr>
          <w:rFonts w:cs="Times New Roman"/>
          <w:szCs w:val="24"/>
        </w:rPr>
        <w:t xml:space="preserve"> if the state certifies two clinics. </w:t>
      </w:r>
    </w:p>
    <w:p w14:paraId="77D8ECF4" w14:textId="77777777" w:rsidR="00E100DE" w:rsidRDefault="00E100DE" w:rsidP="00E100DE">
      <w:pPr>
        <w:spacing w:after="0" w:line="240" w:lineRule="auto"/>
        <w:rPr>
          <w:rFonts w:cs="Times New Roman"/>
          <w:szCs w:val="24"/>
        </w:rPr>
      </w:pPr>
    </w:p>
    <w:p w14:paraId="58073B9C" w14:textId="77777777" w:rsidR="00867C3D" w:rsidRPr="00867C3D" w:rsidRDefault="00867C3D" w:rsidP="00E100DE">
      <w:pPr>
        <w:spacing w:after="0" w:line="240" w:lineRule="auto"/>
        <w:rPr>
          <w:rFonts w:cs="Times New Roman"/>
          <w:i/>
          <w:szCs w:val="24"/>
        </w:rPr>
      </w:pPr>
      <w:r w:rsidRPr="00867C3D">
        <w:rPr>
          <w:rFonts w:cs="Times New Roman"/>
          <w:i/>
          <w:szCs w:val="24"/>
        </w:rPr>
        <w:t>Table 2</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530"/>
        <w:gridCol w:w="1620"/>
        <w:gridCol w:w="1080"/>
        <w:gridCol w:w="1710"/>
        <w:gridCol w:w="1710"/>
      </w:tblGrid>
      <w:tr w:rsidR="00E100DE" w:rsidRPr="002E2118" w14:paraId="623F86F7" w14:textId="77777777" w:rsidTr="009E14C4">
        <w:trPr>
          <w:trHeight w:val="800"/>
          <w:tblHeader/>
        </w:trPr>
        <w:tc>
          <w:tcPr>
            <w:tcW w:w="2543" w:type="dxa"/>
            <w:shd w:val="clear" w:color="auto" w:fill="auto"/>
          </w:tcPr>
          <w:p w14:paraId="2886A9F6" w14:textId="77777777" w:rsidR="00E100DE" w:rsidRPr="002E2118" w:rsidRDefault="00E100DE" w:rsidP="009E14C4">
            <w:pPr>
              <w:spacing w:after="0" w:line="240" w:lineRule="auto"/>
              <w:rPr>
                <w:rFonts w:cs="Times New Roman"/>
                <w:b/>
                <w:szCs w:val="24"/>
              </w:rPr>
            </w:pPr>
            <w:r w:rsidRPr="002E2118">
              <w:rPr>
                <w:rFonts w:cs="Times New Roman"/>
                <w:b/>
                <w:szCs w:val="24"/>
              </w:rPr>
              <w:t>Occupation Title</w:t>
            </w:r>
          </w:p>
        </w:tc>
        <w:tc>
          <w:tcPr>
            <w:tcW w:w="1530" w:type="dxa"/>
            <w:shd w:val="clear" w:color="auto" w:fill="auto"/>
          </w:tcPr>
          <w:p w14:paraId="5133177C" w14:textId="77777777" w:rsidR="00E100DE" w:rsidRPr="002E2118" w:rsidRDefault="00E100DE" w:rsidP="009E14C4">
            <w:pPr>
              <w:spacing w:after="0" w:line="240" w:lineRule="auto"/>
              <w:rPr>
                <w:rFonts w:cs="Times New Roman"/>
                <w:b/>
                <w:szCs w:val="24"/>
              </w:rPr>
            </w:pPr>
            <w:r w:rsidRPr="002E2118">
              <w:rPr>
                <w:rFonts w:cs="Times New Roman"/>
                <w:b/>
                <w:szCs w:val="24"/>
              </w:rPr>
              <w:t>Occupation Code</w:t>
            </w:r>
          </w:p>
        </w:tc>
        <w:tc>
          <w:tcPr>
            <w:tcW w:w="1620" w:type="dxa"/>
            <w:shd w:val="clear" w:color="auto" w:fill="auto"/>
          </w:tcPr>
          <w:p w14:paraId="3018D713" w14:textId="77777777" w:rsidR="00E100DE" w:rsidRPr="002E2118" w:rsidRDefault="00E100DE" w:rsidP="009E14C4">
            <w:pPr>
              <w:spacing w:after="0" w:line="240" w:lineRule="auto"/>
              <w:rPr>
                <w:rFonts w:cs="Times New Roman"/>
                <w:b/>
                <w:szCs w:val="24"/>
              </w:rPr>
            </w:pPr>
            <w:r w:rsidRPr="002E2118">
              <w:rPr>
                <w:rFonts w:cs="Times New Roman"/>
                <w:b/>
                <w:szCs w:val="24"/>
              </w:rPr>
              <w:t>Mean Hourly Wage</w:t>
            </w:r>
          </w:p>
        </w:tc>
        <w:tc>
          <w:tcPr>
            <w:tcW w:w="1080" w:type="dxa"/>
            <w:shd w:val="clear" w:color="auto" w:fill="auto"/>
          </w:tcPr>
          <w:p w14:paraId="43FFC460" w14:textId="77777777" w:rsidR="00E100DE" w:rsidRPr="002E2118" w:rsidRDefault="00E100DE" w:rsidP="009E14C4">
            <w:pPr>
              <w:spacing w:after="0" w:line="240" w:lineRule="auto"/>
              <w:rPr>
                <w:rFonts w:cs="Times New Roman"/>
                <w:b/>
                <w:szCs w:val="24"/>
              </w:rPr>
            </w:pPr>
            <w:r w:rsidRPr="002E2118">
              <w:rPr>
                <w:rFonts w:cs="Times New Roman"/>
                <w:b/>
                <w:szCs w:val="24"/>
              </w:rPr>
              <w:t>Fringe Benefit</w:t>
            </w:r>
          </w:p>
        </w:tc>
        <w:tc>
          <w:tcPr>
            <w:tcW w:w="1710" w:type="dxa"/>
          </w:tcPr>
          <w:p w14:paraId="461D73DC" w14:textId="77777777" w:rsidR="00E100DE" w:rsidRPr="002E2118" w:rsidRDefault="00E100DE" w:rsidP="009E14C4">
            <w:pPr>
              <w:spacing w:after="0" w:line="240" w:lineRule="auto"/>
              <w:rPr>
                <w:rFonts w:cs="Times New Roman"/>
                <w:b/>
                <w:szCs w:val="24"/>
              </w:rPr>
            </w:pPr>
            <w:r>
              <w:rPr>
                <w:rFonts w:cs="Times New Roman"/>
                <w:b/>
                <w:szCs w:val="24"/>
              </w:rPr>
              <w:t xml:space="preserve">Adjusted </w:t>
            </w:r>
            <w:r w:rsidRPr="002E2118">
              <w:rPr>
                <w:rFonts w:cs="Times New Roman"/>
                <w:b/>
                <w:szCs w:val="24"/>
              </w:rPr>
              <w:t>Hourly Wage</w:t>
            </w:r>
          </w:p>
        </w:tc>
        <w:tc>
          <w:tcPr>
            <w:tcW w:w="1710" w:type="dxa"/>
          </w:tcPr>
          <w:p w14:paraId="72F2A8B8" w14:textId="77777777" w:rsidR="00E100DE" w:rsidRDefault="00E100DE" w:rsidP="009E14C4">
            <w:pPr>
              <w:spacing w:after="0" w:line="240" w:lineRule="auto"/>
              <w:rPr>
                <w:rFonts w:cs="Times New Roman"/>
                <w:b/>
                <w:szCs w:val="24"/>
              </w:rPr>
            </w:pPr>
            <w:r>
              <w:rPr>
                <w:rFonts w:cs="Times New Roman"/>
                <w:b/>
                <w:szCs w:val="24"/>
              </w:rPr>
              <w:t>Hours per request</w:t>
            </w:r>
          </w:p>
        </w:tc>
      </w:tr>
      <w:tr w:rsidR="00E100DE" w:rsidRPr="002E2118" w14:paraId="62AC5227" w14:textId="77777777" w:rsidTr="009E14C4">
        <w:tc>
          <w:tcPr>
            <w:tcW w:w="2543" w:type="dxa"/>
            <w:shd w:val="clear" w:color="auto" w:fill="auto"/>
          </w:tcPr>
          <w:p w14:paraId="3A298FC4" w14:textId="77777777" w:rsidR="00E100DE" w:rsidRDefault="00E100DE" w:rsidP="009E14C4">
            <w:pPr>
              <w:spacing w:after="0" w:line="240" w:lineRule="auto"/>
              <w:rPr>
                <w:rFonts w:cs="Times New Roman"/>
                <w:szCs w:val="24"/>
              </w:rPr>
            </w:pPr>
            <w:r>
              <w:rPr>
                <w:rFonts w:cs="Times New Roman"/>
                <w:szCs w:val="24"/>
              </w:rPr>
              <w:t>State Government Financial Specialist</w:t>
            </w:r>
          </w:p>
        </w:tc>
        <w:tc>
          <w:tcPr>
            <w:tcW w:w="1530" w:type="dxa"/>
            <w:shd w:val="clear" w:color="auto" w:fill="auto"/>
          </w:tcPr>
          <w:p w14:paraId="677D2A77" w14:textId="77777777" w:rsidR="00E100DE" w:rsidRDefault="00E100DE" w:rsidP="009E14C4">
            <w:pPr>
              <w:spacing w:after="0" w:line="240" w:lineRule="auto"/>
              <w:rPr>
                <w:rFonts w:cs="Times New Roman"/>
                <w:szCs w:val="24"/>
              </w:rPr>
            </w:pPr>
            <w:r>
              <w:rPr>
                <w:rFonts w:cs="Times New Roman"/>
                <w:szCs w:val="24"/>
              </w:rPr>
              <w:t>13-2099</w:t>
            </w:r>
          </w:p>
        </w:tc>
        <w:tc>
          <w:tcPr>
            <w:tcW w:w="1620" w:type="dxa"/>
            <w:shd w:val="clear" w:color="auto" w:fill="auto"/>
          </w:tcPr>
          <w:p w14:paraId="47D31662" w14:textId="77777777" w:rsidR="00E100DE" w:rsidRDefault="00E100DE" w:rsidP="009E14C4">
            <w:pPr>
              <w:spacing w:after="0" w:line="240" w:lineRule="auto"/>
              <w:rPr>
                <w:rFonts w:cs="Times New Roman"/>
                <w:szCs w:val="24"/>
              </w:rPr>
            </w:pPr>
            <w:r>
              <w:rPr>
                <w:rFonts w:cs="Times New Roman"/>
                <w:szCs w:val="24"/>
              </w:rPr>
              <w:t>28.91</w:t>
            </w:r>
          </w:p>
        </w:tc>
        <w:tc>
          <w:tcPr>
            <w:tcW w:w="1080" w:type="dxa"/>
            <w:shd w:val="clear" w:color="auto" w:fill="auto"/>
          </w:tcPr>
          <w:p w14:paraId="080E90CF" w14:textId="77777777" w:rsidR="00E100DE" w:rsidRDefault="00E100DE" w:rsidP="009E14C4">
            <w:pPr>
              <w:spacing w:after="0" w:line="240" w:lineRule="auto"/>
              <w:rPr>
                <w:rFonts w:cs="Times New Roman"/>
                <w:szCs w:val="24"/>
              </w:rPr>
            </w:pPr>
            <w:r>
              <w:rPr>
                <w:rFonts w:cs="Times New Roman"/>
                <w:szCs w:val="24"/>
              </w:rPr>
              <w:t>28.91</w:t>
            </w:r>
          </w:p>
        </w:tc>
        <w:tc>
          <w:tcPr>
            <w:tcW w:w="1710" w:type="dxa"/>
          </w:tcPr>
          <w:p w14:paraId="31D61B8F" w14:textId="77777777" w:rsidR="00E100DE" w:rsidRDefault="00E100DE" w:rsidP="009E14C4">
            <w:pPr>
              <w:spacing w:after="0" w:line="240" w:lineRule="auto"/>
              <w:rPr>
                <w:rFonts w:cs="Times New Roman"/>
                <w:szCs w:val="24"/>
              </w:rPr>
            </w:pPr>
            <w:r>
              <w:rPr>
                <w:rFonts w:cs="Times New Roman"/>
                <w:szCs w:val="24"/>
              </w:rPr>
              <w:t>57.82</w:t>
            </w:r>
          </w:p>
        </w:tc>
        <w:tc>
          <w:tcPr>
            <w:tcW w:w="1710" w:type="dxa"/>
          </w:tcPr>
          <w:p w14:paraId="7DEC05ED" w14:textId="77777777" w:rsidR="00E100DE" w:rsidRDefault="00E100DE" w:rsidP="009E14C4">
            <w:pPr>
              <w:spacing w:after="0" w:line="240" w:lineRule="auto"/>
              <w:rPr>
                <w:rFonts w:cs="Times New Roman"/>
                <w:szCs w:val="24"/>
              </w:rPr>
            </w:pPr>
            <w:r>
              <w:rPr>
                <w:rFonts w:cs="Times New Roman"/>
                <w:szCs w:val="24"/>
              </w:rPr>
              <w:t>8.5</w:t>
            </w:r>
          </w:p>
        </w:tc>
      </w:tr>
      <w:tr w:rsidR="00E100DE" w:rsidRPr="002E2118" w14:paraId="466B310D" w14:textId="77777777" w:rsidTr="009E14C4">
        <w:tc>
          <w:tcPr>
            <w:tcW w:w="2543" w:type="dxa"/>
            <w:shd w:val="clear" w:color="auto" w:fill="auto"/>
          </w:tcPr>
          <w:p w14:paraId="07D88228" w14:textId="77777777" w:rsidR="00E100DE" w:rsidRDefault="00E100DE" w:rsidP="009E14C4">
            <w:pPr>
              <w:spacing w:after="0" w:line="240" w:lineRule="auto"/>
              <w:rPr>
                <w:rFonts w:cs="Times New Roman"/>
                <w:szCs w:val="24"/>
              </w:rPr>
            </w:pPr>
            <w:r>
              <w:rPr>
                <w:rFonts w:cs="Times New Roman"/>
                <w:szCs w:val="24"/>
              </w:rPr>
              <w:t>State Government Financial Manager</w:t>
            </w:r>
          </w:p>
        </w:tc>
        <w:tc>
          <w:tcPr>
            <w:tcW w:w="1530" w:type="dxa"/>
            <w:shd w:val="clear" w:color="auto" w:fill="auto"/>
          </w:tcPr>
          <w:p w14:paraId="1805DFCC" w14:textId="77777777" w:rsidR="00E100DE" w:rsidRDefault="00E100DE" w:rsidP="009E14C4">
            <w:pPr>
              <w:spacing w:after="0" w:line="240" w:lineRule="auto"/>
              <w:rPr>
                <w:rFonts w:cs="Times New Roman"/>
                <w:szCs w:val="24"/>
              </w:rPr>
            </w:pPr>
            <w:r>
              <w:rPr>
                <w:rFonts w:cs="Times New Roman"/>
                <w:szCs w:val="24"/>
              </w:rPr>
              <w:t>11-1021</w:t>
            </w:r>
          </w:p>
        </w:tc>
        <w:tc>
          <w:tcPr>
            <w:tcW w:w="1620" w:type="dxa"/>
            <w:shd w:val="clear" w:color="auto" w:fill="auto"/>
          </w:tcPr>
          <w:p w14:paraId="34674F7B" w14:textId="77777777" w:rsidR="00E100DE" w:rsidRDefault="00E100DE" w:rsidP="009E14C4">
            <w:pPr>
              <w:spacing w:after="0" w:line="240" w:lineRule="auto"/>
              <w:rPr>
                <w:rFonts w:cs="Times New Roman"/>
                <w:szCs w:val="24"/>
              </w:rPr>
            </w:pPr>
            <w:r>
              <w:rPr>
                <w:rFonts w:cs="Times New Roman"/>
                <w:szCs w:val="24"/>
              </w:rPr>
              <w:t>45.47</w:t>
            </w:r>
          </w:p>
        </w:tc>
        <w:tc>
          <w:tcPr>
            <w:tcW w:w="1080" w:type="dxa"/>
            <w:shd w:val="clear" w:color="auto" w:fill="auto"/>
          </w:tcPr>
          <w:p w14:paraId="7A60E843" w14:textId="77777777" w:rsidR="00E100DE" w:rsidRDefault="00E100DE" w:rsidP="009E14C4">
            <w:pPr>
              <w:spacing w:after="0" w:line="240" w:lineRule="auto"/>
              <w:rPr>
                <w:rFonts w:cs="Times New Roman"/>
                <w:szCs w:val="24"/>
              </w:rPr>
            </w:pPr>
            <w:r>
              <w:rPr>
                <w:rFonts w:cs="Times New Roman"/>
                <w:szCs w:val="24"/>
              </w:rPr>
              <w:t>45.47</w:t>
            </w:r>
          </w:p>
        </w:tc>
        <w:tc>
          <w:tcPr>
            <w:tcW w:w="1710" w:type="dxa"/>
          </w:tcPr>
          <w:p w14:paraId="72BB5696" w14:textId="77777777" w:rsidR="00E100DE" w:rsidRDefault="00E100DE" w:rsidP="009E14C4">
            <w:pPr>
              <w:spacing w:after="0" w:line="240" w:lineRule="auto"/>
              <w:rPr>
                <w:rFonts w:cs="Times New Roman"/>
                <w:szCs w:val="24"/>
              </w:rPr>
            </w:pPr>
            <w:r>
              <w:rPr>
                <w:rFonts w:cs="Times New Roman"/>
                <w:szCs w:val="24"/>
              </w:rPr>
              <w:t>90.94</w:t>
            </w:r>
          </w:p>
        </w:tc>
        <w:tc>
          <w:tcPr>
            <w:tcW w:w="1710" w:type="dxa"/>
          </w:tcPr>
          <w:p w14:paraId="17F5A943" w14:textId="77777777" w:rsidR="00E100DE" w:rsidRDefault="00E100DE" w:rsidP="009E14C4">
            <w:pPr>
              <w:spacing w:after="0" w:line="240" w:lineRule="auto"/>
              <w:rPr>
                <w:rFonts w:cs="Times New Roman"/>
                <w:szCs w:val="24"/>
              </w:rPr>
            </w:pPr>
            <w:r>
              <w:rPr>
                <w:rFonts w:cs="Times New Roman"/>
                <w:szCs w:val="24"/>
              </w:rPr>
              <w:t>6.5</w:t>
            </w:r>
          </w:p>
        </w:tc>
      </w:tr>
      <w:tr w:rsidR="00E100DE" w:rsidRPr="002E2118" w14:paraId="479ADEF1" w14:textId="77777777" w:rsidTr="009E14C4">
        <w:tc>
          <w:tcPr>
            <w:tcW w:w="2543" w:type="dxa"/>
            <w:shd w:val="clear" w:color="auto" w:fill="auto"/>
          </w:tcPr>
          <w:p w14:paraId="1945A507" w14:textId="77777777" w:rsidR="00E100DE" w:rsidRDefault="00E100DE" w:rsidP="009E14C4">
            <w:pPr>
              <w:spacing w:after="0" w:line="240" w:lineRule="auto"/>
              <w:rPr>
                <w:rFonts w:cs="Times New Roman"/>
                <w:szCs w:val="24"/>
              </w:rPr>
            </w:pPr>
            <w:r>
              <w:rPr>
                <w:rFonts w:cs="Times New Roman"/>
                <w:szCs w:val="24"/>
              </w:rPr>
              <w:t>State Government General and Operations Manager</w:t>
            </w:r>
          </w:p>
        </w:tc>
        <w:tc>
          <w:tcPr>
            <w:tcW w:w="1530" w:type="dxa"/>
            <w:shd w:val="clear" w:color="auto" w:fill="auto"/>
          </w:tcPr>
          <w:p w14:paraId="1FD8C733" w14:textId="77777777" w:rsidR="00E100DE" w:rsidRDefault="00E100DE" w:rsidP="009E14C4">
            <w:pPr>
              <w:spacing w:after="0" w:line="240" w:lineRule="auto"/>
              <w:rPr>
                <w:rFonts w:cs="Times New Roman"/>
                <w:szCs w:val="24"/>
              </w:rPr>
            </w:pPr>
            <w:r>
              <w:rPr>
                <w:rFonts w:cs="Times New Roman"/>
                <w:szCs w:val="24"/>
              </w:rPr>
              <w:t>11-1021</w:t>
            </w:r>
          </w:p>
        </w:tc>
        <w:tc>
          <w:tcPr>
            <w:tcW w:w="1620" w:type="dxa"/>
            <w:shd w:val="clear" w:color="auto" w:fill="auto"/>
          </w:tcPr>
          <w:p w14:paraId="5A5EB835" w14:textId="77777777" w:rsidR="00E100DE" w:rsidRDefault="00E100DE" w:rsidP="009E14C4">
            <w:pPr>
              <w:spacing w:after="0" w:line="240" w:lineRule="auto"/>
              <w:rPr>
                <w:rFonts w:cs="Times New Roman"/>
                <w:szCs w:val="24"/>
              </w:rPr>
            </w:pPr>
            <w:r>
              <w:rPr>
                <w:rFonts w:cs="Times New Roman"/>
                <w:szCs w:val="24"/>
              </w:rPr>
              <w:t>45.64</w:t>
            </w:r>
          </w:p>
        </w:tc>
        <w:tc>
          <w:tcPr>
            <w:tcW w:w="1080" w:type="dxa"/>
            <w:shd w:val="clear" w:color="auto" w:fill="auto"/>
          </w:tcPr>
          <w:p w14:paraId="7ECDAA6F" w14:textId="77777777" w:rsidR="00E100DE" w:rsidRDefault="00E100DE" w:rsidP="009E14C4">
            <w:pPr>
              <w:spacing w:after="0" w:line="240" w:lineRule="auto"/>
              <w:rPr>
                <w:rFonts w:cs="Times New Roman"/>
                <w:szCs w:val="24"/>
              </w:rPr>
            </w:pPr>
            <w:r>
              <w:rPr>
                <w:rFonts w:cs="Times New Roman"/>
                <w:szCs w:val="24"/>
              </w:rPr>
              <w:t>45.64</w:t>
            </w:r>
          </w:p>
        </w:tc>
        <w:tc>
          <w:tcPr>
            <w:tcW w:w="1710" w:type="dxa"/>
          </w:tcPr>
          <w:p w14:paraId="331054B8" w14:textId="77777777" w:rsidR="00E100DE" w:rsidRDefault="00E100DE" w:rsidP="009E14C4">
            <w:pPr>
              <w:spacing w:after="0" w:line="240" w:lineRule="auto"/>
              <w:rPr>
                <w:rFonts w:cs="Times New Roman"/>
                <w:szCs w:val="24"/>
              </w:rPr>
            </w:pPr>
            <w:r>
              <w:rPr>
                <w:rFonts w:cs="Times New Roman"/>
                <w:szCs w:val="24"/>
              </w:rPr>
              <w:t>91.28</w:t>
            </w:r>
          </w:p>
        </w:tc>
        <w:tc>
          <w:tcPr>
            <w:tcW w:w="1710" w:type="dxa"/>
          </w:tcPr>
          <w:p w14:paraId="148EDC01" w14:textId="77777777" w:rsidR="00E100DE" w:rsidRDefault="00E100DE" w:rsidP="009E14C4">
            <w:pPr>
              <w:spacing w:after="0" w:line="240" w:lineRule="auto"/>
              <w:rPr>
                <w:rFonts w:cs="Times New Roman"/>
                <w:szCs w:val="24"/>
              </w:rPr>
            </w:pPr>
            <w:r>
              <w:rPr>
                <w:rFonts w:cs="Times New Roman"/>
                <w:szCs w:val="24"/>
              </w:rPr>
              <w:t>59</w:t>
            </w:r>
          </w:p>
        </w:tc>
      </w:tr>
      <w:tr w:rsidR="00E100DE" w:rsidRPr="002E2118" w14:paraId="13FF5A7D" w14:textId="77777777" w:rsidTr="009E14C4">
        <w:tc>
          <w:tcPr>
            <w:tcW w:w="2543" w:type="dxa"/>
            <w:shd w:val="clear" w:color="auto" w:fill="auto"/>
          </w:tcPr>
          <w:p w14:paraId="1B678F75" w14:textId="77777777" w:rsidR="00E100DE" w:rsidRPr="002E2118" w:rsidRDefault="00E100DE" w:rsidP="009E14C4">
            <w:pPr>
              <w:spacing w:after="0" w:line="240" w:lineRule="auto"/>
              <w:rPr>
                <w:rFonts w:cs="Times New Roman"/>
                <w:szCs w:val="24"/>
              </w:rPr>
            </w:pPr>
            <w:r>
              <w:rPr>
                <w:rFonts w:cs="Times New Roman"/>
                <w:szCs w:val="24"/>
              </w:rPr>
              <w:t>Total</w:t>
            </w:r>
          </w:p>
        </w:tc>
        <w:tc>
          <w:tcPr>
            <w:tcW w:w="1530" w:type="dxa"/>
            <w:shd w:val="clear" w:color="auto" w:fill="auto"/>
          </w:tcPr>
          <w:p w14:paraId="6EF72F0D" w14:textId="77777777" w:rsidR="00E100DE" w:rsidRPr="002E2118" w:rsidRDefault="00E100DE" w:rsidP="009E14C4">
            <w:pPr>
              <w:spacing w:after="0" w:line="240" w:lineRule="auto"/>
              <w:rPr>
                <w:rFonts w:cs="Times New Roman"/>
                <w:szCs w:val="24"/>
              </w:rPr>
            </w:pPr>
          </w:p>
        </w:tc>
        <w:tc>
          <w:tcPr>
            <w:tcW w:w="1620" w:type="dxa"/>
            <w:shd w:val="clear" w:color="auto" w:fill="auto"/>
          </w:tcPr>
          <w:p w14:paraId="1BD504BB" w14:textId="77777777" w:rsidR="00E100DE" w:rsidRPr="002E2118" w:rsidRDefault="00E100DE" w:rsidP="009E14C4">
            <w:pPr>
              <w:spacing w:after="0" w:line="240" w:lineRule="auto"/>
              <w:rPr>
                <w:rFonts w:cs="Times New Roman"/>
                <w:szCs w:val="24"/>
              </w:rPr>
            </w:pPr>
            <w:r>
              <w:rPr>
                <w:rFonts w:cs="Times New Roman"/>
                <w:szCs w:val="24"/>
              </w:rPr>
              <w:t>120.02</w:t>
            </w:r>
          </w:p>
        </w:tc>
        <w:tc>
          <w:tcPr>
            <w:tcW w:w="1080" w:type="dxa"/>
            <w:shd w:val="clear" w:color="auto" w:fill="auto"/>
          </w:tcPr>
          <w:p w14:paraId="562328EA" w14:textId="77777777" w:rsidR="00E100DE" w:rsidRPr="002E2118" w:rsidRDefault="00E100DE" w:rsidP="009E14C4">
            <w:pPr>
              <w:spacing w:after="0" w:line="240" w:lineRule="auto"/>
              <w:rPr>
                <w:rFonts w:cs="Times New Roman"/>
                <w:szCs w:val="24"/>
              </w:rPr>
            </w:pPr>
            <w:r>
              <w:rPr>
                <w:rFonts w:cs="Times New Roman"/>
                <w:szCs w:val="24"/>
              </w:rPr>
              <w:t>120.02</w:t>
            </w:r>
          </w:p>
        </w:tc>
        <w:tc>
          <w:tcPr>
            <w:tcW w:w="1710" w:type="dxa"/>
          </w:tcPr>
          <w:p w14:paraId="1DE56E94" w14:textId="77777777" w:rsidR="00E100DE" w:rsidRPr="002E2118" w:rsidRDefault="00E100DE" w:rsidP="009E14C4">
            <w:pPr>
              <w:spacing w:after="0" w:line="240" w:lineRule="auto"/>
              <w:rPr>
                <w:rFonts w:cs="Times New Roman"/>
                <w:szCs w:val="24"/>
              </w:rPr>
            </w:pPr>
            <w:r>
              <w:rPr>
                <w:rFonts w:cs="Times New Roman"/>
                <w:szCs w:val="24"/>
              </w:rPr>
              <w:t>240.04</w:t>
            </w:r>
          </w:p>
        </w:tc>
        <w:tc>
          <w:tcPr>
            <w:tcW w:w="1710" w:type="dxa"/>
          </w:tcPr>
          <w:p w14:paraId="05CFE7E1" w14:textId="77777777" w:rsidR="00E100DE" w:rsidRDefault="00E100DE" w:rsidP="009E14C4">
            <w:pPr>
              <w:spacing w:after="0" w:line="240" w:lineRule="auto"/>
              <w:rPr>
                <w:rFonts w:cs="Times New Roman"/>
                <w:szCs w:val="24"/>
              </w:rPr>
            </w:pPr>
            <w:r>
              <w:rPr>
                <w:rFonts w:cs="Times New Roman"/>
                <w:szCs w:val="24"/>
              </w:rPr>
              <w:t xml:space="preserve"> 74</w:t>
            </w:r>
          </w:p>
        </w:tc>
      </w:tr>
    </w:tbl>
    <w:p w14:paraId="463F2648" w14:textId="77777777" w:rsidR="00B530B1" w:rsidRPr="00EC7726" w:rsidRDefault="00B530B1" w:rsidP="005012D4">
      <w:pPr>
        <w:spacing w:after="0" w:line="240" w:lineRule="auto"/>
        <w:rPr>
          <w:rFonts w:eastAsia="Calibri" w:cs="Times New Roman"/>
          <w:szCs w:val="24"/>
        </w:rPr>
      </w:pPr>
    </w:p>
    <w:p w14:paraId="7FAC6CD2" w14:textId="19305EC2" w:rsidR="00B530B1" w:rsidRPr="00EC7726" w:rsidRDefault="00BC15EE" w:rsidP="005012D4">
      <w:pPr>
        <w:spacing w:after="0" w:line="240" w:lineRule="auto"/>
        <w:rPr>
          <w:rFonts w:eastAsia="Calibri" w:cs="Times New Roman"/>
          <w:i/>
          <w:szCs w:val="24"/>
        </w:rPr>
      </w:pPr>
      <w:r>
        <w:rPr>
          <w:rFonts w:eastAsia="Calibri" w:cs="Times New Roman"/>
          <w:i/>
          <w:szCs w:val="24"/>
        </w:rPr>
        <w:t>D.</w:t>
      </w:r>
      <w:r>
        <w:rPr>
          <w:rFonts w:eastAsia="Calibri" w:cs="Times New Roman"/>
          <w:i/>
          <w:szCs w:val="24"/>
        </w:rPr>
        <w:t>2</w:t>
      </w:r>
      <w:r>
        <w:rPr>
          <w:rFonts w:eastAsia="Calibri" w:cs="Times New Roman"/>
          <w:i/>
          <w:szCs w:val="24"/>
        </w:rPr>
        <w:t>.</w:t>
      </w:r>
      <w:r>
        <w:rPr>
          <w:rFonts w:eastAsia="Calibri" w:cs="Times New Roman"/>
          <w:i/>
          <w:szCs w:val="24"/>
        </w:rPr>
        <w:t>2</w:t>
      </w:r>
      <w:r>
        <w:rPr>
          <w:rFonts w:eastAsia="Calibri" w:cs="Times New Roman"/>
          <w:i/>
          <w:szCs w:val="24"/>
        </w:rPr>
        <w:t xml:space="preserve"> </w:t>
      </w:r>
      <w:r w:rsidR="0041080E" w:rsidRPr="00EC7726">
        <w:rPr>
          <w:rFonts w:eastAsia="Calibri" w:cs="Times New Roman"/>
          <w:i/>
          <w:szCs w:val="24"/>
        </w:rPr>
        <w:t>Attachments</w:t>
      </w:r>
      <w:r w:rsidR="006158F2" w:rsidRPr="00EC7726">
        <w:rPr>
          <w:rFonts w:eastAsia="Calibri" w:cs="Times New Roman"/>
          <w:i/>
          <w:szCs w:val="24"/>
        </w:rPr>
        <w:t xml:space="preserve"> for the Planning Grant Application</w:t>
      </w:r>
    </w:p>
    <w:p w14:paraId="14D7BE3C" w14:textId="77777777" w:rsidR="00B530B1" w:rsidRPr="00EC7726" w:rsidRDefault="00B530B1" w:rsidP="005012D4">
      <w:pPr>
        <w:spacing w:after="0" w:line="240" w:lineRule="auto"/>
        <w:rPr>
          <w:rFonts w:eastAsia="Calibri" w:cs="Times New Roman"/>
          <w:szCs w:val="24"/>
        </w:rPr>
      </w:pPr>
    </w:p>
    <w:p w14:paraId="33A9C6B5" w14:textId="77777777" w:rsidR="00B530B1" w:rsidRPr="00EC7726" w:rsidRDefault="00EC7726" w:rsidP="00EC7726">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(Form and Instruction) </w:t>
      </w:r>
      <w:r w:rsidR="0041080E" w:rsidRPr="00EC7726">
        <w:rPr>
          <w:rFonts w:ascii="Times New Roman" w:hAnsi="Times New Roman"/>
          <w:sz w:val="24"/>
          <w:szCs w:val="24"/>
        </w:rPr>
        <w:t>Guidance to Planning Grant States to Apply to Participate in the Section 223 Demonstration.</w:t>
      </w:r>
    </w:p>
    <w:p w14:paraId="1338EF77" w14:textId="77777777" w:rsidR="00EC7726" w:rsidRPr="00EC7726" w:rsidRDefault="00EC7726" w:rsidP="005012D4">
      <w:pPr>
        <w:spacing w:after="0" w:line="240" w:lineRule="auto"/>
        <w:rPr>
          <w:rFonts w:eastAsia="Calibri" w:cs="Times New Roman"/>
          <w:szCs w:val="24"/>
        </w:rPr>
      </w:pPr>
    </w:p>
    <w:p w14:paraId="0A475651" w14:textId="12E0B140" w:rsidR="006158F2" w:rsidRPr="006018C1" w:rsidRDefault="00BC15EE" w:rsidP="005012D4">
      <w:pPr>
        <w:spacing w:after="0" w:line="240" w:lineRule="auto"/>
        <w:rPr>
          <w:rFonts w:eastAsia="Calibri" w:cs="Times New Roman"/>
          <w:szCs w:val="24"/>
        </w:rPr>
      </w:pPr>
      <w:r w:rsidRPr="006018C1">
        <w:rPr>
          <w:rFonts w:eastAsia="Calibri" w:cs="Times New Roman"/>
          <w:szCs w:val="24"/>
        </w:rPr>
        <w:t>D.</w:t>
      </w:r>
      <w:r w:rsidRPr="006018C1">
        <w:rPr>
          <w:rFonts w:eastAsia="Calibri" w:cs="Times New Roman"/>
          <w:szCs w:val="24"/>
        </w:rPr>
        <w:t>3</w:t>
      </w:r>
      <w:r w:rsidRPr="006018C1">
        <w:rPr>
          <w:rFonts w:eastAsia="Calibri" w:cs="Times New Roman"/>
          <w:szCs w:val="24"/>
        </w:rPr>
        <w:t xml:space="preserve">. </w:t>
      </w:r>
      <w:r w:rsidR="006158F2" w:rsidRPr="006018C1">
        <w:rPr>
          <w:rFonts w:eastAsia="Calibri" w:cs="Times New Roman"/>
          <w:szCs w:val="24"/>
        </w:rPr>
        <w:t>TOTAL BURDEN</w:t>
      </w:r>
    </w:p>
    <w:p w14:paraId="6DC709BC" w14:textId="77777777" w:rsidR="006158F2" w:rsidRDefault="006158F2" w:rsidP="005012D4">
      <w:pPr>
        <w:spacing w:after="0" w:line="240" w:lineRule="auto"/>
        <w:rPr>
          <w:rFonts w:eastAsia="Calibri" w:cs="Times New Roman"/>
          <w:szCs w:val="24"/>
        </w:rPr>
      </w:pP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1095"/>
        <w:gridCol w:w="1155"/>
        <w:gridCol w:w="1075"/>
        <w:gridCol w:w="1015"/>
        <w:gridCol w:w="1176"/>
        <w:gridCol w:w="1021"/>
      </w:tblGrid>
      <w:tr w:rsidR="00F20797" w:rsidRPr="00DC46A6" w14:paraId="66D49314" w14:textId="77777777" w:rsidTr="00F20797">
        <w:trPr>
          <w:tblHeader/>
          <w:jc w:val="center"/>
        </w:trPr>
        <w:tc>
          <w:tcPr>
            <w:tcW w:w="1160" w:type="dxa"/>
            <w:vAlign w:val="bottom"/>
          </w:tcPr>
          <w:p w14:paraId="07CD66DD"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Pr>
                <w:b/>
                <w:bCs/>
                <w:color w:val="000000"/>
                <w:sz w:val="16"/>
                <w:szCs w:val="16"/>
              </w:rPr>
              <w:t>Information Collection</w:t>
            </w:r>
          </w:p>
        </w:tc>
        <w:tc>
          <w:tcPr>
            <w:tcW w:w="1095" w:type="dxa"/>
            <w:vAlign w:val="bottom"/>
          </w:tcPr>
          <w:p w14:paraId="6DEFDF9C"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bCs/>
                <w:color w:val="000000"/>
                <w:sz w:val="16"/>
                <w:szCs w:val="16"/>
              </w:rPr>
              <w:t>Respondents</w:t>
            </w:r>
          </w:p>
        </w:tc>
        <w:tc>
          <w:tcPr>
            <w:tcW w:w="1155" w:type="dxa"/>
            <w:vAlign w:val="bottom"/>
          </w:tcPr>
          <w:p w14:paraId="26624DC6" w14:textId="77777777" w:rsidR="00F20797" w:rsidRPr="00EB46A6" w:rsidRDefault="006A554A"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Pr>
                <w:b/>
                <w:bCs/>
                <w:color w:val="000000"/>
                <w:sz w:val="16"/>
                <w:szCs w:val="16"/>
              </w:rPr>
              <w:t xml:space="preserve">Total </w:t>
            </w:r>
            <w:r w:rsidR="00F20797" w:rsidRPr="00EB46A6">
              <w:rPr>
                <w:b/>
                <w:bCs/>
                <w:color w:val="000000"/>
                <w:sz w:val="16"/>
                <w:szCs w:val="16"/>
              </w:rPr>
              <w:t>Responses</w:t>
            </w:r>
          </w:p>
        </w:tc>
        <w:tc>
          <w:tcPr>
            <w:tcW w:w="1075" w:type="dxa"/>
            <w:vAlign w:val="bottom"/>
          </w:tcPr>
          <w:p w14:paraId="244E6033"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bCs/>
                <w:color w:val="000000"/>
                <w:sz w:val="16"/>
                <w:szCs w:val="16"/>
              </w:rPr>
              <w:t>Burden per Response (hours)</w:t>
            </w:r>
          </w:p>
        </w:tc>
        <w:tc>
          <w:tcPr>
            <w:tcW w:w="1015" w:type="dxa"/>
            <w:vAlign w:val="bottom"/>
          </w:tcPr>
          <w:p w14:paraId="6DCD5200"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bCs/>
                <w:color w:val="000000"/>
                <w:sz w:val="16"/>
                <w:szCs w:val="16"/>
              </w:rPr>
              <w:t>Total Annual Burden (hours)</w:t>
            </w:r>
          </w:p>
        </w:tc>
        <w:tc>
          <w:tcPr>
            <w:tcW w:w="1176" w:type="dxa"/>
            <w:vAlign w:val="bottom"/>
          </w:tcPr>
          <w:p w14:paraId="78CFC328" w14:textId="77777777" w:rsidR="00F20797" w:rsidRPr="00EB46A6" w:rsidRDefault="00F20797" w:rsidP="009E14C4">
            <w:pPr>
              <w:jc w:val="center"/>
              <w:rPr>
                <w:b/>
                <w:bCs/>
                <w:color w:val="000000"/>
                <w:sz w:val="16"/>
                <w:szCs w:val="16"/>
              </w:rPr>
            </w:pPr>
            <w:r w:rsidRPr="00EB46A6">
              <w:rPr>
                <w:b/>
                <w:bCs/>
                <w:color w:val="000000"/>
                <w:sz w:val="16"/>
                <w:szCs w:val="16"/>
              </w:rPr>
              <w:t>Labor</w:t>
            </w:r>
          </w:p>
          <w:p w14:paraId="557ECACB" w14:textId="77777777" w:rsidR="00F20797" w:rsidRPr="00EB46A6" w:rsidRDefault="00F20797" w:rsidP="009E14C4">
            <w:pPr>
              <w:jc w:val="center"/>
              <w:rPr>
                <w:b/>
                <w:bCs/>
                <w:color w:val="000000"/>
                <w:sz w:val="16"/>
                <w:szCs w:val="16"/>
              </w:rPr>
            </w:pPr>
            <w:r w:rsidRPr="00EB46A6">
              <w:rPr>
                <w:b/>
                <w:bCs/>
                <w:color w:val="000000"/>
                <w:sz w:val="16"/>
                <w:szCs w:val="16"/>
              </w:rPr>
              <w:t>Cost of</w:t>
            </w:r>
          </w:p>
          <w:p w14:paraId="7C36B1EC" w14:textId="77777777" w:rsidR="00F20797" w:rsidRPr="00EB46A6" w:rsidRDefault="00F20797" w:rsidP="009E14C4">
            <w:pPr>
              <w:jc w:val="center"/>
              <w:rPr>
                <w:b/>
                <w:bCs/>
                <w:color w:val="000000"/>
                <w:sz w:val="16"/>
                <w:szCs w:val="16"/>
              </w:rPr>
            </w:pPr>
            <w:r w:rsidRPr="00EB46A6">
              <w:rPr>
                <w:b/>
                <w:bCs/>
                <w:color w:val="000000"/>
                <w:sz w:val="16"/>
                <w:szCs w:val="16"/>
              </w:rPr>
              <w:t>Reporting</w:t>
            </w:r>
          </w:p>
          <w:p w14:paraId="5954A551"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bCs/>
                <w:color w:val="000000"/>
                <w:sz w:val="16"/>
                <w:szCs w:val="16"/>
              </w:rPr>
              <w:t>($</w:t>
            </w:r>
            <w:r w:rsidR="00CD0C82">
              <w:rPr>
                <w:b/>
                <w:bCs/>
                <w:color w:val="000000"/>
                <w:sz w:val="16"/>
                <w:szCs w:val="16"/>
              </w:rPr>
              <w:t>/hr</w:t>
            </w:r>
            <w:r w:rsidRPr="00EB46A6">
              <w:rPr>
                <w:b/>
                <w:bCs/>
                <w:color w:val="000000"/>
                <w:sz w:val="16"/>
                <w:szCs w:val="16"/>
              </w:rPr>
              <w:t>)</w:t>
            </w:r>
          </w:p>
        </w:tc>
        <w:tc>
          <w:tcPr>
            <w:tcW w:w="1021" w:type="dxa"/>
            <w:vAlign w:val="bottom"/>
          </w:tcPr>
          <w:p w14:paraId="1F56F490"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sz w:val="16"/>
                <w:szCs w:val="16"/>
              </w:rPr>
              <w:t>Total Cost</w:t>
            </w:r>
          </w:p>
          <w:p w14:paraId="65F0ED82" w14:textId="77777777" w:rsidR="00F20797" w:rsidRPr="00EB46A6" w:rsidRDefault="00F20797"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B46A6">
              <w:rPr>
                <w:b/>
                <w:sz w:val="16"/>
                <w:szCs w:val="16"/>
              </w:rPr>
              <w:t>($)</w:t>
            </w:r>
          </w:p>
        </w:tc>
      </w:tr>
      <w:tr w:rsidR="000C3073" w:rsidRPr="00DC46A6" w14:paraId="2CAEC53F" w14:textId="77777777" w:rsidTr="009275FB">
        <w:trPr>
          <w:jc w:val="center"/>
        </w:trPr>
        <w:tc>
          <w:tcPr>
            <w:tcW w:w="1160" w:type="dxa"/>
          </w:tcPr>
          <w:p w14:paraId="041B53F7" w14:textId="77777777" w:rsidR="000C3073" w:rsidRPr="00EB46A6" w:rsidRDefault="000C3073" w:rsidP="000C307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Cost Report (Clinic) PPS-1</w:t>
            </w:r>
          </w:p>
        </w:tc>
        <w:tc>
          <w:tcPr>
            <w:tcW w:w="1095" w:type="dxa"/>
            <w:vMerge w:val="restart"/>
            <w:vAlign w:val="center"/>
          </w:tcPr>
          <w:p w14:paraId="2770DB36" w14:textId="77777777" w:rsidR="000C3073" w:rsidRPr="00FC34E3" w:rsidRDefault="000C3073" w:rsidP="000C307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FC34E3">
              <w:rPr>
                <w:sz w:val="16"/>
                <w:szCs w:val="16"/>
              </w:rPr>
              <w:t>48</w:t>
            </w:r>
          </w:p>
        </w:tc>
        <w:tc>
          <w:tcPr>
            <w:tcW w:w="1155" w:type="dxa"/>
            <w:vAlign w:val="center"/>
          </w:tcPr>
          <w:p w14:paraId="2F966E1A" w14:textId="77777777" w:rsidR="000C3073" w:rsidRPr="00FC34E3" w:rsidRDefault="000C3073" w:rsidP="000C307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FC34E3">
              <w:rPr>
                <w:sz w:val="16"/>
                <w:szCs w:val="16"/>
              </w:rPr>
              <w:t>24</w:t>
            </w:r>
          </w:p>
        </w:tc>
        <w:tc>
          <w:tcPr>
            <w:tcW w:w="1075" w:type="dxa"/>
            <w:vAlign w:val="center"/>
          </w:tcPr>
          <w:p w14:paraId="390A99DD" w14:textId="77777777" w:rsidR="000C3073" w:rsidRPr="00FC34E3" w:rsidRDefault="000C3073" w:rsidP="000C307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FC34E3">
              <w:rPr>
                <w:sz w:val="16"/>
                <w:szCs w:val="16"/>
              </w:rPr>
              <w:t>56.33</w:t>
            </w:r>
          </w:p>
        </w:tc>
        <w:tc>
          <w:tcPr>
            <w:tcW w:w="1015" w:type="dxa"/>
            <w:vAlign w:val="center"/>
          </w:tcPr>
          <w:p w14:paraId="66BD7286" w14:textId="77777777" w:rsidR="000C3073" w:rsidRPr="00FC34E3" w:rsidRDefault="00FC34E3" w:rsidP="00FC34E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FC34E3">
              <w:rPr>
                <w:sz w:val="16"/>
                <w:szCs w:val="16"/>
              </w:rPr>
              <w:t>1,351.92</w:t>
            </w:r>
          </w:p>
        </w:tc>
        <w:tc>
          <w:tcPr>
            <w:tcW w:w="1176" w:type="dxa"/>
            <w:vAlign w:val="center"/>
          </w:tcPr>
          <w:p w14:paraId="0CDF6436" w14:textId="77777777" w:rsidR="000C3073" w:rsidRPr="0066010C" w:rsidRDefault="0066010C" w:rsidP="00867C3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66010C">
              <w:rPr>
                <w:sz w:val="16"/>
                <w:szCs w:val="16"/>
              </w:rPr>
              <w:t xml:space="preserve">Varies (see </w:t>
            </w:r>
            <w:r w:rsidR="00867C3D">
              <w:rPr>
                <w:sz w:val="16"/>
                <w:szCs w:val="16"/>
              </w:rPr>
              <w:t>Table 1</w:t>
            </w:r>
            <w:r w:rsidRPr="0066010C">
              <w:rPr>
                <w:sz w:val="16"/>
                <w:szCs w:val="16"/>
              </w:rPr>
              <w:t>)</w:t>
            </w:r>
          </w:p>
        </w:tc>
        <w:tc>
          <w:tcPr>
            <w:tcW w:w="1021" w:type="dxa"/>
            <w:vAlign w:val="center"/>
          </w:tcPr>
          <w:p w14:paraId="711423D0" w14:textId="77777777" w:rsidR="000C3073" w:rsidRPr="00EB46A6" w:rsidRDefault="009275FB" w:rsidP="009275F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highlight w:val="yellow"/>
              </w:rPr>
            </w:pPr>
            <w:r w:rsidRPr="009275FB">
              <w:rPr>
                <w:sz w:val="16"/>
                <w:szCs w:val="16"/>
              </w:rPr>
              <w:t>100,710</w:t>
            </w:r>
            <w:r>
              <w:rPr>
                <w:sz w:val="16"/>
                <w:szCs w:val="16"/>
              </w:rPr>
              <w:t>.00</w:t>
            </w:r>
          </w:p>
        </w:tc>
      </w:tr>
      <w:tr w:rsidR="000C3073" w:rsidRPr="00DC46A6" w14:paraId="7596C257" w14:textId="77777777" w:rsidTr="009D7385">
        <w:trPr>
          <w:jc w:val="center"/>
        </w:trPr>
        <w:tc>
          <w:tcPr>
            <w:tcW w:w="1160" w:type="dxa"/>
          </w:tcPr>
          <w:p w14:paraId="47D1BDE7" w14:textId="77777777" w:rsidR="000C3073" w:rsidRPr="00EB46A6" w:rsidRDefault="000C3073" w:rsidP="000C307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Cost Report (Clinic) PPS-2</w:t>
            </w:r>
          </w:p>
        </w:tc>
        <w:tc>
          <w:tcPr>
            <w:tcW w:w="1095" w:type="dxa"/>
            <w:vMerge/>
          </w:tcPr>
          <w:p w14:paraId="546F33B7" w14:textId="77777777" w:rsidR="000C3073" w:rsidRPr="00FC34E3" w:rsidRDefault="000C3073" w:rsidP="009E14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1155" w:type="dxa"/>
            <w:vAlign w:val="center"/>
          </w:tcPr>
          <w:p w14:paraId="491FC36E" w14:textId="77777777" w:rsidR="000C3073" w:rsidRPr="00FC34E3" w:rsidRDefault="000C3073" w:rsidP="000C307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FC34E3">
              <w:rPr>
                <w:sz w:val="16"/>
                <w:szCs w:val="16"/>
              </w:rPr>
              <w:t>24</w:t>
            </w:r>
          </w:p>
        </w:tc>
        <w:tc>
          <w:tcPr>
            <w:tcW w:w="1075" w:type="dxa"/>
            <w:vAlign w:val="center"/>
          </w:tcPr>
          <w:p w14:paraId="62992588" w14:textId="77777777" w:rsidR="000C3073" w:rsidRPr="00FC34E3" w:rsidRDefault="000C3073" w:rsidP="000C307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FC34E3">
              <w:rPr>
                <w:sz w:val="16"/>
                <w:szCs w:val="16"/>
              </w:rPr>
              <w:t>112.66</w:t>
            </w:r>
          </w:p>
        </w:tc>
        <w:tc>
          <w:tcPr>
            <w:tcW w:w="1015" w:type="dxa"/>
            <w:vAlign w:val="center"/>
          </w:tcPr>
          <w:p w14:paraId="2841B2B1" w14:textId="77777777" w:rsidR="000C3073" w:rsidRPr="00FC34E3" w:rsidRDefault="00FC34E3" w:rsidP="00FC34E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FC34E3">
              <w:rPr>
                <w:sz w:val="16"/>
                <w:szCs w:val="16"/>
              </w:rPr>
              <w:t>2,703.84</w:t>
            </w:r>
          </w:p>
        </w:tc>
        <w:tc>
          <w:tcPr>
            <w:tcW w:w="1176" w:type="dxa"/>
            <w:vAlign w:val="center"/>
          </w:tcPr>
          <w:p w14:paraId="7B70F36F" w14:textId="77777777" w:rsidR="000C3073" w:rsidRPr="0066010C" w:rsidRDefault="0066010C" w:rsidP="00867C3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66010C">
              <w:rPr>
                <w:sz w:val="16"/>
                <w:szCs w:val="16"/>
              </w:rPr>
              <w:t xml:space="preserve">Varies (see </w:t>
            </w:r>
            <w:r w:rsidR="00867C3D">
              <w:rPr>
                <w:sz w:val="16"/>
                <w:szCs w:val="16"/>
              </w:rPr>
              <w:t>Table 1</w:t>
            </w:r>
            <w:r w:rsidRPr="0066010C">
              <w:rPr>
                <w:sz w:val="16"/>
                <w:szCs w:val="16"/>
              </w:rPr>
              <w:t>)</w:t>
            </w:r>
          </w:p>
        </w:tc>
        <w:tc>
          <w:tcPr>
            <w:tcW w:w="1021" w:type="dxa"/>
            <w:vAlign w:val="center"/>
          </w:tcPr>
          <w:p w14:paraId="3737DFF0" w14:textId="77777777" w:rsidR="000C3073" w:rsidRPr="00EB46A6" w:rsidRDefault="009D7385" w:rsidP="009D738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highlight w:val="yellow"/>
              </w:rPr>
            </w:pPr>
            <w:r w:rsidRPr="009D7385">
              <w:rPr>
                <w:sz w:val="16"/>
                <w:szCs w:val="16"/>
              </w:rPr>
              <w:t>201,420.24</w:t>
            </w:r>
          </w:p>
        </w:tc>
      </w:tr>
      <w:tr w:rsidR="000355AA" w:rsidRPr="00DC46A6" w14:paraId="7331A947" w14:textId="77777777" w:rsidTr="00CD0C82">
        <w:trPr>
          <w:jc w:val="center"/>
        </w:trPr>
        <w:tc>
          <w:tcPr>
            <w:tcW w:w="1160" w:type="dxa"/>
          </w:tcPr>
          <w:p w14:paraId="33AA80BD" w14:textId="77777777" w:rsidR="000355AA" w:rsidRPr="00EB46A6" w:rsidRDefault="000355AA" w:rsidP="000C307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Cost Report (State) PPS-1</w:t>
            </w:r>
          </w:p>
        </w:tc>
        <w:tc>
          <w:tcPr>
            <w:tcW w:w="1095" w:type="dxa"/>
            <w:vMerge w:val="restart"/>
            <w:vAlign w:val="center"/>
          </w:tcPr>
          <w:p w14:paraId="2F199353" w14:textId="77777777" w:rsidR="000355AA" w:rsidRPr="006A554A" w:rsidRDefault="000355AA" w:rsidP="006A554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6A554A">
              <w:rPr>
                <w:sz w:val="16"/>
                <w:szCs w:val="16"/>
              </w:rPr>
              <w:t>24</w:t>
            </w:r>
          </w:p>
        </w:tc>
        <w:tc>
          <w:tcPr>
            <w:tcW w:w="1155" w:type="dxa"/>
            <w:vAlign w:val="center"/>
          </w:tcPr>
          <w:p w14:paraId="0335A7A1" w14:textId="77777777" w:rsidR="000355AA" w:rsidRPr="006A554A" w:rsidRDefault="000355AA" w:rsidP="006A554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6A554A">
              <w:rPr>
                <w:sz w:val="16"/>
                <w:szCs w:val="16"/>
              </w:rPr>
              <w:t>24</w:t>
            </w:r>
          </w:p>
        </w:tc>
        <w:tc>
          <w:tcPr>
            <w:tcW w:w="1075" w:type="dxa"/>
            <w:vAlign w:val="center"/>
          </w:tcPr>
          <w:p w14:paraId="3C6C821D" w14:textId="77777777" w:rsidR="000355AA" w:rsidRPr="000355AA" w:rsidRDefault="000355AA" w:rsidP="000355A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0355AA">
              <w:rPr>
                <w:sz w:val="16"/>
                <w:szCs w:val="16"/>
              </w:rPr>
              <w:t>22</w:t>
            </w:r>
          </w:p>
        </w:tc>
        <w:tc>
          <w:tcPr>
            <w:tcW w:w="1015" w:type="dxa"/>
            <w:vAlign w:val="center"/>
          </w:tcPr>
          <w:p w14:paraId="29C855FA" w14:textId="77777777" w:rsidR="000355AA" w:rsidRPr="000355AA" w:rsidRDefault="000355AA" w:rsidP="000355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0355AA">
              <w:rPr>
                <w:sz w:val="16"/>
                <w:szCs w:val="16"/>
              </w:rPr>
              <w:t>528</w:t>
            </w:r>
          </w:p>
        </w:tc>
        <w:tc>
          <w:tcPr>
            <w:tcW w:w="1176" w:type="dxa"/>
            <w:vAlign w:val="center"/>
          </w:tcPr>
          <w:p w14:paraId="05970E39" w14:textId="77777777" w:rsidR="000355AA" w:rsidRPr="000355AA" w:rsidRDefault="00CD0C82" w:rsidP="00CD0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CD0C82">
              <w:rPr>
                <w:sz w:val="16"/>
                <w:szCs w:val="16"/>
              </w:rPr>
              <w:t>125.22</w:t>
            </w:r>
          </w:p>
        </w:tc>
        <w:tc>
          <w:tcPr>
            <w:tcW w:w="1021" w:type="dxa"/>
            <w:vAlign w:val="center"/>
          </w:tcPr>
          <w:p w14:paraId="0F094F3E" w14:textId="77777777" w:rsidR="000355AA" w:rsidRPr="00CD0C82" w:rsidRDefault="00CD0C82" w:rsidP="00CD0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CD0C82">
              <w:rPr>
                <w:sz w:val="16"/>
                <w:szCs w:val="16"/>
              </w:rPr>
              <w:t>66,116.16</w:t>
            </w:r>
          </w:p>
        </w:tc>
      </w:tr>
      <w:tr w:rsidR="00CD0C82" w:rsidRPr="00DC46A6" w14:paraId="07A3B09C" w14:textId="77777777" w:rsidTr="00CD0C82">
        <w:trPr>
          <w:jc w:val="center"/>
        </w:trPr>
        <w:tc>
          <w:tcPr>
            <w:tcW w:w="1160" w:type="dxa"/>
          </w:tcPr>
          <w:p w14:paraId="53380BFE" w14:textId="77777777" w:rsidR="00CD0C82" w:rsidRPr="00EB46A6" w:rsidRDefault="00CD0C82" w:rsidP="000C307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Cost Report </w:t>
            </w:r>
            <w:r>
              <w:rPr>
                <w:sz w:val="16"/>
                <w:szCs w:val="16"/>
              </w:rPr>
              <w:lastRenderedPageBreak/>
              <w:t>(State) PPS-2</w:t>
            </w:r>
          </w:p>
        </w:tc>
        <w:tc>
          <w:tcPr>
            <w:tcW w:w="1095" w:type="dxa"/>
            <w:vMerge/>
            <w:vAlign w:val="center"/>
          </w:tcPr>
          <w:p w14:paraId="2830EB36" w14:textId="77777777" w:rsidR="00CD0C82" w:rsidRPr="006A554A" w:rsidRDefault="00CD0C82" w:rsidP="006A554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1155" w:type="dxa"/>
            <w:vAlign w:val="center"/>
          </w:tcPr>
          <w:p w14:paraId="77BC4B95" w14:textId="77777777" w:rsidR="00CD0C82" w:rsidRPr="006A554A" w:rsidRDefault="00CD0C82" w:rsidP="006A554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6A554A">
              <w:rPr>
                <w:sz w:val="16"/>
                <w:szCs w:val="16"/>
              </w:rPr>
              <w:t>24</w:t>
            </w:r>
          </w:p>
        </w:tc>
        <w:tc>
          <w:tcPr>
            <w:tcW w:w="1075" w:type="dxa"/>
            <w:vAlign w:val="center"/>
          </w:tcPr>
          <w:p w14:paraId="0DAC9296" w14:textId="77777777" w:rsidR="00CD0C82" w:rsidRPr="000355AA" w:rsidRDefault="00CD0C82" w:rsidP="000355A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0355AA">
              <w:rPr>
                <w:sz w:val="16"/>
                <w:szCs w:val="16"/>
              </w:rPr>
              <w:t>44</w:t>
            </w:r>
          </w:p>
        </w:tc>
        <w:tc>
          <w:tcPr>
            <w:tcW w:w="1015" w:type="dxa"/>
            <w:vAlign w:val="center"/>
          </w:tcPr>
          <w:p w14:paraId="308036EC" w14:textId="77777777" w:rsidR="00CD0C82" w:rsidRPr="000355AA" w:rsidRDefault="00CD0C82" w:rsidP="000355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0355AA">
              <w:rPr>
                <w:sz w:val="16"/>
                <w:szCs w:val="16"/>
              </w:rPr>
              <w:t>1,056</w:t>
            </w:r>
          </w:p>
        </w:tc>
        <w:tc>
          <w:tcPr>
            <w:tcW w:w="1176" w:type="dxa"/>
            <w:vAlign w:val="center"/>
          </w:tcPr>
          <w:p w14:paraId="41C7B894" w14:textId="77777777" w:rsidR="00CD0C82" w:rsidRPr="000355AA" w:rsidRDefault="00CD0C82" w:rsidP="00CD0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CD0C82">
              <w:rPr>
                <w:sz w:val="16"/>
                <w:szCs w:val="16"/>
              </w:rPr>
              <w:t>125.22</w:t>
            </w:r>
          </w:p>
        </w:tc>
        <w:tc>
          <w:tcPr>
            <w:tcW w:w="1021" w:type="dxa"/>
            <w:vAlign w:val="center"/>
          </w:tcPr>
          <w:p w14:paraId="2600CC20" w14:textId="77777777" w:rsidR="00CD0C82" w:rsidRPr="00CD0C82" w:rsidRDefault="00CD0C82" w:rsidP="00CD0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CD0C82">
              <w:rPr>
                <w:sz w:val="16"/>
                <w:szCs w:val="16"/>
              </w:rPr>
              <w:t>132,232.32</w:t>
            </w:r>
          </w:p>
        </w:tc>
      </w:tr>
      <w:tr w:rsidR="00CD0C82" w:rsidRPr="00DC46A6" w14:paraId="0C2A8AE8" w14:textId="77777777" w:rsidTr="00E73F53">
        <w:trPr>
          <w:jc w:val="center"/>
        </w:trPr>
        <w:tc>
          <w:tcPr>
            <w:tcW w:w="1160" w:type="dxa"/>
            <w:vAlign w:val="center"/>
          </w:tcPr>
          <w:p w14:paraId="2DBB0101" w14:textId="77777777" w:rsidR="00CD0C82" w:rsidRPr="00A344A8" w:rsidRDefault="00CD0C82" w:rsidP="00E73F5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16"/>
                <w:szCs w:val="16"/>
              </w:rPr>
            </w:pPr>
            <w:r w:rsidRPr="00A344A8">
              <w:rPr>
                <w:i/>
                <w:sz w:val="16"/>
                <w:szCs w:val="16"/>
              </w:rPr>
              <w:lastRenderedPageBreak/>
              <w:t>Subtotal</w:t>
            </w:r>
          </w:p>
        </w:tc>
        <w:tc>
          <w:tcPr>
            <w:tcW w:w="1095" w:type="dxa"/>
            <w:vAlign w:val="center"/>
          </w:tcPr>
          <w:p w14:paraId="7A223CE8" w14:textId="77777777" w:rsidR="00CD0C82" w:rsidRPr="00A344A8" w:rsidRDefault="00792B10"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i/>
                <w:sz w:val="16"/>
                <w:szCs w:val="16"/>
              </w:rPr>
            </w:pPr>
            <w:r>
              <w:rPr>
                <w:i/>
                <w:sz w:val="16"/>
                <w:szCs w:val="16"/>
              </w:rPr>
              <w:t>72</w:t>
            </w:r>
          </w:p>
        </w:tc>
        <w:tc>
          <w:tcPr>
            <w:tcW w:w="1155" w:type="dxa"/>
            <w:vAlign w:val="center"/>
          </w:tcPr>
          <w:p w14:paraId="0E877D4E" w14:textId="77777777" w:rsidR="00CD0C82" w:rsidRPr="00A344A8" w:rsidRDefault="00792B10"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i/>
                <w:sz w:val="16"/>
                <w:szCs w:val="16"/>
              </w:rPr>
            </w:pPr>
            <w:r>
              <w:rPr>
                <w:i/>
                <w:sz w:val="16"/>
                <w:szCs w:val="16"/>
              </w:rPr>
              <w:t>96</w:t>
            </w:r>
          </w:p>
        </w:tc>
        <w:tc>
          <w:tcPr>
            <w:tcW w:w="1075" w:type="dxa"/>
            <w:vAlign w:val="center"/>
          </w:tcPr>
          <w:p w14:paraId="7EDED7E6" w14:textId="77777777" w:rsidR="00CD0C82" w:rsidRPr="00A344A8" w:rsidRDefault="00792B10"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i/>
                <w:sz w:val="16"/>
                <w:szCs w:val="16"/>
              </w:rPr>
            </w:pPr>
            <w:r>
              <w:rPr>
                <w:i/>
                <w:sz w:val="16"/>
                <w:szCs w:val="16"/>
              </w:rPr>
              <w:t>--</w:t>
            </w:r>
          </w:p>
        </w:tc>
        <w:tc>
          <w:tcPr>
            <w:tcW w:w="1015" w:type="dxa"/>
            <w:vAlign w:val="center"/>
          </w:tcPr>
          <w:p w14:paraId="460D8618" w14:textId="77777777" w:rsidR="00CD0C82" w:rsidRPr="00792B10" w:rsidRDefault="00D87F42" w:rsidP="00E73F5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 w:val="16"/>
                <w:szCs w:val="16"/>
              </w:rPr>
            </w:pPr>
            <w:r w:rsidRPr="00792B10">
              <w:rPr>
                <w:i/>
                <w:sz w:val="16"/>
                <w:szCs w:val="16"/>
              </w:rPr>
              <w:t>5,639.76</w:t>
            </w:r>
          </w:p>
        </w:tc>
        <w:tc>
          <w:tcPr>
            <w:tcW w:w="1176" w:type="dxa"/>
            <w:vAlign w:val="center"/>
          </w:tcPr>
          <w:p w14:paraId="0FDE2428" w14:textId="77777777" w:rsidR="00CD0C82" w:rsidRPr="00792B10" w:rsidRDefault="00D87F42"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i/>
                <w:sz w:val="16"/>
                <w:szCs w:val="16"/>
              </w:rPr>
            </w:pPr>
            <w:r w:rsidRPr="00792B10">
              <w:rPr>
                <w:i/>
                <w:sz w:val="16"/>
                <w:szCs w:val="16"/>
              </w:rPr>
              <w:t>Varies</w:t>
            </w:r>
          </w:p>
        </w:tc>
        <w:tc>
          <w:tcPr>
            <w:tcW w:w="1021" w:type="dxa"/>
            <w:vAlign w:val="center"/>
          </w:tcPr>
          <w:p w14:paraId="581DD96A" w14:textId="77777777" w:rsidR="00CD0C82" w:rsidRPr="00792B10" w:rsidRDefault="00792B10"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i/>
                <w:sz w:val="16"/>
                <w:szCs w:val="16"/>
              </w:rPr>
            </w:pPr>
            <w:r w:rsidRPr="00792B10">
              <w:rPr>
                <w:i/>
                <w:sz w:val="16"/>
                <w:szCs w:val="16"/>
              </w:rPr>
              <w:t>500,478.72</w:t>
            </w:r>
          </w:p>
        </w:tc>
      </w:tr>
      <w:tr w:rsidR="00CD0C82" w:rsidRPr="00E73F53" w14:paraId="2C73A165" w14:textId="77777777" w:rsidTr="00E272B3">
        <w:trPr>
          <w:jc w:val="center"/>
        </w:trPr>
        <w:tc>
          <w:tcPr>
            <w:tcW w:w="1160" w:type="dxa"/>
            <w:tcBorders>
              <w:bottom w:val="single" w:sz="4" w:space="0" w:color="auto"/>
            </w:tcBorders>
            <w:vAlign w:val="center"/>
          </w:tcPr>
          <w:p w14:paraId="571FA020" w14:textId="77777777" w:rsidR="00CD0C82" w:rsidRPr="00E73F53" w:rsidRDefault="00CD0C82" w:rsidP="00E73F5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16"/>
              </w:rPr>
            </w:pPr>
            <w:r w:rsidRPr="00E73F53">
              <w:rPr>
                <w:sz w:val="16"/>
                <w:szCs w:val="16"/>
              </w:rPr>
              <w:t>Application</w:t>
            </w:r>
          </w:p>
        </w:tc>
        <w:tc>
          <w:tcPr>
            <w:tcW w:w="1095" w:type="dxa"/>
            <w:tcBorders>
              <w:bottom w:val="single" w:sz="4" w:space="0" w:color="auto"/>
            </w:tcBorders>
            <w:vAlign w:val="center"/>
          </w:tcPr>
          <w:p w14:paraId="734ECE27" w14:textId="77777777" w:rsidR="00CD0C82" w:rsidRPr="00E73F53" w:rsidRDefault="00F0298D"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73F53">
              <w:rPr>
                <w:sz w:val="16"/>
                <w:szCs w:val="16"/>
              </w:rPr>
              <w:t>25</w:t>
            </w:r>
          </w:p>
        </w:tc>
        <w:tc>
          <w:tcPr>
            <w:tcW w:w="1155" w:type="dxa"/>
            <w:tcBorders>
              <w:bottom w:val="single" w:sz="4" w:space="0" w:color="auto"/>
            </w:tcBorders>
            <w:vAlign w:val="center"/>
          </w:tcPr>
          <w:p w14:paraId="3147A8E7" w14:textId="77777777" w:rsidR="00CD0C82" w:rsidRPr="00E73F53" w:rsidRDefault="00F0298D"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73F53">
              <w:rPr>
                <w:sz w:val="16"/>
                <w:szCs w:val="16"/>
              </w:rPr>
              <w:t>25</w:t>
            </w:r>
          </w:p>
        </w:tc>
        <w:tc>
          <w:tcPr>
            <w:tcW w:w="1075" w:type="dxa"/>
            <w:tcBorders>
              <w:bottom w:val="single" w:sz="4" w:space="0" w:color="auto"/>
            </w:tcBorders>
            <w:vAlign w:val="center"/>
          </w:tcPr>
          <w:p w14:paraId="25276DC7" w14:textId="77777777" w:rsidR="00CD0C82" w:rsidRPr="00E73F53" w:rsidRDefault="00F0298D"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73F53">
              <w:rPr>
                <w:sz w:val="16"/>
                <w:szCs w:val="16"/>
              </w:rPr>
              <w:t>74</w:t>
            </w:r>
          </w:p>
        </w:tc>
        <w:tc>
          <w:tcPr>
            <w:tcW w:w="1015" w:type="dxa"/>
            <w:tcBorders>
              <w:bottom w:val="single" w:sz="4" w:space="0" w:color="auto"/>
            </w:tcBorders>
            <w:vAlign w:val="center"/>
          </w:tcPr>
          <w:p w14:paraId="74AB262F" w14:textId="77777777" w:rsidR="00CD0C82" w:rsidRPr="00E73F53" w:rsidRDefault="00F0298D" w:rsidP="00E73F5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73F53">
              <w:rPr>
                <w:sz w:val="16"/>
                <w:szCs w:val="16"/>
              </w:rPr>
              <w:t>1,850</w:t>
            </w:r>
          </w:p>
        </w:tc>
        <w:tc>
          <w:tcPr>
            <w:tcW w:w="1176" w:type="dxa"/>
            <w:tcBorders>
              <w:bottom w:val="single" w:sz="4" w:space="0" w:color="auto"/>
            </w:tcBorders>
            <w:vAlign w:val="center"/>
          </w:tcPr>
          <w:p w14:paraId="64E4D06F" w14:textId="77777777" w:rsidR="00CD0C82" w:rsidRPr="00E73F53" w:rsidRDefault="007145E0"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73F53">
              <w:rPr>
                <w:sz w:val="16"/>
                <w:szCs w:val="16"/>
              </w:rPr>
              <w:t>Varies (see Table 2)</w:t>
            </w:r>
          </w:p>
        </w:tc>
        <w:tc>
          <w:tcPr>
            <w:tcW w:w="1021" w:type="dxa"/>
            <w:tcBorders>
              <w:bottom w:val="single" w:sz="4" w:space="0" w:color="auto"/>
            </w:tcBorders>
            <w:vAlign w:val="center"/>
          </w:tcPr>
          <w:p w14:paraId="391D19CD" w14:textId="77777777" w:rsidR="00CD0C82" w:rsidRPr="00E73F53" w:rsidRDefault="00E73F53" w:rsidP="00E73F5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73F53">
              <w:rPr>
                <w:sz w:val="16"/>
                <w:szCs w:val="16"/>
              </w:rPr>
              <w:t>6,468.10</w:t>
            </w:r>
          </w:p>
        </w:tc>
      </w:tr>
      <w:tr w:rsidR="00CD0C82" w:rsidRPr="00E272B3" w14:paraId="4211D02C" w14:textId="77777777" w:rsidTr="00E272B3">
        <w:trPr>
          <w:jc w:val="center"/>
        </w:trPr>
        <w:tc>
          <w:tcPr>
            <w:tcW w:w="1160" w:type="dxa"/>
            <w:shd w:val="clear" w:color="auto" w:fill="EEECE1" w:themeFill="background2"/>
            <w:vAlign w:val="center"/>
          </w:tcPr>
          <w:p w14:paraId="6B0363F3" w14:textId="77777777" w:rsidR="00CD0C82" w:rsidRPr="00E272B3" w:rsidRDefault="00CD0C82" w:rsidP="00E272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16"/>
              </w:rPr>
            </w:pPr>
            <w:r w:rsidRPr="00E272B3">
              <w:rPr>
                <w:b/>
                <w:sz w:val="16"/>
                <w:szCs w:val="16"/>
              </w:rPr>
              <w:t>Total</w:t>
            </w:r>
          </w:p>
        </w:tc>
        <w:tc>
          <w:tcPr>
            <w:tcW w:w="1095" w:type="dxa"/>
            <w:shd w:val="clear" w:color="auto" w:fill="EEECE1" w:themeFill="background2"/>
            <w:vAlign w:val="center"/>
          </w:tcPr>
          <w:p w14:paraId="7C1E4D52" w14:textId="77777777" w:rsidR="00CD0C82" w:rsidRPr="00E272B3" w:rsidRDefault="000D334F" w:rsidP="00E272B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272B3">
              <w:rPr>
                <w:b/>
                <w:sz w:val="16"/>
                <w:szCs w:val="16"/>
              </w:rPr>
              <w:t>97</w:t>
            </w:r>
          </w:p>
        </w:tc>
        <w:tc>
          <w:tcPr>
            <w:tcW w:w="1155" w:type="dxa"/>
            <w:shd w:val="clear" w:color="auto" w:fill="EEECE1" w:themeFill="background2"/>
            <w:vAlign w:val="center"/>
          </w:tcPr>
          <w:p w14:paraId="3189404C" w14:textId="77777777" w:rsidR="00CD0C82" w:rsidRPr="00E272B3" w:rsidRDefault="000D334F" w:rsidP="00E272B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272B3">
              <w:rPr>
                <w:b/>
                <w:sz w:val="16"/>
                <w:szCs w:val="16"/>
              </w:rPr>
              <w:t>121</w:t>
            </w:r>
          </w:p>
        </w:tc>
        <w:tc>
          <w:tcPr>
            <w:tcW w:w="1075" w:type="dxa"/>
            <w:shd w:val="clear" w:color="auto" w:fill="EEECE1" w:themeFill="background2"/>
            <w:vAlign w:val="center"/>
          </w:tcPr>
          <w:p w14:paraId="797460AC" w14:textId="77777777" w:rsidR="00CD0C82" w:rsidRPr="00E272B3" w:rsidRDefault="00CD0C82" w:rsidP="00E272B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272B3">
              <w:rPr>
                <w:b/>
                <w:sz w:val="16"/>
                <w:szCs w:val="16"/>
              </w:rPr>
              <w:t>--</w:t>
            </w:r>
          </w:p>
        </w:tc>
        <w:tc>
          <w:tcPr>
            <w:tcW w:w="1015" w:type="dxa"/>
            <w:shd w:val="clear" w:color="auto" w:fill="EEECE1" w:themeFill="background2"/>
            <w:vAlign w:val="center"/>
          </w:tcPr>
          <w:p w14:paraId="00ADA81D" w14:textId="77777777" w:rsidR="00CD0C82" w:rsidRPr="00E272B3" w:rsidRDefault="00E272B3" w:rsidP="00E272B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E272B3">
              <w:rPr>
                <w:b/>
                <w:sz w:val="16"/>
                <w:szCs w:val="16"/>
              </w:rPr>
              <w:t>7,489.76</w:t>
            </w:r>
          </w:p>
        </w:tc>
        <w:tc>
          <w:tcPr>
            <w:tcW w:w="1176" w:type="dxa"/>
            <w:shd w:val="clear" w:color="auto" w:fill="EEECE1" w:themeFill="background2"/>
            <w:vAlign w:val="center"/>
          </w:tcPr>
          <w:p w14:paraId="21171D4E" w14:textId="77777777" w:rsidR="00CD0C82" w:rsidRPr="00E272B3" w:rsidRDefault="00E272B3" w:rsidP="00E272B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272B3">
              <w:rPr>
                <w:b/>
                <w:sz w:val="16"/>
                <w:szCs w:val="16"/>
              </w:rPr>
              <w:t>--</w:t>
            </w:r>
          </w:p>
        </w:tc>
        <w:tc>
          <w:tcPr>
            <w:tcW w:w="1021" w:type="dxa"/>
            <w:shd w:val="clear" w:color="auto" w:fill="EEECE1" w:themeFill="background2"/>
            <w:vAlign w:val="center"/>
          </w:tcPr>
          <w:p w14:paraId="0ECBF8BB" w14:textId="77777777" w:rsidR="00CD0C82" w:rsidRPr="00E272B3" w:rsidRDefault="00E272B3" w:rsidP="00E272B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272B3">
              <w:rPr>
                <w:b/>
                <w:sz w:val="16"/>
                <w:szCs w:val="16"/>
              </w:rPr>
              <w:t>506,946.82</w:t>
            </w:r>
          </w:p>
        </w:tc>
      </w:tr>
    </w:tbl>
    <w:p w14:paraId="406C0CF3" w14:textId="77777777" w:rsidR="006158F2" w:rsidRPr="005012D4" w:rsidRDefault="006158F2" w:rsidP="005012D4">
      <w:pPr>
        <w:spacing w:after="0" w:line="240" w:lineRule="auto"/>
        <w:rPr>
          <w:rFonts w:eastAsia="Calibri" w:cs="Times New Roman"/>
          <w:szCs w:val="24"/>
        </w:rPr>
      </w:pPr>
    </w:p>
    <w:p w14:paraId="0C39AA16" w14:textId="77777777" w:rsidR="007D6E75" w:rsidRDefault="007D6E75" w:rsidP="00016E13">
      <w:pPr>
        <w:pStyle w:val="Heading1"/>
      </w:pPr>
      <w:r w:rsidRPr="002E2118">
        <w:t>E. Timeline</w:t>
      </w:r>
    </w:p>
    <w:p w14:paraId="25E3D5B9" w14:textId="77777777" w:rsidR="003D326F" w:rsidRDefault="003D326F" w:rsidP="008E6E34">
      <w:pPr>
        <w:spacing w:after="0" w:line="240" w:lineRule="auto"/>
        <w:rPr>
          <w:rFonts w:cs="Times New Roman"/>
          <w:szCs w:val="24"/>
        </w:rPr>
      </w:pPr>
    </w:p>
    <w:p w14:paraId="7E27B695" w14:textId="3B8F3E52" w:rsidR="00540110" w:rsidRDefault="003D326F" w:rsidP="002D1AF9">
      <w:pPr>
        <w:spacing w:after="0" w:line="240" w:lineRule="auto"/>
      </w:pPr>
      <w:r w:rsidRPr="00315427">
        <w:rPr>
          <w:rFonts w:cs="Times New Roman"/>
          <w:szCs w:val="24"/>
        </w:rPr>
        <w:t xml:space="preserve">As </w:t>
      </w:r>
      <w:r w:rsidR="009D434E">
        <w:rPr>
          <w:rFonts w:cs="Times New Roman"/>
          <w:szCs w:val="24"/>
        </w:rPr>
        <w:t>explained below</w:t>
      </w:r>
      <w:r w:rsidRPr="00315427">
        <w:rPr>
          <w:rFonts w:cs="Times New Roman"/>
          <w:szCs w:val="24"/>
        </w:rPr>
        <w:t xml:space="preserve">, we request </w:t>
      </w:r>
      <w:r w:rsidRPr="00315427">
        <w:rPr>
          <w:rFonts w:cs="Times New Roman"/>
          <w:szCs w:val="24"/>
        </w:rPr>
        <w:t>approval on</w:t>
      </w:r>
      <w:r w:rsidRPr="00315427">
        <w:rPr>
          <w:rFonts w:cs="Times New Roman"/>
          <w:szCs w:val="24"/>
        </w:rPr>
        <w:t>/by December 14, 2015</w:t>
      </w:r>
      <w:r w:rsidR="00315427" w:rsidRPr="00315427">
        <w:rPr>
          <w:rFonts w:cs="Times New Roman"/>
          <w:szCs w:val="24"/>
        </w:rPr>
        <w:t xml:space="preserve">. </w:t>
      </w:r>
      <w:r w:rsidR="002D1AF9" w:rsidRPr="00315427">
        <w:t xml:space="preserve">Completion of the </w:t>
      </w:r>
      <w:r w:rsidR="002D1AF9" w:rsidRPr="00315427">
        <w:rPr>
          <w:b/>
        </w:rPr>
        <w:t>cost report</w:t>
      </w:r>
      <w:r w:rsidR="002D1AF9" w:rsidRPr="00315427">
        <w:t xml:space="preserve"> by clinics entails reporting new types of data not previously made available to states; therefore, clinics will need as much time as possible to gather and report cost and visit data.</w:t>
      </w:r>
    </w:p>
    <w:p w14:paraId="5B6675E8" w14:textId="77777777" w:rsidR="00540110" w:rsidRDefault="00540110" w:rsidP="002D1AF9">
      <w:pPr>
        <w:spacing w:after="0" w:line="240" w:lineRule="auto"/>
      </w:pPr>
    </w:p>
    <w:p w14:paraId="46D8E5EF" w14:textId="3C10973F" w:rsidR="00540110" w:rsidRDefault="00540110" w:rsidP="008E6E34">
      <w:pPr>
        <w:spacing w:after="0" w:line="240" w:lineRule="auto"/>
        <w:rPr>
          <w:rFonts w:cs="Times New Roman"/>
          <w:szCs w:val="24"/>
        </w:rPr>
      </w:pPr>
      <w:r>
        <w:t>S</w:t>
      </w:r>
      <w:r w:rsidR="002D1AF9" w:rsidRPr="00315427">
        <w:t xml:space="preserve">tates will </w:t>
      </w:r>
      <w:r>
        <w:t xml:space="preserve">also </w:t>
      </w:r>
      <w:r w:rsidR="002D1AF9" w:rsidRPr="00315427">
        <w:t>require sufficient time to review each cost report for the purpose of setting clinic specific rates</w:t>
      </w:r>
      <w:r w:rsidR="00315427" w:rsidRPr="00315427">
        <w:t xml:space="preserve"> </w:t>
      </w:r>
      <w:r w:rsidR="00315427" w:rsidRPr="00315427">
        <w:t>that will be paid under this 2-year demonstration</w:t>
      </w:r>
      <w:r w:rsidR="00315427" w:rsidRPr="00315427">
        <w:t>.</w:t>
      </w:r>
      <w:r>
        <w:t xml:space="preserve"> </w:t>
      </w:r>
      <w:r>
        <w:rPr>
          <w:rFonts w:cs="Times New Roman"/>
          <w:szCs w:val="24"/>
        </w:rPr>
        <w:t>T</w:t>
      </w:r>
      <w:r w:rsidR="008E6E34">
        <w:rPr>
          <w:rFonts w:cs="Times New Roman"/>
          <w:szCs w:val="24"/>
        </w:rPr>
        <w:t>h</w:t>
      </w:r>
      <w:r>
        <w:rPr>
          <w:rFonts w:cs="Times New Roman"/>
          <w:szCs w:val="24"/>
        </w:rPr>
        <w:t>e cost report from must be made a</w:t>
      </w:r>
      <w:r w:rsidR="008E6E34">
        <w:rPr>
          <w:rFonts w:cs="Times New Roman"/>
          <w:szCs w:val="24"/>
        </w:rPr>
        <w:t xml:space="preserve">vailable to states as soon as possible during the planning phase to </w:t>
      </w:r>
      <w:r>
        <w:rPr>
          <w:rFonts w:cs="Times New Roman"/>
          <w:szCs w:val="24"/>
        </w:rPr>
        <w:t xml:space="preserve">provide </w:t>
      </w:r>
      <w:r w:rsidR="008E6E34">
        <w:rPr>
          <w:rFonts w:cs="Times New Roman"/>
          <w:szCs w:val="24"/>
        </w:rPr>
        <w:t xml:space="preserve">them </w:t>
      </w:r>
      <w:r>
        <w:rPr>
          <w:rFonts w:cs="Times New Roman"/>
          <w:szCs w:val="24"/>
        </w:rPr>
        <w:t xml:space="preserve">with </w:t>
      </w:r>
      <w:r w:rsidR="008E6E34">
        <w:rPr>
          <w:rFonts w:cs="Times New Roman"/>
          <w:szCs w:val="24"/>
        </w:rPr>
        <w:t xml:space="preserve">sufficient time to determine </w:t>
      </w:r>
      <w:r w:rsidR="006A73DA">
        <w:rPr>
          <w:rFonts w:cs="Times New Roman"/>
          <w:szCs w:val="24"/>
        </w:rPr>
        <w:t xml:space="preserve">the </w:t>
      </w:r>
      <w:r w:rsidR="008E6E34">
        <w:rPr>
          <w:rFonts w:cs="Times New Roman"/>
          <w:szCs w:val="24"/>
        </w:rPr>
        <w:t xml:space="preserve">rates that will be in effect during the demonstration. </w:t>
      </w:r>
    </w:p>
    <w:p w14:paraId="520253B4" w14:textId="77777777" w:rsidR="00540110" w:rsidRDefault="00540110" w:rsidP="008E6E34">
      <w:pPr>
        <w:spacing w:after="0" w:line="240" w:lineRule="auto"/>
        <w:rPr>
          <w:rFonts w:cs="Times New Roman"/>
          <w:szCs w:val="24"/>
        </w:rPr>
      </w:pPr>
    </w:p>
    <w:p w14:paraId="6EF8C1B4" w14:textId="09F9DF90" w:rsidR="002D1AF9" w:rsidRDefault="008E6E34" w:rsidP="008E6E34">
      <w:pPr>
        <w:spacing w:after="0" w:line="240" w:lineRule="auto"/>
        <w:rPr>
          <w:rFonts w:cs="Times New Roman"/>
          <w:szCs w:val="24"/>
        </w:rPr>
      </w:pPr>
      <w:r>
        <w:rPr>
          <w:rFonts w:cs="Times New Roman"/>
          <w:szCs w:val="24"/>
        </w:rPr>
        <w:t>The type of information to be collected i</w:t>
      </w:r>
      <w:r w:rsidR="003D326F">
        <w:rPr>
          <w:rFonts w:cs="Times New Roman"/>
          <w:szCs w:val="24"/>
        </w:rPr>
        <w:t>s</w:t>
      </w:r>
      <w:r>
        <w:rPr>
          <w:rFonts w:cs="Times New Roman"/>
          <w:szCs w:val="24"/>
        </w:rPr>
        <w:t xml:space="preserve"> extensive and will require a considerable amount of time to complete. </w:t>
      </w:r>
    </w:p>
    <w:p w14:paraId="2D6EA259" w14:textId="77777777" w:rsidR="002D1AF9" w:rsidRDefault="002D1AF9" w:rsidP="008E6E34">
      <w:pPr>
        <w:spacing w:after="0" w:line="240" w:lineRule="auto"/>
        <w:rPr>
          <w:rFonts w:cs="Times New Roman"/>
          <w:szCs w:val="24"/>
        </w:rPr>
      </w:pPr>
    </w:p>
    <w:p w14:paraId="7BF1B154" w14:textId="44D017A4" w:rsidR="00315427" w:rsidRPr="00E47B65" w:rsidRDefault="00315427" w:rsidP="00315427">
      <w:pPr>
        <w:spacing w:after="0" w:line="240" w:lineRule="auto"/>
      </w:pPr>
      <w:r>
        <w:t xml:space="preserve">Similarly, </w:t>
      </w:r>
      <w:r>
        <w:t xml:space="preserve">CMS requires expedited review and approval of the 2-year </w:t>
      </w:r>
      <w:r w:rsidRPr="003D326F">
        <w:rPr>
          <w:b/>
        </w:rPr>
        <w:t>demonstration application</w:t>
      </w:r>
      <w:r>
        <w:t xml:space="preserve"> because of its length and complexity.  The application helps states document that they are capable of meeting the extensive statutory requirements of this demonstration. States will need as much time as possible to familiarize themselves with all of the requirements set out in this document. </w:t>
      </w:r>
    </w:p>
    <w:p w14:paraId="39C5FFC3" w14:textId="77777777" w:rsidR="00315427" w:rsidRDefault="00315427" w:rsidP="008E6E34">
      <w:pPr>
        <w:spacing w:after="0" w:line="240" w:lineRule="auto"/>
        <w:rPr>
          <w:rFonts w:cs="Times New Roman"/>
          <w:szCs w:val="24"/>
        </w:rPr>
      </w:pPr>
    </w:p>
    <w:p w14:paraId="51406DE3" w14:textId="49A430DF" w:rsidR="008E6E34" w:rsidRPr="006A73DA" w:rsidRDefault="008E6E34" w:rsidP="008E6E34">
      <w:pPr>
        <w:spacing w:after="0" w:line="240" w:lineRule="auto"/>
        <w:rPr>
          <w:rFonts w:cs="Times New Roman"/>
          <w:szCs w:val="24"/>
          <w:u w:val="single"/>
        </w:rPr>
      </w:pPr>
      <w:r w:rsidRPr="006A73DA">
        <w:rPr>
          <w:rFonts w:cs="Times New Roman"/>
          <w:szCs w:val="24"/>
          <w:u w:val="single"/>
        </w:rPr>
        <w:t xml:space="preserve">Key </w:t>
      </w:r>
      <w:r w:rsidR="002D1AF9" w:rsidRPr="006A73DA">
        <w:rPr>
          <w:rFonts w:cs="Times New Roman"/>
          <w:szCs w:val="24"/>
          <w:u w:val="single"/>
        </w:rPr>
        <w:t>A</w:t>
      </w:r>
      <w:r w:rsidRPr="006A73DA">
        <w:rPr>
          <w:rFonts w:cs="Times New Roman"/>
          <w:szCs w:val="24"/>
          <w:u w:val="single"/>
        </w:rPr>
        <w:t xml:space="preserve">ctivities and </w:t>
      </w:r>
      <w:r w:rsidR="002D1AF9" w:rsidRPr="006A73DA">
        <w:rPr>
          <w:rFonts w:cs="Times New Roman"/>
          <w:szCs w:val="24"/>
          <w:u w:val="single"/>
        </w:rPr>
        <w:t>E</w:t>
      </w:r>
      <w:r w:rsidRPr="006A73DA">
        <w:rPr>
          <w:rFonts w:cs="Times New Roman"/>
          <w:szCs w:val="24"/>
          <w:u w:val="single"/>
        </w:rPr>
        <w:t xml:space="preserve">stimated </w:t>
      </w:r>
      <w:r w:rsidR="002D1AF9" w:rsidRPr="006A73DA">
        <w:rPr>
          <w:rFonts w:cs="Times New Roman"/>
          <w:szCs w:val="24"/>
          <w:u w:val="single"/>
        </w:rPr>
        <w:t>D</w:t>
      </w:r>
      <w:r w:rsidRPr="006A73DA">
        <w:rPr>
          <w:rFonts w:cs="Times New Roman"/>
          <w:szCs w:val="24"/>
          <w:u w:val="single"/>
        </w:rPr>
        <w:t xml:space="preserve">ue </w:t>
      </w:r>
      <w:r w:rsidR="002D1AF9" w:rsidRPr="006A73DA">
        <w:rPr>
          <w:rFonts w:cs="Times New Roman"/>
          <w:szCs w:val="24"/>
          <w:u w:val="single"/>
        </w:rPr>
        <w:t>D</w:t>
      </w:r>
      <w:r w:rsidRPr="006A73DA">
        <w:rPr>
          <w:rFonts w:cs="Times New Roman"/>
          <w:szCs w:val="24"/>
          <w:u w:val="single"/>
        </w:rPr>
        <w:t>ates</w:t>
      </w:r>
    </w:p>
    <w:p w14:paraId="2FC47728" w14:textId="77777777" w:rsidR="006B5DD0" w:rsidRPr="002D1AF9" w:rsidRDefault="006B5DD0" w:rsidP="006B5DD0">
      <w:pPr>
        <w:spacing w:after="0" w:line="240" w:lineRule="auto"/>
        <w:rPr>
          <w:rFonts w:cs="Times New Roman"/>
          <w:szCs w:val="24"/>
        </w:rPr>
      </w:pPr>
    </w:p>
    <w:p w14:paraId="1F1BFD45" w14:textId="3F84F5F6" w:rsidR="00E47B65" w:rsidRPr="002D1AF9" w:rsidRDefault="00E47B65" w:rsidP="006B5DD0">
      <w:pPr>
        <w:spacing w:after="0" w:line="240" w:lineRule="auto"/>
        <w:rPr>
          <w:rFonts w:cs="Times New Roman"/>
          <w:szCs w:val="24"/>
        </w:rPr>
      </w:pPr>
      <w:r w:rsidRPr="002D1AF9">
        <w:rPr>
          <w:rFonts w:cs="Times New Roman"/>
          <w:szCs w:val="24"/>
        </w:rPr>
        <w:t>Sept 14, 2015</w:t>
      </w:r>
      <w:r w:rsidR="003E2F86" w:rsidRPr="002D1AF9">
        <w:rPr>
          <w:rFonts w:cs="Times New Roman"/>
          <w:szCs w:val="24"/>
        </w:rPr>
        <w:tab/>
      </w:r>
      <w:r w:rsidR="003E2F86" w:rsidRPr="002D1AF9">
        <w:rPr>
          <w:rFonts w:cs="Times New Roman"/>
          <w:szCs w:val="24"/>
        </w:rPr>
        <w:tab/>
        <w:t xml:space="preserve">Publish 30-day </w:t>
      </w:r>
      <w:r w:rsidR="005A318E" w:rsidRPr="002D1AF9">
        <w:rPr>
          <w:rFonts w:cs="Times New Roman"/>
          <w:szCs w:val="24"/>
        </w:rPr>
        <w:t xml:space="preserve">FR </w:t>
      </w:r>
      <w:r w:rsidRPr="002D1AF9">
        <w:rPr>
          <w:rFonts w:cs="Times New Roman"/>
          <w:szCs w:val="24"/>
        </w:rPr>
        <w:t>Notice</w:t>
      </w:r>
      <w:r w:rsidR="003E2F86" w:rsidRPr="002D1AF9">
        <w:t xml:space="preserve"> (cost report only)</w:t>
      </w:r>
    </w:p>
    <w:p w14:paraId="0FCFFB57" w14:textId="11A7C175" w:rsidR="006B5DD0" w:rsidRPr="00315427" w:rsidRDefault="006B5DD0" w:rsidP="006B5DD0">
      <w:pPr>
        <w:spacing w:after="0" w:line="240" w:lineRule="auto"/>
        <w:rPr>
          <w:rFonts w:cs="Times New Roman"/>
          <w:szCs w:val="24"/>
        </w:rPr>
      </w:pPr>
      <w:r w:rsidRPr="00315427">
        <w:rPr>
          <w:rFonts w:cs="Times New Roman"/>
          <w:szCs w:val="24"/>
        </w:rPr>
        <w:t>Dec 14, 2015</w:t>
      </w:r>
      <w:r w:rsidR="003E2F86" w:rsidRPr="00315427">
        <w:rPr>
          <w:rFonts w:cs="Times New Roman"/>
          <w:szCs w:val="24"/>
        </w:rPr>
        <w:tab/>
      </w:r>
      <w:r w:rsidR="003E2F86" w:rsidRPr="00315427">
        <w:rPr>
          <w:rFonts w:cs="Times New Roman"/>
          <w:szCs w:val="24"/>
        </w:rPr>
        <w:tab/>
        <w:t xml:space="preserve">Formal </w:t>
      </w:r>
      <w:r w:rsidRPr="00315427">
        <w:rPr>
          <w:rFonts w:cs="Times New Roman"/>
          <w:szCs w:val="24"/>
        </w:rPr>
        <w:t xml:space="preserve">OMB </w:t>
      </w:r>
      <w:r w:rsidR="003E2F86" w:rsidRPr="00315427">
        <w:rPr>
          <w:rFonts w:cs="Times New Roman"/>
          <w:szCs w:val="24"/>
        </w:rPr>
        <w:t>a</w:t>
      </w:r>
      <w:r w:rsidRPr="00315427">
        <w:rPr>
          <w:rFonts w:cs="Times New Roman"/>
          <w:szCs w:val="24"/>
        </w:rPr>
        <w:t>pprov</w:t>
      </w:r>
      <w:r w:rsidR="003E2F86" w:rsidRPr="00315427">
        <w:rPr>
          <w:rFonts w:cs="Times New Roman"/>
          <w:szCs w:val="24"/>
        </w:rPr>
        <w:t>al</w:t>
      </w:r>
    </w:p>
    <w:p w14:paraId="45819E72" w14:textId="35D91E49" w:rsidR="00FE0D9C" w:rsidRPr="002D1AF9" w:rsidRDefault="006B5DD0" w:rsidP="008E6E34">
      <w:pPr>
        <w:spacing w:after="0" w:line="240" w:lineRule="auto"/>
        <w:rPr>
          <w:rFonts w:cs="Times New Roman"/>
          <w:szCs w:val="24"/>
        </w:rPr>
      </w:pPr>
      <w:r w:rsidRPr="002D1AF9">
        <w:rPr>
          <w:rFonts w:cs="Times New Roman"/>
          <w:szCs w:val="24"/>
        </w:rPr>
        <w:t>Jan (</w:t>
      </w:r>
      <w:r w:rsidR="003E2F86" w:rsidRPr="002D1AF9">
        <w:rPr>
          <w:rFonts w:cs="Times New Roman"/>
          <w:szCs w:val="24"/>
        </w:rPr>
        <w:t>early</w:t>
      </w:r>
      <w:r w:rsidRPr="002D1AF9">
        <w:rPr>
          <w:rFonts w:cs="Times New Roman"/>
          <w:szCs w:val="24"/>
        </w:rPr>
        <w:t>)</w:t>
      </w:r>
      <w:r w:rsidR="008E6E34" w:rsidRPr="002D1AF9">
        <w:rPr>
          <w:rFonts w:cs="Times New Roman"/>
          <w:szCs w:val="24"/>
        </w:rPr>
        <w:t xml:space="preserve"> 201</w:t>
      </w:r>
      <w:r w:rsidRPr="002D1AF9">
        <w:rPr>
          <w:rFonts w:cs="Times New Roman"/>
          <w:szCs w:val="24"/>
        </w:rPr>
        <w:t>6</w:t>
      </w:r>
      <w:r w:rsidR="003E2F86" w:rsidRPr="002D1AF9">
        <w:rPr>
          <w:rFonts w:cs="Times New Roman"/>
          <w:szCs w:val="24"/>
        </w:rPr>
        <w:tab/>
      </w:r>
      <w:r w:rsidR="008E6E34" w:rsidRPr="002D1AF9">
        <w:rPr>
          <w:rFonts w:cs="Times New Roman"/>
          <w:szCs w:val="24"/>
        </w:rPr>
        <w:t xml:space="preserve">CMS </w:t>
      </w:r>
      <w:r w:rsidRPr="002D1AF9">
        <w:rPr>
          <w:rFonts w:cs="Times New Roman"/>
          <w:szCs w:val="24"/>
        </w:rPr>
        <w:t>holds two technical assistance webinars for states on the CMS</w:t>
      </w:r>
    </w:p>
    <w:p w14:paraId="38E9DFB8" w14:textId="6E9EB37F" w:rsidR="008E6E34" w:rsidRPr="002D1AF9" w:rsidRDefault="006B5DD0" w:rsidP="007D5D74">
      <w:pPr>
        <w:spacing w:after="0" w:line="240" w:lineRule="auto"/>
        <w:ind w:left="1440" w:firstLine="720"/>
        <w:rPr>
          <w:rFonts w:cs="Times New Roman"/>
          <w:szCs w:val="24"/>
        </w:rPr>
      </w:pPr>
      <w:r w:rsidRPr="002D1AF9">
        <w:rPr>
          <w:rFonts w:cs="Times New Roman"/>
          <w:szCs w:val="24"/>
        </w:rPr>
        <w:t>CCBHC cost report</w:t>
      </w:r>
    </w:p>
    <w:p w14:paraId="7F3868A3" w14:textId="6BDD9ED2" w:rsidR="008E6E34" w:rsidRPr="002D1AF9" w:rsidRDefault="006B5DD0" w:rsidP="008E6E34">
      <w:pPr>
        <w:spacing w:after="0" w:line="240" w:lineRule="auto"/>
        <w:rPr>
          <w:rFonts w:cs="Times New Roman"/>
          <w:szCs w:val="24"/>
        </w:rPr>
      </w:pPr>
      <w:r w:rsidRPr="002D1AF9">
        <w:rPr>
          <w:rFonts w:cs="Times New Roman"/>
          <w:szCs w:val="24"/>
        </w:rPr>
        <w:t xml:space="preserve">Jan </w:t>
      </w:r>
      <w:r w:rsidR="008E6E34" w:rsidRPr="002D1AF9">
        <w:rPr>
          <w:rFonts w:cs="Times New Roman"/>
          <w:szCs w:val="24"/>
        </w:rPr>
        <w:t>201</w:t>
      </w:r>
      <w:r w:rsidRPr="002D1AF9">
        <w:rPr>
          <w:rFonts w:cs="Times New Roman"/>
          <w:szCs w:val="24"/>
        </w:rPr>
        <w:t>6</w:t>
      </w:r>
      <w:r w:rsidR="003E2F86" w:rsidRPr="002D1AF9">
        <w:rPr>
          <w:rFonts w:cs="Times New Roman"/>
          <w:szCs w:val="24"/>
        </w:rPr>
        <w:tab/>
      </w:r>
      <w:r w:rsidR="003E2F86" w:rsidRPr="002D1AF9">
        <w:rPr>
          <w:rFonts w:cs="Times New Roman"/>
          <w:szCs w:val="24"/>
        </w:rPr>
        <w:tab/>
      </w:r>
      <w:r w:rsidR="008E6E34" w:rsidRPr="002D1AF9">
        <w:rPr>
          <w:rFonts w:cs="Times New Roman"/>
          <w:szCs w:val="24"/>
        </w:rPr>
        <w:t xml:space="preserve">States begin using cost report to plan PPS </w:t>
      </w:r>
    </w:p>
    <w:p w14:paraId="32132A67" w14:textId="42293744" w:rsidR="008E6E34" w:rsidRPr="002D1AF9" w:rsidRDefault="008E6E34" w:rsidP="008E6E34">
      <w:pPr>
        <w:spacing w:after="0" w:line="240" w:lineRule="auto"/>
        <w:rPr>
          <w:rFonts w:cs="Times New Roman"/>
          <w:szCs w:val="24"/>
        </w:rPr>
      </w:pPr>
      <w:r w:rsidRPr="002D1AF9">
        <w:rPr>
          <w:rFonts w:cs="Times New Roman"/>
          <w:szCs w:val="24"/>
        </w:rPr>
        <w:t>Dec 2016</w:t>
      </w:r>
      <w:r w:rsidR="003E2F86" w:rsidRPr="002D1AF9">
        <w:rPr>
          <w:rFonts w:cs="Times New Roman"/>
          <w:szCs w:val="24"/>
        </w:rPr>
        <w:tab/>
      </w:r>
      <w:r w:rsidR="003E2F86" w:rsidRPr="002D1AF9">
        <w:rPr>
          <w:rFonts w:cs="Times New Roman"/>
          <w:szCs w:val="24"/>
        </w:rPr>
        <w:tab/>
      </w:r>
      <w:r w:rsidRPr="002D1AF9">
        <w:rPr>
          <w:rFonts w:cs="Times New Roman"/>
          <w:szCs w:val="24"/>
        </w:rPr>
        <w:t xml:space="preserve">Announcement of states selected for demonstration </w:t>
      </w:r>
    </w:p>
    <w:p w14:paraId="244E8E8E" w14:textId="7EDEA227" w:rsidR="006B5DD0" w:rsidRPr="002D1AF9" w:rsidRDefault="008E6E34" w:rsidP="008E6E34">
      <w:pPr>
        <w:spacing w:after="0" w:line="240" w:lineRule="auto"/>
        <w:rPr>
          <w:rFonts w:cs="Times New Roman"/>
          <w:szCs w:val="24"/>
        </w:rPr>
      </w:pPr>
      <w:r w:rsidRPr="002D1AF9">
        <w:rPr>
          <w:rFonts w:cs="Times New Roman"/>
          <w:szCs w:val="24"/>
        </w:rPr>
        <w:t>Jan 2017</w:t>
      </w:r>
      <w:r w:rsidR="003E2F86" w:rsidRPr="002D1AF9">
        <w:rPr>
          <w:rFonts w:cs="Times New Roman"/>
          <w:szCs w:val="24"/>
        </w:rPr>
        <w:tab/>
      </w:r>
      <w:r w:rsidR="003E2F86" w:rsidRPr="002D1AF9">
        <w:rPr>
          <w:rFonts w:cs="Times New Roman"/>
          <w:szCs w:val="24"/>
        </w:rPr>
        <w:tab/>
      </w:r>
      <w:r w:rsidRPr="002D1AF9">
        <w:rPr>
          <w:rFonts w:cs="Times New Roman"/>
          <w:szCs w:val="24"/>
        </w:rPr>
        <w:t>Demonstration begins</w:t>
      </w:r>
    </w:p>
    <w:p w14:paraId="1C69A7FA" w14:textId="77777777" w:rsidR="00EB1A8A" w:rsidRPr="00F47E70" w:rsidRDefault="00EB1A8A" w:rsidP="00EB1A8A">
      <w:pPr>
        <w:spacing w:after="0" w:line="240" w:lineRule="auto"/>
        <w:rPr>
          <w:rFonts w:cs="Times New Roman"/>
          <w:szCs w:val="24"/>
        </w:rPr>
      </w:pPr>
    </w:p>
    <w:sectPr w:rsidR="00EB1A8A" w:rsidRPr="00F47E70"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E60A" w14:textId="77777777" w:rsidR="0059180D" w:rsidRDefault="0059180D" w:rsidP="008111D2">
      <w:pPr>
        <w:spacing w:after="0" w:line="240" w:lineRule="auto"/>
      </w:pPr>
      <w:r>
        <w:separator/>
      </w:r>
    </w:p>
  </w:endnote>
  <w:endnote w:type="continuationSeparator" w:id="0">
    <w:p w14:paraId="2243632C" w14:textId="77777777" w:rsidR="0059180D" w:rsidRDefault="0059180D"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77771"/>
      <w:docPartObj>
        <w:docPartGallery w:val="Page Numbers (Bottom of Page)"/>
        <w:docPartUnique/>
      </w:docPartObj>
    </w:sdtPr>
    <w:sdtEndPr>
      <w:rPr>
        <w:noProof/>
      </w:rPr>
    </w:sdtEndPr>
    <w:sdtContent>
      <w:p w14:paraId="5FA49E88" w14:textId="77777777" w:rsidR="005F2BB5" w:rsidRDefault="005F2BB5" w:rsidP="007D5D74">
        <w:pPr>
          <w:pStyle w:val="Footer"/>
          <w:jc w:val="center"/>
        </w:pPr>
        <w:r>
          <w:fldChar w:fldCharType="begin"/>
        </w:r>
        <w:r>
          <w:instrText xml:space="preserve"> PAGE   \* MERGEFORMAT </w:instrText>
        </w:r>
        <w:r>
          <w:fldChar w:fldCharType="separate"/>
        </w:r>
        <w:r w:rsidR="00F714EF">
          <w:rPr>
            <w:noProof/>
          </w:rPr>
          <w:t>8</w:t>
        </w:r>
        <w:r>
          <w:rPr>
            <w:noProof/>
          </w:rPr>
          <w:fldChar w:fldCharType="end"/>
        </w:r>
      </w:p>
    </w:sdtContent>
  </w:sdt>
  <w:p w14:paraId="4962A4FE" w14:textId="77777777" w:rsidR="005F2BB5" w:rsidRDefault="005F2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A784" w14:textId="77777777" w:rsidR="0059180D" w:rsidRDefault="0059180D" w:rsidP="008111D2">
      <w:pPr>
        <w:spacing w:after="0" w:line="240" w:lineRule="auto"/>
      </w:pPr>
      <w:r>
        <w:separator/>
      </w:r>
    </w:p>
  </w:footnote>
  <w:footnote w:type="continuationSeparator" w:id="0">
    <w:p w14:paraId="2F71A4A8" w14:textId="77777777" w:rsidR="0059180D" w:rsidRDefault="0059180D"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388"/>
    <w:multiLevelType w:val="hybridMultilevel"/>
    <w:tmpl w:val="7B70D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46728"/>
    <w:multiLevelType w:val="hybridMultilevel"/>
    <w:tmpl w:val="6F08F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E3F94"/>
    <w:multiLevelType w:val="hybridMultilevel"/>
    <w:tmpl w:val="CB74B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0C2136"/>
    <w:multiLevelType w:val="hybridMultilevel"/>
    <w:tmpl w:val="ACA02C7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645" w:hanging="360"/>
      </w:pPr>
      <w:rPr>
        <w:rFonts w:ascii="Courier New" w:hAnsi="Courier New" w:cs="Courier New" w:hint="default"/>
      </w:rPr>
    </w:lvl>
    <w:lvl w:ilvl="2" w:tplc="04090005" w:tentative="1">
      <w:start w:val="1"/>
      <w:numFmt w:val="bullet"/>
      <w:lvlText w:val=""/>
      <w:lvlJc w:val="left"/>
      <w:pPr>
        <w:ind w:left="75" w:hanging="360"/>
      </w:pPr>
      <w:rPr>
        <w:rFonts w:ascii="Wingdings" w:hAnsi="Wingdings" w:hint="default"/>
      </w:rPr>
    </w:lvl>
    <w:lvl w:ilvl="3" w:tplc="04090001" w:tentative="1">
      <w:start w:val="1"/>
      <w:numFmt w:val="bullet"/>
      <w:lvlText w:val=""/>
      <w:lvlJc w:val="left"/>
      <w:pPr>
        <w:ind w:left="795" w:hanging="360"/>
      </w:pPr>
      <w:rPr>
        <w:rFonts w:ascii="Symbol" w:hAnsi="Symbol" w:hint="default"/>
      </w:rPr>
    </w:lvl>
    <w:lvl w:ilvl="4" w:tplc="04090003" w:tentative="1">
      <w:start w:val="1"/>
      <w:numFmt w:val="bullet"/>
      <w:lvlText w:val="o"/>
      <w:lvlJc w:val="left"/>
      <w:pPr>
        <w:ind w:left="1515" w:hanging="360"/>
      </w:pPr>
      <w:rPr>
        <w:rFonts w:ascii="Courier New" w:hAnsi="Courier New" w:cs="Courier New" w:hint="default"/>
      </w:rPr>
    </w:lvl>
    <w:lvl w:ilvl="5" w:tplc="04090005" w:tentative="1">
      <w:start w:val="1"/>
      <w:numFmt w:val="bullet"/>
      <w:lvlText w:val=""/>
      <w:lvlJc w:val="left"/>
      <w:pPr>
        <w:ind w:left="2235" w:hanging="360"/>
      </w:pPr>
      <w:rPr>
        <w:rFonts w:ascii="Wingdings" w:hAnsi="Wingdings" w:hint="default"/>
      </w:rPr>
    </w:lvl>
    <w:lvl w:ilvl="6" w:tplc="04090001" w:tentative="1">
      <w:start w:val="1"/>
      <w:numFmt w:val="bullet"/>
      <w:lvlText w:val=""/>
      <w:lvlJc w:val="left"/>
      <w:pPr>
        <w:ind w:left="2955" w:hanging="360"/>
      </w:pPr>
      <w:rPr>
        <w:rFonts w:ascii="Symbol" w:hAnsi="Symbol" w:hint="default"/>
      </w:rPr>
    </w:lvl>
    <w:lvl w:ilvl="7" w:tplc="04090003" w:tentative="1">
      <w:start w:val="1"/>
      <w:numFmt w:val="bullet"/>
      <w:lvlText w:val="o"/>
      <w:lvlJc w:val="left"/>
      <w:pPr>
        <w:ind w:left="3675" w:hanging="360"/>
      </w:pPr>
      <w:rPr>
        <w:rFonts w:ascii="Courier New" w:hAnsi="Courier New" w:cs="Courier New" w:hint="default"/>
      </w:rPr>
    </w:lvl>
    <w:lvl w:ilvl="8" w:tplc="04090005" w:tentative="1">
      <w:start w:val="1"/>
      <w:numFmt w:val="bullet"/>
      <w:lvlText w:val=""/>
      <w:lvlJc w:val="left"/>
      <w:pPr>
        <w:ind w:left="4395" w:hanging="360"/>
      </w:pPr>
      <w:rPr>
        <w:rFonts w:ascii="Wingdings" w:hAnsi="Wingdings" w:hint="default"/>
      </w:rPr>
    </w:lvl>
  </w:abstractNum>
  <w:abstractNum w:abstractNumId="13"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73E0B"/>
    <w:multiLevelType w:val="hybridMultilevel"/>
    <w:tmpl w:val="D92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3"/>
  </w:num>
  <w:num w:numId="5">
    <w:abstractNumId w:val="2"/>
  </w:num>
  <w:num w:numId="6">
    <w:abstractNumId w:val="4"/>
  </w:num>
  <w:num w:numId="7">
    <w:abstractNumId w:val="5"/>
  </w:num>
  <w:num w:numId="8">
    <w:abstractNumId w:val="9"/>
  </w:num>
  <w:num w:numId="9">
    <w:abstractNumId w:val="0"/>
  </w:num>
  <w:num w:numId="10">
    <w:abstractNumId w:val="14"/>
  </w:num>
  <w:num w:numId="11">
    <w:abstractNumId w:val="1"/>
  </w:num>
  <w:num w:numId="12">
    <w:abstractNumId w:val="3"/>
  </w:num>
  <w:num w:numId="13">
    <w:abstractNumId w:val="11"/>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16E13"/>
    <w:rsid w:val="000355AA"/>
    <w:rsid w:val="000362BD"/>
    <w:rsid w:val="00037BF2"/>
    <w:rsid w:val="00043D0E"/>
    <w:rsid w:val="00047BAA"/>
    <w:rsid w:val="000537D3"/>
    <w:rsid w:val="000712B4"/>
    <w:rsid w:val="00075863"/>
    <w:rsid w:val="00084402"/>
    <w:rsid w:val="000C3073"/>
    <w:rsid w:val="000D1CFD"/>
    <w:rsid w:val="000D334F"/>
    <w:rsid w:val="000D3EE0"/>
    <w:rsid w:val="000E55DA"/>
    <w:rsid w:val="001045F9"/>
    <w:rsid w:val="00111672"/>
    <w:rsid w:val="0011737A"/>
    <w:rsid w:val="001213D3"/>
    <w:rsid w:val="00121EE3"/>
    <w:rsid w:val="00122C0E"/>
    <w:rsid w:val="00130B49"/>
    <w:rsid w:val="00137047"/>
    <w:rsid w:val="00141081"/>
    <w:rsid w:val="00154B09"/>
    <w:rsid w:val="00175A39"/>
    <w:rsid w:val="00185CB4"/>
    <w:rsid w:val="001A1FC6"/>
    <w:rsid w:val="001B4FF4"/>
    <w:rsid w:val="001C2005"/>
    <w:rsid w:val="001D197A"/>
    <w:rsid w:val="001E1FA0"/>
    <w:rsid w:val="001E5F3A"/>
    <w:rsid w:val="001E66B6"/>
    <w:rsid w:val="001F2628"/>
    <w:rsid w:val="0020026D"/>
    <w:rsid w:val="00222B4F"/>
    <w:rsid w:val="00244D07"/>
    <w:rsid w:val="00252D20"/>
    <w:rsid w:val="00262B47"/>
    <w:rsid w:val="00270765"/>
    <w:rsid w:val="0027114C"/>
    <w:rsid w:val="00271EDD"/>
    <w:rsid w:val="002801DB"/>
    <w:rsid w:val="002928B6"/>
    <w:rsid w:val="002B594F"/>
    <w:rsid w:val="002C0A3E"/>
    <w:rsid w:val="002C1F7B"/>
    <w:rsid w:val="002D1AF9"/>
    <w:rsid w:val="002D7087"/>
    <w:rsid w:val="002E2118"/>
    <w:rsid w:val="00315427"/>
    <w:rsid w:val="00320FAA"/>
    <w:rsid w:val="00322C0B"/>
    <w:rsid w:val="003248D0"/>
    <w:rsid w:val="00325F87"/>
    <w:rsid w:val="00326A78"/>
    <w:rsid w:val="00333547"/>
    <w:rsid w:val="00335313"/>
    <w:rsid w:val="00344514"/>
    <w:rsid w:val="00357218"/>
    <w:rsid w:val="003627C8"/>
    <w:rsid w:val="003644B6"/>
    <w:rsid w:val="003828A7"/>
    <w:rsid w:val="003918B4"/>
    <w:rsid w:val="0039623D"/>
    <w:rsid w:val="003C0901"/>
    <w:rsid w:val="003D326F"/>
    <w:rsid w:val="003E2F86"/>
    <w:rsid w:val="003E54B3"/>
    <w:rsid w:val="003F4D04"/>
    <w:rsid w:val="00405CF9"/>
    <w:rsid w:val="0041080E"/>
    <w:rsid w:val="00432C17"/>
    <w:rsid w:val="004522D2"/>
    <w:rsid w:val="00462C62"/>
    <w:rsid w:val="00465B2D"/>
    <w:rsid w:val="00467E98"/>
    <w:rsid w:val="00474257"/>
    <w:rsid w:val="00475EF8"/>
    <w:rsid w:val="00481E60"/>
    <w:rsid w:val="00483058"/>
    <w:rsid w:val="004A0A30"/>
    <w:rsid w:val="004B13E8"/>
    <w:rsid w:val="004C7701"/>
    <w:rsid w:val="004D21C7"/>
    <w:rsid w:val="004F4A06"/>
    <w:rsid w:val="00500371"/>
    <w:rsid w:val="005012D4"/>
    <w:rsid w:val="00505473"/>
    <w:rsid w:val="00522DC7"/>
    <w:rsid w:val="0052333E"/>
    <w:rsid w:val="0052552A"/>
    <w:rsid w:val="00536CA4"/>
    <w:rsid w:val="00540110"/>
    <w:rsid w:val="00546E01"/>
    <w:rsid w:val="0056678A"/>
    <w:rsid w:val="005854DF"/>
    <w:rsid w:val="0059180D"/>
    <w:rsid w:val="005941AE"/>
    <w:rsid w:val="00596FB5"/>
    <w:rsid w:val="00597229"/>
    <w:rsid w:val="00597D67"/>
    <w:rsid w:val="005A1C9D"/>
    <w:rsid w:val="005A318E"/>
    <w:rsid w:val="005A7C7C"/>
    <w:rsid w:val="005B6A37"/>
    <w:rsid w:val="005C580D"/>
    <w:rsid w:val="005D001F"/>
    <w:rsid w:val="005E3B79"/>
    <w:rsid w:val="005E52BE"/>
    <w:rsid w:val="005F2BB5"/>
    <w:rsid w:val="006018C1"/>
    <w:rsid w:val="006026DA"/>
    <w:rsid w:val="006158F2"/>
    <w:rsid w:val="00627F16"/>
    <w:rsid w:val="00630142"/>
    <w:rsid w:val="00633871"/>
    <w:rsid w:val="006470BF"/>
    <w:rsid w:val="00647812"/>
    <w:rsid w:val="00654E02"/>
    <w:rsid w:val="0065647A"/>
    <w:rsid w:val="0066010C"/>
    <w:rsid w:val="00685368"/>
    <w:rsid w:val="006A554A"/>
    <w:rsid w:val="006A73DA"/>
    <w:rsid w:val="006B5DD0"/>
    <w:rsid w:val="006C0B96"/>
    <w:rsid w:val="006C4626"/>
    <w:rsid w:val="006D6A5D"/>
    <w:rsid w:val="006E1FA5"/>
    <w:rsid w:val="006F3ACD"/>
    <w:rsid w:val="006F4FF9"/>
    <w:rsid w:val="006F66FD"/>
    <w:rsid w:val="00707666"/>
    <w:rsid w:val="007145E0"/>
    <w:rsid w:val="0071650B"/>
    <w:rsid w:val="00716824"/>
    <w:rsid w:val="00723A9E"/>
    <w:rsid w:val="007863B1"/>
    <w:rsid w:val="00792B10"/>
    <w:rsid w:val="007C0200"/>
    <w:rsid w:val="007C3B87"/>
    <w:rsid w:val="007D0FEE"/>
    <w:rsid w:val="007D53D6"/>
    <w:rsid w:val="007D5D74"/>
    <w:rsid w:val="007D6E75"/>
    <w:rsid w:val="007F1711"/>
    <w:rsid w:val="00802598"/>
    <w:rsid w:val="00802786"/>
    <w:rsid w:val="008111D2"/>
    <w:rsid w:val="0083331A"/>
    <w:rsid w:val="00836E8F"/>
    <w:rsid w:val="0086608B"/>
    <w:rsid w:val="00867C3D"/>
    <w:rsid w:val="00873459"/>
    <w:rsid w:val="00883490"/>
    <w:rsid w:val="0088756F"/>
    <w:rsid w:val="008875BC"/>
    <w:rsid w:val="008B708E"/>
    <w:rsid w:val="008C11BC"/>
    <w:rsid w:val="008D52D1"/>
    <w:rsid w:val="008D5603"/>
    <w:rsid w:val="008D6E4D"/>
    <w:rsid w:val="008E4DC6"/>
    <w:rsid w:val="008E5542"/>
    <w:rsid w:val="008E6143"/>
    <w:rsid w:val="008E6E34"/>
    <w:rsid w:val="008F2AED"/>
    <w:rsid w:val="009004E1"/>
    <w:rsid w:val="009275FB"/>
    <w:rsid w:val="00933E99"/>
    <w:rsid w:val="0095297C"/>
    <w:rsid w:val="009903AB"/>
    <w:rsid w:val="009A2BB7"/>
    <w:rsid w:val="009B19E8"/>
    <w:rsid w:val="009C2F36"/>
    <w:rsid w:val="009C6528"/>
    <w:rsid w:val="009D216D"/>
    <w:rsid w:val="009D434E"/>
    <w:rsid w:val="009D7385"/>
    <w:rsid w:val="009E3FAC"/>
    <w:rsid w:val="009E6719"/>
    <w:rsid w:val="00A02AE3"/>
    <w:rsid w:val="00A068F3"/>
    <w:rsid w:val="00A12068"/>
    <w:rsid w:val="00A138F7"/>
    <w:rsid w:val="00A211F4"/>
    <w:rsid w:val="00A23C80"/>
    <w:rsid w:val="00A33C4B"/>
    <w:rsid w:val="00A344A8"/>
    <w:rsid w:val="00A47143"/>
    <w:rsid w:val="00A718B4"/>
    <w:rsid w:val="00A737FD"/>
    <w:rsid w:val="00A84AD5"/>
    <w:rsid w:val="00A94F97"/>
    <w:rsid w:val="00AA14E0"/>
    <w:rsid w:val="00AA37EC"/>
    <w:rsid w:val="00AA3F91"/>
    <w:rsid w:val="00AB01BC"/>
    <w:rsid w:val="00AE0500"/>
    <w:rsid w:val="00AE1BD8"/>
    <w:rsid w:val="00B12D73"/>
    <w:rsid w:val="00B151B4"/>
    <w:rsid w:val="00B2723B"/>
    <w:rsid w:val="00B3224E"/>
    <w:rsid w:val="00B33B71"/>
    <w:rsid w:val="00B34B2F"/>
    <w:rsid w:val="00B43BBD"/>
    <w:rsid w:val="00B530B1"/>
    <w:rsid w:val="00B532F3"/>
    <w:rsid w:val="00B77606"/>
    <w:rsid w:val="00B87957"/>
    <w:rsid w:val="00B87C30"/>
    <w:rsid w:val="00BB109D"/>
    <w:rsid w:val="00BC15EE"/>
    <w:rsid w:val="00BD025A"/>
    <w:rsid w:val="00BD32FA"/>
    <w:rsid w:val="00BF504D"/>
    <w:rsid w:val="00C1526B"/>
    <w:rsid w:val="00C2142E"/>
    <w:rsid w:val="00C27346"/>
    <w:rsid w:val="00C3238D"/>
    <w:rsid w:val="00C46616"/>
    <w:rsid w:val="00C62F33"/>
    <w:rsid w:val="00C740E2"/>
    <w:rsid w:val="00C94C5E"/>
    <w:rsid w:val="00CA00CA"/>
    <w:rsid w:val="00CA7366"/>
    <w:rsid w:val="00CB241F"/>
    <w:rsid w:val="00CB50B2"/>
    <w:rsid w:val="00CB646D"/>
    <w:rsid w:val="00CD0C82"/>
    <w:rsid w:val="00CD71E3"/>
    <w:rsid w:val="00CE0707"/>
    <w:rsid w:val="00CE69F2"/>
    <w:rsid w:val="00CF6C1D"/>
    <w:rsid w:val="00D11AA4"/>
    <w:rsid w:val="00D12ABB"/>
    <w:rsid w:val="00D215B4"/>
    <w:rsid w:val="00D42E31"/>
    <w:rsid w:val="00D43134"/>
    <w:rsid w:val="00D46C38"/>
    <w:rsid w:val="00D4736A"/>
    <w:rsid w:val="00D5328E"/>
    <w:rsid w:val="00D75453"/>
    <w:rsid w:val="00D83C5A"/>
    <w:rsid w:val="00D87F42"/>
    <w:rsid w:val="00DC05EB"/>
    <w:rsid w:val="00DC6551"/>
    <w:rsid w:val="00DD76C3"/>
    <w:rsid w:val="00DD794C"/>
    <w:rsid w:val="00DE73A2"/>
    <w:rsid w:val="00DF098E"/>
    <w:rsid w:val="00E100DE"/>
    <w:rsid w:val="00E2436A"/>
    <w:rsid w:val="00E2502B"/>
    <w:rsid w:val="00E272B3"/>
    <w:rsid w:val="00E47B65"/>
    <w:rsid w:val="00E501AD"/>
    <w:rsid w:val="00E57856"/>
    <w:rsid w:val="00E73F53"/>
    <w:rsid w:val="00E83C3E"/>
    <w:rsid w:val="00E90D74"/>
    <w:rsid w:val="00E913EE"/>
    <w:rsid w:val="00E93F3F"/>
    <w:rsid w:val="00EA4AB1"/>
    <w:rsid w:val="00EB1115"/>
    <w:rsid w:val="00EB1A8A"/>
    <w:rsid w:val="00EC7726"/>
    <w:rsid w:val="00EE1AD1"/>
    <w:rsid w:val="00EF3A74"/>
    <w:rsid w:val="00F01D40"/>
    <w:rsid w:val="00F0298D"/>
    <w:rsid w:val="00F04F6D"/>
    <w:rsid w:val="00F10894"/>
    <w:rsid w:val="00F20797"/>
    <w:rsid w:val="00F21C5B"/>
    <w:rsid w:val="00F303E4"/>
    <w:rsid w:val="00F34393"/>
    <w:rsid w:val="00F4423B"/>
    <w:rsid w:val="00F47E70"/>
    <w:rsid w:val="00F54374"/>
    <w:rsid w:val="00F714EF"/>
    <w:rsid w:val="00F721BB"/>
    <w:rsid w:val="00F73E61"/>
    <w:rsid w:val="00F878F0"/>
    <w:rsid w:val="00FA1B4E"/>
    <w:rsid w:val="00FB3D21"/>
    <w:rsid w:val="00FC34E3"/>
    <w:rsid w:val="00FC42BB"/>
    <w:rsid w:val="00FD3BB9"/>
    <w:rsid w:val="00FE0D9C"/>
    <w:rsid w:val="00FE644A"/>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93123"/>
  <w15:docId w15:val="{85483194-9153-43E7-9642-1E125052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928B6"/>
    <w:pPr>
      <w:keepNext/>
      <w:keepLines/>
      <w:spacing w:after="0" w:line="240" w:lineRule="auto"/>
      <w:outlineLvl w:val="0"/>
    </w:pPr>
    <w:rPr>
      <w:rFonts w:eastAsiaTheme="majorEastAsia" w:cs="Times New Roman"/>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B6"/>
    <w:rPr>
      <w:rFonts w:ascii="Times New Roman" w:eastAsiaTheme="majorEastAsia" w:hAnsi="Times New Roman" w:cs="Times New Roman"/>
      <w:b/>
      <w:bCs/>
      <w:color w:val="000000" w:themeColor="text1"/>
      <w:sz w:val="24"/>
      <w:szCs w:val="24"/>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5012D4"/>
    <w:rPr>
      <w:sz w:val="16"/>
      <w:szCs w:val="16"/>
    </w:rPr>
  </w:style>
  <w:style w:type="paragraph" w:customStyle="1" w:styleId="CommentText1">
    <w:name w:val="Comment Text1"/>
    <w:basedOn w:val="Normal"/>
    <w:next w:val="CommentText"/>
    <w:link w:val="CommentTextChar"/>
    <w:uiPriority w:val="99"/>
    <w:semiHidden/>
    <w:unhideWhenUsed/>
    <w:rsid w:val="005012D4"/>
    <w:pPr>
      <w:spacing w:line="240" w:lineRule="auto"/>
    </w:pPr>
    <w:rPr>
      <w:sz w:val="20"/>
      <w:szCs w:val="20"/>
    </w:rPr>
  </w:style>
  <w:style w:type="character" w:customStyle="1" w:styleId="CommentTextChar">
    <w:name w:val="Comment Text Char"/>
    <w:basedOn w:val="DefaultParagraphFont"/>
    <w:link w:val="CommentText1"/>
    <w:uiPriority w:val="99"/>
    <w:semiHidden/>
    <w:rsid w:val="005012D4"/>
    <w:rPr>
      <w:rFonts w:ascii="Times New Roman" w:hAnsi="Times New Roman"/>
      <w:sz w:val="20"/>
      <w:szCs w:val="20"/>
    </w:rPr>
  </w:style>
  <w:style w:type="paragraph" w:styleId="CommentText">
    <w:name w:val="annotation text"/>
    <w:basedOn w:val="Normal"/>
    <w:link w:val="CommentTextChar1"/>
    <w:uiPriority w:val="99"/>
    <w:semiHidden/>
    <w:unhideWhenUsed/>
    <w:rsid w:val="005012D4"/>
    <w:pPr>
      <w:spacing w:line="240" w:lineRule="auto"/>
    </w:pPr>
    <w:rPr>
      <w:sz w:val="20"/>
      <w:szCs w:val="20"/>
    </w:rPr>
  </w:style>
  <w:style w:type="character" w:customStyle="1" w:styleId="CommentTextChar1">
    <w:name w:val="Comment Text Char1"/>
    <w:basedOn w:val="DefaultParagraphFont"/>
    <w:link w:val="CommentText"/>
    <w:uiPriority w:val="99"/>
    <w:semiHidden/>
    <w:rsid w:val="005012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78F0"/>
    <w:rPr>
      <w:b/>
      <w:bCs/>
    </w:rPr>
  </w:style>
  <w:style w:type="character" w:customStyle="1" w:styleId="CommentSubjectChar">
    <w:name w:val="Comment Subject Char"/>
    <w:basedOn w:val="CommentTextChar1"/>
    <w:link w:val="CommentSubject"/>
    <w:uiPriority w:val="99"/>
    <w:semiHidden/>
    <w:rsid w:val="00F878F0"/>
    <w:rPr>
      <w:rFonts w:ascii="Times New Roman" w:hAnsi="Times New Roman"/>
      <w:b/>
      <w:bCs/>
      <w:sz w:val="20"/>
      <w:szCs w:val="20"/>
    </w:rPr>
  </w:style>
  <w:style w:type="paragraph" w:styleId="Revision">
    <w:name w:val="Revision"/>
    <w:hidden/>
    <w:uiPriority w:val="99"/>
    <w:semiHidden/>
    <w:rsid w:val="00D5328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oes11102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113031.htm" TargetMode="External"/><Relationship Id="rId5" Type="http://schemas.openxmlformats.org/officeDocument/2006/relationships/webSettings" Target="webSettings.xml"/><Relationship Id="rId10" Type="http://schemas.openxmlformats.org/officeDocument/2006/relationships/hyperlink" Target="http://www.bls.gov/oes/current/oes132099.htm"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5097-5F52-4B2D-98CD-465D49B4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2015-11-19T13:43:00Z</cp:lastPrinted>
  <dcterms:created xsi:type="dcterms:W3CDTF">2015-11-19T16:18:00Z</dcterms:created>
  <dcterms:modified xsi:type="dcterms:W3CDTF">2015-11-19T16:18:00Z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-1940961675</vt:i4>
  </property>
  <property fmtid="{D5CDD505-2E9C-101B-9397-08002B2CF9AE}" pid="4" name="_EmailSubject">
    <vt:lpwstr>Combined Supporting Statement  (Attached) &gt; PRA #43 – Demonstration Programs to Improve Community Mental Health Services</vt:lpwstr>
  </property>
  <property fmtid="{D5CDD505-2E9C-101B-9397-08002B2CF9AE}" pid="5" name="_AuthorEmailDisplayName">
    <vt:lpwstr>Boston, Beverly A. (CMS/CMCS)</vt:lpwstr>
  </property>
  <property fmtid="{D5CDD505-2E9C-101B-9397-08002B2CF9AE}" pid="6" name="_PreviousAdHocReviewCycleID">
    <vt:i4>-2090638324</vt:i4>
  </property>
  <property fmtid="{D5CDD505-2E9C-101B-9397-08002B2CF9AE}" pid="7" name="_AuthorEmail">
    <vt:lpwstr>Beverly.Boston@cms.hhs.gov</vt:lpwstr>
  </property>
  <property fmtid="{D5CDD505-2E9C-101B-9397-08002B2CF9AE}" pid="8" name="_ReviewingToolsShownOnce">
    <vt:lpwstr/>
  </property>
</Properties>
</file>