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43650"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09B43651"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09B43652" w14:textId="77777777" w:rsidR="00DF098E" w:rsidRPr="008111D2" w:rsidRDefault="007D6E75" w:rsidP="008111D2">
      <w:pPr>
        <w:spacing w:after="0" w:line="240" w:lineRule="auto"/>
        <w:jc w:val="center"/>
        <w:rPr>
          <w:szCs w:val="24"/>
        </w:rPr>
      </w:pPr>
      <w:r w:rsidRPr="008111D2">
        <w:rPr>
          <w:szCs w:val="24"/>
        </w:rPr>
        <w:t>(CMS-10398, OMB 0938-1148)</w:t>
      </w:r>
    </w:p>
    <w:p w14:paraId="09B43653" w14:textId="77777777" w:rsidR="007D6E75" w:rsidRPr="008111D2" w:rsidRDefault="007D6E75" w:rsidP="008111D2">
      <w:pPr>
        <w:spacing w:after="0" w:line="240" w:lineRule="auto"/>
        <w:jc w:val="center"/>
        <w:rPr>
          <w:szCs w:val="24"/>
        </w:rPr>
      </w:pPr>
    </w:p>
    <w:p w14:paraId="3E357CAB" w14:textId="7973EB6E" w:rsidR="00B216B4" w:rsidRDefault="00CB646D" w:rsidP="009E28B5">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7F4CFF">
        <w:rPr>
          <w:rFonts w:cs="Times New Roman"/>
          <w:b/>
          <w:szCs w:val="24"/>
        </w:rPr>
        <w:t>42</w:t>
      </w:r>
      <w:r w:rsidR="00061643">
        <w:rPr>
          <w:rFonts w:cs="Times New Roman"/>
          <w:b/>
          <w:szCs w:val="24"/>
        </w:rPr>
        <w:t xml:space="preserve"> Covered Outpatient Drug</w:t>
      </w:r>
      <w:r w:rsidR="00573328" w:rsidRPr="00573328">
        <w:rPr>
          <w:rFonts w:cs="Times New Roman"/>
          <w:b/>
          <w:szCs w:val="24"/>
        </w:rPr>
        <w:t>s</w:t>
      </w:r>
    </w:p>
    <w:p w14:paraId="62F53552" w14:textId="1CB15946" w:rsidR="00573328" w:rsidRDefault="00573328" w:rsidP="00F54374">
      <w:pPr>
        <w:jc w:val="center"/>
        <w:rPr>
          <w:rFonts w:cs="Times New Roman"/>
          <w:b/>
          <w:szCs w:val="24"/>
        </w:rPr>
      </w:pPr>
      <w:r w:rsidRPr="00573328">
        <w:rPr>
          <w:rFonts w:cs="Times New Roman"/>
          <w:b/>
          <w:szCs w:val="24"/>
        </w:rPr>
        <w:t>Requirements for States (</w:t>
      </w:r>
      <w:r>
        <w:rPr>
          <w:rFonts w:cs="Times New Roman"/>
          <w:b/>
          <w:szCs w:val="24"/>
        </w:rPr>
        <w:t>42 CFR</w:t>
      </w:r>
      <w:r w:rsidRPr="00573328">
        <w:rPr>
          <w:rFonts w:cs="Times New Roman"/>
          <w:b/>
          <w:szCs w:val="24"/>
        </w:rPr>
        <w:t xml:space="preserve"> 447.512,</w:t>
      </w:r>
      <w:r w:rsidR="004E12F1">
        <w:rPr>
          <w:rFonts w:cs="Times New Roman"/>
          <w:b/>
          <w:szCs w:val="24"/>
        </w:rPr>
        <w:t xml:space="preserve"> 447.514</w:t>
      </w:r>
      <w:r w:rsidR="000974B5">
        <w:rPr>
          <w:rFonts w:cs="Times New Roman"/>
          <w:b/>
          <w:szCs w:val="24"/>
        </w:rPr>
        <w:t>,</w:t>
      </w:r>
      <w:r w:rsidR="004E12F1">
        <w:rPr>
          <w:rFonts w:cs="Times New Roman"/>
          <w:b/>
          <w:szCs w:val="24"/>
        </w:rPr>
        <w:t xml:space="preserve"> </w:t>
      </w:r>
      <w:r w:rsidRPr="00573328">
        <w:rPr>
          <w:rFonts w:cs="Times New Roman"/>
          <w:b/>
          <w:szCs w:val="24"/>
        </w:rPr>
        <w:t>and 447.518</w:t>
      </w:r>
      <w:r w:rsidR="00E00DC0">
        <w:rPr>
          <w:rFonts w:cs="Times New Roman"/>
          <w:b/>
          <w:szCs w:val="24"/>
        </w:rPr>
        <w:t>)</w:t>
      </w:r>
    </w:p>
    <w:p w14:paraId="09B43655" w14:textId="77777777" w:rsidR="009E3FAC" w:rsidRPr="008111D2" w:rsidRDefault="009E3FAC" w:rsidP="008111D2">
      <w:pPr>
        <w:spacing w:after="0" w:line="240" w:lineRule="auto"/>
        <w:jc w:val="center"/>
        <w:rPr>
          <w:rFonts w:cs="Times New Roman"/>
          <w:szCs w:val="24"/>
        </w:rPr>
      </w:pPr>
    </w:p>
    <w:p w14:paraId="09B43656" w14:textId="77777777" w:rsidR="007D6E75" w:rsidRPr="008111D2" w:rsidRDefault="007D6E75" w:rsidP="008111D2">
      <w:pPr>
        <w:spacing w:after="0" w:line="240" w:lineRule="auto"/>
        <w:jc w:val="center"/>
        <w:rPr>
          <w:b/>
          <w:szCs w:val="24"/>
        </w:rPr>
      </w:pPr>
    </w:p>
    <w:p w14:paraId="09B43658" w14:textId="77777777" w:rsidR="007D6E75" w:rsidRPr="008111D2" w:rsidRDefault="007D6E75" w:rsidP="008111D2">
      <w:pPr>
        <w:spacing w:after="0" w:line="240" w:lineRule="auto"/>
        <w:jc w:val="center"/>
        <w:rPr>
          <w:szCs w:val="24"/>
        </w:rPr>
      </w:pPr>
    </w:p>
    <w:p w14:paraId="09B43659" w14:textId="77777777" w:rsidR="007D6E75" w:rsidRPr="008111D2" w:rsidRDefault="007D6E75" w:rsidP="008111D2">
      <w:pPr>
        <w:spacing w:after="0" w:line="240" w:lineRule="auto"/>
        <w:jc w:val="center"/>
        <w:rPr>
          <w:szCs w:val="24"/>
        </w:rPr>
      </w:pPr>
    </w:p>
    <w:p w14:paraId="09B4365A" w14:textId="77777777" w:rsidR="007D6E75" w:rsidRPr="008111D2" w:rsidRDefault="007D6E75" w:rsidP="008111D2">
      <w:pPr>
        <w:spacing w:after="0" w:line="240" w:lineRule="auto"/>
        <w:jc w:val="center"/>
        <w:rPr>
          <w:szCs w:val="24"/>
        </w:rPr>
      </w:pPr>
    </w:p>
    <w:p w14:paraId="09B4365B"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09B4365C"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09B4365D"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09B43662" w14:textId="77777777" w:rsidR="007D6E75" w:rsidRPr="00F54374" w:rsidRDefault="007D6E75" w:rsidP="00F54374">
      <w:pPr>
        <w:pStyle w:val="Heading1"/>
      </w:pPr>
      <w:r w:rsidRPr="00F54374">
        <w:lastRenderedPageBreak/>
        <w:t>A. Background</w:t>
      </w:r>
    </w:p>
    <w:p w14:paraId="697F0BCA" w14:textId="77777777" w:rsidR="00573328" w:rsidRDefault="00573328" w:rsidP="008111D2">
      <w:pPr>
        <w:spacing w:after="0" w:line="240" w:lineRule="auto"/>
        <w:rPr>
          <w:szCs w:val="24"/>
        </w:rPr>
      </w:pPr>
    </w:p>
    <w:p w14:paraId="09B43663"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09B43665" w14:textId="77777777" w:rsidR="009B19E8" w:rsidRPr="008111D2" w:rsidRDefault="009B19E8" w:rsidP="00F54374">
      <w:pPr>
        <w:pStyle w:val="Heading1"/>
      </w:pPr>
    </w:p>
    <w:p w14:paraId="09B43666" w14:textId="77777777" w:rsidR="007D6E75" w:rsidRPr="008111D2" w:rsidRDefault="007D6E75" w:rsidP="00F54374">
      <w:pPr>
        <w:pStyle w:val="Heading1"/>
      </w:pPr>
      <w:r w:rsidRPr="008111D2">
        <w:t>B. Description of Information Collection</w:t>
      </w:r>
    </w:p>
    <w:p w14:paraId="37C7A4E5" w14:textId="77777777" w:rsidR="00573328" w:rsidRDefault="00573328" w:rsidP="00F34393">
      <w:pPr>
        <w:spacing w:after="0" w:line="240" w:lineRule="auto"/>
      </w:pPr>
    </w:p>
    <w:p w14:paraId="765C04A2" w14:textId="43ADF69E" w:rsidR="002F2D6D" w:rsidRDefault="00837184" w:rsidP="00F34393">
      <w:pPr>
        <w:spacing w:after="0" w:line="240" w:lineRule="auto"/>
      </w:pPr>
      <w:r>
        <w:t xml:space="preserve">Our </w:t>
      </w:r>
      <w:r w:rsidR="00061643" w:rsidRPr="00061643">
        <w:t xml:space="preserve">Covered Outpatient Drug </w:t>
      </w:r>
      <w:r w:rsidR="002F2D6D">
        <w:t xml:space="preserve">final </w:t>
      </w:r>
      <w:r w:rsidR="00147A21">
        <w:t>r</w:t>
      </w:r>
      <w:r w:rsidR="00061643" w:rsidRPr="00061643">
        <w:t xml:space="preserve">ule </w:t>
      </w:r>
      <w:r w:rsidR="009E0348">
        <w:t xml:space="preserve">(February 1, 2016; 81 FR 5170) </w:t>
      </w:r>
      <w:r w:rsidR="00061643" w:rsidRPr="00061643">
        <w:t>(CMS-2345-F</w:t>
      </w:r>
      <w:r w:rsidR="00E17495">
        <w:t>C</w:t>
      </w:r>
      <w:r w:rsidR="00AD61E6">
        <w:t>, RIN 0938-AQ41</w:t>
      </w:r>
      <w:r w:rsidR="00061643" w:rsidRPr="00061643">
        <w:t xml:space="preserve">) added burden for states to implement </w:t>
      </w:r>
      <w:r w:rsidR="00684107">
        <w:t xml:space="preserve">new </w:t>
      </w:r>
      <w:r w:rsidR="002F2D6D">
        <w:t>reimbursement requirements.  This includes the</w:t>
      </w:r>
      <w:r w:rsidR="00061643" w:rsidRPr="00061643">
        <w:t xml:space="preserve"> new actual acquisition cost and professional dispensing fee requirements</w:t>
      </w:r>
      <w:r w:rsidR="002F2D6D">
        <w:t xml:space="preserve"> which are codified in 42 CFR 447.512</w:t>
      </w:r>
      <w:r w:rsidR="00061643" w:rsidRPr="00061643">
        <w:t xml:space="preserve">, as well as the new </w:t>
      </w:r>
      <w:r w:rsidR="002F2D6D">
        <w:t>requirements</w:t>
      </w:r>
      <w:r w:rsidR="00061643" w:rsidRPr="00061643">
        <w:t xml:space="preserve"> for the federal upper limits </w:t>
      </w:r>
      <w:r w:rsidR="002F2D6D">
        <w:t xml:space="preserve">which are codified in 42 CFR 447.514. </w:t>
      </w:r>
    </w:p>
    <w:p w14:paraId="11B7F020" w14:textId="77777777" w:rsidR="006B7E89" w:rsidRDefault="006B7E89" w:rsidP="00F34393">
      <w:pPr>
        <w:spacing w:after="0" w:line="240" w:lineRule="auto"/>
      </w:pPr>
    </w:p>
    <w:p w14:paraId="0462A3FA" w14:textId="20B04BFD" w:rsidR="002F2D6D" w:rsidRDefault="002F2D6D" w:rsidP="00D4736A">
      <w:pPr>
        <w:spacing w:after="0" w:line="240" w:lineRule="auto"/>
      </w:pPr>
      <w:r>
        <w:t xml:space="preserve">The </w:t>
      </w:r>
      <w:r w:rsidR="00C64B8C">
        <w:t>s</w:t>
      </w:r>
      <w:r>
        <w:t xml:space="preserve">tate reporting requirements are codified in 42 CFR 447.518, </w:t>
      </w:r>
      <w:r w:rsidR="00684107">
        <w:t>“</w:t>
      </w:r>
      <w:r>
        <w:t>State plan requirements, findings and assurances</w:t>
      </w:r>
      <w:r w:rsidR="00684107">
        <w:t>”</w:t>
      </w:r>
      <w:r>
        <w:t xml:space="preserve">, </w:t>
      </w:r>
      <w:r w:rsidR="00684107">
        <w:t xml:space="preserve">which </w:t>
      </w:r>
      <w:r>
        <w:t xml:space="preserve">specifies that the </w:t>
      </w:r>
      <w:r w:rsidR="00C64B8C">
        <w:t>s</w:t>
      </w:r>
      <w:r>
        <w:t xml:space="preserve">tate plan must describe comprehensively the agency’s payment methodology for prescription drugs, including the agency’s payment methodology for covered outpatient drugs, including 340B, IHS, and I/T/U.  </w:t>
      </w:r>
    </w:p>
    <w:p w14:paraId="7DE18812" w14:textId="77777777" w:rsidR="00AA6DEA" w:rsidRDefault="00AA6DEA" w:rsidP="00D4736A">
      <w:pPr>
        <w:spacing w:after="0" w:line="240" w:lineRule="auto"/>
      </w:pPr>
    </w:p>
    <w:p w14:paraId="637CFFF8" w14:textId="7F4D5284" w:rsidR="0066172A" w:rsidRDefault="0066172A" w:rsidP="0066172A">
      <w:pPr>
        <w:spacing w:after="0" w:line="240" w:lineRule="auto"/>
      </w:pPr>
      <w:r w:rsidRPr="00061643">
        <w:t>Th</w:t>
      </w:r>
      <w:r>
        <w:t xml:space="preserve">e </w:t>
      </w:r>
      <w:r w:rsidR="00C64B8C">
        <w:t>s</w:t>
      </w:r>
      <w:r>
        <w:t>tates’</w:t>
      </w:r>
      <w:r w:rsidRPr="00061643">
        <w:t xml:space="preserve"> burden </w:t>
      </w:r>
      <w:r>
        <w:t xml:space="preserve">in revising their </w:t>
      </w:r>
      <w:r w:rsidR="00C64B8C">
        <w:t>s</w:t>
      </w:r>
      <w:r>
        <w:t xml:space="preserve">tate plan </w:t>
      </w:r>
      <w:r w:rsidR="00C64B8C">
        <w:t>(</w:t>
      </w:r>
      <w:r>
        <w:t>through a SPA submission</w:t>
      </w:r>
      <w:r w:rsidR="00C64B8C">
        <w:t>)</w:t>
      </w:r>
      <w:r>
        <w:t xml:space="preserve"> </w:t>
      </w:r>
      <w:r w:rsidRPr="00061643">
        <w:t>may include the time and cost for administrative processes and requirements such as legislative and regulatory action, operational changes, and the submission of a SPA for formal review</w:t>
      </w:r>
      <w:r>
        <w:t>.</w:t>
      </w:r>
    </w:p>
    <w:p w14:paraId="67B69B9F" w14:textId="77777777" w:rsidR="0066172A" w:rsidRDefault="0066172A" w:rsidP="00D4736A">
      <w:pPr>
        <w:spacing w:after="0" w:line="240" w:lineRule="auto"/>
      </w:pPr>
    </w:p>
    <w:p w14:paraId="09B43669" w14:textId="77777777" w:rsidR="007D6E75" w:rsidRPr="008111D2" w:rsidRDefault="007D6E75" w:rsidP="00F54374">
      <w:pPr>
        <w:pStyle w:val="Heading1"/>
      </w:pPr>
      <w:r w:rsidRPr="008111D2">
        <w:t>C. Deviations from Generic Request</w:t>
      </w:r>
    </w:p>
    <w:p w14:paraId="010DABB4" w14:textId="77777777" w:rsidR="00573328" w:rsidRDefault="00573328" w:rsidP="008111D2">
      <w:pPr>
        <w:spacing w:after="0" w:line="240" w:lineRule="auto"/>
        <w:rPr>
          <w:szCs w:val="24"/>
        </w:rPr>
      </w:pPr>
    </w:p>
    <w:p w14:paraId="09B4366A" w14:textId="77777777" w:rsidR="007D6E75" w:rsidRPr="008111D2" w:rsidRDefault="009B19E8" w:rsidP="008111D2">
      <w:pPr>
        <w:spacing w:after="0" w:line="240" w:lineRule="auto"/>
        <w:rPr>
          <w:szCs w:val="24"/>
        </w:rPr>
      </w:pPr>
      <w:r w:rsidRPr="008111D2">
        <w:rPr>
          <w:szCs w:val="24"/>
        </w:rPr>
        <w:t>No deviations are requested.</w:t>
      </w:r>
    </w:p>
    <w:p w14:paraId="09B4366B" w14:textId="77777777" w:rsidR="008111D2" w:rsidRPr="008111D2" w:rsidRDefault="008111D2" w:rsidP="00F54374">
      <w:pPr>
        <w:pStyle w:val="Heading1"/>
      </w:pPr>
    </w:p>
    <w:p w14:paraId="09B4366C" w14:textId="77777777" w:rsidR="007D6E75" w:rsidRPr="008111D2" w:rsidRDefault="007D6E75" w:rsidP="00F54374">
      <w:pPr>
        <w:pStyle w:val="Heading1"/>
      </w:pPr>
      <w:r w:rsidRPr="008111D2">
        <w:t>D. Burden Hour Deduction</w:t>
      </w:r>
    </w:p>
    <w:p w14:paraId="0480C8F3" w14:textId="77777777" w:rsidR="00573328" w:rsidRDefault="00573328" w:rsidP="008111D2">
      <w:pPr>
        <w:spacing w:after="0" w:line="240" w:lineRule="auto"/>
        <w:rPr>
          <w:szCs w:val="24"/>
        </w:rPr>
      </w:pPr>
    </w:p>
    <w:p w14:paraId="67E9F6B5" w14:textId="0C69545D" w:rsidR="007F4CFF" w:rsidRDefault="007F4CFF" w:rsidP="008111D2">
      <w:pPr>
        <w:spacing w:after="0" w:line="240" w:lineRule="auto"/>
        <w:rPr>
          <w:szCs w:val="24"/>
        </w:rPr>
      </w:pPr>
      <w:r w:rsidRPr="007C0200">
        <w:rPr>
          <w:szCs w:val="24"/>
        </w:rPr>
        <w:t xml:space="preserve">The total approved burden ceiling of the generic ICR is </w:t>
      </w:r>
      <w:r>
        <w:rPr>
          <w:szCs w:val="24"/>
        </w:rPr>
        <w:t>154,104</w:t>
      </w:r>
      <w:r w:rsidRPr="007C0200">
        <w:rPr>
          <w:szCs w:val="24"/>
        </w:rPr>
        <w:t xml:space="preserve"> hours, and CMS pr</w:t>
      </w:r>
      <w:r w:rsidR="00BC1386">
        <w:rPr>
          <w:szCs w:val="24"/>
        </w:rPr>
        <w:t>eviously requested to use 70</w:t>
      </w:r>
      <w:r>
        <w:rPr>
          <w:szCs w:val="24"/>
        </w:rPr>
        <w:t>,</w:t>
      </w:r>
      <w:r w:rsidR="00BC1386">
        <w:rPr>
          <w:szCs w:val="24"/>
        </w:rPr>
        <w:t>515</w:t>
      </w:r>
      <w:r w:rsidRPr="007C0200">
        <w:rPr>
          <w:szCs w:val="24"/>
        </w:rPr>
        <w:t xml:space="preserve"> hours, leaving our burden ceiling at </w:t>
      </w:r>
      <w:r w:rsidR="00BC1386">
        <w:rPr>
          <w:szCs w:val="24"/>
        </w:rPr>
        <w:t>83</w:t>
      </w:r>
      <w:r>
        <w:rPr>
          <w:szCs w:val="24"/>
        </w:rPr>
        <w:t>,</w:t>
      </w:r>
      <w:r w:rsidR="00BC1386">
        <w:rPr>
          <w:szCs w:val="24"/>
        </w:rPr>
        <w:t>589</w:t>
      </w:r>
      <w:r>
        <w:rPr>
          <w:szCs w:val="24"/>
        </w:rPr>
        <w:t xml:space="preserve"> </w:t>
      </w:r>
      <w:r w:rsidRPr="007C0200">
        <w:rPr>
          <w:szCs w:val="24"/>
        </w:rPr>
        <w:t>hours.</w:t>
      </w:r>
    </w:p>
    <w:p w14:paraId="15AA78DD" w14:textId="77777777" w:rsidR="007F4CFF" w:rsidRDefault="007F4CFF" w:rsidP="008111D2">
      <w:pPr>
        <w:spacing w:after="0" w:line="240" w:lineRule="auto"/>
        <w:rPr>
          <w:szCs w:val="24"/>
        </w:rPr>
      </w:pPr>
    </w:p>
    <w:p w14:paraId="61898C68" w14:textId="5C3ED979" w:rsidR="007F4CFF" w:rsidRDefault="0039476D" w:rsidP="007F4CFF">
      <w:pPr>
        <w:spacing w:after="0" w:line="240" w:lineRule="auto"/>
        <w:rPr>
          <w:i/>
          <w:szCs w:val="24"/>
        </w:rPr>
      </w:pPr>
      <w:r>
        <w:rPr>
          <w:i/>
          <w:szCs w:val="24"/>
        </w:rPr>
        <w:t xml:space="preserve">D.1. </w:t>
      </w:r>
      <w:r w:rsidR="007F4CFF" w:rsidRPr="002C1F7B">
        <w:rPr>
          <w:i/>
          <w:szCs w:val="24"/>
        </w:rPr>
        <w:t>Wage</w:t>
      </w:r>
      <w:r w:rsidR="007F4CFF">
        <w:rPr>
          <w:i/>
          <w:szCs w:val="24"/>
        </w:rPr>
        <w:t xml:space="preserve"> Estimate</w:t>
      </w:r>
    </w:p>
    <w:p w14:paraId="4A474FC1" w14:textId="349E533F" w:rsidR="007F4CFF" w:rsidRDefault="007F4CFF" w:rsidP="007F4CFF">
      <w:pPr>
        <w:spacing w:after="0" w:line="240" w:lineRule="auto"/>
        <w:rPr>
          <w:rFonts w:cs="Times New Roman"/>
          <w:szCs w:val="24"/>
        </w:rPr>
      </w:pPr>
    </w:p>
    <w:p w14:paraId="45962E6D" w14:textId="1B93A1A9" w:rsidR="007F4CFF" w:rsidRDefault="007F4CFF" w:rsidP="007F4CFF">
      <w:pPr>
        <w:spacing w:after="0" w:line="240" w:lineRule="auto"/>
        <w:rPr>
          <w:rFonts w:cs="Times New Roman"/>
          <w:szCs w:val="24"/>
        </w:rPr>
      </w:pPr>
      <w:r w:rsidRPr="007D6208">
        <w:rPr>
          <w:rFonts w:cs="Times New Roman"/>
          <w:szCs w:val="24"/>
        </w:rPr>
        <w:t>To derive average costs, we used data from the U.S. Bureau of Labor Statistics’ May 201</w:t>
      </w:r>
      <w:r w:rsidR="00671F0E">
        <w:rPr>
          <w:rFonts w:cs="Times New Roman"/>
          <w:szCs w:val="24"/>
        </w:rPr>
        <w:t>5</w:t>
      </w:r>
      <w:r w:rsidRPr="007D6208">
        <w:rPr>
          <w:rFonts w:cs="Times New Roman"/>
          <w:szCs w:val="24"/>
        </w:rPr>
        <w:t xml:space="preserve"> National Occupational Employment and Wage Estimates for all salary estimates (</w:t>
      </w:r>
      <w:hyperlink r:id="rId11" w:history="1">
        <w:r w:rsidRPr="001E783C">
          <w:rPr>
            <w:rStyle w:val="Hyperlink"/>
            <w:rFonts w:cs="Times New Roman"/>
            <w:szCs w:val="24"/>
          </w:rPr>
          <w:t>http://www.bls.gov/oes/current/oes_nat.htm</w:t>
        </w:r>
      </w:hyperlink>
      <w:r w:rsidRPr="007D6208">
        <w:rPr>
          <w:rFonts w:cs="Times New Roman"/>
          <w:szCs w:val="24"/>
        </w:rPr>
        <w:t xml:space="preserve">). In this regard, the following table presents the </w:t>
      </w:r>
      <w:r w:rsidRPr="007D6208">
        <w:rPr>
          <w:rFonts w:cs="Times New Roman"/>
          <w:szCs w:val="24"/>
        </w:rPr>
        <w:lastRenderedPageBreak/>
        <w:t>me</w:t>
      </w:r>
      <w:r>
        <w:rPr>
          <w:rFonts w:cs="Times New Roman"/>
          <w:szCs w:val="24"/>
        </w:rPr>
        <w:t>an</w:t>
      </w:r>
      <w:r w:rsidRPr="007D6208">
        <w:rPr>
          <w:rFonts w:cs="Times New Roman"/>
          <w:szCs w:val="24"/>
        </w:rPr>
        <w:t xml:space="preserve"> hourly wage, the cost of fringe benefits (calculated at 100 percent of salary), and the adjusted hourly wage.</w:t>
      </w:r>
    </w:p>
    <w:p w14:paraId="2D7FF2C6" w14:textId="77777777" w:rsidR="007F4CFF" w:rsidRDefault="007F4CFF" w:rsidP="007F4CFF">
      <w:pPr>
        <w:spacing w:after="0" w:line="240" w:lineRule="auto"/>
        <w:rPr>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1F2E95" w:rsidRPr="005B5F40" w14:paraId="6621CBE7" w14:textId="77777777" w:rsidTr="001F2E95">
        <w:trPr>
          <w:trHeight w:val="800"/>
          <w:tblHeader/>
        </w:trPr>
        <w:tc>
          <w:tcPr>
            <w:tcW w:w="3240" w:type="dxa"/>
            <w:shd w:val="clear" w:color="auto" w:fill="auto"/>
          </w:tcPr>
          <w:p w14:paraId="20917457" w14:textId="77777777" w:rsidR="001F2E95" w:rsidRPr="005B5F40" w:rsidRDefault="001F2E95" w:rsidP="003D3BF0">
            <w:pPr>
              <w:spacing w:after="0" w:line="240" w:lineRule="auto"/>
              <w:rPr>
                <w:rFonts w:cs="Times New Roman"/>
                <w:b/>
                <w:sz w:val="20"/>
                <w:szCs w:val="20"/>
              </w:rPr>
            </w:pPr>
            <w:r w:rsidRPr="005B5F40">
              <w:rPr>
                <w:rFonts w:cs="Times New Roman"/>
                <w:b/>
                <w:sz w:val="20"/>
                <w:szCs w:val="20"/>
              </w:rPr>
              <w:t>Occupation Title</w:t>
            </w:r>
          </w:p>
        </w:tc>
        <w:tc>
          <w:tcPr>
            <w:tcW w:w="1440" w:type="dxa"/>
            <w:shd w:val="clear" w:color="auto" w:fill="auto"/>
          </w:tcPr>
          <w:p w14:paraId="0729025A" w14:textId="77777777" w:rsidR="001F2E95" w:rsidRPr="005B5F40" w:rsidRDefault="001F2E95" w:rsidP="003D3BF0">
            <w:pPr>
              <w:spacing w:after="0" w:line="240" w:lineRule="auto"/>
              <w:rPr>
                <w:rFonts w:cs="Times New Roman"/>
                <w:b/>
                <w:sz w:val="20"/>
                <w:szCs w:val="20"/>
              </w:rPr>
            </w:pPr>
            <w:r w:rsidRPr="005B5F40">
              <w:rPr>
                <w:rFonts w:cs="Times New Roman"/>
                <w:b/>
                <w:sz w:val="20"/>
                <w:szCs w:val="20"/>
              </w:rPr>
              <w:t>Occupation Code</w:t>
            </w:r>
          </w:p>
        </w:tc>
        <w:tc>
          <w:tcPr>
            <w:tcW w:w="1170" w:type="dxa"/>
            <w:shd w:val="clear" w:color="auto" w:fill="auto"/>
          </w:tcPr>
          <w:p w14:paraId="4B4BFAE1" w14:textId="77777777" w:rsidR="001F2E95" w:rsidRPr="005B5F40" w:rsidRDefault="001F2E95" w:rsidP="003D3BF0">
            <w:pPr>
              <w:spacing w:after="0" w:line="240" w:lineRule="auto"/>
              <w:rPr>
                <w:rFonts w:cs="Times New Roman"/>
                <w:b/>
                <w:sz w:val="20"/>
                <w:szCs w:val="20"/>
              </w:rPr>
            </w:pPr>
            <w:r w:rsidRPr="005B5F40">
              <w:rPr>
                <w:rFonts w:cs="Times New Roman"/>
                <w:b/>
                <w:sz w:val="20"/>
                <w:szCs w:val="20"/>
              </w:rPr>
              <w:t>Mean Hourly Wage</w:t>
            </w:r>
          </w:p>
        </w:tc>
        <w:tc>
          <w:tcPr>
            <w:tcW w:w="1170" w:type="dxa"/>
            <w:shd w:val="clear" w:color="auto" w:fill="auto"/>
          </w:tcPr>
          <w:p w14:paraId="3CE46ED1" w14:textId="77777777" w:rsidR="001F2E95" w:rsidRPr="005B5F40" w:rsidRDefault="001F2E95" w:rsidP="003D3BF0">
            <w:pPr>
              <w:spacing w:after="0" w:line="240" w:lineRule="auto"/>
              <w:rPr>
                <w:rFonts w:cs="Times New Roman"/>
                <w:b/>
                <w:sz w:val="20"/>
                <w:szCs w:val="20"/>
              </w:rPr>
            </w:pPr>
            <w:r w:rsidRPr="005B5F40">
              <w:rPr>
                <w:rFonts w:cs="Times New Roman"/>
                <w:b/>
                <w:sz w:val="20"/>
                <w:szCs w:val="20"/>
              </w:rPr>
              <w:t>Fringe Benefit</w:t>
            </w:r>
          </w:p>
        </w:tc>
        <w:tc>
          <w:tcPr>
            <w:tcW w:w="1980" w:type="dxa"/>
          </w:tcPr>
          <w:p w14:paraId="227C230A" w14:textId="77777777" w:rsidR="001F2E95" w:rsidRPr="005B5F40" w:rsidRDefault="001F2E95" w:rsidP="003D3BF0">
            <w:pPr>
              <w:spacing w:after="0" w:line="240" w:lineRule="auto"/>
              <w:rPr>
                <w:rFonts w:cs="Times New Roman"/>
                <w:b/>
                <w:sz w:val="20"/>
                <w:szCs w:val="20"/>
              </w:rPr>
            </w:pPr>
            <w:r w:rsidRPr="005B5F40">
              <w:rPr>
                <w:rFonts w:cs="Times New Roman"/>
                <w:b/>
                <w:sz w:val="20"/>
                <w:szCs w:val="20"/>
              </w:rPr>
              <w:t>Adjusted Hourly Wage</w:t>
            </w:r>
          </w:p>
        </w:tc>
      </w:tr>
      <w:tr w:rsidR="001F2E95" w:rsidRPr="005B5F40" w14:paraId="6158993E" w14:textId="77777777" w:rsidTr="001F2E95">
        <w:tc>
          <w:tcPr>
            <w:tcW w:w="3240" w:type="dxa"/>
            <w:shd w:val="clear" w:color="auto" w:fill="auto"/>
          </w:tcPr>
          <w:p w14:paraId="399857E0" w14:textId="161D7D49" w:rsidR="001F2E95" w:rsidRPr="005B5F40" w:rsidRDefault="001F2E95" w:rsidP="003D3BF0">
            <w:pPr>
              <w:spacing w:after="0" w:line="240" w:lineRule="auto"/>
              <w:rPr>
                <w:rFonts w:cs="Times New Roman"/>
                <w:sz w:val="20"/>
                <w:szCs w:val="20"/>
              </w:rPr>
            </w:pPr>
            <w:r w:rsidRPr="005B5F40">
              <w:rPr>
                <w:rFonts w:cs="Times New Roman"/>
                <w:sz w:val="20"/>
                <w:szCs w:val="20"/>
              </w:rPr>
              <w:t>Business Operations Specialist</w:t>
            </w:r>
          </w:p>
        </w:tc>
        <w:tc>
          <w:tcPr>
            <w:tcW w:w="1440" w:type="dxa"/>
            <w:shd w:val="clear" w:color="auto" w:fill="auto"/>
          </w:tcPr>
          <w:p w14:paraId="247008FD" w14:textId="594BF13D" w:rsidR="001F2E95" w:rsidRPr="005B5F40" w:rsidRDefault="001F2E95" w:rsidP="003D3BF0">
            <w:pPr>
              <w:spacing w:after="0" w:line="240" w:lineRule="auto"/>
              <w:rPr>
                <w:rFonts w:cs="Times New Roman"/>
                <w:sz w:val="20"/>
                <w:szCs w:val="20"/>
              </w:rPr>
            </w:pPr>
            <w:r w:rsidRPr="005B5F40">
              <w:rPr>
                <w:rFonts w:cs="Times New Roman"/>
                <w:sz w:val="20"/>
                <w:szCs w:val="20"/>
              </w:rPr>
              <w:t>13-1199</w:t>
            </w:r>
          </w:p>
        </w:tc>
        <w:tc>
          <w:tcPr>
            <w:tcW w:w="1170" w:type="dxa"/>
            <w:shd w:val="clear" w:color="auto" w:fill="auto"/>
          </w:tcPr>
          <w:p w14:paraId="791598DD" w14:textId="2CF9B60A" w:rsidR="001F2E95" w:rsidRPr="005B5F40" w:rsidRDefault="009F4B2A" w:rsidP="003D3BF0">
            <w:pPr>
              <w:spacing w:after="0" w:line="240" w:lineRule="auto"/>
              <w:rPr>
                <w:rFonts w:cs="Times New Roman"/>
                <w:sz w:val="20"/>
                <w:szCs w:val="20"/>
              </w:rPr>
            </w:pPr>
            <w:r w:rsidRPr="005B5F40">
              <w:rPr>
                <w:rFonts w:cs="Times New Roman"/>
                <w:sz w:val="20"/>
                <w:szCs w:val="20"/>
              </w:rPr>
              <w:t>35.33</w:t>
            </w:r>
          </w:p>
        </w:tc>
        <w:tc>
          <w:tcPr>
            <w:tcW w:w="1170" w:type="dxa"/>
            <w:shd w:val="clear" w:color="auto" w:fill="auto"/>
          </w:tcPr>
          <w:p w14:paraId="4C965703" w14:textId="01D19E7C" w:rsidR="001F2E95" w:rsidRPr="005B5F40" w:rsidRDefault="009F4B2A" w:rsidP="003D3BF0">
            <w:pPr>
              <w:spacing w:after="0" w:line="240" w:lineRule="auto"/>
              <w:rPr>
                <w:rFonts w:cs="Times New Roman"/>
                <w:sz w:val="20"/>
                <w:szCs w:val="20"/>
              </w:rPr>
            </w:pPr>
            <w:r w:rsidRPr="005B5F40">
              <w:rPr>
                <w:rFonts w:cs="Times New Roman"/>
                <w:sz w:val="20"/>
                <w:szCs w:val="20"/>
              </w:rPr>
              <w:t>35.33</w:t>
            </w:r>
          </w:p>
        </w:tc>
        <w:tc>
          <w:tcPr>
            <w:tcW w:w="1980" w:type="dxa"/>
          </w:tcPr>
          <w:p w14:paraId="3E94EA54" w14:textId="6B074D90" w:rsidR="001F2E95" w:rsidRPr="005B5F40" w:rsidRDefault="007A6698" w:rsidP="003D3BF0">
            <w:pPr>
              <w:spacing w:after="0" w:line="240" w:lineRule="auto"/>
              <w:rPr>
                <w:rFonts w:cs="Times New Roman"/>
                <w:sz w:val="20"/>
                <w:szCs w:val="20"/>
              </w:rPr>
            </w:pPr>
            <w:r w:rsidRPr="005B5F40">
              <w:rPr>
                <w:rFonts w:cs="Times New Roman"/>
                <w:sz w:val="20"/>
                <w:szCs w:val="20"/>
              </w:rPr>
              <w:t>70.66</w:t>
            </w:r>
          </w:p>
        </w:tc>
      </w:tr>
    </w:tbl>
    <w:p w14:paraId="1C0B73A0" w14:textId="77777777" w:rsidR="007F4CFF" w:rsidRDefault="007F4CFF" w:rsidP="007F4CFF">
      <w:pPr>
        <w:spacing w:after="0" w:line="240" w:lineRule="auto"/>
        <w:rPr>
          <w:szCs w:val="24"/>
        </w:rPr>
      </w:pPr>
    </w:p>
    <w:p w14:paraId="7E5F8A67" w14:textId="77777777" w:rsidR="007F4CFF" w:rsidRDefault="007F4CFF" w:rsidP="007F4CFF">
      <w:pPr>
        <w:spacing w:after="0" w:line="240" w:lineRule="auto"/>
      </w:pPr>
      <w:r w:rsidRPr="007D62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324D83FC" w14:textId="77777777" w:rsidR="007F4CFF" w:rsidRDefault="007F4CFF" w:rsidP="007F4CFF">
      <w:pPr>
        <w:spacing w:after="0" w:line="240" w:lineRule="auto"/>
        <w:rPr>
          <w:szCs w:val="24"/>
        </w:rPr>
      </w:pPr>
    </w:p>
    <w:p w14:paraId="62CD2A0B" w14:textId="7229D118" w:rsidR="007F4CFF" w:rsidRPr="002E2118" w:rsidRDefault="0039476D" w:rsidP="007F4CFF">
      <w:pPr>
        <w:spacing w:after="0" w:line="240" w:lineRule="auto"/>
        <w:rPr>
          <w:i/>
        </w:rPr>
      </w:pPr>
      <w:r>
        <w:rPr>
          <w:i/>
        </w:rPr>
        <w:t xml:space="preserve">D.2. </w:t>
      </w:r>
      <w:r w:rsidR="007F4CFF">
        <w:rPr>
          <w:i/>
        </w:rPr>
        <w:t>Burden Estimate</w:t>
      </w:r>
    </w:p>
    <w:p w14:paraId="73D2DD7B" w14:textId="77777777" w:rsidR="007F4CFF" w:rsidRDefault="007F4CFF" w:rsidP="007F4CFF">
      <w:pPr>
        <w:spacing w:after="0" w:line="240" w:lineRule="auto"/>
      </w:pPr>
    </w:p>
    <w:p w14:paraId="6A7B2DFC" w14:textId="579CEC45" w:rsidR="00CC233A" w:rsidRDefault="00EE237F" w:rsidP="005B5F40">
      <w:pPr>
        <w:pStyle w:val="BodyText"/>
        <w:ind w:left="0" w:right="136"/>
      </w:pPr>
      <w:r w:rsidRPr="00EE237F">
        <w:t>W</w:t>
      </w:r>
      <w:r w:rsidR="00CC233A" w:rsidRPr="00EE237F">
        <w:t xml:space="preserve">e require the states to </w:t>
      </w:r>
      <w:r w:rsidR="00CC233A" w:rsidRPr="00EE237F">
        <w:rPr>
          <w:rFonts w:cs="Times New Roman"/>
        </w:rPr>
        <w:t>replace the term, “estimated acquisition</w:t>
      </w:r>
      <w:r w:rsidR="00CC233A" w:rsidRPr="00EE237F">
        <w:rPr>
          <w:rFonts w:cs="Times New Roman"/>
          <w:spacing w:val="-6"/>
        </w:rPr>
        <w:t xml:space="preserve"> </w:t>
      </w:r>
      <w:r w:rsidR="00CC233A" w:rsidRPr="00EE237F">
        <w:rPr>
          <w:rFonts w:cs="Times New Roman"/>
        </w:rPr>
        <w:t xml:space="preserve">cost” </w:t>
      </w:r>
      <w:r w:rsidR="00CC233A" w:rsidRPr="00EE237F">
        <w:t xml:space="preserve">(EAC) </w:t>
      </w:r>
      <w:r w:rsidR="00CC233A" w:rsidRPr="00EE237F">
        <w:rPr>
          <w:rFonts w:cs="Times New Roman"/>
        </w:rPr>
        <w:t>with “actual acquisition cost” (AAC</w:t>
      </w:r>
      <w:r w:rsidR="00CC233A" w:rsidRPr="00EE237F">
        <w:t xml:space="preserve">) and </w:t>
      </w:r>
      <w:r w:rsidR="00CC233A" w:rsidRPr="00EE237F">
        <w:rPr>
          <w:rFonts w:cs="Times New Roman"/>
        </w:rPr>
        <w:t>to define AAC as “the agency’s</w:t>
      </w:r>
      <w:r w:rsidR="00CC233A" w:rsidRPr="00EE237F">
        <w:rPr>
          <w:rFonts w:cs="Times New Roman"/>
          <w:spacing w:val="-11"/>
        </w:rPr>
        <w:t xml:space="preserve"> </w:t>
      </w:r>
      <w:r w:rsidR="00CC233A" w:rsidRPr="00EE237F">
        <w:rPr>
          <w:rFonts w:cs="Times New Roman"/>
        </w:rPr>
        <w:t>determination of the pharmacy providers’ actual prices paid to acquire drug products marketed or sold</w:t>
      </w:r>
      <w:r w:rsidR="00CC233A" w:rsidRPr="00EE237F">
        <w:rPr>
          <w:rFonts w:cs="Times New Roman"/>
          <w:spacing w:val="-11"/>
        </w:rPr>
        <w:t xml:space="preserve"> </w:t>
      </w:r>
      <w:r w:rsidR="00CC233A" w:rsidRPr="00EE237F">
        <w:rPr>
          <w:rFonts w:cs="Times New Roman"/>
        </w:rPr>
        <w:t xml:space="preserve">by </w:t>
      </w:r>
      <w:r w:rsidR="00CC233A" w:rsidRPr="00EE237F">
        <w:t>specific drug manufacturers</w:t>
      </w:r>
      <w:r w:rsidR="00CC233A" w:rsidRPr="00EE237F">
        <w:rPr>
          <w:rFonts w:cs="Times New Roman"/>
        </w:rPr>
        <w:t xml:space="preserve">” in their state plans. </w:t>
      </w:r>
      <w:r w:rsidR="00CC233A" w:rsidRPr="00EE237F">
        <w:t>We also require the states to replace the</w:t>
      </w:r>
      <w:r w:rsidR="00CC233A" w:rsidRPr="00EE237F">
        <w:rPr>
          <w:spacing w:val="-9"/>
        </w:rPr>
        <w:t xml:space="preserve"> </w:t>
      </w:r>
      <w:r w:rsidR="00CC233A" w:rsidRPr="00EE237F">
        <w:t xml:space="preserve">term </w:t>
      </w:r>
      <w:r w:rsidR="00CC233A" w:rsidRPr="00EE237F">
        <w:rPr>
          <w:rFonts w:cs="Times New Roman"/>
        </w:rPr>
        <w:t>“dispensing fee” with “professional dispensing fee” as the drug ingredient cost is only</w:t>
      </w:r>
      <w:r w:rsidR="00CC233A" w:rsidRPr="00EE237F">
        <w:rPr>
          <w:rFonts w:cs="Times New Roman"/>
          <w:spacing w:val="-16"/>
        </w:rPr>
        <w:t xml:space="preserve"> </w:t>
      </w:r>
      <w:r w:rsidR="00CC233A" w:rsidRPr="00EE237F">
        <w:rPr>
          <w:rFonts w:cs="Times New Roman"/>
        </w:rPr>
        <w:t xml:space="preserve">one </w:t>
      </w:r>
      <w:r w:rsidR="00CC233A" w:rsidRPr="00EE237F">
        <w:t>component of the two-part formula used to reimburse pharmacies for prescribed drugs</w:t>
      </w:r>
      <w:r w:rsidR="00CC233A" w:rsidRPr="00EE237F">
        <w:rPr>
          <w:spacing w:val="-13"/>
        </w:rPr>
        <w:t xml:space="preserve"> </w:t>
      </w:r>
      <w:r w:rsidR="00CC233A" w:rsidRPr="00EE237F">
        <w:t>dispensed to Medicaid beneficiaries in their state plans. We further require states to reconsider</w:t>
      </w:r>
      <w:r w:rsidR="00CC233A" w:rsidRPr="00EE237F">
        <w:rPr>
          <w:spacing w:val="-9"/>
        </w:rPr>
        <w:t xml:space="preserve"> </w:t>
      </w:r>
      <w:r w:rsidR="00CC233A" w:rsidRPr="00EE237F">
        <w:t>the dispensing fee methodology consistent with the revised requirements.</w:t>
      </w:r>
      <w:r w:rsidR="004D1D86" w:rsidRPr="00EE237F">
        <w:t xml:space="preserve"> The definitions of AAC and professional dispensing fee are revised.</w:t>
      </w:r>
    </w:p>
    <w:p w14:paraId="54BF11B4" w14:textId="77777777" w:rsidR="00CF0A2F" w:rsidRDefault="00CF0A2F" w:rsidP="00CF0A2F">
      <w:pPr>
        <w:spacing w:after="0" w:line="240" w:lineRule="auto"/>
      </w:pPr>
      <w:bookmarkStart w:id="0" w:name="_GoBack"/>
      <w:bookmarkEnd w:id="0"/>
    </w:p>
    <w:p w14:paraId="41171582" w14:textId="596F919D" w:rsidR="00CF0A2F" w:rsidRDefault="00925F7E" w:rsidP="00CF0A2F">
      <w:pPr>
        <w:spacing w:after="0" w:line="240" w:lineRule="auto"/>
      </w:pPr>
      <w:r>
        <w:t>W</w:t>
      </w:r>
      <w:r w:rsidR="00CF0A2F">
        <w:t xml:space="preserve">e </w:t>
      </w:r>
      <w:r>
        <w:t xml:space="preserve">have also </w:t>
      </w:r>
      <w:r w:rsidR="00CF0A2F">
        <w:t>revis</w:t>
      </w:r>
      <w:r>
        <w:t>ed</w:t>
      </w:r>
      <w:r w:rsidR="00CF0A2F">
        <w:t xml:space="preserve"> the methodology we will use to calculate the FUL.  Specifically, the FUL will be calculated at an amount equal to 175 percent of the weighted average of the most recently reported monthly AMPs for pharmaceutically and therapeutically equivalent multiple source drugs, except where that amount is less than the average retail community pharmacies' acquisition cost for such drug products as determined by the most current national survey of such costs.  In situations where the FUL is less than the average retail community pharmacies' acquisition cost, we will establish the FUL using a higher multiplier so that the FUL amount would equal the average retail community pharmacies' acquisition cost as determined by the most current national survey of such costs.</w:t>
      </w:r>
    </w:p>
    <w:p w14:paraId="2DA10461" w14:textId="77777777" w:rsidR="00CF0A2F" w:rsidRDefault="00CF0A2F" w:rsidP="00CF0A2F">
      <w:pPr>
        <w:spacing w:after="0" w:line="240" w:lineRule="auto"/>
      </w:pPr>
    </w:p>
    <w:p w14:paraId="1531C326" w14:textId="22003794" w:rsidR="00CF0A2F" w:rsidRDefault="00CF0A2F" w:rsidP="00CF0A2F">
      <w:pPr>
        <w:spacing w:after="0" w:line="240" w:lineRule="auto"/>
      </w:pPr>
      <w:r>
        <w:t xml:space="preserve">As a result of these changes, states </w:t>
      </w:r>
      <w:r w:rsidR="00925F7E">
        <w:t xml:space="preserve">must </w:t>
      </w:r>
      <w:r>
        <w:t xml:space="preserve">consider both the ingredient cost reimbursement and the professional dispensing fee reimbursement when proposing changes to either or both of these components of the reimbursement for Medicaid covered drugs to ensure that total reimbursement to the pharmacy provider is in accordance with the requirements under section 1902(a)(30)(A) of the </w:t>
      </w:r>
      <w:r w:rsidR="00091F6F" w:rsidRPr="00091F6F">
        <w:t>Social Security Act</w:t>
      </w:r>
      <w:r>
        <w:t>.  In addition, states must submit to CMS the proposed change in reimbursement and the supporting data through a SPA through the formal review process.</w:t>
      </w:r>
    </w:p>
    <w:p w14:paraId="37E237C6" w14:textId="77777777" w:rsidR="00B26C62" w:rsidRDefault="00B26C62" w:rsidP="00CF0A2F">
      <w:pPr>
        <w:spacing w:after="0" w:line="240" w:lineRule="auto"/>
      </w:pPr>
    </w:p>
    <w:p w14:paraId="344E05DA" w14:textId="5AA82387" w:rsidR="00B26C62" w:rsidRDefault="00CC233A" w:rsidP="00B26C62">
      <w:pPr>
        <w:spacing w:after="0" w:line="240" w:lineRule="auto"/>
      </w:pPr>
      <w:r>
        <w:t>In addition, o</w:t>
      </w:r>
      <w:r w:rsidR="00B26C62">
        <w:t xml:space="preserve">ur definition of the term “states” has been revised to include the territories (the Commonwealth of Puerto Rico, the Virgin Islands, Guam, the Northern Mariana Islands and American Samoa), in addition to the 50 states and the District of Columbia.  Similarly, the term “United States” has been added to include the territories (the Commonwealth of Puerto Rico, the </w:t>
      </w:r>
      <w:r w:rsidR="00B26C62">
        <w:lastRenderedPageBreak/>
        <w:t xml:space="preserve">Virgin Islands, Guam, the Northern Mariana Islands and American Samoa), in addition to the 50 states and the District of Columbia.  </w:t>
      </w:r>
    </w:p>
    <w:p w14:paraId="30435AFB" w14:textId="77777777" w:rsidR="00B26C62" w:rsidRDefault="00B26C62" w:rsidP="00B26C62">
      <w:pPr>
        <w:spacing w:after="0" w:line="240" w:lineRule="auto"/>
      </w:pPr>
    </w:p>
    <w:p w14:paraId="23062068" w14:textId="075EB98A" w:rsidR="00B26C62" w:rsidRDefault="00B26C62" w:rsidP="00B26C62">
      <w:pPr>
        <w:spacing w:after="0" w:line="240" w:lineRule="auto"/>
      </w:pPr>
      <w:r>
        <w:t>As a result, the territories will able to receive drug manufacturer rebates through the MDR program in the same manner that the 50 states and the District of Columbia are currently receiving rebates, beginning 1 year after the effective date of the CMS-2345-FC final rule</w:t>
      </w:r>
      <w:r w:rsidR="00232987">
        <w:t>, namely April 1, 2017</w:t>
      </w:r>
      <w:r>
        <w:t>.</w:t>
      </w:r>
    </w:p>
    <w:p w14:paraId="0C8228AA" w14:textId="77777777" w:rsidR="00CF0A2F" w:rsidRDefault="00CF0A2F" w:rsidP="00CF0A2F">
      <w:pPr>
        <w:spacing w:after="0" w:line="240" w:lineRule="auto"/>
      </w:pPr>
    </w:p>
    <w:p w14:paraId="6168FF6A" w14:textId="77777777" w:rsidR="00EE4003" w:rsidRDefault="00CF0A2F" w:rsidP="00CF0A2F">
      <w:pPr>
        <w:spacing w:after="0" w:line="240" w:lineRule="auto"/>
      </w:pPr>
      <w:r>
        <w:t>We recognize that there will be some additional burden to the states to implement the new AAC and professional dispensing fee requirements as well as the new reimbursements for the FULs and other federal programs, such as 340B, IHS, and I/T/U.  This burden may include the time and cost for administrative processes and requirements such as legislative and regulatory action, operational changes, and the submission of a SPA for formal review</w:t>
      </w:r>
      <w:r w:rsidR="00091F6F">
        <w:t xml:space="preserve">. </w:t>
      </w:r>
    </w:p>
    <w:p w14:paraId="6F35F1B5" w14:textId="77777777" w:rsidR="0066172A" w:rsidRDefault="0066172A" w:rsidP="00CF0A2F">
      <w:pPr>
        <w:spacing w:after="0" w:line="240" w:lineRule="auto"/>
      </w:pPr>
    </w:p>
    <w:p w14:paraId="1B3844BF" w14:textId="2892F1F5" w:rsidR="00F12511" w:rsidRDefault="00091F6F" w:rsidP="00CF0A2F">
      <w:pPr>
        <w:spacing w:after="0" w:line="240" w:lineRule="auto"/>
      </w:pPr>
      <w:r>
        <w:t>F</w:t>
      </w:r>
      <w:r w:rsidR="00CF0A2F">
        <w:t>or these burdens</w:t>
      </w:r>
      <w:r>
        <w:t xml:space="preserve">, we </w:t>
      </w:r>
      <w:r w:rsidR="00CF0A2F">
        <w:t xml:space="preserve">believe it will take a </w:t>
      </w:r>
      <w:r w:rsidR="00D15F2E">
        <w:t>b</w:t>
      </w:r>
      <w:r w:rsidR="00CF0A2F">
        <w:t xml:space="preserve">usiness </w:t>
      </w:r>
      <w:r w:rsidR="00D15F2E">
        <w:t>o</w:t>
      </w:r>
      <w:r w:rsidR="00CF0A2F">
        <w:t xml:space="preserve">perations </w:t>
      </w:r>
      <w:r w:rsidR="00D15F2E">
        <w:t>s</w:t>
      </w:r>
      <w:r w:rsidR="00CF0A2F">
        <w:t>pecialist 300 hours at $70.</w:t>
      </w:r>
      <w:r w:rsidR="00A17F68">
        <w:t>66</w:t>
      </w:r>
      <w:r w:rsidR="00CF0A2F">
        <w:t>/hr for a one-time total of 16,800 hours (56 states x 300 hours) at a cost of $</w:t>
      </w:r>
      <w:r w:rsidR="00216927" w:rsidRPr="00216927">
        <w:t>1</w:t>
      </w:r>
      <w:r w:rsidR="00216927">
        <w:t>,</w:t>
      </w:r>
      <w:r w:rsidR="00216927" w:rsidRPr="00216927">
        <w:t>187</w:t>
      </w:r>
      <w:r w:rsidR="00216927">
        <w:t>,</w:t>
      </w:r>
      <w:r w:rsidR="00216927" w:rsidRPr="00216927">
        <w:t>088</w:t>
      </w:r>
      <w:r w:rsidR="00CF0A2F">
        <w:t xml:space="preserve">.  </w:t>
      </w:r>
      <w:r w:rsidR="0091368F">
        <w:t>Our 300 hour estimate is based on our experience with state plan amendments.</w:t>
      </w:r>
      <w:r w:rsidR="00EE4003">
        <w:t xml:space="preserve"> </w:t>
      </w:r>
      <w:r w:rsidR="00CF0A2F">
        <w:t>Once the state has submitted and CMS has approved the SPA, there should be no additional burden in time or effort for the states other than that which already exists.</w:t>
      </w:r>
    </w:p>
    <w:p w14:paraId="09B43670" w14:textId="77777777" w:rsidR="008111D2" w:rsidRDefault="008111D2" w:rsidP="00367E62">
      <w:pPr>
        <w:spacing w:after="0" w:line="240" w:lineRule="auto"/>
      </w:pPr>
    </w:p>
    <w:p w14:paraId="551DC0C2" w14:textId="766F4129" w:rsidR="0039476D" w:rsidRPr="00E36CB2" w:rsidRDefault="0039476D" w:rsidP="00367E62">
      <w:pPr>
        <w:spacing w:after="0" w:line="240" w:lineRule="auto"/>
        <w:rPr>
          <w:i/>
        </w:rPr>
      </w:pPr>
      <w:r w:rsidRPr="00E36CB2">
        <w:rPr>
          <w:i/>
        </w:rPr>
        <w:t>D.</w:t>
      </w:r>
      <w:r w:rsidR="00725A75" w:rsidRPr="00E36CB2">
        <w:rPr>
          <w:i/>
        </w:rPr>
        <w:t>3</w:t>
      </w:r>
      <w:r w:rsidR="00E36CB2" w:rsidRPr="00E36CB2">
        <w:rPr>
          <w:i/>
        </w:rPr>
        <w:t>. Information Collection Instruments and Associated Materials</w:t>
      </w:r>
    </w:p>
    <w:p w14:paraId="28589C6D" w14:textId="77777777" w:rsidR="0039476D" w:rsidRPr="00E36CB2" w:rsidRDefault="0039476D" w:rsidP="00367E62">
      <w:pPr>
        <w:spacing w:after="0" w:line="240" w:lineRule="auto"/>
      </w:pPr>
    </w:p>
    <w:p w14:paraId="6A75CB66" w14:textId="2547FFEB" w:rsidR="0039476D" w:rsidRPr="00E36CB2" w:rsidRDefault="00602349" w:rsidP="00367E62">
      <w:pPr>
        <w:spacing w:after="0" w:line="240" w:lineRule="auto"/>
      </w:pPr>
      <w:r w:rsidRPr="00E36CB2">
        <w:t>Summary of Medicaid Pharmacy State Plan Requirements (dated June 13, 2016)</w:t>
      </w:r>
    </w:p>
    <w:p w14:paraId="44090509" w14:textId="77777777" w:rsidR="0039476D" w:rsidRPr="00E36CB2" w:rsidRDefault="0039476D" w:rsidP="00367E62">
      <w:pPr>
        <w:spacing w:after="0" w:line="240" w:lineRule="auto"/>
      </w:pPr>
    </w:p>
    <w:p w14:paraId="09B43671" w14:textId="77777777" w:rsidR="007D6E75" w:rsidRPr="00E36CB2" w:rsidRDefault="007D6E75" w:rsidP="00F54374">
      <w:pPr>
        <w:pStyle w:val="Heading1"/>
      </w:pPr>
      <w:r w:rsidRPr="00E36CB2">
        <w:t>E. Timeline</w:t>
      </w:r>
    </w:p>
    <w:p w14:paraId="09B43672" w14:textId="58043377" w:rsidR="003248D0" w:rsidRPr="00E36CB2" w:rsidRDefault="003248D0" w:rsidP="008111D2">
      <w:pPr>
        <w:spacing w:after="0" w:line="240" w:lineRule="auto"/>
        <w:rPr>
          <w:szCs w:val="24"/>
        </w:rPr>
      </w:pPr>
    </w:p>
    <w:p w14:paraId="09B43676" w14:textId="5977E011" w:rsidR="00D12ABB" w:rsidRDefault="00602349" w:rsidP="00270765">
      <w:pPr>
        <w:spacing w:after="0" w:line="240" w:lineRule="auto"/>
        <w:rPr>
          <w:szCs w:val="24"/>
        </w:rPr>
      </w:pPr>
      <w:r w:rsidRPr="00E36CB2">
        <w:rPr>
          <w:szCs w:val="24"/>
        </w:rPr>
        <w:t>n/a</w:t>
      </w:r>
    </w:p>
    <w:p w14:paraId="2A7D158A" w14:textId="77777777" w:rsidR="00E36CB2" w:rsidRDefault="00E36CB2" w:rsidP="00270765">
      <w:pPr>
        <w:spacing w:after="0" w:line="240" w:lineRule="auto"/>
        <w:rPr>
          <w:szCs w:val="24"/>
        </w:rPr>
      </w:pPr>
    </w:p>
    <w:sectPr w:rsidR="00E36CB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43679" w14:textId="77777777" w:rsidR="008111D2" w:rsidRDefault="008111D2" w:rsidP="008111D2">
      <w:pPr>
        <w:spacing w:after="0" w:line="240" w:lineRule="auto"/>
      </w:pPr>
      <w:r>
        <w:separator/>
      </w:r>
    </w:p>
  </w:endnote>
  <w:endnote w:type="continuationSeparator" w:id="0">
    <w:p w14:paraId="09B4367A" w14:textId="77777777"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43677" w14:textId="77777777" w:rsidR="008111D2" w:rsidRDefault="008111D2" w:rsidP="008111D2">
      <w:pPr>
        <w:spacing w:after="0" w:line="240" w:lineRule="auto"/>
      </w:pPr>
      <w:r>
        <w:separator/>
      </w:r>
    </w:p>
  </w:footnote>
  <w:footnote w:type="continuationSeparator" w:id="0">
    <w:p w14:paraId="09B43678" w14:textId="77777777"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62BD"/>
    <w:rsid w:val="00043D0E"/>
    <w:rsid w:val="00061643"/>
    <w:rsid w:val="000712B4"/>
    <w:rsid w:val="00071F02"/>
    <w:rsid w:val="00091F6F"/>
    <w:rsid w:val="000974B5"/>
    <w:rsid w:val="000D1CFD"/>
    <w:rsid w:val="000E55DA"/>
    <w:rsid w:val="00111672"/>
    <w:rsid w:val="001213D3"/>
    <w:rsid w:val="00122C0E"/>
    <w:rsid w:val="00143488"/>
    <w:rsid w:val="00147A21"/>
    <w:rsid w:val="00164ADF"/>
    <w:rsid w:val="00175A39"/>
    <w:rsid w:val="00185CB4"/>
    <w:rsid w:val="001A1FC6"/>
    <w:rsid w:val="001D197A"/>
    <w:rsid w:val="001E1FA0"/>
    <w:rsid w:val="001E66B6"/>
    <w:rsid w:val="001F2628"/>
    <w:rsid w:val="001F2E95"/>
    <w:rsid w:val="0020026D"/>
    <w:rsid w:val="00216927"/>
    <w:rsid w:val="00222B4F"/>
    <w:rsid w:val="00232987"/>
    <w:rsid w:val="002409B9"/>
    <w:rsid w:val="00252D20"/>
    <w:rsid w:val="00262B47"/>
    <w:rsid w:val="00270765"/>
    <w:rsid w:val="0027114C"/>
    <w:rsid w:val="002905B7"/>
    <w:rsid w:val="002F2D6D"/>
    <w:rsid w:val="003248D0"/>
    <w:rsid w:val="00325F87"/>
    <w:rsid w:val="00335313"/>
    <w:rsid w:val="00347873"/>
    <w:rsid w:val="00350674"/>
    <w:rsid w:val="003627C8"/>
    <w:rsid w:val="00367E62"/>
    <w:rsid w:val="003918B4"/>
    <w:rsid w:val="0039476D"/>
    <w:rsid w:val="003F4D04"/>
    <w:rsid w:val="00402C40"/>
    <w:rsid w:val="00405CF9"/>
    <w:rsid w:val="00432C17"/>
    <w:rsid w:val="00465B2D"/>
    <w:rsid w:val="00467E98"/>
    <w:rsid w:val="00471659"/>
    <w:rsid w:val="00474257"/>
    <w:rsid w:val="00475EF8"/>
    <w:rsid w:val="00483058"/>
    <w:rsid w:val="004A0A30"/>
    <w:rsid w:val="004A1200"/>
    <w:rsid w:val="004B13E8"/>
    <w:rsid w:val="004D1D86"/>
    <w:rsid w:val="004E12F1"/>
    <w:rsid w:val="0052333E"/>
    <w:rsid w:val="0052552A"/>
    <w:rsid w:val="00526C4D"/>
    <w:rsid w:val="00573328"/>
    <w:rsid w:val="00597229"/>
    <w:rsid w:val="005B380A"/>
    <w:rsid w:val="005B5F40"/>
    <w:rsid w:val="005B6A37"/>
    <w:rsid w:val="005C580D"/>
    <w:rsid w:val="005D001F"/>
    <w:rsid w:val="005E3B79"/>
    <w:rsid w:val="005E52BE"/>
    <w:rsid w:val="00602349"/>
    <w:rsid w:val="006026DA"/>
    <w:rsid w:val="00646D8B"/>
    <w:rsid w:val="00647812"/>
    <w:rsid w:val="0064796A"/>
    <w:rsid w:val="0066172A"/>
    <w:rsid w:val="00671F0E"/>
    <w:rsid w:val="00684107"/>
    <w:rsid w:val="00685368"/>
    <w:rsid w:val="006B7E89"/>
    <w:rsid w:val="006C0B96"/>
    <w:rsid w:val="006C4626"/>
    <w:rsid w:val="006D6A5D"/>
    <w:rsid w:val="006F4FF9"/>
    <w:rsid w:val="00707666"/>
    <w:rsid w:val="0071650B"/>
    <w:rsid w:val="00716824"/>
    <w:rsid w:val="00723A9E"/>
    <w:rsid w:val="00725A75"/>
    <w:rsid w:val="00775D37"/>
    <w:rsid w:val="00785D49"/>
    <w:rsid w:val="007A6698"/>
    <w:rsid w:val="007D6E75"/>
    <w:rsid w:val="007F1711"/>
    <w:rsid w:val="007F4CFF"/>
    <w:rsid w:val="0080230C"/>
    <w:rsid w:val="00802598"/>
    <w:rsid w:val="008111D2"/>
    <w:rsid w:val="00836E8F"/>
    <w:rsid w:val="00837184"/>
    <w:rsid w:val="00865D42"/>
    <w:rsid w:val="00873459"/>
    <w:rsid w:val="00876C6E"/>
    <w:rsid w:val="0088756F"/>
    <w:rsid w:val="008C11BC"/>
    <w:rsid w:val="008D52D1"/>
    <w:rsid w:val="008E6143"/>
    <w:rsid w:val="008F2AED"/>
    <w:rsid w:val="009004E1"/>
    <w:rsid w:val="00911C3B"/>
    <w:rsid w:val="0091368F"/>
    <w:rsid w:val="00922FB9"/>
    <w:rsid w:val="00925F7E"/>
    <w:rsid w:val="0095297C"/>
    <w:rsid w:val="009903AB"/>
    <w:rsid w:val="009B19E8"/>
    <w:rsid w:val="009C2F36"/>
    <w:rsid w:val="009E0348"/>
    <w:rsid w:val="009E28B5"/>
    <w:rsid w:val="009E3FAC"/>
    <w:rsid w:val="009F4B2A"/>
    <w:rsid w:val="009F533C"/>
    <w:rsid w:val="009F6FD9"/>
    <w:rsid w:val="00A138F7"/>
    <w:rsid w:val="00A17F68"/>
    <w:rsid w:val="00A350A0"/>
    <w:rsid w:val="00A718B4"/>
    <w:rsid w:val="00A757AF"/>
    <w:rsid w:val="00AA37EC"/>
    <w:rsid w:val="00AA6DEA"/>
    <w:rsid w:val="00AB01BC"/>
    <w:rsid w:val="00AB0AE8"/>
    <w:rsid w:val="00AD61E6"/>
    <w:rsid w:val="00AE1BD8"/>
    <w:rsid w:val="00B151B4"/>
    <w:rsid w:val="00B216B4"/>
    <w:rsid w:val="00B26C62"/>
    <w:rsid w:val="00B31543"/>
    <w:rsid w:val="00B34B2F"/>
    <w:rsid w:val="00B43BBD"/>
    <w:rsid w:val="00B532F3"/>
    <w:rsid w:val="00B53C17"/>
    <w:rsid w:val="00B87957"/>
    <w:rsid w:val="00BB109D"/>
    <w:rsid w:val="00BC1386"/>
    <w:rsid w:val="00BD32FA"/>
    <w:rsid w:val="00C2142E"/>
    <w:rsid w:val="00C243AB"/>
    <w:rsid w:val="00C40A21"/>
    <w:rsid w:val="00C64B8C"/>
    <w:rsid w:val="00C94C5E"/>
    <w:rsid w:val="00CB241F"/>
    <w:rsid w:val="00CB646D"/>
    <w:rsid w:val="00CC233A"/>
    <w:rsid w:val="00CD4CC1"/>
    <w:rsid w:val="00CF0A2F"/>
    <w:rsid w:val="00CF6C1D"/>
    <w:rsid w:val="00D12ABB"/>
    <w:rsid w:val="00D15F2E"/>
    <w:rsid w:val="00D215B4"/>
    <w:rsid w:val="00D42E31"/>
    <w:rsid w:val="00D434CD"/>
    <w:rsid w:val="00D46C38"/>
    <w:rsid w:val="00D4736A"/>
    <w:rsid w:val="00D64EFD"/>
    <w:rsid w:val="00DD794C"/>
    <w:rsid w:val="00DE6D93"/>
    <w:rsid w:val="00DF098E"/>
    <w:rsid w:val="00E00DC0"/>
    <w:rsid w:val="00E17495"/>
    <w:rsid w:val="00E36CB2"/>
    <w:rsid w:val="00E61782"/>
    <w:rsid w:val="00E83C3E"/>
    <w:rsid w:val="00E93F3F"/>
    <w:rsid w:val="00EA4AB1"/>
    <w:rsid w:val="00EB1115"/>
    <w:rsid w:val="00EE1AD1"/>
    <w:rsid w:val="00EE237F"/>
    <w:rsid w:val="00EE4003"/>
    <w:rsid w:val="00EF3A74"/>
    <w:rsid w:val="00F01D40"/>
    <w:rsid w:val="00F04F6D"/>
    <w:rsid w:val="00F12511"/>
    <w:rsid w:val="00F206B0"/>
    <w:rsid w:val="00F303E4"/>
    <w:rsid w:val="00F34393"/>
    <w:rsid w:val="00F51BDD"/>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3650"/>
  <w15:docId w15:val="{D2C1C7DC-A14E-4908-8E03-A2D16A42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F0A2F"/>
    <w:rPr>
      <w:sz w:val="16"/>
      <w:szCs w:val="16"/>
    </w:rPr>
  </w:style>
  <w:style w:type="paragraph" w:styleId="CommentText">
    <w:name w:val="annotation text"/>
    <w:basedOn w:val="Normal"/>
    <w:link w:val="CommentTextChar"/>
    <w:uiPriority w:val="99"/>
    <w:semiHidden/>
    <w:unhideWhenUsed/>
    <w:rsid w:val="00CF0A2F"/>
    <w:pPr>
      <w:spacing w:line="240" w:lineRule="auto"/>
    </w:pPr>
    <w:rPr>
      <w:sz w:val="20"/>
      <w:szCs w:val="20"/>
    </w:rPr>
  </w:style>
  <w:style w:type="character" w:customStyle="1" w:styleId="CommentTextChar">
    <w:name w:val="Comment Text Char"/>
    <w:basedOn w:val="DefaultParagraphFont"/>
    <w:link w:val="CommentText"/>
    <w:uiPriority w:val="99"/>
    <w:semiHidden/>
    <w:rsid w:val="00CF0A2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0A2F"/>
    <w:rPr>
      <w:b/>
      <w:bCs/>
    </w:rPr>
  </w:style>
  <w:style w:type="character" w:customStyle="1" w:styleId="CommentSubjectChar">
    <w:name w:val="Comment Subject Char"/>
    <w:basedOn w:val="CommentTextChar"/>
    <w:link w:val="CommentSubject"/>
    <w:uiPriority w:val="99"/>
    <w:semiHidden/>
    <w:rsid w:val="00CF0A2F"/>
    <w:rPr>
      <w:rFonts w:ascii="Times New Roman" w:hAnsi="Times New Roman"/>
      <w:b/>
      <w:bCs/>
      <w:sz w:val="20"/>
      <w:szCs w:val="20"/>
    </w:rPr>
  </w:style>
  <w:style w:type="paragraph" w:styleId="Revision">
    <w:name w:val="Revision"/>
    <w:hidden/>
    <w:uiPriority w:val="99"/>
    <w:semiHidden/>
    <w:rsid w:val="005B380A"/>
    <w:pPr>
      <w:spacing w:after="0" w:line="240" w:lineRule="auto"/>
    </w:pPr>
    <w:rPr>
      <w:rFonts w:ascii="Times New Roman" w:hAnsi="Times New Roman"/>
      <w:sz w:val="24"/>
    </w:rPr>
  </w:style>
  <w:style w:type="paragraph" w:styleId="BodyText">
    <w:name w:val="Body Text"/>
    <w:basedOn w:val="Normal"/>
    <w:link w:val="BodyTextChar"/>
    <w:uiPriority w:val="1"/>
    <w:qFormat/>
    <w:rsid w:val="00CC233A"/>
    <w:pPr>
      <w:widowControl w:val="0"/>
      <w:spacing w:before="10" w:after="0" w:line="240" w:lineRule="auto"/>
      <w:ind w:left="100"/>
    </w:pPr>
    <w:rPr>
      <w:rFonts w:eastAsia="Times New Roman"/>
      <w:szCs w:val="24"/>
    </w:rPr>
  </w:style>
  <w:style w:type="character" w:customStyle="1" w:styleId="BodyTextChar">
    <w:name w:val="Body Text Char"/>
    <w:basedOn w:val="DefaultParagraphFont"/>
    <w:link w:val="BodyText"/>
    <w:uiPriority w:val="1"/>
    <w:rsid w:val="00CC233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F16AC-8646-4BDF-9D8C-49CF48DFBC40}">
  <ds:schemaRefs>
    <ds:schemaRef ds:uri="http://purl.org/dc/elements/1.1/"/>
    <ds:schemaRef ds:uri="http://schemas.microsoft.com/office/2006/documentManagement/typ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4.xml><?xml version="1.0" encoding="utf-8"?>
<ds:datastoreItem xmlns:ds="http://schemas.openxmlformats.org/officeDocument/2006/customXml" ds:itemID="{A157361A-AA27-41C0-BD5A-0E8E82F6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11</cp:revision>
  <cp:lastPrinted>2016-04-21T10:54:00Z</cp:lastPrinted>
  <dcterms:created xsi:type="dcterms:W3CDTF">2016-06-19T11:44:00Z</dcterms:created>
  <dcterms:modified xsi:type="dcterms:W3CDTF">2016-06-19T12:36:00Z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0x0101000C11A5BC1D6FBC4F9C3FC202B0ABB03D</vt:lpwstr>
  </property>
  <property fmtid="{D5CDD505-2E9C-101B-9397-08002B2CF9AE}" pid="3" name="_AdHocReviewCycleID">
    <vt:i4>-669248379</vt:i4>
  </property>
  <property fmtid="{D5CDD505-2E9C-101B-9397-08002B2CF9AE}" pid="4" name="_NewReviewCycle">
    <vt:lpwstr/>
  </property>
  <property fmtid="{D5CDD505-2E9C-101B-9397-08002B2CF9AE}" pid="5" name="_EmailSubject">
    <vt:lpwstr>Action Needed - GenIC #42 Covered Outpatient Drug </vt:lpwstr>
  </property>
  <property fmtid="{D5CDD505-2E9C-101B-9397-08002B2CF9AE}" pid="6" name="_AuthorEmail">
    <vt:lpwstr>Lisa.Ferrandi@cms.hhs.gov</vt:lpwstr>
  </property>
  <property fmtid="{D5CDD505-2E9C-101B-9397-08002B2CF9AE}" pid="7" name="_AuthorEmailDisplayName">
    <vt:lpwstr>Ferrandi, Lisa (CMS/CMCS)</vt:lpwstr>
  </property>
  <property fmtid="{D5CDD505-2E9C-101B-9397-08002B2CF9AE}" pid="8" name="_ReviewingToolsShownOnce">
    <vt:lpwstr/>
  </property>
</Properties>
</file>