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06" w:rsidRDefault="008E797B" w:rsidP="00A42F06">
      <w:pPr>
        <w:jc w:val="center"/>
        <w:rPr>
          <w:b/>
          <w:sz w:val="28"/>
          <w:szCs w:val="28"/>
        </w:rPr>
      </w:pPr>
      <w:r>
        <w:rPr>
          <w:b/>
          <w:sz w:val="28"/>
          <w:szCs w:val="28"/>
        </w:rPr>
        <w:t>Instructions for FMAP Claiming State Plan Amendment</w:t>
      </w:r>
    </w:p>
    <w:p w:rsidR="00666F6A" w:rsidRDefault="00AF6DB3" w:rsidP="00652322">
      <w:pPr>
        <w:pStyle w:val="Default"/>
        <w:rPr>
          <w:rFonts w:asciiTheme="minorHAnsi" w:hAnsiTheme="minorHAnsi"/>
        </w:rPr>
      </w:pPr>
      <w:r>
        <w:rPr>
          <w:rFonts w:asciiTheme="minorHAnsi" w:hAnsiTheme="minorHAnsi"/>
        </w:rPr>
        <w:t xml:space="preserve">This new section of the Medicaid state plan applies only to states that adopt the new adult coverage group described in 42 CFR 435.119.  </w:t>
      </w:r>
      <w:r w:rsidR="00CE4F34">
        <w:rPr>
          <w:rFonts w:asciiTheme="minorHAnsi" w:hAnsiTheme="minorHAnsi"/>
        </w:rPr>
        <w:t>S</w:t>
      </w:r>
      <w:r w:rsidR="008E797B">
        <w:rPr>
          <w:rFonts w:asciiTheme="minorHAnsi" w:hAnsiTheme="minorHAnsi"/>
        </w:rPr>
        <w:t xml:space="preserve">tates that </w:t>
      </w:r>
      <w:r w:rsidR="00CE4F34">
        <w:rPr>
          <w:rFonts w:asciiTheme="minorHAnsi" w:hAnsiTheme="minorHAnsi"/>
        </w:rPr>
        <w:t xml:space="preserve">wish to </w:t>
      </w:r>
      <w:r w:rsidR="008E797B">
        <w:rPr>
          <w:rFonts w:asciiTheme="minorHAnsi" w:hAnsiTheme="minorHAnsi"/>
        </w:rPr>
        <w:t xml:space="preserve">claim newly eligible and/or expansion state FMAP for enrollees in the adult group (42 CFR </w:t>
      </w:r>
      <w:r w:rsidR="008E797B" w:rsidRPr="00267395">
        <w:rPr>
          <w:rFonts w:asciiTheme="minorHAnsi" w:hAnsiTheme="minorHAnsi"/>
        </w:rPr>
        <w:t>43</w:t>
      </w:r>
      <w:r w:rsidR="00C6443F">
        <w:rPr>
          <w:rFonts w:asciiTheme="minorHAnsi" w:hAnsiTheme="minorHAnsi"/>
        </w:rPr>
        <w:t>5</w:t>
      </w:r>
      <w:r w:rsidR="008E797B" w:rsidRPr="00267395">
        <w:rPr>
          <w:rFonts w:asciiTheme="minorHAnsi" w:hAnsiTheme="minorHAnsi"/>
        </w:rPr>
        <w:t>.119</w:t>
      </w:r>
      <w:r w:rsidR="008E797B">
        <w:rPr>
          <w:rFonts w:asciiTheme="minorHAnsi" w:hAnsiTheme="minorHAnsi"/>
        </w:rPr>
        <w:t>)</w:t>
      </w:r>
      <w:r w:rsidR="00275FD1">
        <w:rPr>
          <w:rFonts w:asciiTheme="minorHAnsi" w:hAnsiTheme="minorHAnsi"/>
        </w:rPr>
        <w:t xml:space="preserve"> </w:t>
      </w:r>
      <w:r w:rsidR="00CE4F34">
        <w:rPr>
          <w:rFonts w:asciiTheme="minorHAnsi" w:hAnsiTheme="minorHAnsi"/>
        </w:rPr>
        <w:t>must submit a State Plan Amendment to CMS</w:t>
      </w:r>
      <w:r w:rsidR="003F1EFF">
        <w:rPr>
          <w:rFonts w:asciiTheme="minorHAnsi" w:hAnsiTheme="minorHAnsi"/>
        </w:rPr>
        <w:t>. This State Plan Amendment i</w:t>
      </w:r>
      <w:r w:rsidR="003319EE" w:rsidRPr="003319EE">
        <w:rPr>
          <w:rFonts w:asciiTheme="minorHAnsi" w:hAnsiTheme="minorHAnsi"/>
        </w:rPr>
        <w:t xml:space="preserve">s required by </w:t>
      </w:r>
      <w:r w:rsidR="00FF13C5">
        <w:rPr>
          <w:rFonts w:asciiTheme="minorHAnsi" w:hAnsiTheme="minorHAnsi"/>
        </w:rPr>
        <w:t>42 CFR 433.206(h)</w:t>
      </w:r>
      <w:r w:rsidR="003319EE" w:rsidRPr="003319EE">
        <w:rPr>
          <w:rFonts w:asciiTheme="minorHAnsi" w:hAnsiTheme="minorHAnsi"/>
        </w:rPr>
        <w:t xml:space="preserve">, which requires </w:t>
      </w:r>
      <w:r w:rsidR="00FE64D8">
        <w:rPr>
          <w:rFonts w:asciiTheme="minorHAnsi" w:hAnsiTheme="minorHAnsi"/>
        </w:rPr>
        <w:t xml:space="preserve">a </w:t>
      </w:r>
      <w:r w:rsidR="003319EE" w:rsidRPr="003319EE">
        <w:rPr>
          <w:rFonts w:asciiTheme="minorHAnsi" w:hAnsiTheme="minorHAnsi"/>
        </w:rPr>
        <w:t>state</w:t>
      </w:r>
      <w:r w:rsidR="00FF13C5">
        <w:rPr>
          <w:rFonts w:asciiTheme="minorHAnsi" w:hAnsiTheme="minorHAnsi"/>
        </w:rPr>
        <w:t xml:space="preserve"> that wish</w:t>
      </w:r>
      <w:r w:rsidR="00FE64D8">
        <w:rPr>
          <w:rFonts w:asciiTheme="minorHAnsi" w:hAnsiTheme="minorHAnsi"/>
        </w:rPr>
        <w:t>es</w:t>
      </w:r>
      <w:r w:rsidR="00FF13C5">
        <w:rPr>
          <w:rFonts w:asciiTheme="minorHAnsi" w:hAnsiTheme="minorHAnsi"/>
        </w:rPr>
        <w:t xml:space="preserve"> to claim expenditures at the increased FMAPs made available under the Affordable Care Act</w:t>
      </w:r>
      <w:r w:rsidR="003319EE" w:rsidRPr="003319EE">
        <w:rPr>
          <w:rFonts w:asciiTheme="minorHAnsi" w:hAnsiTheme="minorHAnsi"/>
        </w:rPr>
        <w:t xml:space="preserve"> to submit </w:t>
      </w:r>
      <w:r w:rsidR="00FF13C5">
        <w:rPr>
          <w:rFonts w:asciiTheme="minorHAnsi" w:hAnsiTheme="minorHAnsi"/>
        </w:rPr>
        <w:t>a</w:t>
      </w:r>
      <w:r w:rsidR="00710675">
        <w:rPr>
          <w:rFonts w:asciiTheme="minorHAnsi" w:hAnsiTheme="minorHAnsi"/>
        </w:rPr>
        <w:t xml:space="preserve"> </w:t>
      </w:r>
      <w:r w:rsidR="00FF13C5">
        <w:rPr>
          <w:rFonts w:asciiTheme="minorHAnsi" w:hAnsiTheme="minorHAnsi"/>
        </w:rPr>
        <w:t>S</w:t>
      </w:r>
      <w:r w:rsidR="003319EE" w:rsidRPr="003319EE">
        <w:rPr>
          <w:rFonts w:asciiTheme="minorHAnsi" w:hAnsiTheme="minorHAnsi"/>
        </w:rPr>
        <w:t xml:space="preserve">tate </w:t>
      </w:r>
      <w:r w:rsidR="00FF13C5">
        <w:rPr>
          <w:rFonts w:asciiTheme="minorHAnsi" w:hAnsiTheme="minorHAnsi"/>
        </w:rPr>
        <w:t>P</w:t>
      </w:r>
      <w:r w:rsidR="003319EE" w:rsidRPr="003319EE">
        <w:rPr>
          <w:rFonts w:asciiTheme="minorHAnsi" w:hAnsiTheme="minorHAnsi"/>
        </w:rPr>
        <w:t xml:space="preserve">lan </w:t>
      </w:r>
      <w:r w:rsidR="00FF13C5">
        <w:rPr>
          <w:rFonts w:asciiTheme="minorHAnsi" w:hAnsiTheme="minorHAnsi"/>
        </w:rPr>
        <w:t>A</w:t>
      </w:r>
      <w:r w:rsidR="003319EE" w:rsidRPr="003319EE">
        <w:rPr>
          <w:rFonts w:asciiTheme="minorHAnsi" w:hAnsiTheme="minorHAnsi"/>
        </w:rPr>
        <w:t xml:space="preserve">mendment </w:t>
      </w:r>
      <w:r w:rsidR="00FF13C5">
        <w:rPr>
          <w:rFonts w:asciiTheme="minorHAnsi" w:hAnsiTheme="minorHAnsi"/>
        </w:rPr>
        <w:t xml:space="preserve">describing </w:t>
      </w:r>
      <w:r w:rsidR="00FE64D8">
        <w:rPr>
          <w:rFonts w:asciiTheme="minorHAnsi" w:hAnsiTheme="minorHAnsi"/>
        </w:rPr>
        <w:t>it</w:t>
      </w:r>
      <w:r w:rsidR="00FF13C5">
        <w:rPr>
          <w:rFonts w:asciiTheme="minorHAnsi" w:hAnsiTheme="minorHAnsi"/>
        </w:rPr>
        <w:t>s methodology for determining which expenditures may be claimed at the higher FMAP rates</w:t>
      </w:r>
      <w:r w:rsidR="003319EE">
        <w:rPr>
          <w:rFonts w:asciiTheme="minorHAnsi" w:hAnsiTheme="minorHAnsi"/>
        </w:rPr>
        <w:t xml:space="preserve">. The final rule published </w:t>
      </w:r>
      <w:r w:rsidR="00705498">
        <w:rPr>
          <w:rFonts w:asciiTheme="minorHAnsi" w:hAnsiTheme="minorHAnsi"/>
        </w:rPr>
        <w:t xml:space="preserve">in the Federal Register </w:t>
      </w:r>
      <w:r w:rsidR="00170F1C">
        <w:rPr>
          <w:rFonts w:asciiTheme="minorHAnsi" w:hAnsiTheme="minorHAnsi"/>
        </w:rPr>
        <w:t xml:space="preserve">on </w:t>
      </w:r>
      <w:r w:rsidR="003319EE" w:rsidRPr="003F1EFF">
        <w:rPr>
          <w:rFonts w:asciiTheme="minorHAnsi" w:hAnsiTheme="minorHAnsi"/>
          <w:color w:val="auto"/>
        </w:rPr>
        <w:t>April 2, 201</w:t>
      </w:r>
      <w:r w:rsidR="003319EE">
        <w:rPr>
          <w:rFonts w:asciiTheme="minorHAnsi" w:hAnsiTheme="minorHAnsi"/>
        </w:rPr>
        <w:t xml:space="preserve">3 </w:t>
      </w:r>
      <w:r w:rsidR="00705498">
        <w:rPr>
          <w:rFonts w:asciiTheme="minorHAnsi" w:hAnsiTheme="minorHAnsi"/>
        </w:rPr>
        <w:t xml:space="preserve">(78 FR 19918) </w:t>
      </w:r>
      <w:r w:rsidR="00FF13C5">
        <w:rPr>
          <w:rFonts w:asciiTheme="minorHAnsi" w:hAnsiTheme="minorHAnsi"/>
        </w:rPr>
        <w:t xml:space="preserve">set forth allowable methods for determining which expenditures qualify for </w:t>
      </w:r>
      <w:r w:rsidR="003319EE">
        <w:rPr>
          <w:rFonts w:asciiTheme="minorHAnsi" w:hAnsiTheme="minorHAnsi"/>
        </w:rPr>
        <w:t>increased FMAP</w:t>
      </w:r>
      <w:r w:rsidR="00FF13C5">
        <w:rPr>
          <w:rFonts w:asciiTheme="minorHAnsi" w:hAnsiTheme="minorHAnsi"/>
        </w:rPr>
        <w:t xml:space="preserve"> rates</w:t>
      </w:r>
      <w:r w:rsidR="003319EE">
        <w:rPr>
          <w:rFonts w:asciiTheme="minorHAnsi" w:hAnsiTheme="minorHAnsi"/>
        </w:rPr>
        <w:t>.</w:t>
      </w:r>
      <w:r w:rsidR="003319EE">
        <w:rPr>
          <w:rStyle w:val="FootnoteReference"/>
          <w:rFonts w:asciiTheme="minorHAnsi" w:hAnsiTheme="minorHAnsi"/>
        </w:rPr>
        <w:footnoteReference w:id="1"/>
      </w:r>
      <w:r w:rsidR="005F778C">
        <w:rPr>
          <w:rFonts w:asciiTheme="minorHAnsi" w:hAnsiTheme="minorHAnsi"/>
        </w:rPr>
        <w:t xml:space="preserve"> </w:t>
      </w:r>
    </w:p>
    <w:p w:rsidR="00666F6A" w:rsidRDefault="00666F6A" w:rsidP="00652322">
      <w:pPr>
        <w:pStyle w:val="Default"/>
        <w:rPr>
          <w:rFonts w:asciiTheme="minorHAnsi" w:hAnsiTheme="minorHAnsi"/>
        </w:rPr>
      </w:pPr>
    </w:p>
    <w:p w:rsidR="00666F6A" w:rsidRPr="00666F6A" w:rsidRDefault="00666F6A" w:rsidP="00666F6A">
      <w:pPr>
        <w:pStyle w:val="Default"/>
        <w:rPr>
          <w:rFonts w:asciiTheme="minorHAnsi" w:hAnsiTheme="minorHAnsi"/>
        </w:rPr>
      </w:pPr>
      <w:r w:rsidRPr="00666F6A">
        <w:rPr>
          <w:rFonts w:asciiTheme="minorHAnsi" w:hAnsiTheme="minorHAnsi"/>
        </w:rPr>
        <w:t>For individuals enrolled in the adult group, there are three potential applicable FMAP rates:  (1) the state’s regular FMAP rate (</w:t>
      </w:r>
      <w:r w:rsidR="00170F1C">
        <w:rPr>
          <w:rFonts w:asciiTheme="minorHAnsi" w:hAnsiTheme="minorHAnsi"/>
        </w:rPr>
        <w:t xml:space="preserve">as applicable with respect to the expenditures </w:t>
      </w:r>
      <w:r w:rsidRPr="00666F6A">
        <w:rPr>
          <w:rFonts w:asciiTheme="minorHAnsi" w:hAnsiTheme="minorHAnsi"/>
        </w:rPr>
        <w:t xml:space="preserve">for any individuals who are not newly eligible in states that do not qualify as expansion states and for parents who are not newly eligible in states that do qualify as expansion states); (2) the expansion state FMAP rate (available only </w:t>
      </w:r>
      <w:r w:rsidR="00170F1C">
        <w:rPr>
          <w:rFonts w:asciiTheme="minorHAnsi" w:hAnsiTheme="minorHAnsi"/>
        </w:rPr>
        <w:t xml:space="preserve">with respect to the expenditures </w:t>
      </w:r>
      <w:r w:rsidRPr="00666F6A">
        <w:rPr>
          <w:rFonts w:asciiTheme="minorHAnsi" w:hAnsiTheme="minorHAnsi"/>
        </w:rPr>
        <w:t xml:space="preserve">for </w:t>
      </w:r>
      <w:proofErr w:type="spellStart"/>
      <w:r w:rsidRPr="00666F6A">
        <w:rPr>
          <w:rFonts w:asciiTheme="minorHAnsi" w:hAnsiTheme="minorHAnsi"/>
        </w:rPr>
        <w:t>nonpregnant</w:t>
      </w:r>
      <w:proofErr w:type="spellEnd"/>
      <w:r w:rsidRPr="00666F6A">
        <w:rPr>
          <w:rFonts w:asciiTheme="minorHAnsi" w:hAnsiTheme="minorHAnsi"/>
        </w:rPr>
        <w:t xml:space="preserve"> childless adults who are not newly eligible in states that qualify as expansion states);  or (3) the newly eligible FMAP (</w:t>
      </w:r>
      <w:r w:rsidR="00170F1C">
        <w:rPr>
          <w:rFonts w:asciiTheme="minorHAnsi" w:hAnsiTheme="minorHAnsi"/>
        </w:rPr>
        <w:t xml:space="preserve">as applicable with respect to the expenditures for </w:t>
      </w:r>
      <w:r w:rsidRPr="00666F6A">
        <w:rPr>
          <w:rFonts w:asciiTheme="minorHAnsi" w:hAnsiTheme="minorHAnsi"/>
        </w:rPr>
        <w:t xml:space="preserve">individuals </w:t>
      </w:r>
      <w:r w:rsidR="00170F1C">
        <w:rPr>
          <w:rFonts w:asciiTheme="minorHAnsi" w:hAnsiTheme="minorHAnsi"/>
        </w:rPr>
        <w:t xml:space="preserve">who </w:t>
      </w:r>
      <w:r w:rsidRPr="00666F6A">
        <w:rPr>
          <w:rFonts w:asciiTheme="minorHAnsi" w:hAnsiTheme="minorHAnsi"/>
        </w:rPr>
        <w:t xml:space="preserve">are newly eligible in all states).  </w:t>
      </w:r>
      <w:r w:rsidR="00784EC7">
        <w:rPr>
          <w:rFonts w:asciiTheme="minorHAnsi" w:hAnsiTheme="minorHAnsi"/>
        </w:rPr>
        <w:t>F</w:t>
      </w:r>
      <w:r w:rsidR="00170F1C">
        <w:rPr>
          <w:rFonts w:asciiTheme="minorHAnsi" w:hAnsiTheme="minorHAnsi"/>
        </w:rPr>
        <w:t xml:space="preserve">or purposes of the </w:t>
      </w:r>
      <w:r w:rsidR="00784EC7">
        <w:rPr>
          <w:rFonts w:asciiTheme="minorHAnsi" w:hAnsiTheme="minorHAnsi"/>
        </w:rPr>
        <w:t xml:space="preserve">determining the </w:t>
      </w:r>
      <w:r w:rsidR="00170F1C">
        <w:rPr>
          <w:rFonts w:asciiTheme="minorHAnsi" w:hAnsiTheme="minorHAnsi"/>
        </w:rPr>
        <w:t xml:space="preserve">availability of the newly eligible </w:t>
      </w:r>
      <w:r w:rsidRPr="00666F6A">
        <w:rPr>
          <w:rFonts w:asciiTheme="minorHAnsi" w:hAnsiTheme="minorHAnsi"/>
        </w:rPr>
        <w:t>FMAP</w:t>
      </w:r>
      <w:r w:rsidR="00784EC7">
        <w:rPr>
          <w:rFonts w:asciiTheme="minorHAnsi" w:hAnsiTheme="minorHAnsi"/>
        </w:rPr>
        <w:t xml:space="preserve"> for the expenditures of individuals </w:t>
      </w:r>
      <w:r w:rsidRPr="00666F6A">
        <w:rPr>
          <w:rFonts w:asciiTheme="minorHAnsi" w:hAnsiTheme="minorHAnsi"/>
        </w:rPr>
        <w:t>in the adult group</w:t>
      </w:r>
      <w:r w:rsidR="00784EC7">
        <w:rPr>
          <w:rFonts w:asciiTheme="minorHAnsi" w:hAnsiTheme="minorHAnsi"/>
        </w:rPr>
        <w:t>, such individuals</w:t>
      </w:r>
      <w:r w:rsidRPr="00666F6A">
        <w:rPr>
          <w:rFonts w:asciiTheme="minorHAnsi" w:hAnsiTheme="minorHAnsi"/>
        </w:rPr>
        <w:t xml:space="preserve"> must meet the definition of newly eligible individual at 42 CFR 433.204(a</w:t>
      </w:r>
      <w:proofErr w:type="gramStart"/>
      <w:r w:rsidRPr="00666F6A">
        <w:rPr>
          <w:rFonts w:asciiTheme="minorHAnsi" w:hAnsiTheme="minorHAnsi"/>
        </w:rPr>
        <w:t>)(</w:t>
      </w:r>
      <w:proofErr w:type="gramEnd"/>
      <w:r w:rsidRPr="00666F6A">
        <w:rPr>
          <w:rFonts w:asciiTheme="minorHAnsi" w:hAnsiTheme="minorHAnsi"/>
        </w:rPr>
        <w:t>1).</w:t>
      </w:r>
    </w:p>
    <w:p w:rsidR="00666F6A" w:rsidRDefault="00666F6A" w:rsidP="00652322">
      <w:pPr>
        <w:pStyle w:val="Default"/>
        <w:rPr>
          <w:rFonts w:asciiTheme="minorHAnsi" w:hAnsiTheme="minorHAnsi"/>
        </w:rPr>
      </w:pPr>
    </w:p>
    <w:p w:rsidR="003319EE" w:rsidRDefault="005F778C" w:rsidP="00652322">
      <w:pPr>
        <w:pStyle w:val="Default"/>
        <w:rPr>
          <w:rFonts w:asciiTheme="minorHAnsi" w:hAnsiTheme="minorHAnsi"/>
        </w:rPr>
      </w:pPr>
      <w:r>
        <w:rPr>
          <w:rFonts w:asciiTheme="minorHAnsi" w:hAnsiTheme="minorHAnsi"/>
        </w:rPr>
        <w:t>Th</w:t>
      </w:r>
      <w:r w:rsidR="003F1EFF">
        <w:rPr>
          <w:rFonts w:asciiTheme="minorHAnsi" w:hAnsiTheme="minorHAnsi"/>
        </w:rPr>
        <w:t>e State Plan Amendment in</w:t>
      </w:r>
      <w:r>
        <w:rPr>
          <w:rFonts w:asciiTheme="minorHAnsi" w:hAnsiTheme="minorHAnsi"/>
        </w:rPr>
        <w:t xml:space="preserve">cludes </w:t>
      </w:r>
      <w:r w:rsidR="00273FAA">
        <w:rPr>
          <w:rFonts w:asciiTheme="minorHAnsi" w:hAnsiTheme="minorHAnsi"/>
        </w:rPr>
        <w:t xml:space="preserve">five </w:t>
      </w:r>
      <w:r>
        <w:rPr>
          <w:rFonts w:asciiTheme="minorHAnsi" w:hAnsiTheme="minorHAnsi"/>
        </w:rPr>
        <w:t>parts as described in the table below.</w:t>
      </w:r>
    </w:p>
    <w:p w:rsidR="005F778C" w:rsidRDefault="005F778C" w:rsidP="003319EE">
      <w:pPr>
        <w:pStyle w:val="Default"/>
        <w:ind w:left="-630"/>
        <w:rPr>
          <w:rFonts w:asciiTheme="minorHAnsi" w:hAnsiTheme="minorHAnsi"/>
        </w:rPr>
      </w:pPr>
    </w:p>
    <w:tbl>
      <w:tblPr>
        <w:tblStyle w:val="TableGrid"/>
        <w:tblW w:w="0" w:type="auto"/>
        <w:jc w:val="center"/>
        <w:tblInd w:w="-1980" w:type="dxa"/>
        <w:tblLook w:val="04A0" w:firstRow="1" w:lastRow="0" w:firstColumn="1" w:lastColumn="0" w:noHBand="0" w:noVBand="1"/>
      </w:tblPr>
      <w:tblGrid>
        <w:gridCol w:w="2460"/>
        <w:gridCol w:w="6059"/>
      </w:tblGrid>
      <w:tr w:rsidR="007649A1" w:rsidTr="001C011A">
        <w:trPr>
          <w:jc w:val="center"/>
        </w:trPr>
        <w:tc>
          <w:tcPr>
            <w:tcW w:w="2460" w:type="dxa"/>
            <w:tcBorders>
              <w:top w:val="single" w:sz="12" w:space="0" w:color="auto"/>
              <w:left w:val="single" w:sz="12" w:space="0" w:color="auto"/>
              <w:bottom w:val="single" w:sz="12" w:space="0" w:color="auto"/>
              <w:right w:val="single" w:sz="12" w:space="0" w:color="auto"/>
            </w:tcBorders>
          </w:tcPr>
          <w:p w:rsidR="007649A1" w:rsidRDefault="007649A1" w:rsidP="00EF510B">
            <w:pPr>
              <w:pStyle w:val="Default"/>
              <w:jc w:val="center"/>
              <w:rPr>
                <w:rFonts w:asciiTheme="minorHAnsi" w:hAnsiTheme="minorHAnsi"/>
              </w:rPr>
            </w:pPr>
            <w:r>
              <w:rPr>
                <w:rFonts w:asciiTheme="minorHAnsi" w:hAnsiTheme="minorHAnsi"/>
              </w:rPr>
              <w:t>Part</w:t>
            </w:r>
          </w:p>
        </w:tc>
        <w:tc>
          <w:tcPr>
            <w:tcW w:w="6059" w:type="dxa"/>
            <w:tcBorders>
              <w:top w:val="single" w:sz="12" w:space="0" w:color="auto"/>
              <w:left w:val="single" w:sz="12" w:space="0" w:color="auto"/>
              <w:bottom w:val="single" w:sz="12" w:space="0" w:color="auto"/>
              <w:right w:val="single" w:sz="12" w:space="0" w:color="auto"/>
            </w:tcBorders>
          </w:tcPr>
          <w:p w:rsidR="007649A1" w:rsidRDefault="007649A1" w:rsidP="00EF510B">
            <w:pPr>
              <w:pStyle w:val="Default"/>
              <w:jc w:val="center"/>
              <w:rPr>
                <w:rFonts w:asciiTheme="minorHAnsi" w:hAnsiTheme="minorHAnsi"/>
              </w:rPr>
            </w:pPr>
            <w:r>
              <w:rPr>
                <w:rFonts w:asciiTheme="minorHAnsi" w:hAnsiTheme="minorHAnsi"/>
              </w:rPr>
              <w:t>Description</w:t>
            </w:r>
          </w:p>
        </w:tc>
      </w:tr>
      <w:tr w:rsidR="00652322" w:rsidTr="001C011A">
        <w:trPr>
          <w:jc w:val="center"/>
        </w:trPr>
        <w:tc>
          <w:tcPr>
            <w:tcW w:w="2460" w:type="dxa"/>
            <w:tcBorders>
              <w:top w:val="single" w:sz="12" w:space="0" w:color="auto"/>
              <w:left w:val="single" w:sz="12" w:space="0" w:color="auto"/>
              <w:right w:val="single" w:sz="12" w:space="0" w:color="auto"/>
            </w:tcBorders>
          </w:tcPr>
          <w:p w:rsidR="00652322" w:rsidRDefault="00652322" w:rsidP="003319EE">
            <w:pPr>
              <w:pStyle w:val="Default"/>
              <w:rPr>
                <w:rFonts w:asciiTheme="minorHAnsi" w:hAnsiTheme="minorHAnsi"/>
              </w:rPr>
            </w:pPr>
            <w:r>
              <w:rPr>
                <w:rFonts w:asciiTheme="minorHAnsi" w:hAnsiTheme="minorHAnsi"/>
              </w:rPr>
              <w:t>Part 1</w:t>
            </w:r>
          </w:p>
        </w:tc>
        <w:tc>
          <w:tcPr>
            <w:tcW w:w="6059" w:type="dxa"/>
            <w:tcBorders>
              <w:top w:val="single" w:sz="12" w:space="0" w:color="auto"/>
              <w:left w:val="single" w:sz="12" w:space="0" w:color="auto"/>
              <w:right w:val="single" w:sz="12" w:space="0" w:color="auto"/>
            </w:tcBorders>
          </w:tcPr>
          <w:p w:rsidR="00652322" w:rsidRDefault="008C7FBB" w:rsidP="008C7FBB">
            <w:pPr>
              <w:pStyle w:val="Default"/>
              <w:rPr>
                <w:rFonts w:asciiTheme="minorHAnsi" w:hAnsiTheme="minorHAnsi"/>
              </w:rPr>
            </w:pPr>
            <w:r>
              <w:rPr>
                <w:rFonts w:asciiTheme="minorHAnsi" w:hAnsiTheme="minorHAnsi"/>
              </w:rPr>
              <w:t>Adult Group Individual Income-Based Determinations</w:t>
            </w:r>
            <w:r w:rsidR="003E124A">
              <w:rPr>
                <w:rFonts w:asciiTheme="minorHAnsi" w:hAnsiTheme="minorHAnsi"/>
              </w:rPr>
              <w:t xml:space="preserve"> </w:t>
            </w:r>
            <w:r>
              <w:rPr>
                <w:rFonts w:asciiTheme="minorHAnsi" w:hAnsiTheme="minorHAnsi"/>
              </w:rPr>
              <w:t xml:space="preserve"> </w:t>
            </w:r>
          </w:p>
        </w:tc>
      </w:tr>
      <w:tr w:rsidR="00652322" w:rsidTr="001C011A">
        <w:trPr>
          <w:jc w:val="center"/>
        </w:trPr>
        <w:tc>
          <w:tcPr>
            <w:tcW w:w="2460" w:type="dxa"/>
            <w:tcBorders>
              <w:left w:val="single" w:sz="12" w:space="0" w:color="auto"/>
              <w:right w:val="single" w:sz="12" w:space="0" w:color="auto"/>
            </w:tcBorders>
          </w:tcPr>
          <w:p w:rsidR="00652322" w:rsidRDefault="00652322" w:rsidP="003319EE">
            <w:pPr>
              <w:pStyle w:val="Default"/>
              <w:rPr>
                <w:rFonts w:asciiTheme="minorHAnsi" w:hAnsiTheme="minorHAnsi"/>
              </w:rPr>
            </w:pPr>
            <w:r>
              <w:rPr>
                <w:rFonts w:asciiTheme="minorHAnsi" w:hAnsiTheme="minorHAnsi"/>
              </w:rPr>
              <w:t>Part 2</w:t>
            </w:r>
          </w:p>
        </w:tc>
        <w:tc>
          <w:tcPr>
            <w:tcW w:w="6059" w:type="dxa"/>
            <w:tcBorders>
              <w:left w:val="single" w:sz="12" w:space="0" w:color="auto"/>
              <w:right w:val="single" w:sz="12" w:space="0" w:color="auto"/>
            </w:tcBorders>
          </w:tcPr>
          <w:p w:rsidR="00652322" w:rsidRDefault="003E124A" w:rsidP="008C7FBB">
            <w:pPr>
              <w:pStyle w:val="Default"/>
              <w:rPr>
                <w:rFonts w:asciiTheme="minorHAnsi" w:hAnsiTheme="minorHAnsi"/>
              </w:rPr>
            </w:pPr>
            <w:r>
              <w:rPr>
                <w:rFonts w:asciiTheme="minorHAnsi" w:hAnsiTheme="minorHAnsi"/>
              </w:rPr>
              <w:t xml:space="preserve">Population-based </w:t>
            </w:r>
            <w:r w:rsidR="008C7FBB">
              <w:rPr>
                <w:rFonts w:asciiTheme="minorHAnsi" w:hAnsiTheme="minorHAnsi"/>
              </w:rPr>
              <w:t xml:space="preserve">Adjustments </w:t>
            </w:r>
            <w:r>
              <w:rPr>
                <w:rFonts w:asciiTheme="minorHAnsi" w:hAnsiTheme="minorHAnsi"/>
              </w:rPr>
              <w:t xml:space="preserve">to the </w:t>
            </w:r>
            <w:r w:rsidR="008C7FBB">
              <w:rPr>
                <w:rFonts w:asciiTheme="minorHAnsi" w:hAnsiTheme="minorHAnsi"/>
              </w:rPr>
              <w:t xml:space="preserve">Newly Eligible Population Based </w:t>
            </w:r>
            <w:r>
              <w:rPr>
                <w:rFonts w:asciiTheme="minorHAnsi" w:hAnsiTheme="minorHAnsi"/>
              </w:rPr>
              <w:t xml:space="preserve">on </w:t>
            </w:r>
            <w:r w:rsidR="008C7FBB">
              <w:rPr>
                <w:rFonts w:asciiTheme="minorHAnsi" w:hAnsiTheme="minorHAnsi"/>
              </w:rPr>
              <w:t>Resource Test</w:t>
            </w:r>
            <w:r>
              <w:rPr>
                <w:rFonts w:asciiTheme="minorHAnsi" w:hAnsiTheme="minorHAnsi"/>
              </w:rPr>
              <w:t xml:space="preserve">, </w:t>
            </w:r>
            <w:r w:rsidR="008C7FBB">
              <w:rPr>
                <w:rFonts w:asciiTheme="minorHAnsi" w:hAnsiTheme="minorHAnsi"/>
              </w:rPr>
              <w:t>Enrollment Cap</w:t>
            </w:r>
            <w:r>
              <w:rPr>
                <w:rFonts w:asciiTheme="minorHAnsi" w:hAnsiTheme="minorHAnsi"/>
              </w:rPr>
              <w:t xml:space="preserve">, </w:t>
            </w:r>
            <w:r w:rsidR="000004CB">
              <w:rPr>
                <w:rFonts w:asciiTheme="minorHAnsi" w:hAnsiTheme="minorHAnsi"/>
              </w:rPr>
              <w:t>and</w:t>
            </w:r>
            <w:r>
              <w:rPr>
                <w:rFonts w:asciiTheme="minorHAnsi" w:hAnsiTheme="minorHAnsi"/>
              </w:rPr>
              <w:t xml:space="preserve"> </w:t>
            </w:r>
            <w:r w:rsidR="008C7FBB">
              <w:rPr>
                <w:rFonts w:asciiTheme="minorHAnsi" w:hAnsiTheme="minorHAnsi"/>
              </w:rPr>
              <w:t xml:space="preserve">Special Circumstances  </w:t>
            </w:r>
          </w:p>
        </w:tc>
      </w:tr>
      <w:tr w:rsidR="008C7FBB" w:rsidTr="001C011A">
        <w:trPr>
          <w:jc w:val="center"/>
        </w:trPr>
        <w:tc>
          <w:tcPr>
            <w:tcW w:w="2460" w:type="dxa"/>
            <w:tcBorders>
              <w:left w:val="single" w:sz="12" w:space="0" w:color="auto"/>
              <w:right w:val="single" w:sz="12" w:space="0" w:color="auto"/>
            </w:tcBorders>
          </w:tcPr>
          <w:p w:rsidR="008C7FBB" w:rsidRDefault="008C7FBB" w:rsidP="003319EE">
            <w:pPr>
              <w:pStyle w:val="Default"/>
              <w:rPr>
                <w:rFonts w:asciiTheme="minorHAnsi" w:hAnsiTheme="minorHAnsi"/>
              </w:rPr>
            </w:pPr>
            <w:r>
              <w:rPr>
                <w:rFonts w:asciiTheme="minorHAnsi" w:hAnsiTheme="minorHAnsi"/>
              </w:rPr>
              <w:t>Part 3</w:t>
            </w:r>
          </w:p>
        </w:tc>
        <w:tc>
          <w:tcPr>
            <w:tcW w:w="6059" w:type="dxa"/>
            <w:tcBorders>
              <w:left w:val="single" w:sz="12" w:space="0" w:color="auto"/>
              <w:right w:val="single" w:sz="12" w:space="0" w:color="auto"/>
            </w:tcBorders>
          </w:tcPr>
          <w:p w:rsidR="008C7FBB" w:rsidRDefault="008C7FBB" w:rsidP="003319EE">
            <w:pPr>
              <w:pStyle w:val="Default"/>
              <w:rPr>
                <w:rFonts w:asciiTheme="minorHAnsi" w:hAnsiTheme="minorHAnsi"/>
              </w:rPr>
            </w:pPr>
            <w:r>
              <w:rPr>
                <w:rFonts w:asciiTheme="minorHAnsi" w:hAnsiTheme="minorHAnsi"/>
              </w:rPr>
              <w:t>One-Time Transitions of Previously Covered Populations into the New Adult Group</w:t>
            </w:r>
          </w:p>
        </w:tc>
      </w:tr>
      <w:tr w:rsidR="00652322" w:rsidTr="001C011A">
        <w:trPr>
          <w:trHeight w:val="395"/>
          <w:jc w:val="center"/>
        </w:trPr>
        <w:tc>
          <w:tcPr>
            <w:tcW w:w="2460" w:type="dxa"/>
            <w:tcBorders>
              <w:left w:val="single" w:sz="12" w:space="0" w:color="auto"/>
              <w:right w:val="single" w:sz="12" w:space="0" w:color="auto"/>
            </w:tcBorders>
          </w:tcPr>
          <w:p w:rsidR="00652322" w:rsidRDefault="00652322" w:rsidP="008C7FBB">
            <w:pPr>
              <w:pStyle w:val="Default"/>
              <w:rPr>
                <w:rFonts w:asciiTheme="minorHAnsi" w:hAnsiTheme="minorHAnsi"/>
              </w:rPr>
            </w:pPr>
            <w:r>
              <w:rPr>
                <w:rFonts w:asciiTheme="minorHAnsi" w:hAnsiTheme="minorHAnsi"/>
              </w:rPr>
              <w:t xml:space="preserve">Part </w:t>
            </w:r>
            <w:r w:rsidR="008C7FBB">
              <w:rPr>
                <w:rFonts w:asciiTheme="minorHAnsi" w:hAnsiTheme="minorHAnsi"/>
              </w:rPr>
              <w:t>4</w:t>
            </w:r>
          </w:p>
        </w:tc>
        <w:tc>
          <w:tcPr>
            <w:tcW w:w="6059" w:type="dxa"/>
            <w:tcBorders>
              <w:left w:val="single" w:sz="12" w:space="0" w:color="auto"/>
              <w:right w:val="single" w:sz="12" w:space="0" w:color="auto"/>
            </w:tcBorders>
          </w:tcPr>
          <w:p w:rsidR="00652322" w:rsidRDefault="00666F6A" w:rsidP="003319EE">
            <w:pPr>
              <w:pStyle w:val="Default"/>
              <w:rPr>
                <w:rFonts w:asciiTheme="minorHAnsi" w:hAnsiTheme="minorHAnsi"/>
              </w:rPr>
            </w:pPr>
            <w:r>
              <w:rPr>
                <w:rFonts w:asciiTheme="minorHAnsi" w:hAnsiTheme="minorHAnsi"/>
              </w:rPr>
              <w:t xml:space="preserve">Applicability of </w:t>
            </w:r>
            <w:r w:rsidR="00CB6A67">
              <w:rPr>
                <w:rFonts w:asciiTheme="minorHAnsi" w:hAnsiTheme="minorHAnsi"/>
              </w:rPr>
              <w:t>S</w:t>
            </w:r>
            <w:r>
              <w:rPr>
                <w:rFonts w:asciiTheme="minorHAnsi" w:hAnsiTheme="minorHAnsi"/>
              </w:rPr>
              <w:t>pecial FMAP rates</w:t>
            </w:r>
          </w:p>
        </w:tc>
      </w:tr>
      <w:tr w:rsidR="00666F6A" w:rsidTr="001C011A">
        <w:trPr>
          <w:jc w:val="center"/>
        </w:trPr>
        <w:tc>
          <w:tcPr>
            <w:tcW w:w="2460" w:type="dxa"/>
            <w:tcBorders>
              <w:left w:val="single" w:sz="12" w:space="0" w:color="auto"/>
              <w:bottom w:val="single" w:sz="12" w:space="0" w:color="auto"/>
              <w:right w:val="single" w:sz="12" w:space="0" w:color="auto"/>
            </w:tcBorders>
          </w:tcPr>
          <w:p w:rsidR="00666F6A" w:rsidRDefault="00666F6A" w:rsidP="003319EE">
            <w:pPr>
              <w:pStyle w:val="Default"/>
              <w:rPr>
                <w:rFonts w:asciiTheme="minorHAnsi" w:hAnsiTheme="minorHAnsi"/>
              </w:rPr>
            </w:pPr>
            <w:r>
              <w:rPr>
                <w:rFonts w:asciiTheme="minorHAnsi" w:hAnsiTheme="minorHAnsi"/>
              </w:rPr>
              <w:t xml:space="preserve">Part </w:t>
            </w:r>
            <w:r w:rsidR="00273FAA">
              <w:rPr>
                <w:rFonts w:asciiTheme="minorHAnsi" w:hAnsiTheme="minorHAnsi"/>
              </w:rPr>
              <w:t>5</w:t>
            </w:r>
          </w:p>
        </w:tc>
        <w:tc>
          <w:tcPr>
            <w:tcW w:w="6059" w:type="dxa"/>
            <w:tcBorders>
              <w:left w:val="single" w:sz="12" w:space="0" w:color="auto"/>
              <w:bottom w:val="single" w:sz="12" w:space="0" w:color="auto"/>
              <w:right w:val="single" w:sz="12" w:space="0" w:color="auto"/>
            </w:tcBorders>
          </w:tcPr>
          <w:p w:rsidR="00666F6A" w:rsidRDefault="00666F6A" w:rsidP="00CB6A67">
            <w:pPr>
              <w:pStyle w:val="Default"/>
              <w:rPr>
                <w:rFonts w:asciiTheme="minorHAnsi" w:hAnsiTheme="minorHAnsi"/>
              </w:rPr>
            </w:pPr>
            <w:r>
              <w:rPr>
                <w:rFonts w:asciiTheme="minorHAnsi" w:hAnsiTheme="minorHAnsi"/>
              </w:rPr>
              <w:t xml:space="preserve">State </w:t>
            </w:r>
            <w:r w:rsidR="008C7FBB">
              <w:rPr>
                <w:rFonts w:asciiTheme="minorHAnsi" w:hAnsiTheme="minorHAnsi"/>
              </w:rPr>
              <w:t xml:space="preserve">Attestations </w:t>
            </w:r>
            <w:r w:rsidR="00CB6A67">
              <w:rPr>
                <w:rFonts w:asciiTheme="minorHAnsi" w:hAnsiTheme="minorHAnsi"/>
              </w:rPr>
              <w:t xml:space="preserve">Regarding Threshold Methodology </w:t>
            </w:r>
            <w:r>
              <w:rPr>
                <w:rFonts w:asciiTheme="minorHAnsi" w:hAnsiTheme="minorHAnsi"/>
              </w:rPr>
              <w:t xml:space="preserve">for FMAP </w:t>
            </w:r>
            <w:r w:rsidR="00CB6A67">
              <w:rPr>
                <w:rFonts w:asciiTheme="minorHAnsi" w:hAnsiTheme="minorHAnsi"/>
              </w:rPr>
              <w:t>Claiming</w:t>
            </w:r>
          </w:p>
        </w:tc>
      </w:tr>
    </w:tbl>
    <w:p w:rsidR="00652322" w:rsidRDefault="00652322" w:rsidP="007976E6">
      <w:pPr>
        <w:rPr>
          <w:b/>
          <w:sz w:val="24"/>
          <w:szCs w:val="24"/>
        </w:rPr>
      </w:pPr>
    </w:p>
    <w:p w:rsidR="00666F6A" w:rsidRPr="00F3436E" w:rsidRDefault="00A42F06" w:rsidP="001C011A">
      <w:pPr>
        <w:keepNext/>
        <w:keepLines/>
        <w:jc w:val="center"/>
        <w:rPr>
          <w:b/>
          <w:sz w:val="28"/>
          <w:szCs w:val="28"/>
        </w:rPr>
      </w:pPr>
      <w:r w:rsidRPr="00DE6848">
        <w:rPr>
          <w:b/>
          <w:sz w:val="28"/>
          <w:szCs w:val="28"/>
        </w:rPr>
        <w:lastRenderedPageBreak/>
        <w:t>Part 1 –</w:t>
      </w:r>
      <w:r w:rsidR="008467BA" w:rsidRPr="00DE6848">
        <w:rPr>
          <w:b/>
          <w:sz w:val="28"/>
          <w:szCs w:val="28"/>
        </w:rPr>
        <w:t xml:space="preserve"> </w:t>
      </w:r>
      <w:r w:rsidR="008C0F2B">
        <w:rPr>
          <w:b/>
          <w:sz w:val="28"/>
          <w:szCs w:val="28"/>
        </w:rPr>
        <w:t xml:space="preserve">Adult Group </w:t>
      </w:r>
      <w:r w:rsidR="003E124A" w:rsidRPr="003E124A">
        <w:rPr>
          <w:b/>
          <w:sz w:val="28"/>
          <w:szCs w:val="28"/>
        </w:rPr>
        <w:t>Individual Income-Based Determinations</w:t>
      </w:r>
    </w:p>
    <w:p w:rsidR="00666F6A" w:rsidRPr="00C6577C" w:rsidRDefault="00CB6A67" w:rsidP="001C011A">
      <w:pPr>
        <w:keepNext/>
        <w:keepLines/>
        <w:rPr>
          <w:sz w:val="24"/>
          <w:szCs w:val="24"/>
        </w:rPr>
      </w:pPr>
      <w:r w:rsidRPr="00CB6A67">
        <w:rPr>
          <w:sz w:val="24"/>
          <w:szCs w:val="24"/>
        </w:rPr>
        <w:t xml:space="preserve">For individuals eligible in the adult group, the state </w:t>
      </w:r>
      <w:r w:rsidR="00784EC7">
        <w:rPr>
          <w:sz w:val="24"/>
          <w:szCs w:val="24"/>
        </w:rPr>
        <w:t xml:space="preserve">must </w:t>
      </w:r>
      <w:r w:rsidRPr="00CB6A67">
        <w:rPr>
          <w:sz w:val="24"/>
          <w:szCs w:val="24"/>
        </w:rPr>
        <w:t xml:space="preserve">make an individual income-based determination </w:t>
      </w:r>
      <w:r w:rsidR="00666F6A" w:rsidRPr="00C6577C">
        <w:rPr>
          <w:sz w:val="24"/>
          <w:szCs w:val="24"/>
        </w:rPr>
        <w:t>for purposes of the threshold methodology by comparing individual</w:t>
      </w:r>
      <w:r w:rsidR="000004CB">
        <w:rPr>
          <w:sz w:val="24"/>
          <w:szCs w:val="24"/>
        </w:rPr>
        <w:t>s’</w:t>
      </w:r>
      <w:r w:rsidR="00666F6A" w:rsidRPr="00C6577C">
        <w:rPr>
          <w:sz w:val="24"/>
          <w:szCs w:val="24"/>
        </w:rPr>
        <w:t xml:space="preserve"> income to the relevant converted income eligibility standards in effect on December 1, 2009, and included in the</w:t>
      </w:r>
      <w:r w:rsidR="00C6577C" w:rsidRPr="00C6577C">
        <w:rPr>
          <w:sz w:val="24"/>
          <w:szCs w:val="24"/>
        </w:rPr>
        <w:t xml:space="preserve">ir approved </w:t>
      </w:r>
      <w:r w:rsidR="00666F6A" w:rsidRPr="00C6577C">
        <w:rPr>
          <w:sz w:val="24"/>
          <w:szCs w:val="24"/>
        </w:rPr>
        <w:t>MAGI Conversion Plan</w:t>
      </w:r>
      <w:r w:rsidR="00C6577C" w:rsidRPr="00C6577C">
        <w:rPr>
          <w:sz w:val="24"/>
          <w:szCs w:val="24"/>
        </w:rPr>
        <w:t xml:space="preserve"> (Part 2)</w:t>
      </w:r>
      <w:r w:rsidR="00666F6A" w:rsidRPr="00C6577C">
        <w:rPr>
          <w:sz w:val="24"/>
          <w:szCs w:val="24"/>
        </w:rPr>
        <w:t xml:space="preserve">.  </w:t>
      </w:r>
      <w:r w:rsidR="00784EC7">
        <w:rPr>
          <w:sz w:val="24"/>
          <w:szCs w:val="24"/>
        </w:rPr>
        <w:t xml:space="preserve">Under the threshold methodology, the expenditures of individuals </w:t>
      </w:r>
      <w:r w:rsidR="00666F6A" w:rsidRPr="00C6577C">
        <w:rPr>
          <w:sz w:val="24"/>
          <w:szCs w:val="24"/>
        </w:rPr>
        <w:t xml:space="preserve">with incomes </w:t>
      </w:r>
      <w:r w:rsidR="00A45A91">
        <w:rPr>
          <w:sz w:val="24"/>
          <w:szCs w:val="24"/>
        </w:rPr>
        <w:t>below</w:t>
      </w:r>
      <w:r w:rsidR="00A45A91" w:rsidRPr="00C6577C">
        <w:rPr>
          <w:sz w:val="24"/>
          <w:szCs w:val="24"/>
        </w:rPr>
        <w:t xml:space="preserve"> </w:t>
      </w:r>
      <w:r w:rsidR="00666F6A" w:rsidRPr="00C6577C">
        <w:rPr>
          <w:sz w:val="24"/>
          <w:szCs w:val="24"/>
        </w:rPr>
        <w:t xml:space="preserve">the relevant converted income standards for the applicable subgroup will be </w:t>
      </w:r>
      <w:r w:rsidR="00A45A91" w:rsidRPr="00A45A91">
        <w:rPr>
          <w:sz w:val="24"/>
          <w:szCs w:val="24"/>
        </w:rPr>
        <w:t xml:space="preserve">provisionally </w:t>
      </w:r>
      <w:r w:rsidR="00784EC7">
        <w:rPr>
          <w:sz w:val="24"/>
          <w:szCs w:val="24"/>
        </w:rPr>
        <w:t>considered as those for which the newly eligible FMAP is not available</w:t>
      </w:r>
      <w:r w:rsidR="00666F6A" w:rsidRPr="00C6577C">
        <w:rPr>
          <w:sz w:val="24"/>
          <w:szCs w:val="24"/>
        </w:rPr>
        <w:t>.</w:t>
      </w:r>
    </w:p>
    <w:p w:rsidR="00120293" w:rsidRDefault="003E124A" w:rsidP="00974884">
      <w:pPr>
        <w:rPr>
          <w:sz w:val="24"/>
          <w:szCs w:val="24"/>
        </w:rPr>
      </w:pPr>
      <w:r>
        <w:rPr>
          <w:sz w:val="24"/>
          <w:szCs w:val="24"/>
        </w:rPr>
        <w:t xml:space="preserve">Because the </w:t>
      </w:r>
      <w:r w:rsidR="000004CB">
        <w:rPr>
          <w:sz w:val="24"/>
          <w:szCs w:val="24"/>
        </w:rPr>
        <w:t xml:space="preserve">MAGI </w:t>
      </w:r>
      <w:r>
        <w:rPr>
          <w:sz w:val="24"/>
          <w:szCs w:val="24"/>
        </w:rPr>
        <w:t xml:space="preserve">Conversion Plans include more values than are needed for </w:t>
      </w:r>
      <w:r w:rsidR="00784EC7">
        <w:rPr>
          <w:sz w:val="24"/>
          <w:szCs w:val="24"/>
        </w:rPr>
        <w:t xml:space="preserve">purposes of </w:t>
      </w:r>
      <w:r>
        <w:rPr>
          <w:sz w:val="24"/>
          <w:szCs w:val="24"/>
        </w:rPr>
        <w:t>FMAP claiming</w:t>
      </w:r>
      <w:r w:rsidR="00784EC7">
        <w:rPr>
          <w:sz w:val="24"/>
          <w:szCs w:val="24"/>
        </w:rPr>
        <w:t xml:space="preserve"> for the expenditures of the adult group</w:t>
      </w:r>
      <w:r>
        <w:rPr>
          <w:sz w:val="24"/>
          <w:szCs w:val="24"/>
        </w:rPr>
        <w:t xml:space="preserve">, </w:t>
      </w:r>
      <w:r w:rsidR="00CF19C0">
        <w:rPr>
          <w:sz w:val="24"/>
          <w:szCs w:val="24"/>
        </w:rPr>
        <w:t xml:space="preserve">Table 2 of </w:t>
      </w:r>
      <w:r w:rsidR="007649A1">
        <w:rPr>
          <w:sz w:val="24"/>
          <w:szCs w:val="24"/>
        </w:rPr>
        <w:t xml:space="preserve">Part 2 of </w:t>
      </w:r>
      <w:r w:rsidR="00CF19C0">
        <w:rPr>
          <w:sz w:val="24"/>
          <w:szCs w:val="24"/>
        </w:rPr>
        <w:t>the MAGI Conversion Plan</w:t>
      </w:r>
      <w:r w:rsidR="00784EC7">
        <w:rPr>
          <w:sz w:val="24"/>
          <w:szCs w:val="24"/>
        </w:rPr>
        <w:t xml:space="preserve"> </w:t>
      </w:r>
      <w:r>
        <w:rPr>
          <w:sz w:val="24"/>
          <w:szCs w:val="24"/>
        </w:rPr>
        <w:t xml:space="preserve">consolidates the </w:t>
      </w:r>
      <w:r w:rsidR="00690926">
        <w:rPr>
          <w:sz w:val="24"/>
          <w:szCs w:val="24"/>
        </w:rPr>
        <w:t xml:space="preserve">FMAP related </w:t>
      </w:r>
      <w:r>
        <w:rPr>
          <w:sz w:val="24"/>
          <w:szCs w:val="24"/>
        </w:rPr>
        <w:t xml:space="preserve">standards </w:t>
      </w:r>
      <w:r w:rsidR="00784EC7">
        <w:rPr>
          <w:sz w:val="24"/>
          <w:szCs w:val="24"/>
        </w:rPr>
        <w:t xml:space="preserve">into a </w:t>
      </w:r>
      <w:r w:rsidR="00690926">
        <w:rPr>
          <w:sz w:val="24"/>
          <w:szCs w:val="24"/>
        </w:rPr>
        <w:t xml:space="preserve">one </w:t>
      </w:r>
      <w:r w:rsidR="00784EC7">
        <w:rPr>
          <w:sz w:val="24"/>
          <w:szCs w:val="24"/>
        </w:rPr>
        <w:t xml:space="preserve">summary table which is applicable </w:t>
      </w:r>
      <w:r w:rsidR="00690926">
        <w:rPr>
          <w:sz w:val="24"/>
          <w:szCs w:val="24"/>
        </w:rPr>
        <w:t xml:space="preserve">for states to use in </w:t>
      </w:r>
      <w:r>
        <w:rPr>
          <w:sz w:val="24"/>
          <w:szCs w:val="24"/>
        </w:rPr>
        <w:t>complet</w:t>
      </w:r>
      <w:r w:rsidR="00784EC7">
        <w:rPr>
          <w:sz w:val="24"/>
          <w:szCs w:val="24"/>
        </w:rPr>
        <w:t xml:space="preserve">ing </w:t>
      </w:r>
      <w:r w:rsidR="00690926">
        <w:rPr>
          <w:sz w:val="24"/>
          <w:szCs w:val="24"/>
        </w:rPr>
        <w:t xml:space="preserve">this </w:t>
      </w:r>
      <w:r>
        <w:rPr>
          <w:sz w:val="24"/>
          <w:szCs w:val="24"/>
        </w:rPr>
        <w:t xml:space="preserve">FMAP </w:t>
      </w:r>
      <w:r w:rsidR="00690926">
        <w:rPr>
          <w:sz w:val="24"/>
          <w:szCs w:val="24"/>
        </w:rPr>
        <w:t xml:space="preserve">claiming </w:t>
      </w:r>
      <w:r>
        <w:rPr>
          <w:sz w:val="24"/>
          <w:szCs w:val="24"/>
        </w:rPr>
        <w:t xml:space="preserve">SPA. </w:t>
      </w:r>
      <w:r w:rsidR="00120293">
        <w:rPr>
          <w:sz w:val="24"/>
          <w:szCs w:val="24"/>
        </w:rPr>
        <w:t>As discussed below, t</w:t>
      </w:r>
      <w:r w:rsidR="00053D2D">
        <w:rPr>
          <w:sz w:val="24"/>
          <w:szCs w:val="24"/>
        </w:rPr>
        <w:t xml:space="preserve">his summary table </w:t>
      </w:r>
      <w:r w:rsidR="00120293">
        <w:rPr>
          <w:sz w:val="24"/>
          <w:szCs w:val="24"/>
        </w:rPr>
        <w:t xml:space="preserve">should </w:t>
      </w:r>
      <w:r w:rsidR="00053D2D">
        <w:rPr>
          <w:sz w:val="24"/>
          <w:szCs w:val="24"/>
        </w:rPr>
        <w:t>be used to complete Column B of Table 1.</w:t>
      </w:r>
      <w:r w:rsidR="00120293">
        <w:rPr>
          <w:sz w:val="24"/>
          <w:szCs w:val="24"/>
        </w:rPr>
        <w:t xml:space="preserve"> </w:t>
      </w:r>
      <w:r w:rsidR="00431C40">
        <w:rPr>
          <w:sz w:val="24"/>
          <w:szCs w:val="24"/>
        </w:rPr>
        <w:t xml:space="preserve"> </w:t>
      </w:r>
    </w:p>
    <w:p w:rsidR="00431C40" w:rsidRDefault="00974884" w:rsidP="00974884">
      <w:pPr>
        <w:rPr>
          <w:sz w:val="24"/>
          <w:szCs w:val="24"/>
        </w:rPr>
      </w:pPr>
      <w:r>
        <w:rPr>
          <w:sz w:val="24"/>
          <w:szCs w:val="24"/>
        </w:rPr>
        <w:t>C</w:t>
      </w:r>
      <w:r w:rsidR="002042A0" w:rsidRPr="00D733F4">
        <w:rPr>
          <w:sz w:val="24"/>
          <w:szCs w:val="24"/>
        </w:rPr>
        <w:t xml:space="preserve">olumn </w:t>
      </w:r>
      <w:proofErr w:type="gramStart"/>
      <w:r w:rsidR="00401DE2">
        <w:rPr>
          <w:sz w:val="24"/>
          <w:szCs w:val="24"/>
        </w:rPr>
        <w:t>A</w:t>
      </w:r>
      <w:proofErr w:type="gramEnd"/>
      <w:r w:rsidR="002042A0" w:rsidRPr="00D733F4">
        <w:rPr>
          <w:sz w:val="24"/>
          <w:szCs w:val="24"/>
        </w:rPr>
        <w:t xml:space="preserve"> </w:t>
      </w:r>
      <w:r w:rsidR="009F2CB3">
        <w:rPr>
          <w:sz w:val="24"/>
          <w:szCs w:val="24"/>
        </w:rPr>
        <w:t xml:space="preserve">of </w:t>
      </w:r>
      <w:r w:rsidR="000004CB">
        <w:rPr>
          <w:sz w:val="24"/>
          <w:szCs w:val="24"/>
        </w:rPr>
        <w:t>Table 1</w:t>
      </w:r>
      <w:r w:rsidR="009F2CB3">
        <w:rPr>
          <w:sz w:val="24"/>
          <w:szCs w:val="24"/>
        </w:rPr>
        <w:t xml:space="preserve"> </w:t>
      </w:r>
      <w:r w:rsidR="002042A0" w:rsidRPr="00D733F4">
        <w:rPr>
          <w:sz w:val="24"/>
          <w:szCs w:val="24"/>
        </w:rPr>
        <w:t xml:space="preserve">lists the </w:t>
      </w:r>
      <w:r w:rsidR="00452401">
        <w:rPr>
          <w:sz w:val="24"/>
          <w:szCs w:val="24"/>
        </w:rPr>
        <w:t xml:space="preserve">potential </w:t>
      </w:r>
      <w:r w:rsidR="002042A0" w:rsidRPr="00D733F4">
        <w:rPr>
          <w:sz w:val="24"/>
          <w:szCs w:val="24"/>
        </w:rPr>
        <w:t>population</w:t>
      </w:r>
      <w:r w:rsidR="00032591">
        <w:rPr>
          <w:sz w:val="24"/>
          <w:szCs w:val="24"/>
        </w:rPr>
        <w:t xml:space="preserve"> group</w:t>
      </w:r>
      <w:r w:rsidR="002042A0" w:rsidRPr="00D733F4">
        <w:rPr>
          <w:sz w:val="24"/>
          <w:szCs w:val="24"/>
        </w:rPr>
        <w:t xml:space="preserve">s that may be covered </w:t>
      </w:r>
      <w:r w:rsidR="00452401">
        <w:rPr>
          <w:sz w:val="24"/>
          <w:szCs w:val="24"/>
        </w:rPr>
        <w:t xml:space="preserve">by states under </w:t>
      </w:r>
      <w:r w:rsidR="002042A0" w:rsidRPr="00D733F4">
        <w:rPr>
          <w:sz w:val="24"/>
          <w:szCs w:val="24"/>
        </w:rPr>
        <w:t>the adult group</w:t>
      </w:r>
      <w:r w:rsidR="003C0559">
        <w:rPr>
          <w:sz w:val="24"/>
          <w:szCs w:val="24"/>
        </w:rPr>
        <w:t xml:space="preserve"> </w:t>
      </w:r>
      <w:r w:rsidR="00431C40">
        <w:rPr>
          <w:sz w:val="24"/>
          <w:szCs w:val="24"/>
        </w:rPr>
        <w:t xml:space="preserve">and </w:t>
      </w:r>
      <w:r w:rsidR="003C0559">
        <w:rPr>
          <w:sz w:val="24"/>
          <w:szCs w:val="24"/>
        </w:rPr>
        <w:t xml:space="preserve">for which there </w:t>
      </w:r>
      <w:r w:rsidR="00431C40">
        <w:rPr>
          <w:sz w:val="24"/>
          <w:szCs w:val="24"/>
        </w:rPr>
        <w:t xml:space="preserve">may have been </w:t>
      </w:r>
      <w:r w:rsidR="003C0559">
        <w:rPr>
          <w:sz w:val="24"/>
          <w:szCs w:val="24"/>
        </w:rPr>
        <w:t xml:space="preserve">relevant </w:t>
      </w:r>
      <w:r w:rsidR="00431C40">
        <w:rPr>
          <w:sz w:val="24"/>
          <w:szCs w:val="24"/>
        </w:rPr>
        <w:t xml:space="preserve">eligibility </w:t>
      </w:r>
      <w:r w:rsidR="003C0559">
        <w:rPr>
          <w:sz w:val="24"/>
          <w:szCs w:val="24"/>
        </w:rPr>
        <w:t>groups as in effect under the states’ December 1, 2009 Medicaid programs</w:t>
      </w:r>
      <w:r w:rsidR="002042A0" w:rsidRPr="00D733F4">
        <w:rPr>
          <w:sz w:val="24"/>
          <w:szCs w:val="24"/>
        </w:rPr>
        <w:t xml:space="preserve">. </w:t>
      </w:r>
      <w:r w:rsidR="003C0559">
        <w:rPr>
          <w:sz w:val="24"/>
          <w:szCs w:val="24"/>
        </w:rPr>
        <w:t xml:space="preserve"> </w:t>
      </w:r>
      <w:r w:rsidR="004C123B" w:rsidRPr="001C011A">
        <w:rPr>
          <w:sz w:val="24"/>
          <w:szCs w:val="24"/>
        </w:rPr>
        <w:t xml:space="preserve">States </w:t>
      </w:r>
      <w:r w:rsidR="007A54CD">
        <w:rPr>
          <w:sz w:val="24"/>
          <w:szCs w:val="24"/>
        </w:rPr>
        <w:t xml:space="preserve">must </w:t>
      </w:r>
      <w:r w:rsidR="004C123B" w:rsidRPr="001C011A">
        <w:rPr>
          <w:sz w:val="24"/>
          <w:szCs w:val="24"/>
        </w:rPr>
        <w:t xml:space="preserve">enter in Column </w:t>
      </w:r>
      <w:r w:rsidR="00401DE2" w:rsidRPr="001C011A">
        <w:rPr>
          <w:sz w:val="24"/>
          <w:szCs w:val="24"/>
        </w:rPr>
        <w:t>B</w:t>
      </w:r>
      <w:r w:rsidR="004C123B" w:rsidRPr="001C011A">
        <w:rPr>
          <w:sz w:val="24"/>
          <w:szCs w:val="24"/>
        </w:rPr>
        <w:t xml:space="preserve"> of Table 1</w:t>
      </w:r>
      <w:r w:rsidR="009034A9">
        <w:rPr>
          <w:sz w:val="24"/>
          <w:szCs w:val="24"/>
        </w:rPr>
        <w:t xml:space="preserve"> in the FMAP claiming SPA</w:t>
      </w:r>
      <w:r w:rsidR="004C123B" w:rsidRPr="001C011A">
        <w:rPr>
          <w:sz w:val="24"/>
          <w:szCs w:val="24"/>
        </w:rPr>
        <w:t xml:space="preserve"> the appropriate reference</w:t>
      </w:r>
      <w:r w:rsidR="009034A9">
        <w:rPr>
          <w:sz w:val="24"/>
          <w:szCs w:val="24"/>
        </w:rPr>
        <w:t xml:space="preserve"> </w:t>
      </w:r>
      <w:r w:rsidR="007A54CD">
        <w:rPr>
          <w:sz w:val="24"/>
          <w:szCs w:val="24"/>
        </w:rPr>
        <w:t xml:space="preserve">in </w:t>
      </w:r>
      <w:r w:rsidR="009034A9">
        <w:rPr>
          <w:sz w:val="24"/>
          <w:szCs w:val="24"/>
        </w:rPr>
        <w:t>the MAGI Conversion Plan</w:t>
      </w:r>
      <w:r w:rsidR="007A54CD">
        <w:rPr>
          <w:sz w:val="24"/>
          <w:szCs w:val="24"/>
        </w:rPr>
        <w:t>,</w:t>
      </w:r>
      <w:r w:rsidR="009034A9">
        <w:rPr>
          <w:sz w:val="24"/>
          <w:szCs w:val="24"/>
        </w:rPr>
        <w:t xml:space="preserve"> as contained in the summary Table 2 of Part 2 of such plan</w:t>
      </w:r>
      <w:r w:rsidR="007A54CD">
        <w:rPr>
          <w:sz w:val="24"/>
          <w:szCs w:val="24"/>
        </w:rPr>
        <w:t>,</w:t>
      </w:r>
      <w:r w:rsidR="009034A9">
        <w:rPr>
          <w:sz w:val="24"/>
          <w:szCs w:val="24"/>
        </w:rPr>
        <w:t xml:space="preserve"> to the applicable </w:t>
      </w:r>
      <w:r w:rsidR="004C123B" w:rsidRPr="001C011A">
        <w:rPr>
          <w:sz w:val="24"/>
          <w:szCs w:val="24"/>
        </w:rPr>
        <w:t>relevant MAGI-equivalent income standards</w:t>
      </w:r>
      <w:r w:rsidR="00431C40" w:rsidRPr="001C011A">
        <w:rPr>
          <w:sz w:val="24"/>
          <w:szCs w:val="24"/>
        </w:rPr>
        <w:t xml:space="preserve"> for each of the population groups in Column </w:t>
      </w:r>
      <w:r w:rsidR="00401DE2" w:rsidRPr="001C011A">
        <w:rPr>
          <w:sz w:val="24"/>
          <w:szCs w:val="24"/>
        </w:rPr>
        <w:t>A</w:t>
      </w:r>
      <w:r w:rsidR="007A54CD">
        <w:rPr>
          <w:sz w:val="24"/>
          <w:szCs w:val="24"/>
        </w:rPr>
        <w:t>.</w:t>
      </w:r>
      <w:r w:rsidR="009034A9">
        <w:rPr>
          <w:sz w:val="24"/>
          <w:szCs w:val="24"/>
        </w:rPr>
        <w:t xml:space="preserve"> </w:t>
      </w:r>
      <w:r w:rsidR="007A54CD">
        <w:rPr>
          <w:sz w:val="24"/>
          <w:szCs w:val="24"/>
        </w:rPr>
        <w:t xml:space="preserve"> </w:t>
      </w:r>
      <w:r w:rsidR="009034A9">
        <w:rPr>
          <w:sz w:val="24"/>
          <w:szCs w:val="24"/>
        </w:rPr>
        <w:t xml:space="preserve">The entry in Column B should be explicit in identifying the </w:t>
      </w:r>
      <w:r w:rsidR="007A54CD">
        <w:rPr>
          <w:sz w:val="24"/>
          <w:szCs w:val="24"/>
        </w:rPr>
        <w:t>applicable reference/citation from the MAGI Conversion Plan (</w:t>
      </w:r>
      <w:r w:rsidR="009034A9" w:rsidRPr="00145583">
        <w:rPr>
          <w:sz w:val="24"/>
          <w:szCs w:val="24"/>
        </w:rPr>
        <w:t xml:space="preserve">for example, </w:t>
      </w:r>
      <w:r w:rsidR="007A54CD">
        <w:rPr>
          <w:sz w:val="24"/>
          <w:szCs w:val="24"/>
        </w:rPr>
        <w:t xml:space="preserve">the </w:t>
      </w:r>
      <w:r w:rsidR="009034A9" w:rsidRPr="00145583">
        <w:rPr>
          <w:sz w:val="24"/>
          <w:szCs w:val="24"/>
        </w:rPr>
        <w:t xml:space="preserve">section number or column </w:t>
      </w:r>
      <w:r w:rsidR="007A54CD">
        <w:rPr>
          <w:sz w:val="24"/>
          <w:szCs w:val="24"/>
        </w:rPr>
        <w:t xml:space="preserve">and </w:t>
      </w:r>
      <w:r w:rsidR="009034A9" w:rsidRPr="00145583">
        <w:rPr>
          <w:sz w:val="24"/>
          <w:szCs w:val="24"/>
        </w:rPr>
        <w:t>row</w:t>
      </w:r>
      <w:r w:rsidR="007A54CD">
        <w:rPr>
          <w:sz w:val="24"/>
          <w:szCs w:val="24"/>
        </w:rPr>
        <w:t xml:space="preserve"> from the table</w:t>
      </w:r>
      <w:r w:rsidR="009034A9" w:rsidRPr="00145583">
        <w:rPr>
          <w:sz w:val="24"/>
          <w:szCs w:val="24"/>
        </w:rPr>
        <w:t>)</w:t>
      </w:r>
      <w:r w:rsidR="007A54CD">
        <w:rPr>
          <w:sz w:val="24"/>
          <w:szCs w:val="24"/>
        </w:rPr>
        <w:t>.</w:t>
      </w:r>
      <w:r w:rsidR="009034A9">
        <w:rPr>
          <w:sz w:val="24"/>
          <w:szCs w:val="24"/>
        </w:rPr>
        <w:t xml:space="preserve"> </w:t>
      </w:r>
      <w:r w:rsidR="007A54CD">
        <w:rPr>
          <w:sz w:val="24"/>
          <w:szCs w:val="24"/>
        </w:rPr>
        <w:t xml:space="preserve">  Furthermore, states must also attach the summary table (that is, Table 2 of Part 2 of the MAGI conversion plan) containing the relevant income standards as Attachment A to this FMAP claiming SPA.</w:t>
      </w:r>
    </w:p>
    <w:p w:rsidR="00974884" w:rsidRDefault="003C0559" w:rsidP="00974884">
      <w:pPr>
        <w:rPr>
          <w:sz w:val="24"/>
          <w:szCs w:val="24"/>
        </w:rPr>
      </w:pPr>
      <w:r>
        <w:rPr>
          <w:sz w:val="24"/>
          <w:szCs w:val="24"/>
        </w:rPr>
        <w:t>NOTE, t</w:t>
      </w:r>
      <w:r w:rsidR="003E124A">
        <w:rPr>
          <w:sz w:val="24"/>
          <w:szCs w:val="24"/>
        </w:rPr>
        <w:t xml:space="preserve">here may </w:t>
      </w:r>
      <w:r w:rsidR="00933B59" w:rsidRPr="001F5738">
        <w:rPr>
          <w:sz w:val="24"/>
          <w:szCs w:val="24"/>
          <w:u w:val="single"/>
        </w:rPr>
        <w:t>not</w:t>
      </w:r>
      <w:r w:rsidR="003E124A">
        <w:rPr>
          <w:sz w:val="24"/>
          <w:szCs w:val="24"/>
        </w:rPr>
        <w:t xml:space="preserve"> be a relevant </w:t>
      </w:r>
      <w:r w:rsidR="00431C40">
        <w:rPr>
          <w:sz w:val="24"/>
          <w:szCs w:val="24"/>
        </w:rPr>
        <w:t xml:space="preserve">income </w:t>
      </w:r>
      <w:r w:rsidR="003E124A">
        <w:rPr>
          <w:sz w:val="24"/>
          <w:szCs w:val="24"/>
        </w:rPr>
        <w:t>standard for each population</w:t>
      </w:r>
      <w:r w:rsidR="00032591">
        <w:rPr>
          <w:sz w:val="24"/>
          <w:szCs w:val="24"/>
        </w:rPr>
        <w:t xml:space="preserve"> group</w:t>
      </w:r>
      <w:r w:rsidR="00431C40">
        <w:rPr>
          <w:sz w:val="24"/>
          <w:szCs w:val="24"/>
        </w:rPr>
        <w:t xml:space="preserve"> in Column 1 for a state;</w:t>
      </w:r>
      <w:r w:rsidR="004C123B">
        <w:rPr>
          <w:sz w:val="24"/>
          <w:szCs w:val="24"/>
        </w:rPr>
        <w:t xml:space="preserve"> </w:t>
      </w:r>
      <w:r w:rsidR="003E124A">
        <w:rPr>
          <w:sz w:val="24"/>
          <w:szCs w:val="24"/>
        </w:rPr>
        <w:t xml:space="preserve">for example, your state </w:t>
      </w:r>
      <w:r w:rsidR="00431C40">
        <w:rPr>
          <w:sz w:val="24"/>
          <w:szCs w:val="24"/>
        </w:rPr>
        <w:t xml:space="preserve">may not have provided </w:t>
      </w:r>
      <w:r w:rsidR="003E124A">
        <w:rPr>
          <w:sz w:val="24"/>
          <w:szCs w:val="24"/>
        </w:rPr>
        <w:t>coverage to childless adults</w:t>
      </w:r>
      <w:r w:rsidR="004C123B">
        <w:rPr>
          <w:sz w:val="24"/>
          <w:szCs w:val="24"/>
        </w:rPr>
        <w:t xml:space="preserve"> in 2009.  </w:t>
      </w:r>
      <w:r w:rsidR="00431C40">
        <w:rPr>
          <w:sz w:val="24"/>
          <w:szCs w:val="24"/>
        </w:rPr>
        <w:t xml:space="preserve">For such </w:t>
      </w:r>
      <w:r w:rsidR="00C25966">
        <w:rPr>
          <w:sz w:val="24"/>
          <w:szCs w:val="24"/>
        </w:rPr>
        <w:t>Adult Group population groups</w:t>
      </w:r>
      <w:r w:rsidR="003E124A">
        <w:rPr>
          <w:sz w:val="24"/>
          <w:szCs w:val="24"/>
        </w:rPr>
        <w:t xml:space="preserve">, </w:t>
      </w:r>
      <w:r w:rsidR="00431C40">
        <w:rPr>
          <w:sz w:val="24"/>
          <w:szCs w:val="24"/>
        </w:rPr>
        <w:t xml:space="preserve">states should </w:t>
      </w:r>
      <w:r w:rsidR="00B7699B">
        <w:rPr>
          <w:sz w:val="24"/>
          <w:szCs w:val="24"/>
        </w:rPr>
        <w:t xml:space="preserve">enter </w:t>
      </w:r>
      <w:r w:rsidR="00DE294C" w:rsidRPr="00D733F4">
        <w:rPr>
          <w:sz w:val="24"/>
          <w:szCs w:val="24"/>
        </w:rPr>
        <w:t xml:space="preserve">“N/A” </w:t>
      </w:r>
      <w:r w:rsidR="00CA4D83" w:rsidRPr="00D733F4">
        <w:rPr>
          <w:sz w:val="24"/>
          <w:szCs w:val="24"/>
        </w:rPr>
        <w:t xml:space="preserve">in </w:t>
      </w:r>
      <w:r w:rsidR="004C123B">
        <w:rPr>
          <w:sz w:val="24"/>
          <w:szCs w:val="24"/>
        </w:rPr>
        <w:t>C</w:t>
      </w:r>
      <w:r w:rsidR="004C123B" w:rsidRPr="00D733F4">
        <w:rPr>
          <w:sz w:val="24"/>
          <w:szCs w:val="24"/>
        </w:rPr>
        <w:t xml:space="preserve">olumn </w:t>
      </w:r>
      <w:r w:rsidR="00401DE2">
        <w:rPr>
          <w:sz w:val="24"/>
          <w:szCs w:val="24"/>
        </w:rPr>
        <w:t>B</w:t>
      </w:r>
      <w:r w:rsidR="00CA4D83" w:rsidRPr="00D733F4">
        <w:rPr>
          <w:sz w:val="24"/>
          <w:szCs w:val="24"/>
        </w:rPr>
        <w:t>.</w:t>
      </w:r>
      <w:r w:rsidR="00DE294C" w:rsidRPr="00D733F4">
        <w:rPr>
          <w:sz w:val="24"/>
          <w:szCs w:val="24"/>
        </w:rPr>
        <w:t xml:space="preserve"> </w:t>
      </w:r>
      <w:r w:rsidR="004C123B">
        <w:rPr>
          <w:sz w:val="24"/>
          <w:szCs w:val="24"/>
        </w:rPr>
        <w:t xml:space="preserve"> </w:t>
      </w:r>
      <w:r w:rsidR="00431C40">
        <w:rPr>
          <w:sz w:val="24"/>
          <w:szCs w:val="24"/>
        </w:rPr>
        <w:t xml:space="preserve">Furthermore, </w:t>
      </w:r>
      <w:r w:rsidR="00CF19C0">
        <w:rPr>
          <w:sz w:val="24"/>
          <w:szCs w:val="24"/>
        </w:rPr>
        <w:t xml:space="preserve">the </w:t>
      </w:r>
      <w:r w:rsidR="00C25966">
        <w:rPr>
          <w:sz w:val="24"/>
          <w:szCs w:val="24"/>
        </w:rPr>
        <w:t xml:space="preserve">Adult Group population group or </w:t>
      </w:r>
      <w:r w:rsidR="004C123B">
        <w:rPr>
          <w:sz w:val="24"/>
          <w:szCs w:val="24"/>
        </w:rPr>
        <w:t xml:space="preserve">groups </w:t>
      </w:r>
      <w:r w:rsidR="00431C40">
        <w:rPr>
          <w:sz w:val="24"/>
          <w:szCs w:val="24"/>
        </w:rPr>
        <w:t>included i</w:t>
      </w:r>
      <w:r w:rsidR="003A4807">
        <w:rPr>
          <w:sz w:val="24"/>
          <w:szCs w:val="24"/>
        </w:rPr>
        <w:t xml:space="preserve">n </w:t>
      </w:r>
      <w:r w:rsidR="00431C40">
        <w:rPr>
          <w:sz w:val="24"/>
          <w:szCs w:val="24"/>
        </w:rPr>
        <w:t xml:space="preserve">Column </w:t>
      </w:r>
      <w:proofErr w:type="gramStart"/>
      <w:r w:rsidR="00401DE2">
        <w:rPr>
          <w:sz w:val="24"/>
          <w:szCs w:val="24"/>
        </w:rPr>
        <w:t>A</w:t>
      </w:r>
      <w:proofErr w:type="gramEnd"/>
      <w:r w:rsidR="00431C40">
        <w:rPr>
          <w:sz w:val="24"/>
          <w:szCs w:val="24"/>
        </w:rPr>
        <w:t xml:space="preserve"> of Table 1</w:t>
      </w:r>
      <w:r w:rsidR="003A4807">
        <w:rPr>
          <w:sz w:val="24"/>
          <w:szCs w:val="24"/>
        </w:rPr>
        <w:t xml:space="preserve"> may not completely represent</w:t>
      </w:r>
      <w:r w:rsidR="004C123B">
        <w:rPr>
          <w:sz w:val="24"/>
          <w:szCs w:val="24"/>
        </w:rPr>
        <w:t xml:space="preserve"> or reflect </w:t>
      </w:r>
      <w:r w:rsidR="00C25966">
        <w:rPr>
          <w:sz w:val="24"/>
          <w:szCs w:val="24"/>
        </w:rPr>
        <w:t xml:space="preserve">the </w:t>
      </w:r>
      <w:r w:rsidR="00431C40">
        <w:rPr>
          <w:sz w:val="24"/>
          <w:szCs w:val="24"/>
        </w:rPr>
        <w:t xml:space="preserve">group or </w:t>
      </w:r>
      <w:r w:rsidR="003A4807">
        <w:rPr>
          <w:sz w:val="24"/>
          <w:szCs w:val="24"/>
        </w:rPr>
        <w:t xml:space="preserve">groups covered by </w:t>
      </w:r>
      <w:r w:rsidR="00431C40">
        <w:rPr>
          <w:sz w:val="24"/>
          <w:szCs w:val="24"/>
        </w:rPr>
        <w:t>a</w:t>
      </w:r>
      <w:r w:rsidR="003A4807">
        <w:rPr>
          <w:sz w:val="24"/>
          <w:szCs w:val="24"/>
        </w:rPr>
        <w:t xml:space="preserve"> state in 2009</w:t>
      </w:r>
      <w:r w:rsidR="004C123B">
        <w:rPr>
          <w:sz w:val="24"/>
          <w:szCs w:val="24"/>
        </w:rPr>
        <w:t xml:space="preserve"> for which the co</w:t>
      </w:r>
      <w:r w:rsidR="00431C40">
        <w:rPr>
          <w:sz w:val="24"/>
          <w:szCs w:val="24"/>
        </w:rPr>
        <w:t>n</w:t>
      </w:r>
      <w:r w:rsidR="004C123B">
        <w:rPr>
          <w:sz w:val="24"/>
          <w:szCs w:val="24"/>
        </w:rPr>
        <w:t xml:space="preserve">verted </w:t>
      </w:r>
      <w:r w:rsidR="002E046C">
        <w:rPr>
          <w:sz w:val="24"/>
          <w:szCs w:val="24"/>
        </w:rPr>
        <w:t xml:space="preserve">income </w:t>
      </w:r>
      <w:r w:rsidR="004C123B">
        <w:rPr>
          <w:sz w:val="24"/>
          <w:szCs w:val="24"/>
        </w:rPr>
        <w:t>standard</w:t>
      </w:r>
      <w:r w:rsidR="002E046C">
        <w:rPr>
          <w:sz w:val="24"/>
          <w:szCs w:val="24"/>
        </w:rPr>
        <w:t xml:space="preserve"> or standard</w:t>
      </w:r>
      <w:r w:rsidR="004C123B">
        <w:rPr>
          <w:sz w:val="24"/>
          <w:szCs w:val="24"/>
        </w:rPr>
        <w:t>s are contained in the CMS-approved MAGI conversion plan</w:t>
      </w:r>
      <w:r w:rsidR="002E046C">
        <w:rPr>
          <w:sz w:val="24"/>
          <w:szCs w:val="24"/>
        </w:rPr>
        <w:t xml:space="preserve">. </w:t>
      </w:r>
      <w:r w:rsidR="007A54CD">
        <w:rPr>
          <w:sz w:val="24"/>
          <w:szCs w:val="24"/>
        </w:rPr>
        <w:t xml:space="preserve"> </w:t>
      </w:r>
      <w:r w:rsidR="00127818">
        <w:rPr>
          <w:sz w:val="24"/>
          <w:szCs w:val="24"/>
        </w:rPr>
        <w:t xml:space="preserve">Column A includes a blank line at the bottom which may be used to indicate such other potential population groups; however, before completing that line, states should work with CMS to determine whether such group(s) are appropriate.  After working with CMS to determine the appropriateness for such groups to be included in Table 1, States should indicate such groups (or a reference to such groups) in Column A and in the other columns of Table 1 as </w:t>
      </w:r>
      <w:r w:rsidR="00127818">
        <w:rPr>
          <w:sz w:val="24"/>
          <w:szCs w:val="24"/>
        </w:rPr>
        <w:lastRenderedPageBreak/>
        <w:t xml:space="preserve">applicable for such group(s).  Also, as appropriate, </w:t>
      </w:r>
      <w:r w:rsidR="002E046C">
        <w:rPr>
          <w:sz w:val="24"/>
          <w:szCs w:val="24"/>
        </w:rPr>
        <w:t xml:space="preserve">States </w:t>
      </w:r>
      <w:r w:rsidR="00127818">
        <w:rPr>
          <w:sz w:val="24"/>
          <w:szCs w:val="24"/>
        </w:rPr>
        <w:t xml:space="preserve">should </w:t>
      </w:r>
      <w:r w:rsidR="002E046C">
        <w:rPr>
          <w:sz w:val="24"/>
          <w:szCs w:val="24"/>
        </w:rPr>
        <w:t xml:space="preserve">describe such group or groups and indicate </w:t>
      </w:r>
      <w:r w:rsidR="00127818">
        <w:rPr>
          <w:sz w:val="24"/>
          <w:szCs w:val="24"/>
        </w:rPr>
        <w:t>any of the related information for the other columns in an attachment</w:t>
      </w:r>
      <w:r w:rsidR="002E046C">
        <w:rPr>
          <w:sz w:val="24"/>
          <w:szCs w:val="24"/>
        </w:rPr>
        <w:t xml:space="preserve">.  </w:t>
      </w:r>
    </w:p>
    <w:p w:rsidR="00C661D7" w:rsidRPr="001C011A" w:rsidRDefault="00410B1E" w:rsidP="00974884">
      <w:pPr>
        <w:rPr>
          <w:sz w:val="24"/>
          <w:szCs w:val="24"/>
        </w:rPr>
      </w:pPr>
      <w:r>
        <w:rPr>
          <w:sz w:val="24"/>
          <w:szCs w:val="24"/>
        </w:rPr>
        <w:t xml:space="preserve">Columns </w:t>
      </w:r>
      <w:r w:rsidR="00316AC4">
        <w:rPr>
          <w:sz w:val="24"/>
          <w:szCs w:val="24"/>
        </w:rPr>
        <w:t>C</w:t>
      </w:r>
      <w:r>
        <w:rPr>
          <w:sz w:val="24"/>
          <w:szCs w:val="24"/>
        </w:rPr>
        <w:t xml:space="preserve">, </w:t>
      </w:r>
      <w:r w:rsidR="00316AC4">
        <w:rPr>
          <w:sz w:val="24"/>
          <w:szCs w:val="24"/>
        </w:rPr>
        <w:t>D</w:t>
      </w:r>
      <w:r>
        <w:rPr>
          <w:sz w:val="24"/>
          <w:szCs w:val="24"/>
        </w:rPr>
        <w:t xml:space="preserve">, and </w:t>
      </w:r>
      <w:r w:rsidR="00316AC4">
        <w:rPr>
          <w:sz w:val="24"/>
          <w:szCs w:val="24"/>
        </w:rPr>
        <w:t>E</w:t>
      </w:r>
      <w:r>
        <w:rPr>
          <w:sz w:val="24"/>
          <w:szCs w:val="24"/>
        </w:rPr>
        <w:t xml:space="preserve"> in Table 1 should be completed by states to indicate whether</w:t>
      </w:r>
      <w:r w:rsidR="00316AC4">
        <w:rPr>
          <w:sz w:val="24"/>
          <w:szCs w:val="24"/>
        </w:rPr>
        <w:t xml:space="preserve"> </w:t>
      </w:r>
      <w:r>
        <w:rPr>
          <w:sz w:val="24"/>
          <w:szCs w:val="24"/>
        </w:rPr>
        <w:t>a Resource Proxy, Enrollment Cap, or Special Circumstances</w:t>
      </w:r>
      <w:r w:rsidR="00316AC4">
        <w:rPr>
          <w:sz w:val="24"/>
          <w:szCs w:val="24"/>
        </w:rPr>
        <w:t xml:space="preserve"> population adjustment</w:t>
      </w:r>
      <w:r>
        <w:rPr>
          <w:sz w:val="24"/>
          <w:szCs w:val="24"/>
        </w:rPr>
        <w:t xml:space="preserve">, respectively, are applicable for the </w:t>
      </w:r>
      <w:r w:rsidR="00316AC4">
        <w:rPr>
          <w:sz w:val="24"/>
          <w:szCs w:val="24"/>
        </w:rPr>
        <w:t>state.  In these columns States should e</w:t>
      </w:r>
      <w:r w:rsidR="00316AC4" w:rsidRPr="001C011A">
        <w:rPr>
          <w:sz w:val="24"/>
          <w:szCs w:val="24"/>
        </w:rPr>
        <w:t xml:space="preserve">nter “Y” (Yes), “N” (No), or “NA” in the appropriate column to indicate if the population adjustment will apply to each population group. </w:t>
      </w:r>
      <w:r w:rsidR="00316AC4">
        <w:rPr>
          <w:sz w:val="24"/>
          <w:szCs w:val="24"/>
        </w:rPr>
        <w:t xml:space="preserve"> States should indicate </w:t>
      </w:r>
      <w:r w:rsidR="00316AC4" w:rsidRPr="001C011A">
        <w:rPr>
          <w:sz w:val="24"/>
          <w:szCs w:val="24"/>
        </w:rPr>
        <w:t xml:space="preserve">additional information </w:t>
      </w:r>
      <w:r w:rsidR="00316AC4">
        <w:rPr>
          <w:sz w:val="24"/>
          <w:szCs w:val="24"/>
        </w:rPr>
        <w:t xml:space="preserve">relating to such population adjustments </w:t>
      </w:r>
      <w:r w:rsidR="00316AC4" w:rsidRPr="001C011A">
        <w:rPr>
          <w:sz w:val="24"/>
          <w:szCs w:val="24"/>
        </w:rPr>
        <w:t>in corresponding attachments</w:t>
      </w:r>
      <w:r w:rsidR="00316AC4">
        <w:rPr>
          <w:sz w:val="24"/>
          <w:szCs w:val="24"/>
        </w:rPr>
        <w:t xml:space="preserve"> discussed in Part 2 below</w:t>
      </w:r>
      <w:r w:rsidR="00316AC4" w:rsidRPr="001C011A">
        <w:rPr>
          <w:sz w:val="24"/>
          <w:szCs w:val="24"/>
        </w:rPr>
        <w:t>.</w:t>
      </w:r>
    </w:p>
    <w:p w:rsidR="00DE6848" w:rsidRPr="00F3436E" w:rsidRDefault="009B1EBD" w:rsidP="00F3436E">
      <w:pPr>
        <w:jc w:val="center"/>
        <w:rPr>
          <w:b/>
          <w:sz w:val="28"/>
          <w:szCs w:val="28"/>
        </w:rPr>
      </w:pPr>
      <w:r w:rsidRPr="00DE6848">
        <w:rPr>
          <w:b/>
          <w:sz w:val="28"/>
          <w:szCs w:val="28"/>
        </w:rPr>
        <w:t>Part 2 –</w:t>
      </w:r>
      <w:r w:rsidR="00C6577C" w:rsidRPr="00C6577C">
        <w:rPr>
          <w:b/>
          <w:sz w:val="28"/>
          <w:szCs w:val="28"/>
        </w:rPr>
        <w:t>Population-based Adjustments to the Newly Eligible Population Based on Resource Test, Enrollment Cap or Special Circumstances</w:t>
      </w:r>
    </w:p>
    <w:p w:rsidR="00B16401" w:rsidRPr="003C6AEC" w:rsidRDefault="003B0E1B" w:rsidP="00B16401">
      <w:pPr>
        <w:pStyle w:val="ListParagraph"/>
        <w:numPr>
          <w:ilvl w:val="0"/>
          <w:numId w:val="14"/>
        </w:numPr>
        <w:rPr>
          <w:sz w:val="24"/>
          <w:szCs w:val="24"/>
        </w:rPr>
      </w:pPr>
      <w:r w:rsidRPr="003C6AEC">
        <w:rPr>
          <w:b/>
          <w:sz w:val="24"/>
          <w:szCs w:val="24"/>
        </w:rPr>
        <w:t>Optional Resource Criteria Proxy Adjustment</w:t>
      </w:r>
      <w:r w:rsidR="00A465E7" w:rsidRPr="003C6AEC">
        <w:rPr>
          <w:b/>
          <w:sz w:val="24"/>
          <w:szCs w:val="24"/>
        </w:rPr>
        <w:t xml:space="preserve"> (</w:t>
      </w:r>
      <w:r w:rsidR="00147286" w:rsidRPr="003C6AEC">
        <w:rPr>
          <w:b/>
          <w:sz w:val="24"/>
          <w:szCs w:val="24"/>
        </w:rPr>
        <w:t>42 CFR</w:t>
      </w:r>
      <w:r w:rsidR="00A465E7" w:rsidRPr="003C6AEC">
        <w:rPr>
          <w:b/>
          <w:sz w:val="24"/>
          <w:szCs w:val="24"/>
        </w:rPr>
        <w:t xml:space="preserve"> 433.206(d))</w:t>
      </w:r>
    </w:p>
    <w:p w:rsidR="00A54B14" w:rsidRPr="003C6AEC" w:rsidRDefault="00835229" w:rsidP="00B16401">
      <w:pPr>
        <w:rPr>
          <w:sz w:val="24"/>
          <w:szCs w:val="24"/>
        </w:rPr>
      </w:pPr>
      <w:r w:rsidRPr="003C6AEC">
        <w:rPr>
          <w:sz w:val="24"/>
          <w:szCs w:val="24"/>
        </w:rPr>
        <w:t>Under 42 CFR 433.206(d) a resource proxy adjustment may be applie</w:t>
      </w:r>
      <w:r w:rsidR="00B51CB6" w:rsidRPr="003C6AEC">
        <w:rPr>
          <w:sz w:val="24"/>
          <w:szCs w:val="24"/>
        </w:rPr>
        <w:t>d</w:t>
      </w:r>
      <w:r w:rsidRPr="003C6AEC">
        <w:rPr>
          <w:sz w:val="24"/>
          <w:szCs w:val="24"/>
        </w:rPr>
        <w:t xml:space="preserve"> by states at their option.  Every state should indicate in </w:t>
      </w:r>
      <w:r w:rsidR="00FD5E52">
        <w:rPr>
          <w:sz w:val="24"/>
          <w:szCs w:val="24"/>
        </w:rPr>
        <w:t>S</w:t>
      </w:r>
      <w:r w:rsidRPr="003C6AEC">
        <w:rPr>
          <w:sz w:val="24"/>
          <w:szCs w:val="24"/>
        </w:rPr>
        <w:t xml:space="preserve">ection A.1 whether they </w:t>
      </w:r>
      <w:r w:rsidR="00B16401" w:rsidRPr="003C6AEC">
        <w:rPr>
          <w:sz w:val="24"/>
          <w:szCs w:val="24"/>
          <w:u w:val="single"/>
        </w:rPr>
        <w:t>do</w:t>
      </w:r>
      <w:r w:rsidRPr="003C6AEC">
        <w:rPr>
          <w:sz w:val="24"/>
          <w:szCs w:val="24"/>
        </w:rPr>
        <w:t xml:space="preserve"> or </w:t>
      </w:r>
      <w:r w:rsidR="00B16401" w:rsidRPr="003C6AEC">
        <w:rPr>
          <w:sz w:val="24"/>
          <w:szCs w:val="24"/>
          <w:u w:val="single"/>
        </w:rPr>
        <w:t>do</w:t>
      </w:r>
      <w:r w:rsidR="0013339B" w:rsidRPr="003C6AEC">
        <w:rPr>
          <w:sz w:val="24"/>
          <w:szCs w:val="24"/>
          <w:u w:val="single"/>
        </w:rPr>
        <w:t xml:space="preserve"> not</w:t>
      </w:r>
      <w:r w:rsidRPr="003C6AEC">
        <w:rPr>
          <w:sz w:val="24"/>
          <w:szCs w:val="24"/>
        </w:rPr>
        <w:t xml:space="preserve"> apply any resource proxy.  States that </w:t>
      </w:r>
      <w:r w:rsidR="00B16401" w:rsidRPr="003C6AEC">
        <w:rPr>
          <w:sz w:val="24"/>
          <w:szCs w:val="24"/>
          <w:u w:val="single"/>
        </w:rPr>
        <w:t xml:space="preserve">do </w:t>
      </w:r>
      <w:r w:rsidR="0013339B" w:rsidRPr="003C6AEC">
        <w:rPr>
          <w:sz w:val="24"/>
          <w:szCs w:val="24"/>
          <w:u w:val="single"/>
        </w:rPr>
        <w:t>not</w:t>
      </w:r>
      <w:r w:rsidRPr="003C6AEC">
        <w:rPr>
          <w:sz w:val="24"/>
          <w:szCs w:val="24"/>
        </w:rPr>
        <w:t xml:space="preserve"> apply an</w:t>
      </w:r>
      <w:r w:rsidR="00B51CB6" w:rsidRPr="003C6AEC">
        <w:rPr>
          <w:sz w:val="24"/>
          <w:szCs w:val="24"/>
        </w:rPr>
        <w:t>y</w:t>
      </w:r>
      <w:r w:rsidRPr="003C6AEC">
        <w:rPr>
          <w:sz w:val="24"/>
          <w:szCs w:val="24"/>
        </w:rPr>
        <w:t xml:space="preserve"> resource proxy should skip </w:t>
      </w:r>
      <w:r w:rsidR="00FD5E52">
        <w:rPr>
          <w:sz w:val="24"/>
          <w:szCs w:val="24"/>
        </w:rPr>
        <w:t>S</w:t>
      </w:r>
      <w:r w:rsidR="00FD5E52" w:rsidRPr="003C6AEC">
        <w:rPr>
          <w:sz w:val="24"/>
          <w:szCs w:val="24"/>
        </w:rPr>
        <w:t xml:space="preserve">ections </w:t>
      </w:r>
      <w:r w:rsidRPr="003C6AEC">
        <w:rPr>
          <w:sz w:val="24"/>
          <w:szCs w:val="24"/>
        </w:rPr>
        <w:t xml:space="preserve">A.2 </w:t>
      </w:r>
      <w:r w:rsidR="00053D2D">
        <w:rPr>
          <w:sz w:val="24"/>
          <w:szCs w:val="24"/>
        </w:rPr>
        <w:t>and</w:t>
      </w:r>
      <w:r w:rsidR="00053D2D" w:rsidRPr="003C6AEC">
        <w:rPr>
          <w:sz w:val="24"/>
          <w:szCs w:val="24"/>
        </w:rPr>
        <w:t xml:space="preserve"> </w:t>
      </w:r>
      <w:r w:rsidRPr="003C6AEC">
        <w:rPr>
          <w:sz w:val="24"/>
          <w:szCs w:val="24"/>
        </w:rPr>
        <w:t>A.</w:t>
      </w:r>
      <w:r w:rsidR="00053D2D">
        <w:rPr>
          <w:sz w:val="24"/>
          <w:szCs w:val="24"/>
        </w:rPr>
        <w:t>3</w:t>
      </w:r>
      <w:r w:rsidRPr="003C6AEC">
        <w:rPr>
          <w:sz w:val="24"/>
          <w:szCs w:val="24"/>
        </w:rPr>
        <w:t xml:space="preserve">.  </w:t>
      </w:r>
      <w:r w:rsidR="00A54B14" w:rsidRPr="003C6AEC">
        <w:rPr>
          <w:sz w:val="24"/>
          <w:szCs w:val="24"/>
        </w:rPr>
        <w:t xml:space="preserve">  </w:t>
      </w:r>
    </w:p>
    <w:p w:rsidR="00D448A3" w:rsidRPr="003C6AEC" w:rsidRDefault="00B51CB6" w:rsidP="00B16401">
      <w:pPr>
        <w:rPr>
          <w:sz w:val="24"/>
          <w:szCs w:val="24"/>
        </w:rPr>
      </w:pPr>
      <w:r w:rsidRPr="003C6AEC">
        <w:rPr>
          <w:sz w:val="24"/>
          <w:szCs w:val="24"/>
        </w:rPr>
        <w:t xml:space="preserve">A </w:t>
      </w:r>
      <w:r w:rsidR="00C6577C">
        <w:rPr>
          <w:sz w:val="24"/>
          <w:szCs w:val="24"/>
        </w:rPr>
        <w:t>s</w:t>
      </w:r>
      <w:r w:rsidR="00C6577C" w:rsidRPr="003C6AEC">
        <w:rPr>
          <w:sz w:val="24"/>
          <w:szCs w:val="24"/>
        </w:rPr>
        <w:t xml:space="preserve">tate </w:t>
      </w:r>
      <w:r w:rsidRPr="003C6AEC">
        <w:rPr>
          <w:sz w:val="24"/>
          <w:szCs w:val="24"/>
        </w:rPr>
        <w:t xml:space="preserve">that </w:t>
      </w:r>
      <w:r w:rsidR="00B16401" w:rsidRPr="003C6AEC">
        <w:rPr>
          <w:sz w:val="24"/>
          <w:szCs w:val="24"/>
        </w:rPr>
        <w:t xml:space="preserve">applies </w:t>
      </w:r>
      <w:r w:rsidRPr="003C6AEC">
        <w:rPr>
          <w:sz w:val="24"/>
          <w:szCs w:val="24"/>
        </w:rPr>
        <w:t xml:space="preserve">any resource proxy adjustment for </w:t>
      </w:r>
      <w:r w:rsidR="00D448A3" w:rsidRPr="003C6AEC">
        <w:rPr>
          <w:sz w:val="24"/>
          <w:szCs w:val="24"/>
        </w:rPr>
        <w:t>any of the population groups</w:t>
      </w:r>
      <w:r w:rsidRPr="003C6AEC">
        <w:rPr>
          <w:sz w:val="24"/>
          <w:szCs w:val="24"/>
        </w:rPr>
        <w:t xml:space="preserve"> covered by the state</w:t>
      </w:r>
      <w:r w:rsidR="00D448A3" w:rsidRPr="003C6AEC">
        <w:rPr>
          <w:sz w:val="24"/>
          <w:szCs w:val="24"/>
        </w:rPr>
        <w:t xml:space="preserve"> as of December 1, 2009</w:t>
      </w:r>
      <w:r w:rsidRPr="003C6AEC">
        <w:rPr>
          <w:sz w:val="24"/>
          <w:szCs w:val="24"/>
        </w:rPr>
        <w:t xml:space="preserve">, as listed in Table 1 of Part 1, must complete </w:t>
      </w:r>
      <w:r w:rsidR="00FD5E52">
        <w:rPr>
          <w:sz w:val="24"/>
          <w:szCs w:val="24"/>
        </w:rPr>
        <w:t>S</w:t>
      </w:r>
      <w:r w:rsidR="00FD5E52" w:rsidRPr="003C6AEC">
        <w:rPr>
          <w:sz w:val="24"/>
          <w:szCs w:val="24"/>
        </w:rPr>
        <w:t>ection</w:t>
      </w:r>
      <w:r w:rsidR="00401DE2">
        <w:rPr>
          <w:sz w:val="24"/>
          <w:szCs w:val="24"/>
        </w:rPr>
        <w:t>s</w:t>
      </w:r>
      <w:r w:rsidR="00FD5E52" w:rsidRPr="003C6AEC">
        <w:rPr>
          <w:sz w:val="24"/>
          <w:szCs w:val="24"/>
        </w:rPr>
        <w:t xml:space="preserve"> </w:t>
      </w:r>
      <w:r w:rsidRPr="003C6AEC">
        <w:rPr>
          <w:sz w:val="24"/>
          <w:szCs w:val="24"/>
        </w:rPr>
        <w:t xml:space="preserve">A.2 </w:t>
      </w:r>
      <w:r w:rsidR="00053D2D">
        <w:rPr>
          <w:sz w:val="24"/>
          <w:szCs w:val="24"/>
        </w:rPr>
        <w:t>and</w:t>
      </w:r>
      <w:r w:rsidR="00053D2D" w:rsidRPr="003C6AEC">
        <w:rPr>
          <w:sz w:val="24"/>
          <w:szCs w:val="24"/>
        </w:rPr>
        <w:t xml:space="preserve"> </w:t>
      </w:r>
      <w:r w:rsidRPr="003C6AEC">
        <w:rPr>
          <w:sz w:val="24"/>
          <w:szCs w:val="24"/>
        </w:rPr>
        <w:t>A.</w:t>
      </w:r>
      <w:r w:rsidR="00053D2D">
        <w:rPr>
          <w:sz w:val="24"/>
          <w:szCs w:val="24"/>
        </w:rPr>
        <w:t xml:space="preserve">3 </w:t>
      </w:r>
      <w:r w:rsidR="00C6577C">
        <w:rPr>
          <w:sz w:val="24"/>
          <w:szCs w:val="24"/>
        </w:rPr>
        <w:t xml:space="preserve">and provide more detail about the resource proxy methodology as </w:t>
      </w:r>
      <w:r w:rsidR="00591523">
        <w:rPr>
          <w:sz w:val="24"/>
          <w:szCs w:val="24"/>
        </w:rPr>
        <w:t>Attachment B</w:t>
      </w:r>
      <w:r w:rsidR="00C6577C">
        <w:rPr>
          <w:sz w:val="24"/>
          <w:szCs w:val="24"/>
        </w:rPr>
        <w:t xml:space="preserve"> to this SPA.</w:t>
      </w:r>
    </w:p>
    <w:p w:rsidR="00800B89" w:rsidRPr="003C6AEC" w:rsidRDefault="00CF19C0" w:rsidP="00800B89">
      <w:pPr>
        <w:rPr>
          <w:sz w:val="24"/>
          <w:szCs w:val="24"/>
        </w:rPr>
      </w:pPr>
      <w:r>
        <w:rPr>
          <w:sz w:val="24"/>
          <w:szCs w:val="24"/>
        </w:rPr>
        <w:t xml:space="preserve">For each population group or group described in Column </w:t>
      </w:r>
      <w:proofErr w:type="gramStart"/>
      <w:r>
        <w:rPr>
          <w:sz w:val="24"/>
          <w:szCs w:val="24"/>
        </w:rPr>
        <w:t>A</w:t>
      </w:r>
      <w:proofErr w:type="gramEnd"/>
      <w:r>
        <w:rPr>
          <w:sz w:val="24"/>
          <w:szCs w:val="24"/>
        </w:rPr>
        <w:t xml:space="preserve"> of Table 1, in </w:t>
      </w:r>
      <w:r w:rsidR="00401DE2">
        <w:rPr>
          <w:sz w:val="24"/>
          <w:szCs w:val="24"/>
        </w:rPr>
        <w:t xml:space="preserve">Column </w:t>
      </w:r>
      <w:r w:rsidR="000F34D4">
        <w:rPr>
          <w:sz w:val="24"/>
          <w:szCs w:val="24"/>
        </w:rPr>
        <w:t>C</w:t>
      </w:r>
      <w:r>
        <w:rPr>
          <w:sz w:val="24"/>
          <w:szCs w:val="24"/>
        </w:rPr>
        <w:t xml:space="preserve"> of the same table, </w:t>
      </w:r>
      <w:r w:rsidR="00362AB4" w:rsidRPr="003C6AEC">
        <w:rPr>
          <w:sz w:val="24"/>
          <w:szCs w:val="24"/>
        </w:rPr>
        <w:t>indicate</w:t>
      </w:r>
      <w:r>
        <w:rPr>
          <w:sz w:val="24"/>
          <w:szCs w:val="24"/>
        </w:rPr>
        <w:t xml:space="preserve"> whether </w:t>
      </w:r>
      <w:r w:rsidR="00D448A3" w:rsidRPr="003C6AEC">
        <w:rPr>
          <w:sz w:val="24"/>
          <w:szCs w:val="24"/>
        </w:rPr>
        <w:t xml:space="preserve">the </w:t>
      </w:r>
      <w:r w:rsidR="00362AB4" w:rsidRPr="003C6AEC">
        <w:rPr>
          <w:sz w:val="24"/>
          <w:szCs w:val="24"/>
        </w:rPr>
        <w:t xml:space="preserve">population </w:t>
      </w:r>
      <w:r w:rsidR="00401DE2">
        <w:rPr>
          <w:sz w:val="24"/>
          <w:szCs w:val="24"/>
        </w:rPr>
        <w:t xml:space="preserve">group </w:t>
      </w:r>
      <w:r w:rsidR="00800B89">
        <w:rPr>
          <w:sz w:val="24"/>
          <w:szCs w:val="24"/>
        </w:rPr>
        <w:t xml:space="preserve">will be subject to a </w:t>
      </w:r>
      <w:r w:rsidR="00B51CB6" w:rsidRPr="003C6AEC">
        <w:rPr>
          <w:sz w:val="24"/>
          <w:szCs w:val="24"/>
        </w:rPr>
        <w:t xml:space="preserve">resource proxy </w:t>
      </w:r>
      <w:r w:rsidR="00362AB4" w:rsidRPr="003C6AEC">
        <w:rPr>
          <w:sz w:val="24"/>
          <w:szCs w:val="24"/>
        </w:rPr>
        <w:t>adjustment</w:t>
      </w:r>
      <w:r w:rsidR="008A799A" w:rsidRPr="000A4C84">
        <w:rPr>
          <w:sz w:val="24"/>
          <w:szCs w:val="24"/>
        </w:rPr>
        <w:t>.</w:t>
      </w:r>
      <w:r w:rsidR="00032591" w:rsidRPr="001F5738">
        <w:rPr>
          <w:sz w:val="24"/>
          <w:szCs w:val="24"/>
        </w:rPr>
        <w:t xml:space="preserve">  </w:t>
      </w:r>
      <w:r w:rsidR="00800B89">
        <w:rPr>
          <w:sz w:val="24"/>
          <w:szCs w:val="24"/>
        </w:rPr>
        <w:t xml:space="preserve">Include a “Y” (Yes) or “N” (No) in each row under Column </w:t>
      </w:r>
      <w:r w:rsidR="000F34D4">
        <w:rPr>
          <w:sz w:val="24"/>
          <w:szCs w:val="24"/>
        </w:rPr>
        <w:t>C</w:t>
      </w:r>
      <w:r w:rsidR="00800B89">
        <w:rPr>
          <w:sz w:val="24"/>
          <w:szCs w:val="24"/>
        </w:rPr>
        <w:t xml:space="preserve">.   </w:t>
      </w:r>
      <w:r w:rsidR="00800B89" w:rsidRPr="003C6AEC">
        <w:rPr>
          <w:sz w:val="24"/>
          <w:szCs w:val="24"/>
        </w:rPr>
        <w:t xml:space="preserve">For any population groups </w:t>
      </w:r>
      <w:r w:rsidR="00800B89">
        <w:rPr>
          <w:sz w:val="24"/>
          <w:szCs w:val="24"/>
        </w:rPr>
        <w:t xml:space="preserve">listed </w:t>
      </w:r>
      <w:r w:rsidR="00800B89" w:rsidRPr="003C6AEC">
        <w:rPr>
          <w:sz w:val="24"/>
          <w:szCs w:val="24"/>
        </w:rPr>
        <w:t xml:space="preserve">in </w:t>
      </w:r>
      <w:r w:rsidR="00800B89">
        <w:rPr>
          <w:sz w:val="24"/>
          <w:szCs w:val="24"/>
        </w:rPr>
        <w:t xml:space="preserve">Column A of </w:t>
      </w:r>
      <w:r w:rsidR="00800B89" w:rsidRPr="003C6AEC">
        <w:rPr>
          <w:sz w:val="24"/>
          <w:szCs w:val="24"/>
        </w:rPr>
        <w:t>Table</w:t>
      </w:r>
      <w:r w:rsidR="00800B89">
        <w:rPr>
          <w:sz w:val="24"/>
          <w:szCs w:val="24"/>
        </w:rPr>
        <w:t xml:space="preserve"> 1 that were not covered by the state as of December 1, 2009 and for which a resource proxy therefore would not be applied, </w:t>
      </w:r>
      <w:r w:rsidR="00800B89" w:rsidRPr="003C6AEC">
        <w:rPr>
          <w:sz w:val="24"/>
          <w:szCs w:val="24"/>
        </w:rPr>
        <w:t xml:space="preserve">enter “N/A” in </w:t>
      </w:r>
      <w:r w:rsidR="00800B89">
        <w:rPr>
          <w:sz w:val="24"/>
          <w:szCs w:val="24"/>
        </w:rPr>
        <w:t>C</w:t>
      </w:r>
      <w:r w:rsidR="00800B89" w:rsidRPr="003C6AEC">
        <w:rPr>
          <w:sz w:val="24"/>
          <w:szCs w:val="24"/>
        </w:rPr>
        <w:t xml:space="preserve">olumn </w:t>
      </w:r>
      <w:r w:rsidR="00800B89">
        <w:rPr>
          <w:sz w:val="24"/>
          <w:szCs w:val="24"/>
        </w:rPr>
        <w:t>F</w:t>
      </w:r>
      <w:r w:rsidR="00800B89" w:rsidRPr="003C6AEC">
        <w:rPr>
          <w:sz w:val="24"/>
          <w:szCs w:val="24"/>
        </w:rPr>
        <w:t xml:space="preserve">. </w:t>
      </w:r>
    </w:p>
    <w:p w:rsidR="009E0F5C" w:rsidRDefault="00800B89" w:rsidP="00B16401">
      <w:pPr>
        <w:rPr>
          <w:sz w:val="24"/>
          <w:szCs w:val="24"/>
        </w:rPr>
      </w:pPr>
      <w:r>
        <w:rPr>
          <w:sz w:val="24"/>
          <w:szCs w:val="24"/>
        </w:rPr>
        <w:t xml:space="preserve">Use </w:t>
      </w:r>
      <w:r w:rsidR="00591523">
        <w:rPr>
          <w:sz w:val="24"/>
          <w:szCs w:val="24"/>
        </w:rPr>
        <w:t>Attachment B</w:t>
      </w:r>
      <w:r>
        <w:rPr>
          <w:sz w:val="24"/>
          <w:szCs w:val="24"/>
        </w:rPr>
        <w:t xml:space="preserve"> to provide more details about each population group, including whether </w:t>
      </w:r>
      <w:r w:rsidR="00401DE2" w:rsidRPr="001F5738">
        <w:rPr>
          <w:sz w:val="24"/>
          <w:szCs w:val="24"/>
        </w:rPr>
        <w:t xml:space="preserve">a resource </w:t>
      </w:r>
      <w:r w:rsidR="00053D2D">
        <w:rPr>
          <w:sz w:val="24"/>
          <w:szCs w:val="24"/>
        </w:rPr>
        <w:t>test</w:t>
      </w:r>
      <w:r w:rsidR="00053D2D" w:rsidRPr="001F5738">
        <w:rPr>
          <w:sz w:val="24"/>
          <w:szCs w:val="24"/>
        </w:rPr>
        <w:t xml:space="preserve"> </w:t>
      </w:r>
      <w:r w:rsidR="00401DE2" w:rsidRPr="001F5738">
        <w:rPr>
          <w:sz w:val="24"/>
          <w:szCs w:val="24"/>
        </w:rPr>
        <w:t xml:space="preserve">was applied to the indicated population group in Column </w:t>
      </w:r>
      <w:proofErr w:type="gramStart"/>
      <w:r w:rsidR="00401DE2" w:rsidRPr="001F5738">
        <w:rPr>
          <w:sz w:val="24"/>
          <w:szCs w:val="24"/>
        </w:rPr>
        <w:t>A</w:t>
      </w:r>
      <w:proofErr w:type="gramEnd"/>
      <w:r w:rsidR="009E0F5C" w:rsidRPr="001F5738">
        <w:rPr>
          <w:sz w:val="24"/>
          <w:szCs w:val="24"/>
        </w:rPr>
        <w:t xml:space="preserve"> on December 1, 2009</w:t>
      </w:r>
      <w:r w:rsidR="00401DE2" w:rsidRPr="001F5738">
        <w:rPr>
          <w:sz w:val="24"/>
          <w:szCs w:val="24"/>
        </w:rPr>
        <w:t>.</w:t>
      </w:r>
      <w:r w:rsidR="009E0F5C" w:rsidRPr="001F5738">
        <w:rPr>
          <w:sz w:val="24"/>
          <w:szCs w:val="24"/>
        </w:rPr>
        <w:t xml:space="preserve">  For any population group or groups for which your state will apply a resource proxy (i.e., the entry in Column </w:t>
      </w:r>
      <w:r>
        <w:rPr>
          <w:sz w:val="24"/>
          <w:szCs w:val="24"/>
        </w:rPr>
        <w:t>F</w:t>
      </w:r>
      <w:r w:rsidRPr="001F5738">
        <w:rPr>
          <w:sz w:val="24"/>
          <w:szCs w:val="24"/>
        </w:rPr>
        <w:t xml:space="preserve"> </w:t>
      </w:r>
      <w:r w:rsidR="009E0F5C" w:rsidRPr="001F5738">
        <w:rPr>
          <w:sz w:val="24"/>
          <w:szCs w:val="24"/>
        </w:rPr>
        <w:t>is "Yes"), i</w:t>
      </w:r>
      <w:r w:rsidR="00032591" w:rsidRPr="000A4C84">
        <w:rPr>
          <w:sz w:val="24"/>
          <w:szCs w:val="24"/>
        </w:rPr>
        <w:t xml:space="preserve">ndicate the effective date or dates </w:t>
      </w:r>
      <w:r w:rsidR="009E0F5C" w:rsidRPr="001F5738">
        <w:rPr>
          <w:sz w:val="24"/>
          <w:szCs w:val="24"/>
        </w:rPr>
        <w:t xml:space="preserve">for the application of such resource proxy </w:t>
      </w:r>
      <w:r w:rsidR="00032591" w:rsidRPr="001F5738">
        <w:rPr>
          <w:sz w:val="24"/>
          <w:szCs w:val="24"/>
        </w:rPr>
        <w:t>i</w:t>
      </w:r>
      <w:r w:rsidR="00032591" w:rsidRPr="00173702">
        <w:rPr>
          <w:sz w:val="24"/>
          <w:szCs w:val="24"/>
        </w:rPr>
        <w:t xml:space="preserve">n </w:t>
      </w:r>
      <w:r w:rsidR="00591523">
        <w:rPr>
          <w:sz w:val="24"/>
          <w:szCs w:val="24"/>
        </w:rPr>
        <w:t>Attachment B</w:t>
      </w:r>
      <w:r w:rsidR="009E0F5C">
        <w:rPr>
          <w:sz w:val="24"/>
          <w:szCs w:val="24"/>
        </w:rPr>
        <w:t>,</w:t>
      </w:r>
      <w:r w:rsidR="00032591" w:rsidRPr="00173702">
        <w:rPr>
          <w:sz w:val="24"/>
          <w:szCs w:val="24"/>
        </w:rPr>
        <w:t xml:space="preserve"> as appropriate</w:t>
      </w:r>
      <w:r w:rsidR="00032591" w:rsidRPr="00032591">
        <w:rPr>
          <w:sz w:val="24"/>
          <w:szCs w:val="24"/>
        </w:rPr>
        <w:t>.</w:t>
      </w:r>
      <w:r w:rsidR="00032591">
        <w:rPr>
          <w:sz w:val="24"/>
          <w:szCs w:val="24"/>
        </w:rPr>
        <w:t xml:space="preserve"> </w:t>
      </w:r>
      <w:r w:rsidR="008A799A" w:rsidRPr="003C6AEC">
        <w:rPr>
          <w:sz w:val="24"/>
          <w:szCs w:val="24"/>
        </w:rPr>
        <w:t xml:space="preserve"> </w:t>
      </w:r>
    </w:p>
    <w:p w:rsidR="006E7623" w:rsidRPr="003C6AEC" w:rsidRDefault="009F2CB3" w:rsidP="00B16401">
      <w:pPr>
        <w:rPr>
          <w:sz w:val="24"/>
          <w:szCs w:val="24"/>
        </w:rPr>
      </w:pPr>
      <w:r w:rsidRPr="003C6AEC">
        <w:rPr>
          <w:sz w:val="24"/>
          <w:szCs w:val="24"/>
        </w:rPr>
        <w:t xml:space="preserve">In </w:t>
      </w:r>
      <w:r w:rsidR="00FD5E52">
        <w:rPr>
          <w:sz w:val="24"/>
          <w:szCs w:val="24"/>
        </w:rPr>
        <w:t>S</w:t>
      </w:r>
      <w:r w:rsidR="009142DC" w:rsidRPr="003C6AEC">
        <w:rPr>
          <w:sz w:val="24"/>
          <w:szCs w:val="24"/>
        </w:rPr>
        <w:t>ections A.</w:t>
      </w:r>
      <w:r w:rsidR="00053D2D">
        <w:rPr>
          <w:sz w:val="24"/>
          <w:szCs w:val="24"/>
        </w:rPr>
        <w:t>2</w:t>
      </w:r>
      <w:r w:rsidR="00053D2D" w:rsidRPr="003C6AEC">
        <w:rPr>
          <w:sz w:val="24"/>
          <w:szCs w:val="24"/>
        </w:rPr>
        <w:t xml:space="preserve"> </w:t>
      </w:r>
      <w:r w:rsidR="009142DC" w:rsidRPr="003C6AEC">
        <w:rPr>
          <w:sz w:val="24"/>
          <w:szCs w:val="24"/>
        </w:rPr>
        <w:t>and A.</w:t>
      </w:r>
      <w:r w:rsidR="00053D2D">
        <w:rPr>
          <w:sz w:val="24"/>
          <w:szCs w:val="24"/>
        </w:rPr>
        <w:t>3</w:t>
      </w:r>
      <w:r w:rsidRPr="003C6AEC">
        <w:rPr>
          <w:sz w:val="24"/>
          <w:szCs w:val="24"/>
        </w:rPr>
        <w:t xml:space="preserve">, </w:t>
      </w:r>
      <w:r w:rsidR="00C6577C">
        <w:rPr>
          <w:sz w:val="24"/>
          <w:szCs w:val="24"/>
        </w:rPr>
        <w:t>indicate</w:t>
      </w:r>
      <w:r w:rsidR="00362AB4" w:rsidRPr="003C6AEC">
        <w:rPr>
          <w:sz w:val="24"/>
          <w:szCs w:val="24"/>
        </w:rPr>
        <w:t xml:space="preserve"> </w:t>
      </w:r>
      <w:r w:rsidR="00B7699B" w:rsidRPr="003C6AEC">
        <w:rPr>
          <w:sz w:val="24"/>
          <w:szCs w:val="24"/>
        </w:rPr>
        <w:t xml:space="preserve">aspects of the resource test proxy related to data, </w:t>
      </w:r>
      <w:r w:rsidR="00362AB4" w:rsidRPr="003C6AEC">
        <w:rPr>
          <w:sz w:val="24"/>
          <w:szCs w:val="24"/>
        </w:rPr>
        <w:t>data source</w:t>
      </w:r>
      <w:r w:rsidR="00B7699B" w:rsidRPr="003C6AEC">
        <w:rPr>
          <w:sz w:val="24"/>
          <w:szCs w:val="24"/>
        </w:rPr>
        <w:t>s,</w:t>
      </w:r>
      <w:r w:rsidR="00D448A3" w:rsidRPr="003C6AEC">
        <w:rPr>
          <w:sz w:val="24"/>
          <w:szCs w:val="24"/>
        </w:rPr>
        <w:t xml:space="preserve"> and</w:t>
      </w:r>
      <w:r w:rsidR="00362AB4" w:rsidRPr="003C6AEC">
        <w:rPr>
          <w:sz w:val="24"/>
          <w:szCs w:val="24"/>
        </w:rPr>
        <w:t xml:space="preserve"> methods used for the </w:t>
      </w:r>
      <w:r w:rsidR="00B7699B" w:rsidRPr="003C6AEC">
        <w:rPr>
          <w:sz w:val="24"/>
          <w:szCs w:val="24"/>
        </w:rPr>
        <w:t xml:space="preserve">associated </w:t>
      </w:r>
      <w:r w:rsidR="00362AB4" w:rsidRPr="003C6AEC">
        <w:rPr>
          <w:sz w:val="24"/>
          <w:szCs w:val="24"/>
        </w:rPr>
        <w:t>adjustment</w:t>
      </w:r>
      <w:r w:rsidR="00B7699B" w:rsidRPr="003C6AEC">
        <w:rPr>
          <w:sz w:val="24"/>
          <w:szCs w:val="24"/>
        </w:rPr>
        <w:t xml:space="preserve"> made through the resource proxy</w:t>
      </w:r>
      <w:r w:rsidR="00C6577C">
        <w:rPr>
          <w:sz w:val="24"/>
          <w:szCs w:val="24"/>
        </w:rPr>
        <w:t xml:space="preserve"> and attach additional descriptive information in </w:t>
      </w:r>
      <w:r w:rsidR="00591523">
        <w:rPr>
          <w:sz w:val="24"/>
          <w:szCs w:val="24"/>
        </w:rPr>
        <w:t>Attachment B</w:t>
      </w:r>
      <w:r w:rsidR="00362AB4" w:rsidRPr="003C6AEC">
        <w:rPr>
          <w:sz w:val="24"/>
          <w:szCs w:val="24"/>
        </w:rPr>
        <w:t>.</w:t>
      </w:r>
      <w:r w:rsidR="00B7699B" w:rsidRPr="003C6AEC">
        <w:rPr>
          <w:sz w:val="24"/>
          <w:szCs w:val="24"/>
        </w:rPr>
        <w:t xml:space="preserve"> </w:t>
      </w:r>
      <w:r w:rsidR="00362AB4" w:rsidRPr="003C6AEC">
        <w:rPr>
          <w:sz w:val="24"/>
          <w:szCs w:val="24"/>
        </w:rPr>
        <w:t xml:space="preserve"> </w:t>
      </w:r>
      <w:r w:rsidR="003C3E7F">
        <w:rPr>
          <w:sz w:val="24"/>
          <w:szCs w:val="24"/>
        </w:rPr>
        <w:t xml:space="preserve">As appropriate, both items under section A.3 could be completed and described in </w:t>
      </w:r>
      <w:r w:rsidR="00591523">
        <w:rPr>
          <w:sz w:val="24"/>
          <w:szCs w:val="24"/>
        </w:rPr>
        <w:t>Attachment B</w:t>
      </w:r>
      <w:r w:rsidR="003C3E7F">
        <w:rPr>
          <w:sz w:val="24"/>
          <w:szCs w:val="24"/>
        </w:rPr>
        <w:t xml:space="preserve">.  </w:t>
      </w:r>
      <w:r w:rsidR="00362AB4" w:rsidRPr="003C6AEC">
        <w:rPr>
          <w:sz w:val="24"/>
          <w:szCs w:val="24"/>
        </w:rPr>
        <w:t xml:space="preserve">Specifically, provide </w:t>
      </w:r>
      <w:r w:rsidR="00362AB4" w:rsidRPr="003C6AEC">
        <w:rPr>
          <w:sz w:val="24"/>
          <w:szCs w:val="24"/>
        </w:rPr>
        <w:lastRenderedPageBreak/>
        <w:t xml:space="preserve">information that </w:t>
      </w:r>
      <w:r w:rsidR="009142DC" w:rsidRPr="003C6AEC">
        <w:rPr>
          <w:sz w:val="24"/>
          <w:szCs w:val="24"/>
        </w:rPr>
        <w:t xml:space="preserve">describes the data used and </w:t>
      </w:r>
      <w:r w:rsidR="00362AB4" w:rsidRPr="003C6AEC">
        <w:rPr>
          <w:sz w:val="24"/>
          <w:szCs w:val="24"/>
        </w:rPr>
        <w:t xml:space="preserve">demonstrates that the methodology used is statistically valid and reflects denials explicitly due to excess resources and </w:t>
      </w:r>
      <w:r w:rsidR="000F34D4">
        <w:rPr>
          <w:sz w:val="24"/>
          <w:szCs w:val="24"/>
        </w:rPr>
        <w:t xml:space="preserve">is </w:t>
      </w:r>
      <w:r w:rsidR="00362AB4" w:rsidRPr="003C6AEC">
        <w:rPr>
          <w:sz w:val="24"/>
          <w:szCs w:val="24"/>
        </w:rPr>
        <w:t xml:space="preserve">not </w:t>
      </w:r>
      <w:r w:rsidR="000F34D4">
        <w:rPr>
          <w:sz w:val="24"/>
          <w:szCs w:val="24"/>
        </w:rPr>
        <w:t xml:space="preserve">due to </w:t>
      </w:r>
      <w:r w:rsidR="00362AB4" w:rsidRPr="003C6AEC">
        <w:rPr>
          <w:sz w:val="24"/>
          <w:szCs w:val="24"/>
        </w:rPr>
        <w:t xml:space="preserve">other factors such as failure to return paperwork. </w:t>
      </w:r>
      <w:r w:rsidR="00FD5E52">
        <w:rPr>
          <w:sz w:val="24"/>
          <w:szCs w:val="24"/>
        </w:rPr>
        <w:t xml:space="preserve"> </w:t>
      </w:r>
      <w:r w:rsidR="00362AB4" w:rsidRPr="003C6AEC">
        <w:rPr>
          <w:sz w:val="24"/>
          <w:szCs w:val="24"/>
        </w:rPr>
        <w:t xml:space="preserve">If your state plans to develop a resource proxy adjustment and has not yet done so (for example, because it will implement a post-enrollment survey after January 1, 2014), </w:t>
      </w:r>
      <w:r w:rsidR="00C6577C">
        <w:rPr>
          <w:sz w:val="24"/>
          <w:szCs w:val="24"/>
        </w:rPr>
        <w:t>indicate that you are not currently implementing a resource proxy</w:t>
      </w:r>
      <w:r w:rsidR="00362AB4" w:rsidRPr="003C6AEC">
        <w:rPr>
          <w:sz w:val="24"/>
          <w:szCs w:val="24"/>
        </w:rPr>
        <w:t xml:space="preserve"> and file a new State Plan Amendment when the information is available.</w:t>
      </w:r>
      <w:r w:rsidR="009142DC" w:rsidRPr="003C6AEC">
        <w:rPr>
          <w:sz w:val="24"/>
          <w:szCs w:val="24"/>
        </w:rPr>
        <w:t xml:space="preserve">  </w:t>
      </w:r>
    </w:p>
    <w:p w:rsidR="009142DC" w:rsidRPr="003C6AEC" w:rsidRDefault="009142DC" w:rsidP="00B16401">
      <w:pPr>
        <w:rPr>
          <w:sz w:val="24"/>
          <w:szCs w:val="24"/>
        </w:rPr>
      </w:pPr>
      <w:r w:rsidRPr="003C6AEC">
        <w:rPr>
          <w:sz w:val="24"/>
          <w:szCs w:val="24"/>
        </w:rPr>
        <w:t xml:space="preserve">Information on data included in </w:t>
      </w:r>
      <w:r w:rsidR="00591523">
        <w:rPr>
          <w:sz w:val="24"/>
          <w:szCs w:val="24"/>
        </w:rPr>
        <w:t>Attachment B</w:t>
      </w:r>
      <w:r w:rsidRPr="003C6AEC">
        <w:rPr>
          <w:sz w:val="24"/>
          <w:szCs w:val="24"/>
        </w:rPr>
        <w:t xml:space="preserve"> should include and address:</w:t>
      </w:r>
    </w:p>
    <w:p w:rsidR="00494425" w:rsidRPr="003C6AEC" w:rsidRDefault="009142DC">
      <w:pPr>
        <w:pStyle w:val="ListParagraph"/>
        <w:numPr>
          <w:ilvl w:val="0"/>
          <w:numId w:val="21"/>
        </w:numPr>
        <w:rPr>
          <w:sz w:val="24"/>
          <w:szCs w:val="24"/>
        </w:rPr>
      </w:pPr>
      <w:r w:rsidRPr="003C6AEC">
        <w:rPr>
          <w:sz w:val="24"/>
          <w:szCs w:val="24"/>
        </w:rPr>
        <w:t>Eligibility Groups for which the data apply</w:t>
      </w:r>
    </w:p>
    <w:p w:rsidR="00494425" w:rsidRPr="003C6AEC" w:rsidRDefault="009142DC">
      <w:pPr>
        <w:pStyle w:val="ListParagraph"/>
        <w:numPr>
          <w:ilvl w:val="0"/>
          <w:numId w:val="21"/>
        </w:numPr>
        <w:rPr>
          <w:sz w:val="24"/>
          <w:szCs w:val="24"/>
        </w:rPr>
      </w:pPr>
      <w:r w:rsidRPr="003C6AEC">
        <w:rPr>
          <w:sz w:val="24"/>
          <w:szCs w:val="24"/>
        </w:rPr>
        <w:t>Sampling design</w:t>
      </w:r>
    </w:p>
    <w:p w:rsidR="00494425" w:rsidRPr="003C6AEC" w:rsidRDefault="009142DC">
      <w:pPr>
        <w:pStyle w:val="ListParagraph"/>
        <w:numPr>
          <w:ilvl w:val="0"/>
          <w:numId w:val="21"/>
        </w:numPr>
        <w:rPr>
          <w:sz w:val="24"/>
          <w:szCs w:val="24"/>
        </w:rPr>
      </w:pPr>
      <w:r w:rsidRPr="003C6AEC">
        <w:rPr>
          <w:sz w:val="24"/>
          <w:szCs w:val="24"/>
        </w:rPr>
        <w:t>Periods which the data represent</w:t>
      </w:r>
    </w:p>
    <w:p w:rsidR="00494425" w:rsidRPr="003C6AEC" w:rsidRDefault="009142DC">
      <w:pPr>
        <w:pStyle w:val="ListParagraph"/>
        <w:numPr>
          <w:ilvl w:val="0"/>
          <w:numId w:val="21"/>
        </w:numPr>
        <w:rPr>
          <w:sz w:val="24"/>
          <w:szCs w:val="24"/>
        </w:rPr>
      </w:pPr>
      <w:r w:rsidRPr="003C6AEC">
        <w:rPr>
          <w:sz w:val="24"/>
          <w:szCs w:val="24"/>
        </w:rPr>
        <w:t>Statistical validity</w:t>
      </w:r>
    </w:p>
    <w:p w:rsidR="00494425" w:rsidRPr="003C6AEC" w:rsidRDefault="009142DC">
      <w:pPr>
        <w:pStyle w:val="ListParagraph"/>
        <w:numPr>
          <w:ilvl w:val="0"/>
          <w:numId w:val="21"/>
        </w:numPr>
        <w:rPr>
          <w:sz w:val="24"/>
          <w:szCs w:val="24"/>
        </w:rPr>
      </w:pPr>
      <w:r w:rsidRPr="003C6AEC">
        <w:rPr>
          <w:sz w:val="24"/>
          <w:szCs w:val="24"/>
        </w:rPr>
        <w:t>Calculation of denial rates related specifically to excess resources</w:t>
      </w:r>
    </w:p>
    <w:p w:rsidR="00494425" w:rsidRPr="003C6AEC" w:rsidRDefault="009142DC" w:rsidP="00B16401">
      <w:pPr>
        <w:rPr>
          <w:sz w:val="24"/>
          <w:szCs w:val="24"/>
        </w:rPr>
      </w:pPr>
      <w:r w:rsidRPr="003C6AEC">
        <w:rPr>
          <w:sz w:val="24"/>
          <w:szCs w:val="24"/>
        </w:rPr>
        <w:t xml:space="preserve">Information on the resource methodology and adjustment included in </w:t>
      </w:r>
      <w:r w:rsidR="00591523">
        <w:rPr>
          <w:sz w:val="24"/>
          <w:szCs w:val="24"/>
        </w:rPr>
        <w:t>Attachment B</w:t>
      </w:r>
      <w:r w:rsidR="00FD5E52" w:rsidRPr="003C6AEC">
        <w:rPr>
          <w:sz w:val="24"/>
          <w:szCs w:val="24"/>
        </w:rPr>
        <w:t xml:space="preserve"> </w:t>
      </w:r>
      <w:r w:rsidRPr="003C6AEC">
        <w:rPr>
          <w:sz w:val="24"/>
          <w:szCs w:val="24"/>
        </w:rPr>
        <w:t>should include and address and specify:</w:t>
      </w:r>
    </w:p>
    <w:p w:rsidR="00494425" w:rsidRPr="003C6AEC" w:rsidRDefault="003A0539">
      <w:pPr>
        <w:pStyle w:val="ListParagraph"/>
        <w:numPr>
          <w:ilvl w:val="0"/>
          <w:numId w:val="21"/>
        </w:numPr>
        <w:rPr>
          <w:sz w:val="24"/>
          <w:szCs w:val="24"/>
        </w:rPr>
      </w:pPr>
      <w:r w:rsidRPr="003C6AEC">
        <w:rPr>
          <w:sz w:val="24"/>
          <w:szCs w:val="24"/>
        </w:rPr>
        <w:t>How the adjustment is applied by eligibility group (for example, whether the groups are combined or separated)</w:t>
      </w:r>
    </w:p>
    <w:p w:rsidR="00494425" w:rsidRPr="003C6AEC" w:rsidRDefault="003A0539">
      <w:pPr>
        <w:pStyle w:val="ListParagraph"/>
        <w:numPr>
          <w:ilvl w:val="0"/>
          <w:numId w:val="21"/>
        </w:numPr>
        <w:rPr>
          <w:sz w:val="24"/>
          <w:szCs w:val="24"/>
        </w:rPr>
      </w:pPr>
      <w:r w:rsidRPr="003C6AEC">
        <w:rPr>
          <w:sz w:val="24"/>
          <w:szCs w:val="24"/>
        </w:rPr>
        <w:t>How the data is applied to determine the adjustment</w:t>
      </w:r>
    </w:p>
    <w:p w:rsidR="00494425" w:rsidRPr="003C6AEC" w:rsidRDefault="00494425">
      <w:pPr>
        <w:pStyle w:val="ListParagraph"/>
        <w:ind w:left="410"/>
        <w:rPr>
          <w:sz w:val="24"/>
          <w:szCs w:val="24"/>
        </w:rPr>
      </w:pPr>
    </w:p>
    <w:p w:rsidR="005F07EB" w:rsidRPr="003C6AEC" w:rsidRDefault="00A67565" w:rsidP="00A67565">
      <w:pPr>
        <w:pStyle w:val="ListParagraph"/>
        <w:numPr>
          <w:ilvl w:val="0"/>
          <w:numId w:val="14"/>
        </w:numPr>
        <w:rPr>
          <w:sz w:val="24"/>
          <w:szCs w:val="24"/>
          <w:u w:val="single"/>
        </w:rPr>
      </w:pPr>
      <w:r w:rsidRPr="003C6AEC">
        <w:rPr>
          <w:b/>
          <w:sz w:val="24"/>
          <w:szCs w:val="24"/>
        </w:rPr>
        <w:t>Enrollment Cap Adjustment (</w:t>
      </w:r>
      <w:r w:rsidR="0013339B" w:rsidRPr="003C6AEC">
        <w:rPr>
          <w:b/>
          <w:sz w:val="24"/>
          <w:szCs w:val="24"/>
        </w:rPr>
        <w:t>42 CFR</w:t>
      </w:r>
      <w:r w:rsidRPr="003C6AEC">
        <w:rPr>
          <w:b/>
          <w:sz w:val="24"/>
          <w:szCs w:val="24"/>
        </w:rPr>
        <w:t xml:space="preserve"> 433.206(e))</w:t>
      </w:r>
    </w:p>
    <w:p w:rsidR="00A67565" w:rsidRPr="003C6AEC" w:rsidRDefault="00844888" w:rsidP="005F07EB">
      <w:pPr>
        <w:rPr>
          <w:sz w:val="24"/>
          <w:szCs w:val="24"/>
          <w:u w:val="single"/>
        </w:rPr>
      </w:pPr>
      <w:proofErr w:type="gramStart"/>
      <w:r w:rsidRPr="003C6AEC">
        <w:rPr>
          <w:sz w:val="24"/>
          <w:szCs w:val="24"/>
        </w:rPr>
        <w:t xml:space="preserve">An </w:t>
      </w:r>
      <w:r w:rsidR="00A53081" w:rsidRPr="003C6AEC">
        <w:rPr>
          <w:sz w:val="24"/>
          <w:szCs w:val="24"/>
        </w:rPr>
        <w:t xml:space="preserve">enrollment cap adjustment </w:t>
      </w:r>
      <w:r w:rsidRPr="003C6AEC">
        <w:rPr>
          <w:sz w:val="24"/>
          <w:szCs w:val="24"/>
        </w:rPr>
        <w:t xml:space="preserve">is only applicable for states </w:t>
      </w:r>
      <w:r w:rsidR="002010FC" w:rsidRPr="003C6AEC">
        <w:rPr>
          <w:sz w:val="24"/>
          <w:szCs w:val="24"/>
        </w:rPr>
        <w:t>that</w:t>
      </w:r>
      <w:r w:rsidR="00DE0FB8">
        <w:rPr>
          <w:sz w:val="24"/>
          <w:szCs w:val="24"/>
        </w:rPr>
        <w:t>, as of December 1, 2009,</w:t>
      </w:r>
      <w:r w:rsidR="002010FC" w:rsidRPr="003C6AEC">
        <w:rPr>
          <w:sz w:val="24"/>
          <w:szCs w:val="24"/>
        </w:rPr>
        <w:t xml:space="preserve"> provided demonstration populations with full benefits, benchmark benefits, or benchmark-equivalent benefits as described in </w:t>
      </w:r>
      <w:r w:rsidR="006E7623" w:rsidRPr="003C6AEC">
        <w:rPr>
          <w:sz w:val="24"/>
          <w:szCs w:val="24"/>
        </w:rPr>
        <w:t>section 1905(y)(2)(A) of the Social Security Act</w:t>
      </w:r>
      <w:r w:rsidR="004E2E14">
        <w:rPr>
          <w:sz w:val="24"/>
          <w:szCs w:val="24"/>
        </w:rPr>
        <w:t xml:space="preserve"> that had an enrollment cap</w:t>
      </w:r>
      <w:r w:rsidR="002B2D82" w:rsidRPr="003C6AEC">
        <w:rPr>
          <w:sz w:val="24"/>
          <w:szCs w:val="24"/>
        </w:rPr>
        <w:t xml:space="preserve"> </w:t>
      </w:r>
      <w:r w:rsidR="00DE0FB8">
        <w:rPr>
          <w:sz w:val="24"/>
          <w:szCs w:val="24"/>
        </w:rPr>
        <w:t xml:space="preserve">and </w:t>
      </w:r>
      <w:r w:rsidR="002010FC" w:rsidRPr="003C6AEC">
        <w:rPr>
          <w:sz w:val="24"/>
          <w:szCs w:val="24"/>
        </w:rPr>
        <w:t>as confirmed by</w:t>
      </w:r>
      <w:r w:rsidR="002B2D82" w:rsidRPr="003C6AEC">
        <w:rPr>
          <w:sz w:val="24"/>
          <w:szCs w:val="24"/>
        </w:rPr>
        <w:t xml:space="preserve"> </w:t>
      </w:r>
      <w:r w:rsidR="00345E5E" w:rsidRPr="003C6AEC">
        <w:rPr>
          <w:sz w:val="24"/>
          <w:szCs w:val="24"/>
        </w:rPr>
        <w:t xml:space="preserve">CMS </w:t>
      </w:r>
      <w:r w:rsidR="002B2D82" w:rsidRPr="003C6AEC">
        <w:rPr>
          <w:sz w:val="24"/>
          <w:szCs w:val="24"/>
        </w:rPr>
        <w:t>under the</w:t>
      </w:r>
      <w:r w:rsidR="00345E5E" w:rsidRPr="003C6AEC">
        <w:rPr>
          <w:sz w:val="24"/>
          <w:szCs w:val="24"/>
        </w:rPr>
        <w:t xml:space="preserve"> established </w:t>
      </w:r>
      <w:r w:rsidR="002B2D82" w:rsidRPr="003C6AEC">
        <w:rPr>
          <w:sz w:val="24"/>
          <w:szCs w:val="24"/>
        </w:rPr>
        <w:t>process</w:t>
      </w:r>
      <w:r w:rsidR="00DE0FB8">
        <w:rPr>
          <w:sz w:val="24"/>
          <w:szCs w:val="24"/>
        </w:rPr>
        <w:t xml:space="preserve"> described in letters to states issued in February 2013</w:t>
      </w:r>
      <w:r w:rsidR="00A67565" w:rsidRPr="003C6AEC">
        <w:rPr>
          <w:sz w:val="24"/>
          <w:szCs w:val="24"/>
        </w:rPr>
        <w:t>.</w:t>
      </w:r>
      <w:proofErr w:type="gramEnd"/>
      <w:r w:rsidR="00DE0FB8">
        <w:rPr>
          <w:sz w:val="24"/>
          <w:szCs w:val="24"/>
        </w:rPr>
        <w:t xml:space="preserve">  </w:t>
      </w:r>
      <w:r w:rsidR="00CA6621">
        <w:rPr>
          <w:sz w:val="24"/>
          <w:szCs w:val="24"/>
        </w:rPr>
        <w:t xml:space="preserve">States that expanded Medicaid eligibility through a demonstration prior to December 1, 2009 but offered less than full, benchmark, or benchmark equivalent benefits do not need to reflect enrollment caps as part of their FMAP SPA.  </w:t>
      </w:r>
    </w:p>
    <w:p w:rsidR="002B2D82" w:rsidRPr="003C6AEC" w:rsidRDefault="002B2D82" w:rsidP="00A54B14">
      <w:pPr>
        <w:rPr>
          <w:sz w:val="24"/>
          <w:szCs w:val="24"/>
        </w:rPr>
      </w:pPr>
      <w:r w:rsidRPr="003C6AEC">
        <w:rPr>
          <w:sz w:val="24"/>
          <w:szCs w:val="24"/>
        </w:rPr>
        <w:t xml:space="preserve">Every state should indicate in </w:t>
      </w:r>
      <w:r w:rsidR="00FD5E52">
        <w:rPr>
          <w:sz w:val="24"/>
          <w:szCs w:val="24"/>
        </w:rPr>
        <w:t>S</w:t>
      </w:r>
      <w:r w:rsidR="00FD5E52" w:rsidRPr="003C6AEC">
        <w:rPr>
          <w:sz w:val="24"/>
          <w:szCs w:val="24"/>
        </w:rPr>
        <w:t xml:space="preserve">ection </w:t>
      </w:r>
      <w:r w:rsidRPr="003C6AEC">
        <w:rPr>
          <w:sz w:val="24"/>
          <w:szCs w:val="24"/>
        </w:rPr>
        <w:t>B.1 whether</w:t>
      </w:r>
      <w:r w:rsidR="00844888" w:rsidRPr="003C6AEC">
        <w:rPr>
          <w:sz w:val="24"/>
          <w:szCs w:val="24"/>
        </w:rPr>
        <w:t xml:space="preserve"> an enrollment cap adjustment </w:t>
      </w:r>
      <w:r w:rsidR="0013339B" w:rsidRPr="003C6AEC">
        <w:rPr>
          <w:sz w:val="24"/>
          <w:szCs w:val="24"/>
          <w:u w:val="single"/>
        </w:rPr>
        <w:t>is applicable</w:t>
      </w:r>
      <w:r w:rsidRPr="003C6AEC">
        <w:rPr>
          <w:sz w:val="24"/>
          <w:szCs w:val="24"/>
        </w:rPr>
        <w:t xml:space="preserve"> (</w:t>
      </w:r>
      <w:r w:rsidR="008F7918">
        <w:rPr>
          <w:sz w:val="24"/>
          <w:szCs w:val="24"/>
        </w:rPr>
        <w:t>first</w:t>
      </w:r>
      <w:r w:rsidRPr="003C6AEC">
        <w:rPr>
          <w:sz w:val="24"/>
          <w:szCs w:val="24"/>
        </w:rPr>
        <w:t xml:space="preserve"> indicator area) or</w:t>
      </w:r>
      <w:r w:rsidR="00844888" w:rsidRPr="003C6AEC">
        <w:rPr>
          <w:sz w:val="24"/>
          <w:szCs w:val="24"/>
        </w:rPr>
        <w:t xml:space="preserve"> is</w:t>
      </w:r>
      <w:r w:rsidRPr="003C6AEC">
        <w:rPr>
          <w:sz w:val="24"/>
          <w:szCs w:val="24"/>
        </w:rPr>
        <w:t xml:space="preserve"> </w:t>
      </w:r>
      <w:r w:rsidRPr="003C6AEC">
        <w:rPr>
          <w:sz w:val="24"/>
          <w:szCs w:val="24"/>
          <w:u w:val="single"/>
        </w:rPr>
        <w:t>no</w:t>
      </w:r>
      <w:r w:rsidR="00844888" w:rsidRPr="003C6AEC">
        <w:rPr>
          <w:sz w:val="24"/>
          <w:szCs w:val="24"/>
          <w:u w:val="single"/>
        </w:rPr>
        <w:t>t applicable</w:t>
      </w:r>
      <w:r w:rsidRPr="003C6AEC">
        <w:rPr>
          <w:sz w:val="24"/>
          <w:szCs w:val="24"/>
        </w:rPr>
        <w:t xml:space="preserve"> (second indicator area) </w:t>
      </w:r>
      <w:r w:rsidR="00844888" w:rsidRPr="003C6AEC">
        <w:rPr>
          <w:sz w:val="24"/>
          <w:szCs w:val="24"/>
        </w:rPr>
        <w:t xml:space="preserve">for the state.  </w:t>
      </w:r>
      <w:r w:rsidRPr="003C6AEC">
        <w:rPr>
          <w:sz w:val="24"/>
          <w:szCs w:val="24"/>
        </w:rPr>
        <w:t>States</w:t>
      </w:r>
      <w:r w:rsidR="00844888" w:rsidRPr="003C6AEC">
        <w:rPr>
          <w:sz w:val="24"/>
          <w:szCs w:val="24"/>
        </w:rPr>
        <w:t xml:space="preserve"> for which an enrollment cap adjustment is</w:t>
      </w:r>
      <w:r w:rsidRPr="003C6AEC">
        <w:rPr>
          <w:sz w:val="24"/>
          <w:szCs w:val="24"/>
        </w:rPr>
        <w:t xml:space="preserve"> </w:t>
      </w:r>
      <w:r w:rsidRPr="003C6AEC">
        <w:rPr>
          <w:sz w:val="24"/>
          <w:szCs w:val="24"/>
          <w:u w:val="single"/>
        </w:rPr>
        <w:t>not</w:t>
      </w:r>
      <w:r w:rsidRPr="003C6AEC">
        <w:rPr>
          <w:sz w:val="24"/>
          <w:szCs w:val="24"/>
        </w:rPr>
        <w:t xml:space="preserve"> </w:t>
      </w:r>
      <w:r w:rsidR="00844888" w:rsidRPr="003C6AEC">
        <w:rPr>
          <w:sz w:val="24"/>
          <w:szCs w:val="24"/>
        </w:rPr>
        <w:t xml:space="preserve">applicable </w:t>
      </w:r>
      <w:r w:rsidRPr="003C6AEC">
        <w:rPr>
          <w:sz w:val="24"/>
          <w:szCs w:val="24"/>
        </w:rPr>
        <w:t xml:space="preserve">should skip </w:t>
      </w:r>
      <w:r w:rsidR="00FD5E52">
        <w:rPr>
          <w:sz w:val="24"/>
          <w:szCs w:val="24"/>
        </w:rPr>
        <w:t>S</w:t>
      </w:r>
      <w:r w:rsidR="00FD5E52" w:rsidRPr="003C6AEC">
        <w:rPr>
          <w:sz w:val="24"/>
          <w:szCs w:val="24"/>
        </w:rPr>
        <w:t xml:space="preserve">ections </w:t>
      </w:r>
      <w:r w:rsidRPr="003C6AEC">
        <w:rPr>
          <w:sz w:val="24"/>
          <w:szCs w:val="24"/>
        </w:rPr>
        <w:t>B.2 through B.4.</w:t>
      </w:r>
    </w:p>
    <w:p w:rsidR="00146E9F" w:rsidRDefault="00317DB3" w:rsidP="00146E9F">
      <w:pPr>
        <w:rPr>
          <w:sz w:val="24"/>
          <w:szCs w:val="24"/>
        </w:rPr>
      </w:pPr>
      <w:r>
        <w:rPr>
          <w:sz w:val="24"/>
          <w:szCs w:val="24"/>
        </w:rPr>
        <w:t xml:space="preserve">Use Column </w:t>
      </w:r>
      <w:r w:rsidR="000F34D4">
        <w:rPr>
          <w:sz w:val="24"/>
          <w:szCs w:val="24"/>
        </w:rPr>
        <w:t>D</w:t>
      </w:r>
      <w:r>
        <w:rPr>
          <w:sz w:val="24"/>
          <w:szCs w:val="24"/>
        </w:rPr>
        <w:t xml:space="preserve"> of Table 1 to describe </w:t>
      </w:r>
      <w:r w:rsidR="00146E9F" w:rsidRPr="003C6AEC">
        <w:rPr>
          <w:sz w:val="24"/>
          <w:szCs w:val="24"/>
        </w:rPr>
        <w:t>any enrollment cap</w:t>
      </w:r>
      <w:r w:rsidR="00696304">
        <w:rPr>
          <w:sz w:val="24"/>
          <w:szCs w:val="24"/>
        </w:rPr>
        <w:t>s</w:t>
      </w:r>
      <w:r w:rsidR="00146E9F" w:rsidRPr="003C6AEC">
        <w:rPr>
          <w:sz w:val="24"/>
          <w:szCs w:val="24"/>
        </w:rPr>
        <w:t xml:space="preserve"> authorized in </w:t>
      </w:r>
      <w:r w:rsidR="00FD5E52">
        <w:rPr>
          <w:sz w:val="24"/>
          <w:szCs w:val="24"/>
        </w:rPr>
        <w:t>s</w:t>
      </w:r>
      <w:r w:rsidR="00146E9F" w:rsidRPr="003C6AEC">
        <w:rPr>
          <w:sz w:val="24"/>
          <w:szCs w:val="24"/>
        </w:rPr>
        <w:t>ection 1115 demonstrations as of December 1, 2009 that are applicable to population</w:t>
      </w:r>
      <w:r>
        <w:rPr>
          <w:sz w:val="24"/>
          <w:szCs w:val="24"/>
        </w:rPr>
        <w:t xml:space="preserve"> groups </w:t>
      </w:r>
      <w:r w:rsidR="00146E9F" w:rsidRPr="003C6AEC">
        <w:rPr>
          <w:sz w:val="24"/>
          <w:szCs w:val="24"/>
        </w:rPr>
        <w:t xml:space="preserve">that your </w:t>
      </w:r>
      <w:r w:rsidR="002A11EE">
        <w:rPr>
          <w:sz w:val="24"/>
          <w:szCs w:val="24"/>
        </w:rPr>
        <w:t>s</w:t>
      </w:r>
      <w:r w:rsidR="002A11EE" w:rsidRPr="003C6AEC">
        <w:rPr>
          <w:sz w:val="24"/>
          <w:szCs w:val="24"/>
        </w:rPr>
        <w:t xml:space="preserve">tate </w:t>
      </w:r>
      <w:r w:rsidR="00146E9F" w:rsidRPr="003C6AEC">
        <w:rPr>
          <w:sz w:val="24"/>
          <w:szCs w:val="24"/>
        </w:rPr>
        <w:t>cover</w:t>
      </w:r>
      <w:r w:rsidR="006E7623" w:rsidRPr="003C6AEC">
        <w:rPr>
          <w:sz w:val="24"/>
          <w:szCs w:val="24"/>
        </w:rPr>
        <w:t>s</w:t>
      </w:r>
      <w:r w:rsidR="00146E9F" w:rsidRPr="003C6AEC">
        <w:rPr>
          <w:sz w:val="24"/>
          <w:szCs w:val="24"/>
        </w:rPr>
        <w:t xml:space="preserve"> in the adult group</w:t>
      </w:r>
      <w:r w:rsidR="00DE0FB8">
        <w:rPr>
          <w:sz w:val="24"/>
          <w:szCs w:val="24"/>
        </w:rPr>
        <w:t xml:space="preserve"> and that received full, benchmark, or benchmark-equivalent benefits</w:t>
      </w:r>
      <w:r w:rsidR="000F34D4">
        <w:rPr>
          <w:sz w:val="24"/>
          <w:szCs w:val="24"/>
        </w:rPr>
        <w:t xml:space="preserve">.  </w:t>
      </w:r>
      <w:r w:rsidR="00BE4D15" w:rsidRPr="003C6AEC">
        <w:rPr>
          <w:sz w:val="24"/>
          <w:szCs w:val="24"/>
        </w:rPr>
        <w:t xml:space="preserve">If CMS has already indicated in separate correspondence that populations covered by </w:t>
      </w:r>
      <w:r w:rsidR="00BE4D15" w:rsidRPr="003C6AEC">
        <w:rPr>
          <w:sz w:val="24"/>
          <w:szCs w:val="24"/>
        </w:rPr>
        <w:lastRenderedPageBreak/>
        <w:t xml:space="preserve">a demonstration as of December 1, 2009 did not receive full benefits, benchmark benefits, or benchmark-equivalent benefits, an enrollment cap </w:t>
      </w:r>
      <w:r w:rsidR="006E7623" w:rsidRPr="003C6AEC">
        <w:rPr>
          <w:sz w:val="24"/>
          <w:szCs w:val="24"/>
        </w:rPr>
        <w:t xml:space="preserve">adjustment </w:t>
      </w:r>
      <w:r w:rsidR="00BE4D15" w:rsidRPr="003C6AEC">
        <w:rPr>
          <w:sz w:val="24"/>
          <w:szCs w:val="24"/>
        </w:rPr>
        <w:t xml:space="preserve">is not necessary and you </w:t>
      </w:r>
      <w:r>
        <w:rPr>
          <w:sz w:val="24"/>
          <w:szCs w:val="24"/>
        </w:rPr>
        <w:t xml:space="preserve">may designate “No” in Column </w:t>
      </w:r>
      <w:r w:rsidR="000F34D4">
        <w:rPr>
          <w:sz w:val="24"/>
          <w:szCs w:val="24"/>
        </w:rPr>
        <w:t>D</w:t>
      </w:r>
      <w:r>
        <w:rPr>
          <w:sz w:val="24"/>
          <w:szCs w:val="24"/>
        </w:rPr>
        <w:t xml:space="preserve"> of Table 1 and then </w:t>
      </w:r>
      <w:r w:rsidR="00BE4D15" w:rsidRPr="003C6AEC">
        <w:rPr>
          <w:sz w:val="24"/>
          <w:szCs w:val="24"/>
        </w:rPr>
        <w:t xml:space="preserve">skip this section.  </w:t>
      </w:r>
      <w:r>
        <w:rPr>
          <w:sz w:val="24"/>
          <w:szCs w:val="24"/>
        </w:rPr>
        <w:t xml:space="preserve"> </w:t>
      </w:r>
    </w:p>
    <w:p w:rsidR="00317DB3" w:rsidRDefault="00317DB3" w:rsidP="00146E9F">
      <w:pPr>
        <w:rPr>
          <w:sz w:val="24"/>
          <w:szCs w:val="24"/>
        </w:rPr>
      </w:pPr>
      <w:r>
        <w:rPr>
          <w:sz w:val="24"/>
          <w:szCs w:val="24"/>
        </w:rPr>
        <w:t>For any population group that was subject to an enrollment cap as of December 1, 2009, p</w:t>
      </w:r>
      <w:r w:rsidRPr="00317DB3">
        <w:rPr>
          <w:sz w:val="24"/>
          <w:szCs w:val="24"/>
        </w:rPr>
        <w:t xml:space="preserve">rovide more detail about the enrollment cap in </w:t>
      </w:r>
      <w:r w:rsidR="00591523">
        <w:rPr>
          <w:sz w:val="24"/>
          <w:szCs w:val="24"/>
        </w:rPr>
        <w:t>Attachment C</w:t>
      </w:r>
      <w:r w:rsidRPr="00317DB3">
        <w:rPr>
          <w:sz w:val="24"/>
          <w:szCs w:val="24"/>
        </w:rPr>
        <w:t xml:space="preserve">, and attach CMS correspondence confirming the enrollment cap.  </w:t>
      </w:r>
      <w:r>
        <w:rPr>
          <w:sz w:val="24"/>
          <w:szCs w:val="24"/>
        </w:rPr>
        <w:t xml:space="preserve">It may be helpful to include some of the information in </w:t>
      </w:r>
      <w:r w:rsidR="00591523">
        <w:rPr>
          <w:sz w:val="24"/>
          <w:szCs w:val="24"/>
        </w:rPr>
        <w:t>Attachment C</w:t>
      </w:r>
      <w:r>
        <w:rPr>
          <w:sz w:val="24"/>
          <w:szCs w:val="24"/>
        </w:rPr>
        <w:t xml:space="preserve"> in a chart format.  Below is a sample chart that may be useful: </w:t>
      </w:r>
    </w:p>
    <w:p w:rsidR="00170F1C" w:rsidRDefault="00170F1C" w:rsidP="001C011A">
      <w:pPr>
        <w:keepNext/>
        <w:keepLines/>
        <w:rPr>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460"/>
        <w:gridCol w:w="2538"/>
        <w:gridCol w:w="2286"/>
        <w:gridCol w:w="2292"/>
      </w:tblGrid>
      <w:tr w:rsidR="00317DB3" w:rsidTr="008C61B4">
        <w:trPr>
          <w:jc w:val="center"/>
        </w:trPr>
        <w:tc>
          <w:tcPr>
            <w:tcW w:w="13176" w:type="dxa"/>
            <w:gridSpan w:val="4"/>
            <w:tcBorders>
              <w:top w:val="single" w:sz="12" w:space="0" w:color="auto"/>
              <w:bottom w:val="single" w:sz="12" w:space="0" w:color="auto"/>
            </w:tcBorders>
          </w:tcPr>
          <w:p w:rsidR="00317DB3" w:rsidRDefault="00317DB3" w:rsidP="001C011A">
            <w:pPr>
              <w:keepNext/>
              <w:keepLines/>
              <w:jc w:val="center"/>
              <w:rPr>
                <w:b/>
                <w:sz w:val="24"/>
                <w:szCs w:val="24"/>
              </w:rPr>
            </w:pPr>
            <w:r w:rsidRPr="00146E9F">
              <w:rPr>
                <w:b/>
                <w:sz w:val="24"/>
                <w:szCs w:val="24"/>
              </w:rPr>
              <w:t xml:space="preserve">Section 1115 </w:t>
            </w:r>
            <w:r>
              <w:rPr>
                <w:b/>
                <w:sz w:val="24"/>
                <w:szCs w:val="24"/>
              </w:rPr>
              <w:t>Demonstration</w:t>
            </w:r>
            <w:r w:rsidRPr="00146E9F">
              <w:rPr>
                <w:b/>
                <w:sz w:val="24"/>
                <w:szCs w:val="24"/>
              </w:rPr>
              <w:t xml:space="preserve"> Enrollment Caps</w:t>
            </w:r>
          </w:p>
          <w:p w:rsidR="00317DB3" w:rsidRPr="00146E9F" w:rsidRDefault="00317DB3" w:rsidP="001C011A">
            <w:pPr>
              <w:keepNext/>
              <w:keepLines/>
              <w:jc w:val="center"/>
              <w:rPr>
                <w:b/>
                <w:sz w:val="24"/>
                <w:szCs w:val="24"/>
              </w:rPr>
            </w:pPr>
          </w:p>
        </w:tc>
      </w:tr>
      <w:tr w:rsidR="00317DB3" w:rsidTr="008C61B4">
        <w:trPr>
          <w:jc w:val="center"/>
        </w:trPr>
        <w:tc>
          <w:tcPr>
            <w:tcW w:w="3249" w:type="dxa"/>
            <w:tcBorders>
              <w:top w:val="single" w:sz="12" w:space="0" w:color="auto"/>
              <w:bottom w:val="single" w:sz="4" w:space="0" w:color="auto"/>
            </w:tcBorders>
          </w:tcPr>
          <w:p w:rsidR="00317DB3" w:rsidRPr="009B0CF1" w:rsidRDefault="00317DB3" w:rsidP="001C011A">
            <w:pPr>
              <w:keepNext/>
              <w:keepLines/>
              <w:jc w:val="center"/>
              <w:rPr>
                <w:b/>
              </w:rPr>
            </w:pPr>
            <w:r w:rsidRPr="009B0CF1">
              <w:rPr>
                <w:b/>
              </w:rPr>
              <w:t>Demonstration Name</w:t>
            </w:r>
          </w:p>
        </w:tc>
        <w:tc>
          <w:tcPr>
            <w:tcW w:w="3397" w:type="dxa"/>
            <w:tcBorders>
              <w:top w:val="single" w:sz="12" w:space="0" w:color="auto"/>
              <w:bottom w:val="single" w:sz="4" w:space="0" w:color="auto"/>
            </w:tcBorders>
          </w:tcPr>
          <w:p w:rsidR="00317DB3" w:rsidRPr="009B0CF1" w:rsidRDefault="00317DB3" w:rsidP="001C011A">
            <w:pPr>
              <w:keepNext/>
              <w:keepLines/>
              <w:spacing w:after="200" w:line="276" w:lineRule="auto"/>
              <w:jc w:val="center"/>
              <w:rPr>
                <w:b/>
              </w:rPr>
            </w:pPr>
            <w:r w:rsidRPr="009B0CF1">
              <w:rPr>
                <w:b/>
              </w:rPr>
              <w:t>Demonstration Number</w:t>
            </w:r>
          </w:p>
        </w:tc>
        <w:tc>
          <w:tcPr>
            <w:tcW w:w="3265" w:type="dxa"/>
            <w:tcBorders>
              <w:top w:val="single" w:sz="12" w:space="0" w:color="auto"/>
              <w:bottom w:val="single" w:sz="4" w:space="0" w:color="auto"/>
            </w:tcBorders>
          </w:tcPr>
          <w:p w:rsidR="00317DB3" w:rsidRPr="009B0CF1" w:rsidRDefault="00317DB3" w:rsidP="001C011A">
            <w:pPr>
              <w:keepNext/>
              <w:keepLines/>
              <w:jc w:val="center"/>
              <w:rPr>
                <w:b/>
              </w:rPr>
            </w:pPr>
            <w:r w:rsidRPr="009B0CF1">
              <w:rPr>
                <w:b/>
              </w:rPr>
              <w:t>Population</w:t>
            </w:r>
          </w:p>
        </w:tc>
        <w:tc>
          <w:tcPr>
            <w:tcW w:w="3265" w:type="dxa"/>
            <w:tcBorders>
              <w:top w:val="single" w:sz="12" w:space="0" w:color="auto"/>
              <w:bottom w:val="single" w:sz="4" w:space="0" w:color="auto"/>
            </w:tcBorders>
          </w:tcPr>
          <w:p w:rsidR="00317DB3" w:rsidRPr="009B0CF1" w:rsidRDefault="00317DB3" w:rsidP="001C011A">
            <w:pPr>
              <w:keepNext/>
              <w:keepLines/>
              <w:jc w:val="center"/>
              <w:rPr>
                <w:b/>
              </w:rPr>
            </w:pPr>
            <w:r w:rsidRPr="009B0CF1">
              <w:rPr>
                <w:b/>
              </w:rPr>
              <w:t>Enrollment Cap*</w:t>
            </w:r>
          </w:p>
        </w:tc>
      </w:tr>
      <w:tr w:rsidR="00317DB3" w:rsidTr="008C61B4">
        <w:trPr>
          <w:jc w:val="center"/>
        </w:trPr>
        <w:tc>
          <w:tcPr>
            <w:tcW w:w="3249" w:type="dxa"/>
            <w:tcBorders>
              <w:top w:val="single" w:sz="4" w:space="0" w:color="auto"/>
              <w:bottom w:val="single" w:sz="12" w:space="0" w:color="auto"/>
            </w:tcBorders>
          </w:tcPr>
          <w:p w:rsidR="00317DB3" w:rsidRPr="009B0CF1" w:rsidRDefault="00317DB3" w:rsidP="001C011A">
            <w:pPr>
              <w:keepNext/>
              <w:keepLines/>
              <w:jc w:val="center"/>
              <w:rPr>
                <w:b/>
              </w:rPr>
            </w:pPr>
            <w:r w:rsidRPr="009B0CF1">
              <w:rPr>
                <w:b/>
              </w:rPr>
              <w:t>A</w:t>
            </w:r>
          </w:p>
        </w:tc>
        <w:tc>
          <w:tcPr>
            <w:tcW w:w="3397" w:type="dxa"/>
            <w:tcBorders>
              <w:top w:val="single" w:sz="4" w:space="0" w:color="auto"/>
              <w:bottom w:val="single" w:sz="12" w:space="0" w:color="auto"/>
            </w:tcBorders>
          </w:tcPr>
          <w:p w:rsidR="00317DB3" w:rsidRPr="009B0CF1" w:rsidRDefault="00317DB3" w:rsidP="001C011A">
            <w:pPr>
              <w:keepNext/>
              <w:keepLines/>
              <w:spacing w:after="200" w:line="276" w:lineRule="auto"/>
              <w:jc w:val="center"/>
              <w:rPr>
                <w:b/>
              </w:rPr>
            </w:pPr>
            <w:r w:rsidRPr="009B0CF1">
              <w:rPr>
                <w:b/>
              </w:rPr>
              <w:t>B</w:t>
            </w:r>
          </w:p>
        </w:tc>
        <w:tc>
          <w:tcPr>
            <w:tcW w:w="3265" w:type="dxa"/>
            <w:tcBorders>
              <w:top w:val="single" w:sz="4" w:space="0" w:color="auto"/>
              <w:bottom w:val="single" w:sz="12" w:space="0" w:color="auto"/>
            </w:tcBorders>
          </w:tcPr>
          <w:p w:rsidR="00317DB3" w:rsidRPr="009B0CF1" w:rsidRDefault="00317DB3" w:rsidP="001C011A">
            <w:pPr>
              <w:keepNext/>
              <w:keepLines/>
              <w:jc w:val="center"/>
              <w:rPr>
                <w:b/>
              </w:rPr>
            </w:pPr>
            <w:r w:rsidRPr="009B0CF1">
              <w:rPr>
                <w:b/>
              </w:rPr>
              <w:t>C</w:t>
            </w:r>
          </w:p>
        </w:tc>
        <w:tc>
          <w:tcPr>
            <w:tcW w:w="3265" w:type="dxa"/>
            <w:tcBorders>
              <w:top w:val="single" w:sz="4" w:space="0" w:color="auto"/>
              <w:bottom w:val="single" w:sz="12" w:space="0" w:color="auto"/>
            </w:tcBorders>
          </w:tcPr>
          <w:p w:rsidR="00317DB3" w:rsidRPr="009B0CF1" w:rsidRDefault="00317DB3" w:rsidP="001C011A">
            <w:pPr>
              <w:keepNext/>
              <w:keepLines/>
              <w:jc w:val="center"/>
              <w:rPr>
                <w:b/>
              </w:rPr>
            </w:pPr>
            <w:r w:rsidRPr="009B0CF1">
              <w:rPr>
                <w:b/>
              </w:rPr>
              <w:t>D</w:t>
            </w:r>
          </w:p>
        </w:tc>
      </w:tr>
      <w:tr w:rsidR="00317DB3" w:rsidTr="008C61B4">
        <w:trPr>
          <w:jc w:val="center"/>
        </w:trPr>
        <w:tc>
          <w:tcPr>
            <w:tcW w:w="3249" w:type="dxa"/>
            <w:tcBorders>
              <w:top w:val="single" w:sz="12" w:space="0" w:color="auto"/>
            </w:tcBorders>
          </w:tcPr>
          <w:p w:rsidR="00317DB3" w:rsidRDefault="00317DB3" w:rsidP="001C011A">
            <w:pPr>
              <w:keepNext/>
              <w:keepLines/>
            </w:pPr>
          </w:p>
        </w:tc>
        <w:tc>
          <w:tcPr>
            <w:tcW w:w="3397" w:type="dxa"/>
            <w:tcBorders>
              <w:top w:val="single" w:sz="12" w:space="0" w:color="auto"/>
            </w:tcBorders>
          </w:tcPr>
          <w:p w:rsidR="00317DB3" w:rsidRDefault="00317DB3" w:rsidP="001C011A">
            <w:pPr>
              <w:keepNext/>
              <w:keepLines/>
            </w:pPr>
          </w:p>
        </w:tc>
        <w:tc>
          <w:tcPr>
            <w:tcW w:w="3265" w:type="dxa"/>
            <w:tcBorders>
              <w:top w:val="single" w:sz="12" w:space="0" w:color="auto"/>
            </w:tcBorders>
          </w:tcPr>
          <w:p w:rsidR="00317DB3" w:rsidRDefault="00317DB3" w:rsidP="001C011A">
            <w:pPr>
              <w:keepNext/>
              <w:keepLines/>
            </w:pPr>
          </w:p>
        </w:tc>
        <w:tc>
          <w:tcPr>
            <w:tcW w:w="3265" w:type="dxa"/>
            <w:tcBorders>
              <w:top w:val="single" w:sz="12" w:space="0" w:color="auto"/>
            </w:tcBorders>
          </w:tcPr>
          <w:p w:rsidR="00317DB3" w:rsidRDefault="00317DB3" w:rsidP="001C011A">
            <w:pPr>
              <w:keepNext/>
              <w:keepLines/>
            </w:pPr>
          </w:p>
        </w:tc>
      </w:tr>
      <w:tr w:rsidR="00317DB3" w:rsidTr="008C61B4">
        <w:trPr>
          <w:jc w:val="center"/>
        </w:trPr>
        <w:tc>
          <w:tcPr>
            <w:tcW w:w="3249" w:type="dxa"/>
          </w:tcPr>
          <w:p w:rsidR="00317DB3" w:rsidRDefault="00317DB3" w:rsidP="001C011A">
            <w:pPr>
              <w:keepNext/>
              <w:keepLines/>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3249" w:type="dxa"/>
          </w:tcPr>
          <w:p w:rsidR="00317DB3" w:rsidRDefault="00317DB3" w:rsidP="001C011A">
            <w:pPr>
              <w:keepNext/>
              <w:keepLines/>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3249" w:type="dxa"/>
          </w:tcPr>
          <w:p w:rsidR="00317DB3" w:rsidRDefault="00317DB3" w:rsidP="001C011A">
            <w:pPr>
              <w:keepNext/>
              <w:keepLines/>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3249" w:type="dxa"/>
          </w:tcPr>
          <w:p w:rsidR="00317DB3" w:rsidRPr="004A588C" w:rsidRDefault="00317DB3" w:rsidP="001C011A">
            <w:pPr>
              <w:keepNext/>
              <w:keepLines/>
              <w:rPr>
                <w:i/>
              </w:rPr>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13176" w:type="dxa"/>
            <w:gridSpan w:val="4"/>
          </w:tcPr>
          <w:p w:rsidR="00317DB3" w:rsidRDefault="00317DB3" w:rsidP="001C011A">
            <w:pPr>
              <w:keepNext/>
              <w:keepLines/>
            </w:pPr>
            <w:r>
              <w:t xml:space="preserve">*Enrollment cap is as specified in demonstration special terms and conditions as confirmed by </w:t>
            </w:r>
            <w:proofErr w:type="gramStart"/>
            <w:r>
              <w:t>CMS,</w:t>
            </w:r>
            <w:proofErr w:type="gramEnd"/>
            <w:r>
              <w:t xml:space="preserve"> or alternative authorized cap confirmed by CMS.  Attach CMS correspondence confirming the applicable enrollment cap.  </w:t>
            </w:r>
          </w:p>
        </w:tc>
      </w:tr>
    </w:tbl>
    <w:p w:rsidR="00317DB3" w:rsidRDefault="00317DB3" w:rsidP="001C011A">
      <w:pPr>
        <w:keepNext/>
        <w:keepLines/>
        <w:rPr>
          <w:sz w:val="24"/>
          <w:szCs w:val="24"/>
        </w:rPr>
      </w:pPr>
    </w:p>
    <w:p w:rsidR="00BD0866" w:rsidRDefault="00BD0866" w:rsidP="00146E9F">
      <w:pPr>
        <w:rPr>
          <w:sz w:val="24"/>
          <w:szCs w:val="24"/>
        </w:rPr>
      </w:pPr>
      <w:r>
        <w:rPr>
          <w:sz w:val="24"/>
          <w:szCs w:val="24"/>
        </w:rPr>
        <w:t xml:space="preserve">The following describes the columns in </w:t>
      </w:r>
      <w:r w:rsidR="00317DB3">
        <w:rPr>
          <w:sz w:val="24"/>
          <w:szCs w:val="24"/>
        </w:rPr>
        <w:t xml:space="preserve">the above template chart: </w:t>
      </w:r>
    </w:p>
    <w:p w:rsidR="00BD0866" w:rsidRDefault="00BD0866" w:rsidP="001F5738">
      <w:pPr>
        <w:pStyle w:val="ListParagraph"/>
        <w:numPr>
          <w:ilvl w:val="0"/>
          <w:numId w:val="25"/>
        </w:numPr>
        <w:rPr>
          <w:sz w:val="24"/>
          <w:szCs w:val="24"/>
        </w:rPr>
      </w:pPr>
      <w:r w:rsidRPr="001F5738">
        <w:rPr>
          <w:sz w:val="24"/>
          <w:szCs w:val="24"/>
          <w:u w:val="single"/>
        </w:rPr>
        <w:t>Column A – Demonstration Name</w:t>
      </w:r>
      <w:r>
        <w:rPr>
          <w:sz w:val="24"/>
          <w:szCs w:val="24"/>
        </w:rPr>
        <w:t>.  Indicate in Column A</w:t>
      </w:r>
      <w:r w:rsidRPr="001F5738">
        <w:rPr>
          <w:sz w:val="24"/>
          <w:szCs w:val="24"/>
        </w:rPr>
        <w:t xml:space="preserve"> the demonstration name for which an enrollment cap was applicable on December 1, 2009.</w:t>
      </w:r>
    </w:p>
    <w:p w:rsidR="00BD0866" w:rsidRDefault="00BD0866" w:rsidP="001F5738">
      <w:pPr>
        <w:pStyle w:val="ListParagraph"/>
        <w:numPr>
          <w:ilvl w:val="0"/>
          <w:numId w:val="25"/>
        </w:numPr>
        <w:rPr>
          <w:sz w:val="24"/>
          <w:szCs w:val="24"/>
        </w:rPr>
      </w:pPr>
      <w:r w:rsidRPr="001F5738">
        <w:rPr>
          <w:sz w:val="24"/>
          <w:szCs w:val="24"/>
          <w:u w:val="single"/>
        </w:rPr>
        <w:t>Column B – Demonstration Number</w:t>
      </w:r>
      <w:r>
        <w:rPr>
          <w:sz w:val="24"/>
          <w:szCs w:val="24"/>
        </w:rPr>
        <w:t xml:space="preserve">.  Indicate in Column </w:t>
      </w:r>
      <w:proofErr w:type="spellStart"/>
      <w:r>
        <w:rPr>
          <w:sz w:val="24"/>
          <w:szCs w:val="24"/>
        </w:rPr>
        <w:t>B</w:t>
      </w:r>
      <w:proofErr w:type="spellEnd"/>
      <w:r w:rsidRPr="00D109C2">
        <w:rPr>
          <w:sz w:val="24"/>
          <w:szCs w:val="24"/>
        </w:rPr>
        <w:t xml:space="preserve"> the demonstration </w:t>
      </w:r>
      <w:r>
        <w:rPr>
          <w:sz w:val="24"/>
          <w:szCs w:val="24"/>
        </w:rPr>
        <w:t xml:space="preserve">number </w:t>
      </w:r>
      <w:r w:rsidRPr="00D109C2">
        <w:rPr>
          <w:sz w:val="24"/>
          <w:szCs w:val="24"/>
        </w:rPr>
        <w:t>for which an enrollment cap was applicable on December 1, 2009.</w:t>
      </w:r>
      <w:r w:rsidRPr="00BD0866">
        <w:rPr>
          <w:sz w:val="24"/>
          <w:szCs w:val="24"/>
        </w:rPr>
        <w:t xml:space="preserve"> </w:t>
      </w:r>
    </w:p>
    <w:p w:rsidR="00BD0866" w:rsidRDefault="00BD0866" w:rsidP="001F5738">
      <w:pPr>
        <w:pStyle w:val="ListParagraph"/>
        <w:numPr>
          <w:ilvl w:val="0"/>
          <w:numId w:val="25"/>
        </w:numPr>
        <w:rPr>
          <w:sz w:val="24"/>
          <w:szCs w:val="24"/>
        </w:rPr>
      </w:pPr>
      <w:r w:rsidRPr="001F5738">
        <w:rPr>
          <w:sz w:val="24"/>
          <w:szCs w:val="24"/>
          <w:u w:val="single"/>
        </w:rPr>
        <w:t>Column C – Population</w:t>
      </w:r>
      <w:r>
        <w:rPr>
          <w:sz w:val="24"/>
          <w:szCs w:val="24"/>
        </w:rPr>
        <w:t>.  Indicate in Column C</w:t>
      </w:r>
      <w:r w:rsidRPr="00D109C2">
        <w:rPr>
          <w:sz w:val="24"/>
          <w:szCs w:val="24"/>
        </w:rPr>
        <w:t xml:space="preserve"> the </w:t>
      </w:r>
      <w:r>
        <w:rPr>
          <w:sz w:val="24"/>
          <w:szCs w:val="24"/>
        </w:rPr>
        <w:t xml:space="preserve">population </w:t>
      </w:r>
      <w:r w:rsidRPr="00D109C2">
        <w:rPr>
          <w:sz w:val="24"/>
          <w:szCs w:val="24"/>
        </w:rPr>
        <w:t>for which an enrollment cap was applicable on December 1, 2009.</w:t>
      </w:r>
    </w:p>
    <w:p w:rsidR="00BD0866" w:rsidRPr="001F5738" w:rsidRDefault="00BD0866" w:rsidP="001F5738">
      <w:pPr>
        <w:pStyle w:val="ListParagraph"/>
        <w:numPr>
          <w:ilvl w:val="0"/>
          <w:numId w:val="25"/>
        </w:numPr>
        <w:rPr>
          <w:sz w:val="24"/>
          <w:szCs w:val="24"/>
        </w:rPr>
      </w:pPr>
      <w:r w:rsidRPr="001F5738">
        <w:rPr>
          <w:sz w:val="24"/>
          <w:szCs w:val="24"/>
          <w:u w:val="single"/>
        </w:rPr>
        <w:t>Column D – Enrollment Cap</w:t>
      </w:r>
      <w:r>
        <w:rPr>
          <w:sz w:val="24"/>
          <w:szCs w:val="24"/>
        </w:rPr>
        <w:t>.  Indicate in Column D</w:t>
      </w:r>
      <w:r w:rsidRPr="00D109C2">
        <w:rPr>
          <w:sz w:val="24"/>
          <w:szCs w:val="24"/>
        </w:rPr>
        <w:t xml:space="preserve"> the</w:t>
      </w:r>
      <w:r>
        <w:rPr>
          <w:sz w:val="24"/>
          <w:szCs w:val="24"/>
        </w:rPr>
        <w:t xml:space="preserve"> enrollment cap level as in effect on December 1, 2009 (as authorized and confirmed by CMS) related to the population for which the enrollment cap was applicable</w:t>
      </w:r>
      <w:r w:rsidRPr="00D109C2">
        <w:rPr>
          <w:sz w:val="24"/>
          <w:szCs w:val="24"/>
        </w:rPr>
        <w:t>.</w:t>
      </w:r>
      <w:r w:rsidRPr="001F5738">
        <w:rPr>
          <w:sz w:val="24"/>
          <w:szCs w:val="24"/>
        </w:rPr>
        <w:t xml:space="preserve">  </w:t>
      </w:r>
    </w:p>
    <w:p w:rsidR="000B3196" w:rsidRPr="003C6AEC" w:rsidRDefault="00005E44">
      <w:pPr>
        <w:rPr>
          <w:sz w:val="24"/>
          <w:szCs w:val="24"/>
        </w:rPr>
      </w:pPr>
      <w:r w:rsidRPr="003C6AEC">
        <w:rPr>
          <w:sz w:val="24"/>
          <w:szCs w:val="24"/>
        </w:rPr>
        <w:t xml:space="preserve">States that had separate enrollment caps in place may choose to combine them for purposes of FMAP claiming, unless such treatment would preclude claiming of Federal funding at the applicable FMAP rate required under </w:t>
      </w:r>
      <w:r w:rsidR="00147286" w:rsidRPr="003C6AEC">
        <w:rPr>
          <w:sz w:val="24"/>
          <w:szCs w:val="24"/>
        </w:rPr>
        <w:t xml:space="preserve">42 CFR </w:t>
      </w:r>
      <w:r w:rsidRPr="003C6AEC">
        <w:rPr>
          <w:sz w:val="24"/>
          <w:szCs w:val="24"/>
        </w:rPr>
        <w:t>433.10(b) or (c)</w:t>
      </w:r>
      <w:r w:rsidR="00BE4D15" w:rsidRPr="003C6AEC">
        <w:rPr>
          <w:sz w:val="24"/>
          <w:szCs w:val="24"/>
        </w:rPr>
        <w:t xml:space="preserve"> (such as, for example, claiming the </w:t>
      </w:r>
      <w:r w:rsidR="00BE4D15" w:rsidRPr="003C6AEC">
        <w:rPr>
          <w:sz w:val="24"/>
          <w:szCs w:val="24"/>
        </w:rPr>
        <w:lastRenderedPageBreak/>
        <w:t>expansion state FMAP only for childless adults</w:t>
      </w:r>
      <w:r w:rsidR="004E2E14">
        <w:rPr>
          <w:sz w:val="24"/>
          <w:szCs w:val="24"/>
        </w:rPr>
        <w:t>, and not parents</w:t>
      </w:r>
      <w:r w:rsidR="00BE4D15" w:rsidRPr="003C6AEC">
        <w:rPr>
          <w:sz w:val="24"/>
          <w:szCs w:val="24"/>
        </w:rPr>
        <w:t>)</w:t>
      </w:r>
      <w:r w:rsidRPr="003C6AEC">
        <w:rPr>
          <w:sz w:val="24"/>
          <w:szCs w:val="24"/>
        </w:rPr>
        <w:t xml:space="preserve">. </w:t>
      </w:r>
      <w:r w:rsidR="009F2CB3" w:rsidRPr="003C6AEC">
        <w:rPr>
          <w:sz w:val="24"/>
          <w:szCs w:val="24"/>
        </w:rPr>
        <w:t xml:space="preserve">In </w:t>
      </w:r>
      <w:r w:rsidR="00FD5E52">
        <w:rPr>
          <w:sz w:val="24"/>
          <w:szCs w:val="24"/>
        </w:rPr>
        <w:t>S</w:t>
      </w:r>
      <w:r w:rsidR="005074FF" w:rsidRPr="003C6AEC">
        <w:rPr>
          <w:sz w:val="24"/>
          <w:szCs w:val="24"/>
        </w:rPr>
        <w:t xml:space="preserve">ection B.3 </w:t>
      </w:r>
      <w:r w:rsidR="009F2CB3" w:rsidRPr="003C6AEC">
        <w:rPr>
          <w:sz w:val="24"/>
          <w:szCs w:val="24"/>
        </w:rPr>
        <w:t>of this section, indicate whether your state will combine enrollment caps for FMAP claiming purposes.</w:t>
      </w:r>
      <w:r w:rsidR="005341EB">
        <w:rPr>
          <w:sz w:val="24"/>
          <w:szCs w:val="24"/>
        </w:rPr>
        <w:t xml:space="preserve">  If your state will combine some or all enrollment caps, specify the combined enrollment cap number</w:t>
      </w:r>
      <w:r w:rsidR="00317DB3">
        <w:rPr>
          <w:sz w:val="24"/>
          <w:szCs w:val="24"/>
        </w:rPr>
        <w:t xml:space="preserve"> in </w:t>
      </w:r>
      <w:r w:rsidR="00591523">
        <w:rPr>
          <w:sz w:val="24"/>
          <w:szCs w:val="24"/>
        </w:rPr>
        <w:t>Attachment C</w:t>
      </w:r>
      <w:r w:rsidR="005341EB">
        <w:rPr>
          <w:sz w:val="24"/>
          <w:szCs w:val="24"/>
        </w:rPr>
        <w:t xml:space="preserve">. </w:t>
      </w:r>
    </w:p>
    <w:p w:rsidR="00345E5E" w:rsidRPr="003C6AEC" w:rsidRDefault="005074FF">
      <w:pPr>
        <w:rPr>
          <w:sz w:val="24"/>
          <w:szCs w:val="24"/>
        </w:rPr>
      </w:pPr>
      <w:r w:rsidRPr="003C6AEC">
        <w:rPr>
          <w:sz w:val="24"/>
          <w:szCs w:val="24"/>
        </w:rPr>
        <w:t xml:space="preserve">In </w:t>
      </w:r>
      <w:r w:rsidR="00FD5E52">
        <w:rPr>
          <w:sz w:val="24"/>
          <w:szCs w:val="24"/>
        </w:rPr>
        <w:t>S</w:t>
      </w:r>
      <w:r w:rsidRPr="003C6AEC">
        <w:rPr>
          <w:sz w:val="24"/>
          <w:szCs w:val="24"/>
        </w:rPr>
        <w:t xml:space="preserve">ection B.4 and </w:t>
      </w:r>
      <w:r w:rsidR="00591523">
        <w:rPr>
          <w:sz w:val="24"/>
          <w:szCs w:val="24"/>
        </w:rPr>
        <w:t>Attachment C</w:t>
      </w:r>
      <w:r w:rsidR="00CA6621">
        <w:rPr>
          <w:sz w:val="24"/>
          <w:szCs w:val="24"/>
        </w:rPr>
        <w:t>, s</w:t>
      </w:r>
      <w:r w:rsidRPr="003C6AEC">
        <w:rPr>
          <w:sz w:val="24"/>
          <w:szCs w:val="24"/>
        </w:rPr>
        <w:t xml:space="preserve">tates should provide a description </w:t>
      </w:r>
      <w:r w:rsidR="00345E5E" w:rsidRPr="003C6AEC">
        <w:rPr>
          <w:sz w:val="24"/>
          <w:szCs w:val="24"/>
        </w:rPr>
        <w:t xml:space="preserve">of </w:t>
      </w:r>
      <w:r w:rsidRPr="003C6AEC">
        <w:rPr>
          <w:sz w:val="24"/>
          <w:szCs w:val="24"/>
        </w:rPr>
        <w:t>the methodology for applying enrollment caps under the enrollment cap adjustment.</w:t>
      </w:r>
      <w:r w:rsidR="00345E5E" w:rsidRPr="003C6AEC">
        <w:rPr>
          <w:sz w:val="24"/>
          <w:szCs w:val="24"/>
        </w:rPr>
        <w:t xml:space="preserve">  Such description should include:</w:t>
      </w:r>
    </w:p>
    <w:p w:rsidR="00494425" w:rsidRPr="003C6AEC" w:rsidRDefault="00345E5E">
      <w:pPr>
        <w:pStyle w:val="ListParagraph"/>
        <w:numPr>
          <w:ilvl w:val="0"/>
          <w:numId w:val="23"/>
        </w:numPr>
        <w:rPr>
          <w:sz w:val="24"/>
          <w:szCs w:val="24"/>
        </w:rPr>
      </w:pPr>
      <w:r w:rsidRPr="003C6AEC">
        <w:rPr>
          <w:sz w:val="24"/>
          <w:szCs w:val="24"/>
        </w:rPr>
        <w:t>The enrollment caps as established for each group or groups and approved by CMS as in effect on December 1, 2009.</w:t>
      </w:r>
    </w:p>
    <w:p w:rsidR="00494425" w:rsidRPr="003C6AEC" w:rsidRDefault="00345E5E">
      <w:pPr>
        <w:pStyle w:val="ListParagraph"/>
        <w:numPr>
          <w:ilvl w:val="0"/>
          <w:numId w:val="23"/>
        </w:numPr>
        <w:rPr>
          <w:sz w:val="24"/>
          <w:szCs w:val="24"/>
        </w:rPr>
      </w:pPr>
      <w:r w:rsidRPr="003C6AEC">
        <w:rPr>
          <w:sz w:val="24"/>
          <w:szCs w:val="24"/>
        </w:rPr>
        <w:t>How the enrollment caps are applied to determine the adjustment</w:t>
      </w:r>
    </w:p>
    <w:p w:rsidR="00494425" w:rsidRPr="003C6AEC" w:rsidRDefault="00345E5E">
      <w:pPr>
        <w:pStyle w:val="ListParagraph"/>
        <w:numPr>
          <w:ilvl w:val="0"/>
          <w:numId w:val="23"/>
        </w:numPr>
        <w:rPr>
          <w:sz w:val="24"/>
          <w:szCs w:val="24"/>
        </w:rPr>
      </w:pPr>
      <w:r w:rsidRPr="003C6AEC">
        <w:rPr>
          <w:sz w:val="24"/>
          <w:szCs w:val="24"/>
        </w:rPr>
        <w:t xml:space="preserve">How the methodology is applied </w:t>
      </w:r>
      <w:r w:rsidR="008F7918">
        <w:rPr>
          <w:sz w:val="24"/>
          <w:szCs w:val="24"/>
        </w:rPr>
        <w:t>for</w:t>
      </w:r>
      <w:r w:rsidRPr="003C6AEC">
        <w:rPr>
          <w:sz w:val="24"/>
          <w:szCs w:val="24"/>
        </w:rPr>
        <w:t xml:space="preserve"> separate </w:t>
      </w:r>
      <w:r w:rsidR="004E2E14">
        <w:rPr>
          <w:sz w:val="24"/>
          <w:szCs w:val="24"/>
        </w:rPr>
        <w:t>or</w:t>
      </w:r>
      <w:r w:rsidR="004E2E14" w:rsidRPr="003C6AEC">
        <w:rPr>
          <w:sz w:val="24"/>
          <w:szCs w:val="24"/>
        </w:rPr>
        <w:t xml:space="preserve"> </w:t>
      </w:r>
      <w:r w:rsidRPr="003C6AEC">
        <w:rPr>
          <w:sz w:val="24"/>
          <w:szCs w:val="24"/>
        </w:rPr>
        <w:t>combined enrollment caps.</w:t>
      </w:r>
    </w:p>
    <w:p w:rsidR="005F07EB" w:rsidRDefault="00345E5E" w:rsidP="00F3436E">
      <w:pPr>
        <w:pStyle w:val="ListParagraph"/>
        <w:numPr>
          <w:ilvl w:val="0"/>
          <w:numId w:val="23"/>
        </w:numPr>
        <w:rPr>
          <w:sz w:val="24"/>
          <w:szCs w:val="24"/>
        </w:rPr>
      </w:pPr>
      <w:r w:rsidRPr="003C6AEC">
        <w:rPr>
          <w:sz w:val="24"/>
          <w:szCs w:val="24"/>
        </w:rPr>
        <w:t xml:space="preserve">How the methodology is applied </w:t>
      </w:r>
      <w:r w:rsidR="008F7918">
        <w:rPr>
          <w:sz w:val="24"/>
          <w:szCs w:val="24"/>
        </w:rPr>
        <w:t xml:space="preserve">for purposes of claiming federal funding for </w:t>
      </w:r>
      <w:r w:rsidRPr="003C6AEC">
        <w:rPr>
          <w:sz w:val="24"/>
          <w:szCs w:val="24"/>
        </w:rPr>
        <w:t>expenditures.</w:t>
      </w:r>
    </w:p>
    <w:p w:rsidR="00F3436E" w:rsidRPr="00F3436E" w:rsidRDefault="00F3436E" w:rsidP="00F3436E">
      <w:pPr>
        <w:pStyle w:val="ListParagraph"/>
        <w:ind w:left="870"/>
        <w:rPr>
          <w:sz w:val="24"/>
          <w:szCs w:val="24"/>
        </w:rPr>
      </w:pPr>
    </w:p>
    <w:p w:rsidR="008E797B" w:rsidRPr="003C6AEC" w:rsidRDefault="00FE64D8" w:rsidP="0060341D">
      <w:pPr>
        <w:pStyle w:val="ListParagraph"/>
        <w:numPr>
          <w:ilvl w:val="0"/>
          <w:numId w:val="14"/>
        </w:numPr>
        <w:rPr>
          <w:sz w:val="24"/>
          <w:szCs w:val="24"/>
        </w:rPr>
      </w:pPr>
      <w:r w:rsidRPr="003C6AEC">
        <w:rPr>
          <w:b/>
          <w:sz w:val="24"/>
          <w:szCs w:val="24"/>
        </w:rPr>
        <w:t>Special Circumstances (§ 433.206(g))</w:t>
      </w:r>
    </w:p>
    <w:p w:rsidR="00A54B14" w:rsidRPr="003C6AEC" w:rsidRDefault="005F07EB" w:rsidP="00A54B14">
      <w:pPr>
        <w:rPr>
          <w:sz w:val="24"/>
          <w:szCs w:val="24"/>
        </w:rPr>
      </w:pPr>
      <w:r w:rsidRPr="003C6AEC">
        <w:rPr>
          <w:sz w:val="24"/>
          <w:szCs w:val="24"/>
        </w:rPr>
        <w:t xml:space="preserve">In </w:t>
      </w:r>
      <w:r w:rsidR="00FD5E52">
        <w:rPr>
          <w:sz w:val="24"/>
          <w:szCs w:val="24"/>
        </w:rPr>
        <w:t>S</w:t>
      </w:r>
      <w:r w:rsidRPr="003C6AEC">
        <w:rPr>
          <w:sz w:val="24"/>
          <w:szCs w:val="24"/>
        </w:rPr>
        <w:t xml:space="preserve">ection C.1, </w:t>
      </w:r>
      <w:r w:rsidR="00A54B14" w:rsidRPr="003C6AEC">
        <w:rPr>
          <w:sz w:val="24"/>
          <w:szCs w:val="24"/>
        </w:rPr>
        <w:t xml:space="preserve">indicate whether or not </w:t>
      </w:r>
      <w:r w:rsidRPr="003C6AEC">
        <w:rPr>
          <w:sz w:val="24"/>
          <w:szCs w:val="24"/>
        </w:rPr>
        <w:t xml:space="preserve">your </w:t>
      </w:r>
      <w:r w:rsidR="00A54B14" w:rsidRPr="003C6AEC">
        <w:rPr>
          <w:sz w:val="24"/>
          <w:szCs w:val="24"/>
        </w:rPr>
        <w:t>state appl</w:t>
      </w:r>
      <w:r w:rsidR="003C6AEC">
        <w:rPr>
          <w:sz w:val="24"/>
          <w:szCs w:val="24"/>
        </w:rPr>
        <w:t>ies</w:t>
      </w:r>
      <w:r w:rsidR="00A54B14" w:rsidRPr="003C6AEC">
        <w:rPr>
          <w:sz w:val="24"/>
          <w:szCs w:val="24"/>
        </w:rPr>
        <w:t xml:space="preserve"> special circumstances adjustment(s).</w:t>
      </w:r>
      <w:r w:rsidR="00317DB3">
        <w:rPr>
          <w:sz w:val="24"/>
          <w:szCs w:val="24"/>
        </w:rPr>
        <w:t xml:space="preserve">  For each population group described in Column </w:t>
      </w:r>
      <w:proofErr w:type="gramStart"/>
      <w:r w:rsidR="00317DB3">
        <w:rPr>
          <w:sz w:val="24"/>
          <w:szCs w:val="24"/>
        </w:rPr>
        <w:t>A</w:t>
      </w:r>
      <w:proofErr w:type="gramEnd"/>
      <w:r w:rsidR="00317DB3">
        <w:rPr>
          <w:sz w:val="24"/>
          <w:szCs w:val="24"/>
        </w:rPr>
        <w:t xml:space="preserve"> of Table 1, designate in Column </w:t>
      </w:r>
      <w:r w:rsidR="000F34D4">
        <w:rPr>
          <w:sz w:val="24"/>
          <w:szCs w:val="24"/>
        </w:rPr>
        <w:t>E</w:t>
      </w:r>
      <w:r w:rsidR="00317DB3">
        <w:rPr>
          <w:sz w:val="24"/>
          <w:szCs w:val="24"/>
        </w:rPr>
        <w:t xml:space="preserve"> whether or not a special circumstances adjustment will apply by entering “Y” or “N” in each relevant row.  </w:t>
      </w:r>
    </w:p>
    <w:p w:rsidR="002A747D" w:rsidRDefault="00A54B14" w:rsidP="006E7623">
      <w:pPr>
        <w:rPr>
          <w:sz w:val="24"/>
          <w:szCs w:val="24"/>
        </w:rPr>
      </w:pPr>
      <w:r w:rsidRPr="003C6AEC">
        <w:rPr>
          <w:sz w:val="24"/>
          <w:szCs w:val="24"/>
        </w:rPr>
        <w:t>I</w:t>
      </w:r>
      <w:r w:rsidR="0060341D" w:rsidRPr="003C6AEC">
        <w:rPr>
          <w:sz w:val="24"/>
          <w:szCs w:val="24"/>
        </w:rPr>
        <w:t>f your state appl</w:t>
      </w:r>
      <w:r w:rsidR="003C6AEC">
        <w:rPr>
          <w:sz w:val="24"/>
          <w:szCs w:val="24"/>
        </w:rPr>
        <w:t>ies</w:t>
      </w:r>
      <w:r w:rsidR="0060341D" w:rsidRPr="003C6AEC">
        <w:rPr>
          <w:sz w:val="24"/>
          <w:szCs w:val="24"/>
        </w:rPr>
        <w:t xml:space="preserve"> any special circumstances adjustments, describe them </w:t>
      </w:r>
      <w:r w:rsidR="000F34D4">
        <w:rPr>
          <w:sz w:val="24"/>
          <w:szCs w:val="24"/>
        </w:rPr>
        <w:t xml:space="preserve">in </w:t>
      </w:r>
      <w:r w:rsidR="00591523">
        <w:rPr>
          <w:sz w:val="24"/>
          <w:szCs w:val="24"/>
        </w:rPr>
        <w:t>Attachment D</w:t>
      </w:r>
      <w:r w:rsidR="003C6AEC">
        <w:rPr>
          <w:sz w:val="24"/>
          <w:szCs w:val="24"/>
        </w:rPr>
        <w:t>.</w:t>
      </w:r>
      <w:r w:rsidR="0060341D" w:rsidRPr="003C6AEC">
        <w:rPr>
          <w:sz w:val="24"/>
          <w:szCs w:val="24"/>
        </w:rPr>
        <w:t xml:space="preserve"> The methodologies for any such adjustments are subject to CMS review and approval.</w:t>
      </w:r>
      <w:r w:rsidR="009B1EBD" w:rsidRPr="003C6AEC">
        <w:rPr>
          <w:sz w:val="24"/>
          <w:szCs w:val="24"/>
        </w:rPr>
        <w:t xml:space="preserve"> </w:t>
      </w:r>
      <w:r w:rsidR="00345E5E" w:rsidRPr="003C6AEC">
        <w:rPr>
          <w:sz w:val="24"/>
          <w:szCs w:val="24"/>
        </w:rPr>
        <w:t xml:space="preserve"> CMS will be working with any states for which special circumstances adjustment</w:t>
      </w:r>
      <w:r w:rsidR="00696304">
        <w:rPr>
          <w:sz w:val="24"/>
          <w:szCs w:val="24"/>
        </w:rPr>
        <w:t>s</w:t>
      </w:r>
      <w:r w:rsidR="00345E5E" w:rsidRPr="003C6AEC">
        <w:rPr>
          <w:sz w:val="24"/>
          <w:szCs w:val="24"/>
        </w:rPr>
        <w:t xml:space="preserve"> may apply.  </w:t>
      </w:r>
    </w:p>
    <w:p w:rsidR="002A747D" w:rsidRPr="002A747D" w:rsidRDefault="002A747D" w:rsidP="006E7623">
      <w:pPr>
        <w:rPr>
          <w:sz w:val="24"/>
          <w:szCs w:val="24"/>
        </w:rPr>
      </w:pPr>
      <w:r>
        <w:rPr>
          <w:sz w:val="24"/>
          <w:szCs w:val="24"/>
        </w:rPr>
        <w:t>If your state has adopted a targeted enrollment strategy (as described in our May 17</w:t>
      </w:r>
      <w:r w:rsidRPr="002A747D">
        <w:rPr>
          <w:sz w:val="24"/>
          <w:szCs w:val="24"/>
          <w:vertAlign w:val="superscript"/>
        </w:rPr>
        <w:t>th</w:t>
      </w:r>
      <w:r>
        <w:rPr>
          <w:sz w:val="24"/>
          <w:szCs w:val="24"/>
        </w:rPr>
        <w:t xml:space="preserve"> letter to State Health Officials (</w:t>
      </w:r>
      <w:hyperlink r:id="rId9" w:history="1">
        <w:r w:rsidRPr="0063664C">
          <w:rPr>
            <w:rStyle w:val="Hyperlink"/>
            <w:sz w:val="24"/>
            <w:szCs w:val="24"/>
          </w:rPr>
          <w:t>http://www.medicaid.gov/Federal-Policy-Guidance/downloads/SHO-13-003.pdf</w:t>
        </w:r>
      </w:hyperlink>
      <w:r>
        <w:rPr>
          <w:sz w:val="24"/>
          <w:szCs w:val="24"/>
        </w:rPr>
        <w:t xml:space="preserve">) that requires a special circumstances adjustment (such as administrative transfers from SNAP to Medicaid, or Medicaid continuous eligibility for adults), details of the special circumstances adjustment should be included in </w:t>
      </w:r>
      <w:r w:rsidR="00591523">
        <w:rPr>
          <w:sz w:val="24"/>
          <w:szCs w:val="24"/>
        </w:rPr>
        <w:t>Attachment D</w:t>
      </w:r>
      <w:r>
        <w:rPr>
          <w:sz w:val="24"/>
          <w:szCs w:val="24"/>
        </w:rPr>
        <w:t xml:space="preserve"> as well.</w:t>
      </w:r>
    </w:p>
    <w:p w:rsidR="00CB6A67" w:rsidRPr="00BF2350" w:rsidRDefault="00A42F06" w:rsidP="00CB6A67">
      <w:pPr>
        <w:jc w:val="center"/>
        <w:rPr>
          <w:b/>
          <w:sz w:val="28"/>
          <w:szCs w:val="28"/>
        </w:rPr>
      </w:pPr>
      <w:r w:rsidRPr="00DE6848">
        <w:rPr>
          <w:b/>
          <w:sz w:val="28"/>
          <w:szCs w:val="28"/>
        </w:rPr>
        <w:t xml:space="preserve">Part </w:t>
      </w:r>
      <w:r w:rsidR="002537C7" w:rsidRPr="00DE6848">
        <w:rPr>
          <w:b/>
          <w:sz w:val="28"/>
          <w:szCs w:val="28"/>
        </w:rPr>
        <w:t>3</w:t>
      </w:r>
      <w:r w:rsidRPr="00DE6848">
        <w:rPr>
          <w:b/>
          <w:sz w:val="28"/>
          <w:szCs w:val="28"/>
        </w:rPr>
        <w:t xml:space="preserve"> –</w:t>
      </w:r>
      <w:r w:rsidR="00CB6A67">
        <w:rPr>
          <w:b/>
          <w:sz w:val="28"/>
          <w:szCs w:val="28"/>
        </w:rPr>
        <w:t xml:space="preserve"> </w:t>
      </w:r>
      <w:r w:rsidR="00CB6A67">
        <w:rPr>
          <w:b/>
          <w:sz w:val="28"/>
          <w:szCs w:val="24"/>
        </w:rPr>
        <w:t xml:space="preserve">One-Time </w:t>
      </w:r>
      <w:r w:rsidR="00CB6A67" w:rsidRPr="00B81654">
        <w:rPr>
          <w:b/>
          <w:sz w:val="28"/>
          <w:szCs w:val="24"/>
        </w:rPr>
        <w:t>Tr</w:t>
      </w:r>
      <w:r w:rsidR="00CB6A67">
        <w:rPr>
          <w:b/>
          <w:sz w:val="28"/>
          <w:szCs w:val="24"/>
        </w:rPr>
        <w:t>ansitions of Previously Covered Populations into the New Adult Group</w:t>
      </w:r>
    </w:p>
    <w:p w:rsidR="00CB6A67" w:rsidRDefault="00CB6A67" w:rsidP="00CB6A67">
      <w:pPr>
        <w:pStyle w:val="ListParagraph"/>
        <w:tabs>
          <w:tab w:val="left" w:pos="1350"/>
          <w:tab w:val="left" w:pos="2520"/>
        </w:tabs>
        <w:ind w:left="0"/>
        <w:rPr>
          <w:sz w:val="24"/>
          <w:szCs w:val="24"/>
        </w:rPr>
      </w:pPr>
      <w:r>
        <w:rPr>
          <w:sz w:val="24"/>
          <w:szCs w:val="24"/>
        </w:rPr>
        <w:t xml:space="preserve">States must also describe in the FMAP SPA how individuals who are in existing Medicaid coverage will be transitioned to the new adult group described in 42 CFR 435.119, particularly with respect to how the states will be claiming federal funds for these transitioned populations </w:t>
      </w:r>
      <w:r>
        <w:rPr>
          <w:sz w:val="24"/>
          <w:szCs w:val="24"/>
        </w:rPr>
        <w:lastRenderedPageBreak/>
        <w:t>under the new adult group</w:t>
      </w:r>
      <w:r w:rsidR="007003D9">
        <w:rPr>
          <w:sz w:val="24"/>
          <w:szCs w:val="24"/>
        </w:rPr>
        <w:t xml:space="preserve"> </w:t>
      </w:r>
      <w:r w:rsidR="007003D9" w:rsidRPr="007003D9">
        <w:rPr>
          <w:sz w:val="24"/>
          <w:szCs w:val="24"/>
        </w:rPr>
        <w:t xml:space="preserve">and whether any new authorities will be required as part of the transition.  </w:t>
      </w:r>
    </w:p>
    <w:p w:rsidR="00CB6A67" w:rsidRPr="000E7A24" w:rsidRDefault="00CB6A67" w:rsidP="007003D9">
      <w:pPr>
        <w:tabs>
          <w:tab w:val="left" w:pos="1350"/>
          <w:tab w:val="left" w:pos="2520"/>
        </w:tabs>
        <w:rPr>
          <w:sz w:val="24"/>
          <w:szCs w:val="24"/>
        </w:rPr>
      </w:pPr>
      <w:r w:rsidRPr="007003D9">
        <w:rPr>
          <w:sz w:val="24"/>
          <w:szCs w:val="24"/>
        </w:rPr>
        <w:t xml:space="preserve">States that are transitioning populations from preexisting Medicaid coverage provided under a section 1115 demonstration or a Medicaid state plan group should so indicate by checking the first </w:t>
      </w:r>
      <w:r w:rsidR="007003D9">
        <w:rPr>
          <w:sz w:val="24"/>
          <w:szCs w:val="24"/>
        </w:rPr>
        <w:t xml:space="preserve">line </w:t>
      </w:r>
      <w:r w:rsidRPr="007003D9">
        <w:rPr>
          <w:sz w:val="24"/>
          <w:szCs w:val="24"/>
        </w:rPr>
        <w:t xml:space="preserve">in Part </w:t>
      </w:r>
      <w:r w:rsidR="007003D9">
        <w:rPr>
          <w:sz w:val="24"/>
          <w:szCs w:val="24"/>
        </w:rPr>
        <w:t>3</w:t>
      </w:r>
      <w:r w:rsidRPr="007003D9">
        <w:rPr>
          <w:sz w:val="24"/>
          <w:szCs w:val="24"/>
        </w:rPr>
        <w:t xml:space="preserve">, Section A.  All states with 1115s will have a CMS-approved transition plan covering all changes the state will be making on January 1, 2014 (even those changes that are state plan to state plan).  The approved transition plan should be attached to the SPA as </w:t>
      </w:r>
      <w:r w:rsidR="007003D9">
        <w:rPr>
          <w:sz w:val="24"/>
          <w:szCs w:val="24"/>
        </w:rPr>
        <w:t xml:space="preserve">part of </w:t>
      </w:r>
      <w:r w:rsidR="00591523">
        <w:rPr>
          <w:sz w:val="24"/>
          <w:szCs w:val="24"/>
        </w:rPr>
        <w:t>Attachment E</w:t>
      </w:r>
      <w:r w:rsidRPr="007003D9">
        <w:rPr>
          <w:sz w:val="24"/>
          <w:szCs w:val="24"/>
        </w:rPr>
        <w:t xml:space="preserve">.  </w:t>
      </w:r>
      <w:r w:rsidR="008D3557" w:rsidRPr="008D3557">
        <w:rPr>
          <w:sz w:val="24"/>
          <w:szCs w:val="24"/>
        </w:rPr>
        <w:t xml:space="preserve">States that do not have an approved transition plan but who will be administratively transferring any coverage groups into the VIII </w:t>
      </w:r>
      <w:r w:rsidR="00053D2D">
        <w:rPr>
          <w:sz w:val="24"/>
          <w:szCs w:val="24"/>
        </w:rPr>
        <w:t xml:space="preserve">group </w:t>
      </w:r>
      <w:r w:rsidR="008D3557" w:rsidRPr="008D3557">
        <w:rPr>
          <w:sz w:val="24"/>
          <w:szCs w:val="24"/>
        </w:rPr>
        <w:t>should attach a description of that transition, including the methodology the state will use for claiming FMAP during the time period between the transfer and the MAGI redetermination.</w:t>
      </w:r>
    </w:p>
    <w:p w:rsidR="00CB6A67" w:rsidRDefault="007003D9" w:rsidP="00CB6A67">
      <w:pPr>
        <w:pStyle w:val="ListParagraph"/>
        <w:tabs>
          <w:tab w:val="left" w:pos="1350"/>
          <w:tab w:val="left" w:pos="2520"/>
        </w:tabs>
        <w:ind w:left="0"/>
        <w:rPr>
          <w:sz w:val="24"/>
          <w:szCs w:val="24"/>
        </w:rPr>
      </w:pPr>
      <w:r>
        <w:rPr>
          <w:sz w:val="24"/>
          <w:szCs w:val="24"/>
        </w:rPr>
        <w:t>T</w:t>
      </w:r>
      <w:r w:rsidR="00CB6A67">
        <w:rPr>
          <w:sz w:val="24"/>
          <w:szCs w:val="24"/>
        </w:rPr>
        <w:t xml:space="preserve">he state’s transition plan will describe (1) the manner in which individuals’ eligibility will be </w:t>
      </w:r>
      <w:proofErr w:type="spellStart"/>
      <w:r w:rsidR="00CB6A67">
        <w:rPr>
          <w:sz w:val="24"/>
          <w:szCs w:val="24"/>
        </w:rPr>
        <w:t>redetermined</w:t>
      </w:r>
      <w:proofErr w:type="spellEnd"/>
      <w:r w:rsidR="00CB6A67">
        <w:rPr>
          <w:sz w:val="24"/>
          <w:szCs w:val="24"/>
        </w:rPr>
        <w:t xml:space="preserve">, using MAGI methodologies, to ensure their continued eligibility for the new adult group; (2) the manner in which the threshold methodology will be applied to determine the appropriate FMAP; and (3) the state’s plans, if any, to retroactively adjust FMAP following the MAGI determination and application of the threshold methodology.  States that do not have any relevant populations requiring a transition plan should so indicate in </w:t>
      </w:r>
      <w:r w:rsidR="000E7A24">
        <w:rPr>
          <w:sz w:val="24"/>
          <w:szCs w:val="24"/>
        </w:rPr>
        <w:t>of the second line of</w:t>
      </w:r>
      <w:r w:rsidR="00CB6A67">
        <w:rPr>
          <w:sz w:val="24"/>
          <w:szCs w:val="24"/>
        </w:rPr>
        <w:t xml:space="preserve"> Part 3.</w:t>
      </w:r>
    </w:p>
    <w:p w:rsidR="00CB6A67" w:rsidRDefault="00CB6A67" w:rsidP="006E7623">
      <w:pPr>
        <w:jc w:val="center"/>
        <w:rPr>
          <w:b/>
          <w:sz w:val="28"/>
          <w:szCs w:val="28"/>
        </w:rPr>
      </w:pPr>
    </w:p>
    <w:p w:rsidR="00C6577C" w:rsidRDefault="00CB6A67" w:rsidP="006E7623">
      <w:pPr>
        <w:jc w:val="center"/>
        <w:rPr>
          <w:b/>
          <w:sz w:val="28"/>
          <w:szCs w:val="28"/>
        </w:rPr>
      </w:pPr>
      <w:r>
        <w:rPr>
          <w:b/>
          <w:sz w:val="28"/>
          <w:szCs w:val="28"/>
        </w:rPr>
        <w:t xml:space="preserve">Part 4 - </w:t>
      </w:r>
      <w:r w:rsidR="002A11EE">
        <w:rPr>
          <w:b/>
          <w:sz w:val="28"/>
          <w:szCs w:val="28"/>
        </w:rPr>
        <w:t>Applicability of Special FMAP Rates</w:t>
      </w:r>
    </w:p>
    <w:p w:rsidR="00C6577C" w:rsidRPr="003C6AEC" w:rsidRDefault="00C6577C" w:rsidP="00C6577C">
      <w:pPr>
        <w:pStyle w:val="ListParagraph"/>
        <w:numPr>
          <w:ilvl w:val="0"/>
          <w:numId w:val="7"/>
        </w:numPr>
        <w:rPr>
          <w:b/>
          <w:sz w:val="24"/>
          <w:szCs w:val="24"/>
        </w:rPr>
      </w:pPr>
      <w:r w:rsidRPr="003C6AEC">
        <w:rPr>
          <w:b/>
          <w:sz w:val="24"/>
          <w:szCs w:val="24"/>
        </w:rPr>
        <w:t>Expansion State Designation</w:t>
      </w:r>
    </w:p>
    <w:p w:rsidR="00C6577C" w:rsidRPr="003C6AEC" w:rsidRDefault="00C6577C" w:rsidP="00C6577C">
      <w:pPr>
        <w:rPr>
          <w:sz w:val="24"/>
          <w:szCs w:val="24"/>
        </w:rPr>
      </w:pPr>
      <w:r w:rsidRPr="003C6AEC">
        <w:rPr>
          <w:sz w:val="24"/>
          <w:szCs w:val="24"/>
        </w:rPr>
        <w:t>Complete this section to indicate whether your state is an expansion state, as</w:t>
      </w:r>
      <w:r w:rsidR="003D341F">
        <w:rPr>
          <w:sz w:val="24"/>
          <w:szCs w:val="24"/>
        </w:rPr>
        <w:t xml:space="preserve"> </w:t>
      </w:r>
      <w:r w:rsidRPr="003C6AEC">
        <w:rPr>
          <w:sz w:val="24"/>
          <w:szCs w:val="24"/>
        </w:rPr>
        <w:t xml:space="preserve">determined by CMS in accordance with the process established by CMS for identifying such States and based on state-submitted information.  In </w:t>
      </w:r>
      <w:r w:rsidR="002A11EE">
        <w:rPr>
          <w:sz w:val="24"/>
          <w:szCs w:val="24"/>
        </w:rPr>
        <w:t>S</w:t>
      </w:r>
      <w:r w:rsidRPr="003C6AEC">
        <w:rPr>
          <w:sz w:val="24"/>
          <w:szCs w:val="24"/>
        </w:rPr>
        <w:t xml:space="preserve">ection </w:t>
      </w:r>
      <w:r w:rsidR="002A11EE">
        <w:rPr>
          <w:sz w:val="24"/>
          <w:szCs w:val="24"/>
        </w:rPr>
        <w:t>A</w:t>
      </w:r>
      <w:r w:rsidRPr="003C6AEC">
        <w:rPr>
          <w:sz w:val="24"/>
          <w:szCs w:val="24"/>
        </w:rPr>
        <w:t>, indicate whether your state qualifies as an expansion state</w:t>
      </w:r>
      <w:r w:rsidR="002A11EE">
        <w:rPr>
          <w:sz w:val="24"/>
          <w:szCs w:val="24"/>
        </w:rPr>
        <w:t xml:space="preserve"> and insert the date of the letter from CMS confirming this status.</w:t>
      </w:r>
      <w:r w:rsidR="000E7A24">
        <w:rPr>
          <w:sz w:val="24"/>
          <w:szCs w:val="24"/>
        </w:rPr>
        <w:t xml:space="preserve">  </w:t>
      </w:r>
      <w:r w:rsidR="002A11EE">
        <w:rPr>
          <w:sz w:val="24"/>
          <w:szCs w:val="24"/>
        </w:rPr>
        <w:t xml:space="preserve">If </w:t>
      </w:r>
      <w:r w:rsidRPr="003C6AEC">
        <w:rPr>
          <w:sz w:val="24"/>
          <w:szCs w:val="24"/>
        </w:rPr>
        <w:t>your state does not qualify as an ex</w:t>
      </w:r>
      <w:r w:rsidR="002A11EE">
        <w:rPr>
          <w:sz w:val="24"/>
          <w:szCs w:val="24"/>
        </w:rPr>
        <w:t>pansion state</w:t>
      </w:r>
      <w:r w:rsidR="000E7A24">
        <w:rPr>
          <w:sz w:val="24"/>
          <w:szCs w:val="24"/>
        </w:rPr>
        <w:t xml:space="preserve"> </w:t>
      </w:r>
      <w:r w:rsidR="002A11EE">
        <w:rPr>
          <w:sz w:val="24"/>
          <w:szCs w:val="24"/>
        </w:rPr>
        <w:t>skip Section B</w:t>
      </w:r>
      <w:r w:rsidR="000E7A24">
        <w:rPr>
          <w:sz w:val="24"/>
          <w:szCs w:val="24"/>
        </w:rPr>
        <w:t>,</w:t>
      </w:r>
      <w:r w:rsidR="002A11EE">
        <w:rPr>
          <w:sz w:val="24"/>
          <w:szCs w:val="24"/>
        </w:rPr>
        <w:t xml:space="preserve"> and go to Part </w:t>
      </w:r>
      <w:r w:rsidR="00CB6A67">
        <w:rPr>
          <w:sz w:val="24"/>
          <w:szCs w:val="24"/>
        </w:rPr>
        <w:t>5</w:t>
      </w:r>
      <w:r w:rsidRPr="003C6AEC">
        <w:rPr>
          <w:sz w:val="24"/>
          <w:szCs w:val="24"/>
        </w:rPr>
        <w:t>.</w:t>
      </w:r>
    </w:p>
    <w:p w:rsidR="002A11EE" w:rsidRPr="002A11EE" w:rsidRDefault="002A11EE" w:rsidP="002A11EE">
      <w:pPr>
        <w:pStyle w:val="ListParagraph"/>
        <w:numPr>
          <w:ilvl w:val="0"/>
          <w:numId w:val="7"/>
        </w:numPr>
        <w:tabs>
          <w:tab w:val="left" w:pos="2520"/>
        </w:tabs>
        <w:rPr>
          <w:b/>
          <w:sz w:val="24"/>
          <w:szCs w:val="24"/>
        </w:rPr>
      </w:pPr>
      <w:r>
        <w:rPr>
          <w:b/>
          <w:sz w:val="24"/>
          <w:szCs w:val="24"/>
        </w:rPr>
        <w:t xml:space="preserve"> Qualification for Temporary 2.2 Percentage Point Increase in FMAP</w:t>
      </w:r>
    </w:p>
    <w:p w:rsidR="003A6D2C" w:rsidRDefault="00C6577C" w:rsidP="00451D20">
      <w:pPr>
        <w:tabs>
          <w:tab w:val="left" w:pos="2520"/>
        </w:tabs>
        <w:rPr>
          <w:sz w:val="24"/>
          <w:szCs w:val="24"/>
        </w:rPr>
      </w:pPr>
      <w:r w:rsidRPr="003C6AEC">
        <w:rPr>
          <w:sz w:val="24"/>
          <w:szCs w:val="24"/>
        </w:rPr>
        <w:t>Under 42 CFR 433.10(c</w:t>
      </w:r>
      <w:proofErr w:type="gramStart"/>
      <w:r w:rsidRPr="003C6AEC">
        <w:rPr>
          <w:sz w:val="24"/>
          <w:szCs w:val="24"/>
        </w:rPr>
        <w:t>)(</w:t>
      </w:r>
      <w:proofErr w:type="gramEnd"/>
      <w:r w:rsidRPr="003C6AEC">
        <w:rPr>
          <w:sz w:val="24"/>
          <w:szCs w:val="24"/>
        </w:rPr>
        <w:t>7), under very restrictive criteria, an expansion state may qualify for a temporary 2.2 percentage point increase in its regular FMAP rate.</w:t>
      </w:r>
      <w:r w:rsidR="002A11EE">
        <w:rPr>
          <w:rStyle w:val="FootnoteReference"/>
          <w:sz w:val="24"/>
          <w:szCs w:val="24"/>
        </w:rPr>
        <w:footnoteReference w:id="2"/>
      </w:r>
      <w:r w:rsidRPr="003C6AEC">
        <w:rPr>
          <w:sz w:val="24"/>
          <w:szCs w:val="24"/>
        </w:rPr>
        <w:t xml:space="preserve">  This 2.2 percentage point </w:t>
      </w:r>
      <w:r w:rsidRPr="003C6AEC">
        <w:rPr>
          <w:sz w:val="24"/>
          <w:szCs w:val="24"/>
        </w:rPr>
        <w:lastRenderedPageBreak/>
        <w:t xml:space="preserve">increase in the regular FMAP applies with respect to the amounts of expenditures incurred by the qualifying state during the period January 1, 2014 through December 1, 2015 for the medical assistance for individuals who are </w:t>
      </w:r>
      <w:r w:rsidRPr="003C6AEC">
        <w:rPr>
          <w:sz w:val="24"/>
          <w:szCs w:val="24"/>
          <w:u w:val="single"/>
        </w:rPr>
        <w:t>not</w:t>
      </w:r>
      <w:r w:rsidRPr="003C6AEC">
        <w:rPr>
          <w:sz w:val="24"/>
          <w:szCs w:val="24"/>
        </w:rPr>
        <w:t xml:space="preserve"> eligible under the adult group, and for calculating the amount of the expansion state FMAP which is applicable for the expenditures for individuals eligible under the adult group. </w:t>
      </w:r>
      <w:r w:rsidR="003A6D2C">
        <w:rPr>
          <w:sz w:val="24"/>
          <w:szCs w:val="24"/>
        </w:rPr>
        <w:t xml:space="preserve"> </w:t>
      </w:r>
      <w:r w:rsidRPr="003C6AEC">
        <w:rPr>
          <w:sz w:val="24"/>
          <w:szCs w:val="24"/>
        </w:rPr>
        <w:t xml:space="preserve">Any states wishing to claim the temporary 2.2 percentage point FMAP increase must certify that they are not eligible for and will not claim the increased newly eligible FMAP described in 42 CFR 433.10(c)(6).  </w:t>
      </w:r>
    </w:p>
    <w:p w:rsidR="00C6577C" w:rsidRDefault="00C6577C" w:rsidP="00F3436E">
      <w:pPr>
        <w:pStyle w:val="ListParagraph"/>
        <w:tabs>
          <w:tab w:val="left" w:pos="2520"/>
        </w:tabs>
        <w:ind w:left="0"/>
        <w:rPr>
          <w:sz w:val="24"/>
          <w:szCs w:val="24"/>
        </w:rPr>
      </w:pPr>
      <w:r w:rsidRPr="003C6AEC">
        <w:rPr>
          <w:sz w:val="24"/>
          <w:szCs w:val="24"/>
        </w:rPr>
        <w:t xml:space="preserve">Expansion states should indicate in </w:t>
      </w:r>
      <w:r w:rsidR="003A6D2C">
        <w:rPr>
          <w:sz w:val="24"/>
          <w:szCs w:val="24"/>
        </w:rPr>
        <w:t>Section B</w:t>
      </w:r>
      <w:r w:rsidRPr="003C6AEC">
        <w:rPr>
          <w:sz w:val="24"/>
          <w:szCs w:val="24"/>
        </w:rPr>
        <w:t xml:space="preserve"> whether they qualify for the 2.2 percentage point FMAP increase, as determined by CMS.  CMS has previously provided states that meet the criteria for the 2.2 percentage point increase with confirmation of this status. </w:t>
      </w:r>
    </w:p>
    <w:p w:rsidR="00273FAA" w:rsidRDefault="00273FAA" w:rsidP="00F3436E">
      <w:pPr>
        <w:pStyle w:val="ListParagraph"/>
        <w:tabs>
          <w:tab w:val="left" w:pos="2520"/>
        </w:tabs>
        <w:ind w:left="0"/>
        <w:rPr>
          <w:sz w:val="24"/>
          <w:szCs w:val="24"/>
        </w:rPr>
      </w:pPr>
    </w:p>
    <w:p w:rsidR="00A42F06" w:rsidRPr="006E7623" w:rsidRDefault="00C6577C" w:rsidP="006E7623">
      <w:pPr>
        <w:jc w:val="center"/>
      </w:pPr>
      <w:r>
        <w:rPr>
          <w:b/>
          <w:sz w:val="28"/>
          <w:szCs w:val="28"/>
        </w:rPr>
        <w:t xml:space="preserve">Part </w:t>
      </w:r>
      <w:r w:rsidR="00273FAA">
        <w:rPr>
          <w:b/>
          <w:sz w:val="28"/>
          <w:szCs w:val="28"/>
        </w:rPr>
        <w:t>5</w:t>
      </w:r>
      <w:r>
        <w:rPr>
          <w:b/>
          <w:sz w:val="28"/>
          <w:szCs w:val="28"/>
        </w:rPr>
        <w:t xml:space="preserve"> - </w:t>
      </w:r>
      <w:r w:rsidR="002537C7" w:rsidRPr="00DE6848">
        <w:rPr>
          <w:b/>
          <w:sz w:val="28"/>
          <w:szCs w:val="28"/>
        </w:rPr>
        <w:t>State Attestations</w:t>
      </w:r>
    </w:p>
    <w:p w:rsidR="00451D20" w:rsidRPr="00451D20" w:rsidRDefault="00451D20" w:rsidP="00451D20">
      <w:pPr>
        <w:rPr>
          <w:sz w:val="24"/>
          <w:szCs w:val="24"/>
        </w:rPr>
      </w:pPr>
      <w:r>
        <w:rPr>
          <w:sz w:val="24"/>
          <w:szCs w:val="24"/>
        </w:rPr>
        <w:t xml:space="preserve">The last section of the SPA includes </w:t>
      </w:r>
      <w:r w:rsidR="00273FAA">
        <w:rPr>
          <w:sz w:val="24"/>
          <w:szCs w:val="24"/>
        </w:rPr>
        <w:t xml:space="preserve">two </w:t>
      </w:r>
      <w:r>
        <w:rPr>
          <w:sz w:val="24"/>
          <w:szCs w:val="24"/>
        </w:rPr>
        <w:t xml:space="preserve">attestations to indicate that the state </w:t>
      </w:r>
      <w:r w:rsidR="006E7623" w:rsidRPr="003C6AEC">
        <w:rPr>
          <w:sz w:val="24"/>
          <w:szCs w:val="24"/>
        </w:rPr>
        <w:t>understands and will comply with the requirements for claiming newly eligible or expansion state FMAP for the new adult grou</w:t>
      </w:r>
      <w:r w:rsidR="00F54807" w:rsidRPr="003C6AEC">
        <w:rPr>
          <w:sz w:val="24"/>
          <w:szCs w:val="24"/>
        </w:rPr>
        <w:t xml:space="preserve">p.  </w:t>
      </w:r>
      <w:r w:rsidRPr="00451D20">
        <w:rPr>
          <w:sz w:val="24"/>
          <w:szCs w:val="24"/>
        </w:rPr>
        <w:t xml:space="preserve">The assurances relate to compliance with the threshold methodology as described in 42 CFR 433 Part 206.  CMS will review submitted SPAs for compliance with the regulation and ongoing financial management reviews will also assure that FMAP claiming proceeds in compliance with federal laws and regulation.  </w:t>
      </w:r>
    </w:p>
    <w:p w:rsidR="003A6D2C" w:rsidRDefault="003A6D2C" w:rsidP="00A42F06">
      <w:pPr>
        <w:rPr>
          <w:sz w:val="24"/>
          <w:szCs w:val="24"/>
        </w:rPr>
      </w:pPr>
    </w:p>
    <w:p w:rsidR="002009A6" w:rsidRDefault="002009A6" w:rsidP="00A42F06">
      <w:pPr>
        <w:rPr>
          <w:b/>
          <w:sz w:val="24"/>
          <w:szCs w:val="24"/>
        </w:rPr>
      </w:pPr>
      <w:r>
        <w:rPr>
          <w:b/>
          <w:sz w:val="24"/>
          <w:szCs w:val="24"/>
        </w:rPr>
        <w:t>ATTACHMENTS</w:t>
      </w:r>
      <w:r w:rsidR="003A6D2C" w:rsidRPr="00F3436E">
        <w:rPr>
          <w:b/>
          <w:sz w:val="24"/>
          <w:szCs w:val="24"/>
        </w:rPr>
        <w:t xml:space="preserve"> </w:t>
      </w:r>
      <w:r w:rsidR="00451D20">
        <w:rPr>
          <w:b/>
          <w:sz w:val="24"/>
          <w:szCs w:val="24"/>
        </w:rPr>
        <w:t xml:space="preserve">  </w:t>
      </w:r>
    </w:p>
    <w:p w:rsidR="003A6D2C" w:rsidRPr="00451D20" w:rsidRDefault="002009A6" w:rsidP="00A42F06">
      <w:pPr>
        <w:rPr>
          <w:sz w:val="24"/>
          <w:szCs w:val="24"/>
        </w:rPr>
      </w:pPr>
      <w:proofErr w:type="gramStart"/>
      <w:r>
        <w:rPr>
          <w:b/>
          <w:sz w:val="24"/>
          <w:szCs w:val="24"/>
        </w:rPr>
        <w:t xml:space="preserve">Note, </w:t>
      </w:r>
      <w:r w:rsidR="00451D20">
        <w:rPr>
          <w:sz w:val="24"/>
          <w:szCs w:val="24"/>
        </w:rPr>
        <w:t xml:space="preserve">not all </w:t>
      </w:r>
      <w:r>
        <w:rPr>
          <w:sz w:val="24"/>
          <w:szCs w:val="24"/>
        </w:rPr>
        <w:t xml:space="preserve">of the following </w:t>
      </w:r>
      <w:r w:rsidR="00451D20">
        <w:rPr>
          <w:sz w:val="24"/>
          <w:szCs w:val="24"/>
        </w:rPr>
        <w:t>attachments will apply to all states</w:t>
      </w:r>
      <w:r w:rsidR="00C40EA5">
        <w:rPr>
          <w:sz w:val="24"/>
          <w:szCs w:val="24"/>
        </w:rPr>
        <w:t xml:space="preserve"> and that some attachments may describe methodologies for multiple population groups within the new adult group</w:t>
      </w:r>
      <w:r>
        <w:rPr>
          <w:sz w:val="24"/>
          <w:szCs w:val="24"/>
        </w:rPr>
        <w:t>.</w:t>
      </w:r>
      <w:proofErr w:type="gramEnd"/>
    </w:p>
    <w:p w:rsidR="008A306F" w:rsidRDefault="008A306F" w:rsidP="003A6D2C">
      <w:pPr>
        <w:pStyle w:val="ListParagraph"/>
        <w:numPr>
          <w:ilvl w:val="0"/>
          <w:numId w:val="24"/>
        </w:numPr>
        <w:rPr>
          <w:sz w:val="24"/>
          <w:szCs w:val="24"/>
        </w:rPr>
      </w:pPr>
      <w:r>
        <w:rPr>
          <w:sz w:val="24"/>
          <w:szCs w:val="24"/>
        </w:rPr>
        <w:t>Attachment A – Conversion Plan Standards Referenced in Table 1</w:t>
      </w:r>
    </w:p>
    <w:p w:rsidR="003A6D2C" w:rsidRPr="003A6D2C" w:rsidRDefault="00591523" w:rsidP="003A6D2C">
      <w:pPr>
        <w:pStyle w:val="ListParagraph"/>
        <w:numPr>
          <w:ilvl w:val="0"/>
          <w:numId w:val="24"/>
        </w:numPr>
        <w:rPr>
          <w:sz w:val="24"/>
          <w:szCs w:val="24"/>
        </w:rPr>
      </w:pPr>
      <w:r>
        <w:rPr>
          <w:sz w:val="24"/>
          <w:szCs w:val="24"/>
        </w:rPr>
        <w:t>Attachment B</w:t>
      </w:r>
      <w:r w:rsidR="003A6D2C" w:rsidRPr="003A6D2C">
        <w:rPr>
          <w:sz w:val="24"/>
          <w:szCs w:val="24"/>
        </w:rPr>
        <w:t xml:space="preserve"> – </w:t>
      </w:r>
      <w:r w:rsidR="003A6D2C">
        <w:rPr>
          <w:sz w:val="24"/>
          <w:szCs w:val="24"/>
        </w:rPr>
        <w:t>Resource Criteria Proxy Methodology</w:t>
      </w:r>
    </w:p>
    <w:p w:rsidR="003A6D2C" w:rsidRPr="003A6D2C" w:rsidRDefault="00591523" w:rsidP="003A6D2C">
      <w:pPr>
        <w:pStyle w:val="ListParagraph"/>
        <w:numPr>
          <w:ilvl w:val="0"/>
          <w:numId w:val="24"/>
        </w:numPr>
        <w:rPr>
          <w:sz w:val="24"/>
          <w:szCs w:val="24"/>
        </w:rPr>
      </w:pPr>
      <w:r>
        <w:rPr>
          <w:sz w:val="24"/>
          <w:szCs w:val="24"/>
        </w:rPr>
        <w:t>Attachment C</w:t>
      </w:r>
      <w:r w:rsidR="003A6D2C" w:rsidRPr="003A6D2C">
        <w:rPr>
          <w:sz w:val="24"/>
          <w:szCs w:val="24"/>
        </w:rPr>
        <w:t xml:space="preserve"> – </w:t>
      </w:r>
      <w:r w:rsidR="003A6D2C">
        <w:rPr>
          <w:sz w:val="24"/>
          <w:szCs w:val="24"/>
        </w:rPr>
        <w:t>Enrollment Cap Methodology</w:t>
      </w:r>
    </w:p>
    <w:p w:rsidR="003A6D2C" w:rsidRPr="003A6D2C" w:rsidRDefault="00591523" w:rsidP="003A6D2C">
      <w:pPr>
        <w:pStyle w:val="ListParagraph"/>
        <w:numPr>
          <w:ilvl w:val="0"/>
          <w:numId w:val="24"/>
        </w:numPr>
        <w:rPr>
          <w:sz w:val="24"/>
          <w:szCs w:val="24"/>
        </w:rPr>
      </w:pPr>
      <w:r>
        <w:rPr>
          <w:sz w:val="24"/>
          <w:szCs w:val="24"/>
        </w:rPr>
        <w:t>Attachment D</w:t>
      </w:r>
      <w:r w:rsidR="003A6D2C" w:rsidRPr="003A6D2C">
        <w:rPr>
          <w:sz w:val="24"/>
          <w:szCs w:val="24"/>
        </w:rPr>
        <w:t xml:space="preserve"> – </w:t>
      </w:r>
      <w:r w:rsidR="003A6D2C">
        <w:rPr>
          <w:sz w:val="24"/>
          <w:szCs w:val="24"/>
        </w:rPr>
        <w:t xml:space="preserve">Special Circumstances Adjustment Methodology </w:t>
      </w:r>
    </w:p>
    <w:p w:rsidR="003A6D2C" w:rsidRPr="003A6D2C" w:rsidRDefault="00591523" w:rsidP="003A6D2C">
      <w:pPr>
        <w:pStyle w:val="ListParagraph"/>
        <w:numPr>
          <w:ilvl w:val="0"/>
          <w:numId w:val="24"/>
        </w:numPr>
        <w:rPr>
          <w:sz w:val="24"/>
          <w:szCs w:val="24"/>
        </w:rPr>
      </w:pPr>
      <w:r>
        <w:rPr>
          <w:sz w:val="24"/>
          <w:szCs w:val="24"/>
        </w:rPr>
        <w:t>Attachment E</w:t>
      </w:r>
      <w:r w:rsidR="003A6D2C" w:rsidRPr="003A6D2C">
        <w:rPr>
          <w:sz w:val="24"/>
          <w:szCs w:val="24"/>
        </w:rPr>
        <w:t xml:space="preserve"> </w:t>
      </w:r>
      <w:r w:rsidR="003A6D2C">
        <w:rPr>
          <w:sz w:val="24"/>
          <w:szCs w:val="24"/>
        </w:rPr>
        <w:t>–</w:t>
      </w:r>
      <w:r w:rsidR="003A6D2C" w:rsidRPr="003A6D2C">
        <w:rPr>
          <w:sz w:val="24"/>
          <w:szCs w:val="24"/>
        </w:rPr>
        <w:t xml:space="preserve"> </w:t>
      </w:r>
      <w:r w:rsidR="003A6D2C">
        <w:rPr>
          <w:sz w:val="24"/>
          <w:szCs w:val="24"/>
        </w:rPr>
        <w:t>Transition Plan</w:t>
      </w:r>
      <w:r w:rsidR="00C40EA5">
        <w:rPr>
          <w:sz w:val="24"/>
          <w:szCs w:val="24"/>
        </w:rPr>
        <w:t>s</w:t>
      </w:r>
    </w:p>
    <w:sectPr w:rsidR="003A6D2C" w:rsidRPr="003A6D2C" w:rsidSect="0065232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E42" w:rsidRDefault="00DB1E42" w:rsidP="003319EE">
      <w:pPr>
        <w:spacing w:after="0" w:line="240" w:lineRule="auto"/>
      </w:pPr>
      <w:r>
        <w:separator/>
      </w:r>
    </w:p>
  </w:endnote>
  <w:endnote w:type="continuationSeparator" w:id="0">
    <w:p w:rsidR="00DB1E42" w:rsidRDefault="00DB1E42" w:rsidP="0033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38732"/>
      <w:docPartObj>
        <w:docPartGallery w:val="Page Numbers (Bottom of Page)"/>
        <w:docPartUnique/>
      </w:docPartObj>
    </w:sdtPr>
    <w:sdtEndPr>
      <w:rPr>
        <w:noProof/>
      </w:rPr>
    </w:sdtEndPr>
    <w:sdtContent>
      <w:p w:rsidR="005F07EB" w:rsidRDefault="00933B59">
        <w:pPr>
          <w:pStyle w:val="Footer"/>
          <w:jc w:val="center"/>
        </w:pPr>
        <w:r>
          <w:fldChar w:fldCharType="begin"/>
        </w:r>
        <w:r w:rsidR="00931125">
          <w:instrText xml:space="preserve"> PAGE   \* MERGEFORMAT </w:instrText>
        </w:r>
        <w:r>
          <w:fldChar w:fldCharType="separate"/>
        </w:r>
        <w:r w:rsidR="006F3AA8">
          <w:rPr>
            <w:noProof/>
          </w:rPr>
          <w:t>1</w:t>
        </w:r>
        <w:r>
          <w:rPr>
            <w:noProof/>
          </w:rPr>
          <w:fldChar w:fldCharType="end"/>
        </w:r>
      </w:p>
    </w:sdtContent>
  </w:sdt>
  <w:p w:rsidR="005F07EB" w:rsidRDefault="005F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E42" w:rsidRDefault="00DB1E42" w:rsidP="003319EE">
      <w:pPr>
        <w:spacing w:after="0" w:line="240" w:lineRule="auto"/>
      </w:pPr>
      <w:r>
        <w:separator/>
      </w:r>
    </w:p>
  </w:footnote>
  <w:footnote w:type="continuationSeparator" w:id="0">
    <w:p w:rsidR="00DB1E42" w:rsidRDefault="00DB1E42" w:rsidP="003319EE">
      <w:pPr>
        <w:spacing w:after="0" w:line="240" w:lineRule="auto"/>
      </w:pPr>
      <w:r>
        <w:continuationSeparator/>
      </w:r>
    </w:p>
  </w:footnote>
  <w:footnote w:id="1">
    <w:p w:rsidR="005F07EB" w:rsidRDefault="005F07EB">
      <w:pPr>
        <w:pStyle w:val="FootnoteText"/>
      </w:pPr>
      <w:r>
        <w:rPr>
          <w:rStyle w:val="FootnoteReference"/>
        </w:rPr>
        <w:footnoteRef/>
      </w:r>
      <w:r>
        <w:t xml:space="preserve"> 78 Federal Register 19918-19947, accessible </w:t>
      </w:r>
      <w:r w:rsidRPr="003319EE">
        <w:t>at</w:t>
      </w:r>
      <w:r w:rsidRPr="00451D20">
        <w:t xml:space="preserve"> </w:t>
      </w:r>
      <w:hyperlink r:id="rId1" w:history="1">
        <w:r w:rsidR="00451D20" w:rsidRPr="00451D20">
          <w:rPr>
            <w:rStyle w:val="Hyperlink"/>
            <w:bCs/>
          </w:rPr>
          <w:t>http://www.gpo.gov/fdsys/pkg/FR-2013-04-02/pdf/2013-07599.pdf</w:t>
        </w:r>
      </w:hyperlink>
      <w:r w:rsidR="00451D20">
        <w:rPr>
          <w:bCs/>
        </w:rPr>
        <w:t xml:space="preserve"> </w:t>
      </w:r>
    </w:p>
  </w:footnote>
  <w:footnote w:id="2">
    <w:p w:rsidR="002A11EE" w:rsidRPr="002A11EE" w:rsidRDefault="002A11EE" w:rsidP="002A11EE">
      <w:pPr>
        <w:pStyle w:val="FootnoteText"/>
      </w:pPr>
      <w:r>
        <w:rPr>
          <w:rStyle w:val="FootnoteReference"/>
        </w:rPr>
        <w:footnoteRef/>
      </w:r>
      <w:r>
        <w:t xml:space="preserve"> </w:t>
      </w:r>
      <w:r w:rsidRPr="002A11EE">
        <w:t xml:space="preserve">In particular, in order to qualify for this increase in the FMAP rate, a state </w:t>
      </w:r>
      <w:r w:rsidRPr="002A11EE">
        <w:rPr>
          <w:u w:val="single"/>
        </w:rPr>
        <w:t>must</w:t>
      </w:r>
      <w:r w:rsidRPr="002A11EE">
        <w:t>:</w:t>
      </w:r>
    </w:p>
    <w:p w:rsidR="002A11EE" w:rsidRPr="002A11EE" w:rsidRDefault="002A11EE" w:rsidP="002A11EE">
      <w:pPr>
        <w:pStyle w:val="FootnoteText"/>
        <w:numPr>
          <w:ilvl w:val="0"/>
          <w:numId w:val="20"/>
        </w:numPr>
      </w:pPr>
      <w:r w:rsidRPr="002A11EE">
        <w:t>Meet the definition of expansion state as determined by CMS;</w:t>
      </w:r>
    </w:p>
    <w:p w:rsidR="002A11EE" w:rsidRPr="002A11EE" w:rsidRDefault="002A11EE" w:rsidP="002A11EE">
      <w:pPr>
        <w:pStyle w:val="FootnoteText"/>
        <w:numPr>
          <w:ilvl w:val="0"/>
          <w:numId w:val="20"/>
        </w:numPr>
      </w:pPr>
      <w:r w:rsidRPr="002A11EE">
        <w:rPr>
          <w:u w:val="single"/>
        </w:rPr>
        <w:t>Not</w:t>
      </w:r>
      <w:r w:rsidRPr="002A11EE">
        <w:t xml:space="preserve"> qualify for any increased FMAP funding for newly eligible individuals under 42 CFR 433.10(c)(6); and</w:t>
      </w:r>
    </w:p>
    <w:p w:rsidR="002A11EE" w:rsidRPr="002A11EE" w:rsidRDefault="002A11EE" w:rsidP="002A11EE">
      <w:pPr>
        <w:pStyle w:val="FootnoteText"/>
        <w:numPr>
          <w:ilvl w:val="0"/>
          <w:numId w:val="20"/>
        </w:numPr>
      </w:pPr>
      <w:r w:rsidRPr="002A11EE">
        <w:rPr>
          <w:u w:val="single"/>
        </w:rPr>
        <w:t>Not</w:t>
      </w:r>
      <w:r w:rsidRPr="002A11EE">
        <w:t xml:space="preserve"> have been approved by the Secretary to divert a portion of the disproportionate share hospital allotment for the State under section 1923(f) of the Social Security Act to the costs of providing medical assistance or other health benefits coverage under a demonstration in effect on July 1, 2009. </w:t>
      </w:r>
    </w:p>
    <w:p w:rsidR="002A11EE" w:rsidRDefault="002A11E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B" w:rsidRDefault="005F07EB" w:rsidP="002B741A">
    <w:pPr>
      <w:pStyle w:val="Header"/>
      <w:jc w:val="right"/>
    </w:pPr>
    <w:bookmarkStart w:id="0" w:name="_GoBack"/>
    <w:bookmarkEnd w:id="0"/>
    <w:r>
      <w:t>Instructions for FMAP Claiming State Plan Amendment,</w:t>
    </w:r>
  </w:p>
  <w:p w:rsidR="005F07EB" w:rsidRDefault="005F07EB" w:rsidP="002B741A">
    <w:pPr>
      <w:pStyle w:val="Header"/>
      <w:jc w:val="right"/>
    </w:pPr>
    <w:r>
      <w:t xml:space="preserve">Supplement </w:t>
    </w:r>
    <w:r w:rsidR="00CB6A67">
      <w:t xml:space="preserve">18 </w:t>
    </w:r>
    <w:r>
      <w:t>to Attachment 2.6A</w:t>
    </w:r>
  </w:p>
  <w:p w:rsidR="005F07EB" w:rsidRDefault="005F07EB" w:rsidP="002B741A">
    <w:pPr>
      <w:pStyle w:val="Header"/>
      <w:jc w:val="right"/>
    </w:pPr>
    <w:r>
      <w:t xml:space="preserve">Page </w:t>
    </w:r>
    <w:r w:rsidR="00933B59">
      <w:fldChar w:fldCharType="begin"/>
    </w:r>
    <w:r w:rsidR="00931125">
      <w:instrText xml:space="preserve"> PAGE  \* Arabic  \* MERGEFORMAT </w:instrText>
    </w:r>
    <w:r w:rsidR="00933B59">
      <w:fldChar w:fldCharType="separate"/>
    </w:r>
    <w:r w:rsidR="006F3AA8">
      <w:rPr>
        <w:noProof/>
      </w:rPr>
      <w:t>1</w:t>
    </w:r>
    <w:r w:rsidR="00933B59">
      <w:rPr>
        <w:noProof/>
      </w:rPr>
      <w:fldChar w:fldCharType="end"/>
    </w:r>
    <w:r>
      <w:t xml:space="preserve"> of </w:t>
    </w:r>
    <w:fldSimple w:instr=" NUMPAGES  \* Arabic  \* MERGEFORMAT ">
      <w:r w:rsidR="006F3AA8">
        <w:rPr>
          <w:noProof/>
        </w:rPr>
        <w:t>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9E5"/>
    <w:multiLevelType w:val="hybridMultilevel"/>
    <w:tmpl w:val="17C06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43ECF8E">
      <w:start w:val="25"/>
      <w:numFmt w:val="bullet"/>
      <w:lvlText w:val="-"/>
      <w:lvlJc w:val="left"/>
      <w:pPr>
        <w:ind w:left="1800" w:hanging="360"/>
      </w:pPr>
      <w:rPr>
        <w:rFonts w:ascii="Calibri" w:eastAsiaTheme="minorHAnsi"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DC2688"/>
    <w:multiLevelType w:val="hybridMultilevel"/>
    <w:tmpl w:val="744AA386"/>
    <w:lvl w:ilvl="0" w:tplc="7ACA0AAA">
      <w:start w:val="100"/>
      <w:numFmt w:val="bullet"/>
      <w:lvlText w:val=""/>
      <w:lvlJc w:val="left"/>
      <w:pPr>
        <w:ind w:left="2880" w:hanging="360"/>
      </w:pPr>
      <w:rPr>
        <w:rFonts w:ascii="Symbol" w:eastAsiaTheme="minorHAnsi" w:hAnsi="Symbol"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E9D4FE1"/>
    <w:multiLevelType w:val="hybridMultilevel"/>
    <w:tmpl w:val="67E058D8"/>
    <w:lvl w:ilvl="0" w:tplc="39CEF0CC">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E70B4"/>
    <w:multiLevelType w:val="hybridMultilevel"/>
    <w:tmpl w:val="CC4065CA"/>
    <w:lvl w:ilvl="0" w:tplc="4DC4B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7444F"/>
    <w:multiLevelType w:val="hybridMultilevel"/>
    <w:tmpl w:val="A906D7D4"/>
    <w:lvl w:ilvl="0" w:tplc="372E5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B4370"/>
    <w:multiLevelType w:val="hybridMultilevel"/>
    <w:tmpl w:val="28801E90"/>
    <w:lvl w:ilvl="0" w:tplc="08669D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13664"/>
    <w:multiLevelType w:val="hybridMultilevel"/>
    <w:tmpl w:val="1FD695B6"/>
    <w:lvl w:ilvl="0" w:tplc="57BE719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F1889"/>
    <w:multiLevelType w:val="hybridMultilevel"/>
    <w:tmpl w:val="54D4A4B4"/>
    <w:lvl w:ilvl="0" w:tplc="10F621E2">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DA0E80"/>
    <w:multiLevelType w:val="hybridMultilevel"/>
    <w:tmpl w:val="E71A58B8"/>
    <w:lvl w:ilvl="0" w:tplc="A32435D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E4AF4"/>
    <w:multiLevelType w:val="hybridMultilevel"/>
    <w:tmpl w:val="D240849A"/>
    <w:lvl w:ilvl="0" w:tplc="278465A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621B9"/>
    <w:multiLevelType w:val="hybridMultilevel"/>
    <w:tmpl w:val="CFE04558"/>
    <w:lvl w:ilvl="0" w:tplc="372E5C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15731E"/>
    <w:multiLevelType w:val="hybridMultilevel"/>
    <w:tmpl w:val="C506EAA2"/>
    <w:lvl w:ilvl="0" w:tplc="A9C209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E6DAA"/>
    <w:multiLevelType w:val="hybridMultilevel"/>
    <w:tmpl w:val="D40A0CA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36731F2A"/>
    <w:multiLevelType w:val="hybridMultilevel"/>
    <w:tmpl w:val="742AE07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4">
    <w:nsid w:val="39803045"/>
    <w:multiLevelType w:val="hybridMultilevel"/>
    <w:tmpl w:val="073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6385C"/>
    <w:multiLevelType w:val="hybridMultilevel"/>
    <w:tmpl w:val="C930F3A8"/>
    <w:lvl w:ilvl="0" w:tplc="257C7B4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A18AA"/>
    <w:multiLevelType w:val="hybridMultilevel"/>
    <w:tmpl w:val="CA0A8754"/>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7">
    <w:nsid w:val="48BF0347"/>
    <w:multiLevelType w:val="hybridMultilevel"/>
    <w:tmpl w:val="B5BA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31D86"/>
    <w:multiLevelType w:val="hybridMultilevel"/>
    <w:tmpl w:val="8A00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AC07EF"/>
    <w:multiLevelType w:val="hybridMultilevel"/>
    <w:tmpl w:val="8F4CC548"/>
    <w:lvl w:ilvl="0" w:tplc="D10AF8B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FB0947"/>
    <w:multiLevelType w:val="hybridMultilevel"/>
    <w:tmpl w:val="348E8F0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6172F9"/>
    <w:multiLevelType w:val="hybridMultilevel"/>
    <w:tmpl w:val="FF863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073B94"/>
    <w:multiLevelType w:val="hybridMultilevel"/>
    <w:tmpl w:val="BAB2AF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659437B6"/>
    <w:multiLevelType w:val="hybridMultilevel"/>
    <w:tmpl w:val="F9A845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6071D0"/>
    <w:multiLevelType w:val="hybridMultilevel"/>
    <w:tmpl w:val="173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D52575"/>
    <w:multiLevelType w:val="hybridMultilevel"/>
    <w:tmpl w:val="8078EC56"/>
    <w:lvl w:ilvl="0" w:tplc="504246E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6">
    <w:nsid w:val="7A8C2847"/>
    <w:multiLevelType w:val="hybridMultilevel"/>
    <w:tmpl w:val="160C446E"/>
    <w:lvl w:ilvl="0" w:tplc="D89C6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3"/>
  </w:num>
  <w:num w:numId="5">
    <w:abstractNumId w:val="25"/>
  </w:num>
  <w:num w:numId="6">
    <w:abstractNumId w:val="1"/>
  </w:num>
  <w:num w:numId="7">
    <w:abstractNumId w:val="23"/>
  </w:num>
  <w:num w:numId="8">
    <w:abstractNumId w:val="5"/>
  </w:num>
  <w:num w:numId="9">
    <w:abstractNumId w:val="6"/>
  </w:num>
  <w:num w:numId="10">
    <w:abstractNumId w:val="15"/>
  </w:num>
  <w:num w:numId="11">
    <w:abstractNumId w:val="2"/>
  </w:num>
  <w:num w:numId="12">
    <w:abstractNumId w:val="7"/>
  </w:num>
  <w:num w:numId="13">
    <w:abstractNumId w:val="11"/>
  </w:num>
  <w:num w:numId="14">
    <w:abstractNumId w:val="19"/>
  </w:num>
  <w:num w:numId="15">
    <w:abstractNumId w:val="3"/>
  </w:num>
  <w:num w:numId="16">
    <w:abstractNumId w:val="21"/>
  </w:num>
  <w:num w:numId="17">
    <w:abstractNumId w:val="20"/>
  </w:num>
  <w:num w:numId="18">
    <w:abstractNumId w:val="9"/>
  </w:num>
  <w:num w:numId="19">
    <w:abstractNumId w:val="8"/>
  </w:num>
  <w:num w:numId="20">
    <w:abstractNumId w:val="18"/>
  </w:num>
  <w:num w:numId="21">
    <w:abstractNumId w:val="22"/>
  </w:num>
  <w:num w:numId="22">
    <w:abstractNumId w:val="16"/>
  </w:num>
  <w:num w:numId="23">
    <w:abstractNumId w:val="12"/>
  </w:num>
  <w:num w:numId="24">
    <w:abstractNumId w:val="24"/>
  </w:num>
  <w:num w:numId="25">
    <w:abstractNumId w:val="17"/>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06"/>
    <w:rsid w:val="000002D6"/>
    <w:rsid w:val="000004CB"/>
    <w:rsid w:val="00005E44"/>
    <w:rsid w:val="00006EE1"/>
    <w:rsid w:val="000203B2"/>
    <w:rsid w:val="00032591"/>
    <w:rsid w:val="0003377D"/>
    <w:rsid w:val="00050ACC"/>
    <w:rsid w:val="00053D2D"/>
    <w:rsid w:val="00073456"/>
    <w:rsid w:val="0009673F"/>
    <w:rsid w:val="000A39EE"/>
    <w:rsid w:val="000A4C84"/>
    <w:rsid w:val="000A76A8"/>
    <w:rsid w:val="000B3196"/>
    <w:rsid w:val="000B627E"/>
    <w:rsid w:val="000B6786"/>
    <w:rsid w:val="000C1B2B"/>
    <w:rsid w:val="000D6414"/>
    <w:rsid w:val="000E7A24"/>
    <w:rsid w:val="000F063F"/>
    <w:rsid w:val="000F34D4"/>
    <w:rsid w:val="001123CF"/>
    <w:rsid w:val="00120293"/>
    <w:rsid w:val="00126221"/>
    <w:rsid w:val="00126415"/>
    <w:rsid w:val="001275B4"/>
    <w:rsid w:val="00127818"/>
    <w:rsid w:val="0013050D"/>
    <w:rsid w:val="0013339B"/>
    <w:rsid w:val="001469EF"/>
    <w:rsid w:val="00146E9F"/>
    <w:rsid w:val="00147286"/>
    <w:rsid w:val="001508D2"/>
    <w:rsid w:val="00151302"/>
    <w:rsid w:val="00153AD6"/>
    <w:rsid w:val="00155249"/>
    <w:rsid w:val="00157005"/>
    <w:rsid w:val="00160CD0"/>
    <w:rsid w:val="00170F1C"/>
    <w:rsid w:val="001720B0"/>
    <w:rsid w:val="00173702"/>
    <w:rsid w:val="00177D87"/>
    <w:rsid w:val="00180464"/>
    <w:rsid w:val="00182BDF"/>
    <w:rsid w:val="001864B6"/>
    <w:rsid w:val="001869D0"/>
    <w:rsid w:val="001976A0"/>
    <w:rsid w:val="001B73F1"/>
    <w:rsid w:val="001C011A"/>
    <w:rsid w:val="001C1975"/>
    <w:rsid w:val="001C4E2C"/>
    <w:rsid w:val="001C5CA4"/>
    <w:rsid w:val="001C5FBD"/>
    <w:rsid w:val="001E23CC"/>
    <w:rsid w:val="001F1F46"/>
    <w:rsid w:val="001F5738"/>
    <w:rsid w:val="002009A6"/>
    <w:rsid w:val="002010FC"/>
    <w:rsid w:val="002023F0"/>
    <w:rsid w:val="002042A0"/>
    <w:rsid w:val="00231CFE"/>
    <w:rsid w:val="00247E84"/>
    <w:rsid w:val="002537C7"/>
    <w:rsid w:val="00253DBD"/>
    <w:rsid w:val="0026240F"/>
    <w:rsid w:val="00262698"/>
    <w:rsid w:val="00266BAF"/>
    <w:rsid w:val="00267395"/>
    <w:rsid w:val="00273FAA"/>
    <w:rsid w:val="00275FD1"/>
    <w:rsid w:val="00277E9E"/>
    <w:rsid w:val="00283519"/>
    <w:rsid w:val="0029605C"/>
    <w:rsid w:val="002A11EE"/>
    <w:rsid w:val="002A3224"/>
    <w:rsid w:val="002A40E0"/>
    <w:rsid w:val="002A747D"/>
    <w:rsid w:val="002B2D82"/>
    <w:rsid w:val="002B5449"/>
    <w:rsid w:val="002B741A"/>
    <w:rsid w:val="002C5EE8"/>
    <w:rsid w:val="002E0253"/>
    <w:rsid w:val="002E046C"/>
    <w:rsid w:val="002E7968"/>
    <w:rsid w:val="00316AC4"/>
    <w:rsid w:val="00317DB3"/>
    <w:rsid w:val="00320D47"/>
    <w:rsid w:val="00323E81"/>
    <w:rsid w:val="003319EE"/>
    <w:rsid w:val="00345E5E"/>
    <w:rsid w:val="003557D8"/>
    <w:rsid w:val="003628CA"/>
    <w:rsid w:val="00362AB4"/>
    <w:rsid w:val="00380C79"/>
    <w:rsid w:val="00387CDD"/>
    <w:rsid w:val="00392E9A"/>
    <w:rsid w:val="00393EAB"/>
    <w:rsid w:val="003A0539"/>
    <w:rsid w:val="003A4807"/>
    <w:rsid w:val="003A6D2C"/>
    <w:rsid w:val="003B0E1B"/>
    <w:rsid w:val="003C0559"/>
    <w:rsid w:val="003C2DA7"/>
    <w:rsid w:val="003C3E7F"/>
    <w:rsid w:val="003C605E"/>
    <w:rsid w:val="003C6AEC"/>
    <w:rsid w:val="003D341F"/>
    <w:rsid w:val="003D72B3"/>
    <w:rsid w:val="003E124A"/>
    <w:rsid w:val="003F1EFF"/>
    <w:rsid w:val="003F7C87"/>
    <w:rsid w:val="00401DE2"/>
    <w:rsid w:val="00410B1E"/>
    <w:rsid w:val="00412476"/>
    <w:rsid w:val="00424A12"/>
    <w:rsid w:val="00431C40"/>
    <w:rsid w:val="00435AD7"/>
    <w:rsid w:val="00445E52"/>
    <w:rsid w:val="00451D20"/>
    <w:rsid w:val="00452401"/>
    <w:rsid w:val="00453C8C"/>
    <w:rsid w:val="004666ED"/>
    <w:rsid w:val="0047467A"/>
    <w:rsid w:val="00480E9F"/>
    <w:rsid w:val="004812FB"/>
    <w:rsid w:val="00485F00"/>
    <w:rsid w:val="00491628"/>
    <w:rsid w:val="00494425"/>
    <w:rsid w:val="004A588C"/>
    <w:rsid w:val="004C123B"/>
    <w:rsid w:val="004C7CEE"/>
    <w:rsid w:val="004D5BE1"/>
    <w:rsid w:val="004E2E14"/>
    <w:rsid w:val="004E64E8"/>
    <w:rsid w:val="004E7843"/>
    <w:rsid w:val="00506F69"/>
    <w:rsid w:val="0050700C"/>
    <w:rsid w:val="005074FF"/>
    <w:rsid w:val="00515851"/>
    <w:rsid w:val="00517756"/>
    <w:rsid w:val="00532053"/>
    <w:rsid w:val="005341EB"/>
    <w:rsid w:val="005370F4"/>
    <w:rsid w:val="00537847"/>
    <w:rsid w:val="0054188D"/>
    <w:rsid w:val="0055690B"/>
    <w:rsid w:val="0055730A"/>
    <w:rsid w:val="0057213E"/>
    <w:rsid w:val="00591523"/>
    <w:rsid w:val="00595ECA"/>
    <w:rsid w:val="00597FC9"/>
    <w:rsid w:val="005A7FB7"/>
    <w:rsid w:val="005C69F6"/>
    <w:rsid w:val="005E789B"/>
    <w:rsid w:val="005F07EB"/>
    <w:rsid w:val="005F2F97"/>
    <w:rsid w:val="005F520A"/>
    <w:rsid w:val="005F7010"/>
    <w:rsid w:val="005F778B"/>
    <w:rsid w:val="005F778C"/>
    <w:rsid w:val="0060341D"/>
    <w:rsid w:val="00603BF5"/>
    <w:rsid w:val="00621BD0"/>
    <w:rsid w:val="00625ECB"/>
    <w:rsid w:val="00631F7C"/>
    <w:rsid w:val="00641B20"/>
    <w:rsid w:val="006473EA"/>
    <w:rsid w:val="00652322"/>
    <w:rsid w:val="00655FD4"/>
    <w:rsid w:val="00662CD2"/>
    <w:rsid w:val="00666F6A"/>
    <w:rsid w:val="006726C5"/>
    <w:rsid w:val="00683911"/>
    <w:rsid w:val="00690926"/>
    <w:rsid w:val="00696304"/>
    <w:rsid w:val="0069664E"/>
    <w:rsid w:val="00696706"/>
    <w:rsid w:val="006B573F"/>
    <w:rsid w:val="006C38C9"/>
    <w:rsid w:val="006D4813"/>
    <w:rsid w:val="006D7715"/>
    <w:rsid w:val="006E7623"/>
    <w:rsid w:val="006F3AA8"/>
    <w:rsid w:val="006F4455"/>
    <w:rsid w:val="007003D9"/>
    <w:rsid w:val="00705498"/>
    <w:rsid w:val="007077C2"/>
    <w:rsid w:val="00710675"/>
    <w:rsid w:val="007117E2"/>
    <w:rsid w:val="00711C67"/>
    <w:rsid w:val="00732D63"/>
    <w:rsid w:val="007512E2"/>
    <w:rsid w:val="007649A1"/>
    <w:rsid w:val="00770FE1"/>
    <w:rsid w:val="00784EC7"/>
    <w:rsid w:val="00795EF4"/>
    <w:rsid w:val="007976E6"/>
    <w:rsid w:val="007A218B"/>
    <w:rsid w:val="007A5012"/>
    <w:rsid w:val="007A54CD"/>
    <w:rsid w:val="007C2BA9"/>
    <w:rsid w:val="007C3F02"/>
    <w:rsid w:val="007D7F0E"/>
    <w:rsid w:val="007E0319"/>
    <w:rsid w:val="007E105F"/>
    <w:rsid w:val="007E5250"/>
    <w:rsid w:val="00800B89"/>
    <w:rsid w:val="00816E07"/>
    <w:rsid w:val="00827CFF"/>
    <w:rsid w:val="00835229"/>
    <w:rsid w:val="00837E44"/>
    <w:rsid w:val="00844888"/>
    <w:rsid w:val="008467BA"/>
    <w:rsid w:val="00855182"/>
    <w:rsid w:val="008669F7"/>
    <w:rsid w:val="008729D7"/>
    <w:rsid w:val="0087560A"/>
    <w:rsid w:val="00896B11"/>
    <w:rsid w:val="008A306F"/>
    <w:rsid w:val="008A5307"/>
    <w:rsid w:val="008A799A"/>
    <w:rsid w:val="008B2CB9"/>
    <w:rsid w:val="008C0A6A"/>
    <w:rsid w:val="008C0F2B"/>
    <w:rsid w:val="008C373C"/>
    <w:rsid w:val="008C7FBB"/>
    <w:rsid w:val="008D1033"/>
    <w:rsid w:val="008D1358"/>
    <w:rsid w:val="008D3557"/>
    <w:rsid w:val="008E1336"/>
    <w:rsid w:val="008E1AD0"/>
    <w:rsid w:val="008E797B"/>
    <w:rsid w:val="008F2B9A"/>
    <w:rsid w:val="008F5A56"/>
    <w:rsid w:val="008F5EED"/>
    <w:rsid w:val="008F7918"/>
    <w:rsid w:val="009034A9"/>
    <w:rsid w:val="009037CA"/>
    <w:rsid w:val="00903EB6"/>
    <w:rsid w:val="009141FF"/>
    <w:rsid w:val="009142DC"/>
    <w:rsid w:val="00931125"/>
    <w:rsid w:val="00933B59"/>
    <w:rsid w:val="00974884"/>
    <w:rsid w:val="0099325C"/>
    <w:rsid w:val="00995580"/>
    <w:rsid w:val="009A374C"/>
    <w:rsid w:val="009A7C05"/>
    <w:rsid w:val="009B1EBD"/>
    <w:rsid w:val="009C3E2D"/>
    <w:rsid w:val="009D7BF1"/>
    <w:rsid w:val="009E0F5C"/>
    <w:rsid w:val="009E5286"/>
    <w:rsid w:val="009F164E"/>
    <w:rsid w:val="009F2CB3"/>
    <w:rsid w:val="009F526F"/>
    <w:rsid w:val="00A003E9"/>
    <w:rsid w:val="00A04BE3"/>
    <w:rsid w:val="00A13350"/>
    <w:rsid w:val="00A368F8"/>
    <w:rsid w:val="00A42F06"/>
    <w:rsid w:val="00A4427C"/>
    <w:rsid w:val="00A45A91"/>
    <w:rsid w:val="00A465E7"/>
    <w:rsid w:val="00A50F21"/>
    <w:rsid w:val="00A53081"/>
    <w:rsid w:val="00A537CB"/>
    <w:rsid w:val="00A54B14"/>
    <w:rsid w:val="00A563B6"/>
    <w:rsid w:val="00A6001E"/>
    <w:rsid w:val="00A67565"/>
    <w:rsid w:val="00A91060"/>
    <w:rsid w:val="00A92D75"/>
    <w:rsid w:val="00A940DE"/>
    <w:rsid w:val="00AA0E3E"/>
    <w:rsid w:val="00AC5A08"/>
    <w:rsid w:val="00AF6DB3"/>
    <w:rsid w:val="00B03123"/>
    <w:rsid w:val="00B16401"/>
    <w:rsid w:val="00B21531"/>
    <w:rsid w:val="00B34930"/>
    <w:rsid w:val="00B51CB6"/>
    <w:rsid w:val="00B526A4"/>
    <w:rsid w:val="00B7699B"/>
    <w:rsid w:val="00B96678"/>
    <w:rsid w:val="00BB05A4"/>
    <w:rsid w:val="00BB2DA6"/>
    <w:rsid w:val="00BB35D0"/>
    <w:rsid w:val="00BB67CF"/>
    <w:rsid w:val="00BC0E27"/>
    <w:rsid w:val="00BD0866"/>
    <w:rsid w:val="00BD4A2F"/>
    <w:rsid w:val="00BE4D15"/>
    <w:rsid w:val="00C038DE"/>
    <w:rsid w:val="00C131DE"/>
    <w:rsid w:val="00C15A44"/>
    <w:rsid w:val="00C25966"/>
    <w:rsid w:val="00C33761"/>
    <w:rsid w:val="00C36A87"/>
    <w:rsid w:val="00C40EA5"/>
    <w:rsid w:val="00C5047E"/>
    <w:rsid w:val="00C6443F"/>
    <w:rsid w:val="00C6577C"/>
    <w:rsid w:val="00C661D7"/>
    <w:rsid w:val="00C70DBA"/>
    <w:rsid w:val="00C71DC5"/>
    <w:rsid w:val="00C808EF"/>
    <w:rsid w:val="00C84F2A"/>
    <w:rsid w:val="00CA4D83"/>
    <w:rsid w:val="00CA6621"/>
    <w:rsid w:val="00CB6A67"/>
    <w:rsid w:val="00CE22E8"/>
    <w:rsid w:val="00CE4F34"/>
    <w:rsid w:val="00CE5E15"/>
    <w:rsid w:val="00CF19C0"/>
    <w:rsid w:val="00CF3C91"/>
    <w:rsid w:val="00D015C9"/>
    <w:rsid w:val="00D34AB5"/>
    <w:rsid w:val="00D448A3"/>
    <w:rsid w:val="00D5139E"/>
    <w:rsid w:val="00D51443"/>
    <w:rsid w:val="00D62A07"/>
    <w:rsid w:val="00D733B9"/>
    <w:rsid w:val="00D733F4"/>
    <w:rsid w:val="00D82470"/>
    <w:rsid w:val="00D862B6"/>
    <w:rsid w:val="00D9302D"/>
    <w:rsid w:val="00D95633"/>
    <w:rsid w:val="00D973F8"/>
    <w:rsid w:val="00DB1E42"/>
    <w:rsid w:val="00DC1FDC"/>
    <w:rsid w:val="00DC34BF"/>
    <w:rsid w:val="00DD2980"/>
    <w:rsid w:val="00DE0FB8"/>
    <w:rsid w:val="00DE294C"/>
    <w:rsid w:val="00DE3127"/>
    <w:rsid w:val="00DE6848"/>
    <w:rsid w:val="00DF097F"/>
    <w:rsid w:val="00DF30D0"/>
    <w:rsid w:val="00DF3C40"/>
    <w:rsid w:val="00DF53B5"/>
    <w:rsid w:val="00E062B8"/>
    <w:rsid w:val="00E06A70"/>
    <w:rsid w:val="00E30208"/>
    <w:rsid w:val="00E31075"/>
    <w:rsid w:val="00E32D75"/>
    <w:rsid w:val="00E33237"/>
    <w:rsid w:val="00E332CE"/>
    <w:rsid w:val="00E33638"/>
    <w:rsid w:val="00E51595"/>
    <w:rsid w:val="00E5571A"/>
    <w:rsid w:val="00E614E5"/>
    <w:rsid w:val="00E67CF7"/>
    <w:rsid w:val="00E7528B"/>
    <w:rsid w:val="00E80930"/>
    <w:rsid w:val="00EA10BB"/>
    <w:rsid w:val="00EA2529"/>
    <w:rsid w:val="00EB478A"/>
    <w:rsid w:val="00EB6C02"/>
    <w:rsid w:val="00EC2618"/>
    <w:rsid w:val="00EE09AF"/>
    <w:rsid w:val="00EF615C"/>
    <w:rsid w:val="00F03258"/>
    <w:rsid w:val="00F23E28"/>
    <w:rsid w:val="00F3436E"/>
    <w:rsid w:val="00F34E8A"/>
    <w:rsid w:val="00F53B0A"/>
    <w:rsid w:val="00F54807"/>
    <w:rsid w:val="00F61B77"/>
    <w:rsid w:val="00F653D1"/>
    <w:rsid w:val="00F67A01"/>
    <w:rsid w:val="00F83866"/>
    <w:rsid w:val="00F85600"/>
    <w:rsid w:val="00F9357A"/>
    <w:rsid w:val="00F97055"/>
    <w:rsid w:val="00FA4BEF"/>
    <w:rsid w:val="00FB4E53"/>
    <w:rsid w:val="00FC6919"/>
    <w:rsid w:val="00FD253A"/>
    <w:rsid w:val="00FD5E52"/>
    <w:rsid w:val="00FE4D02"/>
    <w:rsid w:val="00FE64D8"/>
    <w:rsid w:val="00FF13C5"/>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2F06"/>
    <w:pPr>
      <w:ind w:left="720"/>
      <w:contextualSpacing/>
    </w:pPr>
  </w:style>
  <w:style w:type="character" w:styleId="Hyperlink">
    <w:name w:val="Hyperlink"/>
    <w:basedOn w:val="DefaultParagraphFont"/>
    <w:uiPriority w:val="99"/>
    <w:unhideWhenUsed/>
    <w:rsid w:val="003319EE"/>
    <w:rPr>
      <w:color w:val="0000FF" w:themeColor="hyperlink"/>
      <w:u w:val="single"/>
    </w:rPr>
  </w:style>
  <w:style w:type="paragraph" w:customStyle="1" w:styleId="Default">
    <w:name w:val="Default"/>
    <w:rsid w:val="003319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3319EE"/>
    <w:rPr>
      <w:vertAlign w:val="superscript"/>
    </w:rPr>
  </w:style>
  <w:style w:type="paragraph" w:styleId="FootnoteText">
    <w:name w:val="footnote text"/>
    <w:basedOn w:val="Normal"/>
    <w:link w:val="FootnoteTextChar"/>
    <w:uiPriority w:val="99"/>
    <w:semiHidden/>
    <w:unhideWhenUsed/>
    <w:rsid w:val="0033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9EE"/>
    <w:rPr>
      <w:sz w:val="20"/>
      <w:szCs w:val="20"/>
    </w:rPr>
  </w:style>
  <w:style w:type="character" w:styleId="CommentReference">
    <w:name w:val="annotation reference"/>
    <w:basedOn w:val="DefaultParagraphFont"/>
    <w:uiPriority w:val="99"/>
    <w:semiHidden/>
    <w:unhideWhenUsed/>
    <w:rsid w:val="0099325C"/>
    <w:rPr>
      <w:sz w:val="16"/>
      <w:szCs w:val="16"/>
    </w:rPr>
  </w:style>
  <w:style w:type="paragraph" w:styleId="CommentText">
    <w:name w:val="annotation text"/>
    <w:basedOn w:val="Normal"/>
    <w:link w:val="CommentTextChar"/>
    <w:uiPriority w:val="99"/>
    <w:unhideWhenUsed/>
    <w:rsid w:val="0099325C"/>
    <w:pPr>
      <w:spacing w:line="240" w:lineRule="auto"/>
    </w:pPr>
    <w:rPr>
      <w:sz w:val="20"/>
      <w:szCs w:val="20"/>
    </w:rPr>
  </w:style>
  <w:style w:type="character" w:customStyle="1" w:styleId="CommentTextChar">
    <w:name w:val="Comment Text Char"/>
    <w:basedOn w:val="DefaultParagraphFont"/>
    <w:link w:val="CommentText"/>
    <w:uiPriority w:val="99"/>
    <w:rsid w:val="0099325C"/>
    <w:rPr>
      <w:sz w:val="20"/>
      <w:szCs w:val="20"/>
    </w:rPr>
  </w:style>
  <w:style w:type="paragraph" w:styleId="CommentSubject">
    <w:name w:val="annotation subject"/>
    <w:basedOn w:val="CommentText"/>
    <w:next w:val="CommentText"/>
    <w:link w:val="CommentSubjectChar"/>
    <w:uiPriority w:val="99"/>
    <w:semiHidden/>
    <w:unhideWhenUsed/>
    <w:rsid w:val="0099325C"/>
    <w:rPr>
      <w:b/>
      <w:bCs/>
    </w:rPr>
  </w:style>
  <w:style w:type="character" w:customStyle="1" w:styleId="CommentSubjectChar">
    <w:name w:val="Comment Subject Char"/>
    <w:basedOn w:val="CommentTextChar"/>
    <w:link w:val="CommentSubject"/>
    <w:uiPriority w:val="99"/>
    <w:semiHidden/>
    <w:rsid w:val="0099325C"/>
    <w:rPr>
      <w:b/>
      <w:bCs/>
      <w:sz w:val="20"/>
      <w:szCs w:val="20"/>
    </w:rPr>
  </w:style>
  <w:style w:type="paragraph" w:styleId="BalloonText">
    <w:name w:val="Balloon Text"/>
    <w:basedOn w:val="Normal"/>
    <w:link w:val="BalloonTextChar"/>
    <w:uiPriority w:val="99"/>
    <w:semiHidden/>
    <w:unhideWhenUsed/>
    <w:rsid w:val="0099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5C"/>
    <w:rPr>
      <w:rFonts w:ascii="Tahoma" w:hAnsi="Tahoma" w:cs="Tahoma"/>
      <w:sz w:val="16"/>
      <w:szCs w:val="16"/>
    </w:rPr>
  </w:style>
  <w:style w:type="paragraph" w:styleId="Header">
    <w:name w:val="header"/>
    <w:basedOn w:val="Normal"/>
    <w:link w:val="HeaderChar"/>
    <w:uiPriority w:val="99"/>
    <w:unhideWhenUsed/>
    <w:rsid w:val="0063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7C"/>
  </w:style>
  <w:style w:type="paragraph" w:styleId="Footer">
    <w:name w:val="footer"/>
    <w:basedOn w:val="Normal"/>
    <w:link w:val="FooterChar"/>
    <w:uiPriority w:val="99"/>
    <w:unhideWhenUsed/>
    <w:rsid w:val="0063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7C"/>
  </w:style>
  <w:style w:type="paragraph" w:styleId="Revision">
    <w:name w:val="Revision"/>
    <w:hidden/>
    <w:uiPriority w:val="99"/>
    <w:semiHidden/>
    <w:rsid w:val="00F9357A"/>
    <w:pPr>
      <w:spacing w:after="0" w:line="240" w:lineRule="auto"/>
    </w:pPr>
  </w:style>
  <w:style w:type="character" w:styleId="FollowedHyperlink">
    <w:name w:val="FollowedHyperlink"/>
    <w:basedOn w:val="DefaultParagraphFont"/>
    <w:uiPriority w:val="99"/>
    <w:semiHidden/>
    <w:unhideWhenUsed/>
    <w:rsid w:val="002A74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2F06"/>
    <w:pPr>
      <w:ind w:left="720"/>
      <w:contextualSpacing/>
    </w:pPr>
  </w:style>
  <w:style w:type="character" w:styleId="Hyperlink">
    <w:name w:val="Hyperlink"/>
    <w:basedOn w:val="DefaultParagraphFont"/>
    <w:uiPriority w:val="99"/>
    <w:unhideWhenUsed/>
    <w:rsid w:val="003319EE"/>
    <w:rPr>
      <w:color w:val="0000FF" w:themeColor="hyperlink"/>
      <w:u w:val="single"/>
    </w:rPr>
  </w:style>
  <w:style w:type="paragraph" w:customStyle="1" w:styleId="Default">
    <w:name w:val="Default"/>
    <w:rsid w:val="003319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3319EE"/>
    <w:rPr>
      <w:vertAlign w:val="superscript"/>
    </w:rPr>
  </w:style>
  <w:style w:type="paragraph" w:styleId="FootnoteText">
    <w:name w:val="footnote text"/>
    <w:basedOn w:val="Normal"/>
    <w:link w:val="FootnoteTextChar"/>
    <w:uiPriority w:val="99"/>
    <w:semiHidden/>
    <w:unhideWhenUsed/>
    <w:rsid w:val="0033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9EE"/>
    <w:rPr>
      <w:sz w:val="20"/>
      <w:szCs w:val="20"/>
    </w:rPr>
  </w:style>
  <w:style w:type="character" w:styleId="CommentReference">
    <w:name w:val="annotation reference"/>
    <w:basedOn w:val="DefaultParagraphFont"/>
    <w:uiPriority w:val="99"/>
    <w:semiHidden/>
    <w:unhideWhenUsed/>
    <w:rsid w:val="0099325C"/>
    <w:rPr>
      <w:sz w:val="16"/>
      <w:szCs w:val="16"/>
    </w:rPr>
  </w:style>
  <w:style w:type="paragraph" w:styleId="CommentText">
    <w:name w:val="annotation text"/>
    <w:basedOn w:val="Normal"/>
    <w:link w:val="CommentTextChar"/>
    <w:uiPriority w:val="99"/>
    <w:unhideWhenUsed/>
    <w:rsid w:val="0099325C"/>
    <w:pPr>
      <w:spacing w:line="240" w:lineRule="auto"/>
    </w:pPr>
    <w:rPr>
      <w:sz w:val="20"/>
      <w:szCs w:val="20"/>
    </w:rPr>
  </w:style>
  <w:style w:type="character" w:customStyle="1" w:styleId="CommentTextChar">
    <w:name w:val="Comment Text Char"/>
    <w:basedOn w:val="DefaultParagraphFont"/>
    <w:link w:val="CommentText"/>
    <w:uiPriority w:val="99"/>
    <w:rsid w:val="0099325C"/>
    <w:rPr>
      <w:sz w:val="20"/>
      <w:szCs w:val="20"/>
    </w:rPr>
  </w:style>
  <w:style w:type="paragraph" w:styleId="CommentSubject">
    <w:name w:val="annotation subject"/>
    <w:basedOn w:val="CommentText"/>
    <w:next w:val="CommentText"/>
    <w:link w:val="CommentSubjectChar"/>
    <w:uiPriority w:val="99"/>
    <w:semiHidden/>
    <w:unhideWhenUsed/>
    <w:rsid w:val="0099325C"/>
    <w:rPr>
      <w:b/>
      <w:bCs/>
    </w:rPr>
  </w:style>
  <w:style w:type="character" w:customStyle="1" w:styleId="CommentSubjectChar">
    <w:name w:val="Comment Subject Char"/>
    <w:basedOn w:val="CommentTextChar"/>
    <w:link w:val="CommentSubject"/>
    <w:uiPriority w:val="99"/>
    <w:semiHidden/>
    <w:rsid w:val="0099325C"/>
    <w:rPr>
      <w:b/>
      <w:bCs/>
      <w:sz w:val="20"/>
      <w:szCs w:val="20"/>
    </w:rPr>
  </w:style>
  <w:style w:type="paragraph" w:styleId="BalloonText">
    <w:name w:val="Balloon Text"/>
    <w:basedOn w:val="Normal"/>
    <w:link w:val="BalloonTextChar"/>
    <w:uiPriority w:val="99"/>
    <w:semiHidden/>
    <w:unhideWhenUsed/>
    <w:rsid w:val="0099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5C"/>
    <w:rPr>
      <w:rFonts w:ascii="Tahoma" w:hAnsi="Tahoma" w:cs="Tahoma"/>
      <w:sz w:val="16"/>
      <w:szCs w:val="16"/>
    </w:rPr>
  </w:style>
  <w:style w:type="paragraph" w:styleId="Header">
    <w:name w:val="header"/>
    <w:basedOn w:val="Normal"/>
    <w:link w:val="HeaderChar"/>
    <w:uiPriority w:val="99"/>
    <w:unhideWhenUsed/>
    <w:rsid w:val="0063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7C"/>
  </w:style>
  <w:style w:type="paragraph" w:styleId="Footer">
    <w:name w:val="footer"/>
    <w:basedOn w:val="Normal"/>
    <w:link w:val="FooterChar"/>
    <w:uiPriority w:val="99"/>
    <w:unhideWhenUsed/>
    <w:rsid w:val="0063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7C"/>
  </w:style>
  <w:style w:type="paragraph" w:styleId="Revision">
    <w:name w:val="Revision"/>
    <w:hidden/>
    <w:uiPriority w:val="99"/>
    <w:semiHidden/>
    <w:rsid w:val="00F9357A"/>
    <w:pPr>
      <w:spacing w:after="0" w:line="240" w:lineRule="auto"/>
    </w:pPr>
  </w:style>
  <w:style w:type="character" w:styleId="FollowedHyperlink">
    <w:name w:val="FollowedHyperlink"/>
    <w:basedOn w:val="DefaultParagraphFont"/>
    <w:uiPriority w:val="99"/>
    <w:semiHidden/>
    <w:unhideWhenUsed/>
    <w:rsid w:val="002A74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420">
      <w:bodyDiv w:val="1"/>
      <w:marLeft w:val="0"/>
      <w:marRight w:val="0"/>
      <w:marTop w:val="0"/>
      <w:marBottom w:val="0"/>
      <w:divBdr>
        <w:top w:val="none" w:sz="0" w:space="0" w:color="auto"/>
        <w:left w:val="none" w:sz="0" w:space="0" w:color="auto"/>
        <w:bottom w:val="none" w:sz="0" w:space="0" w:color="auto"/>
        <w:right w:val="none" w:sz="0" w:space="0" w:color="auto"/>
      </w:divBdr>
    </w:div>
    <w:div w:id="126895553">
      <w:bodyDiv w:val="1"/>
      <w:marLeft w:val="0"/>
      <w:marRight w:val="0"/>
      <w:marTop w:val="0"/>
      <w:marBottom w:val="0"/>
      <w:divBdr>
        <w:top w:val="none" w:sz="0" w:space="0" w:color="auto"/>
        <w:left w:val="none" w:sz="0" w:space="0" w:color="auto"/>
        <w:bottom w:val="none" w:sz="0" w:space="0" w:color="auto"/>
        <w:right w:val="none" w:sz="0" w:space="0" w:color="auto"/>
      </w:divBdr>
    </w:div>
    <w:div w:id="204567813">
      <w:bodyDiv w:val="1"/>
      <w:marLeft w:val="0"/>
      <w:marRight w:val="0"/>
      <w:marTop w:val="0"/>
      <w:marBottom w:val="0"/>
      <w:divBdr>
        <w:top w:val="none" w:sz="0" w:space="0" w:color="auto"/>
        <w:left w:val="none" w:sz="0" w:space="0" w:color="auto"/>
        <w:bottom w:val="none" w:sz="0" w:space="0" w:color="auto"/>
        <w:right w:val="none" w:sz="0" w:space="0" w:color="auto"/>
      </w:divBdr>
    </w:div>
    <w:div w:id="306592910">
      <w:bodyDiv w:val="1"/>
      <w:marLeft w:val="0"/>
      <w:marRight w:val="0"/>
      <w:marTop w:val="0"/>
      <w:marBottom w:val="0"/>
      <w:divBdr>
        <w:top w:val="none" w:sz="0" w:space="0" w:color="auto"/>
        <w:left w:val="none" w:sz="0" w:space="0" w:color="auto"/>
        <w:bottom w:val="none" w:sz="0" w:space="0" w:color="auto"/>
        <w:right w:val="none" w:sz="0" w:space="0" w:color="auto"/>
      </w:divBdr>
    </w:div>
    <w:div w:id="491528528">
      <w:bodyDiv w:val="1"/>
      <w:marLeft w:val="0"/>
      <w:marRight w:val="0"/>
      <w:marTop w:val="0"/>
      <w:marBottom w:val="0"/>
      <w:divBdr>
        <w:top w:val="none" w:sz="0" w:space="0" w:color="auto"/>
        <w:left w:val="none" w:sz="0" w:space="0" w:color="auto"/>
        <w:bottom w:val="none" w:sz="0" w:space="0" w:color="auto"/>
        <w:right w:val="none" w:sz="0" w:space="0" w:color="auto"/>
      </w:divBdr>
    </w:div>
    <w:div w:id="574358445">
      <w:bodyDiv w:val="1"/>
      <w:marLeft w:val="0"/>
      <w:marRight w:val="0"/>
      <w:marTop w:val="0"/>
      <w:marBottom w:val="0"/>
      <w:divBdr>
        <w:top w:val="none" w:sz="0" w:space="0" w:color="auto"/>
        <w:left w:val="none" w:sz="0" w:space="0" w:color="auto"/>
        <w:bottom w:val="none" w:sz="0" w:space="0" w:color="auto"/>
        <w:right w:val="none" w:sz="0" w:space="0" w:color="auto"/>
      </w:divBdr>
    </w:div>
    <w:div w:id="775641188">
      <w:bodyDiv w:val="1"/>
      <w:marLeft w:val="0"/>
      <w:marRight w:val="0"/>
      <w:marTop w:val="0"/>
      <w:marBottom w:val="0"/>
      <w:divBdr>
        <w:top w:val="none" w:sz="0" w:space="0" w:color="auto"/>
        <w:left w:val="none" w:sz="0" w:space="0" w:color="auto"/>
        <w:bottom w:val="none" w:sz="0" w:space="0" w:color="auto"/>
        <w:right w:val="none" w:sz="0" w:space="0" w:color="auto"/>
      </w:divBdr>
    </w:div>
    <w:div w:id="818036388">
      <w:bodyDiv w:val="1"/>
      <w:marLeft w:val="0"/>
      <w:marRight w:val="0"/>
      <w:marTop w:val="0"/>
      <w:marBottom w:val="0"/>
      <w:divBdr>
        <w:top w:val="none" w:sz="0" w:space="0" w:color="auto"/>
        <w:left w:val="none" w:sz="0" w:space="0" w:color="auto"/>
        <w:bottom w:val="none" w:sz="0" w:space="0" w:color="auto"/>
        <w:right w:val="none" w:sz="0" w:space="0" w:color="auto"/>
      </w:divBdr>
    </w:div>
    <w:div w:id="898318934">
      <w:bodyDiv w:val="1"/>
      <w:marLeft w:val="0"/>
      <w:marRight w:val="0"/>
      <w:marTop w:val="0"/>
      <w:marBottom w:val="0"/>
      <w:divBdr>
        <w:top w:val="none" w:sz="0" w:space="0" w:color="auto"/>
        <w:left w:val="none" w:sz="0" w:space="0" w:color="auto"/>
        <w:bottom w:val="none" w:sz="0" w:space="0" w:color="auto"/>
        <w:right w:val="none" w:sz="0" w:space="0" w:color="auto"/>
      </w:divBdr>
    </w:div>
    <w:div w:id="984162288">
      <w:bodyDiv w:val="1"/>
      <w:marLeft w:val="0"/>
      <w:marRight w:val="0"/>
      <w:marTop w:val="0"/>
      <w:marBottom w:val="0"/>
      <w:divBdr>
        <w:top w:val="none" w:sz="0" w:space="0" w:color="auto"/>
        <w:left w:val="none" w:sz="0" w:space="0" w:color="auto"/>
        <w:bottom w:val="none" w:sz="0" w:space="0" w:color="auto"/>
        <w:right w:val="none" w:sz="0" w:space="0" w:color="auto"/>
      </w:divBdr>
    </w:div>
    <w:div w:id="1052457498">
      <w:bodyDiv w:val="1"/>
      <w:marLeft w:val="0"/>
      <w:marRight w:val="0"/>
      <w:marTop w:val="0"/>
      <w:marBottom w:val="0"/>
      <w:divBdr>
        <w:top w:val="none" w:sz="0" w:space="0" w:color="auto"/>
        <w:left w:val="none" w:sz="0" w:space="0" w:color="auto"/>
        <w:bottom w:val="none" w:sz="0" w:space="0" w:color="auto"/>
        <w:right w:val="none" w:sz="0" w:space="0" w:color="auto"/>
      </w:divBdr>
    </w:div>
    <w:div w:id="1345018246">
      <w:bodyDiv w:val="1"/>
      <w:marLeft w:val="0"/>
      <w:marRight w:val="0"/>
      <w:marTop w:val="0"/>
      <w:marBottom w:val="0"/>
      <w:divBdr>
        <w:top w:val="none" w:sz="0" w:space="0" w:color="auto"/>
        <w:left w:val="none" w:sz="0" w:space="0" w:color="auto"/>
        <w:bottom w:val="none" w:sz="0" w:space="0" w:color="auto"/>
        <w:right w:val="none" w:sz="0" w:space="0" w:color="auto"/>
      </w:divBdr>
    </w:div>
    <w:div w:id="1629239293">
      <w:bodyDiv w:val="1"/>
      <w:marLeft w:val="0"/>
      <w:marRight w:val="0"/>
      <w:marTop w:val="0"/>
      <w:marBottom w:val="0"/>
      <w:divBdr>
        <w:top w:val="none" w:sz="0" w:space="0" w:color="auto"/>
        <w:left w:val="none" w:sz="0" w:space="0" w:color="auto"/>
        <w:bottom w:val="none" w:sz="0" w:space="0" w:color="auto"/>
        <w:right w:val="none" w:sz="0" w:space="0" w:color="auto"/>
      </w:divBdr>
    </w:div>
    <w:div w:id="1728531834">
      <w:bodyDiv w:val="1"/>
      <w:marLeft w:val="0"/>
      <w:marRight w:val="0"/>
      <w:marTop w:val="0"/>
      <w:marBottom w:val="0"/>
      <w:divBdr>
        <w:top w:val="none" w:sz="0" w:space="0" w:color="auto"/>
        <w:left w:val="none" w:sz="0" w:space="0" w:color="auto"/>
        <w:bottom w:val="none" w:sz="0" w:space="0" w:color="auto"/>
        <w:right w:val="none" w:sz="0" w:space="0" w:color="auto"/>
      </w:divBdr>
    </w:div>
    <w:div w:id="2014797793">
      <w:bodyDiv w:val="1"/>
      <w:marLeft w:val="0"/>
      <w:marRight w:val="0"/>
      <w:marTop w:val="0"/>
      <w:marBottom w:val="0"/>
      <w:divBdr>
        <w:top w:val="none" w:sz="0" w:space="0" w:color="auto"/>
        <w:left w:val="none" w:sz="0" w:space="0" w:color="auto"/>
        <w:bottom w:val="none" w:sz="0" w:space="0" w:color="auto"/>
        <w:right w:val="none" w:sz="0" w:space="0" w:color="auto"/>
      </w:divBdr>
    </w:div>
    <w:div w:id="2084837422">
      <w:bodyDiv w:val="1"/>
      <w:marLeft w:val="0"/>
      <w:marRight w:val="0"/>
      <w:marTop w:val="0"/>
      <w:marBottom w:val="0"/>
      <w:divBdr>
        <w:top w:val="none" w:sz="0" w:space="0" w:color="auto"/>
        <w:left w:val="none" w:sz="0" w:space="0" w:color="auto"/>
        <w:bottom w:val="none" w:sz="0" w:space="0" w:color="auto"/>
        <w:right w:val="none" w:sz="0" w:space="0" w:color="auto"/>
      </w:divBdr>
    </w:div>
    <w:div w:id="212017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dicaid.gov/Federal-Policy-Guidance/downloads/SHO-13-003.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3-04-02/pdf/2013-075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945A1-726E-4263-94B2-D16F4445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 Anderson</dc:creator>
  <cp:lastModifiedBy>FALECIA SMITH</cp:lastModifiedBy>
  <cp:revision>3</cp:revision>
  <cp:lastPrinted>2013-09-16T18:56:00Z</cp:lastPrinted>
  <dcterms:created xsi:type="dcterms:W3CDTF">2013-09-16T19:16:00Z</dcterms:created>
  <dcterms:modified xsi:type="dcterms:W3CDTF">2013-09-16T19:34:00Z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1432745283</vt:i4>
  </property>
  <property fmtid="{D5CDD505-2E9C-101B-9397-08002B2CF9AE}" pid="4" name="_EmailSubject">
    <vt:lpwstr>Generic Package 2 of 2</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417516490</vt:i4>
  </property>
</Properties>
</file>