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81" w:rsidRPr="00360889" w:rsidRDefault="00236081" w:rsidP="00B120A0">
      <w:pPr>
        <w:spacing w:before="360" w:after="144" w:line="312" w:lineRule="auto"/>
        <w:ind w:left="5112" w:right="360"/>
        <w:rPr>
          <w:rFonts w:ascii="Arial" w:hAnsi="Arial" w:cs="Arial"/>
          <w:b/>
        </w:rPr>
      </w:pPr>
      <w:bookmarkStart w:id="0" w:name="_Toc223515419"/>
      <w:r>
        <w:rPr>
          <w:rFonts w:ascii="Arial" w:hAnsi="Arial" w:cs="Arial"/>
          <w:b/>
        </w:rPr>
        <w:t>Redesign of the Head Start Family and Child Experiences Survey (FACES 2012)</w:t>
      </w:r>
    </w:p>
    <w:p w:rsidR="00236081" w:rsidRPr="007A5E42" w:rsidRDefault="00236081" w:rsidP="00B120A0">
      <w:pPr>
        <w:spacing w:before="144" w:line="360" w:lineRule="exact"/>
        <w:ind w:left="5115" w:right="360"/>
        <w:rPr>
          <w:rFonts w:ascii="Arial" w:hAnsi="Arial" w:cs="Arial"/>
          <w:b/>
        </w:rPr>
      </w:pPr>
      <w:bookmarkStart w:id="1" w:name="RepType"/>
      <w:bookmarkStart w:id="2" w:name="OLE_LINK3"/>
      <w:bookmarkStart w:id="3" w:name="OLE_LINK4"/>
      <w:bookmarkEnd w:id="1"/>
      <w:r w:rsidRPr="007A5E42">
        <w:rPr>
          <w:rFonts w:ascii="Arial" w:hAnsi="Arial" w:cs="Arial"/>
          <w:b/>
        </w:rPr>
        <w:t>Supporting Statement Part A</w:t>
      </w:r>
      <w:r w:rsidR="00314038">
        <w:rPr>
          <w:rFonts w:ascii="Arial" w:hAnsi="Arial" w:cs="Arial"/>
          <w:b/>
        </w:rPr>
        <w:t xml:space="preserve"> </w:t>
      </w:r>
      <w:r w:rsidRPr="007A5E42">
        <w:rPr>
          <w:rFonts w:ascii="Arial" w:hAnsi="Arial" w:cs="Arial"/>
          <w:b/>
        </w:rPr>
        <w:t>Justification for the Study</w:t>
      </w:r>
    </w:p>
    <w:p w:rsidR="00236081" w:rsidRPr="00360889" w:rsidRDefault="002B23CF" w:rsidP="00B120A0">
      <w:pPr>
        <w:spacing w:before="144" w:after="288" w:line="360" w:lineRule="exact"/>
        <w:ind w:left="5112" w:right="360"/>
        <w:rPr>
          <w:rFonts w:ascii="Arial" w:hAnsi="Arial" w:cs="Arial"/>
        </w:rPr>
      </w:pPr>
      <w:bookmarkStart w:id="4" w:name="DateMark"/>
      <w:bookmarkEnd w:id="2"/>
      <w:bookmarkEnd w:id="3"/>
      <w:bookmarkEnd w:id="4"/>
      <w:r>
        <w:rPr>
          <w:rFonts w:ascii="Arial" w:hAnsi="Arial" w:cs="Arial"/>
        </w:rPr>
        <w:t xml:space="preserve">November </w:t>
      </w:r>
      <w:r w:rsidR="008D59BD">
        <w:rPr>
          <w:rFonts w:ascii="Arial" w:hAnsi="Arial" w:cs="Arial"/>
        </w:rPr>
        <w:t>13</w:t>
      </w:r>
      <w:r w:rsidR="00236081">
        <w:rPr>
          <w:rFonts w:ascii="Arial" w:hAnsi="Arial" w:cs="Arial"/>
        </w:rPr>
        <w:t>, 2013</w:t>
      </w:r>
    </w:p>
    <w:p w:rsidR="00236081" w:rsidRPr="00CA661C" w:rsidRDefault="00236081" w:rsidP="00B120A0">
      <w:pPr>
        <w:spacing w:line="280" w:lineRule="exact"/>
        <w:ind w:left="5225"/>
        <w:rPr>
          <w:rFonts w:ascii="Arial" w:hAnsi="Arial" w:cs="Arial"/>
          <w:sz w:val="20"/>
          <w:szCs w:val="20"/>
        </w:rPr>
      </w:pPr>
      <w:bookmarkStart w:id="5" w:name="StartingPoint"/>
      <w:bookmarkEnd w:id="5"/>
    </w:p>
    <w:p w:rsidR="00236081" w:rsidRPr="00CA661C" w:rsidRDefault="00236081" w:rsidP="00B120A0">
      <w:pPr>
        <w:spacing w:line="264" w:lineRule="auto"/>
        <w:ind w:left="5040"/>
        <w:rPr>
          <w:rFonts w:ascii="Arial" w:hAnsi="Arial" w:cs="Arial"/>
          <w:sz w:val="20"/>
          <w:szCs w:val="20"/>
        </w:rPr>
        <w:sectPr w:rsidR="00236081" w:rsidRPr="00CA661C" w:rsidSect="00236081">
          <w:endnotePr>
            <w:numFmt w:val="decimal"/>
          </w:endnotePr>
          <w:pgSz w:w="12240" w:h="15840" w:code="1"/>
          <w:pgMar w:top="3024" w:right="1440" w:bottom="576" w:left="1440" w:header="720" w:footer="576" w:gutter="0"/>
          <w:pgNumType w:fmt="lowerRoman" w:start="3"/>
          <w:cols w:space="720"/>
          <w:docGrid w:linePitch="326"/>
        </w:sectPr>
      </w:pPr>
    </w:p>
    <w:p w:rsidR="00CB7C79" w:rsidRPr="00DC224F" w:rsidRDefault="00B32E9F">
      <w:pPr>
        <w:spacing w:after="480"/>
        <w:jc w:val="center"/>
        <w:rPr>
          <w:rFonts w:cs="Arial"/>
          <w:color w:val="1F497D" w:themeColor="text2"/>
        </w:rPr>
      </w:pPr>
      <w:bookmarkStart w:id="6" w:name="Contract"/>
      <w:bookmarkStart w:id="7" w:name="MPRRef"/>
      <w:bookmarkStart w:id="8" w:name="Agency"/>
      <w:bookmarkStart w:id="9" w:name="Address"/>
      <w:bookmarkStart w:id="10" w:name="Address2"/>
      <w:bookmarkStart w:id="11" w:name="ProjOff"/>
      <w:bookmarkStart w:id="12" w:name="MPRAddress2"/>
      <w:bookmarkStart w:id="13" w:name="ProjDir"/>
      <w:bookmarkStart w:id="14" w:name="RepTitle2"/>
      <w:bookmarkStart w:id="15" w:name="RepType2"/>
      <w:bookmarkStart w:id="16" w:name="DateMark2"/>
      <w:bookmarkStart w:id="17" w:name="RepTitle"/>
      <w:bookmarkEnd w:id="6"/>
      <w:bookmarkEnd w:id="7"/>
      <w:bookmarkEnd w:id="8"/>
      <w:bookmarkEnd w:id="9"/>
      <w:bookmarkEnd w:id="10"/>
      <w:bookmarkEnd w:id="11"/>
      <w:bookmarkEnd w:id="12"/>
      <w:bookmarkEnd w:id="13"/>
      <w:bookmarkEnd w:id="14"/>
      <w:bookmarkEnd w:id="15"/>
      <w:bookmarkEnd w:id="16"/>
      <w:bookmarkEnd w:id="17"/>
      <w:r w:rsidRPr="00DC224F">
        <w:rPr>
          <w:rFonts w:ascii="Arial" w:hAnsi="Arial" w:cs="Arial"/>
          <w:b/>
          <w:color w:val="1F497D" w:themeColor="text2"/>
        </w:rPr>
        <w:t>CONTENTS</w:t>
      </w:r>
    </w:p>
    <w:p w:rsidR="002B23CF" w:rsidRDefault="00FA76AB" w:rsidP="00B448DC">
      <w:pPr>
        <w:pStyle w:val="TOC1"/>
        <w:rPr>
          <w:rFonts w:asciiTheme="minorHAnsi" w:eastAsiaTheme="minorEastAsia" w:hAnsiTheme="minorHAnsi" w:cstheme="minorBidi"/>
          <w:noProof/>
          <w:sz w:val="22"/>
          <w:szCs w:val="22"/>
        </w:rPr>
      </w:pPr>
      <w:r>
        <w:fldChar w:fldCharType="begin"/>
      </w:r>
      <w:r w:rsidR="00B32E9F">
        <w:instrText xml:space="preserve"> TOC \o "1-3" \z \t "Heading 1_Black,1,Heading 1_Red,1,Heading 1_Blue,1,Heading 2_Black,2,Heading 2_Red,2,Heading 2_Blue,2,Mark for Appendix Heading_Black,8,Mark for Appendix Heading_Blue,8,Mark for Appendix Heading_Red,8" </w:instrText>
      </w:r>
      <w:r>
        <w:fldChar w:fldCharType="separate"/>
      </w:r>
      <w:r w:rsidR="002B23CF">
        <w:rPr>
          <w:noProof/>
        </w:rPr>
        <w:t>A</w:t>
      </w:r>
      <w:r w:rsidR="008940F0">
        <w:rPr>
          <w:noProof/>
        </w:rPr>
        <w:tab/>
      </w:r>
      <w:r w:rsidR="002B23CF">
        <w:rPr>
          <w:noProof/>
        </w:rPr>
        <w:t>JUSTIFICATION</w:t>
      </w:r>
      <w:r w:rsidR="002B23CF">
        <w:rPr>
          <w:noProof/>
          <w:webHidden/>
        </w:rPr>
        <w:tab/>
      </w:r>
      <w:r>
        <w:rPr>
          <w:noProof/>
          <w:webHidden/>
        </w:rPr>
        <w:fldChar w:fldCharType="begin"/>
      </w:r>
      <w:r w:rsidR="002B23CF">
        <w:rPr>
          <w:noProof/>
          <w:webHidden/>
        </w:rPr>
        <w:instrText xml:space="preserve"> PAGEREF _Toc371602348 \h </w:instrText>
      </w:r>
      <w:r>
        <w:rPr>
          <w:noProof/>
          <w:webHidden/>
        </w:rPr>
      </w:r>
      <w:r>
        <w:rPr>
          <w:noProof/>
          <w:webHidden/>
        </w:rPr>
        <w:fldChar w:fldCharType="separate"/>
      </w:r>
      <w:r w:rsidR="008D59BD">
        <w:rPr>
          <w:noProof/>
          <w:webHidden/>
        </w:rPr>
        <w:t>1</w:t>
      </w:r>
      <w:r>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w:t>
      </w:r>
      <w:r w:rsidR="008940F0">
        <w:rPr>
          <w:noProof/>
        </w:rPr>
        <w:t>.</w:t>
      </w:r>
      <w:r w:rsidR="008940F0">
        <w:rPr>
          <w:noProof/>
        </w:rPr>
        <w:tab/>
      </w:r>
      <w:r>
        <w:rPr>
          <w:noProof/>
        </w:rPr>
        <w:t>Necessity for the Data Collection</w:t>
      </w:r>
      <w:r>
        <w:rPr>
          <w:noProof/>
          <w:webHidden/>
        </w:rPr>
        <w:tab/>
      </w:r>
      <w:r w:rsidR="00FA76AB">
        <w:rPr>
          <w:noProof/>
          <w:webHidden/>
        </w:rPr>
        <w:fldChar w:fldCharType="begin"/>
      </w:r>
      <w:r>
        <w:rPr>
          <w:noProof/>
          <w:webHidden/>
        </w:rPr>
        <w:instrText xml:space="preserve"> PAGEREF _Toc371602349 \h </w:instrText>
      </w:r>
      <w:r w:rsidR="00FA76AB">
        <w:rPr>
          <w:noProof/>
          <w:webHidden/>
        </w:rPr>
      </w:r>
      <w:r w:rsidR="00FA76AB">
        <w:rPr>
          <w:noProof/>
          <w:webHidden/>
        </w:rPr>
        <w:fldChar w:fldCharType="separate"/>
      </w:r>
      <w:r w:rsidR="008D59BD">
        <w:rPr>
          <w:noProof/>
          <w:webHidden/>
        </w:rPr>
        <w:t>1</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A2</w:t>
      </w:r>
      <w:r w:rsidR="008940F0">
        <w:rPr>
          <w:noProof/>
        </w:rPr>
        <w:t>.</w:t>
      </w:r>
      <w:r w:rsidR="008940F0">
        <w:rPr>
          <w:noProof/>
        </w:rPr>
        <w:tab/>
      </w:r>
      <w:r>
        <w:rPr>
          <w:noProof/>
        </w:rPr>
        <w:t>Purpose of Survey and Data Collection Procedures</w:t>
      </w:r>
      <w:r>
        <w:rPr>
          <w:noProof/>
          <w:webHidden/>
        </w:rPr>
        <w:tab/>
      </w:r>
      <w:r w:rsidR="00FA76AB">
        <w:rPr>
          <w:noProof/>
          <w:webHidden/>
        </w:rPr>
        <w:fldChar w:fldCharType="begin"/>
      </w:r>
      <w:r>
        <w:rPr>
          <w:noProof/>
          <w:webHidden/>
        </w:rPr>
        <w:instrText xml:space="preserve"> PAGEREF _Toc371602352 \h </w:instrText>
      </w:r>
      <w:r w:rsidR="00FA76AB">
        <w:rPr>
          <w:noProof/>
          <w:webHidden/>
        </w:rPr>
      </w:r>
      <w:r w:rsidR="00FA76AB">
        <w:rPr>
          <w:noProof/>
          <w:webHidden/>
        </w:rPr>
        <w:fldChar w:fldCharType="separate"/>
      </w:r>
      <w:r w:rsidR="008D59BD">
        <w:rPr>
          <w:noProof/>
          <w:webHidden/>
        </w:rPr>
        <w:t>2</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A3.</w:t>
      </w:r>
      <w:r w:rsidR="008940F0">
        <w:rPr>
          <w:noProof/>
        </w:rPr>
        <w:tab/>
      </w:r>
      <w:r>
        <w:rPr>
          <w:noProof/>
        </w:rPr>
        <w:t>Improved Information Technology to Reduce Burden</w:t>
      </w:r>
      <w:r>
        <w:rPr>
          <w:noProof/>
          <w:webHidden/>
        </w:rPr>
        <w:tab/>
      </w:r>
      <w:r w:rsidR="00FA76AB">
        <w:rPr>
          <w:noProof/>
          <w:webHidden/>
        </w:rPr>
        <w:fldChar w:fldCharType="begin"/>
      </w:r>
      <w:r>
        <w:rPr>
          <w:noProof/>
          <w:webHidden/>
        </w:rPr>
        <w:instrText xml:space="preserve"> PAGEREF _Toc371602357 \h </w:instrText>
      </w:r>
      <w:r w:rsidR="00FA76AB">
        <w:rPr>
          <w:noProof/>
          <w:webHidden/>
        </w:rPr>
      </w:r>
      <w:r w:rsidR="00FA76AB">
        <w:rPr>
          <w:noProof/>
          <w:webHidden/>
        </w:rPr>
        <w:fldChar w:fldCharType="separate"/>
      </w:r>
      <w:r w:rsidR="008D59BD">
        <w:rPr>
          <w:noProof/>
          <w:webHidden/>
        </w:rPr>
        <w:t>5</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A4.</w:t>
      </w:r>
      <w:r w:rsidR="008940F0">
        <w:rPr>
          <w:noProof/>
        </w:rPr>
        <w:tab/>
      </w:r>
      <w:r>
        <w:rPr>
          <w:noProof/>
        </w:rPr>
        <w:t>Efforts to Identify Duplication</w:t>
      </w:r>
      <w:r>
        <w:rPr>
          <w:noProof/>
          <w:webHidden/>
        </w:rPr>
        <w:tab/>
      </w:r>
      <w:r w:rsidR="00FA76AB">
        <w:rPr>
          <w:noProof/>
          <w:webHidden/>
        </w:rPr>
        <w:fldChar w:fldCharType="begin"/>
      </w:r>
      <w:r>
        <w:rPr>
          <w:noProof/>
          <w:webHidden/>
        </w:rPr>
        <w:instrText xml:space="preserve"> PAGEREF _Toc371602358 \h </w:instrText>
      </w:r>
      <w:r w:rsidR="00FA76AB">
        <w:rPr>
          <w:noProof/>
          <w:webHidden/>
        </w:rPr>
      </w:r>
      <w:r w:rsidR="00FA76AB">
        <w:rPr>
          <w:noProof/>
          <w:webHidden/>
        </w:rPr>
        <w:fldChar w:fldCharType="separate"/>
      </w:r>
      <w:r w:rsidR="008D59BD">
        <w:rPr>
          <w:noProof/>
          <w:webHidden/>
        </w:rPr>
        <w:t>5</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A5.</w:t>
      </w:r>
      <w:r w:rsidR="008940F0">
        <w:rPr>
          <w:noProof/>
        </w:rPr>
        <w:tab/>
      </w:r>
      <w:r>
        <w:rPr>
          <w:noProof/>
        </w:rPr>
        <w:t>Involvement of Small Organizations</w:t>
      </w:r>
      <w:r>
        <w:rPr>
          <w:noProof/>
          <w:webHidden/>
        </w:rPr>
        <w:tab/>
      </w:r>
      <w:r w:rsidR="00FA76AB">
        <w:rPr>
          <w:noProof/>
          <w:webHidden/>
        </w:rPr>
        <w:fldChar w:fldCharType="begin"/>
      </w:r>
      <w:r>
        <w:rPr>
          <w:noProof/>
          <w:webHidden/>
        </w:rPr>
        <w:instrText xml:space="preserve"> PAGEREF _Toc371602359 \h </w:instrText>
      </w:r>
      <w:r w:rsidR="00FA76AB">
        <w:rPr>
          <w:noProof/>
          <w:webHidden/>
        </w:rPr>
      </w:r>
      <w:r w:rsidR="00FA76AB">
        <w:rPr>
          <w:noProof/>
          <w:webHidden/>
        </w:rPr>
        <w:fldChar w:fldCharType="separate"/>
      </w:r>
      <w:r w:rsidR="008D59BD">
        <w:rPr>
          <w:noProof/>
          <w:webHidden/>
        </w:rPr>
        <w:t>5</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A6.</w:t>
      </w:r>
      <w:r w:rsidR="008940F0">
        <w:rPr>
          <w:noProof/>
        </w:rPr>
        <w:tab/>
      </w:r>
      <w:r>
        <w:rPr>
          <w:noProof/>
        </w:rPr>
        <w:t>Consequences of Less Frequent Data Collection</w:t>
      </w:r>
      <w:r>
        <w:rPr>
          <w:noProof/>
          <w:webHidden/>
        </w:rPr>
        <w:tab/>
      </w:r>
      <w:r w:rsidR="00FA76AB">
        <w:rPr>
          <w:noProof/>
          <w:webHidden/>
        </w:rPr>
        <w:fldChar w:fldCharType="begin"/>
      </w:r>
      <w:r>
        <w:rPr>
          <w:noProof/>
          <w:webHidden/>
        </w:rPr>
        <w:instrText xml:space="preserve"> PAGEREF _Toc371602360 \h </w:instrText>
      </w:r>
      <w:r w:rsidR="00FA76AB">
        <w:rPr>
          <w:noProof/>
          <w:webHidden/>
        </w:rPr>
      </w:r>
      <w:r w:rsidR="00FA76AB">
        <w:rPr>
          <w:noProof/>
          <w:webHidden/>
        </w:rPr>
        <w:fldChar w:fldCharType="separate"/>
      </w:r>
      <w:r w:rsidR="008D59BD">
        <w:rPr>
          <w:noProof/>
          <w:webHidden/>
        </w:rPr>
        <w:t>5</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A7.</w:t>
      </w:r>
      <w:r w:rsidR="008940F0">
        <w:rPr>
          <w:noProof/>
        </w:rPr>
        <w:tab/>
      </w:r>
      <w:r>
        <w:rPr>
          <w:noProof/>
        </w:rPr>
        <w:t>Special Circumstances</w:t>
      </w:r>
      <w:r>
        <w:rPr>
          <w:noProof/>
          <w:webHidden/>
        </w:rPr>
        <w:tab/>
      </w:r>
      <w:r w:rsidR="00FA76AB">
        <w:rPr>
          <w:noProof/>
          <w:webHidden/>
        </w:rPr>
        <w:fldChar w:fldCharType="begin"/>
      </w:r>
      <w:r>
        <w:rPr>
          <w:noProof/>
          <w:webHidden/>
        </w:rPr>
        <w:instrText xml:space="preserve"> PAGEREF _Toc371602361 \h </w:instrText>
      </w:r>
      <w:r w:rsidR="00FA76AB">
        <w:rPr>
          <w:noProof/>
          <w:webHidden/>
        </w:rPr>
      </w:r>
      <w:r w:rsidR="00FA76AB">
        <w:rPr>
          <w:noProof/>
          <w:webHidden/>
        </w:rPr>
        <w:fldChar w:fldCharType="separate"/>
      </w:r>
      <w:r w:rsidR="008D59BD">
        <w:rPr>
          <w:noProof/>
          <w:webHidden/>
        </w:rPr>
        <w:t>5</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A8.</w:t>
      </w:r>
      <w:r w:rsidR="008940F0">
        <w:rPr>
          <w:noProof/>
        </w:rPr>
        <w:tab/>
      </w:r>
      <w:r>
        <w:rPr>
          <w:noProof/>
        </w:rPr>
        <w:t>Federal Register Notice and Consultation</w:t>
      </w:r>
      <w:r>
        <w:rPr>
          <w:noProof/>
          <w:webHidden/>
        </w:rPr>
        <w:tab/>
      </w:r>
      <w:r w:rsidR="00FA76AB">
        <w:rPr>
          <w:noProof/>
          <w:webHidden/>
        </w:rPr>
        <w:fldChar w:fldCharType="begin"/>
      </w:r>
      <w:r>
        <w:rPr>
          <w:noProof/>
          <w:webHidden/>
        </w:rPr>
        <w:instrText xml:space="preserve"> PAGEREF _Toc371602362 \h </w:instrText>
      </w:r>
      <w:r w:rsidR="00FA76AB">
        <w:rPr>
          <w:noProof/>
          <w:webHidden/>
        </w:rPr>
      </w:r>
      <w:r w:rsidR="00FA76AB">
        <w:rPr>
          <w:noProof/>
          <w:webHidden/>
        </w:rPr>
        <w:fldChar w:fldCharType="separate"/>
      </w:r>
      <w:r w:rsidR="008D59BD">
        <w:rPr>
          <w:noProof/>
          <w:webHidden/>
        </w:rPr>
        <w:t>6</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A9.</w:t>
      </w:r>
      <w:r w:rsidR="008940F0">
        <w:rPr>
          <w:noProof/>
        </w:rPr>
        <w:tab/>
      </w:r>
      <w:r>
        <w:rPr>
          <w:noProof/>
        </w:rPr>
        <w:t>Incentives for Respondents</w:t>
      </w:r>
      <w:r>
        <w:rPr>
          <w:noProof/>
          <w:webHidden/>
        </w:rPr>
        <w:tab/>
      </w:r>
      <w:r w:rsidR="00FA76AB">
        <w:rPr>
          <w:noProof/>
          <w:webHidden/>
        </w:rPr>
        <w:fldChar w:fldCharType="begin"/>
      </w:r>
      <w:r>
        <w:rPr>
          <w:noProof/>
          <w:webHidden/>
        </w:rPr>
        <w:instrText xml:space="preserve"> PAGEREF _Toc371602365 \h </w:instrText>
      </w:r>
      <w:r w:rsidR="00FA76AB">
        <w:rPr>
          <w:noProof/>
          <w:webHidden/>
        </w:rPr>
      </w:r>
      <w:r w:rsidR="00FA76AB">
        <w:rPr>
          <w:noProof/>
          <w:webHidden/>
        </w:rPr>
        <w:fldChar w:fldCharType="separate"/>
      </w:r>
      <w:r w:rsidR="008D59BD">
        <w:rPr>
          <w:noProof/>
          <w:webHidden/>
        </w:rPr>
        <w:t>7</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A10.</w:t>
      </w:r>
      <w:r w:rsidR="008940F0">
        <w:rPr>
          <w:noProof/>
        </w:rPr>
        <w:tab/>
      </w:r>
      <w:r>
        <w:rPr>
          <w:noProof/>
        </w:rPr>
        <w:t>Privacy of Respondents</w:t>
      </w:r>
      <w:r>
        <w:rPr>
          <w:noProof/>
          <w:webHidden/>
        </w:rPr>
        <w:tab/>
      </w:r>
      <w:r w:rsidR="00FA76AB">
        <w:rPr>
          <w:noProof/>
          <w:webHidden/>
        </w:rPr>
        <w:fldChar w:fldCharType="begin"/>
      </w:r>
      <w:r>
        <w:rPr>
          <w:noProof/>
          <w:webHidden/>
        </w:rPr>
        <w:instrText xml:space="preserve"> PAGEREF _Toc371602366 \h </w:instrText>
      </w:r>
      <w:r w:rsidR="00FA76AB">
        <w:rPr>
          <w:noProof/>
          <w:webHidden/>
        </w:rPr>
      </w:r>
      <w:r w:rsidR="00FA76AB">
        <w:rPr>
          <w:noProof/>
          <w:webHidden/>
        </w:rPr>
        <w:fldChar w:fldCharType="separate"/>
      </w:r>
      <w:r w:rsidR="008D59BD">
        <w:rPr>
          <w:noProof/>
          <w:webHidden/>
        </w:rPr>
        <w:t>7</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A11.</w:t>
      </w:r>
      <w:r w:rsidR="008940F0">
        <w:rPr>
          <w:noProof/>
        </w:rPr>
        <w:tab/>
      </w:r>
      <w:r>
        <w:rPr>
          <w:noProof/>
        </w:rPr>
        <w:t>Sensitive Questions</w:t>
      </w:r>
      <w:r>
        <w:rPr>
          <w:noProof/>
          <w:webHidden/>
        </w:rPr>
        <w:tab/>
      </w:r>
      <w:r w:rsidR="00FA76AB">
        <w:rPr>
          <w:noProof/>
          <w:webHidden/>
        </w:rPr>
        <w:fldChar w:fldCharType="begin"/>
      </w:r>
      <w:r>
        <w:rPr>
          <w:noProof/>
          <w:webHidden/>
        </w:rPr>
        <w:instrText xml:space="preserve"> PAGEREF _Toc371602367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A12.</w:t>
      </w:r>
      <w:r w:rsidR="008940F0">
        <w:rPr>
          <w:noProof/>
        </w:rPr>
        <w:tab/>
      </w:r>
      <w:r>
        <w:rPr>
          <w:noProof/>
        </w:rPr>
        <w:t>Estimation of Information Collection Burden (Newly Requested Information Collections)</w:t>
      </w:r>
      <w:r>
        <w:rPr>
          <w:noProof/>
          <w:webHidden/>
        </w:rPr>
        <w:tab/>
      </w:r>
      <w:r w:rsidR="00FA76AB">
        <w:rPr>
          <w:noProof/>
          <w:webHidden/>
        </w:rPr>
        <w:fldChar w:fldCharType="begin"/>
      </w:r>
      <w:r>
        <w:rPr>
          <w:noProof/>
          <w:webHidden/>
        </w:rPr>
        <w:instrText xml:space="preserve"> PAGEREF _Toc371602368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A13.</w:t>
      </w:r>
      <w:r w:rsidR="008940F0">
        <w:rPr>
          <w:noProof/>
        </w:rPr>
        <w:tab/>
      </w:r>
      <w:r>
        <w:rPr>
          <w:noProof/>
        </w:rPr>
        <w:t>Cost Burden to Respondents or Record Keepers</w:t>
      </w:r>
      <w:r>
        <w:rPr>
          <w:noProof/>
          <w:webHidden/>
        </w:rPr>
        <w:tab/>
      </w:r>
      <w:r w:rsidR="00FA76AB">
        <w:rPr>
          <w:noProof/>
          <w:webHidden/>
        </w:rPr>
        <w:fldChar w:fldCharType="begin"/>
      </w:r>
      <w:r>
        <w:rPr>
          <w:noProof/>
          <w:webHidden/>
        </w:rPr>
        <w:instrText xml:space="preserve"> PAGEREF _Toc371602370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A14.</w:t>
      </w:r>
      <w:r w:rsidR="008940F0">
        <w:rPr>
          <w:noProof/>
        </w:rPr>
        <w:tab/>
      </w:r>
      <w:r>
        <w:rPr>
          <w:noProof/>
        </w:rPr>
        <w:t>Estimate of Cost to the Federal Government</w:t>
      </w:r>
      <w:r>
        <w:rPr>
          <w:noProof/>
          <w:webHidden/>
        </w:rPr>
        <w:tab/>
      </w:r>
      <w:r w:rsidR="00FA76AB">
        <w:rPr>
          <w:noProof/>
          <w:webHidden/>
        </w:rPr>
        <w:fldChar w:fldCharType="begin"/>
      </w:r>
      <w:r>
        <w:rPr>
          <w:noProof/>
          <w:webHidden/>
        </w:rPr>
        <w:instrText xml:space="preserve"> PAGEREF _Toc371602371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A15.</w:t>
      </w:r>
      <w:r w:rsidR="008940F0">
        <w:rPr>
          <w:noProof/>
        </w:rPr>
        <w:tab/>
      </w:r>
      <w:r>
        <w:rPr>
          <w:noProof/>
        </w:rPr>
        <w:t>Change in Burden</w:t>
      </w:r>
      <w:r>
        <w:rPr>
          <w:noProof/>
          <w:webHidden/>
        </w:rPr>
        <w:tab/>
      </w:r>
      <w:r w:rsidR="00FA76AB">
        <w:rPr>
          <w:noProof/>
          <w:webHidden/>
        </w:rPr>
        <w:fldChar w:fldCharType="begin"/>
      </w:r>
      <w:r>
        <w:rPr>
          <w:noProof/>
          <w:webHidden/>
        </w:rPr>
        <w:instrText xml:space="preserve"> PAGEREF _Toc371602372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A16.</w:t>
      </w:r>
      <w:r w:rsidR="008940F0">
        <w:rPr>
          <w:noProof/>
        </w:rPr>
        <w:tab/>
      </w:r>
      <w:r>
        <w:rPr>
          <w:noProof/>
        </w:rPr>
        <w:t>Plan and Time Schedule for Information Collection, Tabulation, and Publication</w:t>
      </w:r>
      <w:r>
        <w:rPr>
          <w:noProof/>
          <w:webHidden/>
        </w:rPr>
        <w:tab/>
      </w:r>
      <w:r w:rsidR="00FA76AB">
        <w:rPr>
          <w:noProof/>
          <w:webHidden/>
        </w:rPr>
        <w:fldChar w:fldCharType="begin"/>
      </w:r>
      <w:r>
        <w:rPr>
          <w:noProof/>
          <w:webHidden/>
        </w:rPr>
        <w:instrText xml:space="preserve"> PAGEREF _Toc371602373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A17.</w:t>
      </w:r>
      <w:r w:rsidR="008940F0">
        <w:rPr>
          <w:noProof/>
        </w:rPr>
        <w:tab/>
      </w:r>
      <w:r>
        <w:rPr>
          <w:noProof/>
        </w:rPr>
        <w:t>Reasons Not to Display OMB Expiration Date</w:t>
      </w:r>
      <w:r>
        <w:rPr>
          <w:noProof/>
          <w:webHidden/>
        </w:rPr>
        <w:tab/>
      </w:r>
      <w:r w:rsidR="00FA76AB">
        <w:rPr>
          <w:noProof/>
          <w:webHidden/>
        </w:rPr>
        <w:fldChar w:fldCharType="begin"/>
      </w:r>
      <w:r>
        <w:rPr>
          <w:noProof/>
          <w:webHidden/>
        </w:rPr>
        <w:instrText xml:space="preserve"> PAGEREF _Toc371602374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pPr>
        <w:pStyle w:val="TOC2"/>
        <w:rPr>
          <w:rFonts w:asciiTheme="minorHAnsi" w:eastAsiaTheme="minorEastAsia" w:hAnsiTheme="minorHAnsi" w:cstheme="minorBidi"/>
          <w:noProof/>
          <w:sz w:val="22"/>
          <w:szCs w:val="22"/>
        </w:rPr>
      </w:pPr>
      <w:r>
        <w:rPr>
          <w:noProof/>
        </w:rPr>
        <w:t>A18.</w:t>
      </w:r>
      <w:r w:rsidR="008940F0">
        <w:rPr>
          <w:noProof/>
        </w:rPr>
        <w:tab/>
      </w:r>
      <w:r>
        <w:rPr>
          <w:noProof/>
        </w:rPr>
        <w:t>Exceptions to Certification for Paperwork Reduction Act Submissions</w:t>
      </w:r>
      <w:r>
        <w:rPr>
          <w:noProof/>
          <w:webHidden/>
        </w:rPr>
        <w:tab/>
      </w:r>
      <w:r w:rsidR="00FA76AB">
        <w:rPr>
          <w:noProof/>
          <w:webHidden/>
        </w:rPr>
        <w:fldChar w:fldCharType="begin"/>
      </w:r>
      <w:r>
        <w:rPr>
          <w:noProof/>
          <w:webHidden/>
        </w:rPr>
        <w:instrText xml:space="preserve"> PAGEREF _Toc371602375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2B23CF" w:rsidRDefault="002B23CF" w:rsidP="00B448DC">
      <w:pPr>
        <w:pStyle w:val="TOC1"/>
        <w:rPr>
          <w:rFonts w:asciiTheme="minorHAnsi" w:eastAsiaTheme="minorEastAsia" w:hAnsiTheme="minorHAnsi" w:cstheme="minorBidi"/>
          <w:noProof/>
          <w:sz w:val="22"/>
          <w:szCs w:val="22"/>
        </w:rPr>
      </w:pPr>
      <w:r>
        <w:rPr>
          <w:noProof/>
        </w:rPr>
        <w:t>REFERENCES</w:t>
      </w:r>
      <w:r>
        <w:rPr>
          <w:noProof/>
          <w:webHidden/>
        </w:rPr>
        <w:tab/>
      </w:r>
      <w:r w:rsidR="00FA76AB">
        <w:rPr>
          <w:noProof/>
          <w:webHidden/>
        </w:rPr>
        <w:fldChar w:fldCharType="begin"/>
      </w:r>
      <w:r>
        <w:rPr>
          <w:noProof/>
          <w:webHidden/>
        </w:rPr>
        <w:instrText xml:space="preserve"> PAGEREF _Toc371602376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192951" w:rsidRDefault="00FA76AB" w:rsidP="00B32E9F">
      <w:pPr>
        <w:spacing w:after="480"/>
        <w:jc w:val="center"/>
        <w:rPr>
          <w:rFonts w:ascii="Arial" w:hAnsi="Arial" w:cs="Arial"/>
          <w:b/>
        </w:rPr>
      </w:pPr>
      <w:r>
        <w:rPr>
          <w:rFonts w:ascii="Arial" w:hAnsi="Arial" w:cs="Arial"/>
          <w:b/>
        </w:rPr>
        <w:fldChar w:fldCharType="end"/>
      </w:r>
    </w:p>
    <w:p w:rsidR="008940F0" w:rsidRDefault="008940F0">
      <w:pPr>
        <w:rPr>
          <w:rFonts w:ascii="Arial" w:hAnsi="Arial" w:cs="Arial"/>
          <w:b/>
        </w:rPr>
      </w:pPr>
      <w:r>
        <w:rPr>
          <w:rFonts w:ascii="Arial" w:hAnsi="Arial" w:cs="Arial"/>
          <w:b/>
        </w:rPr>
        <w:br w:type="page"/>
      </w:r>
    </w:p>
    <w:p w:rsidR="00714BCA" w:rsidRPr="008940F0" w:rsidRDefault="00B120A0">
      <w:pPr>
        <w:spacing w:after="360"/>
        <w:jc w:val="center"/>
        <w:rPr>
          <w:rFonts w:ascii="Arial" w:hAnsi="Arial" w:cs="Arial"/>
          <w:b/>
          <w:color w:val="1F497D" w:themeColor="text2"/>
        </w:rPr>
      </w:pPr>
      <w:r w:rsidRPr="008940F0">
        <w:rPr>
          <w:rFonts w:ascii="Arial" w:hAnsi="Arial" w:cs="Arial"/>
          <w:b/>
          <w:color w:val="1F497D" w:themeColor="text2"/>
        </w:rPr>
        <w:t>ATTACHMENTS</w:t>
      </w:r>
    </w:p>
    <w:p w:rsidR="00714BCA" w:rsidRPr="008940F0" w:rsidRDefault="00E30D95" w:rsidP="008940F0">
      <w:pPr>
        <w:spacing w:after="240"/>
        <w:ind w:left="720" w:hanging="720"/>
        <w:rPr>
          <w:rFonts w:ascii="Arial" w:hAnsi="Arial" w:cs="Arial"/>
          <w:caps/>
        </w:rPr>
      </w:pPr>
      <w:r w:rsidRPr="008940F0">
        <w:rPr>
          <w:rFonts w:ascii="Arial" w:hAnsi="Arial" w:cs="Arial"/>
          <w:caps/>
        </w:rPr>
        <w:t>A.1</w:t>
      </w:r>
      <w:r w:rsidRPr="008940F0">
        <w:rPr>
          <w:rFonts w:ascii="Arial" w:hAnsi="Arial" w:cs="Arial"/>
          <w:caps/>
        </w:rPr>
        <w:tab/>
        <w:t>Program Recruitment Screener</w:t>
      </w:r>
    </w:p>
    <w:p w:rsidR="00192951" w:rsidRPr="008940F0" w:rsidRDefault="00E30D95" w:rsidP="008940F0">
      <w:pPr>
        <w:spacing w:after="240"/>
        <w:ind w:left="720" w:hanging="720"/>
        <w:rPr>
          <w:rFonts w:ascii="Arial" w:hAnsi="Arial" w:cs="Arial"/>
          <w:caps/>
        </w:rPr>
      </w:pPr>
      <w:r w:rsidRPr="008940F0">
        <w:rPr>
          <w:rFonts w:ascii="Arial" w:hAnsi="Arial" w:cs="Arial"/>
          <w:caps/>
        </w:rPr>
        <w:t>A.2</w:t>
      </w:r>
      <w:r w:rsidRPr="008940F0">
        <w:rPr>
          <w:rFonts w:ascii="Arial" w:hAnsi="Arial" w:cs="Arial"/>
          <w:caps/>
        </w:rPr>
        <w:tab/>
        <w:t>Classroom Selection Form</w:t>
      </w:r>
    </w:p>
    <w:p w:rsidR="00192951" w:rsidRPr="008940F0" w:rsidRDefault="00E30D95" w:rsidP="008940F0">
      <w:pPr>
        <w:spacing w:after="240"/>
        <w:ind w:left="720" w:hanging="720"/>
        <w:rPr>
          <w:rFonts w:ascii="Arial" w:hAnsi="Arial" w:cs="Arial"/>
          <w:caps/>
        </w:rPr>
      </w:pPr>
      <w:r w:rsidRPr="008940F0">
        <w:rPr>
          <w:rFonts w:ascii="Arial" w:hAnsi="Arial" w:cs="Arial"/>
          <w:caps/>
        </w:rPr>
        <w:t>A.3</w:t>
      </w:r>
      <w:r w:rsidRPr="008940F0">
        <w:rPr>
          <w:rFonts w:ascii="Arial" w:hAnsi="Arial" w:cs="Arial"/>
          <w:caps/>
        </w:rPr>
        <w:tab/>
      </w:r>
      <w:r w:rsidR="00801BA9" w:rsidRPr="008940F0">
        <w:rPr>
          <w:rFonts w:ascii="Arial" w:hAnsi="Arial" w:cs="Arial"/>
          <w:caps/>
        </w:rPr>
        <w:t>COMPONENTS OF THE DIRECT CHILD ASSESSMENt</w:t>
      </w:r>
    </w:p>
    <w:p w:rsidR="00192951" w:rsidRPr="008940F0" w:rsidRDefault="00E30D95" w:rsidP="008940F0">
      <w:pPr>
        <w:spacing w:after="240"/>
        <w:ind w:left="720" w:hanging="720"/>
        <w:rPr>
          <w:rFonts w:ascii="Arial" w:hAnsi="Arial" w:cs="Arial"/>
          <w:caps/>
        </w:rPr>
      </w:pPr>
      <w:r w:rsidRPr="008940F0">
        <w:rPr>
          <w:rFonts w:ascii="Arial" w:hAnsi="Arial" w:cs="Arial"/>
          <w:caps/>
        </w:rPr>
        <w:t>A.4</w:t>
      </w:r>
      <w:r w:rsidRPr="008940F0">
        <w:rPr>
          <w:rFonts w:ascii="Arial" w:hAnsi="Arial" w:cs="Arial"/>
          <w:caps/>
        </w:rPr>
        <w:tab/>
        <w:t>FACES Pilot Study Web Specs</w:t>
      </w:r>
    </w:p>
    <w:p w:rsidR="00192951" w:rsidRPr="008940F0" w:rsidRDefault="00E30D95" w:rsidP="0089660F">
      <w:pPr>
        <w:ind w:left="720" w:hanging="720"/>
        <w:rPr>
          <w:rFonts w:ascii="Arial" w:hAnsi="Arial" w:cs="Arial"/>
          <w:caps/>
        </w:rPr>
      </w:pPr>
      <w:r w:rsidRPr="008940F0">
        <w:rPr>
          <w:rFonts w:ascii="Arial" w:hAnsi="Arial" w:cs="Arial"/>
          <w:caps/>
        </w:rPr>
        <w:t>A.5</w:t>
      </w:r>
      <w:r w:rsidRPr="008940F0">
        <w:rPr>
          <w:rFonts w:ascii="Arial" w:hAnsi="Arial" w:cs="Arial"/>
          <w:caps/>
        </w:rPr>
        <w:tab/>
        <w:t>Cognitive Interviewing Protocol</w:t>
      </w:r>
    </w:p>
    <w:p w:rsidR="000A62A8" w:rsidRPr="00192951" w:rsidRDefault="000A62A8" w:rsidP="0089660F">
      <w:pPr>
        <w:ind w:left="720" w:hanging="720"/>
        <w:rPr>
          <w:rFonts w:ascii="Arial" w:hAnsi="Arial" w:cs="Arial"/>
          <w:caps/>
          <w:sz w:val="22"/>
        </w:rPr>
      </w:pPr>
    </w:p>
    <w:p w:rsidR="00192951" w:rsidRPr="00192951" w:rsidRDefault="00192951" w:rsidP="00192951">
      <w:pPr>
        <w:rPr>
          <w:caps/>
        </w:rPr>
        <w:sectPr w:rsidR="00192951" w:rsidRPr="00192951" w:rsidSect="0089660F">
          <w:headerReference w:type="default" r:id="rId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CB7C79" w:rsidRPr="009F2530" w:rsidRDefault="00E30D95">
      <w:pPr>
        <w:spacing w:after="480"/>
        <w:jc w:val="center"/>
        <w:rPr>
          <w:rFonts w:cs="Arial"/>
          <w:color w:val="1F497D" w:themeColor="text2"/>
        </w:rPr>
      </w:pPr>
      <w:r w:rsidRPr="00E30D95">
        <w:rPr>
          <w:rFonts w:ascii="Arial" w:hAnsi="Arial" w:cs="Arial"/>
          <w:b/>
          <w:color w:val="1F497D" w:themeColor="text2"/>
        </w:rPr>
        <w:t>TABLES</w:t>
      </w:r>
    </w:p>
    <w:p w:rsidR="002B23CF" w:rsidRDefault="00FA76AB">
      <w:pPr>
        <w:pStyle w:val="TableofFigures"/>
        <w:rPr>
          <w:rFonts w:asciiTheme="minorHAnsi" w:eastAsiaTheme="minorEastAsia" w:hAnsiTheme="minorHAnsi" w:cstheme="minorBidi"/>
          <w:noProof/>
          <w:sz w:val="22"/>
          <w:szCs w:val="22"/>
        </w:rPr>
      </w:pPr>
      <w:r>
        <w:rPr>
          <w:rFonts w:cs="Arial"/>
          <w:b/>
        </w:rPr>
        <w:fldChar w:fldCharType="begin"/>
      </w:r>
      <w:r w:rsidR="006D00F9">
        <w:rPr>
          <w:rFonts w:cs="Arial"/>
          <w:b/>
        </w:rPr>
        <w:instrText xml:space="preserve"> TOC \z \t "Mark for Table Heading,1" \c "Figure" </w:instrText>
      </w:r>
      <w:r>
        <w:rPr>
          <w:rFonts w:cs="Arial"/>
          <w:b/>
        </w:rPr>
        <w:fldChar w:fldCharType="separate"/>
      </w:r>
      <w:r w:rsidR="002B23CF">
        <w:rPr>
          <w:noProof/>
        </w:rPr>
        <w:t>A.1</w:t>
      </w:r>
      <w:r w:rsidR="008940F0">
        <w:rPr>
          <w:noProof/>
        </w:rPr>
        <w:tab/>
      </w:r>
      <w:r w:rsidR="002B23CF">
        <w:rPr>
          <w:noProof/>
        </w:rPr>
        <w:t>FACES DLL Study Pre-test Design</w:t>
      </w:r>
      <w:r w:rsidR="002B23CF">
        <w:rPr>
          <w:noProof/>
          <w:webHidden/>
        </w:rPr>
        <w:tab/>
      </w:r>
      <w:r>
        <w:rPr>
          <w:noProof/>
          <w:webHidden/>
        </w:rPr>
        <w:fldChar w:fldCharType="begin"/>
      </w:r>
      <w:r w:rsidR="002B23CF">
        <w:rPr>
          <w:noProof/>
          <w:webHidden/>
        </w:rPr>
        <w:instrText xml:space="preserve"> PAGEREF _Toc371602386 \h </w:instrText>
      </w:r>
      <w:r>
        <w:rPr>
          <w:noProof/>
          <w:webHidden/>
        </w:rPr>
      </w:r>
      <w:r>
        <w:rPr>
          <w:noProof/>
          <w:webHidden/>
        </w:rPr>
        <w:fldChar w:fldCharType="separate"/>
      </w:r>
      <w:r w:rsidR="008D59BD">
        <w:rPr>
          <w:noProof/>
          <w:webHidden/>
        </w:rPr>
        <w:t>4</w:t>
      </w:r>
      <w:r>
        <w:rPr>
          <w:noProof/>
          <w:webHidden/>
        </w:rPr>
        <w:fldChar w:fldCharType="end"/>
      </w:r>
    </w:p>
    <w:p w:rsidR="002B23CF" w:rsidRDefault="002B23CF">
      <w:pPr>
        <w:pStyle w:val="TableofFigures"/>
        <w:rPr>
          <w:rFonts w:asciiTheme="minorHAnsi" w:eastAsiaTheme="minorEastAsia" w:hAnsiTheme="minorHAnsi" w:cstheme="minorBidi"/>
          <w:noProof/>
          <w:sz w:val="22"/>
          <w:szCs w:val="22"/>
        </w:rPr>
      </w:pPr>
      <w:r>
        <w:rPr>
          <w:noProof/>
        </w:rPr>
        <w:t>A.2</w:t>
      </w:r>
      <w:r w:rsidR="008940F0">
        <w:rPr>
          <w:noProof/>
        </w:rPr>
        <w:tab/>
      </w:r>
      <w:r>
        <w:rPr>
          <w:noProof/>
        </w:rPr>
        <w:t>Members of the FACES Redesign Expert Panel on DLL Children</w:t>
      </w:r>
      <w:r>
        <w:rPr>
          <w:noProof/>
          <w:webHidden/>
        </w:rPr>
        <w:tab/>
      </w:r>
      <w:r w:rsidR="00FA76AB">
        <w:rPr>
          <w:noProof/>
          <w:webHidden/>
        </w:rPr>
        <w:fldChar w:fldCharType="begin"/>
      </w:r>
      <w:r>
        <w:rPr>
          <w:noProof/>
          <w:webHidden/>
        </w:rPr>
        <w:instrText xml:space="preserve"> PAGEREF _Toc371602387 \h </w:instrText>
      </w:r>
      <w:r w:rsidR="00FA76AB">
        <w:rPr>
          <w:noProof/>
          <w:webHidden/>
        </w:rPr>
      </w:r>
      <w:r w:rsidR="00FA76AB">
        <w:rPr>
          <w:noProof/>
          <w:webHidden/>
        </w:rPr>
        <w:fldChar w:fldCharType="separate"/>
      </w:r>
      <w:r w:rsidR="008D59BD">
        <w:rPr>
          <w:noProof/>
          <w:webHidden/>
        </w:rPr>
        <w:t>6</w:t>
      </w:r>
      <w:r w:rsidR="00FA76AB">
        <w:rPr>
          <w:noProof/>
          <w:webHidden/>
        </w:rPr>
        <w:fldChar w:fldCharType="end"/>
      </w:r>
    </w:p>
    <w:p w:rsidR="002B23CF" w:rsidRDefault="002B23CF">
      <w:pPr>
        <w:pStyle w:val="TableofFigures"/>
        <w:rPr>
          <w:rFonts w:asciiTheme="minorHAnsi" w:eastAsiaTheme="minorEastAsia" w:hAnsiTheme="minorHAnsi" w:cstheme="minorBidi"/>
          <w:noProof/>
          <w:sz w:val="22"/>
          <w:szCs w:val="22"/>
        </w:rPr>
      </w:pPr>
      <w:r>
        <w:rPr>
          <w:noProof/>
        </w:rPr>
        <w:t>A.3</w:t>
      </w:r>
      <w:r w:rsidR="008940F0">
        <w:rPr>
          <w:noProof/>
        </w:rPr>
        <w:tab/>
      </w:r>
      <w:r>
        <w:rPr>
          <w:noProof/>
        </w:rPr>
        <w:t>Total Burden Requested Under This Information Collection</w:t>
      </w:r>
      <w:r>
        <w:rPr>
          <w:noProof/>
          <w:webHidden/>
        </w:rPr>
        <w:tab/>
      </w:r>
      <w:r w:rsidR="00FA76AB">
        <w:rPr>
          <w:noProof/>
          <w:webHidden/>
        </w:rPr>
        <w:fldChar w:fldCharType="begin"/>
      </w:r>
      <w:r>
        <w:rPr>
          <w:noProof/>
          <w:webHidden/>
        </w:rPr>
        <w:instrText xml:space="preserve"> PAGEREF _Toc371602388 \h </w:instrText>
      </w:r>
      <w:r w:rsidR="00FA76AB">
        <w:rPr>
          <w:noProof/>
          <w:webHidden/>
        </w:rPr>
      </w:r>
      <w:r w:rsidR="00FA76AB">
        <w:rPr>
          <w:noProof/>
          <w:webHidden/>
        </w:rPr>
        <w:fldChar w:fldCharType="separate"/>
      </w:r>
      <w:r w:rsidR="008D59BD">
        <w:rPr>
          <w:noProof/>
          <w:webHidden/>
        </w:rPr>
        <w:t>8</w:t>
      </w:r>
      <w:r w:rsidR="00FA76AB">
        <w:rPr>
          <w:noProof/>
          <w:webHidden/>
        </w:rPr>
        <w:fldChar w:fldCharType="end"/>
      </w:r>
    </w:p>
    <w:p w:rsidR="00CB7C79" w:rsidRDefault="00FA76AB" w:rsidP="006D00F9">
      <w:pPr>
        <w:spacing w:after="480"/>
        <w:jc w:val="center"/>
        <w:rPr>
          <w:rFonts w:ascii="Arial" w:hAnsi="Arial" w:cs="Arial"/>
          <w:b/>
        </w:rPr>
        <w:sectPr w:rsidR="00CB7C79" w:rsidSect="006D00F9">
          <w:headerReference w:type="default" r:id="rId11"/>
          <w:footerReference w:type="default" r:id="rId12"/>
          <w:endnotePr>
            <w:numFmt w:val="decimal"/>
          </w:endnotePr>
          <w:pgSz w:w="12240" w:h="15840" w:code="1"/>
          <w:pgMar w:top="1440" w:right="1440" w:bottom="576" w:left="1440" w:header="720" w:footer="576" w:gutter="0"/>
          <w:pgNumType w:fmt="lowerRoman"/>
          <w:cols w:space="720"/>
          <w:docGrid w:linePitch="326"/>
        </w:sectPr>
      </w:pPr>
      <w:r>
        <w:rPr>
          <w:rFonts w:ascii="Arial" w:hAnsi="Arial" w:cs="Arial"/>
          <w:b/>
        </w:rPr>
        <w:fldChar w:fldCharType="end"/>
      </w:r>
    </w:p>
    <w:p w:rsidR="006B5EA2" w:rsidRPr="00111C60" w:rsidRDefault="006B5EA2" w:rsidP="00CE0019">
      <w:pPr>
        <w:pStyle w:val="Heading1Blue"/>
        <w:spacing w:before="0"/>
      </w:pPr>
      <w:bookmarkStart w:id="18" w:name="_Toc370476359"/>
      <w:bookmarkStart w:id="19" w:name="_Toc371602348"/>
      <w:r w:rsidRPr="00111C60">
        <w:t>A.</w:t>
      </w:r>
      <w:r w:rsidR="00155E02">
        <w:t xml:space="preserve"> </w:t>
      </w:r>
      <w:r w:rsidRPr="00111C60">
        <w:t>JUSTIFICATION</w:t>
      </w:r>
      <w:bookmarkEnd w:id="18"/>
      <w:bookmarkEnd w:id="19"/>
    </w:p>
    <w:p w:rsidR="006B5EA2" w:rsidRPr="00D16205" w:rsidRDefault="006B5EA2" w:rsidP="00D16205">
      <w:pPr>
        <w:pStyle w:val="NormalSS"/>
      </w:pPr>
      <w:r w:rsidRPr="00D16205">
        <w:t xml:space="preserve">The Administration for Children and Families (ACF) at the U.S. Department of Health and Human Services (DHHS) seeks approval for pilot data collection activities to support the Head Start Family and Child Experiences </w:t>
      </w:r>
      <w:r w:rsidR="00353183" w:rsidRPr="00D16205">
        <w:t xml:space="preserve">Survey </w:t>
      </w:r>
      <w:r w:rsidRPr="00D16205">
        <w:t>(FACES)</w:t>
      </w:r>
      <w:r w:rsidR="00353183" w:rsidRPr="00D16205">
        <w:t>, a recurring source of information about the children and families served by Head Start at the national level</w:t>
      </w:r>
      <w:r w:rsidRPr="00D16205">
        <w:t xml:space="preserve">. ACF requests permission to (1) enroll </w:t>
      </w:r>
      <w:r w:rsidR="00353183" w:rsidRPr="00D16205">
        <w:t xml:space="preserve">Head Start </w:t>
      </w:r>
      <w:r w:rsidRPr="00D16205">
        <w:t>programs and</w:t>
      </w:r>
      <w:r w:rsidR="00092309" w:rsidRPr="00D16205">
        <w:t xml:space="preserve"> participants (children and parents</w:t>
      </w:r>
      <w:r w:rsidRPr="00D16205">
        <w:t>) into the pilot study</w:t>
      </w:r>
      <w:r w:rsidR="00A0419C" w:rsidRPr="00D16205">
        <w:t>, (2)</w:t>
      </w:r>
      <w:r w:rsidR="000C454B">
        <w:t> </w:t>
      </w:r>
      <w:r w:rsidR="00353183" w:rsidRPr="00D16205">
        <w:t xml:space="preserve">administer and </w:t>
      </w:r>
      <w:r w:rsidR="00E76C62" w:rsidRPr="00D16205">
        <w:t>evaluate a</w:t>
      </w:r>
      <w:r w:rsidR="00353183" w:rsidRPr="00D16205">
        <w:t xml:space="preserve"> set of </w:t>
      </w:r>
      <w:r w:rsidR="00FA0129" w:rsidRPr="00D16205">
        <w:t xml:space="preserve">vocabulary and language measures with </w:t>
      </w:r>
      <w:r w:rsidR="00353183" w:rsidRPr="00D16205">
        <w:t xml:space="preserve">children who are dual language learners </w:t>
      </w:r>
      <w:r w:rsidR="00FA0129" w:rsidRPr="00D16205">
        <w:t>(DLL</w:t>
      </w:r>
      <w:r w:rsidR="00353183" w:rsidRPr="00D16205">
        <w:t>s</w:t>
      </w:r>
      <w:r w:rsidR="00FA0129" w:rsidRPr="00D16205">
        <w:t>)</w:t>
      </w:r>
      <w:r w:rsidR="00723802" w:rsidRPr="00D16205">
        <w:t xml:space="preserve">, and (3) pilot test </w:t>
      </w:r>
      <w:r w:rsidR="00353183" w:rsidRPr="00D16205">
        <w:t xml:space="preserve">a </w:t>
      </w:r>
      <w:r w:rsidR="002B53DF" w:rsidRPr="00D16205">
        <w:t xml:space="preserve">parent </w:t>
      </w:r>
      <w:r w:rsidR="00353183" w:rsidRPr="00D16205">
        <w:t>survey</w:t>
      </w:r>
      <w:r w:rsidR="002B53DF" w:rsidRPr="00D16205">
        <w:t xml:space="preserve"> of</w:t>
      </w:r>
      <w:r w:rsidR="00353183" w:rsidRPr="00D16205">
        <w:t xml:space="preserve"> young children’s development and </w:t>
      </w:r>
      <w:r w:rsidR="003528E8" w:rsidRPr="00D16205">
        <w:t xml:space="preserve">behavioral health. </w:t>
      </w:r>
      <w:r w:rsidRPr="00D16205">
        <w:t>We will analyze and evaluate</w:t>
      </w:r>
      <w:r w:rsidR="00353183" w:rsidRPr="00D16205">
        <w:t xml:space="preserve"> the measures and </w:t>
      </w:r>
      <w:r w:rsidR="00A0419C" w:rsidRPr="00D16205">
        <w:t xml:space="preserve">procedures involved with </w:t>
      </w:r>
      <w:r w:rsidR="00FA0129" w:rsidRPr="00D16205">
        <w:t>assessing DLL children</w:t>
      </w:r>
      <w:r w:rsidR="00A0419C" w:rsidRPr="00D16205">
        <w:t xml:space="preserve"> and </w:t>
      </w:r>
      <w:r w:rsidR="002B53DF" w:rsidRPr="00D16205">
        <w:t>survey</w:t>
      </w:r>
      <w:r w:rsidR="00A0419C" w:rsidRPr="00D16205">
        <w:t>ing their parents</w:t>
      </w:r>
      <w:r w:rsidR="00D50B78" w:rsidRPr="00D16205">
        <w:t>,</w:t>
      </w:r>
      <w:r w:rsidR="00A0419C" w:rsidRPr="00D16205">
        <w:t xml:space="preserve"> </w:t>
      </w:r>
      <w:r w:rsidR="002B53DF" w:rsidRPr="00D16205">
        <w:t xml:space="preserve">with the goal of expanding and improving measurement of DLL children’s development </w:t>
      </w:r>
      <w:r w:rsidRPr="00D16205">
        <w:t xml:space="preserve">in future </w:t>
      </w:r>
      <w:r w:rsidR="002B53DF" w:rsidRPr="00D16205">
        <w:t xml:space="preserve">rounds of FACES </w:t>
      </w:r>
      <w:r w:rsidR="00D50B78" w:rsidRPr="00D16205">
        <w:t>and</w:t>
      </w:r>
      <w:r w:rsidR="002B53DF" w:rsidRPr="00D16205">
        <w:t xml:space="preserve"> in other </w:t>
      </w:r>
      <w:r w:rsidRPr="00D16205">
        <w:t>studies. Findings based on the information collected will be compiled in a report to be used for internal purposes only and will not be released to the public. Mathematica Policy Research is the contractor for the study.</w:t>
      </w:r>
    </w:p>
    <w:p w:rsidR="00812477" w:rsidRPr="00155E02" w:rsidRDefault="00812477" w:rsidP="00DC224F">
      <w:pPr>
        <w:pStyle w:val="Heading2Blue"/>
      </w:pPr>
      <w:bookmarkStart w:id="20" w:name="_Toc370476360"/>
      <w:bookmarkStart w:id="21" w:name="_Toc371602349"/>
      <w:bookmarkEnd w:id="0"/>
      <w:r w:rsidRPr="00155E02">
        <w:t>A1.</w:t>
      </w:r>
      <w:r w:rsidR="002E52F9">
        <w:t xml:space="preserve"> </w:t>
      </w:r>
      <w:r w:rsidRPr="00155E02">
        <w:t>Necessity for the Data Collection</w:t>
      </w:r>
      <w:bookmarkEnd w:id="20"/>
      <w:bookmarkEnd w:id="21"/>
      <w:r w:rsidR="0009599E" w:rsidRPr="00155E02">
        <w:t xml:space="preserve"> </w:t>
      </w:r>
    </w:p>
    <w:p w:rsidR="00732E4D" w:rsidRPr="00F937E9" w:rsidRDefault="005C6117" w:rsidP="00D16205">
      <w:pPr>
        <w:pStyle w:val="NormalSS"/>
      </w:pPr>
      <w:r w:rsidRPr="00CC76C3">
        <w:t xml:space="preserve">The purpose of </w:t>
      </w:r>
      <w:r w:rsidR="002B53DF">
        <w:t xml:space="preserve">the </w:t>
      </w:r>
      <w:r w:rsidR="002D1DF1">
        <w:t xml:space="preserve">FACES </w:t>
      </w:r>
      <w:r>
        <w:t>Pilot Study</w:t>
      </w:r>
      <w:r w:rsidRPr="00CC76C3">
        <w:t xml:space="preserve"> is</w:t>
      </w:r>
      <w:r w:rsidR="00F937E9">
        <w:t xml:space="preserve"> to</w:t>
      </w:r>
      <w:r w:rsidR="00732E4D">
        <w:t xml:space="preserve"> </w:t>
      </w:r>
      <w:r w:rsidR="00054C52">
        <w:t xml:space="preserve">evaluate and </w:t>
      </w:r>
      <w:r w:rsidR="00732E4D">
        <w:t xml:space="preserve">refine </w:t>
      </w:r>
      <w:r w:rsidR="002B53DF">
        <w:t xml:space="preserve">the protocols used to assess the development of </w:t>
      </w:r>
      <w:r w:rsidR="00732E4D">
        <w:t>DLL children</w:t>
      </w:r>
      <w:r w:rsidR="00D50B78">
        <w:t>,</w:t>
      </w:r>
      <w:r w:rsidR="00732E4D">
        <w:t xml:space="preserve"> </w:t>
      </w:r>
      <w:r w:rsidR="002B53DF">
        <w:t xml:space="preserve">directly </w:t>
      </w:r>
      <w:r w:rsidR="00732E4D">
        <w:t xml:space="preserve">and </w:t>
      </w:r>
      <w:r w:rsidR="002B53DF">
        <w:t>indirectly</w:t>
      </w:r>
      <w:r w:rsidR="00D50B78">
        <w:t>,</w:t>
      </w:r>
      <w:r w:rsidR="002B53DF">
        <w:t xml:space="preserve"> through a survey of </w:t>
      </w:r>
      <w:r w:rsidR="00732E4D">
        <w:t xml:space="preserve">their parents. </w:t>
      </w:r>
      <w:r w:rsidR="00F937E9" w:rsidRPr="00F937E9">
        <w:t xml:space="preserve">Growth in the U.S. population among Hispanic/Latino preschoolers </w:t>
      </w:r>
      <w:r w:rsidR="002B53DF">
        <w:t xml:space="preserve">and DLLs in general </w:t>
      </w:r>
      <w:r w:rsidR="00F937E9" w:rsidRPr="00F937E9">
        <w:t>(Hernandez 2006) and</w:t>
      </w:r>
      <w:r w:rsidR="00732E4D">
        <w:t xml:space="preserve"> </w:t>
      </w:r>
      <w:r w:rsidR="00F937E9" w:rsidRPr="00F937E9">
        <w:t>among the population of children served by Head Start</w:t>
      </w:r>
      <w:r w:rsidR="002B53DF">
        <w:t xml:space="preserve"> in particular</w:t>
      </w:r>
      <w:r w:rsidR="00F937E9" w:rsidRPr="00F937E9">
        <w:t xml:space="preserve"> (West and Hulsey 2009; Hulsey et</w:t>
      </w:r>
      <w:r w:rsidR="00732E4D">
        <w:t xml:space="preserve"> </w:t>
      </w:r>
      <w:r w:rsidR="00F937E9" w:rsidRPr="00F937E9">
        <w:t>al. 2011) has implications for the assessment procedures used in FACES</w:t>
      </w:r>
      <w:r w:rsidR="00054C52">
        <w:t xml:space="preserve"> and other national studies of young children</w:t>
      </w:r>
      <w:r w:rsidR="00F937E9" w:rsidRPr="00F937E9">
        <w:t>. As</w:t>
      </w:r>
      <w:r w:rsidR="00732E4D">
        <w:t xml:space="preserve"> </w:t>
      </w:r>
      <w:r w:rsidR="00F937E9" w:rsidRPr="00F937E9">
        <w:t xml:space="preserve">a part of the FACES </w:t>
      </w:r>
      <w:r w:rsidR="00054C52">
        <w:t>R</w:t>
      </w:r>
      <w:r w:rsidR="00F937E9" w:rsidRPr="00F937E9">
        <w:t xml:space="preserve">edesign </w:t>
      </w:r>
      <w:r w:rsidR="00054C52">
        <w:t>Project</w:t>
      </w:r>
      <w:r w:rsidR="00F937E9" w:rsidRPr="00F937E9">
        <w:t>,</w:t>
      </w:r>
      <w:r w:rsidR="00054C52">
        <w:t xml:space="preserve"> a two-</w:t>
      </w:r>
      <w:r w:rsidR="003528E8">
        <w:t xml:space="preserve">year effort encompassing </w:t>
      </w:r>
      <w:r w:rsidR="00FD078E">
        <w:t xml:space="preserve">a systematic review of </w:t>
      </w:r>
      <w:r w:rsidR="003528E8">
        <w:t xml:space="preserve">all aspects of the FACES design, </w:t>
      </w:r>
      <w:r w:rsidR="00FD078E">
        <w:t>its methods</w:t>
      </w:r>
      <w:r w:rsidR="00D50B78">
        <w:t>,</w:t>
      </w:r>
      <w:r w:rsidR="00FD078E">
        <w:t xml:space="preserve"> and data collection procedures, </w:t>
      </w:r>
      <w:r w:rsidR="00F937E9" w:rsidRPr="00F937E9">
        <w:t>Mathematica convened an expert panel to consider optimal</w:t>
      </w:r>
      <w:r w:rsidR="00732E4D">
        <w:t xml:space="preserve"> </w:t>
      </w:r>
      <w:r w:rsidR="00F937E9" w:rsidRPr="00F937E9">
        <w:t xml:space="preserve">approaches to assessing DLL children in future rounds of FACES. The panel </w:t>
      </w:r>
      <w:r w:rsidR="003528E8">
        <w:t>recommended that ACF</w:t>
      </w:r>
      <w:r w:rsidR="00F937E9" w:rsidRPr="00F937E9">
        <w:t xml:space="preserve"> </w:t>
      </w:r>
      <w:r w:rsidR="008C5E12" w:rsidRPr="00F937E9">
        <w:t>pilot additional</w:t>
      </w:r>
      <w:r w:rsidR="00F937E9" w:rsidRPr="00F937E9">
        <w:t xml:space="preserve"> measures suitable for assessing </w:t>
      </w:r>
      <w:r w:rsidR="00FD078E">
        <w:t xml:space="preserve">the vocabulary skills of </w:t>
      </w:r>
      <w:r w:rsidR="00F937E9" w:rsidRPr="00F937E9">
        <w:t>DLL</w:t>
      </w:r>
      <w:r w:rsidR="00732E4D">
        <w:t xml:space="preserve"> </w:t>
      </w:r>
      <w:r w:rsidR="00F937E9" w:rsidRPr="00F937E9">
        <w:t>children</w:t>
      </w:r>
      <w:r w:rsidR="00FD078E">
        <w:t xml:space="preserve"> more efficiently </w:t>
      </w:r>
      <w:r w:rsidR="00D50B78">
        <w:t xml:space="preserve">as well as </w:t>
      </w:r>
      <w:r w:rsidR="003528E8">
        <w:t xml:space="preserve">measures that </w:t>
      </w:r>
      <w:r w:rsidR="00FD078E">
        <w:t>offer a broader picture of children’s language development</w:t>
      </w:r>
      <w:r w:rsidR="00F937E9" w:rsidRPr="00F937E9">
        <w:t xml:space="preserve">. </w:t>
      </w:r>
      <w:r w:rsidR="0040127C">
        <w:t xml:space="preserve">Additionally, </w:t>
      </w:r>
      <w:r w:rsidR="000969C3">
        <w:t xml:space="preserve">finding or developing brief, reliable </w:t>
      </w:r>
      <w:r w:rsidR="00AA7385">
        <w:t xml:space="preserve">measures </w:t>
      </w:r>
      <w:r w:rsidR="000969C3">
        <w:t xml:space="preserve">of </w:t>
      </w:r>
      <w:r w:rsidR="003528E8">
        <w:t>children’s development</w:t>
      </w:r>
      <w:r w:rsidR="00AA7385">
        <w:t>, behav</w:t>
      </w:r>
      <w:r w:rsidR="000969C3">
        <w:t>ioral health</w:t>
      </w:r>
      <w:r w:rsidR="00D50B78">
        <w:t>,</w:t>
      </w:r>
      <w:r w:rsidR="000969C3">
        <w:t xml:space="preserve"> and family context </w:t>
      </w:r>
      <w:r w:rsidR="003528E8">
        <w:t xml:space="preserve">that </w:t>
      </w:r>
      <w:r w:rsidR="000969C3">
        <w:t xml:space="preserve">may </w:t>
      </w:r>
      <w:r w:rsidR="003528E8">
        <w:t xml:space="preserve">be </w:t>
      </w:r>
      <w:r w:rsidR="000969C3">
        <w:t xml:space="preserve">completed by parents using different data collection modes is important to ACF and other federal agencies (for example, </w:t>
      </w:r>
      <w:r w:rsidR="00D50B78">
        <w:t xml:space="preserve">the </w:t>
      </w:r>
      <w:r w:rsidR="000969C3">
        <w:t>Centers for Disease Control and Prevention)</w:t>
      </w:r>
      <w:r w:rsidR="00AA7385">
        <w:t xml:space="preserve">. </w:t>
      </w:r>
      <w:r w:rsidR="000969C3">
        <w:t xml:space="preserve">Given the changing nature of the Head Start population and the ways </w:t>
      </w:r>
      <w:r w:rsidR="00BB08D3">
        <w:t xml:space="preserve">in which </w:t>
      </w:r>
      <w:r w:rsidR="000969C3">
        <w:t>parents choose to respond to surveys, it is especially important to evaluate how such measures perform for Spanish-speaking populations</w:t>
      </w:r>
      <w:r w:rsidR="00BB08D3">
        <w:t>,</w:t>
      </w:r>
      <w:r w:rsidR="000969C3">
        <w:t xml:space="preserve"> and when administered via the web or telephone. </w:t>
      </w:r>
    </w:p>
    <w:p w:rsidR="005C6117" w:rsidRPr="00177982" w:rsidRDefault="006D00F9" w:rsidP="00D16205">
      <w:pPr>
        <w:pStyle w:val="Heading3"/>
      </w:pPr>
      <w:bookmarkStart w:id="22" w:name="_Toc370476361"/>
      <w:bookmarkStart w:id="23" w:name="_Toc371602350"/>
      <w:r>
        <w:t>1.</w:t>
      </w:r>
      <w:r>
        <w:tab/>
      </w:r>
      <w:r w:rsidR="005C6117" w:rsidRPr="00177982">
        <w:t>Study Background</w:t>
      </w:r>
      <w:bookmarkEnd w:id="22"/>
      <w:bookmarkEnd w:id="23"/>
      <w:r w:rsidR="005C6117" w:rsidRPr="00177982">
        <w:t xml:space="preserve"> </w:t>
      </w:r>
    </w:p>
    <w:p w:rsidR="005C6117" w:rsidRDefault="000C293C" w:rsidP="00D16205">
      <w:pPr>
        <w:pStyle w:val="NormalSS"/>
      </w:pPr>
      <w:r>
        <w:t xml:space="preserve">The FACES Pilot Study will </w:t>
      </w:r>
      <w:r w:rsidRPr="000C293C">
        <w:t xml:space="preserve">help ACF </w:t>
      </w:r>
      <w:r w:rsidR="00B61388">
        <w:t xml:space="preserve">improve the assessment battery used with DLL children and </w:t>
      </w:r>
      <w:r w:rsidR="00151F27">
        <w:t xml:space="preserve">assess </w:t>
      </w:r>
      <w:r w:rsidR="00BF5208">
        <w:t xml:space="preserve">measures and </w:t>
      </w:r>
      <w:r w:rsidR="00151F27">
        <w:t>procedures for surveying the parents of such children.</w:t>
      </w:r>
      <w:r w:rsidR="00BF5208">
        <w:t xml:space="preserve"> It will provide important information about different vocabulary and language measures, and assessment approaches that will help to guide decisions about how FACES assesses DLL children in the future. The findings from comparisons of reports of children’s development completed by phone or on the web </w:t>
      </w:r>
      <w:r w:rsidR="00F51EC8">
        <w:t>by Spanish- and English-speaking parents have implications for increasing the efficiency of future rounds of FACES and ensuring that such measures are equally reliable for both DLL and non-DLL children.</w:t>
      </w:r>
    </w:p>
    <w:p w:rsidR="00800AF5" w:rsidRPr="00177982" w:rsidRDefault="006D00F9" w:rsidP="00D16205">
      <w:pPr>
        <w:pStyle w:val="Heading3"/>
      </w:pPr>
      <w:bookmarkStart w:id="24" w:name="_Toc370476362"/>
      <w:bookmarkStart w:id="25" w:name="_Toc371602351"/>
      <w:r>
        <w:t>2.</w:t>
      </w:r>
      <w:r>
        <w:tab/>
      </w:r>
      <w:r w:rsidR="00800AF5" w:rsidRPr="00177982">
        <w:t xml:space="preserve">Legal or Administrative Requirements </w:t>
      </w:r>
      <w:r w:rsidR="0089660F">
        <w:t>T</w:t>
      </w:r>
      <w:r w:rsidR="00800AF5" w:rsidRPr="00177982">
        <w:t>hat Necessitate the Collection</w:t>
      </w:r>
      <w:bookmarkEnd w:id="24"/>
      <w:bookmarkEnd w:id="25"/>
      <w:r w:rsidR="00800AF5" w:rsidRPr="00177982">
        <w:t xml:space="preserve"> </w:t>
      </w:r>
    </w:p>
    <w:p w:rsidR="00800AF5" w:rsidRDefault="00800AF5" w:rsidP="00D16205">
      <w:pPr>
        <w:pStyle w:val="NormalSS"/>
      </w:pPr>
      <w:r>
        <w:t>There are no legal or administrative requirements that necessitate the data collection activities.</w:t>
      </w:r>
    </w:p>
    <w:p w:rsidR="00812477" w:rsidRPr="0072204D" w:rsidRDefault="00812477" w:rsidP="00DC224F">
      <w:pPr>
        <w:pStyle w:val="Heading2Blue"/>
      </w:pPr>
      <w:bookmarkStart w:id="26" w:name="_Toc370476363"/>
      <w:bookmarkStart w:id="27" w:name="_Toc371602352"/>
      <w:r>
        <w:t>A2.</w:t>
      </w:r>
      <w:r w:rsidR="002E52F9">
        <w:t xml:space="preserve"> </w:t>
      </w:r>
      <w:r w:rsidRPr="0072204D">
        <w:t>Purpose of Survey and Data Collection Procedures</w:t>
      </w:r>
      <w:bookmarkEnd w:id="26"/>
      <w:bookmarkEnd w:id="27"/>
    </w:p>
    <w:p w:rsidR="00684885" w:rsidRPr="00177982" w:rsidRDefault="006D00F9" w:rsidP="0072187A">
      <w:pPr>
        <w:pStyle w:val="Heading3"/>
      </w:pPr>
      <w:bookmarkStart w:id="28" w:name="_Toc370476364"/>
      <w:bookmarkStart w:id="29" w:name="_Toc371602353"/>
      <w:r>
        <w:t>1.</w:t>
      </w:r>
      <w:r>
        <w:tab/>
      </w:r>
      <w:r w:rsidR="00684885" w:rsidRPr="00177982">
        <w:t>Overview of Purpose and Approach</w:t>
      </w:r>
      <w:bookmarkEnd w:id="28"/>
      <w:bookmarkEnd w:id="29"/>
    </w:p>
    <w:p w:rsidR="00D16205" w:rsidRDefault="00626EB8" w:rsidP="00D16205">
      <w:pPr>
        <w:pStyle w:val="NormalSS"/>
      </w:pPr>
      <w:r>
        <w:t xml:space="preserve">Mathematica will </w:t>
      </w:r>
      <w:r w:rsidR="00174AF6">
        <w:t>pre-test</w:t>
      </w:r>
      <w:r w:rsidR="002D62CB" w:rsidRPr="00F937E9">
        <w:t xml:space="preserve"> a battery of vocabulary and language measures to determine whether</w:t>
      </w:r>
      <w:r>
        <w:t xml:space="preserve"> </w:t>
      </w:r>
      <w:r w:rsidR="002D62CB" w:rsidRPr="00F937E9">
        <w:t>FACES can use a single</w:t>
      </w:r>
      <w:r w:rsidR="00174AB7">
        <w:t xml:space="preserve"> </w:t>
      </w:r>
      <w:r w:rsidR="00256EED">
        <w:t xml:space="preserve">conceptual </w:t>
      </w:r>
      <w:r w:rsidR="002D62CB" w:rsidRPr="00F937E9">
        <w:t>measure</w:t>
      </w:r>
      <w:r w:rsidR="00174AB7">
        <w:t xml:space="preserve"> of children’s receptive vocabulary</w:t>
      </w:r>
      <w:r w:rsidR="002D62CB" w:rsidRPr="00F937E9">
        <w:t xml:space="preserve"> </w:t>
      </w:r>
      <w:r w:rsidR="00174AB7">
        <w:t>and whether we can include a broader measure of children’s language</w:t>
      </w:r>
      <w:r w:rsidR="002D62CB" w:rsidRPr="00F937E9">
        <w:t xml:space="preserve">. The goal of the </w:t>
      </w:r>
      <w:r w:rsidR="00174AF6">
        <w:t>pre-test</w:t>
      </w:r>
      <w:r w:rsidR="00013568">
        <w:t xml:space="preserve"> is to identify </w:t>
      </w:r>
      <w:r w:rsidR="002D62CB" w:rsidRPr="00F937E9">
        <w:t>measure</w:t>
      </w:r>
      <w:r w:rsidR="00013568">
        <w:t>s</w:t>
      </w:r>
      <w:r w:rsidR="002D62CB" w:rsidRPr="00F937E9">
        <w:t xml:space="preserve"> t</w:t>
      </w:r>
      <w:r w:rsidR="00013568">
        <w:t>hat (1) are</w:t>
      </w:r>
      <w:r w:rsidR="002D62CB" w:rsidRPr="00F937E9">
        <w:t xml:space="preserve"> reliable and valid </w:t>
      </w:r>
      <w:r w:rsidR="00DF746F">
        <w:t>for</w:t>
      </w:r>
      <w:r>
        <w:t xml:space="preserve"> </w:t>
      </w:r>
      <w:r w:rsidR="002D62CB" w:rsidRPr="00F937E9">
        <w:t>assessing DLL</w:t>
      </w:r>
      <w:r w:rsidR="00DF746F">
        <w:t xml:space="preserve"> children</w:t>
      </w:r>
      <w:r w:rsidR="00013568">
        <w:t xml:space="preserve"> and (2) reduce</w:t>
      </w:r>
      <w:r w:rsidR="002D62CB" w:rsidRPr="00F937E9">
        <w:t xml:space="preserve"> the </w:t>
      </w:r>
      <w:r w:rsidR="00013568">
        <w:t xml:space="preserve">receptive vocabulary </w:t>
      </w:r>
      <w:r w:rsidR="002D62CB" w:rsidRPr="00F937E9">
        <w:t xml:space="preserve">assessment burden on children. </w:t>
      </w:r>
      <w:r w:rsidR="00F51EC8">
        <w:t xml:space="preserve">Currently, Spanish-speaking children participating in FACES are administered three vocabulary assessments, including two measures of their English and Spanish receptive vocabulary. </w:t>
      </w:r>
      <w:r w:rsidR="002D62CB" w:rsidRPr="00F937E9">
        <w:t xml:space="preserve">We </w:t>
      </w:r>
      <w:r w:rsidR="00176075">
        <w:t>will include</w:t>
      </w:r>
      <w:r w:rsidR="002720A8">
        <w:t xml:space="preserve"> the following</w:t>
      </w:r>
      <w:r>
        <w:t xml:space="preserve"> </w:t>
      </w:r>
      <w:r w:rsidR="002D62CB" w:rsidRPr="00F937E9">
        <w:t xml:space="preserve">measures in the </w:t>
      </w:r>
      <w:r w:rsidR="00174AF6">
        <w:t>pre-test</w:t>
      </w:r>
      <w:r w:rsidR="002D62CB" w:rsidRPr="00F937E9">
        <w:t xml:space="preserve">: </w:t>
      </w:r>
      <w:r w:rsidR="002720A8">
        <w:t xml:space="preserve">(1) </w:t>
      </w:r>
      <w:r w:rsidR="00F10A75" w:rsidRPr="00174AF6">
        <w:rPr>
          <w:i/>
        </w:rPr>
        <w:t>pre</w:t>
      </w:r>
      <w:r w:rsidR="00F10A75">
        <w:t>LAS</w:t>
      </w:r>
      <w:r w:rsidR="005E138C">
        <w:t xml:space="preserve"> 2000 </w:t>
      </w:r>
      <w:r w:rsidR="002720A8">
        <w:t>(</w:t>
      </w:r>
      <w:r w:rsidR="00F10A75">
        <w:t xml:space="preserve">Pre-language Assessment Scales; </w:t>
      </w:r>
      <w:r w:rsidR="002720A8">
        <w:t xml:space="preserve">Duncan </w:t>
      </w:r>
      <w:r w:rsidR="000B7093">
        <w:t>and</w:t>
      </w:r>
      <w:r w:rsidR="002720A8">
        <w:t xml:space="preserve"> DeAvila 2002)</w:t>
      </w:r>
      <w:r w:rsidR="00F10A75">
        <w:t xml:space="preserve"> Art Show</w:t>
      </w:r>
      <w:r w:rsidR="002720A8">
        <w:t>,</w:t>
      </w:r>
      <w:r w:rsidR="002720A8" w:rsidRPr="002720A8">
        <w:t xml:space="preserve"> a language screener that assesses expressive English language proficiency</w:t>
      </w:r>
      <w:r w:rsidR="002720A8">
        <w:t xml:space="preserve">; </w:t>
      </w:r>
      <w:r w:rsidR="00174AB7">
        <w:t>(2</w:t>
      </w:r>
      <w:r w:rsidR="002720A8">
        <w:t xml:space="preserve">) </w:t>
      </w:r>
      <w:r w:rsidR="002D609D">
        <w:t>t</w:t>
      </w:r>
      <w:r w:rsidR="002720A8" w:rsidRPr="002720A8">
        <w:t xml:space="preserve">he </w:t>
      </w:r>
      <w:r w:rsidR="008C5E12">
        <w:t>Peabody Picture Vocabulary Test 4 (PPVT-4; Dunn and Dunn 2006)</w:t>
      </w:r>
      <w:r w:rsidR="002720A8" w:rsidRPr="002720A8">
        <w:t>, which assesses receptive vocabulary</w:t>
      </w:r>
      <w:r w:rsidR="002720A8">
        <w:t>;</w:t>
      </w:r>
      <w:r w:rsidR="00174AB7">
        <w:t xml:space="preserve"> (3) t</w:t>
      </w:r>
      <w:r w:rsidR="00174AB7" w:rsidRPr="002720A8">
        <w:t>he Auditory Comprehension subscale of the Preschool Language Scale 5 (PLS-5; Zimmerman</w:t>
      </w:r>
      <w:r w:rsidR="00174AB7">
        <w:t xml:space="preserve"> et al.</w:t>
      </w:r>
      <w:r w:rsidR="00174AB7" w:rsidRPr="002720A8">
        <w:t xml:space="preserve"> 2011), which assesses language comprehension</w:t>
      </w:r>
      <w:r w:rsidR="00174AB7">
        <w:t>; and</w:t>
      </w:r>
      <w:r w:rsidR="002720A8" w:rsidRPr="002720A8">
        <w:t xml:space="preserve"> </w:t>
      </w:r>
      <w:r w:rsidR="002720A8">
        <w:t xml:space="preserve">(4) </w:t>
      </w:r>
      <w:r w:rsidR="002D609D">
        <w:t>t</w:t>
      </w:r>
      <w:r w:rsidR="002720A8" w:rsidRPr="002720A8">
        <w:t>he Receptive On</w:t>
      </w:r>
      <w:r w:rsidR="00DA4E05">
        <w:t>e-Word Picture Vocabulary Test (ROWPVT-4)</w:t>
      </w:r>
      <w:r w:rsidR="00DA4E05">
        <w:rPr>
          <w:rStyle w:val="FootnoteReference"/>
        </w:rPr>
        <w:footnoteReference w:id="2"/>
      </w:r>
      <w:r w:rsidR="00DA4E05">
        <w:t>, which assesses receptive vocabulary</w:t>
      </w:r>
      <w:r w:rsidR="002720A8" w:rsidRPr="002720A8">
        <w:t>.</w:t>
      </w:r>
      <w:r w:rsidR="00174AB7">
        <w:t xml:space="preserve"> The first two measures are currently part of the FACES battery and the latter two would be new additions. </w:t>
      </w:r>
    </w:p>
    <w:p w:rsidR="002D62CB" w:rsidRDefault="00F51EC8" w:rsidP="00D16205">
      <w:pPr>
        <w:pStyle w:val="NormalSS"/>
      </w:pPr>
      <w:r>
        <w:t xml:space="preserve">Parents of the children will be asked to complete the Survey of Well-Being of Young Children (SWYC). </w:t>
      </w:r>
      <w:r w:rsidR="002D62CB">
        <w:t>With limited information on the use of the</w:t>
      </w:r>
      <w:r w:rsidR="002720A8">
        <w:t xml:space="preserve"> SWYC </w:t>
      </w:r>
      <w:r w:rsidR="002D62CB">
        <w:t xml:space="preserve">measure with low-income, Spanish-speaking populations, we </w:t>
      </w:r>
      <w:r w:rsidR="002720A8">
        <w:t>will</w:t>
      </w:r>
      <w:r w:rsidR="002D62CB">
        <w:t xml:space="preserve"> </w:t>
      </w:r>
      <w:r w:rsidR="00174AF6">
        <w:t>pre-test</w:t>
      </w:r>
      <w:r w:rsidR="002D62CB">
        <w:t xml:space="preserve"> </w:t>
      </w:r>
      <w:r>
        <w:t xml:space="preserve">both </w:t>
      </w:r>
      <w:r w:rsidR="002D609D">
        <w:t>its</w:t>
      </w:r>
      <w:r w:rsidR="002D62CB">
        <w:t xml:space="preserve"> </w:t>
      </w:r>
      <w:r>
        <w:t xml:space="preserve">English and </w:t>
      </w:r>
      <w:r w:rsidR="002D62CB">
        <w:t>Spanish</w:t>
      </w:r>
      <w:r w:rsidR="002720A8">
        <w:t xml:space="preserve"> </w:t>
      </w:r>
      <w:r w:rsidR="002D62CB">
        <w:t>version</w:t>
      </w:r>
      <w:r>
        <w:t>s</w:t>
      </w:r>
      <w:r w:rsidR="002D62CB">
        <w:t xml:space="preserve"> with Head Start parents. The SWYC, which was developed by the Floating</w:t>
      </w:r>
      <w:r w:rsidR="002720A8">
        <w:t xml:space="preserve"> </w:t>
      </w:r>
      <w:r w:rsidR="002D62CB">
        <w:t>Hospital for Children at Tufts Medical Center, includes brief questionnaires to assess three domains</w:t>
      </w:r>
      <w:r w:rsidR="002720A8">
        <w:t xml:space="preserve"> </w:t>
      </w:r>
      <w:r w:rsidR="002D62CB">
        <w:t>of children’s functioning: (1) developmental, (2) social/emotional, and (3) family context. We will</w:t>
      </w:r>
      <w:r w:rsidR="002720A8">
        <w:t xml:space="preserve"> </w:t>
      </w:r>
      <w:r w:rsidR="00174AF6">
        <w:t>pre-test</w:t>
      </w:r>
      <w:r w:rsidR="002D62CB">
        <w:t xml:space="preserve"> the SWYC to assess its reliability and examine the feasibility of administering it via web</w:t>
      </w:r>
      <w:r w:rsidR="002720A8">
        <w:t xml:space="preserve"> </w:t>
      </w:r>
      <w:r w:rsidR="002D62CB">
        <w:t>and telephone to English- and Spanish-speaking Head Start parents.</w:t>
      </w:r>
    </w:p>
    <w:p w:rsidR="0072187A" w:rsidRPr="0072187A" w:rsidRDefault="006D00F9" w:rsidP="00D16205">
      <w:pPr>
        <w:pStyle w:val="Heading3"/>
      </w:pPr>
      <w:bookmarkStart w:id="30" w:name="_Toc370476365"/>
      <w:bookmarkStart w:id="31" w:name="_Toc371602354"/>
      <w:r>
        <w:t>2.</w:t>
      </w:r>
      <w:r>
        <w:tab/>
      </w:r>
      <w:r w:rsidR="0072187A" w:rsidRPr="0072187A">
        <w:t>R</w:t>
      </w:r>
      <w:r w:rsidR="0072187A" w:rsidRPr="008E618D">
        <w:t>esearch Questions</w:t>
      </w:r>
      <w:bookmarkEnd w:id="30"/>
      <w:bookmarkEnd w:id="31"/>
    </w:p>
    <w:p w:rsidR="00D16205" w:rsidRDefault="0072187A" w:rsidP="00D16205">
      <w:pPr>
        <w:pStyle w:val="NormalSS"/>
      </w:pPr>
      <w:r>
        <w:t xml:space="preserve">The </w:t>
      </w:r>
      <w:r w:rsidR="005652F2">
        <w:t xml:space="preserve">pilot </w:t>
      </w:r>
      <w:r>
        <w:t>study</w:t>
      </w:r>
      <w:r w:rsidR="008C5E12">
        <w:t xml:space="preserve"> features two components: (1) a</w:t>
      </w:r>
      <w:r>
        <w:t xml:space="preserve"> </w:t>
      </w:r>
      <w:r w:rsidR="005652F2">
        <w:t xml:space="preserve">child </w:t>
      </w:r>
      <w:r>
        <w:t>assessment</w:t>
      </w:r>
      <w:r w:rsidR="005652F2">
        <w:t xml:space="preserve"> </w:t>
      </w:r>
      <w:r>
        <w:t xml:space="preserve">component and (2) a </w:t>
      </w:r>
      <w:r w:rsidR="005652F2">
        <w:t xml:space="preserve">parent </w:t>
      </w:r>
      <w:r>
        <w:t xml:space="preserve">survey component. </w:t>
      </w:r>
    </w:p>
    <w:p w:rsidR="002E52F9" w:rsidRDefault="0072187A" w:rsidP="002E52F9">
      <w:pPr>
        <w:pStyle w:val="NormalSS"/>
        <w:numPr>
          <w:ilvl w:val="0"/>
          <w:numId w:val="20"/>
        </w:numPr>
      </w:pPr>
      <w:r>
        <w:t xml:space="preserve">The assessment component will involve </w:t>
      </w:r>
      <w:r w:rsidR="00174AF6">
        <w:t>pre-test</w:t>
      </w:r>
      <w:r>
        <w:t xml:space="preserve">ing a battery of language/vocabulary measures and </w:t>
      </w:r>
      <w:r w:rsidR="005652F2">
        <w:t>is</w:t>
      </w:r>
      <w:r>
        <w:t xml:space="preserve"> be</w:t>
      </w:r>
      <w:r w:rsidR="005652F2">
        <w:t>ing</w:t>
      </w:r>
      <w:r>
        <w:t xml:space="preserve"> designed to answer the following research questions:</w:t>
      </w:r>
    </w:p>
    <w:p w:rsidR="00CB7C79" w:rsidRDefault="0072187A">
      <w:pPr>
        <w:pStyle w:val="NormalSS"/>
        <w:numPr>
          <w:ilvl w:val="0"/>
          <w:numId w:val="21"/>
        </w:numPr>
        <w:ind w:left="1080" w:hanging="270"/>
      </w:pPr>
      <w:r>
        <w:t>Can a single conceptual</w:t>
      </w:r>
      <w:r w:rsidR="005652F2">
        <w:t>ly scored</w:t>
      </w:r>
      <w:r>
        <w:t xml:space="preserve"> measure of receptive vocabulary be used to assess </w:t>
      </w:r>
      <w:r w:rsidR="005652F2">
        <w:t xml:space="preserve">both </w:t>
      </w:r>
      <w:r>
        <w:t xml:space="preserve">English- and </w:t>
      </w:r>
      <w:r w:rsidR="005652F2">
        <w:t xml:space="preserve">Spanish-speaking </w:t>
      </w:r>
      <w:r>
        <w:t xml:space="preserve">children? </w:t>
      </w:r>
    </w:p>
    <w:p w:rsidR="002E52F9" w:rsidRDefault="0072187A" w:rsidP="005D6E26">
      <w:pPr>
        <w:pStyle w:val="NormalSS"/>
        <w:numPr>
          <w:ilvl w:val="0"/>
          <w:numId w:val="21"/>
        </w:numPr>
        <w:ind w:left="1080" w:hanging="270"/>
      </w:pPr>
      <w:r>
        <w:t>How do children’s receptive vocabulary scores derived from a conceptually scored measure compare to scores based on English-only and Spanish-only measures? How strongly are both of these sets of receptive vocabulary scores associated with children’s scores on other measures of expressive vocabulary and language development?</w:t>
      </w:r>
    </w:p>
    <w:p w:rsidR="002E52F9" w:rsidRDefault="0072187A" w:rsidP="005D6E26">
      <w:pPr>
        <w:pStyle w:val="NormalSS"/>
        <w:numPr>
          <w:ilvl w:val="0"/>
          <w:numId w:val="21"/>
        </w:numPr>
        <w:ind w:left="1080" w:hanging="270"/>
      </w:pPr>
      <w:r>
        <w:t xml:space="preserve">Can a conceptual score of children’s receptive vocabulary be derived from responses from English and Spanish vocabulary assessments that are independently administered, and will it be comparable to the conceptual score based on a publisher’s standard administration?  </w:t>
      </w:r>
    </w:p>
    <w:p w:rsidR="00D16205" w:rsidRDefault="0072187A" w:rsidP="005D6E26">
      <w:pPr>
        <w:pStyle w:val="NormalSS"/>
        <w:numPr>
          <w:ilvl w:val="0"/>
          <w:numId w:val="21"/>
        </w:numPr>
        <w:ind w:left="1080" w:hanging="270"/>
      </w:pPr>
      <w:r>
        <w:t>How much time is saved by using a conceptually scored measure versus two independent measures? A</w:t>
      </w:r>
      <w:r w:rsidR="00E622C2">
        <w:t>lso</w:t>
      </w:r>
      <w:r>
        <w:t xml:space="preserve">, how much time is added to the assessment battery </w:t>
      </w:r>
      <w:r w:rsidR="00E622C2">
        <w:t>by</w:t>
      </w:r>
      <w:r>
        <w:t xml:space="preserve"> the introduction of a broader language measure?</w:t>
      </w:r>
    </w:p>
    <w:p w:rsidR="0072187A" w:rsidRDefault="0072187A" w:rsidP="002E52F9">
      <w:pPr>
        <w:pStyle w:val="NormalSS"/>
        <w:numPr>
          <w:ilvl w:val="0"/>
          <w:numId w:val="20"/>
        </w:numPr>
      </w:pPr>
      <w:r>
        <w:t xml:space="preserve">The </w:t>
      </w:r>
      <w:r w:rsidR="005652F2">
        <w:t xml:space="preserve">parent </w:t>
      </w:r>
      <w:r>
        <w:t xml:space="preserve">survey component of the </w:t>
      </w:r>
      <w:r w:rsidR="00174AF6">
        <w:t>pre-test</w:t>
      </w:r>
      <w:r>
        <w:t xml:space="preserve"> will involve </w:t>
      </w:r>
      <w:r w:rsidR="0085115C">
        <w:t>pre</w:t>
      </w:r>
      <w:r w:rsidR="00174AF6">
        <w:t>-</w:t>
      </w:r>
      <w:r w:rsidR="0085115C">
        <w:t>test</w:t>
      </w:r>
      <w:r>
        <w:t xml:space="preserve">ing </w:t>
      </w:r>
      <w:r w:rsidR="00176075">
        <w:t>the SWYC via web and telephone to English- and Spanish-speaking Head Start parents</w:t>
      </w:r>
      <w:r>
        <w:t xml:space="preserve">. The research questions </w:t>
      </w:r>
      <w:r w:rsidR="001A6E54">
        <w:t>to</w:t>
      </w:r>
      <w:r w:rsidR="005652F2">
        <w:t xml:space="preserve"> be answered </w:t>
      </w:r>
      <w:r>
        <w:t>with th</w:t>
      </w:r>
      <w:r w:rsidR="005652F2">
        <w:t xml:space="preserve">is pilot study </w:t>
      </w:r>
      <w:r>
        <w:t>component include the following:</w:t>
      </w:r>
    </w:p>
    <w:p w:rsidR="00CB7C79" w:rsidRDefault="0072187A">
      <w:pPr>
        <w:pStyle w:val="NormalSS"/>
        <w:numPr>
          <w:ilvl w:val="0"/>
          <w:numId w:val="22"/>
        </w:numPr>
        <w:ind w:left="1080" w:hanging="270"/>
      </w:pPr>
      <w:r>
        <w:t xml:space="preserve">Is the parent survey a reliable measure that captures variability in children’s developmental progress, behavioral health, and family context? </w:t>
      </w:r>
    </w:p>
    <w:p w:rsidR="00CB7C79" w:rsidRDefault="002E52F9">
      <w:pPr>
        <w:pStyle w:val="NormalSS"/>
        <w:ind w:left="1080" w:hanging="270"/>
      </w:pPr>
      <w:r>
        <w:t>b.</w:t>
      </w:r>
      <w:r>
        <w:tab/>
      </w:r>
      <w:r w:rsidR="005652F2">
        <w:t xml:space="preserve">Does it capture variability in the developmental progress, behavioral health, and family context of English-speaking and Spanish-speaking </w:t>
      </w:r>
      <w:r w:rsidR="000B2F0F">
        <w:t>children alike?</w:t>
      </w:r>
    </w:p>
    <w:p w:rsidR="00CB7C79" w:rsidRDefault="002E52F9">
      <w:pPr>
        <w:pStyle w:val="NormalSS"/>
        <w:ind w:left="1080" w:hanging="270"/>
      </w:pPr>
      <w:r>
        <w:t>c.</w:t>
      </w:r>
      <w:r>
        <w:tab/>
      </w:r>
      <w:r w:rsidR="0072187A">
        <w:t>Is it feasible to use the parent survey in future cohorts of FACES children? Which of two possible modes (i.e.</w:t>
      </w:r>
      <w:r w:rsidR="001A6E54">
        <w:t>,</w:t>
      </w:r>
      <w:r w:rsidR="0072187A">
        <w:t xml:space="preserve"> telephone interview and web-based administration) is more suitable for use on FACES?  </w:t>
      </w:r>
    </w:p>
    <w:p w:rsidR="0072187A" w:rsidRPr="0072187A" w:rsidRDefault="006D00F9" w:rsidP="0072187A">
      <w:pPr>
        <w:pStyle w:val="Heading3"/>
      </w:pPr>
      <w:bookmarkStart w:id="32" w:name="_Toc370476366"/>
      <w:bookmarkStart w:id="33" w:name="_Toc371602355"/>
      <w:r>
        <w:t>3.</w:t>
      </w:r>
      <w:r>
        <w:tab/>
      </w:r>
      <w:r w:rsidR="0072187A" w:rsidRPr="00E53D72">
        <w:t>Study Design</w:t>
      </w:r>
      <w:bookmarkEnd w:id="32"/>
      <w:bookmarkEnd w:id="33"/>
    </w:p>
    <w:p w:rsidR="00D16205" w:rsidRDefault="00174AB7" w:rsidP="00D16205">
      <w:pPr>
        <w:pStyle w:val="NormalSS"/>
      </w:pPr>
      <w:r>
        <w:t>We will invite 48</w:t>
      </w:r>
      <w:r w:rsidR="0072187A">
        <w:t xml:space="preserve">0 children and their parents in 16 Head Start centers (eight programs) to participate in this </w:t>
      </w:r>
      <w:r w:rsidR="00174AF6">
        <w:t>pre-test</w:t>
      </w:r>
      <w:r>
        <w:t>, with the expectation that 450 will participate.</w:t>
      </w:r>
      <w:r w:rsidR="0072187A">
        <w:t xml:space="preserve"> We will select programs and centers to ensure a good distribution of English</w:t>
      </w:r>
      <w:r w:rsidR="00A27549">
        <w:t>-</w:t>
      </w:r>
      <w:r w:rsidR="0072187A">
        <w:t xml:space="preserve"> and Spanish-speaking children</w:t>
      </w:r>
      <w:r w:rsidR="00A27549">
        <w:t>,</w:t>
      </w:r>
      <w:r w:rsidR="0072187A">
        <w:t xml:space="preserve"> and sample 30 children fr</w:t>
      </w:r>
      <w:r w:rsidR="008A2A7F">
        <w:t>om each center</w:t>
      </w:r>
      <w:r w:rsidR="00B75C45">
        <w:t>, ensuring</w:t>
      </w:r>
      <w:r w:rsidR="008A2A7F">
        <w:t xml:space="preserve"> </w:t>
      </w:r>
      <w:r w:rsidR="00DA4E05">
        <w:t>that 3</w:t>
      </w:r>
      <w:r w:rsidR="008A2A7F">
        <w:t>-</w:t>
      </w:r>
      <w:r w:rsidR="0072187A">
        <w:t xml:space="preserve">, 4-, and 5-year-olds are equally represented and that we have a total of 100 Spanish-speaking children and 50 English-speaking children within each age group. Children will complete a battery of vocabulary and language measures that will last approximately </w:t>
      </w:r>
      <w:r w:rsidR="008A2A7F">
        <w:t>one</w:t>
      </w:r>
      <w:r w:rsidR="0072187A">
        <w:t xml:space="preserve"> hour. </w:t>
      </w:r>
      <w:r w:rsidR="008C5E12">
        <w:t xml:space="preserve">All 450 children will be administered the </w:t>
      </w:r>
      <w:r w:rsidR="00F10A75" w:rsidRPr="00174AF6">
        <w:rPr>
          <w:i/>
        </w:rPr>
        <w:t>pre</w:t>
      </w:r>
      <w:r w:rsidR="008C5E12">
        <w:t>LAS</w:t>
      </w:r>
      <w:r w:rsidR="005E138C">
        <w:t xml:space="preserve"> 2000</w:t>
      </w:r>
      <w:r w:rsidR="008C5E12">
        <w:t xml:space="preserve"> Art Show in English, the PPVT-4, and the Auditory Comprehension subscale of the PLS-5 (</w:t>
      </w:r>
      <w:r w:rsidR="008C5E12" w:rsidRPr="0045423B">
        <w:t xml:space="preserve">Table </w:t>
      </w:r>
      <w:r w:rsidR="00107F5A" w:rsidRPr="0045423B">
        <w:t>A.1</w:t>
      </w:r>
      <w:r w:rsidR="008C5E12">
        <w:t xml:space="preserve">). We will divide the </w:t>
      </w:r>
      <w:r w:rsidR="00174AF6">
        <w:t>pre-test</w:t>
      </w:r>
      <w:r w:rsidR="008C5E12">
        <w:t xml:space="preserve"> sample into two groups for</w:t>
      </w:r>
      <w:r w:rsidR="00107F5A">
        <w:t xml:space="preserve"> the</w:t>
      </w:r>
      <w:r w:rsidR="008C5E12">
        <w:t xml:space="preserve"> purposes</w:t>
      </w:r>
      <w:r w:rsidR="00546277">
        <w:t xml:space="preserve"> of administering the ROWPVT</w:t>
      </w:r>
      <w:r w:rsidR="003A7D33">
        <w:t>-4</w:t>
      </w:r>
      <w:r w:rsidR="00A93EF7">
        <w:t>/ROWPVT- 4 SBE</w:t>
      </w:r>
      <w:r w:rsidR="008C5E12">
        <w:t xml:space="preserve">. </w:t>
      </w:r>
      <w:r w:rsidR="00A93EF7">
        <w:t>The first group (n=225) will take the ROWPVT-4/ROWPVT-4 SBE using the publisher’s standard approach. Children from English-speaking homes will be administered the ROWPVT-4. Children from Spanish-speaking homes will be administered the ROWPVT-4 SBE. For this group of children, test administration commences in the language in which children indicate they are most comfortable but can be switched in the course of administration, if necessary. Non-DLL children will be included in this group and receive the test in English.)</w:t>
      </w:r>
      <w:r w:rsidR="00174AF6">
        <w:t xml:space="preserve"> </w:t>
      </w:r>
      <w:r w:rsidR="008C5E12">
        <w:t xml:space="preserve">The </w:t>
      </w:r>
      <w:r w:rsidR="00A93EF7">
        <w:t xml:space="preserve">second </w:t>
      </w:r>
      <w:r w:rsidR="008C5E12">
        <w:t>group (n=225) wil</w:t>
      </w:r>
      <w:r w:rsidR="003A7D33">
        <w:t>l complete the ROWPVT-</w:t>
      </w:r>
      <w:r w:rsidR="00546277">
        <w:t>4</w:t>
      </w:r>
      <w:r w:rsidR="008C5E12">
        <w:t xml:space="preserve"> </w:t>
      </w:r>
      <w:r w:rsidR="00A93EF7">
        <w:t xml:space="preserve">SBE items </w:t>
      </w:r>
      <w:r w:rsidR="008C5E12">
        <w:t xml:space="preserve">in Spanish </w:t>
      </w:r>
      <w:r w:rsidR="00A93EF7">
        <w:t>or in</w:t>
      </w:r>
      <w:r w:rsidR="00546277">
        <w:t xml:space="preserve"> </w:t>
      </w:r>
      <w:r w:rsidR="003A7D33">
        <w:t>English</w:t>
      </w:r>
      <w:r w:rsidR="008C5E12">
        <w:t xml:space="preserve"> (the two sets of items will be administered independently). </w:t>
      </w:r>
    </w:p>
    <w:p w:rsidR="00E45B4D" w:rsidRDefault="00417D65" w:rsidP="00D16205">
      <w:pPr>
        <w:pStyle w:val="MarkforTableHeading"/>
      </w:pPr>
      <w:bookmarkStart w:id="34" w:name="_Toc371602386"/>
      <w:r w:rsidRPr="0045423B">
        <w:t>Table A.1.</w:t>
      </w:r>
      <w:r w:rsidRPr="00417D65">
        <w:t xml:space="preserve"> FACES DLL Study </w:t>
      </w:r>
      <w:r w:rsidR="00174AF6">
        <w:t>Pre-test</w:t>
      </w:r>
      <w:r w:rsidRPr="00417D65">
        <w:t xml:space="preserve"> Design</w:t>
      </w:r>
      <w:bookmarkEnd w:id="34"/>
    </w:p>
    <w:tbl>
      <w:tblPr>
        <w:tblStyle w:val="TableGrid"/>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4"/>
        <w:gridCol w:w="1278"/>
        <w:gridCol w:w="1279"/>
        <w:gridCol w:w="1657"/>
        <w:gridCol w:w="1279"/>
        <w:gridCol w:w="1395"/>
        <w:gridCol w:w="1376"/>
        <w:gridCol w:w="19"/>
      </w:tblGrid>
      <w:tr w:rsidR="000C454B" w:rsidTr="00B055ED">
        <w:trPr>
          <w:gridAfter w:val="1"/>
          <w:wAfter w:w="19" w:type="dxa"/>
        </w:trPr>
        <w:tc>
          <w:tcPr>
            <w:tcW w:w="1294" w:type="dxa"/>
            <w:tcBorders>
              <w:top w:val="single" w:sz="12" w:space="0" w:color="1F497D" w:themeColor="text2"/>
              <w:bottom w:val="single" w:sz="4" w:space="0" w:color="auto"/>
              <w:right w:val="single" w:sz="4" w:space="0" w:color="auto"/>
            </w:tcBorders>
            <w:vAlign w:val="bottom"/>
          </w:tcPr>
          <w:p w:rsidR="008C5E12" w:rsidRPr="003D0650" w:rsidRDefault="008C5E12" w:rsidP="00D16205">
            <w:pPr>
              <w:pStyle w:val="TableHeaderLeft"/>
              <w:ind w:firstLine="0"/>
              <w:jc w:val="left"/>
            </w:pPr>
            <w:r>
              <w:t>Sample</w:t>
            </w:r>
          </w:p>
        </w:tc>
        <w:tc>
          <w:tcPr>
            <w:tcW w:w="1278" w:type="dxa"/>
            <w:tcBorders>
              <w:top w:val="single" w:sz="12" w:space="0" w:color="1F497D" w:themeColor="text2"/>
              <w:left w:val="single" w:sz="4" w:space="0" w:color="auto"/>
              <w:bottom w:val="single" w:sz="4" w:space="0" w:color="auto"/>
              <w:right w:val="single" w:sz="4" w:space="0" w:color="auto"/>
            </w:tcBorders>
            <w:vAlign w:val="bottom"/>
          </w:tcPr>
          <w:p w:rsidR="008C5E12" w:rsidRPr="00D50DFC" w:rsidRDefault="008C5E12" w:rsidP="00D16205">
            <w:pPr>
              <w:pStyle w:val="TableHeaderCenter"/>
              <w:ind w:firstLine="0"/>
            </w:pPr>
            <w:r>
              <w:t>All</w:t>
            </w:r>
            <w:r w:rsidR="002E52F9">
              <w:br/>
            </w:r>
            <w:r>
              <w:t>Children</w:t>
            </w:r>
            <w:r w:rsidR="00D16205">
              <w:br/>
            </w:r>
            <w:r>
              <w:t>N=450</w:t>
            </w:r>
          </w:p>
        </w:tc>
        <w:tc>
          <w:tcPr>
            <w:tcW w:w="1279" w:type="dxa"/>
            <w:tcBorders>
              <w:top w:val="single" w:sz="12" w:space="0" w:color="1F497D" w:themeColor="text2"/>
              <w:left w:val="single" w:sz="4" w:space="0" w:color="auto"/>
              <w:bottom w:val="single" w:sz="4" w:space="0" w:color="auto"/>
              <w:right w:val="single" w:sz="4" w:space="0" w:color="auto"/>
            </w:tcBorders>
            <w:vAlign w:val="bottom"/>
          </w:tcPr>
          <w:p w:rsidR="008C5E12" w:rsidRPr="00D50DFC" w:rsidRDefault="008C5E12" w:rsidP="00D16205">
            <w:pPr>
              <w:pStyle w:val="TableHeaderCenter"/>
              <w:ind w:firstLine="0"/>
            </w:pPr>
            <w:r>
              <w:t>All</w:t>
            </w:r>
            <w:r w:rsidR="002E52F9">
              <w:br/>
            </w:r>
            <w:r>
              <w:t>Children</w:t>
            </w:r>
            <w:r w:rsidR="00D16205">
              <w:br/>
            </w:r>
            <w:r>
              <w:t>N=450</w:t>
            </w:r>
          </w:p>
        </w:tc>
        <w:tc>
          <w:tcPr>
            <w:tcW w:w="1657" w:type="dxa"/>
            <w:tcBorders>
              <w:top w:val="single" w:sz="12" w:space="0" w:color="1F497D" w:themeColor="text2"/>
              <w:left w:val="single" w:sz="4" w:space="0" w:color="auto"/>
              <w:bottom w:val="single" w:sz="4" w:space="0" w:color="auto"/>
              <w:right w:val="single" w:sz="4" w:space="0" w:color="auto"/>
            </w:tcBorders>
            <w:vAlign w:val="bottom"/>
          </w:tcPr>
          <w:p w:rsidR="008C5E12" w:rsidRPr="003D0650" w:rsidRDefault="008C5E12" w:rsidP="00D16205">
            <w:pPr>
              <w:pStyle w:val="TableHeaderCenter"/>
              <w:ind w:firstLine="0"/>
            </w:pPr>
            <w:r>
              <w:t>All</w:t>
            </w:r>
            <w:r w:rsidR="002E52F9">
              <w:br/>
            </w:r>
            <w:r>
              <w:t>Children</w:t>
            </w:r>
            <w:r w:rsidR="00D16205">
              <w:br/>
            </w:r>
            <w:r>
              <w:t>N=450</w:t>
            </w:r>
          </w:p>
        </w:tc>
        <w:tc>
          <w:tcPr>
            <w:tcW w:w="1279" w:type="dxa"/>
            <w:tcBorders>
              <w:top w:val="single" w:sz="12" w:space="0" w:color="1F497D" w:themeColor="text2"/>
              <w:left w:val="single" w:sz="4" w:space="0" w:color="auto"/>
              <w:bottom w:val="single" w:sz="4" w:space="0" w:color="auto"/>
              <w:right w:val="single" w:sz="4" w:space="0" w:color="auto"/>
            </w:tcBorders>
            <w:vAlign w:val="bottom"/>
          </w:tcPr>
          <w:p w:rsidR="008C5E12" w:rsidRDefault="008C5E12" w:rsidP="00D16205">
            <w:pPr>
              <w:pStyle w:val="TableHeaderCenter"/>
              <w:ind w:firstLine="0"/>
            </w:pPr>
            <w:r>
              <w:t>One-Half of Children</w:t>
            </w:r>
            <w:r w:rsidR="00D16205">
              <w:br/>
            </w:r>
            <w:r>
              <w:t>N=225</w:t>
            </w:r>
          </w:p>
        </w:tc>
        <w:tc>
          <w:tcPr>
            <w:tcW w:w="2771" w:type="dxa"/>
            <w:gridSpan w:val="2"/>
            <w:tcBorders>
              <w:top w:val="single" w:sz="12" w:space="0" w:color="1F497D" w:themeColor="text2"/>
              <w:left w:val="single" w:sz="4" w:space="0" w:color="auto"/>
              <w:bottom w:val="single" w:sz="4" w:space="0" w:color="auto"/>
            </w:tcBorders>
            <w:vAlign w:val="bottom"/>
          </w:tcPr>
          <w:p w:rsidR="008C5E12" w:rsidRPr="003D0650" w:rsidRDefault="008C5E12" w:rsidP="00D16205">
            <w:pPr>
              <w:pStyle w:val="TableHeaderCenter"/>
              <w:ind w:firstLine="0"/>
            </w:pPr>
            <w:r>
              <w:t>One-Half</w:t>
            </w:r>
            <w:r w:rsidR="002E52F9">
              <w:br/>
            </w:r>
            <w:r>
              <w:t>of Children</w:t>
            </w:r>
            <w:r w:rsidR="00D16205">
              <w:br/>
            </w:r>
            <w:r>
              <w:t>N=225</w:t>
            </w:r>
          </w:p>
        </w:tc>
      </w:tr>
      <w:tr w:rsidR="000C454B" w:rsidRPr="000C454B" w:rsidTr="00B055ED">
        <w:tc>
          <w:tcPr>
            <w:tcW w:w="1294" w:type="dxa"/>
            <w:tcBorders>
              <w:bottom w:val="single" w:sz="4" w:space="0" w:color="1F497D" w:themeColor="text2"/>
              <w:right w:val="single" w:sz="4" w:space="0" w:color="000000" w:themeColor="text1"/>
            </w:tcBorders>
          </w:tcPr>
          <w:p w:rsidR="008C5E12" w:rsidRPr="000C454B" w:rsidRDefault="008C5E12" w:rsidP="002E52F9">
            <w:pPr>
              <w:pStyle w:val="TableText"/>
              <w:spacing w:before="120" w:after="60"/>
              <w:ind w:firstLine="0"/>
              <w:rPr>
                <w:sz w:val="17"/>
                <w:szCs w:val="17"/>
              </w:rPr>
            </w:pPr>
            <w:r w:rsidRPr="000C454B">
              <w:rPr>
                <w:sz w:val="17"/>
                <w:szCs w:val="17"/>
              </w:rPr>
              <w:t>Measure</w:t>
            </w:r>
          </w:p>
        </w:tc>
        <w:tc>
          <w:tcPr>
            <w:tcW w:w="1278" w:type="dxa"/>
            <w:tcBorders>
              <w:left w:val="single" w:sz="4" w:space="0" w:color="000000" w:themeColor="text1"/>
              <w:bottom w:val="single" w:sz="4" w:space="0" w:color="1F497D" w:themeColor="text2"/>
              <w:right w:val="single" w:sz="4" w:space="0" w:color="000000" w:themeColor="text1"/>
            </w:tcBorders>
          </w:tcPr>
          <w:p w:rsidR="008C5E12" w:rsidRPr="000C454B" w:rsidRDefault="008C5E12" w:rsidP="002E52F9">
            <w:pPr>
              <w:pStyle w:val="TableText"/>
              <w:spacing w:before="120" w:after="60"/>
              <w:ind w:firstLine="0"/>
              <w:jc w:val="left"/>
              <w:rPr>
                <w:sz w:val="17"/>
                <w:szCs w:val="17"/>
              </w:rPr>
            </w:pPr>
            <w:r w:rsidRPr="000C454B">
              <w:rPr>
                <w:i/>
                <w:sz w:val="17"/>
                <w:szCs w:val="17"/>
              </w:rPr>
              <w:t>pre</w:t>
            </w:r>
            <w:r w:rsidRPr="000C454B">
              <w:rPr>
                <w:sz w:val="17"/>
                <w:szCs w:val="17"/>
              </w:rPr>
              <w:t>LAS</w:t>
            </w:r>
            <w:r w:rsidR="005E138C" w:rsidRPr="000C454B">
              <w:rPr>
                <w:sz w:val="17"/>
                <w:szCs w:val="17"/>
              </w:rPr>
              <w:t xml:space="preserve"> 2000</w:t>
            </w:r>
            <w:r w:rsidRPr="000C454B">
              <w:rPr>
                <w:sz w:val="17"/>
                <w:szCs w:val="17"/>
              </w:rPr>
              <w:t xml:space="preserve"> Art Show (English)</w:t>
            </w:r>
          </w:p>
        </w:tc>
        <w:tc>
          <w:tcPr>
            <w:tcW w:w="1279" w:type="dxa"/>
            <w:tcBorders>
              <w:left w:val="single" w:sz="4" w:space="0" w:color="000000" w:themeColor="text1"/>
              <w:bottom w:val="single" w:sz="4" w:space="0" w:color="1F497D" w:themeColor="text2"/>
              <w:right w:val="single" w:sz="4" w:space="0" w:color="000000" w:themeColor="text1"/>
            </w:tcBorders>
          </w:tcPr>
          <w:p w:rsidR="008C5E12" w:rsidRPr="000C454B" w:rsidRDefault="008C5E12" w:rsidP="002E52F9">
            <w:pPr>
              <w:pStyle w:val="TableText"/>
              <w:spacing w:before="120" w:after="60"/>
              <w:ind w:firstLine="0"/>
              <w:jc w:val="center"/>
              <w:rPr>
                <w:sz w:val="17"/>
                <w:szCs w:val="17"/>
              </w:rPr>
            </w:pPr>
            <w:r w:rsidRPr="000C454B">
              <w:rPr>
                <w:sz w:val="17"/>
                <w:szCs w:val="17"/>
              </w:rPr>
              <w:t>PPVT-4</w:t>
            </w:r>
          </w:p>
        </w:tc>
        <w:tc>
          <w:tcPr>
            <w:tcW w:w="1657" w:type="dxa"/>
            <w:tcBorders>
              <w:left w:val="single" w:sz="4" w:space="0" w:color="000000" w:themeColor="text1"/>
              <w:bottom w:val="single" w:sz="4" w:space="0" w:color="1F497D" w:themeColor="text2"/>
              <w:right w:val="single" w:sz="4" w:space="0" w:color="000000" w:themeColor="text1"/>
            </w:tcBorders>
          </w:tcPr>
          <w:p w:rsidR="008C5E12" w:rsidRPr="000C454B" w:rsidRDefault="008C5E12" w:rsidP="000C454B">
            <w:pPr>
              <w:pStyle w:val="TableText"/>
              <w:spacing w:before="120" w:after="60"/>
              <w:ind w:firstLine="0"/>
              <w:jc w:val="left"/>
              <w:rPr>
                <w:sz w:val="17"/>
                <w:szCs w:val="17"/>
              </w:rPr>
            </w:pPr>
            <w:r w:rsidRPr="000C454B">
              <w:rPr>
                <w:sz w:val="17"/>
                <w:szCs w:val="17"/>
              </w:rPr>
              <w:t>PLS-5 Auditory Comprehension</w:t>
            </w:r>
          </w:p>
        </w:tc>
        <w:tc>
          <w:tcPr>
            <w:tcW w:w="1279" w:type="dxa"/>
            <w:tcBorders>
              <w:left w:val="single" w:sz="4" w:space="0" w:color="000000" w:themeColor="text1"/>
              <w:bottom w:val="single" w:sz="4" w:space="0" w:color="1F497D" w:themeColor="text2"/>
              <w:right w:val="single" w:sz="4" w:space="0" w:color="000000" w:themeColor="text1"/>
            </w:tcBorders>
          </w:tcPr>
          <w:p w:rsidR="008C5E12" w:rsidRPr="000C454B" w:rsidRDefault="00A302E5" w:rsidP="000C454B">
            <w:pPr>
              <w:pStyle w:val="TableText"/>
              <w:spacing w:before="120" w:after="60"/>
              <w:ind w:firstLine="0"/>
              <w:jc w:val="left"/>
              <w:rPr>
                <w:sz w:val="17"/>
                <w:szCs w:val="17"/>
              </w:rPr>
            </w:pPr>
            <w:r w:rsidRPr="000C454B">
              <w:rPr>
                <w:sz w:val="17"/>
                <w:szCs w:val="17"/>
              </w:rPr>
              <w:t>ROWPVT-4</w:t>
            </w:r>
            <w:r w:rsidRPr="000C454B">
              <w:rPr>
                <w:sz w:val="17"/>
                <w:szCs w:val="17"/>
                <w:vertAlign w:val="superscript"/>
              </w:rPr>
              <w:t>*</w:t>
            </w:r>
            <w:r w:rsidRPr="000C454B">
              <w:rPr>
                <w:sz w:val="17"/>
                <w:szCs w:val="17"/>
              </w:rPr>
              <w:t>/</w:t>
            </w:r>
            <w:r w:rsidR="003A7D33" w:rsidRPr="000C454B">
              <w:rPr>
                <w:sz w:val="17"/>
                <w:szCs w:val="17"/>
              </w:rPr>
              <w:t>ROWPVT-</w:t>
            </w:r>
            <w:r w:rsidR="00546277" w:rsidRPr="000C454B">
              <w:rPr>
                <w:sz w:val="17"/>
                <w:szCs w:val="17"/>
              </w:rPr>
              <w:t>4</w:t>
            </w:r>
            <w:r w:rsidR="003A7D33" w:rsidRPr="000C454B">
              <w:rPr>
                <w:sz w:val="17"/>
                <w:szCs w:val="17"/>
              </w:rPr>
              <w:t xml:space="preserve"> SBE</w:t>
            </w:r>
            <w:r w:rsidR="002E52F9" w:rsidRPr="000C454B">
              <w:rPr>
                <w:sz w:val="17"/>
                <w:szCs w:val="17"/>
              </w:rPr>
              <w:t xml:space="preserve"> </w:t>
            </w:r>
            <w:r w:rsidR="008C5E12" w:rsidRPr="000C454B">
              <w:rPr>
                <w:sz w:val="17"/>
                <w:szCs w:val="17"/>
              </w:rPr>
              <w:t>(Conceptually Scored)</w:t>
            </w:r>
          </w:p>
        </w:tc>
        <w:tc>
          <w:tcPr>
            <w:tcW w:w="1395" w:type="dxa"/>
            <w:tcBorders>
              <w:left w:val="single" w:sz="4" w:space="0" w:color="000000" w:themeColor="text1"/>
              <w:bottom w:val="single" w:sz="4" w:space="0" w:color="1F497D" w:themeColor="text2"/>
              <w:right w:val="single" w:sz="4" w:space="0" w:color="000000" w:themeColor="text1"/>
            </w:tcBorders>
          </w:tcPr>
          <w:p w:rsidR="008C5E12" w:rsidRPr="000C454B" w:rsidRDefault="00546277" w:rsidP="002E52F9">
            <w:pPr>
              <w:pStyle w:val="TableText"/>
              <w:spacing w:before="120" w:after="60"/>
              <w:ind w:firstLine="0"/>
              <w:rPr>
                <w:sz w:val="17"/>
                <w:szCs w:val="17"/>
              </w:rPr>
            </w:pPr>
            <w:r w:rsidRPr="000C454B">
              <w:rPr>
                <w:sz w:val="17"/>
                <w:szCs w:val="17"/>
              </w:rPr>
              <w:t>ROWPVT-4</w:t>
            </w:r>
            <w:r w:rsidR="00A302E5" w:rsidRPr="000C454B">
              <w:rPr>
                <w:sz w:val="17"/>
                <w:szCs w:val="17"/>
              </w:rPr>
              <w:t xml:space="preserve"> SBE</w:t>
            </w:r>
            <w:r w:rsidR="000C454B">
              <w:rPr>
                <w:sz w:val="17"/>
                <w:szCs w:val="17"/>
              </w:rPr>
              <w:t xml:space="preserve"> </w:t>
            </w:r>
            <w:r w:rsidR="008C5E12" w:rsidRPr="000C454B">
              <w:rPr>
                <w:sz w:val="17"/>
                <w:szCs w:val="17"/>
              </w:rPr>
              <w:t>(English</w:t>
            </w:r>
            <w:r w:rsidR="00A302E5" w:rsidRPr="000C454B">
              <w:rPr>
                <w:sz w:val="17"/>
                <w:szCs w:val="17"/>
                <w:vertAlign w:val="superscript"/>
              </w:rPr>
              <w:t>*</w:t>
            </w:r>
            <w:r w:rsidR="008C5E12" w:rsidRPr="000C454B">
              <w:rPr>
                <w:sz w:val="17"/>
                <w:szCs w:val="17"/>
                <w:vertAlign w:val="superscript"/>
              </w:rPr>
              <w:t>*</w:t>
            </w:r>
            <w:r w:rsidR="008C5E12" w:rsidRPr="000C454B">
              <w:rPr>
                <w:sz w:val="17"/>
                <w:szCs w:val="17"/>
              </w:rPr>
              <w:t>)</w:t>
            </w:r>
          </w:p>
        </w:tc>
        <w:tc>
          <w:tcPr>
            <w:tcW w:w="1395" w:type="dxa"/>
            <w:gridSpan w:val="2"/>
            <w:tcBorders>
              <w:left w:val="single" w:sz="4" w:space="0" w:color="000000" w:themeColor="text1"/>
              <w:bottom w:val="single" w:sz="4" w:space="0" w:color="1F497D" w:themeColor="text2"/>
            </w:tcBorders>
          </w:tcPr>
          <w:p w:rsidR="008C5E12" w:rsidRPr="000C454B" w:rsidRDefault="008C5E12" w:rsidP="002E52F9">
            <w:pPr>
              <w:pStyle w:val="TableText"/>
              <w:spacing w:before="120" w:after="60"/>
              <w:ind w:firstLine="0"/>
              <w:rPr>
                <w:sz w:val="17"/>
                <w:szCs w:val="17"/>
              </w:rPr>
            </w:pPr>
            <w:r w:rsidRPr="000C454B">
              <w:rPr>
                <w:sz w:val="17"/>
                <w:szCs w:val="17"/>
              </w:rPr>
              <w:t>ROWPVT-SBE</w:t>
            </w:r>
            <w:r w:rsidR="002E52F9" w:rsidRPr="000C454B">
              <w:rPr>
                <w:sz w:val="17"/>
                <w:szCs w:val="17"/>
              </w:rPr>
              <w:t xml:space="preserve"> </w:t>
            </w:r>
            <w:r w:rsidRPr="000C454B">
              <w:rPr>
                <w:sz w:val="17"/>
                <w:szCs w:val="17"/>
              </w:rPr>
              <w:t>(Spanish)</w:t>
            </w:r>
          </w:p>
        </w:tc>
      </w:tr>
    </w:tbl>
    <w:p w:rsidR="00D16205" w:rsidRDefault="00D16205" w:rsidP="000C454B">
      <w:pPr>
        <w:pStyle w:val="TableFootnoteCaption"/>
        <w:spacing w:after="0"/>
        <w:ind w:firstLine="0"/>
      </w:pPr>
    </w:p>
    <w:p w:rsidR="008C5E12" w:rsidRDefault="008C5E12" w:rsidP="00D16205">
      <w:pPr>
        <w:pStyle w:val="TableFootnoteCaption"/>
        <w:ind w:firstLine="0"/>
      </w:pPr>
      <w:r>
        <w:t xml:space="preserve">*English-speaking children would be administered the </w:t>
      </w:r>
      <w:r w:rsidR="00A302E5">
        <w:t>ROWPVT-4 and Spanish-speaking children the ROWPVT-4 SBE</w:t>
      </w:r>
      <w:r>
        <w:t>.</w:t>
      </w:r>
    </w:p>
    <w:p w:rsidR="00D16205" w:rsidRDefault="00A302E5" w:rsidP="000C454B">
      <w:pPr>
        <w:pStyle w:val="TableFootnoteCaption"/>
        <w:spacing w:after="240"/>
        <w:ind w:firstLine="0"/>
      </w:pPr>
      <w:r>
        <w:t>**English-speaking children would be administered the ROWPVT-4 SBE items in English.</w:t>
      </w:r>
    </w:p>
    <w:p w:rsidR="00D16205" w:rsidRDefault="008A2A7F" w:rsidP="00D16205">
      <w:pPr>
        <w:pStyle w:val="NormalSS"/>
      </w:pPr>
      <w:r>
        <w:t>P</w:t>
      </w:r>
      <w:r w:rsidR="0072187A">
        <w:t>arents of children wh</w:t>
      </w:r>
      <w:r w:rsidR="00256EED">
        <w:t xml:space="preserve">o participate in the vocabulary and </w:t>
      </w:r>
      <w:r w:rsidR="0072187A">
        <w:t xml:space="preserve">language assessment </w:t>
      </w:r>
      <w:r>
        <w:t>will be asked to</w:t>
      </w:r>
      <w:r w:rsidR="0072187A">
        <w:t xml:space="preserve"> complete the </w:t>
      </w:r>
      <w:r w:rsidR="000B2F0F">
        <w:t>SWYC</w:t>
      </w:r>
      <w:r w:rsidR="0072187A">
        <w:t xml:space="preserve">. We will randomly assign parents of half of the Spanish-speaking and half of the English-speaking children to complete the survey via </w:t>
      </w:r>
      <w:r w:rsidR="00B05D36">
        <w:t xml:space="preserve">the </w:t>
      </w:r>
      <w:r w:rsidR="0072187A">
        <w:t xml:space="preserve">web and the other half via Computer-Assisted Telephone Interview (CATI). We will conduct 20 cognitive interviews with parents who complete the survey via </w:t>
      </w:r>
      <w:r w:rsidR="00B05D36">
        <w:t xml:space="preserve">the </w:t>
      </w:r>
      <w:r w:rsidR="0072187A">
        <w:t xml:space="preserve">web and 20 who complete it via CATI. We will conduct approximately half of the cognitive interviews with Spanish-speaking parents. </w:t>
      </w:r>
    </w:p>
    <w:p w:rsidR="00684885" w:rsidRPr="004E3488" w:rsidRDefault="006D00F9" w:rsidP="004E3488">
      <w:pPr>
        <w:pStyle w:val="Heading3"/>
      </w:pPr>
      <w:bookmarkStart w:id="35" w:name="_Toc370476367"/>
      <w:bookmarkStart w:id="36" w:name="_Toc371602356"/>
      <w:r>
        <w:t>4.</w:t>
      </w:r>
      <w:r>
        <w:tab/>
      </w:r>
      <w:r w:rsidR="00684885" w:rsidRPr="004E3488">
        <w:t>Universe of Data Collection Efforts</w:t>
      </w:r>
      <w:bookmarkEnd w:id="35"/>
      <w:bookmarkEnd w:id="36"/>
    </w:p>
    <w:p w:rsidR="00D16205" w:rsidRDefault="000B2F0F" w:rsidP="00D16205">
      <w:pPr>
        <w:pStyle w:val="NormalSS"/>
      </w:pPr>
      <w:r>
        <w:t xml:space="preserve">The </w:t>
      </w:r>
      <w:r w:rsidR="00297AB4">
        <w:t xml:space="preserve">FACES </w:t>
      </w:r>
      <w:r w:rsidR="00684885">
        <w:t>Pilot</w:t>
      </w:r>
      <w:r w:rsidR="00684885" w:rsidRPr="00937EAE">
        <w:t xml:space="preserve"> </w:t>
      </w:r>
      <w:r w:rsidR="00684885">
        <w:t xml:space="preserve">Study </w:t>
      </w:r>
      <w:r w:rsidR="00684885" w:rsidRPr="00937EAE">
        <w:t>include</w:t>
      </w:r>
      <w:r w:rsidR="00684885">
        <w:t>s</w:t>
      </w:r>
      <w:r w:rsidR="00684885" w:rsidRPr="00937EAE">
        <w:t xml:space="preserve"> the following</w:t>
      </w:r>
      <w:r w:rsidR="00684885">
        <w:t xml:space="preserve"> data collection instruments</w:t>
      </w:r>
      <w:r w:rsidR="00B05D36">
        <w:t>, which we include in Attachments A1−A5</w:t>
      </w:r>
      <w:r w:rsidR="00684885" w:rsidRPr="00937EAE">
        <w:t>:</w:t>
      </w:r>
    </w:p>
    <w:p w:rsidR="00684885" w:rsidRDefault="00684885" w:rsidP="00847C8E">
      <w:pPr>
        <w:pStyle w:val="NumberedBullet"/>
        <w:numPr>
          <w:ilvl w:val="0"/>
          <w:numId w:val="13"/>
        </w:numPr>
      </w:pPr>
      <w:r>
        <w:t xml:space="preserve">Program Recruitment Script and Screener </w:t>
      </w:r>
      <w:r w:rsidR="00093225">
        <w:t>(Attachment A</w:t>
      </w:r>
      <w:r w:rsidR="0047470E">
        <w:t>.</w:t>
      </w:r>
      <w:r w:rsidR="00093225">
        <w:t>1)</w:t>
      </w:r>
    </w:p>
    <w:p w:rsidR="00CE1624" w:rsidRDefault="00CE1624" w:rsidP="00847C8E">
      <w:pPr>
        <w:pStyle w:val="NumberedBullet"/>
        <w:numPr>
          <w:ilvl w:val="0"/>
          <w:numId w:val="13"/>
        </w:numPr>
      </w:pPr>
      <w:r>
        <w:t>Classroom Selection Form (Attachment A</w:t>
      </w:r>
      <w:r w:rsidR="0047470E">
        <w:t>.</w:t>
      </w:r>
      <w:r>
        <w:t>2)</w:t>
      </w:r>
    </w:p>
    <w:p w:rsidR="008A58C9" w:rsidRDefault="008A58C9" w:rsidP="00847C8E">
      <w:pPr>
        <w:pStyle w:val="NumberedBullet"/>
        <w:numPr>
          <w:ilvl w:val="0"/>
          <w:numId w:val="13"/>
        </w:numPr>
      </w:pPr>
      <w:r>
        <w:t>Assessment Battery</w:t>
      </w:r>
      <w:r w:rsidR="00093225">
        <w:t xml:space="preserve"> (Attachment A</w:t>
      </w:r>
      <w:r w:rsidR="0047470E">
        <w:t>.</w:t>
      </w:r>
      <w:r w:rsidR="00580941">
        <w:t>3</w:t>
      </w:r>
      <w:r w:rsidR="00093225">
        <w:t>)</w:t>
      </w:r>
    </w:p>
    <w:p w:rsidR="008A58C9" w:rsidRDefault="008A58C9" w:rsidP="00847C8E">
      <w:pPr>
        <w:pStyle w:val="NumberedBullet"/>
        <w:numPr>
          <w:ilvl w:val="0"/>
          <w:numId w:val="13"/>
        </w:numPr>
      </w:pPr>
      <w:r>
        <w:t>SWYC Instrument</w:t>
      </w:r>
      <w:r w:rsidR="00093225">
        <w:t xml:space="preserve"> (Attachment A</w:t>
      </w:r>
      <w:r w:rsidR="0047470E">
        <w:t>.</w:t>
      </w:r>
      <w:r w:rsidR="00580941">
        <w:t>4</w:t>
      </w:r>
      <w:r w:rsidR="00093225">
        <w:t>)</w:t>
      </w:r>
    </w:p>
    <w:p w:rsidR="00D16205" w:rsidRDefault="008A58C9" w:rsidP="00D16205">
      <w:pPr>
        <w:pStyle w:val="NumberedBulletLASTSS"/>
      </w:pPr>
      <w:r>
        <w:t>SWYC Cognitive Interviewing Protocol</w:t>
      </w:r>
      <w:r w:rsidR="00093225">
        <w:t xml:space="preserve"> (Attachment A</w:t>
      </w:r>
      <w:r w:rsidR="0047470E">
        <w:t>.</w:t>
      </w:r>
      <w:r w:rsidR="00580941">
        <w:t>5</w:t>
      </w:r>
      <w:r w:rsidR="00093225">
        <w:t>)</w:t>
      </w:r>
    </w:p>
    <w:p w:rsidR="00D16205" w:rsidRDefault="00CE6430" w:rsidP="00D16205">
      <w:pPr>
        <w:pStyle w:val="NormalSS"/>
      </w:pPr>
      <w:r>
        <w:t>We include s</w:t>
      </w:r>
      <w:r w:rsidR="00684885">
        <w:t>upporting documents</w:t>
      </w:r>
      <w:r w:rsidR="004B0106">
        <w:t>,</w:t>
      </w:r>
      <w:r w:rsidR="00684885">
        <w:t xml:space="preserve"> </w:t>
      </w:r>
      <w:r w:rsidR="00684885" w:rsidRPr="004C4399">
        <w:t>(i.e., Program Recruitment Advance Letter</w:t>
      </w:r>
      <w:r w:rsidR="005072D3">
        <w:t>, Parent Letter and Consent Form, SWYC Email Invitation</w:t>
      </w:r>
      <w:r w:rsidR="00984186">
        <w:t>,</w:t>
      </w:r>
      <w:r w:rsidR="00D210CE">
        <w:t xml:space="preserve"> SWYC CATI Advance Letter</w:t>
      </w:r>
      <w:r w:rsidR="00984186">
        <w:t>, and SWYC Sample Screens</w:t>
      </w:r>
      <w:r w:rsidR="005072D3">
        <w:t>)</w:t>
      </w:r>
      <w:r w:rsidR="00684885" w:rsidRPr="004C4399">
        <w:t xml:space="preserve"> </w:t>
      </w:r>
      <w:r w:rsidR="0047470E">
        <w:t xml:space="preserve">as </w:t>
      </w:r>
      <w:r w:rsidR="00684885">
        <w:t xml:space="preserve">Attachments </w:t>
      </w:r>
      <w:r w:rsidR="0047470E">
        <w:t>in Part B.</w:t>
      </w:r>
      <w:r w:rsidR="00684885">
        <w:t xml:space="preserve"> </w:t>
      </w:r>
      <w:r w:rsidR="004B0106">
        <w:t xml:space="preserve">All forms and procedures are based on ones used successfully in FACES 2009. </w:t>
      </w:r>
      <w:r w:rsidR="00684885">
        <w:t xml:space="preserve">The </w:t>
      </w:r>
      <w:r w:rsidR="00684885" w:rsidRPr="00416EF3">
        <w:t>Program Recruitment Advance Letter, which contains a brief overview of the study goals and activities,</w:t>
      </w:r>
      <w:r w:rsidR="00684885">
        <w:t xml:space="preserve"> will serve as the initial mode of contact for inviting programs to take part in the </w:t>
      </w:r>
      <w:r w:rsidR="000B2F0F">
        <w:t xml:space="preserve">pilot </w:t>
      </w:r>
      <w:r w:rsidR="00684885">
        <w:t xml:space="preserve">study. Guided by the </w:t>
      </w:r>
      <w:r w:rsidR="00684885" w:rsidRPr="00416EF3">
        <w:t>Program Recruitment Script</w:t>
      </w:r>
      <w:r w:rsidR="00684885">
        <w:t>, a team of two Mathematica recruiters will place a follow-up call</w:t>
      </w:r>
      <w:r w:rsidR="00026109">
        <w:t>,</w:t>
      </w:r>
      <w:r w:rsidR="00684885">
        <w:t xml:space="preserve"> during which programs will be invited</w:t>
      </w:r>
      <w:r w:rsidR="00026109">
        <w:t xml:space="preserve"> more formally</w:t>
      </w:r>
      <w:r w:rsidR="00684885">
        <w:t xml:space="preserve"> to participate in the study. During this call, recruiters will describe the study purpose, provide an overview of study activities, confirm the program’s interest in participating, and administer the </w:t>
      </w:r>
      <w:r w:rsidR="00684885" w:rsidRPr="005F2185">
        <w:t xml:space="preserve">Program </w:t>
      </w:r>
      <w:r w:rsidR="00684885">
        <w:t xml:space="preserve">Recruitment </w:t>
      </w:r>
      <w:r w:rsidR="00684885" w:rsidRPr="005F2185">
        <w:t>Screener</w:t>
      </w:r>
      <w:r w:rsidR="00684885">
        <w:t xml:space="preserve">. The screener will provide program-level information on the families served by the program </w:t>
      </w:r>
      <w:r w:rsidR="00026109">
        <w:t>as well as</w:t>
      </w:r>
      <w:r w:rsidR="00684885">
        <w:t xml:space="preserve"> descriptive information about the programs participating in the pilot. We will ask programs to designate an On-Site Coordinator </w:t>
      </w:r>
      <w:r w:rsidR="008A2A7F">
        <w:t>(OSC)</w:t>
      </w:r>
      <w:r w:rsidR="00026109">
        <w:t>,</w:t>
      </w:r>
      <w:r w:rsidR="008A2A7F">
        <w:t xml:space="preserve"> </w:t>
      </w:r>
      <w:r w:rsidR="00684885">
        <w:t xml:space="preserve">who will serve as the key contact and study liaison for coordinating the </w:t>
      </w:r>
      <w:r w:rsidR="004C4399">
        <w:t>collection of consent forms and scheduling of assessment data collection visits</w:t>
      </w:r>
      <w:r w:rsidR="00684885">
        <w:t xml:space="preserve">. The </w:t>
      </w:r>
      <w:r w:rsidR="008A2A7F">
        <w:t>OSC</w:t>
      </w:r>
      <w:r w:rsidR="00684885">
        <w:t xml:space="preserve"> will be</w:t>
      </w:r>
      <w:r w:rsidR="00026109" w:rsidRPr="00026109">
        <w:t xml:space="preserve"> </w:t>
      </w:r>
      <w:r w:rsidR="00026109">
        <w:t>either</w:t>
      </w:r>
      <w:r w:rsidR="00684885">
        <w:t xml:space="preserve"> the program director or someone appointed by the director. </w:t>
      </w:r>
      <w:r w:rsidR="004F2A9F">
        <w:t xml:space="preserve">OSCs will complete the Classroom Selection </w:t>
      </w:r>
      <w:r w:rsidR="004F2A9F" w:rsidRPr="004F2A9F">
        <w:t>Form</w:t>
      </w:r>
      <w:r w:rsidR="004F2A9F">
        <w:t xml:space="preserve"> for each selected center</w:t>
      </w:r>
      <w:r w:rsidR="00A067D1">
        <w:t xml:space="preserve"> to identify</w:t>
      </w:r>
      <w:r w:rsidR="00580941">
        <w:t xml:space="preserve"> classrooms eligible to participat</w:t>
      </w:r>
      <w:r w:rsidR="00026109">
        <w:t>e</w:t>
      </w:r>
      <w:r w:rsidR="00580941">
        <w:t xml:space="preserve"> in the </w:t>
      </w:r>
      <w:r w:rsidR="00174AF6">
        <w:t>pre-test</w:t>
      </w:r>
      <w:r w:rsidR="00580941">
        <w:t xml:space="preserve">. </w:t>
      </w:r>
      <w:r w:rsidR="00026109">
        <w:t>Data collected on classroom c</w:t>
      </w:r>
      <w:r w:rsidR="00580941">
        <w:t xml:space="preserve">haracteristics will include </w:t>
      </w:r>
      <w:r w:rsidR="00026109">
        <w:t xml:space="preserve">the </w:t>
      </w:r>
      <w:r w:rsidR="00580941">
        <w:t xml:space="preserve">number and age of children and percentage of </w:t>
      </w:r>
      <w:r w:rsidR="00026109">
        <w:t>DLL children</w:t>
      </w:r>
      <w:r w:rsidR="00580941">
        <w:t>.</w:t>
      </w:r>
      <w:r w:rsidR="00A067D1">
        <w:t xml:space="preserve"> </w:t>
      </w:r>
      <w:r w:rsidR="00684885" w:rsidRPr="004F2A9F">
        <w:t>All</w:t>
      </w:r>
      <w:r w:rsidR="00684885">
        <w:t xml:space="preserve"> supporting documents to be used with Spanish-speaking </w:t>
      </w:r>
      <w:r w:rsidR="00026109">
        <w:t xml:space="preserve">families—including the </w:t>
      </w:r>
      <w:r w:rsidR="00026109" w:rsidRPr="009F7630">
        <w:t>Letter and</w:t>
      </w:r>
      <w:r w:rsidR="00026109">
        <w:t xml:space="preserve"> </w:t>
      </w:r>
      <w:r w:rsidR="00026109" w:rsidRPr="00D65311">
        <w:t>Consent Form for Parents</w:t>
      </w:r>
      <w:r w:rsidR="00026109">
        <w:t xml:space="preserve"> and SWYC Invitation E-mail—will be translated by a certified Mathematica translator.</w:t>
      </w:r>
    </w:p>
    <w:p w:rsidR="00C91FB0" w:rsidRPr="004E3488" w:rsidRDefault="00C91FB0" w:rsidP="00DC224F">
      <w:pPr>
        <w:pStyle w:val="Heading2Blue"/>
      </w:pPr>
      <w:bookmarkStart w:id="37" w:name="_Toc370476368"/>
      <w:bookmarkStart w:id="38" w:name="_Toc371602357"/>
      <w:r w:rsidRPr="004E3488">
        <w:t>A3. Improved Information Technology to Reduce Burden</w:t>
      </w:r>
      <w:bookmarkEnd w:id="37"/>
      <w:bookmarkEnd w:id="38"/>
    </w:p>
    <w:p w:rsidR="00D16205" w:rsidRDefault="00C91FB0" w:rsidP="00D16205">
      <w:pPr>
        <w:pStyle w:val="NormalSS"/>
      </w:pPr>
      <w:r>
        <w:t xml:space="preserve">Mathematica will use Computer Assisted Interviewing (CAI) to the extent possible when conducting this </w:t>
      </w:r>
      <w:r w:rsidR="00174AF6">
        <w:t>pre-test</w:t>
      </w:r>
      <w:r>
        <w:t>. We will use Computer Assisted Personal</w:t>
      </w:r>
      <w:r w:rsidR="00B75C45">
        <w:t xml:space="preserve"> Interviewing (CAPI) for two</w:t>
      </w:r>
      <w:r>
        <w:t xml:space="preserve"> of the four child assessments</w:t>
      </w:r>
      <w:r w:rsidR="00F10A75">
        <w:t xml:space="preserve"> (</w:t>
      </w:r>
      <w:r w:rsidR="00F10A75" w:rsidRPr="00174AF6">
        <w:rPr>
          <w:i/>
        </w:rPr>
        <w:t>pre</w:t>
      </w:r>
      <w:r w:rsidR="005E138C">
        <w:t>LAS 2000</w:t>
      </w:r>
      <w:r w:rsidR="00546277">
        <w:t xml:space="preserve"> Art Show and PPVT-4)</w:t>
      </w:r>
      <w:r w:rsidR="00546277">
        <w:rPr>
          <w:rStyle w:val="FootnoteReference"/>
        </w:rPr>
        <w:footnoteReference w:id="3"/>
      </w:r>
      <w:r w:rsidR="00B75C45">
        <w:t>,</w:t>
      </w:r>
      <w:r>
        <w:t xml:space="preserve"> and the parent survey will be administered via </w:t>
      </w:r>
      <w:r w:rsidR="0096407B">
        <w:t xml:space="preserve">a </w:t>
      </w:r>
      <w:r w:rsidR="00B75C45">
        <w:t>web</w:t>
      </w:r>
      <w:r w:rsidR="0096407B">
        <w:t xml:space="preserve"> </w:t>
      </w:r>
      <w:r w:rsidR="00B75C45">
        <w:t xml:space="preserve">instrument and </w:t>
      </w:r>
      <w:r>
        <w:t xml:space="preserve">CATI. For this one-time </w:t>
      </w:r>
      <w:r w:rsidR="00174AF6">
        <w:t>pre-test</w:t>
      </w:r>
      <w:r>
        <w:t xml:space="preserve">, it would not be cost-effective to </w:t>
      </w:r>
      <w:r w:rsidR="00B75C45">
        <w:t xml:space="preserve">program </w:t>
      </w:r>
      <w:r w:rsidR="00546277">
        <w:t xml:space="preserve">the </w:t>
      </w:r>
      <w:r w:rsidR="00B75C45">
        <w:t xml:space="preserve">two </w:t>
      </w:r>
      <w:r w:rsidR="00D67A98">
        <w:t xml:space="preserve">additional </w:t>
      </w:r>
      <w:r w:rsidR="00B75C45">
        <w:t>assessment measures</w:t>
      </w:r>
      <w:r w:rsidR="00520294">
        <w:t xml:space="preserve"> (ROWPVT</w:t>
      </w:r>
      <w:r w:rsidR="003A7D33">
        <w:t>-4</w:t>
      </w:r>
      <w:r w:rsidR="00546277">
        <w:t xml:space="preserve"> and PLS</w:t>
      </w:r>
      <w:r w:rsidR="00F10A75">
        <w:t>-</w:t>
      </w:r>
      <w:r w:rsidR="00546277">
        <w:t>5)</w:t>
      </w:r>
      <w:r w:rsidR="00B75C45">
        <w:t xml:space="preserve"> as CAPI instruments, so </w:t>
      </w:r>
      <w:r>
        <w:t>we will use paper (i.e., a score sheet) and pencil to administer them</w:t>
      </w:r>
      <w:r w:rsidR="0096407B">
        <w:t>.</w:t>
      </w:r>
      <w:r w:rsidR="00E9710B">
        <w:rPr>
          <w:rStyle w:val="FootnoteReference"/>
        </w:rPr>
        <w:footnoteReference w:id="4"/>
      </w:r>
      <w:r>
        <w:t xml:space="preserve"> The use of CAPI for the child assessments will facilitate routing</w:t>
      </w:r>
      <w:r w:rsidR="00E9710B">
        <w:t xml:space="preserve"> children through the assessments </w:t>
      </w:r>
      <w:r>
        <w:t>and calculati</w:t>
      </w:r>
      <w:r w:rsidR="0096407B">
        <w:t>ng</w:t>
      </w:r>
      <w:r>
        <w:t xml:space="preserve"> basal and ceiling rules, thereby lessening the amount of time required to administer the assessments and reducing burden on the child. The use of </w:t>
      </w:r>
      <w:r w:rsidR="008F4638">
        <w:t xml:space="preserve">the web and </w:t>
      </w:r>
      <w:r>
        <w:t xml:space="preserve">CATI for the parent survey will reduce respondent burden by facilitating </w:t>
      </w:r>
      <w:r w:rsidR="00546277">
        <w:t>routing and</w:t>
      </w:r>
      <w:r>
        <w:t xml:space="preserve"> skip</w:t>
      </w:r>
      <w:r w:rsidR="003A7D33">
        <w:t xml:space="preserve"> </w:t>
      </w:r>
      <w:r>
        <w:t>patterns</w:t>
      </w:r>
      <w:r w:rsidR="003A7D33">
        <w:t xml:space="preserve"> and </w:t>
      </w:r>
      <w:r w:rsidR="00510DC6">
        <w:t>providing the respondent with an instrument specific to the child’s age</w:t>
      </w:r>
      <w:r>
        <w:t xml:space="preserve">. </w:t>
      </w:r>
    </w:p>
    <w:p w:rsidR="00C91FB0" w:rsidRPr="004E3488" w:rsidRDefault="00C91FB0" w:rsidP="00DC224F">
      <w:pPr>
        <w:pStyle w:val="Heading2Blue"/>
      </w:pPr>
      <w:bookmarkStart w:id="39" w:name="_Toc370476369"/>
      <w:bookmarkStart w:id="40" w:name="_Toc371602358"/>
      <w:r w:rsidRPr="004E3488">
        <w:t>A4. Efforts to Identify Duplication</w:t>
      </w:r>
      <w:bookmarkEnd w:id="39"/>
      <w:bookmarkEnd w:id="40"/>
    </w:p>
    <w:p w:rsidR="00D16205" w:rsidRDefault="00C91FB0" w:rsidP="00D16205">
      <w:pPr>
        <w:pStyle w:val="NormalSS"/>
      </w:pPr>
      <w:r>
        <w:t xml:space="preserve">The FACES </w:t>
      </w:r>
      <w:r w:rsidR="00D67A98">
        <w:t>Pilot St</w:t>
      </w:r>
      <w:r>
        <w:t xml:space="preserve">udy will not be duplicative of other studies. The assessment component is designed </w:t>
      </w:r>
      <w:r w:rsidR="00174AB7">
        <w:t xml:space="preserve">to identify suitable language and </w:t>
      </w:r>
      <w:r>
        <w:t>vocabulary measure</w:t>
      </w:r>
      <w:r w:rsidR="00174AB7">
        <w:t>s</w:t>
      </w:r>
      <w:r>
        <w:t xml:space="preserve"> that </w:t>
      </w:r>
      <w:r w:rsidR="00D67A98">
        <w:t>may</w:t>
      </w:r>
      <w:r w:rsidR="00174AB7">
        <w:t xml:space="preserve"> replace the</w:t>
      </w:r>
      <w:r>
        <w:t xml:space="preserve"> measures currently in use on FACES</w:t>
      </w:r>
      <w:r w:rsidR="00DB0122">
        <w:t>,</w:t>
      </w:r>
      <w:r>
        <w:t xml:space="preserve"> with </w:t>
      </w:r>
      <w:r w:rsidR="00DB0122">
        <w:t>the</w:t>
      </w:r>
      <w:r>
        <w:t xml:space="preserve"> aim </w:t>
      </w:r>
      <w:r w:rsidR="00DB0122">
        <w:t>of</w:t>
      </w:r>
      <w:r>
        <w:t xml:space="preserve"> reduc</w:t>
      </w:r>
      <w:r w:rsidR="00DB0122">
        <w:t>ing</w:t>
      </w:r>
      <w:r>
        <w:t xml:space="preserve"> burden. To do this, we will compare children’s performance on </w:t>
      </w:r>
      <w:r w:rsidR="00D67A98">
        <w:t xml:space="preserve">several </w:t>
      </w:r>
      <w:r>
        <w:t xml:space="preserve">measures </w:t>
      </w:r>
      <w:r w:rsidR="00D67A98">
        <w:t xml:space="preserve">currently used in FACES </w:t>
      </w:r>
      <w:r>
        <w:t xml:space="preserve">with their performance on two new measures. The </w:t>
      </w:r>
      <w:r w:rsidR="00174AF6">
        <w:t>pre-test</w:t>
      </w:r>
      <w:r>
        <w:t xml:space="preserve"> of the survey component involves assessing the feasibility of using a new surveillance instrument </w:t>
      </w:r>
      <w:r w:rsidR="00D67A98">
        <w:t>i</w:t>
      </w:r>
      <w:r>
        <w:t xml:space="preserve">n future </w:t>
      </w:r>
      <w:r w:rsidR="00D67A98">
        <w:t xml:space="preserve">rounds of </w:t>
      </w:r>
      <w:r>
        <w:t>FACES</w:t>
      </w:r>
      <w:r w:rsidR="00C95619">
        <w:t>.</w:t>
      </w:r>
      <w:r>
        <w:t xml:space="preserve"> </w:t>
      </w:r>
    </w:p>
    <w:p w:rsidR="004E3488" w:rsidRPr="004E3488" w:rsidRDefault="004E3488" w:rsidP="00DC224F">
      <w:pPr>
        <w:pStyle w:val="Heading2Blue"/>
      </w:pPr>
      <w:bookmarkStart w:id="41" w:name="_Toc370476370"/>
      <w:bookmarkStart w:id="42" w:name="_Toc371602359"/>
      <w:r>
        <w:t xml:space="preserve">A5. </w:t>
      </w:r>
      <w:r w:rsidRPr="0072204D">
        <w:t>Involvement of Small Organizations</w:t>
      </w:r>
      <w:bookmarkEnd w:id="41"/>
      <w:bookmarkEnd w:id="42"/>
    </w:p>
    <w:p w:rsidR="00D16205" w:rsidRDefault="004E3488" w:rsidP="00D16205">
      <w:pPr>
        <w:pStyle w:val="NormalSS"/>
      </w:pPr>
      <w:r>
        <w:t xml:space="preserve">Not applicable. </w:t>
      </w:r>
      <w:r w:rsidRPr="00AE0BEC">
        <w:t>No small businesses are impacted by the data collection in this project.</w:t>
      </w:r>
    </w:p>
    <w:p w:rsidR="004E3488" w:rsidRPr="004E3488" w:rsidRDefault="004E3488" w:rsidP="00DC224F">
      <w:pPr>
        <w:pStyle w:val="Heading2Blue"/>
      </w:pPr>
      <w:bookmarkStart w:id="43" w:name="_Toc370476371"/>
      <w:bookmarkStart w:id="44" w:name="_Toc371602360"/>
      <w:r>
        <w:t xml:space="preserve">A6. </w:t>
      </w:r>
      <w:r w:rsidRPr="0072204D">
        <w:t>Consequences of Less Frequent Data Collection</w:t>
      </w:r>
      <w:bookmarkEnd w:id="43"/>
      <w:bookmarkEnd w:id="44"/>
    </w:p>
    <w:p w:rsidR="00D16205" w:rsidRDefault="004E3488" w:rsidP="00D16205">
      <w:pPr>
        <w:pStyle w:val="NormalSS"/>
      </w:pPr>
      <w:r>
        <w:t xml:space="preserve">Not applicable. </w:t>
      </w:r>
      <w:r w:rsidRPr="00343F20">
        <w:t>This is a one-time data collection.</w:t>
      </w:r>
    </w:p>
    <w:p w:rsidR="004E3488" w:rsidRPr="004E3488" w:rsidRDefault="004E3488" w:rsidP="00DC224F">
      <w:pPr>
        <w:pStyle w:val="Heading2Blue"/>
      </w:pPr>
      <w:bookmarkStart w:id="45" w:name="_Toc370476372"/>
      <w:bookmarkStart w:id="46" w:name="_Toc371602361"/>
      <w:r>
        <w:t xml:space="preserve">A7. </w:t>
      </w:r>
      <w:r w:rsidRPr="0072204D">
        <w:t>Special Circumstances</w:t>
      </w:r>
      <w:bookmarkEnd w:id="45"/>
      <w:bookmarkEnd w:id="46"/>
    </w:p>
    <w:p w:rsidR="00D16205" w:rsidRDefault="004E3488" w:rsidP="00D16205">
      <w:pPr>
        <w:pStyle w:val="NormalSS"/>
      </w:pPr>
      <w:r w:rsidRPr="00416EF3">
        <w:t>There are no special circumstances for the proposed data collection efforts.</w:t>
      </w:r>
    </w:p>
    <w:p w:rsidR="00D36045" w:rsidRPr="004E3488" w:rsidRDefault="00812477" w:rsidP="00DC224F">
      <w:pPr>
        <w:pStyle w:val="Heading2Blue"/>
      </w:pPr>
      <w:bookmarkStart w:id="47" w:name="_Toc370476373"/>
      <w:bookmarkStart w:id="48" w:name="_Toc371602362"/>
      <w:r w:rsidRPr="004E3488">
        <w:t>A8. Federal Register Notice and Consultation</w:t>
      </w:r>
      <w:bookmarkEnd w:id="47"/>
      <w:bookmarkEnd w:id="48"/>
      <w:r w:rsidR="0009599E" w:rsidRPr="004E3488">
        <w:t xml:space="preserve"> </w:t>
      </w:r>
    </w:p>
    <w:p w:rsidR="00C131B3" w:rsidRPr="00036213" w:rsidRDefault="006D00F9" w:rsidP="00036213">
      <w:pPr>
        <w:pStyle w:val="Heading3"/>
      </w:pPr>
      <w:bookmarkStart w:id="49" w:name="_Toc370476374"/>
      <w:bookmarkStart w:id="50" w:name="_Toc371602363"/>
      <w:r>
        <w:t>1.</w:t>
      </w:r>
      <w:r>
        <w:tab/>
      </w:r>
      <w:r w:rsidR="00C131B3" w:rsidRPr="00036213">
        <w:t>Federal Register Notice and Comments</w:t>
      </w:r>
      <w:bookmarkEnd w:id="49"/>
      <w:bookmarkEnd w:id="50"/>
    </w:p>
    <w:p w:rsidR="009A5D8D" w:rsidRPr="0033328A" w:rsidRDefault="00C131B3" w:rsidP="009A5D8D">
      <w:pPr>
        <w:pStyle w:val="NormalSS"/>
        <w:ind w:firstLine="0"/>
      </w:pPr>
      <w:r w:rsidRPr="00F4788E">
        <w:t>In accordance with the Paperwork Reduction Act of 1995 (Pub. L. 104-13</w:t>
      </w:r>
      <w:r w:rsidR="00CE3B8B">
        <w:t>; PRA</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w:t>
      </w:r>
    </w:p>
    <w:p w:rsidR="009A5D8D" w:rsidRPr="0033328A" w:rsidRDefault="009A5D8D" w:rsidP="009A5D8D">
      <w:pPr>
        <w:pStyle w:val="NormalSS"/>
        <w:ind w:firstLine="0"/>
      </w:pPr>
      <w:r w:rsidRPr="0033328A">
        <w:t>The first Federal Register notice for ACF’s generic clearance for information gathering was published in the Federal Register, Volume 76, page 34078 on June 10, 2011. The agency did not receive any comments in response to the Federal Register notice for the generic clearance.</w:t>
      </w:r>
      <w:r>
        <w:t xml:space="preserve"> </w:t>
      </w:r>
      <w:r w:rsidRPr="0033328A">
        <w:t>The second Federal Register notice was published in the Federal Register, Volume 76, page 53682 on August 29, 2011.</w:t>
      </w:r>
    </w:p>
    <w:p w:rsidR="00C131B3" w:rsidRPr="00036213" w:rsidRDefault="006D00F9" w:rsidP="00036213">
      <w:pPr>
        <w:pStyle w:val="Heading3"/>
      </w:pPr>
      <w:bookmarkStart w:id="51" w:name="_Toc370476375"/>
      <w:bookmarkStart w:id="52" w:name="_Toc371602364"/>
      <w:r>
        <w:t>2.</w:t>
      </w:r>
      <w:r>
        <w:tab/>
      </w:r>
      <w:r w:rsidR="00C131B3" w:rsidRPr="00036213">
        <w:t>Consultation with Experts Outside of the Study</w:t>
      </w:r>
      <w:bookmarkEnd w:id="51"/>
      <w:bookmarkEnd w:id="52"/>
    </w:p>
    <w:p w:rsidR="00D16205" w:rsidRDefault="0045423B" w:rsidP="00D16205">
      <w:pPr>
        <w:pStyle w:val="NormalSS"/>
      </w:pPr>
      <w:r>
        <w:t>Table A.2</w:t>
      </w:r>
      <w:r w:rsidR="000B3BEA">
        <w:t xml:space="preserve"> lists the </w:t>
      </w:r>
      <w:r w:rsidR="000F5E21">
        <w:t xml:space="preserve">members of the </w:t>
      </w:r>
      <w:r w:rsidR="000B3BEA">
        <w:t xml:space="preserve">FACES Redesign </w:t>
      </w:r>
      <w:r w:rsidR="000F5E21">
        <w:t xml:space="preserve">expert panel </w:t>
      </w:r>
      <w:r w:rsidR="000B3BEA">
        <w:t xml:space="preserve">on dual language learners. The panel was </w:t>
      </w:r>
      <w:r w:rsidR="000F5E21">
        <w:t>convened in May 2013.</w:t>
      </w:r>
      <w:r w:rsidR="00104790">
        <w:t xml:space="preserve"> </w:t>
      </w:r>
    </w:p>
    <w:p w:rsidR="00E45B4D" w:rsidRPr="00D16205" w:rsidRDefault="00CE3B8B" w:rsidP="00D16205">
      <w:pPr>
        <w:pStyle w:val="MarkforTableHeading"/>
      </w:pPr>
      <w:bookmarkStart w:id="53" w:name="_Toc371602387"/>
      <w:r w:rsidRPr="00D16205">
        <w:t>Table A</w:t>
      </w:r>
      <w:r w:rsidR="0089660F">
        <w:t>.</w:t>
      </w:r>
      <w:r w:rsidRPr="00D16205">
        <w:t>2. Members of the FACES Redesign Expert Panel on DLL Children</w:t>
      </w:r>
      <w:bookmarkEnd w:id="53"/>
    </w:p>
    <w:tbl>
      <w:tblPr>
        <w:tblW w:w="5000" w:type="pct"/>
        <w:tblBorders>
          <w:top w:val="single" w:sz="4" w:space="0" w:color="auto"/>
          <w:bottom w:val="single" w:sz="4" w:space="0" w:color="auto"/>
        </w:tblBorders>
        <w:tblCellMar>
          <w:top w:w="144" w:type="dxa"/>
          <w:left w:w="115" w:type="dxa"/>
          <w:bottom w:w="144" w:type="dxa"/>
          <w:right w:w="115" w:type="dxa"/>
        </w:tblCellMar>
        <w:tblLook w:val="0000" w:firstRow="0" w:lastRow="0" w:firstColumn="0" w:lastColumn="0" w:noHBand="0" w:noVBand="0"/>
      </w:tblPr>
      <w:tblGrid>
        <w:gridCol w:w="2259"/>
        <w:gridCol w:w="2783"/>
        <w:gridCol w:w="4548"/>
      </w:tblGrid>
      <w:tr w:rsidR="00104790" w:rsidRPr="00D16205" w:rsidTr="00981D1A">
        <w:trPr>
          <w:trHeight w:val="20"/>
          <w:tblHeader/>
        </w:trPr>
        <w:tc>
          <w:tcPr>
            <w:tcW w:w="1178" w:type="pct"/>
            <w:tcBorders>
              <w:top w:val="single" w:sz="12" w:space="0" w:color="1F497D" w:themeColor="text2"/>
              <w:bottom w:val="single" w:sz="4" w:space="0" w:color="auto"/>
            </w:tcBorders>
            <w:tcMar>
              <w:top w:w="115" w:type="dxa"/>
              <w:bottom w:w="115" w:type="dxa"/>
            </w:tcMar>
            <w:vAlign w:val="bottom"/>
          </w:tcPr>
          <w:p w:rsidR="00104790" w:rsidRPr="00D16205" w:rsidRDefault="00104790" w:rsidP="00981D1A">
            <w:pPr>
              <w:pStyle w:val="TableHeaderLeft"/>
              <w:spacing w:before="0" w:after="0"/>
              <w:ind w:firstLine="0"/>
              <w:jc w:val="left"/>
              <w:rPr>
                <w:rFonts w:cs="Arial"/>
              </w:rPr>
            </w:pPr>
            <w:r w:rsidRPr="00D16205">
              <w:rPr>
                <w:rFonts w:cs="Arial"/>
              </w:rPr>
              <w:t>Member</w:t>
            </w:r>
          </w:p>
        </w:tc>
        <w:tc>
          <w:tcPr>
            <w:tcW w:w="1451" w:type="pct"/>
            <w:tcBorders>
              <w:top w:val="single" w:sz="12" w:space="0" w:color="1F497D" w:themeColor="text2"/>
              <w:bottom w:val="single" w:sz="4" w:space="0" w:color="auto"/>
            </w:tcBorders>
            <w:tcMar>
              <w:top w:w="115" w:type="dxa"/>
              <w:bottom w:w="115" w:type="dxa"/>
            </w:tcMar>
            <w:vAlign w:val="bottom"/>
          </w:tcPr>
          <w:p w:rsidR="00104790" w:rsidRPr="00D16205" w:rsidRDefault="00104790" w:rsidP="00981D1A">
            <w:pPr>
              <w:pStyle w:val="TableText"/>
              <w:ind w:firstLine="0"/>
              <w:jc w:val="center"/>
              <w:rPr>
                <w:rFonts w:cs="Arial"/>
                <w:szCs w:val="22"/>
              </w:rPr>
            </w:pPr>
            <w:r w:rsidRPr="00D16205">
              <w:rPr>
                <w:rFonts w:cs="Arial"/>
                <w:szCs w:val="22"/>
              </w:rPr>
              <w:t>Affiliation</w:t>
            </w:r>
          </w:p>
        </w:tc>
        <w:tc>
          <w:tcPr>
            <w:tcW w:w="2371" w:type="pct"/>
            <w:tcBorders>
              <w:top w:val="single" w:sz="12" w:space="0" w:color="1F497D" w:themeColor="text2"/>
              <w:bottom w:val="single" w:sz="4" w:space="0" w:color="auto"/>
            </w:tcBorders>
            <w:tcMar>
              <w:top w:w="115" w:type="dxa"/>
              <w:bottom w:w="115" w:type="dxa"/>
            </w:tcMar>
            <w:vAlign w:val="bottom"/>
          </w:tcPr>
          <w:p w:rsidR="00104790" w:rsidRPr="00D16205" w:rsidRDefault="00104790" w:rsidP="00981D1A">
            <w:pPr>
              <w:pStyle w:val="TableText"/>
              <w:ind w:firstLine="0"/>
              <w:jc w:val="center"/>
              <w:rPr>
                <w:rFonts w:cs="Arial"/>
              </w:rPr>
            </w:pPr>
            <w:r w:rsidRPr="00D16205">
              <w:rPr>
                <w:rFonts w:cs="Arial"/>
              </w:rPr>
              <w:t>Areas of Expertise</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Ellen Bialystok</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York University</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Effect of bilingualism on children’s language and cognitive development, models of metalinguistic awareness and second-language acquisition</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 xml:space="preserve">Ed De Avila </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Language Assessment Scale (LAS)</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Language proficiency assessment, developmental psychology</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Linda Espinosa</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National Task Force on Early Childhood Education for Hispanics Technical Advisory Group</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Effective educational services for DLL</w:t>
            </w:r>
            <w:r w:rsidR="004E78AA" w:rsidRPr="00D16205">
              <w:rPr>
                <w:rFonts w:cs="Arial"/>
              </w:rPr>
              <w:t xml:space="preserve"> children</w:t>
            </w:r>
            <w:r w:rsidRPr="00D16205">
              <w:rPr>
                <w:rFonts w:cs="Arial"/>
              </w:rPr>
              <w:t>, school achievement patterns for language</w:t>
            </w:r>
            <w:r w:rsidR="004E78AA" w:rsidRPr="00D16205">
              <w:rPr>
                <w:rFonts w:cs="Arial"/>
              </w:rPr>
              <w:t>-</w:t>
            </w:r>
            <w:r w:rsidRPr="00D16205">
              <w:rPr>
                <w:rFonts w:cs="Arial"/>
              </w:rPr>
              <w:t>minority children</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 xml:space="preserve">Allison </w:t>
            </w:r>
            <w:proofErr w:type="spellStart"/>
            <w:r w:rsidRPr="00D16205">
              <w:rPr>
                <w:rFonts w:cs="Arial"/>
              </w:rPr>
              <w:t>Fuligni</w:t>
            </w:r>
            <w:proofErr w:type="spellEnd"/>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California State University; UCLA Center for Improving Child Care Quality</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Child development, social development, early childhood education, parenting, and research methods in child development</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Fred Genesee</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McGill University</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Bilingualism, bilingual first</w:t>
            </w:r>
            <w:r w:rsidR="004E78AA" w:rsidRPr="00D16205">
              <w:rPr>
                <w:rFonts w:cs="Arial"/>
              </w:rPr>
              <w:t>-</w:t>
            </w:r>
            <w:r w:rsidRPr="00D16205">
              <w:rPr>
                <w:rFonts w:cs="Arial"/>
              </w:rPr>
              <w:t>language acquisition in populations with and without impairments</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Claude Goldenb</w:t>
            </w:r>
            <w:r w:rsidRPr="00D16205">
              <w:rPr>
                <w:rFonts w:cs="Arial"/>
                <w:b/>
              </w:rPr>
              <w:t>e</w:t>
            </w:r>
            <w:r w:rsidRPr="00D16205">
              <w:rPr>
                <w:rFonts w:cs="Arial"/>
              </w:rPr>
              <w:t>rg</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Stanford University</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Second language reading, bilingual education/ESL, Latino concerns in education</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Erika Hoff</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Florida Atlantic University</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 xml:space="preserve">Factors in children's early language experiences and development that predict successful oral language and </w:t>
            </w:r>
            <w:proofErr w:type="spellStart"/>
            <w:r w:rsidRPr="00D16205">
              <w:rPr>
                <w:rFonts w:cs="Arial"/>
              </w:rPr>
              <w:t>preliteracy</w:t>
            </w:r>
            <w:proofErr w:type="spellEnd"/>
            <w:r w:rsidRPr="00D16205">
              <w:rPr>
                <w:rFonts w:cs="Arial"/>
              </w:rPr>
              <w:t xml:space="preserve"> outcomes</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Elizabeth Peña</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University of Texas at Austin</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Dynamic assessment, development of assessment protocols for bilinguals</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proofErr w:type="spellStart"/>
            <w:r w:rsidRPr="00D16205">
              <w:rPr>
                <w:rFonts w:cs="Arial"/>
              </w:rPr>
              <w:t>Mariela</w:t>
            </w:r>
            <w:proofErr w:type="spellEnd"/>
            <w:r w:rsidRPr="00D16205">
              <w:rPr>
                <w:rFonts w:cs="Arial"/>
              </w:rPr>
              <w:t xml:space="preserve"> </w:t>
            </w:r>
            <w:proofErr w:type="spellStart"/>
            <w:r w:rsidRPr="00D16205">
              <w:rPr>
                <w:rFonts w:cs="Arial"/>
              </w:rPr>
              <w:t>Páez</w:t>
            </w:r>
            <w:proofErr w:type="spellEnd"/>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Boston College; Jumpstart</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Early childhood education, bilingual language development, professional development for the education of DLL</w:t>
            </w:r>
            <w:r w:rsidR="004E78AA" w:rsidRPr="00D16205">
              <w:rPr>
                <w:rFonts w:cs="Arial"/>
              </w:rPr>
              <w:t xml:space="preserve"> children</w:t>
            </w:r>
            <w:r w:rsidRPr="00D16205">
              <w:rPr>
                <w:rFonts w:cs="Arial"/>
              </w:rPr>
              <w:t xml:space="preserve"> </w:t>
            </w:r>
          </w:p>
        </w:tc>
      </w:tr>
      <w:tr w:rsidR="00104790" w:rsidRPr="00D16205" w:rsidTr="00981D1A">
        <w:trPr>
          <w:trHeight w:val="20"/>
        </w:trPr>
        <w:tc>
          <w:tcPr>
            <w:tcW w:w="1178" w:type="pct"/>
            <w:tcBorders>
              <w:top w:val="nil"/>
              <w:left w:val="nil"/>
              <w:bottom w:val="nil"/>
            </w:tcBorders>
            <w:tcMar>
              <w:top w:w="115" w:type="dxa"/>
              <w:bottom w:w="115" w:type="dxa"/>
            </w:tcMar>
          </w:tcPr>
          <w:p w:rsidR="00104790" w:rsidRPr="00D16205" w:rsidRDefault="00104790" w:rsidP="00981D1A">
            <w:pPr>
              <w:pStyle w:val="TableText"/>
              <w:ind w:firstLine="0"/>
              <w:rPr>
                <w:rFonts w:cs="Arial"/>
                <w:b/>
              </w:rPr>
            </w:pPr>
            <w:r w:rsidRPr="00D16205">
              <w:rPr>
                <w:rFonts w:cs="Arial"/>
              </w:rPr>
              <w:t>Catherine Snow</w:t>
            </w:r>
          </w:p>
        </w:tc>
        <w:tc>
          <w:tcPr>
            <w:tcW w:w="145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Harvard University</w:t>
            </w:r>
          </w:p>
        </w:tc>
        <w:tc>
          <w:tcPr>
            <w:tcW w:w="2371" w:type="pct"/>
            <w:tcBorders>
              <w:top w:val="nil"/>
              <w:bottom w:val="nil"/>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Language acquisition, bilingualism, bilingual education, language-literacy relations</w:t>
            </w:r>
          </w:p>
        </w:tc>
      </w:tr>
      <w:tr w:rsidR="00104790" w:rsidRPr="00D16205" w:rsidTr="00981D1A">
        <w:trPr>
          <w:trHeight w:val="20"/>
        </w:trPr>
        <w:tc>
          <w:tcPr>
            <w:tcW w:w="1178" w:type="pct"/>
            <w:tcBorders>
              <w:top w:val="nil"/>
              <w:left w:val="nil"/>
              <w:bottom w:val="single" w:sz="4" w:space="0" w:color="1F497D" w:themeColor="text2"/>
            </w:tcBorders>
            <w:tcMar>
              <w:top w:w="115" w:type="dxa"/>
              <w:bottom w:w="115" w:type="dxa"/>
            </w:tcMar>
          </w:tcPr>
          <w:p w:rsidR="00104790" w:rsidRPr="00D16205" w:rsidRDefault="00104790" w:rsidP="00981D1A">
            <w:pPr>
              <w:pStyle w:val="TableText"/>
              <w:ind w:firstLine="0"/>
              <w:rPr>
                <w:rFonts w:cs="Arial"/>
                <w:b/>
              </w:rPr>
            </w:pPr>
            <w:r w:rsidRPr="00D16205">
              <w:rPr>
                <w:rFonts w:cs="Arial"/>
              </w:rPr>
              <w:t>Patton Tabors</w:t>
            </w:r>
          </w:p>
        </w:tc>
        <w:tc>
          <w:tcPr>
            <w:tcW w:w="1451" w:type="pct"/>
            <w:tcBorders>
              <w:top w:val="nil"/>
              <w:bottom w:val="single" w:sz="4" w:space="0" w:color="1F497D" w:themeColor="text2"/>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Harvard University</w:t>
            </w:r>
          </w:p>
        </w:tc>
        <w:tc>
          <w:tcPr>
            <w:tcW w:w="2371" w:type="pct"/>
            <w:tcBorders>
              <w:top w:val="nil"/>
              <w:bottom w:val="single" w:sz="4" w:space="0" w:color="1F497D" w:themeColor="text2"/>
            </w:tcBorders>
            <w:tcMar>
              <w:top w:w="115" w:type="dxa"/>
              <w:bottom w:w="115" w:type="dxa"/>
            </w:tcMar>
          </w:tcPr>
          <w:p w:rsidR="00104790" w:rsidRPr="00D16205" w:rsidRDefault="00104790" w:rsidP="00981D1A">
            <w:pPr>
              <w:pStyle w:val="TableText"/>
              <w:ind w:firstLine="0"/>
              <w:jc w:val="left"/>
              <w:rPr>
                <w:rFonts w:cs="Arial"/>
                <w:b/>
              </w:rPr>
            </w:pPr>
            <w:r w:rsidRPr="00D16205">
              <w:rPr>
                <w:rFonts w:cs="Arial"/>
              </w:rPr>
              <w:t>Child language and literacy development</w:t>
            </w:r>
          </w:p>
        </w:tc>
      </w:tr>
    </w:tbl>
    <w:p w:rsidR="00D16205" w:rsidRDefault="00EA100F" w:rsidP="002B23CF">
      <w:pPr>
        <w:pStyle w:val="NormalSS"/>
        <w:spacing w:before="240"/>
      </w:pPr>
      <w:r>
        <w:t>In addi</w:t>
      </w:r>
      <w:r w:rsidR="00174AB7">
        <w:t>tion to the DLL experts, we are</w:t>
      </w:r>
      <w:r>
        <w:t xml:space="preserve"> </w:t>
      </w:r>
      <w:r w:rsidR="00174AB7">
        <w:t>collaborating</w:t>
      </w:r>
      <w:r>
        <w:t xml:space="preserve"> with </w:t>
      </w:r>
      <w:r w:rsidR="00184B79">
        <w:t xml:space="preserve">SWYC developers Ellen </w:t>
      </w:r>
      <w:r>
        <w:t>C. Perrin and R. Christopher Sheldrick.</w:t>
      </w:r>
      <w:r w:rsidR="00094972">
        <w:t xml:space="preserve"> </w:t>
      </w:r>
      <w:r w:rsidR="005B7216">
        <w:t xml:space="preserve">We will </w:t>
      </w:r>
      <w:r w:rsidR="000B3BEA">
        <w:t xml:space="preserve">continue to </w:t>
      </w:r>
      <w:r w:rsidR="005B7216">
        <w:t xml:space="preserve">consult with </w:t>
      </w:r>
      <w:r w:rsidR="00094972">
        <w:t>Dr</w:t>
      </w:r>
      <w:r w:rsidR="005B7216">
        <w:t xml:space="preserve">. Perrin and Dr. Sheldrick </w:t>
      </w:r>
      <w:r w:rsidR="008E19AB">
        <w:t xml:space="preserve">as we </w:t>
      </w:r>
      <w:r w:rsidR="000B3BEA">
        <w:t xml:space="preserve">prepare </w:t>
      </w:r>
      <w:r w:rsidR="008E19AB">
        <w:t xml:space="preserve">the </w:t>
      </w:r>
      <w:r w:rsidR="000B3BEA">
        <w:t xml:space="preserve">web and telephone versions of the </w:t>
      </w:r>
      <w:r w:rsidR="008E19AB">
        <w:t>SWYC</w:t>
      </w:r>
      <w:r w:rsidR="000B3BEA">
        <w:t xml:space="preserve"> instrument</w:t>
      </w:r>
      <w:r w:rsidR="008E19AB">
        <w:t>.</w:t>
      </w:r>
    </w:p>
    <w:p w:rsidR="00C91FB0" w:rsidRDefault="00C91FB0" w:rsidP="00DC224F">
      <w:pPr>
        <w:pStyle w:val="Heading2Blue"/>
      </w:pPr>
      <w:bookmarkStart w:id="54" w:name="_Toc370476376"/>
      <w:bookmarkStart w:id="55" w:name="_Toc371602365"/>
      <w:r w:rsidRPr="00036213">
        <w:t>A9.</w:t>
      </w:r>
      <w:r w:rsidR="000C454B">
        <w:t xml:space="preserve"> </w:t>
      </w:r>
      <w:r w:rsidRPr="00036213">
        <w:t>Incentives for Respondents</w:t>
      </w:r>
      <w:bookmarkEnd w:id="54"/>
      <w:bookmarkEnd w:id="55"/>
    </w:p>
    <w:p w:rsidR="00D16205" w:rsidRDefault="00C91FB0" w:rsidP="00D16205">
      <w:pPr>
        <w:pStyle w:val="NormalSS"/>
      </w:pPr>
      <w:r>
        <w:t xml:space="preserve">With OMB approval, we will offer </w:t>
      </w:r>
      <w:r w:rsidR="003A7D33">
        <w:t xml:space="preserve">children a book that costs under $5 for completing the assessment. We will offer </w:t>
      </w:r>
      <w:r>
        <w:t xml:space="preserve">participants $15 for completing the SWYC </w:t>
      </w:r>
      <w:r w:rsidR="000B3BEA">
        <w:t>either on-line or by phone</w:t>
      </w:r>
      <w:r w:rsidR="004E78AA">
        <w:t>,</w:t>
      </w:r>
      <w:r w:rsidR="000B3BEA">
        <w:t xml:space="preserve"> </w:t>
      </w:r>
      <w:r>
        <w:t xml:space="preserve">and </w:t>
      </w:r>
      <w:r w:rsidR="000B3BEA">
        <w:t xml:space="preserve">an additional </w:t>
      </w:r>
      <w:r>
        <w:t xml:space="preserve">$20 for </w:t>
      </w:r>
      <w:r w:rsidR="000B3BEA">
        <w:t xml:space="preserve">participating in </w:t>
      </w:r>
      <w:r>
        <w:t xml:space="preserve">the cognitive interview. We will distribute </w:t>
      </w:r>
      <w:r w:rsidR="000C5C92">
        <w:t xml:space="preserve">$200 </w:t>
      </w:r>
      <w:r>
        <w:t>g</w:t>
      </w:r>
      <w:r w:rsidR="000C5C92">
        <w:t>ift cards to participating programs</w:t>
      </w:r>
      <w:r>
        <w:t xml:space="preserve"> or donate </w:t>
      </w:r>
      <w:r w:rsidR="000B3BEA">
        <w:t xml:space="preserve">an equivalent amount </w:t>
      </w:r>
      <w:r>
        <w:t>to program activities</w:t>
      </w:r>
      <w:r w:rsidR="004E78AA">
        <w:t>,</w:t>
      </w:r>
      <w:r>
        <w:t xml:space="preserve"> based on the program’s policies. These amounts were determined based on the estimated burden to participants and are consistent with those offered in prior </w:t>
      </w:r>
      <w:r w:rsidR="000B3BEA">
        <w:t xml:space="preserve">Head Start </w:t>
      </w:r>
      <w:r>
        <w:t xml:space="preserve">studies using similar methodologies and data collection instruments (such as FACES and Baby FACES). </w:t>
      </w:r>
    </w:p>
    <w:p w:rsidR="00812477" w:rsidRPr="00036213" w:rsidRDefault="00812477" w:rsidP="00DC224F">
      <w:pPr>
        <w:pStyle w:val="Heading2Blue"/>
      </w:pPr>
      <w:bookmarkStart w:id="56" w:name="_Toc370476377"/>
      <w:bookmarkStart w:id="57" w:name="_Toc371602366"/>
      <w:r w:rsidRPr="00036213">
        <w:t>A10.</w:t>
      </w:r>
      <w:r w:rsidR="00D16205">
        <w:t xml:space="preserve"> </w:t>
      </w:r>
      <w:r w:rsidRPr="00036213">
        <w:t>Privacy of Respondents</w:t>
      </w:r>
      <w:bookmarkEnd w:id="56"/>
      <w:bookmarkEnd w:id="57"/>
      <w:r w:rsidR="0009599E" w:rsidRPr="00036213">
        <w:t xml:space="preserve"> </w:t>
      </w:r>
    </w:p>
    <w:p w:rsidR="00D16205" w:rsidRDefault="00841D8F" w:rsidP="00D16205">
      <w:pPr>
        <w:pStyle w:val="NormalSS"/>
      </w:pPr>
      <w:r>
        <w:t>The study will comply</w:t>
      </w:r>
      <w:r w:rsidRPr="009C78CA">
        <w:t xml:space="preserve"> with </w:t>
      </w:r>
      <w:r w:rsidR="004E78AA">
        <w:t>g</w:t>
      </w:r>
      <w:r w:rsidRPr="009C78CA">
        <w:t>overnment regulations</w:t>
      </w:r>
      <w:r>
        <w:t xml:space="preserve"> for securing and protecting </w:t>
      </w:r>
      <w:r w:rsidRPr="00FF4853">
        <w:t>paper records, field notes, or other documents that contain sensitive or personally identifiable information</w:t>
      </w:r>
      <w:r w:rsidRPr="009C78CA">
        <w:t>.</w:t>
      </w:r>
      <w:r>
        <w:t xml:space="preserve"> The study will assign a unique identification number to programs, </w:t>
      </w:r>
      <w:r w:rsidR="00AF25B4">
        <w:t>centers, children</w:t>
      </w:r>
      <w:r w:rsidR="00BD2483">
        <w:t>,</w:t>
      </w:r>
      <w:r w:rsidR="00AF25B4">
        <w:t xml:space="preserve"> and parents </w:t>
      </w:r>
      <w:r>
        <w:t>to facilitate the linking of information across data sources</w:t>
      </w:r>
      <w:r w:rsidR="000B3BEA">
        <w:t xml:space="preserve"> for analytic purposes</w:t>
      </w:r>
      <w:r>
        <w:t>.</w:t>
      </w:r>
    </w:p>
    <w:p w:rsidR="00D16205" w:rsidRDefault="00841D8F" w:rsidP="00D16205">
      <w:pPr>
        <w:pStyle w:val="NormalSS"/>
      </w:pPr>
      <w:r>
        <w:t xml:space="preserve">Parents will receive information about privacy protections when they consent to participate in the pilot. We have crafted carefully worded consent forms that explain in simple, direct language the steps we will take to protect the privacy of the information each sample member provides. The study will provide assurances of privacy to each parent as he or she is recruited for the pilot data collection. The consent form makes it clear that parents may withdraw their consent at any time or refuse to answer any items in the questionnaire or </w:t>
      </w:r>
      <w:r w:rsidR="000C5C92">
        <w:t>interview. Parents</w:t>
      </w:r>
      <w:r w:rsidR="00553A57">
        <w:t xml:space="preserve"> will be assured that their responses will not be shared with the Head Start program staff, their child’s primary caregiver, or the program, and that their responses will be reported only as part of aggregate statistics across all participating families. We will not share any information with any Head Start staff member. Moreover, no scale scores from direct child assessments will be reported back to programs. </w:t>
      </w:r>
    </w:p>
    <w:p w:rsidR="00D16205" w:rsidRDefault="005975AA" w:rsidP="00D16205">
      <w:pPr>
        <w:pStyle w:val="NormalSS"/>
      </w:pPr>
      <w:r>
        <w:t xml:space="preserve">To further ensure privacy, personal identifiers that could be used to link individuals with their responses will be removed from all completed questionnaires and stored under lock and key at the research team offices. Data on laptop computers will </w:t>
      </w:r>
      <w:r w:rsidR="00BD2483">
        <w:t xml:space="preserve">be </w:t>
      </w:r>
      <w:r w:rsidR="00474269" w:rsidRPr="00474269">
        <w:t>protected by a FIPS 140-2 certified encryption system.</w:t>
      </w:r>
      <w:r>
        <w:t xml:space="preserve"> Any computer files that contain this information also will be locked and password</w:t>
      </w:r>
      <w:r w:rsidR="00784B33">
        <w:t xml:space="preserve"> </w:t>
      </w:r>
      <w:r>
        <w:t xml:space="preserve">protected. Interview and data management procedures that ensure the security of data and privacy of information will be a major part of </w:t>
      </w:r>
      <w:r w:rsidR="00BD2483">
        <w:t xml:space="preserve">interviewer </w:t>
      </w:r>
      <w:r>
        <w:t>training.</w:t>
      </w:r>
    </w:p>
    <w:p w:rsidR="00D16205" w:rsidRDefault="0091739D" w:rsidP="00D16205">
      <w:pPr>
        <w:pStyle w:val="NormalSS"/>
      </w:pPr>
      <w:r w:rsidRPr="0091739D">
        <w:t xml:space="preserve">Program directors and on-site coordinators </w:t>
      </w:r>
      <w:r w:rsidR="00AB046E">
        <w:t>will be</w:t>
      </w:r>
      <w:r w:rsidRPr="0091739D">
        <w:t xml:space="preserve"> asked a small set of questions about the centers in their Head Start programs. Program directors</w:t>
      </w:r>
      <w:r w:rsidR="00AB046E">
        <w:t xml:space="preserve"> will</w:t>
      </w:r>
      <w:r w:rsidRPr="0091739D">
        <w:t xml:space="preserve"> provide the names and addresses of each center in their program</w:t>
      </w:r>
      <w:r w:rsidR="00AB046E">
        <w:t>,</w:t>
      </w:r>
      <w:r w:rsidRPr="0091739D">
        <w:t xml:space="preserve"> as well as each center’s hours of operation and estimates of its </w:t>
      </w:r>
      <w:r w:rsidR="00AB046E">
        <w:t xml:space="preserve">DLL </w:t>
      </w:r>
      <w:r w:rsidRPr="0091739D">
        <w:t xml:space="preserve">children. </w:t>
      </w:r>
      <w:r w:rsidR="00AB046E">
        <w:t>OSCs will be</w:t>
      </w:r>
      <w:r w:rsidRPr="0091739D">
        <w:t xml:space="preserve"> asked to confirm the name and address of each center chosen to participate in </w:t>
      </w:r>
      <w:r>
        <w:t xml:space="preserve">the </w:t>
      </w:r>
      <w:r w:rsidR="00174AF6">
        <w:t>pre-test</w:t>
      </w:r>
      <w:r w:rsidRPr="0091739D">
        <w:t>, provide the name and contact information for the center’s director, and identify the center’s hours of operation. The same procedu</w:t>
      </w:r>
      <w:r>
        <w:t>res that were used in FACES 2009</w:t>
      </w:r>
      <w:r w:rsidRPr="0091739D">
        <w:t xml:space="preserve"> (OMB number </w:t>
      </w:r>
      <w:r w:rsidRPr="0021112F">
        <w:t>0970-0151</w:t>
      </w:r>
      <w:r w:rsidRPr="0091739D">
        <w:t xml:space="preserve">) will be used to ensure the privacy of the information provided by program directors and </w:t>
      </w:r>
      <w:r w:rsidR="00371F3F">
        <w:t>OSCs</w:t>
      </w:r>
      <w:r w:rsidRPr="0091739D">
        <w:t>.</w:t>
      </w:r>
    </w:p>
    <w:p w:rsidR="00812477" w:rsidRPr="00036213" w:rsidRDefault="00812477" w:rsidP="00DC224F">
      <w:pPr>
        <w:pStyle w:val="Heading2Blue"/>
      </w:pPr>
      <w:bookmarkStart w:id="58" w:name="_Toc370476378"/>
      <w:bookmarkStart w:id="59" w:name="_Toc371602367"/>
      <w:r w:rsidRPr="00036213">
        <w:t>A11.</w:t>
      </w:r>
      <w:r w:rsidR="000C454B">
        <w:t xml:space="preserve"> </w:t>
      </w:r>
      <w:r w:rsidRPr="00036213">
        <w:t>Sensitive Questions</w:t>
      </w:r>
      <w:bookmarkEnd w:id="58"/>
      <w:bookmarkEnd w:id="59"/>
      <w:r w:rsidR="0009599E" w:rsidRPr="00036213">
        <w:t xml:space="preserve"> </w:t>
      </w:r>
    </w:p>
    <w:p w:rsidR="00D16205" w:rsidRDefault="00846D4F" w:rsidP="00D16205">
      <w:pPr>
        <w:pStyle w:val="NormalSS"/>
      </w:pPr>
      <w:r>
        <w:t>T</w:t>
      </w:r>
      <w:r w:rsidRPr="008C7C7C">
        <w:t xml:space="preserve">he </w:t>
      </w:r>
      <w:r w:rsidR="00417D65" w:rsidRPr="00417D65">
        <w:t>SWYC Instrument</w:t>
      </w:r>
      <w:r>
        <w:t xml:space="preserve"> includes </w:t>
      </w:r>
      <w:r w:rsidRPr="008C7C7C">
        <w:t xml:space="preserve">items </w:t>
      </w:r>
      <w:r w:rsidR="00C26326">
        <w:t>about tobacco, alcohol, and substance use in the home</w:t>
      </w:r>
      <w:r w:rsidR="006F64EA">
        <w:t>;</w:t>
      </w:r>
      <w:r w:rsidR="00C26326">
        <w:t xml:space="preserve"> parents’ depressive symptoms</w:t>
      </w:r>
      <w:r w:rsidR="006F64EA">
        <w:t>;</w:t>
      </w:r>
      <w:r w:rsidR="00C26326">
        <w:t xml:space="preserve"> and family tension.</w:t>
      </w:r>
      <w:r w:rsidRPr="008C7C7C">
        <w:t xml:space="preserve"> Some </w:t>
      </w:r>
      <w:r>
        <w:t>parents</w:t>
      </w:r>
      <w:r w:rsidRPr="008C7C7C">
        <w:t xml:space="preserve"> may consider these questions to be sensitive</w:t>
      </w:r>
      <w:r>
        <w:t xml:space="preserve"> in nature; all parents will be told that they can skip questions they prefer not to answer</w:t>
      </w:r>
      <w:r w:rsidRPr="008C7C7C">
        <w:t xml:space="preserve">. </w:t>
      </w:r>
      <w:r>
        <w:t xml:space="preserve"> </w:t>
      </w:r>
    </w:p>
    <w:p w:rsidR="00C91FB0" w:rsidRDefault="00C91FB0" w:rsidP="0089660F">
      <w:pPr>
        <w:pStyle w:val="Heading2Blue"/>
        <w:ind w:left="540" w:hanging="540"/>
      </w:pPr>
      <w:bookmarkStart w:id="60" w:name="_Toc370476379"/>
      <w:bookmarkStart w:id="61" w:name="_Toc371602368"/>
      <w:r w:rsidRPr="00036213">
        <w:t>A12.</w:t>
      </w:r>
      <w:r w:rsidR="000C454B">
        <w:t xml:space="preserve"> </w:t>
      </w:r>
      <w:r w:rsidRPr="00036213">
        <w:t>Estimation of Information Collection Burden (Newly Requested Information Collections</w:t>
      </w:r>
      <w:r w:rsidR="00036213">
        <w:t>)</w:t>
      </w:r>
      <w:bookmarkEnd w:id="60"/>
      <w:bookmarkEnd w:id="61"/>
    </w:p>
    <w:p w:rsidR="004209F9" w:rsidRDefault="005C0A89" w:rsidP="002B23CF">
      <w:pPr>
        <w:pStyle w:val="NormalSS"/>
      </w:pPr>
      <w:r>
        <w:t xml:space="preserve">The proposed data collection does not impose a financial burden on respondents nor will respondents incur any expense other than the time spent participating. </w:t>
      </w:r>
    </w:p>
    <w:p w:rsidR="004209F9" w:rsidRDefault="005C0A89" w:rsidP="002B23CF">
      <w:pPr>
        <w:pStyle w:val="NormalSS"/>
      </w:pPr>
      <w:r>
        <w:t xml:space="preserve">The estimated annual burden for study respondents is listed in Table A.3. The total annual burden is expected to be </w:t>
      </w:r>
      <w:r w:rsidR="004209F9" w:rsidRPr="004209F9">
        <w:t>18</w:t>
      </w:r>
      <w:r w:rsidR="00193664">
        <w:t>5</w:t>
      </w:r>
      <w:r w:rsidRPr="004209F9">
        <w:t xml:space="preserve"> hours</w:t>
      </w:r>
      <w:r>
        <w:t xml:space="preserve"> for all of the instruments. </w:t>
      </w:r>
    </w:p>
    <w:p w:rsidR="00E45B4D" w:rsidRDefault="00417D65" w:rsidP="00D16205">
      <w:pPr>
        <w:pStyle w:val="MarkforTableHeading"/>
      </w:pPr>
      <w:bookmarkStart w:id="62" w:name="_Toc371602388"/>
      <w:r w:rsidRPr="00417D65">
        <w:t>Table A.3. Total Burden Requested Under This Information Collection</w:t>
      </w:r>
      <w:bookmarkEnd w:id="6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325"/>
        <w:gridCol w:w="1486"/>
        <w:gridCol w:w="1266"/>
        <w:gridCol w:w="1118"/>
        <w:gridCol w:w="1034"/>
        <w:gridCol w:w="954"/>
        <w:gridCol w:w="1111"/>
      </w:tblGrid>
      <w:tr w:rsidR="002B23CF" w:rsidRPr="00D16205" w:rsidTr="0068125B">
        <w:tc>
          <w:tcPr>
            <w:tcW w:w="669"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left"/>
            </w:pPr>
            <w:r w:rsidRPr="00D16205">
              <w:t>Instrument</w:t>
            </w:r>
          </w:p>
        </w:tc>
        <w:tc>
          <w:tcPr>
            <w:tcW w:w="692"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center"/>
            </w:pPr>
            <w:r w:rsidRPr="00D16205">
              <w:t>Total Number</w:t>
            </w:r>
            <w:r>
              <w:t xml:space="preserve"> </w:t>
            </w:r>
            <w:r w:rsidRPr="00D16205">
              <w:t>of Respondents</w:t>
            </w:r>
          </w:p>
        </w:tc>
        <w:tc>
          <w:tcPr>
            <w:tcW w:w="776" w:type="pct"/>
            <w:tcBorders>
              <w:top w:val="single" w:sz="12" w:space="0" w:color="1F497D" w:themeColor="text2"/>
              <w:bottom w:val="single" w:sz="4" w:space="0" w:color="auto"/>
            </w:tcBorders>
          </w:tcPr>
          <w:p w:rsidR="002B23CF" w:rsidRPr="00D16205" w:rsidRDefault="002B23CF" w:rsidP="002B23CF">
            <w:pPr>
              <w:pStyle w:val="TableText"/>
              <w:spacing w:before="120" w:after="60"/>
              <w:ind w:firstLine="0"/>
              <w:jc w:val="center"/>
            </w:pPr>
            <w:r>
              <w:t xml:space="preserve">Annual Number of Respondents </w:t>
            </w:r>
            <w:r w:rsidRPr="00981D1A">
              <w:rPr>
                <w:sz w:val="16"/>
              </w:rPr>
              <w:t>(annualized over the 3 year generic clearance period)</w:t>
            </w:r>
          </w:p>
        </w:tc>
        <w:tc>
          <w:tcPr>
            <w:tcW w:w="661"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center"/>
            </w:pPr>
            <w:r w:rsidRPr="00D16205">
              <w:t>Number of Responses per Respondent</w:t>
            </w:r>
          </w:p>
        </w:tc>
        <w:tc>
          <w:tcPr>
            <w:tcW w:w="584"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center"/>
            </w:pPr>
            <w:r w:rsidRPr="00D16205">
              <w:t>Average Burden Hours per Response</w:t>
            </w:r>
          </w:p>
        </w:tc>
        <w:tc>
          <w:tcPr>
            <w:tcW w:w="540"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center"/>
            </w:pPr>
            <w:r w:rsidRPr="00D16205">
              <w:t>Annual Burden Hours</w:t>
            </w:r>
          </w:p>
        </w:tc>
        <w:tc>
          <w:tcPr>
            <w:tcW w:w="498"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center"/>
            </w:pPr>
            <w:r w:rsidRPr="00D16205">
              <w:t>Average Hourly Wage</w:t>
            </w:r>
          </w:p>
        </w:tc>
        <w:tc>
          <w:tcPr>
            <w:tcW w:w="580" w:type="pct"/>
            <w:tcBorders>
              <w:top w:val="single" w:sz="12" w:space="0" w:color="1F497D" w:themeColor="text2"/>
              <w:bottom w:val="single" w:sz="4" w:space="0" w:color="auto"/>
            </w:tcBorders>
            <w:vAlign w:val="bottom"/>
          </w:tcPr>
          <w:p w:rsidR="002B23CF" w:rsidRPr="00D16205" w:rsidRDefault="002B23CF" w:rsidP="002B23CF">
            <w:pPr>
              <w:pStyle w:val="TableText"/>
              <w:spacing w:before="120" w:after="60"/>
              <w:ind w:firstLine="0"/>
              <w:jc w:val="center"/>
            </w:pPr>
            <w:r w:rsidRPr="00D16205">
              <w:t>Total Annual Cost</w:t>
            </w:r>
          </w:p>
        </w:tc>
      </w:tr>
      <w:tr w:rsidR="002B23CF" w:rsidRPr="00D16205" w:rsidTr="0068125B">
        <w:tc>
          <w:tcPr>
            <w:tcW w:w="669" w:type="pct"/>
            <w:tcBorders>
              <w:top w:val="single" w:sz="4" w:space="0" w:color="auto"/>
              <w:left w:val="single" w:sz="4" w:space="0" w:color="auto"/>
              <w:bottom w:val="single" w:sz="4" w:space="0" w:color="auto"/>
              <w:right w:val="single" w:sz="4" w:space="0" w:color="auto"/>
            </w:tcBorders>
          </w:tcPr>
          <w:p w:rsidR="002B23CF" w:rsidRPr="00D16205" w:rsidRDefault="002B23CF" w:rsidP="002B23CF">
            <w:pPr>
              <w:pStyle w:val="TableText"/>
              <w:ind w:firstLine="0"/>
              <w:jc w:val="left"/>
            </w:pPr>
            <w:r>
              <w:t>Program Recruitment Script and Screener</w:t>
            </w:r>
          </w:p>
        </w:tc>
        <w:tc>
          <w:tcPr>
            <w:tcW w:w="692"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051616">
            <w:pPr>
              <w:pStyle w:val="TableText"/>
              <w:tabs>
                <w:tab w:val="decimal" w:pos="608"/>
              </w:tabs>
              <w:ind w:firstLine="0"/>
              <w:jc w:val="left"/>
            </w:pPr>
            <w:r>
              <w:t>10</w:t>
            </w:r>
          </w:p>
        </w:tc>
        <w:tc>
          <w:tcPr>
            <w:tcW w:w="776" w:type="pct"/>
            <w:tcBorders>
              <w:top w:val="single" w:sz="4" w:space="0" w:color="auto"/>
              <w:left w:val="single" w:sz="4" w:space="0" w:color="auto"/>
              <w:bottom w:val="single" w:sz="4" w:space="0" w:color="auto"/>
              <w:right w:val="single" w:sz="4" w:space="0" w:color="auto"/>
            </w:tcBorders>
            <w:vAlign w:val="bottom"/>
          </w:tcPr>
          <w:p w:rsidR="002B23CF" w:rsidRDefault="0068125B" w:rsidP="00A55A24">
            <w:pPr>
              <w:pStyle w:val="TableText"/>
              <w:ind w:firstLine="0"/>
              <w:jc w:val="center"/>
            </w:pPr>
            <w:r>
              <w:t>3</w:t>
            </w:r>
          </w:p>
        </w:tc>
        <w:tc>
          <w:tcPr>
            <w:tcW w:w="661"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1</w:t>
            </w:r>
          </w:p>
        </w:tc>
        <w:tc>
          <w:tcPr>
            <w:tcW w:w="584"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.33</w:t>
            </w:r>
          </w:p>
        </w:tc>
        <w:tc>
          <w:tcPr>
            <w:tcW w:w="540" w:type="pct"/>
            <w:tcBorders>
              <w:top w:val="single" w:sz="4" w:space="0" w:color="auto"/>
              <w:left w:val="single" w:sz="4" w:space="0" w:color="auto"/>
              <w:bottom w:val="single" w:sz="4" w:space="0" w:color="auto"/>
              <w:right w:val="single" w:sz="4" w:space="0" w:color="auto"/>
            </w:tcBorders>
            <w:vAlign w:val="bottom"/>
          </w:tcPr>
          <w:p w:rsidR="002B23CF" w:rsidRPr="00D16205" w:rsidDel="00483336" w:rsidRDefault="0068125B" w:rsidP="00A55A24">
            <w:pPr>
              <w:pStyle w:val="TableText"/>
              <w:ind w:firstLine="0"/>
              <w:jc w:val="center"/>
            </w:pPr>
            <w:r>
              <w:t>1</w:t>
            </w:r>
          </w:p>
        </w:tc>
        <w:tc>
          <w:tcPr>
            <w:tcW w:w="498"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$22.01</w:t>
            </w:r>
          </w:p>
        </w:tc>
        <w:tc>
          <w:tcPr>
            <w:tcW w:w="58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193664">
            <w:pPr>
              <w:pStyle w:val="TableText"/>
              <w:ind w:firstLine="0"/>
              <w:jc w:val="center"/>
            </w:pPr>
            <w:r>
              <w:t>$</w:t>
            </w:r>
            <w:r w:rsidR="00193664">
              <w:t>22.01</w:t>
            </w:r>
          </w:p>
        </w:tc>
      </w:tr>
      <w:tr w:rsidR="002B23CF" w:rsidRPr="00D16205" w:rsidTr="0068125B">
        <w:tc>
          <w:tcPr>
            <w:tcW w:w="669" w:type="pct"/>
            <w:tcBorders>
              <w:top w:val="single" w:sz="4" w:space="0" w:color="auto"/>
              <w:left w:val="single" w:sz="4" w:space="0" w:color="auto"/>
              <w:bottom w:val="single" w:sz="4" w:space="0" w:color="auto"/>
              <w:right w:val="single" w:sz="4" w:space="0" w:color="auto"/>
            </w:tcBorders>
          </w:tcPr>
          <w:p w:rsidR="002B23CF" w:rsidRPr="00D16205" w:rsidRDefault="002B23CF" w:rsidP="002B23CF">
            <w:pPr>
              <w:pStyle w:val="TableText"/>
              <w:ind w:firstLine="0"/>
              <w:jc w:val="left"/>
            </w:pPr>
            <w:r>
              <w:t>Classroom Selection Form</w:t>
            </w:r>
          </w:p>
        </w:tc>
        <w:tc>
          <w:tcPr>
            <w:tcW w:w="692"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051616">
            <w:pPr>
              <w:pStyle w:val="TableText"/>
              <w:tabs>
                <w:tab w:val="decimal" w:pos="608"/>
              </w:tabs>
              <w:ind w:firstLine="0"/>
              <w:jc w:val="left"/>
            </w:pPr>
            <w:r>
              <w:t>8</w:t>
            </w:r>
          </w:p>
        </w:tc>
        <w:tc>
          <w:tcPr>
            <w:tcW w:w="776" w:type="pct"/>
            <w:tcBorders>
              <w:top w:val="single" w:sz="4" w:space="0" w:color="auto"/>
              <w:left w:val="single" w:sz="4" w:space="0" w:color="auto"/>
              <w:bottom w:val="single" w:sz="4" w:space="0" w:color="auto"/>
              <w:right w:val="single" w:sz="4" w:space="0" w:color="auto"/>
            </w:tcBorders>
            <w:vAlign w:val="bottom"/>
          </w:tcPr>
          <w:p w:rsidR="002B23CF" w:rsidRDefault="00193664" w:rsidP="00A55A24">
            <w:pPr>
              <w:pStyle w:val="TableText"/>
              <w:ind w:firstLine="0"/>
              <w:jc w:val="center"/>
            </w:pPr>
            <w:r>
              <w:t>3</w:t>
            </w:r>
          </w:p>
        </w:tc>
        <w:tc>
          <w:tcPr>
            <w:tcW w:w="661"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1</w:t>
            </w:r>
          </w:p>
        </w:tc>
        <w:tc>
          <w:tcPr>
            <w:tcW w:w="584"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.33</w:t>
            </w:r>
          </w:p>
        </w:tc>
        <w:tc>
          <w:tcPr>
            <w:tcW w:w="540" w:type="pct"/>
            <w:tcBorders>
              <w:top w:val="single" w:sz="4" w:space="0" w:color="auto"/>
              <w:left w:val="single" w:sz="4" w:space="0" w:color="auto"/>
              <w:bottom w:val="single" w:sz="4" w:space="0" w:color="auto"/>
              <w:right w:val="single" w:sz="4" w:space="0" w:color="auto"/>
            </w:tcBorders>
            <w:vAlign w:val="bottom"/>
          </w:tcPr>
          <w:p w:rsidR="002B23CF" w:rsidRPr="00D16205" w:rsidDel="00483336" w:rsidRDefault="00193664" w:rsidP="00A55A24">
            <w:pPr>
              <w:pStyle w:val="TableText"/>
              <w:ind w:firstLine="0"/>
              <w:jc w:val="center"/>
            </w:pPr>
            <w:r>
              <w:t>1</w:t>
            </w:r>
          </w:p>
        </w:tc>
        <w:tc>
          <w:tcPr>
            <w:tcW w:w="498"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$22.01</w:t>
            </w:r>
          </w:p>
        </w:tc>
        <w:tc>
          <w:tcPr>
            <w:tcW w:w="58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193664">
            <w:pPr>
              <w:pStyle w:val="TableText"/>
              <w:ind w:firstLine="0"/>
              <w:jc w:val="center"/>
            </w:pPr>
            <w:r>
              <w:t>$</w:t>
            </w:r>
            <w:r w:rsidR="00193664">
              <w:t>22.01</w:t>
            </w:r>
          </w:p>
        </w:tc>
      </w:tr>
      <w:tr w:rsidR="002B23CF" w:rsidRPr="00D16205" w:rsidTr="0068125B">
        <w:tc>
          <w:tcPr>
            <w:tcW w:w="669" w:type="pct"/>
            <w:tcBorders>
              <w:top w:val="single" w:sz="4" w:space="0" w:color="auto"/>
              <w:left w:val="single" w:sz="4" w:space="0" w:color="auto"/>
              <w:bottom w:val="single" w:sz="4" w:space="0" w:color="auto"/>
              <w:right w:val="single" w:sz="4" w:space="0" w:color="auto"/>
            </w:tcBorders>
          </w:tcPr>
          <w:p w:rsidR="002B23CF" w:rsidRPr="00D16205" w:rsidRDefault="002B23CF" w:rsidP="002B23CF">
            <w:pPr>
              <w:pStyle w:val="TableText"/>
              <w:ind w:firstLine="0"/>
              <w:jc w:val="left"/>
            </w:pPr>
            <w:r w:rsidRPr="00D16205">
              <w:t xml:space="preserve">Direct </w:t>
            </w:r>
            <w:r>
              <w:t xml:space="preserve">Child </w:t>
            </w:r>
            <w:r w:rsidRPr="00D16205">
              <w:t>Assessment</w:t>
            </w:r>
          </w:p>
        </w:tc>
        <w:tc>
          <w:tcPr>
            <w:tcW w:w="692" w:type="pct"/>
            <w:tcBorders>
              <w:top w:val="single" w:sz="4" w:space="0" w:color="auto"/>
              <w:left w:val="single" w:sz="4" w:space="0" w:color="auto"/>
              <w:bottom w:val="single" w:sz="4" w:space="0" w:color="auto"/>
              <w:right w:val="single" w:sz="4" w:space="0" w:color="auto"/>
            </w:tcBorders>
            <w:vAlign w:val="bottom"/>
          </w:tcPr>
          <w:p w:rsidR="002B23CF" w:rsidRDefault="002B23CF" w:rsidP="00051616">
            <w:pPr>
              <w:pStyle w:val="TableText"/>
              <w:tabs>
                <w:tab w:val="decimal" w:pos="608"/>
              </w:tabs>
              <w:ind w:firstLine="0"/>
              <w:jc w:val="left"/>
            </w:pPr>
            <w:r w:rsidRPr="00D16205">
              <w:t>450</w:t>
            </w:r>
          </w:p>
        </w:tc>
        <w:tc>
          <w:tcPr>
            <w:tcW w:w="776"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150</w:t>
            </w:r>
          </w:p>
        </w:tc>
        <w:tc>
          <w:tcPr>
            <w:tcW w:w="661" w:type="pct"/>
            <w:tcBorders>
              <w:top w:val="single" w:sz="4" w:space="0" w:color="auto"/>
              <w:left w:val="single" w:sz="4" w:space="0" w:color="auto"/>
              <w:bottom w:val="single" w:sz="4" w:space="0" w:color="auto"/>
              <w:right w:val="single" w:sz="4" w:space="0" w:color="auto"/>
            </w:tcBorders>
            <w:vAlign w:val="bottom"/>
          </w:tcPr>
          <w:p w:rsidR="002B23CF" w:rsidRDefault="002B23CF" w:rsidP="00A55A24">
            <w:pPr>
              <w:pStyle w:val="TableText"/>
              <w:ind w:firstLine="0"/>
              <w:jc w:val="center"/>
            </w:pPr>
            <w:r w:rsidRPr="00D16205">
              <w:t>1</w:t>
            </w:r>
          </w:p>
        </w:tc>
        <w:tc>
          <w:tcPr>
            <w:tcW w:w="584"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1</w:t>
            </w:r>
          </w:p>
        </w:tc>
        <w:tc>
          <w:tcPr>
            <w:tcW w:w="54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1</w:t>
            </w:r>
            <w:r w:rsidRPr="00D16205">
              <w:t>50</w:t>
            </w:r>
          </w:p>
        </w:tc>
        <w:tc>
          <w:tcPr>
            <w:tcW w:w="498"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N/A</w:t>
            </w:r>
          </w:p>
        </w:tc>
        <w:tc>
          <w:tcPr>
            <w:tcW w:w="58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N/A</w:t>
            </w:r>
          </w:p>
        </w:tc>
      </w:tr>
      <w:tr w:rsidR="002B23CF" w:rsidRPr="00D16205" w:rsidTr="0068125B">
        <w:tc>
          <w:tcPr>
            <w:tcW w:w="669" w:type="pct"/>
            <w:tcBorders>
              <w:top w:val="single" w:sz="4" w:space="0" w:color="auto"/>
              <w:left w:val="single" w:sz="4" w:space="0" w:color="auto"/>
              <w:bottom w:val="single" w:sz="4" w:space="0" w:color="auto"/>
              <w:right w:val="single" w:sz="4" w:space="0" w:color="auto"/>
            </w:tcBorders>
          </w:tcPr>
          <w:p w:rsidR="002B23CF" w:rsidRPr="00D16205" w:rsidRDefault="002B23CF" w:rsidP="002B23CF">
            <w:pPr>
              <w:pStyle w:val="TableText"/>
              <w:ind w:firstLine="0"/>
              <w:jc w:val="left"/>
            </w:pPr>
            <w:r w:rsidRPr="00D16205">
              <w:t>Parent Survey</w:t>
            </w:r>
          </w:p>
        </w:tc>
        <w:tc>
          <w:tcPr>
            <w:tcW w:w="692" w:type="pct"/>
            <w:tcBorders>
              <w:top w:val="single" w:sz="4" w:space="0" w:color="auto"/>
              <w:left w:val="single" w:sz="4" w:space="0" w:color="auto"/>
              <w:bottom w:val="single" w:sz="4" w:space="0" w:color="auto"/>
              <w:right w:val="single" w:sz="4" w:space="0" w:color="auto"/>
            </w:tcBorders>
            <w:vAlign w:val="bottom"/>
          </w:tcPr>
          <w:p w:rsidR="002B23CF" w:rsidRDefault="002B23CF" w:rsidP="00051616">
            <w:pPr>
              <w:pStyle w:val="TableText"/>
              <w:tabs>
                <w:tab w:val="decimal" w:pos="608"/>
              </w:tabs>
              <w:ind w:firstLine="0"/>
              <w:jc w:val="left"/>
            </w:pPr>
            <w:r w:rsidRPr="00D16205">
              <w:t>450</w:t>
            </w:r>
          </w:p>
        </w:tc>
        <w:tc>
          <w:tcPr>
            <w:tcW w:w="776"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150</w:t>
            </w:r>
          </w:p>
        </w:tc>
        <w:tc>
          <w:tcPr>
            <w:tcW w:w="661" w:type="pct"/>
            <w:tcBorders>
              <w:top w:val="single" w:sz="4" w:space="0" w:color="auto"/>
              <w:left w:val="single" w:sz="4" w:space="0" w:color="auto"/>
              <w:bottom w:val="single" w:sz="4" w:space="0" w:color="auto"/>
              <w:right w:val="single" w:sz="4" w:space="0" w:color="auto"/>
            </w:tcBorders>
            <w:vAlign w:val="bottom"/>
          </w:tcPr>
          <w:p w:rsidR="002B23CF" w:rsidRDefault="002B23CF" w:rsidP="00A55A24">
            <w:pPr>
              <w:pStyle w:val="TableText"/>
              <w:ind w:firstLine="0"/>
              <w:jc w:val="center"/>
            </w:pPr>
            <w:r w:rsidRPr="00D16205">
              <w:t>1</w:t>
            </w:r>
          </w:p>
        </w:tc>
        <w:tc>
          <w:tcPr>
            <w:tcW w:w="584"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0.17</w:t>
            </w:r>
          </w:p>
        </w:tc>
        <w:tc>
          <w:tcPr>
            <w:tcW w:w="54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2</w:t>
            </w:r>
            <w:r w:rsidR="00193664">
              <w:t>6</w:t>
            </w:r>
          </w:p>
        </w:tc>
        <w:tc>
          <w:tcPr>
            <w:tcW w:w="498"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$22.01</w:t>
            </w:r>
          </w:p>
        </w:tc>
        <w:tc>
          <w:tcPr>
            <w:tcW w:w="58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193664">
            <w:pPr>
              <w:pStyle w:val="TableText"/>
              <w:ind w:firstLine="0"/>
              <w:jc w:val="center"/>
            </w:pPr>
            <w:r w:rsidRPr="00D16205">
              <w:t>$</w:t>
            </w:r>
            <w:r w:rsidR="00193664">
              <w:t>572.26</w:t>
            </w:r>
          </w:p>
        </w:tc>
      </w:tr>
      <w:tr w:rsidR="002B23CF" w:rsidRPr="00D16205" w:rsidTr="0068125B">
        <w:tc>
          <w:tcPr>
            <w:tcW w:w="669" w:type="pct"/>
            <w:tcBorders>
              <w:top w:val="single" w:sz="4" w:space="0" w:color="auto"/>
              <w:left w:val="single" w:sz="4" w:space="0" w:color="auto"/>
              <w:bottom w:val="single" w:sz="4" w:space="0" w:color="auto"/>
              <w:right w:val="single" w:sz="4" w:space="0" w:color="auto"/>
            </w:tcBorders>
          </w:tcPr>
          <w:p w:rsidR="002B23CF" w:rsidRPr="00D16205" w:rsidRDefault="002B23CF" w:rsidP="002B23CF">
            <w:pPr>
              <w:pStyle w:val="TableText"/>
              <w:ind w:firstLine="0"/>
              <w:jc w:val="left"/>
            </w:pPr>
            <w:r w:rsidRPr="00D16205">
              <w:t>Cognitive Interview</w:t>
            </w:r>
          </w:p>
        </w:tc>
        <w:tc>
          <w:tcPr>
            <w:tcW w:w="692" w:type="pct"/>
            <w:tcBorders>
              <w:top w:val="single" w:sz="4" w:space="0" w:color="auto"/>
              <w:left w:val="single" w:sz="4" w:space="0" w:color="auto"/>
              <w:bottom w:val="single" w:sz="4" w:space="0" w:color="auto"/>
              <w:right w:val="single" w:sz="4" w:space="0" w:color="auto"/>
            </w:tcBorders>
            <w:vAlign w:val="bottom"/>
          </w:tcPr>
          <w:p w:rsidR="002B23CF" w:rsidRDefault="002B23CF" w:rsidP="00051616">
            <w:pPr>
              <w:pStyle w:val="TableText"/>
              <w:tabs>
                <w:tab w:val="decimal" w:pos="608"/>
              </w:tabs>
              <w:ind w:firstLine="0"/>
              <w:jc w:val="left"/>
            </w:pPr>
            <w:r w:rsidRPr="00D16205">
              <w:t>40</w:t>
            </w:r>
          </w:p>
        </w:tc>
        <w:tc>
          <w:tcPr>
            <w:tcW w:w="776"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13</w:t>
            </w:r>
          </w:p>
        </w:tc>
        <w:tc>
          <w:tcPr>
            <w:tcW w:w="661" w:type="pct"/>
            <w:tcBorders>
              <w:top w:val="single" w:sz="4" w:space="0" w:color="auto"/>
              <w:left w:val="single" w:sz="4" w:space="0" w:color="auto"/>
              <w:bottom w:val="single" w:sz="4" w:space="0" w:color="auto"/>
              <w:right w:val="single" w:sz="4" w:space="0" w:color="auto"/>
            </w:tcBorders>
            <w:vAlign w:val="bottom"/>
          </w:tcPr>
          <w:p w:rsidR="002B23CF" w:rsidRDefault="002B23CF" w:rsidP="00A55A24">
            <w:pPr>
              <w:pStyle w:val="TableText"/>
              <w:ind w:firstLine="0"/>
              <w:jc w:val="center"/>
            </w:pPr>
            <w:r w:rsidRPr="00D16205">
              <w:t>1</w:t>
            </w:r>
          </w:p>
        </w:tc>
        <w:tc>
          <w:tcPr>
            <w:tcW w:w="584"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0.5</w:t>
            </w:r>
          </w:p>
        </w:tc>
        <w:tc>
          <w:tcPr>
            <w:tcW w:w="54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t>7</w:t>
            </w:r>
          </w:p>
        </w:tc>
        <w:tc>
          <w:tcPr>
            <w:tcW w:w="498"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A55A24">
            <w:pPr>
              <w:pStyle w:val="TableText"/>
              <w:ind w:firstLine="0"/>
              <w:jc w:val="center"/>
            </w:pPr>
            <w:r w:rsidRPr="00D16205">
              <w:t>$22.01</w:t>
            </w:r>
          </w:p>
        </w:tc>
        <w:tc>
          <w:tcPr>
            <w:tcW w:w="580" w:type="pct"/>
            <w:tcBorders>
              <w:top w:val="single" w:sz="4" w:space="0" w:color="auto"/>
              <w:left w:val="single" w:sz="4" w:space="0" w:color="auto"/>
              <w:bottom w:val="single" w:sz="4" w:space="0" w:color="auto"/>
              <w:right w:val="single" w:sz="4" w:space="0" w:color="auto"/>
            </w:tcBorders>
            <w:vAlign w:val="bottom"/>
          </w:tcPr>
          <w:p w:rsidR="002B23CF" w:rsidRPr="00D16205" w:rsidRDefault="002B23CF" w:rsidP="00193664">
            <w:pPr>
              <w:pStyle w:val="TableText"/>
              <w:ind w:firstLine="0"/>
              <w:jc w:val="center"/>
            </w:pPr>
            <w:r w:rsidRPr="00D16205">
              <w:t>$</w:t>
            </w:r>
            <w:r w:rsidR="00193664">
              <w:t>154.07</w:t>
            </w:r>
          </w:p>
        </w:tc>
      </w:tr>
      <w:tr w:rsidR="00051616" w:rsidRPr="00D16205" w:rsidTr="00051616">
        <w:tc>
          <w:tcPr>
            <w:tcW w:w="1361" w:type="pct"/>
            <w:gridSpan w:val="2"/>
            <w:tcBorders>
              <w:top w:val="single" w:sz="4" w:space="0" w:color="auto"/>
              <w:bottom w:val="single" w:sz="4" w:space="0" w:color="1F497D" w:themeColor="text2"/>
            </w:tcBorders>
            <w:shd w:val="clear" w:color="auto" w:fill="D9D9D9" w:themeFill="background1" w:themeFillShade="D9"/>
          </w:tcPr>
          <w:p w:rsidR="00051616" w:rsidRPr="00A55A24" w:rsidRDefault="00051616" w:rsidP="00051616">
            <w:pPr>
              <w:pStyle w:val="TableText"/>
              <w:tabs>
                <w:tab w:val="decimal" w:pos="608"/>
              </w:tabs>
              <w:spacing w:before="120" w:after="60"/>
              <w:ind w:firstLine="0"/>
              <w:jc w:val="left"/>
              <w:rPr>
                <w:b/>
              </w:rPr>
            </w:pPr>
            <w:r w:rsidRPr="00A55A24">
              <w:rPr>
                <w:b/>
              </w:rPr>
              <w:t>Estimated Total</w:t>
            </w:r>
          </w:p>
        </w:tc>
        <w:tc>
          <w:tcPr>
            <w:tcW w:w="776" w:type="pct"/>
            <w:tcBorders>
              <w:top w:val="single" w:sz="4" w:space="0" w:color="auto"/>
              <w:bottom w:val="single" w:sz="4" w:space="0" w:color="1F497D" w:themeColor="text2"/>
            </w:tcBorders>
            <w:shd w:val="clear" w:color="auto" w:fill="D9D9D9" w:themeFill="background1" w:themeFillShade="D9"/>
            <w:vAlign w:val="bottom"/>
          </w:tcPr>
          <w:p w:rsidR="00051616" w:rsidRPr="00A55A24" w:rsidRDefault="00051616" w:rsidP="00051616">
            <w:pPr>
              <w:pStyle w:val="TableText"/>
              <w:spacing w:before="120" w:after="60"/>
              <w:ind w:firstLine="0"/>
              <w:jc w:val="center"/>
              <w:rPr>
                <w:b/>
              </w:rPr>
            </w:pPr>
          </w:p>
        </w:tc>
        <w:tc>
          <w:tcPr>
            <w:tcW w:w="661" w:type="pct"/>
            <w:tcBorders>
              <w:top w:val="single" w:sz="4" w:space="0" w:color="auto"/>
              <w:bottom w:val="single" w:sz="4" w:space="0" w:color="1F497D" w:themeColor="text2"/>
            </w:tcBorders>
            <w:shd w:val="clear" w:color="auto" w:fill="D9D9D9" w:themeFill="background1" w:themeFillShade="D9"/>
            <w:vAlign w:val="bottom"/>
          </w:tcPr>
          <w:p w:rsidR="00051616" w:rsidRPr="00A55A24" w:rsidRDefault="00051616" w:rsidP="00051616">
            <w:pPr>
              <w:pStyle w:val="TableText"/>
              <w:spacing w:before="120" w:after="60"/>
              <w:ind w:firstLine="0"/>
              <w:jc w:val="center"/>
              <w:rPr>
                <w:b/>
              </w:rPr>
            </w:pPr>
          </w:p>
        </w:tc>
        <w:tc>
          <w:tcPr>
            <w:tcW w:w="584" w:type="pct"/>
            <w:tcBorders>
              <w:top w:val="single" w:sz="4" w:space="0" w:color="auto"/>
              <w:bottom w:val="single" w:sz="4" w:space="0" w:color="1F497D" w:themeColor="text2"/>
            </w:tcBorders>
            <w:shd w:val="clear" w:color="auto" w:fill="D9D9D9" w:themeFill="background1" w:themeFillShade="D9"/>
            <w:vAlign w:val="bottom"/>
          </w:tcPr>
          <w:p w:rsidR="00051616" w:rsidRPr="00A55A24" w:rsidRDefault="00051616" w:rsidP="00051616">
            <w:pPr>
              <w:pStyle w:val="TableText"/>
              <w:spacing w:before="120" w:after="60"/>
              <w:ind w:firstLine="0"/>
              <w:jc w:val="center"/>
              <w:rPr>
                <w:b/>
              </w:rPr>
            </w:pPr>
          </w:p>
        </w:tc>
        <w:tc>
          <w:tcPr>
            <w:tcW w:w="540" w:type="pct"/>
            <w:tcBorders>
              <w:top w:val="single" w:sz="4" w:space="0" w:color="auto"/>
              <w:bottom w:val="single" w:sz="4" w:space="0" w:color="1F497D" w:themeColor="text2"/>
            </w:tcBorders>
            <w:shd w:val="clear" w:color="auto" w:fill="D9D9D9" w:themeFill="background1" w:themeFillShade="D9"/>
            <w:vAlign w:val="bottom"/>
          </w:tcPr>
          <w:p w:rsidR="00051616" w:rsidRPr="00A55A24" w:rsidRDefault="00193664" w:rsidP="00193664">
            <w:pPr>
              <w:pStyle w:val="TableText"/>
              <w:spacing w:before="120" w:after="60"/>
              <w:ind w:firstLine="0"/>
              <w:jc w:val="center"/>
              <w:rPr>
                <w:b/>
              </w:rPr>
            </w:pPr>
            <w:r w:rsidRPr="00A55A24">
              <w:rPr>
                <w:b/>
              </w:rPr>
              <w:t>18</w:t>
            </w:r>
            <w:r>
              <w:rPr>
                <w:b/>
              </w:rPr>
              <w:t>5</w:t>
            </w:r>
          </w:p>
        </w:tc>
        <w:tc>
          <w:tcPr>
            <w:tcW w:w="498" w:type="pct"/>
            <w:tcBorders>
              <w:top w:val="single" w:sz="4" w:space="0" w:color="auto"/>
              <w:bottom w:val="single" w:sz="4" w:space="0" w:color="1F497D" w:themeColor="text2"/>
            </w:tcBorders>
            <w:shd w:val="clear" w:color="auto" w:fill="D9D9D9" w:themeFill="background1" w:themeFillShade="D9"/>
            <w:vAlign w:val="bottom"/>
          </w:tcPr>
          <w:p w:rsidR="00051616" w:rsidRPr="00A55A24" w:rsidRDefault="00051616" w:rsidP="00051616">
            <w:pPr>
              <w:pStyle w:val="TableText"/>
              <w:spacing w:before="120" w:after="60"/>
              <w:ind w:firstLine="0"/>
              <w:jc w:val="center"/>
              <w:rPr>
                <w:b/>
              </w:rPr>
            </w:pPr>
          </w:p>
        </w:tc>
        <w:tc>
          <w:tcPr>
            <w:tcW w:w="580" w:type="pct"/>
            <w:tcBorders>
              <w:top w:val="single" w:sz="4" w:space="0" w:color="auto"/>
              <w:bottom w:val="single" w:sz="4" w:space="0" w:color="1F497D" w:themeColor="text2"/>
            </w:tcBorders>
            <w:shd w:val="clear" w:color="auto" w:fill="D9D9D9" w:themeFill="background1" w:themeFillShade="D9"/>
            <w:vAlign w:val="bottom"/>
          </w:tcPr>
          <w:p w:rsidR="00051616" w:rsidRPr="00A55A24" w:rsidRDefault="00051616" w:rsidP="00193664">
            <w:pPr>
              <w:pStyle w:val="TableText"/>
              <w:spacing w:before="120" w:after="60"/>
              <w:ind w:firstLine="0"/>
              <w:jc w:val="center"/>
              <w:rPr>
                <w:b/>
              </w:rPr>
            </w:pPr>
            <w:r w:rsidRPr="00A55A24">
              <w:rPr>
                <w:b/>
              </w:rPr>
              <w:t>$</w:t>
            </w:r>
            <w:r w:rsidR="00193664">
              <w:rPr>
                <w:b/>
              </w:rPr>
              <w:t>770.35</w:t>
            </w:r>
          </w:p>
        </w:tc>
      </w:tr>
    </w:tbl>
    <w:p w:rsidR="00A55A24" w:rsidRPr="00CC552D" w:rsidRDefault="00A55A24" w:rsidP="000F1845">
      <w:pPr>
        <w:pStyle w:val="Heading3"/>
        <w:spacing w:before="240"/>
      </w:pPr>
      <w:bookmarkStart w:id="63" w:name="_Toc370476380"/>
      <w:bookmarkStart w:id="64" w:name="_Toc371602369"/>
      <w:r w:rsidRPr="00193664">
        <w:rPr>
          <w:i/>
        </w:rPr>
        <w:t xml:space="preserve">Total Annual </w:t>
      </w:r>
      <w:r w:rsidR="00193664" w:rsidRPr="00193664">
        <w:rPr>
          <w:i/>
        </w:rPr>
        <w:t>Cost</w:t>
      </w:r>
      <w:bookmarkEnd w:id="63"/>
      <w:bookmarkEnd w:id="64"/>
    </w:p>
    <w:p w:rsidR="00D16205" w:rsidRDefault="00A55A24" w:rsidP="000F1845">
      <w:pPr>
        <w:pStyle w:val="NormalSS"/>
      </w:pPr>
      <w:r>
        <w:t xml:space="preserve">To compute the total estimated annual cost, the total burden hours were multiplied by the average hourly wage for parents. We used $22.01 per hour, which is the average hourly wage reported by the Bureau of Labor Statistics, Current Employment Statistics Survey, 2012. </w:t>
      </w:r>
    </w:p>
    <w:p w:rsidR="00036213" w:rsidRPr="00036213" w:rsidRDefault="00036213" w:rsidP="00DC224F">
      <w:pPr>
        <w:pStyle w:val="Heading2Blue"/>
      </w:pPr>
      <w:bookmarkStart w:id="65" w:name="_Toc370476381"/>
      <w:bookmarkStart w:id="66" w:name="_Toc371602370"/>
      <w:r w:rsidRPr="00036213">
        <w:t>A13. Cost Burden to Respondents or Record Keepers</w:t>
      </w:r>
      <w:bookmarkEnd w:id="65"/>
      <w:bookmarkEnd w:id="66"/>
    </w:p>
    <w:p w:rsidR="00D16205" w:rsidRDefault="00036213" w:rsidP="00D16205">
      <w:pPr>
        <w:pStyle w:val="NormalSS"/>
      </w:pPr>
      <w:r w:rsidRPr="00196478">
        <w:t>Not applicable. There are no additional costs to respondents</w:t>
      </w:r>
      <w:r w:rsidRPr="00030EF1">
        <w:t>; they spend only their t</w:t>
      </w:r>
      <w:r>
        <w:t>ime to participate in the study</w:t>
      </w:r>
      <w:r w:rsidRPr="00196478">
        <w:t>.</w:t>
      </w:r>
    </w:p>
    <w:p w:rsidR="00812477" w:rsidRPr="00036213" w:rsidRDefault="00812477" w:rsidP="00DC224F">
      <w:pPr>
        <w:pStyle w:val="Heading2Blue"/>
      </w:pPr>
      <w:bookmarkStart w:id="67" w:name="_Toc370476382"/>
      <w:bookmarkStart w:id="68" w:name="_Toc371602371"/>
      <w:r w:rsidRPr="00036213">
        <w:t>A14. Estimate of Cost to the Federal Government</w:t>
      </w:r>
      <w:bookmarkEnd w:id="67"/>
      <w:bookmarkEnd w:id="68"/>
    </w:p>
    <w:p w:rsidR="00D16205" w:rsidRDefault="00315AF6" w:rsidP="008C59E7">
      <w:pPr>
        <w:pStyle w:val="NormalSS"/>
      </w:pPr>
      <w:r w:rsidRPr="000E73BE">
        <w:t xml:space="preserve">The </w:t>
      </w:r>
      <w:r w:rsidR="008C59E7">
        <w:t xml:space="preserve">annual </w:t>
      </w:r>
      <w:r w:rsidRPr="000E73BE">
        <w:t xml:space="preserve">cost to the federal government of contacting the </w:t>
      </w:r>
      <w:r>
        <w:t>10</w:t>
      </w:r>
      <w:r w:rsidRPr="000E73BE">
        <w:t xml:space="preserve"> Head Start</w:t>
      </w:r>
      <w:r>
        <w:t xml:space="preserve"> </w:t>
      </w:r>
      <w:r w:rsidR="00136DB4">
        <w:t>programs, recruiting participants</w:t>
      </w:r>
      <w:r>
        <w:t>,</w:t>
      </w:r>
      <w:r w:rsidR="00136DB4">
        <w:t xml:space="preserve"> conducting child assessments</w:t>
      </w:r>
      <w:r w:rsidR="00AA1FC0">
        <w:t xml:space="preserve"> and</w:t>
      </w:r>
      <w:r w:rsidR="00136DB4">
        <w:t xml:space="preserve"> parent interviews</w:t>
      </w:r>
      <w:r w:rsidR="008C59E7">
        <w:t xml:space="preserve">, </w:t>
      </w:r>
      <w:r>
        <w:t xml:space="preserve">analyzing the collected data, summarizing findings in response to the study’s research questions, and developing a final </w:t>
      </w:r>
      <w:r w:rsidR="00136DB4">
        <w:t>assessment battery is estimated to be $</w:t>
      </w:r>
      <w:r w:rsidR="008C59E7">
        <w:t>76,549</w:t>
      </w:r>
      <w:r w:rsidR="004209F9">
        <w:t xml:space="preserve">, </w:t>
      </w:r>
      <w:r w:rsidRPr="00022458">
        <w:t>including direct and indirect costs and fees</w:t>
      </w:r>
      <w:r>
        <w:t>.</w:t>
      </w:r>
    </w:p>
    <w:p w:rsidR="00C91FB0" w:rsidRPr="00036213" w:rsidRDefault="00C91FB0" w:rsidP="00DC224F">
      <w:pPr>
        <w:pStyle w:val="Heading2Blue"/>
      </w:pPr>
      <w:bookmarkStart w:id="69" w:name="_Toc370476383"/>
      <w:bookmarkStart w:id="70" w:name="_Toc371602372"/>
      <w:r w:rsidRPr="00036213">
        <w:t>A15. Change in Burden</w:t>
      </w:r>
      <w:bookmarkEnd w:id="69"/>
      <w:bookmarkEnd w:id="70"/>
    </w:p>
    <w:p w:rsidR="00D16205" w:rsidRDefault="00C91FB0" w:rsidP="00D16205">
      <w:pPr>
        <w:pStyle w:val="NormalSS"/>
      </w:pPr>
      <w:r>
        <w:t xml:space="preserve">This is an additional request under the </w:t>
      </w:r>
      <w:r w:rsidR="00174AF6">
        <w:t>pre-test</w:t>
      </w:r>
      <w:r>
        <w:t>ing generic clearance</w:t>
      </w:r>
      <w:r w:rsidR="00E4535D">
        <w:t xml:space="preserve"> </w:t>
      </w:r>
      <w:r w:rsidR="00E4535D" w:rsidRPr="00506A42">
        <w:t>(0970-0355)</w:t>
      </w:r>
      <w:r>
        <w:t xml:space="preserve">. </w:t>
      </w:r>
      <w:r w:rsidR="00E4535D" w:rsidRPr="00E4535D">
        <w:t xml:space="preserve"> </w:t>
      </w:r>
    </w:p>
    <w:p w:rsidR="00C91FB0" w:rsidRPr="00036213" w:rsidRDefault="00C91FB0" w:rsidP="00DC224F">
      <w:pPr>
        <w:pStyle w:val="Heading2Blue"/>
      </w:pPr>
      <w:bookmarkStart w:id="71" w:name="_Toc370476384"/>
      <w:bookmarkStart w:id="72" w:name="_Toc371602373"/>
      <w:r w:rsidRPr="00036213">
        <w:t>A16. Plan and Time Schedule for Information Collection, Tabulation</w:t>
      </w:r>
      <w:r w:rsidR="00CF7CA3">
        <w:t>,</w:t>
      </w:r>
      <w:r w:rsidRPr="00036213">
        <w:t xml:space="preserve"> and Publication</w:t>
      </w:r>
      <w:bookmarkEnd w:id="71"/>
      <w:bookmarkEnd w:id="72"/>
      <w:r w:rsidRPr="00036213">
        <w:t xml:space="preserve"> </w:t>
      </w:r>
    </w:p>
    <w:p w:rsidR="00D16205" w:rsidRDefault="00C91FB0" w:rsidP="00D16205">
      <w:pPr>
        <w:pStyle w:val="NormalSS"/>
      </w:pPr>
      <w:r>
        <w:t xml:space="preserve">There are no plans for publishing the data gathered from the FACES </w:t>
      </w:r>
      <w:r w:rsidR="00E4535D">
        <w:t>Pilot S</w:t>
      </w:r>
      <w:r>
        <w:t xml:space="preserve">tudy. The data that are collected are for internal use only. Findings from the scoring, analysis, and tabulation of data will be shared only with ACF staff. The assessment package and all training materials developed for this </w:t>
      </w:r>
      <w:r w:rsidR="00174AF6">
        <w:t>pre-test</w:t>
      </w:r>
      <w:r>
        <w:t xml:space="preserve"> may be shared with others. The web version of the SWYC will be designed to be shared with others. The information collected will be for internal use only; however, information might be included as a methodological appendix or footnote in a report containing data from a larger data collection effort. </w:t>
      </w:r>
    </w:p>
    <w:p w:rsidR="00D16205" w:rsidRDefault="00C91FB0" w:rsidP="00D16205">
      <w:pPr>
        <w:pStyle w:val="NormalSS"/>
      </w:pPr>
      <w:r>
        <w:t xml:space="preserve">The </w:t>
      </w:r>
      <w:r w:rsidR="00DA6D43">
        <w:t xml:space="preserve">pilot </w:t>
      </w:r>
      <w:r>
        <w:t xml:space="preserve">study will take place over a </w:t>
      </w:r>
      <w:r w:rsidR="007A5230">
        <w:t>three</w:t>
      </w:r>
      <w:r w:rsidRPr="009524E7">
        <w:t>-month</w:t>
      </w:r>
      <w:r>
        <w:t xml:space="preserve"> period, commencing upon OMB approval and ending </w:t>
      </w:r>
      <w:r w:rsidR="00841995">
        <w:t xml:space="preserve">by </w:t>
      </w:r>
      <w:r>
        <w:t>March 2014. Recruitment and data collection activities are slated to occur prior to March 201</w:t>
      </w:r>
      <w:r w:rsidR="00DA6D43">
        <w:t>4</w:t>
      </w:r>
      <w:r>
        <w:t xml:space="preserve">. All analysis and reporting activities will take place in March 2014. </w:t>
      </w:r>
    </w:p>
    <w:p w:rsidR="00FC3257" w:rsidRDefault="00C91FB0" w:rsidP="00D16205">
      <w:pPr>
        <w:pStyle w:val="NormalSS"/>
      </w:pPr>
      <w:r>
        <w:t>The analysis process will include (1) scoring and analysis of the measure</w:t>
      </w:r>
      <w:r w:rsidR="00725D73">
        <w:t xml:space="preserve">s in the assessment battery </w:t>
      </w:r>
      <w:r>
        <w:t>(2)</w:t>
      </w:r>
      <w:r w:rsidR="00837FA2">
        <w:t xml:space="preserve"> analysis of the parent survey</w:t>
      </w:r>
      <w:r w:rsidR="00725D73">
        <w:t xml:space="preserve"> </w:t>
      </w:r>
      <w:r w:rsidR="00A65005">
        <w:t xml:space="preserve">data </w:t>
      </w:r>
      <w:r w:rsidR="00725D73">
        <w:t xml:space="preserve">and (3) comparing </w:t>
      </w:r>
      <w:r w:rsidR="00FC3257">
        <w:t xml:space="preserve">scores on the </w:t>
      </w:r>
      <w:r w:rsidR="00725D73">
        <w:t>child vocabulary and languag</w:t>
      </w:r>
      <w:r w:rsidR="00FC3257">
        <w:t xml:space="preserve">e assessments to relevant </w:t>
      </w:r>
      <w:r w:rsidR="00A65005">
        <w:t xml:space="preserve">at-risk indicators derived from </w:t>
      </w:r>
      <w:r w:rsidR="00FC3257">
        <w:t xml:space="preserve">the parent </w:t>
      </w:r>
      <w:r w:rsidR="00A65005">
        <w:t>survey</w:t>
      </w:r>
      <w:r w:rsidR="00FC3257">
        <w:t xml:space="preserve">. </w:t>
      </w:r>
    </w:p>
    <w:p w:rsidR="00A72B1F" w:rsidRPr="00BE30C8" w:rsidRDefault="00B2163F" w:rsidP="00D16205">
      <w:pPr>
        <w:pStyle w:val="NormalSS"/>
      </w:pPr>
      <w:r>
        <w:t xml:space="preserve">We will develop scores (i.e., raw scores and normative scores) for the </w:t>
      </w:r>
      <w:r w:rsidR="00A65005">
        <w:t xml:space="preserve">vocabulary and language </w:t>
      </w:r>
      <w:r>
        <w:t xml:space="preserve">measures by following the publishers’ procedures. </w:t>
      </w:r>
      <w:r w:rsidR="00A65005">
        <w:t xml:space="preserve">We will examine the distributional properties of each of the scores (means, range, standard deviations, percentage of cases with zero or perfect scores) for the full pilot study sample and for subgroups defined by age and language. We will also examine the internal consistency of the items that are used to form the scores. Following these initial analyses, we </w:t>
      </w:r>
      <w:r w:rsidR="00C91FB0">
        <w:t>will examin</w:t>
      </w:r>
      <w:r w:rsidR="00A65005">
        <w:t>e</w:t>
      </w:r>
      <w:r w:rsidR="00C91FB0">
        <w:t xml:space="preserve"> correlations between the </w:t>
      </w:r>
      <w:r w:rsidR="00A65005">
        <w:t xml:space="preserve">scores from the </w:t>
      </w:r>
      <w:r w:rsidR="00C91FB0">
        <w:t xml:space="preserve">four </w:t>
      </w:r>
      <w:r w:rsidR="00A65005">
        <w:t xml:space="preserve">assessment </w:t>
      </w:r>
      <w:r w:rsidR="00C91FB0">
        <w:t>measures to answer the specified research questions</w:t>
      </w:r>
      <w:r w:rsidR="00FC3257">
        <w:t>.</w:t>
      </w:r>
      <w:r w:rsidR="00A72B1F" w:rsidRPr="00A72B1F">
        <w:t xml:space="preserve"> </w:t>
      </w:r>
      <w:r w:rsidR="00A72B1F">
        <w:t>For example, we will compare correlations between the PPVT-4, PLS-5 and the ROWPVT-</w:t>
      </w:r>
      <w:r w:rsidR="00A93EF7">
        <w:t xml:space="preserve">4 </w:t>
      </w:r>
      <w:r w:rsidR="00A72B1F">
        <w:t xml:space="preserve">SBE. </w:t>
      </w:r>
      <w:r w:rsidR="0019782A">
        <w:t xml:space="preserve">A high correlation between </w:t>
      </w:r>
      <w:r w:rsidR="00A72B1F">
        <w:t>scores on the ROWPVT-</w:t>
      </w:r>
      <w:r w:rsidR="00A93EF7">
        <w:t xml:space="preserve">4 </w:t>
      </w:r>
      <w:r w:rsidR="00A72B1F">
        <w:t>SBE and PPVT-4</w:t>
      </w:r>
      <w:r w:rsidR="0019782A">
        <w:t>, and between the ROWPVT-</w:t>
      </w:r>
      <w:r w:rsidR="00A93EF7">
        <w:t xml:space="preserve">4 </w:t>
      </w:r>
      <w:r w:rsidR="0019782A">
        <w:t>SBE and the PLS-5,</w:t>
      </w:r>
      <w:r w:rsidR="00794FE6">
        <w:t xml:space="preserve"> </w:t>
      </w:r>
      <w:r w:rsidR="0019782A">
        <w:t xml:space="preserve">would provide support for </w:t>
      </w:r>
      <w:r w:rsidR="00A72B1F">
        <w:t xml:space="preserve">using the ROWPVT-SBE as the single conceptual measure of </w:t>
      </w:r>
      <w:r w:rsidR="00D5589F">
        <w:t xml:space="preserve">Spanish-speaking children’s </w:t>
      </w:r>
      <w:r w:rsidR="0019782A">
        <w:t xml:space="preserve">receptive </w:t>
      </w:r>
      <w:r w:rsidR="00A72B1F">
        <w:t xml:space="preserve">vocabulary </w:t>
      </w:r>
      <w:r w:rsidR="00D5589F">
        <w:t>i</w:t>
      </w:r>
      <w:r w:rsidR="00A72B1F">
        <w:t xml:space="preserve">n </w:t>
      </w:r>
      <w:r w:rsidR="00D5589F">
        <w:t xml:space="preserve">future rounds of </w:t>
      </w:r>
      <w:r w:rsidR="00A72B1F">
        <w:t>FACES</w:t>
      </w:r>
      <w:r w:rsidR="0019782A">
        <w:t xml:space="preserve">, </w:t>
      </w:r>
      <w:r w:rsidR="00A72B1F">
        <w:t>and pha</w:t>
      </w:r>
      <w:r w:rsidR="00794FE6">
        <w:t>s</w:t>
      </w:r>
      <w:r w:rsidR="0019782A">
        <w:t>ing</w:t>
      </w:r>
      <w:r w:rsidR="00794FE6">
        <w:t xml:space="preserve"> out the PPVT-4 and </w:t>
      </w:r>
      <w:r w:rsidR="00794FE6" w:rsidRPr="00794FE6">
        <w:t>Test de Vocabulario en Imagenes Peabody (TVIP; Dunn et al. 1986)</w:t>
      </w:r>
      <w:r w:rsidR="00FC3257">
        <w:t xml:space="preserve"> that are currently in use</w:t>
      </w:r>
      <w:r w:rsidR="00A72B1F">
        <w:t xml:space="preserve">. </w:t>
      </w:r>
      <w:r w:rsidR="0019782A">
        <w:t>We will e</w:t>
      </w:r>
      <w:r w:rsidR="00FC3257">
        <w:t>xamin</w:t>
      </w:r>
      <w:r w:rsidR="0019782A">
        <w:t>e</w:t>
      </w:r>
      <w:r w:rsidR="00FC3257">
        <w:t xml:space="preserve"> correlations between ROWPVT-4</w:t>
      </w:r>
      <w:r w:rsidR="00A93EF7">
        <w:t xml:space="preserve">/ROWPVT-4 SBE </w:t>
      </w:r>
      <w:r w:rsidR="00FC3257">
        <w:t xml:space="preserve">scores </w:t>
      </w:r>
      <w:r w:rsidR="0019782A">
        <w:t xml:space="preserve">administered in different ways to </w:t>
      </w:r>
      <w:r w:rsidR="00FC3257">
        <w:t xml:space="preserve">assess whether the English and Spanish administrations yield scores that are comparable to the publisher’s standard administration. </w:t>
      </w:r>
      <w:r w:rsidR="00A93EF7">
        <w:t xml:space="preserve">If we find that they do, we would have the ability to </w:t>
      </w:r>
      <w:r w:rsidR="006324BD">
        <w:t>report on children’s overall receptive language skills as well as their skills in each of two languages (English and Spanish).</w:t>
      </w:r>
    </w:p>
    <w:p w:rsidR="00D16205" w:rsidRDefault="00C91FB0" w:rsidP="00D16205">
      <w:pPr>
        <w:pStyle w:val="NormalSS"/>
      </w:pPr>
      <w:r>
        <w:t>Analysis for the parent survey will be conducted separately for each administration mode (i.e.</w:t>
      </w:r>
      <w:r w:rsidR="00A07DF7">
        <w:t>,</w:t>
      </w:r>
      <w:r>
        <w:t xml:space="preserve"> telephone versus web survey) and focus on examining the psychometric properties of the SWYC. Specifically, analysis will involve examining the range of </w:t>
      </w:r>
      <w:r w:rsidR="00DA6D43">
        <w:t xml:space="preserve">responses and </w:t>
      </w:r>
      <w:r>
        <w:t xml:space="preserve">scores, correlations of scores with age and language, internal consistency and correlations between individual items and the total score, and exploratory factor analysis to determine whether the survey comprises one or multiple factors. </w:t>
      </w:r>
      <w:r w:rsidR="006324BD">
        <w:t>These analyses will be performed using the data from the full sample and separately by language group and administration mode (web versus telephone).</w:t>
      </w:r>
    </w:p>
    <w:p w:rsidR="00D16205" w:rsidRDefault="00794FE6" w:rsidP="00D16205">
      <w:pPr>
        <w:pStyle w:val="NormalSS"/>
      </w:pPr>
      <w:r>
        <w:t xml:space="preserve">We will examine correlations between scores on </w:t>
      </w:r>
      <w:r w:rsidR="00CE1DF6">
        <w:t xml:space="preserve">the </w:t>
      </w:r>
      <w:r>
        <w:t xml:space="preserve">direct child assessments of vocabulary and language </w:t>
      </w:r>
      <w:r w:rsidR="00CE1DF6">
        <w:t xml:space="preserve">and indicators of at-risk status based on parent reports. In general, we would expect children who are at risk to perform more poorly on these measures of development than other children. Again, we will examine these relationships for English- and Spanish-speaking children and parents and by administration mode. </w:t>
      </w:r>
    </w:p>
    <w:p w:rsidR="00D16205" w:rsidRDefault="00C91FB0" w:rsidP="00D16205">
      <w:pPr>
        <w:pStyle w:val="NormalSS"/>
      </w:pPr>
      <w:r>
        <w:t xml:space="preserve">Analysis of </w:t>
      </w:r>
      <w:r w:rsidR="001E5CCE">
        <w:t xml:space="preserve">the </w:t>
      </w:r>
      <w:r w:rsidR="00174AF6">
        <w:t>pre-test</w:t>
      </w:r>
      <w:r w:rsidR="001E5CCE">
        <w:t xml:space="preserve"> data will serve three </w:t>
      </w:r>
      <w:r w:rsidR="00B2163F">
        <w:t>purposes: (1) identifying</w:t>
      </w:r>
      <w:r>
        <w:t xml:space="preserve"> language</w:t>
      </w:r>
      <w:r w:rsidR="00B2163F">
        <w:t xml:space="preserve"> and </w:t>
      </w:r>
      <w:r>
        <w:t>vocabulary measure</w:t>
      </w:r>
      <w:r w:rsidR="00B2163F">
        <w:t>s that are</w:t>
      </w:r>
      <w:r>
        <w:t xml:space="preserve"> reliable and valid with respect to DLL</w:t>
      </w:r>
      <w:r w:rsidR="00DA6D43">
        <w:t xml:space="preserve"> children</w:t>
      </w:r>
      <w:r w:rsidR="00B2163F">
        <w:t xml:space="preserve"> and reduce</w:t>
      </w:r>
      <w:r>
        <w:t xml:space="preserve"> </w:t>
      </w:r>
      <w:r w:rsidR="00B2163F">
        <w:t xml:space="preserve">the receptive vocabulary </w:t>
      </w:r>
      <w:r>
        <w:t>assessment burden on children</w:t>
      </w:r>
      <w:r w:rsidR="00F10A75">
        <w:t>, (</w:t>
      </w:r>
      <w:r>
        <w:t>2) assessing the appropriateness of the SWYC for use with English-speaking and Spanish-speaking Head Start parents in the future</w:t>
      </w:r>
      <w:r w:rsidR="00794FE6">
        <w:t xml:space="preserve"> </w:t>
      </w:r>
      <w:r w:rsidR="00532B65">
        <w:t xml:space="preserve">and </w:t>
      </w:r>
      <w:r w:rsidR="00794FE6">
        <w:t>(3</w:t>
      </w:r>
      <w:r w:rsidR="001E5CCE">
        <w:t>) comparing the feasibility of administering the SWYC via web and phone</w:t>
      </w:r>
      <w:r>
        <w:t>. We will produce two products based on the analysis</w:t>
      </w:r>
      <w:r w:rsidR="0077232C">
        <w:t>:</w:t>
      </w:r>
      <w:r>
        <w:t xml:space="preserve"> (1) a report to ACF that summarizes the results of the </w:t>
      </w:r>
      <w:r w:rsidR="00174AF6">
        <w:t>pre-test</w:t>
      </w:r>
      <w:r>
        <w:t xml:space="preserve"> and (2) a final web version of the SWYC with incorporated functions that permit scoring and converting results into portable document format (</w:t>
      </w:r>
      <w:r w:rsidR="0077232C">
        <w:t>PDF</w:t>
      </w:r>
      <w:r>
        <w:t xml:space="preserve">) files. </w:t>
      </w:r>
    </w:p>
    <w:p w:rsidR="00C91FB0" w:rsidRDefault="00C91FB0" w:rsidP="00D16205">
      <w:pPr>
        <w:pStyle w:val="NormalSS"/>
      </w:pPr>
      <w:r>
        <w:t>The study’s final report will be designed as an internal document for ACF and will discuss the following:</w:t>
      </w:r>
    </w:p>
    <w:p w:rsidR="00714BCA" w:rsidRDefault="00C91FB0">
      <w:pPr>
        <w:pStyle w:val="BulletBlue"/>
      </w:pPr>
      <w:r>
        <w:t xml:space="preserve">How well the </w:t>
      </w:r>
      <w:r w:rsidR="00DA6D43">
        <w:t xml:space="preserve">measures, </w:t>
      </w:r>
      <w:r>
        <w:t>instruments</w:t>
      </w:r>
      <w:r w:rsidR="00005FC7">
        <w:t>,</w:t>
      </w:r>
      <w:r>
        <w:t xml:space="preserve"> and data collection methods worked</w:t>
      </w:r>
      <w:r w:rsidR="00060CCF">
        <w:t xml:space="preserve"> with children who speak only or predominantly one language or the </w:t>
      </w:r>
      <w:r w:rsidR="00311F5E">
        <w:t xml:space="preserve">other </w:t>
      </w:r>
    </w:p>
    <w:p w:rsidR="00714BCA" w:rsidRDefault="00311F5E">
      <w:pPr>
        <w:pStyle w:val="BulletBlue"/>
      </w:pPr>
      <w:r>
        <w:t>Associations</w:t>
      </w:r>
      <w:r w:rsidR="00C91FB0">
        <w:t xml:space="preserve"> between the four language/vocabulary measures and recommendations for assessing language/vocabulary in future FACES cohorts</w:t>
      </w:r>
    </w:p>
    <w:p w:rsidR="00714BCA" w:rsidRDefault="00C91FB0">
      <w:pPr>
        <w:pStyle w:val="BulletBlue"/>
      </w:pPr>
      <w:r>
        <w:t xml:space="preserve">Whether the assessments and parent survey </w:t>
      </w:r>
      <w:r w:rsidR="00DA6D43">
        <w:t>perform</w:t>
      </w:r>
      <w:r>
        <w:t>ed comparably across ages and languages</w:t>
      </w:r>
    </w:p>
    <w:p w:rsidR="00714BCA" w:rsidRDefault="00C91FB0">
      <w:pPr>
        <w:pStyle w:val="BulletBlue"/>
      </w:pPr>
      <w:r>
        <w:t xml:space="preserve">A report on the psychometric properties of the </w:t>
      </w:r>
      <w:r w:rsidR="001E5CCE">
        <w:t>English and Spanish versions of the SWYC</w:t>
      </w:r>
      <w:r w:rsidR="00005FC7">
        <w:t xml:space="preserve">; </w:t>
      </w:r>
      <w:r w:rsidR="001E5CCE">
        <w:t>also provide a comparison of the two different administration modes (i.e., web and phone)</w:t>
      </w:r>
    </w:p>
    <w:p w:rsidR="00714BCA" w:rsidRDefault="00C91FB0">
      <w:pPr>
        <w:pStyle w:val="BulletBlue"/>
      </w:pPr>
      <w:r>
        <w:t xml:space="preserve">A summary of revisions made to the SWYC based on the pilot and recommendations for its use for large-scale data collection </w:t>
      </w:r>
    </w:p>
    <w:p w:rsidR="00714BCA" w:rsidRDefault="00C91FB0">
      <w:pPr>
        <w:pStyle w:val="BulletBlueLastSS"/>
      </w:pPr>
      <w:r>
        <w:t xml:space="preserve">Considerations needed before moving forward with large-scale data collection </w:t>
      </w:r>
    </w:p>
    <w:p w:rsidR="00C91FB0" w:rsidRPr="00036213" w:rsidRDefault="00C91FB0" w:rsidP="00DC224F">
      <w:pPr>
        <w:pStyle w:val="Heading2Blue"/>
      </w:pPr>
      <w:bookmarkStart w:id="73" w:name="_Toc370476385"/>
      <w:bookmarkStart w:id="74" w:name="_Toc371602374"/>
      <w:r w:rsidRPr="00036213">
        <w:t>A17. Reasons Not to Display OMB Expiration Date</w:t>
      </w:r>
      <w:bookmarkEnd w:id="73"/>
      <w:bookmarkEnd w:id="74"/>
    </w:p>
    <w:p w:rsidR="00D16205" w:rsidRDefault="00C91FB0" w:rsidP="00D16205">
      <w:pPr>
        <w:pStyle w:val="NormalSS"/>
      </w:pPr>
      <w:r w:rsidRPr="00B1681F">
        <w:t xml:space="preserve">All instruments will display the </w:t>
      </w:r>
      <w:r>
        <w:t xml:space="preserve">OMB approval number and </w:t>
      </w:r>
      <w:r w:rsidRPr="00B1681F">
        <w:t>expiration date for OMB approval.</w:t>
      </w:r>
    </w:p>
    <w:p w:rsidR="00847C8E" w:rsidRPr="00847C8E" w:rsidRDefault="00847C8E" w:rsidP="00DC224F">
      <w:pPr>
        <w:pStyle w:val="Heading2Blue"/>
      </w:pPr>
      <w:bookmarkStart w:id="75" w:name="_Toc370476386"/>
      <w:bookmarkStart w:id="76" w:name="_Toc371602375"/>
      <w:r w:rsidRPr="00847C8E">
        <w:t>A18. Exceptions to Certification for Paperwork Reduction Act Submissions</w:t>
      </w:r>
      <w:bookmarkEnd w:id="75"/>
      <w:bookmarkEnd w:id="76"/>
    </w:p>
    <w:p w:rsidR="000C454B" w:rsidRDefault="00847C8E" w:rsidP="00D16205">
      <w:pPr>
        <w:pStyle w:val="NormalSS"/>
      </w:pPr>
      <w:r w:rsidRPr="00B1681F">
        <w:t>No exceptions are necessary for this information collection.</w:t>
      </w:r>
    </w:p>
    <w:p w:rsidR="00D16205" w:rsidRDefault="00D16205" w:rsidP="000C454B">
      <w:pPr>
        <w:pStyle w:val="NormalSS"/>
        <w:ind w:firstLine="0"/>
      </w:pPr>
    </w:p>
    <w:p w:rsidR="000A62A8" w:rsidRDefault="000A62A8" w:rsidP="00CB0B04">
      <w:pPr>
        <w:pStyle w:val="Heading1Black"/>
        <w:sectPr w:rsidR="000A62A8" w:rsidSect="008940F0">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pPr>
    </w:p>
    <w:p w:rsidR="000A62A8" w:rsidRDefault="000A62A8" w:rsidP="00CB0B04">
      <w:pPr>
        <w:pStyle w:val="Heading1Blue"/>
      </w:pPr>
      <w:bookmarkStart w:id="77" w:name="_Toc370476398"/>
      <w:bookmarkStart w:id="78" w:name="_Toc371602376"/>
      <w:r>
        <w:t>REFERENCES</w:t>
      </w:r>
      <w:bookmarkEnd w:id="77"/>
      <w:bookmarkEnd w:id="78"/>
    </w:p>
    <w:p w:rsidR="000A62A8" w:rsidRDefault="000A62A8" w:rsidP="000A62A8">
      <w:pPr>
        <w:pStyle w:val="References"/>
        <w:jc w:val="both"/>
      </w:pPr>
      <w:r>
        <w:t>Brownell, R. (2012). Receptive</w:t>
      </w:r>
      <w:r w:rsidRPr="00DA4E05">
        <w:t xml:space="preserve"> One-Word Picture Vocabulary Test (Spanish-Bilingual</w:t>
      </w:r>
      <w:r>
        <w:t xml:space="preserve"> </w:t>
      </w:r>
      <w:r w:rsidRPr="00DA4E05">
        <w:t>edition, manual). Novato, CA: Academic Therapy Publications.</w:t>
      </w:r>
    </w:p>
    <w:p w:rsidR="000A62A8" w:rsidRDefault="000A62A8" w:rsidP="000A62A8">
      <w:pPr>
        <w:pStyle w:val="References"/>
        <w:jc w:val="both"/>
      </w:pPr>
      <w:r w:rsidRPr="001D1DAD">
        <w:t>Duncan, Sharon, and Edward DeAvila. “Pre-Language Assessment Scales [PreLAS2000].” Monterey, CA: CTB-McGraw Hill, 2002.</w:t>
      </w:r>
    </w:p>
    <w:p w:rsidR="000A62A8" w:rsidRDefault="000A62A8" w:rsidP="000A62A8">
      <w:pPr>
        <w:pStyle w:val="References"/>
        <w:jc w:val="both"/>
      </w:pPr>
      <w:r w:rsidRPr="001D1DAD">
        <w:t>Dunn, Lloyd, and Doug Dunn. Peabody Picture Vocabulary Test. Fourth Edition. Circle Pines,</w:t>
      </w:r>
      <w:r>
        <w:t> </w:t>
      </w:r>
      <w:r w:rsidRPr="001D1DAD">
        <w:t>MS: American Guidance Service, 2006.</w:t>
      </w:r>
    </w:p>
    <w:p w:rsidR="000A62A8" w:rsidRDefault="000A62A8" w:rsidP="000A62A8">
      <w:pPr>
        <w:pStyle w:val="References"/>
        <w:jc w:val="both"/>
      </w:pPr>
      <w:r>
        <w:t>Dunn, L.M., E.R. Padilla, D.E. Lugo, and L.M. Dunn. Test de Vocabulario en Imagenes Peabody. Circle Pines, MN: American Guidance Service, 1986.</w:t>
      </w:r>
    </w:p>
    <w:p w:rsidR="000A62A8" w:rsidRDefault="000A62A8" w:rsidP="000A62A8">
      <w:pPr>
        <w:pStyle w:val="References"/>
        <w:jc w:val="both"/>
      </w:pPr>
      <w:r w:rsidRPr="001D1DAD">
        <w:t>Hernandez, D. “Young Hispanic Children in the U.S.: A Demographic Portrait Based on Census</w:t>
      </w:r>
      <w:r>
        <w:t> </w:t>
      </w:r>
      <w:r w:rsidRPr="001D1DAD">
        <w:t>2000.” Tempe, AZ: Arizona State University, June 26, 2006.</w:t>
      </w:r>
    </w:p>
    <w:p w:rsidR="000A62A8" w:rsidRDefault="000A62A8" w:rsidP="000A62A8">
      <w:pPr>
        <w:pStyle w:val="References"/>
        <w:jc w:val="both"/>
      </w:pPr>
      <w:r w:rsidRPr="001D1DAD">
        <w:t>Hulsey, L. K., Aikens, N., Kopack, A., West, J., Moiduddin, E., and Tarullo, L. (2011). Head Start Children, Families, and Programs: Present and Past Data from FACES. OPRE Report 2011-33a. Washington, DC: Office of Planning, Research and Evaluation, Administration for Children and Families, U.S. Department of Health and Human Services.</w:t>
      </w:r>
    </w:p>
    <w:p w:rsidR="000A62A8" w:rsidRDefault="000A62A8" w:rsidP="000A62A8">
      <w:pPr>
        <w:pStyle w:val="References"/>
        <w:jc w:val="both"/>
      </w:pPr>
      <w:r w:rsidRPr="00E7024B">
        <w:t>Martin N</w:t>
      </w:r>
      <w:r>
        <w:t xml:space="preserve">, </w:t>
      </w:r>
      <w:r w:rsidRPr="00E7024B">
        <w:t>A</w:t>
      </w:r>
      <w:r>
        <w:t>.</w:t>
      </w:r>
      <w:r w:rsidRPr="00E7024B">
        <w:t>, Brownell R (2011) ROWPV</w:t>
      </w:r>
      <w:r>
        <w:t xml:space="preserve">T-4: Receptive One-Word Picture </w:t>
      </w:r>
      <w:r w:rsidRPr="00E7024B">
        <w:t xml:space="preserve">Vocabulary Test – Fourth Edition. </w:t>
      </w:r>
      <w:r w:rsidRPr="00DA4E05">
        <w:t>Novato, CA: Academic Therapy Publications.</w:t>
      </w:r>
    </w:p>
    <w:p w:rsidR="000A62A8" w:rsidRPr="00B70293" w:rsidRDefault="000A62A8" w:rsidP="00EB5408">
      <w:pPr>
        <w:pStyle w:val="References"/>
        <w:jc w:val="both"/>
      </w:pPr>
      <w:r w:rsidRPr="00B70293">
        <w:t xml:space="preserve">Sheldrick, R.C., B.S. Henson, S. Merchant, E.N. Neger, J.M. Murphy, and E.C. Perrin. “The Preschool Pediatric Symptom Checklist (PPSC): Development and Initial Validation of a New Social-Emotional Screening Instrument.” </w:t>
      </w:r>
      <w:r w:rsidRPr="00B70293">
        <w:rPr>
          <w:i/>
        </w:rPr>
        <w:t>Academic Pediatrics</w:t>
      </w:r>
      <w:r w:rsidRPr="00B70293">
        <w:t>, vol. 12, no. 5, September-October 2012a, pp. 456−67. PMID: 22921494.</w:t>
      </w:r>
    </w:p>
    <w:p w:rsidR="000A62A8" w:rsidRDefault="000A62A8" w:rsidP="00EB5408">
      <w:pPr>
        <w:pStyle w:val="References"/>
        <w:jc w:val="both"/>
      </w:pPr>
      <w:r w:rsidRPr="00B70293">
        <w:t xml:space="preserve">Sheldrick, R.C., E. Neger, and E.C Perrin. “Concerns about Development, Behavior and Learning Among Parents Seeking Pediatric Care.” </w:t>
      </w:r>
      <w:r w:rsidRPr="00B70293">
        <w:rPr>
          <w:i/>
        </w:rPr>
        <w:t>Journal of Developmental and Behavioral Pediatrics</w:t>
      </w:r>
      <w:r w:rsidRPr="00B70293">
        <w:t>, vol. 33, no. 2, February 2012b, pp. 156−160.</w:t>
      </w:r>
    </w:p>
    <w:p w:rsidR="000A62A8" w:rsidRDefault="000A62A8" w:rsidP="00EB5408">
      <w:pPr>
        <w:pStyle w:val="References"/>
        <w:jc w:val="both"/>
      </w:pPr>
      <w:r w:rsidRPr="001D1DAD">
        <w:t>West, J., and L. Hulsey. “</w:t>
      </w:r>
      <w:r w:rsidRPr="001D1DAD">
        <w:rPr>
          <w:bCs/>
        </w:rPr>
        <w:t>Who is Served by Head Start? Changes in the 3-Year-Old Population.”</w:t>
      </w:r>
      <w:r w:rsidRPr="001D1DAD">
        <w:t xml:space="preserve"> Presentation at the Society for Research in Child Development Biennial Meeting, Denver, April 3, 2009.</w:t>
      </w:r>
    </w:p>
    <w:p w:rsidR="000A62A8" w:rsidRPr="00B70293" w:rsidRDefault="000A62A8" w:rsidP="000A62A8">
      <w:pPr>
        <w:pStyle w:val="References"/>
      </w:pPr>
      <w:r w:rsidRPr="001D1DAD">
        <w:t>Zimmerman, Irla Lee, Violette G. Steiner, and Roberta Evatt Pond. Preschool Language Scale, Fifth Edition (PLS-5). San Antonio, TX: Pearson Assessments, 2011</w:t>
      </w:r>
    </w:p>
    <w:p w:rsidR="000A62A8" w:rsidRPr="00361E31" w:rsidRDefault="000A62A8" w:rsidP="00CB0B04">
      <w:pPr>
        <w:spacing w:after="960" w:line="264" w:lineRule="auto"/>
      </w:pPr>
    </w:p>
    <w:p w:rsidR="00714BCA" w:rsidRDefault="00714BCA">
      <w:pPr>
        <w:spacing w:after="960" w:line="264" w:lineRule="auto"/>
      </w:pPr>
    </w:p>
    <w:sectPr w:rsidR="00714BCA" w:rsidSect="007C0CD8">
      <w:headerReference w:type="default" r:id="rId15"/>
      <w:footerReference w:type="default" r:id="rId1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F6" w:rsidRDefault="002501F6"/>
  </w:endnote>
  <w:endnote w:type="continuationSeparator" w:id="0">
    <w:p w:rsidR="002501F6" w:rsidRDefault="002501F6"/>
  </w:endnote>
  <w:endnote w:type="continuationNotice" w:id="1">
    <w:p w:rsidR="002501F6" w:rsidRDefault="002501F6"/>
    <w:p w:rsidR="002501F6" w:rsidRDefault="002501F6"/>
    <w:p w:rsidR="002501F6" w:rsidRDefault="002501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N:\Project\FACES_Redesign\DC1\Common\New Work\310 - OMB\To Maria 11.8.13\Part A\FACES_OMB_Part A_11_8_13.docx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280"/>
      <w:docPartObj>
        <w:docPartGallery w:val="Page Numbers (Bottom of Page)"/>
        <w:docPartUnique/>
      </w:docPartObj>
    </w:sdtPr>
    <w:sdtEndPr/>
    <w:sdtContent>
      <w:p w:rsidR="00981D1A" w:rsidRDefault="00193664" w:rsidP="00D16205">
        <w:pPr>
          <w:pStyle w:val="Footer"/>
          <w:jc w:val="center"/>
          <w:rPr>
            <w:rStyle w:val="PageNumber"/>
            <w:b/>
            <w:sz w:val="17"/>
          </w:rPr>
        </w:pPr>
        <w:r>
          <w:fldChar w:fldCharType="begin"/>
        </w:r>
        <w:r>
          <w:instrText xml:space="preserve"> PAGE   \* MERGEFORMAT </w:instrText>
        </w:r>
        <w:r>
          <w:fldChar w:fldCharType="separate"/>
        </w:r>
        <w:r w:rsidR="00B1319F">
          <w:rPr>
            <w:noProof/>
          </w:rPr>
          <w:t>iii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227"/>
      <w:docPartObj>
        <w:docPartGallery w:val="Page Numbers (Bottom of Page)"/>
        <w:docPartUnique/>
      </w:docPartObj>
    </w:sdtPr>
    <w:sdtEndPr/>
    <w:sdtContent>
      <w:p w:rsidR="00981D1A" w:rsidRDefault="00193664" w:rsidP="00D16205">
        <w:pPr>
          <w:pStyle w:val="Footer"/>
          <w:jc w:val="center"/>
          <w:rPr>
            <w:rStyle w:val="PageNumber"/>
            <w:b/>
            <w:sz w:val="17"/>
          </w:rPr>
        </w:pPr>
        <w:r>
          <w:fldChar w:fldCharType="begin"/>
        </w:r>
        <w:r>
          <w:instrText xml:space="preserve"> PAGE   \* MERGEFORMAT </w:instrText>
        </w:r>
        <w:r>
          <w:fldChar w:fldCharType="separate"/>
        </w:r>
        <w:r w:rsidR="00B1319F">
          <w:rPr>
            <w:noProof/>
          </w:rPr>
          <w:t>iv</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1A" w:rsidRPr="00314038" w:rsidRDefault="00981D1A" w:rsidP="00012863">
    <w:pPr>
      <w:pStyle w:val="Footer"/>
      <w:tabs>
        <w:tab w:val="clear" w:pos="4320"/>
        <w:tab w:val="clear" w:pos="8640"/>
        <w:tab w:val="center" w:pos="4770"/>
        <w:tab w:val="right" w:pos="9360"/>
      </w:tabs>
      <w:spacing w:before="120"/>
      <w:rPr>
        <w:rStyle w:val="PageNumber"/>
        <w:rFonts w:ascii="Times New Roman" w:hAnsi="Times New Roman"/>
        <w:b/>
        <w:sz w:val="17"/>
      </w:rPr>
    </w:pPr>
    <w:r>
      <w:rPr>
        <w:sz w:val="16"/>
      </w:rPr>
      <w:tab/>
    </w:r>
    <w:r w:rsidR="00FA76AB" w:rsidRPr="00314038">
      <w:rPr>
        <w:rStyle w:val="PageNumber"/>
        <w:rFonts w:ascii="Times New Roman" w:hAnsi="Times New Roman"/>
      </w:rPr>
      <w:fldChar w:fldCharType="begin"/>
    </w:r>
    <w:r w:rsidRPr="00314038">
      <w:rPr>
        <w:rStyle w:val="PageNumber"/>
        <w:rFonts w:ascii="Times New Roman" w:hAnsi="Times New Roman"/>
      </w:rPr>
      <w:instrText xml:space="preserve"> PAGE </w:instrText>
    </w:r>
    <w:r w:rsidR="00FA76AB" w:rsidRPr="00314038">
      <w:rPr>
        <w:rStyle w:val="PageNumber"/>
        <w:rFonts w:ascii="Times New Roman" w:hAnsi="Times New Roman"/>
      </w:rPr>
      <w:fldChar w:fldCharType="separate"/>
    </w:r>
    <w:r w:rsidR="00B1319F">
      <w:rPr>
        <w:rStyle w:val="PageNumber"/>
        <w:rFonts w:ascii="Times New Roman" w:hAnsi="Times New Roman"/>
        <w:noProof/>
      </w:rPr>
      <w:t>11</w:t>
    </w:r>
    <w:r w:rsidR="00FA76AB" w:rsidRPr="00314038">
      <w:rPr>
        <w:rStyle w:val="PageNumber"/>
        <w:rFonts w:ascii="Times New Roman" w:hAns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1A" w:rsidRPr="00EB5408" w:rsidRDefault="00FA76AB" w:rsidP="00D16205">
    <w:pPr>
      <w:pStyle w:val="Footer"/>
      <w:jc w:val="center"/>
      <w:rPr>
        <w:rStyle w:val="PageNumber"/>
      </w:rPr>
    </w:pPr>
    <w:r w:rsidRPr="00EB5408">
      <w:rPr>
        <w:rStyle w:val="PageNumber"/>
      </w:rPr>
      <w:fldChar w:fldCharType="begin"/>
    </w:r>
    <w:r w:rsidR="00981D1A" w:rsidRPr="00EB5408">
      <w:rPr>
        <w:rStyle w:val="PageNumber"/>
      </w:rPr>
      <w:instrText xml:space="preserve"> PAGE   \* MERGEFORMAT </w:instrText>
    </w:r>
    <w:r w:rsidRPr="00EB5408">
      <w:rPr>
        <w:rStyle w:val="PageNumber"/>
      </w:rPr>
      <w:fldChar w:fldCharType="separate"/>
    </w:r>
    <w:r w:rsidR="00B1319F">
      <w:rPr>
        <w:rStyle w:val="PageNumber"/>
        <w:noProof/>
      </w:rPr>
      <w:t>12</w:t>
    </w:r>
    <w:r w:rsidRPr="00EB540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F6" w:rsidRDefault="002501F6">
      <w:r>
        <w:separator/>
      </w:r>
    </w:p>
  </w:footnote>
  <w:footnote w:type="continuationSeparator" w:id="0">
    <w:p w:rsidR="002501F6" w:rsidRDefault="002501F6">
      <w:r>
        <w:separator/>
      </w:r>
    </w:p>
    <w:p w:rsidR="002501F6" w:rsidRDefault="002501F6">
      <w:pPr>
        <w:rPr>
          <w:i/>
        </w:rPr>
      </w:pPr>
      <w:r>
        <w:rPr>
          <w:i/>
        </w:rPr>
        <w:t>(continued)</w:t>
      </w:r>
    </w:p>
  </w:footnote>
  <w:footnote w:type="continuationNotice" w:id="1">
    <w:p w:rsidR="002501F6" w:rsidRDefault="002501F6">
      <w:pPr>
        <w:pStyle w:val="Footer"/>
      </w:pPr>
    </w:p>
  </w:footnote>
  <w:footnote w:id="2">
    <w:p w:rsidR="00981D1A" w:rsidRDefault="00981D1A">
      <w:pPr>
        <w:pStyle w:val="FootnoteText"/>
        <w:jc w:val="both"/>
      </w:pPr>
      <w:r>
        <w:rPr>
          <w:rStyle w:val="FootnoteReference"/>
        </w:rPr>
        <w:footnoteRef/>
      </w:r>
      <w:r>
        <w:t xml:space="preserve"> We will use both, the English edition (ROWPVT-4; Martin &amp; Brownell, 2011) and </w:t>
      </w:r>
      <w:r w:rsidRPr="002720A8">
        <w:t>Spanish Bilingual Edition (ROWPVT-</w:t>
      </w:r>
      <w:r>
        <w:t xml:space="preserve">4 </w:t>
      </w:r>
      <w:r w:rsidRPr="002720A8">
        <w:t>SB</w:t>
      </w:r>
      <w:r>
        <w:t xml:space="preserve">E ; Brownell 2012) for the FACES Pilot Study. </w:t>
      </w:r>
    </w:p>
  </w:footnote>
  <w:footnote w:id="3">
    <w:p w:rsidR="00981D1A" w:rsidRDefault="00981D1A">
      <w:pPr>
        <w:pStyle w:val="FootnoteText"/>
        <w:jc w:val="both"/>
      </w:pPr>
      <w:r>
        <w:rPr>
          <w:rStyle w:val="FootnoteReference"/>
        </w:rPr>
        <w:footnoteRef/>
      </w:r>
      <w:r>
        <w:t xml:space="preserve"> Programmed versions of the Pre-Las Art Show and the PPVT-4 have been used in FACES 2009 and several other Mathematica studies. </w:t>
      </w:r>
    </w:p>
  </w:footnote>
  <w:footnote w:id="4">
    <w:p w:rsidR="00981D1A" w:rsidRDefault="00981D1A">
      <w:pPr>
        <w:pStyle w:val="FootnoteText"/>
        <w:jc w:val="both"/>
      </w:pPr>
      <w:r>
        <w:rPr>
          <w:rStyle w:val="FootnoteReference"/>
        </w:rPr>
        <w:footnoteRef/>
      </w:r>
      <w:r>
        <w:t xml:space="preserve"> Children will respond to items displayed to them on an easel and the interviewer will record responses either on the computer or on a score sheet.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1A" w:rsidRPr="000A4439" w:rsidRDefault="00981D1A" w:rsidP="006C5B99">
    <w:pPr>
      <w:pStyle w:val="Header"/>
      <w:rPr>
        <w:szCs w:val="22"/>
      </w:rPr>
    </w:pPr>
    <w:r>
      <w:rPr>
        <w:szCs w:val="22"/>
      </w:rPr>
      <w:t>06977 Draft for Generic OMB Clearance</w:t>
    </w:r>
    <w:r w:rsidRPr="000A4439">
      <w:rPr>
        <w:szCs w:val="22"/>
      </w:rPr>
      <w:tab/>
    </w:r>
    <w:r w:rsidRPr="000A4439">
      <w:rPr>
        <w:szCs w:val="22"/>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1A" w:rsidRPr="000A4439" w:rsidRDefault="00981D1A" w:rsidP="006C5B99">
    <w:pPr>
      <w:pStyle w:val="Header"/>
      <w:rPr>
        <w:szCs w:val="22"/>
      </w:rPr>
    </w:pPr>
    <w:r>
      <w:rPr>
        <w:szCs w:val="22"/>
      </w:rPr>
      <w:t>06977 Draft for Generic OMB Clearance</w:t>
    </w:r>
    <w:r w:rsidRPr="000A4439">
      <w:rPr>
        <w:szCs w:val="22"/>
      </w:rPr>
      <w:tab/>
    </w:r>
    <w:r w:rsidRPr="000A4439">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1A" w:rsidRPr="0095385C" w:rsidRDefault="00981D1A" w:rsidP="006C5B99">
    <w:pPr>
      <w:pStyle w:val="Header"/>
      <w:rPr>
        <w:szCs w:val="22"/>
      </w:rPr>
    </w:pPr>
    <w:r w:rsidRPr="0095385C">
      <w:rPr>
        <w:szCs w:val="22"/>
      </w:rPr>
      <w:t>06977 Draft for Generic OMB Clearance</w:t>
    </w:r>
    <w:r w:rsidRPr="0095385C">
      <w:rPr>
        <w:szCs w:val="22"/>
      </w:rPr>
      <w:tab/>
    </w:r>
    <w:r w:rsidRPr="0095385C">
      <w:rPr>
        <w:szCs w:val="22"/>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1A" w:rsidRPr="000A4439" w:rsidRDefault="00981D1A"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
    <w:nsid w:val="0AD713F1"/>
    <w:multiLevelType w:val="hybridMultilevel"/>
    <w:tmpl w:val="EE5C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673413B"/>
    <w:multiLevelType w:val="hybridMultilevel"/>
    <w:tmpl w:val="ED6C0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C66F4"/>
    <w:multiLevelType w:val="hybridMultilevel"/>
    <w:tmpl w:val="E848AA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3A627839"/>
    <w:multiLevelType w:val="hybridMultilevel"/>
    <w:tmpl w:val="7BA27722"/>
    <w:lvl w:ilvl="0" w:tplc="1D9C638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2C374E4"/>
    <w:multiLevelType w:val="hybridMultilevel"/>
    <w:tmpl w:val="5BFE9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2">
    <w:nsid w:val="48D261F7"/>
    <w:multiLevelType w:val="hybridMultilevel"/>
    <w:tmpl w:val="495E0C36"/>
    <w:lvl w:ilvl="0" w:tplc="6084460A">
      <w:start w:val="1"/>
      <w:numFmt w:val="lowerLetter"/>
      <w:lvlText w:val="%1."/>
      <w:lvlJc w:val="left"/>
      <w:pPr>
        <w:ind w:left="1938" w:hanging="360"/>
      </w:pPr>
      <w:rPr>
        <w:rFonts w:hint="default"/>
      </w:rPr>
    </w:lvl>
    <w:lvl w:ilvl="1" w:tplc="04090019" w:tentative="1">
      <w:start w:val="1"/>
      <w:numFmt w:val="lowerLetter"/>
      <w:lvlText w:val="%2."/>
      <w:lvlJc w:val="left"/>
      <w:pPr>
        <w:ind w:left="2658" w:hanging="360"/>
      </w:pPr>
    </w:lvl>
    <w:lvl w:ilvl="2" w:tplc="0409001B" w:tentative="1">
      <w:start w:val="1"/>
      <w:numFmt w:val="lowerRoman"/>
      <w:lvlText w:val="%3."/>
      <w:lvlJc w:val="right"/>
      <w:pPr>
        <w:ind w:left="3378" w:hanging="180"/>
      </w:pPr>
    </w:lvl>
    <w:lvl w:ilvl="3" w:tplc="0409000F" w:tentative="1">
      <w:start w:val="1"/>
      <w:numFmt w:val="decimal"/>
      <w:lvlText w:val="%4."/>
      <w:lvlJc w:val="left"/>
      <w:pPr>
        <w:ind w:left="4098" w:hanging="360"/>
      </w:pPr>
    </w:lvl>
    <w:lvl w:ilvl="4" w:tplc="04090019" w:tentative="1">
      <w:start w:val="1"/>
      <w:numFmt w:val="lowerLetter"/>
      <w:lvlText w:val="%5."/>
      <w:lvlJc w:val="left"/>
      <w:pPr>
        <w:ind w:left="4818" w:hanging="360"/>
      </w:pPr>
    </w:lvl>
    <w:lvl w:ilvl="5" w:tplc="0409001B" w:tentative="1">
      <w:start w:val="1"/>
      <w:numFmt w:val="lowerRoman"/>
      <w:lvlText w:val="%6."/>
      <w:lvlJc w:val="right"/>
      <w:pPr>
        <w:ind w:left="5538" w:hanging="180"/>
      </w:pPr>
    </w:lvl>
    <w:lvl w:ilvl="6" w:tplc="0409000F" w:tentative="1">
      <w:start w:val="1"/>
      <w:numFmt w:val="decimal"/>
      <w:lvlText w:val="%7."/>
      <w:lvlJc w:val="left"/>
      <w:pPr>
        <w:ind w:left="6258" w:hanging="360"/>
      </w:pPr>
    </w:lvl>
    <w:lvl w:ilvl="7" w:tplc="04090019" w:tentative="1">
      <w:start w:val="1"/>
      <w:numFmt w:val="lowerLetter"/>
      <w:lvlText w:val="%8."/>
      <w:lvlJc w:val="left"/>
      <w:pPr>
        <w:ind w:left="6978" w:hanging="360"/>
      </w:pPr>
    </w:lvl>
    <w:lvl w:ilvl="8" w:tplc="0409001B" w:tentative="1">
      <w:start w:val="1"/>
      <w:numFmt w:val="lowerRoman"/>
      <w:lvlText w:val="%9."/>
      <w:lvlJc w:val="right"/>
      <w:pPr>
        <w:ind w:left="7698"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52E6D3F"/>
    <w:multiLevelType w:val="hybridMultilevel"/>
    <w:tmpl w:val="7DA827EA"/>
    <w:lvl w:ilvl="0" w:tplc="0F885208">
      <w:start w:val="1"/>
      <w:numFmt w:val="lowerLetter"/>
      <w:lvlText w:val="%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8">
    <w:nsid w:val="733D2918"/>
    <w:multiLevelType w:val="hybridMultilevel"/>
    <w:tmpl w:val="B0D44C4A"/>
    <w:lvl w:ilvl="0" w:tplc="568CD3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781E7136"/>
    <w:multiLevelType w:val="hybridMultilevel"/>
    <w:tmpl w:val="3F4C98EA"/>
    <w:lvl w:ilvl="0" w:tplc="5A5864AA">
      <w:start w:val="1"/>
      <w:numFmt w:val="decimal"/>
      <w:lvlText w:val="%1."/>
      <w:lvlJc w:val="left"/>
      <w:pPr>
        <w:ind w:left="1218" w:hanging="36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4"/>
  </w:num>
  <w:num w:numId="4">
    <w:abstractNumId w:val="5"/>
  </w:num>
  <w:num w:numId="5">
    <w:abstractNumId w:val="6"/>
  </w:num>
  <w:num w:numId="6">
    <w:abstractNumId w:val="2"/>
  </w:num>
  <w:num w:numId="7">
    <w:abstractNumId w:val="15"/>
  </w:num>
  <w:num w:numId="8">
    <w:abstractNumId w:val="3"/>
  </w:num>
  <w:num w:numId="9">
    <w:abstractNumId w:val="14"/>
  </w:num>
  <w:num w:numId="10">
    <w:abstractNumId w:val="16"/>
  </w:num>
  <w:num w:numId="11">
    <w:abstractNumId w:val="7"/>
  </w:num>
  <w:num w:numId="12">
    <w:abstractNumId w:val="10"/>
  </w:num>
  <w:num w:numId="13">
    <w:abstractNumId w:val="13"/>
    <w:lvlOverride w:ilvl="0">
      <w:startOverride w:val="1"/>
    </w:lvlOverride>
  </w:num>
  <w:num w:numId="14">
    <w:abstractNumId w:val="8"/>
  </w:num>
  <w:num w:numId="15">
    <w:abstractNumId w:val="11"/>
  </w:num>
  <w:num w:numId="16">
    <w:abstractNumId w:val="0"/>
  </w:num>
  <w:num w:numId="17">
    <w:abstractNumId w:val="19"/>
  </w:num>
  <w:num w:numId="18">
    <w:abstractNumId w:val="17"/>
  </w:num>
  <w:num w:numId="19">
    <w:abstractNumId w:val="12"/>
  </w:num>
  <w:num w:numId="20">
    <w:abstractNumId w:val="18"/>
  </w:num>
  <w:num w:numId="21">
    <w:abstractNumId w:val="1"/>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77"/>
    <w:rsid w:val="000015FB"/>
    <w:rsid w:val="00005F28"/>
    <w:rsid w:val="00005FC7"/>
    <w:rsid w:val="00006E1F"/>
    <w:rsid w:val="00007CA0"/>
    <w:rsid w:val="0001119F"/>
    <w:rsid w:val="00012372"/>
    <w:rsid w:val="00012863"/>
    <w:rsid w:val="00013568"/>
    <w:rsid w:val="00017DD1"/>
    <w:rsid w:val="00021A62"/>
    <w:rsid w:val="00026109"/>
    <w:rsid w:val="000300AF"/>
    <w:rsid w:val="00032AFD"/>
    <w:rsid w:val="00036213"/>
    <w:rsid w:val="00037098"/>
    <w:rsid w:val="000418D9"/>
    <w:rsid w:val="00044792"/>
    <w:rsid w:val="00046CA3"/>
    <w:rsid w:val="00046E51"/>
    <w:rsid w:val="00051616"/>
    <w:rsid w:val="00052499"/>
    <w:rsid w:val="00052CD0"/>
    <w:rsid w:val="00053968"/>
    <w:rsid w:val="00054C52"/>
    <w:rsid w:val="00060CCF"/>
    <w:rsid w:val="00061B09"/>
    <w:rsid w:val="00063123"/>
    <w:rsid w:val="000638DD"/>
    <w:rsid w:val="00063FEF"/>
    <w:rsid w:val="00066AB9"/>
    <w:rsid w:val="000675F8"/>
    <w:rsid w:val="00067B00"/>
    <w:rsid w:val="00075CEB"/>
    <w:rsid w:val="000769A1"/>
    <w:rsid w:val="00076CF0"/>
    <w:rsid w:val="00080DFA"/>
    <w:rsid w:val="000812AE"/>
    <w:rsid w:val="00081D47"/>
    <w:rsid w:val="000844E1"/>
    <w:rsid w:val="00090529"/>
    <w:rsid w:val="00092309"/>
    <w:rsid w:val="00092C5B"/>
    <w:rsid w:val="00093225"/>
    <w:rsid w:val="00094972"/>
    <w:rsid w:val="0009599E"/>
    <w:rsid w:val="000969C3"/>
    <w:rsid w:val="000A4439"/>
    <w:rsid w:val="000A4BED"/>
    <w:rsid w:val="000A544F"/>
    <w:rsid w:val="000A62A8"/>
    <w:rsid w:val="000A6761"/>
    <w:rsid w:val="000B2BD0"/>
    <w:rsid w:val="000B2F0F"/>
    <w:rsid w:val="000B3A77"/>
    <w:rsid w:val="000B3BEA"/>
    <w:rsid w:val="000B5457"/>
    <w:rsid w:val="000B7093"/>
    <w:rsid w:val="000B7926"/>
    <w:rsid w:val="000B7E70"/>
    <w:rsid w:val="000C0118"/>
    <w:rsid w:val="000C15B4"/>
    <w:rsid w:val="000C21AF"/>
    <w:rsid w:val="000C293C"/>
    <w:rsid w:val="000C3DB9"/>
    <w:rsid w:val="000C454B"/>
    <w:rsid w:val="000C5C92"/>
    <w:rsid w:val="000C70DC"/>
    <w:rsid w:val="000C7158"/>
    <w:rsid w:val="000C72F8"/>
    <w:rsid w:val="000D709F"/>
    <w:rsid w:val="000E1D9E"/>
    <w:rsid w:val="000E207E"/>
    <w:rsid w:val="000E4355"/>
    <w:rsid w:val="000E6D11"/>
    <w:rsid w:val="000F0B43"/>
    <w:rsid w:val="000F1845"/>
    <w:rsid w:val="000F3713"/>
    <w:rsid w:val="000F5E21"/>
    <w:rsid w:val="000F5FD9"/>
    <w:rsid w:val="000F79B9"/>
    <w:rsid w:val="001001FA"/>
    <w:rsid w:val="00104790"/>
    <w:rsid w:val="00105068"/>
    <w:rsid w:val="00105D23"/>
    <w:rsid w:val="00106807"/>
    <w:rsid w:val="001073C9"/>
    <w:rsid w:val="00107F5A"/>
    <w:rsid w:val="001110F1"/>
    <w:rsid w:val="00113335"/>
    <w:rsid w:val="001139E9"/>
    <w:rsid w:val="001230C4"/>
    <w:rsid w:val="00123EF4"/>
    <w:rsid w:val="00124D9F"/>
    <w:rsid w:val="0012708A"/>
    <w:rsid w:val="00130424"/>
    <w:rsid w:val="0013282C"/>
    <w:rsid w:val="00132E2F"/>
    <w:rsid w:val="001332C0"/>
    <w:rsid w:val="00135AF5"/>
    <w:rsid w:val="00136DB4"/>
    <w:rsid w:val="00141646"/>
    <w:rsid w:val="00141705"/>
    <w:rsid w:val="00141A0B"/>
    <w:rsid w:val="001425AF"/>
    <w:rsid w:val="00142AE3"/>
    <w:rsid w:val="00144DA7"/>
    <w:rsid w:val="00151F27"/>
    <w:rsid w:val="00155E02"/>
    <w:rsid w:val="0015677A"/>
    <w:rsid w:val="00160306"/>
    <w:rsid w:val="00160E09"/>
    <w:rsid w:val="00162191"/>
    <w:rsid w:val="00165149"/>
    <w:rsid w:val="001665E4"/>
    <w:rsid w:val="0017118B"/>
    <w:rsid w:val="00174AB7"/>
    <w:rsid w:val="00174AF6"/>
    <w:rsid w:val="00176075"/>
    <w:rsid w:val="0017645A"/>
    <w:rsid w:val="00181F53"/>
    <w:rsid w:val="00184B79"/>
    <w:rsid w:val="0018564C"/>
    <w:rsid w:val="00192951"/>
    <w:rsid w:val="001933B1"/>
    <w:rsid w:val="00193664"/>
    <w:rsid w:val="001958F8"/>
    <w:rsid w:val="0019782A"/>
    <w:rsid w:val="001A03D1"/>
    <w:rsid w:val="001A07D4"/>
    <w:rsid w:val="001A1F8E"/>
    <w:rsid w:val="001A6E54"/>
    <w:rsid w:val="001B360E"/>
    <w:rsid w:val="001B3926"/>
    <w:rsid w:val="001B7611"/>
    <w:rsid w:val="001C6D08"/>
    <w:rsid w:val="001D11DE"/>
    <w:rsid w:val="001D247C"/>
    <w:rsid w:val="001D3C41"/>
    <w:rsid w:val="001D634E"/>
    <w:rsid w:val="001E045B"/>
    <w:rsid w:val="001E0AB2"/>
    <w:rsid w:val="001E466A"/>
    <w:rsid w:val="001E5CCE"/>
    <w:rsid w:val="001F3CFC"/>
    <w:rsid w:val="001F5410"/>
    <w:rsid w:val="00200B10"/>
    <w:rsid w:val="00200CC4"/>
    <w:rsid w:val="002053F3"/>
    <w:rsid w:val="0021112F"/>
    <w:rsid w:val="00215039"/>
    <w:rsid w:val="00223990"/>
    <w:rsid w:val="0022402B"/>
    <w:rsid w:val="00227481"/>
    <w:rsid w:val="002355A3"/>
    <w:rsid w:val="00236081"/>
    <w:rsid w:val="00236122"/>
    <w:rsid w:val="00237F6F"/>
    <w:rsid w:val="00243909"/>
    <w:rsid w:val="00243DEE"/>
    <w:rsid w:val="00244706"/>
    <w:rsid w:val="002501F6"/>
    <w:rsid w:val="0025182E"/>
    <w:rsid w:val="002529B7"/>
    <w:rsid w:val="00255B42"/>
    <w:rsid w:val="00256EED"/>
    <w:rsid w:val="002613D2"/>
    <w:rsid w:val="0026343E"/>
    <w:rsid w:val="00263D0C"/>
    <w:rsid w:val="00264716"/>
    <w:rsid w:val="00267A7A"/>
    <w:rsid w:val="00267F6C"/>
    <w:rsid w:val="00271B2B"/>
    <w:rsid w:val="002720A8"/>
    <w:rsid w:val="00280AB2"/>
    <w:rsid w:val="002812A2"/>
    <w:rsid w:val="0028167D"/>
    <w:rsid w:val="00281C08"/>
    <w:rsid w:val="00282FD0"/>
    <w:rsid w:val="00284557"/>
    <w:rsid w:val="002849B0"/>
    <w:rsid w:val="002849EE"/>
    <w:rsid w:val="00286495"/>
    <w:rsid w:val="00287FD7"/>
    <w:rsid w:val="002921C5"/>
    <w:rsid w:val="0029244A"/>
    <w:rsid w:val="002942FB"/>
    <w:rsid w:val="002957FB"/>
    <w:rsid w:val="00297AB4"/>
    <w:rsid w:val="002A0847"/>
    <w:rsid w:val="002A1ADA"/>
    <w:rsid w:val="002A28C9"/>
    <w:rsid w:val="002A70E7"/>
    <w:rsid w:val="002A7359"/>
    <w:rsid w:val="002B1593"/>
    <w:rsid w:val="002B23CF"/>
    <w:rsid w:val="002B53DF"/>
    <w:rsid w:val="002B68A5"/>
    <w:rsid w:val="002B6DA0"/>
    <w:rsid w:val="002C126A"/>
    <w:rsid w:val="002C413C"/>
    <w:rsid w:val="002C64E8"/>
    <w:rsid w:val="002C7011"/>
    <w:rsid w:val="002C734A"/>
    <w:rsid w:val="002D0A34"/>
    <w:rsid w:val="002D1DF1"/>
    <w:rsid w:val="002D279D"/>
    <w:rsid w:val="002D609D"/>
    <w:rsid w:val="002D62CB"/>
    <w:rsid w:val="002D6999"/>
    <w:rsid w:val="002E52F9"/>
    <w:rsid w:val="002F1E71"/>
    <w:rsid w:val="002F440B"/>
    <w:rsid w:val="002F60A0"/>
    <w:rsid w:val="002F71D4"/>
    <w:rsid w:val="002F7C83"/>
    <w:rsid w:val="00300CE3"/>
    <w:rsid w:val="00303517"/>
    <w:rsid w:val="00303CF8"/>
    <w:rsid w:val="00311A70"/>
    <w:rsid w:val="00311F5E"/>
    <w:rsid w:val="00313671"/>
    <w:rsid w:val="00313E69"/>
    <w:rsid w:val="00314038"/>
    <w:rsid w:val="003142E6"/>
    <w:rsid w:val="00314FBD"/>
    <w:rsid w:val="00315AF6"/>
    <w:rsid w:val="00317EDA"/>
    <w:rsid w:val="00320EB3"/>
    <w:rsid w:val="00336A60"/>
    <w:rsid w:val="00342CD8"/>
    <w:rsid w:val="00343A0C"/>
    <w:rsid w:val="00344FB0"/>
    <w:rsid w:val="00345014"/>
    <w:rsid w:val="00350399"/>
    <w:rsid w:val="00350E63"/>
    <w:rsid w:val="003528E8"/>
    <w:rsid w:val="00353183"/>
    <w:rsid w:val="00353544"/>
    <w:rsid w:val="00353E51"/>
    <w:rsid w:val="00354942"/>
    <w:rsid w:val="00354C34"/>
    <w:rsid w:val="0035674B"/>
    <w:rsid w:val="003607F3"/>
    <w:rsid w:val="00362133"/>
    <w:rsid w:val="00367B91"/>
    <w:rsid w:val="0037154C"/>
    <w:rsid w:val="00371F3F"/>
    <w:rsid w:val="00372AB1"/>
    <w:rsid w:val="00374549"/>
    <w:rsid w:val="00377749"/>
    <w:rsid w:val="00381A96"/>
    <w:rsid w:val="00381B5C"/>
    <w:rsid w:val="00386508"/>
    <w:rsid w:val="0039404B"/>
    <w:rsid w:val="00394752"/>
    <w:rsid w:val="003A1506"/>
    <w:rsid w:val="003A1774"/>
    <w:rsid w:val="003A17E0"/>
    <w:rsid w:val="003A26BB"/>
    <w:rsid w:val="003A7D33"/>
    <w:rsid w:val="003B0049"/>
    <w:rsid w:val="003B1FFC"/>
    <w:rsid w:val="003B303A"/>
    <w:rsid w:val="003C0A5F"/>
    <w:rsid w:val="003C27A1"/>
    <w:rsid w:val="003C57EB"/>
    <w:rsid w:val="003D77B2"/>
    <w:rsid w:val="003E0A97"/>
    <w:rsid w:val="003E0D48"/>
    <w:rsid w:val="003E10A4"/>
    <w:rsid w:val="003E48B8"/>
    <w:rsid w:val="003E4DE6"/>
    <w:rsid w:val="003E7743"/>
    <w:rsid w:val="003F0B5B"/>
    <w:rsid w:val="003F14DA"/>
    <w:rsid w:val="003F4C1D"/>
    <w:rsid w:val="0040127C"/>
    <w:rsid w:val="00401627"/>
    <w:rsid w:val="00403BCF"/>
    <w:rsid w:val="0040780A"/>
    <w:rsid w:val="00407BBB"/>
    <w:rsid w:val="00410D8F"/>
    <w:rsid w:val="00410F48"/>
    <w:rsid w:val="00410F60"/>
    <w:rsid w:val="004118E0"/>
    <w:rsid w:val="00412D08"/>
    <w:rsid w:val="00413DDF"/>
    <w:rsid w:val="00414FF6"/>
    <w:rsid w:val="004161C6"/>
    <w:rsid w:val="004178CB"/>
    <w:rsid w:val="00417B7A"/>
    <w:rsid w:val="00417D65"/>
    <w:rsid w:val="0042039D"/>
    <w:rsid w:val="004209F9"/>
    <w:rsid w:val="0042391D"/>
    <w:rsid w:val="0042461E"/>
    <w:rsid w:val="004338D1"/>
    <w:rsid w:val="00433E85"/>
    <w:rsid w:val="00442B18"/>
    <w:rsid w:val="00442E6A"/>
    <w:rsid w:val="0044551C"/>
    <w:rsid w:val="00446472"/>
    <w:rsid w:val="00446CE2"/>
    <w:rsid w:val="00447C62"/>
    <w:rsid w:val="00450873"/>
    <w:rsid w:val="0045423B"/>
    <w:rsid w:val="00455C7B"/>
    <w:rsid w:val="00463045"/>
    <w:rsid w:val="004718E3"/>
    <w:rsid w:val="00474269"/>
    <w:rsid w:val="00474405"/>
    <w:rsid w:val="0047470E"/>
    <w:rsid w:val="0047478B"/>
    <w:rsid w:val="00475483"/>
    <w:rsid w:val="00476CB1"/>
    <w:rsid w:val="00483336"/>
    <w:rsid w:val="00490847"/>
    <w:rsid w:val="00490B64"/>
    <w:rsid w:val="00492B73"/>
    <w:rsid w:val="00494DE9"/>
    <w:rsid w:val="004A0392"/>
    <w:rsid w:val="004A071B"/>
    <w:rsid w:val="004A46CC"/>
    <w:rsid w:val="004A5DE0"/>
    <w:rsid w:val="004B0106"/>
    <w:rsid w:val="004B0D54"/>
    <w:rsid w:val="004B47FE"/>
    <w:rsid w:val="004C26DE"/>
    <w:rsid w:val="004C4399"/>
    <w:rsid w:val="004C6D9A"/>
    <w:rsid w:val="004D0D57"/>
    <w:rsid w:val="004D3BBB"/>
    <w:rsid w:val="004D40A6"/>
    <w:rsid w:val="004D4A65"/>
    <w:rsid w:val="004D62CD"/>
    <w:rsid w:val="004E01DB"/>
    <w:rsid w:val="004E2CF7"/>
    <w:rsid w:val="004E3488"/>
    <w:rsid w:val="004E78AA"/>
    <w:rsid w:val="004E7D79"/>
    <w:rsid w:val="004F01A2"/>
    <w:rsid w:val="004F0B74"/>
    <w:rsid w:val="004F1553"/>
    <w:rsid w:val="004F2A9F"/>
    <w:rsid w:val="004F493C"/>
    <w:rsid w:val="004F7785"/>
    <w:rsid w:val="005072D3"/>
    <w:rsid w:val="00510DC6"/>
    <w:rsid w:val="00511BF1"/>
    <w:rsid w:val="00511E02"/>
    <w:rsid w:val="00514703"/>
    <w:rsid w:val="00520294"/>
    <w:rsid w:val="00525772"/>
    <w:rsid w:val="00531424"/>
    <w:rsid w:val="00532B65"/>
    <w:rsid w:val="00537F22"/>
    <w:rsid w:val="00540582"/>
    <w:rsid w:val="0054134D"/>
    <w:rsid w:val="00542523"/>
    <w:rsid w:val="00544156"/>
    <w:rsid w:val="00546277"/>
    <w:rsid w:val="005466DB"/>
    <w:rsid w:val="00550DCF"/>
    <w:rsid w:val="00552FC9"/>
    <w:rsid w:val="00553A57"/>
    <w:rsid w:val="00553FBE"/>
    <w:rsid w:val="00557EB8"/>
    <w:rsid w:val="00557FE1"/>
    <w:rsid w:val="005604DC"/>
    <w:rsid w:val="00562A07"/>
    <w:rsid w:val="005637D0"/>
    <w:rsid w:val="0056383B"/>
    <w:rsid w:val="0056487B"/>
    <w:rsid w:val="00564CDC"/>
    <w:rsid w:val="00564E98"/>
    <w:rsid w:val="005652F2"/>
    <w:rsid w:val="00576C4F"/>
    <w:rsid w:val="00580941"/>
    <w:rsid w:val="005811B3"/>
    <w:rsid w:val="00581EE2"/>
    <w:rsid w:val="00582553"/>
    <w:rsid w:val="00582CD2"/>
    <w:rsid w:val="00583141"/>
    <w:rsid w:val="00584664"/>
    <w:rsid w:val="0058753C"/>
    <w:rsid w:val="00591AE6"/>
    <w:rsid w:val="00592E1A"/>
    <w:rsid w:val="005944EC"/>
    <w:rsid w:val="005975AA"/>
    <w:rsid w:val="00597C9C"/>
    <w:rsid w:val="00597FEB"/>
    <w:rsid w:val="005A17FC"/>
    <w:rsid w:val="005A19C0"/>
    <w:rsid w:val="005A3631"/>
    <w:rsid w:val="005A3D02"/>
    <w:rsid w:val="005A4E2C"/>
    <w:rsid w:val="005A52EB"/>
    <w:rsid w:val="005A66CB"/>
    <w:rsid w:val="005B0472"/>
    <w:rsid w:val="005B7216"/>
    <w:rsid w:val="005C0A89"/>
    <w:rsid w:val="005C228F"/>
    <w:rsid w:val="005C23CB"/>
    <w:rsid w:val="005C272F"/>
    <w:rsid w:val="005C40DE"/>
    <w:rsid w:val="005C550B"/>
    <w:rsid w:val="005C6117"/>
    <w:rsid w:val="005D01A8"/>
    <w:rsid w:val="005D6E26"/>
    <w:rsid w:val="005E1375"/>
    <w:rsid w:val="005E138C"/>
    <w:rsid w:val="005E7695"/>
    <w:rsid w:val="005F162C"/>
    <w:rsid w:val="005F4090"/>
    <w:rsid w:val="005F430F"/>
    <w:rsid w:val="005F53E1"/>
    <w:rsid w:val="00600494"/>
    <w:rsid w:val="00600FCD"/>
    <w:rsid w:val="006150A8"/>
    <w:rsid w:val="00623C6A"/>
    <w:rsid w:val="0062522C"/>
    <w:rsid w:val="00626C58"/>
    <w:rsid w:val="00626EB8"/>
    <w:rsid w:val="006324BD"/>
    <w:rsid w:val="006337A0"/>
    <w:rsid w:val="00635EC3"/>
    <w:rsid w:val="00636860"/>
    <w:rsid w:val="00637A61"/>
    <w:rsid w:val="0064008B"/>
    <w:rsid w:val="00641AC0"/>
    <w:rsid w:val="00645AC4"/>
    <w:rsid w:val="00645FA6"/>
    <w:rsid w:val="00656171"/>
    <w:rsid w:val="006571CE"/>
    <w:rsid w:val="00664697"/>
    <w:rsid w:val="00666769"/>
    <w:rsid w:val="00670448"/>
    <w:rsid w:val="006714AC"/>
    <w:rsid w:val="00671E2B"/>
    <w:rsid w:val="00672F90"/>
    <w:rsid w:val="0067684B"/>
    <w:rsid w:val="00676DAF"/>
    <w:rsid w:val="00677BF6"/>
    <w:rsid w:val="0068018B"/>
    <w:rsid w:val="0068125B"/>
    <w:rsid w:val="00682BCD"/>
    <w:rsid w:val="00684885"/>
    <w:rsid w:val="0068692D"/>
    <w:rsid w:val="00687B1C"/>
    <w:rsid w:val="00690B57"/>
    <w:rsid w:val="006959AF"/>
    <w:rsid w:val="006A3DE8"/>
    <w:rsid w:val="006A5367"/>
    <w:rsid w:val="006A65E7"/>
    <w:rsid w:val="006A7614"/>
    <w:rsid w:val="006B0652"/>
    <w:rsid w:val="006B2B5D"/>
    <w:rsid w:val="006B43E8"/>
    <w:rsid w:val="006B4E7A"/>
    <w:rsid w:val="006B5EA2"/>
    <w:rsid w:val="006C5B99"/>
    <w:rsid w:val="006C5F78"/>
    <w:rsid w:val="006D00F9"/>
    <w:rsid w:val="006D413F"/>
    <w:rsid w:val="006D4428"/>
    <w:rsid w:val="006D44FA"/>
    <w:rsid w:val="006D67B8"/>
    <w:rsid w:val="006D6B4E"/>
    <w:rsid w:val="006E2AEF"/>
    <w:rsid w:val="006E3DE1"/>
    <w:rsid w:val="006E7FBB"/>
    <w:rsid w:val="006F053F"/>
    <w:rsid w:val="006F0832"/>
    <w:rsid w:val="006F168E"/>
    <w:rsid w:val="006F2920"/>
    <w:rsid w:val="006F2F93"/>
    <w:rsid w:val="006F64EA"/>
    <w:rsid w:val="00702D34"/>
    <w:rsid w:val="00704E7F"/>
    <w:rsid w:val="00707664"/>
    <w:rsid w:val="00711CA6"/>
    <w:rsid w:val="0071244B"/>
    <w:rsid w:val="00712A21"/>
    <w:rsid w:val="0071313C"/>
    <w:rsid w:val="00714101"/>
    <w:rsid w:val="00714BCA"/>
    <w:rsid w:val="00717B10"/>
    <w:rsid w:val="00720A3E"/>
    <w:rsid w:val="00720F11"/>
    <w:rsid w:val="007214EF"/>
    <w:rsid w:val="0072187A"/>
    <w:rsid w:val="00723802"/>
    <w:rsid w:val="00723C00"/>
    <w:rsid w:val="00725D73"/>
    <w:rsid w:val="00726DD4"/>
    <w:rsid w:val="00730892"/>
    <w:rsid w:val="00731A4C"/>
    <w:rsid w:val="00732E4D"/>
    <w:rsid w:val="00732E64"/>
    <w:rsid w:val="00742342"/>
    <w:rsid w:val="00742C8C"/>
    <w:rsid w:val="00744CFB"/>
    <w:rsid w:val="0074653C"/>
    <w:rsid w:val="00747001"/>
    <w:rsid w:val="0074778F"/>
    <w:rsid w:val="00747B99"/>
    <w:rsid w:val="00750EAC"/>
    <w:rsid w:val="007525FD"/>
    <w:rsid w:val="00754E03"/>
    <w:rsid w:val="0075795B"/>
    <w:rsid w:val="00763A57"/>
    <w:rsid w:val="00770BF9"/>
    <w:rsid w:val="0077232C"/>
    <w:rsid w:val="00773734"/>
    <w:rsid w:val="007761AF"/>
    <w:rsid w:val="0078127B"/>
    <w:rsid w:val="007813DD"/>
    <w:rsid w:val="00784B33"/>
    <w:rsid w:val="00784BA2"/>
    <w:rsid w:val="00785DB0"/>
    <w:rsid w:val="00790635"/>
    <w:rsid w:val="007906CE"/>
    <w:rsid w:val="00794FE6"/>
    <w:rsid w:val="007959C1"/>
    <w:rsid w:val="007A5230"/>
    <w:rsid w:val="007A5803"/>
    <w:rsid w:val="007B2015"/>
    <w:rsid w:val="007B2F7F"/>
    <w:rsid w:val="007B392C"/>
    <w:rsid w:val="007B465F"/>
    <w:rsid w:val="007B5799"/>
    <w:rsid w:val="007B62C9"/>
    <w:rsid w:val="007B6D9E"/>
    <w:rsid w:val="007B705F"/>
    <w:rsid w:val="007B7770"/>
    <w:rsid w:val="007C0CD8"/>
    <w:rsid w:val="007C1E2F"/>
    <w:rsid w:val="007C21D9"/>
    <w:rsid w:val="007C3651"/>
    <w:rsid w:val="007C3668"/>
    <w:rsid w:val="007C39E6"/>
    <w:rsid w:val="007C4167"/>
    <w:rsid w:val="007C5524"/>
    <w:rsid w:val="007C7FD4"/>
    <w:rsid w:val="007D1991"/>
    <w:rsid w:val="007D4181"/>
    <w:rsid w:val="007D44FD"/>
    <w:rsid w:val="007D4918"/>
    <w:rsid w:val="007D4EE1"/>
    <w:rsid w:val="007D64C8"/>
    <w:rsid w:val="007E1553"/>
    <w:rsid w:val="007E4B90"/>
    <w:rsid w:val="007E6625"/>
    <w:rsid w:val="007E67F2"/>
    <w:rsid w:val="007F0DA1"/>
    <w:rsid w:val="007F1793"/>
    <w:rsid w:val="007F1C0F"/>
    <w:rsid w:val="007F2742"/>
    <w:rsid w:val="007F3E0A"/>
    <w:rsid w:val="007F3E46"/>
    <w:rsid w:val="007F5148"/>
    <w:rsid w:val="007F58E6"/>
    <w:rsid w:val="007F6385"/>
    <w:rsid w:val="007F686C"/>
    <w:rsid w:val="007F76BA"/>
    <w:rsid w:val="00800AF5"/>
    <w:rsid w:val="00801BA9"/>
    <w:rsid w:val="00802E8F"/>
    <w:rsid w:val="008037F5"/>
    <w:rsid w:val="00804587"/>
    <w:rsid w:val="00806376"/>
    <w:rsid w:val="00812477"/>
    <w:rsid w:val="0081259D"/>
    <w:rsid w:val="00813568"/>
    <w:rsid w:val="00815170"/>
    <w:rsid w:val="00815ABB"/>
    <w:rsid w:val="008169DF"/>
    <w:rsid w:val="00816DF1"/>
    <w:rsid w:val="00821DD9"/>
    <w:rsid w:val="00833128"/>
    <w:rsid w:val="00833717"/>
    <w:rsid w:val="00837FA2"/>
    <w:rsid w:val="00840E7C"/>
    <w:rsid w:val="00841995"/>
    <w:rsid w:val="00841D8F"/>
    <w:rsid w:val="008421A1"/>
    <w:rsid w:val="008432EE"/>
    <w:rsid w:val="00843CCA"/>
    <w:rsid w:val="00846D4F"/>
    <w:rsid w:val="00846EAC"/>
    <w:rsid w:val="00847C8E"/>
    <w:rsid w:val="00850CF2"/>
    <w:rsid w:val="0085115C"/>
    <w:rsid w:val="00851DFB"/>
    <w:rsid w:val="008540EF"/>
    <w:rsid w:val="00855573"/>
    <w:rsid w:val="00856B05"/>
    <w:rsid w:val="00857845"/>
    <w:rsid w:val="0086314C"/>
    <w:rsid w:val="00864D14"/>
    <w:rsid w:val="0086519F"/>
    <w:rsid w:val="00865D38"/>
    <w:rsid w:val="008663FA"/>
    <w:rsid w:val="008714BB"/>
    <w:rsid w:val="00873713"/>
    <w:rsid w:val="00874265"/>
    <w:rsid w:val="00875199"/>
    <w:rsid w:val="00883BD4"/>
    <w:rsid w:val="008840EE"/>
    <w:rsid w:val="00887A63"/>
    <w:rsid w:val="00893B1D"/>
    <w:rsid w:val="008940F0"/>
    <w:rsid w:val="00894485"/>
    <w:rsid w:val="00895A2A"/>
    <w:rsid w:val="0089660F"/>
    <w:rsid w:val="00897427"/>
    <w:rsid w:val="008A2A7F"/>
    <w:rsid w:val="008A3B53"/>
    <w:rsid w:val="008A58C9"/>
    <w:rsid w:val="008B032B"/>
    <w:rsid w:val="008B1F5A"/>
    <w:rsid w:val="008B3CBC"/>
    <w:rsid w:val="008B43D6"/>
    <w:rsid w:val="008C0EA3"/>
    <w:rsid w:val="008C14BE"/>
    <w:rsid w:val="008C4666"/>
    <w:rsid w:val="008C5029"/>
    <w:rsid w:val="008C59E7"/>
    <w:rsid w:val="008C5E12"/>
    <w:rsid w:val="008D0DC0"/>
    <w:rsid w:val="008D129A"/>
    <w:rsid w:val="008D59BD"/>
    <w:rsid w:val="008D5B53"/>
    <w:rsid w:val="008E12AE"/>
    <w:rsid w:val="008E19AB"/>
    <w:rsid w:val="008E27F1"/>
    <w:rsid w:val="008E530A"/>
    <w:rsid w:val="008E602B"/>
    <w:rsid w:val="008F0865"/>
    <w:rsid w:val="008F312B"/>
    <w:rsid w:val="008F316C"/>
    <w:rsid w:val="008F4638"/>
    <w:rsid w:val="008F5A8F"/>
    <w:rsid w:val="009009D0"/>
    <w:rsid w:val="00902B68"/>
    <w:rsid w:val="0090357C"/>
    <w:rsid w:val="00903CAA"/>
    <w:rsid w:val="009043A7"/>
    <w:rsid w:val="0090646E"/>
    <w:rsid w:val="009108A5"/>
    <w:rsid w:val="00912344"/>
    <w:rsid w:val="009156D2"/>
    <w:rsid w:val="00915A0A"/>
    <w:rsid w:val="0091739D"/>
    <w:rsid w:val="0092134D"/>
    <w:rsid w:val="009224FA"/>
    <w:rsid w:val="00931BDB"/>
    <w:rsid w:val="00936037"/>
    <w:rsid w:val="00944D67"/>
    <w:rsid w:val="00945642"/>
    <w:rsid w:val="00945D20"/>
    <w:rsid w:val="00952494"/>
    <w:rsid w:val="009524E7"/>
    <w:rsid w:val="009527CF"/>
    <w:rsid w:val="00952FE4"/>
    <w:rsid w:val="00955CD5"/>
    <w:rsid w:val="00956F27"/>
    <w:rsid w:val="0095754B"/>
    <w:rsid w:val="009603FE"/>
    <w:rsid w:val="0096407B"/>
    <w:rsid w:val="009667CF"/>
    <w:rsid w:val="009672E4"/>
    <w:rsid w:val="00972701"/>
    <w:rsid w:val="00980DB0"/>
    <w:rsid w:val="00981D1A"/>
    <w:rsid w:val="00984186"/>
    <w:rsid w:val="00984B0B"/>
    <w:rsid w:val="009936C3"/>
    <w:rsid w:val="00994EDD"/>
    <w:rsid w:val="00997375"/>
    <w:rsid w:val="009A1591"/>
    <w:rsid w:val="009A5D8D"/>
    <w:rsid w:val="009B20BD"/>
    <w:rsid w:val="009B4174"/>
    <w:rsid w:val="009B61A1"/>
    <w:rsid w:val="009B69EF"/>
    <w:rsid w:val="009B75B1"/>
    <w:rsid w:val="009C0EAF"/>
    <w:rsid w:val="009C1F87"/>
    <w:rsid w:val="009C1FD3"/>
    <w:rsid w:val="009C2E95"/>
    <w:rsid w:val="009C4947"/>
    <w:rsid w:val="009C5A8B"/>
    <w:rsid w:val="009C67C5"/>
    <w:rsid w:val="009C75A9"/>
    <w:rsid w:val="009C7A55"/>
    <w:rsid w:val="009D5BA3"/>
    <w:rsid w:val="009D5F83"/>
    <w:rsid w:val="009E7EE8"/>
    <w:rsid w:val="009F0D5B"/>
    <w:rsid w:val="009F0F58"/>
    <w:rsid w:val="009F1B09"/>
    <w:rsid w:val="009F2530"/>
    <w:rsid w:val="009F3745"/>
    <w:rsid w:val="009F5638"/>
    <w:rsid w:val="009F609B"/>
    <w:rsid w:val="009F7630"/>
    <w:rsid w:val="00A01202"/>
    <w:rsid w:val="00A0419C"/>
    <w:rsid w:val="00A067D1"/>
    <w:rsid w:val="00A0718C"/>
    <w:rsid w:val="00A07DF7"/>
    <w:rsid w:val="00A10ACD"/>
    <w:rsid w:val="00A129F1"/>
    <w:rsid w:val="00A16849"/>
    <w:rsid w:val="00A215B4"/>
    <w:rsid w:val="00A26CF0"/>
    <w:rsid w:val="00A274D2"/>
    <w:rsid w:val="00A27549"/>
    <w:rsid w:val="00A302E5"/>
    <w:rsid w:val="00A30975"/>
    <w:rsid w:val="00A31BC3"/>
    <w:rsid w:val="00A3304F"/>
    <w:rsid w:val="00A342C9"/>
    <w:rsid w:val="00A356E7"/>
    <w:rsid w:val="00A36752"/>
    <w:rsid w:val="00A36C2C"/>
    <w:rsid w:val="00A37976"/>
    <w:rsid w:val="00A4064E"/>
    <w:rsid w:val="00A40735"/>
    <w:rsid w:val="00A42745"/>
    <w:rsid w:val="00A43B1C"/>
    <w:rsid w:val="00A467CE"/>
    <w:rsid w:val="00A471CA"/>
    <w:rsid w:val="00A50457"/>
    <w:rsid w:val="00A515B0"/>
    <w:rsid w:val="00A5250F"/>
    <w:rsid w:val="00A5366E"/>
    <w:rsid w:val="00A55276"/>
    <w:rsid w:val="00A553D5"/>
    <w:rsid w:val="00A55A24"/>
    <w:rsid w:val="00A56BB5"/>
    <w:rsid w:val="00A56C5A"/>
    <w:rsid w:val="00A56C6B"/>
    <w:rsid w:val="00A575FE"/>
    <w:rsid w:val="00A60FFF"/>
    <w:rsid w:val="00A61A2C"/>
    <w:rsid w:val="00A6306A"/>
    <w:rsid w:val="00A63890"/>
    <w:rsid w:val="00A65005"/>
    <w:rsid w:val="00A678FC"/>
    <w:rsid w:val="00A71B7A"/>
    <w:rsid w:val="00A72B1F"/>
    <w:rsid w:val="00A72CF0"/>
    <w:rsid w:val="00A80A4F"/>
    <w:rsid w:val="00A820BC"/>
    <w:rsid w:val="00A82430"/>
    <w:rsid w:val="00A91891"/>
    <w:rsid w:val="00A92804"/>
    <w:rsid w:val="00A93EF7"/>
    <w:rsid w:val="00A94668"/>
    <w:rsid w:val="00A95DA7"/>
    <w:rsid w:val="00A9613A"/>
    <w:rsid w:val="00A9646C"/>
    <w:rsid w:val="00A973B2"/>
    <w:rsid w:val="00A97D4F"/>
    <w:rsid w:val="00AA1FC0"/>
    <w:rsid w:val="00AA7385"/>
    <w:rsid w:val="00AB046E"/>
    <w:rsid w:val="00AB0F92"/>
    <w:rsid w:val="00AB567E"/>
    <w:rsid w:val="00AC08A8"/>
    <w:rsid w:val="00AC2E2E"/>
    <w:rsid w:val="00AC3943"/>
    <w:rsid w:val="00AC4317"/>
    <w:rsid w:val="00AC5EBF"/>
    <w:rsid w:val="00AC6981"/>
    <w:rsid w:val="00AD2224"/>
    <w:rsid w:val="00AD2F9A"/>
    <w:rsid w:val="00AD4163"/>
    <w:rsid w:val="00AE20E7"/>
    <w:rsid w:val="00AE3A26"/>
    <w:rsid w:val="00AF1B2F"/>
    <w:rsid w:val="00AF25B4"/>
    <w:rsid w:val="00AF364E"/>
    <w:rsid w:val="00AF3FDB"/>
    <w:rsid w:val="00B04EC6"/>
    <w:rsid w:val="00B055ED"/>
    <w:rsid w:val="00B05D36"/>
    <w:rsid w:val="00B120A0"/>
    <w:rsid w:val="00B13000"/>
    <w:rsid w:val="00B1319F"/>
    <w:rsid w:val="00B20019"/>
    <w:rsid w:val="00B21550"/>
    <w:rsid w:val="00B2163F"/>
    <w:rsid w:val="00B24137"/>
    <w:rsid w:val="00B25689"/>
    <w:rsid w:val="00B31FEF"/>
    <w:rsid w:val="00B325E1"/>
    <w:rsid w:val="00B32E9F"/>
    <w:rsid w:val="00B3588C"/>
    <w:rsid w:val="00B3691A"/>
    <w:rsid w:val="00B43736"/>
    <w:rsid w:val="00B448DC"/>
    <w:rsid w:val="00B46B8A"/>
    <w:rsid w:val="00B528FB"/>
    <w:rsid w:val="00B53033"/>
    <w:rsid w:val="00B559AA"/>
    <w:rsid w:val="00B564BC"/>
    <w:rsid w:val="00B60600"/>
    <w:rsid w:val="00B61388"/>
    <w:rsid w:val="00B62E57"/>
    <w:rsid w:val="00B63270"/>
    <w:rsid w:val="00B64400"/>
    <w:rsid w:val="00B6453C"/>
    <w:rsid w:val="00B65228"/>
    <w:rsid w:val="00B70CD9"/>
    <w:rsid w:val="00B71319"/>
    <w:rsid w:val="00B714B7"/>
    <w:rsid w:val="00B73863"/>
    <w:rsid w:val="00B75C45"/>
    <w:rsid w:val="00B760B5"/>
    <w:rsid w:val="00B82337"/>
    <w:rsid w:val="00B82E71"/>
    <w:rsid w:val="00B83493"/>
    <w:rsid w:val="00B91495"/>
    <w:rsid w:val="00B92C23"/>
    <w:rsid w:val="00B940DD"/>
    <w:rsid w:val="00B95847"/>
    <w:rsid w:val="00B966ED"/>
    <w:rsid w:val="00BA268A"/>
    <w:rsid w:val="00BA3D8F"/>
    <w:rsid w:val="00BA65A5"/>
    <w:rsid w:val="00BB08D3"/>
    <w:rsid w:val="00BB6193"/>
    <w:rsid w:val="00BB6A0B"/>
    <w:rsid w:val="00BB756B"/>
    <w:rsid w:val="00BC15E4"/>
    <w:rsid w:val="00BC2B92"/>
    <w:rsid w:val="00BD035D"/>
    <w:rsid w:val="00BD1A05"/>
    <w:rsid w:val="00BD1B80"/>
    <w:rsid w:val="00BD2483"/>
    <w:rsid w:val="00BD3D02"/>
    <w:rsid w:val="00BD5FBC"/>
    <w:rsid w:val="00BE335A"/>
    <w:rsid w:val="00BE4BA2"/>
    <w:rsid w:val="00BF187B"/>
    <w:rsid w:val="00BF5208"/>
    <w:rsid w:val="00C012ED"/>
    <w:rsid w:val="00C02961"/>
    <w:rsid w:val="00C02B5E"/>
    <w:rsid w:val="00C057EF"/>
    <w:rsid w:val="00C07274"/>
    <w:rsid w:val="00C131B3"/>
    <w:rsid w:val="00C14296"/>
    <w:rsid w:val="00C14EBF"/>
    <w:rsid w:val="00C16B6E"/>
    <w:rsid w:val="00C17C6A"/>
    <w:rsid w:val="00C23180"/>
    <w:rsid w:val="00C2333D"/>
    <w:rsid w:val="00C2452C"/>
    <w:rsid w:val="00C26326"/>
    <w:rsid w:val="00C2695D"/>
    <w:rsid w:val="00C26A40"/>
    <w:rsid w:val="00C32246"/>
    <w:rsid w:val="00C41693"/>
    <w:rsid w:val="00C4260B"/>
    <w:rsid w:val="00C43792"/>
    <w:rsid w:val="00C450AE"/>
    <w:rsid w:val="00C47504"/>
    <w:rsid w:val="00C510A3"/>
    <w:rsid w:val="00C53387"/>
    <w:rsid w:val="00C546B7"/>
    <w:rsid w:val="00C56ED2"/>
    <w:rsid w:val="00C64063"/>
    <w:rsid w:val="00C64321"/>
    <w:rsid w:val="00C6623A"/>
    <w:rsid w:val="00C673E2"/>
    <w:rsid w:val="00C70000"/>
    <w:rsid w:val="00C70B6C"/>
    <w:rsid w:val="00C72748"/>
    <w:rsid w:val="00C74089"/>
    <w:rsid w:val="00C758F5"/>
    <w:rsid w:val="00C90E85"/>
    <w:rsid w:val="00C91FB0"/>
    <w:rsid w:val="00C92D63"/>
    <w:rsid w:val="00C92E5D"/>
    <w:rsid w:val="00C93509"/>
    <w:rsid w:val="00C95619"/>
    <w:rsid w:val="00C9777C"/>
    <w:rsid w:val="00CA0455"/>
    <w:rsid w:val="00CA4166"/>
    <w:rsid w:val="00CA464F"/>
    <w:rsid w:val="00CA4A39"/>
    <w:rsid w:val="00CA4C69"/>
    <w:rsid w:val="00CA54E1"/>
    <w:rsid w:val="00CA58CB"/>
    <w:rsid w:val="00CA5BC7"/>
    <w:rsid w:val="00CA7450"/>
    <w:rsid w:val="00CB0B04"/>
    <w:rsid w:val="00CB137C"/>
    <w:rsid w:val="00CB4E54"/>
    <w:rsid w:val="00CB6AA7"/>
    <w:rsid w:val="00CB7416"/>
    <w:rsid w:val="00CB7C79"/>
    <w:rsid w:val="00CC0064"/>
    <w:rsid w:val="00CC215D"/>
    <w:rsid w:val="00CC3F2F"/>
    <w:rsid w:val="00CC4A3E"/>
    <w:rsid w:val="00CC602E"/>
    <w:rsid w:val="00CC62E0"/>
    <w:rsid w:val="00CD0EB5"/>
    <w:rsid w:val="00CD6D27"/>
    <w:rsid w:val="00CD6F65"/>
    <w:rsid w:val="00CE0019"/>
    <w:rsid w:val="00CE0D22"/>
    <w:rsid w:val="00CE1624"/>
    <w:rsid w:val="00CE16E0"/>
    <w:rsid w:val="00CE1DF6"/>
    <w:rsid w:val="00CE3B8B"/>
    <w:rsid w:val="00CE6430"/>
    <w:rsid w:val="00CF02AB"/>
    <w:rsid w:val="00CF1131"/>
    <w:rsid w:val="00CF3E4E"/>
    <w:rsid w:val="00CF5581"/>
    <w:rsid w:val="00CF7CA3"/>
    <w:rsid w:val="00D005EC"/>
    <w:rsid w:val="00D11C16"/>
    <w:rsid w:val="00D1214E"/>
    <w:rsid w:val="00D14FDB"/>
    <w:rsid w:val="00D150CA"/>
    <w:rsid w:val="00D15D3F"/>
    <w:rsid w:val="00D16205"/>
    <w:rsid w:val="00D20BD0"/>
    <w:rsid w:val="00D20D0E"/>
    <w:rsid w:val="00D210CE"/>
    <w:rsid w:val="00D2311D"/>
    <w:rsid w:val="00D2364B"/>
    <w:rsid w:val="00D27605"/>
    <w:rsid w:val="00D36011"/>
    <w:rsid w:val="00D36045"/>
    <w:rsid w:val="00D3638A"/>
    <w:rsid w:val="00D36521"/>
    <w:rsid w:val="00D42C39"/>
    <w:rsid w:val="00D451FE"/>
    <w:rsid w:val="00D47C5D"/>
    <w:rsid w:val="00D50B78"/>
    <w:rsid w:val="00D50E23"/>
    <w:rsid w:val="00D531A3"/>
    <w:rsid w:val="00D5589F"/>
    <w:rsid w:val="00D576D4"/>
    <w:rsid w:val="00D61BF4"/>
    <w:rsid w:val="00D627AE"/>
    <w:rsid w:val="00D62AA3"/>
    <w:rsid w:val="00D62DF9"/>
    <w:rsid w:val="00D667F0"/>
    <w:rsid w:val="00D67274"/>
    <w:rsid w:val="00D67A98"/>
    <w:rsid w:val="00D71959"/>
    <w:rsid w:val="00D77566"/>
    <w:rsid w:val="00D85949"/>
    <w:rsid w:val="00D90DB4"/>
    <w:rsid w:val="00D93097"/>
    <w:rsid w:val="00D94283"/>
    <w:rsid w:val="00DA2E3E"/>
    <w:rsid w:val="00DA371A"/>
    <w:rsid w:val="00DA39C5"/>
    <w:rsid w:val="00DA4E05"/>
    <w:rsid w:val="00DA621C"/>
    <w:rsid w:val="00DA6D43"/>
    <w:rsid w:val="00DA7DE1"/>
    <w:rsid w:val="00DB0122"/>
    <w:rsid w:val="00DB0E9E"/>
    <w:rsid w:val="00DB3842"/>
    <w:rsid w:val="00DB4896"/>
    <w:rsid w:val="00DB4CA9"/>
    <w:rsid w:val="00DB5A55"/>
    <w:rsid w:val="00DB6227"/>
    <w:rsid w:val="00DB625D"/>
    <w:rsid w:val="00DB6959"/>
    <w:rsid w:val="00DB783D"/>
    <w:rsid w:val="00DC05C1"/>
    <w:rsid w:val="00DC224F"/>
    <w:rsid w:val="00DD0F09"/>
    <w:rsid w:val="00DE1DED"/>
    <w:rsid w:val="00DE264C"/>
    <w:rsid w:val="00DE3D66"/>
    <w:rsid w:val="00DE5628"/>
    <w:rsid w:val="00DE6AD2"/>
    <w:rsid w:val="00DE6E1C"/>
    <w:rsid w:val="00DF4385"/>
    <w:rsid w:val="00DF746F"/>
    <w:rsid w:val="00E008D5"/>
    <w:rsid w:val="00E03491"/>
    <w:rsid w:val="00E04753"/>
    <w:rsid w:val="00E0544B"/>
    <w:rsid w:val="00E12C39"/>
    <w:rsid w:val="00E13871"/>
    <w:rsid w:val="00E16A37"/>
    <w:rsid w:val="00E17E9C"/>
    <w:rsid w:val="00E20631"/>
    <w:rsid w:val="00E25796"/>
    <w:rsid w:val="00E30D95"/>
    <w:rsid w:val="00E3155F"/>
    <w:rsid w:val="00E33FB4"/>
    <w:rsid w:val="00E35802"/>
    <w:rsid w:val="00E36D17"/>
    <w:rsid w:val="00E36FE2"/>
    <w:rsid w:val="00E4535D"/>
    <w:rsid w:val="00E45B4D"/>
    <w:rsid w:val="00E51F41"/>
    <w:rsid w:val="00E5691B"/>
    <w:rsid w:val="00E601F3"/>
    <w:rsid w:val="00E61505"/>
    <w:rsid w:val="00E6158B"/>
    <w:rsid w:val="00E622C2"/>
    <w:rsid w:val="00E63ACD"/>
    <w:rsid w:val="00E673D2"/>
    <w:rsid w:val="00E701E0"/>
    <w:rsid w:val="00E7024B"/>
    <w:rsid w:val="00E72220"/>
    <w:rsid w:val="00E74213"/>
    <w:rsid w:val="00E76C62"/>
    <w:rsid w:val="00E76CD9"/>
    <w:rsid w:val="00E80549"/>
    <w:rsid w:val="00E85272"/>
    <w:rsid w:val="00E91E19"/>
    <w:rsid w:val="00E95106"/>
    <w:rsid w:val="00E95F26"/>
    <w:rsid w:val="00E9710B"/>
    <w:rsid w:val="00EA023E"/>
    <w:rsid w:val="00EA0EBF"/>
    <w:rsid w:val="00EA100F"/>
    <w:rsid w:val="00EB5408"/>
    <w:rsid w:val="00EC0B2E"/>
    <w:rsid w:val="00EC3E90"/>
    <w:rsid w:val="00EC763A"/>
    <w:rsid w:val="00ED1CC5"/>
    <w:rsid w:val="00ED47C6"/>
    <w:rsid w:val="00ED74EC"/>
    <w:rsid w:val="00ED79BB"/>
    <w:rsid w:val="00EE0957"/>
    <w:rsid w:val="00EE0E4E"/>
    <w:rsid w:val="00EE119C"/>
    <w:rsid w:val="00EE27E5"/>
    <w:rsid w:val="00EF0715"/>
    <w:rsid w:val="00EF0B95"/>
    <w:rsid w:val="00EF1732"/>
    <w:rsid w:val="00EF3ABF"/>
    <w:rsid w:val="00EF636A"/>
    <w:rsid w:val="00EF6795"/>
    <w:rsid w:val="00EF776D"/>
    <w:rsid w:val="00EF7F86"/>
    <w:rsid w:val="00F03412"/>
    <w:rsid w:val="00F10A75"/>
    <w:rsid w:val="00F11FE7"/>
    <w:rsid w:val="00F142BF"/>
    <w:rsid w:val="00F1508D"/>
    <w:rsid w:val="00F2589A"/>
    <w:rsid w:val="00F25FE0"/>
    <w:rsid w:val="00F30F6D"/>
    <w:rsid w:val="00F31F97"/>
    <w:rsid w:val="00F336F6"/>
    <w:rsid w:val="00F34AE9"/>
    <w:rsid w:val="00F35860"/>
    <w:rsid w:val="00F36C1D"/>
    <w:rsid w:val="00F40E54"/>
    <w:rsid w:val="00F42C01"/>
    <w:rsid w:val="00F45261"/>
    <w:rsid w:val="00F461EB"/>
    <w:rsid w:val="00F51EC8"/>
    <w:rsid w:val="00F521B9"/>
    <w:rsid w:val="00F5243D"/>
    <w:rsid w:val="00F570F0"/>
    <w:rsid w:val="00F5755F"/>
    <w:rsid w:val="00F5759B"/>
    <w:rsid w:val="00F60C44"/>
    <w:rsid w:val="00F613E8"/>
    <w:rsid w:val="00F62807"/>
    <w:rsid w:val="00F647CA"/>
    <w:rsid w:val="00F731D3"/>
    <w:rsid w:val="00F937E9"/>
    <w:rsid w:val="00F96550"/>
    <w:rsid w:val="00F96808"/>
    <w:rsid w:val="00F968DD"/>
    <w:rsid w:val="00FA0129"/>
    <w:rsid w:val="00FA2139"/>
    <w:rsid w:val="00FA63D5"/>
    <w:rsid w:val="00FA76AB"/>
    <w:rsid w:val="00FA7F74"/>
    <w:rsid w:val="00FB0335"/>
    <w:rsid w:val="00FB3929"/>
    <w:rsid w:val="00FB6B35"/>
    <w:rsid w:val="00FB6B9E"/>
    <w:rsid w:val="00FC0EF5"/>
    <w:rsid w:val="00FC3257"/>
    <w:rsid w:val="00FC5611"/>
    <w:rsid w:val="00FC5F8C"/>
    <w:rsid w:val="00FC79B6"/>
    <w:rsid w:val="00FD078E"/>
    <w:rsid w:val="00FD1CCB"/>
    <w:rsid w:val="00FD46A2"/>
    <w:rsid w:val="00FE130F"/>
    <w:rsid w:val="00FE2767"/>
    <w:rsid w:val="00FF0DCF"/>
    <w:rsid w:val="00FF16B3"/>
    <w:rsid w:val="00FF36E5"/>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12477"/>
    <w:rPr>
      <w:rFonts w:ascii="Times New Roman" w:hAnsi="Times New Roman"/>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semiHidden/>
    <w:qFormat/>
    <w:rsid w:val="003A1506"/>
    <w:pPr>
      <w:keepNext/>
      <w:spacing w:after="240"/>
      <w:ind w:left="432" w:hanging="432"/>
      <w:outlineLvl w:val="1"/>
    </w:pPr>
    <w:rPr>
      <w:b/>
      <w:caps/>
    </w:rPr>
  </w:style>
  <w:style w:type="paragraph" w:styleId="Heading3">
    <w:name w:val="heading 3"/>
    <w:basedOn w:val="Normal"/>
    <w:next w:val="Normal"/>
    <w:link w:val="Heading3Char"/>
    <w:qFormat/>
    <w:rsid w:val="006F168E"/>
    <w:pPr>
      <w:keepNext/>
      <w:spacing w:after="240"/>
      <w:ind w:left="432" w:hanging="432"/>
      <w:outlineLvl w:val="2"/>
    </w:pPr>
    <w:rPr>
      <w:b/>
    </w:rPr>
  </w:style>
  <w:style w:type="paragraph" w:styleId="Heading4">
    <w:name w:val="heading 4"/>
    <w:basedOn w:val="Normal"/>
    <w:next w:val="Normal"/>
    <w:link w:val="Heading4Char"/>
    <w:qFormat/>
    <w:rsid w:val="006F168E"/>
    <w:pPr>
      <w:spacing w:after="240"/>
      <w:ind w:left="432" w:hanging="432"/>
      <w:outlineLvl w:val="3"/>
    </w:pPr>
    <w:rPr>
      <w:b/>
    </w:rPr>
  </w:style>
  <w:style w:type="paragraph" w:styleId="Heading5">
    <w:name w:val="heading 5"/>
    <w:aliases w:val="Heading 5 (business proposal only)"/>
    <w:basedOn w:val="Normal"/>
    <w:next w:val="Normal"/>
    <w:semiHidden/>
    <w:qFormat/>
    <w:rsid w:val="003A1506"/>
    <w:pPr>
      <w:spacing w:after="240"/>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B448DC"/>
    <w:pPr>
      <w:tabs>
        <w:tab w:val="left" w:pos="720"/>
        <w:tab w:val="right" w:leader="dot" w:pos="9360"/>
      </w:tabs>
      <w:spacing w:after="240"/>
      <w:ind w:left="720" w:right="1080" w:hanging="720"/>
    </w:pPr>
    <w:rPr>
      <w:rFonts w:ascii="Arial" w:hAnsi="Arial"/>
      <w:caps/>
    </w:rPr>
  </w:style>
  <w:style w:type="paragraph" w:customStyle="1" w:styleId="NormalSS">
    <w:name w:val="NormalSS"/>
    <w:basedOn w:val="Normal"/>
    <w:qFormat/>
    <w:rsid w:val="00D16205"/>
    <w:pPr>
      <w:spacing w:after="240"/>
      <w:ind w:firstLine="450"/>
      <w:jc w:val="both"/>
    </w:pPr>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jc w:val="center"/>
      <w:outlineLvl w:val="0"/>
    </w:pPr>
    <w:rPr>
      <w:rFonts w:ascii="Arial" w:hAnsi="Arial"/>
      <w:b/>
      <w:caps/>
    </w:rPr>
  </w:style>
  <w:style w:type="paragraph" w:styleId="TOC2">
    <w:name w:val="toc 2"/>
    <w:next w:val="Normal"/>
    <w:autoRedefine/>
    <w:uiPriority w:val="39"/>
    <w:qFormat/>
    <w:rsid w:val="007813DD"/>
    <w:pPr>
      <w:tabs>
        <w:tab w:val="left" w:pos="1440"/>
        <w:tab w:val="right" w:leader="dot" w:pos="9360"/>
      </w:tabs>
      <w:spacing w:after="240"/>
      <w:ind w:left="1440" w:right="1080" w:hanging="720"/>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s>
      <w:spacing w:after="120"/>
      <w:ind w:right="360"/>
    </w:pPr>
  </w:style>
  <w:style w:type="paragraph" w:customStyle="1" w:styleId="Outline">
    <w:name w:val="Outline"/>
    <w:basedOn w:val="Normal"/>
    <w:semiHidden/>
    <w:qFormat/>
    <w:rsid w:val="003A1506"/>
    <w:pPr>
      <w:spacing w:after="240"/>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pPr>
    <w:rPr>
      <w:rFonts w:ascii="Arial" w:hAnsi="Arial"/>
      <w:b/>
      <w:sz w:val="18"/>
    </w:rPr>
  </w:style>
  <w:style w:type="paragraph" w:customStyle="1" w:styleId="References">
    <w:name w:val="References"/>
    <w:basedOn w:val="Normal"/>
    <w:qFormat/>
    <w:rsid w:val="00883BD4"/>
    <w:pPr>
      <w:keepLines/>
      <w:spacing w:after="240"/>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pPr>
    <w:rPr>
      <w:rFonts w:ascii="Arial" w:hAnsi="Arial"/>
      <w:b/>
      <w:sz w:val="18"/>
    </w:rPr>
  </w:style>
  <w:style w:type="paragraph" w:styleId="TableofFigures">
    <w:name w:val="table of figures"/>
    <w:basedOn w:val="Normal"/>
    <w:next w:val="Normal"/>
    <w:uiPriority w:val="99"/>
    <w:rsid w:val="006E7FBB"/>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nhideWhenUsed/>
    <w:rsid w:val="003A1774"/>
    <w:rPr>
      <w:rFonts w:ascii="Tahoma" w:hAnsi="Tahoma" w:cs="Tahoma"/>
      <w:sz w:val="16"/>
      <w:szCs w:val="16"/>
    </w:rPr>
  </w:style>
  <w:style w:type="character" w:customStyle="1" w:styleId="BalloonTextChar">
    <w:name w:val="Balloon Text Char"/>
    <w:basedOn w:val="DefaultParagraphFont"/>
    <w:link w:val="BalloonText"/>
    <w:rsid w:val="003A1774"/>
    <w:rPr>
      <w:rFonts w:ascii="Tahoma" w:hAnsi="Tahoma" w:cs="Tahoma"/>
      <w:sz w:val="16"/>
      <w:szCs w:val="16"/>
    </w:rPr>
  </w:style>
  <w:style w:type="paragraph" w:customStyle="1" w:styleId="TableFootnoteCaption">
    <w:name w:val="Table Footnote_Caption"/>
    <w:basedOn w:val="NormalSS"/>
    <w:qFormat/>
    <w:rsid w:val="00DE3D66"/>
    <w:pPr>
      <w:spacing w:after="120"/>
    </w:pPr>
    <w:rPr>
      <w:rFonts w:ascii="Arial" w:hAnsi="Arial"/>
      <w:sz w:val="18"/>
    </w:rPr>
  </w:style>
  <w:style w:type="paragraph" w:customStyle="1" w:styleId="TableHeaderCenter">
    <w:name w:val="Table Header Center"/>
    <w:basedOn w:val="NormalSS"/>
    <w:qFormat/>
    <w:rsid w:val="00DE3D66"/>
    <w:pPr>
      <w:spacing w:before="120" w:after="60"/>
      <w:jc w:val="center"/>
    </w:pPr>
    <w:rPr>
      <w:rFonts w:ascii="Arial" w:hAnsi="Arial"/>
      <w:sz w:val="18"/>
    </w:rPr>
  </w:style>
  <w:style w:type="paragraph" w:customStyle="1" w:styleId="TableHeaderLeft">
    <w:name w:val="Table Header Left"/>
    <w:basedOn w:val="NormalSS"/>
    <w:qFormat/>
    <w:rsid w:val="00DE3D66"/>
    <w:pPr>
      <w:spacing w:before="120" w:after="60"/>
    </w:pPr>
    <w:rPr>
      <w:rFonts w:ascii="Arial" w:hAnsi="Arial"/>
      <w:sz w:val="18"/>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style>
  <w:style w:type="paragraph" w:customStyle="1" w:styleId="TableText">
    <w:name w:val="Table Text"/>
    <w:basedOn w:val="NormalSS"/>
    <w:qFormat/>
    <w:rsid w:val="00DE3D66"/>
    <w:pPr>
      <w:spacing w:after="0"/>
    </w:pPr>
    <w:rPr>
      <w:rFonts w:ascii="Arial" w:hAnsi="Arial"/>
      <w:sz w:val="18"/>
    </w:rPr>
  </w:style>
  <w:style w:type="paragraph" w:customStyle="1" w:styleId="TableSourceCaption">
    <w:name w:val="Table Source_Caption"/>
    <w:basedOn w:val="NormalSS"/>
    <w:qFormat/>
    <w:rsid w:val="00DE3D66"/>
    <w:pPr>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s>
      <w:spacing w:after="120"/>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
    <w:qFormat/>
    <w:rsid w:val="006D4428"/>
    <w:pPr>
      <w:outlineLvl w:val="8"/>
    </w:pPr>
  </w:style>
  <w:style w:type="paragraph" w:customStyle="1" w:styleId="Default">
    <w:name w:val="Default"/>
    <w:rsid w:val="00812477"/>
    <w:pPr>
      <w:autoSpaceDE w:val="0"/>
      <w:autoSpaceDN w:val="0"/>
      <w:adjustRightInd w:val="0"/>
    </w:pPr>
    <w:rPr>
      <w:rFonts w:ascii="Courier New" w:hAnsi="Courier New" w:cs="Courier New"/>
      <w:color w:val="000000"/>
    </w:rPr>
  </w:style>
  <w:style w:type="character" w:styleId="Hyperlink">
    <w:name w:val="Hyperlink"/>
    <w:basedOn w:val="DefaultParagraphFont"/>
    <w:rsid w:val="00812477"/>
    <w:rPr>
      <w:color w:val="0000FF"/>
      <w:u w:val="single"/>
    </w:rPr>
  </w:style>
  <w:style w:type="character" w:styleId="CommentReference">
    <w:name w:val="annotation reference"/>
    <w:basedOn w:val="DefaultParagraphFont"/>
    <w:rsid w:val="00812477"/>
    <w:rPr>
      <w:sz w:val="16"/>
      <w:szCs w:val="16"/>
    </w:rPr>
  </w:style>
  <w:style w:type="paragraph" w:styleId="CommentText">
    <w:name w:val="annotation text"/>
    <w:basedOn w:val="Normal"/>
    <w:link w:val="CommentTextChar"/>
    <w:uiPriority w:val="99"/>
    <w:rsid w:val="00812477"/>
    <w:rPr>
      <w:sz w:val="20"/>
      <w:szCs w:val="20"/>
    </w:rPr>
  </w:style>
  <w:style w:type="character" w:customStyle="1" w:styleId="CommentTextChar">
    <w:name w:val="Comment Text Char"/>
    <w:basedOn w:val="DefaultParagraphFont"/>
    <w:link w:val="CommentText"/>
    <w:uiPriority w:val="99"/>
    <w:rsid w:val="00812477"/>
    <w:rPr>
      <w:rFonts w:ascii="Times New Roman" w:hAnsi="Times New Roman"/>
      <w:sz w:val="20"/>
      <w:szCs w:val="20"/>
    </w:rPr>
  </w:style>
  <w:style w:type="paragraph" w:styleId="CommentSubject">
    <w:name w:val="annotation subject"/>
    <w:basedOn w:val="CommentText"/>
    <w:next w:val="CommentText"/>
    <w:link w:val="CommentSubjectChar"/>
    <w:rsid w:val="00812477"/>
    <w:rPr>
      <w:b/>
      <w:bCs/>
    </w:rPr>
  </w:style>
  <w:style w:type="character" w:customStyle="1" w:styleId="CommentSubjectChar">
    <w:name w:val="Comment Subject Char"/>
    <w:basedOn w:val="CommentTextChar"/>
    <w:link w:val="CommentSubject"/>
    <w:rsid w:val="00812477"/>
    <w:rPr>
      <w:rFonts w:ascii="Times New Roman" w:hAnsi="Times New Roman"/>
      <w:b/>
      <w:bCs/>
      <w:sz w:val="20"/>
      <w:szCs w:val="20"/>
    </w:rPr>
  </w:style>
  <w:style w:type="paragraph" w:customStyle="1" w:styleId="ReportCover-Title">
    <w:name w:val="ReportCover-Title"/>
    <w:basedOn w:val="Normal"/>
    <w:rsid w:val="0081247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812477"/>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812477"/>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812477"/>
  </w:style>
  <w:style w:type="character" w:customStyle="1" w:styleId="Heading1Char">
    <w:name w:val="Heading 1 Char"/>
    <w:basedOn w:val="DefaultParagraphFont"/>
    <w:link w:val="Heading1"/>
    <w:rsid w:val="00812477"/>
    <w:rPr>
      <w:b/>
      <w:caps/>
    </w:rPr>
  </w:style>
  <w:style w:type="character" w:styleId="Emphasis">
    <w:name w:val="Emphasis"/>
    <w:basedOn w:val="DefaultParagraphFont"/>
    <w:qFormat/>
    <w:rsid w:val="00812477"/>
    <w:rPr>
      <w:rFonts w:cs="Times New Roman"/>
      <w:i/>
      <w:iCs/>
    </w:rPr>
  </w:style>
  <w:style w:type="paragraph" w:customStyle="1" w:styleId="NormalSS12">
    <w:name w:val="NormalSS 12"/>
    <w:basedOn w:val="Normal"/>
    <w:rsid w:val="00D16205"/>
    <w:pPr>
      <w:tabs>
        <w:tab w:val="left" w:pos="432"/>
      </w:tabs>
      <w:ind w:left="360"/>
      <w:jc w:val="both"/>
    </w:pPr>
    <w:rPr>
      <w:rFonts w:eastAsia="Calibri"/>
    </w:rPr>
  </w:style>
  <w:style w:type="character" w:customStyle="1" w:styleId="Heading4Char">
    <w:name w:val="Heading 4 Char"/>
    <w:basedOn w:val="DefaultParagraphFont"/>
    <w:link w:val="Heading4"/>
    <w:rsid w:val="00812477"/>
    <w:rPr>
      <w:b/>
    </w:rPr>
  </w:style>
  <w:style w:type="paragraph" w:styleId="NoSpacing">
    <w:name w:val="No Spacing"/>
    <w:uiPriority w:val="1"/>
    <w:qFormat/>
    <w:rsid w:val="00812477"/>
    <w:pPr>
      <w:widowControl w:val="0"/>
    </w:pPr>
    <w:rPr>
      <w:rFonts w:ascii="Courier New" w:hAnsi="Courier New"/>
      <w:snapToGrid w:val="0"/>
    </w:rPr>
  </w:style>
  <w:style w:type="character" w:customStyle="1" w:styleId="FootnoteTextChar">
    <w:name w:val="Footnote Text Char"/>
    <w:aliases w:val="F1 Char"/>
    <w:basedOn w:val="DefaultParagraphFont"/>
    <w:link w:val="FootnoteText"/>
    <w:rsid w:val="00812477"/>
    <w:rPr>
      <w:sz w:val="20"/>
    </w:rPr>
  </w:style>
  <w:style w:type="character" w:customStyle="1" w:styleId="Heading3Char">
    <w:name w:val="Heading 3 Char"/>
    <w:basedOn w:val="DefaultParagraphFont"/>
    <w:link w:val="Heading3"/>
    <w:rsid w:val="00812477"/>
    <w:rPr>
      <w:b/>
    </w:rPr>
  </w:style>
  <w:style w:type="character" w:customStyle="1" w:styleId="Heading2Char">
    <w:name w:val="Heading 2 Char"/>
    <w:basedOn w:val="DefaultParagraphFont"/>
    <w:link w:val="Heading2"/>
    <w:semiHidden/>
    <w:rsid w:val="00812477"/>
    <w:rPr>
      <w:b/>
      <w:caps/>
    </w:rPr>
  </w:style>
  <w:style w:type="paragraph" w:styleId="Revision">
    <w:name w:val="Revision"/>
    <w:hidden/>
    <w:uiPriority w:val="99"/>
    <w:semiHidden/>
    <w:rsid w:val="00812477"/>
    <w:rPr>
      <w:rFonts w:ascii="Times New Roman" w:hAnsi="Times New Roman"/>
    </w:rPr>
  </w:style>
  <w:style w:type="paragraph" w:styleId="BodyText">
    <w:name w:val="Body Text"/>
    <w:basedOn w:val="Normal"/>
    <w:link w:val="BodyTextChar"/>
    <w:uiPriority w:val="99"/>
    <w:rsid w:val="00D71959"/>
    <w:pPr>
      <w:spacing w:after="180" w:line="264" w:lineRule="auto"/>
    </w:pPr>
    <w:rPr>
      <w:sz w:val="22"/>
      <w:szCs w:val="20"/>
    </w:rPr>
  </w:style>
  <w:style w:type="character" w:customStyle="1" w:styleId="BodyTextChar">
    <w:name w:val="Body Text Char"/>
    <w:basedOn w:val="DefaultParagraphFont"/>
    <w:link w:val="BodyText"/>
    <w:uiPriority w:val="99"/>
    <w:rsid w:val="00D71959"/>
    <w:rPr>
      <w:rFonts w:ascii="Times New Roman" w:hAnsi="Times New Roman"/>
      <w:sz w:val="22"/>
      <w:szCs w:val="20"/>
    </w:rPr>
  </w:style>
  <w:style w:type="paragraph" w:customStyle="1" w:styleId="BulletLAST">
    <w:name w:val="Bullet (LAST)"/>
    <w:next w:val="Normal"/>
    <w:rsid w:val="00794FE6"/>
    <w:pPr>
      <w:numPr>
        <w:numId w:val="15"/>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794FE6"/>
    <w:pPr>
      <w:numPr>
        <w:numId w:val="16"/>
      </w:numPr>
      <w:tabs>
        <w:tab w:val="clear" w:pos="360"/>
        <w:tab w:val="left" w:pos="432"/>
      </w:tabs>
      <w:spacing w:after="240" w:line="480" w:lineRule="auto"/>
      <w:ind w:left="0" w:firstLine="432"/>
      <w:jc w:val="both"/>
    </w:pPr>
    <w:rPr>
      <w:szCs w:val="20"/>
    </w:rPr>
  </w:style>
  <w:style w:type="paragraph" w:styleId="DocumentMap">
    <w:name w:val="Document Map"/>
    <w:basedOn w:val="Normal"/>
    <w:link w:val="DocumentMapChar"/>
    <w:uiPriority w:val="99"/>
    <w:semiHidden/>
    <w:unhideWhenUsed/>
    <w:rsid w:val="00155E02"/>
    <w:rPr>
      <w:rFonts w:ascii="Tahoma" w:hAnsi="Tahoma" w:cs="Tahoma"/>
      <w:sz w:val="16"/>
      <w:szCs w:val="16"/>
    </w:rPr>
  </w:style>
  <w:style w:type="character" w:customStyle="1" w:styleId="DocumentMapChar">
    <w:name w:val="Document Map Char"/>
    <w:basedOn w:val="DefaultParagraphFont"/>
    <w:link w:val="DocumentMap"/>
    <w:uiPriority w:val="99"/>
    <w:semiHidden/>
    <w:rsid w:val="00155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12477"/>
    <w:rPr>
      <w:rFonts w:ascii="Times New Roman" w:hAnsi="Times New Roman"/>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semiHidden/>
    <w:qFormat/>
    <w:rsid w:val="003A1506"/>
    <w:pPr>
      <w:keepNext/>
      <w:spacing w:after="240"/>
      <w:ind w:left="432" w:hanging="432"/>
      <w:outlineLvl w:val="1"/>
    </w:pPr>
    <w:rPr>
      <w:b/>
      <w:caps/>
    </w:rPr>
  </w:style>
  <w:style w:type="paragraph" w:styleId="Heading3">
    <w:name w:val="heading 3"/>
    <w:basedOn w:val="Normal"/>
    <w:next w:val="Normal"/>
    <w:link w:val="Heading3Char"/>
    <w:qFormat/>
    <w:rsid w:val="006F168E"/>
    <w:pPr>
      <w:keepNext/>
      <w:spacing w:after="240"/>
      <w:ind w:left="432" w:hanging="432"/>
      <w:outlineLvl w:val="2"/>
    </w:pPr>
    <w:rPr>
      <w:b/>
    </w:rPr>
  </w:style>
  <w:style w:type="paragraph" w:styleId="Heading4">
    <w:name w:val="heading 4"/>
    <w:basedOn w:val="Normal"/>
    <w:next w:val="Normal"/>
    <w:link w:val="Heading4Char"/>
    <w:qFormat/>
    <w:rsid w:val="006F168E"/>
    <w:pPr>
      <w:spacing w:after="240"/>
      <w:ind w:left="432" w:hanging="432"/>
      <w:outlineLvl w:val="3"/>
    </w:pPr>
    <w:rPr>
      <w:b/>
    </w:rPr>
  </w:style>
  <w:style w:type="paragraph" w:styleId="Heading5">
    <w:name w:val="heading 5"/>
    <w:aliases w:val="Heading 5 (business proposal only)"/>
    <w:basedOn w:val="Normal"/>
    <w:next w:val="Normal"/>
    <w:semiHidden/>
    <w:qFormat/>
    <w:rsid w:val="003A1506"/>
    <w:pPr>
      <w:spacing w:after="240"/>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B448DC"/>
    <w:pPr>
      <w:tabs>
        <w:tab w:val="left" w:pos="720"/>
        <w:tab w:val="right" w:leader="dot" w:pos="9360"/>
      </w:tabs>
      <w:spacing w:after="240"/>
      <w:ind w:left="720" w:right="1080" w:hanging="720"/>
    </w:pPr>
    <w:rPr>
      <w:rFonts w:ascii="Arial" w:hAnsi="Arial"/>
      <w:caps/>
    </w:rPr>
  </w:style>
  <w:style w:type="paragraph" w:customStyle="1" w:styleId="NormalSS">
    <w:name w:val="NormalSS"/>
    <w:basedOn w:val="Normal"/>
    <w:qFormat/>
    <w:rsid w:val="00D16205"/>
    <w:pPr>
      <w:spacing w:after="240"/>
      <w:ind w:firstLine="450"/>
      <w:jc w:val="both"/>
    </w:pPr>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jc w:val="center"/>
      <w:outlineLvl w:val="0"/>
    </w:pPr>
    <w:rPr>
      <w:rFonts w:ascii="Arial" w:hAnsi="Arial"/>
      <w:b/>
      <w:caps/>
    </w:rPr>
  </w:style>
  <w:style w:type="paragraph" w:styleId="TOC2">
    <w:name w:val="toc 2"/>
    <w:next w:val="Normal"/>
    <w:autoRedefine/>
    <w:uiPriority w:val="39"/>
    <w:qFormat/>
    <w:rsid w:val="007813DD"/>
    <w:pPr>
      <w:tabs>
        <w:tab w:val="left" w:pos="1440"/>
        <w:tab w:val="right" w:leader="dot" w:pos="9360"/>
      </w:tabs>
      <w:spacing w:after="240"/>
      <w:ind w:left="1440" w:right="1080" w:hanging="720"/>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s>
      <w:spacing w:after="120"/>
      <w:ind w:right="360"/>
    </w:pPr>
  </w:style>
  <w:style w:type="paragraph" w:customStyle="1" w:styleId="Outline">
    <w:name w:val="Outline"/>
    <w:basedOn w:val="Normal"/>
    <w:semiHidden/>
    <w:qFormat/>
    <w:rsid w:val="003A1506"/>
    <w:pPr>
      <w:spacing w:after="240"/>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pPr>
    <w:rPr>
      <w:rFonts w:ascii="Arial" w:hAnsi="Arial"/>
      <w:b/>
      <w:sz w:val="18"/>
    </w:rPr>
  </w:style>
  <w:style w:type="paragraph" w:customStyle="1" w:styleId="References">
    <w:name w:val="References"/>
    <w:basedOn w:val="Normal"/>
    <w:qFormat/>
    <w:rsid w:val="00883BD4"/>
    <w:pPr>
      <w:keepLines/>
      <w:spacing w:after="240"/>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pPr>
    <w:rPr>
      <w:rFonts w:ascii="Arial" w:hAnsi="Arial"/>
      <w:b/>
      <w:sz w:val="18"/>
    </w:rPr>
  </w:style>
  <w:style w:type="paragraph" w:styleId="TableofFigures">
    <w:name w:val="table of figures"/>
    <w:basedOn w:val="Normal"/>
    <w:next w:val="Normal"/>
    <w:uiPriority w:val="99"/>
    <w:rsid w:val="006E7FBB"/>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nhideWhenUsed/>
    <w:rsid w:val="003A1774"/>
    <w:rPr>
      <w:rFonts w:ascii="Tahoma" w:hAnsi="Tahoma" w:cs="Tahoma"/>
      <w:sz w:val="16"/>
      <w:szCs w:val="16"/>
    </w:rPr>
  </w:style>
  <w:style w:type="character" w:customStyle="1" w:styleId="BalloonTextChar">
    <w:name w:val="Balloon Text Char"/>
    <w:basedOn w:val="DefaultParagraphFont"/>
    <w:link w:val="BalloonText"/>
    <w:rsid w:val="003A1774"/>
    <w:rPr>
      <w:rFonts w:ascii="Tahoma" w:hAnsi="Tahoma" w:cs="Tahoma"/>
      <w:sz w:val="16"/>
      <w:szCs w:val="16"/>
    </w:rPr>
  </w:style>
  <w:style w:type="paragraph" w:customStyle="1" w:styleId="TableFootnoteCaption">
    <w:name w:val="Table Footnote_Caption"/>
    <w:basedOn w:val="NormalSS"/>
    <w:qFormat/>
    <w:rsid w:val="00DE3D66"/>
    <w:pPr>
      <w:spacing w:after="120"/>
    </w:pPr>
    <w:rPr>
      <w:rFonts w:ascii="Arial" w:hAnsi="Arial"/>
      <w:sz w:val="18"/>
    </w:rPr>
  </w:style>
  <w:style w:type="paragraph" w:customStyle="1" w:styleId="TableHeaderCenter">
    <w:name w:val="Table Header Center"/>
    <w:basedOn w:val="NormalSS"/>
    <w:qFormat/>
    <w:rsid w:val="00DE3D66"/>
    <w:pPr>
      <w:spacing w:before="120" w:after="60"/>
      <w:jc w:val="center"/>
    </w:pPr>
    <w:rPr>
      <w:rFonts w:ascii="Arial" w:hAnsi="Arial"/>
      <w:sz w:val="18"/>
    </w:rPr>
  </w:style>
  <w:style w:type="paragraph" w:customStyle="1" w:styleId="TableHeaderLeft">
    <w:name w:val="Table Header Left"/>
    <w:basedOn w:val="NormalSS"/>
    <w:qFormat/>
    <w:rsid w:val="00DE3D66"/>
    <w:pPr>
      <w:spacing w:before="120" w:after="60"/>
    </w:pPr>
    <w:rPr>
      <w:rFonts w:ascii="Arial" w:hAnsi="Arial"/>
      <w:sz w:val="18"/>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style>
  <w:style w:type="paragraph" w:customStyle="1" w:styleId="TableText">
    <w:name w:val="Table Text"/>
    <w:basedOn w:val="NormalSS"/>
    <w:qFormat/>
    <w:rsid w:val="00DE3D66"/>
    <w:pPr>
      <w:spacing w:after="0"/>
    </w:pPr>
    <w:rPr>
      <w:rFonts w:ascii="Arial" w:hAnsi="Arial"/>
      <w:sz w:val="18"/>
    </w:rPr>
  </w:style>
  <w:style w:type="paragraph" w:customStyle="1" w:styleId="TableSourceCaption">
    <w:name w:val="Table Source_Caption"/>
    <w:basedOn w:val="NormalSS"/>
    <w:qFormat/>
    <w:rsid w:val="00DE3D66"/>
    <w:pPr>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s>
      <w:spacing w:after="120"/>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
    <w:qFormat/>
    <w:rsid w:val="006D4428"/>
    <w:pPr>
      <w:outlineLvl w:val="8"/>
    </w:pPr>
  </w:style>
  <w:style w:type="paragraph" w:customStyle="1" w:styleId="Default">
    <w:name w:val="Default"/>
    <w:rsid w:val="00812477"/>
    <w:pPr>
      <w:autoSpaceDE w:val="0"/>
      <w:autoSpaceDN w:val="0"/>
      <w:adjustRightInd w:val="0"/>
    </w:pPr>
    <w:rPr>
      <w:rFonts w:ascii="Courier New" w:hAnsi="Courier New" w:cs="Courier New"/>
      <w:color w:val="000000"/>
    </w:rPr>
  </w:style>
  <w:style w:type="character" w:styleId="Hyperlink">
    <w:name w:val="Hyperlink"/>
    <w:basedOn w:val="DefaultParagraphFont"/>
    <w:rsid w:val="00812477"/>
    <w:rPr>
      <w:color w:val="0000FF"/>
      <w:u w:val="single"/>
    </w:rPr>
  </w:style>
  <w:style w:type="character" w:styleId="CommentReference">
    <w:name w:val="annotation reference"/>
    <w:basedOn w:val="DefaultParagraphFont"/>
    <w:rsid w:val="00812477"/>
    <w:rPr>
      <w:sz w:val="16"/>
      <w:szCs w:val="16"/>
    </w:rPr>
  </w:style>
  <w:style w:type="paragraph" w:styleId="CommentText">
    <w:name w:val="annotation text"/>
    <w:basedOn w:val="Normal"/>
    <w:link w:val="CommentTextChar"/>
    <w:uiPriority w:val="99"/>
    <w:rsid w:val="00812477"/>
    <w:rPr>
      <w:sz w:val="20"/>
      <w:szCs w:val="20"/>
    </w:rPr>
  </w:style>
  <w:style w:type="character" w:customStyle="1" w:styleId="CommentTextChar">
    <w:name w:val="Comment Text Char"/>
    <w:basedOn w:val="DefaultParagraphFont"/>
    <w:link w:val="CommentText"/>
    <w:uiPriority w:val="99"/>
    <w:rsid w:val="00812477"/>
    <w:rPr>
      <w:rFonts w:ascii="Times New Roman" w:hAnsi="Times New Roman"/>
      <w:sz w:val="20"/>
      <w:szCs w:val="20"/>
    </w:rPr>
  </w:style>
  <w:style w:type="paragraph" w:styleId="CommentSubject">
    <w:name w:val="annotation subject"/>
    <w:basedOn w:val="CommentText"/>
    <w:next w:val="CommentText"/>
    <w:link w:val="CommentSubjectChar"/>
    <w:rsid w:val="00812477"/>
    <w:rPr>
      <w:b/>
      <w:bCs/>
    </w:rPr>
  </w:style>
  <w:style w:type="character" w:customStyle="1" w:styleId="CommentSubjectChar">
    <w:name w:val="Comment Subject Char"/>
    <w:basedOn w:val="CommentTextChar"/>
    <w:link w:val="CommentSubject"/>
    <w:rsid w:val="00812477"/>
    <w:rPr>
      <w:rFonts w:ascii="Times New Roman" w:hAnsi="Times New Roman"/>
      <w:b/>
      <w:bCs/>
      <w:sz w:val="20"/>
      <w:szCs w:val="20"/>
    </w:rPr>
  </w:style>
  <w:style w:type="paragraph" w:customStyle="1" w:styleId="ReportCover-Title">
    <w:name w:val="ReportCover-Title"/>
    <w:basedOn w:val="Normal"/>
    <w:rsid w:val="0081247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812477"/>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812477"/>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812477"/>
  </w:style>
  <w:style w:type="character" w:customStyle="1" w:styleId="Heading1Char">
    <w:name w:val="Heading 1 Char"/>
    <w:basedOn w:val="DefaultParagraphFont"/>
    <w:link w:val="Heading1"/>
    <w:rsid w:val="00812477"/>
    <w:rPr>
      <w:b/>
      <w:caps/>
    </w:rPr>
  </w:style>
  <w:style w:type="character" w:styleId="Emphasis">
    <w:name w:val="Emphasis"/>
    <w:basedOn w:val="DefaultParagraphFont"/>
    <w:qFormat/>
    <w:rsid w:val="00812477"/>
    <w:rPr>
      <w:rFonts w:cs="Times New Roman"/>
      <w:i/>
      <w:iCs/>
    </w:rPr>
  </w:style>
  <w:style w:type="paragraph" w:customStyle="1" w:styleId="NormalSS12">
    <w:name w:val="NormalSS 12"/>
    <w:basedOn w:val="Normal"/>
    <w:rsid w:val="00D16205"/>
    <w:pPr>
      <w:tabs>
        <w:tab w:val="left" w:pos="432"/>
      </w:tabs>
      <w:ind w:left="360"/>
      <w:jc w:val="both"/>
    </w:pPr>
    <w:rPr>
      <w:rFonts w:eastAsia="Calibri"/>
    </w:rPr>
  </w:style>
  <w:style w:type="character" w:customStyle="1" w:styleId="Heading4Char">
    <w:name w:val="Heading 4 Char"/>
    <w:basedOn w:val="DefaultParagraphFont"/>
    <w:link w:val="Heading4"/>
    <w:rsid w:val="00812477"/>
    <w:rPr>
      <w:b/>
    </w:rPr>
  </w:style>
  <w:style w:type="paragraph" w:styleId="NoSpacing">
    <w:name w:val="No Spacing"/>
    <w:uiPriority w:val="1"/>
    <w:qFormat/>
    <w:rsid w:val="00812477"/>
    <w:pPr>
      <w:widowControl w:val="0"/>
    </w:pPr>
    <w:rPr>
      <w:rFonts w:ascii="Courier New" w:hAnsi="Courier New"/>
      <w:snapToGrid w:val="0"/>
    </w:rPr>
  </w:style>
  <w:style w:type="character" w:customStyle="1" w:styleId="FootnoteTextChar">
    <w:name w:val="Footnote Text Char"/>
    <w:aliases w:val="F1 Char"/>
    <w:basedOn w:val="DefaultParagraphFont"/>
    <w:link w:val="FootnoteText"/>
    <w:rsid w:val="00812477"/>
    <w:rPr>
      <w:sz w:val="20"/>
    </w:rPr>
  </w:style>
  <w:style w:type="character" w:customStyle="1" w:styleId="Heading3Char">
    <w:name w:val="Heading 3 Char"/>
    <w:basedOn w:val="DefaultParagraphFont"/>
    <w:link w:val="Heading3"/>
    <w:rsid w:val="00812477"/>
    <w:rPr>
      <w:b/>
    </w:rPr>
  </w:style>
  <w:style w:type="character" w:customStyle="1" w:styleId="Heading2Char">
    <w:name w:val="Heading 2 Char"/>
    <w:basedOn w:val="DefaultParagraphFont"/>
    <w:link w:val="Heading2"/>
    <w:semiHidden/>
    <w:rsid w:val="00812477"/>
    <w:rPr>
      <w:b/>
      <w:caps/>
    </w:rPr>
  </w:style>
  <w:style w:type="paragraph" w:styleId="Revision">
    <w:name w:val="Revision"/>
    <w:hidden/>
    <w:uiPriority w:val="99"/>
    <w:semiHidden/>
    <w:rsid w:val="00812477"/>
    <w:rPr>
      <w:rFonts w:ascii="Times New Roman" w:hAnsi="Times New Roman"/>
    </w:rPr>
  </w:style>
  <w:style w:type="paragraph" w:styleId="BodyText">
    <w:name w:val="Body Text"/>
    <w:basedOn w:val="Normal"/>
    <w:link w:val="BodyTextChar"/>
    <w:uiPriority w:val="99"/>
    <w:rsid w:val="00D71959"/>
    <w:pPr>
      <w:spacing w:after="180" w:line="264" w:lineRule="auto"/>
    </w:pPr>
    <w:rPr>
      <w:sz w:val="22"/>
      <w:szCs w:val="20"/>
    </w:rPr>
  </w:style>
  <w:style w:type="character" w:customStyle="1" w:styleId="BodyTextChar">
    <w:name w:val="Body Text Char"/>
    <w:basedOn w:val="DefaultParagraphFont"/>
    <w:link w:val="BodyText"/>
    <w:uiPriority w:val="99"/>
    <w:rsid w:val="00D71959"/>
    <w:rPr>
      <w:rFonts w:ascii="Times New Roman" w:hAnsi="Times New Roman"/>
      <w:sz w:val="22"/>
      <w:szCs w:val="20"/>
    </w:rPr>
  </w:style>
  <w:style w:type="paragraph" w:customStyle="1" w:styleId="BulletLAST">
    <w:name w:val="Bullet (LAST)"/>
    <w:next w:val="Normal"/>
    <w:rsid w:val="00794FE6"/>
    <w:pPr>
      <w:numPr>
        <w:numId w:val="15"/>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794FE6"/>
    <w:pPr>
      <w:numPr>
        <w:numId w:val="16"/>
      </w:numPr>
      <w:tabs>
        <w:tab w:val="clear" w:pos="360"/>
        <w:tab w:val="left" w:pos="432"/>
      </w:tabs>
      <w:spacing w:after="240" w:line="480" w:lineRule="auto"/>
      <w:ind w:left="0" w:firstLine="432"/>
      <w:jc w:val="both"/>
    </w:pPr>
    <w:rPr>
      <w:szCs w:val="20"/>
    </w:rPr>
  </w:style>
  <w:style w:type="paragraph" w:styleId="DocumentMap">
    <w:name w:val="Document Map"/>
    <w:basedOn w:val="Normal"/>
    <w:link w:val="DocumentMapChar"/>
    <w:uiPriority w:val="99"/>
    <w:semiHidden/>
    <w:unhideWhenUsed/>
    <w:rsid w:val="00155E02"/>
    <w:rPr>
      <w:rFonts w:ascii="Tahoma" w:hAnsi="Tahoma" w:cs="Tahoma"/>
      <w:sz w:val="16"/>
      <w:szCs w:val="16"/>
    </w:rPr>
  </w:style>
  <w:style w:type="character" w:customStyle="1" w:styleId="DocumentMapChar">
    <w:name w:val="Document Map Char"/>
    <w:basedOn w:val="DefaultParagraphFont"/>
    <w:link w:val="DocumentMap"/>
    <w:uiPriority w:val="99"/>
    <w:semiHidden/>
    <w:rsid w:val="00155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8104">
      <w:bodyDiv w:val="1"/>
      <w:marLeft w:val="0"/>
      <w:marRight w:val="0"/>
      <w:marTop w:val="0"/>
      <w:marBottom w:val="0"/>
      <w:divBdr>
        <w:top w:val="none" w:sz="0" w:space="0" w:color="auto"/>
        <w:left w:val="none" w:sz="0" w:space="0" w:color="auto"/>
        <w:bottom w:val="none" w:sz="0" w:space="0" w:color="auto"/>
        <w:right w:val="none" w:sz="0" w:space="0" w:color="auto"/>
      </w:divBdr>
    </w:div>
    <w:div w:id="2144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A413-2048-4084-B711-8EE8B487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FACES_OMB_PART A_11_13_13</vt:lpstr>
    </vt:vector>
  </TitlesOfParts>
  <Company>Mathematica, Inc</Company>
  <LinksUpToDate>false</LinksUpToDate>
  <CharactersWithSpaces>33049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FACES_OMB_PART A_11_13_13</dc:title>
  <dc:subject>Redesign of the Head Start Family and Child Experiences Survey (FACES 2012)</dc:subject>
  <dc:creator>Mathematica Staff</dc:creator>
  <cp:keywords>Supporting Statement Part A and Part B: Justification for the Study</cp:keywords>
  <dc:description>06977.310.31</dc:description>
  <cp:lastModifiedBy>Windows User</cp:lastModifiedBy>
  <cp:revision>2</cp:revision>
  <cp:lastPrinted>2013-11-07T20:40:00Z</cp:lastPrinted>
  <dcterms:created xsi:type="dcterms:W3CDTF">2013-11-15T03:20:00Z</dcterms:created>
  <dcterms:modified xsi:type="dcterms:W3CDTF">2013-11-15T03:20:00Z</dcterms:modified>
  <cp:category>OMB</cp:category>
  <cp:contentStatus>Final</cp:contentStatus>
</cp:coreProperties>
</file>