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D0" w:rsidRPr="008524D0" w:rsidRDefault="008524D0" w:rsidP="008524D0">
      <w:pPr>
        <w:spacing w:after="240"/>
        <w:rPr>
          <w:i/>
          <w:color w:val="000000"/>
        </w:rPr>
      </w:pPr>
      <w:bookmarkStart w:id="0" w:name="_GoBack"/>
      <w:bookmarkEnd w:id="0"/>
      <w:r w:rsidRPr="008524D0">
        <w:rPr>
          <w:i/>
          <w:color w:val="000000"/>
        </w:rPr>
        <w:t>Question: Our only remaining question/concern is regarding the incentive. W</w:t>
      </w:r>
      <w:r w:rsidRPr="008524D0">
        <w:rPr>
          <w:i/>
        </w:rPr>
        <w:t xml:space="preserve">e appreciate your willingness to change your approach following our previous comments, but we want to make sure you get the greatest bang for the buck out of your incentive funds, and we think there might be potential issues with Amazon cards, too  -- </w:t>
      </w:r>
    </w:p>
    <w:p w:rsidR="008524D0" w:rsidRPr="008524D0" w:rsidRDefault="008524D0" w:rsidP="008524D0">
      <w:pPr>
        <w:pStyle w:val="ListParagraph"/>
        <w:ind w:hanging="360"/>
        <w:rPr>
          <w:i/>
        </w:rPr>
      </w:pPr>
      <w:r w:rsidRPr="008524D0">
        <w:rPr>
          <w:rFonts w:ascii="Symbol" w:hAnsi="Symbol"/>
          <w:i/>
        </w:rPr>
        <w:t></w:t>
      </w:r>
      <w:r w:rsidRPr="008524D0">
        <w:rPr>
          <w:rFonts w:ascii="Times New Roman" w:hAnsi="Times New Roman"/>
          <w:i/>
          <w:sz w:val="14"/>
          <w:szCs w:val="14"/>
        </w:rPr>
        <w:t xml:space="preserve">         </w:t>
      </w:r>
      <w:proofErr w:type="gramStart"/>
      <w:r w:rsidRPr="008524D0">
        <w:rPr>
          <w:i/>
        </w:rPr>
        <w:t>an</w:t>
      </w:r>
      <w:proofErr w:type="gramEnd"/>
      <w:r w:rsidRPr="008524D0">
        <w:rPr>
          <w:i/>
        </w:rPr>
        <w:t xml:space="preserve"> internet connection is required for online purchases, which may result in obstacles for the respondents;</w:t>
      </w:r>
    </w:p>
    <w:p w:rsidR="008524D0" w:rsidRPr="008524D0" w:rsidRDefault="008524D0" w:rsidP="008524D0">
      <w:pPr>
        <w:pStyle w:val="ListParagraph"/>
        <w:ind w:hanging="360"/>
        <w:rPr>
          <w:i/>
        </w:rPr>
      </w:pPr>
      <w:r w:rsidRPr="008524D0">
        <w:rPr>
          <w:rFonts w:ascii="Symbol" w:hAnsi="Symbol"/>
          <w:i/>
        </w:rPr>
        <w:t></w:t>
      </w:r>
      <w:r w:rsidRPr="008524D0">
        <w:rPr>
          <w:rFonts w:ascii="Times New Roman" w:hAnsi="Times New Roman"/>
          <w:i/>
          <w:sz w:val="14"/>
          <w:szCs w:val="14"/>
        </w:rPr>
        <w:t xml:space="preserve">         </w:t>
      </w:r>
      <w:proofErr w:type="gramStart"/>
      <w:r w:rsidRPr="008524D0">
        <w:rPr>
          <w:i/>
        </w:rPr>
        <w:t>an</w:t>
      </w:r>
      <w:proofErr w:type="gramEnd"/>
      <w:r w:rsidRPr="008524D0">
        <w:rPr>
          <w:i/>
        </w:rPr>
        <w:t xml:space="preserve"> Amazon account is required for purchases on its website, and this presents another step in the process of actually utilizing the incentive;</w:t>
      </w:r>
    </w:p>
    <w:p w:rsidR="008524D0" w:rsidRPr="008524D0" w:rsidRDefault="008524D0" w:rsidP="008524D0">
      <w:pPr>
        <w:pStyle w:val="ListParagraph"/>
        <w:ind w:hanging="360"/>
        <w:rPr>
          <w:i/>
        </w:rPr>
      </w:pPr>
      <w:r w:rsidRPr="008524D0">
        <w:rPr>
          <w:rFonts w:ascii="Symbol" w:hAnsi="Symbol"/>
          <w:i/>
        </w:rPr>
        <w:t></w:t>
      </w:r>
      <w:r w:rsidRPr="008524D0">
        <w:rPr>
          <w:rFonts w:ascii="Times New Roman" w:hAnsi="Times New Roman"/>
          <w:i/>
          <w:sz w:val="14"/>
          <w:szCs w:val="14"/>
        </w:rPr>
        <w:t xml:space="preserve">         </w:t>
      </w:r>
      <w:proofErr w:type="gramStart"/>
      <w:r w:rsidRPr="008524D0">
        <w:rPr>
          <w:i/>
        </w:rPr>
        <w:t>a</w:t>
      </w:r>
      <w:proofErr w:type="gramEnd"/>
      <w:r w:rsidRPr="008524D0">
        <w:rPr>
          <w:i/>
        </w:rPr>
        <w:t xml:space="preserve"> physical address is required for delivery of Amazon purchases</w:t>
      </w:r>
    </w:p>
    <w:p w:rsidR="008524D0" w:rsidRPr="008524D0" w:rsidRDefault="008524D0" w:rsidP="008524D0">
      <w:pPr>
        <w:rPr>
          <w:i/>
        </w:rPr>
      </w:pPr>
    </w:p>
    <w:p w:rsidR="008524D0" w:rsidRPr="008524D0" w:rsidRDefault="008524D0" w:rsidP="008524D0">
      <w:pPr>
        <w:rPr>
          <w:i/>
        </w:rPr>
      </w:pPr>
      <w:r w:rsidRPr="008524D0">
        <w:rPr>
          <w:i/>
          <w:color w:val="000000"/>
        </w:rPr>
        <w:t xml:space="preserve">Would it be possible to give this out in the form of something like a VISA prepaid gift card instead? </w:t>
      </w:r>
      <w:r w:rsidRPr="008524D0">
        <w:rPr>
          <w:i/>
        </w:rPr>
        <w:t xml:space="preserve">These are practically as good as cash – they can be used at any location where credit cards are accepted and would avoid the above-mentioned potential obstacles to usage. </w:t>
      </w:r>
    </w:p>
    <w:p w:rsidR="00E54718" w:rsidRDefault="00E54718"/>
    <w:p w:rsidR="008524D0" w:rsidRDefault="008524D0"/>
    <w:p w:rsidR="009A1B37" w:rsidRDefault="008524D0">
      <w:r w:rsidRPr="008524D0">
        <w:rPr>
          <w:b/>
          <w:u w:val="single"/>
        </w:rPr>
        <w:t>Response</w:t>
      </w:r>
      <w:r>
        <w:t xml:space="preserve">:  The research team considered a variety of different incentive </w:t>
      </w:r>
      <w:r w:rsidR="009A1B37">
        <w:t>approaches</w:t>
      </w:r>
      <w:r>
        <w:t xml:space="preserve">, including prepaid VISA gift cards.  The research team </w:t>
      </w:r>
      <w:r w:rsidR="009A1B37">
        <w:t>selected the Amazon gift card as the best option because these cards do not expire, can be canceled without a fee, can be replaced with a new code that is sent electronically to the participant, and are controlled and monitored by the study team.</w:t>
      </w:r>
    </w:p>
    <w:p w:rsidR="009A1B37" w:rsidRDefault="009A1B37"/>
    <w:p w:rsidR="008524D0" w:rsidRDefault="009A1B37">
      <w:r>
        <w:t xml:space="preserve">By contrast, the study team </w:t>
      </w:r>
      <w:r w:rsidR="008524D0">
        <w:t>opted against the use of VISA gift cards for several reasons:</w:t>
      </w:r>
    </w:p>
    <w:p w:rsidR="008524D0" w:rsidRDefault="008524D0"/>
    <w:p w:rsidR="008524D0" w:rsidRDefault="008524D0" w:rsidP="00C21D85">
      <w:pPr>
        <w:pStyle w:val="ListParagraph"/>
        <w:numPr>
          <w:ilvl w:val="0"/>
          <w:numId w:val="1"/>
        </w:numPr>
      </w:pPr>
      <w:r>
        <w:t>VISA gift cards come with an assortment of additional fees—activation fees, shipping fees, cancellation fees (e.g., if lost or stolen), and inactivity fees (e.g., if the cards remain idle for too long)</w:t>
      </w:r>
      <w:r w:rsidR="009A1B37">
        <w:t xml:space="preserve">, </w:t>
      </w:r>
      <w:r w:rsidR="0064007A">
        <w:t xml:space="preserve">which add </w:t>
      </w:r>
      <w:r>
        <w:t>costs to the overall study</w:t>
      </w:r>
      <w:r w:rsidR="00C21D85">
        <w:t xml:space="preserve"> and decreases the value of the card to participants</w:t>
      </w:r>
      <w:r>
        <w:t>.</w:t>
      </w:r>
      <w:r w:rsidR="00C21D85">
        <w:t xml:space="preserve"> Please see </w:t>
      </w:r>
      <w:r w:rsidR="005225D8">
        <w:t>Exhibit 1</w:t>
      </w:r>
      <w:r w:rsidR="00C21D85">
        <w:t xml:space="preserve"> for a few examples of fees and penalties associated with VISA gift cards.</w:t>
      </w:r>
    </w:p>
    <w:p w:rsidR="008524D0" w:rsidRDefault="008524D0" w:rsidP="008524D0">
      <w:pPr>
        <w:pStyle w:val="ListParagraph"/>
        <w:numPr>
          <w:ilvl w:val="0"/>
          <w:numId w:val="1"/>
        </w:numPr>
      </w:pPr>
      <w:r>
        <w:t>Unlike Amazon gift cards, VISA gift cards have expiration dates that can vary depending on which bank issues the gift card.</w:t>
      </w:r>
    </w:p>
    <w:p w:rsidR="008524D0" w:rsidRDefault="009A1B37" w:rsidP="008524D0">
      <w:pPr>
        <w:pStyle w:val="ListParagraph"/>
        <w:numPr>
          <w:ilvl w:val="0"/>
          <w:numId w:val="1"/>
        </w:numPr>
      </w:pPr>
      <w:r>
        <w:t>To use VISA gift cards, a</w:t>
      </w:r>
      <w:r w:rsidR="008524D0">
        <w:t xml:space="preserve"> prepaid VISA gift card must be physically handed to each youth upon completing the baseline survey, which requires the study team to mail hundreds of prepaid gift cards to the 14 grantees that will participate in the study.  Grantee staff would be responsible for distributing t</w:t>
      </w:r>
      <w:r>
        <w:t>he gift cards to youth.  This approach is highly undesirable because: (a) the study team loses control over the distribution of the gift cards, and thus it increases the opportunities to misuse the gift cards and reduces the team’s ability to monitor the incentive process; and (b) lost or stolen gift cards must be replaced with new cards, which requires a physical mailing address</w:t>
      </w:r>
      <w:r w:rsidR="0064007A">
        <w:t xml:space="preserve"> to receive them</w:t>
      </w:r>
      <w:r>
        <w:t>.</w:t>
      </w:r>
    </w:p>
    <w:p w:rsidR="00C21D85" w:rsidRDefault="00C21D85" w:rsidP="007F3D35"/>
    <w:p w:rsidR="00C21D85" w:rsidRDefault="005225D8" w:rsidP="007F3D35">
      <w:r>
        <w:t>Exhibit 1</w:t>
      </w:r>
    </w:p>
    <w:tbl>
      <w:tblPr>
        <w:tblStyle w:val="TableGrid"/>
        <w:tblW w:w="8749" w:type="dxa"/>
        <w:tblLook w:val="04A0" w:firstRow="1" w:lastRow="0" w:firstColumn="1" w:lastColumn="0" w:noHBand="0" w:noVBand="1"/>
      </w:tblPr>
      <w:tblGrid>
        <w:gridCol w:w="886"/>
        <w:gridCol w:w="1016"/>
        <w:gridCol w:w="1016"/>
        <w:gridCol w:w="907"/>
        <w:gridCol w:w="1186"/>
        <w:gridCol w:w="1047"/>
        <w:gridCol w:w="956"/>
        <w:gridCol w:w="787"/>
        <w:gridCol w:w="1166"/>
      </w:tblGrid>
      <w:tr w:rsidR="00C21D85" w:rsidRPr="00C21D85" w:rsidTr="007F3D35">
        <w:trPr>
          <w:trHeight w:val="1500"/>
          <w:tblHeader/>
        </w:trPr>
        <w:tc>
          <w:tcPr>
            <w:tcW w:w="866" w:type="dxa"/>
            <w:vAlign w:val="bottom"/>
          </w:tcPr>
          <w:p w:rsidR="00C21D85" w:rsidRPr="00C21D85" w:rsidRDefault="00C21D85" w:rsidP="00C21D85">
            <w:pPr>
              <w:rPr>
                <w:rFonts w:ascii="Times New Roman" w:eastAsia="Times New Roman" w:hAnsi="Times New Roman"/>
                <w:b/>
                <w:color w:val="000000"/>
                <w:sz w:val="18"/>
                <w:szCs w:val="18"/>
              </w:rPr>
            </w:pPr>
            <w:r w:rsidRPr="007F3D35">
              <w:rPr>
                <w:rFonts w:ascii="Times New Roman" w:hAnsi="Times New Roman"/>
                <w:b/>
                <w:color w:val="000000"/>
                <w:sz w:val="18"/>
                <w:szCs w:val="18"/>
              </w:rPr>
              <w:t>Bank</w:t>
            </w:r>
          </w:p>
        </w:tc>
        <w:tc>
          <w:tcPr>
            <w:tcW w:w="991" w:type="dxa"/>
            <w:vAlign w:val="bottom"/>
            <w:hideMark/>
          </w:tcPr>
          <w:p w:rsidR="00C21D85" w:rsidRPr="007F3D35" w:rsidRDefault="00C21D85" w:rsidP="00C21D85">
            <w:pPr>
              <w:rPr>
                <w:rFonts w:ascii="Times New Roman" w:eastAsia="Times New Roman" w:hAnsi="Times New Roman"/>
                <w:b/>
                <w:color w:val="000000"/>
                <w:sz w:val="18"/>
                <w:szCs w:val="18"/>
              </w:rPr>
            </w:pPr>
            <w:r w:rsidRPr="007F3D35">
              <w:rPr>
                <w:rFonts w:ascii="Times New Roman" w:eastAsia="Times New Roman" w:hAnsi="Times New Roman"/>
                <w:b/>
                <w:color w:val="000000"/>
                <w:sz w:val="18"/>
                <w:szCs w:val="18"/>
              </w:rPr>
              <w:t>Activation</w:t>
            </w:r>
          </w:p>
        </w:tc>
        <w:tc>
          <w:tcPr>
            <w:tcW w:w="991" w:type="dxa"/>
            <w:vAlign w:val="bottom"/>
            <w:hideMark/>
          </w:tcPr>
          <w:p w:rsidR="00C21D85" w:rsidRPr="007F3D35" w:rsidRDefault="00C21D85" w:rsidP="00C21D85">
            <w:pPr>
              <w:rPr>
                <w:rFonts w:ascii="Times New Roman" w:eastAsia="Times New Roman" w:hAnsi="Times New Roman"/>
                <w:b/>
                <w:color w:val="000000"/>
                <w:sz w:val="18"/>
                <w:szCs w:val="18"/>
              </w:rPr>
            </w:pPr>
            <w:r w:rsidRPr="007F3D35">
              <w:rPr>
                <w:rFonts w:ascii="Times New Roman" w:eastAsia="Times New Roman" w:hAnsi="Times New Roman"/>
                <w:b/>
                <w:color w:val="000000"/>
                <w:sz w:val="18"/>
                <w:szCs w:val="18"/>
              </w:rPr>
              <w:t>Activation Fee for An Order of 1000 Cards</w:t>
            </w:r>
          </w:p>
        </w:tc>
        <w:tc>
          <w:tcPr>
            <w:tcW w:w="886" w:type="dxa"/>
            <w:vAlign w:val="bottom"/>
            <w:hideMark/>
          </w:tcPr>
          <w:p w:rsidR="00C21D85" w:rsidRPr="007F3D35" w:rsidRDefault="00C21D85" w:rsidP="00C21D85">
            <w:pPr>
              <w:rPr>
                <w:rFonts w:ascii="Times New Roman" w:eastAsia="Times New Roman" w:hAnsi="Times New Roman"/>
                <w:b/>
                <w:color w:val="000000"/>
                <w:sz w:val="18"/>
                <w:szCs w:val="18"/>
              </w:rPr>
            </w:pPr>
            <w:r w:rsidRPr="007F3D35">
              <w:rPr>
                <w:rFonts w:ascii="Times New Roman" w:eastAsia="Times New Roman" w:hAnsi="Times New Roman"/>
                <w:b/>
                <w:color w:val="000000"/>
                <w:sz w:val="18"/>
                <w:szCs w:val="18"/>
              </w:rPr>
              <w:t>Shipping Fee for Order of 1000 Cards</w:t>
            </w:r>
          </w:p>
        </w:tc>
        <w:tc>
          <w:tcPr>
            <w:tcW w:w="1156" w:type="dxa"/>
            <w:vAlign w:val="bottom"/>
            <w:hideMark/>
          </w:tcPr>
          <w:p w:rsidR="00C21D85" w:rsidRPr="007F3D35" w:rsidRDefault="00C21D85" w:rsidP="00C21D85">
            <w:pPr>
              <w:rPr>
                <w:rFonts w:ascii="Times New Roman" w:eastAsia="Times New Roman" w:hAnsi="Times New Roman"/>
                <w:b/>
                <w:color w:val="000000"/>
                <w:sz w:val="18"/>
                <w:szCs w:val="18"/>
              </w:rPr>
            </w:pPr>
            <w:r w:rsidRPr="007F3D35">
              <w:rPr>
                <w:rFonts w:ascii="Times New Roman" w:eastAsia="Times New Roman" w:hAnsi="Times New Roman"/>
                <w:b/>
                <w:color w:val="000000"/>
                <w:sz w:val="18"/>
                <w:szCs w:val="18"/>
              </w:rPr>
              <w:t>Cancellation Fee Plus Standard Shipping</w:t>
            </w:r>
            <w:r>
              <w:rPr>
                <w:rFonts w:ascii="Times New Roman" w:eastAsia="Times New Roman" w:hAnsi="Times New Roman"/>
                <w:b/>
                <w:color w:val="000000"/>
                <w:sz w:val="18"/>
                <w:szCs w:val="18"/>
              </w:rPr>
              <w:t xml:space="preserve"> </w:t>
            </w:r>
          </w:p>
        </w:tc>
        <w:tc>
          <w:tcPr>
            <w:tcW w:w="1021" w:type="dxa"/>
            <w:vAlign w:val="bottom"/>
            <w:hideMark/>
          </w:tcPr>
          <w:p w:rsidR="00C21D85" w:rsidRPr="007F3D35" w:rsidRDefault="00C21D85" w:rsidP="00B14FBD">
            <w:pPr>
              <w:rPr>
                <w:rFonts w:ascii="Times New Roman" w:eastAsia="Times New Roman" w:hAnsi="Times New Roman"/>
                <w:b/>
                <w:color w:val="000000"/>
                <w:sz w:val="18"/>
                <w:szCs w:val="18"/>
              </w:rPr>
            </w:pPr>
            <w:r w:rsidRPr="007F3D35">
              <w:rPr>
                <w:rFonts w:ascii="Times New Roman" w:eastAsia="Times New Roman" w:hAnsi="Times New Roman"/>
                <w:b/>
                <w:color w:val="000000"/>
                <w:sz w:val="18"/>
                <w:szCs w:val="18"/>
              </w:rPr>
              <w:t>Expiration</w:t>
            </w:r>
          </w:p>
        </w:tc>
        <w:tc>
          <w:tcPr>
            <w:tcW w:w="933" w:type="dxa"/>
            <w:vAlign w:val="bottom"/>
            <w:hideMark/>
          </w:tcPr>
          <w:p w:rsidR="00C21D85" w:rsidRPr="007F3D35" w:rsidRDefault="00C21D85" w:rsidP="00B14FBD">
            <w:pPr>
              <w:rPr>
                <w:rFonts w:ascii="Times New Roman" w:eastAsia="Times New Roman" w:hAnsi="Times New Roman"/>
                <w:b/>
                <w:color w:val="000000"/>
                <w:sz w:val="18"/>
                <w:szCs w:val="18"/>
              </w:rPr>
            </w:pPr>
            <w:r w:rsidRPr="007F3D35">
              <w:rPr>
                <w:rFonts w:ascii="Times New Roman" w:eastAsia="Times New Roman" w:hAnsi="Times New Roman"/>
                <w:b/>
                <w:color w:val="000000"/>
                <w:sz w:val="18"/>
                <w:szCs w:val="18"/>
              </w:rPr>
              <w:t>Inactivity Fee</w:t>
            </w:r>
          </w:p>
        </w:tc>
        <w:tc>
          <w:tcPr>
            <w:tcW w:w="769" w:type="dxa"/>
            <w:vAlign w:val="bottom"/>
            <w:hideMark/>
          </w:tcPr>
          <w:p w:rsidR="00C21D85" w:rsidRPr="007F3D35" w:rsidRDefault="00C21D85">
            <w:pPr>
              <w:rPr>
                <w:rFonts w:ascii="Times New Roman" w:eastAsia="Times New Roman" w:hAnsi="Times New Roman"/>
                <w:b/>
                <w:color w:val="000000"/>
                <w:sz w:val="18"/>
                <w:szCs w:val="18"/>
              </w:rPr>
            </w:pPr>
            <w:r w:rsidRPr="007F3D35">
              <w:rPr>
                <w:rFonts w:ascii="Times New Roman" w:eastAsia="Times New Roman" w:hAnsi="Times New Roman"/>
                <w:b/>
                <w:color w:val="000000"/>
                <w:sz w:val="18"/>
                <w:szCs w:val="18"/>
              </w:rPr>
              <w:t>Refund If Not Used</w:t>
            </w:r>
          </w:p>
        </w:tc>
        <w:tc>
          <w:tcPr>
            <w:tcW w:w="1136" w:type="dxa"/>
            <w:vAlign w:val="bottom"/>
            <w:hideMark/>
          </w:tcPr>
          <w:p w:rsidR="00C21D85" w:rsidRPr="007F3D35" w:rsidRDefault="00C21D85">
            <w:pPr>
              <w:rPr>
                <w:rFonts w:ascii="Times New Roman" w:eastAsia="Times New Roman" w:hAnsi="Times New Roman"/>
                <w:b/>
                <w:color w:val="000000"/>
                <w:sz w:val="18"/>
                <w:szCs w:val="18"/>
              </w:rPr>
            </w:pPr>
            <w:r w:rsidRPr="007F3D35">
              <w:rPr>
                <w:rFonts w:ascii="Times New Roman" w:eastAsia="Times New Roman" w:hAnsi="Times New Roman"/>
                <w:b/>
                <w:color w:val="000000"/>
                <w:sz w:val="18"/>
                <w:szCs w:val="18"/>
              </w:rPr>
              <w:t>Must Have Commercial Account With Bank to Order Cards</w:t>
            </w:r>
          </w:p>
        </w:tc>
      </w:tr>
      <w:tr w:rsidR="00C21D85" w:rsidRPr="00C21D85" w:rsidTr="007F3D35">
        <w:trPr>
          <w:trHeight w:val="900"/>
        </w:trPr>
        <w:tc>
          <w:tcPr>
            <w:tcW w:w="866" w:type="dxa"/>
            <w:vAlign w:val="bottom"/>
          </w:tcPr>
          <w:p w:rsidR="00C21D85" w:rsidRPr="00C21D85" w:rsidRDefault="00C21D85" w:rsidP="00C21D85">
            <w:pPr>
              <w:rPr>
                <w:rFonts w:ascii="Times New Roman" w:eastAsia="Times New Roman" w:hAnsi="Times New Roman"/>
                <w:color w:val="000000"/>
                <w:sz w:val="18"/>
                <w:szCs w:val="18"/>
              </w:rPr>
            </w:pPr>
            <w:r w:rsidRPr="007F3D35">
              <w:rPr>
                <w:rFonts w:ascii="Times New Roman" w:hAnsi="Times New Roman"/>
                <w:color w:val="000000"/>
                <w:sz w:val="18"/>
                <w:szCs w:val="18"/>
              </w:rPr>
              <w:t>Bank of America</w:t>
            </w:r>
          </w:p>
        </w:tc>
        <w:tc>
          <w:tcPr>
            <w:tcW w:w="991" w:type="dxa"/>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 xml:space="preserve">PD can activate </w:t>
            </w:r>
            <w:r>
              <w:rPr>
                <w:rFonts w:ascii="Times New Roman" w:eastAsia="Times New Roman" w:hAnsi="Times New Roman"/>
                <w:color w:val="000000"/>
                <w:sz w:val="18"/>
                <w:szCs w:val="18"/>
              </w:rPr>
              <w:t>one</w:t>
            </w:r>
            <w:r w:rsidRPr="007F3D35">
              <w:rPr>
                <w:rFonts w:ascii="Times New Roman" w:eastAsia="Times New Roman" w:hAnsi="Times New Roman"/>
                <w:color w:val="000000"/>
                <w:sz w:val="18"/>
                <w:szCs w:val="18"/>
              </w:rPr>
              <w:t xml:space="preserve"> card at a time or </w:t>
            </w:r>
            <w:r w:rsidRPr="007F3D35">
              <w:rPr>
                <w:rFonts w:ascii="Times New Roman" w:eastAsia="Times New Roman" w:hAnsi="Times New Roman"/>
                <w:color w:val="000000"/>
                <w:sz w:val="18"/>
                <w:szCs w:val="18"/>
              </w:rPr>
              <w:lastRenderedPageBreak/>
              <w:t>teen can call and activate the card</w:t>
            </w:r>
          </w:p>
        </w:tc>
        <w:tc>
          <w:tcPr>
            <w:tcW w:w="991" w:type="dxa"/>
            <w:noWrap/>
            <w:vAlign w:val="bottom"/>
            <w:hideMark/>
          </w:tcPr>
          <w:p w:rsidR="00C21D85" w:rsidRPr="007F3D35" w:rsidRDefault="00C21D85" w:rsidP="007F3D3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lastRenderedPageBreak/>
              <w:t xml:space="preserve">$2.00 </w:t>
            </w:r>
          </w:p>
        </w:tc>
        <w:tc>
          <w:tcPr>
            <w:tcW w:w="886" w:type="dxa"/>
            <w:noWrap/>
            <w:vAlign w:val="bottom"/>
            <w:hideMark/>
          </w:tcPr>
          <w:p w:rsidR="00C21D85" w:rsidRPr="007F3D35" w:rsidRDefault="00C21D85" w:rsidP="007F3D3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 xml:space="preserve">$70.00 </w:t>
            </w:r>
          </w:p>
        </w:tc>
        <w:tc>
          <w:tcPr>
            <w:tcW w:w="1156" w:type="dxa"/>
            <w:noWrap/>
            <w:vAlign w:val="bottom"/>
            <w:hideMark/>
          </w:tcPr>
          <w:p w:rsidR="00C21D85" w:rsidRPr="007F3D35" w:rsidRDefault="00C21D85" w:rsidP="007F3D3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 xml:space="preserve">$15.00 </w:t>
            </w:r>
          </w:p>
        </w:tc>
        <w:tc>
          <w:tcPr>
            <w:tcW w:w="1021"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9 months</w:t>
            </w:r>
          </w:p>
        </w:tc>
        <w:tc>
          <w:tcPr>
            <w:tcW w:w="933"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No</w:t>
            </w:r>
          </w:p>
        </w:tc>
        <w:tc>
          <w:tcPr>
            <w:tcW w:w="769"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Yes</w:t>
            </w:r>
          </w:p>
        </w:tc>
        <w:tc>
          <w:tcPr>
            <w:tcW w:w="1136"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Yes</w:t>
            </w:r>
          </w:p>
        </w:tc>
      </w:tr>
      <w:tr w:rsidR="00C21D85" w:rsidRPr="00C21D85" w:rsidTr="007F3D35">
        <w:trPr>
          <w:trHeight w:val="600"/>
        </w:trPr>
        <w:tc>
          <w:tcPr>
            <w:tcW w:w="866" w:type="dxa"/>
            <w:vAlign w:val="bottom"/>
          </w:tcPr>
          <w:p w:rsidR="00C21D85" w:rsidRPr="00C21D85" w:rsidRDefault="00C21D85" w:rsidP="00C21D85">
            <w:pPr>
              <w:rPr>
                <w:rFonts w:ascii="Times New Roman" w:eastAsia="Times New Roman" w:hAnsi="Times New Roman"/>
                <w:color w:val="000000"/>
                <w:sz w:val="18"/>
                <w:szCs w:val="18"/>
              </w:rPr>
            </w:pPr>
            <w:proofErr w:type="spellStart"/>
            <w:r w:rsidRPr="007F3D35">
              <w:rPr>
                <w:rFonts w:ascii="Times New Roman" w:hAnsi="Times New Roman"/>
                <w:color w:val="000000"/>
                <w:sz w:val="18"/>
                <w:szCs w:val="18"/>
              </w:rPr>
              <w:lastRenderedPageBreak/>
              <w:t>PrePaid</w:t>
            </w:r>
            <w:proofErr w:type="spellEnd"/>
            <w:r w:rsidRPr="007F3D35">
              <w:rPr>
                <w:rFonts w:ascii="Times New Roman" w:hAnsi="Times New Roman"/>
                <w:color w:val="000000"/>
                <w:sz w:val="18"/>
                <w:szCs w:val="18"/>
              </w:rPr>
              <w:t>-USA Visa® Award Cards (Sunrise Banks)</w:t>
            </w:r>
          </w:p>
        </w:tc>
        <w:tc>
          <w:tcPr>
            <w:tcW w:w="991" w:type="dxa"/>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Teen must call and activate the card</w:t>
            </w:r>
          </w:p>
        </w:tc>
        <w:tc>
          <w:tcPr>
            <w:tcW w:w="991" w:type="dxa"/>
            <w:noWrap/>
            <w:vAlign w:val="bottom"/>
            <w:hideMark/>
          </w:tcPr>
          <w:p w:rsidR="00C21D85" w:rsidRPr="007F3D35" w:rsidRDefault="00C21D85" w:rsidP="007F3D3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 xml:space="preserve">$1.65 </w:t>
            </w:r>
          </w:p>
        </w:tc>
        <w:tc>
          <w:tcPr>
            <w:tcW w:w="886" w:type="dxa"/>
            <w:noWrap/>
            <w:vAlign w:val="bottom"/>
            <w:hideMark/>
          </w:tcPr>
          <w:p w:rsidR="00C21D85" w:rsidRPr="007F3D35" w:rsidRDefault="00C21D85" w:rsidP="007F3D3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 xml:space="preserve">$74.51 </w:t>
            </w:r>
          </w:p>
        </w:tc>
        <w:tc>
          <w:tcPr>
            <w:tcW w:w="1156" w:type="dxa"/>
            <w:noWrap/>
            <w:vAlign w:val="bottom"/>
            <w:hideMark/>
          </w:tcPr>
          <w:p w:rsidR="00C21D85" w:rsidRPr="007F3D35" w:rsidRDefault="00C21D85" w:rsidP="007F3D3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 xml:space="preserve">$42.92 </w:t>
            </w:r>
          </w:p>
        </w:tc>
        <w:tc>
          <w:tcPr>
            <w:tcW w:w="1021"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12 months</w:t>
            </w:r>
          </w:p>
        </w:tc>
        <w:tc>
          <w:tcPr>
            <w:tcW w:w="933"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$3.95 a month after 9 months</w:t>
            </w:r>
          </w:p>
        </w:tc>
        <w:tc>
          <w:tcPr>
            <w:tcW w:w="769"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No</w:t>
            </w:r>
          </w:p>
        </w:tc>
        <w:tc>
          <w:tcPr>
            <w:tcW w:w="1136"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No</w:t>
            </w:r>
          </w:p>
        </w:tc>
      </w:tr>
      <w:tr w:rsidR="00C21D85" w:rsidRPr="00C21D85" w:rsidTr="007F3D35">
        <w:trPr>
          <w:trHeight w:val="600"/>
        </w:trPr>
        <w:tc>
          <w:tcPr>
            <w:tcW w:w="866" w:type="dxa"/>
            <w:vAlign w:val="bottom"/>
          </w:tcPr>
          <w:p w:rsidR="00C21D85" w:rsidRPr="00C21D85" w:rsidRDefault="00C21D85" w:rsidP="00C21D85">
            <w:pPr>
              <w:rPr>
                <w:rFonts w:ascii="Times New Roman" w:eastAsia="Times New Roman" w:hAnsi="Times New Roman"/>
                <w:color w:val="000000"/>
                <w:sz w:val="18"/>
                <w:szCs w:val="18"/>
              </w:rPr>
            </w:pPr>
            <w:r w:rsidRPr="007F3D35">
              <w:rPr>
                <w:rFonts w:ascii="Times New Roman" w:hAnsi="Times New Roman"/>
                <w:color w:val="000000"/>
                <w:sz w:val="18"/>
                <w:szCs w:val="18"/>
              </w:rPr>
              <w:t>IDT Financial Services</w:t>
            </w:r>
          </w:p>
        </w:tc>
        <w:tc>
          <w:tcPr>
            <w:tcW w:w="991" w:type="dxa"/>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Cards are activated when shipped</w:t>
            </w:r>
          </w:p>
        </w:tc>
        <w:tc>
          <w:tcPr>
            <w:tcW w:w="991" w:type="dxa"/>
            <w:noWrap/>
            <w:vAlign w:val="bottom"/>
            <w:hideMark/>
          </w:tcPr>
          <w:p w:rsidR="00C21D85" w:rsidRPr="007F3D35" w:rsidRDefault="00C21D85" w:rsidP="007F3D3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 xml:space="preserve">$1.75 </w:t>
            </w:r>
          </w:p>
        </w:tc>
        <w:tc>
          <w:tcPr>
            <w:tcW w:w="886" w:type="dxa"/>
            <w:noWrap/>
            <w:vAlign w:val="bottom"/>
            <w:hideMark/>
          </w:tcPr>
          <w:p w:rsidR="00C21D85" w:rsidRPr="007F3D35" w:rsidRDefault="00C21D85" w:rsidP="007F3D3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 xml:space="preserve">$56.00 </w:t>
            </w:r>
          </w:p>
        </w:tc>
        <w:tc>
          <w:tcPr>
            <w:tcW w:w="1156" w:type="dxa"/>
            <w:noWrap/>
            <w:vAlign w:val="bottom"/>
            <w:hideMark/>
          </w:tcPr>
          <w:p w:rsidR="00C21D85" w:rsidRPr="007F3D35" w:rsidRDefault="00C21D85" w:rsidP="007F3D3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 xml:space="preserve">$31.75 </w:t>
            </w:r>
          </w:p>
        </w:tc>
        <w:tc>
          <w:tcPr>
            <w:tcW w:w="1021"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8 years</w:t>
            </w:r>
          </w:p>
        </w:tc>
        <w:tc>
          <w:tcPr>
            <w:tcW w:w="933"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$2.50 a month after 13 months</w:t>
            </w:r>
          </w:p>
        </w:tc>
        <w:tc>
          <w:tcPr>
            <w:tcW w:w="769"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No</w:t>
            </w:r>
          </w:p>
        </w:tc>
        <w:tc>
          <w:tcPr>
            <w:tcW w:w="1136" w:type="dxa"/>
            <w:noWrap/>
            <w:vAlign w:val="bottom"/>
            <w:hideMark/>
          </w:tcPr>
          <w:p w:rsidR="00C21D85" w:rsidRPr="007F3D35" w:rsidRDefault="00C21D85" w:rsidP="00C21D85">
            <w:pPr>
              <w:rPr>
                <w:rFonts w:ascii="Times New Roman" w:eastAsia="Times New Roman" w:hAnsi="Times New Roman"/>
                <w:color w:val="000000"/>
                <w:sz w:val="18"/>
                <w:szCs w:val="18"/>
              </w:rPr>
            </w:pPr>
            <w:r w:rsidRPr="007F3D35">
              <w:rPr>
                <w:rFonts w:ascii="Times New Roman" w:eastAsia="Times New Roman" w:hAnsi="Times New Roman"/>
                <w:color w:val="000000"/>
                <w:sz w:val="18"/>
                <w:szCs w:val="18"/>
              </w:rPr>
              <w:t>No</w:t>
            </w:r>
          </w:p>
        </w:tc>
      </w:tr>
    </w:tbl>
    <w:p w:rsidR="00C21D85" w:rsidRDefault="00C21D85" w:rsidP="007F3D35"/>
    <w:sectPr w:rsidR="00C21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02"/>
    <w:multiLevelType w:val="hybridMultilevel"/>
    <w:tmpl w:val="B5BE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D0"/>
    <w:rsid w:val="003B611C"/>
    <w:rsid w:val="00445851"/>
    <w:rsid w:val="004975DF"/>
    <w:rsid w:val="005225D8"/>
    <w:rsid w:val="0064007A"/>
    <w:rsid w:val="007F3D35"/>
    <w:rsid w:val="008524D0"/>
    <w:rsid w:val="009A1B37"/>
    <w:rsid w:val="00B14FBD"/>
    <w:rsid w:val="00C21D85"/>
    <w:rsid w:val="00E5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4D0"/>
    <w:pPr>
      <w:ind w:left="720"/>
    </w:pPr>
  </w:style>
  <w:style w:type="paragraph" w:styleId="BalloonText">
    <w:name w:val="Balloon Text"/>
    <w:basedOn w:val="Normal"/>
    <w:link w:val="BalloonTextChar"/>
    <w:uiPriority w:val="99"/>
    <w:semiHidden/>
    <w:unhideWhenUsed/>
    <w:rsid w:val="00C21D85"/>
    <w:rPr>
      <w:rFonts w:ascii="Tahoma" w:hAnsi="Tahoma" w:cs="Tahoma"/>
      <w:sz w:val="16"/>
      <w:szCs w:val="16"/>
    </w:rPr>
  </w:style>
  <w:style w:type="character" w:customStyle="1" w:styleId="BalloonTextChar">
    <w:name w:val="Balloon Text Char"/>
    <w:basedOn w:val="DefaultParagraphFont"/>
    <w:link w:val="BalloonText"/>
    <w:uiPriority w:val="99"/>
    <w:semiHidden/>
    <w:rsid w:val="00C21D85"/>
    <w:rPr>
      <w:rFonts w:ascii="Tahoma" w:hAnsi="Tahoma" w:cs="Tahoma"/>
      <w:sz w:val="16"/>
      <w:szCs w:val="16"/>
    </w:rPr>
  </w:style>
  <w:style w:type="table" w:styleId="TableGrid">
    <w:name w:val="Table Grid"/>
    <w:basedOn w:val="TableNormal"/>
    <w:uiPriority w:val="59"/>
    <w:rsid w:val="00C2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4D0"/>
    <w:pPr>
      <w:ind w:left="720"/>
    </w:pPr>
  </w:style>
  <w:style w:type="paragraph" w:styleId="BalloonText">
    <w:name w:val="Balloon Text"/>
    <w:basedOn w:val="Normal"/>
    <w:link w:val="BalloonTextChar"/>
    <w:uiPriority w:val="99"/>
    <w:semiHidden/>
    <w:unhideWhenUsed/>
    <w:rsid w:val="00C21D85"/>
    <w:rPr>
      <w:rFonts w:ascii="Tahoma" w:hAnsi="Tahoma" w:cs="Tahoma"/>
      <w:sz w:val="16"/>
      <w:szCs w:val="16"/>
    </w:rPr>
  </w:style>
  <w:style w:type="character" w:customStyle="1" w:styleId="BalloonTextChar">
    <w:name w:val="Balloon Text Char"/>
    <w:basedOn w:val="DefaultParagraphFont"/>
    <w:link w:val="BalloonText"/>
    <w:uiPriority w:val="99"/>
    <w:semiHidden/>
    <w:rsid w:val="00C21D85"/>
    <w:rPr>
      <w:rFonts w:ascii="Tahoma" w:hAnsi="Tahoma" w:cs="Tahoma"/>
      <w:sz w:val="16"/>
      <w:szCs w:val="16"/>
    </w:rPr>
  </w:style>
  <w:style w:type="table" w:styleId="TableGrid">
    <w:name w:val="Table Grid"/>
    <w:basedOn w:val="TableNormal"/>
    <w:uiPriority w:val="59"/>
    <w:rsid w:val="00C2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858">
      <w:bodyDiv w:val="1"/>
      <w:marLeft w:val="0"/>
      <w:marRight w:val="0"/>
      <w:marTop w:val="0"/>
      <w:marBottom w:val="0"/>
      <w:divBdr>
        <w:top w:val="none" w:sz="0" w:space="0" w:color="auto"/>
        <w:left w:val="none" w:sz="0" w:space="0" w:color="auto"/>
        <w:bottom w:val="none" w:sz="0" w:space="0" w:color="auto"/>
        <w:right w:val="none" w:sz="0" w:space="0" w:color="auto"/>
      </w:divBdr>
    </w:div>
    <w:div w:id="12426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Cortes</dc:creator>
  <cp:lastModifiedBy>Windows User</cp:lastModifiedBy>
  <cp:revision>2</cp:revision>
  <dcterms:created xsi:type="dcterms:W3CDTF">2015-07-16T16:17:00Z</dcterms:created>
  <dcterms:modified xsi:type="dcterms:W3CDTF">2015-07-16T16:17:00Z</dcterms:modified>
</cp:coreProperties>
</file>