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2E41" w14:textId="77777777" w:rsidR="000030CD" w:rsidRPr="00193F96" w:rsidRDefault="000030CD" w:rsidP="00EA1F34">
      <w:pPr>
        <w:pStyle w:val="NoSpacing"/>
        <w:jc w:val="center"/>
        <w:rPr>
          <w:rFonts w:ascii="Times New Roman" w:hAnsi="Times New Roman" w:cs="Times New Roman"/>
          <w:b/>
          <w:sz w:val="26"/>
          <w:szCs w:val="26"/>
        </w:rPr>
      </w:pPr>
      <w:bookmarkStart w:id="0" w:name="_GoBack"/>
      <w:bookmarkEnd w:id="0"/>
      <w:r w:rsidRPr="00193F96">
        <w:rPr>
          <w:rFonts w:ascii="Times New Roman" w:hAnsi="Times New Roman" w:cs="Times New Roman"/>
          <w:b/>
          <w:sz w:val="26"/>
          <w:szCs w:val="26"/>
        </w:rPr>
        <w:t>Request for OMB Approval of a Generic Clearance</w:t>
      </w:r>
      <w:r w:rsidR="00EA1F34" w:rsidRPr="00193F96">
        <w:rPr>
          <w:rFonts w:ascii="Times New Roman" w:hAnsi="Times New Roman" w:cs="Times New Roman"/>
          <w:b/>
          <w:sz w:val="26"/>
          <w:szCs w:val="26"/>
        </w:rPr>
        <w:t xml:space="preserve"> </w:t>
      </w:r>
      <w:r w:rsidRPr="00193F96">
        <w:rPr>
          <w:rFonts w:ascii="Times New Roman" w:hAnsi="Times New Roman" w:cs="Times New Roman"/>
          <w:b/>
          <w:sz w:val="26"/>
          <w:szCs w:val="26"/>
        </w:rPr>
        <w:t>for Collection of Information</w:t>
      </w:r>
    </w:p>
    <w:p w14:paraId="2C3B2E42" w14:textId="31010A3E" w:rsidR="00EA1F34" w:rsidRPr="00193F96" w:rsidRDefault="00290C63" w:rsidP="00EA1F34">
      <w:pPr>
        <w:pStyle w:val="NoSpacing"/>
        <w:jc w:val="center"/>
        <w:rPr>
          <w:rFonts w:ascii="Times New Roman" w:hAnsi="Times New Roman" w:cs="Times New Roman"/>
          <w:b/>
          <w:sz w:val="26"/>
          <w:szCs w:val="26"/>
        </w:rPr>
      </w:pPr>
      <w:r w:rsidRPr="00290C63">
        <w:rPr>
          <w:rFonts w:ascii="Times New Roman" w:hAnsi="Times New Roman" w:cs="Times New Roman"/>
          <w:b/>
          <w:sz w:val="26"/>
          <w:szCs w:val="26"/>
          <w:u w:val="single"/>
        </w:rPr>
        <w:t>Retirement Savings Module</w:t>
      </w:r>
      <w:r>
        <w:rPr>
          <w:rFonts w:ascii="Times New Roman" w:hAnsi="Times New Roman" w:cs="Times New Roman"/>
          <w:b/>
          <w:sz w:val="26"/>
          <w:szCs w:val="26"/>
        </w:rPr>
        <w:t xml:space="preserve"> </w:t>
      </w:r>
      <w:r w:rsidR="008F57D5">
        <w:rPr>
          <w:rFonts w:ascii="Times New Roman" w:hAnsi="Times New Roman" w:cs="Times New Roman"/>
          <w:b/>
          <w:sz w:val="26"/>
          <w:szCs w:val="26"/>
        </w:rPr>
        <w:t>of the Household Financial Survey</w:t>
      </w:r>
    </w:p>
    <w:p w14:paraId="2C3B2E43" w14:textId="77777777" w:rsidR="000030CD" w:rsidRDefault="000030CD" w:rsidP="000030CD">
      <w:pPr>
        <w:jc w:val="center"/>
        <w:rPr>
          <w:rFonts w:ascii="Times New Roman" w:hAnsi="Times New Roman" w:cs="Times New Roman"/>
          <w:b/>
        </w:rPr>
      </w:pPr>
    </w:p>
    <w:p w14:paraId="2C3B2E44" w14:textId="77777777" w:rsidR="000030CD" w:rsidRDefault="00193F96" w:rsidP="002A1F69">
      <w:pPr>
        <w:rPr>
          <w:rFonts w:ascii="Times New Roman" w:hAnsi="Times New Roman" w:cs="Times New Roman"/>
          <w:b/>
        </w:rPr>
      </w:pPr>
      <w:r w:rsidRPr="00193F96">
        <w:rPr>
          <w:rFonts w:ascii="Times New Roman" w:hAnsi="Times New Roman" w:cs="Times New Roman"/>
          <w:b/>
          <w:u w:val="single"/>
        </w:rPr>
        <w:t>SUPPORTING STATEMENT</w:t>
      </w:r>
      <w:r>
        <w:rPr>
          <w:rFonts w:ascii="Times New Roman" w:hAnsi="Times New Roman" w:cs="Times New Roman"/>
          <w:b/>
          <w:u w:val="single"/>
        </w:rPr>
        <w:br/>
      </w:r>
      <w:r w:rsidR="002A1F69">
        <w:rPr>
          <w:rFonts w:ascii="Times New Roman" w:hAnsi="Times New Roman" w:cs="Times New Roman"/>
          <w:b/>
        </w:rPr>
        <w:br/>
        <w:t>B.</w:t>
      </w:r>
      <w:r w:rsidR="002A1F69">
        <w:rPr>
          <w:rFonts w:ascii="Times New Roman" w:hAnsi="Times New Roman" w:cs="Times New Roman"/>
          <w:b/>
        </w:rPr>
        <w:tab/>
      </w:r>
      <w:r w:rsidR="00195EEE">
        <w:rPr>
          <w:rFonts w:ascii="Times New Roman" w:hAnsi="Times New Roman" w:cs="Times New Roman"/>
          <w:b/>
        </w:rPr>
        <w:t>COLLECTIONS OF INFORMATION EMPLOYING STATICAL METHODS</w:t>
      </w:r>
    </w:p>
    <w:p w14:paraId="2C3B2E45" w14:textId="12FFECEE" w:rsidR="00683E6F" w:rsidRPr="00683E6F" w:rsidRDefault="00EA1F34" w:rsidP="00683E6F">
      <w:pPr>
        <w:tabs>
          <w:tab w:val="left" w:pos="720"/>
        </w:tabs>
        <w:rPr>
          <w:rFonts w:ascii="Times New Roman" w:hAnsi="Times New Roman" w:cs="Times New Roman"/>
        </w:rPr>
      </w:pPr>
      <w:r>
        <w:rPr>
          <w:rFonts w:ascii="Times New Roman" w:hAnsi="Times New Roman" w:cs="Times New Roman"/>
        </w:rPr>
        <w:t xml:space="preserve">Treasury and </w:t>
      </w:r>
      <w:r w:rsidR="008F57D5">
        <w:rPr>
          <w:rFonts w:ascii="Times New Roman" w:hAnsi="Times New Roman" w:cs="Times New Roman"/>
        </w:rPr>
        <w:t>the Center for Social Development (</w:t>
      </w:r>
      <w:r>
        <w:rPr>
          <w:rFonts w:ascii="Times New Roman" w:hAnsi="Times New Roman" w:cs="Times New Roman"/>
        </w:rPr>
        <w:t>CSD</w:t>
      </w:r>
      <w:r w:rsidR="008F57D5">
        <w:rPr>
          <w:rFonts w:ascii="Times New Roman" w:hAnsi="Times New Roman" w:cs="Times New Roman"/>
        </w:rPr>
        <w:t>) at Washington University</w:t>
      </w:r>
      <w:r>
        <w:rPr>
          <w:rFonts w:ascii="Times New Roman" w:hAnsi="Times New Roman" w:cs="Times New Roman"/>
        </w:rPr>
        <w:t xml:space="preserve"> </w:t>
      </w:r>
      <w:r w:rsidR="008F57D5">
        <w:rPr>
          <w:rFonts w:ascii="Times New Roman" w:hAnsi="Times New Roman" w:cs="Times New Roman"/>
        </w:rPr>
        <w:t xml:space="preserve">in St. Louis </w:t>
      </w:r>
      <w:r w:rsidR="00683E6F">
        <w:rPr>
          <w:rFonts w:ascii="Times New Roman" w:hAnsi="Times New Roman" w:cs="Times New Roman"/>
        </w:rPr>
        <w:t xml:space="preserve">will employ </w:t>
      </w:r>
      <w:r w:rsidR="00696998">
        <w:rPr>
          <w:rFonts w:ascii="Times New Roman" w:hAnsi="Times New Roman" w:cs="Times New Roman"/>
        </w:rPr>
        <w:t xml:space="preserve">a variety of </w:t>
      </w:r>
      <w:r w:rsidR="00683E6F">
        <w:rPr>
          <w:rFonts w:ascii="Times New Roman" w:hAnsi="Times New Roman" w:cs="Times New Roman"/>
        </w:rPr>
        <w:t xml:space="preserve">statistical methods in this research effort to ensure the validity and usefulness of findings. </w:t>
      </w:r>
      <w:r>
        <w:rPr>
          <w:rFonts w:ascii="Times New Roman" w:hAnsi="Times New Roman" w:cs="Times New Roman"/>
        </w:rPr>
        <w:t xml:space="preserve"> </w:t>
      </w:r>
      <w:r w:rsidR="00683E6F">
        <w:rPr>
          <w:rFonts w:ascii="Times New Roman" w:hAnsi="Times New Roman" w:cs="Times New Roman"/>
        </w:rPr>
        <w:t>The H</w:t>
      </w:r>
      <w:r w:rsidR="008F57D5">
        <w:rPr>
          <w:rFonts w:ascii="Times New Roman" w:hAnsi="Times New Roman" w:cs="Times New Roman"/>
        </w:rPr>
        <w:t>ousehold Financial Survey (H</w:t>
      </w:r>
      <w:r w:rsidR="00683E6F">
        <w:rPr>
          <w:rFonts w:ascii="Times New Roman" w:hAnsi="Times New Roman" w:cs="Times New Roman"/>
        </w:rPr>
        <w:t>FS</w:t>
      </w:r>
      <w:r w:rsidR="008F57D5">
        <w:rPr>
          <w:rFonts w:ascii="Times New Roman" w:hAnsi="Times New Roman" w:cs="Times New Roman"/>
        </w:rPr>
        <w:t>)</w:t>
      </w:r>
      <w:r w:rsidR="00683E6F">
        <w:rPr>
          <w:rFonts w:ascii="Times New Roman" w:hAnsi="Times New Roman" w:cs="Times New Roman"/>
        </w:rPr>
        <w:t xml:space="preserve">, an already functioning, </w:t>
      </w:r>
      <w:r w:rsidR="006A1F88">
        <w:rPr>
          <w:rFonts w:ascii="Times New Roman" w:hAnsi="Times New Roman" w:cs="Times New Roman"/>
        </w:rPr>
        <w:t xml:space="preserve">privately-funded, </w:t>
      </w:r>
      <w:r w:rsidR="00683E6F">
        <w:rPr>
          <w:rFonts w:ascii="Times New Roman" w:hAnsi="Times New Roman" w:cs="Times New Roman"/>
        </w:rPr>
        <w:t>large-scale survey of low- and moderate-income</w:t>
      </w:r>
      <w:r w:rsidR="006A1F88">
        <w:rPr>
          <w:rFonts w:ascii="Times New Roman" w:hAnsi="Times New Roman" w:cs="Times New Roman"/>
        </w:rPr>
        <w:t xml:space="preserve"> (LMI)</w:t>
      </w:r>
      <w:r w:rsidR="00683E6F">
        <w:rPr>
          <w:rFonts w:ascii="Times New Roman" w:hAnsi="Times New Roman" w:cs="Times New Roman"/>
        </w:rPr>
        <w:t xml:space="preserve"> households, will serve as the platform for launching a new </w:t>
      </w:r>
      <w:r w:rsidR="006A1F88">
        <w:rPr>
          <w:rFonts w:ascii="Times New Roman" w:hAnsi="Times New Roman" w:cs="Times New Roman"/>
        </w:rPr>
        <w:t xml:space="preserve">Treasury-funded </w:t>
      </w:r>
      <w:r w:rsidR="00683E6F">
        <w:rPr>
          <w:rFonts w:ascii="Times New Roman" w:hAnsi="Times New Roman" w:cs="Times New Roman"/>
        </w:rPr>
        <w:t>module of survey items</w:t>
      </w:r>
      <w:r w:rsidR="00A31E74">
        <w:rPr>
          <w:rFonts w:ascii="Times New Roman" w:hAnsi="Times New Roman" w:cs="Times New Roman"/>
        </w:rPr>
        <w:t xml:space="preserve"> (the Retirement Savings Module)</w:t>
      </w:r>
      <w:r w:rsidR="00683E6F">
        <w:rPr>
          <w:rFonts w:ascii="Times New Roman" w:hAnsi="Times New Roman" w:cs="Times New Roman"/>
        </w:rPr>
        <w:t xml:space="preserve"> aimed at assessing participants’ reaction to</w:t>
      </w:r>
      <w:r w:rsidR="00A31E74">
        <w:rPr>
          <w:rFonts w:ascii="Times New Roman" w:hAnsi="Times New Roman" w:cs="Times New Roman"/>
        </w:rPr>
        <w:t xml:space="preserve"> the myRA program </w:t>
      </w:r>
      <w:r w:rsidR="00683E6F">
        <w:rPr>
          <w:rFonts w:ascii="Times New Roman" w:hAnsi="Times New Roman" w:cs="Times New Roman"/>
        </w:rPr>
        <w:t>as well as collecting baseline data on retirement preparedness, attitudes, and expectation</w:t>
      </w:r>
      <w:r w:rsidR="00696998">
        <w:rPr>
          <w:rFonts w:ascii="Times New Roman" w:hAnsi="Times New Roman" w:cs="Times New Roman"/>
        </w:rPr>
        <w:t>s</w:t>
      </w:r>
      <w:r w:rsidR="00683E6F">
        <w:rPr>
          <w:rFonts w:ascii="Times New Roman" w:hAnsi="Times New Roman" w:cs="Times New Roman"/>
        </w:rPr>
        <w:t xml:space="preserve"> among the targeted LMI population. Based on previous years of experience, the team estimates that roughly 8,000 respondents will participate. These participants are drawn from the universe of LMI households who file </w:t>
      </w:r>
      <w:r w:rsidR="006867A6">
        <w:rPr>
          <w:rFonts w:ascii="Times New Roman" w:hAnsi="Times New Roman" w:cs="Times New Roman"/>
        </w:rPr>
        <w:t xml:space="preserve">federal </w:t>
      </w:r>
      <w:r w:rsidR="00683E6F">
        <w:rPr>
          <w:rFonts w:ascii="Times New Roman" w:hAnsi="Times New Roman" w:cs="Times New Roman"/>
        </w:rPr>
        <w:t xml:space="preserve">income taxes through the TurboTax Freedom Edition (TTFE). Participation in the survey, and specifically the </w:t>
      </w:r>
      <w:r w:rsidR="00290C63">
        <w:rPr>
          <w:rFonts w:ascii="Times New Roman" w:hAnsi="Times New Roman" w:cs="Times New Roman"/>
        </w:rPr>
        <w:t>Retirement Savings Module</w:t>
      </w:r>
      <w:r w:rsidR="00683E6F">
        <w:rPr>
          <w:rFonts w:ascii="Times New Roman" w:hAnsi="Times New Roman" w:cs="Times New Roman"/>
        </w:rPr>
        <w:t xml:space="preserve">, is fully voluntary. Statistical techniques will be used to test the representativeness of survey respondents compared to the universe of TTFE tax filers. In the event that the survey sample is not representative of the population universe, statistical techniques, such as </w:t>
      </w:r>
      <w:r w:rsidR="00696998">
        <w:rPr>
          <w:rFonts w:ascii="Times New Roman" w:hAnsi="Times New Roman" w:cs="Times New Roman"/>
        </w:rPr>
        <w:t xml:space="preserve">sample weighting and </w:t>
      </w:r>
      <w:r w:rsidR="00683E6F">
        <w:rPr>
          <w:rFonts w:ascii="Times New Roman" w:hAnsi="Times New Roman" w:cs="Times New Roman"/>
        </w:rPr>
        <w:t xml:space="preserve">propensity score analysis, will be employed to </w:t>
      </w:r>
      <w:r w:rsidR="00DD402D">
        <w:rPr>
          <w:rFonts w:ascii="Times New Roman" w:hAnsi="Times New Roman" w:cs="Times New Roman"/>
        </w:rPr>
        <w:t xml:space="preserve">allow for valid inference to be drawn from the sample data and applied to the universe. </w:t>
      </w:r>
      <w:r w:rsidR="00B259E9" w:rsidRPr="00B259E9">
        <w:rPr>
          <w:rFonts w:ascii="Times New Roman" w:hAnsi="Times New Roman" w:cs="Times New Roman"/>
        </w:rPr>
        <w:t>The research is exploratory and largely descriptive in nature. Findings are not intended to be generalizable to a broader population, but rather specifically focus on LMI online tax filers with refunds</w:t>
      </w:r>
      <w:r w:rsidR="00A31E74">
        <w:rPr>
          <w:rFonts w:ascii="Times New Roman" w:hAnsi="Times New Roman" w:cs="Times New Roman"/>
        </w:rPr>
        <w:t xml:space="preserve">.  </w:t>
      </w:r>
      <w:r w:rsidR="00DD402D">
        <w:rPr>
          <w:rFonts w:ascii="Times New Roman" w:hAnsi="Times New Roman" w:cs="Times New Roman"/>
        </w:rPr>
        <w:t xml:space="preserve"> The information collected will inform efforts by the Department of Treasury in designing and administering </w:t>
      </w:r>
      <w:r w:rsidR="00A31E74">
        <w:rPr>
          <w:rFonts w:ascii="Times New Roman" w:hAnsi="Times New Roman" w:cs="Times New Roman"/>
        </w:rPr>
        <w:t xml:space="preserve">public education outreach and other aspects of the myRA program. </w:t>
      </w:r>
    </w:p>
    <w:p w14:paraId="2C3B2E46" w14:textId="77777777" w:rsidR="00195EEE" w:rsidRPr="000030CD" w:rsidRDefault="00195EEE" w:rsidP="00195EEE">
      <w:pPr>
        <w:pStyle w:val="ListParagraph"/>
        <w:tabs>
          <w:tab w:val="left" w:pos="720"/>
        </w:tabs>
        <w:rPr>
          <w:rFonts w:ascii="Times New Roman" w:hAnsi="Times New Roman" w:cs="Times New Roman"/>
          <w:b/>
        </w:rPr>
      </w:pPr>
    </w:p>
    <w:p w14:paraId="2C3B2E47" w14:textId="77777777" w:rsidR="000030CD" w:rsidRDefault="00195EEE" w:rsidP="002A1F69">
      <w:pPr>
        <w:pStyle w:val="ListParagraph"/>
        <w:numPr>
          <w:ilvl w:val="1"/>
          <w:numId w:val="1"/>
        </w:numPr>
        <w:ind w:left="720"/>
        <w:rPr>
          <w:rFonts w:ascii="Times New Roman" w:hAnsi="Times New Roman" w:cs="Times New Roman"/>
          <w:b/>
        </w:rPr>
      </w:pPr>
      <w:r>
        <w:rPr>
          <w:rFonts w:ascii="Times New Roman" w:hAnsi="Times New Roman" w:cs="Times New Roman"/>
          <w:b/>
        </w:rPr>
        <w:t>Describe Potential Respondent Universe</w:t>
      </w:r>
    </w:p>
    <w:p w14:paraId="2C3B2E48" w14:textId="1FB5D132" w:rsidR="00362DE6" w:rsidRPr="002A1F69" w:rsidRDefault="005E5D68" w:rsidP="002A1F69">
      <w:pPr>
        <w:ind w:left="810"/>
        <w:rPr>
          <w:rFonts w:ascii="Times New Roman" w:hAnsi="Times New Roman" w:cs="Times New Roman"/>
          <w:i/>
        </w:rPr>
      </w:pPr>
      <w:r>
        <w:rPr>
          <w:rFonts w:ascii="Times New Roman" w:hAnsi="Times New Roman" w:cs="Times New Roman"/>
          <w:i/>
        </w:rPr>
        <w:t>Respondent u</w:t>
      </w:r>
      <w:r w:rsidR="00195EEE">
        <w:rPr>
          <w:rFonts w:ascii="Times New Roman" w:hAnsi="Times New Roman" w:cs="Times New Roman"/>
          <w:i/>
        </w:rPr>
        <w:t>niverse</w:t>
      </w:r>
      <w:r w:rsidR="009B2570">
        <w:rPr>
          <w:rFonts w:ascii="Times New Roman" w:hAnsi="Times New Roman" w:cs="Times New Roman"/>
          <w:i/>
        </w:rPr>
        <w:t xml:space="preserve">: </w:t>
      </w:r>
      <w:r w:rsidR="002A1F69">
        <w:rPr>
          <w:rFonts w:ascii="Times New Roman" w:hAnsi="Times New Roman" w:cs="Times New Roman"/>
          <w:i/>
        </w:rPr>
        <w:br/>
      </w:r>
      <w:r w:rsidR="00DD402D">
        <w:rPr>
          <w:rFonts w:ascii="Times New Roman" w:hAnsi="Times New Roman" w:cs="Times New Roman"/>
        </w:rPr>
        <w:t xml:space="preserve">The respondent universe consists of households that file </w:t>
      </w:r>
      <w:r w:rsidR="006867A6">
        <w:rPr>
          <w:rFonts w:ascii="Times New Roman" w:hAnsi="Times New Roman" w:cs="Times New Roman"/>
        </w:rPr>
        <w:t xml:space="preserve">federal </w:t>
      </w:r>
      <w:r w:rsidR="00DD402D">
        <w:rPr>
          <w:rFonts w:ascii="Times New Roman" w:hAnsi="Times New Roman" w:cs="Times New Roman"/>
        </w:rPr>
        <w:t>income taxes using the TurboTax Freedom Edition and that are owed a tax refund. Household</w:t>
      </w:r>
      <w:r w:rsidR="00696998">
        <w:rPr>
          <w:rFonts w:ascii="Times New Roman" w:hAnsi="Times New Roman" w:cs="Times New Roman"/>
        </w:rPr>
        <w:t>s qualify to use the program b</w:t>
      </w:r>
      <w:r w:rsidR="00DD402D">
        <w:rPr>
          <w:rFonts w:ascii="Times New Roman" w:hAnsi="Times New Roman" w:cs="Times New Roman"/>
        </w:rPr>
        <w:t>y meetin</w:t>
      </w:r>
      <w:r w:rsidR="00696998">
        <w:rPr>
          <w:rFonts w:ascii="Times New Roman" w:hAnsi="Times New Roman" w:cs="Times New Roman"/>
        </w:rPr>
        <w:t>g at</w:t>
      </w:r>
      <w:r w:rsidR="00DD402D">
        <w:rPr>
          <w:rFonts w:ascii="Times New Roman" w:hAnsi="Times New Roman" w:cs="Times New Roman"/>
        </w:rPr>
        <w:t xml:space="preserve"> least one of the following criteria: (1) household adjusted gross income below $30,000, (2) active military duty with household adjusted gross income below $</w:t>
      </w:r>
      <w:r w:rsidR="00FD2B54">
        <w:rPr>
          <w:rFonts w:ascii="Times New Roman" w:hAnsi="Times New Roman" w:cs="Times New Roman"/>
        </w:rPr>
        <w:t>60</w:t>
      </w:r>
      <w:r w:rsidR="00DD402D">
        <w:rPr>
          <w:rFonts w:ascii="Times New Roman" w:hAnsi="Times New Roman" w:cs="Times New Roman"/>
        </w:rPr>
        <w:t xml:space="preserve">,000, or (3) qualification to receive the earned income tax credit. </w:t>
      </w:r>
      <w:r w:rsidR="00D162CD">
        <w:rPr>
          <w:rFonts w:ascii="Times New Roman" w:hAnsi="Times New Roman" w:cs="Times New Roman"/>
        </w:rPr>
        <w:t xml:space="preserve">In the past several years, the number of households using TTFE and receiving a refund has been around 800,000. </w:t>
      </w:r>
      <w:r w:rsidR="00583E2D">
        <w:rPr>
          <w:rFonts w:ascii="Times New Roman" w:hAnsi="Times New Roman" w:cs="Times New Roman"/>
        </w:rPr>
        <w:t>The universe is re</w:t>
      </w:r>
      <w:r w:rsidR="00696998">
        <w:rPr>
          <w:rFonts w:ascii="Times New Roman" w:hAnsi="Times New Roman" w:cs="Times New Roman"/>
        </w:rPr>
        <w:t>stricted to those households that</w:t>
      </w:r>
      <w:r w:rsidR="00583E2D">
        <w:rPr>
          <w:rFonts w:ascii="Times New Roman" w:hAnsi="Times New Roman" w:cs="Times New Roman"/>
        </w:rPr>
        <w:t xml:space="preserve"> have a </w:t>
      </w:r>
      <w:r w:rsidR="006867A6">
        <w:rPr>
          <w:rFonts w:ascii="Times New Roman" w:hAnsi="Times New Roman" w:cs="Times New Roman"/>
        </w:rPr>
        <w:t xml:space="preserve">federal </w:t>
      </w:r>
      <w:r w:rsidR="00583E2D">
        <w:rPr>
          <w:rFonts w:ascii="Times New Roman" w:hAnsi="Times New Roman" w:cs="Times New Roman"/>
        </w:rPr>
        <w:t xml:space="preserve">income tax refund because the research will investigate the demand for using part of the tax refund to fund </w:t>
      </w:r>
      <w:r w:rsidR="00290C63">
        <w:rPr>
          <w:rFonts w:ascii="Times New Roman" w:hAnsi="Times New Roman" w:cs="Times New Roman"/>
        </w:rPr>
        <w:t xml:space="preserve">a </w:t>
      </w:r>
      <w:r w:rsidR="006867A6">
        <w:rPr>
          <w:rFonts w:ascii="Times New Roman" w:hAnsi="Times New Roman" w:cs="Times New Roman"/>
        </w:rPr>
        <w:t>r</w:t>
      </w:r>
      <w:r w:rsidR="00290C63">
        <w:rPr>
          <w:rFonts w:ascii="Times New Roman" w:hAnsi="Times New Roman" w:cs="Times New Roman"/>
        </w:rPr>
        <w:t xml:space="preserve">etirement </w:t>
      </w:r>
      <w:r w:rsidR="00583E2D">
        <w:rPr>
          <w:rFonts w:ascii="Times New Roman" w:hAnsi="Times New Roman" w:cs="Times New Roman"/>
        </w:rPr>
        <w:t>account.</w:t>
      </w:r>
    </w:p>
    <w:p w14:paraId="2C3B2E49" w14:textId="5FECC1A4" w:rsidR="00583E2D" w:rsidRDefault="00583E2D" w:rsidP="002A1F69">
      <w:pPr>
        <w:ind w:left="810"/>
        <w:rPr>
          <w:rFonts w:ascii="Times New Roman" w:hAnsi="Times New Roman" w:cs="Times New Roman"/>
        </w:rPr>
      </w:pPr>
      <w:r>
        <w:rPr>
          <w:rFonts w:ascii="Times New Roman" w:hAnsi="Times New Roman" w:cs="Times New Roman"/>
        </w:rPr>
        <w:t xml:space="preserve">This research is made possible by an existing collaborative relationship between Intuit, the makers of TurboTax, and a research team consisting of </w:t>
      </w:r>
      <w:r w:rsidR="008F57D5">
        <w:rPr>
          <w:rFonts w:ascii="Times New Roman" w:hAnsi="Times New Roman" w:cs="Times New Roman"/>
        </w:rPr>
        <w:t xml:space="preserve">CSD at </w:t>
      </w:r>
      <w:r>
        <w:rPr>
          <w:rFonts w:ascii="Times New Roman" w:hAnsi="Times New Roman" w:cs="Times New Roman"/>
        </w:rPr>
        <w:t xml:space="preserve">Washington University in St. Louis and Duke University. This team, known as the Refund to Savings </w:t>
      </w:r>
      <w:r w:rsidR="00FD2B54">
        <w:rPr>
          <w:rFonts w:ascii="Times New Roman" w:hAnsi="Times New Roman" w:cs="Times New Roman"/>
        </w:rPr>
        <w:t xml:space="preserve">(R2S) </w:t>
      </w:r>
      <w:r>
        <w:rPr>
          <w:rFonts w:ascii="Times New Roman" w:hAnsi="Times New Roman" w:cs="Times New Roman"/>
        </w:rPr>
        <w:t xml:space="preserve">initiative, has researched the TTFE population extensively for the past three years, including the collection of HFS data beginning in 2013. The proposed research will consist of a new </w:t>
      </w:r>
      <w:r w:rsidR="006A1F88">
        <w:rPr>
          <w:rFonts w:ascii="Times New Roman" w:hAnsi="Times New Roman" w:cs="Times New Roman"/>
        </w:rPr>
        <w:t xml:space="preserve">Treasury-funded </w:t>
      </w:r>
      <w:r w:rsidR="00A31E74">
        <w:rPr>
          <w:rFonts w:ascii="Times New Roman" w:hAnsi="Times New Roman" w:cs="Times New Roman"/>
        </w:rPr>
        <w:t>Retirement Savings Module</w:t>
      </w:r>
      <w:r>
        <w:rPr>
          <w:rFonts w:ascii="Times New Roman" w:hAnsi="Times New Roman" w:cs="Times New Roman"/>
        </w:rPr>
        <w:t xml:space="preserve"> to be included in the 2015 version of HFS. The low-income criteria </w:t>
      </w:r>
      <w:r>
        <w:rPr>
          <w:rFonts w:ascii="Times New Roman" w:hAnsi="Times New Roman" w:cs="Times New Roman"/>
        </w:rPr>
        <w:lastRenderedPageBreak/>
        <w:t xml:space="preserve">for the TTFE results in a population that aligns closely with </w:t>
      </w:r>
      <w:r w:rsidR="00696998">
        <w:rPr>
          <w:rFonts w:ascii="Times New Roman" w:hAnsi="Times New Roman" w:cs="Times New Roman"/>
        </w:rPr>
        <w:t>the</w:t>
      </w:r>
      <w:r>
        <w:rPr>
          <w:rFonts w:ascii="Times New Roman" w:hAnsi="Times New Roman" w:cs="Times New Roman"/>
        </w:rPr>
        <w:t xml:space="preserve"> </w:t>
      </w:r>
      <w:r w:rsidR="008F57D5">
        <w:rPr>
          <w:rFonts w:ascii="Times New Roman" w:hAnsi="Times New Roman" w:cs="Times New Roman"/>
        </w:rPr>
        <w:t xml:space="preserve">LMI population, one </w:t>
      </w:r>
      <w:r>
        <w:rPr>
          <w:rFonts w:ascii="Times New Roman" w:hAnsi="Times New Roman" w:cs="Times New Roman"/>
        </w:rPr>
        <w:t>targeted population for the</w:t>
      </w:r>
      <w:r w:rsidR="00290C63">
        <w:rPr>
          <w:rFonts w:ascii="Times New Roman" w:hAnsi="Times New Roman" w:cs="Times New Roman"/>
        </w:rPr>
        <w:t xml:space="preserve"> </w:t>
      </w:r>
      <w:r w:rsidR="00A31E74">
        <w:rPr>
          <w:rFonts w:ascii="Times New Roman" w:hAnsi="Times New Roman" w:cs="Times New Roman"/>
        </w:rPr>
        <w:t xml:space="preserve">myRA program </w:t>
      </w:r>
      <w:r>
        <w:rPr>
          <w:rFonts w:ascii="Times New Roman" w:hAnsi="Times New Roman" w:cs="Times New Roman"/>
        </w:rPr>
        <w:t>.</w:t>
      </w:r>
    </w:p>
    <w:p w14:paraId="2C3B2E4A" w14:textId="77777777" w:rsidR="00362DE6" w:rsidRPr="00362DE6" w:rsidRDefault="00362DE6" w:rsidP="002A1F69">
      <w:pPr>
        <w:ind w:left="810"/>
        <w:rPr>
          <w:rFonts w:ascii="Times New Roman" w:hAnsi="Times New Roman" w:cs="Times New Roman"/>
        </w:rPr>
      </w:pP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541"/>
        <w:gridCol w:w="1922"/>
        <w:gridCol w:w="1849"/>
        <w:gridCol w:w="1546"/>
      </w:tblGrid>
      <w:tr w:rsidR="002A1F69" w:rsidRPr="003F0050" w14:paraId="2C3B2E50" w14:textId="77777777" w:rsidTr="002A1F69">
        <w:tc>
          <w:tcPr>
            <w:tcW w:w="1815" w:type="dxa"/>
            <w:shd w:val="clear" w:color="auto" w:fill="auto"/>
          </w:tcPr>
          <w:p w14:paraId="2C3B2E4B" w14:textId="77777777" w:rsidR="002A1F69" w:rsidRPr="003F0050" w:rsidRDefault="002A1F69" w:rsidP="002A1F69">
            <w:pPr>
              <w:ind w:left="90"/>
            </w:pPr>
            <w:r w:rsidRPr="003F0050">
              <w:t>Establishments</w:t>
            </w:r>
          </w:p>
        </w:tc>
        <w:tc>
          <w:tcPr>
            <w:tcW w:w="1541" w:type="dxa"/>
            <w:shd w:val="clear" w:color="auto" w:fill="auto"/>
          </w:tcPr>
          <w:p w14:paraId="2C3B2E4C" w14:textId="77777777" w:rsidR="002A1F69" w:rsidRPr="003F0050" w:rsidRDefault="002A1F69" w:rsidP="002A1F69">
            <w:r w:rsidRPr="003F0050">
              <w:t>State Government Units</w:t>
            </w:r>
          </w:p>
        </w:tc>
        <w:tc>
          <w:tcPr>
            <w:tcW w:w="1922" w:type="dxa"/>
            <w:shd w:val="clear" w:color="auto" w:fill="auto"/>
          </w:tcPr>
          <w:p w14:paraId="2C3B2E4D" w14:textId="77777777" w:rsidR="002A1F69" w:rsidRPr="003F0050" w:rsidRDefault="002A1F69" w:rsidP="002A1F69">
            <w:pPr>
              <w:ind w:left="136"/>
            </w:pPr>
            <w:r w:rsidRPr="003F0050">
              <w:t>Local Government Units</w:t>
            </w:r>
          </w:p>
        </w:tc>
        <w:tc>
          <w:tcPr>
            <w:tcW w:w="1849" w:type="dxa"/>
            <w:shd w:val="clear" w:color="auto" w:fill="auto"/>
          </w:tcPr>
          <w:p w14:paraId="2C3B2E4E" w14:textId="77777777" w:rsidR="002A1F69" w:rsidRPr="003F0050" w:rsidRDefault="002A1F69" w:rsidP="002A1F69">
            <w:pPr>
              <w:ind w:left="104"/>
            </w:pPr>
            <w:r w:rsidRPr="003F0050">
              <w:t>Households</w:t>
            </w:r>
          </w:p>
        </w:tc>
        <w:tc>
          <w:tcPr>
            <w:tcW w:w="1546" w:type="dxa"/>
            <w:shd w:val="clear" w:color="auto" w:fill="auto"/>
          </w:tcPr>
          <w:p w14:paraId="2C3B2E4F" w14:textId="77777777" w:rsidR="002A1F69" w:rsidRPr="003F0050" w:rsidRDefault="002A1F69" w:rsidP="002A1F69">
            <w:pPr>
              <w:ind w:left="55"/>
            </w:pPr>
            <w:r w:rsidRPr="003F0050">
              <w:t>Persons</w:t>
            </w:r>
          </w:p>
        </w:tc>
      </w:tr>
      <w:tr w:rsidR="002A1F69" w:rsidRPr="003F0050" w14:paraId="2C3B2E56" w14:textId="77777777" w:rsidTr="002A1F69">
        <w:tc>
          <w:tcPr>
            <w:tcW w:w="1815" w:type="dxa"/>
            <w:shd w:val="clear" w:color="auto" w:fill="auto"/>
          </w:tcPr>
          <w:p w14:paraId="2C3B2E51" w14:textId="77777777" w:rsidR="002A1F69" w:rsidRPr="003F0050" w:rsidRDefault="002A1F69" w:rsidP="002A1F69">
            <w:pPr>
              <w:ind w:left="810"/>
            </w:pPr>
            <w:r w:rsidRPr="003F0050">
              <w:t>0</w:t>
            </w:r>
          </w:p>
        </w:tc>
        <w:tc>
          <w:tcPr>
            <w:tcW w:w="1541" w:type="dxa"/>
            <w:shd w:val="clear" w:color="auto" w:fill="auto"/>
          </w:tcPr>
          <w:p w14:paraId="2C3B2E52" w14:textId="77777777" w:rsidR="002A1F69" w:rsidRPr="003F0050" w:rsidRDefault="002A1F69" w:rsidP="002A1F69">
            <w:pPr>
              <w:ind w:left="810"/>
            </w:pPr>
            <w:r w:rsidRPr="003F0050">
              <w:t>0</w:t>
            </w:r>
          </w:p>
        </w:tc>
        <w:tc>
          <w:tcPr>
            <w:tcW w:w="1922" w:type="dxa"/>
            <w:shd w:val="clear" w:color="auto" w:fill="auto"/>
          </w:tcPr>
          <w:p w14:paraId="2C3B2E53" w14:textId="77777777" w:rsidR="002A1F69" w:rsidRPr="003F0050" w:rsidRDefault="002A1F69" w:rsidP="002A1F69">
            <w:pPr>
              <w:ind w:left="810"/>
            </w:pPr>
            <w:r w:rsidRPr="003F0050">
              <w:t>0</w:t>
            </w:r>
          </w:p>
        </w:tc>
        <w:tc>
          <w:tcPr>
            <w:tcW w:w="1849" w:type="dxa"/>
            <w:shd w:val="clear" w:color="auto" w:fill="auto"/>
          </w:tcPr>
          <w:p w14:paraId="2C3B2E54" w14:textId="77777777" w:rsidR="002A1F69" w:rsidRPr="003F0050" w:rsidRDefault="002A1F69" w:rsidP="002A1F69">
            <w:pPr>
              <w:ind w:left="810"/>
            </w:pPr>
            <w:r>
              <w:t>800,000</w:t>
            </w:r>
          </w:p>
        </w:tc>
        <w:tc>
          <w:tcPr>
            <w:tcW w:w="1546" w:type="dxa"/>
            <w:shd w:val="clear" w:color="auto" w:fill="auto"/>
          </w:tcPr>
          <w:p w14:paraId="2C3B2E55" w14:textId="77777777" w:rsidR="002A1F69" w:rsidRPr="003F0050" w:rsidRDefault="002A1F69" w:rsidP="002A1F69">
            <w:pPr>
              <w:ind w:left="810"/>
            </w:pPr>
            <w:r>
              <w:t>0</w:t>
            </w:r>
          </w:p>
        </w:tc>
      </w:tr>
    </w:tbl>
    <w:p w14:paraId="2C3B2E57" w14:textId="77777777" w:rsidR="00195EEE" w:rsidRDefault="00195EEE" w:rsidP="002A1F69">
      <w:pPr>
        <w:ind w:left="810"/>
        <w:rPr>
          <w:rFonts w:ascii="Times New Roman" w:hAnsi="Times New Roman" w:cs="Times New Roman"/>
          <w:i/>
        </w:rPr>
      </w:pPr>
    </w:p>
    <w:p w14:paraId="2C3B2E58" w14:textId="77777777" w:rsidR="00195EEE" w:rsidRDefault="00195EEE" w:rsidP="002A1F69">
      <w:pPr>
        <w:ind w:left="810"/>
        <w:rPr>
          <w:rFonts w:ascii="Times New Roman" w:hAnsi="Times New Roman" w:cs="Times New Roman"/>
          <w:b/>
        </w:rPr>
      </w:pPr>
      <w:r>
        <w:rPr>
          <w:rFonts w:ascii="Times New Roman" w:hAnsi="Times New Roman" w:cs="Times New Roman"/>
          <w:b/>
        </w:rPr>
        <w:t>Total:</w:t>
      </w:r>
    </w:p>
    <w:p w14:paraId="2C3B2E59" w14:textId="18CD924A" w:rsidR="00A072E2" w:rsidRPr="002A1F69" w:rsidRDefault="00195EEE" w:rsidP="002A1F69">
      <w:pPr>
        <w:ind w:left="810"/>
        <w:rPr>
          <w:rFonts w:ascii="Times New Roman" w:hAnsi="Times New Roman" w:cs="Times New Roman"/>
          <w:i/>
        </w:rPr>
      </w:pPr>
      <w:r>
        <w:rPr>
          <w:rFonts w:ascii="Times New Roman" w:hAnsi="Times New Roman" w:cs="Times New Roman"/>
          <w:i/>
        </w:rPr>
        <w:t>Expected response rate</w:t>
      </w:r>
      <w:r w:rsidR="009B2570">
        <w:rPr>
          <w:rFonts w:ascii="Times New Roman" w:hAnsi="Times New Roman" w:cs="Times New Roman"/>
          <w:i/>
        </w:rPr>
        <w:t xml:space="preserve">: </w:t>
      </w:r>
      <w:r w:rsidR="002A1F69">
        <w:rPr>
          <w:rFonts w:ascii="Times New Roman" w:hAnsi="Times New Roman" w:cs="Times New Roman"/>
          <w:i/>
        </w:rPr>
        <w:br/>
      </w:r>
      <w:r w:rsidR="00A072E2">
        <w:rPr>
          <w:rFonts w:ascii="Times New Roman" w:hAnsi="Times New Roman" w:cs="Times New Roman"/>
        </w:rPr>
        <w:t xml:space="preserve">The research team expects roughly 8,000 households to participate in the </w:t>
      </w:r>
      <w:r w:rsidR="00A31E74">
        <w:rPr>
          <w:rFonts w:ascii="Times New Roman" w:hAnsi="Times New Roman" w:cs="Times New Roman"/>
        </w:rPr>
        <w:t>overall HFS, including the Retirement Savings Module</w:t>
      </w:r>
      <w:r w:rsidR="00A072E2">
        <w:rPr>
          <w:rFonts w:ascii="Times New Roman" w:hAnsi="Times New Roman" w:cs="Times New Roman"/>
        </w:rPr>
        <w:t xml:space="preserve">, which represents a response rate of around 1 percent of the respondent universe. This estimate is based on past applications of the </w:t>
      </w:r>
      <w:r w:rsidR="006A1F88">
        <w:rPr>
          <w:rFonts w:ascii="Times New Roman" w:hAnsi="Times New Roman" w:cs="Times New Roman"/>
        </w:rPr>
        <w:t xml:space="preserve">HFS </w:t>
      </w:r>
      <w:r w:rsidR="00A072E2">
        <w:rPr>
          <w:rFonts w:ascii="Times New Roman" w:hAnsi="Times New Roman" w:cs="Times New Roman"/>
        </w:rPr>
        <w:t xml:space="preserve">survey in previous years. Response rates in past iterations of the survey have been highly correlated with the amount of monetary incentives offered to participants. An offer of a $20 prepaid </w:t>
      </w:r>
      <w:r w:rsidR="00696998">
        <w:rPr>
          <w:rFonts w:ascii="Times New Roman" w:hAnsi="Times New Roman" w:cs="Times New Roman"/>
        </w:rPr>
        <w:t xml:space="preserve">debit </w:t>
      </w:r>
      <w:r w:rsidR="00A072E2">
        <w:rPr>
          <w:rFonts w:ascii="Times New Roman" w:hAnsi="Times New Roman" w:cs="Times New Roman"/>
        </w:rPr>
        <w:t xml:space="preserve">card resulted in a response rate of approximately 10 percent, while the response rate was close to 1 percent when no incentives were offered. </w:t>
      </w:r>
    </w:p>
    <w:p w14:paraId="2C3B2E5A" w14:textId="6186333B" w:rsidR="00362DE6" w:rsidRDefault="00E35CCB" w:rsidP="002A1F69">
      <w:pPr>
        <w:ind w:left="810"/>
        <w:rPr>
          <w:rFonts w:ascii="Times New Roman" w:hAnsi="Times New Roman" w:cs="Times New Roman"/>
        </w:rPr>
      </w:pPr>
      <w:r>
        <w:rPr>
          <w:rFonts w:ascii="Times New Roman" w:hAnsi="Times New Roman" w:cs="Times New Roman"/>
        </w:rPr>
        <w:t>Concerns about selection bias arise both with samples that respond to offers of incentives and those that respond in the absence of incentives. For the 2015 HFS, the research team proposes a hybrid approach to sampling that will limit the number of households that are invited to the survey</w:t>
      </w:r>
      <w:r w:rsidR="00696998">
        <w:rPr>
          <w:rFonts w:ascii="Times New Roman" w:hAnsi="Times New Roman" w:cs="Times New Roman"/>
        </w:rPr>
        <w:t xml:space="preserve"> but increase the response rate among those that are invited</w:t>
      </w:r>
      <w:r>
        <w:rPr>
          <w:rFonts w:ascii="Times New Roman" w:hAnsi="Times New Roman" w:cs="Times New Roman"/>
        </w:rPr>
        <w:t xml:space="preserve">. Among those invited to participate, a monetary incentive will be offered. </w:t>
      </w:r>
      <w:r w:rsidR="00B259E9">
        <w:rPr>
          <w:rFonts w:ascii="Times New Roman" w:hAnsi="Times New Roman" w:cs="Times New Roman"/>
        </w:rPr>
        <w:t>As mentioned above, t</w:t>
      </w:r>
      <w:r>
        <w:rPr>
          <w:rFonts w:ascii="Times New Roman" w:hAnsi="Times New Roman" w:cs="Times New Roman"/>
        </w:rPr>
        <w:t xml:space="preserve">he resulting respondent sample </w:t>
      </w:r>
      <w:r w:rsidR="00B259E9">
        <w:rPr>
          <w:rFonts w:ascii="Times New Roman" w:hAnsi="Times New Roman" w:cs="Times New Roman"/>
        </w:rPr>
        <w:t>will be tested for representativeness with respect to the universe of TTFE tax filers.</w:t>
      </w:r>
    </w:p>
    <w:p w14:paraId="2C3B2E5B" w14:textId="06665A7E" w:rsidR="00E35CCB" w:rsidRDefault="00E35CCB" w:rsidP="002A1F69">
      <w:pPr>
        <w:ind w:left="810"/>
        <w:rPr>
          <w:rFonts w:ascii="Times New Roman" w:hAnsi="Times New Roman" w:cs="Times New Roman"/>
        </w:rPr>
      </w:pPr>
      <w:r>
        <w:rPr>
          <w:rFonts w:ascii="Times New Roman" w:hAnsi="Times New Roman" w:cs="Times New Roman"/>
        </w:rPr>
        <w:t xml:space="preserve">The sampling procedure will essentially amount to a random selection of 1 in </w:t>
      </w:r>
      <w:r w:rsidR="00B370DD">
        <w:rPr>
          <w:rFonts w:ascii="Times New Roman" w:hAnsi="Times New Roman" w:cs="Times New Roman"/>
        </w:rPr>
        <w:t xml:space="preserve">2 </w:t>
      </w:r>
      <w:r>
        <w:rPr>
          <w:rFonts w:ascii="Times New Roman" w:hAnsi="Times New Roman" w:cs="Times New Roman"/>
        </w:rPr>
        <w:t>TTFE tax filer</w:t>
      </w:r>
      <w:r w:rsidR="00A31E74">
        <w:rPr>
          <w:rFonts w:ascii="Times New Roman" w:hAnsi="Times New Roman" w:cs="Times New Roman"/>
        </w:rPr>
        <w:t>s</w:t>
      </w:r>
      <w:r>
        <w:rPr>
          <w:rFonts w:ascii="Times New Roman" w:hAnsi="Times New Roman" w:cs="Times New Roman"/>
        </w:rPr>
        <w:t xml:space="preserve"> </w:t>
      </w:r>
      <w:r w:rsidR="00696998">
        <w:rPr>
          <w:rFonts w:ascii="Times New Roman" w:hAnsi="Times New Roman" w:cs="Times New Roman"/>
        </w:rPr>
        <w:t>for invitation</w:t>
      </w:r>
      <w:r>
        <w:rPr>
          <w:rFonts w:ascii="Times New Roman" w:hAnsi="Times New Roman" w:cs="Times New Roman"/>
        </w:rPr>
        <w:t xml:space="preserve"> to participate in the survey, which should equate to roughly </w:t>
      </w:r>
      <w:r w:rsidR="00B370DD">
        <w:rPr>
          <w:rFonts w:ascii="Times New Roman" w:hAnsi="Times New Roman" w:cs="Times New Roman"/>
        </w:rPr>
        <w:t>400</w:t>
      </w:r>
      <w:r>
        <w:rPr>
          <w:rFonts w:ascii="Times New Roman" w:hAnsi="Times New Roman" w:cs="Times New Roman"/>
        </w:rPr>
        <w:t xml:space="preserve">,000 </w:t>
      </w:r>
      <w:r w:rsidR="00A31E74">
        <w:rPr>
          <w:rFonts w:ascii="Times New Roman" w:hAnsi="Times New Roman" w:cs="Times New Roman"/>
        </w:rPr>
        <w:t>tax filers</w:t>
      </w:r>
      <w:r>
        <w:rPr>
          <w:rFonts w:ascii="Times New Roman" w:hAnsi="Times New Roman" w:cs="Times New Roman"/>
        </w:rPr>
        <w:t>. Those that are invited will be offered a $</w:t>
      </w:r>
      <w:r w:rsidR="00B370DD">
        <w:rPr>
          <w:rFonts w:ascii="Times New Roman" w:hAnsi="Times New Roman" w:cs="Times New Roman"/>
        </w:rPr>
        <w:t xml:space="preserve">5 </w:t>
      </w:r>
      <w:r>
        <w:rPr>
          <w:rFonts w:ascii="Times New Roman" w:hAnsi="Times New Roman" w:cs="Times New Roman"/>
        </w:rPr>
        <w:t>incentive, which if historical trends continue</w:t>
      </w:r>
      <w:r w:rsidR="00696998">
        <w:rPr>
          <w:rFonts w:ascii="Times New Roman" w:hAnsi="Times New Roman" w:cs="Times New Roman"/>
        </w:rPr>
        <w:t>,</w:t>
      </w:r>
      <w:r>
        <w:rPr>
          <w:rFonts w:ascii="Times New Roman" w:hAnsi="Times New Roman" w:cs="Times New Roman"/>
        </w:rPr>
        <w:t xml:space="preserve"> should result in about a </w:t>
      </w:r>
      <w:r w:rsidR="00B370DD">
        <w:rPr>
          <w:rFonts w:ascii="Times New Roman" w:hAnsi="Times New Roman" w:cs="Times New Roman"/>
        </w:rPr>
        <w:t xml:space="preserve">2 </w:t>
      </w:r>
      <w:r>
        <w:rPr>
          <w:rFonts w:ascii="Times New Roman" w:hAnsi="Times New Roman" w:cs="Times New Roman"/>
        </w:rPr>
        <w:t xml:space="preserve">percent response rate from the invited sample. In total, the research team thus expects around 8,000 high quality responses that will </w:t>
      </w:r>
      <w:r w:rsidR="00696998">
        <w:rPr>
          <w:rFonts w:ascii="Times New Roman" w:hAnsi="Times New Roman" w:cs="Times New Roman"/>
        </w:rPr>
        <w:t>represent</w:t>
      </w:r>
      <w:r>
        <w:rPr>
          <w:rFonts w:ascii="Times New Roman" w:hAnsi="Times New Roman" w:cs="Times New Roman"/>
        </w:rPr>
        <w:t xml:space="preserve"> a valid sample of the 800,000 </w:t>
      </w:r>
      <w:r w:rsidR="00A31E74">
        <w:rPr>
          <w:rFonts w:ascii="Times New Roman" w:hAnsi="Times New Roman" w:cs="Times New Roman"/>
        </w:rPr>
        <w:t>tax filer</w:t>
      </w:r>
      <w:r>
        <w:rPr>
          <w:rFonts w:ascii="Times New Roman" w:hAnsi="Times New Roman" w:cs="Times New Roman"/>
        </w:rPr>
        <w:t xml:space="preserve"> universe of the study.</w:t>
      </w:r>
    </w:p>
    <w:p w14:paraId="12BFA50F" w14:textId="1FAA50D8" w:rsidR="001F2B3D" w:rsidRDefault="00195EEE" w:rsidP="002A1F69">
      <w:pPr>
        <w:ind w:left="810"/>
        <w:rPr>
          <w:rFonts w:ascii="Times New Roman" w:hAnsi="Times New Roman" w:cs="Times New Roman"/>
        </w:rPr>
      </w:pPr>
      <w:r>
        <w:rPr>
          <w:rFonts w:ascii="Times New Roman" w:hAnsi="Times New Roman" w:cs="Times New Roman"/>
          <w:i/>
        </w:rPr>
        <w:t>Collection conducted previously</w:t>
      </w:r>
      <w:r w:rsidR="009B2570">
        <w:rPr>
          <w:rFonts w:ascii="Times New Roman" w:hAnsi="Times New Roman" w:cs="Times New Roman"/>
          <w:i/>
        </w:rPr>
        <w:t xml:space="preserve">: </w:t>
      </w:r>
      <w:r w:rsidR="002A1F69">
        <w:rPr>
          <w:rFonts w:ascii="Times New Roman" w:hAnsi="Times New Roman" w:cs="Times New Roman"/>
          <w:i/>
        </w:rPr>
        <w:br/>
      </w:r>
      <w:r w:rsidR="00362DE6">
        <w:rPr>
          <w:rFonts w:ascii="Times New Roman" w:hAnsi="Times New Roman" w:cs="Times New Roman"/>
        </w:rPr>
        <w:t xml:space="preserve">Similar </w:t>
      </w:r>
      <w:r w:rsidR="00A31E74">
        <w:rPr>
          <w:rFonts w:ascii="Times New Roman" w:hAnsi="Times New Roman" w:cs="Times New Roman"/>
        </w:rPr>
        <w:t xml:space="preserve">privately-funded </w:t>
      </w:r>
      <w:r w:rsidR="006A1F88">
        <w:rPr>
          <w:rFonts w:ascii="Times New Roman" w:hAnsi="Times New Roman" w:cs="Times New Roman"/>
        </w:rPr>
        <w:t xml:space="preserve">HFS </w:t>
      </w:r>
      <w:r w:rsidR="00362DE6">
        <w:rPr>
          <w:rFonts w:ascii="Times New Roman" w:hAnsi="Times New Roman" w:cs="Times New Roman"/>
        </w:rPr>
        <w:t>collections h</w:t>
      </w:r>
      <w:r w:rsidR="003E0672">
        <w:rPr>
          <w:rFonts w:ascii="Times New Roman" w:hAnsi="Times New Roman" w:cs="Times New Roman"/>
        </w:rPr>
        <w:t>ave been conducted during the 2013 and 2014 tax filing seasons</w:t>
      </w:r>
      <w:r w:rsidR="00362DE6">
        <w:rPr>
          <w:rFonts w:ascii="Times New Roman" w:hAnsi="Times New Roman" w:cs="Times New Roman"/>
        </w:rPr>
        <w:t>, altho</w:t>
      </w:r>
      <w:r w:rsidR="003E0672">
        <w:rPr>
          <w:rFonts w:ascii="Times New Roman" w:hAnsi="Times New Roman" w:cs="Times New Roman"/>
        </w:rPr>
        <w:t>ugh covering different material</w:t>
      </w:r>
      <w:r w:rsidR="00362DE6">
        <w:rPr>
          <w:rFonts w:ascii="Times New Roman" w:hAnsi="Times New Roman" w:cs="Times New Roman"/>
        </w:rPr>
        <w:t xml:space="preserve"> and not covered by the PRA clearance requirements</w:t>
      </w:r>
      <w:r w:rsidR="003E0672">
        <w:rPr>
          <w:rFonts w:ascii="Times New Roman" w:hAnsi="Times New Roman" w:cs="Times New Roman"/>
        </w:rPr>
        <w:t xml:space="preserve">. </w:t>
      </w:r>
      <w:r w:rsidR="00A31E74">
        <w:rPr>
          <w:rFonts w:ascii="Times New Roman" w:hAnsi="Times New Roman" w:cs="Times New Roman"/>
        </w:rPr>
        <w:t xml:space="preserve"> The federally-funded </w:t>
      </w:r>
      <w:r w:rsidR="003E0672">
        <w:rPr>
          <w:rFonts w:ascii="Times New Roman" w:hAnsi="Times New Roman" w:cs="Times New Roman"/>
        </w:rPr>
        <w:t xml:space="preserve"> </w:t>
      </w:r>
      <w:r w:rsidR="00290C63">
        <w:rPr>
          <w:rFonts w:ascii="Times New Roman" w:hAnsi="Times New Roman" w:cs="Times New Roman"/>
        </w:rPr>
        <w:t>Retirement Savings Module</w:t>
      </w:r>
      <w:r w:rsidR="003E0672">
        <w:rPr>
          <w:rFonts w:ascii="Times New Roman" w:hAnsi="Times New Roman" w:cs="Times New Roman"/>
        </w:rPr>
        <w:t xml:space="preserve"> will be included for the first time in 2015, but the past iterations of the survey provide data that has informed response rate and burden estimates, as well as evidence regarding the representativeness of survey respondents.</w:t>
      </w:r>
    </w:p>
    <w:p w14:paraId="2C3B2E5D" w14:textId="77777777" w:rsidR="005E5D68" w:rsidRDefault="00195EEE" w:rsidP="00A31E74">
      <w:pPr>
        <w:pStyle w:val="ListParagraph"/>
        <w:numPr>
          <w:ilvl w:val="1"/>
          <w:numId w:val="1"/>
        </w:numPr>
        <w:ind w:left="720"/>
        <w:rPr>
          <w:rFonts w:ascii="Times New Roman" w:hAnsi="Times New Roman" w:cs="Times New Roman"/>
          <w:b/>
        </w:rPr>
      </w:pPr>
      <w:r>
        <w:rPr>
          <w:rFonts w:ascii="Times New Roman" w:hAnsi="Times New Roman" w:cs="Times New Roman"/>
          <w:b/>
        </w:rPr>
        <w:t>Describe Procedures for Collection of Information</w:t>
      </w:r>
    </w:p>
    <w:p w14:paraId="2C3B2E5E" w14:textId="556EE92E" w:rsidR="00E87A21" w:rsidRPr="006A1F88" w:rsidRDefault="005E5D68" w:rsidP="002A1F69">
      <w:pPr>
        <w:ind w:left="720"/>
        <w:rPr>
          <w:rFonts w:ascii="Times New Roman" w:hAnsi="Times New Roman" w:cs="Times New Roman"/>
          <w:i/>
        </w:rPr>
      </w:pPr>
      <w:r>
        <w:rPr>
          <w:rFonts w:ascii="Times New Roman" w:hAnsi="Times New Roman" w:cs="Times New Roman"/>
          <w:i/>
        </w:rPr>
        <w:lastRenderedPageBreak/>
        <w:t>Statistical methodology for stratification and sample selection</w:t>
      </w:r>
      <w:r w:rsidR="009B2570">
        <w:rPr>
          <w:rFonts w:ascii="Times New Roman" w:hAnsi="Times New Roman" w:cs="Times New Roman"/>
          <w:i/>
        </w:rPr>
        <w:t xml:space="preserve">: </w:t>
      </w:r>
      <w:r w:rsidR="006A1F88">
        <w:rPr>
          <w:rFonts w:ascii="Times New Roman" w:hAnsi="Times New Roman" w:cs="Times New Roman"/>
          <w:i/>
        </w:rPr>
        <w:br/>
      </w:r>
      <w:r w:rsidR="00E87A21">
        <w:rPr>
          <w:rFonts w:ascii="Times New Roman" w:hAnsi="Times New Roman" w:cs="Times New Roman"/>
        </w:rPr>
        <w:t xml:space="preserve">All tax filers using TTFE and receiving a </w:t>
      </w:r>
      <w:r w:rsidR="006867A6">
        <w:rPr>
          <w:rFonts w:ascii="Times New Roman" w:hAnsi="Times New Roman" w:cs="Times New Roman"/>
        </w:rPr>
        <w:t xml:space="preserve">federal </w:t>
      </w:r>
      <w:r w:rsidR="00E87A21">
        <w:rPr>
          <w:rFonts w:ascii="Times New Roman" w:hAnsi="Times New Roman" w:cs="Times New Roman"/>
        </w:rPr>
        <w:t xml:space="preserve">income tax refund are included in the respondent universe. For this reason, stratified sampling will not be employed. Instead, a random sample will be invited to participate in the survey. Based on estimates discussed above, roughly </w:t>
      </w:r>
      <w:r w:rsidR="00B370DD">
        <w:rPr>
          <w:rFonts w:ascii="Times New Roman" w:hAnsi="Times New Roman" w:cs="Times New Roman"/>
        </w:rPr>
        <w:t>half</w:t>
      </w:r>
      <w:r w:rsidR="00E87A21">
        <w:rPr>
          <w:rFonts w:ascii="Times New Roman" w:hAnsi="Times New Roman" w:cs="Times New Roman"/>
        </w:rPr>
        <w:t xml:space="preserve"> of the respondent universe will be invited to participate, and </w:t>
      </w:r>
      <w:r w:rsidR="00B370DD">
        <w:rPr>
          <w:rFonts w:ascii="Times New Roman" w:hAnsi="Times New Roman" w:cs="Times New Roman"/>
        </w:rPr>
        <w:t xml:space="preserve">2 </w:t>
      </w:r>
      <w:r w:rsidR="00E87A21">
        <w:rPr>
          <w:rFonts w:ascii="Times New Roman" w:hAnsi="Times New Roman" w:cs="Times New Roman"/>
        </w:rPr>
        <w:t>percent of that sample will likely complete the survey when incentives are offered. The first selection (</w:t>
      </w:r>
      <w:r w:rsidR="00B370DD">
        <w:rPr>
          <w:rFonts w:ascii="Times New Roman" w:hAnsi="Times New Roman" w:cs="Times New Roman"/>
        </w:rPr>
        <w:t>5</w:t>
      </w:r>
      <w:r w:rsidR="00E87A21">
        <w:rPr>
          <w:rFonts w:ascii="Times New Roman" w:hAnsi="Times New Roman" w:cs="Times New Roman"/>
        </w:rPr>
        <w:t>0% invited) will be random, while the second selection (</w:t>
      </w:r>
      <w:r w:rsidR="00B370DD">
        <w:rPr>
          <w:rFonts w:ascii="Times New Roman" w:hAnsi="Times New Roman" w:cs="Times New Roman"/>
        </w:rPr>
        <w:t>2</w:t>
      </w:r>
      <w:r w:rsidR="00E87A21">
        <w:rPr>
          <w:rFonts w:ascii="Times New Roman" w:hAnsi="Times New Roman" w:cs="Times New Roman"/>
        </w:rPr>
        <w:t xml:space="preserve">% complete) is self-directed, and thus not assumed to be random. </w:t>
      </w:r>
      <w:r w:rsidR="00B74F33">
        <w:rPr>
          <w:rFonts w:ascii="Times New Roman" w:hAnsi="Times New Roman" w:cs="Times New Roman"/>
        </w:rPr>
        <w:t>However, the representativeness of the sample is an empirical question to be tested. In past iterations, the self-selected sample has been shown to be highly representative of the respondent universe based on observable factors, such as income, refund amount, age, and number of dependents. If the sample is found to suffer from sampling bias, sampling weights can be employed to correct for the problem.</w:t>
      </w:r>
    </w:p>
    <w:p w14:paraId="2C3B2E5F" w14:textId="1AF45F48" w:rsidR="00B74F33" w:rsidRPr="006A1F88" w:rsidRDefault="005E5D68" w:rsidP="002A1F69">
      <w:pPr>
        <w:ind w:left="720"/>
        <w:rPr>
          <w:rFonts w:ascii="Times New Roman" w:hAnsi="Times New Roman" w:cs="Times New Roman"/>
          <w:i/>
        </w:rPr>
      </w:pPr>
      <w:r>
        <w:rPr>
          <w:rFonts w:ascii="Times New Roman" w:hAnsi="Times New Roman" w:cs="Times New Roman"/>
          <w:i/>
        </w:rPr>
        <w:t>Estimation procedure</w:t>
      </w:r>
      <w:r w:rsidR="009B2570">
        <w:rPr>
          <w:rFonts w:ascii="Times New Roman" w:hAnsi="Times New Roman" w:cs="Times New Roman"/>
          <w:i/>
        </w:rPr>
        <w:t xml:space="preserve">: </w:t>
      </w:r>
      <w:r w:rsidR="006A1F88">
        <w:rPr>
          <w:rFonts w:ascii="Times New Roman" w:hAnsi="Times New Roman" w:cs="Times New Roman"/>
          <w:i/>
        </w:rPr>
        <w:br/>
      </w:r>
      <w:r w:rsidR="00B74F33">
        <w:rPr>
          <w:rFonts w:ascii="Times New Roman" w:hAnsi="Times New Roman" w:cs="Times New Roman"/>
        </w:rPr>
        <w:t xml:space="preserve">Estimates are based on historical data from previous versions of the </w:t>
      </w:r>
      <w:r w:rsidR="00A31E74">
        <w:rPr>
          <w:rFonts w:ascii="Times New Roman" w:hAnsi="Times New Roman" w:cs="Times New Roman"/>
        </w:rPr>
        <w:t xml:space="preserve">HFS </w:t>
      </w:r>
      <w:r w:rsidR="00B74F33">
        <w:rPr>
          <w:rFonts w:ascii="Times New Roman" w:hAnsi="Times New Roman" w:cs="Times New Roman"/>
        </w:rPr>
        <w:t xml:space="preserve">survey. </w:t>
      </w:r>
    </w:p>
    <w:p w14:paraId="2C3B2E60" w14:textId="665356A0" w:rsidR="00B74F33" w:rsidRPr="006A1F88" w:rsidRDefault="005E5D68" w:rsidP="002A1F69">
      <w:pPr>
        <w:ind w:left="720"/>
        <w:rPr>
          <w:rFonts w:ascii="Times New Roman" w:hAnsi="Times New Roman" w:cs="Times New Roman"/>
          <w:i/>
        </w:rPr>
      </w:pPr>
      <w:r>
        <w:rPr>
          <w:rFonts w:ascii="Times New Roman" w:hAnsi="Times New Roman" w:cs="Times New Roman"/>
          <w:i/>
        </w:rPr>
        <w:t>Degree of accuracy needed for the purpose described in the justification</w:t>
      </w:r>
      <w:r w:rsidR="009B2570">
        <w:rPr>
          <w:rFonts w:ascii="Times New Roman" w:hAnsi="Times New Roman" w:cs="Times New Roman"/>
          <w:i/>
        </w:rPr>
        <w:t xml:space="preserve">: </w:t>
      </w:r>
      <w:r w:rsidR="006A1F88">
        <w:rPr>
          <w:rFonts w:ascii="Times New Roman" w:hAnsi="Times New Roman" w:cs="Times New Roman"/>
          <w:i/>
        </w:rPr>
        <w:br/>
      </w:r>
      <w:r w:rsidR="00B259E9">
        <w:rPr>
          <w:rFonts w:ascii="Times New Roman" w:hAnsi="Times New Roman" w:cs="Times New Roman"/>
        </w:rPr>
        <w:t xml:space="preserve">The expected sample size </w:t>
      </w:r>
      <w:r w:rsidR="00972E42">
        <w:rPr>
          <w:rFonts w:ascii="Times New Roman" w:hAnsi="Times New Roman" w:cs="Times New Roman"/>
        </w:rPr>
        <w:t>will</w:t>
      </w:r>
      <w:r w:rsidR="00B259E9">
        <w:rPr>
          <w:rFonts w:ascii="Times New Roman" w:hAnsi="Times New Roman" w:cs="Times New Roman"/>
        </w:rPr>
        <w:t xml:space="preserve"> support </w:t>
      </w:r>
      <w:r w:rsidR="00972E42">
        <w:rPr>
          <w:rFonts w:ascii="Times New Roman" w:hAnsi="Times New Roman" w:cs="Times New Roman"/>
        </w:rPr>
        <w:t>exploratory analysis and the production of descriptive statistics to address the research questions provided in Part A.</w:t>
      </w:r>
    </w:p>
    <w:p w14:paraId="2C3B2E61" w14:textId="77777777" w:rsidR="00B74F33" w:rsidRPr="006A1F88" w:rsidRDefault="005E5D68" w:rsidP="002A1F69">
      <w:pPr>
        <w:ind w:left="720"/>
        <w:rPr>
          <w:rFonts w:ascii="Times New Roman" w:hAnsi="Times New Roman" w:cs="Times New Roman"/>
          <w:i/>
        </w:rPr>
      </w:pPr>
      <w:r>
        <w:rPr>
          <w:rFonts w:ascii="Times New Roman" w:hAnsi="Times New Roman" w:cs="Times New Roman"/>
          <w:i/>
        </w:rPr>
        <w:t>Unusual problems requiring specialized sampling procedures</w:t>
      </w:r>
      <w:r w:rsidR="009B2570">
        <w:rPr>
          <w:rFonts w:ascii="Times New Roman" w:hAnsi="Times New Roman" w:cs="Times New Roman"/>
          <w:i/>
        </w:rPr>
        <w:t xml:space="preserve">: </w:t>
      </w:r>
      <w:r w:rsidR="006A1F88">
        <w:rPr>
          <w:rFonts w:ascii="Times New Roman" w:hAnsi="Times New Roman" w:cs="Times New Roman"/>
          <w:i/>
        </w:rPr>
        <w:br/>
      </w:r>
      <w:r w:rsidR="00B74F33">
        <w:rPr>
          <w:rFonts w:ascii="Times New Roman" w:hAnsi="Times New Roman" w:cs="Times New Roman"/>
        </w:rPr>
        <w:t>There are no unusual specialized sampling procedures being employed in this work.</w:t>
      </w:r>
    </w:p>
    <w:p w14:paraId="2C3B2E62" w14:textId="77777777" w:rsidR="0008195C" w:rsidRPr="006A1F88" w:rsidRDefault="005E5D68" w:rsidP="002A1F69">
      <w:pPr>
        <w:ind w:left="720"/>
        <w:rPr>
          <w:rFonts w:ascii="Times New Roman" w:hAnsi="Times New Roman" w:cs="Times New Roman"/>
          <w:i/>
        </w:rPr>
      </w:pPr>
      <w:r>
        <w:rPr>
          <w:rFonts w:ascii="Times New Roman" w:hAnsi="Times New Roman" w:cs="Times New Roman"/>
          <w:i/>
        </w:rPr>
        <w:t>Any use of periodic (less frequent than annual) data collection cycles to reduce burden</w:t>
      </w:r>
      <w:r w:rsidR="009B2570">
        <w:rPr>
          <w:rFonts w:ascii="Times New Roman" w:hAnsi="Times New Roman" w:cs="Times New Roman"/>
          <w:i/>
        </w:rPr>
        <w:t xml:space="preserve">: </w:t>
      </w:r>
      <w:r w:rsidR="006A1F88">
        <w:rPr>
          <w:rFonts w:ascii="Times New Roman" w:hAnsi="Times New Roman" w:cs="Times New Roman"/>
          <w:i/>
        </w:rPr>
        <w:br/>
      </w:r>
      <w:r w:rsidR="0008195C">
        <w:rPr>
          <w:rFonts w:ascii="Times New Roman" w:hAnsi="Times New Roman" w:cs="Times New Roman"/>
        </w:rPr>
        <w:t xml:space="preserve">Data for this module will be collected at one point in time, coinciding with the date of tax-filing. </w:t>
      </w:r>
    </w:p>
    <w:p w14:paraId="2C3B2E63" w14:textId="77777777" w:rsidR="005E5D68" w:rsidRDefault="005E5D68" w:rsidP="005E5D68">
      <w:pPr>
        <w:pStyle w:val="ListParagraph"/>
        <w:rPr>
          <w:rFonts w:ascii="Times New Roman" w:hAnsi="Times New Roman" w:cs="Times New Roman"/>
          <w:b/>
        </w:rPr>
      </w:pPr>
    </w:p>
    <w:p w14:paraId="2C3B2E64" w14:textId="77777777" w:rsidR="00195EEE" w:rsidRPr="005E5D68" w:rsidRDefault="00195EEE" w:rsidP="009B2570">
      <w:pPr>
        <w:pStyle w:val="ListParagraph"/>
        <w:numPr>
          <w:ilvl w:val="1"/>
          <w:numId w:val="1"/>
        </w:numPr>
        <w:ind w:left="720"/>
        <w:rPr>
          <w:rFonts w:ascii="Times New Roman" w:hAnsi="Times New Roman" w:cs="Times New Roman"/>
          <w:b/>
        </w:rPr>
      </w:pPr>
      <w:r w:rsidRPr="005E5D68">
        <w:rPr>
          <w:rFonts w:ascii="Times New Roman" w:hAnsi="Times New Roman" w:cs="Times New Roman"/>
          <w:b/>
        </w:rPr>
        <w:t>Describe Methods to Maximize Response Rates</w:t>
      </w:r>
    </w:p>
    <w:p w14:paraId="2C3B2E65" w14:textId="77777777" w:rsidR="000235DF" w:rsidRDefault="005E5D68" w:rsidP="002A1F69">
      <w:pPr>
        <w:ind w:left="720"/>
        <w:rPr>
          <w:rFonts w:ascii="Times New Roman" w:hAnsi="Times New Roman" w:cs="Times New Roman"/>
        </w:rPr>
      </w:pPr>
      <w:r>
        <w:rPr>
          <w:rFonts w:ascii="Times New Roman" w:hAnsi="Times New Roman" w:cs="Times New Roman"/>
          <w:i/>
        </w:rPr>
        <w:t>Methods to maximize response rates:</w:t>
      </w:r>
      <w:r w:rsidR="00990EFB">
        <w:rPr>
          <w:rFonts w:ascii="Times New Roman" w:hAnsi="Times New Roman" w:cs="Times New Roman"/>
        </w:rPr>
        <w:t xml:space="preserve"> </w:t>
      </w:r>
      <w:r w:rsidR="006A1F88">
        <w:rPr>
          <w:rFonts w:ascii="Times New Roman" w:hAnsi="Times New Roman" w:cs="Times New Roman"/>
        </w:rPr>
        <w:br/>
      </w:r>
      <w:r w:rsidR="000235DF">
        <w:rPr>
          <w:rFonts w:ascii="Times New Roman" w:hAnsi="Times New Roman" w:cs="Times New Roman"/>
        </w:rPr>
        <w:t>The main tool used to maximize response rates is the offer of monetary incentives to participants. As discussed above, this method has been used in the past and has been shown to produce response rates at least ten times higher than in instances where incentives were not offered. Invitations to the survey will be presented in their tax filing experience using TTFE and, thus, will hopefully be seen as coming from a trustworthy source. Clear instructions will be provided to potential participants at the outset of the survey, as well as an estimate of the time needed to complete the survey.</w:t>
      </w:r>
      <w:r w:rsidR="0008195C">
        <w:rPr>
          <w:rFonts w:ascii="Times New Roman" w:hAnsi="Times New Roman" w:cs="Times New Roman"/>
        </w:rPr>
        <w:t xml:space="preserve"> Survey items will also be designed to be simple to understand and as brief as possible.</w:t>
      </w:r>
    </w:p>
    <w:p w14:paraId="2C3B2E66" w14:textId="77777777" w:rsidR="000235DF" w:rsidRPr="006A1F88" w:rsidRDefault="005E5D68" w:rsidP="002A1F69">
      <w:pPr>
        <w:ind w:left="720"/>
        <w:rPr>
          <w:rFonts w:ascii="Times New Roman" w:hAnsi="Times New Roman" w:cs="Times New Roman"/>
          <w:i/>
        </w:rPr>
      </w:pPr>
      <w:r>
        <w:rPr>
          <w:rFonts w:ascii="Times New Roman" w:hAnsi="Times New Roman" w:cs="Times New Roman"/>
          <w:i/>
        </w:rPr>
        <w:t>Accuracy and reliability of information collected</w:t>
      </w:r>
      <w:r w:rsidR="009B2570">
        <w:rPr>
          <w:rFonts w:ascii="Times New Roman" w:hAnsi="Times New Roman" w:cs="Times New Roman"/>
          <w:i/>
        </w:rPr>
        <w:t xml:space="preserve">: </w:t>
      </w:r>
      <w:r w:rsidR="006A1F88">
        <w:rPr>
          <w:rFonts w:ascii="Times New Roman" w:hAnsi="Times New Roman" w:cs="Times New Roman"/>
          <w:i/>
        </w:rPr>
        <w:br/>
      </w:r>
      <w:r w:rsidR="000235DF">
        <w:rPr>
          <w:rFonts w:ascii="Times New Roman" w:hAnsi="Times New Roman" w:cs="Times New Roman"/>
        </w:rPr>
        <w:t xml:space="preserve">The research team expects highly accurate and reliable data to be collected through this research. </w:t>
      </w:r>
      <w:r w:rsidR="0008195C">
        <w:rPr>
          <w:rFonts w:ascii="Times New Roman" w:hAnsi="Times New Roman" w:cs="Times New Roman"/>
        </w:rPr>
        <w:t xml:space="preserve">Data from past surveys has been matched to tax data as a validity check and has proven to be extremely accurate for the variables that can be matched. </w:t>
      </w:r>
    </w:p>
    <w:p w14:paraId="2C3B2E67" w14:textId="77777777" w:rsidR="00CD6578" w:rsidRPr="000235DF" w:rsidRDefault="00CD6578" w:rsidP="002A1F69">
      <w:pPr>
        <w:ind w:left="720"/>
        <w:rPr>
          <w:rFonts w:ascii="Times New Roman" w:hAnsi="Times New Roman" w:cs="Times New Roman"/>
        </w:rPr>
      </w:pPr>
    </w:p>
    <w:p w14:paraId="2C3B2E68" w14:textId="77777777" w:rsidR="0008195C" w:rsidRPr="006A1F88" w:rsidRDefault="005E5D68" w:rsidP="002A1F69">
      <w:pPr>
        <w:ind w:left="720"/>
        <w:rPr>
          <w:rFonts w:ascii="Times New Roman" w:hAnsi="Times New Roman" w:cs="Times New Roman"/>
          <w:i/>
        </w:rPr>
      </w:pPr>
      <w:r>
        <w:rPr>
          <w:rFonts w:ascii="Times New Roman" w:hAnsi="Times New Roman" w:cs="Times New Roman"/>
          <w:i/>
        </w:rPr>
        <w:lastRenderedPageBreak/>
        <w:t>Collections based on sampling</w:t>
      </w:r>
      <w:r w:rsidR="009B2570">
        <w:rPr>
          <w:rFonts w:ascii="Times New Roman" w:hAnsi="Times New Roman" w:cs="Times New Roman"/>
          <w:i/>
        </w:rPr>
        <w:t xml:space="preserve">: </w:t>
      </w:r>
      <w:r w:rsidR="006A1F88">
        <w:rPr>
          <w:rFonts w:ascii="Times New Roman" w:hAnsi="Times New Roman" w:cs="Times New Roman"/>
          <w:i/>
        </w:rPr>
        <w:br/>
      </w:r>
      <w:r w:rsidR="0008195C">
        <w:rPr>
          <w:rFonts w:ascii="Times New Roman" w:hAnsi="Times New Roman" w:cs="Times New Roman"/>
        </w:rPr>
        <w:t>The sampling technique to be employed is described above.</w:t>
      </w:r>
    </w:p>
    <w:p w14:paraId="2C3B2E69" w14:textId="77777777" w:rsidR="005E5D68" w:rsidRPr="005E5D68" w:rsidRDefault="005E5D68" w:rsidP="005E5D68">
      <w:pPr>
        <w:pStyle w:val="ListParagraph"/>
        <w:rPr>
          <w:rFonts w:ascii="Times New Roman" w:hAnsi="Times New Roman" w:cs="Times New Roman"/>
          <w:b/>
        </w:rPr>
      </w:pPr>
    </w:p>
    <w:p w14:paraId="2C3B2E6A" w14:textId="77777777" w:rsidR="005E5D68" w:rsidRPr="005E5D68" w:rsidRDefault="00195EEE" w:rsidP="002A1F69">
      <w:pPr>
        <w:pStyle w:val="ListParagraph"/>
        <w:numPr>
          <w:ilvl w:val="1"/>
          <w:numId w:val="1"/>
        </w:numPr>
        <w:ind w:left="720"/>
        <w:rPr>
          <w:rFonts w:ascii="Times New Roman" w:hAnsi="Times New Roman" w:cs="Times New Roman"/>
          <w:b/>
        </w:rPr>
      </w:pPr>
      <w:r>
        <w:rPr>
          <w:rFonts w:ascii="Times New Roman" w:hAnsi="Times New Roman" w:cs="Times New Roman"/>
          <w:b/>
        </w:rPr>
        <w:t>Describe Any Test of Procedures or Methods</w:t>
      </w:r>
    </w:p>
    <w:p w14:paraId="6D6DB546" w14:textId="77777777" w:rsidR="00B370DD" w:rsidRPr="00B370DD" w:rsidRDefault="0008195C" w:rsidP="00B370DD">
      <w:pPr>
        <w:ind w:left="720"/>
        <w:rPr>
          <w:rFonts w:ascii="Times New Roman" w:hAnsi="Times New Roman" w:cs="Times New Roman"/>
        </w:rPr>
      </w:pPr>
      <w:r w:rsidRPr="00B370DD">
        <w:rPr>
          <w:rFonts w:ascii="Times New Roman" w:hAnsi="Times New Roman" w:cs="Times New Roman"/>
        </w:rPr>
        <w:t xml:space="preserve">The methods employed for this research have been used successfully in past years. </w:t>
      </w:r>
      <w:r w:rsidR="00B370DD" w:rsidRPr="00B370DD">
        <w:rPr>
          <w:rFonts w:ascii="Times New Roman" w:hAnsi="Times New Roman" w:cs="Times New Roman"/>
        </w:rPr>
        <w:t xml:space="preserve">The research team developed the survey instrument, drawing on significant experience administering surveys of the targeted population and reflecting significant input from Treasury regarding the desired information to be produced. Many survey items are straightforward assessments of past or current retirement-related behaviors and are often framed as dichotomous response items (“yes/no questions”). Other items ask respondents to react to hypothetical products or focus on more abstract concepts, such as risk tolerance or confidence in retirement preparedness. </w:t>
      </w:r>
    </w:p>
    <w:p w14:paraId="24D01DF7" w14:textId="77777777" w:rsidR="00B370DD" w:rsidRPr="00B370DD" w:rsidRDefault="00B370DD" w:rsidP="00B370DD">
      <w:pPr>
        <w:ind w:left="720"/>
        <w:rPr>
          <w:rFonts w:ascii="Times New Roman" w:hAnsi="Times New Roman" w:cs="Times New Roman"/>
        </w:rPr>
      </w:pPr>
      <w:r w:rsidRPr="00B370DD">
        <w:rPr>
          <w:rFonts w:ascii="Times New Roman" w:hAnsi="Times New Roman" w:cs="Times New Roman"/>
        </w:rPr>
        <w:t>The guiding framework for instrument development focused on understandability and positive participate experience in addition to producing valid and reliable data. Questions were designed to be clear and unambiguous. Similarly formatted question have been used in previous iterations of the Household Financial Survey and very seldom have respondents reported issues with clarity of the questions or discomfort with the survey design.</w:t>
      </w:r>
    </w:p>
    <w:p w14:paraId="5F1A56FC" w14:textId="77777777" w:rsidR="00B370DD" w:rsidRPr="00B370DD" w:rsidRDefault="00B370DD" w:rsidP="00B370DD">
      <w:pPr>
        <w:ind w:left="720"/>
        <w:rPr>
          <w:rFonts w:ascii="Times New Roman" w:hAnsi="Times New Roman" w:cs="Times New Roman"/>
        </w:rPr>
      </w:pPr>
      <w:r w:rsidRPr="00B370DD">
        <w:rPr>
          <w:rFonts w:ascii="Times New Roman" w:hAnsi="Times New Roman" w:cs="Times New Roman"/>
        </w:rPr>
        <w:t>Two additional techniques were employed to further ensure quality construction of the survey module: consultation with experts in the field and small scale pretesting with participants who would meet the qualifications of participants in the R2S study. First, the research team solicited feedback on the general framework of the survey during an in-person meeting with experts in research and policy surrounding household finances and asset building. Many of these experts also have extensive practical experience in  instrument development, survey administration, and data analysis of households. These experts include:</w:t>
      </w:r>
    </w:p>
    <w:p w14:paraId="1087DB9D"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Clinton Key  - Pew Charitable Trust</w:t>
      </w:r>
    </w:p>
    <w:p w14:paraId="4700D640"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Rourke O’Brien – Harvard University</w:t>
      </w:r>
    </w:p>
    <w:p w14:paraId="06282248"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Amy Brown - The Ford Foundation</w:t>
      </w:r>
    </w:p>
    <w:p w14:paraId="4CB7CD24"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Frank DeGiovanni – The Ford Foundation</w:t>
      </w:r>
    </w:p>
    <w:p w14:paraId="4245C5A1"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Keith Ernst – Federal Deposit Insurance Corporation </w:t>
      </w:r>
    </w:p>
    <w:p w14:paraId="09BB8C61"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 xml:space="preserve">Beadsie Woo – Annie E. Casey Foundation </w:t>
      </w:r>
    </w:p>
    <w:p w14:paraId="7B052560" w14:textId="2BF81145"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Jennifer Tescher – C</w:t>
      </w:r>
      <w:r w:rsidR="00B461E7">
        <w:rPr>
          <w:rFonts w:ascii="Times New Roman" w:hAnsi="Times New Roman" w:cs="Times New Roman"/>
        </w:rPr>
        <w:t>enter for Financial Services Innovation</w:t>
      </w:r>
    </w:p>
    <w:p w14:paraId="0F77C04D"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Ben Keys – University of Chicago</w:t>
      </w:r>
    </w:p>
    <w:p w14:paraId="0018F729" w14:textId="77777777" w:rsidR="00B370DD" w:rsidRPr="00B370DD" w:rsidRDefault="00B370DD" w:rsidP="00B370DD">
      <w:pPr>
        <w:pStyle w:val="ListParagraph"/>
        <w:numPr>
          <w:ilvl w:val="0"/>
          <w:numId w:val="2"/>
        </w:numPr>
        <w:ind w:left="1440"/>
        <w:rPr>
          <w:rFonts w:ascii="Times New Roman" w:hAnsi="Times New Roman" w:cs="Times New Roman"/>
        </w:rPr>
      </w:pPr>
      <w:r w:rsidRPr="00B370DD">
        <w:rPr>
          <w:rFonts w:ascii="Times New Roman" w:hAnsi="Times New Roman" w:cs="Times New Roman"/>
        </w:rPr>
        <w:t>Ray Boshara – Federal Reserve Bank of St. Louis</w:t>
      </w:r>
    </w:p>
    <w:p w14:paraId="58CE8150" w14:textId="77777777" w:rsidR="00B370DD" w:rsidRPr="00B370DD" w:rsidRDefault="00B370DD" w:rsidP="00B370DD">
      <w:pPr>
        <w:ind w:left="720"/>
        <w:rPr>
          <w:rFonts w:ascii="Times New Roman" w:hAnsi="Times New Roman" w:cs="Times New Roman"/>
        </w:rPr>
      </w:pPr>
      <w:r w:rsidRPr="00B370DD">
        <w:rPr>
          <w:rFonts w:ascii="Times New Roman" w:hAnsi="Times New Roman" w:cs="Times New Roman"/>
        </w:rPr>
        <w:t>After incorporating extensive feedback from these experts and Treasury officials, select individuals (Key, O’Brien, Brown, DeGiovanni, and Ernst) were provided drafts of the survey and asked to make additional suggestions to improve accurate measurement, clarity for participants and quality of the design. Recommendations from the experts were incorporated into the draft survey instrument.</w:t>
      </w:r>
    </w:p>
    <w:p w14:paraId="0543B45B" w14:textId="77777777" w:rsidR="00B370DD" w:rsidRPr="00B370DD" w:rsidRDefault="00B370DD" w:rsidP="00B370DD">
      <w:pPr>
        <w:ind w:left="720"/>
        <w:rPr>
          <w:rFonts w:ascii="Times New Roman" w:hAnsi="Times New Roman" w:cs="Times New Roman"/>
        </w:rPr>
      </w:pPr>
      <w:r w:rsidRPr="00B370DD">
        <w:rPr>
          <w:rFonts w:ascii="Times New Roman" w:hAnsi="Times New Roman" w:cs="Times New Roman"/>
        </w:rPr>
        <w:t xml:space="preserve">The survey draft was then programmed into Qualtrics survey software for pretesting. A convenience sample of less than 10 participants was recruited to complete the survey and provide </w:t>
      </w:r>
      <w:r w:rsidRPr="00B370DD">
        <w:rPr>
          <w:rFonts w:ascii="Times New Roman" w:hAnsi="Times New Roman" w:cs="Times New Roman"/>
        </w:rPr>
        <w:lastRenderedPageBreak/>
        <w:t>extensive feedback to the research team. Participants, who met the income criteria for participation in R2S (i.e. household income less than $30,000) were asked to consider:</w:t>
      </w:r>
    </w:p>
    <w:p w14:paraId="116AC374" w14:textId="77777777" w:rsidR="00B370DD" w:rsidRPr="00B370DD" w:rsidRDefault="00B370DD" w:rsidP="00B370DD">
      <w:pPr>
        <w:pStyle w:val="ListParagraph"/>
        <w:numPr>
          <w:ilvl w:val="0"/>
          <w:numId w:val="3"/>
        </w:numPr>
        <w:ind w:left="1440"/>
        <w:rPr>
          <w:rFonts w:ascii="Times New Roman" w:hAnsi="Times New Roman" w:cs="Times New Roman"/>
        </w:rPr>
      </w:pPr>
      <w:r w:rsidRPr="00B370DD">
        <w:rPr>
          <w:rFonts w:ascii="Times New Roman" w:hAnsi="Times New Roman" w:cs="Times New Roman"/>
        </w:rPr>
        <w:t>Question clarity and language comprehension</w:t>
      </w:r>
    </w:p>
    <w:p w14:paraId="47D8FC0D" w14:textId="77777777" w:rsidR="00B370DD" w:rsidRPr="00B370DD" w:rsidRDefault="00B370DD" w:rsidP="00B370DD">
      <w:pPr>
        <w:pStyle w:val="ListParagraph"/>
        <w:numPr>
          <w:ilvl w:val="0"/>
          <w:numId w:val="3"/>
        </w:numPr>
        <w:spacing w:after="0" w:line="240" w:lineRule="auto"/>
        <w:ind w:left="1440"/>
        <w:rPr>
          <w:rFonts w:ascii="Times New Roman" w:eastAsia="Times New Roman" w:hAnsi="Times New Roman" w:cs="Times New Roman"/>
        </w:rPr>
      </w:pPr>
      <w:r w:rsidRPr="00B370DD">
        <w:rPr>
          <w:rFonts w:ascii="Times New Roman" w:eastAsia="Times New Roman" w:hAnsi="Times New Roman" w:cs="Times New Roman"/>
          <w:color w:val="252525"/>
          <w:shd w:val="clear" w:color="auto" w:fill="FFFFFF"/>
        </w:rPr>
        <w:t>Intent of each question (i.e. what the participant perceives the question is asking)</w:t>
      </w:r>
    </w:p>
    <w:p w14:paraId="6A4A606D" w14:textId="77777777" w:rsidR="00B370DD" w:rsidRPr="00B370DD" w:rsidRDefault="00B370DD" w:rsidP="00B370DD">
      <w:pPr>
        <w:pStyle w:val="ListParagraph"/>
        <w:numPr>
          <w:ilvl w:val="0"/>
          <w:numId w:val="3"/>
        </w:numPr>
        <w:ind w:left="1440"/>
        <w:rPr>
          <w:rFonts w:ascii="Times New Roman" w:hAnsi="Times New Roman" w:cs="Times New Roman"/>
        </w:rPr>
      </w:pPr>
      <w:r w:rsidRPr="00B370DD">
        <w:rPr>
          <w:rFonts w:ascii="Times New Roman" w:hAnsi="Times New Roman" w:cs="Times New Roman"/>
        </w:rPr>
        <w:t>Response options (unnecessary options; missing options)</w:t>
      </w:r>
    </w:p>
    <w:p w14:paraId="42623068" w14:textId="77777777" w:rsidR="00B370DD" w:rsidRPr="00B370DD" w:rsidRDefault="00B370DD" w:rsidP="00B370DD">
      <w:pPr>
        <w:pStyle w:val="ListParagraph"/>
        <w:numPr>
          <w:ilvl w:val="0"/>
          <w:numId w:val="3"/>
        </w:numPr>
        <w:ind w:left="1440"/>
        <w:rPr>
          <w:rFonts w:ascii="Times New Roman" w:hAnsi="Times New Roman" w:cs="Times New Roman"/>
        </w:rPr>
      </w:pPr>
      <w:r w:rsidRPr="00B370DD">
        <w:rPr>
          <w:rFonts w:ascii="Times New Roman" w:hAnsi="Times New Roman" w:cs="Times New Roman"/>
        </w:rPr>
        <w:t>Order of questions and overall user experience</w:t>
      </w:r>
    </w:p>
    <w:p w14:paraId="4BE7D475" w14:textId="77777777" w:rsidR="00B370DD" w:rsidRPr="00B370DD" w:rsidRDefault="00B370DD" w:rsidP="00B370DD">
      <w:pPr>
        <w:pStyle w:val="ListParagraph"/>
        <w:numPr>
          <w:ilvl w:val="0"/>
          <w:numId w:val="3"/>
        </w:numPr>
        <w:ind w:left="1440"/>
        <w:rPr>
          <w:rFonts w:ascii="Times New Roman" w:hAnsi="Times New Roman" w:cs="Times New Roman"/>
        </w:rPr>
      </w:pPr>
      <w:r w:rsidRPr="00B370DD">
        <w:rPr>
          <w:rFonts w:ascii="Times New Roman" w:hAnsi="Times New Roman" w:cs="Times New Roman"/>
        </w:rPr>
        <w:t>Whether any of the questions made them uncomfortable</w:t>
      </w:r>
    </w:p>
    <w:p w14:paraId="17CE5BB5" w14:textId="77777777" w:rsidR="00B370DD" w:rsidRPr="00B370DD" w:rsidRDefault="00B370DD" w:rsidP="00B370DD">
      <w:pPr>
        <w:ind w:left="720"/>
        <w:rPr>
          <w:rFonts w:ascii="Times New Roman" w:hAnsi="Times New Roman" w:cs="Times New Roman"/>
        </w:rPr>
      </w:pPr>
      <w:r w:rsidRPr="00B370DD">
        <w:rPr>
          <w:rFonts w:ascii="Times New Roman" w:hAnsi="Times New Roman" w:cs="Times New Roman"/>
        </w:rPr>
        <w:t xml:space="preserve">To stimulate the experience as closely as possible, the pretest instrument was emailed to participants and they were asked to complete it online in a location of their choosing. The research team collected information from pre-testers both in writing and verbally by following up with pretest participants in-person and via phone to collect feedback. In addition, the Qualitrics software allowed the research team to examine the length of time spent on each question in order to further evaluate the usability of the instrument. Feedback from pretest participants was used to improve the survey instrument. </w:t>
      </w:r>
    </w:p>
    <w:p w14:paraId="2C3B2E6B" w14:textId="262F1EB4" w:rsidR="005E5D68" w:rsidRPr="0008195C" w:rsidRDefault="00B370DD" w:rsidP="00B370DD">
      <w:pPr>
        <w:ind w:left="720"/>
        <w:rPr>
          <w:rFonts w:ascii="Times New Roman" w:hAnsi="Times New Roman" w:cs="Times New Roman"/>
        </w:rPr>
      </w:pPr>
      <w:r w:rsidRPr="002A71EA">
        <w:rPr>
          <w:rFonts w:ascii="Times New Roman" w:hAnsi="Times New Roman" w:cs="Times New Roman"/>
          <w:sz w:val="24"/>
          <w:szCs w:val="24"/>
        </w:rPr>
        <w:t xml:space="preserve">Based on the extensive survey development undertaken, the pretesting conducted, and the relatively straightforward nature of the questions, the research team is confident that the instrument is solid and will </w:t>
      </w:r>
      <w:r w:rsidR="00972E42">
        <w:rPr>
          <w:rFonts w:ascii="Times New Roman" w:hAnsi="Times New Roman" w:cs="Times New Roman"/>
          <w:sz w:val="24"/>
          <w:szCs w:val="24"/>
        </w:rPr>
        <w:t>produce</w:t>
      </w:r>
      <w:r w:rsidRPr="002A71EA">
        <w:rPr>
          <w:rFonts w:ascii="Times New Roman" w:hAnsi="Times New Roman" w:cs="Times New Roman"/>
          <w:sz w:val="24"/>
          <w:szCs w:val="24"/>
        </w:rPr>
        <w:t xml:space="preserve"> valid and reliable data. </w:t>
      </w:r>
    </w:p>
    <w:p w14:paraId="2C3B2E6C" w14:textId="77777777" w:rsidR="005E5D68" w:rsidRPr="005E5D68" w:rsidRDefault="005E5D68" w:rsidP="005E5D68">
      <w:pPr>
        <w:rPr>
          <w:rFonts w:ascii="Times New Roman" w:hAnsi="Times New Roman" w:cs="Times New Roman"/>
          <w:b/>
        </w:rPr>
      </w:pPr>
    </w:p>
    <w:p w14:paraId="2C3B2E6D" w14:textId="77777777" w:rsidR="00195EEE" w:rsidRDefault="00195EEE" w:rsidP="002A1F69">
      <w:pPr>
        <w:pStyle w:val="ListParagraph"/>
        <w:numPr>
          <w:ilvl w:val="1"/>
          <w:numId w:val="1"/>
        </w:numPr>
        <w:ind w:left="720"/>
        <w:rPr>
          <w:rFonts w:ascii="Times New Roman" w:hAnsi="Times New Roman" w:cs="Times New Roman"/>
          <w:b/>
        </w:rPr>
      </w:pPr>
      <w:r>
        <w:rPr>
          <w:rFonts w:ascii="Times New Roman" w:hAnsi="Times New Roman" w:cs="Times New Roman"/>
          <w:b/>
        </w:rPr>
        <w:t>Provide the name and Number of Individuals Consulted on Statistical Aspects of the Design and Name of Agency Unit</w:t>
      </w:r>
    </w:p>
    <w:p w14:paraId="2C3B2E6E" w14:textId="77777777" w:rsidR="0008195C" w:rsidRPr="00CD6578" w:rsidRDefault="0008195C" w:rsidP="0008195C">
      <w:pPr>
        <w:ind w:left="720"/>
        <w:rPr>
          <w:rFonts w:ascii="Times New Roman" w:hAnsi="Times New Roman" w:cs="Times New Roman"/>
        </w:rPr>
      </w:pPr>
      <w:r w:rsidRPr="00CD6578">
        <w:rPr>
          <w:rFonts w:ascii="Times New Roman" w:hAnsi="Times New Roman" w:cs="Times New Roman"/>
        </w:rPr>
        <w:t xml:space="preserve">Several individuals have </w:t>
      </w:r>
      <w:r w:rsidR="00586AB2" w:rsidRPr="00CD6578">
        <w:rPr>
          <w:rFonts w:ascii="Times New Roman" w:hAnsi="Times New Roman" w:cs="Times New Roman"/>
        </w:rPr>
        <w:t>been consulted on the statistical aspects of the research design.</w:t>
      </w:r>
    </w:p>
    <w:p w14:paraId="2C3B2E6F"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Michal Grinstein-Weiss, PhD</w:t>
      </w:r>
    </w:p>
    <w:p w14:paraId="2C3B2E70"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Position: Associate Professor, Washington University in St. Louis</w:t>
      </w:r>
    </w:p>
    <w:p w14:paraId="2C3B2E71"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Phone: 314-935-8201</w:t>
      </w:r>
    </w:p>
    <w:p w14:paraId="2C3B2E72" w14:textId="77777777" w:rsidR="00586AB2" w:rsidRPr="00CD6578" w:rsidRDefault="00586AB2" w:rsidP="00586AB2">
      <w:pPr>
        <w:pStyle w:val="NoSpacing"/>
        <w:ind w:left="720"/>
        <w:rPr>
          <w:rFonts w:ascii="Times New Roman" w:hAnsi="Times New Roman" w:cs="Times New Roman"/>
        </w:rPr>
      </w:pPr>
    </w:p>
    <w:p w14:paraId="2C3B2E73"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Shenyang Guo, PhD</w:t>
      </w:r>
    </w:p>
    <w:p w14:paraId="2C3B2E74"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Position: Professor, Washington University in St. Louis</w:t>
      </w:r>
    </w:p>
    <w:p w14:paraId="2C3B2E75"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Phone: 314-935-3092</w:t>
      </w:r>
    </w:p>
    <w:p w14:paraId="2C3B2E76" w14:textId="77777777" w:rsidR="00586AB2" w:rsidRPr="00CD6578" w:rsidRDefault="00586AB2" w:rsidP="00586AB2">
      <w:pPr>
        <w:pStyle w:val="NoSpacing"/>
        <w:ind w:left="720"/>
        <w:rPr>
          <w:rFonts w:ascii="Times New Roman" w:hAnsi="Times New Roman" w:cs="Times New Roman"/>
        </w:rPr>
      </w:pPr>
    </w:p>
    <w:p w14:paraId="2C3B2E77"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Blair Russell, PhD</w:t>
      </w:r>
    </w:p>
    <w:p w14:paraId="2C3B2E78"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Position: Senior Statistical Data Analyst, Washington University in St. Louis</w:t>
      </w:r>
    </w:p>
    <w:p w14:paraId="2C3B2E79" w14:textId="77777777" w:rsidR="00586AB2" w:rsidRPr="00CD6578" w:rsidRDefault="00586AB2" w:rsidP="00586AB2">
      <w:pPr>
        <w:pStyle w:val="NoSpacing"/>
        <w:ind w:left="720"/>
        <w:rPr>
          <w:rFonts w:ascii="Times New Roman" w:hAnsi="Times New Roman" w:cs="Times New Roman"/>
        </w:rPr>
      </w:pPr>
      <w:r w:rsidRPr="00CD6578">
        <w:rPr>
          <w:rFonts w:ascii="Times New Roman" w:hAnsi="Times New Roman" w:cs="Times New Roman"/>
        </w:rPr>
        <w:t>Phone: 314-935-3710</w:t>
      </w:r>
    </w:p>
    <w:sectPr w:rsidR="00586AB2" w:rsidRPr="00CD65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373B" w14:textId="77777777" w:rsidR="00664A0B" w:rsidRDefault="00664A0B" w:rsidP="002A1F69">
      <w:pPr>
        <w:spacing w:after="0" w:line="240" w:lineRule="auto"/>
      </w:pPr>
      <w:r>
        <w:separator/>
      </w:r>
    </w:p>
  </w:endnote>
  <w:endnote w:type="continuationSeparator" w:id="0">
    <w:p w14:paraId="660BAA0C" w14:textId="77777777" w:rsidR="00664A0B" w:rsidRDefault="00664A0B" w:rsidP="002A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876077"/>
      <w:docPartObj>
        <w:docPartGallery w:val="Page Numbers (Bottom of Page)"/>
        <w:docPartUnique/>
      </w:docPartObj>
    </w:sdtPr>
    <w:sdtEndPr>
      <w:rPr>
        <w:noProof/>
      </w:rPr>
    </w:sdtEndPr>
    <w:sdtContent>
      <w:p w14:paraId="2C3B2E7E" w14:textId="77777777" w:rsidR="00B370DD" w:rsidRDefault="00B370DD">
        <w:pPr>
          <w:pStyle w:val="Footer"/>
          <w:jc w:val="right"/>
        </w:pPr>
        <w:r>
          <w:fldChar w:fldCharType="begin"/>
        </w:r>
        <w:r>
          <w:instrText xml:space="preserve"> PAGE   \* MERGEFORMAT </w:instrText>
        </w:r>
        <w:r>
          <w:fldChar w:fldCharType="separate"/>
        </w:r>
        <w:r w:rsidR="00080ECB">
          <w:rPr>
            <w:noProof/>
          </w:rPr>
          <w:t>1</w:t>
        </w:r>
        <w:r>
          <w:rPr>
            <w:noProof/>
          </w:rPr>
          <w:fldChar w:fldCharType="end"/>
        </w:r>
      </w:p>
    </w:sdtContent>
  </w:sdt>
  <w:p w14:paraId="2C3B2E7F" w14:textId="77777777" w:rsidR="00B370DD" w:rsidRDefault="00B37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7FF21" w14:textId="77777777" w:rsidR="00664A0B" w:rsidRDefault="00664A0B" w:rsidP="002A1F69">
      <w:pPr>
        <w:spacing w:after="0" w:line="240" w:lineRule="auto"/>
      </w:pPr>
      <w:r>
        <w:separator/>
      </w:r>
    </w:p>
  </w:footnote>
  <w:footnote w:type="continuationSeparator" w:id="0">
    <w:p w14:paraId="716002EA" w14:textId="77777777" w:rsidR="00664A0B" w:rsidRDefault="00664A0B" w:rsidP="002A1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4167F"/>
    <w:multiLevelType w:val="hybridMultilevel"/>
    <w:tmpl w:val="15BC4F92"/>
    <w:lvl w:ilvl="0" w:tplc="75FA5548">
      <w:start w:val="2"/>
      <w:numFmt w:val="upperLetter"/>
      <w:lvlText w:val="%1."/>
      <w:lvlJc w:val="left"/>
      <w:pPr>
        <w:ind w:left="360" w:hanging="360"/>
      </w:pPr>
      <w:rPr>
        <w:rFonts w:hint="default"/>
      </w:rPr>
    </w:lvl>
    <w:lvl w:ilvl="1" w:tplc="3968B85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E254D4C"/>
    <w:multiLevelType w:val="hybridMultilevel"/>
    <w:tmpl w:val="5C90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E4163"/>
    <w:multiLevelType w:val="hybridMultilevel"/>
    <w:tmpl w:val="826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sner, Michael">
    <w15:presenceInfo w15:providerId="AD" w15:userId="S-1-5-21-1454471165-117609710-725345543-418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CD"/>
    <w:rsid w:val="000030CD"/>
    <w:rsid w:val="000144CB"/>
    <w:rsid w:val="000235DF"/>
    <w:rsid w:val="000749DF"/>
    <w:rsid w:val="00080ECB"/>
    <w:rsid w:val="0008195C"/>
    <w:rsid w:val="000D22CF"/>
    <w:rsid w:val="000D5B7A"/>
    <w:rsid w:val="001771B1"/>
    <w:rsid w:val="00193F96"/>
    <w:rsid w:val="00195EEE"/>
    <w:rsid w:val="001A693F"/>
    <w:rsid w:val="001F2B3D"/>
    <w:rsid w:val="001F7DFA"/>
    <w:rsid w:val="002179F7"/>
    <w:rsid w:val="00227AE1"/>
    <w:rsid w:val="00290C63"/>
    <w:rsid w:val="002A1F69"/>
    <w:rsid w:val="00333C12"/>
    <w:rsid w:val="00346BAA"/>
    <w:rsid w:val="00362DE6"/>
    <w:rsid w:val="00365207"/>
    <w:rsid w:val="003E0672"/>
    <w:rsid w:val="00456F0E"/>
    <w:rsid w:val="00471B3B"/>
    <w:rsid w:val="0048304A"/>
    <w:rsid w:val="005602F9"/>
    <w:rsid w:val="00583E2D"/>
    <w:rsid w:val="00586AB2"/>
    <w:rsid w:val="00595DC1"/>
    <w:rsid w:val="005E06CB"/>
    <w:rsid w:val="005E5D68"/>
    <w:rsid w:val="005F10D1"/>
    <w:rsid w:val="00664A0B"/>
    <w:rsid w:val="00683E6F"/>
    <w:rsid w:val="006867A6"/>
    <w:rsid w:val="00696998"/>
    <w:rsid w:val="006A1F88"/>
    <w:rsid w:val="00855C42"/>
    <w:rsid w:val="00895715"/>
    <w:rsid w:val="008B1453"/>
    <w:rsid w:val="008F57D5"/>
    <w:rsid w:val="00903B4B"/>
    <w:rsid w:val="00972E42"/>
    <w:rsid w:val="00990EFB"/>
    <w:rsid w:val="00995A3C"/>
    <w:rsid w:val="009B2570"/>
    <w:rsid w:val="00A072E2"/>
    <w:rsid w:val="00A31E74"/>
    <w:rsid w:val="00AB02B4"/>
    <w:rsid w:val="00B259E9"/>
    <w:rsid w:val="00B370DD"/>
    <w:rsid w:val="00B461E7"/>
    <w:rsid w:val="00B74F33"/>
    <w:rsid w:val="00B94658"/>
    <w:rsid w:val="00C83504"/>
    <w:rsid w:val="00CA74B4"/>
    <w:rsid w:val="00CB39AF"/>
    <w:rsid w:val="00CD139A"/>
    <w:rsid w:val="00CD6578"/>
    <w:rsid w:val="00CF5DE8"/>
    <w:rsid w:val="00CF744F"/>
    <w:rsid w:val="00D162CD"/>
    <w:rsid w:val="00D25C6C"/>
    <w:rsid w:val="00D80992"/>
    <w:rsid w:val="00D94EA2"/>
    <w:rsid w:val="00DD402D"/>
    <w:rsid w:val="00DD6A21"/>
    <w:rsid w:val="00E35CCB"/>
    <w:rsid w:val="00E87A21"/>
    <w:rsid w:val="00EA1F34"/>
    <w:rsid w:val="00FD2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B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0CD"/>
    <w:pPr>
      <w:spacing w:after="0" w:line="240" w:lineRule="auto"/>
    </w:pPr>
  </w:style>
  <w:style w:type="paragraph" w:styleId="ListParagraph">
    <w:name w:val="List Paragraph"/>
    <w:basedOn w:val="Normal"/>
    <w:uiPriority w:val="34"/>
    <w:qFormat/>
    <w:rsid w:val="000030CD"/>
    <w:pPr>
      <w:ind w:left="720"/>
      <w:contextualSpacing/>
    </w:pPr>
  </w:style>
  <w:style w:type="paragraph" w:styleId="BalloonText">
    <w:name w:val="Balloon Text"/>
    <w:basedOn w:val="Normal"/>
    <w:link w:val="BalloonTextChar"/>
    <w:uiPriority w:val="99"/>
    <w:semiHidden/>
    <w:unhideWhenUsed/>
    <w:rsid w:val="006A1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88"/>
    <w:rPr>
      <w:rFonts w:ascii="Tahoma" w:hAnsi="Tahoma" w:cs="Tahoma"/>
      <w:sz w:val="16"/>
      <w:szCs w:val="16"/>
    </w:rPr>
  </w:style>
  <w:style w:type="paragraph" w:styleId="Header">
    <w:name w:val="header"/>
    <w:basedOn w:val="Normal"/>
    <w:link w:val="HeaderChar"/>
    <w:uiPriority w:val="99"/>
    <w:unhideWhenUsed/>
    <w:rsid w:val="002A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F69"/>
  </w:style>
  <w:style w:type="paragraph" w:styleId="Footer">
    <w:name w:val="footer"/>
    <w:basedOn w:val="Normal"/>
    <w:link w:val="FooterChar"/>
    <w:uiPriority w:val="99"/>
    <w:unhideWhenUsed/>
    <w:rsid w:val="002A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F69"/>
  </w:style>
  <w:style w:type="character" w:styleId="CommentReference">
    <w:name w:val="annotation reference"/>
    <w:basedOn w:val="DefaultParagraphFont"/>
    <w:uiPriority w:val="99"/>
    <w:semiHidden/>
    <w:unhideWhenUsed/>
    <w:rsid w:val="001F2B3D"/>
    <w:rPr>
      <w:sz w:val="16"/>
      <w:szCs w:val="16"/>
    </w:rPr>
  </w:style>
  <w:style w:type="paragraph" w:styleId="CommentText">
    <w:name w:val="annotation text"/>
    <w:basedOn w:val="Normal"/>
    <w:link w:val="CommentTextChar"/>
    <w:uiPriority w:val="99"/>
    <w:semiHidden/>
    <w:unhideWhenUsed/>
    <w:rsid w:val="001F2B3D"/>
    <w:pPr>
      <w:spacing w:line="240" w:lineRule="auto"/>
    </w:pPr>
    <w:rPr>
      <w:sz w:val="20"/>
      <w:szCs w:val="20"/>
    </w:rPr>
  </w:style>
  <w:style w:type="character" w:customStyle="1" w:styleId="CommentTextChar">
    <w:name w:val="Comment Text Char"/>
    <w:basedOn w:val="DefaultParagraphFont"/>
    <w:link w:val="CommentText"/>
    <w:uiPriority w:val="99"/>
    <w:semiHidden/>
    <w:rsid w:val="001F2B3D"/>
    <w:rPr>
      <w:sz w:val="20"/>
      <w:szCs w:val="20"/>
    </w:rPr>
  </w:style>
  <w:style w:type="paragraph" w:styleId="CommentSubject">
    <w:name w:val="annotation subject"/>
    <w:basedOn w:val="CommentText"/>
    <w:next w:val="CommentText"/>
    <w:link w:val="CommentSubjectChar"/>
    <w:uiPriority w:val="99"/>
    <w:semiHidden/>
    <w:unhideWhenUsed/>
    <w:rsid w:val="001F2B3D"/>
    <w:rPr>
      <w:b/>
      <w:bCs/>
    </w:rPr>
  </w:style>
  <w:style w:type="character" w:customStyle="1" w:styleId="CommentSubjectChar">
    <w:name w:val="Comment Subject Char"/>
    <w:basedOn w:val="CommentTextChar"/>
    <w:link w:val="CommentSubject"/>
    <w:uiPriority w:val="99"/>
    <w:semiHidden/>
    <w:rsid w:val="001F2B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0CD"/>
    <w:pPr>
      <w:spacing w:after="0" w:line="240" w:lineRule="auto"/>
    </w:pPr>
  </w:style>
  <w:style w:type="paragraph" w:styleId="ListParagraph">
    <w:name w:val="List Paragraph"/>
    <w:basedOn w:val="Normal"/>
    <w:uiPriority w:val="34"/>
    <w:qFormat/>
    <w:rsid w:val="000030CD"/>
    <w:pPr>
      <w:ind w:left="720"/>
      <w:contextualSpacing/>
    </w:pPr>
  </w:style>
  <w:style w:type="paragraph" w:styleId="BalloonText">
    <w:name w:val="Balloon Text"/>
    <w:basedOn w:val="Normal"/>
    <w:link w:val="BalloonTextChar"/>
    <w:uiPriority w:val="99"/>
    <w:semiHidden/>
    <w:unhideWhenUsed/>
    <w:rsid w:val="006A1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88"/>
    <w:rPr>
      <w:rFonts w:ascii="Tahoma" w:hAnsi="Tahoma" w:cs="Tahoma"/>
      <w:sz w:val="16"/>
      <w:szCs w:val="16"/>
    </w:rPr>
  </w:style>
  <w:style w:type="paragraph" w:styleId="Header">
    <w:name w:val="header"/>
    <w:basedOn w:val="Normal"/>
    <w:link w:val="HeaderChar"/>
    <w:uiPriority w:val="99"/>
    <w:unhideWhenUsed/>
    <w:rsid w:val="002A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F69"/>
  </w:style>
  <w:style w:type="paragraph" w:styleId="Footer">
    <w:name w:val="footer"/>
    <w:basedOn w:val="Normal"/>
    <w:link w:val="FooterChar"/>
    <w:uiPriority w:val="99"/>
    <w:unhideWhenUsed/>
    <w:rsid w:val="002A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F69"/>
  </w:style>
  <w:style w:type="character" w:styleId="CommentReference">
    <w:name w:val="annotation reference"/>
    <w:basedOn w:val="DefaultParagraphFont"/>
    <w:uiPriority w:val="99"/>
    <w:semiHidden/>
    <w:unhideWhenUsed/>
    <w:rsid w:val="001F2B3D"/>
    <w:rPr>
      <w:sz w:val="16"/>
      <w:szCs w:val="16"/>
    </w:rPr>
  </w:style>
  <w:style w:type="paragraph" w:styleId="CommentText">
    <w:name w:val="annotation text"/>
    <w:basedOn w:val="Normal"/>
    <w:link w:val="CommentTextChar"/>
    <w:uiPriority w:val="99"/>
    <w:semiHidden/>
    <w:unhideWhenUsed/>
    <w:rsid w:val="001F2B3D"/>
    <w:pPr>
      <w:spacing w:line="240" w:lineRule="auto"/>
    </w:pPr>
    <w:rPr>
      <w:sz w:val="20"/>
      <w:szCs w:val="20"/>
    </w:rPr>
  </w:style>
  <w:style w:type="character" w:customStyle="1" w:styleId="CommentTextChar">
    <w:name w:val="Comment Text Char"/>
    <w:basedOn w:val="DefaultParagraphFont"/>
    <w:link w:val="CommentText"/>
    <w:uiPriority w:val="99"/>
    <w:semiHidden/>
    <w:rsid w:val="001F2B3D"/>
    <w:rPr>
      <w:sz w:val="20"/>
      <w:szCs w:val="20"/>
    </w:rPr>
  </w:style>
  <w:style w:type="paragraph" w:styleId="CommentSubject">
    <w:name w:val="annotation subject"/>
    <w:basedOn w:val="CommentText"/>
    <w:next w:val="CommentText"/>
    <w:link w:val="CommentSubjectChar"/>
    <w:uiPriority w:val="99"/>
    <w:semiHidden/>
    <w:unhideWhenUsed/>
    <w:rsid w:val="001F2B3D"/>
    <w:rPr>
      <w:b/>
      <w:bCs/>
    </w:rPr>
  </w:style>
  <w:style w:type="character" w:customStyle="1" w:styleId="CommentSubjectChar">
    <w:name w:val="Comment Subject Char"/>
    <w:basedOn w:val="CommentTextChar"/>
    <w:link w:val="CommentSubject"/>
    <w:uiPriority w:val="99"/>
    <w:semiHidden/>
    <w:rsid w:val="001F2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F6282BAA42D46A2A8BFCD954C3C8C" ma:contentTypeVersion="0" ma:contentTypeDescription="Create a new document." ma:contentTypeScope="" ma:versionID="45b9d86b67cf3bb14b2a5a6ceb08102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DB455-A4FC-4425-8207-C4CF9D8EB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DD34EA-A6E3-4473-80B1-50A0816B33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C9CD2-27E1-41D1-87E2-251A15E07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Brown School</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Russell</dc:creator>
  <cp:lastModifiedBy>Gatz, Jim</cp:lastModifiedBy>
  <cp:revision>2</cp:revision>
  <cp:lastPrinted>2014-10-30T19:29:00Z</cp:lastPrinted>
  <dcterms:created xsi:type="dcterms:W3CDTF">2015-02-25T17:05:00Z</dcterms:created>
  <dcterms:modified xsi:type="dcterms:W3CDTF">2015-02-25T17:05:00Z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0x010100DF3F6282BAA42D46A2A8BFCD954C3C8C</vt:lpwstr>
  </property>
</Properties>
</file>