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93" w:rsidRDefault="00945093">
      <w:bookmarkStart w:id="0" w:name="_GoBack"/>
      <w:bookmarkEnd w:id="0"/>
    </w:p>
    <w:p w:rsidR="00E72FC3" w:rsidRDefault="00E72FC3" w:rsidP="00E72FC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3309B2">
        <w:rPr>
          <w:sz w:val="28"/>
        </w:rPr>
        <w:t>(OMB Control Number: 1601-0014)</w:t>
      </w:r>
    </w:p>
    <w:p w:rsidR="00E72FC3" w:rsidRPr="009239AA" w:rsidRDefault="00E72FC3" w:rsidP="00E72FC3">
      <w:pPr>
        <w:rPr>
          <w:b/>
        </w:rPr>
      </w:pPr>
      <w:r>
        <w:rPr>
          <w:b/>
          <w:noProof/>
        </w:rPr>
        <mc:AlternateContent>
          <mc:Choice Requires="wps">
            <w:drawing>
              <wp:anchor distT="0" distB="0" distL="114300" distR="114300" simplePos="0" relativeHeight="251659264" behindDoc="0" locked="0" layoutInCell="0" allowOverlap="1" wp14:anchorId="4BA92F3D" wp14:editId="348604B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DHS HQ Citizenship and Imm</w:t>
      </w:r>
      <w:r w:rsidR="003309B2">
        <w:t>igration Ombudsman (CISOMB) 2015</w:t>
      </w:r>
      <w:r>
        <w:t xml:space="preserve"> Annual Conference </w:t>
      </w:r>
      <w:r w:rsidR="003309B2">
        <w:t>Feedback</w:t>
      </w:r>
      <w:r>
        <w:t xml:space="preserve"> Form.</w:t>
      </w:r>
    </w:p>
    <w:p w:rsidR="00E72FC3" w:rsidRDefault="00E72FC3" w:rsidP="00E72FC3"/>
    <w:p w:rsidR="00E72FC3" w:rsidRPr="008F7F04" w:rsidRDefault="00E72FC3" w:rsidP="00E72FC3">
      <w:pPr>
        <w:autoSpaceDE w:val="0"/>
        <w:autoSpaceDN w:val="0"/>
        <w:adjustRightInd w:val="0"/>
      </w:pPr>
      <w:r>
        <w:rPr>
          <w:b/>
        </w:rPr>
        <w:t>PURPOSE</w:t>
      </w:r>
      <w:r w:rsidRPr="009239AA">
        <w:rPr>
          <w:b/>
        </w:rPr>
        <w:t xml:space="preserve">:  </w:t>
      </w:r>
      <w:r>
        <w:t xml:space="preserve">To receive customer feedback on the awareness, understanding, attitudes, preferences, and experiences of </w:t>
      </w:r>
      <w:r w:rsidRPr="008F7F04">
        <w:t>customers and stakeholders attending the U.S. Department of Homeland Security Office of the Citizenship an</w:t>
      </w:r>
      <w:r w:rsidR="003309B2">
        <w:t>d Immigration Ombudsman’s fifth</w:t>
      </w:r>
      <w:r w:rsidRPr="008F7F04">
        <w:t xml:space="preserve"> annual conference.  Feedback will be used to improve existing and future services, presentation products or communication materials related to the annual conference. Participation by respondents is voluntary. The collection does not impose a significant burden on respondents. The collection does not require statistical rigor in order to have practical utility for improving existing or future service deliveries, products, or communication materials; and</w:t>
      </w:r>
      <w:r>
        <w:t xml:space="preserve"> p</w:t>
      </w:r>
      <w:r w:rsidRPr="008F7F04">
        <w:t>ublic dissemination of results is not intended.</w:t>
      </w:r>
    </w:p>
    <w:p w:rsidR="00E72FC3" w:rsidRDefault="00E72FC3" w:rsidP="00E72FC3">
      <w:pPr>
        <w:pStyle w:val="Header"/>
        <w:tabs>
          <w:tab w:val="clear" w:pos="4320"/>
          <w:tab w:val="clear" w:pos="8640"/>
        </w:tabs>
        <w:rPr>
          <w:b/>
        </w:rPr>
      </w:pPr>
    </w:p>
    <w:p w:rsidR="00E72FC3" w:rsidRPr="00434E33" w:rsidRDefault="00E72FC3" w:rsidP="00E72FC3">
      <w:pPr>
        <w:pStyle w:val="Header"/>
        <w:tabs>
          <w:tab w:val="clear" w:pos="4320"/>
          <w:tab w:val="clear" w:pos="8640"/>
        </w:tabs>
        <w:rPr>
          <w:i/>
          <w:snapToGrid/>
        </w:rPr>
      </w:pPr>
      <w:r w:rsidRPr="00434E33">
        <w:rPr>
          <w:b/>
        </w:rPr>
        <w:t>DESCRIPTION OF RESPONDENTS</w:t>
      </w:r>
      <w:r>
        <w:t>: Individuals from various federal, state and local government agencies, and professional, academic, non-profit organizations with a vested interest in immigration topics.</w:t>
      </w:r>
    </w:p>
    <w:p w:rsidR="00E72FC3" w:rsidRDefault="00E72FC3" w:rsidP="00E72FC3">
      <w:pPr>
        <w:rPr>
          <w:b/>
        </w:rPr>
      </w:pPr>
    </w:p>
    <w:p w:rsidR="00E72FC3" w:rsidRPr="00F06866" w:rsidRDefault="00E72FC3" w:rsidP="00E72FC3">
      <w:pPr>
        <w:rPr>
          <w:b/>
        </w:rPr>
      </w:pPr>
      <w:r>
        <w:rPr>
          <w:b/>
        </w:rPr>
        <w:t>TYPE OF COLLECTION:</w:t>
      </w:r>
      <w:r w:rsidRPr="00F06866">
        <w:t xml:space="preserve"> (Check one)</w:t>
      </w:r>
    </w:p>
    <w:p w:rsidR="00E72FC3" w:rsidRPr="00434E33" w:rsidRDefault="00E72FC3" w:rsidP="00E72FC3">
      <w:pPr>
        <w:pStyle w:val="BodyTextIndent"/>
        <w:tabs>
          <w:tab w:val="left" w:pos="360"/>
        </w:tabs>
        <w:ind w:left="0"/>
        <w:rPr>
          <w:bCs/>
          <w:sz w:val="16"/>
          <w:szCs w:val="16"/>
        </w:rPr>
      </w:pPr>
    </w:p>
    <w:p w:rsidR="00E72FC3" w:rsidRPr="00F06866" w:rsidRDefault="00E72FC3" w:rsidP="00E72FC3">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BE0B13">
        <w:rPr>
          <w:b/>
          <w:bCs/>
          <w:sz w:val="24"/>
        </w:rPr>
        <w:t>X</w:t>
      </w:r>
      <w:r w:rsidRPr="00F06866">
        <w:rPr>
          <w:bCs/>
          <w:sz w:val="24"/>
        </w:rPr>
        <w:t xml:space="preserve"> </w:t>
      </w:r>
      <w:r w:rsidRPr="00BE0B13">
        <w:rPr>
          <w:b/>
          <w:bCs/>
          <w:sz w:val="24"/>
        </w:rPr>
        <w:t>Customer Satisfaction Survey</w:t>
      </w:r>
      <w:r w:rsidRPr="00F06866">
        <w:rPr>
          <w:bCs/>
          <w:sz w:val="24"/>
        </w:rPr>
        <w:t xml:space="preserve">    </w:t>
      </w:r>
    </w:p>
    <w:p w:rsidR="00E72FC3" w:rsidRDefault="00E72FC3" w:rsidP="00E72FC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E72FC3" w:rsidRPr="00F06866" w:rsidRDefault="00E72FC3" w:rsidP="00E72FC3">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E72FC3" w:rsidRDefault="00E72FC3" w:rsidP="00E72FC3">
      <w:pPr>
        <w:pStyle w:val="Header"/>
        <w:tabs>
          <w:tab w:val="clear" w:pos="4320"/>
          <w:tab w:val="clear" w:pos="8640"/>
        </w:tabs>
      </w:pPr>
    </w:p>
    <w:p w:rsidR="00E72FC3" w:rsidRDefault="00E72FC3" w:rsidP="00E72FC3">
      <w:pPr>
        <w:rPr>
          <w:b/>
        </w:rPr>
      </w:pPr>
      <w:r>
        <w:rPr>
          <w:b/>
        </w:rPr>
        <w:t>CERTIFICATION:</w:t>
      </w:r>
    </w:p>
    <w:p w:rsidR="00E72FC3" w:rsidRDefault="00E72FC3" w:rsidP="00E72FC3">
      <w:pPr>
        <w:rPr>
          <w:sz w:val="16"/>
          <w:szCs w:val="16"/>
        </w:rPr>
      </w:pPr>
    </w:p>
    <w:p w:rsidR="00E72FC3" w:rsidRPr="009C13B9" w:rsidRDefault="00E72FC3" w:rsidP="00E72FC3">
      <w:r>
        <w:t xml:space="preserve">I certify the following to be true: </w:t>
      </w:r>
    </w:p>
    <w:p w:rsidR="00E72FC3" w:rsidRDefault="00E72FC3" w:rsidP="00E72FC3">
      <w:pPr>
        <w:pStyle w:val="ListParagraph"/>
        <w:numPr>
          <w:ilvl w:val="0"/>
          <w:numId w:val="1"/>
        </w:numPr>
      </w:pPr>
      <w:r>
        <w:t>The collection is voluntary.</w:t>
      </w:r>
      <w:r w:rsidRPr="00C14CC4">
        <w:t xml:space="preserve"> </w:t>
      </w:r>
    </w:p>
    <w:p w:rsidR="00E72FC3" w:rsidRDefault="00E72FC3" w:rsidP="00E72FC3">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E72FC3" w:rsidRDefault="00E72FC3" w:rsidP="00E72FC3">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72FC3" w:rsidRDefault="00E72FC3" w:rsidP="00E72FC3">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72FC3" w:rsidRDefault="00E72FC3" w:rsidP="00E72FC3">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72FC3" w:rsidRDefault="00E72FC3" w:rsidP="00E72FC3">
      <w:pPr>
        <w:pStyle w:val="ListParagraph"/>
        <w:numPr>
          <w:ilvl w:val="0"/>
          <w:numId w:val="1"/>
        </w:numPr>
      </w:pPr>
      <w:r>
        <w:t>The collection is targeted to the solicitation of opinions from respondents who have experience with the program or may have experience with the program in the future.</w:t>
      </w:r>
    </w:p>
    <w:p w:rsidR="00E72FC3" w:rsidRDefault="00E72FC3" w:rsidP="00E72FC3"/>
    <w:p w:rsidR="00E72FC3" w:rsidRDefault="00E72FC3" w:rsidP="00E72FC3">
      <w:r>
        <w:t xml:space="preserve">Name: </w:t>
      </w:r>
      <w:r w:rsidRPr="00BE0B13">
        <w:rPr>
          <w:b/>
        </w:rPr>
        <w:t>RAYMOND G. MILLS, Chief, Special Program DHS HQ CISOMB</w:t>
      </w:r>
    </w:p>
    <w:p w:rsidR="00E72FC3" w:rsidRDefault="00E72FC3" w:rsidP="00E72FC3">
      <w:pPr>
        <w:pStyle w:val="ListParagraph"/>
        <w:ind w:left="360"/>
      </w:pPr>
    </w:p>
    <w:p w:rsidR="00E72FC3" w:rsidRDefault="00E72FC3" w:rsidP="00E72FC3">
      <w:r>
        <w:t>To assist review, please provide answers to the following question:</w:t>
      </w:r>
    </w:p>
    <w:p w:rsidR="00E72FC3" w:rsidRDefault="00E72FC3" w:rsidP="00E72FC3"/>
    <w:p w:rsidR="00E72FC3" w:rsidRPr="00C86E91" w:rsidRDefault="00E72FC3" w:rsidP="00E72FC3">
      <w:pPr>
        <w:rPr>
          <w:b/>
        </w:rPr>
      </w:pPr>
      <w:r w:rsidRPr="00C86E91">
        <w:rPr>
          <w:b/>
        </w:rPr>
        <w:t>Personally Identifiable Information:</w:t>
      </w:r>
    </w:p>
    <w:p w:rsidR="00E72FC3" w:rsidRDefault="00E72FC3" w:rsidP="00E72FC3">
      <w:pPr>
        <w:pStyle w:val="ListParagraph"/>
        <w:numPr>
          <w:ilvl w:val="0"/>
          <w:numId w:val="4"/>
        </w:numPr>
      </w:pPr>
      <w:r>
        <w:t xml:space="preserve">Is personally identifiable information (PII) collected?  [  ] Yes  </w:t>
      </w:r>
      <w:r w:rsidRPr="00BE0B13">
        <w:rPr>
          <w:b/>
          <w:bCs/>
        </w:rPr>
        <w:t>X</w:t>
      </w:r>
      <w:r>
        <w:t xml:space="preserve"> No </w:t>
      </w:r>
    </w:p>
    <w:p w:rsidR="00E72FC3" w:rsidRDefault="00E72FC3" w:rsidP="00E72FC3">
      <w:pPr>
        <w:pStyle w:val="ListParagraph"/>
        <w:numPr>
          <w:ilvl w:val="0"/>
          <w:numId w:val="4"/>
        </w:numPr>
      </w:pPr>
      <w:r>
        <w:t xml:space="preserve">If </w:t>
      </w:r>
      <w:proofErr w:type="gramStart"/>
      <w:r>
        <w:t>Yes</w:t>
      </w:r>
      <w:proofErr w:type="gramEnd"/>
      <w:r>
        <w:t>, is the information that will be collected included in records that are subject to the Privacy Act of 1974?   [  ] Yes [  ] No   [</w:t>
      </w:r>
      <w:r w:rsidRPr="00BE0B13">
        <w:rPr>
          <w:b/>
          <w:bCs/>
        </w:rPr>
        <w:t>X</w:t>
      </w:r>
      <w:r>
        <w:rPr>
          <w:b/>
          <w:bCs/>
        </w:rPr>
        <w:t>] Not applicable</w:t>
      </w:r>
    </w:p>
    <w:p w:rsidR="00E72FC3" w:rsidRDefault="00E72FC3" w:rsidP="00E72FC3">
      <w:pPr>
        <w:pStyle w:val="ListParagraph"/>
        <w:numPr>
          <w:ilvl w:val="0"/>
          <w:numId w:val="4"/>
        </w:numPr>
      </w:pPr>
      <w:r>
        <w:lastRenderedPageBreak/>
        <w:t>If Applicable, has a System or Records Notice been published?  [  ] Yes  [  ] No [</w:t>
      </w:r>
      <w:r w:rsidRPr="00BE0B13">
        <w:rPr>
          <w:b/>
          <w:bCs/>
        </w:rPr>
        <w:t>X</w:t>
      </w:r>
      <w:r>
        <w:rPr>
          <w:b/>
          <w:bCs/>
        </w:rPr>
        <w:t>] Not applicable</w:t>
      </w:r>
    </w:p>
    <w:p w:rsidR="00E72FC3" w:rsidRPr="00C86E91" w:rsidRDefault="00E72FC3" w:rsidP="00E72FC3">
      <w:pPr>
        <w:pStyle w:val="ListParagraph"/>
        <w:ind w:left="0"/>
        <w:rPr>
          <w:b/>
        </w:rPr>
      </w:pPr>
      <w:r>
        <w:rPr>
          <w:b/>
        </w:rPr>
        <w:t>Gifts or Payments:</w:t>
      </w:r>
    </w:p>
    <w:p w:rsidR="00E72FC3" w:rsidRDefault="00E72FC3" w:rsidP="00E72FC3">
      <w:r>
        <w:t xml:space="preserve">Is an incentive (e.g., money or reimbursement of expenses, token of appreciation) provided to participants?  [  ] Yes </w:t>
      </w:r>
      <w:r w:rsidRPr="00BE0B13">
        <w:rPr>
          <w:b/>
        </w:rPr>
        <w:t>X</w:t>
      </w:r>
      <w:r>
        <w:t xml:space="preserve"> No  </w:t>
      </w:r>
    </w:p>
    <w:p w:rsidR="00E72FC3" w:rsidRDefault="00E72FC3" w:rsidP="00E72FC3">
      <w:pPr>
        <w:rPr>
          <w:b/>
        </w:rPr>
      </w:pPr>
    </w:p>
    <w:p w:rsidR="00E72FC3" w:rsidRDefault="00E72FC3" w:rsidP="00E72FC3">
      <w:pPr>
        <w:rPr>
          <w:i/>
        </w:rPr>
      </w:pPr>
      <w:r>
        <w:rPr>
          <w:b/>
        </w:rPr>
        <w:t>BURDEN HOURS</w:t>
      </w:r>
      <w:r>
        <w:t xml:space="preserve"> </w:t>
      </w:r>
    </w:p>
    <w:p w:rsidR="00E72FC3" w:rsidRPr="006832D9" w:rsidRDefault="00E72FC3" w:rsidP="00E72FC3">
      <w:pPr>
        <w:keepNext/>
        <w:keepLines/>
        <w:rPr>
          <w:b/>
        </w:rPr>
      </w:pPr>
    </w:p>
    <w:tbl>
      <w:tblPr>
        <w:tblStyle w:val="TableGrid"/>
        <w:tblW w:w="10008" w:type="dxa"/>
        <w:tblLayout w:type="fixed"/>
        <w:tblLook w:val="01E0" w:firstRow="1" w:lastRow="1" w:firstColumn="1" w:lastColumn="1" w:noHBand="0" w:noVBand="0"/>
      </w:tblPr>
      <w:tblGrid>
        <w:gridCol w:w="5418"/>
        <w:gridCol w:w="1530"/>
        <w:gridCol w:w="1710"/>
        <w:gridCol w:w="1350"/>
      </w:tblGrid>
      <w:tr w:rsidR="00E72FC3" w:rsidTr="00277B84">
        <w:trPr>
          <w:trHeight w:val="274"/>
        </w:trPr>
        <w:tc>
          <w:tcPr>
            <w:tcW w:w="5418" w:type="dxa"/>
          </w:tcPr>
          <w:p w:rsidR="00E72FC3" w:rsidRPr="00F6240A" w:rsidRDefault="00E72FC3" w:rsidP="00277B84">
            <w:pPr>
              <w:rPr>
                <w:b/>
              </w:rPr>
            </w:pPr>
            <w:r>
              <w:rPr>
                <w:b/>
              </w:rPr>
              <w:t xml:space="preserve">Category of Respondent </w:t>
            </w:r>
          </w:p>
        </w:tc>
        <w:tc>
          <w:tcPr>
            <w:tcW w:w="1530" w:type="dxa"/>
          </w:tcPr>
          <w:p w:rsidR="00E72FC3" w:rsidRPr="00F6240A" w:rsidRDefault="00E72FC3" w:rsidP="00277B84">
            <w:pPr>
              <w:rPr>
                <w:b/>
              </w:rPr>
            </w:pPr>
            <w:r w:rsidRPr="00F6240A">
              <w:rPr>
                <w:b/>
              </w:rPr>
              <w:t>N</w:t>
            </w:r>
            <w:r>
              <w:rPr>
                <w:b/>
              </w:rPr>
              <w:t>o.</w:t>
            </w:r>
            <w:r w:rsidRPr="00F6240A">
              <w:rPr>
                <w:b/>
              </w:rPr>
              <w:t xml:space="preserve"> of Respondents</w:t>
            </w:r>
          </w:p>
        </w:tc>
        <w:tc>
          <w:tcPr>
            <w:tcW w:w="1710" w:type="dxa"/>
          </w:tcPr>
          <w:p w:rsidR="00E72FC3" w:rsidRPr="00F6240A" w:rsidRDefault="00E72FC3" w:rsidP="00277B84">
            <w:pPr>
              <w:rPr>
                <w:b/>
              </w:rPr>
            </w:pPr>
            <w:r w:rsidRPr="00F6240A">
              <w:rPr>
                <w:b/>
              </w:rPr>
              <w:t>Participation Time</w:t>
            </w:r>
          </w:p>
        </w:tc>
        <w:tc>
          <w:tcPr>
            <w:tcW w:w="1350" w:type="dxa"/>
          </w:tcPr>
          <w:p w:rsidR="00E72FC3" w:rsidRPr="00F6240A" w:rsidRDefault="00E72FC3" w:rsidP="00277B84">
            <w:pPr>
              <w:rPr>
                <w:b/>
              </w:rPr>
            </w:pPr>
            <w:r w:rsidRPr="00F6240A">
              <w:rPr>
                <w:b/>
              </w:rPr>
              <w:t>Burden</w:t>
            </w:r>
          </w:p>
        </w:tc>
      </w:tr>
      <w:tr w:rsidR="00E72FC3" w:rsidTr="00277B84">
        <w:trPr>
          <w:trHeight w:val="274"/>
        </w:trPr>
        <w:tc>
          <w:tcPr>
            <w:tcW w:w="5418" w:type="dxa"/>
          </w:tcPr>
          <w:p w:rsidR="00E72FC3" w:rsidRDefault="00E72FC3" w:rsidP="00277B84">
            <w:r>
              <w:t>Conference attendee (Individuals)</w:t>
            </w:r>
          </w:p>
        </w:tc>
        <w:tc>
          <w:tcPr>
            <w:tcW w:w="1530" w:type="dxa"/>
          </w:tcPr>
          <w:p w:rsidR="00E72FC3" w:rsidRDefault="00E72FC3" w:rsidP="00277B84">
            <w:r>
              <w:t>200</w:t>
            </w:r>
          </w:p>
        </w:tc>
        <w:tc>
          <w:tcPr>
            <w:tcW w:w="1710" w:type="dxa"/>
          </w:tcPr>
          <w:p w:rsidR="00E72FC3" w:rsidRDefault="00E72FC3" w:rsidP="00277B84">
            <w:r>
              <w:t>5 minutes</w:t>
            </w:r>
          </w:p>
        </w:tc>
        <w:tc>
          <w:tcPr>
            <w:tcW w:w="1350" w:type="dxa"/>
          </w:tcPr>
          <w:p w:rsidR="00E72FC3" w:rsidRDefault="00E72FC3" w:rsidP="00277B84">
            <w:r>
              <w:t>1000 minutes</w:t>
            </w:r>
          </w:p>
          <w:p w:rsidR="00E72FC3" w:rsidRDefault="00E72FC3" w:rsidP="00277B84">
            <w:r>
              <w:t>16.6 hours</w:t>
            </w:r>
          </w:p>
        </w:tc>
      </w:tr>
      <w:tr w:rsidR="00E72FC3" w:rsidTr="00277B84">
        <w:trPr>
          <w:trHeight w:val="274"/>
        </w:trPr>
        <w:tc>
          <w:tcPr>
            <w:tcW w:w="5418" w:type="dxa"/>
          </w:tcPr>
          <w:p w:rsidR="00E72FC3" w:rsidRDefault="00E72FC3" w:rsidP="00277B84"/>
        </w:tc>
        <w:tc>
          <w:tcPr>
            <w:tcW w:w="1530" w:type="dxa"/>
          </w:tcPr>
          <w:p w:rsidR="00E72FC3" w:rsidRDefault="00E72FC3" w:rsidP="00277B84"/>
        </w:tc>
        <w:tc>
          <w:tcPr>
            <w:tcW w:w="1710" w:type="dxa"/>
          </w:tcPr>
          <w:p w:rsidR="00E72FC3" w:rsidRDefault="00E72FC3" w:rsidP="00277B84"/>
        </w:tc>
        <w:tc>
          <w:tcPr>
            <w:tcW w:w="1350" w:type="dxa"/>
          </w:tcPr>
          <w:p w:rsidR="00E72FC3" w:rsidRDefault="00E72FC3" w:rsidP="00277B84"/>
        </w:tc>
      </w:tr>
      <w:tr w:rsidR="00E72FC3" w:rsidTr="00277B84">
        <w:trPr>
          <w:trHeight w:val="289"/>
        </w:trPr>
        <w:tc>
          <w:tcPr>
            <w:tcW w:w="5418" w:type="dxa"/>
          </w:tcPr>
          <w:p w:rsidR="00E72FC3" w:rsidRPr="00F6240A" w:rsidRDefault="00E72FC3" w:rsidP="00277B84">
            <w:pPr>
              <w:rPr>
                <w:b/>
              </w:rPr>
            </w:pPr>
            <w:r>
              <w:rPr>
                <w:b/>
              </w:rPr>
              <w:t>Totals</w:t>
            </w:r>
          </w:p>
        </w:tc>
        <w:tc>
          <w:tcPr>
            <w:tcW w:w="1530" w:type="dxa"/>
          </w:tcPr>
          <w:p w:rsidR="00E72FC3" w:rsidRPr="00BE0B13" w:rsidRDefault="00E72FC3" w:rsidP="00277B84">
            <w:pPr>
              <w:rPr>
                <w:b/>
              </w:rPr>
            </w:pPr>
            <w:r w:rsidRPr="00BE0B13">
              <w:rPr>
                <w:b/>
              </w:rPr>
              <w:t>200</w:t>
            </w:r>
          </w:p>
        </w:tc>
        <w:tc>
          <w:tcPr>
            <w:tcW w:w="1710" w:type="dxa"/>
          </w:tcPr>
          <w:p w:rsidR="00E72FC3" w:rsidRPr="00BE0B13" w:rsidRDefault="00E72FC3" w:rsidP="00277B84">
            <w:pPr>
              <w:rPr>
                <w:b/>
              </w:rPr>
            </w:pPr>
            <w:r w:rsidRPr="00BE0B13">
              <w:rPr>
                <w:b/>
              </w:rPr>
              <w:t>5</w:t>
            </w:r>
          </w:p>
        </w:tc>
        <w:tc>
          <w:tcPr>
            <w:tcW w:w="1350" w:type="dxa"/>
          </w:tcPr>
          <w:p w:rsidR="00E72FC3" w:rsidRPr="00F6240A" w:rsidRDefault="00E72FC3" w:rsidP="00277B84">
            <w:pPr>
              <w:rPr>
                <w:b/>
              </w:rPr>
            </w:pPr>
            <w:r>
              <w:rPr>
                <w:b/>
              </w:rPr>
              <w:t>16.6 hours</w:t>
            </w:r>
          </w:p>
        </w:tc>
      </w:tr>
    </w:tbl>
    <w:p w:rsidR="00E72FC3" w:rsidRDefault="00E72FC3" w:rsidP="00E72FC3"/>
    <w:p w:rsidR="00E72FC3" w:rsidRDefault="00E72FC3" w:rsidP="00E72FC3"/>
    <w:p w:rsidR="00E72FC3" w:rsidRDefault="00E72FC3" w:rsidP="00E72FC3">
      <w:pPr>
        <w:rPr>
          <w:b/>
        </w:rPr>
      </w:pPr>
      <w:r>
        <w:rPr>
          <w:b/>
        </w:rPr>
        <w:t xml:space="preserve">FEDERAL COST:  </w:t>
      </w:r>
      <w:r>
        <w:t xml:space="preserve">The estimated annual cost to the Federal government </w:t>
      </w:r>
      <w:proofErr w:type="gramStart"/>
      <w:r>
        <w:t>is  0.00</w:t>
      </w:r>
      <w:proofErr w:type="gramEnd"/>
    </w:p>
    <w:p w:rsidR="00E72FC3" w:rsidRDefault="00E72FC3" w:rsidP="00E72FC3">
      <w:pPr>
        <w:rPr>
          <w:b/>
          <w:bCs/>
          <w:u w:val="single"/>
        </w:rPr>
      </w:pPr>
    </w:p>
    <w:p w:rsidR="00E72FC3" w:rsidRDefault="00E72FC3" w:rsidP="00E72FC3">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E72FC3" w:rsidRDefault="00E72FC3" w:rsidP="00E72FC3">
      <w:pPr>
        <w:rPr>
          <w:b/>
        </w:rPr>
      </w:pPr>
    </w:p>
    <w:p w:rsidR="00E72FC3" w:rsidRDefault="00E72FC3" w:rsidP="00E72FC3">
      <w:pPr>
        <w:rPr>
          <w:b/>
        </w:rPr>
      </w:pPr>
      <w:r>
        <w:rPr>
          <w:b/>
        </w:rPr>
        <w:t>The selection of your targeted respondents</w:t>
      </w:r>
    </w:p>
    <w:p w:rsidR="00E72FC3" w:rsidRDefault="00E72FC3" w:rsidP="00E72FC3">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 Yes </w:t>
      </w:r>
      <w:r w:rsidRPr="00BE0B13">
        <w:rPr>
          <w:b/>
        </w:rPr>
        <w:t xml:space="preserve">X </w:t>
      </w:r>
      <w:r>
        <w:t>No</w:t>
      </w:r>
    </w:p>
    <w:p w:rsidR="00E72FC3" w:rsidRDefault="00E72FC3" w:rsidP="00E72FC3">
      <w:pPr>
        <w:pStyle w:val="ListParagraph"/>
      </w:pPr>
    </w:p>
    <w:p w:rsidR="00E72FC3" w:rsidRDefault="00E72FC3" w:rsidP="00E72FC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E72FC3" w:rsidRDefault="00E72FC3" w:rsidP="00E72FC3">
      <w:pPr>
        <w:rPr>
          <w:b/>
        </w:rPr>
      </w:pPr>
    </w:p>
    <w:p w:rsidR="00E72FC3" w:rsidRDefault="00E72FC3" w:rsidP="00E72FC3">
      <w:pPr>
        <w:rPr>
          <w:b/>
        </w:rPr>
      </w:pPr>
      <w:r>
        <w:rPr>
          <w:b/>
        </w:rPr>
        <w:t>Administration of the Instrument</w:t>
      </w:r>
    </w:p>
    <w:p w:rsidR="00E72FC3" w:rsidRDefault="00E72FC3" w:rsidP="00E72FC3">
      <w:pPr>
        <w:pStyle w:val="ListParagraph"/>
        <w:numPr>
          <w:ilvl w:val="0"/>
          <w:numId w:val="3"/>
        </w:numPr>
      </w:pPr>
      <w:r>
        <w:t>How will you collect the information? (Check all that apply)</w:t>
      </w:r>
    </w:p>
    <w:p w:rsidR="00E72FC3" w:rsidRDefault="003309B2" w:rsidP="00E72FC3">
      <w:pPr>
        <w:ind w:left="720"/>
      </w:pPr>
      <w:r>
        <w:rPr>
          <w:b/>
        </w:rPr>
        <w:t>X</w:t>
      </w:r>
      <w:r w:rsidR="00E72FC3">
        <w:t xml:space="preserve">] Web-based or other forms of Social Media </w:t>
      </w:r>
    </w:p>
    <w:p w:rsidR="00E72FC3" w:rsidRDefault="00E72FC3" w:rsidP="00E72FC3">
      <w:pPr>
        <w:ind w:left="720"/>
      </w:pPr>
      <w:r>
        <w:t>[  ] Telephone</w:t>
      </w:r>
      <w:r>
        <w:tab/>
      </w:r>
    </w:p>
    <w:p w:rsidR="00E72FC3" w:rsidRDefault="00E72FC3" w:rsidP="00E72FC3">
      <w:pPr>
        <w:ind w:left="720"/>
      </w:pPr>
      <w:r>
        <w:t>[  ] In-person</w:t>
      </w:r>
      <w:r>
        <w:tab/>
      </w:r>
    </w:p>
    <w:p w:rsidR="00E72FC3" w:rsidRDefault="00E72FC3" w:rsidP="00E72FC3">
      <w:pPr>
        <w:ind w:left="720"/>
      </w:pPr>
      <w:r>
        <w:t xml:space="preserve">[  ] Mail </w:t>
      </w:r>
    </w:p>
    <w:p w:rsidR="00E72FC3" w:rsidRDefault="00E72FC3" w:rsidP="00E72FC3">
      <w:pPr>
        <w:ind w:left="720"/>
      </w:pPr>
      <w:r w:rsidRPr="00BE0B13">
        <w:rPr>
          <w:b/>
        </w:rPr>
        <w:t>X</w:t>
      </w:r>
      <w:r>
        <w:t xml:space="preserve"> Other, Explain – A one page 9 question survey will be distributed during the conference to all attendees to complete at their discretion during the event. At the end of the event, the completed surveys will be collected and reviewed for feedback to improve the conference experience for next year.</w:t>
      </w:r>
    </w:p>
    <w:p w:rsidR="00E72FC3" w:rsidRDefault="00E72FC3" w:rsidP="00E72FC3">
      <w:pPr>
        <w:pStyle w:val="ListParagraph"/>
        <w:numPr>
          <w:ilvl w:val="0"/>
          <w:numId w:val="3"/>
        </w:numPr>
      </w:pPr>
      <w:r>
        <w:t xml:space="preserve">Will interviewers or facilitators be used?  [  ] Yes </w:t>
      </w:r>
      <w:r w:rsidRPr="00BE0B13">
        <w:rPr>
          <w:b/>
        </w:rPr>
        <w:t>X</w:t>
      </w:r>
      <w:r>
        <w:t xml:space="preserve"> No</w:t>
      </w:r>
    </w:p>
    <w:p w:rsidR="00E72FC3" w:rsidRDefault="00E72FC3" w:rsidP="00E72FC3">
      <w:pPr>
        <w:pStyle w:val="ListParagraph"/>
        <w:ind w:left="360"/>
      </w:pPr>
      <w:r>
        <w:t xml:space="preserve"> </w:t>
      </w:r>
    </w:p>
    <w:p w:rsidR="00E72FC3" w:rsidRDefault="00E72FC3" w:rsidP="00E72FC3">
      <w:pPr>
        <w:rPr>
          <w:b/>
        </w:rPr>
      </w:pPr>
      <w:r w:rsidRPr="00F24CFC">
        <w:rPr>
          <w:b/>
        </w:rPr>
        <w:t>Please make sure that all instruments, instructions, and scripts are submitted with the request.</w:t>
      </w:r>
    </w:p>
    <w:p w:rsidR="00E72FC3" w:rsidRDefault="00E72FC3"/>
    <w:sectPr w:rsidR="00E72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C3"/>
    <w:rsid w:val="000F50B9"/>
    <w:rsid w:val="001E4C76"/>
    <w:rsid w:val="003309B2"/>
    <w:rsid w:val="0075008D"/>
    <w:rsid w:val="00894F87"/>
    <w:rsid w:val="00945093"/>
    <w:rsid w:val="00AC0728"/>
    <w:rsid w:val="00E7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C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72FC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FC3"/>
    <w:rPr>
      <w:rFonts w:ascii="Times New Roman" w:eastAsia="Times New Roman" w:hAnsi="Times New Roman" w:cs="Times New Roman"/>
      <w:b/>
      <w:bCs/>
      <w:sz w:val="24"/>
      <w:szCs w:val="24"/>
    </w:rPr>
  </w:style>
  <w:style w:type="paragraph" w:styleId="Header">
    <w:name w:val="header"/>
    <w:basedOn w:val="Normal"/>
    <w:link w:val="HeaderChar"/>
    <w:rsid w:val="00E72FC3"/>
    <w:pPr>
      <w:widowControl w:val="0"/>
      <w:tabs>
        <w:tab w:val="center" w:pos="4320"/>
        <w:tab w:val="right" w:pos="8640"/>
      </w:tabs>
    </w:pPr>
    <w:rPr>
      <w:snapToGrid w:val="0"/>
    </w:rPr>
  </w:style>
  <w:style w:type="character" w:customStyle="1" w:styleId="HeaderChar">
    <w:name w:val="Header Char"/>
    <w:basedOn w:val="DefaultParagraphFont"/>
    <w:link w:val="Header"/>
    <w:rsid w:val="00E72FC3"/>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E72FC3"/>
    <w:pPr>
      <w:ind w:left="288"/>
    </w:pPr>
    <w:rPr>
      <w:sz w:val="20"/>
      <w:szCs w:val="20"/>
      <w:lang w:eastAsia="zh-CN"/>
    </w:rPr>
  </w:style>
  <w:style w:type="character" w:customStyle="1" w:styleId="BodyTextIndentChar">
    <w:name w:val="Body Text Indent Char"/>
    <w:basedOn w:val="DefaultParagraphFont"/>
    <w:link w:val="BodyTextIndent"/>
    <w:rsid w:val="00E72FC3"/>
    <w:rPr>
      <w:rFonts w:ascii="Times New Roman" w:eastAsia="Times New Roman" w:hAnsi="Times New Roman" w:cs="Times New Roman"/>
      <w:sz w:val="20"/>
      <w:szCs w:val="20"/>
      <w:lang w:eastAsia="zh-CN"/>
    </w:rPr>
  </w:style>
  <w:style w:type="table" w:styleId="TableGrid">
    <w:name w:val="Table Grid"/>
    <w:basedOn w:val="TableNormal"/>
    <w:rsid w:val="00E72F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C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72FC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FC3"/>
    <w:rPr>
      <w:rFonts w:ascii="Times New Roman" w:eastAsia="Times New Roman" w:hAnsi="Times New Roman" w:cs="Times New Roman"/>
      <w:b/>
      <w:bCs/>
      <w:sz w:val="24"/>
      <w:szCs w:val="24"/>
    </w:rPr>
  </w:style>
  <w:style w:type="paragraph" w:styleId="Header">
    <w:name w:val="header"/>
    <w:basedOn w:val="Normal"/>
    <w:link w:val="HeaderChar"/>
    <w:rsid w:val="00E72FC3"/>
    <w:pPr>
      <w:widowControl w:val="0"/>
      <w:tabs>
        <w:tab w:val="center" w:pos="4320"/>
        <w:tab w:val="right" w:pos="8640"/>
      </w:tabs>
    </w:pPr>
    <w:rPr>
      <w:snapToGrid w:val="0"/>
    </w:rPr>
  </w:style>
  <w:style w:type="character" w:customStyle="1" w:styleId="HeaderChar">
    <w:name w:val="Header Char"/>
    <w:basedOn w:val="DefaultParagraphFont"/>
    <w:link w:val="Header"/>
    <w:rsid w:val="00E72FC3"/>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E72FC3"/>
    <w:pPr>
      <w:ind w:left="288"/>
    </w:pPr>
    <w:rPr>
      <w:sz w:val="20"/>
      <w:szCs w:val="20"/>
      <w:lang w:eastAsia="zh-CN"/>
    </w:rPr>
  </w:style>
  <w:style w:type="character" w:customStyle="1" w:styleId="BodyTextIndentChar">
    <w:name w:val="Body Text Indent Char"/>
    <w:basedOn w:val="DefaultParagraphFont"/>
    <w:link w:val="BodyTextIndent"/>
    <w:rsid w:val="00E72FC3"/>
    <w:rPr>
      <w:rFonts w:ascii="Times New Roman" w:eastAsia="Times New Roman" w:hAnsi="Times New Roman" w:cs="Times New Roman"/>
      <w:sz w:val="20"/>
      <w:szCs w:val="20"/>
      <w:lang w:eastAsia="zh-CN"/>
    </w:rPr>
  </w:style>
  <w:style w:type="table" w:styleId="TableGrid">
    <w:name w:val="Table Grid"/>
    <w:basedOn w:val="TableNormal"/>
    <w:rsid w:val="00E72F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3625</Characters>
  <Application>Microsoft Office Word</Application>
  <DocSecurity>0</DocSecurity>
  <Lines>84</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Request for Approval under the “Generic Clearance for the Collection of Routine </vt:lpstr>
    </vt:vector>
  </TitlesOfParts>
  <Company>Department of Homeland Security</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Raymond G.</dc:creator>
  <cp:lastModifiedBy>Mills, Raymond G.</cp:lastModifiedBy>
  <cp:revision>2</cp:revision>
  <dcterms:created xsi:type="dcterms:W3CDTF">2015-10-05T11:45:00Z</dcterms:created>
  <dcterms:modified xsi:type="dcterms:W3CDTF">2015-10-05T11:45:00Z</dcterms:modified>
</cp:coreProperties>
</file>