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E084B" w14:textId="6E6F8DD8"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B7956">
        <w:rPr>
          <w:sz w:val="28"/>
        </w:rPr>
        <w:t>1601-0014</w:t>
      </w:r>
      <w:r>
        <w:rPr>
          <w:sz w:val="28"/>
        </w:rPr>
        <w:t>)</w:t>
      </w:r>
    </w:p>
    <w:p w14:paraId="522E084C" w14:textId="0796CAB4" w:rsidR="00E50293" w:rsidRPr="009239AA" w:rsidRDefault="00910A99" w:rsidP="00434E33">
      <w:pPr>
        <w:rPr>
          <w:b/>
        </w:rPr>
      </w:pPr>
      <w:r>
        <w:rPr>
          <w:b/>
          <w:noProof/>
        </w:rPr>
        <mc:AlternateContent>
          <mc:Choice Requires="wps">
            <w:drawing>
              <wp:anchor distT="0" distB="0" distL="114300" distR="114300" simplePos="0" relativeHeight="251657728" behindDoc="0" locked="0" layoutInCell="0" allowOverlap="1" wp14:anchorId="522E08CF" wp14:editId="1F9D22FE">
                <wp:simplePos x="0" y="0"/>
                <wp:positionH relativeFrom="column">
                  <wp:posOffset>0</wp:posOffset>
                </wp:positionH>
                <wp:positionV relativeFrom="paragraph">
                  <wp:posOffset>0</wp:posOffset>
                </wp:positionV>
                <wp:extent cx="4932680" cy="0"/>
                <wp:effectExtent l="9525" t="9525" r="1079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2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8FB5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8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r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" o:allowincell="f" strokeweight="1.5pt"/>
            </w:pict>
          </mc:Fallback>
        </mc:AlternateContent>
      </w:r>
      <w:r w:rsidR="005E714A" w:rsidRPr="00434E33">
        <w:rPr>
          <w:b/>
        </w:rPr>
        <w:t>TITLE OF INFORMATION COLLECTION:</w:t>
      </w:r>
      <w:r w:rsidR="005E714A">
        <w:t xml:space="preserve">  </w:t>
      </w:r>
      <w:r w:rsidR="0001394F">
        <w:t>Office of Management and Budget (OMB) Acquisition 360</w:t>
      </w:r>
      <w:r w:rsidR="000F1F06">
        <w:t xml:space="preserve"> </w:t>
      </w:r>
      <w:r w:rsidR="00B65663">
        <w:t>Survey</w:t>
      </w:r>
    </w:p>
    <w:p w14:paraId="522E084D" w14:textId="77777777" w:rsidR="005E714A" w:rsidRDefault="005E714A"/>
    <w:p w14:paraId="522E084E" w14:textId="77777777" w:rsidR="001B0AAA" w:rsidRDefault="00F15956">
      <w:r>
        <w:rPr>
          <w:b/>
        </w:rPr>
        <w:t>PURPOSE</w:t>
      </w:r>
      <w:r w:rsidRPr="009239AA">
        <w:rPr>
          <w:b/>
        </w:rPr>
        <w:t>:</w:t>
      </w:r>
      <w:r w:rsidR="00C14CC4" w:rsidRPr="009239AA">
        <w:rPr>
          <w:b/>
        </w:rPr>
        <w:t xml:space="preserve">  </w:t>
      </w:r>
    </w:p>
    <w:p w14:paraId="522E084F" w14:textId="77777777" w:rsidR="001B0AAA" w:rsidRDefault="001B0AAA"/>
    <w:p w14:paraId="77E1BD61" w14:textId="77777777" w:rsidR="00B0566D" w:rsidRPr="00B0566D" w:rsidRDefault="00BB1C8F" w:rsidP="00B0566D">
      <w:pPr>
        <w:pStyle w:val="ListParagraph"/>
        <w:ind w:left="0"/>
        <w:rPr>
          <w:color w:val="000000" w:themeColor="text1"/>
          <w:sz w:val="22"/>
          <w:szCs w:val="22"/>
        </w:rPr>
      </w:pPr>
      <w:r w:rsidRPr="00B0566D">
        <w:rPr>
          <w:color w:val="000000" w:themeColor="text1"/>
        </w:rPr>
        <w:t xml:space="preserve">The survey is the second annual survey directed and centrally managed by the Office of Management and Budget, Office of Federal Procurement Policy (OFPP).  </w:t>
      </w:r>
      <w:r w:rsidR="00FA0BB2" w:rsidRPr="00B0566D">
        <w:rPr>
          <w:color w:val="000000" w:themeColor="text1"/>
        </w:rPr>
        <w:t xml:space="preserve">The authority for this collecting this data is provided under the OMB March 18. 2015: </w:t>
      </w:r>
      <w:r w:rsidR="00FA0BB2" w:rsidRPr="00B0566D">
        <w:rPr>
          <w:i/>
          <w:color w:val="000000" w:themeColor="text1"/>
        </w:rPr>
        <w:t>MEMORANDUM FOR CHIEF ACQUISITION OFFICERS &amp; SENIOR PROCUREMENT EXECUTIVES: Acquisition 360 – Improving the Acquisition Process through Timely Feedback from External and Internal Stakeholders</w:t>
      </w:r>
      <w:r w:rsidR="00FA0BB2" w:rsidRPr="00B0566D">
        <w:rPr>
          <w:rFonts w:ascii="Calibri" w:hAnsi="Calibri"/>
          <w:i/>
          <w:color w:val="000000" w:themeColor="text1"/>
        </w:rPr>
        <w:t>.</w:t>
      </w:r>
      <w:r w:rsidR="00FA0BB2" w:rsidRPr="00B0566D">
        <w:rPr>
          <w:color w:val="000000" w:themeColor="text1"/>
        </w:rPr>
        <w:t xml:space="preserve"> </w:t>
      </w:r>
      <w:r w:rsidRPr="00B0566D">
        <w:rPr>
          <w:color w:val="000000" w:themeColor="text1"/>
        </w:rPr>
        <w:t xml:space="preserve">The survey is intended to obtain information from the three major participants in </w:t>
      </w:r>
      <w:r w:rsidR="00FA0BB2" w:rsidRPr="00B0566D">
        <w:rPr>
          <w:color w:val="000000" w:themeColor="text1"/>
        </w:rPr>
        <w:t>a</w:t>
      </w:r>
      <w:r w:rsidRPr="00B0566D">
        <w:rPr>
          <w:color w:val="000000" w:themeColor="text1"/>
        </w:rPr>
        <w:t>gency contract actions:  the contracting officer, the program office, and vend</w:t>
      </w:r>
      <w:r w:rsidR="00B65663" w:rsidRPr="00B0566D">
        <w:rPr>
          <w:color w:val="000000" w:themeColor="text1"/>
        </w:rPr>
        <w:t>ors who submit proposals or bids</w:t>
      </w:r>
      <w:r w:rsidRPr="00B0566D">
        <w:rPr>
          <w:color w:val="000000" w:themeColor="text1"/>
        </w:rPr>
        <w:t xml:space="preserve"> in response to agency solicitations.  </w:t>
      </w:r>
      <w:r w:rsidR="003C1129" w:rsidRPr="00B0566D">
        <w:rPr>
          <w:color w:val="000000" w:themeColor="text1"/>
        </w:rPr>
        <w:t>The survey contains 19 questions that are the same of each of the three participants and address satisfaction with the requirements development process, solicitation phase and award execution and debriefings.  Results of the survey are provided to each agency for their analysis and introduction of systemic improvement initiatives for target survey areas.  Results are also shared across agencies for identification and sharing of best practices and innovative procurement techniques that were the basis for favorable respondent ratings.</w:t>
      </w:r>
      <w:r w:rsidR="00B0566D" w:rsidRPr="00B0566D">
        <w:rPr>
          <w:color w:val="000000" w:themeColor="text1"/>
        </w:rPr>
        <w:t xml:space="preserve"> </w:t>
      </w:r>
      <w:r w:rsidR="00B0566D" w:rsidRPr="00B0566D">
        <w:rPr>
          <w:color w:val="000000" w:themeColor="text1"/>
        </w:rPr>
        <w:t xml:space="preserve">The survey will be administered using the </w:t>
      </w:r>
      <w:proofErr w:type="spellStart"/>
      <w:r w:rsidR="00B0566D" w:rsidRPr="00B0566D">
        <w:rPr>
          <w:color w:val="000000" w:themeColor="text1"/>
        </w:rPr>
        <w:t>SurveyMonkey</w:t>
      </w:r>
      <w:proofErr w:type="spellEnd"/>
      <w:r w:rsidR="00B0566D" w:rsidRPr="00B0566D">
        <w:rPr>
          <w:color w:val="000000" w:themeColor="text1"/>
        </w:rPr>
        <w:t xml:space="preserve"> web-based tool and the results will be tabulated and analyzed in the DHS Procurement Enterprise Reporting Application, our SharePoint based data analytics tool and repository.</w:t>
      </w:r>
      <w:bookmarkStart w:id="0" w:name="_GoBack"/>
      <w:bookmarkEnd w:id="0"/>
    </w:p>
    <w:p w14:paraId="4E3B8787" w14:textId="0A0583E7" w:rsidR="003C1129" w:rsidRDefault="003C1129" w:rsidP="003C1129"/>
    <w:p w14:paraId="522E0851" w14:textId="1B6A0B2D" w:rsidR="00C8488C" w:rsidRDefault="00C8488C"/>
    <w:p w14:paraId="522E085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22E0859" w14:textId="77777777" w:rsidR="00F15956" w:rsidRDefault="00F15956"/>
    <w:p w14:paraId="522E085A" w14:textId="3F97F6CF" w:rsidR="00C8488C" w:rsidRDefault="000F1F06">
      <w:r>
        <w:t xml:space="preserve">Acquisition 360 surveys three groups for each identified contract award.  Two of the groups are government personnel – the contracting officer responsible for the award and the program office (program manager or customer official responsible for the requirement.  The third is the individual/official representing the vendor who submitted a proposal/bid related to the resultant contract. </w:t>
      </w:r>
    </w:p>
    <w:p w14:paraId="522E085D" w14:textId="77777777" w:rsidR="00E26329" w:rsidRDefault="00E26329">
      <w:pPr>
        <w:rPr>
          <w:b/>
        </w:rPr>
      </w:pPr>
    </w:p>
    <w:p w14:paraId="522E085E" w14:textId="77777777" w:rsidR="00E26329" w:rsidRDefault="00E26329">
      <w:pPr>
        <w:rPr>
          <w:b/>
        </w:rPr>
      </w:pPr>
    </w:p>
    <w:p w14:paraId="522E085F" w14:textId="77777777" w:rsidR="00F06866" w:rsidRPr="00F06866" w:rsidRDefault="00F06866">
      <w:pPr>
        <w:rPr>
          <w:b/>
        </w:rPr>
      </w:pPr>
      <w:r>
        <w:rPr>
          <w:b/>
        </w:rPr>
        <w:t>TYPE OF COLLECTION:</w:t>
      </w:r>
      <w:r w:rsidRPr="00F06866">
        <w:t xml:space="preserve"> (Check one)</w:t>
      </w:r>
    </w:p>
    <w:p w14:paraId="522E0860" w14:textId="77777777" w:rsidR="00441434" w:rsidRPr="00434E33" w:rsidRDefault="00441434" w:rsidP="0096108F">
      <w:pPr>
        <w:pStyle w:val="BodyTextIndent"/>
        <w:tabs>
          <w:tab w:val="left" w:pos="360"/>
        </w:tabs>
        <w:ind w:left="0"/>
        <w:rPr>
          <w:bCs/>
          <w:sz w:val="16"/>
          <w:szCs w:val="16"/>
        </w:rPr>
      </w:pPr>
    </w:p>
    <w:p w14:paraId="522E0861" w14:textId="07287E1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24154C">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22E086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22E0863" w14:textId="77777777"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22E0864" w14:textId="77777777" w:rsidR="00434E33" w:rsidRDefault="00434E33">
      <w:pPr>
        <w:pStyle w:val="Header"/>
        <w:tabs>
          <w:tab w:val="clear" w:pos="4320"/>
          <w:tab w:val="clear" w:pos="8640"/>
        </w:tabs>
      </w:pPr>
    </w:p>
    <w:p w14:paraId="522E0865" w14:textId="77777777" w:rsidR="00CA2650" w:rsidRDefault="00441434">
      <w:pPr>
        <w:rPr>
          <w:b/>
        </w:rPr>
      </w:pPr>
      <w:r>
        <w:rPr>
          <w:b/>
        </w:rPr>
        <w:t>C</w:t>
      </w:r>
      <w:r w:rsidR="009C13B9">
        <w:rPr>
          <w:b/>
        </w:rPr>
        <w:t>ERTIFICATION:</w:t>
      </w:r>
    </w:p>
    <w:p w14:paraId="522E0866" w14:textId="77777777" w:rsidR="00441434" w:rsidRDefault="00441434">
      <w:pPr>
        <w:rPr>
          <w:sz w:val="16"/>
          <w:szCs w:val="16"/>
        </w:rPr>
      </w:pPr>
    </w:p>
    <w:p w14:paraId="522E0867" w14:textId="77777777" w:rsidR="008101A5" w:rsidRPr="009C13B9" w:rsidRDefault="008101A5" w:rsidP="008101A5">
      <w:r>
        <w:t xml:space="preserve">I certify the following to be true: </w:t>
      </w:r>
    </w:p>
    <w:p w14:paraId="522E0868" w14:textId="77777777" w:rsidR="008101A5" w:rsidRDefault="008101A5" w:rsidP="008101A5">
      <w:pPr>
        <w:pStyle w:val="ListParagraph"/>
        <w:numPr>
          <w:ilvl w:val="0"/>
          <w:numId w:val="14"/>
        </w:numPr>
      </w:pPr>
      <w:r>
        <w:t>The collection is voluntary.</w:t>
      </w:r>
      <w:r w:rsidRPr="00C14CC4">
        <w:t xml:space="preserve"> </w:t>
      </w:r>
    </w:p>
    <w:p w14:paraId="522E086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2E086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22E086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22E086C" w14:textId="77777777"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22E086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22E086E" w14:textId="77777777" w:rsidR="009C13B9" w:rsidRDefault="009C13B9" w:rsidP="009C13B9"/>
    <w:p w14:paraId="2A264BBF" w14:textId="635A68D0" w:rsidR="00B77312" w:rsidRDefault="009C13B9" w:rsidP="009C13B9">
      <w:r>
        <w:t>Name:</w:t>
      </w:r>
      <w:r w:rsidR="00B77312">
        <w:t xml:space="preserve"> </w:t>
      </w:r>
      <w:r w:rsidR="00EF32FB">
        <w:t>Tim Shaughnessy, Technical Advisor, OCPO, (202) 447-0908</w:t>
      </w:r>
    </w:p>
    <w:p w14:paraId="522E086F" w14:textId="1A3499A8" w:rsidR="009C13B9" w:rsidRDefault="00B77312" w:rsidP="009C13B9">
      <w:r>
        <w:t xml:space="preserve"> </w:t>
      </w:r>
      <w:r w:rsidR="009C13B9">
        <w:t>____________________________________________</w:t>
      </w:r>
      <w:r>
        <w:t>_____________</w:t>
      </w:r>
      <w:r w:rsidR="009C13B9">
        <w:t>_</w:t>
      </w:r>
    </w:p>
    <w:p w14:paraId="522E0870" w14:textId="77777777" w:rsidR="009C13B9" w:rsidRDefault="009C13B9" w:rsidP="009C13B9">
      <w:pPr>
        <w:pStyle w:val="ListParagraph"/>
        <w:ind w:left="360"/>
      </w:pPr>
    </w:p>
    <w:p w14:paraId="522E0871" w14:textId="77777777" w:rsidR="009C13B9" w:rsidRDefault="009C13B9" w:rsidP="009C13B9">
      <w:r>
        <w:t>To assist review, please provide answers to the following question:</w:t>
      </w:r>
    </w:p>
    <w:p w14:paraId="522E0872" w14:textId="77777777" w:rsidR="009C13B9" w:rsidRDefault="009C13B9" w:rsidP="009C13B9">
      <w:pPr>
        <w:pStyle w:val="ListParagraph"/>
        <w:ind w:left="360"/>
      </w:pPr>
    </w:p>
    <w:p w14:paraId="522E0873" w14:textId="77777777" w:rsidR="009C13B9" w:rsidRPr="00C86E91" w:rsidRDefault="00C86E91" w:rsidP="00C86E91">
      <w:pPr>
        <w:rPr>
          <w:b/>
        </w:rPr>
      </w:pPr>
      <w:r w:rsidRPr="00C86E91">
        <w:rPr>
          <w:b/>
        </w:rPr>
        <w:t>Personally Identifiable Information:</w:t>
      </w:r>
    </w:p>
    <w:p w14:paraId="522E0874" w14:textId="377A96AB"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4154C">
        <w:t>X</w:t>
      </w:r>
      <w:r w:rsidR="009239AA">
        <w:t xml:space="preserve"> ]  No </w:t>
      </w:r>
    </w:p>
    <w:p w14:paraId="522E0875"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14:paraId="522E0876" w14:textId="68068D24" w:rsidR="00C86E91" w:rsidRDefault="00C86E91" w:rsidP="00C86E91">
      <w:pPr>
        <w:pStyle w:val="ListParagraph"/>
        <w:numPr>
          <w:ilvl w:val="0"/>
          <w:numId w:val="18"/>
        </w:numPr>
      </w:pPr>
      <w:r>
        <w:t xml:space="preserve">If Applicable, has a System or Records Notice been published?  [  ] Yes  [ </w:t>
      </w:r>
      <w:r w:rsidR="0024154C">
        <w:t>X</w:t>
      </w:r>
      <w:r>
        <w:t xml:space="preserve"> ] No</w:t>
      </w:r>
    </w:p>
    <w:p w14:paraId="522E0877" w14:textId="77777777" w:rsidR="00C86E91" w:rsidRPr="00C86E91" w:rsidRDefault="00CB1078" w:rsidP="00C86E91">
      <w:pPr>
        <w:pStyle w:val="ListParagraph"/>
        <w:ind w:left="0"/>
        <w:rPr>
          <w:b/>
        </w:rPr>
      </w:pPr>
      <w:r>
        <w:rPr>
          <w:b/>
        </w:rPr>
        <w:t>Gifts or Payments</w:t>
      </w:r>
      <w:r w:rsidR="00C86E91">
        <w:rPr>
          <w:b/>
        </w:rPr>
        <w:t>:</w:t>
      </w:r>
    </w:p>
    <w:p w14:paraId="522E0878" w14:textId="27B50ED3" w:rsidR="00C86E91" w:rsidRDefault="00C86E91" w:rsidP="00C86E91">
      <w:r>
        <w:t xml:space="preserve">Is an incentive (e.g., money or reimbursement of expenses, token of appreciation) provided to participants?  [  ] Yes </w:t>
      </w:r>
      <w:proofErr w:type="gramStart"/>
      <w:r>
        <w:t xml:space="preserve">[ </w:t>
      </w:r>
      <w:r w:rsidR="0024154C">
        <w:t>X</w:t>
      </w:r>
      <w:proofErr w:type="gramEnd"/>
      <w:r>
        <w:t xml:space="preserve">] No  </w:t>
      </w:r>
    </w:p>
    <w:p w14:paraId="522E0879" w14:textId="77777777" w:rsidR="004D6E14" w:rsidRDefault="004D6E14">
      <w:pPr>
        <w:rPr>
          <w:b/>
        </w:rPr>
      </w:pPr>
    </w:p>
    <w:p w14:paraId="522E087D" w14:textId="77777777" w:rsidR="005E714A" w:rsidRDefault="005E714A" w:rsidP="00C86E91">
      <w:pPr>
        <w:rPr>
          <w:i/>
        </w:rPr>
      </w:pPr>
      <w:r>
        <w:rPr>
          <w:b/>
        </w:rPr>
        <w:t>BURDEN HOUR</w:t>
      </w:r>
      <w:r w:rsidR="00441434">
        <w:rPr>
          <w:b/>
        </w:rPr>
        <w:t>S</w:t>
      </w:r>
      <w:r>
        <w:t xml:space="preserve"> </w:t>
      </w:r>
    </w:p>
    <w:p w14:paraId="522E087E"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522E0883" w14:textId="77777777" w:rsidTr="00EF2095">
        <w:trPr>
          <w:trHeight w:val="274"/>
        </w:trPr>
        <w:tc>
          <w:tcPr>
            <w:tcW w:w="5418" w:type="dxa"/>
          </w:tcPr>
          <w:p w14:paraId="522E087F" w14:textId="77777777" w:rsidR="006832D9" w:rsidRPr="00F6240A" w:rsidRDefault="00E40B50" w:rsidP="00C8488C">
            <w:pPr>
              <w:rPr>
                <w:b/>
              </w:rPr>
            </w:pPr>
            <w:r>
              <w:rPr>
                <w:b/>
              </w:rPr>
              <w:t>Category of Respondent</w:t>
            </w:r>
            <w:r w:rsidR="00EF2095">
              <w:rPr>
                <w:b/>
              </w:rPr>
              <w:t xml:space="preserve"> </w:t>
            </w:r>
          </w:p>
        </w:tc>
        <w:tc>
          <w:tcPr>
            <w:tcW w:w="1530" w:type="dxa"/>
          </w:tcPr>
          <w:p w14:paraId="522E0880"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522E0881" w14:textId="77777777" w:rsidR="006832D9" w:rsidRPr="00F6240A" w:rsidRDefault="006832D9" w:rsidP="00843796">
            <w:pPr>
              <w:rPr>
                <w:b/>
              </w:rPr>
            </w:pPr>
            <w:r w:rsidRPr="00F6240A">
              <w:rPr>
                <w:b/>
              </w:rPr>
              <w:t>Participation Time</w:t>
            </w:r>
          </w:p>
        </w:tc>
        <w:tc>
          <w:tcPr>
            <w:tcW w:w="1003" w:type="dxa"/>
          </w:tcPr>
          <w:p w14:paraId="522E0882" w14:textId="77777777" w:rsidR="006832D9" w:rsidRPr="00F6240A" w:rsidRDefault="006832D9" w:rsidP="00843796">
            <w:pPr>
              <w:rPr>
                <w:b/>
              </w:rPr>
            </w:pPr>
            <w:r w:rsidRPr="00F6240A">
              <w:rPr>
                <w:b/>
              </w:rPr>
              <w:t>Burden</w:t>
            </w:r>
          </w:p>
        </w:tc>
      </w:tr>
      <w:tr w:rsidR="00EF2095" w14:paraId="522E0888" w14:textId="77777777" w:rsidTr="00EF2095">
        <w:trPr>
          <w:trHeight w:val="274"/>
        </w:trPr>
        <w:tc>
          <w:tcPr>
            <w:tcW w:w="5418" w:type="dxa"/>
          </w:tcPr>
          <w:p w14:paraId="11C26EE9" w14:textId="6B25964A" w:rsidR="002C5903" w:rsidRDefault="002C5903" w:rsidP="000F1F06">
            <w:r>
              <w:t>Private Sector</w:t>
            </w:r>
          </w:p>
          <w:p w14:paraId="1C039730" w14:textId="77777777" w:rsidR="002C5903" w:rsidRDefault="002C5903" w:rsidP="000F1F06"/>
          <w:p w14:paraId="522E0884" w14:textId="79B7B4CA" w:rsidR="006832D9" w:rsidRDefault="000F1F06" w:rsidP="000F1F06">
            <w:r>
              <w:t xml:space="preserve">Note – this estimate assumes 100% response rate.  However, we expect to realize a 40% response rate on survey </w:t>
            </w:r>
          </w:p>
        </w:tc>
        <w:tc>
          <w:tcPr>
            <w:tcW w:w="1530" w:type="dxa"/>
          </w:tcPr>
          <w:p w14:paraId="7AD8A94A" w14:textId="77777777" w:rsidR="006832D9" w:rsidRDefault="000F1F06" w:rsidP="00843796">
            <w:r>
              <w:t>162</w:t>
            </w:r>
          </w:p>
          <w:p w14:paraId="522E0885" w14:textId="18BE4599" w:rsidR="000F1F06" w:rsidRDefault="000F1F06" w:rsidP="000F1F06">
            <w:r>
              <w:t>65 contracts x 2.5 avg.  vendors per contract</w:t>
            </w:r>
          </w:p>
        </w:tc>
        <w:tc>
          <w:tcPr>
            <w:tcW w:w="1710" w:type="dxa"/>
          </w:tcPr>
          <w:p w14:paraId="522E0886" w14:textId="525CB7C6" w:rsidR="006832D9" w:rsidRDefault="0024154C" w:rsidP="00843796">
            <w:r>
              <w:t>1</w:t>
            </w:r>
            <w:r w:rsidR="00B01EC2">
              <w:t>0</w:t>
            </w:r>
            <w:r>
              <w:t xml:space="preserve"> mins</w:t>
            </w:r>
          </w:p>
        </w:tc>
        <w:tc>
          <w:tcPr>
            <w:tcW w:w="1003" w:type="dxa"/>
          </w:tcPr>
          <w:p w14:paraId="522E0887" w14:textId="37BB7A37" w:rsidR="006832D9" w:rsidRDefault="00B01EC2" w:rsidP="00BB1C8F">
            <w:r>
              <w:t>27</w:t>
            </w:r>
            <w:r w:rsidR="00BB1C8F">
              <w:t xml:space="preserve"> hours</w:t>
            </w:r>
          </w:p>
        </w:tc>
      </w:tr>
      <w:tr w:rsidR="00EF2095" w14:paraId="522E088D" w14:textId="77777777" w:rsidTr="00EF2095">
        <w:trPr>
          <w:trHeight w:val="274"/>
        </w:trPr>
        <w:tc>
          <w:tcPr>
            <w:tcW w:w="5418" w:type="dxa"/>
          </w:tcPr>
          <w:p w14:paraId="522E0889" w14:textId="77777777" w:rsidR="006832D9" w:rsidRDefault="006832D9" w:rsidP="00843796"/>
        </w:tc>
        <w:tc>
          <w:tcPr>
            <w:tcW w:w="1530" w:type="dxa"/>
          </w:tcPr>
          <w:p w14:paraId="522E088A" w14:textId="77777777" w:rsidR="006832D9" w:rsidRDefault="006832D9" w:rsidP="00843796"/>
        </w:tc>
        <w:tc>
          <w:tcPr>
            <w:tcW w:w="1710" w:type="dxa"/>
          </w:tcPr>
          <w:p w14:paraId="522E088B" w14:textId="77777777" w:rsidR="006832D9" w:rsidRDefault="006832D9" w:rsidP="00843796"/>
        </w:tc>
        <w:tc>
          <w:tcPr>
            <w:tcW w:w="1003" w:type="dxa"/>
          </w:tcPr>
          <w:p w14:paraId="522E088C" w14:textId="77777777" w:rsidR="006832D9" w:rsidRDefault="006832D9" w:rsidP="00843796"/>
        </w:tc>
      </w:tr>
      <w:tr w:rsidR="00EF2095" w14:paraId="522E0892" w14:textId="77777777" w:rsidTr="00EF2095">
        <w:trPr>
          <w:trHeight w:val="289"/>
        </w:trPr>
        <w:tc>
          <w:tcPr>
            <w:tcW w:w="5418" w:type="dxa"/>
          </w:tcPr>
          <w:p w14:paraId="522E088E" w14:textId="77777777" w:rsidR="006832D9" w:rsidRPr="00F6240A" w:rsidRDefault="006832D9" w:rsidP="00843796">
            <w:pPr>
              <w:rPr>
                <w:b/>
              </w:rPr>
            </w:pPr>
            <w:r>
              <w:rPr>
                <w:b/>
              </w:rPr>
              <w:t>Totals</w:t>
            </w:r>
          </w:p>
        </w:tc>
        <w:tc>
          <w:tcPr>
            <w:tcW w:w="1530" w:type="dxa"/>
          </w:tcPr>
          <w:p w14:paraId="522E088F" w14:textId="30CB499D" w:rsidR="006832D9" w:rsidRPr="00F6240A" w:rsidRDefault="00BB1C8F" w:rsidP="00843796">
            <w:pPr>
              <w:rPr>
                <w:b/>
              </w:rPr>
            </w:pPr>
            <w:r>
              <w:rPr>
                <w:b/>
              </w:rPr>
              <w:t>162</w:t>
            </w:r>
          </w:p>
        </w:tc>
        <w:tc>
          <w:tcPr>
            <w:tcW w:w="1710" w:type="dxa"/>
          </w:tcPr>
          <w:p w14:paraId="522E0890" w14:textId="730FF6E7" w:rsidR="006832D9" w:rsidRDefault="00B01EC2" w:rsidP="00843796">
            <w:r>
              <w:t xml:space="preserve">10 </w:t>
            </w:r>
            <w:r w:rsidR="0001394F">
              <w:t>mins</w:t>
            </w:r>
          </w:p>
        </w:tc>
        <w:tc>
          <w:tcPr>
            <w:tcW w:w="1003" w:type="dxa"/>
          </w:tcPr>
          <w:p w14:paraId="522E0891" w14:textId="353024C2" w:rsidR="006832D9" w:rsidRPr="00F6240A" w:rsidRDefault="00B01EC2" w:rsidP="00BB1C8F">
            <w:pPr>
              <w:rPr>
                <w:b/>
              </w:rPr>
            </w:pPr>
            <w:r>
              <w:rPr>
                <w:b/>
              </w:rPr>
              <w:t>27</w:t>
            </w:r>
          </w:p>
        </w:tc>
      </w:tr>
    </w:tbl>
    <w:p w14:paraId="522E0893" w14:textId="77777777" w:rsidR="00F3170F" w:rsidRDefault="00F3170F" w:rsidP="00F3170F"/>
    <w:p w14:paraId="522E0894" w14:textId="77777777" w:rsidR="00441434" w:rsidRDefault="00441434" w:rsidP="00F3170F"/>
    <w:p w14:paraId="522E0895" w14:textId="5989B149"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w:t>
      </w:r>
      <w:r w:rsidR="0001394F">
        <w:t xml:space="preserve"> the Federal government </w:t>
      </w:r>
      <w:proofErr w:type="gramStart"/>
      <w:r w:rsidR="0001394F" w:rsidRPr="00B0566D">
        <w:rPr>
          <w:color w:val="000000" w:themeColor="text1"/>
        </w:rPr>
        <w:t xml:space="preserve">is  </w:t>
      </w:r>
      <w:r w:rsidR="00B0566D" w:rsidRPr="00B0566D">
        <w:rPr>
          <w:b/>
          <w:bCs/>
          <w:color w:val="000000" w:themeColor="text1"/>
        </w:rPr>
        <w:t>$</w:t>
      </w:r>
      <w:proofErr w:type="gramEnd"/>
      <w:r w:rsidR="00B0566D" w:rsidRPr="00B0566D">
        <w:rPr>
          <w:b/>
          <w:bCs/>
          <w:color w:val="000000" w:themeColor="text1"/>
        </w:rPr>
        <w:t>5,586</w:t>
      </w:r>
    </w:p>
    <w:p w14:paraId="7D694CD4" w14:textId="77777777" w:rsidR="00FA0BB2" w:rsidRDefault="00FA0BB2"/>
    <w:p w14:paraId="0337861E" w14:textId="42EE8D8E" w:rsidR="00B0566D" w:rsidRPr="00B0566D" w:rsidRDefault="00B0566D" w:rsidP="00B0566D">
      <w:pPr>
        <w:rPr>
          <w:b/>
          <w:bCs/>
          <w:color w:val="000000" w:themeColor="text1"/>
          <w:sz w:val="22"/>
          <w:szCs w:val="22"/>
        </w:rPr>
      </w:pPr>
      <w:r w:rsidRPr="00B0566D">
        <w:rPr>
          <w:b/>
          <w:color w:val="000000" w:themeColor="text1"/>
        </w:rPr>
        <w:t>D</w:t>
      </w:r>
      <w:r w:rsidRPr="00B0566D">
        <w:rPr>
          <w:b/>
          <w:bCs/>
          <w:color w:val="000000" w:themeColor="text1"/>
        </w:rPr>
        <w:t>etail of Burden Hours Calculation:</w:t>
      </w:r>
    </w:p>
    <w:p w14:paraId="0420D8F6" w14:textId="77777777" w:rsidR="00B0566D" w:rsidRPr="00B0566D" w:rsidRDefault="00B0566D" w:rsidP="00B0566D">
      <w:pPr>
        <w:rPr>
          <w:color w:val="000000" w:themeColor="text1"/>
        </w:rPr>
      </w:pPr>
    </w:p>
    <w:p w14:paraId="7B300159" w14:textId="77777777" w:rsidR="00B0566D" w:rsidRPr="00B0566D" w:rsidRDefault="00B0566D" w:rsidP="00B0566D">
      <w:pPr>
        <w:ind w:firstLine="720"/>
        <w:rPr>
          <w:color w:val="000000" w:themeColor="text1"/>
        </w:rPr>
      </w:pPr>
      <w:r w:rsidRPr="00B0566D">
        <w:rPr>
          <w:color w:val="000000" w:themeColor="text1"/>
        </w:rPr>
        <w:t>Category of Respondents:  Federal Government</w:t>
      </w:r>
    </w:p>
    <w:p w14:paraId="7BB0BC10" w14:textId="77777777" w:rsidR="00B0566D" w:rsidRPr="00B0566D" w:rsidRDefault="00B0566D" w:rsidP="00B0566D">
      <w:pPr>
        <w:rPr>
          <w:color w:val="000000" w:themeColor="text1"/>
        </w:rPr>
      </w:pPr>
    </w:p>
    <w:p w14:paraId="462BB5C3" w14:textId="77777777" w:rsidR="00B0566D" w:rsidRPr="00B0566D" w:rsidRDefault="00B0566D" w:rsidP="00B0566D">
      <w:pPr>
        <w:ind w:firstLine="720"/>
        <w:rPr>
          <w:color w:val="000000" w:themeColor="text1"/>
        </w:rPr>
      </w:pPr>
      <w:r w:rsidRPr="00B0566D">
        <w:rPr>
          <w:color w:val="000000" w:themeColor="text1"/>
        </w:rPr>
        <w:t>Estimated Number of Respondents: 130</w:t>
      </w:r>
      <w:proofErr w:type="gramStart"/>
      <w:r w:rsidRPr="00B0566D">
        <w:rPr>
          <w:color w:val="000000" w:themeColor="text1"/>
        </w:rPr>
        <w:t>  (</w:t>
      </w:r>
      <w:proofErr w:type="gramEnd"/>
      <w:r w:rsidRPr="00B0566D">
        <w:rPr>
          <w:color w:val="000000" w:themeColor="text1"/>
        </w:rPr>
        <w:t>65 contracts with a respondent from both the contracting office and program office</w:t>
      </w:r>
    </w:p>
    <w:p w14:paraId="15E8CEBD" w14:textId="77777777" w:rsidR="00B0566D" w:rsidRPr="00B0566D" w:rsidRDefault="00B0566D" w:rsidP="00B0566D">
      <w:pPr>
        <w:pStyle w:val="ListParagraph"/>
        <w:rPr>
          <w:color w:val="000000" w:themeColor="text1"/>
        </w:rPr>
      </w:pPr>
    </w:p>
    <w:p w14:paraId="1F4FD46C" w14:textId="77777777" w:rsidR="00B0566D" w:rsidRPr="00B0566D" w:rsidRDefault="00B0566D" w:rsidP="00B0566D">
      <w:pPr>
        <w:rPr>
          <w:color w:val="000000" w:themeColor="text1"/>
        </w:rPr>
      </w:pPr>
      <w:r w:rsidRPr="00B0566D">
        <w:rPr>
          <w:color w:val="000000" w:themeColor="text1"/>
        </w:rPr>
        <w:t>                Participation Time:          10 minutes to complete the survey</w:t>
      </w:r>
    </w:p>
    <w:p w14:paraId="5494E9B5" w14:textId="77777777" w:rsidR="00B0566D" w:rsidRPr="00B0566D" w:rsidRDefault="00B0566D" w:rsidP="00B0566D">
      <w:pPr>
        <w:rPr>
          <w:color w:val="000000" w:themeColor="text1"/>
        </w:rPr>
      </w:pPr>
      <w:r w:rsidRPr="00B0566D">
        <w:rPr>
          <w:color w:val="000000" w:themeColor="text1"/>
        </w:rPr>
        <w:t>                                                                60 hours of survey administration and results analysis (40 hours for a GS-13, 20 hours for a GS-14)</w:t>
      </w:r>
    </w:p>
    <w:p w14:paraId="6FD6A09D" w14:textId="77777777" w:rsidR="00B0566D" w:rsidRPr="00B0566D" w:rsidRDefault="00B0566D" w:rsidP="00B0566D">
      <w:pPr>
        <w:rPr>
          <w:color w:val="000000" w:themeColor="text1"/>
        </w:rPr>
      </w:pPr>
    </w:p>
    <w:p w14:paraId="17DC9B67" w14:textId="77777777" w:rsidR="00B0566D" w:rsidRPr="00B0566D" w:rsidRDefault="00B0566D" w:rsidP="00B0566D">
      <w:pPr>
        <w:rPr>
          <w:color w:val="000000" w:themeColor="text1"/>
        </w:rPr>
      </w:pPr>
      <w:r w:rsidRPr="00B0566D">
        <w:rPr>
          <w:color w:val="000000" w:themeColor="text1"/>
        </w:rPr>
        <w:t>                Burden:  130 responses x 10 minutes per survey = 1300 minutes or 21.66 hours</w:t>
      </w:r>
    </w:p>
    <w:p w14:paraId="05427558" w14:textId="77777777" w:rsidR="00B0566D" w:rsidRPr="00B0566D" w:rsidRDefault="00B0566D" w:rsidP="00B0566D">
      <w:pPr>
        <w:rPr>
          <w:color w:val="000000" w:themeColor="text1"/>
        </w:rPr>
      </w:pPr>
      <w:r w:rsidRPr="00B0566D">
        <w:rPr>
          <w:color w:val="000000" w:themeColor="text1"/>
        </w:rPr>
        <w:t>                                  60 hours of survey administration and results analysis</w:t>
      </w:r>
    </w:p>
    <w:p w14:paraId="619C69EA" w14:textId="77777777" w:rsidR="00B0566D" w:rsidRPr="00B0566D" w:rsidRDefault="00B0566D" w:rsidP="00B0566D">
      <w:pPr>
        <w:rPr>
          <w:color w:val="000000" w:themeColor="text1"/>
        </w:rPr>
      </w:pPr>
    </w:p>
    <w:p w14:paraId="489811A5" w14:textId="77777777" w:rsidR="00B0566D" w:rsidRPr="00B0566D" w:rsidRDefault="00B0566D" w:rsidP="00B0566D">
      <w:pPr>
        <w:rPr>
          <w:color w:val="000000" w:themeColor="text1"/>
        </w:rPr>
      </w:pPr>
      <w:r w:rsidRPr="00B0566D">
        <w:rPr>
          <w:color w:val="000000" w:themeColor="text1"/>
        </w:rPr>
        <w:lastRenderedPageBreak/>
        <w:t>                Average hourly rate for an employee:  $62.42 (GS-13) and $74.16 (GS-14)</w:t>
      </w:r>
    </w:p>
    <w:p w14:paraId="0CE9C667" w14:textId="77777777" w:rsidR="00B0566D" w:rsidRPr="00B0566D" w:rsidRDefault="00B0566D" w:rsidP="00B0566D">
      <w:pPr>
        <w:rPr>
          <w:color w:val="000000" w:themeColor="text1"/>
        </w:rPr>
      </w:pPr>
    </w:p>
    <w:p w14:paraId="7F6D20A0" w14:textId="77777777" w:rsidR="00B0566D" w:rsidRPr="00B0566D" w:rsidRDefault="00B0566D" w:rsidP="00B0566D">
      <w:pPr>
        <w:rPr>
          <w:color w:val="000000" w:themeColor="text1"/>
        </w:rPr>
      </w:pPr>
      <w:r w:rsidRPr="00B0566D">
        <w:rPr>
          <w:color w:val="000000" w:themeColor="text1"/>
        </w:rPr>
        <w:t>Total Estimated Federal Cost:    21.66 hours x $74.16 per hour = $1,606</w:t>
      </w:r>
    </w:p>
    <w:p w14:paraId="188997B5" w14:textId="77777777" w:rsidR="00B0566D" w:rsidRPr="00B0566D" w:rsidRDefault="00B0566D" w:rsidP="00B0566D">
      <w:pPr>
        <w:rPr>
          <w:color w:val="000000" w:themeColor="text1"/>
        </w:rPr>
      </w:pPr>
      <w:r w:rsidRPr="00B0566D">
        <w:rPr>
          <w:color w:val="000000" w:themeColor="text1"/>
        </w:rPr>
        <w:t>                                                                60 hours (40 hours x $62.42 = $2,497 and 20 hours x $74.16 = $1,483)</w:t>
      </w:r>
      <w:proofErr w:type="gramStart"/>
      <w:r w:rsidRPr="00B0566D">
        <w:rPr>
          <w:color w:val="000000" w:themeColor="text1"/>
        </w:rPr>
        <w:t>  =</w:t>
      </w:r>
      <w:proofErr w:type="gramEnd"/>
      <w:r w:rsidRPr="00B0566D">
        <w:rPr>
          <w:color w:val="000000" w:themeColor="text1"/>
        </w:rPr>
        <w:t xml:space="preserve"> $3,980</w:t>
      </w:r>
    </w:p>
    <w:p w14:paraId="718DBEB6" w14:textId="77777777" w:rsidR="00B0566D" w:rsidRPr="00B0566D" w:rsidRDefault="00B0566D" w:rsidP="00B0566D">
      <w:pPr>
        <w:rPr>
          <w:color w:val="000000" w:themeColor="text1"/>
        </w:rPr>
      </w:pPr>
    </w:p>
    <w:p w14:paraId="65DA42A7" w14:textId="77777777" w:rsidR="00B0566D" w:rsidRPr="00B0566D" w:rsidRDefault="00B0566D" w:rsidP="00B0566D">
      <w:pPr>
        <w:rPr>
          <w:color w:val="000000" w:themeColor="text1"/>
        </w:rPr>
      </w:pPr>
      <w:r w:rsidRPr="00B0566D">
        <w:rPr>
          <w:color w:val="000000" w:themeColor="text1"/>
        </w:rPr>
        <w:t xml:space="preserve">                                                                </w:t>
      </w:r>
      <w:r w:rsidRPr="00B0566D">
        <w:rPr>
          <w:b/>
          <w:bCs/>
          <w:color w:val="000000" w:themeColor="text1"/>
        </w:rPr>
        <w:t>Total - $1,606 + $3,980 =</w:t>
      </w:r>
      <w:r w:rsidRPr="00B0566D">
        <w:rPr>
          <w:color w:val="000000" w:themeColor="text1"/>
        </w:rPr>
        <w:t xml:space="preserve"> </w:t>
      </w:r>
      <w:r w:rsidRPr="00B0566D">
        <w:rPr>
          <w:b/>
          <w:bCs/>
          <w:color w:val="000000" w:themeColor="text1"/>
        </w:rPr>
        <w:t>$5,586</w:t>
      </w:r>
    </w:p>
    <w:p w14:paraId="013BE84C" w14:textId="77777777" w:rsidR="00B0566D" w:rsidRDefault="00B0566D" w:rsidP="00B0566D">
      <w:pPr>
        <w:rPr>
          <w:color w:val="1F497D"/>
        </w:rPr>
      </w:pPr>
    </w:p>
    <w:p w14:paraId="4BB56CE8" w14:textId="2F0DC110" w:rsidR="00FA0BB2" w:rsidRPr="0098755F" w:rsidRDefault="00B0566D">
      <w:r w:rsidRPr="0098755F">
        <w:t>Note:  Analysis and follow-up actions on Acquisition 360 results will be performed by DHS analysts and specialists as a part of their current performance duties</w:t>
      </w:r>
    </w:p>
    <w:p w14:paraId="522E0896" w14:textId="77777777" w:rsidR="00ED6492" w:rsidRPr="0098755F" w:rsidRDefault="00ED6492">
      <w:pPr>
        <w:rPr>
          <w:bCs/>
          <w:u w:val="single"/>
        </w:rPr>
      </w:pPr>
    </w:p>
    <w:p w14:paraId="522E0897" w14:textId="1543AB1E" w:rsidR="0069403B" w:rsidRDefault="00ED6492" w:rsidP="00F06866">
      <w:pPr>
        <w:rPr>
          <w:b/>
        </w:rPr>
      </w:pPr>
      <w:r>
        <w:rPr>
          <w:b/>
          <w:bCs/>
          <w:u w:val="single"/>
        </w:rPr>
        <w:t xml:space="preserve">If you are conducting a focus group, survey, or plan to employ statistical methods, </w:t>
      </w:r>
      <w:r w:rsidR="009A1EE8">
        <w:rPr>
          <w:b/>
          <w:bCs/>
          <w:u w:val="single"/>
        </w:rPr>
        <w:t>please provide</w:t>
      </w:r>
      <w:r w:rsidR="0069403B">
        <w:rPr>
          <w:b/>
          <w:bCs/>
          <w:u w:val="single"/>
        </w:rPr>
        <w:t xml:space="preserve"> answers to the following questions:</w:t>
      </w:r>
    </w:p>
    <w:p w14:paraId="522E0898" w14:textId="77777777" w:rsidR="0069403B" w:rsidRDefault="0069403B" w:rsidP="00F06866">
      <w:pPr>
        <w:rPr>
          <w:b/>
        </w:rPr>
      </w:pPr>
    </w:p>
    <w:p w14:paraId="522E0899" w14:textId="77777777" w:rsidR="00F06866" w:rsidRDefault="00636621" w:rsidP="00F06866">
      <w:pPr>
        <w:rPr>
          <w:b/>
        </w:rPr>
      </w:pPr>
      <w:r>
        <w:rPr>
          <w:b/>
        </w:rPr>
        <w:t>The</w:t>
      </w:r>
      <w:r w:rsidR="0069403B">
        <w:rPr>
          <w:b/>
        </w:rPr>
        <w:t xml:space="preserve"> select</w:t>
      </w:r>
      <w:r>
        <w:rPr>
          <w:b/>
        </w:rPr>
        <w:t>ion of your targeted respondents</w:t>
      </w:r>
    </w:p>
    <w:p w14:paraId="522E089A" w14:textId="5F3C01C5"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4154C">
        <w:t>X</w:t>
      </w:r>
      <w:r>
        <w:t xml:space="preserve"> ] Yes</w:t>
      </w:r>
      <w:r>
        <w:tab/>
        <w:t>[ ] No</w:t>
      </w:r>
    </w:p>
    <w:p w14:paraId="522E089B" w14:textId="77777777" w:rsidR="00636621" w:rsidRDefault="00636621" w:rsidP="00636621">
      <w:pPr>
        <w:pStyle w:val="ListParagraph"/>
      </w:pPr>
    </w:p>
    <w:p w14:paraId="522E089C"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22E089D" w14:textId="77777777" w:rsidR="00A403BB" w:rsidRDefault="00A403BB" w:rsidP="00A403BB">
      <w:pPr>
        <w:pStyle w:val="ListParagraph"/>
      </w:pPr>
    </w:p>
    <w:p w14:paraId="24EAA234" w14:textId="12EF10B8" w:rsidR="0001394F" w:rsidRPr="0001394F" w:rsidRDefault="0001394F" w:rsidP="0001394F">
      <w:pPr>
        <w:spacing w:after="160" w:line="256" w:lineRule="auto"/>
        <w:rPr>
          <w:b/>
          <w:sz w:val="22"/>
          <w:szCs w:val="22"/>
          <w:u w:val="single"/>
        </w:rPr>
      </w:pPr>
      <w:r w:rsidRPr="0001394F">
        <w:t>DHS OPCO performed</w:t>
      </w:r>
      <w:r w:rsidRPr="0001394F">
        <w:rPr>
          <w:b/>
        </w:rPr>
        <w:t xml:space="preserve"> </w:t>
      </w:r>
      <w:r w:rsidRPr="0001394F">
        <w:t>a preliminary analysis of contract spend over the past twelve months and applied the following parameters to each of our Component Contracting Offices:</w:t>
      </w:r>
    </w:p>
    <w:p w14:paraId="585D6374" w14:textId="77777777" w:rsidR="0001394F" w:rsidRPr="0001394F" w:rsidRDefault="0001394F" w:rsidP="0001394F">
      <w:pPr>
        <w:pStyle w:val="ListParagraph"/>
      </w:pPr>
    </w:p>
    <w:p w14:paraId="11BD4CAF" w14:textId="77777777" w:rsidR="0001394F" w:rsidRPr="0001394F" w:rsidRDefault="0001394F" w:rsidP="0001394F">
      <w:pPr>
        <w:pStyle w:val="ListParagraph"/>
        <w:numPr>
          <w:ilvl w:val="0"/>
          <w:numId w:val="20"/>
        </w:numPr>
        <w:spacing w:after="160" w:line="256" w:lineRule="auto"/>
        <w:rPr>
          <w:b/>
          <w:u w:val="single"/>
        </w:rPr>
      </w:pPr>
      <w:r w:rsidRPr="0001394F">
        <w:t>Number of surveys per Component determined by percentage of DHS total contract spend</w:t>
      </w:r>
    </w:p>
    <w:p w14:paraId="26338C80" w14:textId="77777777" w:rsidR="0001394F" w:rsidRPr="0001394F" w:rsidRDefault="0001394F" w:rsidP="0001394F">
      <w:pPr>
        <w:pStyle w:val="ListParagraph"/>
        <w:numPr>
          <w:ilvl w:val="0"/>
          <w:numId w:val="20"/>
        </w:numPr>
        <w:spacing w:after="160" w:line="256" w:lineRule="auto"/>
        <w:rPr>
          <w:b/>
          <w:u w:val="single"/>
        </w:rPr>
      </w:pPr>
      <w:r w:rsidRPr="0001394F">
        <w:t>Minimum number of surveys per Component set to 2</w:t>
      </w:r>
    </w:p>
    <w:p w14:paraId="22A1C373" w14:textId="77777777" w:rsidR="0001394F" w:rsidRPr="0001394F" w:rsidRDefault="0001394F" w:rsidP="0001394F">
      <w:pPr>
        <w:pStyle w:val="ListParagraph"/>
        <w:numPr>
          <w:ilvl w:val="0"/>
          <w:numId w:val="20"/>
        </w:numPr>
        <w:spacing w:after="160" w:line="256" w:lineRule="auto"/>
        <w:rPr>
          <w:b/>
          <w:u w:val="single"/>
        </w:rPr>
      </w:pPr>
      <w:r w:rsidRPr="0001394F">
        <w:t>Number per spend category determined by percent of new awards falling in each category</w:t>
      </w:r>
    </w:p>
    <w:p w14:paraId="32D3C80D" w14:textId="77777777" w:rsidR="0001394F" w:rsidRPr="0001394F" w:rsidRDefault="0001394F" w:rsidP="0001394F">
      <w:pPr>
        <w:pStyle w:val="ListParagraph"/>
        <w:numPr>
          <w:ilvl w:val="0"/>
          <w:numId w:val="20"/>
        </w:numPr>
        <w:spacing w:after="160" w:line="256" w:lineRule="auto"/>
        <w:rPr>
          <w:b/>
          <w:u w:val="single"/>
        </w:rPr>
      </w:pPr>
      <w:r w:rsidRPr="0001394F">
        <w:t>Category definitions from Category Management Leadership Council (CMLC)</w:t>
      </w:r>
    </w:p>
    <w:p w14:paraId="01AE7A2F" w14:textId="77777777" w:rsidR="0001394F" w:rsidRPr="0001394F" w:rsidRDefault="0001394F" w:rsidP="0001394F">
      <w:pPr>
        <w:ind w:firstLine="720"/>
      </w:pPr>
      <w:r w:rsidRPr="0001394F">
        <w:t>The intended categories targeted for survey are:</w:t>
      </w:r>
    </w:p>
    <w:p w14:paraId="1D92204A" w14:textId="77777777" w:rsidR="0001394F" w:rsidRPr="0001394F" w:rsidRDefault="0001394F" w:rsidP="0001394F">
      <w:pPr>
        <w:pStyle w:val="ListParagraph"/>
        <w:numPr>
          <w:ilvl w:val="0"/>
          <w:numId w:val="20"/>
        </w:numPr>
        <w:spacing w:after="160" w:line="256" w:lineRule="auto"/>
      </w:pPr>
      <w:r w:rsidRPr="0001394F">
        <w:t xml:space="preserve"> IT – 22</w:t>
      </w:r>
    </w:p>
    <w:p w14:paraId="09ED67BE" w14:textId="77777777" w:rsidR="0001394F" w:rsidRPr="0001394F" w:rsidRDefault="0001394F" w:rsidP="0001394F">
      <w:pPr>
        <w:pStyle w:val="ListParagraph"/>
        <w:numPr>
          <w:ilvl w:val="0"/>
          <w:numId w:val="20"/>
        </w:numPr>
        <w:spacing w:after="160" w:line="256" w:lineRule="auto"/>
      </w:pPr>
      <w:r w:rsidRPr="0001394F">
        <w:t>Professional Services – 8</w:t>
      </w:r>
    </w:p>
    <w:p w14:paraId="73B1989F" w14:textId="77777777" w:rsidR="0001394F" w:rsidRPr="0001394F" w:rsidRDefault="0001394F" w:rsidP="0001394F">
      <w:pPr>
        <w:pStyle w:val="ListParagraph"/>
        <w:numPr>
          <w:ilvl w:val="0"/>
          <w:numId w:val="20"/>
        </w:numPr>
        <w:spacing w:after="160" w:line="256" w:lineRule="auto"/>
      </w:pPr>
      <w:r w:rsidRPr="0001394F">
        <w:t>Facilities &amp; Construction – 7</w:t>
      </w:r>
    </w:p>
    <w:p w14:paraId="7F38F93A" w14:textId="77777777" w:rsidR="0001394F" w:rsidRPr="0001394F" w:rsidRDefault="0001394F" w:rsidP="0001394F">
      <w:pPr>
        <w:pStyle w:val="ListParagraph"/>
        <w:numPr>
          <w:ilvl w:val="0"/>
          <w:numId w:val="20"/>
        </w:numPr>
        <w:spacing w:after="160" w:line="256" w:lineRule="auto"/>
      </w:pPr>
      <w:r w:rsidRPr="0001394F">
        <w:t>Office Management – 6</w:t>
      </w:r>
    </w:p>
    <w:p w14:paraId="47BE34CF" w14:textId="77777777" w:rsidR="0001394F" w:rsidRPr="0001394F" w:rsidRDefault="0001394F" w:rsidP="0001394F">
      <w:pPr>
        <w:pStyle w:val="ListParagraph"/>
        <w:numPr>
          <w:ilvl w:val="0"/>
          <w:numId w:val="20"/>
        </w:numPr>
        <w:spacing w:after="160" w:line="256" w:lineRule="auto"/>
      </w:pPr>
      <w:r w:rsidRPr="0001394F">
        <w:t>Security and Protection – 6</w:t>
      </w:r>
    </w:p>
    <w:p w14:paraId="66FCC416" w14:textId="77777777" w:rsidR="0001394F" w:rsidRPr="0001394F" w:rsidRDefault="0001394F" w:rsidP="0001394F">
      <w:pPr>
        <w:pStyle w:val="ListParagraph"/>
        <w:numPr>
          <w:ilvl w:val="0"/>
          <w:numId w:val="20"/>
        </w:numPr>
        <w:spacing w:after="160" w:line="256" w:lineRule="auto"/>
      </w:pPr>
      <w:r w:rsidRPr="0001394F">
        <w:t>Industrial Products and Services – 4</w:t>
      </w:r>
    </w:p>
    <w:p w14:paraId="09FB667F" w14:textId="77777777" w:rsidR="0001394F" w:rsidRPr="0001394F" w:rsidRDefault="0001394F" w:rsidP="0001394F">
      <w:pPr>
        <w:pStyle w:val="ListParagraph"/>
        <w:numPr>
          <w:ilvl w:val="0"/>
          <w:numId w:val="20"/>
        </w:numPr>
        <w:spacing w:after="160" w:line="256" w:lineRule="auto"/>
      </w:pPr>
      <w:r w:rsidRPr="0001394F">
        <w:t>Sustainment S&amp;E – 2</w:t>
      </w:r>
    </w:p>
    <w:p w14:paraId="0C97DC33" w14:textId="77777777" w:rsidR="0001394F" w:rsidRPr="0001394F" w:rsidRDefault="0001394F" w:rsidP="0001394F">
      <w:pPr>
        <w:pStyle w:val="ListParagraph"/>
        <w:numPr>
          <w:ilvl w:val="0"/>
          <w:numId w:val="20"/>
        </w:numPr>
        <w:spacing w:after="160" w:line="256" w:lineRule="auto"/>
      </w:pPr>
      <w:r w:rsidRPr="0001394F">
        <w:t>Equipment Related Services – 2</w:t>
      </w:r>
    </w:p>
    <w:p w14:paraId="38E73DA3" w14:textId="77777777" w:rsidR="0001394F" w:rsidRPr="0001394F" w:rsidRDefault="0001394F" w:rsidP="0001394F">
      <w:pPr>
        <w:pStyle w:val="ListParagraph"/>
        <w:numPr>
          <w:ilvl w:val="0"/>
          <w:numId w:val="20"/>
        </w:numPr>
        <w:spacing w:after="160" w:line="256" w:lineRule="auto"/>
      </w:pPr>
      <w:r w:rsidRPr="0001394F">
        <w:t>Human Capital – 2</w:t>
      </w:r>
    </w:p>
    <w:p w14:paraId="1A345708" w14:textId="77777777" w:rsidR="0001394F" w:rsidRPr="0001394F" w:rsidRDefault="0001394F" w:rsidP="0001394F">
      <w:pPr>
        <w:pStyle w:val="ListParagraph"/>
        <w:numPr>
          <w:ilvl w:val="0"/>
          <w:numId w:val="20"/>
        </w:numPr>
        <w:spacing w:after="160" w:line="256" w:lineRule="auto"/>
      </w:pPr>
      <w:r w:rsidRPr="0001394F">
        <w:t>Clothing, Textiles &amp; Subsistence S&amp;E – 2</w:t>
      </w:r>
    </w:p>
    <w:p w14:paraId="64FB85F3" w14:textId="77777777" w:rsidR="0001394F" w:rsidRPr="0001394F" w:rsidRDefault="0001394F" w:rsidP="0001394F">
      <w:pPr>
        <w:pStyle w:val="ListParagraph"/>
        <w:numPr>
          <w:ilvl w:val="0"/>
          <w:numId w:val="20"/>
        </w:numPr>
        <w:spacing w:after="160" w:line="256" w:lineRule="auto"/>
      </w:pPr>
      <w:r w:rsidRPr="0001394F">
        <w:t>Research and Development – 2</w:t>
      </w:r>
    </w:p>
    <w:p w14:paraId="204EB663" w14:textId="77777777" w:rsidR="0001394F" w:rsidRPr="0001394F" w:rsidRDefault="0001394F" w:rsidP="0001394F">
      <w:pPr>
        <w:pStyle w:val="ListParagraph"/>
        <w:numPr>
          <w:ilvl w:val="0"/>
          <w:numId w:val="20"/>
        </w:numPr>
        <w:spacing w:after="160" w:line="256" w:lineRule="auto"/>
      </w:pPr>
      <w:r w:rsidRPr="0001394F">
        <w:lastRenderedPageBreak/>
        <w:t>Travel &amp; Lodging – 1</w:t>
      </w:r>
    </w:p>
    <w:p w14:paraId="06B7B827" w14:textId="77777777" w:rsidR="0001394F" w:rsidRPr="0001394F" w:rsidRDefault="0001394F" w:rsidP="0001394F">
      <w:pPr>
        <w:pStyle w:val="ListParagraph"/>
        <w:numPr>
          <w:ilvl w:val="0"/>
          <w:numId w:val="20"/>
        </w:numPr>
        <w:spacing w:after="160" w:line="256" w:lineRule="auto"/>
      </w:pPr>
      <w:r w:rsidRPr="0001394F">
        <w:t>Weapons and Ammunition – 1</w:t>
      </w:r>
    </w:p>
    <w:p w14:paraId="51206EE2" w14:textId="77777777" w:rsidR="0001394F" w:rsidRPr="0001394F" w:rsidRDefault="0001394F" w:rsidP="0001394F">
      <w:pPr>
        <w:ind w:firstLine="720"/>
      </w:pPr>
      <w:r w:rsidRPr="0001394F">
        <w:t>The following categories are currently not intended to be surveyed:</w:t>
      </w:r>
    </w:p>
    <w:p w14:paraId="644AAF36" w14:textId="77777777" w:rsidR="0001394F" w:rsidRPr="0001394F" w:rsidRDefault="0001394F" w:rsidP="0001394F">
      <w:pPr>
        <w:pStyle w:val="ListParagraph"/>
        <w:numPr>
          <w:ilvl w:val="0"/>
          <w:numId w:val="20"/>
        </w:numPr>
        <w:spacing w:after="160" w:line="256" w:lineRule="auto"/>
      </w:pPr>
      <w:r w:rsidRPr="0001394F">
        <w:t>Transportation &amp; logistics Services</w:t>
      </w:r>
    </w:p>
    <w:p w14:paraId="2030A607" w14:textId="77777777" w:rsidR="0001394F" w:rsidRPr="0001394F" w:rsidRDefault="0001394F" w:rsidP="0001394F">
      <w:pPr>
        <w:pStyle w:val="ListParagraph"/>
        <w:numPr>
          <w:ilvl w:val="0"/>
          <w:numId w:val="20"/>
        </w:numPr>
        <w:spacing w:after="160" w:line="256" w:lineRule="auto"/>
      </w:pPr>
      <w:r w:rsidRPr="0001394F">
        <w:t>Miscellaneous S&amp;E</w:t>
      </w:r>
    </w:p>
    <w:p w14:paraId="055E143E" w14:textId="77777777" w:rsidR="0001394F" w:rsidRPr="0001394F" w:rsidRDefault="0001394F" w:rsidP="0001394F">
      <w:pPr>
        <w:pStyle w:val="ListParagraph"/>
        <w:numPr>
          <w:ilvl w:val="0"/>
          <w:numId w:val="20"/>
        </w:numPr>
        <w:spacing w:after="160" w:line="256" w:lineRule="auto"/>
      </w:pPr>
      <w:r w:rsidRPr="0001394F">
        <w:t>Medical</w:t>
      </w:r>
    </w:p>
    <w:p w14:paraId="053B3CC2" w14:textId="77777777" w:rsidR="0001394F" w:rsidRPr="0001394F" w:rsidRDefault="0001394F" w:rsidP="0001394F">
      <w:pPr>
        <w:pStyle w:val="ListParagraph"/>
        <w:numPr>
          <w:ilvl w:val="0"/>
          <w:numId w:val="20"/>
        </w:numPr>
        <w:spacing w:after="160" w:line="256" w:lineRule="auto"/>
      </w:pPr>
      <w:r w:rsidRPr="0001394F">
        <w:t>Electronic &amp; Communication Services</w:t>
      </w:r>
    </w:p>
    <w:p w14:paraId="4C9694B9" w14:textId="77777777" w:rsidR="0001394F" w:rsidRPr="0001394F" w:rsidRDefault="0001394F" w:rsidP="0001394F">
      <w:pPr>
        <w:pStyle w:val="ListParagraph"/>
        <w:numPr>
          <w:ilvl w:val="0"/>
          <w:numId w:val="20"/>
        </w:numPr>
        <w:spacing w:after="160" w:line="256" w:lineRule="auto"/>
      </w:pPr>
      <w:r w:rsidRPr="0001394F">
        <w:t>Electronic &amp; Communication Equipment</w:t>
      </w:r>
    </w:p>
    <w:p w14:paraId="47D46A87" w14:textId="77777777" w:rsidR="0001394F" w:rsidRDefault="0001394F" w:rsidP="0001394F">
      <w:pPr>
        <w:pStyle w:val="ListParagraph"/>
        <w:numPr>
          <w:ilvl w:val="0"/>
          <w:numId w:val="20"/>
        </w:numPr>
        <w:spacing w:after="160" w:line="256" w:lineRule="auto"/>
        <w:rPr>
          <w:color w:val="4BACC6" w:themeColor="accent5"/>
        </w:rPr>
      </w:pPr>
      <w:r w:rsidRPr="0001394F">
        <w:t>Aircraft, Ships/Submarines &amp; Land Vehicles</w:t>
      </w:r>
    </w:p>
    <w:p w14:paraId="522E08A4" w14:textId="77777777" w:rsidR="00A403BB" w:rsidRDefault="00A403BB" w:rsidP="00A403BB">
      <w:pPr>
        <w:rPr>
          <w:b/>
        </w:rPr>
      </w:pPr>
      <w:r>
        <w:rPr>
          <w:b/>
        </w:rPr>
        <w:t>Administration of the Instrument</w:t>
      </w:r>
    </w:p>
    <w:p w14:paraId="522E08A5" w14:textId="77777777" w:rsidR="00A403BB" w:rsidRDefault="001B0AAA" w:rsidP="00A403BB">
      <w:pPr>
        <w:pStyle w:val="ListParagraph"/>
        <w:numPr>
          <w:ilvl w:val="0"/>
          <w:numId w:val="17"/>
        </w:numPr>
      </w:pPr>
      <w:r>
        <w:t>H</w:t>
      </w:r>
      <w:r w:rsidR="00A403BB">
        <w:t>ow will you collect the information? (Check all that apply)</w:t>
      </w:r>
    </w:p>
    <w:p w14:paraId="522E08A6" w14:textId="187430ED" w:rsidR="001B0AAA" w:rsidRDefault="00A403BB" w:rsidP="001B0AAA">
      <w:pPr>
        <w:ind w:left="720"/>
      </w:pPr>
      <w:proofErr w:type="gramStart"/>
      <w:r>
        <w:t xml:space="preserve">[ </w:t>
      </w:r>
      <w:r w:rsidR="0024154C">
        <w:t>X</w:t>
      </w:r>
      <w:proofErr w:type="gramEnd"/>
      <w:r>
        <w:t>] Web-based</w:t>
      </w:r>
      <w:r w:rsidR="001B0AAA">
        <w:t xml:space="preserve"> or other forms of Social Media </w:t>
      </w:r>
    </w:p>
    <w:p w14:paraId="522E08A7" w14:textId="77777777" w:rsidR="001B0AAA" w:rsidRDefault="00A403BB" w:rsidP="001B0AAA">
      <w:pPr>
        <w:ind w:left="720"/>
      </w:pPr>
      <w:r>
        <w:t xml:space="preserve">[ </w:t>
      </w:r>
      <w:r w:rsidR="001B0AAA">
        <w:t xml:space="preserve"> </w:t>
      </w:r>
      <w:r>
        <w:t>] Telephone</w:t>
      </w:r>
      <w:r>
        <w:tab/>
      </w:r>
    </w:p>
    <w:p w14:paraId="522E08A8" w14:textId="77777777" w:rsidR="001B0AAA" w:rsidRDefault="00A403BB" w:rsidP="001B0AAA">
      <w:pPr>
        <w:ind w:left="720"/>
      </w:pPr>
      <w:r>
        <w:t>[</w:t>
      </w:r>
      <w:r w:rsidR="001B0AAA">
        <w:t xml:space="preserve"> </w:t>
      </w:r>
      <w:r>
        <w:t xml:space="preserve"> ] In-person</w:t>
      </w:r>
      <w:r>
        <w:tab/>
      </w:r>
    </w:p>
    <w:p w14:paraId="522E08A9" w14:textId="77777777" w:rsidR="001B0AAA" w:rsidRDefault="00A403BB" w:rsidP="001B0AAA">
      <w:pPr>
        <w:ind w:left="720"/>
      </w:pPr>
      <w:r>
        <w:t xml:space="preserve">[ </w:t>
      </w:r>
      <w:r w:rsidR="001B0AAA">
        <w:t xml:space="preserve"> </w:t>
      </w:r>
      <w:r>
        <w:t>] Mail</w:t>
      </w:r>
      <w:r w:rsidR="001B0AAA">
        <w:t xml:space="preserve"> </w:t>
      </w:r>
    </w:p>
    <w:p w14:paraId="522E08AA" w14:textId="77777777" w:rsidR="001B0AAA" w:rsidRDefault="00A403BB" w:rsidP="001B0AAA">
      <w:pPr>
        <w:ind w:left="720"/>
      </w:pPr>
      <w:r>
        <w:t xml:space="preserve">[ </w:t>
      </w:r>
      <w:r w:rsidR="001B0AAA">
        <w:t xml:space="preserve"> </w:t>
      </w:r>
      <w:r>
        <w:t>] Other, Explain</w:t>
      </w:r>
    </w:p>
    <w:p w14:paraId="522E08AB" w14:textId="3C85B356" w:rsidR="00F24CFC" w:rsidRDefault="00F24CFC" w:rsidP="00F24CFC">
      <w:pPr>
        <w:pStyle w:val="ListParagraph"/>
        <w:numPr>
          <w:ilvl w:val="0"/>
          <w:numId w:val="17"/>
        </w:numPr>
      </w:pPr>
      <w:r>
        <w:t xml:space="preserve">Will interviewers or facilitators be used?  [  ] Yes [ </w:t>
      </w:r>
      <w:r w:rsidR="0024154C">
        <w:t>X</w:t>
      </w:r>
      <w:r>
        <w:t xml:space="preserve"> ] No</w:t>
      </w:r>
    </w:p>
    <w:p w14:paraId="522E08AC" w14:textId="77777777" w:rsidR="00F24CFC" w:rsidRDefault="00F24CFC" w:rsidP="00F24CFC">
      <w:pPr>
        <w:pStyle w:val="ListParagraph"/>
        <w:ind w:left="360"/>
      </w:pPr>
      <w:r>
        <w:t xml:space="preserve"> </w:t>
      </w:r>
    </w:p>
    <w:p w14:paraId="522E08AD" w14:textId="77777777" w:rsidR="0024521E" w:rsidRPr="00F24CFC" w:rsidRDefault="00F24CFC" w:rsidP="0024521E">
      <w:pPr>
        <w:rPr>
          <w:b/>
        </w:rPr>
      </w:pPr>
      <w:r w:rsidRPr="00F24CFC">
        <w:rPr>
          <w:b/>
        </w:rPr>
        <w:t>Please make sure that all instruments, instructions, and scripts are submitted with the request.</w:t>
      </w:r>
    </w:p>
    <w:p w14:paraId="522E08AE"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22E08AF" w14:textId="77777777" w:rsidR="00F24CFC" w:rsidRDefault="00F24CFC" w:rsidP="00F24CFC">
      <w:pPr>
        <w:rPr>
          <w:b/>
        </w:rPr>
      </w:pPr>
    </w:p>
    <w:p w14:paraId="522E08B0" w14:textId="6CE50F94" w:rsidR="00F24CFC" w:rsidRDefault="00910A99" w:rsidP="00F24CFC">
      <w:pPr>
        <w:rPr>
          <w:b/>
        </w:rPr>
      </w:pPr>
      <w:r>
        <w:rPr>
          <w:b/>
          <w:noProof/>
        </w:rPr>
        <mc:AlternateContent>
          <mc:Choice Requires="wps">
            <w:drawing>
              <wp:anchor distT="0" distB="0" distL="114300" distR="114300" simplePos="0" relativeHeight="251660288" behindDoc="0" locked="0" layoutInCell="0" allowOverlap="1" wp14:anchorId="522E08D0" wp14:editId="74D36560">
                <wp:simplePos x="0" y="0"/>
                <wp:positionH relativeFrom="column">
                  <wp:posOffset>0</wp:posOffset>
                </wp:positionH>
                <wp:positionV relativeFrom="paragraph">
                  <wp:posOffset>0</wp:posOffset>
                </wp:positionV>
                <wp:extent cx="4932680" cy="0"/>
                <wp:effectExtent l="9525" t="9525" r="1079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2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C9A6C"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8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iP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" o:allowincell="f" strokeweight="1.5pt"/>
            </w:pict>
          </mc:Fallback>
        </mc:AlternateContent>
      </w:r>
    </w:p>
    <w:p w14:paraId="522E08B1"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522E08B2" w14:textId="77777777" w:rsidR="00F24CFC" w:rsidRPr="008F50D4" w:rsidRDefault="00F24CFC" w:rsidP="00F24CFC"/>
    <w:p w14:paraId="522E08B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22E08B4" w14:textId="77777777" w:rsidR="00F24CFC" w:rsidRPr="008F50D4" w:rsidRDefault="00F24CFC" w:rsidP="00F24CFC">
      <w:pPr>
        <w:pStyle w:val="Header"/>
        <w:tabs>
          <w:tab w:val="clear" w:pos="4320"/>
          <w:tab w:val="clear" w:pos="8640"/>
        </w:tabs>
        <w:rPr>
          <w:b/>
        </w:rPr>
      </w:pPr>
    </w:p>
    <w:p w14:paraId="522E08B5"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22E08B6" w14:textId="77777777" w:rsidR="00F24CFC" w:rsidRPr="008F50D4" w:rsidRDefault="00F24CFC" w:rsidP="00F24CFC">
      <w:pPr>
        <w:rPr>
          <w:b/>
        </w:rPr>
      </w:pPr>
    </w:p>
    <w:p w14:paraId="522E08B7"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522E08B8" w14:textId="77777777" w:rsidR="00F24CFC" w:rsidRPr="008F50D4" w:rsidRDefault="00F24CFC" w:rsidP="00F24CFC">
      <w:pPr>
        <w:pStyle w:val="BodyTextIndent"/>
        <w:tabs>
          <w:tab w:val="left" w:pos="360"/>
        </w:tabs>
        <w:ind w:left="0"/>
        <w:rPr>
          <w:bCs/>
          <w:sz w:val="24"/>
          <w:szCs w:val="24"/>
        </w:rPr>
      </w:pPr>
    </w:p>
    <w:p w14:paraId="522E08B9"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22E08BA" w14:textId="77777777" w:rsidR="00F24CFC" w:rsidRDefault="00F24CFC" w:rsidP="00F24CFC">
      <w:pPr>
        <w:rPr>
          <w:sz w:val="16"/>
          <w:szCs w:val="16"/>
        </w:rPr>
      </w:pPr>
    </w:p>
    <w:p w14:paraId="522E08BB"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522E08BC" w14:textId="77777777" w:rsidR="008F50D4" w:rsidRPr="008F50D4" w:rsidRDefault="008F50D4" w:rsidP="00F24CFC"/>
    <w:p w14:paraId="522E08BD"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522E08BE" w14:textId="77777777" w:rsidR="00F24CFC" w:rsidRDefault="00F24CFC" w:rsidP="00F24CFC">
      <w:pPr>
        <w:rPr>
          <w:b/>
        </w:rPr>
      </w:pPr>
    </w:p>
    <w:p w14:paraId="522E08BF" w14:textId="77777777" w:rsidR="008F50D4" w:rsidRDefault="00F24CFC" w:rsidP="00F24CFC">
      <w:pPr>
        <w:rPr>
          <w:b/>
        </w:rPr>
      </w:pPr>
      <w:r>
        <w:rPr>
          <w:b/>
        </w:rPr>
        <w:t>BURDEN HOURS</w:t>
      </w:r>
      <w:r w:rsidR="008F50D4">
        <w:rPr>
          <w:b/>
        </w:rPr>
        <w:t>:</w:t>
      </w:r>
    </w:p>
    <w:p w14:paraId="522E08C0" w14:textId="77777777" w:rsidR="008F50D4" w:rsidRDefault="008F50D4" w:rsidP="00F24CFC">
      <w:r>
        <w:rPr>
          <w:b/>
        </w:rPr>
        <w:lastRenderedPageBreak/>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522E08C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22E08C2"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522E08C3"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22E08C4" w14:textId="77777777" w:rsidR="00F24CFC" w:rsidRPr="006832D9" w:rsidRDefault="00F24CFC" w:rsidP="00F24CFC">
      <w:pPr>
        <w:keepNext/>
        <w:keepLines/>
        <w:rPr>
          <w:b/>
        </w:rPr>
      </w:pPr>
    </w:p>
    <w:p w14:paraId="522E08C5"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522E08C6" w14:textId="77777777" w:rsidR="00F24CFC" w:rsidRDefault="00F24CFC" w:rsidP="00F24CFC">
      <w:pPr>
        <w:rPr>
          <w:b/>
          <w:bCs/>
          <w:u w:val="single"/>
        </w:rPr>
      </w:pPr>
    </w:p>
    <w:p w14:paraId="522E08C7"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522E08C8" w14:textId="77777777" w:rsidR="00F24CFC" w:rsidRDefault="00F24CFC" w:rsidP="00F24CFC">
      <w:pPr>
        <w:rPr>
          <w:b/>
        </w:rPr>
      </w:pPr>
    </w:p>
    <w:p w14:paraId="522E08C9"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22E08CA" w14:textId="77777777" w:rsidR="00F24CFC" w:rsidRDefault="00F24CFC" w:rsidP="00F24CFC">
      <w:pPr>
        <w:rPr>
          <w:b/>
        </w:rPr>
      </w:pPr>
    </w:p>
    <w:p w14:paraId="522E08CB"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522E08CC" w14:textId="77777777" w:rsidR="00F24CFC" w:rsidRDefault="00F24CFC" w:rsidP="00F24CFC">
      <w:pPr>
        <w:pStyle w:val="ListParagraph"/>
        <w:ind w:left="360"/>
      </w:pPr>
    </w:p>
    <w:p w14:paraId="522E08CD" w14:textId="77777777" w:rsidR="00F24CFC" w:rsidRPr="00F24CFC" w:rsidRDefault="00F24CFC" w:rsidP="00F24CFC">
      <w:pPr>
        <w:rPr>
          <w:b/>
        </w:rPr>
      </w:pPr>
      <w:r w:rsidRPr="00F24CFC">
        <w:rPr>
          <w:b/>
        </w:rPr>
        <w:t>Please make sure that all instruments, instructions, and scripts are submitted with the request.</w:t>
      </w:r>
    </w:p>
    <w:p w14:paraId="522E08CE" w14:textId="77777777" w:rsidR="005E714A" w:rsidRDefault="005E714A" w:rsidP="00F24CFC">
      <w:pPr>
        <w:tabs>
          <w:tab w:val="left" w:pos="5670"/>
        </w:tabs>
        <w:suppressAutoHyphens/>
      </w:pPr>
    </w:p>
    <w:sectPr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B7745" w14:textId="77777777" w:rsidR="00D1368B" w:rsidRDefault="00D1368B">
      <w:r>
        <w:separator/>
      </w:r>
    </w:p>
  </w:endnote>
  <w:endnote w:type="continuationSeparator" w:id="0">
    <w:p w14:paraId="65E9D25E" w14:textId="77777777" w:rsidR="00D1368B" w:rsidRDefault="00D1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08D6" w14:textId="77777777"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0566D">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06548" w14:textId="77777777" w:rsidR="00D1368B" w:rsidRDefault="00D1368B">
      <w:r>
        <w:separator/>
      </w:r>
    </w:p>
  </w:footnote>
  <w:footnote w:type="continuationSeparator" w:id="0">
    <w:p w14:paraId="671AA41A" w14:textId="77777777" w:rsidR="00D1368B" w:rsidRDefault="00D13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268704"/>
      <w:docPartObj>
        <w:docPartGallery w:val="Watermarks"/>
        <w:docPartUnique/>
      </w:docPartObj>
    </w:sdtPr>
    <w:sdtEndPr/>
    <w:sdtContent>
      <w:p w14:paraId="522E08D5" w14:textId="77777777" w:rsidR="00BA2105" w:rsidRDefault="00D1368B">
        <w:pPr>
          <w:pStyle w:val="Header"/>
        </w:pPr>
        <w:r>
          <w:rPr>
            <w:noProof/>
            <w:lang w:eastAsia="zh-TW"/>
          </w:rPr>
          <w:pict w14:anchorId="522E0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C41D4"/>
    <w:multiLevelType w:val="hybridMultilevel"/>
    <w:tmpl w:val="58FE7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F4009"/>
    <w:multiLevelType w:val="hybridMultilevel"/>
    <w:tmpl w:val="DD5A53A8"/>
    <w:lvl w:ilvl="0" w:tplc="7D00D1A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5F7E8D"/>
    <w:multiLevelType w:val="hybridMultilevel"/>
    <w:tmpl w:val="1DEEB592"/>
    <w:lvl w:ilvl="0" w:tplc="CC3C97E2">
      <w:numFmt w:val="bullet"/>
      <w:lvlText w:val="-"/>
      <w:lvlJc w:val="left"/>
      <w:pPr>
        <w:ind w:left="1800" w:hanging="360"/>
      </w:pPr>
      <w:rPr>
        <w:rFonts w:ascii="Calibri" w:eastAsiaTheme="minorHAnsi" w:hAnsi="Calibri" w:cstheme="minorBidi" w:hint="default"/>
        <w:b w:val="0"/>
        <w:strike w:val="0"/>
        <w:dstrike w:val="0"/>
        <w:u w:val="none"/>
        <w:effect w:val="no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295A"/>
    <w:rsid w:val="0001394F"/>
    <w:rsid w:val="00023A57"/>
    <w:rsid w:val="00047A64"/>
    <w:rsid w:val="00067329"/>
    <w:rsid w:val="000B2838"/>
    <w:rsid w:val="000D44CA"/>
    <w:rsid w:val="000E200B"/>
    <w:rsid w:val="000F1F06"/>
    <w:rsid w:val="000F68BE"/>
    <w:rsid w:val="001927A4"/>
    <w:rsid w:val="00194AC6"/>
    <w:rsid w:val="00196B8C"/>
    <w:rsid w:val="001A23B0"/>
    <w:rsid w:val="001A25CC"/>
    <w:rsid w:val="001B0AAA"/>
    <w:rsid w:val="001C39F7"/>
    <w:rsid w:val="001E1B52"/>
    <w:rsid w:val="00237B48"/>
    <w:rsid w:val="0024154C"/>
    <w:rsid w:val="0024521E"/>
    <w:rsid w:val="00263C3D"/>
    <w:rsid w:val="00274D0B"/>
    <w:rsid w:val="002B3C95"/>
    <w:rsid w:val="002C5903"/>
    <w:rsid w:val="002D0B92"/>
    <w:rsid w:val="00354032"/>
    <w:rsid w:val="003C1129"/>
    <w:rsid w:val="003D5BBE"/>
    <w:rsid w:val="003E3C61"/>
    <w:rsid w:val="003F1C5B"/>
    <w:rsid w:val="00432A1E"/>
    <w:rsid w:val="00434E33"/>
    <w:rsid w:val="00441434"/>
    <w:rsid w:val="0045264C"/>
    <w:rsid w:val="004876EC"/>
    <w:rsid w:val="004D5957"/>
    <w:rsid w:val="004D6E14"/>
    <w:rsid w:val="005009B0"/>
    <w:rsid w:val="005A1006"/>
    <w:rsid w:val="005E714A"/>
    <w:rsid w:val="006140A0"/>
    <w:rsid w:val="00636621"/>
    <w:rsid w:val="00642B49"/>
    <w:rsid w:val="006832D9"/>
    <w:rsid w:val="0069403B"/>
    <w:rsid w:val="006F3DDE"/>
    <w:rsid w:val="00704678"/>
    <w:rsid w:val="007425E7"/>
    <w:rsid w:val="00802607"/>
    <w:rsid w:val="00804269"/>
    <w:rsid w:val="008101A5"/>
    <w:rsid w:val="00822664"/>
    <w:rsid w:val="00843796"/>
    <w:rsid w:val="00895229"/>
    <w:rsid w:val="008B7956"/>
    <w:rsid w:val="008F0203"/>
    <w:rsid w:val="008F50D4"/>
    <w:rsid w:val="00910A99"/>
    <w:rsid w:val="009239AA"/>
    <w:rsid w:val="00935ADA"/>
    <w:rsid w:val="00946B6C"/>
    <w:rsid w:val="00955A71"/>
    <w:rsid w:val="0096108F"/>
    <w:rsid w:val="0098755F"/>
    <w:rsid w:val="009A1EE8"/>
    <w:rsid w:val="009C13B9"/>
    <w:rsid w:val="009D01A2"/>
    <w:rsid w:val="009F5923"/>
    <w:rsid w:val="00A403BB"/>
    <w:rsid w:val="00A674DF"/>
    <w:rsid w:val="00A72036"/>
    <w:rsid w:val="00A83AA6"/>
    <w:rsid w:val="00AA52E0"/>
    <w:rsid w:val="00AE1809"/>
    <w:rsid w:val="00B01EC2"/>
    <w:rsid w:val="00B0566D"/>
    <w:rsid w:val="00B65663"/>
    <w:rsid w:val="00B77312"/>
    <w:rsid w:val="00B80D76"/>
    <w:rsid w:val="00BA2105"/>
    <w:rsid w:val="00BA7E06"/>
    <w:rsid w:val="00BB1C8F"/>
    <w:rsid w:val="00BB43B5"/>
    <w:rsid w:val="00BB6219"/>
    <w:rsid w:val="00BD290F"/>
    <w:rsid w:val="00C14CC4"/>
    <w:rsid w:val="00C33C52"/>
    <w:rsid w:val="00C40D8B"/>
    <w:rsid w:val="00C8407A"/>
    <w:rsid w:val="00C8488C"/>
    <w:rsid w:val="00C86E91"/>
    <w:rsid w:val="00CA2650"/>
    <w:rsid w:val="00CB1078"/>
    <w:rsid w:val="00CC6FAF"/>
    <w:rsid w:val="00CC72E4"/>
    <w:rsid w:val="00D1368B"/>
    <w:rsid w:val="00D24698"/>
    <w:rsid w:val="00D6383F"/>
    <w:rsid w:val="00DB59D0"/>
    <w:rsid w:val="00DC33D3"/>
    <w:rsid w:val="00E26329"/>
    <w:rsid w:val="00E40B50"/>
    <w:rsid w:val="00E50293"/>
    <w:rsid w:val="00E65FFC"/>
    <w:rsid w:val="00E80951"/>
    <w:rsid w:val="00E86CC6"/>
    <w:rsid w:val="00EB56B3"/>
    <w:rsid w:val="00ED6492"/>
    <w:rsid w:val="00EF2095"/>
    <w:rsid w:val="00EF32FB"/>
    <w:rsid w:val="00F06866"/>
    <w:rsid w:val="00F15956"/>
    <w:rsid w:val="00F24CFC"/>
    <w:rsid w:val="00F3170F"/>
    <w:rsid w:val="00F5528B"/>
    <w:rsid w:val="00F976B0"/>
    <w:rsid w:val="00FA0BB2"/>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2E084B"/>
  <w15:docId w15:val="{91C2C728-528E-45AB-AA27-A6CC1951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656">
      <w:bodyDiv w:val="1"/>
      <w:marLeft w:val="0"/>
      <w:marRight w:val="0"/>
      <w:marTop w:val="0"/>
      <w:marBottom w:val="0"/>
      <w:divBdr>
        <w:top w:val="none" w:sz="0" w:space="0" w:color="auto"/>
        <w:left w:val="none" w:sz="0" w:space="0" w:color="auto"/>
        <w:bottom w:val="none" w:sz="0" w:space="0" w:color="auto"/>
        <w:right w:val="none" w:sz="0" w:space="0" w:color="auto"/>
      </w:divBdr>
    </w:div>
    <w:div w:id="512302559">
      <w:bodyDiv w:val="1"/>
      <w:marLeft w:val="0"/>
      <w:marRight w:val="0"/>
      <w:marTop w:val="0"/>
      <w:marBottom w:val="0"/>
      <w:divBdr>
        <w:top w:val="none" w:sz="0" w:space="0" w:color="auto"/>
        <w:left w:val="none" w:sz="0" w:space="0" w:color="auto"/>
        <w:bottom w:val="none" w:sz="0" w:space="0" w:color="auto"/>
        <w:right w:val="none" w:sz="0" w:space="0" w:color="auto"/>
      </w:divBdr>
    </w:div>
    <w:div w:id="14329692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662482be-791f-46d4-86b5-fac5be26931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8" ma:contentTypeDescription="Create a new document." ma:contentTypeScope="" ma:versionID="e8d2784be7f0471b9c3ba45a53164eee">
  <xsd:schema xmlns:xsd="http://www.w3.org/2001/XMLSchema" xmlns:xs="http://www.w3.org/2001/XMLSchema" xmlns:p="http://schemas.microsoft.com/office/2006/metadata/properties" xmlns:ns2="c0a539e5-cd07-4dc1-ab3b-82065fc22058" xmlns:ns3="96029d94-18ed-4e0b-b9ed-ca53838b6e2e" targetNamespace="http://schemas.microsoft.com/office/2006/metadata/properties" ma:root="true" ma:fieldsID="b11fda75b592310b27343bca7a5aaee4" ns2:_="" ns3:_="">
    <xsd:import namespace="c0a539e5-cd07-4dc1-ab3b-82065fc22058"/>
    <xsd:import namespace="96029d94-18ed-4e0b-b9ed-ca53838b6e2e"/>
    <xsd:element name="properties">
      <xsd:complexType>
        <xsd:sequence>
          <xsd:element name="documentManagement">
            <xsd:complexType>
              <xsd:all>
                <xsd:element ref="ns2:_dlc_DocId" minOccurs="0"/>
                <xsd:element ref="ns2:_dlc_DocIdUrl" minOccurs="0"/>
                <xsd:element ref="ns2:_dlc_DocIdPersistId" minOccurs="0"/>
                <xsd:element ref="ns3:Program_x0020_Name"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Program_x0020_Name" ma:index="11" nillable="true" ma:displayName="Program Name" ma:internalName="Program_x0020_Name">
      <xsd:simpleType>
        <xsd:restriction base="dms:Text">
          <xsd:maxLength value="255"/>
        </xsd:restriction>
      </xsd:simpleType>
    </xsd:element>
    <xsd:element name="Component" ma:index="14"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2.xml><?xml version="1.0" encoding="utf-8"?>
<ds:datastoreItem xmlns:ds="http://schemas.openxmlformats.org/officeDocument/2006/customXml" ds:itemID="{3DE29B40-0BDB-4CAE-98D2-51BEE6FB2AB9}">
  <ds:schemaRefs>
    <ds:schemaRef ds:uri="http://schemas.microsoft.com/office/2006/metadata/properties"/>
    <ds:schemaRef ds:uri="96029d94-18ed-4e0b-b9ed-ca53838b6e2e"/>
  </ds:schemaRefs>
</ds:datastoreItem>
</file>

<file path=customXml/itemProps3.xml><?xml version="1.0" encoding="utf-8"?>
<ds:datastoreItem xmlns:ds="http://schemas.openxmlformats.org/officeDocument/2006/customXml" ds:itemID="{141DD7F9-946E-4A20-9902-249B9C91FCE0}">
  <ds:schemaRefs>
    <ds:schemaRef ds:uri="http://schemas.microsoft.com/sharepoint/events"/>
  </ds:schemaRefs>
</ds:datastoreItem>
</file>

<file path=customXml/itemProps4.xml><?xml version="1.0" encoding="utf-8"?>
<ds:datastoreItem xmlns:ds="http://schemas.openxmlformats.org/officeDocument/2006/customXml" ds:itemID="{D5A7D08B-4373-485E-B5B3-190EA90F21E2}">
  <ds:schemaRefs>
    <ds:schemaRef ds:uri="Microsoft.SharePoint.Taxonomy.ContentTypeSync"/>
  </ds:schemaRefs>
</ds:datastoreItem>
</file>

<file path=customXml/itemProps5.xml><?xml version="1.0" encoding="utf-8"?>
<ds:datastoreItem xmlns:ds="http://schemas.openxmlformats.org/officeDocument/2006/customXml" ds:itemID="{668B27B9-F37F-4B1E-811E-35002A6D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OCIO PRA Branch</cp:lastModifiedBy>
  <cp:revision>19</cp:revision>
  <cp:lastPrinted>2016-08-01T13:38:00Z</cp:lastPrinted>
  <dcterms:created xsi:type="dcterms:W3CDTF">2016-07-19T17:54:00Z</dcterms:created>
  <dcterms:modified xsi:type="dcterms:W3CDTF">2016-08-24T13:37:00Z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0x01010068C6CF2E5390CE418E84D36F4AAF78F3</vt:lpwstr>
  </property>
</Properties>
</file>