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79" w:rsidRPr="00014C47" w:rsidRDefault="007F4D79" w:rsidP="007F4D79">
      <w:pPr>
        <w:pStyle w:val="Volume"/>
        <w:spacing w:after="0"/>
        <w:rPr>
          <w:kern w:val="28"/>
          <w:sz w:val="56"/>
          <w:szCs w:val="56"/>
        </w:rPr>
      </w:pPr>
      <w:r>
        <w:rPr>
          <w:kern w:val="28"/>
          <w:sz w:val="56"/>
          <w:szCs w:val="56"/>
        </w:rPr>
        <w:t xml:space="preserve">College Affordability and Transparency Explanation Form (CATEF) </w:t>
      </w:r>
      <w:r w:rsidRPr="00014C47">
        <w:rPr>
          <w:kern w:val="28"/>
          <w:sz w:val="56"/>
          <w:szCs w:val="56"/>
        </w:rPr>
        <w:t>201</w:t>
      </w:r>
      <w:r>
        <w:rPr>
          <w:kern w:val="28"/>
          <w:sz w:val="56"/>
          <w:szCs w:val="56"/>
        </w:rPr>
        <w:t>5</w:t>
      </w:r>
      <w:r w:rsidRPr="00014C47">
        <w:rPr>
          <w:kern w:val="28"/>
          <w:sz w:val="56"/>
          <w:szCs w:val="56"/>
        </w:rPr>
        <w:t>-201</w:t>
      </w:r>
      <w:r>
        <w:rPr>
          <w:kern w:val="28"/>
          <w:sz w:val="56"/>
          <w:szCs w:val="56"/>
        </w:rPr>
        <w:t>7</w:t>
      </w:r>
    </w:p>
    <w:p w:rsidR="007F4D79" w:rsidRDefault="007F4D79" w:rsidP="007F4D79">
      <w:pPr>
        <w:pStyle w:val="Volume"/>
        <w:spacing w:after="0"/>
        <w:rPr>
          <w:kern w:val="28"/>
          <w:sz w:val="56"/>
          <w:szCs w:val="56"/>
        </w:rPr>
      </w:pPr>
    </w:p>
    <w:p w:rsidR="007F4D79" w:rsidRDefault="007F4D79" w:rsidP="007F4D79">
      <w:pPr>
        <w:pStyle w:val="Volume"/>
        <w:spacing w:after="0"/>
        <w:rPr>
          <w:kern w:val="28"/>
          <w:sz w:val="56"/>
          <w:szCs w:val="56"/>
        </w:rPr>
      </w:pPr>
      <w:r w:rsidRPr="00014C47">
        <w:rPr>
          <w:kern w:val="28"/>
          <w:sz w:val="56"/>
          <w:szCs w:val="56"/>
        </w:rPr>
        <w:t>Supporting Statement</w:t>
      </w:r>
      <w:r>
        <w:rPr>
          <w:kern w:val="28"/>
          <w:sz w:val="56"/>
          <w:szCs w:val="56"/>
        </w:rPr>
        <w:t xml:space="preserve"> Part B</w:t>
      </w:r>
    </w:p>
    <w:p w:rsidR="007F4D79" w:rsidRDefault="007F4D79" w:rsidP="007F4D79">
      <w:pPr>
        <w:pStyle w:val="Volume"/>
        <w:spacing w:after="0"/>
        <w:rPr>
          <w:kern w:val="28"/>
          <w:sz w:val="36"/>
          <w:szCs w:val="36"/>
        </w:rPr>
      </w:pPr>
      <w:r w:rsidRPr="00014C47">
        <w:rPr>
          <w:kern w:val="28"/>
          <w:sz w:val="36"/>
          <w:szCs w:val="36"/>
        </w:rPr>
        <w:t>OMB Paperwork Reduction Act Submission</w:t>
      </w:r>
    </w:p>
    <w:p w:rsidR="007F4D79" w:rsidRDefault="007F4D79" w:rsidP="007F4D79">
      <w:pPr>
        <w:pStyle w:val="Volume"/>
        <w:spacing w:after="0"/>
        <w:rPr>
          <w:sz w:val="48"/>
          <w:szCs w:val="48"/>
        </w:rPr>
      </w:pPr>
    </w:p>
    <w:p w:rsidR="007F4D79" w:rsidRDefault="007F4D79" w:rsidP="007F4D79">
      <w:pPr>
        <w:rPr>
          <w:rFonts w:ascii="Arial" w:hAnsi="Arial" w:cs="Arial"/>
        </w:rPr>
      </w:pPr>
    </w:p>
    <w:p w:rsidR="007F4D79" w:rsidRPr="00636194" w:rsidRDefault="007F4D79" w:rsidP="007F4D79">
      <w:pPr>
        <w:rPr>
          <w:rFonts w:ascii="Arial" w:hAnsi="Arial" w:cs="Arial"/>
          <w:sz w:val="36"/>
          <w:szCs w:val="36"/>
        </w:rPr>
      </w:pPr>
      <w:r w:rsidRPr="00636194">
        <w:rPr>
          <w:rFonts w:ascii="Arial" w:hAnsi="Arial" w:cs="Arial"/>
          <w:sz w:val="36"/>
          <w:szCs w:val="36"/>
        </w:rPr>
        <w:t>OMB# 1840-0822 v.3</w:t>
      </w:r>
    </w:p>
    <w:p w:rsidR="007F4D79" w:rsidRDefault="007F4D79" w:rsidP="007F4D79">
      <w:pPr>
        <w:rPr>
          <w:rFonts w:ascii="Arial" w:hAnsi="Arial" w:cs="Arial"/>
        </w:rPr>
      </w:pPr>
    </w:p>
    <w:p w:rsidR="007F4D79" w:rsidRDefault="007F4D79" w:rsidP="007F4D79">
      <w:pPr>
        <w:rPr>
          <w:rFonts w:ascii="Arial" w:hAnsi="Arial" w:cs="Arial"/>
        </w:rPr>
      </w:pPr>
    </w:p>
    <w:p w:rsidR="007F4D79" w:rsidRDefault="007F4D79" w:rsidP="007F4D79">
      <w:pPr>
        <w:rPr>
          <w:rFonts w:ascii="Arial" w:hAnsi="Arial" w:cs="Arial"/>
        </w:rPr>
      </w:pPr>
    </w:p>
    <w:p w:rsidR="007F4D79" w:rsidRDefault="007F4D79" w:rsidP="007F4D79">
      <w:pPr>
        <w:rPr>
          <w:rFonts w:ascii="Arial" w:hAnsi="Arial" w:cs="Arial"/>
        </w:rPr>
      </w:pPr>
    </w:p>
    <w:p w:rsidR="007F4D79" w:rsidRDefault="007F4D79" w:rsidP="007F4D79">
      <w:pPr>
        <w:rPr>
          <w:rFonts w:ascii="Arial" w:hAnsi="Arial" w:cs="Arial"/>
        </w:rPr>
      </w:pPr>
    </w:p>
    <w:p w:rsidR="007F4D79" w:rsidRDefault="007F4D79" w:rsidP="007F4D79">
      <w:pPr>
        <w:pStyle w:val="submit"/>
        <w:spacing w:after="60"/>
        <w:jc w:val="both"/>
        <w:rPr>
          <w:i/>
          <w:sz w:val="22"/>
          <w:szCs w:val="22"/>
        </w:rPr>
      </w:pPr>
      <w:r>
        <w:rPr>
          <w:i/>
          <w:sz w:val="22"/>
          <w:szCs w:val="22"/>
        </w:rPr>
        <w:t>Submitted by:</w:t>
      </w:r>
    </w:p>
    <w:p w:rsidR="007F4D79" w:rsidRDefault="007F4D79" w:rsidP="007F4D79">
      <w:pPr>
        <w:jc w:val="both"/>
        <w:rPr>
          <w:rFonts w:ascii="Arial" w:hAnsi="Arial" w:cs="Arial"/>
          <w:sz w:val="22"/>
          <w:szCs w:val="22"/>
        </w:rPr>
      </w:pPr>
      <w:r>
        <w:rPr>
          <w:rFonts w:ascii="Arial" w:hAnsi="Arial" w:cs="Arial"/>
          <w:sz w:val="22"/>
          <w:szCs w:val="22"/>
        </w:rPr>
        <w:t>Office of Postsecondary Education</w:t>
      </w:r>
      <w:r w:rsidR="000C5BE7">
        <w:rPr>
          <w:rFonts w:ascii="Arial" w:hAnsi="Arial" w:cs="Arial"/>
          <w:sz w:val="22"/>
          <w:szCs w:val="22"/>
        </w:rPr>
        <w:t xml:space="preserve"> (OPE)</w:t>
      </w:r>
    </w:p>
    <w:p w:rsidR="007F4D79" w:rsidRDefault="007F4D79" w:rsidP="007F4D79">
      <w:pPr>
        <w:jc w:val="both"/>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Education</w:t>
      </w:r>
    </w:p>
    <w:p w:rsidR="007F4D79" w:rsidRDefault="007F4D79" w:rsidP="007F4D79">
      <w:pPr>
        <w:pStyle w:val="Text"/>
      </w:pPr>
    </w:p>
    <w:p w:rsidR="007F4D79" w:rsidRDefault="007F4D79" w:rsidP="007F4D79">
      <w:pPr>
        <w:pStyle w:val="Heading4"/>
        <w:ind w:left="0"/>
        <w:sectPr w:rsidR="007F4D79" w:rsidSect="00843751">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pPr>
      <w:r>
        <w:t>October 2014</w:t>
      </w:r>
    </w:p>
    <w:p w:rsidR="007F4D79" w:rsidRDefault="007F4D79" w:rsidP="007F4D79"/>
    <w:p w:rsidR="007F4D79" w:rsidRDefault="007F4D79" w:rsidP="00B16707">
      <w:pPr>
        <w:rPr>
          <w:rFonts w:ascii="Arial" w:hAnsi="Arial"/>
          <w:b/>
        </w:rPr>
      </w:pPr>
    </w:p>
    <w:p w:rsidR="007F4D79" w:rsidRDefault="007F4D79" w:rsidP="00B16707">
      <w:pPr>
        <w:rPr>
          <w:rFonts w:ascii="Arial" w:hAnsi="Arial"/>
          <w:b/>
        </w:rPr>
      </w:pPr>
    </w:p>
    <w:p w:rsidR="007F4D79" w:rsidRDefault="007F4D79" w:rsidP="00B16707">
      <w:pPr>
        <w:rPr>
          <w:rFonts w:ascii="Arial" w:hAnsi="Arial"/>
          <w:b/>
        </w:rPr>
      </w:pPr>
    </w:p>
    <w:p w:rsidR="00252756" w:rsidRDefault="00E04053" w:rsidP="00B16707">
      <w:pPr>
        <w:rPr>
          <w:rFonts w:ascii="Arial" w:hAnsi="Arial"/>
          <w:b/>
        </w:rPr>
      </w:pPr>
      <w:r>
        <w:rPr>
          <w:rFonts w:ascii="Arial" w:hAnsi="Arial"/>
          <w:b/>
          <w:noProof/>
        </w:rPr>
        <mc:AlternateContent>
          <mc:Choice Requires="wps">
            <w:drawing>
              <wp:anchor distT="0" distB="0" distL="114300" distR="114300" simplePos="0" relativeHeight="251660288" behindDoc="0" locked="0" layoutInCell="1" allowOverlap="1" wp14:anchorId="06DCBDC4" wp14:editId="5D68CCD6">
                <wp:simplePos x="0" y="0"/>
                <wp:positionH relativeFrom="column">
                  <wp:posOffset>2524125</wp:posOffset>
                </wp:positionH>
                <wp:positionV relativeFrom="paragraph">
                  <wp:posOffset>619125</wp:posOffset>
                </wp:positionV>
                <wp:extent cx="805815" cy="276225"/>
                <wp:effectExtent l="0" t="0" r="1333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75pt;margin-top:48.75pt;width:63.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" strokecolor="white [3212]">
                <v:textbox>
                  <w:txbxContent>
                    <w:p w:rsidR="00866337" w:rsidRDefault="00866337"/>
                  </w:txbxContent>
                </v:textbox>
              </v:shape>
            </w:pict>
          </mc:Fallback>
        </mc:AlternateContent>
      </w:r>
    </w:p>
    <w:p w:rsidR="00E9487A" w:rsidRDefault="00E9487A" w:rsidP="00B16707">
      <w:pPr>
        <w:rPr>
          <w:rFonts w:ascii="Arial" w:hAnsi="Arial"/>
          <w:b/>
        </w:rPr>
      </w:pPr>
    </w:p>
    <w:p w:rsidR="00B16707" w:rsidRDefault="00B16707" w:rsidP="00B16707">
      <w:pPr>
        <w:rPr>
          <w:rFonts w:ascii="Arial" w:hAnsi="Arial"/>
          <w:b/>
        </w:rPr>
      </w:pPr>
      <w:r>
        <w:rPr>
          <w:rFonts w:ascii="Arial" w:hAnsi="Arial"/>
          <w:b/>
        </w:rPr>
        <w:t>Table of Contents</w:t>
      </w:r>
    </w:p>
    <w:p w:rsidR="00B16707" w:rsidRDefault="00B16707" w:rsidP="00B16707">
      <w:pPr>
        <w:ind w:left="360"/>
        <w:jc w:val="center"/>
        <w:rPr>
          <w:rFonts w:ascii="Arial" w:hAnsi="Arial"/>
          <w:b/>
        </w:rPr>
      </w:pPr>
    </w:p>
    <w:p w:rsidR="00B16707" w:rsidRDefault="00B16707" w:rsidP="00B16707">
      <w:pPr>
        <w:pStyle w:val="Title"/>
        <w:tabs>
          <w:tab w:val="right" w:leader="dot" w:pos="9000"/>
        </w:tabs>
        <w:spacing w:before="0" w:after="0"/>
        <w:jc w:val="left"/>
        <w:rPr>
          <w:b w:val="0"/>
          <w:sz w:val="22"/>
        </w:rPr>
      </w:pPr>
    </w:p>
    <w:p w:rsidR="00B16707" w:rsidRDefault="00B16707" w:rsidP="00B16707">
      <w:pPr>
        <w:pStyle w:val="Title"/>
        <w:tabs>
          <w:tab w:val="left" w:pos="720"/>
          <w:tab w:val="left" w:pos="1260"/>
          <w:tab w:val="left" w:pos="1800"/>
          <w:tab w:val="right" w:leader="dot" w:pos="9000"/>
        </w:tabs>
        <w:spacing w:before="0" w:after="0"/>
        <w:jc w:val="left"/>
        <w:rPr>
          <w:b w:val="0"/>
          <w:sz w:val="22"/>
        </w:rPr>
      </w:pPr>
    </w:p>
    <w:p w:rsidR="00B16707" w:rsidRDefault="00B16707" w:rsidP="00B16707">
      <w:pPr>
        <w:pStyle w:val="Title"/>
        <w:tabs>
          <w:tab w:val="left" w:pos="720"/>
          <w:tab w:val="left" w:pos="1260"/>
          <w:tab w:val="left" w:pos="1800"/>
          <w:tab w:val="right" w:leader="dot" w:pos="9000"/>
        </w:tabs>
        <w:spacing w:before="0" w:after="0"/>
        <w:jc w:val="left"/>
        <w:rPr>
          <w:b w:val="0"/>
          <w:sz w:val="22"/>
        </w:rPr>
      </w:pPr>
      <w:r>
        <w:rPr>
          <w:b w:val="0"/>
          <w:sz w:val="22"/>
        </w:rPr>
        <w:t>B.</w:t>
      </w:r>
      <w:r>
        <w:rPr>
          <w:b w:val="0"/>
          <w:sz w:val="22"/>
        </w:rPr>
        <w:tab/>
      </w:r>
      <w:r w:rsidR="006F5BB5">
        <w:rPr>
          <w:b w:val="0"/>
          <w:sz w:val="22"/>
        </w:rPr>
        <w:t>Collection of Information Employing Statistical Methods</w:t>
      </w:r>
      <w:r>
        <w:rPr>
          <w:b w:val="0"/>
          <w:sz w:val="22"/>
        </w:rPr>
        <w:tab/>
        <w:t>1</w:t>
      </w:r>
    </w:p>
    <w:p w:rsidR="00B16707" w:rsidRDefault="0019662A" w:rsidP="00B16707">
      <w:pPr>
        <w:pStyle w:val="Title"/>
        <w:tabs>
          <w:tab w:val="left" w:pos="720"/>
          <w:tab w:val="left" w:pos="1440"/>
          <w:tab w:val="left" w:pos="1800"/>
          <w:tab w:val="right" w:leader="dot" w:pos="9000"/>
        </w:tabs>
        <w:spacing w:before="0" w:after="0"/>
        <w:jc w:val="left"/>
        <w:rPr>
          <w:b w:val="0"/>
          <w:sz w:val="22"/>
        </w:rPr>
      </w:pPr>
      <w:r>
        <w:rPr>
          <w:b w:val="0"/>
          <w:sz w:val="22"/>
        </w:rPr>
        <w:tab/>
        <w:t>B.1.</w:t>
      </w:r>
      <w:r>
        <w:rPr>
          <w:b w:val="0"/>
          <w:sz w:val="22"/>
        </w:rPr>
        <w:tab/>
      </w:r>
      <w:r w:rsidR="00136497" w:rsidRPr="00136497">
        <w:rPr>
          <w:b w:val="0"/>
          <w:sz w:val="22"/>
        </w:rPr>
        <w:t>Respondent Universe and Sampling Methods</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B.2.</w:t>
      </w:r>
      <w:r>
        <w:rPr>
          <w:b w:val="0"/>
          <w:sz w:val="22"/>
        </w:rPr>
        <w:tab/>
      </w:r>
      <w:r w:rsidR="00136497" w:rsidRPr="00136497">
        <w:rPr>
          <w:b w:val="0"/>
          <w:sz w:val="22"/>
        </w:rPr>
        <w:t>Procedures for the Collection of Information</w:t>
      </w:r>
      <w:r w:rsidR="0019662A">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B.3.</w:t>
      </w:r>
      <w:r>
        <w:rPr>
          <w:b w:val="0"/>
          <w:sz w:val="22"/>
        </w:rPr>
        <w:tab/>
        <w:t>Met</w:t>
      </w:r>
      <w:r w:rsidR="000C5BE7">
        <w:rPr>
          <w:b w:val="0"/>
          <w:sz w:val="22"/>
        </w:rPr>
        <w:t>hods to Maximize Response Rate</w:t>
      </w:r>
      <w:r w:rsidR="000C5BE7">
        <w:rPr>
          <w:b w:val="0"/>
          <w:sz w:val="22"/>
        </w:rPr>
        <w:tab/>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B.4.</w:t>
      </w:r>
      <w:r>
        <w:rPr>
          <w:b w:val="0"/>
          <w:sz w:val="22"/>
        </w:rPr>
        <w:tab/>
        <w:t>Tests of Procedures and Methods</w:t>
      </w:r>
      <w:r>
        <w:rPr>
          <w:b w:val="0"/>
          <w:sz w:val="22"/>
        </w:rPr>
        <w:tab/>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rPr>
        <w:tab/>
      </w:r>
      <w:r w:rsidR="0019662A">
        <w:rPr>
          <w:b w:val="0"/>
          <w:sz w:val="22"/>
        </w:rPr>
        <w:t>B.5.</w:t>
      </w:r>
      <w:r w:rsidR="0019662A">
        <w:rPr>
          <w:b w:val="0"/>
          <w:sz w:val="22"/>
        </w:rPr>
        <w:tab/>
      </w:r>
      <w:r w:rsidR="00D45D79" w:rsidRPr="00D45D79">
        <w:rPr>
          <w:b w:val="0"/>
          <w:sz w:val="22"/>
        </w:rPr>
        <w:t>Individuals Responsible for Study Design and Performance</w:t>
      </w:r>
      <w:r w:rsidR="0019662A">
        <w:rPr>
          <w:b w:val="0"/>
          <w:sz w:val="22"/>
        </w:rPr>
        <w:tab/>
        <w:t>2</w:t>
      </w:r>
    </w:p>
    <w:p w:rsidR="003C11DE" w:rsidRDefault="003C11DE">
      <w:pPr>
        <w:rPr>
          <w:rFonts w:ascii="Univers" w:hAnsi="Univers"/>
          <w:b/>
          <w:kern w:val="28"/>
        </w:rPr>
      </w:pPr>
      <w:r>
        <w:rPr>
          <w:rFonts w:ascii="Univers" w:hAnsi="Univers"/>
        </w:rPr>
        <w:br w:type="page"/>
      </w:r>
    </w:p>
    <w:p w:rsidR="00DA3419" w:rsidRDefault="00940486" w:rsidP="00940486">
      <w:pPr>
        <w:tabs>
          <w:tab w:val="left" w:pos="0"/>
        </w:tabs>
        <w:suppressAutoHyphens/>
        <w:jc w:val="center"/>
        <w:rPr>
          <w:rFonts w:ascii="Univers" w:hAnsi="Univers"/>
          <w:b/>
        </w:rPr>
      </w:pPr>
      <w:r>
        <w:rPr>
          <w:rFonts w:ascii="Univers" w:hAnsi="Univers"/>
          <w:b/>
        </w:rPr>
        <w:lastRenderedPageBreak/>
        <w:t>Part</w:t>
      </w:r>
      <w:r w:rsidR="00DA3419">
        <w:rPr>
          <w:rFonts w:ascii="Univers" w:hAnsi="Univers"/>
          <w:b/>
        </w:rPr>
        <w:t xml:space="preserve"> B</w:t>
      </w:r>
      <w:r w:rsidR="00DA3419" w:rsidRPr="00584639">
        <w:rPr>
          <w:rFonts w:ascii="Univers" w:hAnsi="Univers"/>
          <w:b/>
        </w:rPr>
        <w:t>.</w:t>
      </w:r>
      <w:r w:rsidR="00177125">
        <w:rPr>
          <w:rFonts w:ascii="Univers" w:hAnsi="Univers"/>
          <w:b/>
        </w:rPr>
        <w:t xml:space="preserve"> </w:t>
      </w:r>
      <w:r w:rsidR="006F5BB5">
        <w:rPr>
          <w:rFonts w:ascii="Univers" w:hAnsi="Univers"/>
          <w:b/>
        </w:rPr>
        <w:t>Collect</w:t>
      </w:r>
      <w:r w:rsidR="00013990">
        <w:rPr>
          <w:rFonts w:ascii="Univers" w:hAnsi="Univers"/>
          <w:b/>
        </w:rPr>
        <w:t>i</w:t>
      </w:r>
      <w:r w:rsidR="006F5BB5">
        <w:rPr>
          <w:rFonts w:ascii="Univers" w:hAnsi="Univers"/>
          <w:b/>
        </w:rPr>
        <w:t>on of Information Employing Statistical Methods</w:t>
      </w:r>
    </w:p>
    <w:p w:rsidR="00DA3419" w:rsidRPr="00013990" w:rsidRDefault="00DA3419" w:rsidP="00DA3419">
      <w:pPr>
        <w:pStyle w:val="Title"/>
        <w:tabs>
          <w:tab w:val="left" w:pos="720"/>
          <w:tab w:val="left" w:pos="1440"/>
          <w:tab w:val="left" w:pos="1800"/>
          <w:tab w:val="right" w:leader="dot" w:pos="9000"/>
        </w:tabs>
        <w:spacing w:before="0" w:after="0"/>
        <w:jc w:val="left"/>
        <w:rPr>
          <w:b w:val="0"/>
          <w:sz w:val="18"/>
          <w:szCs w:val="18"/>
        </w:rPr>
      </w:pPr>
      <w:r>
        <w:rPr>
          <w:b w:val="0"/>
          <w:sz w:val="22"/>
        </w:rPr>
        <w:tab/>
      </w:r>
    </w:p>
    <w:p w:rsidR="00DA3419" w:rsidRPr="00760E3D"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sidRPr="00760E3D">
        <w:rPr>
          <w:rFonts w:ascii="Calibri" w:hAnsi="Calibri"/>
          <w:sz w:val="24"/>
          <w:szCs w:val="24"/>
          <w:u w:val="single"/>
        </w:rPr>
        <w:t xml:space="preserve">B.1. </w:t>
      </w:r>
      <w:r w:rsidR="00136497" w:rsidRPr="00136497">
        <w:rPr>
          <w:rFonts w:ascii="Calibri" w:hAnsi="Calibri"/>
          <w:sz w:val="24"/>
          <w:szCs w:val="24"/>
          <w:u w:val="single"/>
        </w:rPr>
        <w:t>Respondent Universe and Sampling Methods</w:t>
      </w:r>
    </w:p>
    <w:p w:rsidR="00DA3419" w:rsidRPr="00013990" w:rsidRDefault="00DA3419" w:rsidP="00DA3419">
      <w:pPr>
        <w:pStyle w:val="Title"/>
        <w:tabs>
          <w:tab w:val="left" w:pos="720"/>
          <w:tab w:val="left" w:pos="1440"/>
          <w:tab w:val="left" w:pos="1800"/>
          <w:tab w:val="right" w:leader="dot" w:pos="9000"/>
        </w:tabs>
        <w:spacing w:before="0" w:after="0"/>
        <w:jc w:val="left"/>
        <w:rPr>
          <w:sz w:val="18"/>
          <w:szCs w:val="18"/>
          <w:u w:val="single"/>
        </w:rPr>
      </w:pPr>
    </w:p>
    <w:p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r w:rsidRPr="00760E3D">
        <w:rPr>
          <w:rFonts w:ascii="Calibri" w:hAnsi="Calibri"/>
          <w:b w:val="0"/>
          <w:sz w:val="22"/>
          <w:szCs w:val="22"/>
        </w:rPr>
        <w:t xml:space="preserve">The </w:t>
      </w:r>
      <w:r w:rsidRPr="000C5BE7">
        <w:rPr>
          <w:rFonts w:asciiTheme="minorHAnsi" w:hAnsiTheme="minorHAnsi"/>
          <w:b w:val="0"/>
          <w:sz w:val="22"/>
          <w:szCs w:val="22"/>
        </w:rPr>
        <w:t xml:space="preserve">respondent universe for this study is </w:t>
      </w:r>
      <w:r w:rsidRPr="000C5BE7">
        <w:rPr>
          <w:rStyle w:val="a"/>
          <w:rFonts w:asciiTheme="minorHAnsi" w:hAnsiTheme="minorHAnsi"/>
          <w:b w:val="0"/>
          <w:sz w:val="22"/>
          <w:szCs w:val="22"/>
        </w:rPr>
        <w:t xml:space="preserve">the five percent of institutions in the </w:t>
      </w:r>
      <w:r w:rsidR="000C5BE7" w:rsidRPr="000C5BE7">
        <w:rPr>
          <w:rFonts w:asciiTheme="minorHAnsi" w:hAnsiTheme="minorHAnsi" w:cs="Arial"/>
          <w:b w:val="0"/>
          <w:color w:val="000000"/>
          <w:sz w:val="22"/>
          <w:szCs w:val="22"/>
          <w:shd w:val="clear" w:color="auto" w:fill="FFFFFF"/>
        </w:rPr>
        <w:t>Integrated Postsecondary Education Data System (</w:t>
      </w:r>
      <w:r w:rsidRPr="000C5BE7">
        <w:rPr>
          <w:rStyle w:val="a"/>
          <w:rFonts w:asciiTheme="minorHAnsi" w:hAnsiTheme="minorHAnsi"/>
          <w:b w:val="0"/>
          <w:sz w:val="22"/>
          <w:szCs w:val="22"/>
        </w:rPr>
        <w:t>IPEDS</w:t>
      </w:r>
      <w:r w:rsidR="000C5BE7" w:rsidRPr="000C5BE7">
        <w:rPr>
          <w:rStyle w:val="a"/>
          <w:rFonts w:asciiTheme="minorHAnsi" w:hAnsiTheme="minorHAnsi"/>
          <w:b w:val="0"/>
          <w:sz w:val="22"/>
          <w:szCs w:val="22"/>
        </w:rPr>
        <w:t>)</w:t>
      </w:r>
      <w:r w:rsidRPr="000C5BE7">
        <w:rPr>
          <w:rStyle w:val="a"/>
          <w:rFonts w:asciiTheme="minorHAnsi" w:hAnsiTheme="minorHAnsi"/>
          <w:b w:val="0"/>
          <w:sz w:val="22"/>
          <w:szCs w:val="22"/>
        </w:rPr>
        <w:t xml:space="preserve"> universe within each of nine sectors with the largest increases in (a) tuition and fees and/or (b) net prices charged to students </w:t>
      </w:r>
      <w:r w:rsidR="006C3275">
        <w:rPr>
          <w:rStyle w:val="a"/>
          <w:rFonts w:asciiTheme="minorHAnsi" w:hAnsiTheme="minorHAnsi"/>
          <w:b w:val="0"/>
          <w:sz w:val="22"/>
          <w:szCs w:val="22"/>
        </w:rPr>
        <w:t>in accordance with §132 of the</w:t>
      </w:r>
      <w:r w:rsidR="00492DF5">
        <w:rPr>
          <w:rStyle w:val="a"/>
          <w:rFonts w:asciiTheme="minorHAnsi" w:hAnsiTheme="minorHAnsi"/>
          <w:b w:val="0"/>
          <w:sz w:val="22"/>
          <w:szCs w:val="22"/>
        </w:rPr>
        <w:t xml:space="preserve"> </w:t>
      </w:r>
      <w:r w:rsidR="00D326CD" w:rsidRPr="000C5BE7">
        <w:rPr>
          <w:rStyle w:val="a"/>
          <w:rFonts w:asciiTheme="minorHAnsi" w:hAnsiTheme="minorHAnsi"/>
          <w:b w:val="0"/>
          <w:sz w:val="22"/>
          <w:szCs w:val="22"/>
        </w:rPr>
        <w:t xml:space="preserve">Higher Education Act of 1965 , as amended </w:t>
      </w:r>
      <w:r w:rsidR="006C3275">
        <w:rPr>
          <w:rStyle w:val="a"/>
          <w:rFonts w:asciiTheme="minorHAnsi" w:hAnsiTheme="minorHAnsi"/>
          <w:b w:val="0"/>
          <w:sz w:val="22"/>
          <w:szCs w:val="22"/>
        </w:rPr>
        <w:t xml:space="preserve">(HEA), </w:t>
      </w:r>
      <w:r w:rsidR="00D326CD" w:rsidRPr="000C5BE7">
        <w:rPr>
          <w:rFonts w:asciiTheme="minorHAnsi" w:hAnsiTheme="minorHAnsi"/>
          <w:b w:val="0"/>
          <w:color w:val="000000"/>
          <w:sz w:val="22"/>
          <w:szCs w:val="22"/>
        </w:rPr>
        <w:t>20</w:t>
      </w:r>
      <w:r w:rsidR="00D326CD" w:rsidRPr="00D326CD">
        <w:rPr>
          <w:rFonts w:ascii="Calibri" w:hAnsi="Calibri"/>
          <w:b w:val="0"/>
          <w:color w:val="000000"/>
          <w:sz w:val="22"/>
          <w:szCs w:val="22"/>
        </w:rPr>
        <w:t xml:space="preserve"> U.S.C. § 1015a</w:t>
      </w:r>
      <w:r>
        <w:rPr>
          <w:rStyle w:val="a"/>
          <w:rFonts w:ascii="Calibri" w:hAnsi="Calibri"/>
          <w:b w:val="0"/>
          <w:sz w:val="22"/>
          <w:szCs w:val="22"/>
        </w:rPr>
        <w:t>)</w:t>
      </w:r>
      <w:r w:rsidRPr="00760E3D">
        <w:rPr>
          <w:rStyle w:val="a"/>
          <w:rFonts w:ascii="Calibri" w:hAnsi="Calibri"/>
          <w:b w:val="0"/>
          <w:sz w:val="22"/>
          <w:szCs w:val="22"/>
        </w:rPr>
        <w:t xml:space="preserve">. </w:t>
      </w:r>
      <w:r>
        <w:rPr>
          <w:rStyle w:val="a"/>
          <w:rFonts w:ascii="Calibri" w:hAnsi="Calibri"/>
          <w:b w:val="0"/>
          <w:sz w:val="22"/>
          <w:szCs w:val="22"/>
        </w:rPr>
        <w:t>T</w:t>
      </w:r>
      <w:r w:rsidRPr="00760E3D">
        <w:rPr>
          <w:rStyle w:val="a"/>
          <w:rFonts w:ascii="Calibri" w:hAnsi="Calibri"/>
          <w:b w:val="0"/>
          <w:sz w:val="22"/>
          <w:szCs w:val="22"/>
        </w:rPr>
        <w:t xml:space="preserve">he exact number of institutions that will be included in the collection may vary slightly from year to year based on the number of institutions </w:t>
      </w:r>
      <w:r>
        <w:rPr>
          <w:rStyle w:val="a"/>
          <w:rFonts w:ascii="Calibri" w:hAnsi="Calibri"/>
          <w:b w:val="0"/>
          <w:sz w:val="22"/>
          <w:szCs w:val="22"/>
        </w:rPr>
        <w:t xml:space="preserve">reporting to IPEDS </w:t>
      </w:r>
      <w:r w:rsidRPr="00760E3D">
        <w:rPr>
          <w:rStyle w:val="a"/>
          <w:rFonts w:ascii="Calibri" w:hAnsi="Calibri"/>
          <w:b w:val="0"/>
          <w:sz w:val="22"/>
          <w:szCs w:val="22"/>
        </w:rPr>
        <w:t xml:space="preserve">in each sector. The number of respondents may also vary depending on how many institutions are included on both the tuition and fees and net price increase lists, as that overlap would limit the number of other institutions included in the top </w:t>
      </w:r>
      <w:r w:rsidR="00007ECD">
        <w:rPr>
          <w:rStyle w:val="a"/>
          <w:rFonts w:ascii="Calibri" w:hAnsi="Calibri"/>
          <w:b w:val="0"/>
          <w:sz w:val="22"/>
          <w:szCs w:val="22"/>
        </w:rPr>
        <w:t xml:space="preserve">five percent </w:t>
      </w:r>
      <w:r w:rsidRPr="00760E3D">
        <w:rPr>
          <w:rStyle w:val="a"/>
          <w:rFonts w:ascii="Calibri" w:hAnsi="Calibri"/>
          <w:b w:val="0"/>
          <w:sz w:val="22"/>
          <w:szCs w:val="22"/>
        </w:rPr>
        <w:t>that would have to report data.</w:t>
      </w:r>
      <w:r w:rsidR="00177125">
        <w:rPr>
          <w:rStyle w:val="a"/>
          <w:rFonts w:ascii="Calibri" w:hAnsi="Calibri"/>
          <w:b w:val="0"/>
          <w:sz w:val="22"/>
          <w:szCs w:val="22"/>
        </w:rPr>
        <w:t xml:space="preserve"> </w:t>
      </w:r>
      <w:r w:rsidR="00613B34">
        <w:rPr>
          <w:rStyle w:val="a"/>
          <w:rFonts w:ascii="Calibri" w:hAnsi="Calibri"/>
          <w:b w:val="0"/>
          <w:sz w:val="22"/>
          <w:szCs w:val="22"/>
        </w:rPr>
        <w:t>It is expected that t</w:t>
      </w:r>
      <w:r w:rsidRPr="00760E3D">
        <w:rPr>
          <w:rStyle w:val="a"/>
          <w:rFonts w:ascii="Calibri" w:hAnsi="Calibri"/>
          <w:b w:val="0"/>
          <w:sz w:val="22"/>
          <w:szCs w:val="22"/>
        </w:rPr>
        <w:t>he 201</w:t>
      </w:r>
      <w:r w:rsidR="00DF3AB5">
        <w:rPr>
          <w:rStyle w:val="a"/>
          <w:rFonts w:ascii="Calibri" w:hAnsi="Calibri"/>
          <w:b w:val="0"/>
          <w:sz w:val="22"/>
          <w:szCs w:val="22"/>
        </w:rPr>
        <w:t>4</w:t>
      </w:r>
      <w:r w:rsidRPr="00760E3D">
        <w:rPr>
          <w:rStyle w:val="a"/>
          <w:rFonts w:ascii="Calibri" w:hAnsi="Calibri"/>
          <w:b w:val="0"/>
          <w:sz w:val="22"/>
          <w:szCs w:val="22"/>
        </w:rPr>
        <w:t>-1</w:t>
      </w:r>
      <w:r w:rsidR="00DF3AB5">
        <w:rPr>
          <w:rStyle w:val="a"/>
          <w:rFonts w:ascii="Calibri" w:hAnsi="Calibri"/>
          <w:b w:val="0"/>
          <w:sz w:val="22"/>
          <w:szCs w:val="22"/>
        </w:rPr>
        <w:t>5</w:t>
      </w:r>
      <w:r w:rsidRPr="00760E3D">
        <w:rPr>
          <w:rStyle w:val="a"/>
          <w:rFonts w:ascii="Calibri" w:hAnsi="Calibri"/>
          <w:b w:val="0"/>
          <w:sz w:val="22"/>
          <w:szCs w:val="22"/>
        </w:rPr>
        <w:t xml:space="preserve"> collec</w:t>
      </w:r>
      <w:r>
        <w:rPr>
          <w:rStyle w:val="a"/>
          <w:rFonts w:ascii="Calibri" w:hAnsi="Calibri"/>
          <w:b w:val="0"/>
          <w:sz w:val="22"/>
          <w:szCs w:val="22"/>
        </w:rPr>
        <w:t>tion will have 5</w:t>
      </w:r>
      <w:r w:rsidR="00613B34">
        <w:rPr>
          <w:rStyle w:val="a"/>
          <w:rFonts w:ascii="Calibri" w:hAnsi="Calibri"/>
          <w:b w:val="0"/>
          <w:sz w:val="22"/>
          <w:szCs w:val="22"/>
        </w:rPr>
        <w:t>7</w:t>
      </w:r>
      <w:r w:rsidR="00765B5F">
        <w:rPr>
          <w:rStyle w:val="a"/>
          <w:rFonts w:ascii="Calibri" w:hAnsi="Calibri"/>
          <w:b w:val="0"/>
          <w:sz w:val="22"/>
          <w:szCs w:val="22"/>
        </w:rPr>
        <w:t>8</w:t>
      </w:r>
      <w:r>
        <w:rPr>
          <w:rStyle w:val="a"/>
          <w:rFonts w:ascii="Calibri" w:hAnsi="Calibri"/>
          <w:b w:val="0"/>
          <w:sz w:val="22"/>
          <w:szCs w:val="22"/>
        </w:rPr>
        <w:t xml:space="preserve"> institutions</w:t>
      </w:r>
      <w:r w:rsidR="008F7A78">
        <w:rPr>
          <w:rStyle w:val="a"/>
          <w:rFonts w:ascii="Calibri" w:hAnsi="Calibri"/>
          <w:b w:val="0"/>
          <w:sz w:val="22"/>
          <w:szCs w:val="22"/>
        </w:rPr>
        <w:t>, completing a total of 610 forms (267+279+32+32). See</w:t>
      </w:r>
      <w:r>
        <w:rPr>
          <w:rStyle w:val="a"/>
          <w:rFonts w:ascii="Calibri" w:hAnsi="Calibri"/>
          <w:b w:val="0"/>
          <w:sz w:val="22"/>
          <w:szCs w:val="22"/>
        </w:rPr>
        <w:t xml:space="preserve"> detailed </w:t>
      </w:r>
      <w:r w:rsidR="008F7A78">
        <w:rPr>
          <w:rStyle w:val="a"/>
          <w:rFonts w:ascii="Calibri" w:hAnsi="Calibri"/>
          <w:b w:val="0"/>
          <w:sz w:val="22"/>
          <w:szCs w:val="22"/>
        </w:rPr>
        <w:t xml:space="preserve">information </w:t>
      </w:r>
      <w:r>
        <w:rPr>
          <w:rStyle w:val="a"/>
          <w:rFonts w:ascii="Calibri" w:hAnsi="Calibri"/>
          <w:b w:val="0"/>
          <w:sz w:val="22"/>
          <w:szCs w:val="22"/>
        </w:rPr>
        <w:t>by institutional sector in the table below.</w:t>
      </w:r>
    </w:p>
    <w:p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p>
    <w:tbl>
      <w:tblPr>
        <w:tblW w:w="0" w:type="auto"/>
        <w:jc w:val="center"/>
        <w:tblLook w:val="04A0" w:firstRow="1" w:lastRow="0" w:firstColumn="1" w:lastColumn="0" w:noHBand="0" w:noVBand="1"/>
      </w:tblPr>
      <w:tblGrid>
        <w:gridCol w:w="98"/>
        <w:gridCol w:w="4534"/>
        <w:gridCol w:w="2449"/>
        <w:gridCol w:w="2177"/>
        <w:gridCol w:w="1182"/>
      </w:tblGrid>
      <w:tr w:rsidR="00DA3419" w:rsidRPr="00384428" w:rsidTr="007F4D79">
        <w:trPr>
          <w:trHeight w:val="300"/>
          <w:jc w:val="center"/>
        </w:trPr>
        <w:tc>
          <w:tcPr>
            <w:tcW w:w="0" w:type="auto"/>
            <w:gridSpan w:val="5"/>
            <w:tcBorders>
              <w:top w:val="nil"/>
              <w:left w:val="nil"/>
              <w:bottom w:val="nil"/>
              <w:right w:val="nil"/>
            </w:tcBorders>
            <w:shd w:val="clear" w:color="auto" w:fill="auto"/>
            <w:noWrap/>
            <w:vAlign w:val="bottom"/>
            <w:hideMark/>
          </w:tcPr>
          <w:p w:rsidR="00DA3419" w:rsidRPr="00384428" w:rsidRDefault="00DA3419" w:rsidP="00007ECD">
            <w:pPr>
              <w:rPr>
                <w:rFonts w:ascii="Arial" w:hAnsi="Arial" w:cs="Arial"/>
                <w:b/>
                <w:color w:val="000000"/>
                <w:sz w:val="22"/>
                <w:szCs w:val="22"/>
              </w:rPr>
            </w:pPr>
            <w:r w:rsidRPr="00384428">
              <w:rPr>
                <w:rFonts w:ascii="Arial" w:hAnsi="Arial" w:cs="Arial"/>
                <w:b/>
                <w:color w:val="000000"/>
                <w:sz w:val="22"/>
                <w:szCs w:val="22"/>
              </w:rPr>
              <w:t xml:space="preserve">Number of institutions appearing on College Affordability and Transparency </w:t>
            </w:r>
            <w:r w:rsidR="00143066">
              <w:rPr>
                <w:rFonts w:ascii="Arial" w:hAnsi="Arial" w:cs="Arial"/>
                <w:b/>
                <w:color w:val="000000"/>
                <w:sz w:val="22"/>
                <w:szCs w:val="22"/>
              </w:rPr>
              <w:t xml:space="preserve">Center (CATC) </w:t>
            </w:r>
            <w:r w:rsidRPr="00384428">
              <w:rPr>
                <w:rFonts w:ascii="Arial" w:hAnsi="Arial" w:cs="Arial"/>
                <w:b/>
                <w:color w:val="000000"/>
                <w:sz w:val="22"/>
                <w:szCs w:val="22"/>
              </w:rPr>
              <w:t>Lists for Highest increase in Tuition and Fees and Net Price, by Sector, 201</w:t>
            </w:r>
            <w:r w:rsidR="00DF3AB5">
              <w:rPr>
                <w:rFonts w:ascii="Arial" w:hAnsi="Arial" w:cs="Arial"/>
                <w:b/>
                <w:color w:val="000000"/>
                <w:sz w:val="22"/>
                <w:szCs w:val="22"/>
              </w:rPr>
              <w:t>4</w:t>
            </w:r>
            <w:r w:rsidR="00613B34">
              <w:rPr>
                <w:rFonts w:ascii="Arial" w:hAnsi="Arial" w:cs="Arial"/>
                <w:b/>
                <w:color w:val="000000"/>
                <w:sz w:val="22"/>
                <w:szCs w:val="22"/>
              </w:rPr>
              <w:t>-15</w:t>
            </w:r>
            <w:r w:rsidRPr="00384428">
              <w:rPr>
                <w:rFonts w:ascii="Arial" w:hAnsi="Arial" w:cs="Arial"/>
                <w:b/>
                <w:color w:val="000000"/>
                <w:sz w:val="22"/>
                <w:szCs w:val="22"/>
              </w:rPr>
              <w:t>.</w:t>
            </w:r>
          </w:p>
        </w:tc>
      </w:tr>
      <w:tr w:rsidR="00DA3419" w:rsidRPr="00384428" w:rsidTr="00013990">
        <w:trPr>
          <w:gridBefore w:val="1"/>
          <w:trHeight w:val="570"/>
          <w:jc w:val="center"/>
        </w:trPr>
        <w:tc>
          <w:tcPr>
            <w:tcW w:w="0" w:type="auto"/>
            <w:tcBorders>
              <w:top w:val="single" w:sz="8" w:space="0" w:color="auto"/>
              <w:left w:val="single" w:sz="8" w:space="0" w:color="auto"/>
              <w:bottom w:val="single" w:sz="4" w:space="0" w:color="auto"/>
              <w:right w:val="nil"/>
            </w:tcBorders>
            <w:shd w:val="clear" w:color="auto" w:fill="auto"/>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Institutional Sector</w:t>
            </w:r>
          </w:p>
        </w:tc>
        <w:tc>
          <w:tcPr>
            <w:tcW w:w="0" w:type="auto"/>
            <w:tcBorders>
              <w:top w:val="single" w:sz="8" w:space="0" w:color="auto"/>
              <w:left w:val="nil"/>
              <w:bottom w:val="single" w:sz="4" w:space="0" w:color="auto"/>
              <w:right w:val="nil"/>
            </w:tcBorders>
            <w:shd w:val="clear" w:color="auto" w:fill="auto"/>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Tuition and Fee increase list</w:t>
            </w:r>
          </w:p>
        </w:tc>
        <w:tc>
          <w:tcPr>
            <w:tcW w:w="0" w:type="auto"/>
            <w:tcBorders>
              <w:top w:val="single" w:sz="8" w:space="0" w:color="auto"/>
              <w:left w:val="nil"/>
              <w:bottom w:val="single" w:sz="4" w:space="0" w:color="auto"/>
              <w:right w:val="nil"/>
            </w:tcBorders>
            <w:shd w:val="clear" w:color="auto" w:fill="auto"/>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 xml:space="preserve"> Net Price Increase List</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Both Lists</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Public 4-year</w:t>
            </w:r>
          </w:p>
        </w:tc>
        <w:tc>
          <w:tcPr>
            <w:tcW w:w="0" w:type="auto"/>
            <w:tcBorders>
              <w:top w:val="nil"/>
              <w:left w:val="nil"/>
              <w:bottom w:val="nil"/>
              <w:right w:val="nil"/>
            </w:tcBorders>
            <w:shd w:val="clear" w:color="auto" w:fill="auto"/>
            <w:noWrap/>
            <w:vAlign w:val="center"/>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2</w:t>
            </w:r>
            <w:r w:rsidR="00DF3AB5">
              <w:rPr>
                <w:rFonts w:ascii="Arial" w:hAnsi="Arial" w:cs="Arial"/>
                <w:color w:val="000000"/>
                <w:sz w:val="22"/>
                <w:szCs w:val="22"/>
              </w:rPr>
              <w:t>7</w:t>
            </w:r>
          </w:p>
        </w:tc>
        <w:tc>
          <w:tcPr>
            <w:tcW w:w="0" w:type="auto"/>
            <w:tcBorders>
              <w:top w:val="nil"/>
              <w:left w:val="nil"/>
              <w:bottom w:val="nil"/>
              <w:right w:val="nil"/>
            </w:tcBorders>
            <w:shd w:val="clear" w:color="auto" w:fill="auto"/>
            <w:noWrap/>
            <w:vAlign w:val="center"/>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2</w:t>
            </w:r>
            <w:r w:rsidR="00DF3AB5">
              <w:rPr>
                <w:rFonts w:ascii="Arial" w:hAnsi="Arial" w:cs="Arial"/>
                <w:color w:val="000000"/>
                <w:sz w:val="22"/>
                <w:szCs w:val="22"/>
              </w:rPr>
              <w:t>7</w:t>
            </w:r>
          </w:p>
        </w:tc>
        <w:tc>
          <w:tcPr>
            <w:tcW w:w="0" w:type="auto"/>
            <w:tcBorders>
              <w:top w:val="nil"/>
              <w:left w:val="nil"/>
              <w:bottom w:val="nil"/>
              <w:right w:val="single" w:sz="8" w:space="0" w:color="auto"/>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6</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not-for-profit 4-year</w:t>
            </w:r>
          </w:p>
        </w:tc>
        <w:tc>
          <w:tcPr>
            <w:tcW w:w="0" w:type="auto"/>
            <w:tcBorders>
              <w:top w:val="nil"/>
              <w:left w:val="nil"/>
              <w:bottom w:val="nil"/>
              <w:right w:val="nil"/>
            </w:tcBorders>
            <w:shd w:val="clear" w:color="auto" w:fill="auto"/>
            <w:noWrap/>
            <w:vAlign w:val="center"/>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53</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52</w:t>
            </w:r>
          </w:p>
        </w:tc>
        <w:tc>
          <w:tcPr>
            <w:tcW w:w="0" w:type="auto"/>
            <w:tcBorders>
              <w:top w:val="nil"/>
              <w:left w:val="nil"/>
              <w:bottom w:val="nil"/>
              <w:right w:val="single" w:sz="8" w:space="0" w:color="auto"/>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r w:rsidR="00DF3AB5">
              <w:rPr>
                <w:rFonts w:ascii="Arial" w:hAnsi="Arial" w:cs="Arial"/>
                <w:color w:val="000000"/>
                <w:sz w:val="22"/>
                <w:szCs w:val="22"/>
              </w:rPr>
              <w:t>1</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for-profit 4-year</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31</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27</w:t>
            </w:r>
          </w:p>
        </w:tc>
        <w:tc>
          <w:tcPr>
            <w:tcW w:w="0" w:type="auto"/>
            <w:tcBorders>
              <w:top w:val="nil"/>
              <w:left w:val="nil"/>
              <w:bottom w:val="nil"/>
              <w:right w:val="single" w:sz="8" w:space="0" w:color="auto"/>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3</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Public 2-year</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15</w:t>
            </w:r>
          </w:p>
        </w:tc>
        <w:tc>
          <w:tcPr>
            <w:tcW w:w="0" w:type="auto"/>
            <w:tcBorders>
              <w:top w:val="nil"/>
              <w:left w:val="nil"/>
              <w:bottom w:val="nil"/>
              <w:right w:val="nil"/>
            </w:tcBorders>
            <w:shd w:val="clear" w:color="auto" w:fill="auto"/>
            <w:noWrap/>
            <w:vAlign w:val="center"/>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5</w:t>
            </w:r>
            <w:r w:rsidR="00DF3AB5">
              <w:rPr>
                <w:rFonts w:ascii="Arial" w:hAnsi="Arial" w:cs="Arial"/>
                <w:color w:val="000000"/>
                <w:sz w:val="22"/>
                <w:szCs w:val="22"/>
              </w:rPr>
              <w:t>1</w:t>
            </w:r>
          </w:p>
        </w:tc>
        <w:tc>
          <w:tcPr>
            <w:tcW w:w="0" w:type="auto"/>
            <w:tcBorders>
              <w:top w:val="nil"/>
              <w:left w:val="nil"/>
              <w:bottom w:val="nil"/>
              <w:right w:val="single" w:sz="8" w:space="0" w:color="auto"/>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not-for-profit 2-year</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7</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6</w:t>
            </w:r>
          </w:p>
        </w:tc>
        <w:tc>
          <w:tcPr>
            <w:tcW w:w="0" w:type="auto"/>
            <w:tcBorders>
              <w:top w:val="nil"/>
              <w:left w:val="nil"/>
              <w:bottom w:val="nil"/>
              <w:right w:val="single" w:sz="8" w:space="0" w:color="auto"/>
            </w:tcBorders>
            <w:shd w:val="clear" w:color="auto" w:fill="auto"/>
            <w:noWrap/>
            <w:vAlign w:val="center"/>
            <w:hideMark/>
          </w:tcPr>
          <w:p w:rsidR="00DA3419" w:rsidRPr="00384428" w:rsidRDefault="00613B34" w:rsidP="00007ECD">
            <w:pPr>
              <w:jc w:val="center"/>
              <w:rPr>
                <w:rFonts w:ascii="Arial" w:hAnsi="Arial" w:cs="Arial"/>
                <w:color w:val="000000"/>
                <w:sz w:val="22"/>
                <w:szCs w:val="22"/>
              </w:rPr>
            </w:pPr>
            <w:r>
              <w:rPr>
                <w:rFonts w:ascii="Arial" w:hAnsi="Arial" w:cs="Arial"/>
                <w:color w:val="000000"/>
                <w:sz w:val="22"/>
                <w:szCs w:val="22"/>
              </w:rPr>
              <w:t>0</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for-profit 2-year</w:t>
            </w:r>
          </w:p>
        </w:tc>
        <w:tc>
          <w:tcPr>
            <w:tcW w:w="0" w:type="auto"/>
            <w:tcBorders>
              <w:top w:val="nil"/>
              <w:left w:val="nil"/>
              <w:bottom w:val="nil"/>
              <w:right w:val="nil"/>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4</w:t>
            </w:r>
            <w:r w:rsidR="00DF3AB5">
              <w:rPr>
                <w:rFonts w:ascii="Arial" w:hAnsi="Arial" w:cs="Arial"/>
                <w:color w:val="000000"/>
                <w:sz w:val="22"/>
                <w:szCs w:val="22"/>
              </w:rPr>
              <w:t>6</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42</w:t>
            </w:r>
          </w:p>
        </w:tc>
        <w:tc>
          <w:tcPr>
            <w:tcW w:w="0" w:type="auto"/>
            <w:tcBorders>
              <w:top w:val="nil"/>
              <w:left w:val="nil"/>
              <w:bottom w:val="nil"/>
              <w:right w:val="single" w:sz="8" w:space="0" w:color="auto"/>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3</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Public less than 2-year</w:t>
            </w:r>
          </w:p>
        </w:tc>
        <w:tc>
          <w:tcPr>
            <w:tcW w:w="0" w:type="auto"/>
            <w:tcBorders>
              <w:top w:val="nil"/>
              <w:left w:val="nil"/>
              <w:bottom w:val="nil"/>
              <w:right w:val="nil"/>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r w:rsidR="001C3208">
              <w:rPr>
                <w:rFonts w:ascii="Arial" w:hAnsi="Arial" w:cs="Arial"/>
                <w:color w:val="000000"/>
                <w:sz w:val="22"/>
                <w:szCs w:val="22"/>
              </w:rPr>
              <w:t>0</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8</w:t>
            </w:r>
          </w:p>
        </w:tc>
        <w:tc>
          <w:tcPr>
            <w:tcW w:w="0" w:type="auto"/>
            <w:tcBorders>
              <w:top w:val="nil"/>
              <w:left w:val="nil"/>
              <w:bottom w:val="nil"/>
              <w:right w:val="single" w:sz="8" w:space="0" w:color="auto"/>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not-for-profit less than 2-year</w:t>
            </w:r>
          </w:p>
        </w:tc>
        <w:tc>
          <w:tcPr>
            <w:tcW w:w="0" w:type="auto"/>
            <w:tcBorders>
              <w:top w:val="nil"/>
              <w:left w:val="nil"/>
              <w:bottom w:val="nil"/>
              <w:right w:val="nil"/>
            </w:tcBorders>
            <w:shd w:val="clear" w:color="auto" w:fill="auto"/>
            <w:noWrap/>
            <w:vAlign w:val="center"/>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nil"/>
              <w:right w:val="nil"/>
            </w:tcBorders>
            <w:shd w:val="clear" w:color="auto" w:fill="auto"/>
            <w:noWrap/>
            <w:vAlign w:val="center"/>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nil"/>
              <w:right w:val="single" w:sz="8" w:space="0" w:color="auto"/>
            </w:tcBorders>
            <w:shd w:val="clear" w:color="auto" w:fill="auto"/>
            <w:noWrap/>
            <w:vAlign w:val="center"/>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0</w:t>
            </w:r>
          </w:p>
        </w:tc>
      </w:tr>
      <w:tr w:rsidR="00DA3419" w:rsidRPr="00384428" w:rsidTr="00013990">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for-profit less than 2-year</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74</w:t>
            </w:r>
          </w:p>
        </w:tc>
        <w:tc>
          <w:tcPr>
            <w:tcW w:w="0" w:type="auto"/>
            <w:tcBorders>
              <w:top w:val="nil"/>
              <w:left w:val="nil"/>
              <w:bottom w:val="nil"/>
              <w:right w:val="nil"/>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62</w:t>
            </w:r>
          </w:p>
        </w:tc>
        <w:tc>
          <w:tcPr>
            <w:tcW w:w="0" w:type="auto"/>
            <w:tcBorders>
              <w:top w:val="nil"/>
              <w:left w:val="nil"/>
              <w:bottom w:val="nil"/>
              <w:right w:val="single" w:sz="8" w:space="0" w:color="auto"/>
            </w:tcBorders>
            <w:shd w:val="clear" w:color="auto" w:fill="auto"/>
            <w:noWrap/>
            <w:vAlign w:val="center"/>
            <w:hideMark/>
          </w:tcPr>
          <w:p w:rsidR="00DA3419" w:rsidRPr="00384428" w:rsidRDefault="00DF3AB5" w:rsidP="00007ECD">
            <w:pPr>
              <w:jc w:val="center"/>
              <w:rPr>
                <w:rFonts w:ascii="Arial" w:hAnsi="Arial" w:cs="Arial"/>
                <w:color w:val="000000"/>
                <w:sz w:val="22"/>
                <w:szCs w:val="22"/>
              </w:rPr>
            </w:pPr>
            <w:r>
              <w:rPr>
                <w:rFonts w:ascii="Arial" w:hAnsi="Arial" w:cs="Arial"/>
                <w:color w:val="000000"/>
                <w:sz w:val="22"/>
                <w:szCs w:val="22"/>
              </w:rPr>
              <w:t>7</w:t>
            </w:r>
          </w:p>
        </w:tc>
      </w:tr>
      <w:tr w:rsidR="00DA3419" w:rsidRPr="00384428" w:rsidTr="00013990">
        <w:trPr>
          <w:gridBefore w:val="1"/>
          <w:trHeight w:val="402"/>
          <w:jc w:val="center"/>
        </w:trPr>
        <w:tc>
          <w:tcPr>
            <w:tcW w:w="0" w:type="auto"/>
            <w:tcBorders>
              <w:top w:val="nil"/>
              <w:left w:val="single" w:sz="8" w:space="0" w:color="auto"/>
              <w:bottom w:val="single" w:sz="8" w:space="0" w:color="auto"/>
              <w:right w:val="nil"/>
            </w:tcBorders>
            <w:shd w:val="clear" w:color="auto" w:fill="auto"/>
            <w:noWrap/>
            <w:vAlign w:val="center"/>
            <w:hideMark/>
          </w:tcPr>
          <w:p w:rsidR="00DA3419" w:rsidRPr="00384428" w:rsidRDefault="00DA3419" w:rsidP="00007ECD">
            <w:pPr>
              <w:rPr>
                <w:rFonts w:ascii="Arial" w:hAnsi="Arial" w:cs="Arial"/>
                <w:i/>
                <w:iCs/>
                <w:color w:val="000000"/>
                <w:sz w:val="22"/>
                <w:szCs w:val="22"/>
              </w:rPr>
            </w:pPr>
            <w:r w:rsidRPr="00384428">
              <w:rPr>
                <w:rFonts w:ascii="Arial" w:hAnsi="Arial" w:cs="Arial"/>
                <w:i/>
                <w:iCs/>
                <w:color w:val="000000"/>
                <w:sz w:val="22"/>
                <w:szCs w:val="22"/>
              </w:rPr>
              <w:t>Total</w:t>
            </w:r>
          </w:p>
        </w:tc>
        <w:tc>
          <w:tcPr>
            <w:tcW w:w="0" w:type="auto"/>
            <w:tcBorders>
              <w:top w:val="nil"/>
              <w:left w:val="nil"/>
              <w:bottom w:val="single" w:sz="8" w:space="0" w:color="auto"/>
              <w:right w:val="nil"/>
            </w:tcBorders>
            <w:shd w:val="clear" w:color="auto" w:fill="auto"/>
            <w:noWrap/>
            <w:vAlign w:val="center"/>
            <w:hideMark/>
          </w:tcPr>
          <w:p w:rsidR="00DA3419" w:rsidRPr="00384428" w:rsidRDefault="00DA3419" w:rsidP="001C3208">
            <w:pPr>
              <w:jc w:val="center"/>
              <w:rPr>
                <w:rFonts w:ascii="Arial" w:hAnsi="Arial" w:cs="Arial"/>
                <w:i/>
                <w:iCs/>
                <w:color w:val="000000"/>
                <w:sz w:val="22"/>
                <w:szCs w:val="22"/>
              </w:rPr>
            </w:pPr>
            <w:r w:rsidRPr="00384428">
              <w:rPr>
                <w:rFonts w:ascii="Arial" w:hAnsi="Arial" w:cs="Arial"/>
                <w:i/>
                <w:iCs/>
                <w:color w:val="000000"/>
                <w:sz w:val="22"/>
                <w:szCs w:val="22"/>
              </w:rPr>
              <w:t>2</w:t>
            </w:r>
            <w:r w:rsidR="00DF3AB5">
              <w:rPr>
                <w:rFonts w:ascii="Arial" w:hAnsi="Arial" w:cs="Arial"/>
                <w:i/>
                <w:iCs/>
                <w:color w:val="000000"/>
                <w:sz w:val="22"/>
                <w:szCs w:val="22"/>
              </w:rPr>
              <w:t>67</w:t>
            </w:r>
          </w:p>
        </w:tc>
        <w:tc>
          <w:tcPr>
            <w:tcW w:w="0" w:type="auto"/>
            <w:tcBorders>
              <w:top w:val="nil"/>
              <w:left w:val="nil"/>
              <w:bottom w:val="single" w:sz="8" w:space="0" w:color="auto"/>
              <w:right w:val="nil"/>
            </w:tcBorders>
            <w:shd w:val="clear" w:color="auto" w:fill="auto"/>
            <w:noWrap/>
            <w:vAlign w:val="center"/>
            <w:hideMark/>
          </w:tcPr>
          <w:p w:rsidR="00DA3419" w:rsidRPr="00384428" w:rsidRDefault="001C3208" w:rsidP="00007ECD">
            <w:pPr>
              <w:jc w:val="center"/>
              <w:rPr>
                <w:rFonts w:ascii="Arial" w:hAnsi="Arial" w:cs="Arial"/>
                <w:i/>
                <w:iCs/>
                <w:color w:val="000000"/>
                <w:sz w:val="22"/>
                <w:szCs w:val="22"/>
              </w:rPr>
            </w:pPr>
            <w:r>
              <w:rPr>
                <w:rFonts w:ascii="Arial" w:hAnsi="Arial" w:cs="Arial"/>
                <w:i/>
                <w:iCs/>
                <w:color w:val="000000"/>
                <w:sz w:val="22"/>
                <w:szCs w:val="22"/>
              </w:rPr>
              <w:t>2</w:t>
            </w:r>
            <w:r w:rsidR="00DF3AB5">
              <w:rPr>
                <w:rFonts w:ascii="Arial" w:hAnsi="Arial" w:cs="Arial"/>
                <w:i/>
                <w:iCs/>
                <w:color w:val="000000"/>
                <w:sz w:val="22"/>
                <w:szCs w:val="22"/>
              </w:rPr>
              <w:t>79</w:t>
            </w:r>
          </w:p>
        </w:tc>
        <w:tc>
          <w:tcPr>
            <w:tcW w:w="0" w:type="auto"/>
            <w:tcBorders>
              <w:top w:val="nil"/>
              <w:left w:val="nil"/>
              <w:bottom w:val="single" w:sz="8" w:space="0" w:color="auto"/>
              <w:right w:val="single" w:sz="8" w:space="0" w:color="auto"/>
            </w:tcBorders>
            <w:shd w:val="clear" w:color="auto" w:fill="auto"/>
            <w:noWrap/>
            <w:vAlign w:val="center"/>
            <w:hideMark/>
          </w:tcPr>
          <w:p w:rsidR="00DA3419" w:rsidRPr="00384428" w:rsidRDefault="00DF3AB5" w:rsidP="00007ECD">
            <w:pPr>
              <w:jc w:val="center"/>
              <w:rPr>
                <w:rFonts w:ascii="Arial" w:hAnsi="Arial" w:cs="Arial"/>
                <w:i/>
                <w:iCs/>
                <w:color w:val="000000"/>
                <w:sz w:val="22"/>
                <w:szCs w:val="22"/>
              </w:rPr>
            </w:pPr>
            <w:r>
              <w:rPr>
                <w:rFonts w:ascii="Arial" w:hAnsi="Arial" w:cs="Arial"/>
                <w:i/>
                <w:iCs/>
                <w:color w:val="000000"/>
                <w:sz w:val="22"/>
                <w:szCs w:val="22"/>
              </w:rPr>
              <w:t>32</w:t>
            </w:r>
          </w:p>
        </w:tc>
      </w:tr>
    </w:tbl>
    <w:p w:rsidR="00DA3419" w:rsidRDefault="00DA3419" w:rsidP="00DA3419">
      <w:pPr>
        <w:pStyle w:val="Title"/>
        <w:tabs>
          <w:tab w:val="left" w:pos="720"/>
          <w:tab w:val="left" w:pos="1440"/>
          <w:tab w:val="left" w:pos="1800"/>
          <w:tab w:val="right" w:leader="dot" w:pos="9000"/>
        </w:tabs>
        <w:spacing w:before="0" w:after="0"/>
        <w:jc w:val="left"/>
        <w:rPr>
          <w:b w:val="0"/>
          <w:sz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Pr>
          <w:rFonts w:ascii="Calibri" w:hAnsi="Calibri"/>
          <w:sz w:val="24"/>
          <w:szCs w:val="24"/>
          <w:u w:val="single"/>
        </w:rPr>
        <w:t xml:space="preserve">B.2. </w:t>
      </w:r>
      <w:r w:rsidR="00136497" w:rsidRPr="00136497">
        <w:rPr>
          <w:rFonts w:ascii="Calibri" w:hAnsi="Calibri"/>
          <w:sz w:val="24"/>
          <w:szCs w:val="24"/>
          <w:u w:val="single"/>
        </w:rPr>
        <w:t>Procedures for the Collection of Information</w:t>
      </w:r>
    </w:p>
    <w:p w:rsidR="00DA3419" w:rsidRPr="00013990" w:rsidRDefault="00DA3419" w:rsidP="00DA3419">
      <w:pPr>
        <w:pStyle w:val="Title"/>
        <w:tabs>
          <w:tab w:val="left" w:pos="720"/>
          <w:tab w:val="left" w:pos="1440"/>
          <w:tab w:val="left" w:pos="1800"/>
          <w:tab w:val="right" w:leader="dot" w:pos="9000"/>
        </w:tabs>
        <w:spacing w:before="0" w:after="0"/>
        <w:jc w:val="left"/>
        <w:rPr>
          <w:rFonts w:ascii="Calibri" w:hAnsi="Calibri"/>
          <w:sz w:val="18"/>
          <w:szCs w:val="18"/>
          <w:u w:val="single"/>
        </w:rPr>
      </w:pPr>
    </w:p>
    <w:p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r w:rsidRPr="00760E3D">
        <w:rPr>
          <w:rFonts w:ascii="Calibri" w:hAnsi="Calibri"/>
          <w:b w:val="0"/>
          <w:sz w:val="22"/>
          <w:szCs w:val="22"/>
        </w:rPr>
        <w:t>This is a universe data collection employing a</w:t>
      </w:r>
      <w:r w:rsidR="00D83FA1">
        <w:rPr>
          <w:rFonts w:ascii="Calibri" w:hAnsi="Calibri"/>
          <w:b w:val="0"/>
          <w:sz w:val="22"/>
          <w:szCs w:val="22"/>
        </w:rPr>
        <w:t>n online</w:t>
      </w:r>
      <w:r w:rsidRPr="00760E3D">
        <w:rPr>
          <w:rFonts w:ascii="Calibri" w:hAnsi="Calibri"/>
          <w:b w:val="0"/>
          <w:sz w:val="22"/>
          <w:szCs w:val="22"/>
        </w:rPr>
        <w:t xml:space="preserve"> survey form.</w:t>
      </w:r>
      <w:r w:rsidR="00177125">
        <w:rPr>
          <w:rFonts w:ascii="Calibri" w:hAnsi="Calibri"/>
          <w:b w:val="0"/>
          <w:sz w:val="22"/>
          <w:szCs w:val="22"/>
        </w:rPr>
        <w:t xml:space="preserve"> </w:t>
      </w:r>
      <w:r w:rsidRPr="00760E3D">
        <w:rPr>
          <w:rFonts w:ascii="Calibri" w:hAnsi="Calibri"/>
          <w:b w:val="0"/>
          <w:sz w:val="22"/>
          <w:szCs w:val="22"/>
        </w:rPr>
        <w:t xml:space="preserve">The universe is selected based on </w:t>
      </w:r>
      <w:r w:rsidRPr="00760E3D">
        <w:rPr>
          <w:rStyle w:val="a"/>
          <w:rFonts w:ascii="Calibri" w:hAnsi="Calibri"/>
          <w:b w:val="0"/>
          <w:sz w:val="22"/>
          <w:szCs w:val="22"/>
        </w:rPr>
        <w:t xml:space="preserve">the </w:t>
      </w:r>
      <w:r>
        <w:rPr>
          <w:rStyle w:val="a"/>
          <w:rFonts w:ascii="Calibri" w:hAnsi="Calibri"/>
          <w:b w:val="0"/>
          <w:sz w:val="22"/>
          <w:szCs w:val="22"/>
        </w:rPr>
        <w:t>five percent</w:t>
      </w:r>
      <w:r w:rsidRPr="00760E3D">
        <w:rPr>
          <w:rStyle w:val="a"/>
          <w:rFonts w:ascii="Calibri" w:hAnsi="Calibri"/>
          <w:b w:val="0"/>
          <w:sz w:val="22"/>
          <w:szCs w:val="22"/>
        </w:rPr>
        <w:t xml:space="preserve"> of institutions in each sector with the largest increases in tuition and fees and</w:t>
      </w:r>
      <w:r>
        <w:rPr>
          <w:rStyle w:val="a"/>
          <w:rFonts w:ascii="Calibri" w:hAnsi="Calibri"/>
          <w:b w:val="0"/>
          <w:sz w:val="22"/>
          <w:szCs w:val="22"/>
        </w:rPr>
        <w:t>/or</w:t>
      </w:r>
      <w:r w:rsidRPr="00760E3D">
        <w:rPr>
          <w:rStyle w:val="a"/>
          <w:rFonts w:ascii="Calibri" w:hAnsi="Calibri"/>
          <w:b w:val="0"/>
          <w:sz w:val="22"/>
          <w:szCs w:val="22"/>
        </w:rPr>
        <w:t xml:space="preserve"> net prices to students </w:t>
      </w:r>
      <w:r w:rsidR="006C3275">
        <w:rPr>
          <w:rStyle w:val="a"/>
          <w:rFonts w:ascii="Calibri" w:hAnsi="Calibri"/>
          <w:b w:val="0"/>
          <w:sz w:val="22"/>
          <w:szCs w:val="22"/>
        </w:rPr>
        <w:t>as required by the HEA</w:t>
      </w:r>
      <w:r w:rsidRPr="00760E3D">
        <w:rPr>
          <w:rStyle w:val="a"/>
          <w:rFonts w:ascii="Calibri" w:hAnsi="Calibri"/>
          <w:b w:val="0"/>
          <w:sz w:val="22"/>
          <w:szCs w:val="22"/>
        </w:rPr>
        <w:t>.</w:t>
      </w:r>
    </w:p>
    <w:p w:rsidR="009B6F93" w:rsidRPr="00013990" w:rsidRDefault="009B6F93" w:rsidP="00DA3419">
      <w:pPr>
        <w:pStyle w:val="Title"/>
        <w:tabs>
          <w:tab w:val="left" w:pos="720"/>
          <w:tab w:val="left" w:pos="1440"/>
          <w:tab w:val="left" w:pos="1800"/>
          <w:tab w:val="right" w:leader="dot" w:pos="9000"/>
        </w:tabs>
        <w:spacing w:before="0" w:after="0"/>
        <w:jc w:val="left"/>
        <w:rPr>
          <w:rStyle w:val="a"/>
          <w:rFonts w:ascii="Calibri" w:hAnsi="Calibri"/>
          <w:b w:val="0"/>
          <w:sz w:val="18"/>
          <w:szCs w:val="18"/>
        </w:rPr>
      </w:pPr>
    </w:p>
    <w:p w:rsidR="009B6F93" w:rsidRPr="00760E3D" w:rsidRDefault="009B6F93"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sidRPr="009B6F93">
        <w:rPr>
          <w:rFonts w:ascii="Calibri" w:hAnsi="Calibri"/>
          <w:b w:val="0"/>
          <w:sz w:val="22"/>
          <w:szCs w:val="22"/>
        </w:rPr>
        <w:t>Working with</w:t>
      </w:r>
      <w:r w:rsidR="000C5BE7">
        <w:rPr>
          <w:rFonts w:ascii="Calibri" w:hAnsi="Calibri"/>
          <w:b w:val="0"/>
          <w:sz w:val="22"/>
          <w:szCs w:val="22"/>
        </w:rPr>
        <w:t xml:space="preserve"> the National Center for Education Statistics (</w:t>
      </w:r>
      <w:r w:rsidRPr="009B6F93">
        <w:rPr>
          <w:rFonts w:ascii="Calibri" w:hAnsi="Calibri"/>
          <w:b w:val="0"/>
          <w:sz w:val="22"/>
          <w:szCs w:val="22"/>
        </w:rPr>
        <w:t>NCES</w:t>
      </w:r>
      <w:r w:rsidR="000C5BE7">
        <w:rPr>
          <w:rFonts w:ascii="Calibri" w:hAnsi="Calibri"/>
          <w:b w:val="0"/>
          <w:sz w:val="22"/>
          <w:szCs w:val="22"/>
        </w:rPr>
        <w:t>)</w:t>
      </w:r>
      <w:r w:rsidRPr="009B6F93">
        <w:rPr>
          <w:rFonts w:ascii="Calibri" w:hAnsi="Calibri"/>
          <w:b w:val="0"/>
          <w:sz w:val="22"/>
          <w:szCs w:val="22"/>
        </w:rPr>
        <w:t>, OPE will send the CATEF survey to identified institutions through the IPEDS data provider network (IPEDS keyholders). The IPEDS keyholders were responsible for providing the initial data used to develop the CATC lists.</w:t>
      </w:r>
      <w:r w:rsidR="00177125">
        <w:rPr>
          <w:rFonts w:ascii="Calibri" w:hAnsi="Calibri"/>
          <w:b w:val="0"/>
          <w:sz w:val="22"/>
          <w:szCs w:val="22"/>
        </w:rPr>
        <w:t xml:space="preserve"> </w:t>
      </w:r>
      <w:r w:rsidRPr="009B6F93">
        <w:rPr>
          <w:rFonts w:ascii="Calibri" w:hAnsi="Calibri"/>
          <w:b w:val="0"/>
          <w:sz w:val="22"/>
          <w:szCs w:val="22"/>
        </w:rPr>
        <w:t>OPE will send the CATC-identified IPEDS keyholders an email including a unique UserID and randomly generated password required for registration when the CATEF collection opens.</w:t>
      </w:r>
      <w:r w:rsidR="00177125">
        <w:rPr>
          <w:rFonts w:ascii="Calibri" w:hAnsi="Calibri"/>
          <w:b w:val="0"/>
          <w:sz w:val="22"/>
          <w:szCs w:val="22"/>
        </w:rPr>
        <w:t xml:space="preserve"> </w:t>
      </w:r>
      <w:r w:rsidRPr="009B6F93">
        <w:rPr>
          <w:rFonts w:ascii="Calibri" w:hAnsi="Calibri"/>
          <w:b w:val="0"/>
          <w:sz w:val="22"/>
          <w:szCs w:val="22"/>
        </w:rPr>
        <w:t>Annual survey activity will include a 2-week registration period followed by a 4-week collection cycle. The one time registration must take place before data can be entered into the CATEF system. Data will be entered directly into the online system. The collection system will have built-in edits to make sure respondents enter all required information. Respondents must resolve all errors before data can be submitted as final. Once the collection closes for institutions, the survey administrators review the data. Following OPE approval of the file, data will be tabulated and analyzed and the summary report will be prepared.</w:t>
      </w:r>
    </w:p>
    <w:p w:rsidR="00730A36" w:rsidRPr="00013990" w:rsidRDefault="00730A36" w:rsidP="00E9487A">
      <w:pPr>
        <w:pStyle w:val="Title"/>
        <w:tabs>
          <w:tab w:val="left" w:pos="720"/>
          <w:tab w:val="left" w:pos="1440"/>
          <w:tab w:val="left" w:pos="1800"/>
          <w:tab w:val="right" w:leader="dot" w:pos="9000"/>
        </w:tabs>
        <w:spacing w:before="0" w:after="0"/>
        <w:jc w:val="left"/>
        <w:rPr>
          <w:b w:val="0"/>
          <w:sz w:val="18"/>
          <w:szCs w:val="18"/>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sidRPr="00760E3D">
        <w:rPr>
          <w:rFonts w:ascii="Calibri" w:hAnsi="Calibri"/>
          <w:sz w:val="24"/>
          <w:szCs w:val="24"/>
          <w:u w:val="single"/>
        </w:rPr>
        <w:lastRenderedPageBreak/>
        <w:t>B.3.</w:t>
      </w:r>
      <w:r w:rsidR="00177125">
        <w:rPr>
          <w:rFonts w:ascii="Calibri" w:hAnsi="Calibri"/>
          <w:sz w:val="24"/>
          <w:szCs w:val="24"/>
          <w:u w:val="single"/>
        </w:rPr>
        <w:t xml:space="preserve"> </w:t>
      </w:r>
      <w:r w:rsidRPr="00760E3D">
        <w:rPr>
          <w:rFonts w:ascii="Calibri" w:hAnsi="Calibri"/>
          <w:sz w:val="24"/>
          <w:szCs w:val="24"/>
          <w:u w:val="single"/>
        </w:rPr>
        <w:t>Methods to Maximize Response Rate</w:t>
      </w:r>
    </w:p>
    <w:p w:rsidR="00315F12" w:rsidRPr="00013990" w:rsidRDefault="00315F12" w:rsidP="00DA3419">
      <w:pPr>
        <w:pStyle w:val="Title"/>
        <w:tabs>
          <w:tab w:val="left" w:pos="720"/>
          <w:tab w:val="left" w:pos="1440"/>
          <w:tab w:val="left" w:pos="1800"/>
          <w:tab w:val="right" w:leader="dot" w:pos="9000"/>
        </w:tabs>
        <w:spacing w:before="0" w:after="0"/>
        <w:jc w:val="left"/>
        <w:rPr>
          <w:b w:val="0"/>
          <w:sz w:val="18"/>
          <w:szCs w:val="18"/>
        </w:rPr>
      </w:pPr>
    </w:p>
    <w:p w:rsidR="00492DF5" w:rsidRDefault="00315F12" w:rsidP="009B6F9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z w:val="22"/>
          <w:szCs w:val="22"/>
        </w:rPr>
      </w:pPr>
      <w:r>
        <w:rPr>
          <w:rFonts w:ascii="Calibri" w:hAnsi="Calibri"/>
          <w:sz w:val="22"/>
          <w:szCs w:val="22"/>
        </w:rPr>
        <w:t xml:space="preserve">In order to maximize response in a timely manner, </w:t>
      </w:r>
      <w:r w:rsidR="00CF7A12">
        <w:rPr>
          <w:rFonts w:ascii="Calibri" w:hAnsi="Calibri"/>
          <w:sz w:val="22"/>
          <w:szCs w:val="22"/>
        </w:rPr>
        <w:t>OPE</w:t>
      </w:r>
      <w:r>
        <w:rPr>
          <w:rFonts w:ascii="Calibri" w:hAnsi="Calibri"/>
          <w:sz w:val="22"/>
          <w:szCs w:val="22"/>
        </w:rPr>
        <w:t xml:space="preserve"> will utilize a user-frien</w:t>
      </w:r>
      <w:r w:rsidR="009B6F93">
        <w:rPr>
          <w:rFonts w:ascii="Calibri" w:hAnsi="Calibri"/>
          <w:sz w:val="22"/>
          <w:szCs w:val="22"/>
        </w:rPr>
        <w:t xml:space="preserve">dly web-based data collection. </w:t>
      </w:r>
      <w:r w:rsidR="00DA3419">
        <w:rPr>
          <w:rFonts w:ascii="Calibri" w:hAnsi="Calibri"/>
          <w:sz w:val="22"/>
          <w:szCs w:val="22"/>
        </w:rPr>
        <w:t xml:space="preserve">This is a statutorily mandated data collection under </w:t>
      </w:r>
      <w:r w:rsidR="006C3275">
        <w:rPr>
          <w:rFonts w:ascii="Calibri" w:hAnsi="Calibri"/>
          <w:sz w:val="22"/>
          <w:szCs w:val="22"/>
        </w:rPr>
        <w:t xml:space="preserve">the </w:t>
      </w:r>
      <w:r w:rsidR="00DA3419">
        <w:rPr>
          <w:rFonts w:ascii="Calibri" w:hAnsi="Calibri"/>
          <w:sz w:val="22"/>
          <w:szCs w:val="22"/>
        </w:rPr>
        <w:t>HEA.</w:t>
      </w:r>
      <w:r w:rsidR="00F1729F">
        <w:rPr>
          <w:rFonts w:ascii="Calibri" w:hAnsi="Calibri"/>
          <w:sz w:val="22"/>
          <w:szCs w:val="22"/>
        </w:rPr>
        <w:t xml:space="preserve"> </w:t>
      </w:r>
      <w:r w:rsidR="000750A5">
        <w:rPr>
          <w:rFonts w:ascii="Calibri" w:hAnsi="Calibri"/>
          <w:sz w:val="22"/>
          <w:szCs w:val="22"/>
        </w:rPr>
        <w:t>OPE will follow</w:t>
      </w:r>
      <w:r w:rsidR="00DA3419">
        <w:rPr>
          <w:rFonts w:ascii="Calibri" w:hAnsi="Calibri"/>
          <w:sz w:val="22"/>
          <w:szCs w:val="22"/>
        </w:rPr>
        <w:t xml:space="preserve"> the model used </w:t>
      </w:r>
      <w:r w:rsidR="000750A5">
        <w:rPr>
          <w:rFonts w:ascii="Calibri" w:hAnsi="Calibri"/>
          <w:sz w:val="22"/>
          <w:szCs w:val="22"/>
        </w:rPr>
        <w:t>for NCES’s</w:t>
      </w:r>
      <w:r w:rsidR="00DA3419">
        <w:rPr>
          <w:rFonts w:ascii="Calibri" w:hAnsi="Calibri"/>
          <w:sz w:val="22"/>
          <w:szCs w:val="22"/>
        </w:rPr>
        <w:t xml:space="preserve"> IPEDS data collection which </w:t>
      </w:r>
      <w:r w:rsidR="006C3275">
        <w:rPr>
          <w:rFonts w:ascii="Calibri" w:hAnsi="Calibri"/>
          <w:sz w:val="22"/>
          <w:szCs w:val="22"/>
        </w:rPr>
        <w:t>has</w:t>
      </w:r>
      <w:r w:rsidR="00DA3419">
        <w:rPr>
          <w:rFonts w:ascii="Calibri" w:hAnsi="Calibri"/>
          <w:sz w:val="22"/>
          <w:szCs w:val="22"/>
        </w:rPr>
        <w:t xml:space="preserve"> an over 99 percent response rate annually</w:t>
      </w:r>
      <w:r w:rsidR="00630E7E">
        <w:rPr>
          <w:rFonts w:ascii="Calibri" w:hAnsi="Calibri"/>
          <w:sz w:val="22"/>
          <w:szCs w:val="22"/>
        </w:rPr>
        <w:t>.</w:t>
      </w:r>
      <w:r w:rsidR="00DA3419">
        <w:rPr>
          <w:rFonts w:ascii="Calibri" w:hAnsi="Calibri"/>
          <w:sz w:val="22"/>
          <w:szCs w:val="22"/>
        </w:rPr>
        <w:t xml:space="preserve"> </w:t>
      </w:r>
      <w:r w:rsidR="00630E7E">
        <w:rPr>
          <w:rFonts w:ascii="Calibri" w:hAnsi="Calibri"/>
          <w:sz w:val="22"/>
          <w:szCs w:val="22"/>
        </w:rPr>
        <w:t>I</w:t>
      </w:r>
      <w:r w:rsidR="00DA3419">
        <w:rPr>
          <w:rFonts w:ascii="Calibri" w:hAnsi="Calibri"/>
          <w:sz w:val="22"/>
          <w:szCs w:val="22"/>
        </w:rPr>
        <w:t xml:space="preserve">ssues of non-response will be addressed by sending follow-up e-mails and phone calls to the keyholder entering the data, as well as </w:t>
      </w:r>
      <w:r w:rsidR="00630E7E">
        <w:rPr>
          <w:rFonts w:ascii="Calibri" w:hAnsi="Calibri"/>
          <w:sz w:val="22"/>
          <w:szCs w:val="22"/>
        </w:rPr>
        <w:t xml:space="preserve">through </w:t>
      </w:r>
      <w:r w:rsidR="00DA3419">
        <w:rPr>
          <w:rFonts w:ascii="Calibri" w:hAnsi="Calibri"/>
          <w:sz w:val="22"/>
          <w:szCs w:val="22"/>
        </w:rPr>
        <w:t>notification of the institution’s CEO or president.</w:t>
      </w:r>
      <w:r w:rsidR="00177125">
        <w:rPr>
          <w:rFonts w:ascii="Calibri" w:hAnsi="Calibri"/>
          <w:sz w:val="22"/>
          <w:szCs w:val="22"/>
        </w:rPr>
        <w:t xml:space="preserve"> </w:t>
      </w:r>
      <w:r w:rsidR="00DA3419">
        <w:rPr>
          <w:rFonts w:ascii="Calibri" w:hAnsi="Calibri"/>
          <w:sz w:val="22"/>
          <w:szCs w:val="22"/>
        </w:rPr>
        <w:t xml:space="preserve">If non-response continues to be </w:t>
      </w:r>
      <w:r w:rsidR="00F1729F">
        <w:rPr>
          <w:rFonts w:ascii="Calibri" w:hAnsi="Calibri"/>
          <w:sz w:val="22"/>
          <w:szCs w:val="22"/>
        </w:rPr>
        <w:t>an issue after these steps have</w:t>
      </w:r>
      <w:r w:rsidR="00DA3419">
        <w:rPr>
          <w:rFonts w:ascii="Calibri" w:hAnsi="Calibri"/>
          <w:sz w:val="22"/>
          <w:szCs w:val="22"/>
        </w:rPr>
        <w:t xml:space="preserve"> been taken, </w:t>
      </w:r>
      <w:r w:rsidR="00CF7A12">
        <w:rPr>
          <w:rFonts w:ascii="Calibri" w:hAnsi="Calibri"/>
          <w:sz w:val="22"/>
          <w:szCs w:val="22"/>
        </w:rPr>
        <w:t>OPE</w:t>
      </w:r>
      <w:r w:rsidR="00DA3419">
        <w:rPr>
          <w:rFonts w:ascii="Calibri" w:hAnsi="Calibri"/>
          <w:sz w:val="22"/>
          <w:szCs w:val="22"/>
        </w:rPr>
        <w:t xml:space="preserve"> will work with Federal Student Aid (FSA) to address non-compliance.</w:t>
      </w:r>
    </w:p>
    <w:p w:rsidR="00DA3419" w:rsidRDefault="00DA3419" w:rsidP="00DA3419">
      <w:pPr>
        <w:pStyle w:val="Title"/>
        <w:tabs>
          <w:tab w:val="left" w:pos="720"/>
          <w:tab w:val="left" w:pos="1440"/>
          <w:tab w:val="left" w:pos="1800"/>
          <w:tab w:val="right" w:leader="dot" w:pos="9000"/>
        </w:tabs>
        <w:spacing w:before="0" w:after="0"/>
        <w:jc w:val="left"/>
        <w:rPr>
          <w:b w:val="0"/>
          <w:sz w:val="22"/>
        </w:rPr>
      </w:pPr>
    </w:p>
    <w:p w:rsidR="00DA3419" w:rsidRPr="00315F12" w:rsidRDefault="00DA3419" w:rsidP="00315F12">
      <w:pPr>
        <w:rPr>
          <w:rFonts w:ascii="Calibri" w:hAnsi="Calibri"/>
          <w:b/>
          <w:kern w:val="28"/>
          <w:szCs w:val="24"/>
          <w:u w:val="single"/>
        </w:rPr>
      </w:pPr>
      <w:r w:rsidRPr="00315F12">
        <w:rPr>
          <w:rFonts w:ascii="Calibri" w:hAnsi="Calibri"/>
          <w:b/>
          <w:szCs w:val="24"/>
          <w:u w:val="single"/>
        </w:rPr>
        <w:t>B.4. Tests of Procedures and Methods</w:t>
      </w:r>
    </w:p>
    <w:p w:rsidR="00DA3419" w:rsidRPr="00013990" w:rsidRDefault="00DA3419" w:rsidP="00DA3419">
      <w:pPr>
        <w:pStyle w:val="Title"/>
        <w:tabs>
          <w:tab w:val="left" w:pos="720"/>
          <w:tab w:val="left" w:pos="1440"/>
          <w:tab w:val="left" w:pos="1800"/>
          <w:tab w:val="right" w:leader="dot" w:pos="9000"/>
        </w:tabs>
        <w:spacing w:before="0" w:after="0"/>
        <w:jc w:val="left"/>
        <w:rPr>
          <w:rFonts w:ascii="Calibri" w:hAnsi="Calibri"/>
          <w:sz w:val="18"/>
          <w:szCs w:val="18"/>
          <w:u w:val="single"/>
        </w:rPr>
      </w:pPr>
    </w:p>
    <w:p w:rsidR="00E12C90" w:rsidRDefault="00E12C90" w:rsidP="00DA3419">
      <w:pPr>
        <w:tabs>
          <w:tab w:val="left" w:pos="-720"/>
        </w:tabs>
        <w:suppressAutoHyphens/>
        <w:rPr>
          <w:rStyle w:val="a"/>
          <w:rFonts w:ascii="Calibri" w:hAnsi="Calibri"/>
          <w:sz w:val="22"/>
          <w:szCs w:val="22"/>
        </w:rPr>
      </w:pPr>
      <w:r>
        <w:rPr>
          <w:rFonts w:ascii="Calibri" w:hAnsi="Calibri"/>
          <w:sz w:val="22"/>
          <w:szCs w:val="22"/>
        </w:rPr>
        <w:t xml:space="preserve">The </w:t>
      </w:r>
      <w:r w:rsidR="008A47DB">
        <w:rPr>
          <w:rFonts w:ascii="Calibri" w:hAnsi="Calibri"/>
          <w:sz w:val="22"/>
          <w:szCs w:val="22"/>
        </w:rPr>
        <w:t xml:space="preserve">CATEF </w:t>
      </w:r>
      <w:r>
        <w:rPr>
          <w:rFonts w:ascii="Calibri" w:hAnsi="Calibri"/>
          <w:sz w:val="22"/>
          <w:szCs w:val="22"/>
        </w:rPr>
        <w:t xml:space="preserve">data collection system </w:t>
      </w:r>
      <w:r w:rsidR="006C3275">
        <w:rPr>
          <w:rFonts w:ascii="Calibri" w:hAnsi="Calibri"/>
          <w:sz w:val="22"/>
          <w:szCs w:val="22"/>
        </w:rPr>
        <w:t>was subject to</w:t>
      </w:r>
      <w:r w:rsidR="008D71A9">
        <w:rPr>
          <w:rFonts w:ascii="Calibri" w:hAnsi="Calibri"/>
          <w:sz w:val="22"/>
          <w:szCs w:val="22"/>
        </w:rPr>
        <w:t xml:space="preserve"> </w:t>
      </w:r>
      <w:r>
        <w:rPr>
          <w:rFonts w:ascii="Calibri" w:hAnsi="Calibri"/>
          <w:sz w:val="22"/>
          <w:szCs w:val="22"/>
        </w:rPr>
        <w:t>extensive testing prior to the open</w:t>
      </w:r>
      <w:r w:rsidR="00630E7E">
        <w:rPr>
          <w:rFonts w:ascii="Calibri" w:hAnsi="Calibri"/>
          <w:sz w:val="22"/>
          <w:szCs w:val="22"/>
        </w:rPr>
        <w:t>ing</w:t>
      </w:r>
      <w:r>
        <w:rPr>
          <w:rFonts w:ascii="Calibri" w:hAnsi="Calibri"/>
          <w:sz w:val="22"/>
          <w:szCs w:val="22"/>
        </w:rPr>
        <w:t xml:space="preserve"> of the</w:t>
      </w:r>
      <w:r w:rsidR="008D71A9">
        <w:rPr>
          <w:rFonts w:ascii="Calibri" w:hAnsi="Calibri"/>
          <w:sz w:val="22"/>
          <w:szCs w:val="22"/>
        </w:rPr>
        <w:t xml:space="preserve"> first CATEF</w:t>
      </w:r>
      <w:r>
        <w:rPr>
          <w:rFonts w:ascii="Calibri" w:hAnsi="Calibri"/>
          <w:sz w:val="22"/>
          <w:szCs w:val="22"/>
        </w:rPr>
        <w:t xml:space="preserve"> collection</w:t>
      </w:r>
      <w:r w:rsidR="008D71A9">
        <w:rPr>
          <w:rFonts w:ascii="Calibri" w:hAnsi="Calibri"/>
          <w:sz w:val="22"/>
          <w:szCs w:val="22"/>
        </w:rPr>
        <w:t xml:space="preserve"> in 2011</w:t>
      </w:r>
      <w:r>
        <w:rPr>
          <w:rFonts w:ascii="Calibri" w:hAnsi="Calibri"/>
          <w:sz w:val="22"/>
          <w:szCs w:val="22"/>
        </w:rPr>
        <w:t xml:space="preserve">. </w:t>
      </w:r>
      <w:r w:rsidR="005E1A04">
        <w:rPr>
          <w:rFonts w:ascii="Calibri" w:hAnsi="Calibri"/>
          <w:sz w:val="22"/>
          <w:szCs w:val="22"/>
        </w:rPr>
        <w:t>No additional testing was needed in the subsequent CATEF collectio</w:t>
      </w:r>
      <w:r w:rsidR="008A47DB">
        <w:rPr>
          <w:rFonts w:ascii="Calibri" w:hAnsi="Calibri"/>
          <w:sz w:val="22"/>
          <w:szCs w:val="22"/>
        </w:rPr>
        <w:t>ns because the system has been fully</w:t>
      </w:r>
      <w:r w:rsidR="005E1A04">
        <w:rPr>
          <w:rFonts w:ascii="Calibri" w:hAnsi="Calibri"/>
          <w:sz w:val="22"/>
          <w:szCs w:val="22"/>
        </w:rPr>
        <w:t xml:space="preserve"> functional</w:t>
      </w:r>
      <w:r>
        <w:rPr>
          <w:rFonts w:ascii="Calibri" w:hAnsi="Calibri"/>
          <w:sz w:val="22"/>
          <w:szCs w:val="22"/>
        </w:rPr>
        <w:t>.</w:t>
      </w:r>
      <w:r w:rsidRPr="000C4803">
        <w:rPr>
          <w:rFonts w:ascii="Calibri" w:hAnsi="Calibri"/>
          <w:sz w:val="22"/>
          <w:szCs w:val="22"/>
        </w:rPr>
        <w:t xml:space="preserve"> </w:t>
      </w:r>
      <w:r>
        <w:rPr>
          <w:rFonts w:ascii="Calibri" w:hAnsi="Calibri"/>
          <w:sz w:val="22"/>
          <w:szCs w:val="22"/>
        </w:rPr>
        <w:t>Pertinent data</w:t>
      </w:r>
      <w:r w:rsidR="005E1A04">
        <w:rPr>
          <w:rFonts w:ascii="Calibri" w:hAnsi="Calibri"/>
          <w:sz w:val="22"/>
          <w:szCs w:val="22"/>
        </w:rPr>
        <w:t xml:space="preserve"> (i.e., finance and f</w:t>
      </w:r>
      <w:r w:rsidR="008D71A9">
        <w:rPr>
          <w:rFonts w:ascii="Calibri" w:hAnsi="Calibri"/>
          <w:sz w:val="22"/>
          <w:szCs w:val="22"/>
        </w:rPr>
        <w:t>ull-time equivalent enrollment</w:t>
      </w:r>
      <w:r w:rsidR="005E1A04">
        <w:rPr>
          <w:rFonts w:ascii="Calibri" w:hAnsi="Calibri"/>
          <w:sz w:val="22"/>
          <w:szCs w:val="22"/>
        </w:rPr>
        <w:t xml:space="preserve"> data</w:t>
      </w:r>
      <w:r w:rsidR="008D71A9">
        <w:rPr>
          <w:rFonts w:ascii="Calibri" w:hAnsi="Calibri"/>
          <w:sz w:val="22"/>
          <w:szCs w:val="22"/>
        </w:rPr>
        <w:t>)</w:t>
      </w:r>
      <w:r>
        <w:rPr>
          <w:rFonts w:ascii="Calibri" w:hAnsi="Calibri"/>
          <w:sz w:val="22"/>
          <w:szCs w:val="22"/>
        </w:rPr>
        <w:t xml:space="preserve"> </w:t>
      </w:r>
      <w:r w:rsidR="008D71A9">
        <w:rPr>
          <w:rFonts w:ascii="Calibri" w:hAnsi="Calibri"/>
          <w:sz w:val="22"/>
          <w:szCs w:val="22"/>
        </w:rPr>
        <w:t>are</w:t>
      </w:r>
      <w:r>
        <w:rPr>
          <w:rFonts w:ascii="Calibri" w:hAnsi="Calibri"/>
          <w:sz w:val="22"/>
          <w:szCs w:val="22"/>
        </w:rPr>
        <w:t xml:space="preserve"> pulled in from IPEDS</w:t>
      </w:r>
      <w:r w:rsidR="00630E7E">
        <w:rPr>
          <w:rFonts w:ascii="Calibri" w:hAnsi="Calibri"/>
          <w:sz w:val="22"/>
          <w:szCs w:val="22"/>
        </w:rPr>
        <w:t>,</w:t>
      </w:r>
      <w:r>
        <w:rPr>
          <w:rFonts w:ascii="Calibri" w:hAnsi="Calibri"/>
          <w:sz w:val="22"/>
          <w:szCs w:val="22"/>
        </w:rPr>
        <w:t xml:space="preserve"> and the system calculate</w:t>
      </w:r>
      <w:r w:rsidR="008A47DB">
        <w:rPr>
          <w:rFonts w:ascii="Calibri" w:hAnsi="Calibri"/>
          <w:sz w:val="22"/>
          <w:szCs w:val="22"/>
        </w:rPr>
        <w:t>s</w:t>
      </w:r>
      <w:r>
        <w:rPr>
          <w:rFonts w:ascii="Calibri" w:hAnsi="Calibri"/>
          <w:sz w:val="22"/>
          <w:szCs w:val="22"/>
        </w:rPr>
        <w:t xml:space="preserve"> data for the respondent wherever possible</w:t>
      </w:r>
      <w:r w:rsidR="00203E9F">
        <w:rPr>
          <w:rFonts w:ascii="Calibri" w:hAnsi="Calibri"/>
          <w:sz w:val="22"/>
          <w:szCs w:val="22"/>
        </w:rPr>
        <w:t xml:space="preserve"> (i.e., Section 2 of the CATEF on costs)</w:t>
      </w:r>
      <w:r>
        <w:rPr>
          <w:rFonts w:ascii="Calibri" w:hAnsi="Calibri"/>
          <w:sz w:val="22"/>
          <w:szCs w:val="22"/>
        </w:rPr>
        <w:t xml:space="preserve">. Edit checks and data verification procedures </w:t>
      </w:r>
      <w:r w:rsidR="008A47DB">
        <w:rPr>
          <w:rFonts w:ascii="Calibri" w:hAnsi="Calibri"/>
          <w:sz w:val="22"/>
          <w:szCs w:val="22"/>
        </w:rPr>
        <w:t>have been</w:t>
      </w:r>
      <w:r>
        <w:rPr>
          <w:rFonts w:ascii="Calibri" w:hAnsi="Calibri"/>
          <w:sz w:val="22"/>
          <w:szCs w:val="22"/>
        </w:rPr>
        <w:t xml:space="preserve"> built into the collection process, thus resolving errors at the time of data submission and making the process more efficient.</w:t>
      </w:r>
      <w:r w:rsidR="00177125">
        <w:rPr>
          <w:rFonts w:ascii="Calibri" w:hAnsi="Calibri"/>
          <w:sz w:val="22"/>
          <w:szCs w:val="22"/>
        </w:rPr>
        <w:t xml:space="preserve"> </w:t>
      </w:r>
      <w:r w:rsidR="00427B70">
        <w:rPr>
          <w:rFonts w:ascii="Calibri" w:hAnsi="Calibri"/>
          <w:sz w:val="22"/>
          <w:szCs w:val="22"/>
        </w:rPr>
        <w:t xml:space="preserve">Respondents </w:t>
      </w:r>
      <w:r w:rsidR="008A47DB">
        <w:rPr>
          <w:rFonts w:ascii="Calibri" w:hAnsi="Calibri"/>
          <w:sz w:val="22"/>
          <w:szCs w:val="22"/>
        </w:rPr>
        <w:t>are</w:t>
      </w:r>
      <w:r w:rsidR="00427B70">
        <w:rPr>
          <w:rFonts w:ascii="Calibri" w:hAnsi="Calibri"/>
          <w:sz w:val="22"/>
          <w:szCs w:val="22"/>
        </w:rPr>
        <w:t xml:space="preserve"> able to review their data prior to submission.</w:t>
      </w:r>
    </w:p>
    <w:p w:rsidR="0009271B" w:rsidRDefault="0009271B" w:rsidP="00DA3419">
      <w:pPr>
        <w:tabs>
          <w:tab w:val="left" w:pos="-720"/>
        </w:tabs>
        <w:suppressAutoHyphens/>
        <w:rPr>
          <w:rFonts w:ascii="Calibri" w:hAnsi="Calibri"/>
          <w:b/>
          <w:szCs w:val="24"/>
          <w:u w:val="single"/>
        </w:rPr>
      </w:pPr>
    </w:p>
    <w:p w:rsidR="00DA3419" w:rsidRPr="00D45D79" w:rsidRDefault="00DA3419" w:rsidP="00D45D79">
      <w:pPr>
        <w:rPr>
          <w:rFonts w:ascii="Calibri" w:hAnsi="Calibri"/>
          <w:b/>
          <w:szCs w:val="24"/>
          <w:u w:val="single"/>
        </w:rPr>
      </w:pPr>
      <w:r w:rsidRPr="000D0EF2">
        <w:rPr>
          <w:rFonts w:ascii="Calibri" w:hAnsi="Calibri"/>
          <w:b/>
          <w:szCs w:val="24"/>
          <w:u w:val="single"/>
        </w:rPr>
        <w:t xml:space="preserve">B.5. </w:t>
      </w:r>
      <w:r w:rsidR="00D45D79" w:rsidRPr="00D45D79">
        <w:rPr>
          <w:rFonts w:ascii="Calibri" w:hAnsi="Calibri"/>
          <w:b/>
          <w:szCs w:val="24"/>
          <w:u w:val="single"/>
        </w:rPr>
        <w:t>Individuals Responsible for Study Design and Performance</w:t>
      </w:r>
    </w:p>
    <w:p w:rsidR="00DA3419" w:rsidRPr="00013990" w:rsidRDefault="00DA3419" w:rsidP="00DA3419">
      <w:pPr>
        <w:pStyle w:val="Title"/>
        <w:tabs>
          <w:tab w:val="left" w:pos="720"/>
          <w:tab w:val="left" w:pos="1440"/>
          <w:tab w:val="left" w:pos="1800"/>
          <w:tab w:val="right" w:leader="dot" w:pos="9000"/>
        </w:tabs>
        <w:spacing w:before="0" w:after="0"/>
        <w:jc w:val="left"/>
        <w:rPr>
          <w:rFonts w:ascii="Calibri" w:hAnsi="Calibri"/>
          <w:sz w:val="18"/>
          <w:szCs w:val="18"/>
          <w:u w:val="single"/>
        </w:rPr>
      </w:pPr>
    </w:p>
    <w:p w:rsidR="00DA3419" w:rsidRDefault="008A47DB" w:rsidP="008A47DB">
      <w:pPr>
        <w:tabs>
          <w:tab w:val="left" w:pos="-720"/>
        </w:tabs>
        <w:suppressAutoHyphens/>
        <w:rPr>
          <w:rFonts w:ascii="Calibri" w:hAnsi="Calibri"/>
          <w:sz w:val="22"/>
          <w:szCs w:val="22"/>
        </w:rPr>
      </w:pPr>
      <w:r w:rsidRPr="00CA193F">
        <w:rPr>
          <w:rFonts w:ascii="Calibri" w:hAnsi="Calibri"/>
          <w:sz w:val="22"/>
          <w:szCs w:val="22"/>
        </w:rPr>
        <w:t xml:space="preserve">The survey instrument </w:t>
      </w:r>
      <w:r>
        <w:rPr>
          <w:rFonts w:ascii="Calibri" w:hAnsi="Calibri"/>
          <w:sz w:val="22"/>
          <w:szCs w:val="22"/>
        </w:rPr>
        <w:t>was</w:t>
      </w:r>
      <w:r>
        <w:rPr>
          <w:rFonts w:ascii="Calibri" w:hAnsi="Calibri"/>
          <w:b/>
          <w:sz w:val="22"/>
          <w:szCs w:val="22"/>
        </w:rPr>
        <w:t xml:space="preserve"> </w:t>
      </w:r>
      <w:r>
        <w:rPr>
          <w:rStyle w:val="a"/>
          <w:rFonts w:ascii="Calibri" w:hAnsi="Calibri"/>
          <w:sz w:val="22"/>
          <w:szCs w:val="22"/>
        </w:rPr>
        <w:t>reviewed by</w:t>
      </w:r>
      <w:r w:rsidRPr="006B6DB2">
        <w:rPr>
          <w:rStyle w:val="a"/>
          <w:rFonts w:ascii="Calibri" w:hAnsi="Calibri"/>
          <w:sz w:val="22"/>
          <w:szCs w:val="22"/>
        </w:rPr>
        <w:t xml:space="preserve"> members of the National Postsecondary Education Cooperative (NPEC).</w:t>
      </w:r>
      <w:r>
        <w:rPr>
          <w:rStyle w:val="a"/>
          <w:rFonts w:ascii="Calibri" w:hAnsi="Calibri"/>
          <w:sz w:val="22"/>
          <w:szCs w:val="22"/>
        </w:rPr>
        <w:t xml:space="preserve"> Established in 1995, NPEC is a voluntary organization that includes postsecondary </w:t>
      </w:r>
      <w:r w:rsidRPr="006B6DB2">
        <w:rPr>
          <w:rStyle w:val="a"/>
          <w:rFonts w:ascii="Calibri" w:hAnsi="Calibri"/>
          <w:sz w:val="22"/>
          <w:szCs w:val="22"/>
        </w:rPr>
        <w:t>associations</w:t>
      </w:r>
      <w:r>
        <w:rPr>
          <w:rStyle w:val="a"/>
          <w:rFonts w:ascii="Calibri" w:hAnsi="Calibri"/>
          <w:sz w:val="22"/>
          <w:szCs w:val="22"/>
        </w:rPr>
        <w:t xml:space="preserve"> and organizations</w:t>
      </w:r>
      <w:r w:rsidRPr="006B6DB2">
        <w:rPr>
          <w:rStyle w:val="a"/>
          <w:rFonts w:ascii="Calibri" w:hAnsi="Calibri"/>
          <w:sz w:val="22"/>
          <w:szCs w:val="22"/>
        </w:rPr>
        <w:t xml:space="preserve"> that represent </w:t>
      </w:r>
      <w:r>
        <w:rPr>
          <w:rStyle w:val="a"/>
          <w:rFonts w:ascii="Calibri" w:hAnsi="Calibri"/>
          <w:sz w:val="22"/>
          <w:szCs w:val="22"/>
        </w:rPr>
        <w:t xml:space="preserve">each institutional sector </w:t>
      </w:r>
      <w:r w:rsidRPr="006B6DB2">
        <w:rPr>
          <w:rStyle w:val="a"/>
          <w:rFonts w:ascii="Calibri" w:hAnsi="Calibri"/>
          <w:sz w:val="22"/>
          <w:szCs w:val="22"/>
        </w:rPr>
        <w:t xml:space="preserve">that </w:t>
      </w:r>
      <w:r w:rsidR="00456256">
        <w:rPr>
          <w:rStyle w:val="a"/>
          <w:rFonts w:ascii="Calibri" w:hAnsi="Calibri"/>
          <w:sz w:val="22"/>
          <w:szCs w:val="22"/>
        </w:rPr>
        <w:t xml:space="preserve">is required to </w:t>
      </w:r>
      <w:r w:rsidRPr="006B6DB2">
        <w:rPr>
          <w:rStyle w:val="a"/>
          <w:rFonts w:ascii="Calibri" w:hAnsi="Calibri"/>
          <w:sz w:val="22"/>
          <w:szCs w:val="22"/>
        </w:rPr>
        <w:t xml:space="preserve">report </w:t>
      </w:r>
      <w:r>
        <w:rPr>
          <w:rStyle w:val="a"/>
          <w:rFonts w:ascii="Calibri" w:hAnsi="Calibri"/>
          <w:sz w:val="22"/>
          <w:szCs w:val="22"/>
        </w:rPr>
        <w:t>information</w:t>
      </w:r>
      <w:r w:rsidRPr="006B6DB2">
        <w:rPr>
          <w:rStyle w:val="a"/>
          <w:rFonts w:ascii="Calibri" w:hAnsi="Calibri"/>
          <w:sz w:val="22"/>
          <w:szCs w:val="22"/>
        </w:rPr>
        <w:t xml:space="preserve"> for this collection.</w:t>
      </w:r>
      <w:r>
        <w:rPr>
          <w:rStyle w:val="a"/>
          <w:rFonts w:ascii="Calibri" w:hAnsi="Calibri"/>
          <w:sz w:val="22"/>
          <w:szCs w:val="22"/>
        </w:rPr>
        <w:t xml:space="preserve"> NPEC members</w:t>
      </w:r>
      <w:r w:rsidRPr="006B6DB2">
        <w:rPr>
          <w:rStyle w:val="a"/>
          <w:rFonts w:ascii="Calibri" w:hAnsi="Calibri"/>
          <w:sz w:val="22"/>
          <w:szCs w:val="22"/>
        </w:rPr>
        <w:t xml:space="preserve"> were provided a draft copy of the survey instrument in order to give feedback on the availability of the data requested, clarity of instruction</w:t>
      </w:r>
      <w:r>
        <w:rPr>
          <w:rStyle w:val="a"/>
          <w:rFonts w:ascii="Calibri" w:hAnsi="Calibri"/>
          <w:sz w:val="22"/>
          <w:szCs w:val="22"/>
        </w:rPr>
        <w:t>s</w:t>
      </w:r>
      <w:r w:rsidRPr="006B6DB2">
        <w:rPr>
          <w:rStyle w:val="a"/>
          <w:rFonts w:ascii="Calibri" w:hAnsi="Calibri"/>
          <w:sz w:val="22"/>
          <w:szCs w:val="22"/>
        </w:rPr>
        <w:t>, and estimated burden to institutions.</w:t>
      </w:r>
      <w:r>
        <w:rPr>
          <w:rStyle w:val="a"/>
          <w:rFonts w:ascii="Calibri" w:hAnsi="Calibri"/>
          <w:sz w:val="22"/>
          <w:szCs w:val="22"/>
        </w:rPr>
        <w:t xml:space="preserve"> </w:t>
      </w:r>
      <w:r w:rsidR="00DF3AB5">
        <w:rPr>
          <w:rFonts w:ascii="Calibri" w:hAnsi="Calibri"/>
          <w:sz w:val="22"/>
          <w:szCs w:val="22"/>
        </w:rPr>
        <w:t>As of August 2014, t</w:t>
      </w:r>
      <w:r w:rsidR="00DA3419">
        <w:rPr>
          <w:rFonts w:ascii="Calibri" w:hAnsi="Calibri"/>
          <w:sz w:val="22"/>
          <w:szCs w:val="22"/>
        </w:rPr>
        <w:t xml:space="preserve">he </w:t>
      </w:r>
      <w:r w:rsidR="00DF3AB5">
        <w:rPr>
          <w:rFonts w:ascii="Calibri" w:hAnsi="Calibri"/>
          <w:sz w:val="22"/>
          <w:szCs w:val="22"/>
        </w:rPr>
        <w:t xml:space="preserve">NPEC members </w:t>
      </w:r>
      <w:r w:rsidR="00DA3419">
        <w:rPr>
          <w:rFonts w:ascii="Calibri" w:hAnsi="Calibri"/>
          <w:sz w:val="22"/>
          <w:szCs w:val="22"/>
        </w:rPr>
        <w:t>consulted on the design of the survey form are as follows:</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E9487A" w:rsidRDefault="00E9487A" w:rsidP="00DA3419">
      <w:pPr>
        <w:pStyle w:val="Title"/>
        <w:tabs>
          <w:tab w:val="left" w:pos="720"/>
          <w:tab w:val="left" w:pos="1440"/>
          <w:tab w:val="left" w:pos="1800"/>
          <w:tab w:val="right" w:leader="dot" w:pos="9000"/>
        </w:tabs>
        <w:spacing w:before="0" w:after="0"/>
        <w:jc w:val="left"/>
        <w:rPr>
          <w:rFonts w:ascii="Calibri" w:hAnsi="Calibri"/>
          <w:b w:val="0"/>
          <w:sz w:val="22"/>
          <w:szCs w:val="22"/>
        </w:rPr>
        <w:sectPr w:rsidR="00E9487A" w:rsidSect="007F4D79">
          <w:footerReference w:type="default" r:id="rId11"/>
          <w:footerReference w:type="first" r:id="rId12"/>
          <w:endnotePr>
            <w:numFmt w:val="decimal"/>
          </w:endnotePr>
          <w:type w:val="continuous"/>
          <w:pgSz w:w="12240" w:h="15840" w:code="1"/>
          <w:pgMar w:top="1008" w:right="1008" w:bottom="1008" w:left="1008" w:header="432" w:footer="432" w:gutter="0"/>
          <w:pgNumType w:start="0" w:chapStyle="1" w:chapSep="colon"/>
          <w:cols w:space="720"/>
          <w:noEndnote/>
          <w:titlePg/>
          <w:docGrid w:linePitch="326"/>
        </w:sectPr>
      </w:pP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lastRenderedPageBreak/>
        <w:t>Mary Ann Coughlin</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Springfield College</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Mcoughlin@springfieldcollege.edu</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Alisa Cunningham</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Consultant</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Afc0029@yahoo.com</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Jennifer L. Daly</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Delgado Community College</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jdaly@dcc.edu</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Gayle Fink</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Bowie State University</w:t>
      </w:r>
    </w:p>
    <w:p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gfink@bowiestate.edu</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p>
    <w:p w:rsidR="00613B34"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Kimberley Harvey</w:t>
      </w:r>
    </w:p>
    <w:p w:rsidR="00613B34"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Louisiana Board of Regents</w:t>
      </w:r>
    </w:p>
    <w:p w:rsidR="00613B34"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kim.harvey@regents.la.gov</w:t>
      </w:r>
    </w:p>
    <w:p w:rsidR="004858EC" w:rsidRPr="00456256" w:rsidRDefault="004858EC" w:rsidP="00DA3419">
      <w:pPr>
        <w:pStyle w:val="Title"/>
        <w:tabs>
          <w:tab w:val="left" w:pos="720"/>
          <w:tab w:val="left" w:pos="1440"/>
          <w:tab w:val="left" w:pos="1800"/>
          <w:tab w:val="right" w:leader="dot" w:pos="9000"/>
        </w:tabs>
        <w:spacing w:before="0" w:after="0"/>
        <w:jc w:val="left"/>
        <w:rPr>
          <w:rFonts w:ascii="Calibri" w:hAnsi="Calibri"/>
          <w:b w:val="0"/>
          <w:sz w:val="20"/>
        </w:rPr>
      </w:pP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Christine Keller</w:t>
      </w:r>
    </w:p>
    <w:p w:rsidR="00492DF5"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Association of Public and Land Grant Universities</w:t>
      </w:r>
    </w:p>
    <w:p w:rsidR="00DA3419"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ckeller@aplu.org</w:t>
      </w:r>
    </w:p>
    <w:p w:rsidR="00456256" w:rsidRDefault="00456256" w:rsidP="00DA3419">
      <w:pPr>
        <w:pStyle w:val="Title"/>
        <w:tabs>
          <w:tab w:val="left" w:pos="720"/>
          <w:tab w:val="left" w:pos="1440"/>
          <w:tab w:val="left" w:pos="1800"/>
          <w:tab w:val="right" w:leader="dot" w:pos="9000"/>
        </w:tabs>
        <w:spacing w:before="0" w:after="0"/>
        <w:jc w:val="left"/>
        <w:rPr>
          <w:rFonts w:ascii="Calibri" w:hAnsi="Calibri"/>
          <w:b w:val="0"/>
          <w:sz w:val="20"/>
        </w:rPr>
      </w:pPr>
    </w:p>
    <w:p w:rsidR="00013990" w:rsidRDefault="00013990" w:rsidP="00DA3419">
      <w:pPr>
        <w:pStyle w:val="Title"/>
        <w:tabs>
          <w:tab w:val="left" w:pos="720"/>
          <w:tab w:val="left" w:pos="1440"/>
          <w:tab w:val="left" w:pos="1800"/>
          <w:tab w:val="right" w:leader="dot" w:pos="9000"/>
        </w:tabs>
        <w:spacing w:before="0" w:after="0"/>
        <w:jc w:val="left"/>
        <w:rPr>
          <w:rFonts w:ascii="Calibri" w:hAnsi="Calibri"/>
          <w:b w:val="0"/>
          <w:sz w:val="20"/>
        </w:rPr>
      </w:pPr>
    </w:p>
    <w:p w:rsidR="00427B70"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lastRenderedPageBreak/>
        <w:t>Carolyn Mata</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Georgia Independent College Association</w:t>
      </w:r>
    </w:p>
    <w:p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cmata@georgiacolleges.org</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Emily Parker</w:t>
      </w:r>
    </w:p>
    <w:p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American Association of State Colleges and Universities</w:t>
      </w:r>
    </w:p>
    <w:p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parkere@aascu.org</w:t>
      </w:r>
    </w:p>
    <w:p w:rsidR="0009271B" w:rsidRPr="00456256" w:rsidRDefault="0009271B" w:rsidP="00DA3419">
      <w:pPr>
        <w:pStyle w:val="Title"/>
        <w:tabs>
          <w:tab w:val="left" w:pos="720"/>
          <w:tab w:val="left" w:pos="1440"/>
          <w:tab w:val="left" w:pos="1800"/>
          <w:tab w:val="right" w:leader="dot" w:pos="9000"/>
        </w:tabs>
        <w:spacing w:before="0" w:after="0"/>
        <w:jc w:val="left"/>
        <w:rPr>
          <w:rFonts w:ascii="Calibri" w:hAnsi="Calibri"/>
          <w:b w:val="0"/>
          <w:sz w:val="20"/>
        </w:rPr>
      </w:pP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Kent Phillippe</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 xml:space="preserve">American </w:t>
      </w:r>
      <w:r w:rsidR="00492DF5" w:rsidRPr="00456256">
        <w:rPr>
          <w:rFonts w:ascii="Calibri" w:hAnsi="Calibri"/>
          <w:b w:val="0"/>
          <w:sz w:val="20"/>
        </w:rPr>
        <w:t xml:space="preserve">Association </w:t>
      </w:r>
      <w:bookmarkStart w:id="0" w:name="_GoBack"/>
      <w:bookmarkEnd w:id="0"/>
      <w:r w:rsidRPr="00456256">
        <w:rPr>
          <w:rFonts w:ascii="Calibri" w:hAnsi="Calibri"/>
          <w:b w:val="0"/>
          <w:sz w:val="20"/>
        </w:rPr>
        <w:t>of Community Colleges</w:t>
      </w:r>
    </w:p>
    <w:p w:rsidR="00DA3419"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kphillippe@aacc.nche.edu</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Christopher Rasmussen</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Midwestern Higher Education Compact</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chrisr@mhec.org</w:t>
      </w:r>
    </w:p>
    <w:p w:rsidR="004858EC" w:rsidRPr="00456256" w:rsidRDefault="004858EC" w:rsidP="00DA3419">
      <w:pPr>
        <w:pStyle w:val="Title"/>
        <w:tabs>
          <w:tab w:val="left" w:pos="720"/>
          <w:tab w:val="left" w:pos="1440"/>
          <w:tab w:val="left" w:pos="1800"/>
          <w:tab w:val="right" w:leader="dot" w:pos="9000"/>
        </w:tabs>
        <w:spacing w:before="0" w:after="0"/>
        <w:jc w:val="left"/>
        <w:rPr>
          <w:rFonts w:ascii="Calibri" w:hAnsi="Calibri"/>
          <w:b w:val="0"/>
          <w:sz w:val="20"/>
        </w:rPr>
      </w:pPr>
    </w:p>
    <w:p w:rsidR="0085034E" w:rsidRPr="00456256" w:rsidRDefault="0085034E" w:rsidP="0085034E">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Mikyung Ryu</w:t>
      </w:r>
    </w:p>
    <w:p w:rsidR="0085034E" w:rsidRPr="00456256" w:rsidRDefault="0085034E" w:rsidP="0085034E">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American Council on Education</w:t>
      </w:r>
    </w:p>
    <w:p w:rsidR="0085034E" w:rsidRPr="00456256" w:rsidRDefault="0085034E" w:rsidP="0085034E">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mryu@acenet.edu</w:t>
      </w:r>
    </w:p>
    <w:p w:rsidR="00C5590A" w:rsidRPr="00456256" w:rsidRDefault="00C5590A" w:rsidP="00DA3419">
      <w:pPr>
        <w:pStyle w:val="Title"/>
        <w:tabs>
          <w:tab w:val="left" w:pos="720"/>
          <w:tab w:val="left" w:pos="1440"/>
          <w:tab w:val="left" w:pos="1800"/>
          <w:tab w:val="right" w:leader="dot" w:pos="9000"/>
        </w:tabs>
        <w:spacing w:before="0" w:after="0"/>
        <w:jc w:val="left"/>
        <w:rPr>
          <w:rFonts w:ascii="Calibri" w:hAnsi="Calibri"/>
          <w:b w:val="0"/>
          <w:sz w:val="20"/>
        </w:rPr>
      </w:pP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Christine Tracy</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Association of Private Sector Colleges and Universities</w:t>
      </w:r>
    </w:p>
    <w:p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chris.tracy@apscu.org</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lastRenderedPageBreak/>
        <w:t xml:space="preserve">Wendy Weiler </w:t>
      </w:r>
      <w:r w:rsidRPr="00456256">
        <w:rPr>
          <w:rFonts w:ascii="Calibri" w:hAnsi="Calibri"/>
          <w:b w:val="0"/>
          <w:sz w:val="20"/>
        </w:rPr>
        <w:br/>
        <w:t>National Association of Independent Colleges and Universities</w:t>
      </w:r>
    </w:p>
    <w:p w:rsidR="00DA3419"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wendy@naicu.edu</w:t>
      </w:r>
    </w:p>
    <w:p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lastRenderedPageBreak/>
        <w:t>Christina Whitfield</w:t>
      </w:r>
    </w:p>
    <w:p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Kentucky Community and Technical College System</w:t>
      </w:r>
    </w:p>
    <w:p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christina.whitfield@kctcs.edu</w:t>
      </w:r>
    </w:p>
    <w:p w:rsidR="00C5590A" w:rsidRDefault="00C5590A"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C5590A" w:rsidRDefault="00C5590A" w:rsidP="00DA3419">
      <w:pPr>
        <w:pStyle w:val="Title"/>
        <w:tabs>
          <w:tab w:val="left" w:pos="720"/>
          <w:tab w:val="left" w:pos="1440"/>
          <w:tab w:val="left" w:pos="1800"/>
          <w:tab w:val="right" w:leader="dot" w:pos="9000"/>
        </w:tabs>
        <w:spacing w:before="0" w:after="0"/>
        <w:jc w:val="left"/>
        <w:rPr>
          <w:rFonts w:ascii="Calibri" w:hAnsi="Calibri"/>
          <w:b w:val="0"/>
          <w:sz w:val="22"/>
          <w:szCs w:val="22"/>
        </w:rPr>
        <w:sectPr w:rsidR="00C5590A" w:rsidSect="004858EC">
          <w:endnotePr>
            <w:numFmt w:val="decimal"/>
          </w:endnotePr>
          <w:type w:val="continuous"/>
          <w:pgSz w:w="12240" w:h="15840" w:code="1"/>
          <w:pgMar w:top="1008" w:right="1008" w:bottom="1008" w:left="1008" w:header="706" w:footer="706" w:gutter="0"/>
          <w:pgNumType w:start="2" w:chapStyle="1" w:chapSep="colon"/>
          <w:cols w:num="2" w:space="720"/>
          <w:noEndnote/>
          <w:titlePg/>
          <w:docGrid w:linePitch="326"/>
        </w:sectPr>
      </w:pPr>
    </w:p>
    <w:p w:rsidR="00DA3419" w:rsidRPr="00CF7A12" w:rsidRDefault="00DA341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rsidR="00DA3419" w:rsidRDefault="0019109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sidRPr="00191099">
        <w:rPr>
          <w:rFonts w:asciiTheme="minorHAnsi" w:hAnsiTheme="minorHAnsi"/>
          <w:b w:val="0"/>
          <w:sz w:val="22"/>
          <w:szCs w:val="22"/>
        </w:rPr>
        <w:t xml:space="preserve">The </w:t>
      </w:r>
      <w:r w:rsidR="008F5DE6">
        <w:rPr>
          <w:rFonts w:asciiTheme="minorHAnsi" w:hAnsiTheme="minorHAnsi"/>
          <w:b w:val="0"/>
          <w:sz w:val="22"/>
          <w:szCs w:val="22"/>
        </w:rPr>
        <w:t xml:space="preserve">CATEF </w:t>
      </w:r>
      <w:r w:rsidRPr="00191099">
        <w:rPr>
          <w:rFonts w:asciiTheme="minorHAnsi" w:hAnsiTheme="minorHAnsi"/>
          <w:b w:val="0"/>
          <w:sz w:val="22"/>
          <w:szCs w:val="22"/>
        </w:rPr>
        <w:t>survey form</w:t>
      </w:r>
      <w:r w:rsidR="00456256">
        <w:rPr>
          <w:rFonts w:asciiTheme="minorHAnsi" w:hAnsiTheme="minorHAnsi"/>
          <w:b w:val="0"/>
          <w:sz w:val="22"/>
          <w:szCs w:val="22"/>
        </w:rPr>
        <w:t>,</w:t>
      </w:r>
      <w:r w:rsidR="008F5DE6">
        <w:rPr>
          <w:rFonts w:asciiTheme="minorHAnsi" w:hAnsiTheme="minorHAnsi"/>
          <w:b w:val="0"/>
          <w:sz w:val="22"/>
          <w:szCs w:val="22"/>
        </w:rPr>
        <w:t xml:space="preserve"> originally developed by the Office of Postsecondary Education, with technical guidance and support from NCES staff, will continue to be used for the 2014-15, 2015-16, and 2016-17 CATEF collection</w:t>
      </w:r>
      <w:r w:rsidR="007E1055">
        <w:rPr>
          <w:rFonts w:asciiTheme="minorHAnsi" w:hAnsiTheme="minorHAnsi"/>
          <w:b w:val="0"/>
          <w:sz w:val="22"/>
          <w:szCs w:val="22"/>
        </w:rPr>
        <w:t>s</w:t>
      </w:r>
      <w:r w:rsidR="008F5DE6">
        <w:rPr>
          <w:rFonts w:asciiTheme="minorHAnsi" w:hAnsiTheme="minorHAnsi"/>
          <w:b w:val="0"/>
          <w:sz w:val="22"/>
          <w:szCs w:val="22"/>
        </w:rPr>
        <w:t xml:space="preserve">. </w:t>
      </w:r>
      <w:r w:rsidR="007E1055">
        <w:rPr>
          <w:rFonts w:asciiTheme="minorHAnsi" w:hAnsiTheme="minorHAnsi"/>
          <w:b w:val="0"/>
          <w:sz w:val="22"/>
          <w:szCs w:val="22"/>
        </w:rPr>
        <w:t>The CATEF contract is up for re-bid and procurement in March 2015. We expect that the contractors will continue to fulfill similar deliverables provided by the contractors who assisted with the 2011-12, 2012-13, and 2013-14 CATEF collections.</w:t>
      </w:r>
    </w:p>
    <w:p w:rsidR="005E1A04" w:rsidRDefault="005E1A04"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rsidR="000C5BE7" w:rsidRDefault="007E1055" w:rsidP="007F4D7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Pr>
          <w:rFonts w:ascii="Calibri" w:hAnsi="Calibri"/>
          <w:b w:val="0"/>
          <w:sz w:val="22"/>
          <w:szCs w:val="22"/>
        </w:rPr>
        <w:t xml:space="preserve">The 2011-12, 2012-13, and 2013-14 CATEF </w:t>
      </w:r>
      <w:r w:rsidRPr="00191099">
        <w:rPr>
          <w:rFonts w:asciiTheme="minorHAnsi" w:hAnsiTheme="minorHAnsi"/>
          <w:b w:val="0"/>
          <w:sz w:val="22"/>
          <w:szCs w:val="22"/>
        </w:rPr>
        <w:t xml:space="preserve">data </w:t>
      </w:r>
      <w:r w:rsidR="00456256">
        <w:rPr>
          <w:rFonts w:asciiTheme="minorHAnsi" w:hAnsiTheme="minorHAnsi"/>
          <w:b w:val="0"/>
          <w:sz w:val="22"/>
          <w:szCs w:val="22"/>
        </w:rPr>
        <w:t>were</w:t>
      </w:r>
      <w:r>
        <w:rPr>
          <w:rFonts w:asciiTheme="minorHAnsi" w:hAnsiTheme="minorHAnsi"/>
          <w:b w:val="0"/>
          <w:sz w:val="22"/>
          <w:szCs w:val="22"/>
        </w:rPr>
        <w:t xml:space="preserve"> </w:t>
      </w:r>
      <w:r w:rsidRPr="00191099">
        <w:rPr>
          <w:rFonts w:asciiTheme="minorHAnsi" w:hAnsiTheme="minorHAnsi"/>
          <w:b w:val="0"/>
          <w:sz w:val="22"/>
          <w:szCs w:val="22"/>
        </w:rPr>
        <w:t>collected via an online data collection system run by IT Innovative Solutions</w:t>
      </w:r>
      <w:r>
        <w:rPr>
          <w:rFonts w:asciiTheme="minorHAnsi" w:hAnsiTheme="minorHAnsi"/>
          <w:b w:val="0"/>
          <w:sz w:val="22"/>
          <w:szCs w:val="22"/>
        </w:rPr>
        <w:t xml:space="preserve"> (Inovas). Inovas completed </w:t>
      </w:r>
      <w:r w:rsidR="00456256">
        <w:rPr>
          <w:rFonts w:asciiTheme="minorHAnsi" w:hAnsiTheme="minorHAnsi"/>
          <w:b w:val="0"/>
          <w:sz w:val="22"/>
          <w:szCs w:val="22"/>
        </w:rPr>
        <w:t>data</w:t>
      </w:r>
      <w:r>
        <w:rPr>
          <w:rFonts w:asciiTheme="minorHAnsi" w:hAnsiTheme="minorHAnsi"/>
          <w:b w:val="0"/>
          <w:sz w:val="22"/>
          <w:szCs w:val="22"/>
        </w:rPr>
        <w:t xml:space="preserve"> analysis and produce</w:t>
      </w:r>
      <w:r w:rsidR="00456256">
        <w:rPr>
          <w:rFonts w:asciiTheme="minorHAnsi" w:hAnsiTheme="minorHAnsi"/>
          <w:b w:val="0"/>
          <w:sz w:val="22"/>
          <w:szCs w:val="22"/>
        </w:rPr>
        <w:t>d</w:t>
      </w:r>
      <w:r>
        <w:rPr>
          <w:rFonts w:asciiTheme="minorHAnsi" w:hAnsiTheme="minorHAnsi"/>
          <w:b w:val="0"/>
          <w:sz w:val="22"/>
          <w:szCs w:val="22"/>
        </w:rPr>
        <w:t xml:space="preserve"> </w:t>
      </w:r>
      <w:r w:rsidR="00456256">
        <w:rPr>
          <w:rFonts w:asciiTheme="minorHAnsi" w:hAnsiTheme="minorHAnsi"/>
          <w:b w:val="0"/>
          <w:sz w:val="22"/>
          <w:szCs w:val="22"/>
        </w:rPr>
        <w:t>a</w:t>
      </w:r>
      <w:r>
        <w:rPr>
          <w:rFonts w:asciiTheme="minorHAnsi" w:hAnsiTheme="minorHAnsi"/>
          <w:b w:val="0"/>
          <w:sz w:val="22"/>
          <w:szCs w:val="22"/>
        </w:rPr>
        <w:t xml:space="preserve"> report for each collection year</w:t>
      </w:r>
      <w:r w:rsidR="00456256">
        <w:rPr>
          <w:rFonts w:asciiTheme="minorHAnsi" w:hAnsiTheme="minorHAnsi"/>
          <w:b w:val="0"/>
          <w:sz w:val="22"/>
          <w:szCs w:val="22"/>
        </w:rPr>
        <w:t xml:space="preserve">, under </w:t>
      </w:r>
      <w:r>
        <w:rPr>
          <w:rFonts w:asciiTheme="minorHAnsi" w:hAnsiTheme="minorHAnsi"/>
          <w:b w:val="0"/>
          <w:sz w:val="22"/>
          <w:szCs w:val="22"/>
        </w:rPr>
        <w:t>le</w:t>
      </w:r>
      <w:r w:rsidR="00456256">
        <w:rPr>
          <w:rFonts w:asciiTheme="minorHAnsi" w:hAnsiTheme="minorHAnsi"/>
          <w:b w:val="0"/>
          <w:sz w:val="22"/>
          <w:szCs w:val="22"/>
        </w:rPr>
        <w:t>adership of</w:t>
      </w:r>
      <w:r w:rsidRPr="00191099">
        <w:rPr>
          <w:rFonts w:asciiTheme="minorHAnsi" w:hAnsiTheme="minorHAnsi"/>
          <w:b w:val="0"/>
          <w:sz w:val="22"/>
          <w:szCs w:val="22"/>
        </w:rPr>
        <w:t xml:space="preserve"> Mohamad Sakr (</w:t>
      </w:r>
      <w:r w:rsidRPr="00865ECB">
        <w:rPr>
          <w:rFonts w:asciiTheme="minorHAnsi" w:hAnsiTheme="minorHAnsi" w:cstheme="minorHAnsi"/>
          <w:b w:val="0"/>
          <w:sz w:val="22"/>
          <w:szCs w:val="22"/>
        </w:rPr>
        <w:t>Mohamad@inovas.net</w:t>
      </w:r>
      <w:r w:rsidRPr="00191099">
        <w:rPr>
          <w:rFonts w:asciiTheme="minorHAnsi" w:hAnsiTheme="minorHAnsi"/>
          <w:b w:val="0"/>
          <w:sz w:val="22"/>
          <w:szCs w:val="22"/>
        </w:rPr>
        <w:t>).</w:t>
      </w:r>
    </w:p>
    <w:p w:rsidR="000C5BE7" w:rsidRDefault="000C5BE7" w:rsidP="007F4D7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rsidR="004F692A" w:rsidRPr="007F4D79" w:rsidRDefault="000C5BE7" w:rsidP="007F4D7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sidRPr="00013990">
        <w:rPr>
          <w:rFonts w:asciiTheme="minorHAnsi" w:hAnsiTheme="minorHAnsi"/>
          <w:b w:val="0"/>
          <w:sz w:val="22"/>
          <w:szCs w:val="22"/>
        </w:rPr>
        <w:t>T</w:t>
      </w:r>
      <w:r w:rsidR="0085034E" w:rsidRPr="00013990">
        <w:rPr>
          <w:rFonts w:ascii="Calibri" w:hAnsi="Calibri"/>
          <w:b w:val="0"/>
          <w:noProof/>
          <w:sz w:val="22"/>
          <w:szCs w:val="22"/>
        </w:rPr>
        <mc:AlternateContent>
          <mc:Choice Requires="wps">
            <w:drawing>
              <wp:anchor distT="0" distB="0" distL="114300" distR="114300" simplePos="0" relativeHeight="251673600" behindDoc="0" locked="0" layoutInCell="1" allowOverlap="1" wp14:anchorId="638A45F7" wp14:editId="4AAAF16B">
                <wp:simplePos x="0" y="0"/>
                <wp:positionH relativeFrom="column">
                  <wp:posOffset>3042920</wp:posOffset>
                </wp:positionH>
                <wp:positionV relativeFrom="paragraph">
                  <wp:posOffset>7154545</wp:posOffset>
                </wp:positionV>
                <wp:extent cx="400050" cy="276225"/>
                <wp:effectExtent l="0" t="0" r="19050" b="2857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rsidR="0085034E" w:rsidRDefault="0085034E" w:rsidP="0085034E">
                            <w:r>
                              <w:t>B</w:t>
                            </w:r>
                            <w:r w:rsidR="009474A3">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39.6pt;margin-top:563.35pt;width:31.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" strokecolor="white [3212]">
                <v:textbox>
                  <w:txbxContent>
                    <w:p w:rsidR="0085034E" w:rsidRDefault="0085034E" w:rsidP="0085034E">
                      <w:r>
                        <w:t>B</w:t>
                      </w:r>
                      <w:r w:rsidR="009474A3">
                        <w:t>4</w:t>
                      </w:r>
                    </w:p>
                  </w:txbxContent>
                </v:textbox>
              </v:shape>
            </w:pict>
          </mc:Fallback>
        </mc:AlternateContent>
      </w:r>
      <w:r w:rsidR="00E04053" w:rsidRPr="00013990">
        <w:rPr>
          <w:rFonts w:ascii="Univers" w:hAnsi="Univers"/>
          <w:noProof/>
        </w:rPr>
        <mc:AlternateContent>
          <mc:Choice Requires="wps">
            <w:drawing>
              <wp:anchor distT="0" distB="0" distL="114300" distR="114300" simplePos="0" relativeHeight="251670528" behindDoc="0" locked="0" layoutInCell="1" allowOverlap="1" wp14:anchorId="1AFC63CD" wp14:editId="5F8D5F5A">
                <wp:simplePos x="0" y="0"/>
                <wp:positionH relativeFrom="column">
                  <wp:posOffset>2963545</wp:posOffset>
                </wp:positionH>
                <wp:positionV relativeFrom="paragraph">
                  <wp:posOffset>7881620</wp:posOffset>
                </wp:positionV>
                <wp:extent cx="400050" cy="276225"/>
                <wp:effectExtent l="0" t="0" r="19050"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rsidP="005A3292">
                            <w:r>
                              <w:t>B3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33.35pt;margin-top:620.6pt;width:31.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" strokecolor="white [3212]">
                <v:textbox>
                  <w:txbxContent>
                    <w:p w:rsidR="00866337" w:rsidRDefault="00866337" w:rsidP="005A3292">
                      <w:r>
                        <w:t>B3</w:t>
                      </w:r>
                    </w:p>
                  </w:txbxContent>
                </v:textbox>
              </v:shape>
            </w:pict>
          </mc:Fallback>
        </mc:AlternateContent>
      </w:r>
      <w:r w:rsidRPr="00013990">
        <w:rPr>
          <w:rFonts w:asciiTheme="minorHAnsi" w:hAnsiTheme="minorHAnsi"/>
          <w:b w:val="0"/>
          <w:sz w:val="22"/>
          <w:szCs w:val="22"/>
        </w:rPr>
        <w:t>he U.S. Department of Education staff responsible for the CATEF d</w:t>
      </w:r>
      <w:r w:rsidR="00C047DD" w:rsidRPr="00013990">
        <w:rPr>
          <w:rFonts w:asciiTheme="minorHAnsi" w:hAnsiTheme="minorHAnsi"/>
          <w:b w:val="0"/>
          <w:sz w:val="22"/>
          <w:szCs w:val="22"/>
        </w:rPr>
        <w:t xml:space="preserve">esign and performance include: </w:t>
      </w:r>
      <w:r w:rsidR="004858EC" w:rsidRPr="00013990">
        <w:rPr>
          <w:rFonts w:asciiTheme="minorHAnsi" w:hAnsiTheme="minorHAnsi"/>
          <w:b w:val="0"/>
          <w:sz w:val="22"/>
          <w:szCs w:val="22"/>
        </w:rPr>
        <w:t xml:space="preserve">Ashley Higgins </w:t>
      </w:r>
      <w:r w:rsidR="00C047DD" w:rsidRPr="00013990">
        <w:rPr>
          <w:rFonts w:asciiTheme="minorHAnsi" w:hAnsiTheme="minorHAnsi"/>
          <w:b w:val="0"/>
          <w:sz w:val="22"/>
          <w:szCs w:val="22"/>
        </w:rPr>
        <w:t xml:space="preserve">from </w:t>
      </w:r>
      <w:r w:rsidRPr="00013990">
        <w:rPr>
          <w:rFonts w:asciiTheme="minorHAnsi" w:hAnsiTheme="minorHAnsi"/>
          <w:b w:val="0"/>
          <w:sz w:val="22"/>
          <w:szCs w:val="22"/>
        </w:rPr>
        <w:t xml:space="preserve">OPE, and </w:t>
      </w:r>
      <w:r w:rsidR="00C047DD" w:rsidRPr="00013990">
        <w:rPr>
          <w:rFonts w:asciiTheme="minorHAnsi" w:hAnsiTheme="minorHAnsi"/>
          <w:b w:val="0"/>
          <w:sz w:val="22"/>
          <w:szCs w:val="22"/>
        </w:rPr>
        <w:t xml:space="preserve">Gigi Jones and Richard Reeves from </w:t>
      </w:r>
      <w:r w:rsidRPr="00013990">
        <w:rPr>
          <w:rFonts w:asciiTheme="minorHAnsi" w:hAnsiTheme="minorHAnsi"/>
          <w:b w:val="0"/>
          <w:sz w:val="22"/>
          <w:szCs w:val="22"/>
        </w:rPr>
        <w:t>NCES.</w:t>
      </w:r>
    </w:p>
    <w:sectPr w:rsidR="004F692A" w:rsidRPr="007F4D79" w:rsidSect="00E9487A">
      <w:endnotePr>
        <w:numFmt w:val="decimal"/>
      </w:endnotePr>
      <w:type w:val="continuous"/>
      <w:pgSz w:w="12240" w:h="15840" w:code="1"/>
      <w:pgMar w:top="1008" w:right="1008" w:bottom="1008" w:left="1008" w:header="706" w:footer="706" w:gutter="0"/>
      <w:pgNumType w:start="0" w:chapStyle="1" w:chapSep="colon"/>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6DD" w:rsidRDefault="005C46DD">
      <w:pPr>
        <w:spacing w:line="20" w:lineRule="exact"/>
      </w:pPr>
    </w:p>
  </w:endnote>
  <w:endnote w:type="continuationSeparator" w:id="0">
    <w:p w:rsidR="005C46DD" w:rsidRDefault="005C46DD">
      <w:r>
        <w:t xml:space="preserve"> </w:t>
      </w:r>
    </w:p>
  </w:endnote>
  <w:endnote w:type="continuationNotice" w:id="1">
    <w:p w:rsidR="005C46DD" w:rsidRDefault="005C46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79" w:rsidRDefault="007F4D79">
    <w:pPr>
      <w:pStyle w:val="Footer"/>
      <w:framePr w:wrap="around" w:vAnchor="text" w:hAnchor="margin" w:xAlign="right"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33</w:t>
    </w:r>
    <w:r>
      <w:rPr>
        <w:rStyle w:val="PageNumber"/>
        <w:rFonts w:eastAsiaTheme="minorEastAsia"/>
      </w:rPr>
      <w:fldChar w:fldCharType="end"/>
    </w:r>
  </w:p>
  <w:p w:rsidR="007F4D79" w:rsidRDefault="007F4D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79" w:rsidRDefault="007F4D79">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2</w:t>
    </w:r>
    <w:r>
      <w:rPr>
        <w:rStyle w:val="PageNumber"/>
        <w:rFonts w:eastAsiaTheme="minorEastAsia"/>
      </w:rPr>
      <w:fldChar w:fldCharType="end"/>
    </w:r>
  </w:p>
  <w:p w:rsidR="007F4D79" w:rsidRDefault="007F4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100347"/>
      <w:docPartObj>
        <w:docPartGallery w:val="Page Numbers (Bottom of Page)"/>
        <w:docPartUnique/>
      </w:docPartObj>
    </w:sdtPr>
    <w:sdtEndPr>
      <w:rPr>
        <w:noProof/>
      </w:rPr>
    </w:sdtEndPr>
    <w:sdtContent>
      <w:p w:rsidR="00866337" w:rsidRDefault="007F4D79" w:rsidP="007F4D79">
        <w:pPr>
          <w:pStyle w:val="Footer"/>
          <w:jc w:val="center"/>
        </w:pPr>
        <w:r>
          <w:fldChar w:fldCharType="begin"/>
        </w:r>
        <w:r>
          <w:instrText xml:space="preserve"> PAGE   \* MERGEFORMAT </w:instrText>
        </w:r>
        <w:r>
          <w:fldChar w:fldCharType="separate"/>
        </w:r>
        <w:r w:rsidR="00492DF5">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37" w:rsidRDefault="00866337">
    <w:pPr>
      <w:pStyle w:val="Footer"/>
    </w:pPr>
  </w:p>
  <w:p w:rsidR="00866337" w:rsidRDefault="00866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6DD" w:rsidRDefault="005C46DD">
      <w:r>
        <w:separator/>
      </w:r>
    </w:p>
  </w:footnote>
  <w:footnote w:type="continuationSeparator" w:id="0">
    <w:p w:rsidR="005C46DD" w:rsidRDefault="005C4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1D34E0B"/>
    <w:multiLevelType w:val="hybridMultilevel"/>
    <w:tmpl w:val="EE2EF812"/>
    <w:lvl w:ilvl="0" w:tplc="FE00CD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A0349CD"/>
    <w:multiLevelType w:val="hybridMultilevel"/>
    <w:tmpl w:val="3B7685E0"/>
    <w:lvl w:ilvl="0" w:tplc="55367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9967BB"/>
    <w:multiLevelType w:val="hybridMultilevel"/>
    <w:tmpl w:val="50F2B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36C1D"/>
    <w:multiLevelType w:val="hybridMultilevel"/>
    <w:tmpl w:val="39F25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3EFB629E"/>
    <w:multiLevelType w:val="hybridMultilevel"/>
    <w:tmpl w:val="CC100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4F902F0"/>
    <w:multiLevelType w:val="hybridMultilevel"/>
    <w:tmpl w:val="3892B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lvl>
  </w:abstractNum>
  <w:abstractNum w:abstractNumId="15">
    <w:nsid w:val="73280613"/>
    <w:multiLevelType w:val="hybridMultilevel"/>
    <w:tmpl w:val="9B3E2E38"/>
    <w:lvl w:ilvl="0" w:tplc="F9B6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DA272A"/>
    <w:multiLevelType w:val="hybridMultilevel"/>
    <w:tmpl w:val="A80E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14DD2"/>
    <w:multiLevelType w:val="hybridMultilevel"/>
    <w:tmpl w:val="7AC2E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4"/>
  </w:num>
  <w:num w:numId="4">
    <w:abstractNumId w:val="14"/>
  </w:num>
  <w:num w:numId="5">
    <w:abstractNumId w:val="1"/>
  </w:num>
  <w:num w:numId="6">
    <w:abstractNumId w:val="2"/>
  </w:num>
  <w:num w:numId="7">
    <w:abstractNumId w:val="11"/>
  </w:num>
  <w:num w:numId="8">
    <w:abstractNumId w:val="10"/>
  </w:num>
  <w:num w:numId="9">
    <w:abstractNumId w:val="12"/>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6"/>
  </w:num>
  <w:num w:numId="15">
    <w:abstractNumId w:val="15"/>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CD"/>
    <w:rsid w:val="00013990"/>
    <w:rsid w:val="000347AF"/>
    <w:rsid w:val="00040A3F"/>
    <w:rsid w:val="0005657F"/>
    <w:rsid w:val="000750A5"/>
    <w:rsid w:val="0009271B"/>
    <w:rsid w:val="000C2872"/>
    <w:rsid w:val="000C4178"/>
    <w:rsid w:val="000C4803"/>
    <w:rsid w:val="000C5BE7"/>
    <w:rsid w:val="000C77AA"/>
    <w:rsid w:val="000F0044"/>
    <w:rsid w:val="000F175B"/>
    <w:rsid w:val="00121527"/>
    <w:rsid w:val="00136497"/>
    <w:rsid w:val="00143066"/>
    <w:rsid w:val="00153F20"/>
    <w:rsid w:val="00177125"/>
    <w:rsid w:val="00191099"/>
    <w:rsid w:val="0019662A"/>
    <w:rsid w:val="001A0365"/>
    <w:rsid w:val="001A4F97"/>
    <w:rsid w:val="001B67CD"/>
    <w:rsid w:val="001C3208"/>
    <w:rsid w:val="001E1FC2"/>
    <w:rsid w:val="001E7D7B"/>
    <w:rsid w:val="00203E9F"/>
    <w:rsid w:val="002167F2"/>
    <w:rsid w:val="00226611"/>
    <w:rsid w:val="00241940"/>
    <w:rsid w:val="002454A8"/>
    <w:rsid w:val="00252756"/>
    <w:rsid w:val="002636D0"/>
    <w:rsid w:val="00286ADB"/>
    <w:rsid w:val="002A07A8"/>
    <w:rsid w:val="002A5684"/>
    <w:rsid w:val="002A5D4D"/>
    <w:rsid w:val="002A601C"/>
    <w:rsid w:val="002B4226"/>
    <w:rsid w:val="002B624B"/>
    <w:rsid w:val="002C21D7"/>
    <w:rsid w:val="002D171E"/>
    <w:rsid w:val="00301EE8"/>
    <w:rsid w:val="00306D75"/>
    <w:rsid w:val="00312A47"/>
    <w:rsid w:val="0031493E"/>
    <w:rsid w:val="00315F12"/>
    <w:rsid w:val="003304A4"/>
    <w:rsid w:val="00355F5D"/>
    <w:rsid w:val="00356095"/>
    <w:rsid w:val="00363B3A"/>
    <w:rsid w:val="003C11DE"/>
    <w:rsid w:val="003C29C2"/>
    <w:rsid w:val="003C486A"/>
    <w:rsid w:val="0040534C"/>
    <w:rsid w:val="004214B0"/>
    <w:rsid w:val="00427B70"/>
    <w:rsid w:val="00456256"/>
    <w:rsid w:val="00463381"/>
    <w:rsid w:val="004858EC"/>
    <w:rsid w:val="00487CDB"/>
    <w:rsid w:val="00490E39"/>
    <w:rsid w:val="00492DF5"/>
    <w:rsid w:val="00494B3A"/>
    <w:rsid w:val="004A450A"/>
    <w:rsid w:val="004B56F5"/>
    <w:rsid w:val="004F692A"/>
    <w:rsid w:val="00505CEC"/>
    <w:rsid w:val="00570190"/>
    <w:rsid w:val="00584639"/>
    <w:rsid w:val="005A3292"/>
    <w:rsid w:val="005A4185"/>
    <w:rsid w:val="005C4178"/>
    <w:rsid w:val="005C46DD"/>
    <w:rsid w:val="005D5E8F"/>
    <w:rsid w:val="005E1A04"/>
    <w:rsid w:val="005E3EFF"/>
    <w:rsid w:val="00604570"/>
    <w:rsid w:val="00613B34"/>
    <w:rsid w:val="00615C8A"/>
    <w:rsid w:val="00630881"/>
    <w:rsid w:val="00630E7E"/>
    <w:rsid w:val="00664C9B"/>
    <w:rsid w:val="00681BC9"/>
    <w:rsid w:val="006B3FC5"/>
    <w:rsid w:val="006B49EB"/>
    <w:rsid w:val="006B6DB2"/>
    <w:rsid w:val="006C3275"/>
    <w:rsid w:val="006D601F"/>
    <w:rsid w:val="006E73A3"/>
    <w:rsid w:val="006F5BB5"/>
    <w:rsid w:val="00704644"/>
    <w:rsid w:val="00730A36"/>
    <w:rsid w:val="00740968"/>
    <w:rsid w:val="00741F47"/>
    <w:rsid w:val="00752F5B"/>
    <w:rsid w:val="00765B5F"/>
    <w:rsid w:val="00793BBB"/>
    <w:rsid w:val="007E08C5"/>
    <w:rsid w:val="007E1055"/>
    <w:rsid w:val="007F4D79"/>
    <w:rsid w:val="007F74B5"/>
    <w:rsid w:val="008014C3"/>
    <w:rsid w:val="00820A87"/>
    <w:rsid w:val="00843751"/>
    <w:rsid w:val="0085034E"/>
    <w:rsid w:val="00850F0D"/>
    <w:rsid w:val="00865ECB"/>
    <w:rsid w:val="00866337"/>
    <w:rsid w:val="00897A8B"/>
    <w:rsid w:val="008A47DB"/>
    <w:rsid w:val="008C1F01"/>
    <w:rsid w:val="008C7CC5"/>
    <w:rsid w:val="008D71A9"/>
    <w:rsid w:val="008F5DE6"/>
    <w:rsid w:val="008F7A78"/>
    <w:rsid w:val="0091311F"/>
    <w:rsid w:val="009254C1"/>
    <w:rsid w:val="00940486"/>
    <w:rsid w:val="009447FE"/>
    <w:rsid w:val="009474A3"/>
    <w:rsid w:val="0098711A"/>
    <w:rsid w:val="009949A8"/>
    <w:rsid w:val="009A5249"/>
    <w:rsid w:val="009B6F93"/>
    <w:rsid w:val="009C3349"/>
    <w:rsid w:val="009D07A8"/>
    <w:rsid w:val="00A112AD"/>
    <w:rsid w:val="00A131B7"/>
    <w:rsid w:val="00A171B2"/>
    <w:rsid w:val="00A211EF"/>
    <w:rsid w:val="00A4047A"/>
    <w:rsid w:val="00A50A31"/>
    <w:rsid w:val="00A553A1"/>
    <w:rsid w:val="00A71016"/>
    <w:rsid w:val="00A93CF7"/>
    <w:rsid w:val="00AD4B06"/>
    <w:rsid w:val="00AF1147"/>
    <w:rsid w:val="00B01043"/>
    <w:rsid w:val="00B03898"/>
    <w:rsid w:val="00B16707"/>
    <w:rsid w:val="00B16EF7"/>
    <w:rsid w:val="00B31DBC"/>
    <w:rsid w:val="00B6136E"/>
    <w:rsid w:val="00BA6A9E"/>
    <w:rsid w:val="00BB5C53"/>
    <w:rsid w:val="00BD5D06"/>
    <w:rsid w:val="00C047DD"/>
    <w:rsid w:val="00C1493D"/>
    <w:rsid w:val="00C263AB"/>
    <w:rsid w:val="00C5590A"/>
    <w:rsid w:val="00C723C2"/>
    <w:rsid w:val="00C9410B"/>
    <w:rsid w:val="00CA4C85"/>
    <w:rsid w:val="00CB714A"/>
    <w:rsid w:val="00CC439E"/>
    <w:rsid w:val="00CF7A12"/>
    <w:rsid w:val="00D057AD"/>
    <w:rsid w:val="00D275F8"/>
    <w:rsid w:val="00D31E59"/>
    <w:rsid w:val="00D326CD"/>
    <w:rsid w:val="00D45D79"/>
    <w:rsid w:val="00D60536"/>
    <w:rsid w:val="00D652C7"/>
    <w:rsid w:val="00D65B5D"/>
    <w:rsid w:val="00D700F8"/>
    <w:rsid w:val="00D80922"/>
    <w:rsid w:val="00D83FA1"/>
    <w:rsid w:val="00D97C18"/>
    <w:rsid w:val="00DA3419"/>
    <w:rsid w:val="00DB5B7C"/>
    <w:rsid w:val="00DE36F6"/>
    <w:rsid w:val="00DE7F07"/>
    <w:rsid w:val="00DF3AB5"/>
    <w:rsid w:val="00DF7DB9"/>
    <w:rsid w:val="00E00B60"/>
    <w:rsid w:val="00E04053"/>
    <w:rsid w:val="00E127B3"/>
    <w:rsid w:val="00E12C90"/>
    <w:rsid w:val="00E2388E"/>
    <w:rsid w:val="00E5123B"/>
    <w:rsid w:val="00E525B3"/>
    <w:rsid w:val="00E5583A"/>
    <w:rsid w:val="00E9487A"/>
    <w:rsid w:val="00F122AA"/>
    <w:rsid w:val="00F1729F"/>
    <w:rsid w:val="00F313DF"/>
    <w:rsid w:val="00F415E2"/>
    <w:rsid w:val="00F53D9D"/>
    <w:rsid w:val="00F9385D"/>
    <w:rsid w:val="00FB47E9"/>
    <w:rsid w:val="00FF049A"/>
    <w:rsid w:val="00FF3D0D"/>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0C5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0C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8705">
      <w:bodyDiv w:val="1"/>
      <w:marLeft w:val="0"/>
      <w:marRight w:val="0"/>
      <w:marTop w:val="0"/>
      <w:marBottom w:val="0"/>
      <w:divBdr>
        <w:top w:val="none" w:sz="0" w:space="0" w:color="auto"/>
        <w:left w:val="none" w:sz="0" w:space="0" w:color="auto"/>
        <w:bottom w:val="none" w:sz="0" w:space="0" w:color="auto"/>
        <w:right w:val="none" w:sz="0" w:space="0" w:color="auto"/>
      </w:divBdr>
    </w:div>
    <w:div w:id="356850444">
      <w:bodyDiv w:val="1"/>
      <w:marLeft w:val="0"/>
      <w:marRight w:val="0"/>
      <w:marTop w:val="0"/>
      <w:marBottom w:val="0"/>
      <w:divBdr>
        <w:top w:val="none" w:sz="0" w:space="0" w:color="auto"/>
        <w:left w:val="none" w:sz="0" w:space="0" w:color="auto"/>
        <w:bottom w:val="none" w:sz="0" w:space="0" w:color="auto"/>
        <w:right w:val="none" w:sz="0" w:space="0" w:color="auto"/>
      </w:divBdr>
      <w:divsChild>
        <w:div w:id="218132225">
          <w:marLeft w:val="0"/>
          <w:marRight w:val="0"/>
          <w:marTop w:val="0"/>
          <w:marBottom w:val="0"/>
          <w:divBdr>
            <w:top w:val="none" w:sz="0" w:space="0" w:color="auto"/>
            <w:left w:val="none" w:sz="0" w:space="0" w:color="auto"/>
            <w:bottom w:val="none" w:sz="0" w:space="0" w:color="auto"/>
            <w:right w:val="none" w:sz="0" w:space="0" w:color="auto"/>
          </w:divBdr>
          <w:divsChild>
            <w:div w:id="1580821455">
              <w:marLeft w:val="0"/>
              <w:marRight w:val="0"/>
              <w:marTop w:val="136"/>
              <w:marBottom w:val="0"/>
              <w:divBdr>
                <w:top w:val="none" w:sz="0" w:space="0" w:color="auto"/>
                <w:left w:val="none" w:sz="0" w:space="0" w:color="auto"/>
                <w:bottom w:val="none" w:sz="0" w:space="0" w:color="auto"/>
                <w:right w:val="none" w:sz="0" w:space="0" w:color="auto"/>
              </w:divBdr>
              <w:divsChild>
                <w:div w:id="243807565">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57790484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sChild>
        <w:div w:id="1954969923">
          <w:marLeft w:val="0"/>
          <w:marRight w:val="0"/>
          <w:marTop w:val="0"/>
          <w:marBottom w:val="0"/>
          <w:divBdr>
            <w:top w:val="none" w:sz="0" w:space="0" w:color="auto"/>
            <w:left w:val="none" w:sz="0" w:space="0" w:color="auto"/>
            <w:bottom w:val="none" w:sz="0" w:space="0" w:color="auto"/>
            <w:right w:val="none" w:sz="0" w:space="0" w:color="auto"/>
          </w:divBdr>
          <w:divsChild>
            <w:div w:id="615717042">
              <w:marLeft w:val="0"/>
              <w:marRight w:val="0"/>
              <w:marTop w:val="41"/>
              <w:marBottom w:val="0"/>
              <w:divBdr>
                <w:top w:val="none" w:sz="0" w:space="0" w:color="auto"/>
                <w:left w:val="none" w:sz="0" w:space="0" w:color="auto"/>
                <w:bottom w:val="none" w:sz="0" w:space="0" w:color="auto"/>
                <w:right w:val="none" w:sz="0" w:space="0" w:color="auto"/>
              </w:divBdr>
              <w:divsChild>
                <w:div w:id="956447649">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56C4-79E4-4E50-904B-B7F652EA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7757</CharactersWithSpaces>
  <SharedDoc>false</SharedDoc>
  <HLinks>
    <vt:vector size="6" baseType="variant">
      <vt:variant>
        <vt:i4>3407910</vt:i4>
      </vt:variant>
      <vt:variant>
        <vt:i4>0</vt:i4>
      </vt:variant>
      <vt:variant>
        <vt:i4>0</vt:i4>
      </vt:variant>
      <vt:variant>
        <vt:i4>5</vt:i4>
      </vt:variant>
      <vt:variant>
        <vt:lpwstr>http://collegecost.ed.gov/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Colleen Lenihan</dc:creator>
  <cp:lastModifiedBy>Kubzdela,Kashka</cp:lastModifiedBy>
  <cp:revision>3</cp:revision>
  <cp:lastPrinted>2011-12-01T19:10:00Z</cp:lastPrinted>
  <dcterms:created xsi:type="dcterms:W3CDTF">2014-10-15T16:15:00Z</dcterms:created>
  <dcterms:modified xsi:type="dcterms:W3CDTF">2014-10-15T17:53:00Z</dcterms:modified>
</cp:coreProperties>
</file>