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30" w:rsidRPr="003F006D" w:rsidRDefault="00C82919" w:rsidP="00C82919">
      <w:pPr>
        <w:jc w:val="center"/>
        <w:rPr>
          <w:b/>
        </w:rPr>
      </w:pPr>
      <w:r w:rsidRPr="003F006D">
        <w:rPr>
          <w:b/>
        </w:rPr>
        <w:t>Supporting Statement</w:t>
      </w:r>
    </w:p>
    <w:p w:rsidR="00C82919" w:rsidRPr="003F006D" w:rsidRDefault="00D36318" w:rsidP="00C82919">
      <w:pPr>
        <w:jc w:val="center"/>
        <w:rPr>
          <w:b/>
        </w:rPr>
      </w:pPr>
      <w:r w:rsidRPr="003F006D">
        <w:rPr>
          <w:b/>
        </w:rPr>
        <w:t>Department of Energy</w:t>
      </w:r>
      <w:r w:rsidR="00C82919" w:rsidRPr="003F006D">
        <w:rPr>
          <w:b/>
        </w:rPr>
        <w:t xml:space="preserve"> </w:t>
      </w:r>
      <w:r w:rsidR="007663E1" w:rsidRPr="003F006D">
        <w:rPr>
          <w:b/>
        </w:rPr>
        <w:t>Procurement Package</w:t>
      </w:r>
    </w:p>
    <w:p w:rsidR="00C82919" w:rsidRPr="00C82919" w:rsidRDefault="00C82919" w:rsidP="00C82919">
      <w:pPr>
        <w:jc w:val="center"/>
        <w:rPr>
          <w:b/>
        </w:rPr>
      </w:pPr>
      <w:r w:rsidRPr="003F006D">
        <w:rPr>
          <w:b/>
        </w:rPr>
        <w:t>OMB Control Number 1910-</w:t>
      </w:r>
      <w:r w:rsidR="007663E1" w:rsidRPr="003F006D">
        <w:rPr>
          <w:b/>
        </w:rPr>
        <w:t>4100</w:t>
      </w:r>
    </w:p>
    <w:p w:rsidR="00123C4A" w:rsidRDefault="00123C4A"/>
    <w:p w:rsidR="009742E8" w:rsidRDefault="009742E8" w:rsidP="009742E8">
      <w:pPr>
        <w:ind w:left="360"/>
      </w:pPr>
      <w:r w:rsidRPr="009742E8">
        <w:t xml:space="preserve">This supporting statement </w:t>
      </w:r>
      <w:r>
        <w:t xml:space="preserve">provides additional information regarding the Department of Energy </w:t>
      </w:r>
      <w:r w:rsidR="004038EF">
        <w:t xml:space="preserve">(DOE) </w:t>
      </w:r>
      <w:r>
        <w:t xml:space="preserve">request for extension of the existing clearance for the above named package of information collections imposed by </w:t>
      </w:r>
      <w:r w:rsidR="00B00A6D">
        <w:t xml:space="preserve">the Department of Energy Acquisition Regulation (DEAR) </w:t>
      </w:r>
      <w:r>
        <w:t xml:space="preserve">codified at Chapter 9 of Title 48 of the Code of Federal Regulations.  </w:t>
      </w:r>
      <w:r w:rsidR="000E4E06">
        <w:t>The D</w:t>
      </w:r>
      <w:r w:rsidR="004A6C36">
        <w:t xml:space="preserve">EAR </w:t>
      </w:r>
      <w:r w:rsidR="000E4E06">
        <w:t>is authorized by section 644</w:t>
      </w:r>
      <w:r w:rsidR="00122D3A">
        <w:t xml:space="preserve"> of </w:t>
      </w:r>
      <w:r w:rsidR="000E4E06">
        <w:t xml:space="preserve">the Department of Energy Organization Act, </w:t>
      </w:r>
      <w:r w:rsidR="00122D3A">
        <w:t>42 U.S.C. 7254</w:t>
      </w:r>
      <w:r w:rsidR="004A6C36">
        <w:t>,</w:t>
      </w:r>
      <w:r w:rsidR="00122D3A">
        <w:t xml:space="preserve"> as well as section 205(c) of the Federal Property and Administrative Services Act, 40 U.S.C. 486(c).</w:t>
      </w:r>
      <w:r w:rsidR="005B7806">
        <w:t xml:space="preserve">  The </w:t>
      </w:r>
      <w:r w:rsidR="004A6C36">
        <w:t xml:space="preserve">DEAR </w:t>
      </w:r>
      <w:r w:rsidR="005B7806">
        <w:t>implements and supplements the Federal Acquisition Regulation</w:t>
      </w:r>
      <w:r w:rsidR="006E0642">
        <w:t xml:space="preserve"> (FAR)</w:t>
      </w:r>
      <w:r w:rsidR="005B7806">
        <w:t xml:space="preserve"> authorized by the Office of Federal Procurement Policy Act</w:t>
      </w:r>
      <w:r w:rsidR="0016473B">
        <w:t>, 41 U.S.C. 40</w:t>
      </w:r>
      <w:r w:rsidR="008C7279">
        <w:t>5</w:t>
      </w:r>
      <w:r w:rsidR="0016473B">
        <w:t xml:space="preserve">.  To the extent that a procurement burden is first imposed by the </w:t>
      </w:r>
      <w:r w:rsidR="006E0642">
        <w:t>FAR</w:t>
      </w:r>
      <w:r w:rsidR="0016473B">
        <w:t>, it will be justified and cleared by the General Services Administration for Government</w:t>
      </w:r>
      <w:r w:rsidR="006E0642">
        <w:t>-</w:t>
      </w:r>
      <w:r w:rsidR="0016473B">
        <w:t xml:space="preserve">wide use.  If a procurement burden is imposed by the </w:t>
      </w:r>
      <w:r w:rsidR="006E0642">
        <w:t>DEAR</w:t>
      </w:r>
      <w:r w:rsidR="004A6C36">
        <w:t>,</w:t>
      </w:r>
      <w:r w:rsidR="0016473B">
        <w:t xml:space="preserve"> t</w:t>
      </w:r>
      <w:r w:rsidR="004A6C36">
        <w:t>he burden</w:t>
      </w:r>
      <w:r w:rsidR="0016473B">
        <w:t xml:space="preserve"> will b</w:t>
      </w:r>
      <w:r w:rsidR="00DC7E2D">
        <w:t>e</w:t>
      </w:r>
      <w:r w:rsidR="0016473B">
        <w:t xml:space="preserve"> </w:t>
      </w:r>
      <w:r w:rsidR="00B00A6D" w:rsidRPr="00B00A6D">
        <w:t>justified</w:t>
      </w:r>
      <w:r w:rsidR="00B00A6D">
        <w:t xml:space="preserve"> </w:t>
      </w:r>
      <w:r w:rsidR="0016473B">
        <w:t xml:space="preserve">and cleared </w:t>
      </w:r>
      <w:r w:rsidR="004A6C36">
        <w:t xml:space="preserve">by DOE </w:t>
      </w:r>
      <w:r w:rsidR="0016473B">
        <w:t xml:space="preserve">as part of this Paperwork Reduction Act </w:t>
      </w:r>
      <w:r w:rsidR="00B00A6D">
        <w:t>s</w:t>
      </w:r>
      <w:r w:rsidR="0016473B">
        <w:t>ubmission.</w:t>
      </w:r>
    </w:p>
    <w:p w:rsidR="004C3534" w:rsidRDefault="004C3534" w:rsidP="009742E8">
      <w:pPr>
        <w:ind w:left="360"/>
      </w:pPr>
    </w:p>
    <w:p w:rsidR="004C3534" w:rsidRPr="004C3534" w:rsidRDefault="004C3534" w:rsidP="004C3534">
      <w:pPr>
        <w:pStyle w:val="ListParagraph"/>
        <w:numPr>
          <w:ilvl w:val="0"/>
          <w:numId w:val="3"/>
        </w:numPr>
        <w:rPr>
          <w:b/>
        </w:rPr>
      </w:pPr>
      <w:r>
        <w:rPr>
          <w:b/>
          <w:u w:val="single"/>
        </w:rPr>
        <w:t>Justification</w:t>
      </w:r>
    </w:p>
    <w:p w:rsidR="00123C4A" w:rsidRPr="00123C4A" w:rsidRDefault="00123C4A" w:rsidP="00123C4A">
      <w:pPr>
        <w:ind w:left="360"/>
        <w:rPr>
          <w:i/>
        </w:rPr>
      </w:pPr>
    </w:p>
    <w:p w:rsidR="00766241" w:rsidRPr="00766241" w:rsidRDefault="00766241" w:rsidP="00123C4A">
      <w:pPr>
        <w:numPr>
          <w:ilvl w:val="0"/>
          <w:numId w:val="1"/>
        </w:numPr>
        <w:rPr>
          <w:b/>
          <w:u w:val="single"/>
        </w:rPr>
      </w:pPr>
      <w:r w:rsidRPr="00766241">
        <w:rPr>
          <w:b/>
          <w:u w:val="single"/>
        </w:rPr>
        <w:t>Explain the circumstances that make the collection of information necessary.  Identify any legal or administrative requirements that necessitate the collection.  Attach a copy of the</w:t>
      </w:r>
      <w:r w:rsidRPr="00766241">
        <w:rPr>
          <w:b/>
          <w:i/>
        </w:rPr>
        <w:t xml:space="preserve"> </w:t>
      </w:r>
      <w:r w:rsidRPr="00766241">
        <w:rPr>
          <w:b/>
          <w:u w:val="single"/>
        </w:rPr>
        <w:t>appropriate section of each statute and regulation mandating or authorizing the information collection.</w:t>
      </w:r>
      <w:r w:rsidRPr="00766241">
        <w:rPr>
          <w:b/>
          <w:i/>
        </w:rPr>
        <w:t xml:space="preserve"> </w:t>
      </w:r>
    </w:p>
    <w:p w:rsidR="00766241" w:rsidRDefault="00766241" w:rsidP="00766241">
      <w:pPr>
        <w:rPr>
          <w:b/>
          <w:i/>
        </w:rPr>
      </w:pPr>
    </w:p>
    <w:p w:rsidR="00766241" w:rsidRDefault="002E68E3" w:rsidP="002E68E3">
      <w:pPr>
        <w:ind w:left="360"/>
      </w:pPr>
      <w:r>
        <w:t xml:space="preserve">The Department of Energy is the second largest procurement organization in the Federal Government.  Responsible management of these large contracts requires diligent contract administration and the collection of certain information as specified in </w:t>
      </w:r>
      <w:r w:rsidR="00707E02">
        <w:t xml:space="preserve">certain solicitation provisions and contract clauses of </w:t>
      </w:r>
      <w:r>
        <w:t xml:space="preserve">the </w:t>
      </w:r>
      <w:r w:rsidR="00FD29CD">
        <w:t>DEAR</w:t>
      </w:r>
      <w:r>
        <w:t>.</w:t>
      </w:r>
      <w:r w:rsidR="00707E02">
        <w:t xml:space="preserve">  </w:t>
      </w:r>
    </w:p>
    <w:p w:rsidR="007011AA" w:rsidRDefault="007011AA" w:rsidP="002E68E3">
      <w:pPr>
        <w:ind w:left="360"/>
      </w:pPr>
    </w:p>
    <w:p w:rsidR="007011AA" w:rsidRDefault="007011AA" w:rsidP="007011AA">
      <w:pPr>
        <w:ind w:left="360"/>
      </w:pPr>
      <w:r>
        <w:t>The Department of Energy Organization Act, 42 U.S.C. 7254, states that the Secretary of Energy is authorized to prescribe such procedural and administrative rules as may be deemed necessary and appropriate to administer and manage the functions vested in the Department and to enter into and perform contracts, leases, cooperative agreements and other similar transactions with public agencies and private organizations and persons as may be deemed necessary and appropriate.</w:t>
      </w:r>
    </w:p>
    <w:p w:rsidR="00766241" w:rsidRPr="00766241" w:rsidRDefault="00766241" w:rsidP="00766241">
      <w:pPr>
        <w:rPr>
          <w:b/>
          <w:u w:val="single"/>
        </w:rPr>
      </w:pPr>
    </w:p>
    <w:p w:rsidR="00123C4A" w:rsidRDefault="00123C4A" w:rsidP="00123C4A">
      <w:pPr>
        <w:numPr>
          <w:ilvl w:val="0"/>
          <w:numId w:val="1"/>
        </w:numPr>
        <w:rPr>
          <w:b/>
          <w:u w:val="single"/>
        </w:rPr>
      </w:pPr>
      <w:r w:rsidRPr="00E65FC8">
        <w:rPr>
          <w:b/>
          <w:u w:val="single"/>
        </w:rPr>
        <w:t>Indicate how, by whom, and for what purpose the information is to be used.</w:t>
      </w:r>
      <w:r w:rsidR="002E68E3">
        <w:rPr>
          <w:b/>
          <w:u w:val="single"/>
        </w:rPr>
        <w:t xml:space="preserve">  Except for a new collection, indicate the actual use the agency has made of the information received from the current collection.</w:t>
      </w:r>
    </w:p>
    <w:p w:rsidR="00E65FC8" w:rsidRDefault="00E65FC8" w:rsidP="00E65FC8">
      <w:pPr>
        <w:ind w:left="360"/>
        <w:rPr>
          <w:b/>
          <w:u w:val="single"/>
        </w:rPr>
      </w:pPr>
    </w:p>
    <w:p w:rsidR="00E65FC8" w:rsidRDefault="00560D08" w:rsidP="00E65FC8">
      <w:pPr>
        <w:ind w:left="360"/>
      </w:pPr>
      <w:r>
        <w:t>The information collected by this package is used by the Department’s program</w:t>
      </w:r>
      <w:r w:rsidR="004A6C36">
        <w:t>, financial,</w:t>
      </w:r>
      <w:r>
        <w:t xml:space="preserve"> and procurement personnel to evaluate proposals and administer contracts</w:t>
      </w:r>
      <w:r w:rsidR="00092754">
        <w:t xml:space="preserve">.  These collections are used to exercise management oversight and control of the Department’s management contractors operating the Department’s major facilities and other contractors furnishing </w:t>
      </w:r>
      <w:r w:rsidR="003659AE">
        <w:t>products</w:t>
      </w:r>
      <w:r w:rsidR="00092754">
        <w:t xml:space="preserve"> and services.</w:t>
      </w:r>
      <w:r w:rsidR="007011AA">
        <w:t xml:space="preserve">  The information received from the current collection has been used for the administration of these contracts.</w:t>
      </w:r>
    </w:p>
    <w:p w:rsidR="00FC645C" w:rsidRDefault="00FC645C" w:rsidP="00E65FC8">
      <w:pPr>
        <w:ind w:left="360"/>
      </w:pPr>
    </w:p>
    <w:p w:rsidR="00123C4A" w:rsidRDefault="00123C4A" w:rsidP="00D36318">
      <w:pPr>
        <w:numPr>
          <w:ilvl w:val="0"/>
          <w:numId w:val="1"/>
        </w:numPr>
        <w:tabs>
          <w:tab w:val="clear" w:pos="720"/>
          <w:tab w:val="num" w:pos="400"/>
        </w:tabs>
        <w:rPr>
          <w:b/>
          <w:u w:val="single"/>
        </w:rPr>
      </w:pPr>
      <w:r w:rsidRPr="00486E8E">
        <w:rPr>
          <w:b/>
          <w:u w:val="single"/>
        </w:rPr>
        <w:t>Describe whether, and to what extent, the collection of information involves the use of automated, electronic, mechanical, or other technological collection techniques or other forms of information technology</w:t>
      </w:r>
      <w:r w:rsidR="007011AA">
        <w:rPr>
          <w:b/>
          <w:u w:val="single"/>
        </w:rPr>
        <w:t>, e.g., permitting electronic submission of responses</w:t>
      </w:r>
      <w:r w:rsidRPr="00486E8E">
        <w:rPr>
          <w:b/>
          <w:u w:val="single"/>
        </w:rPr>
        <w:t xml:space="preserve">. </w:t>
      </w:r>
    </w:p>
    <w:p w:rsidR="00486E8E" w:rsidRDefault="00486E8E" w:rsidP="00486E8E">
      <w:pPr>
        <w:ind w:left="360"/>
      </w:pPr>
    </w:p>
    <w:p w:rsidR="00C46F0F" w:rsidRDefault="00DC6D68" w:rsidP="00486E8E">
      <w:pPr>
        <w:ind w:left="360"/>
      </w:pPr>
      <w:r>
        <w:t xml:space="preserve">Contractors are authorized to submit information to the Department electronically, e.g., Internet, E-mail, computer </w:t>
      </w:r>
      <w:r w:rsidR="003659AE">
        <w:t>storage device</w:t>
      </w:r>
      <w:r>
        <w:t>, or facsimile.  In some instances, such as submission of proposals and scientific reporting, the Department has provided Web</w:t>
      </w:r>
      <w:r w:rsidR="003659AE">
        <w:t>-</w:t>
      </w:r>
      <w:r>
        <w:t>based tools to facilitate submission of information.</w:t>
      </w:r>
      <w:r w:rsidR="00F759FA">
        <w:t xml:space="preserve">  Most recently the Department has extended these electronic submission procedures to it</w:t>
      </w:r>
      <w:r w:rsidR="005E40E9">
        <w:t>s</w:t>
      </w:r>
      <w:r w:rsidR="00F759FA">
        <w:t xml:space="preserve"> Procurement and Financial systems</w:t>
      </w:r>
      <w:r w:rsidR="004C5EC7">
        <w:t xml:space="preserve">. </w:t>
      </w:r>
      <w:r w:rsidR="00F759FA">
        <w:t xml:space="preserve"> </w:t>
      </w:r>
      <w:r w:rsidR="004C5EC7">
        <w:t>The burden on contractors is</w:t>
      </w:r>
      <w:r w:rsidR="00F759FA">
        <w:t xml:space="preserve"> reduced </w:t>
      </w:r>
      <w:r w:rsidR="004C5EC7">
        <w:t xml:space="preserve">by </w:t>
      </w:r>
      <w:r w:rsidR="004C2B81">
        <w:t xml:space="preserve">tools such as </w:t>
      </w:r>
      <w:r w:rsidR="004C5EC7">
        <w:t>the</w:t>
      </w:r>
      <w:r w:rsidR="00F24044">
        <w:t xml:space="preserve"> Vendor Inquiry Payment Electronic Reporting System (VIPERS) which allows vendors to submit their invoices </w:t>
      </w:r>
      <w:r w:rsidR="005D6E34">
        <w:t xml:space="preserve">and supporting data </w:t>
      </w:r>
      <w:r w:rsidR="00F24044">
        <w:t xml:space="preserve">electronically.  </w:t>
      </w:r>
    </w:p>
    <w:p w:rsidR="00DC6D68" w:rsidRPr="00DC6D68" w:rsidRDefault="00DC6D68" w:rsidP="00486E8E">
      <w:pPr>
        <w:ind w:left="360"/>
      </w:pPr>
    </w:p>
    <w:p w:rsidR="00C46F0F" w:rsidRDefault="00123C4A" w:rsidP="00123C4A">
      <w:pPr>
        <w:numPr>
          <w:ilvl w:val="0"/>
          <w:numId w:val="1"/>
        </w:numPr>
        <w:rPr>
          <w:b/>
          <w:u w:val="single"/>
        </w:rPr>
      </w:pPr>
      <w:r w:rsidRPr="00C46F0F">
        <w:rPr>
          <w:b/>
          <w:u w:val="single"/>
        </w:rPr>
        <w:t xml:space="preserve">Describe efforts to identify duplication. </w:t>
      </w:r>
    </w:p>
    <w:p w:rsidR="00C46F0F" w:rsidRDefault="00C46F0F" w:rsidP="00C46F0F">
      <w:pPr>
        <w:ind w:left="360"/>
        <w:rPr>
          <w:b/>
          <w:u w:val="single"/>
        </w:rPr>
      </w:pPr>
    </w:p>
    <w:p w:rsidR="006C4E4D" w:rsidRDefault="0039074A" w:rsidP="00C46F0F">
      <w:pPr>
        <w:ind w:left="360"/>
      </w:pPr>
      <w:r>
        <w:t xml:space="preserve">Twice in the past, DOE has done an extensive review of this information collection package to ensure that it does not duplicate other collections conducted elsewhere in the Department or within the </w:t>
      </w:r>
      <w:r w:rsidR="00B00A6D">
        <w:t xml:space="preserve">larger Federal </w:t>
      </w:r>
      <w:r>
        <w:t>procurement community</w:t>
      </w:r>
      <w:r w:rsidR="007810AF">
        <w:t xml:space="preserve">. </w:t>
      </w:r>
      <w:r w:rsidR="00C32030">
        <w:t xml:space="preserve"> </w:t>
      </w:r>
      <w:r w:rsidR="007810AF">
        <w:t xml:space="preserve">The first review, in the mid 90s as part of the Clinton era Government Reinvention initiative and in the early days of </w:t>
      </w:r>
      <w:r w:rsidR="008E12B1">
        <w:t xml:space="preserve">the </w:t>
      </w:r>
      <w:r w:rsidR="007810AF">
        <w:t>Paperwork Reduction process found significant</w:t>
      </w:r>
      <w:r w:rsidR="008E12B1">
        <w:t xml:space="preserve"> overlap between the Department and Federal collections and led to a 50% reduction in the Department’s regulation.  A more recent review found no duplication between the Department and other collections.  Indeed, to comply with the FAR, we must ensure that the </w:t>
      </w:r>
      <w:r w:rsidR="003659AE">
        <w:t>DEAR</w:t>
      </w:r>
      <w:r w:rsidR="008E12B1">
        <w:t xml:space="preserve"> does not duplicate any requirements contained in the </w:t>
      </w:r>
      <w:r w:rsidR="003659AE">
        <w:t>FAR</w:t>
      </w:r>
      <w:r w:rsidR="003C392C">
        <w:t xml:space="preserve">. </w:t>
      </w:r>
      <w:r w:rsidR="008E12B1">
        <w:t xml:space="preserve"> </w:t>
      </w:r>
      <w:r w:rsidR="003C392C">
        <w:t>T</w:t>
      </w:r>
      <w:r w:rsidRPr="004312FA">
        <w:t xml:space="preserve">he </w:t>
      </w:r>
      <w:r w:rsidR="003659AE">
        <w:t xml:space="preserve">FAR </w:t>
      </w:r>
      <w:r w:rsidRPr="004312FA">
        <w:t>system</w:t>
      </w:r>
      <w:r>
        <w:t xml:space="preserve"> prohibits agencies from duplicating requirements originally established </w:t>
      </w:r>
      <w:r w:rsidR="003C392C">
        <w:t>in</w:t>
      </w:r>
      <w:r>
        <w:t xml:space="preserve"> the FAR</w:t>
      </w:r>
      <w:r w:rsidR="004312FA">
        <w:t xml:space="preserve"> (</w:t>
      </w:r>
      <w:r w:rsidR="003659AE">
        <w:t>s</w:t>
      </w:r>
      <w:r w:rsidR="004312FA">
        <w:t xml:space="preserve">ee </w:t>
      </w:r>
      <w:r w:rsidR="003C392C">
        <w:t xml:space="preserve">48 CFR </w:t>
      </w:r>
      <w:r w:rsidR="004312FA">
        <w:t>1.302 and 1.304).</w:t>
      </w:r>
      <w:r>
        <w:t xml:space="preserve">  </w:t>
      </w:r>
    </w:p>
    <w:p w:rsidR="006C4E4D" w:rsidRDefault="006C4E4D" w:rsidP="00C46F0F">
      <w:pPr>
        <w:ind w:left="360"/>
      </w:pPr>
    </w:p>
    <w:p w:rsidR="00123C4A" w:rsidRDefault="00123C4A" w:rsidP="00123C4A">
      <w:pPr>
        <w:numPr>
          <w:ilvl w:val="0"/>
          <w:numId w:val="1"/>
        </w:numPr>
        <w:rPr>
          <w:b/>
          <w:u w:val="single"/>
        </w:rPr>
      </w:pPr>
      <w:r w:rsidRPr="00C46F0F">
        <w:rPr>
          <w:b/>
          <w:u w:val="single"/>
        </w:rPr>
        <w:t xml:space="preserve">If the collection of information impacts small businesses or other small entities, describe any methods used to minimize burden. </w:t>
      </w:r>
    </w:p>
    <w:p w:rsidR="00C46F0F" w:rsidRDefault="00C46F0F" w:rsidP="00C46F0F">
      <w:pPr>
        <w:ind w:left="360"/>
        <w:rPr>
          <w:b/>
          <w:u w:val="single"/>
        </w:rPr>
      </w:pPr>
    </w:p>
    <w:p w:rsidR="00223DA6" w:rsidRPr="0039074A" w:rsidRDefault="00E54ECC" w:rsidP="00C46F0F">
      <w:pPr>
        <w:ind w:left="360"/>
      </w:pPr>
      <w:r>
        <w:t xml:space="preserve">The impact of the collection on small businesses is considered in the rulemaking process and steps to minimize the impact are taken to the extent permitted by applicable statutory requirements and other legal and management constraints.  </w:t>
      </w:r>
    </w:p>
    <w:p w:rsidR="003A7733" w:rsidRPr="00C46F0F" w:rsidRDefault="003A7733" w:rsidP="00C46F0F">
      <w:pPr>
        <w:ind w:left="360"/>
        <w:rPr>
          <w:i/>
        </w:rPr>
      </w:pPr>
    </w:p>
    <w:p w:rsidR="00123C4A" w:rsidRDefault="00123C4A" w:rsidP="00123C4A">
      <w:pPr>
        <w:numPr>
          <w:ilvl w:val="0"/>
          <w:numId w:val="1"/>
        </w:numPr>
        <w:rPr>
          <w:b/>
          <w:u w:val="single"/>
        </w:rPr>
      </w:pPr>
      <w:r w:rsidRPr="00D76D7C">
        <w:rPr>
          <w:b/>
          <w:u w:val="single"/>
        </w:rPr>
        <w:t xml:space="preserve">Describe the consequence to Federal program or policy activities if the collection is not conducted or is conducted less frequently, as well as any technical or legal obstacles to reducing burden. </w:t>
      </w:r>
    </w:p>
    <w:p w:rsidR="00D76D7C" w:rsidRDefault="00D76D7C" w:rsidP="00D76D7C">
      <w:pPr>
        <w:ind w:left="360"/>
        <w:rPr>
          <w:b/>
          <w:u w:val="single"/>
        </w:rPr>
      </w:pPr>
    </w:p>
    <w:p w:rsidR="00D76D7C" w:rsidRPr="006A41B8" w:rsidRDefault="00E54ECC" w:rsidP="006A41B8">
      <w:pPr>
        <w:ind w:left="360"/>
      </w:pPr>
      <w:r>
        <w:t xml:space="preserve">The frequency of collection is dictated by sound management practice, external laws and regulations, and Departmental Directives and requirements.  </w:t>
      </w:r>
      <w:r w:rsidR="00430448">
        <w:t xml:space="preserve">When any of these conditions change to permit reduction in the frequency of collection, the reduction will be made and the contract documents will be changed to reflect the reduction.  </w:t>
      </w:r>
      <w:r>
        <w:t xml:space="preserve">Not collecting the information or reducing the collection may result in violations of </w:t>
      </w:r>
      <w:r w:rsidR="002D56BA">
        <w:t xml:space="preserve">procurement, contractual, </w:t>
      </w:r>
      <w:r>
        <w:t xml:space="preserve">safety, health, or environmental statutes or regulations.  The health and well being of </w:t>
      </w:r>
      <w:r w:rsidR="00EF5FD5">
        <w:t xml:space="preserve">Federal and </w:t>
      </w:r>
      <w:r>
        <w:t xml:space="preserve">contractor </w:t>
      </w:r>
      <w:r>
        <w:lastRenderedPageBreak/>
        <w:t>employees</w:t>
      </w:r>
      <w:r w:rsidR="00EF5FD5">
        <w:t xml:space="preserve">, </w:t>
      </w:r>
      <w:r>
        <w:t xml:space="preserve">as well as </w:t>
      </w:r>
      <w:r w:rsidR="00EF5FD5">
        <w:t xml:space="preserve">Federal </w:t>
      </w:r>
      <w:r>
        <w:t xml:space="preserve">property </w:t>
      </w:r>
      <w:r w:rsidR="00EF5FD5">
        <w:t>and</w:t>
      </w:r>
      <w:r>
        <w:t xml:space="preserve"> adjacent communities</w:t>
      </w:r>
      <w:r w:rsidR="007D04F7">
        <w:t>,</w:t>
      </w:r>
      <w:r>
        <w:t xml:space="preserve"> could be adversely affected.  Violations could also lead to criminal or civil penalties.</w:t>
      </w:r>
    </w:p>
    <w:p w:rsidR="004F28A7" w:rsidRDefault="004F28A7">
      <w:pPr>
        <w:rPr>
          <w:b/>
          <w:u w:val="single"/>
        </w:rPr>
      </w:pPr>
    </w:p>
    <w:p w:rsidR="00123C4A" w:rsidRDefault="00D76D7C" w:rsidP="00123C4A">
      <w:pPr>
        <w:numPr>
          <w:ilvl w:val="0"/>
          <w:numId w:val="1"/>
        </w:numPr>
        <w:rPr>
          <w:b/>
          <w:u w:val="single"/>
        </w:rPr>
      </w:pPr>
      <w:r>
        <w:rPr>
          <w:b/>
          <w:u w:val="single"/>
        </w:rPr>
        <w:t>Explain any special circumstances that require the collection to be conducted in a manner in</w:t>
      </w:r>
      <w:r w:rsidR="008159C7">
        <w:rPr>
          <w:b/>
          <w:u w:val="single"/>
        </w:rPr>
        <w:t xml:space="preserve">consistent with OMB guidelines: </w:t>
      </w:r>
      <w:r w:rsidR="005D6E34">
        <w:rPr>
          <w:b/>
          <w:u w:val="single"/>
        </w:rPr>
        <w:t>(a)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w:t>
      </w:r>
      <w:r w:rsidR="008159C7">
        <w:rPr>
          <w:b/>
          <w:u w:val="single"/>
        </w:rPr>
        <w:t>it</w:t>
      </w:r>
      <w:r w:rsidR="005D6E34">
        <w:rPr>
          <w:b/>
          <w:u w:val="single"/>
        </w:rPr>
        <w:t>y that is not supported by</w:t>
      </w:r>
      <w:r w:rsidR="008159C7">
        <w:rPr>
          <w:b/>
          <w:u w:val="single"/>
        </w:rPr>
        <w:t xml:space="preserve"> authority established in statut</w:t>
      </w:r>
      <w:r w:rsidR="005D6E34">
        <w:rPr>
          <w:b/>
          <w:u w:val="single"/>
        </w:rPr>
        <w:t xml:space="preserve">e or regulation, that is not supported by disclosure and data security policies that are consistent with the pledge, or which unnecessarily impedes sharing of data with other agencies for compatible confidential use; </w:t>
      </w:r>
      <w:r w:rsidR="008159C7">
        <w:rPr>
          <w:b/>
          <w:u w:val="single"/>
        </w:rPr>
        <w:t xml:space="preserve">and/or </w:t>
      </w:r>
      <w:r w:rsidR="005D6E34">
        <w:rPr>
          <w:b/>
          <w:u w:val="single"/>
        </w:rPr>
        <w:t>(h) requiring respondents to submit proprietary trade secrets, or other confidential information unless the agency can demonstrate that it has instituted procedures to protect the information’s confidentiality to the extent permitted by law.</w:t>
      </w:r>
    </w:p>
    <w:p w:rsidR="00D76D7C" w:rsidRDefault="00D76D7C" w:rsidP="00D76D7C">
      <w:pPr>
        <w:ind w:left="360"/>
        <w:rPr>
          <w:b/>
          <w:u w:val="single"/>
        </w:rPr>
      </w:pPr>
    </w:p>
    <w:p w:rsidR="00430448" w:rsidRPr="006A41B8" w:rsidRDefault="00430448" w:rsidP="006A41B8">
      <w:pPr>
        <w:ind w:left="360"/>
      </w:pPr>
      <w:r>
        <w:t>Information collections in this package have been reviewed and justified by Departmental management requirements, statutes, external regulations, interagency requirements, Departmental orders or other internal DOE requirements.  The package is consistent with the guidelines.</w:t>
      </w:r>
    </w:p>
    <w:p w:rsidR="00A90859" w:rsidRDefault="00A90859">
      <w:pPr>
        <w:rPr>
          <w:b/>
          <w:u w:val="single"/>
        </w:rPr>
      </w:pPr>
    </w:p>
    <w:p w:rsidR="00123C4A" w:rsidRDefault="00123C4A" w:rsidP="00123C4A">
      <w:pPr>
        <w:numPr>
          <w:ilvl w:val="0"/>
          <w:numId w:val="1"/>
        </w:numPr>
        <w:rPr>
          <w:b/>
          <w:u w:val="single"/>
        </w:rPr>
      </w:pPr>
      <w:r w:rsidRPr="00D76D7C">
        <w:rPr>
          <w:b/>
          <w:u w:val="single"/>
        </w:rPr>
        <w:t>If applicable, provide a copy and identify the date and page number of publication in the Federal Register of the agency’s notice, required by 5CFR 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w:t>
      </w:r>
      <w:r w:rsidR="005D6E34">
        <w:rPr>
          <w:b/>
          <w:u w:val="single"/>
        </w:rPr>
        <w:t xml:space="preserve"> to obtain their views on the availability of data, frequency of collection, the clarity of instructions and recordkeeping, disclosure, or reporting format (if any), and on the data elements to be recorded, disclosed, or report</w:t>
      </w:r>
      <w:r w:rsidR="00F54EEC">
        <w:rPr>
          <w:b/>
          <w:u w:val="single"/>
        </w:rPr>
        <w:t>ed</w:t>
      </w:r>
      <w:r w:rsidR="00B4459C">
        <w:rPr>
          <w:b/>
          <w:u w:val="single"/>
        </w:rPr>
        <w:t xml:space="preserve">.   </w:t>
      </w:r>
    </w:p>
    <w:p w:rsidR="00B4459C" w:rsidRDefault="00B4459C" w:rsidP="00B4459C">
      <w:pPr>
        <w:ind w:left="360"/>
        <w:rPr>
          <w:b/>
          <w:u w:val="single"/>
        </w:rPr>
      </w:pPr>
    </w:p>
    <w:p w:rsidR="00B4459C" w:rsidRPr="00430448" w:rsidRDefault="00D67FB6" w:rsidP="00B4459C">
      <w:pPr>
        <w:ind w:left="360"/>
      </w:pPr>
      <w:r>
        <w:t xml:space="preserve">The Department published a Notice and Request for Comment concerning this collection in the Federal Register on </w:t>
      </w:r>
      <w:r w:rsidR="008159C7">
        <w:t>August 13, 2014</w:t>
      </w:r>
      <w:r w:rsidR="005E40E9">
        <w:t xml:space="preserve"> at 7</w:t>
      </w:r>
      <w:r w:rsidR="00F54EEC">
        <w:t>9</w:t>
      </w:r>
      <w:r w:rsidR="005E40E9">
        <w:t xml:space="preserve"> FR </w:t>
      </w:r>
      <w:r w:rsidR="00F54EEC">
        <w:t>47445</w:t>
      </w:r>
      <w:r>
        <w:t>.  The notice described the collection and invited interested parties to submit comments or recommendations regarding the collection.  No comments were received as a result of that notice.</w:t>
      </w:r>
    </w:p>
    <w:p w:rsidR="00D76D7C" w:rsidRPr="00D76D7C" w:rsidRDefault="00D76D7C" w:rsidP="00D76D7C">
      <w:pPr>
        <w:ind w:left="360"/>
        <w:rPr>
          <w:b/>
          <w:u w:val="single"/>
        </w:rPr>
      </w:pPr>
    </w:p>
    <w:p w:rsidR="00123C4A" w:rsidRDefault="00123C4A" w:rsidP="00123C4A">
      <w:pPr>
        <w:numPr>
          <w:ilvl w:val="0"/>
          <w:numId w:val="1"/>
        </w:numPr>
        <w:rPr>
          <w:b/>
          <w:u w:val="single"/>
        </w:rPr>
      </w:pPr>
      <w:r w:rsidRPr="002D3C67">
        <w:rPr>
          <w:b/>
          <w:u w:val="single"/>
        </w:rPr>
        <w:t xml:space="preserve">Explain any decision to provide any payment or gift to respondents, other than </w:t>
      </w:r>
      <w:r w:rsidR="002D3C67" w:rsidRPr="002D3C67">
        <w:rPr>
          <w:b/>
          <w:u w:val="single"/>
        </w:rPr>
        <w:t>remuneration</w:t>
      </w:r>
      <w:r w:rsidRPr="002D3C67">
        <w:rPr>
          <w:b/>
          <w:u w:val="single"/>
        </w:rPr>
        <w:t xml:space="preserve"> of contractors or grantees. </w:t>
      </w:r>
    </w:p>
    <w:p w:rsidR="002D3C67" w:rsidRDefault="002D3C67" w:rsidP="002D3C67">
      <w:pPr>
        <w:ind w:left="360"/>
        <w:rPr>
          <w:b/>
          <w:u w:val="single"/>
        </w:rPr>
      </w:pPr>
    </w:p>
    <w:p w:rsidR="002D3C67" w:rsidRDefault="0007063E" w:rsidP="002D3C67">
      <w:pPr>
        <w:ind w:left="360"/>
      </w:pPr>
      <w:r>
        <w:t>The</w:t>
      </w:r>
      <w:r w:rsidR="00D67FB6">
        <w:t>re</w:t>
      </w:r>
      <w:r>
        <w:t xml:space="preserve"> is no remuneration given for submission of any of the information other than the fact that the expense of responding is treated as an allowable cost.</w:t>
      </w:r>
    </w:p>
    <w:p w:rsidR="007011AA" w:rsidRDefault="007011AA" w:rsidP="002D3C67">
      <w:pPr>
        <w:ind w:left="360"/>
      </w:pPr>
    </w:p>
    <w:p w:rsidR="007011AA" w:rsidRPr="0016473B" w:rsidRDefault="007011AA" w:rsidP="007011AA">
      <w:pPr>
        <w:ind w:left="360"/>
      </w:pPr>
      <w:r>
        <w:t>It should be noted that the costs incurred by DOE contractors in responding to these information collections should generally be allowable costs recovered pursuant to their contracts’ cost principles guidance.  In this sense they differ from information collections imposed on the general public for which no cost reimbursement is provided.  DOE is interested in keeping these information burdens as small as possible to lessen its own costs under these contracts.  Only basic management information is collected from contractors to allow the Department to manage and oversee contractor</w:t>
      </w:r>
      <w:r w:rsidR="0017014E">
        <w:t>-</w:t>
      </w:r>
      <w:r>
        <w:t>conducted operations.</w:t>
      </w:r>
    </w:p>
    <w:p w:rsidR="007011AA" w:rsidRPr="00E65FC8" w:rsidRDefault="007011AA" w:rsidP="007011AA">
      <w:pPr>
        <w:ind w:left="360"/>
        <w:rPr>
          <w:i/>
        </w:rPr>
      </w:pPr>
    </w:p>
    <w:p w:rsidR="00123C4A" w:rsidRDefault="00123C4A" w:rsidP="00123C4A">
      <w:pPr>
        <w:numPr>
          <w:ilvl w:val="0"/>
          <w:numId w:val="1"/>
        </w:numPr>
        <w:rPr>
          <w:b/>
          <w:u w:val="single"/>
        </w:rPr>
      </w:pPr>
      <w:r w:rsidRPr="002D3C67">
        <w:rPr>
          <w:b/>
          <w:u w:val="single"/>
        </w:rPr>
        <w:t xml:space="preserve">Describe any assurance of confidentiality provided to respondents and the basis for the assurance in statute, regulation, or agency policy. </w:t>
      </w:r>
    </w:p>
    <w:p w:rsidR="002D3C67" w:rsidRDefault="002D3C67" w:rsidP="002D3C67">
      <w:pPr>
        <w:ind w:left="360"/>
        <w:rPr>
          <w:b/>
          <w:u w:val="single"/>
        </w:rPr>
      </w:pPr>
    </w:p>
    <w:p w:rsidR="002D3C67" w:rsidRDefault="0007063E" w:rsidP="002D3C67">
      <w:pPr>
        <w:ind w:left="360"/>
      </w:pPr>
      <w:r>
        <w:t>Where confidential information is involved in an information collection, the provisions for dealing with this confidential information are set forth in the related Departmental regulations; these are the normal regulations for the handling of management and program information by the Department.</w:t>
      </w:r>
    </w:p>
    <w:p w:rsidR="0092490E" w:rsidRPr="0007063E" w:rsidRDefault="0092490E" w:rsidP="002D3C67">
      <w:pPr>
        <w:ind w:left="360"/>
      </w:pPr>
    </w:p>
    <w:p w:rsidR="00123C4A" w:rsidRDefault="00123C4A" w:rsidP="00123C4A">
      <w:pPr>
        <w:numPr>
          <w:ilvl w:val="0"/>
          <w:numId w:val="1"/>
        </w:numPr>
        <w:rPr>
          <w:b/>
          <w:u w:val="single"/>
        </w:rPr>
      </w:pPr>
      <w:r w:rsidRPr="002D3C67">
        <w:rPr>
          <w:b/>
          <w:u w:val="single"/>
        </w:rPr>
        <w:t>Provide additional justification for any questions of a sensitive nature, such as sexual behavior and attitudes, religious beliefs, and other matters that are commonly considered private.</w:t>
      </w:r>
      <w:r w:rsidR="00A12B97">
        <w:rPr>
          <w:b/>
          <w:u w:val="single"/>
        </w:rPr>
        <w:t xml:space="preserve">  This justification should include the reasons why DOE considers the questions necessary, the specific uses to be made of the </w:t>
      </w:r>
      <w:r w:rsidR="0058347F">
        <w:rPr>
          <w:b/>
          <w:u w:val="single"/>
        </w:rPr>
        <w:t>information.</w:t>
      </w:r>
      <w:r w:rsidR="00A12B97">
        <w:rPr>
          <w:b/>
          <w:u w:val="single"/>
        </w:rPr>
        <w:t xml:space="preserve"> </w:t>
      </w:r>
      <w:proofErr w:type="gramStart"/>
      <w:r w:rsidR="00A12B97">
        <w:rPr>
          <w:b/>
          <w:u w:val="single"/>
        </w:rPr>
        <w:t>the</w:t>
      </w:r>
      <w:proofErr w:type="gramEnd"/>
      <w:r w:rsidR="00A12B97">
        <w:rPr>
          <w:b/>
          <w:u w:val="single"/>
        </w:rPr>
        <w:t xml:space="preserve"> explanation to be given to persons from whom the information is requested, and any steps to be taken to obtain their consent.</w:t>
      </w:r>
    </w:p>
    <w:p w:rsidR="002D3C67" w:rsidRDefault="002D3C67" w:rsidP="002D3C67">
      <w:pPr>
        <w:ind w:left="360"/>
        <w:rPr>
          <w:i/>
        </w:rPr>
      </w:pPr>
    </w:p>
    <w:p w:rsidR="0007063E" w:rsidRDefault="0007063E" w:rsidP="001E2AEF">
      <w:pPr>
        <w:ind w:left="400"/>
      </w:pPr>
      <w:r>
        <w:t xml:space="preserve">There are no collections in this package involving questions </w:t>
      </w:r>
      <w:r w:rsidR="00882252">
        <w:t xml:space="preserve">that are </w:t>
      </w:r>
      <w:r>
        <w:t>sensitive, personal, or private in nature.</w:t>
      </w:r>
    </w:p>
    <w:p w:rsidR="006C4E4D" w:rsidRDefault="006C4E4D">
      <w:pPr>
        <w:rPr>
          <w:b/>
          <w:u w:val="single"/>
        </w:rPr>
      </w:pPr>
    </w:p>
    <w:p w:rsidR="00123C4A" w:rsidRDefault="00123C4A" w:rsidP="00123C4A">
      <w:pPr>
        <w:numPr>
          <w:ilvl w:val="0"/>
          <w:numId w:val="1"/>
        </w:numPr>
        <w:rPr>
          <w:b/>
          <w:u w:val="single"/>
        </w:rPr>
      </w:pPr>
      <w:r w:rsidRPr="002D3C67">
        <w:rPr>
          <w:b/>
          <w:u w:val="single"/>
        </w:rPr>
        <w:t xml:space="preserve">Provide </w:t>
      </w:r>
      <w:r w:rsidR="00FA07FA">
        <w:rPr>
          <w:b/>
          <w:u w:val="single"/>
        </w:rPr>
        <w:t xml:space="preserve">labor hour </w:t>
      </w:r>
      <w:r w:rsidRPr="002D3C67">
        <w:rPr>
          <w:b/>
          <w:u w:val="single"/>
        </w:rPr>
        <w:t>estimates of the burden</w:t>
      </w:r>
      <w:r w:rsidR="00375C7E">
        <w:rPr>
          <w:b/>
          <w:u w:val="single"/>
        </w:rPr>
        <w:t>s</w:t>
      </w:r>
      <w:r w:rsidRPr="002D3C67">
        <w:rPr>
          <w:b/>
          <w:u w:val="single"/>
        </w:rPr>
        <w:t xml:space="preserve"> </w:t>
      </w:r>
      <w:r w:rsidR="00375C7E">
        <w:rPr>
          <w:b/>
          <w:u w:val="single"/>
        </w:rPr>
        <w:t xml:space="preserve">associated with the </w:t>
      </w:r>
      <w:r w:rsidRPr="002D3C67">
        <w:rPr>
          <w:b/>
          <w:u w:val="single"/>
        </w:rPr>
        <w:t>information</w:t>
      </w:r>
      <w:r w:rsidR="00375C7E">
        <w:rPr>
          <w:b/>
          <w:u w:val="single"/>
        </w:rPr>
        <w:t xml:space="preserve"> collection</w:t>
      </w:r>
      <w:r w:rsidRPr="002D3C67">
        <w:rPr>
          <w:b/>
          <w:u w:val="single"/>
        </w:rPr>
        <w:t>.  The statement should indicate the number of respondents, frequency of response, annual hour burden, and an explanation of how the burden was estimated.</w:t>
      </w:r>
      <w:r w:rsidR="00A12B97">
        <w:rPr>
          <w:b/>
          <w:u w:val="single"/>
        </w:rPr>
        <w:t xml:space="preserve">  Unless directed to do so, DOE should not conduct special surveys to obtain information on which to base hour burden estimates.  Consultation with a sample fewer than 10 potential respondents is desirable.</w:t>
      </w:r>
    </w:p>
    <w:p w:rsidR="00822F33" w:rsidRDefault="00822F33" w:rsidP="00822F33">
      <w:pPr>
        <w:rPr>
          <w:b/>
          <w:u w:val="single"/>
        </w:rPr>
      </w:pPr>
    </w:p>
    <w:p w:rsidR="00C32030" w:rsidRDefault="00443FEB" w:rsidP="00E574BC">
      <w:pPr>
        <w:ind w:left="360"/>
        <w:rPr>
          <w:bCs/>
        </w:rPr>
      </w:pPr>
      <w:r w:rsidRPr="00443FEB">
        <w:t>The collection package</w:t>
      </w:r>
      <w:r>
        <w:t xml:space="preserve"> contains burdens associated with</w:t>
      </w:r>
      <w:r w:rsidR="00517653">
        <w:t xml:space="preserve"> </w:t>
      </w:r>
      <w:r>
        <w:t>solicitation provisions or contract clauses that request the submission of information or the maintenance of records by offerors and contractors.</w:t>
      </w:r>
      <w:r w:rsidR="00011C1A">
        <w:t xml:space="preserve">  The individual burdens and their regulatory citations are identified in the attachment entitled </w:t>
      </w:r>
      <w:r w:rsidR="00011C1A" w:rsidRPr="00011C1A">
        <w:rPr>
          <w:bCs/>
        </w:rPr>
        <w:t>PROCUREMENT BURDENS</w:t>
      </w:r>
      <w:r w:rsidR="00F31CA7">
        <w:rPr>
          <w:bCs/>
        </w:rPr>
        <w:t xml:space="preserve"> 2014</w:t>
      </w:r>
      <w:r w:rsidR="00011C1A" w:rsidRPr="00011C1A">
        <w:rPr>
          <w:bCs/>
        </w:rPr>
        <w:t xml:space="preserve"> – OMB CONTROL NO. 1910-4100</w:t>
      </w:r>
      <w:proofErr w:type="gramStart"/>
      <w:r w:rsidR="00C32030">
        <w:rPr>
          <w:bCs/>
        </w:rPr>
        <w:t xml:space="preserve">. </w:t>
      </w:r>
      <w:r w:rsidR="00F31CA7">
        <w:rPr>
          <w:bCs/>
        </w:rPr>
        <w:t xml:space="preserve"> </w:t>
      </w:r>
      <w:r w:rsidR="00C32030">
        <w:rPr>
          <w:bCs/>
        </w:rPr>
        <w:t>The</w:t>
      </w:r>
      <w:proofErr w:type="gramEnd"/>
      <w:r w:rsidR="00011C1A">
        <w:rPr>
          <w:bCs/>
        </w:rPr>
        <w:t xml:space="preserve"> collection involves </w:t>
      </w:r>
      <w:r w:rsidR="00D34412">
        <w:rPr>
          <w:bCs/>
        </w:rPr>
        <w:t>7,469</w:t>
      </w:r>
      <w:r w:rsidR="00011C1A">
        <w:rPr>
          <w:bCs/>
        </w:rPr>
        <w:t xml:space="preserve"> respond</w:t>
      </w:r>
      <w:r w:rsidR="00537049">
        <w:rPr>
          <w:bCs/>
        </w:rPr>
        <w:t>ents</w:t>
      </w:r>
      <w:r w:rsidR="00011C1A">
        <w:rPr>
          <w:bCs/>
        </w:rPr>
        <w:t xml:space="preserve"> with an annual estimate of </w:t>
      </w:r>
      <w:r w:rsidR="00A1550F">
        <w:rPr>
          <w:bCs/>
        </w:rPr>
        <w:t>67</w:t>
      </w:r>
      <w:r w:rsidR="00D34412">
        <w:rPr>
          <w:bCs/>
        </w:rPr>
        <w:t>0,83</w:t>
      </w:r>
      <w:r w:rsidR="00A1550F">
        <w:rPr>
          <w:bCs/>
        </w:rPr>
        <w:t>3</w:t>
      </w:r>
      <w:r w:rsidR="00011C1A">
        <w:rPr>
          <w:bCs/>
        </w:rPr>
        <w:t xml:space="preserve"> burden hour</w:t>
      </w:r>
      <w:r w:rsidR="001441C7">
        <w:rPr>
          <w:bCs/>
        </w:rPr>
        <w:t>s</w:t>
      </w:r>
      <w:r w:rsidR="00011C1A">
        <w:rPr>
          <w:bCs/>
        </w:rPr>
        <w:t>.</w:t>
      </w:r>
      <w:r w:rsidR="001441C7">
        <w:rPr>
          <w:bCs/>
        </w:rPr>
        <w:t xml:space="preserve">  </w:t>
      </w:r>
      <w:r w:rsidR="00537049">
        <w:rPr>
          <w:bCs/>
        </w:rPr>
        <w:t>These estimates were derived from field office inquiries and the related analysis of subject matter experts.</w:t>
      </w:r>
      <w:r w:rsidR="00C32030">
        <w:rPr>
          <w:bCs/>
        </w:rPr>
        <w:t xml:space="preserve">  </w:t>
      </w:r>
    </w:p>
    <w:p w:rsidR="00517653" w:rsidRPr="003C392C" w:rsidRDefault="00517653">
      <w:pPr>
        <w:rPr>
          <w:color w:val="000000" w:themeColor="text1"/>
        </w:rPr>
      </w:pPr>
    </w:p>
    <w:p w:rsidR="003D3AB1" w:rsidRDefault="00C32030" w:rsidP="00E574BC">
      <w:pPr>
        <w:ind w:left="360"/>
        <w:rPr>
          <w:color w:val="000000" w:themeColor="text1"/>
        </w:rPr>
      </w:pPr>
      <w:r w:rsidRPr="00517653">
        <w:rPr>
          <w:color w:val="000000" w:themeColor="text1"/>
        </w:rPr>
        <w:t xml:space="preserve">Total number of unduplicated respondents: </w:t>
      </w:r>
      <w:r w:rsidR="00517653">
        <w:rPr>
          <w:color w:val="000000" w:themeColor="text1"/>
        </w:rPr>
        <w:t>7,</w:t>
      </w:r>
      <w:r w:rsidR="00D34412">
        <w:rPr>
          <w:color w:val="000000" w:themeColor="text1"/>
        </w:rPr>
        <w:t>46</w:t>
      </w:r>
      <w:r w:rsidR="00517653">
        <w:rPr>
          <w:color w:val="000000" w:themeColor="text1"/>
        </w:rPr>
        <w:t>9</w:t>
      </w:r>
      <w:r w:rsidR="003D3AB1">
        <w:rPr>
          <w:color w:val="000000" w:themeColor="text1"/>
        </w:rPr>
        <w:t xml:space="preserve"> (204 state/local governments, 7265 for-</w:t>
      </w:r>
    </w:p>
    <w:p w:rsidR="00C32030" w:rsidRPr="00517653" w:rsidRDefault="003D3AB1" w:rsidP="00E574BC">
      <w:pPr>
        <w:ind w:left="360"/>
        <w:rPr>
          <w:color w:val="000000" w:themeColor="text1"/>
        </w:rPr>
      </w:pPr>
      <w:r>
        <w:rPr>
          <w:color w:val="000000" w:themeColor="text1"/>
        </w:rPr>
        <w:tab/>
      </w:r>
      <w:proofErr w:type="gramStart"/>
      <w:r>
        <w:rPr>
          <w:color w:val="000000" w:themeColor="text1"/>
        </w:rPr>
        <w:t>profit</w:t>
      </w:r>
      <w:proofErr w:type="gramEnd"/>
      <w:r>
        <w:rPr>
          <w:color w:val="000000" w:themeColor="text1"/>
        </w:rPr>
        <w:t xml:space="preserve"> businesses)</w:t>
      </w:r>
    </w:p>
    <w:p w:rsidR="00C32030" w:rsidRPr="00517653" w:rsidRDefault="00C32030" w:rsidP="00E574BC">
      <w:pPr>
        <w:ind w:left="360"/>
        <w:rPr>
          <w:color w:val="000000" w:themeColor="text1"/>
        </w:rPr>
      </w:pPr>
      <w:r w:rsidRPr="00517653">
        <w:rPr>
          <w:color w:val="000000" w:themeColor="text1"/>
        </w:rPr>
        <w:t>Reports filed per r</w:t>
      </w:r>
      <w:r w:rsidR="003C392C">
        <w:rPr>
          <w:color w:val="000000" w:themeColor="text1"/>
        </w:rPr>
        <w:t>espondent</w:t>
      </w:r>
      <w:r w:rsidRPr="00517653">
        <w:rPr>
          <w:color w:val="000000" w:themeColor="text1"/>
        </w:rPr>
        <w:t xml:space="preserve">: </w:t>
      </w:r>
      <w:r w:rsidR="00517653">
        <w:rPr>
          <w:color w:val="000000" w:themeColor="text1"/>
        </w:rPr>
        <w:t>1</w:t>
      </w:r>
    </w:p>
    <w:p w:rsidR="00C32030" w:rsidRPr="00F16E4D" w:rsidRDefault="00C32030" w:rsidP="00E574BC">
      <w:pPr>
        <w:ind w:left="360"/>
      </w:pPr>
      <w:r w:rsidRPr="00F16E4D">
        <w:t xml:space="preserve">Total annual responses: </w:t>
      </w:r>
      <w:r w:rsidR="00D34412">
        <w:t>7,469</w:t>
      </w:r>
      <w:r w:rsidRPr="00F16E4D">
        <w:t xml:space="preserve"> </w:t>
      </w:r>
    </w:p>
    <w:p w:rsidR="00C32030" w:rsidRPr="00F16E4D" w:rsidRDefault="00C32030" w:rsidP="00E574BC">
      <w:pPr>
        <w:ind w:left="360"/>
      </w:pPr>
      <w:r w:rsidRPr="00F16E4D">
        <w:lastRenderedPageBreak/>
        <w:t xml:space="preserve">Total annual burden hours: </w:t>
      </w:r>
      <w:r w:rsidR="00F31CA7">
        <w:t>67</w:t>
      </w:r>
      <w:r w:rsidR="00D34412">
        <w:t>0,83</w:t>
      </w:r>
      <w:r w:rsidR="00F31CA7">
        <w:t>3</w:t>
      </w:r>
      <w:r w:rsidRPr="00F16E4D">
        <w:t xml:space="preserve"> </w:t>
      </w:r>
    </w:p>
    <w:p w:rsidR="00C32030" w:rsidRPr="00C32030" w:rsidRDefault="00C32030" w:rsidP="00E574BC">
      <w:pPr>
        <w:ind w:left="360"/>
        <w:rPr>
          <w:color w:val="FF0000"/>
        </w:rPr>
      </w:pPr>
    </w:p>
    <w:p w:rsidR="00C32030" w:rsidRPr="00F16E4D" w:rsidRDefault="00C32030" w:rsidP="00E574BC">
      <w:pPr>
        <w:ind w:left="360"/>
      </w:pPr>
      <w:r w:rsidRPr="00F16E4D">
        <w:t xml:space="preserve">Average Burden </w:t>
      </w:r>
      <w:r w:rsidRPr="00F16E4D">
        <w:tab/>
        <w:t xml:space="preserve">Per </w:t>
      </w:r>
      <w:r w:rsidR="001D1832">
        <w:t>Provision/Clause</w:t>
      </w:r>
      <w:r w:rsidRPr="00F16E4D">
        <w:t xml:space="preserve">: </w:t>
      </w:r>
      <w:r w:rsidR="00E574BC">
        <w:t xml:space="preserve">15,601 </w:t>
      </w:r>
      <w:r w:rsidRPr="00F16E4D">
        <w:t>hour</w:t>
      </w:r>
      <w:r w:rsidR="00F16E4D" w:rsidRPr="00F16E4D">
        <w:t>s</w:t>
      </w:r>
    </w:p>
    <w:p w:rsidR="00C32030" w:rsidRPr="00F16E4D" w:rsidRDefault="00C32030" w:rsidP="00C32030">
      <w:pPr>
        <w:ind w:left="1440" w:firstLine="720"/>
      </w:pPr>
      <w:r w:rsidRPr="00F16E4D">
        <w:t xml:space="preserve">Per </w:t>
      </w:r>
      <w:r w:rsidR="00E574BC">
        <w:t>Respondent</w:t>
      </w:r>
      <w:r w:rsidRPr="00F16E4D">
        <w:t xml:space="preserve">: </w:t>
      </w:r>
      <w:r w:rsidR="00E574BC">
        <w:t xml:space="preserve">     90</w:t>
      </w:r>
      <w:r w:rsidR="00F16E4D" w:rsidRPr="00F16E4D">
        <w:t xml:space="preserve"> </w:t>
      </w:r>
      <w:r w:rsidRPr="00F16E4D">
        <w:t>hour</w:t>
      </w:r>
      <w:r w:rsidR="00F16E4D" w:rsidRPr="00F16E4D">
        <w:t>s</w:t>
      </w:r>
    </w:p>
    <w:p w:rsidR="00A12B97" w:rsidRDefault="00A12B97">
      <w:pPr>
        <w:rPr>
          <w:b/>
          <w:u w:val="single"/>
        </w:rPr>
      </w:pPr>
    </w:p>
    <w:p w:rsidR="00123C4A" w:rsidRDefault="00123C4A" w:rsidP="00123C4A">
      <w:pPr>
        <w:numPr>
          <w:ilvl w:val="0"/>
          <w:numId w:val="1"/>
        </w:numPr>
        <w:rPr>
          <w:b/>
          <w:u w:val="single"/>
        </w:rPr>
      </w:pPr>
      <w:r w:rsidRPr="00950881">
        <w:rPr>
          <w:b/>
          <w:u w:val="single"/>
        </w:rPr>
        <w:t xml:space="preserve">Provide an estimate for the total annual cost burden to respondents or </w:t>
      </w:r>
      <w:r w:rsidR="0058347F" w:rsidRPr="00950881">
        <w:rPr>
          <w:b/>
          <w:u w:val="single"/>
        </w:rPr>
        <w:t>record keepers</w:t>
      </w:r>
      <w:r w:rsidRPr="00950881">
        <w:rPr>
          <w:b/>
          <w:u w:val="single"/>
        </w:rPr>
        <w:t xml:space="preserve"> resulting from the</w:t>
      </w:r>
      <w:r w:rsidR="00950881" w:rsidRPr="00950881">
        <w:rPr>
          <w:b/>
          <w:u w:val="single"/>
        </w:rPr>
        <w:t xml:space="preserve"> </w:t>
      </w:r>
      <w:r w:rsidRPr="00950881">
        <w:rPr>
          <w:b/>
          <w:u w:val="single"/>
        </w:rPr>
        <w:t xml:space="preserve">collection of information.  </w:t>
      </w:r>
    </w:p>
    <w:p w:rsidR="000702B8" w:rsidRDefault="000702B8" w:rsidP="009722DA"/>
    <w:p w:rsidR="006765C5" w:rsidRPr="006C0B68" w:rsidRDefault="004312FA" w:rsidP="00C811E4">
      <w:pPr>
        <w:ind w:left="360"/>
      </w:pPr>
      <w:r w:rsidRPr="004312FA">
        <w:t>The associated cost estimate is $7</w:t>
      </w:r>
      <w:r w:rsidR="005F425A">
        <w:t>9</w:t>
      </w:r>
      <w:r w:rsidR="00B7594D">
        <w:t xml:space="preserve"> </w:t>
      </w:r>
      <w:r w:rsidRPr="004312FA">
        <w:t xml:space="preserve">per hour times the </w:t>
      </w:r>
      <w:r w:rsidR="005F425A">
        <w:t xml:space="preserve">670,833 </w:t>
      </w:r>
      <w:r w:rsidRPr="004312FA">
        <w:t>burden hours for an expense estimated to be $</w:t>
      </w:r>
      <w:r w:rsidR="005F425A">
        <w:t>52,995,807</w:t>
      </w:r>
      <w:r w:rsidR="00C811E4">
        <w:t>.  The most recent clearance three years ago used an hourly rate of $75.  This rate has been inflated by 1.8%, 1.9%, and 1.9% for the 12-months ending in June 2012, 2013, and 2014, respectively, in accordance with the Bureau of Labor Statistics increases in private industry wages and salaries.</w:t>
      </w:r>
    </w:p>
    <w:p w:rsidR="006765C5" w:rsidRDefault="006765C5" w:rsidP="006765C5">
      <w:pPr>
        <w:ind w:left="360"/>
        <w:rPr>
          <w:b/>
          <w:u w:val="single"/>
        </w:rPr>
      </w:pPr>
    </w:p>
    <w:p w:rsidR="006765C5" w:rsidRDefault="00236386" w:rsidP="00123C4A">
      <w:pPr>
        <w:numPr>
          <w:ilvl w:val="0"/>
          <w:numId w:val="1"/>
        </w:numPr>
        <w:rPr>
          <w:b/>
          <w:u w:val="single"/>
        </w:rPr>
      </w:pPr>
      <w:r>
        <w:rPr>
          <w:b/>
          <w:u w:val="single"/>
        </w:rPr>
        <w:t>Provide estimates of annualized cost to the Federal government.</w:t>
      </w:r>
    </w:p>
    <w:p w:rsidR="00236386" w:rsidRDefault="00236386" w:rsidP="00236386">
      <w:pPr>
        <w:ind w:left="360"/>
        <w:rPr>
          <w:i/>
        </w:rPr>
      </w:pPr>
    </w:p>
    <w:p w:rsidR="009321E7" w:rsidRDefault="000702B8" w:rsidP="005F425A">
      <w:pPr>
        <w:ind w:left="360"/>
      </w:pPr>
      <w:r>
        <w:t xml:space="preserve">The information collected under this collections is reviewed </w:t>
      </w:r>
      <w:r w:rsidR="009321E7">
        <w:t xml:space="preserve">for accuracy and completeness </w:t>
      </w:r>
      <w:r>
        <w:t xml:space="preserve">by </w:t>
      </w:r>
      <w:r w:rsidR="009321E7">
        <w:t>Contracting Officers (COs) and Contracting Officer’s Representatives (CORs) performing their normal contract administration duties.</w:t>
      </w:r>
    </w:p>
    <w:p w:rsidR="009321E7" w:rsidRDefault="009321E7" w:rsidP="005F425A">
      <w:pPr>
        <w:ind w:left="360"/>
      </w:pPr>
    </w:p>
    <w:p w:rsidR="009321E7" w:rsidRDefault="009321E7" w:rsidP="005F425A">
      <w:pPr>
        <w:ind w:left="360"/>
      </w:pPr>
      <w:r>
        <w:t xml:space="preserve">The </w:t>
      </w:r>
      <w:r w:rsidR="007A0D6D">
        <w:t xml:space="preserve">CO </w:t>
      </w:r>
      <w:r>
        <w:t xml:space="preserve">would typically be a General Schedule (GS) Grade 14, Step 5, with an average </w:t>
      </w:r>
      <w:r w:rsidR="007D4126">
        <w:t>salary of $5</w:t>
      </w:r>
      <w:r w:rsidR="00E9082F">
        <w:t>7/hour</w:t>
      </w:r>
      <w:r w:rsidR="007A15D6">
        <w:rPr>
          <w:rStyle w:val="FootnoteReference"/>
        </w:rPr>
        <w:footnoteReference w:id="1"/>
      </w:r>
      <w:r w:rsidR="007A0D6D">
        <w:t xml:space="preserve">.  </w:t>
      </w:r>
      <w:r w:rsidR="006655AB">
        <w:t xml:space="preserve">The </w:t>
      </w:r>
      <w:r w:rsidR="007A0D6D">
        <w:t xml:space="preserve">COR </w:t>
      </w:r>
      <w:r w:rsidR="006655AB">
        <w:t>would typically be a GS Grade 13, Step 5, with an average salary of $4</w:t>
      </w:r>
      <w:r w:rsidR="00E9082F">
        <w:t>8/hour</w:t>
      </w:r>
      <w:r w:rsidR="004B1272" w:rsidRPr="004B1272">
        <w:rPr>
          <w:vertAlign w:val="superscript"/>
        </w:rPr>
        <w:t>1</w:t>
      </w:r>
      <w:r w:rsidR="006655AB">
        <w:t>.</w:t>
      </w:r>
      <w:r w:rsidR="00A54542">
        <w:t xml:space="preserve">  The average review time for each </w:t>
      </w:r>
      <w:r w:rsidR="009A0CEE">
        <w:t xml:space="preserve">position </w:t>
      </w:r>
      <w:r w:rsidR="00A54542">
        <w:t>is approximately one hour.  The annual cost to the Federal Government is summarized below:</w:t>
      </w:r>
    </w:p>
    <w:p w:rsidR="00A54542" w:rsidRDefault="00A54542" w:rsidP="005F425A">
      <w:pPr>
        <w:ind w:left="360"/>
      </w:pPr>
    </w:p>
    <w:p w:rsidR="00A54542" w:rsidRDefault="00A54542" w:rsidP="005F425A">
      <w:pPr>
        <w:ind w:left="360"/>
      </w:pPr>
      <w:r>
        <w:t>$5</w:t>
      </w:r>
      <w:r w:rsidR="00D835E2">
        <w:t xml:space="preserve">7 (average CO at GS-14/5) </w:t>
      </w:r>
      <w:r w:rsidR="00CF09C8">
        <w:tab/>
      </w:r>
      <w:r w:rsidR="00D835E2">
        <w:t>X 1 hour X 7,469 (annual responses) = $425,733</w:t>
      </w:r>
    </w:p>
    <w:p w:rsidR="00CF09C8" w:rsidRDefault="00CF09C8" w:rsidP="00CF09C8">
      <w:pPr>
        <w:tabs>
          <w:tab w:val="left" w:pos="360"/>
        </w:tabs>
      </w:pPr>
      <w:r>
        <w:tab/>
        <w:t xml:space="preserve">$48 (average COR at GS-13/5) </w:t>
      </w:r>
      <w:r>
        <w:tab/>
        <w:t xml:space="preserve">X 1 hour X 7,469 (annual responses) = </w:t>
      </w:r>
      <w:r w:rsidRPr="00CF09C8">
        <w:rPr>
          <w:u w:val="single"/>
        </w:rPr>
        <w:t>$358,512</w:t>
      </w:r>
    </w:p>
    <w:p w:rsidR="009321E7" w:rsidRDefault="009321E7" w:rsidP="005F425A">
      <w:pPr>
        <w:ind w:left="360"/>
      </w:pPr>
    </w:p>
    <w:p w:rsidR="00CF09C8" w:rsidRDefault="00CF09C8" w:rsidP="005F425A">
      <w:pPr>
        <w:ind w:left="360"/>
      </w:pPr>
      <w:r>
        <w:tab/>
      </w:r>
      <w:r>
        <w:tab/>
      </w:r>
      <w:r>
        <w:tab/>
      </w:r>
      <w:r>
        <w:tab/>
        <w:t>Total Annual Cost to Federal Government:</w:t>
      </w:r>
      <w:r>
        <w:tab/>
      </w:r>
      <w:r w:rsidR="008626C2">
        <w:t xml:space="preserve">   </w:t>
      </w:r>
      <w:r>
        <w:t>$784,245</w:t>
      </w:r>
    </w:p>
    <w:p w:rsidR="00DD0F67" w:rsidRDefault="00DD0F67">
      <w:pPr>
        <w:rPr>
          <w:b/>
          <w:u w:val="single"/>
        </w:rPr>
      </w:pPr>
    </w:p>
    <w:p w:rsidR="00236386" w:rsidRDefault="007D112C" w:rsidP="00123C4A">
      <w:pPr>
        <w:numPr>
          <w:ilvl w:val="0"/>
          <w:numId w:val="1"/>
        </w:numPr>
        <w:rPr>
          <w:b/>
          <w:u w:val="single"/>
        </w:rPr>
      </w:pPr>
      <w:r>
        <w:rPr>
          <w:b/>
          <w:u w:val="single"/>
        </w:rPr>
        <w:t xml:space="preserve">Explain the reasons for any program changes or adjustments reported in Items 13 (or 14) of OMB Form 83-I. </w:t>
      </w:r>
    </w:p>
    <w:p w:rsidR="007D112C" w:rsidRDefault="007D112C" w:rsidP="007D112C">
      <w:pPr>
        <w:ind w:left="360"/>
        <w:rPr>
          <w:i/>
        </w:rPr>
      </w:pPr>
    </w:p>
    <w:p w:rsidR="00C811E4" w:rsidRDefault="00C811E4" w:rsidP="00C811E4">
      <w:pPr>
        <w:ind w:left="360"/>
      </w:pPr>
      <w:r w:rsidRPr="004312FA">
        <w:t>The</w:t>
      </w:r>
      <w:r w:rsidR="00B7594D">
        <w:t xml:space="preserve"> annual burden hours </w:t>
      </w:r>
      <w:r w:rsidRPr="004312FA">
        <w:t xml:space="preserve">have </w:t>
      </w:r>
      <w:r>
        <w:t xml:space="preserve">significantly </w:t>
      </w:r>
      <w:r w:rsidRPr="004312FA">
        <w:t>decreased from the most recent clearance three years ago</w:t>
      </w:r>
      <w:r>
        <w:t>,</w:t>
      </w:r>
      <w:r w:rsidRPr="004312FA">
        <w:t xml:space="preserve"> </w:t>
      </w:r>
      <w:r>
        <w:t xml:space="preserve">primarily </w:t>
      </w:r>
      <w:r w:rsidRPr="004312FA">
        <w:t xml:space="preserve">due to the </w:t>
      </w:r>
      <w:r>
        <w:t xml:space="preserve">reduction of one large burden, decreasing the estimated burden hours by 225,166 (number of respondents remains unchanged) associated with the Property clause, because DOE has begun using time-saving asset management software.  </w:t>
      </w:r>
    </w:p>
    <w:p w:rsidR="00C811E4" w:rsidRDefault="00C811E4" w:rsidP="00C811E4">
      <w:pPr>
        <w:ind w:left="360"/>
      </w:pPr>
    </w:p>
    <w:p w:rsidR="00C811E4" w:rsidRDefault="00C811E4" w:rsidP="00C811E4">
      <w:pPr>
        <w:ind w:left="360"/>
      </w:pPr>
      <w:r>
        <w:t>The</w:t>
      </w:r>
      <w:r w:rsidR="00B7594D">
        <w:t xml:space="preserve"> annual estimated </w:t>
      </w:r>
      <w:proofErr w:type="gramStart"/>
      <w:r w:rsidR="00B7594D">
        <w:t xml:space="preserve">number of responses and annual burden hours </w:t>
      </w:r>
      <w:r>
        <w:t>have</w:t>
      </w:r>
      <w:proofErr w:type="gramEnd"/>
      <w:r>
        <w:t xml:space="preserve"> also decreased due to </w:t>
      </w:r>
      <w:r w:rsidRPr="004312FA">
        <w:t xml:space="preserve">elimination of one </w:t>
      </w:r>
      <w:r>
        <w:t xml:space="preserve">burden, decreasing the number of respondents by 60 and the estimated </w:t>
      </w:r>
      <w:r>
        <w:lastRenderedPageBreak/>
        <w:t>burden hours by 200 associated with the Key Personnel (Management Contracts) clause, which was removed from the DEAR</w:t>
      </w:r>
      <w:r w:rsidR="00B7594D">
        <w:t xml:space="preserve"> since the previous clearance</w:t>
      </w:r>
      <w:r>
        <w:t xml:space="preserve">.  </w:t>
      </w:r>
    </w:p>
    <w:p w:rsidR="00C811E4" w:rsidRDefault="00C811E4" w:rsidP="00C811E4">
      <w:pPr>
        <w:ind w:left="360"/>
      </w:pPr>
    </w:p>
    <w:p w:rsidR="003575AD" w:rsidRDefault="00C811E4" w:rsidP="00C811E4">
      <w:pPr>
        <w:ind w:left="360"/>
      </w:pPr>
      <w:r>
        <w:t xml:space="preserve">Lastly, these numbers have decreased due to elimination of a duplicate, </w:t>
      </w:r>
      <w:r w:rsidRPr="004312FA">
        <w:t xml:space="preserve">small burden decreasing the number of respondents by 10 and the estimated burden hours by 10 associated with the </w:t>
      </w:r>
      <w:r>
        <w:t>Government Facility Subcontract Approval clause</w:t>
      </w:r>
      <w:r w:rsidRPr="004312FA">
        <w:t xml:space="preserve">.  </w:t>
      </w:r>
      <w:r>
        <w:t>This burden was erroneously listed twice in the PROCUREMENT BURDENS – OMB CONTROL NO. 1910-4100 document for the clearance three years ago.</w:t>
      </w:r>
    </w:p>
    <w:p w:rsidR="00375F7E" w:rsidRDefault="00375F7E"/>
    <w:p w:rsidR="00C811E4" w:rsidRDefault="00C811E4" w:rsidP="00C811E4">
      <w:pPr>
        <w:ind w:left="360"/>
      </w:pPr>
      <w:r w:rsidRPr="004312FA">
        <w:t>The overall number of respondents has decreased from 7,539</w:t>
      </w:r>
      <w:r w:rsidR="004E1105">
        <w:rPr>
          <w:rStyle w:val="FootnoteReference"/>
        </w:rPr>
        <w:footnoteReference w:id="2"/>
      </w:r>
      <w:r w:rsidRPr="004312FA">
        <w:t xml:space="preserve"> to 7,</w:t>
      </w:r>
      <w:r>
        <w:t>469</w:t>
      </w:r>
      <w:r w:rsidRPr="004312FA">
        <w:t xml:space="preserve"> and the total burden hours have </w:t>
      </w:r>
      <w:r>
        <w:t>decreas</w:t>
      </w:r>
      <w:r w:rsidRPr="004312FA">
        <w:t>ed from 896,209</w:t>
      </w:r>
      <w:r w:rsidR="00375F7E">
        <w:rPr>
          <w:rStyle w:val="FootnoteReference"/>
        </w:rPr>
        <w:footnoteReference w:id="3"/>
      </w:r>
      <w:r w:rsidRPr="004312FA">
        <w:t xml:space="preserve"> to </w:t>
      </w:r>
      <w:r>
        <w:t>670,833</w:t>
      </w:r>
      <w:r w:rsidRPr="004312FA">
        <w:t>.</w:t>
      </w:r>
    </w:p>
    <w:p w:rsidR="00C811E4" w:rsidRPr="006617AB" w:rsidRDefault="00C811E4" w:rsidP="006617AB"/>
    <w:p w:rsidR="00236386" w:rsidRDefault="00EE2FAF" w:rsidP="005F425A">
      <w:pPr>
        <w:ind w:left="720" w:hanging="360"/>
        <w:rPr>
          <w:b/>
          <w:u w:val="single"/>
        </w:rPr>
      </w:pPr>
      <w:r>
        <w:rPr>
          <w:b/>
        </w:rPr>
        <w:t>1</w:t>
      </w:r>
      <w:r w:rsidR="00A12B97">
        <w:rPr>
          <w:b/>
        </w:rPr>
        <w:t>6</w:t>
      </w:r>
      <w:r>
        <w:rPr>
          <w:b/>
        </w:rPr>
        <w:t xml:space="preserve">.  </w:t>
      </w:r>
      <w:r w:rsidR="007D112C">
        <w:rPr>
          <w:b/>
          <w:u w:val="single"/>
        </w:rPr>
        <w:t xml:space="preserve">For collections whose results will be published, outline the plans for tabulation and publication. </w:t>
      </w:r>
    </w:p>
    <w:p w:rsidR="00D44EAE" w:rsidRDefault="00D44EAE" w:rsidP="00D44EAE">
      <w:pPr>
        <w:rPr>
          <w:b/>
          <w:u w:val="single"/>
        </w:rPr>
      </w:pPr>
    </w:p>
    <w:p w:rsidR="00D44EAE" w:rsidRDefault="00D44EAE" w:rsidP="005F425A">
      <w:pPr>
        <w:ind w:left="360"/>
        <w:rPr>
          <w:b/>
          <w:u w:val="single"/>
        </w:rPr>
      </w:pPr>
      <w:r>
        <w:t xml:space="preserve">None of the information collected is tabulated or published.  The information collected is </w:t>
      </w:r>
      <w:r w:rsidR="003A67BA">
        <w:t xml:space="preserve">only used </w:t>
      </w:r>
      <w:r>
        <w:t>for contract administration purposes.</w:t>
      </w:r>
      <w:r>
        <w:rPr>
          <w:b/>
          <w:u w:val="single"/>
        </w:rPr>
        <w:t xml:space="preserve"> </w:t>
      </w:r>
      <w:r w:rsidR="003A67BA">
        <w:rPr>
          <w:b/>
          <w:u w:val="single"/>
        </w:rPr>
        <w:t xml:space="preserve"> </w:t>
      </w:r>
    </w:p>
    <w:p w:rsidR="00D44EAE" w:rsidRDefault="00D44EAE" w:rsidP="00D44EAE">
      <w:pPr>
        <w:rPr>
          <w:b/>
          <w:u w:val="single"/>
        </w:rPr>
      </w:pPr>
    </w:p>
    <w:p w:rsidR="00236386" w:rsidRDefault="00375C7E" w:rsidP="005F425A">
      <w:pPr>
        <w:ind w:left="720" w:hanging="360"/>
        <w:rPr>
          <w:b/>
          <w:u w:val="single"/>
        </w:rPr>
      </w:pPr>
      <w:r w:rsidRPr="00375C7E">
        <w:rPr>
          <w:b/>
        </w:rPr>
        <w:t>1</w:t>
      </w:r>
      <w:r w:rsidR="00A12B97">
        <w:rPr>
          <w:b/>
        </w:rPr>
        <w:t>7</w:t>
      </w:r>
      <w:r w:rsidRPr="00375C7E">
        <w:rPr>
          <w:b/>
        </w:rPr>
        <w:t xml:space="preserve">.  </w:t>
      </w:r>
      <w:r w:rsidR="007D112C">
        <w:rPr>
          <w:b/>
          <w:u w:val="single"/>
        </w:rPr>
        <w:t>If seeking approval to not display the expiration date for OMB approval of the information collection, explain the reasons why display would be inappropriate.</w:t>
      </w:r>
    </w:p>
    <w:p w:rsidR="007D112C" w:rsidRDefault="007D112C" w:rsidP="007D112C">
      <w:pPr>
        <w:rPr>
          <w:b/>
          <w:u w:val="single"/>
        </w:rPr>
      </w:pPr>
    </w:p>
    <w:p w:rsidR="00D44EAE" w:rsidRPr="00D44EAE" w:rsidRDefault="00D44EAE" w:rsidP="005F425A">
      <w:pPr>
        <w:ind w:left="360"/>
      </w:pPr>
      <w:r>
        <w:t>The Department is not seeking approval to not display the expiration date for the OMB approval of the information collections contained in this package.</w:t>
      </w:r>
    </w:p>
    <w:p w:rsidR="00D44EAE" w:rsidRDefault="00D44EAE" w:rsidP="00D44EAE">
      <w:pPr>
        <w:ind w:left="360"/>
        <w:rPr>
          <w:b/>
          <w:u w:val="single"/>
        </w:rPr>
      </w:pPr>
    </w:p>
    <w:p w:rsidR="00236386" w:rsidRDefault="00375C7E" w:rsidP="005F425A">
      <w:pPr>
        <w:ind w:left="720" w:hanging="360"/>
        <w:rPr>
          <w:b/>
          <w:u w:val="single"/>
        </w:rPr>
      </w:pPr>
      <w:r w:rsidRPr="00375C7E">
        <w:rPr>
          <w:b/>
        </w:rPr>
        <w:t>1</w:t>
      </w:r>
      <w:r w:rsidR="0058347F">
        <w:rPr>
          <w:b/>
        </w:rPr>
        <w:t>8</w:t>
      </w:r>
      <w:r w:rsidRPr="00375C7E">
        <w:rPr>
          <w:b/>
        </w:rPr>
        <w:t xml:space="preserve">.  </w:t>
      </w:r>
      <w:r w:rsidR="007D112C">
        <w:rPr>
          <w:b/>
          <w:u w:val="single"/>
        </w:rPr>
        <w:t>Explain each exception to the certification statement identified in Item 19 of OMB Form 83-I.</w:t>
      </w:r>
    </w:p>
    <w:p w:rsidR="007D112C" w:rsidRDefault="007D112C" w:rsidP="007D112C">
      <w:pPr>
        <w:ind w:left="360"/>
        <w:rPr>
          <w:b/>
          <w:u w:val="single"/>
        </w:rPr>
      </w:pPr>
    </w:p>
    <w:p w:rsidR="00123C4A" w:rsidRDefault="006F632E" w:rsidP="005F425A">
      <w:pPr>
        <w:ind w:left="360"/>
      </w:pPr>
      <w:r>
        <w:t>The Department is not requesting any exceptions to the certification statement provided in Item 19 of OMB Form 83-I.</w:t>
      </w:r>
    </w:p>
    <w:p w:rsidR="00123C4A" w:rsidRDefault="00123C4A"/>
    <w:p w:rsidR="004C3534" w:rsidRDefault="003C392C" w:rsidP="003C392C">
      <w:pPr>
        <w:rPr>
          <w:b/>
          <w:u w:val="single"/>
        </w:rPr>
      </w:pPr>
      <w:r>
        <w:rPr>
          <w:b/>
        </w:rPr>
        <w:t xml:space="preserve">       </w:t>
      </w:r>
      <w:r w:rsidR="004C3534">
        <w:rPr>
          <w:b/>
        </w:rPr>
        <w:t xml:space="preserve">B.  </w:t>
      </w:r>
      <w:r w:rsidR="004C3534">
        <w:rPr>
          <w:b/>
          <w:u w:val="single"/>
        </w:rPr>
        <w:t xml:space="preserve">Collections of Information Employing Statistical Methods.  </w:t>
      </w:r>
    </w:p>
    <w:p w:rsidR="004C3534" w:rsidRDefault="004C3534">
      <w:pPr>
        <w:rPr>
          <w:b/>
          <w:u w:val="single"/>
        </w:rPr>
      </w:pPr>
    </w:p>
    <w:p w:rsidR="004C3534" w:rsidRPr="004C3534" w:rsidRDefault="004C3534" w:rsidP="005F425A">
      <w:pPr>
        <w:ind w:left="360"/>
      </w:pPr>
      <w:r w:rsidRPr="004C3534">
        <w:t xml:space="preserve">The Procurement Collection </w:t>
      </w:r>
      <w:r>
        <w:t>employs no statistical methodology.</w:t>
      </w:r>
    </w:p>
    <w:sectPr w:rsidR="004C3534" w:rsidRPr="004C3534" w:rsidSect="00D36318">
      <w:footerReference w:type="even" r:id="rId9"/>
      <w:footerReference w:type="default" r:id="rId10"/>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68" w:rsidRDefault="006C0B68">
      <w:r>
        <w:separator/>
      </w:r>
    </w:p>
  </w:endnote>
  <w:endnote w:type="continuationSeparator" w:id="0">
    <w:p w:rsidR="006C0B68" w:rsidRDefault="006C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8" w:rsidRDefault="006C0B68" w:rsidP="002D2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0B68" w:rsidRDefault="006C0B68" w:rsidP="00C829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68" w:rsidRDefault="006C0B68" w:rsidP="002D2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C2D">
      <w:rPr>
        <w:rStyle w:val="PageNumber"/>
        <w:noProof/>
      </w:rPr>
      <w:t>6</w:t>
    </w:r>
    <w:r>
      <w:rPr>
        <w:rStyle w:val="PageNumber"/>
      </w:rPr>
      <w:fldChar w:fldCharType="end"/>
    </w:r>
  </w:p>
  <w:p w:rsidR="006C0B68" w:rsidRDefault="006C0B68" w:rsidP="00C829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68" w:rsidRDefault="006C0B68">
      <w:r>
        <w:separator/>
      </w:r>
    </w:p>
  </w:footnote>
  <w:footnote w:type="continuationSeparator" w:id="0">
    <w:p w:rsidR="006C0B68" w:rsidRDefault="006C0B68">
      <w:r>
        <w:continuationSeparator/>
      </w:r>
    </w:p>
  </w:footnote>
  <w:footnote w:id="1">
    <w:p w:rsidR="007A15D6" w:rsidRDefault="007A15D6">
      <w:pPr>
        <w:pStyle w:val="FootnoteText"/>
      </w:pPr>
      <w:r>
        <w:rPr>
          <w:rStyle w:val="FootnoteReference"/>
        </w:rPr>
        <w:footnoteRef/>
      </w:r>
      <w:r>
        <w:t xml:space="preserve"> $57/hour </w:t>
      </w:r>
      <w:r w:rsidR="005B1B12">
        <w:t>and $48/hour are</w:t>
      </w:r>
      <w:r w:rsidR="00152519">
        <w:t xml:space="preserve"> the average </w:t>
      </w:r>
      <w:r w:rsidR="006C68D3">
        <w:t xml:space="preserve">of the rates at </w:t>
      </w:r>
      <w:r w:rsidR="00152519">
        <w:t xml:space="preserve">DOE’s five largest </w:t>
      </w:r>
      <w:r w:rsidR="006C68D3">
        <w:t>procurement offices</w:t>
      </w:r>
      <w:r w:rsidR="004B1272">
        <w:t xml:space="preserve"> that </w:t>
      </w:r>
      <w:r w:rsidR="006C68D3">
        <w:t xml:space="preserve">each process </w:t>
      </w:r>
      <w:r w:rsidR="00152519">
        <w:t>2,000 or more actions per year</w:t>
      </w:r>
      <w:r w:rsidR="006C68D3">
        <w:t xml:space="preserve">:  Chicago Service Center (IL), </w:t>
      </w:r>
      <w:r w:rsidR="005B1B12">
        <w:t xml:space="preserve">Golden Field Office (CO), </w:t>
      </w:r>
      <w:r w:rsidR="006C68D3">
        <w:t xml:space="preserve">National Energy Technology Laboratory (WV), </w:t>
      </w:r>
      <w:r w:rsidR="006C68D3">
        <w:t>N</w:t>
      </w:r>
      <w:r w:rsidR="006C68D3">
        <w:t xml:space="preserve">ational </w:t>
      </w:r>
      <w:r w:rsidR="006C68D3">
        <w:t>N</w:t>
      </w:r>
      <w:r w:rsidR="006C68D3">
        <w:t xml:space="preserve">uclear </w:t>
      </w:r>
      <w:r w:rsidR="006C68D3">
        <w:t>S</w:t>
      </w:r>
      <w:r w:rsidR="006C68D3">
        <w:t xml:space="preserve">ecurity </w:t>
      </w:r>
      <w:r w:rsidR="006C68D3">
        <w:t>A</w:t>
      </w:r>
      <w:r w:rsidR="006C68D3">
        <w:t>dministration</w:t>
      </w:r>
      <w:r w:rsidR="006C68D3">
        <w:t xml:space="preserve"> </w:t>
      </w:r>
      <w:r w:rsidR="005B1B12">
        <w:t xml:space="preserve">(NNSA) </w:t>
      </w:r>
      <w:r w:rsidR="006C68D3">
        <w:t xml:space="preserve">Headquarters </w:t>
      </w:r>
      <w:r w:rsidR="005B1B12">
        <w:t>(</w:t>
      </w:r>
      <w:r w:rsidR="006C68D3">
        <w:t>DC),</w:t>
      </w:r>
      <w:r w:rsidR="006C68D3">
        <w:t xml:space="preserve"> </w:t>
      </w:r>
      <w:r w:rsidR="005B1B12">
        <w:t xml:space="preserve">and NNSA CPD (NM).  See </w:t>
      </w:r>
      <w:hyperlink r:id="rId1" w:history="1">
        <w:r w:rsidR="005B1B12" w:rsidRPr="00482809">
          <w:rPr>
            <w:rStyle w:val="Hyperlink"/>
          </w:rPr>
          <w:t>http://www.opm.gov/policy-data-oversight/pay-leave/salaries-wages/2014/general-schedule/</w:t>
        </w:r>
      </w:hyperlink>
      <w:r w:rsidR="005B1B12">
        <w:t xml:space="preserve"> </w:t>
      </w:r>
      <w:r w:rsidR="004B1272">
        <w:t>for rates at each locality effective January 2014.</w:t>
      </w:r>
    </w:p>
  </w:footnote>
  <w:footnote w:id="2">
    <w:p w:rsidR="004E1105" w:rsidRDefault="004E1105">
      <w:pPr>
        <w:pStyle w:val="FootnoteText"/>
      </w:pPr>
      <w:r>
        <w:rPr>
          <w:rStyle w:val="FootnoteReference"/>
        </w:rPr>
        <w:footnoteRef/>
      </w:r>
      <w:r>
        <w:t xml:space="preserve"> 7,529 was the number of annual respondents erroneous</w:t>
      </w:r>
      <w:r w:rsidR="00F638BC">
        <w:t xml:space="preserve">ly submitted </w:t>
      </w:r>
      <w:r w:rsidR="00BA7C2D">
        <w:t>t</w:t>
      </w:r>
      <w:r w:rsidR="00F638BC">
        <w:t xml:space="preserve">o OMB </w:t>
      </w:r>
      <w:r w:rsidR="00BA7C2D">
        <w:t xml:space="preserve">in 2011 </w:t>
      </w:r>
      <w:r w:rsidR="00F638BC">
        <w:t xml:space="preserve">via </w:t>
      </w:r>
      <w:r w:rsidR="00375F7E">
        <w:t xml:space="preserve">the </w:t>
      </w:r>
      <w:r w:rsidR="00F638BC">
        <w:t xml:space="preserve">ROCIS </w:t>
      </w:r>
      <w:r w:rsidR="00375F7E">
        <w:t>system</w:t>
      </w:r>
      <w:r w:rsidR="00F638BC">
        <w:t>.  The Annu</w:t>
      </w:r>
      <w:r w:rsidR="00375F7E">
        <w:t>a</w:t>
      </w:r>
      <w:r w:rsidR="00F638BC">
        <w:t xml:space="preserve">l Respondents column of the Procurement Burdens table that </w:t>
      </w:r>
      <w:r w:rsidR="003E747E">
        <w:t>supported</w:t>
      </w:r>
      <w:r w:rsidR="00F638BC">
        <w:t xml:space="preserve"> the 2011 submittal</w:t>
      </w:r>
      <w:r w:rsidR="00375F7E">
        <w:t xml:space="preserve"> actually totaled 7,539.</w:t>
      </w:r>
    </w:p>
  </w:footnote>
  <w:footnote w:id="3">
    <w:p w:rsidR="00375F7E" w:rsidRDefault="00375F7E">
      <w:pPr>
        <w:pStyle w:val="FootnoteText"/>
      </w:pPr>
      <w:r>
        <w:rPr>
          <w:rStyle w:val="FootnoteReference"/>
        </w:rPr>
        <w:footnoteRef/>
      </w:r>
      <w:r>
        <w:t xml:space="preserve"> 896,199 was the total number of annual burden hours erroneously submitted to OMB </w:t>
      </w:r>
      <w:r w:rsidR="00BA7C2D">
        <w:t xml:space="preserve">in 2011 </w:t>
      </w:r>
      <w:r>
        <w:t xml:space="preserve">via </w:t>
      </w:r>
      <w:r>
        <w:t>ROCIS</w:t>
      </w:r>
      <w:bookmarkStart w:id="0" w:name="_GoBack"/>
      <w:bookmarkEnd w:id="0"/>
      <w:r>
        <w:t xml:space="preserve">.  The Annual Burden Hours column of the Procurement Burdens table that </w:t>
      </w:r>
      <w:r w:rsidR="003E747E">
        <w:t xml:space="preserve">supported </w:t>
      </w:r>
      <w:r>
        <w:t>the 2011 submittal actually totaled 896,209.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3A2"/>
    <w:multiLevelType w:val="hybridMultilevel"/>
    <w:tmpl w:val="3F4487CC"/>
    <w:lvl w:ilvl="0" w:tplc="CB8AFE5E">
      <w:start w:val="1"/>
      <w:numFmt w:val="decimal"/>
      <w:lvlText w:val="%1."/>
      <w:lvlJc w:val="left"/>
      <w:pPr>
        <w:tabs>
          <w:tab w:val="num" w:pos="360"/>
        </w:tabs>
        <w:ind w:left="360" w:hanging="360"/>
      </w:pPr>
      <w:rPr>
        <w:rFonts w:ascii="Times New Roman" w:hAnsi="Times New Roman" w:hint="default"/>
        <w:b/>
        <w:i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1816174"/>
    <w:multiLevelType w:val="hybridMultilevel"/>
    <w:tmpl w:val="706EC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BE0DF1"/>
    <w:multiLevelType w:val="hybridMultilevel"/>
    <w:tmpl w:val="8480A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66"/>
    <w:rsid w:val="00011C1A"/>
    <w:rsid w:val="00014726"/>
    <w:rsid w:val="000148EA"/>
    <w:rsid w:val="00024319"/>
    <w:rsid w:val="00025726"/>
    <w:rsid w:val="00050FBE"/>
    <w:rsid w:val="000702B8"/>
    <w:rsid w:val="0007063E"/>
    <w:rsid w:val="00076B47"/>
    <w:rsid w:val="00086696"/>
    <w:rsid w:val="00092754"/>
    <w:rsid w:val="000C0EB0"/>
    <w:rsid w:val="000C13F7"/>
    <w:rsid w:val="000C4FDF"/>
    <w:rsid w:val="000D3379"/>
    <w:rsid w:val="000D5FEF"/>
    <w:rsid w:val="000D724E"/>
    <w:rsid w:val="000E4E06"/>
    <w:rsid w:val="000E6977"/>
    <w:rsid w:val="00102FF0"/>
    <w:rsid w:val="0010435B"/>
    <w:rsid w:val="00117573"/>
    <w:rsid w:val="00122D3A"/>
    <w:rsid w:val="00123C4A"/>
    <w:rsid w:val="00137067"/>
    <w:rsid w:val="00141959"/>
    <w:rsid w:val="001441C7"/>
    <w:rsid w:val="00147945"/>
    <w:rsid w:val="00150E39"/>
    <w:rsid w:val="00152519"/>
    <w:rsid w:val="00152E19"/>
    <w:rsid w:val="0016473B"/>
    <w:rsid w:val="0017014E"/>
    <w:rsid w:val="00170C36"/>
    <w:rsid w:val="001B0AD0"/>
    <w:rsid w:val="001D1832"/>
    <w:rsid w:val="001E0563"/>
    <w:rsid w:val="001E19E8"/>
    <w:rsid w:val="001E2AEF"/>
    <w:rsid w:val="001F4BEA"/>
    <w:rsid w:val="00223DA6"/>
    <w:rsid w:val="00231410"/>
    <w:rsid w:val="00235A34"/>
    <w:rsid w:val="00235ACB"/>
    <w:rsid w:val="00236386"/>
    <w:rsid w:val="0024619C"/>
    <w:rsid w:val="002545A1"/>
    <w:rsid w:val="0025472E"/>
    <w:rsid w:val="00255DC0"/>
    <w:rsid w:val="002A6A8B"/>
    <w:rsid w:val="002C0CBF"/>
    <w:rsid w:val="002D1D15"/>
    <w:rsid w:val="002D2FE2"/>
    <w:rsid w:val="002D3C67"/>
    <w:rsid w:val="002D56BA"/>
    <w:rsid w:val="002E68E3"/>
    <w:rsid w:val="002F1834"/>
    <w:rsid w:val="003071AF"/>
    <w:rsid w:val="00335E43"/>
    <w:rsid w:val="003575AD"/>
    <w:rsid w:val="00361262"/>
    <w:rsid w:val="0036300E"/>
    <w:rsid w:val="003659AE"/>
    <w:rsid w:val="00375C7E"/>
    <w:rsid w:val="00375F7E"/>
    <w:rsid w:val="0039074A"/>
    <w:rsid w:val="003A67BA"/>
    <w:rsid w:val="003A7733"/>
    <w:rsid w:val="003B3DC4"/>
    <w:rsid w:val="003B75A9"/>
    <w:rsid w:val="003C00F5"/>
    <w:rsid w:val="003C3407"/>
    <w:rsid w:val="003C392C"/>
    <w:rsid w:val="003D3AB1"/>
    <w:rsid w:val="003E18ED"/>
    <w:rsid w:val="003E2886"/>
    <w:rsid w:val="003E5494"/>
    <w:rsid w:val="003E747E"/>
    <w:rsid w:val="003E77AD"/>
    <w:rsid w:val="003F006D"/>
    <w:rsid w:val="003F5552"/>
    <w:rsid w:val="004038EF"/>
    <w:rsid w:val="004209D1"/>
    <w:rsid w:val="00430448"/>
    <w:rsid w:val="004312FA"/>
    <w:rsid w:val="004341B9"/>
    <w:rsid w:val="00443FEB"/>
    <w:rsid w:val="004775EB"/>
    <w:rsid w:val="0048403E"/>
    <w:rsid w:val="00486E8E"/>
    <w:rsid w:val="004A6C36"/>
    <w:rsid w:val="004A7A7A"/>
    <w:rsid w:val="004B1272"/>
    <w:rsid w:val="004C2B81"/>
    <w:rsid w:val="004C3534"/>
    <w:rsid w:val="004C5EC7"/>
    <w:rsid w:val="004D3499"/>
    <w:rsid w:val="004E1105"/>
    <w:rsid w:val="004F28A7"/>
    <w:rsid w:val="00517653"/>
    <w:rsid w:val="00537049"/>
    <w:rsid w:val="00560D08"/>
    <w:rsid w:val="0058347F"/>
    <w:rsid w:val="005B1B12"/>
    <w:rsid w:val="005B54F5"/>
    <w:rsid w:val="005B7806"/>
    <w:rsid w:val="005C6A16"/>
    <w:rsid w:val="005D4726"/>
    <w:rsid w:val="005D6E34"/>
    <w:rsid w:val="005E40E9"/>
    <w:rsid w:val="005E75F1"/>
    <w:rsid w:val="005F425A"/>
    <w:rsid w:val="00610D74"/>
    <w:rsid w:val="00621141"/>
    <w:rsid w:val="0063025A"/>
    <w:rsid w:val="00641518"/>
    <w:rsid w:val="006617AB"/>
    <w:rsid w:val="006655AB"/>
    <w:rsid w:val="006765C5"/>
    <w:rsid w:val="00681919"/>
    <w:rsid w:val="00684C3D"/>
    <w:rsid w:val="006858CA"/>
    <w:rsid w:val="0069150A"/>
    <w:rsid w:val="006A41B8"/>
    <w:rsid w:val="006A5632"/>
    <w:rsid w:val="006C0B68"/>
    <w:rsid w:val="006C1348"/>
    <w:rsid w:val="006C4E4D"/>
    <w:rsid w:val="006C68D3"/>
    <w:rsid w:val="006D21A1"/>
    <w:rsid w:val="006E0642"/>
    <w:rsid w:val="006F2C62"/>
    <w:rsid w:val="006F2EDB"/>
    <w:rsid w:val="006F3B28"/>
    <w:rsid w:val="006F5C6F"/>
    <w:rsid w:val="006F632E"/>
    <w:rsid w:val="007011AA"/>
    <w:rsid w:val="00707E02"/>
    <w:rsid w:val="007137D7"/>
    <w:rsid w:val="007253F6"/>
    <w:rsid w:val="00732490"/>
    <w:rsid w:val="00757974"/>
    <w:rsid w:val="00766241"/>
    <w:rsid w:val="007663E1"/>
    <w:rsid w:val="00771588"/>
    <w:rsid w:val="007810AF"/>
    <w:rsid w:val="00783356"/>
    <w:rsid w:val="007A0D6D"/>
    <w:rsid w:val="007A15D6"/>
    <w:rsid w:val="007D04F7"/>
    <w:rsid w:val="007D112C"/>
    <w:rsid w:val="007D1EC9"/>
    <w:rsid w:val="007D40E6"/>
    <w:rsid w:val="007D4126"/>
    <w:rsid w:val="007F7911"/>
    <w:rsid w:val="00810A90"/>
    <w:rsid w:val="008154CD"/>
    <w:rsid w:val="008159C7"/>
    <w:rsid w:val="00822F33"/>
    <w:rsid w:val="008626C2"/>
    <w:rsid w:val="00882252"/>
    <w:rsid w:val="0088415C"/>
    <w:rsid w:val="008A52B4"/>
    <w:rsid w:val="008C38F5"/>
    <w:rsid w:val="008C5409"/>
    <w:rsid w:val="008C7279"/>
    <w:rsid w:val="008E12B1"/>
    <w:rsid w:val="0092490E"/>
    <w:rsid w:val="009321E7"/>
    <w:rsid w:val="00950881"/>
    <w:rsid w:val="009722DA"/>
    <w:rsid w:val="009742E8"/>
    <w:rsid w:val="009A0CEE"/>
    <w:rsid w:val="009E2CD4"/>
    <w:rsid w:val="009F249A"/>
    <w:rsid w:val="00A12B97"/>
    <w:rsid w:val="00A1550F"/>
    <w:rsid w:val="00A170D0"/>
    <w:rsid w:val="00A3688D"/>
    <w:rsid w:val="00A54542"/>
    <w:rsid w:val="00A90859"/>
    <w:rsid w:val="00A94D10"/>
    <w:rsid w:val="00AD28B4"/>
    <w:rsid w:val="00AE2D97"/>
    <w:rsid w:val="00B00A6D"/>
    <w:rsid w:val="00B308C7"/>
    <w:rsid w:val="00B4459C"/>
    <w:rsid w:val="00B64016"/>
    <w:rsid w:val="00B7594D"/>
    <w:rsid w:val="00B83C08"/>
    <w:rsid w:val="00BA7C2D"/>
    <w:rsid w:val="00BC13DC"/>
    <w:rsid w:val="00BF764A"/>
    <w:rsid w:val="00C02F24"/>
    <w:rsid w:val="00C14666"/>
    <w:rsid w:val="00C32030"/>
    <w:rsid w:val="00C4561D"/>
    <w:rsid w:val="00C46F0F"/>
    <w:rsid w:val="00C56666"/>
    <w:rsid w:val="00C811E4"/>
    <w:rsid w:val="00C82919"/>
    <w:rsid w:val="00C83F54"/>
    <w:rsid w:val="00C9228B"/>
    <w:rsid w:val="00CA38D4"/>
    <w:rsid w:val="00CC1F7D"/>
    <w:rsid w:val="00CD46E0"/>
    <w:rsid w:val="00CF09C8"/>
    <w:rsid w:val="00D069D6"/>
    <w:rsid w:val="00D17B00"/>
    <w:rsid w:val="00D32B38"/>
    <w:rsid w:val="00D34412"/>
    <w:rsid w:val="00D36318"/>
    <w:rsid w:val="00D44EAE"/>
    <w:rsid w:val="00D632BF"/>
    <w:rsid w:val="00D63732"/>
    <w:rsid w:val="00D67FB6"/>
    <w:rsid w:val="00D75EA2"/>
    <w:rsid w:val="00D76D7C"/>
    <w:rsid w:val="00D835E2"/>
    <w:rsid w:val="00D922F2"/>
    <w:rsid w:val="00DC6D68"/>
    <w:rsid w:val="00DC7E2D"/>
    <w:rsid w:val="00DD0F67"/>
    <w:rsid w:val="00DD2D24"/>
    <w:rsid w:val="00DE61A7"/>
    <w:rsid w:val="00DF6DEA"/>
    <w:rsid w:val="00E05320"/>
    <w:rsid w:val="00E3163C"/>
    <w:rsid w:val="00E54ECC"/>
    <w:rsid w:val="00E574BC"/>
    <w:rsid w:val="00E64D9A"/>
    <w:rsid w:val="00E65FC8"/>
    <w:rsid w:val="00E77D2E"/>
    <w:rsid w:val="00E81C2D"/>
    <w:rsid w:val="00E9082F"/>
    <w:rsid w:val="00E927C5"/>
    <w:rsid w:val="00EA3FC2"/>
    <w:rsid w:val="00EC1409"/>
    <w:rsid w:val="00EE2FAF"/>
    <w:rsid w:val="00EF5FD5"/>
    <w:rsid w:val="00F16E4D"/>
    <w:rsid w:val="00F24044"/>
    <w:rsid w:val="00F3026D"/>
    <w:rsid w:val="00F31CA7"/>
    <w:rsid w:val="00F32C26"/>
    <w:rsid w:val="00F428BF"/>
    <w:rsid w:val="00F42F74"/>
    <w:rsid w:val="00F54EEC"/>
    <w:rsid w:val="00F638BC"/>
    <w:rsid w:val="00F70920"/>
    <w:rsid w:val="00F75013"/>
    <w:rsid w:val="00F759FA"/>
    <w:rsid w:val="00FA07FA"/>
    <w:rsid w:val="00FC645C"/>
    <w:rsid w:val="00FC7A9E"/>
    <w:rsid w:val="00FD13E9"/>
    <w:rsid w:val="00FD29CD"/>
    <w:rsid w:val="00FE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D67FB6"/>
    <w:pPr>
      <w:tabs>
        <w:tab w:val="center" w:pos="4320"/>
        <w:tab w:val="right" w:pos="8640"/>
      </w:tabs>
    </w:pPr>
  </w:style>
  <w:style w:type="paragraph" w:styleId="NormalWeb">
    <w:name w:val="Normal (Web)"/>
    <w:basedOn w:val="Normal"/>
    <w:rsid w:val="00E927C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4C3534"/>
    <w:pPr>
      <w:ind w:left="720"/>
      <w:contextualSpacing/>
    </w:pPr>
  </w:style>
  <w:style w:type="paragraph" w:styleId="FootnoteText">
    <w:name w:val="footnote text"/>
    <w:basedOn w:val="Normal"/>
    <w:link w:val="FootnoteTextChar"/>
    <w:rsid w:val="002D1D15"/>
    <w:rPr>
      <w:sz w:val="20"/>
      <w:szCs w:val="20"/>
    </w:rPr>
  </w:style>
  <w:style w:type="character" w:customStyle="1" w:styleId="FootnoteTextChar">
    <w:name w:val="Footnote Text Char"/>
    <w:basedOn w:val="DefaultParagraphFont"/>
    <w:link w:val="FootnoteText"/>
    <w:rsid w:val="002D1D15"/>
  </w:style>
  <w:style w:type="character" w:styleId="FootnoteReference">
    <w:name w:val="footnote reference"/>
    <w:basedOn w:val="DefaultParagraphFont"/>
    <w:rsid w:val="002D1D15"/>
    <w:rPr>
      <w:vertAlign w:val="superscript"/>
    </w:rPr>
  </w:style>
  <w:style w:type="character" w:styleId="CommentReference">
    <w:name w:val="annotation reference"/>
    <w:basedOn w:val="DefaultParagraphFont"/>
    <w:rsid w:val="004341B9"/>
    <w:rPr>
      <w:sz w:val="16"/>
      <w:szCs w:val="16"/>
    </w:rPr>
  </w:style>
  <w:style w:type="paragraph" w:styleId="CommentText">
    <w:name w:val="annotation text"/>
    <w:basedOn w:val="Normal"/>
    <w:link w:val="CommentTextChar"/>
    <w:rsid w:val="004341B9"/>
    <w:rPr>
      <w:sz w:val="20"/>
      <w:szCs w:val="20"/>
    </w:rPr>
  </w:style>
  <w:style w:type="character" w:customStyle="1" w:styleId="CommentTextChar">
    <w:name w:val="Comment Text Char"/>
    <w:basedOn w:val="DefaultParagraphFont"/>
    <w:link w:val="CommentText"/>
    <w:rsid w:val="004341B9"/>
  </w:style>
  <w:style w:type="paragraph" w:styleId="CommentSubject">
    <w:name w:val="annotation subject"/>
    <w:basedOn w:val="CommentText"/>
    <w:next w:val="CommentText"/>
    <w:link w:val="CommentSubjectChar"/>
    <w:rsid w:val="004341B9"/>
    <w:rPr>
      <w:b/>
      <w:bCs/>
    </w:rPr>
  </w:style>
  <w:style w:type="character" w:customStyle="1" w:styleId="CommentSubjectChar">
    <w:name w:val="Comment Subject Char"/>
    <w:basedOn w:val="CommentTextChar"/>
    <w:link w:val="CommentSubject"/>
    <w:rsid w:val="004341B9"/>
    <w:rPr>
      <w:b/>
      <w:bCs/>
    </w:rPr>
  </w:style>
  <w:style w:type="character" w:styleId="Hyperlink">
    <w:name w:val="Hyperlink"/>
    <w:basedOn w:val="DefaultParagraphFont"/>
    <w:rsid w:val="005B1B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paragraph" w:styleId="Header">
    <w:name w:val="header"/>
    <w:basedOn w:val="Normal"/>
    <w:rsid w:val="00D67FB6"/>
    <w:pPr>
      <w:tabs>
        <w:tab w:val="center" w:pos="4320"/>
        <w:tab w:val="right" w:pos="8640"/>
      </w:tabs>
    </w:pPr>
  </w:style>
  <w:style w:type="paragraph" w:styleId="NormalWeb">
    <w:name w:val="Normal (Web)"/>
    <w:basedOn w:val="Normal"/>
    <w:rsid w:val="00E927C5"/>
    <w:pPr>
      <w:spacing w:before="100" w:beforeAutospacing="1" w:after="100" w:afterAutospacing="1"/>
    </w:pPr>
    <w:rPr>
      <w:rFonts w:ascii="Verdana" w:hAnsi="Verdana"/>
      <w:color w:val="000000"/>
      <w:sz w:val="18"/>
      <w:szCs w:val="18"/>
    </w:rPr>
  </w:style>
  <w:style w:type="paragraph" w:styleId="ListParagraph">
    <w:name w:val="List Paragraph"/>
    <w:basedOn w:val="Normal"/>
    <w:uiPriority w:val="34"/>
    <w:qFormat/>
    <w:rsid w:val="004C3534"/>
    <w:pPr>
      <w:ind w:left="720"/>
      <w:contextualSpacing/>
    </w:pPr>
  </w:style>
  <w:style w:type="paragraph" w:styleId="FootnoteText">
    <w:name w:val="footnote text"/>
    <w:basedOn w:val="Normal"/>
    <w:link w:val="FootnoteTextChar"/>
    <w:rsid w:val="002D1D15"/>
    <w:rPr>
      <w:sz w:val="20"/>
      <w:szCs w:val="20"/>
    </w:rPr>
  </w:style>
  <w:style w:type="character" w:customStyle="1" w:styleId="FootnoteTextChar">
    <w:name w:val="Footnote Text Char"/>
    <w:basedOn w:val="DefaultParagraphFont"/>
    <w:link w:val="FootnoteText"/>
    <w:rsid w:val="002D1D15"/>
  </w:style>
  <w:style w:type="character" w:styleId="FootnoteReference">
    <w:name w:val="footnote reference"/>
    <w:basedOn w:val="DefaultParagraphFont"/>
    <w:rsid w:val="002D1D15"/>
    <w:rPr>
      <w:vertAlign w:val="superscript"/>
    </w:rPr>
  </w:style>
  <w:style w:type="character" w:styleId="CommentReference">
    <w:name w:val="annotation reference"/>
    <w:basedOn w:val="DefaultParagraphFont"/>
    <w:rsid w:val="004341B9"/>
    <w:rPr>
      <w:sz w:val="16"/>
      <w:szCs w:val="16"/>
    </w:rPr>
  </w:style>
  <w:style w:type="paragraph" w:styleId="CommentText">
    <w:name w:val="annotation text"/>
    <w:basedOn w:val="Normal"/>
    <w:link w:val="CommentTextChar"/>
    <w:rsid w:val="004341B9"/>
    <w:rPr>
      <w:sz w:val="20"/>
      <w:szCs w:val="20"/>
    </w:rPr>
  </w:style>
  <w:style w:type="character" w:customStyle="1" w:styleId="CommentTextChar">
    <w:name w:val="Comment Text Char"/>
    <w:basedOn w:val="DefaultParagraphFont"/>
    <w:link w:val="CommentText"/>
    <w:rsid w:val="004341B9"/>
  </w:style>
  <w:style w:type="paragraph" w:styleId="CommentSubject">
    <w:name w:val="annotation subject"/>
    <w:basedOn w:val="CommentText"/>
    <w:next w:val="CommentText"/>
    <w:link w:val="CommentSubjectChar"/>
    <w:rsid w:val="004341B9"/>
    <w:rPr>
      <w:b/>
      <w:bCs/>
    </w:rPr>
  </w:style>
  <w:style w:type="character" w:customStyle="1" w:styleId="CommentSubjectChar">
    <w:name w:val="Comment Subject Char"/>
    <w:basedOn w:val="CommentTextChar"/>
    <w:link w:val="CommentSubject"/>
    <w:rsid w:val="004341B9"/>
    <w:rPr>
      <w:b/>
      <w:bCs/>
    </w:rPr>
  </w:style>
  <w:style w:type="character" w:styleId="Hyperlink">
    <w:name w:val="Hyperlink"/>
    <w:basedOn w:val="DefaultParagraphFont"/>
    <w:rsid w:val="005B1B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pm.gov/policy-data-oversight/pay-leave/salaries-wages/2014/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CC37-587F-4796-B9E6-C789B76A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2295</Words>
  <Characters>13222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Sharon.Archer</cp:lastModifiedBy>
  <cp:revision>10</cp:revision>
  <cp:lastPrinted>2014-09-18T18:22:00Z</cp:lastPrinted>
  <dcterms:created xsi:type="dcterms:W3CDTF">2014-10-09T16:33:00Z</dcterms:created>
  <dcterms:modified xsi:type="dcterms:W3CDTF">2014-10-09T17:52:00Z</dcterms:modified>
</cp:coreProperties>
</file>