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A46" w:rsidRDefault="00693613" w:rsidP="005E0A46">
      <w:pPr>
        <w:pStyle w:val="AbtHeadA"/>
        <w:spacing w:after="240"/>
      </w:pPr>
      <w:bookmarkStart w:id="0" w:name="_Toc311186204"/>
      <w:r>
        <w:t xml:space="preserve">Part </w:t>
      </w:r>
      <w:proofErr w:type="gramStart"/>
      <w:r>
        <w:t>A</w:t>
      </w:r>
      <w:proofErr w:type="gramEnd"/>
      <w:r>
        <w:t xml:space="preserve"> Justificatio</w:t>
      </w:r>
      <w:bookmarkEnd w:id="0"/>
      <w:r w:rsidR="005E0A46">
        <w:t>n: Continuum of Care Homeless Assistance Grant Application – Continuum of Care Registration</w:t>
      </w:r>
    </w:p>
    <w:p w:rsidR="00246FED" w:rsidRDefault="00246FED" w:rsidP="00246FED">
      <w:pPr>
        <w:pStyle w:val="BodyText"/>
      </w:pPr>
      <w:r>
        <w:t>OMB 2506-</w:t>
      </w:r>
      <w:r w:rsidR="001B1D62">
        <w:t>0182</w:t>
      </w:r>
    </w:p>
    <w:p w:rsidR="001B1D62" w:rsidRPr="00246FED" w:rsidRDefault="001B1D62" w:rsidP="00246FED">
      <w:pPr>
        <w:pStyle w:val="BodyText"/>
      </w:pPr>
    </w:p>
    <w:p w:rsidR="00693613" w:rsidRPr="000B7D63" w:rsidRDefault="00693613" w:rsidP="00693613">
      <w:pPr>
        <w:pStyle w:val="AbtHeadB"/>
        <w:spacing w:after="240"/>
        <w:rPr>
          <w:rFonts w:cs="Arial"/>
          <w:szCs w:val="24"/>
        </w:rPr>
      </w:pPr>
      <w:bookmarkStart w:id="1" w:name="_Toc311186205"/>
      <w:bookmarkStart w:id="2" w:name="_Toc224972096"/>
      <w:bookmarkStart w:id="3" w:name="_Toc233444276"/>
      <w:r w:rsidRPr="000B7D63">
        <w:rPr>
          <w:rFonts w:cs="Arial"/>
        </w:rPr>
        <w:t>Introduction</w:t>
      </w:r>
      <w:bookmarkEnd w:id="1"/>
    </w:p>
    <w:p w:rsidR="00693613" w:rsidRDefault="00693613" w:rsidP="00693613">
      <w:pPr>
        <w:pStyle w:val="AbtHeadB"/>
        <w:spacing w:after="240"/>
        <w:rPr>
          <w:rFonts w:ascii="Times New Roman" w:hAnsi="Times New Roman"/>
          <w:b w:val="0"/>
          <w:sz w:val="24"/>
          <w:szCs w:val="24"/>
        </w:rPr>
      </w:pPr>
      <w:bookmarkStart w:id="4" w:name="_Toc310931645"/>
      <w:bookmarkStart w:id="5" w:name="_Toc310937506"/>
      <w:bookmarkStart w:id="6" w:name="_Toc311186206"/>
      <w:r w:rsidRPr="00D07ED0">
        <w:rPr>
          <w:rFonts w:ascii="Times New Roman" w:hAnsi="Times New Roman"/>
          <w:b w:val="0"/>
          <w:sz w:val="24"/>
          <w:szCs w:val="24"/>
        </w:rPr>
        <w:t xml:space="preserve">On May 20, 2009, Congress passed the Homeless Emergency Assistance and Rapid Transition to Housing </w:t>
      </w:r>
      <w:r w:rsidR="005852F0">
        <w:rPr>
          <w:rFonts w:ascii="Times New Roman" w:hAnsi="Times New Roman"/>
          <w:b w:val="0"/>
          <w:sz w:val="24"/>
          <w:szCs w:val="24"/>
        </w:rPr>
        <w:t xml:space="preserve">(HEARTH) </w:t>
      </w:r>
      <w:r w:rsidRPr="00D07ED0">
        <w:rPr>
          <w:rFonts w:ascii="Times New Roman" w:hAnsi="Times New Roman"/>
          <w:b w:val="0"/>
          <w:sz w:val="24"/>
          <w:szCs w:val="24"/>
        </w:rPr>
        <w:t>Act of 2009</w:t>
      </w:r>
      <w:r w:rsidR="003B5170">
        <w:rPr>
          <w:rFonts w:ascii="Times New Roman" w:hAnsi="Times New Roman"/>
          <w:b w:val="0"/>
          <w:sz w:val="24"/>
          <w:szCs w:val="24"/>
        </w:rPr>
        <w:t>, which modified the existing McKinney-Vento Act that established HUD’s homeless programs</w:t>
      </w:r>
      <w:r w:rsidRPr="00D07ED0">
        <w:rPr>
          <w:rFonts w:ascii="Times New Roman" w:hAnsi="Times New Roman"/>
          <w:b w:val="0"/>
          <w:sz w:val="24"/>
          <w:szCs w:val="24"/>
        </w:rPr>
        <w:t>.</w:t>
      </w:r>
      <w:bookmarkEnd w:id="4"/>
      <w:bookmarkEnd w:id="5"/>
      <w:r>
        <w:rPr>
          <w:rFonts w:ascii="Times New Roman" w:hAnsi="Times New Roman"/>
          <w:b w:val="0"/>
          <w:sz w:val="24"/>
          <w:szCs w:val="24"/>
        </w:rPr>
        <w:t xml:space="preserve"> The legislation included</w:t>
      </w:r>
      <w:r w:rsidR="005852F0">
        <w:rPr>
          <w:rFonts w:ascii="Times New Roman" w:hAnsi="Times New Roman"/>
          <w:b w:val="0"/>
          <w:sz w:val="24"/>
          <w:szCs w:val="24"/>
        </w:rPr>
        <w:t xml:space="preserve"> the implementation of the </w:t>
      </w:r>
      <w:r>
        <w:rPr>
          <w:rFonts w:ascii="Times New Roman" w:hAnsi="Times New Roman"/>
          <w:b w:val="0"/>
          <w:sz w:val="24"/>
          <w:szCs w:val="24"/>
        </w:rPr>
        <w:t>Continuum of Care (</w:t>
      </w:r>
      <w:proofErr w:type="spellStart"/>
      <w:r>
        <w:rPr>
          <w:rFonts w:ascii="Times New Roman" w:hAnsi="Times New Roman"/>
          <w:b w:val="0"/>
          <w:sz w:val="24"/>
          <w:szCs w:val="24"/>
        </w:rPr>
        <w:t>CoC</w:t>
      </w:r>
      <w:proofErr w:type="spellEnd"/>
      <w:r>
        <w:rPr>
          <w:rFonts w:ascii="Times New Roman" w:hAnsi="Times New Roman"/>
          <w:b w:val="0"/>
          <w:sz w:val="24"/>
          <w:szCs w:val="24"/>
        </w:rPr>
        <w:t>) Program that combine</w:t>
      </w:r>
      <w:r w:rsidR="005852F0">
        <w:rPr>
          <w:rFonts w:ascii="Times New Roman" w:hAnsi="Times New Roman"/>
          <w:b w:val="0"/>
          <w:sz w:val="24"/>
          <w:szCs w:val="24"/>
        </w:rPr>
        <w:t>d</w:t>
      </w:r>
      <w:r>
        <w:rPr>
          <w:rFonts w:ascii="Times New Roman" w:hAnsi="Times New Roman"/>
          <w:b w:val="0"/>
          <w:sz w:val="24"/>
          <w:szCs w:val="24"/>
        </w:rPr>
        <w:t xml:space="preserve"> the Supportive Housing Program (SHP), Shelter </w:t>
      </w:r>
      <w:proofErr w:type="gramStart"/>
      <w:r>
        <w:rPr>
          <w:rFonts w:ascii="Times New Roman" w:hAnsi="Times New Roman"/>
          <w:b w:val="0"/>
          <w:sz w:val="24"/>
          <w:szCs w:val="24"/>
        </w:rPr>
        <w:t>Plus</w:t>
      </w:r>
      <w:proofErr w:type="gramEnd"/>
      <w:r>
        <w:rPr>
          <w:rFonts w:ascii="Times New Roman" w:hAnsi="Times New Roman"/>
          <w:b w:val="0"/>
          <w:sz w:val="24"/>
          <w:szCs w:val="24"/>
        </w:rPr>
        <w:t xml:space="preserve"> Care (S+C)</w:t>
      </w:r>
      <w:r w:rsidR="005852F0">
        <w:rPr>
          <w:rFonts w:ascii="Times New Roman" w:hAnsi="Times New Roman"/>
          <w:b w:val="0"/>
          <w:sz w:val="24"/>
          <w:szCs w:val="24"/>
        </w:rPr>
        <w:t xml:space="preserve"> programs </w:t>
      </w:r>
      <w:r>
        <w:rPr>
          <w:rFonts w:ascii="Times New Roman" w:hAnsi="Times New Roman"/>
          <w:b w:val="0"/>
          <w:sz w:val="24"/>
          <w:szCs w:val="24"/>
        </w:rPr>
        <w:t xml:space="preserve">and formalized the existing </w:t>
      </w:r>
      <w:proofErr w:type="spellStart"/>
      <w:r>
        <w:rPr>
          <w:rFonts w:ascii="Times New Roman" w:hAnsi="Times New Roman"/>
          <w:b w:val="0"/>
          <w:sz w:val="24"/>
          <w:szCs w:val="24"/>
        </w:rPr>
        <w:t>CoC</w:t>
      </w:r>
      <w:proofErr w:type="spellEnd"/>
      <w:r>
        <w:rPr>
          <w:rFonts w:ascii="Times New Roman" w:hAnsi="Times New Roman"/>
          <w:b w:val="0"/>
          <w:sz w:val="24"/>
          <w:szCs w:val="24"/>
        </w:rPr>
        <w:t xml:space="preserve"> framework for grant application, scoring, and reporting.  This PRA justification covers the requirements for registering a local or state</w:t>
      </w:r>
      <w:r w:rsidR="005852F0">
        <w:rPr>
          <w:rFonts w:ascii="Times New Roman" w:hAnsi="Times New Roman"/>
          <w:b w:val="0"/>
          <w:sz w:val="24"/>
          <w:szCs w:val="24"/>
        </w:rPr>
        <w:t>wide</w:t>
      </w:r>
      <w:r>
        <w:rPr>
          <w:rFonts w:ascii="Times New Roman" w:hAnsi="Times New Roman"/>
          <w:b w:val="0"/>
          <w:sz w:val="24"/>
          <w:szCs w:val="24"/>
        </w:rPr>
        <w:t xml:space="preserve"> </w:t>
      </w:r>
      <w:proofErr w:type="spellStart"/>
      <w:r>
        <w:rPr>
          <w:rFonts w:ascii="Times New Roman" w:hAnsi="Times New Roman"/>
          <w:b w:val="0"/>
          <w:sz w:val="24"/>
          <w:szCs w:val="24"/>
        </w:rPr>
        <w:t>CoC</w:t>
      </w:r>
      <w:proofErr w:type="spellEnd"/>
      <w:r>
        <w:rPr>
          <w:rFonts w:ascii="Times New Roman" w:hAnsi="Times New Roman"/>
          <w:b w:val="0"/>
          <w:sz w:val="24"/>
          <w:szCs w:val="24"/>
        </w:rPr>
        <w:t xml:space="preserve"> for the </w:t>
      </w:r>
      <w:proofErr w:type="spellStart"/>
      <w:r>
        <w:rPr>
          <w:rFonts w:ascii="Times New Roman" w:hAnsi="Times New Roman"/>
          <w:b w:val="0"/>
          <w:sz w:val="24"/>
          <w:szCs w:val="24"/>
        </w:rPr>
        <w:t>CoC</w:t>
      </w:r>
      <w:proofErr w:type="spellEnd"/>
      <w:r>
        <w:rPr>
          <w:rFonts w:ascii="Times New Roman" w:hAnsi="Times New Roman"/>
          <w:b w:val="0"/>
          <w:sz w:val="24"/>
          <w:szCs w:val="24"/>
        </w:rPr>
        <w:t xml:space="preserve"> </w:t>
      </w:r>
      <w:r w:rsidR="005852F0">
        <w:rPr>
          <w:rFonts w:ascii="Times New Roman" w:hAnsi="Times New Roman"/>
          <w:b w:val="0"/>
          <w:sz w:val="24"/>
          <w:szCs w:val="24"/>
        </w:rPr>
        <w:t>P</w:t>
      </w:r>
      <w:r>
        <w:rPr>
          <w:rFonts w:ascii="Times New Roman" w:hAnsi="Times New Roman"/>
          <w:b w:val="0"/>
          <w:sz w:val="24"/>
          <w:szCs w:val="24"/>
        </w:rPr>
        <w:t>rogram</w:t>
      </w:r>
      <w:r w:rsidR="005F5A95">
        <w:rPr>
          <w:rFonts w:ascii="Times New Roman" w:hAnsi="Times New Roman"/>
          <w:b w:val="0"/>
          <w:sz w:val="24"/>
          <w:szCs w:val="24"/>
        </w:rPr>
        <w:t xml:space="preserve"> C</w:t>
      </w:r>
      <w:r w:rsidR="005852F0">
        <w:rPr>
          <w:rFonts w:ascii="Times New Roman" w:hAnsi="Times New Roman"/>
          <w:b w:val="0"/>
          <w:sz w:val="24"/>
          <w:szCs w:val="24"/>
        </w:rPr>
        <w:t>ompetition,</w:t>
      </w:r>
      <w:r>
        <w:rPr>
          <w:rFonts w:ascii="Times New Roman" w:hAnsi="Times New Roman"/>
          <w:b w:val="0"/>
          <w:sz w:val="24"/>
          <w:szCs w:val="24"/>
        </w:rPr>
        <w:t xml:space="preserve"> according the </w:t>
      </w:r>
      <w:proofErr w:type="spellStart"/>
      <w:r>
        <w:rPr>
          <w:rFonts w:ascii="Times New Roman" w:hAnsi="Times New Roman"/>
          <w:b w:val="0"/>
          <w:sz w:val="24"/>
          <w:szCs w:val="24"/>
        </w:rPr>
        <w:t>CoC</w:t>
      </w:r>
      <w:proofErr w:type="spellEnd"/>
      <w:r>
        <w:rPr>
          <w:rFonts w:ascii="Times New Roman" w:hAnsi="Times New Roman"/>
          <w:b w:val="0"/>
          <w:sz w:val="24"/>
          <w:szCs w:val="24"/>
        </w:rPr>
        <w:t xml:space="preserve"> Program interim rule </w:t>
      </w:r>
      <w:r w:rsidRPr="00081099">
        <w:rPr>
          <w:rFonts w:ascii="Times New Roman" w:hAnsi="Times New Roman"/>
          <w:b w:val="0"/>
          <w:sz w:val="24"/>
          <w:szCs w:val="24"/>
        </w:rPr>
        <w:t xml:space="preserve">regulations, </w:t>
      </w:r>
      <w:r w:rsidR="00736093" w:rsidRPr="00081099">
        <w:rPr>
          <w:rFonts w:ascii="Times New Roman" w:hAnsi="Times New Roman"/>
          <w:b w:val="0"/>
          <w:sz w:val="24"/>
        </w:rPr>
        <w:t xml:space="preserve">24 CFR </w:t>
      </w:r>
      <w:r w:rsidR="00E02EAA">
        <w:rPr>
          <w:rFonts w:ascii="Times New Roman" w:hAnsi="Times New Roman"/>
          <w:b w:val="0"/>
          <w:sz w:val="24"/>
        </w:rPr>
        <w:t>p</w:t>
      </w:r>
      <w:r w:rsidR="00736093" w:rsidRPr="00081099">
        <w:rPr>
          <w:rFonts w:ascii="Times New Roman" w:hAnsi="Times New Roman"/>
          <w:b w:val="0"/>
          <w:sz w:val="24"/>
        </w:rPr>
        <w:t>art 578 [Docket No. FR-5476-I-01] RIN 2506-AC29</w:t>
      </w:r>
      <w:r w:rsidRPr="00081099">
        <w:rPr>
          <w:rFonts w:ascii="Times New Roman" w:hAnsi="Times New Roman"/>
          <w:b w:val="0"/>
          <w:sz w:val="24"/>
          <w:szCs w:val="24"/>
        </w:rPr>
        <w:t>,</w:t>
      </w:r>
      <w:r>
        <w:rPr>
          <w:rFonts w:ascii="Times New Roman" w:hAnsi="Times New Roman"/>
          <w:b w:val="0"/>
          <w:sz w:val="24"/>
          <w:szCs w:val="24"/>
        </w:rPr>
        <w:t xml:space="preserve"> and authorized by the HEARTH Act.</w:t>
      </w:r>
      <w:bookmarkEnd w:id="6"/>
    </w:p>
    <w:p w:rsidR="00693613" w:rsidRDefault="00693613" w:rsidP="00693613">
      <w:pPr>
        <w:pStyle w:val="AbtHeadB"/>
        <w:spacing w:after="240"/>
        <w:rPr>
          <w:rFonts w:ascii="Times New Roman" w:hAnsi="Times New Roman"/>
          <w:b w:val="0"/>
          <w:sz w:val="22"/>
        </w:rPr>
      </w:pPr>
      <w:bookmarkStart w:id="7" w:name="_Toc310931646"/>
      <w:bookmarkStart w:id="8" w:name="_Toc310937507"/>
      <w:bookmarkStart w:id="9" w:name="_Toc311186207"/>
      <w:r>
        <w:t>A1</w:t>
      </w:r>
      <w:r>
        <w:tab/>
        <w:t>Need and Legal Basis</w:t>
      </w:r>
      <w:bookmarkEnd w:id="2"/>
      <w:bookmarkEnd w:id="3"/>
      <w:bookmarkEnd w:id="7"/>
      <w:bookmarkEnd w:id="8"/>
      <w:bookmarkEnd w:id="9"/>
    </w:p>
    <w:p w:rsidR="00693613" w:rsidRDefault="00693613" w:rsidP="00693613">
      <w:pPr>
        <w:pStyle w:val="AbtHeadB"/>
        <w:rPr>
          <w:b w:val="0"/>
          <w:i/>
          <w:sz w:val="24"/>
        </w:rPr>
      </w:pPr>
      <w:bookmarkStart w:id="10" w:name="_Toc228162069"/>
      <w:bookmarkStart w:id="11" w:name="_Toc228162169"/>
      <w:bookmarkStart w:id="12" w:name="_Toc228162241"/>
      <w:bookmarkStart w:id="13" w:name="_Toc233444277"/>
      <w:bookmarkStart w:id="14" w:name="_Toc310931647"/>
      <w:bookmarkStart w:id="15" w:name="_Toc310937508"/>
      <w:bookmarkStart w:id="16" w:name="_Toc311186208"/>
      <w:bookmarkStart w:id="17" w:name="_Toc224972097"/>
      <w:bookmarkStart w:id="18" w:name="_Toc224972193"/>
      <w:bookmarkStart w:id="19" w:name="_Toc224972249"/>
      <w:bookmarkStart w:id="20" w:name="_Toc224972307"/>
      <w:bookmarkStart w:id="21" w:name="_Toc224976962"/>
      <w:r>
        <w:rPr>
          <w:b w:val="0"/>
          <w:i/>
          <w:sz w:val="24"/>
        </w:rPr>
        <w:t>Why is this information necessary?  Identify any legal or administrative requirements that necessitate the collection.</w:t>
      </w:r>
      <w:bookmarkEnd w:id="10"/>
      <w:bookmarkEnd w:id="11"/>
      <w:bookmarkEnd w:id="12"/>
      <w:bookmarkEnd w:id="13"/>
      <w:bookmarkEnd w:id="14"/>
      <w:bookmarkEnd w:id="15"/>
      <w:bookmarkEnd w:id="16"/>
      <w:r>
        <w:rPr>
          <w:b w:val="0"/>
          <w:i/>
          <w:sz w:val="24"/>
        </w:rPr>
        <w:t xml:space="preserve">  </w:t>
      </w:r>
      <w:bookmarkEnd w:id="17"/>
      <w:bookmarkEnd w:id="18"/>
      <w:bookmarkEnd w:id="19"/>
      <w:bookmarkEnd w:id="20"/>
      <w:bookmarkEnd w:id="21"/>
    </w:p>
    <w:p w:rsidR="00B82D20" w:rsidRPr="00D07ED0" w:rsidRDefault="00B82D20" w:rsidP="00B82D20">
      <w:pPr>
        <w:pStyle w:val="AbtHeadB"/>
        <w:rPr>
          <w:rFonts w:ascii="Times New Roman" w:hAnsi="Times New Roman"/>
          <w:b w:val="0"/>
          <w:sz w:val="24"/>
        </w:rPr>
      </w:pPr>
      <w:bookmarkStart w:id="22" w:name="_Toc311186209"/>
      <w:bookmarkStart w:id="23" w:name="_Toc311186210"/>
      <w:bookmarkStart w:id="24" w:name="_Toc224972098"/>
      <w:bookmarkStart w:id="25" w:name="_Toc233444278"/>
      <w:r w:rsidRPr="00D07ED0">
        <w:rPr>
          <w:rFonts w:ascii="Times New Roman" w:hAnsi="Times New Roman"/>
          <w:b w:val="0"/>
          <w:sz w:val="24"/>
        </w:rPr>
        <w:t>The regulatory authority to collect this information is contained in</w:t>
      </w:r>
      <w:r w:rsidR="00615951">
        <w:rPr>
          <w:rFonts w:ascii="Times New Roman" w:hAnsi="Times New Roman"/>
          <w:b w:val="0"/>
          <w:sz w:val="24"/>
        </w:rPr>
        <w:t xml:space="preserve"> 24 CFR Part </w:t>
      </w:r>
      <w:r w:rsidR="005852F0">
        <w:rPr>
          <w:rFonts w:ascii="Times New Roman" w:hAnsi="Times New Roman"/>
          <w:b w:val="0"/>
          <w:sz w:val="24"/>
        </w:rPr>
        <w:t>578</w:t>
      </w:r>
      <w:r w:rsidR="00615951">
        <w:rPr>
          <w:rFonts w:ascii="Times New Roman" w:hAnsi="Times New Roman"/>
          <w:b w:val="0"/>
          <w:sz w:val="24"/>
        </w:rPr>
        <w:t xml:space="preserve">, </w:t>
      </w:r>
      <w:r>
        <w:rPr>
          <w:rFonts w:ascii="Times New Roman" w:hAnsi="Times New Roman"/>
          <w:b w:val="0"/>
          <w:sz w:val="24"/>
        </w:rPr>
        <w:t xml:space="preserve">and the </w:t>
      </w:r>
      <w:r w:rsidRPr="00D07ED0">
        <w:rPr>
          <w:rFonts w:ascii="Times New Roman" w:hAnsi="Times New Roman"/>
          <w:b w:val="0"/>
          <w:sz w:val="24"/>
        </w:rPr>
        <w:t>HEARTH Act.</w:t>
      </w:r>
    </w:p>
    <w:p w:rsidR="00C036B7" w:rsidRDefault="00693613" w:rsidP="00480594">
      <w:pPr>
        <w:pStyle w:val="BodyText"/>
      </w:pPr>
      <w:r w:rsidRPr="00D07ED0">
        <w:t xml:space="preserve">The </w:t>
      </w:r>
      <w:proofErr w:type="spellStart"/>
      <w:r>
        <w:t>CoC</w:t>
      </w:r>
      <w:proofErr w:type="spellEnd"/>
      <w:r w:rsidRPr="00D07ED0">
        <w:t xml:space="preserve"> Homeless Assistance Application Registration </w:t>
      </w:r>
      <w:r w:rsidR="001B1D62">
        <w:t xml:space="preserve">(OMB 2506-0182) </w:t>
      </w:r>
      <w:r w:rsidRPr="00D07ED0">
        <w:t xml:space="preserve">is </w:t>
      </w:r>
      <w:r>
        <w:t xml:space="preserve">the first </w:t>
      </w:r>
      <w:r w:rsidRPr="00D07ED0">
        <w:t>part of the</w:t>
      </w:r>
      <w:r>
        <w:t xml:space="preserve"> information collection process</w:t>
      </w:r>
      <w:r w:rsidRPr="00D07ED0">
        <w:t xml:space="preserve"> </w:t>
      </w:r>
      <w:r>
        <w:t xml:space="preserve">to be used </w:t>
      </w:r>
      <w:r w:rsidRPr="00D07ED0">
        <w:t>in HUD’s</w:t>
      </w:r>
      <w:r w:rsidR="005F5A95">
        <w:t xml:space="preserve"> </w:t>
      </w:r>
      <w:proofErr w:type="spellStart"/>
      <w:r w:rsidR="005F5A95">
        <w:t>CoC</w:t>
      </w:r>
      <w:proofErr w:type="spellEnd"/>
      <w:r w:rsidR="005F5A95">
        <w:t xml:space="preserve"> Program Competition</w:t>
      </w:r>
      <w:r w:rsidRPr="00D07ED0">
        <w:t xml:space="preserve"> authorized by the HEARTH Act.  </w:t>
      </w:r>
      <w:r w:rsidR="00B82D20">
        <w:t>It i</w:t>
      </w:r>
      <w:r w:rsidRPr="00D07ED0">
        <w:t>s separate</w:t>
      </w:r>
      <w:r w:rsidR="003B5170">
        <w:t xml:space="preserve"> </w:t>
      </w:r>
      <w:r w:rsidRPr="00D07ED0">
        <w:t xml:space="preserve">from the </w:t>
      </w:r>
      <w:r w:rsidR="003B5170">
        <w:t xml:space="preserve">annual </w:t>
      </w:r>
      <w:proofErr w:type="spellStart"/>
      <w:r w:rsidRPr="00D07ED0">
        <w:t>C</w:t>
      </w:r>
      <w:r>
        <w:t>o</w:t>
      </w:r>
      <w:r w:rsidRPr="00D07ED0">
        <w:t>C</w:t>
      </w:r>
      <w:proofErr w:type="spellEnd"/>
      <w:r w:rsidRPr="00D07ED0">
        <w:t xml:space="preserve"> Homeless Assistance </w:t>
      </w:r>
      <w:r w:rsidR="00B82D20">
        <w:t xml:space="preserve">Consolidated </w:t>
      </w:r>
      <w:r w:rsidRPr="00D07ED0">
        <w:t>Application</w:t>
      </w:r>
      <w:r w:rsidR="00B82D20">
        <w:t xml:space="preserve">, which contains the </w:t>
      </w:r>
      <w:proofErr w:type="spellStart"/>
      <w:r w:rsidR="00B82D20">
        <w:t>CoC</w:t>
      </w:r>
      <w:proofErr w:type="spellEnd"/>
      <w:r w:rsidR="00B82D20">
        <w:t xml:space="preserve"> Application and the Project Applications that are covered under the approved PRA package 2506-0112</w:t>
      </w:r>
      <w:r w:rsidRPr="00D07ED0">
        <w:t xml:space="preserve">.  </w:t>
      </w:r>
      <w:r>
        <w:t xml:space="preserve">This separation </w:t>
      </w:r>
      <w:r w:rsidRPr="00D07ED0">
        <w:t xml:space="preserve">is necessary due in </w:t>
      </w:r>
      <w:r w:rsidR="00615951">
        <w:t xml:space="preserve">to </w:t>
      </w:r>
      <w:r>
        <w:t xml:space="preserve">the fact that </w:t>
      </w:r>
      <w:r w:rsidRPr="00D07ED0">
        <w:t xml:space="preserve">the </w:t>
      </w:r>
      <w:proofErr w:type="spellStart"/>
      <w:r w:rsidRPr="00D07ED0">
        <w:t>CoC</w:t>
      </w:r>
      <w:proofErr w:type="spellEnd"/>
      <w:r w:rsidRPr="00D07ED0">
        <w:t xml:space="preserve"> Registration occurs several months before</w:t>
      </w:r>
      <w:r>
        <w:t xml:space="preserve"> collection of the </w:t>
      </w:r>
      <w:proofErr w:type="spellStart"/>
      <w:r>
        <w:t>Co</w:t>
      </w:r>
      <w:r w:rsidRPr="00D07ED0">
        <w:t>C</w:t>
      </w:r>
      <w:proofErr w:type="spellEnd"/>
      <w:r w:rsidRPr="00D07ED0">
        <w:t xml:space="preserve"> Homeless Assistance </w:t>
      </w:r>
      <w:r w:rsidR="00B82D20">
        <w:t xml:space="preserve">Consolidated </w:t>
      </w:r>
      <w:r w:rsidRPr="00D07ED0">
        <w:t>Application</w:t>
      </w:r>
      <w:r w:rsidR="00615951">
        <w:t xml:space="preserve"> and that </w:t>
      </w:r>
      <w:r w:rsidRPr="00D07ED0">
        <w:t>the informatio</w:t>
      </w:r>
      <w:r>
        <w:t xml:space="preserve">n collected during </w:t>
      </w:r>
      <w:proofErr w:type="spellStart"/>
      <w:r>
        <w:t>Co</w:t>
      </w:r>
      <w:r w:rsidRPr="00D07ED0">
        <w:t>C</w:t>
      </w:r>
      <w:proofErr w:type="spellEnd"/>
      <w:r w:rsidRPr="00D07ED0">
        <w:t xml:space="preserve"> Registration does not frequently change</w:t>
      </w:r>
      <w:r w:rsidR="00B82D20">
        <w:t>.</w:t>
      </w:r>
      <w:bookmarkEnd w:id="22"/>
    </w:p>
    <w:p w:rsidR="00C036B7" w:rsidRPr="00C036B7" w:rsidRDefault="00C036B7" w:rsidP="00631BF9"/>
    <w:p w:rsidR="003D2D8E" w:rsidRDefault="00B82D20" w:rsidP="00C1363A">
      <w:pPr>
        <w:tabs>
          <w:tab w:val="left" w:pos="6555"/>
        </w:tabs>
      </w:pPr>
      <w:r>
        <w:t xml:space="preserve">The annual </w:t>
      </w:r>
      <w:proofErr w:type="spellStart"/>
      <w:r w:rsidR="00693613">
        <w:t>CoC</w:t>
      </w:r>
      <w:proofErr w:type="spellEnd"/>
      <w:r w:rsidR="00693613">
        <w:t xml:space="preserve"> Registration comprises the first phase of the combined </w:t>
      </w:r>
      <w:proofErr w:type="spellStart"/>
      <w:r w:rsidR="00693613">
        <w:t>CoC</w:t>
      </w:r>
      <w:proofErr w:type="spellEnd"/>
      <w:r w:rsidR="00693613">
        <w:t xml:space="preserve"> Homeless Assistance information collection form.  </w:t>
      </w:r>
      <w:r w:rsidR="00693613" w:rsidRPr="00D07ED0">
        <w:t xml:space="preserve">During </w:t>
      </w:r>
      <w:r w:rsidR="00693613">
        <w:t>this phase,</w:t>
      </w:r>
      <w:r w:rsidR="00693613" w:rsidRPr="00D07ED0">
        <w:t xml:space="preserve"> HUD collects </w:t>
      </w:r>
      <w:r w:rsidR="00693613">
        <w:t xml:space="preserve">the </w:t>
      </w:r>
      <w:r w:rsidR="00693613" w:rsidRPr="00D07ED0">
        <w:t xml:space="preserve">contact information of the </w:t>
      </w:r>
      <w:r w:rsidR="00C036B7">
        <w:t xml:space="preserve">Collaborative Applicant for the </w:t>
      </w:r>
      <w:proofErr w:type="spellStart"/>
      <w:r w:rsidR="00C036B7">
        <w:t>CoC</w:t>
      </w:r>
      <w:proofErr w:type="spellEnd"/>
      <w:r w:rsidR="00C036B7">
        <w:t>, and the</w:t>
      </w:r>
      <w:r w:rsidR="00693613" w:rsidRPr="00D07ED0">
        <w:t xml:space="preserve"> HMIS Lead as well as the geographic areas served by the </w:t>
      </w:r>
      <w:proofErr w:type="spellStart"/>
      <w:r w:rsidR="00693613" w:rsidRPr="00D07ED0">
        <w:t>Co</w:t>
      </w:r>
      <w:r w:rsidR="00693613">
        <w:t>C</w:t>
      </w:r>
      <w:proofErr w:type="spellEnd"/>
      <w:r w:rsidR="00693613" w:rsidRPr="00D07ED0">
        <w:t>.  Additional</w:t>
      </w:r>
      <w:r w:rsidR="00693613">
        <w:t>ly</w:t>
      </w:r>
      <w:r w:rsidR="00362B13">
        <w:t>,</w:t>
      </w:r>
      <w:r w:rsidR="00693613">
        <w:t xml:space="preserve"> </w:t>
      </w:r>
      <w:proofErr w:type="spellStart"/>
      <w:r w:rsidR="00693613">
        <w:t>CoCs</w:t>
      </w:r>
      <w:proofErr w:type="spellEnd"/>
      <w:r w:rsidR="00693613">
        <w:t xml:space="preserve"> approve their </w:t>
      </w:r>
      <w:r w:rsidR="005F5A95">
        <w:t>P</w:t>
      </w:r>
      <w:r w:rsidR="00693613">
        <w:t xml:space="preserve">reliminary </w:t>
      </w:r>
      <w:r w:rsidR="005F5A95">
        <w:t>P</w:t>
      </w:r>
      <w:r w:rsidR="00693613">
        <w:t>ro-</w:t>
      </w:r>
      <w:r w:rsidR="005F5A95">
        <w:t>R</w:t>
      </w:r>
      <w:r w:rsidR="00693613">
        <w:t xml:space="preserve">ata </w:t>
      </w:r>
      <w:r w:rsidR="005F5A95">
        <w:t>N</w:t>
      </w:r>
      <w:r w:rsidR="00693613">
        <w:t>eed</w:t>
      </w:r>
      <w:r w:rsidR="005F5A95">
        <w:t xml:space="preserve"> (PPRN)</w:t>
      </w:r>
      <w:r w:rsidR="00693613">
        <w:t xml:space="preserve"> </w:t>
      </w:r>
      <w:r w:rsidR="006E1160">
        <w:t xml:space="preserve">amount </w:t>
      </w:r>
      <w:r w:rsidR="00693613">
        <w:t xml:space="preserve">and affirm their annual renewal </w:t>
      </w:r>
      <w:r w:rsidR="00362B13">
        <w:t>demand</w:t>
      </w:r>
      <w:r w:rsidR="00693613">
        <w:t xml:space="preserve">, and HUD collects </w:t>
      </w:r>
      <w:r w:rsidR="00693613" w:rsidRPr="00D07ED0">
        <w:t xml:space="preserve">information regarding the </w:t>
      </w:r>
      <w:proofErr w:type="spellStart"/>
      <w:r w:rsidR="00693613" w:rsidRPr="00D07ED0">
        <w:lastRenderedPageBreak/>
        <w:t>CoC</w:t>
      </w:r>
      <w:r w:rsidR="00693613">
        <w:t>’s</w:t>
      </w:r>
      <w:proofErr w:type="spellEnd"/>
      <w:r w:rsidR="00693613">
        <w:t xml:space="preserve"> board structure and the c</w:t>
      </w:r>
      <w:r w:rsidR="00693613" w:rsidRPr="00D07ED0">
        <w:t xml:space="preserve">apacity of the </w:t>
      </w:r>
      <w:proofErr w:type="spellStart"/>
      <w:r w:rsidR="00693613" w:rsidRPr="00D07ED0">
        <w:t>CoC</w:t>
      </w:r>
      <w:proofErr w:type="spellEnd"/>
      <w:r w:rsidR="00693613" w:rsidRPr="00D07ED0">
        <w:t xml:space="preserve"> to carry out the various activities outlined in the </w:t>
      </w:r>
      <w:r w:rsidR="00693613">
        <w:t>program regulations</w:t>
      </w:r>
      <w:r w:rsidR="00693613" w:rsidRPr="00D07ED0">
        <w:t xml:space="preserve">.  The registration information is necessary to assist in the selection of </w:t>
      </w:r>
      <w:r w:rsidR="00362B13">
        <w:t xml:space="preserve">project </w:t>
      </w:r>
      <w:r w:rsidR="00693613" w:rsidRPr="00D07ED0">
        <w:t>proposals submitted to HUD (by State and local governments, public housing authorities, and nonprofit organizations) for</w:t>
      </w:r>
      <w:r w:rsidR="00693613">
        <w:t xml:space="preserve"> the awarded funds </w:t>
      </w:r>
      <w:r w:rsidR="003B5170">
        <w:t xml:space="preserve">during the annual </w:t>
      </w:r>
      <w:proofErr w:type="spellStart"/>
      <w:r w:rsidR="003B5170">
        <w:t>CoC</w:t>
      </w:r>
      <w:proofErr w:type="spellEnd"/>
      <w:r w:rsidR="003B5170">
        <w:t xml:space="preserve"> competition</w:t>
      </w:r>
      <w:r w:rsidR="003D2D8E">
        <w:t xml:space="preserve"> because it </w:t>
      </w:r>
      <w:bookmarkEnd w:id="23"/>
      <w:r w:rsidR="003B5170">
        <w:t xml:space="preserve">provides vital information about the </w:t>
      </w:r>
      <w:proofErr w:type="spellStart"/>
      <w:r w:rsidR="003D2D8E">
        <w:t>CoC</w:t>
      </w:r>
      <w:proofErr w:type="spellEnd"/>
      <w:r w:rsidR="003D2D8E">
        <w:t xml:space="preserve"> applicants.  </w:t>
      </w:r>
    </w:p>
    <w:p w:rsidR="00693613" w:rsidRDefault="00693613" w:rsidP="00C1363A">
      <w:pPr>
        <w:tabs>
          <w:tab w:val="left" w:pos="6555"/>
        </w:tabs>
      </w:pPr>
      <w:bookmarkStart w:id="26" w:name="_Toc311186214"/>
    </w:p>
    <w:p w:rsidR="00693613" w:rsidRDefault="00693613" w:rsidP="00693613">
      <w:pPr>
        <w:pStyle w:val="AbtHeadB"/>
      </w:pPr>
      <w:r>
        <w:t>A2</w:t>
      </w:r>
      <w:r>
        <w:tab/>
        <w:t>Information Users</w:t>
      </w:r>
      <w:bookmarkEnd w:id="24"/>
      <w:bookmarkEnd w:id="25"/>
      <w:bookmarkEnd w:id="26"/>
    </w:p>
    <w:p w:rsidR="00693613" w:rsidRPr="000B7D63" w:rsidRDefault="00693613" w:rsidP="00693613">
      <w:pPr>
        <w:pStyle w:val="AbtHeadB"/>
        <w:rPr>
          <w:b w:val="0"/>
          <w:i/>
          <w:sz w:val="24"/>
        </w:rPr>
      </w:pPr>
      <w:bookmarkStart w:id="27" w:name="_Toc310931653"/>
      <w:bookmarkStart w:id="28" w:name="_Toc310937514"/>
      <w:bookmarkStart w:id="29" w:name="_Toc311186215"/>
      <w:r w:rsidRPr="000B7D63">
        <w:rPr>
          <w:b w:val="0"/>
          <w:i/>
          <w:sz w:val="24"/>
        </w:rPr>
        <w:t>How is the information collected and how is the information to be used?</w:t>
      </w:r>
      <w:bookmarkEnd w:id="27"/>
      <w:bookmarkEnd w:id="28"/>
      <w:bookmarkEnd w:id="29"/>
      <w:r w:rsidRPr="000B7D63">
        <w:rPr>
          <w:b w:val="0"/>
          <w:i/>
          <w:sz w:val="24"/>
        </w:rPr>
        <w:t xml:space="preserve">  </w:t>
      </w:r>
    </w:p>
    <w:p w:rsidR="00B13B27" w:rsidRDefault="00693613" w:rsidP="00693613">
      <w:pPr>
        <w:autoSpaceDE w:val="0"/>
        <w:autoSpaceDN w:val="0"/>
        <w:adjustRightInd w:val="0"/>
      </w:pPr>
      <w:r w:rsidRPr="00D07ED0">
        <w:t xml:space="preserve">All </w:t>
      </w:r>
      <w:r w:rsidR="00783E0B">
        <w:t>collaborative applicants</w:t>
      </w:r>
      <w:r w:rsidR="0068413D">
        <w:t xml:space="preserve"> are </w:t>
      </w:r>
      <w:r w:rsidRPr="00D07ED0">
        <w:t xml:space="preserve">required to register their </w:t>
      </w:r>
      <w:proofErr w:type="spellStart"/>
      <w:r w:rsidRPr="00E54CCE">
        <w:t>CoC</w:t>
      </w:r>
      <w:r>
        <w:t>s</w:t>
      </w:r>
      <w:proofErr w:type="spellEnd"/>
      <w:r w:rsidRPr="00D07ED0">
        <w:t xml:space="preserve"> in the </w:t>
      </w:r>
      <w:r>
        <w:rPr>
          <w:i/>
        </w:rPr>
        <w:t xml:space="preserve">e-snaps </w:t>
      </w:r>
      <w:r w:rsidRPr="00D07ED0">
        <w:t xml:space="preserve">electronic </w:t>
      </w:r>
      <w:r>
        <w:t xml:space="preserve">grants management </w:t>
      </w:r>
      <w:r w:rsidRPr="00D07ED0">
        <w:t xml:space="preserve">system prior to the opening of the </w:t>
      </w:r>
      <w:proofErr w:type="spellStart"/>
      <w:r w:rsidRPr="00E54CCE">
        <w:t>CoC</w:t>
      </w:r>
      <w:proofErr w:type="spellEnd"/>
      <w:r w:rsidRPr="00D07ED0">
        <w:t xml:space="preserve"> Homeless Assistance competition.  The registration requirements </w:t>
      </w:r>
      <w:r>
        <w:t>include</w:t>
      </w:r>
      <w:r w:rsidRPr="00D07ED0">
        <w:t xml:space="preserve"> a basic description of </w:t>
      </w:r>
      <w:r w:rsidRPr="00E54CCE">
        <w:t xml:space="preserve">the </w:t>
      </w:r>
      <w:r w:rsidR="00F46A59">
        <w:t>Collaborative</w:t>
      </w:r>
      <w:r w:rsidR="004401C6">
        <w:t xml:space="preserve"> Applicant</w:t>
      </w:r>
      <w:r w:rsidRPr="00D07ED0">
        <w:t>, contact information, and geographic area.</w:t>
      </w:r>
      <w:r>
        <w:t xml:space="preserve">  </w:t>
      </w:r>
      <w:r w:rsidRPr="00D07ED0">
        <w:t>The information to be co</w:t>
      </w:r>
      <w:r w:rsidR="0068413D">
        <w:t>llected by HUD will be used to</w:t>
      </w:r>
      <w:r w:rsidRPr="00D07ED0">
        <w:t xml:space="preserve"> determine eligibility for </w:t>
      </w:r>
      <w:r w:rsidR="005F5A95">
        <w:t xml:space="preserve">the </w:t>
      </w:r>
      <w:proofErr w:type="spellStart"/>
      <w:r w:rsidRPr="00E54CCE">
        <w:t>CoC</w:t>
      </w:r>
      <w:proofErr w:type="spellEnd"/>
      <w:r w:rsidR="0068413D">
        <w:t xml:space="preserve"> </w:t>
      </w:r>
      <w:r w:rsidR="005F5A95">
        <w:t>Program Competition</w:t>
      </w:r>
      <w:r w:rsidR="00E02EAA">
        <w:t>.</w:t>
      </w:r>
      <w:r w:rsidR="004401C6">
        <w:t xml:space="preserve">  </w:t>
      </w:r>
      <w:r w:rsidR="00B13B27">
        <w:t>To determine the total</w:t>
      </w:r>
      <w:r w:rsidR="00B13780" w:rsidRPr="00B13780">
        <w:t xml:space="preserve"> Annual Renewal Demand (ARD) </w:t>
      </w:r>
      <w:r w:rsidR="00B13B27">
        <w:t xml:space="preserve">amount a </w:t>
      </w:r>
      <w:proofErr w:type="spellStart"/>
      <w:r w:rsidR="00B13B27">
        <w:t>CoC</w:t>
      </w:r>
      <w:proofErr w:type="spellEnd"/>
      <w:r w:rsidR="00B13B27">
        <w:t xml:space="preserve"> may request for renewal funding</w:t>
      </w:r>
      <w:r w:rsidR="005F5A95">
        <w:t xml:space="preserve"> the Collaborative Applicant</w:t>
      </w:r>
      <w:r>
        <w:t xml:space="preserve"> will list their</w:t>
      </w:r>
      <w:r w:rsidR="005F5A95">
        <w:t xml:space="preserve"> eligible renewal </w:t>
      </w:r>
      <w:r w:rsidR="003A4B56">
        <w:t>projects</w:t>
      </w:r>
      <w:r w:rsidR="003A4B56" w:rsidRPr="00D07ED0">
        <w:t xml:space="preserve"> </w:t>
      </w:r>
      <w:r>
        <w:t xml:space="preserve">on a </w:t>
      </w:r>
      <w:r w:rsidR="00885DB9">
        <w:t xml:space="preserve">Grant Inventory Worksheet (GIW) </w:t>
      </w:r>
      <w:r>
        <w:t>(see attachment)</w:t>
      </w:r>
      <w:r w:rsidR="009712AD">
        <w:t>.</w:t>
      </w:r>
      <w:r w:rsidR="00B13B27">
        <w:t xml:space="preserve"> To assist in this process, </w:t>
      </w:r>
      <w:r w:rsidR="007A3C01">
        <w:t xml:space="preserve">HUD </w:t>
      </w:r>
      <w:r w:rsidR="00B13B27">
        <w:t xml:space="preserve">provides all </w:t>
      </w:r>
      <w:proofErr w:type="spellStart"/>
      <w:r w:rsidR="00B13B27">
        <w:t>CoCs</w:t>
      </w:r>
      <w:proofErr w:type="spellEnd"/>
      <w:r w:rsidR="00B13B27">
        <w:t xml:space="preserve"> with a pre-populated GIW that includes </w:t>
      </w:r>
      <w:r w:rsidR="00D46C7D">
        <w:t xml:space="preserve">the applicant name, project name, grant number, </w:t>
      </w:r>
      <w:r w:rsidR="00E57839">
        <w:t xml:space="preserve">and </w:t>
      </w:r>
      <w:r w:rsidR="004401C6">
        <w:t xml:space="preserve">budget line </w:t>
      </w:r>
      <w:r w:rsidR="001277BA">
        <w:t>item</w:t>
      </w:r>
      <w:r w:rsidR="004401C6">
        <w:t>s</w:t>
      </w:r>
      <w:r w:rsidR="001277BA">
        <w:t xml:space="preserve"> </w:t>
      </w:r>
      <w:r w:rsidR="007148A5">
        <w:t xml:space="preserve">for projects </w:t>
      </w:r>
      <w:r w:rsidR="00081099">
        <w:t xml:space="preserve">that are eligible </w:t>
      </w:r>
      <w:r w:rsidR="00F32116">
        <w:t>for renewal funding</w:t>
      </w:r>
      <w:r w:rsidR="00081099">
        <w:t xml:space="preserve"> in the coming </w:t>
      </w:r>
      <w:r w:rsidR="004401C6">
        <w:t>competition. The</w:t>
      </w:r>
      <w:r w:rsidR="00B13B27">
        <w:t xml:space="preserve"> </w:t>
      </w:r>
      <w:r w:rsidR="004401C6">
        <w:t xml:space="preserve">Collaborative Applicant </w:t>
      </w:r>
      <w:r w:rsidR="00B13B27">
        <w:t>is</w:t>
      </w:r>
      <w:r w:rsidR="007148A5">
        <w:t xml:space="preserve"> </w:t>
      </w:r>
      <w:r w:rsidR="004401C6">
        <w:t xml:space="preserve">to </w:t>
      </w:r>
      <w:r w:rsidR="007148A5">
        <w:t xml:space="preserve">verify the information on the GIW </w:t>
      </w:r>
      <w:r w:rsidR="004401C6">
        <w:t>for</w:t>
      </w:r>
      <w:r w:rsidR="007148A5">
        <w:t xml:space="preserve"> accura</w:t>
      </w:r>
      <w:r w:rsidR="004401C6">
        <w:t xml:space="preserve">cy </w:t>
      </w:r>
      <w:r w:rsidR="007148A5">
        <w:t>and</w:t>
      </w:r>
      <w:r w:rsidR="0068413D">
        <w:t xml:space="preserve"> make</w:t>
      </w:r>
      <w:r w:rsidR="007148A5">
        <w:t xml:space="preserve"> </w:t>
      </w:r>
      <w:r w:rsidR="001277BA">
        <w:t>minimal</w:t>
      </w:r>
      <w:r w:rsidR="007148A5">
        <w:t xml:space="preserve"> </w:t>
      </w:r>
      <w:r w:rsidR="004401C6">
        <w:t>corrections</w:t>
      </w:r>
      <w:r w:rsidR="001277BA">
        <w:t xml:space="preserve"> </w:t>
      </w:r>
      <w:r w:rsidR="00B13B27">
        <w:t>as needed</w:t>
      </w:r>
      <w:r w:rsidR="00E57839">
        <w:t>.  For the majority of projects</w:t>
      </w:r>
      <w:r w:rsidR="007148A5">
        <w:t>, the</w:t>
      </w:r>
      <w:r w:rsidR="00D46C7D">
        <w:t xml:space="preserve"> pre-populated</w:t>
      </w:r>
      <w:r w:rsidR="007148A5">
        <w:t xml:space="preserve"> information </w:t>
      </w:r>
      <w:r w:rsidR="00D46C7D">
        <w:t>will be found to represent the</w:t>
      </w:r>
      <w:r w:rsidR="007148A5">
        <w:t xml:space="preserve"> current grant’s project information</w:t>
      </w:r>
      <w:r w:rsidR="00D46C7D">
        <w:t xml:space="preserve"> and remain unchanged during their review and updating</w:t>
      </w:r>
      <w:r w:rsidR="007148A5">
        <w:t>.</w:t>
      </w:r>
      <w:r w:rsidR="00B13B27">
        <w:t xml:space="preserve"> </w:t>
      </w:r>
      <w:r w:rsidR="007148A5">
        <w:t xml:space="preserve"> </w:t>
      </w:r>
    </w:p>
    <w:p w:rsidR="00B13B27" w:rsidRDefault="00B13B27" w:rsidP="00693613">
      <w:pPr>
        <w:autoSpaceDE w:val="0"/>
        <w:autoSpaceDN w:val="0"/>
        <w:adjustRightInd w:val="0"/>
      </w:pPr>
    </w:p>
    <w:p w:rsidR="002B60E2" w:rsidRDefault="007148A5" w:rsidP="00693613">
      <w:pPr>
        <w:autoSpaceDE w:val="0"/>
        <w:autoSpaceDN w:val="0"/>
        <w:adjustRightInd w:val="0"/>
      </w:pPr>
      <w:r>
        <w:t xml:space="preserve">The information from the GIW is essential for </w:t>
      </w:r>
      <w:r w:rsidR="004B0A38">
        <w:t xml:space="preserve">the </w:t>
      </w:r>
      <w:r>
        <w:t>o</w:t>
      </w:r>
      <w:r w:rsidR="002953EF">
        <w:t xml:space="preserve">peration of the </w:t>
      </w:r>
      <w:proofErr w:type="spellStart"/>
      <w:r w:rsidR="002953EF">
        <w:t>CoC</w:t>
      </w:r>
      <w:proofErr w:type="spellEnd"/>
      <w:r w:rsidR="002953EF">
        <w:t xml:space="preserve"> </w:t>
      </w:r>
      <w:r w:rsidR="004B0A38">
        <w:t xml:space="preserve">Program </w:t>
      </w:r>
      <w:r w:rsidR="002953EF">
        <w:t xml:space="preserve">competition.  </w:t>
      </w:r>
      <w:r w:rsidR="00B13B27">
        <w:t xml:space="preserve">For the </w:t>
      </w:r>
      <w:proofErr w:type="spellStart"/>
      <w:r w:rsidR="00B13B27">
        <w:t>CoC</w:t>
      </w:r>
      <w:proofErr w:type="spellEnd"/>
      <w:r w:rsidR="00B13B27">
        <w:t xml:space="preserve">, the GIW allows each </w:t>
      </w:r>
      <w:proofErr w:type="spellStart"/>
      <w:r w:rsidR="00B13B27">
        <w:t>CoC</w:t>
      </w:r>
      <w:proofErr w:type="spellEnd"/>
      <w:r w:rsidR="00B13B27">
        <w:t xml:space="preserve"> to see all </w:t>
      </w:r>
      <w:r w:rsidR="00783E0B">
        <w:t xml:space="preserve">of </w:t>
      </w:r>
      <w:r w:rsidR="00B13B27">
        <w:t>the</w:t>
      </w:r>
      <w:r w:rsidR="009B62DE">
        <w:t>ir</w:t>
      </w:r>
      <w:r w:rsidR="00B13B27">
        <w:t xml:space="preserve"> project</w:t>
      </w:r>
      <w:r w:rsidR="003508DB">
        <w:t>s</w:t>
      </w:r>
      <w:r w:rsidR="00B13B27">
        <w:t xml:space="preserve"> side-by-side that will be eligible for </w:t>
      </w:r>
      <w:r w:rsidR="009B62DE">
        <w:t>renewal</w:t>
      </w:r>
      <w:r w:rsidR="00B13B27">
        <w:t xml:space="preserve"> in the annual competition.  This then allows them to determine, in communication with HUD, the total amount of funding ARD that their </w:t>
      </w:r>
      <w:proofErr w:type="spellStart"/>
      <w:r w:rsidR="00B13B27">
        <w:t>CoC</w:t>
      </w:r>
      <w:proofErr w:type="spellEnd"/>
      <w:r w:rsidR="00B13B27">
        <w:t xml:space="preserve"> has available in a given competition year, which then allows them to make informed planning decisions about which project</w:t>
      </w:r>
      <w:r w:rsidR="00B13780">
        <w:t>s</w:t>
      </w:r>
      <w:r w:rsidR="00B13B27">
        <w:t xml:space="preserve">  they want to prioritize, reduce or eliminate in the actual </w:t>
      </w:r>
      <w:proofErr w:type="spellStart"/>
      <w:r w:rsidR="00B13B27">
        <w:t>CoC</w:t>
      </w:r>
      <w:proofErr w:type="spellEnd"/>
      <w:r w:rsidR="00B13B27">
        <w:t xml:space="preserve"> </w:t>
      </w:r>
      <w:r w:rsidR="00B13780">
        <w:t xml:space="preserve"> Program Competition. </w:t>
      </w:r>
      <w:r w:rsidR="00B13B27">
        <w:t xml:space="preserve"> In turn, </w:t>
      </w:r>
      <w:r w:rsidR="007F28A5">
        <w:t>t</w:t>
      </w:r>
      <w:r w:rsidR="002953EF">
        <w:t>he program details</w:t>
      </w:r>
      <w:r w:rsidR="007F28A5">
        <w:t xml:space="preserve"> in the GIW</w:t>
      </w:r>
      <w:r w:rsidR="002953EF">
        <w:t xml:space="preserve"> allow HUD to conduct an accurate assessment of renewal project applications</w:t>
      </w:r>
      <w:r w:rsidR="007F28A5">
        <w:t xml:space="preserve"> and to determine in the aggregate what the total renewal demand for all </w:t>
      </w:r>
      <w:proofErr w:type="spellStart"/>
      <w:r w:rsidR="007F28A5">
        <w:t>CoCs</w:t>
      </w:r>
      <w:proofErr w:type="spellEnd"/>
      <w:r w:rsidR="007F28A5">
        <w:t xml:space="preserve"> will likely be. HUD </w:t>
      </w:r>
      <w:r w:rsidR="001277BA">
        <w:t xml:space="preserve">can then </w:t>
      </w:r>
      <w:r w:rsidR="007F28A5">
        <w:t>determine how much of the annual appropriation will be available for new projects (once all the funding for renewals is covered)</w:t>
      </w:r>
      <w:r w:rsidR="0068413D">
        <w:t>,</w:t>
      </w:r>
      <w:r w:rsidR="007F28A5">
        <w:t xml:space="preserve"> or in years of budget shortages, how much </w:t>
      </w:r>
      <w:proofErr w:type="spellStart"/>
      <w:r w:rsidR="007F28A5">
        <w:t>CoCs</w:t>
      </w:r>
      <w:proofErr w:type="spellEnd"/>
      <w:r w:rsidR="007F28A5">
        <w:t xml:space="preserve"> will be advised to cut from their total funding to meet the amount of funds available.  </w:t>
      </w:r>
      <w:r w:rsidR="00081099">
        <w:t xml:space="preserve"> </w:t>
      </w:r>
    </w:p>
    <w:p w:rsidR="002953EF" w:rsidRDefault="002953EF" w:rsidP="00693613">
      <w:pPr>
        <w:autoSpaceDE w:val="0"/>
        <w:autoSpaceDN w:val="0"/>
        <w:adjustRightInd w:val="0"/>
      </w:pPr>
    </w:p>
    <w:p w:rsidR="002953EF" w:rsidRDefault="00783E0B" w:rsidP="00693613">
      <w:pPr>
        <w:autoSpaceDE w:val="0"/>
        <w:autoSpaceDN w:val="0"/>
        <w:adjustRightInd w:val="0"/>
      </w:pPr>
      <w:r>
        <w:t xml:space="preserve">Collaborative </w:t>
      </w:r>
      <w:r w:rsidR="00B13780">
        <w:t>A</w:t>
      </w:r>
      <w:r>
        <w:t>pplicants</w:t>
      </w:r>
      <w:r w:rsidR="002953EF">
        <w:t xml:space="preserve"> that have recently been part of </w:t>
      </w:r>
      <w:r w:rsidR="00081099">
        <w:t>a</w:t>
      </w:r>
      <w:r w:rsidR="002953EF">
        <w:t xml:space="preserve"> merger between two or more </w:t>
      </w:r>
      <w:proofErr w:type="spellStart"/>
      <w:r w:rsidR="002953EF">
        <w:t>CoCs</w:t>
      </w:r>
      <w:proofErr w:type="spellEnd"/>
      <w:r w:rsidR="002953EF">
        <w:t xml:space="preserve"> have the option of filling out a </w:t>
      </w:r>
      <w:proofErr w:type="spellStart"/>
      <w:r w:rsidR="002953EF">
        <w:t>CoC</w:t>
      </w:r>
      <w:proofErr w:type="spellEnd"/>
      <w:r w:rsidR="002953EF">
        <w:t xml:space="preserve"> Merger Worksheet.  The </w:t>
      </w:r>
      <w:r w:rsidR="00081099">
        <w:t>W</w:t>
      </w:r>
      <w:r w:rsidR="002953EF">
        <w:t>orksheet</w:t>
      </w:r>
      <w:r w:rsidR="002953EF" w:rsidRPr="002953EF">
        <w:t xml:space="preserve"> </w:t>
      </w:r>
      <w:r w:rsidR="002953EF">
        <w:t>i</w:t>
      </w:r>
      <w:r w:rsidR="002953EF" w:rsidRPr="002953EF">
        <w:t xml:space="preserve">s designed to help </w:t>
      </w:r>
      <w:proofErr w:type="spellStart"/>
      <w:r w:rsidR="009B62DE">
        <w:t>CoCs</w:t>
      </w:r>
      <w:proofErr w:type="spellEnd"/>
      <w:r w:rsidR="009B62DE" w:rsidRPr="002953EF">
        <w:t xml:space="preserve"> </w:t>
      </w:r>
      <w:r w:rsidR="002953EF" w:rsidRPr="002953EF">
        <w:t xml:space="preserve">understand the Final Pro-Rata Need </w:t>
      </w:r>
      <w:r w:rsidR="009B62DE">
        <w:t xml:space="preserve">amount </w:t>
      </w:r>
      <w:r w:rsidR="002953EF" w:rsidRPr="002953EF">
        <w:t xml:space="preserve">that will be available to a merged </w:t>
      </w:r>
      <w:proofErr w:type="spellStart"/>
      <w:r w:rsidR="002953EF" w:rsidRPr="002953EF">
        <w:t>CoC</w:t>
      </w:r>
      <w:proofErr w:type="spellEnd"/>
      <w:r w:rsidR="002953EF" w:rsidRPr="002953EF">
        <w:t xml:space="preserve"> </w:t>
      </w:r>
      <w:r w:rsidR="002953EF">
        <w:t>during the coming fiscal year.</w:t>
      </w:r>
      <w:r w:rsidR="002953EF" w:rsidRPr="002953EF">
        <w:t xml:space="preserve"> </w:t>
      </w:r>
      <w:r w:rsidR="002953EF">
        <w:t xml:space="preserve"> Merging </w:t>
      </w:r>
      <w:proofErr w:type="spellStart"/>
      <w:r w:rsidR="002953EF">
        <w:t>CoCs</w:t>
      </w:r>
      <w:proofErr w:type="spellEnd"/>
      <w:r w:rsidR="002953EF">
        <w:t xml:space="preserve"> may complete these calculations independently from the worksheet, however the tool is a useful aid th</w:t>
      </w:r>
      <w:r w:rsidR="00081099">
        <w:t>at</w:t>
      </w:r>
      <w:r w:rsidR="002953EF">
        <w:t xml:space="preserve"> HUD believes dramatically simplifies the process </w:t>
      </w:r>
      <w:r w:rsidR="00E02EAA">
        <w:t xml:space="preserve">for </w:t>
      </w:r>
      <w:proofErr w:type="spellStart"/>
      <w:r w:rsidR="00E02EAA">
        <w:t>CoCs</w:t>
      </w:r>
      <w:proofErr w:type="spellEnd"/>
      <w:r w:rsidR="002953EF">
        <w:t xml:space="preserve"> and reduces reporting burden.  This tool is not required by HUD and, when used, does </w:t>
      </w:r>
      <w:r w:rsidR="002953EF">
        <w:lastRenderedPageBreak/>
        <w:t>not have to be returned to HUD.</w:t>
      </w:r>
      <w:r w:rsidR="00081099">
        <w:t xml:space="preserve">  HUD estimates that a very small percentage of </w:t>
      </w:r>
      <w:proofErr w:type="spellStart"/>
      <w:r w:rsidR="00081099">
        <w:t>CoCs</w:t>
      </w:r>
      <w:proofErr w:type="spellEnd"/>
      <w:r w:rsidR="00081099">
        <w:t xml:space="preserve"> will merge in a given year</w:t>
      </w:r>
      <w:r w:rsidR="007F28A5">
        <w:t xml:space="preserve">, usually less than </w:t>
      </w:r>
      <w:r>
        <w:t xml:space="preserve">10 </w:t>
      </w:r>
      <w:proofErr w:type="spellStart"/>
      <w:r>
        <w:t>CoCs</w:t>
      </w:r>
      <w:proofErr w:type="spellEnd"/>
      <w:r w:rsidR="00081099">
        <w:t>.</w:t>
      </w:r>
    </w:p>
    <w:p w:rsidR="002B60E2" w:rsidRDefault="002B60E2" w:rsidP="00693613">
      <w:pPr>
        <w:autoSpaceDE w:val="0"/>
        <w:autoSpaceDN w:val="0"/>
        <w:adjustRightInd w:val="0"/>
      </w:pPr>
    </w:p>
    <w:p w:rsidR="009712AD" w:rsidRDefault="00081099" w:rsidP="00693613">
      <w:pPr>
        <w:autoSpaceDE w:val="0"/>
        <w:autoSpaceDN w:val="0"/>
        <w:adjustRightInd w:val="0"/>
        <w:rPr>
          <w:color w:val="000000" w:themeColor="text1"/>
        </w:rPr>
      </w:pPr>
      <w:r w:rsidRPr="00885DB9">
        <w:rPr>
          <w:color w:val="000000" w:themeColor="text1"/>
        </w:rPr>
        <w:t xml:space="preserve">The </w:t>
      </w:r>
      <w:proofErr w:type="spellStart"/>
      <w:r w:rsidR="00B13780">
        <w:rPr>
          <w:color w:val="000000" w:themeColor="text1"/>
        </w:rPr>
        <w:t>CoC</w:t>
      </w:r>
      <w:proofErr w:type="spellEnd"/>
      <w:r w:rsidR="00B13780">
        <w:rPr>
          <w:color w:val="000000" w:themeColor="text1"/>
        </w:rPr>
        <w:t xml:space="preserve"> B</w:t>
      </w:r>
      <w:r w:rsidRPr="00885DB9">
        <w:rPr>
          <w:color w:val="000000" w:themeColor="text1"/>
        </w:rPr>
        <w:t>oard requirement questions</w:t>
      </w:r>
      <w:r w:rsidR="002B60E2" w:rsidRPr="00885DB9">
        <w:rPr>
          <w:color w:val="000000" w:themeColor="text1"/>
        </w:rPr>
        <w:t xml:space="preserve"> </w:t>
      </w:r>
      <w:r w:rsidRPr="00885DB9">
        <w:rPr>
          <w:color w:val="000000" w:themeColor="text1"/>
        </w:rPr>
        <w:t xml:space="preserve">in the registration forms </w:t>
      </w:r>
      <w:r w:rsidR="002B60E2" w:rsidRPr="00885DB9">
        <w:rPr>
          <w:color w:val="000000" w:themeColor="text1"/>
        </w:rPr>
        <w:t xml:space="preserve">are an important part of the </w:t>
      </w:r>
      <w:r w:rsidRPr="00885DB9">
        <w:rPr>
          <w:color w:val="000000" w:themeColor="text1"/>
        </w:rPr>
        <w:t xml:space="preserve">registration </w:t>
      </w:r>
      <w:r w:rsidR="002B60E2" w:rsidRPr="00885DB9">
        <w:rPr>
          <w:color w:val="000000" w:themeColor="text1"/>
        </w:rPr>
        <w:t xml:space="preserve">process.  To meet the performance goals established by statute, </w:t>
      </w:r>
      <w:proofErr w:type="spellStart"/>
      <w:r w:rsidR="002B60E2" w:rsidRPr="00885DB9">
        <w:rPr>
          <w:color w:val="000000" w:themeColor="text1"/>
        </w:rPr>
        <w:t>CoCs</w:t>
      </w:r>
      <w:proofErr w:type="spellEnd"/>
      <w:r w:rsidR="009712AD">
        <w:rPr>
          <w:color w:val="000000" w:themeColor="text1"/>
        </w:rPr>
        <w:t>,</w:t>
      </w:r>
      <w:r w:rsidR="002B60E2" w:rsidRPr="00885DB9">
        <w:rPr>
          <w:color w:val="000000" w:themeColor="text1"/>
        </w:rPr>
        <w:t xml:space="preserve"> </w:t>
      </w:r>
      <w:r w:rsidR="00B13780">
        <w:rPr>
          <w:color w:val="000000" w:themeColor="text1"/>
        </w:rPr>
        <w:t>through their Collaborative Applicants</w:t>
      </w:r>
      <w:r w:rsidR="009712AD">
        <w:rPr>
          <w:color w:val="000000" w:themeColor="text1"/>
        </w:rPr>
        <w:t>,</w:t>
      </w:r>
      <w:r w:rsidR="00B13780">
        <w:rPr>
          <w:color w:val="000000" w:themeColor="text1"/>
        </w:rPr>
        <w:t xml:space="preserve"> </w:t>
      </w:r>
      <w:r w:rsidR="002B60E2" w:rsidRPr="00885DB9">
        <w:rPr>
          <w:color w:val="000000" w:themeColor="text1"/>
        </w:rPr>
        <w:t xml:space="preserve">will need to significantly increase their capacity for strategy, planning, monitoring, and evaluation.  In addition, the HEARTH Act and </w:t>
      </w:r>
      <w:r w:rsidR="001277BA">
        <w:rPr>
          <w:color w:val="000000" w:themeColor="text1"/>
        </w:rPr>
        <w:t xml:space="preserve">24 CFR </w:t>
      </w:r>
      <w:r w:rsidR="00B13780">
        <w:rPr>
          <w:color w:val="000000" w:themeColor="text1"/>
        </w:rPr>
        <w:t>p</w:t>
      </w:r>
      <w:r w:rsidR="001277BA">
        <w:rPr>
          <w:color w:val="000000" w:themeColor="text1"/>
        </w:rPr>
        <w:t xml:space="preserve">art 578 </w:t>
      </w:r>
      <w:r w:rsidR="002B60E2" w:rsidRPr="00885DB9">
        <w:rPr>
          <w:color w:val="000000" w:themeColor="text1"/>
        </w:rPr>
        <w:t>allow</w:t>
      </w:r>
      <w:r w:rsidR="00B13780">
        <w:rPr>
          <w:color w:val="000000" w:themeColor="text1"/>
        </w:rPr>
        <w:t>s</w:t>
      </w:r>
      <w:r w:rsidR="002B60E2" w:rsidRPr="00885DB9">
        <w:rPr>
          <w:color w:val="000000" w:themeColor="text1"/>
        </w:rPr>
        <w:t xml:space="preserve"> for the development of United Funding Agencies (UFAs), a significant change to the structure of the </w:t>
      </w:r>
      <w:proofErr w:type="spellStart"/>
      <w:r w:rsidR="002B60E2" w:rsidRPr="00885DB9">
        <w:rPr>
          <w:color w:val="000000" w:themeColor="text1"/>
        </w:rPr>
        <w:t>CoC</w:t>
      </w:r>
      <w:proofErr w:type="spellEnd"/>
      <w:r w:rsidR="002B60E2" w:rsidRPr="00885DB9">
        <w:rPr>
          <w:color w:val="000000" w:themeColor="text1"/>
        </w:rPr>
        <w:t xml:space="preserve"> and the relationship between HUD and </w:t>
      </w:r>
      <w:r w:rsidR="00B13780">
        <w:rPr>
          <w:color w:val="000000" w:themeColor="text1"/>
        </w:rPr>
        <w:t>recipients</w:t>
      </w:r>
      <w:r w:rsidR="002B60E2" w:rsidRPr="00885DB9">
        <w:rPr>
          <w:color w:val="000000" w:themeColor="text1"/>
        </w:rPr>
        <w:t>. </w:t>
      </w:r>
      <w:r w:rsidR="00AC487D">
        <w:rPr>
          <w:color w:val="000000" w:themeColor="text1"/>
        </w:rPr>
        <w:t xml:space="preserve"> For the </w:t>
      </w:r>
      <w:r w:rsidR="00B13780">
        <w:rPr>
          <w:color w:val="000000" w:themeColor="text1"/>
        </w:rPr>
        <w:t xml:space="preserve">Collaborative Applicants </w:t>
      </w:r>
      <w:r w:rsidR="00AC487D">
        <w:rPr>
          <w:color w:val="000000" w:themeColor="text1"/>
        </w:rPr>
        <w:t xml:space="preserve">that seek UFA </w:t>
      </w:r>
      <w:r w:rsidR="00BA01A1">
        <w:rPr>
          <w:color w:val="000000" w:themeColor="text1"/>
        </w:rPr>
        <w:t>designation,</w:t>
      </w:r>
      <w:r w:rsidR="00AC487D">
        <w:rPr>
          <w:color w:val="000000" w:themeColor="text1"/>
        </w:rPr>
        <w:t xml:space="preserve"> they </w:t>
      </w:r>
      <w:r w:rsidR="001277BA">
        <w:rPr>
          <w:color w:val="000000" w:themeColor="text1"/>
        </w:rPr>
        <w:t xml:space="preserve">must demonstrate that they have the </w:t>
      </w:r>
      <w:r w:rsidR="003D213C">
        <w:rPr>
          <w:color w:val="000000" w:themeColor="text1"/>
        </w:rPr>
        <w:t xml:space="preserve">operational </w:t>
      </w:r>
      <w:r w:rsidR="00E02EAA">
        <w:rPr>
          <w:color w:val="000000" w:themeColor="text1"/>
        </w:rPr>
        <w:t>capacity, a</w:t>
      </w:r>
      <w:r w:rsidR="001277BA">
        <w:rPr>
          <w:color w:val="000000" w:themeColor="text1"/>
        </w:rPr>
        <w:t xml:space="preserve"> </w:t>
      </w:r>
      <w:r w:rsidR="001277BA" w:rsidRPr="00885DB9">
        <w:rPr>
          <w:color w:val="000000" w:themeColor="text1"/>
        </w:rPr>
        <w:t xml:space="preserve">high functioning </w:t>
      </w:r>
      <w:proofErr w:type="spellStart"/>
      <w:r w:rsidR="001277BA" w:rsidRPr="00885DB9">
        <w:rPr>
          <w:color w:val="000000" w:themeColor="text1"/>
        </w:rPr>
        <w:t>CoC</w:t>
      </w:r>
      <w:proofErr w:type="spellEnd"/>
      <w:r w:rsidR="001277BA" w:rsidRPr="00885DB9">
        <w:rPr>
          <w:color w:val="000000" w:themeColor="text1"/>
        </w:rPr>
        <w:t xml:space="preserve"> </w:t>
      </w:r>
      <w:r w:rsidR="001277BA">
        <w:rPr>
          <w:color w:val="000000" w:themeColor="text1"/>
        </w:rPr>
        <w:t>B</w:t>
      </w:r>
      <w:r w:rsidR="001277BA" w:rsidRPr="00885DB9">
        <w:rPr>
          <w:color w:val="000000" w:themeColor="text1"/>
        </w:rPr>
        <w:t>oard</w:t>
      </w:r>
      <w:r w:rsidR="00B13780">
        <w:rPr>
          <w:color w:val="000000" w:themeColor="text1"/>
        </w:rPr>
        <w:t xml:space="preserve"> and the </w:t>
      </w:r>
      <w:r w:rsidR="00E02EAA">
        <w:rPr>
          <w:color w:val="000000" w:themeColor="text1"/>
        </w:rPr>
        <w:t>necessary</w:t>
      </w:r>
      <w:r w:rsidR="00B13780">
        <w:rPr>
          <w:color w:val="000000" w:themeColor="text1"/>
        </w:rPr>
        <w:t xml:space="preserve"> fiscal policies and procedures</w:t>
      </w:r>
      <w:r w:rsidR="001277BA" w:rsidRPr="00885DB9" w:rsidDel="0024505F">
        <w:rPr>
          <w:color w:val="000000" w:themeColor="text1"/>
        </w:rPr>
        <w:t xml:space="preserve"> </w:t>
      </w:r>
      <w:r w:rsidR="0024505F">
        <w:rPr>
          <w:color w:val="000000" w:themeColor="text1"/>
        </w:rPr>
        <w:t>in order to qualify</w:t>
      </w:r>
      <w:r w:rsidR="002B60E2" w:rsidRPr="00885DB9">
        <w:rPr>
          <w:color w:val="000000" w:themeColor="text1"/>
        </w:rPr>
        <w:t xml:space="preserve">.  </w:t>
      </w:r>
      <w:r w:rsidR="00480594">
        <w:rPr>
          <w:color w:val="000000" w:themeColor="text1"/>
        </w:rPr>
        <w:t xml:space="preserve">With </w:t>
      </w:r>
      <w:r w:rsidR="002B60E2" w:rsidRPr="00885DB9">
        <w:rPr>
          <w:color w:val="000000" w:themeColor="text1"/>
        </w:rPr>
        <w:t>UFA established by statu</w:t>
      </w:r>
      <w:r w:rsidR="00885DB9">
        <w:rPr>
          <w:color w:val="000000" w:themeColor="text1"/>
        </w:rPr>
        <w:t>t</w:t>
      </w:r>
      <w:r w:rsidR="002B60E2" w:rsidRPr="00885DB9">
        <w:rPr>
          <w:color w:val="000000" w:themeColor="text1"/>
        </w:rPr>
        <w:t xml:space="preserve">e and regulation, </w:t>
      </w:r>
      <w:r w:rsidRPr="00885DB9">
        <w:rPr>
          <w:color w:val="000000" w:themeColor="text1"/>
        </w:rPr>
        <w:t>HUD</w:t>
      </w:r>
      <w:r w:rsidR="002B60E2" w:rsidRPr="00885DB9">
        <w:rPr>
          <w:color w:val="000000" w:themeColor="text1"/>
        </w:rPr>
        <w:t xml:space="preserve"> needs as much information as possible regarding the baseline operational readiness of</w:t>
      </w:r>
      <w:r w:rsidR="00D769F7">
        <w:rPr>
          <w:color w:val="000000" w:themeColor="text1"/>
        </w:rPr>
        <w:t xml:space="preserve"> Collaborative Applicants</w:t>
      </w:r>
      <w:r w:rsidR="00E57839">
        <w:rPr>
          <w:color w:val="000000" w:themeColor="text1"/>
        </w:rPr>
        <w:t>.</w:t>
      </w:r>
      <w:r w:rsidR="0024505F">
        <w:rPr>
          <w:color w:val="000000" w:themeColor="text1"/>
        </w:rPr>
        <w:t xml:space="preserve"> </w:t>
      </w:r>
      <w:r w:rsidR="00E57839">
        <w:rPr>
          <w:color w:val="000000" w:themeColor="text1"/>
        </w:rPr>
        <w:t xml:space="preserve"> </w:t>
      </w:r>
      <w:r w:rsidR="0024505F">
        <w:rPr>
          <w:color w:val="000000" w:themeColor="text1"/>
        </w:rPr>
        <w:t>As recently as the FY</w:t>
      </w:r>
      <w:r w:rsidR="00D769F7">
        <w:rPr>
          <w:color w:val="000000" w:themeColor="text1"/>
        </w:rPr>
        <w:t xml:space="preserve"> </w:t>
      </w:r>
      <w:r w:rsidR="0024505F">
        <w:rPr>
          <w:color w:val="000000" w:themeColor="text1"/>
        </w:rPr>
        <w:t>201</w:t>
      </w:r>
      <w:r w:rsidR="00D769F7">
        <w:rPr>
          <w:color w:val="000000" w:themeColor="text1"/>
        </w:rPr>
        <w:t>4</w:t>
      </w:r>
      <w:r w:rsidR="0024505F">
        <w:rPr>
          <w:color w:val="000000" w:themeColor="text1"/>
        </w:rPr>
        <w:t xml:space="preserve"> competiti</w:t>
      </w:r>
      <w:r w:rsidR="00783E0B">
        <w:rPr>
          <w:color w:val="000000" w:themeColor="text1"/>
        </w:rPr>
        <w:t>on, 1</w:t>
      </w:r>
      <w:r w:rsidR="00D769F7">
        <w:rPr>
          <w:color w:val="000000" w:themeColor="text1"/>
        </w:rPr>
        <w:t>5</w:t>
      </w:r>
      <w:r w:rsidR="00783E0B">
        <w:rPr>
          <w:color w:val="000000" w:themeColor="text1"/>
        </w:rPr>
        <w:t xml:space="preserve"> </w:t>
      </w:r>
      <w:proofErr w:type="spellStart"/>
      <w:r w:rsidR="00783E0B">
        <w:rPr>
          <w:color w:val="000000" w:themeColor="text1"/>
        </w:rPr>
        <w:t>CoCs</w:t>
      </w:r>
      <w:proofErr w:type="spellEnd"/>
      <w:r w:rsidR="00783E0B">
        <w:rPr>
          <w:color w:val="000000" w:themeColor="text1"/>
        </w:rPr>
        <w:t xml:space="preserve"> applied for UFA </w:t>
      </w:r>
      <w:r w:rsidR="00BA01A1">
        <w:rPr>
          <w:color w:val="000000" w:themeColor="text1"/>
        </w:rPr>
        <w:t>designation</w:t>
      </w:r>
      <w:r w:rsidR="00D769F7">
        <w:rPr>
          <w:color w:val="000000" w:themeColor="text1"/>
        </w:rPr>
        <w:t xml:space="preserve"> </w:t>
      </w:r>
      <w:r w:rsidR="00F46A59">
        <w:rPr>
          <w:color w:val="000000" w:themeColor="text1"/>
        </w:rPr>
        <w:t>and only</w:t>
      </w:r>
      <w:r w:rsidR="00D769F7">
        <w:rPr>
          <w:color w:val="000000" w:themeColor="text1"/>
        </w:rPr>
        <w:t xml:space="preserve"> two met the </w:t>
      </w:r>
      <w:r w:rsidR="00F46A59">
        <w:rPr>
          <w:color w:val="000000" w:themeColor="text1"/>
        </w:rPr>
        <w:t>requirements</w:t>
      </w:r>
      <w:r w:rsidR="00D769F7">
        <w:rPr>
          <w:color w:val="000000" w:themeColor="text1"/>
        </w:rPr>
        <w:t xml:space="preserve"> </w:t>
      </w:r>
      <w:r w:rsidR="00F46A59">
        <w:rPr>
          <w:color w:val="000000" w:themeColor="text1"/>
        </w:rPr>
        <w:t>for UFA designation</w:t>
      </w:r>
      <w:r w:rsidR="00D769F7">
        <w:rPr>
          <w:color w:val="000000" w:themeColor="text1"/>
        </w:rPr>
        <w:t xml:space="preserve">.  </w:t>
      </w:r>
    </w:p>
    <w:p w:rsidR="002B60E2" w:rsidRDefault="002B60E2" w:rsidP="00693613">
      <w:pPr>
        <w:autoSpaceDE w:val="0"/>
        <w:autoSpaceDN w:val="0"/>
        <w:adjustRightInd w:val="0"/>
      </w:pPr>
    </w:p>
    <w:p w:rsidR="00693613" w:rsidRDefault="00693613" w:rsidP="00693613">
      <w:pPr>
        <w:pStyle w:val="AbtHeadB"/>
      </w:pPr>
      <w:bookmarkStart w:id="30" w:name="_Toc224972102"/>
      <w:bookmarkStart w:id="31" w:name="_Toc233444279"/>
      <w:bookmarkStart w:id="32" w:name="_Toc311186216"/>
      <w:r>
        <w:t>A3</w:t>
      </w:r>
      <w:r>
        <w:tab/>
        <w:t>Improved Information Technologies</w:t>
      </w:r>
      <w:bookmarkEnd w:id="30"/>
      <w:bookmarkEnd w:id="31"/>
      <w:bookmarkEnd w:id="32"/>
    </w:p>
    <w:p w:rsidR="00693613" w:rsidRDefault="00693613" w:rsidP="00693613">
      <w:pPr>
        <w:keepLines/>
        <w:tabs>
          <w:tab w:val="left" w:pos="-110"/>
        </w:tabs>
        <w:spacing w:after="80"/>
        <w:ind w:hanging="30"/>
        <w:rPr>
          <w:rFonts w:ascii="Arial" w:hAnsi="Arial"/>
          <w:i/>
          <w:spacing w:val="-4"/>
        </w:rPr>
      </w:pPr>
      <w:r>
        <w:rPr>
          <w:rFonts w:ascii="Arial" w:hAnsi="Arial"/>
          <w:i/>
          <w:spacing w:val="-4"/>
        </w:rPr>
        <w:t>Describe whether, and to what extent, the collection of information is automated (item 13b1 of OMB form 83-i).  If it is not automated, explain why not.  Also describe any other efforts to reduce burden.</w:t>
      </w:r>
    </w:p>
    <w:p w:rsidR="00693613" w:rsidRDefault="00693613" w:rsidP="00693613">
      <w:pPr>
        <w:pStyle w:val="NormalWeb"/>
      </w:pPr>
      <w:r w:rsidRPr="00D07ED0">
        <w:t xml:space="preserve">This collection of information </w:t>
      </w:r>
      <w:r w:rsidR="00965696">
        <w:t>is</w:t>
      </w:r>
      <w:r w:rsidRPr="00D07ED0">
        <w:t xml:space="preserve"> electronic </w:t>
      </w:r>
      <w:r w:rsidR="00965696">
        <w:t>via</w:t>
      </w:r>
      <w:r>
        <w:t xml:space="preserve"> </w:t>
      </w:r>
      <w:r>
        <w:rPr>
          <w:i/>
        </w:rPr>
        <w:t>e-</w:t>
      </w:r>
      <w:r w:rsidRPr="00CA72EC">
        <w:rPr>
          <w:i/>
        </w:rPr>
        <w:t>snaps</w:t>
      </w:r>
      <w:r>
        <w:t xml:space="preserve">, </w:t>
      </w:r>
      <w:r w:rsidRPr="00CA72EC">
        <w:t>an</w:t>
      </w:r>
      <w:r w:rsidRPr="00D07ED0">
        <w:t xml:space="preserve"> </w:t>
      </w:r>
      <w:r>
        <w:t xml:space="preserve">existing </w:t>
      </w:r>
      <w:r w:rsidRPr="00D07ED0">
        <w:t xml:space="preserve">electronic </w:t>
      </w:r>
      <w:r>
        <w:t>grants management</w:t>
      </w:r>
      <w:r w:rsidRPr="00D07ED0">
        <w:t xml:space="preserve"> </w:t>
      </w:r>
      <w:r>
        <w:t xml:space="preserve">system </w:t>
      </w:r>
      <w:r w:rsidRPr="00D07ED0">
        <w:t>for the</w:t>
      </w:r>
      <w:r>
        <w:t xml:space="preserve"> current</w:t>
      </w:r>
      <w:r w:rsidRPr="00D07ED0">
        <w:t xml:space="preserve"> </w:t>
      </w:r>
      <w:proofErr w:type="spellStart"/>
      <w:r w:rsidRPr="00E54CCE">
        <w:t>CoC</w:t>
      </w:r>
      <w:proofErr w:type="spellEnd"/>
      <w:r w:rsidRPr="00D07ED0">
        <w:t xml:space="preserve"> Homeless Assistance Application</w:t>
      </w:r>
      <w:r w:rsidR="00B81D32">
        <w:t>.  E-snaps</w:t>
      </w:r>
      <w:r>
        <w:t xml:space="preserve"> </w:t>
      </w:r>
      <w:proofErr w:type="gramStart"/>
      <w:r>
        <w:t>streamline</w:t>
      </w:r>
      <w:r w:rsidR="00B81D32">
        <w:t>s</w:t>
      </w:r>
      <w:proofErr w:type="gramEnd"/>
      <w:r>
        <w:t xml:space="preserve"> the </w:t>
      </w:r>
      <w:r w:rsidRPr="00D07ED0">
        <w:t>application process and lessen</w:t>
      </w:r>
      <w:r w:rsidR="007F28A5">
        <w:t>s</w:t>
      </w:r>
      <w:r w:rsidRPr="00D07ED0">
        <w:t xml:space="preserve"> </w:t>
      </w:r>
      <w:r w:rsidR="007F28A5">
        <w:t xml:space="preserve">the </w:t>
      </w:r>
      <w:r w:rsidRPr="00D07ED0">
        <w:t>reporting burden on applicants.  Potential applicants are able to log into a database driven website and type the required information.  If the potential applicant is a returning entity from the previous year’s application process, the applicant will be able to retrieve the information collected from the previous year’s competition and update information as needed</w:t>
      </w:r>
      <w:r>
        <w:t xml:space="preserve">. </w:t>
      </w:r>
      <w:r w:rsidR="00480594">
        <w:t xml:space="preserve">The GIW is an Excel file, and when it is completed and approved it is uploaded into the </w:t>
      </w:r>
      <w:r w:rsidR="00480594" w:rsidRPr="00480594">
        <w:rPr>
          <w:i/>
        </w:rPr>
        <w:t>e-snaps</w:t>
      </w:r>
      <w:r w:rsidR="00480594">
        <w:t xml:space="preserve"> system by the </w:t>
      </w:r>
      <w:proofErr w:type="spellStart"/>
      <w:r w:rsidR="00480594">
        <w:t>CoC</w:t>
      </w:r>
      <w:proofErr w:type="spellEnd"/>
      <w:r w:rsidR="00480594">
        <w:t xml:space="preserve">. </w:t>
      </w:r>
    </w:p>
    <w:p w:rsidR="00693613" w:rsidRDefault="00693613" w:rsidP="00693613">
      <w:pPr>
        <w:pStyle w:val="AbtHeadB"/>
      </w:pPr>
      <w:bookmarkStart w:id="33" w:name="_Toc224972104"/>
      <w:bookmarkStart w:id="34" w:name="_Toc233444280"/>
      <w:bookmarkStart w:id="35" w:name="_Toc311186217"/>
      <w:r>
        <w:t>A4</w:t>
      </w:r>
      <w:r>
        <w:tab/>
        <w:t>Duplication of Similar Information</w:t>
      </w:r>
      <w:bookmarkEnd w:id="33"/>
      <w:bookmarkEnd w:id="34"/>
      <w:bookmarkEnd w:id="35"/>
    </w:p>
    <w:p w:rsidR="00693613" w:rsidRDefault="00693613" w:rsidP="00693613">
      <w:pPr>
        <w:keepLines/>
        <w:tabs>
          <w:tab w:val="left" w:pos="0"/>
        </w:tabs>
        <w:rPr>
          <w:rFonts w:ascii="Arial" w:hAnsi="Arial"/>
          <w:i/>
          <w:color w:val="000000"/>
        </w:rPr>
      </w:pPr>
      <w:r>
        <w:rPr>
          <w:rFonts w:ascii="Arial" w:hAnsi="Arial"/>
          <w:i/>
          <w:color w:val="000000"/>
        </w:rPr>
        <w:t>Is this information collected elsewhere?  If so, why cannot any similar information already available be used or modified?</w:t>
      </w:r>
    </w:p>
    <w:p w:rsidR="00693613" w:rsidRDefault="00693613" w:rsidP="00693613">
      <w:pPr>
        <w:keepLines/>
        <w:tabs>
          <w:tab w:val="left" w:pos="0"/>
        </w:tabs>
        <w:rPr>
          <w:rFonts w:ascii="Arial" w:hAnsi="Arial"/>
          <w:i/>
          <w:color w:val="000000"/>
        </w:rPr>
      </w:pPr>
    </w:p>
    <w:p w:rsidR="00693613" w:rsidRDefault="00693613" w:rsidP="00693613">
      <w:r>
        <w:t xml:space="preserve">To avoid duplication of information, the application has been streamlined, with each data element collected only once, stored in a database, and placed in all appropriate sections of the application.  Applicable information entered during </w:t>
      </w:r>
      <w:proofErr w:type="spellStart"/>
      <w:r w:rsidRPr="00E54CCE">
        <w:t>CoC</w:t>
      </w:r>
      <w:proofErr w:type="spellEnd"/>
      <w:r>
        <w:t xml:space="preserve"> Registration will be imported to the currently approved </w:t>
      </w:r>
      <w:proofErr w:type="spellStart"/>
      <w:r w:rsidRPr="00E54CCE">
        <w:t>CoC</w:t>
      </w:r>
      <w:proofErr w:type="spellEnd"/>
      <w:r>
        <w:t xml:space="preserve"> Homeless Assistance</w:t>
      </w:r>
      <w:r w:rsidR="007D240B">
        <w:t xml:space="preserve"> Consolidated</w:t>
      </w:r>
      <w:r>
        <w:t xml:space="preserve"> application</w:t>
      </w:r>
      <w:r w:rsidR="007D240B">
        <w:t xml:space="preserve"> (OMB 2506-0112)</w:t>
      </w:r>
      <w:r>
        <w:t xml:space="preserve">.  For </w:t>
      </w:r>
      <w:proofErr w:type="spellStart"/>
      <w:r w:rsidRPr="00E54CCE">
        <w:t>CoC</w:t>
      </w:r>
      <w:r>
        <w:t>s</w:t>
      </w:r>
      <w:proofErr w:type="spellEnd"/>
      <w:r>
        <w:t xml:space="preserve"> that applied in the previous year’s competition, information that remains the same from competition to competition will be stored in the database and may be utilized by applicants in the next year’s competition.  </w:t>
      </w:r>
    </w:p>
    <w:p w:rsidR="00693613" w:rsidRDefault="00693613" w:rsidP="00693613"/>
    <w:p w:rsidR="00693613" w:rsidRDefault="00693613" w:rsidP="00693613">
      <w:r>
        <w:lastRenderedPageBreak/>
        <w:t xml:space="preserve">The </w:t>
      </w:r>
      <w:proofErr w:type="spellStart"/>
      <w:r>
        <w:t>CoC</w:t>
      </w:r>
      <w:proofErr w:type="spellEnd"/>
      <w:r>
        <w:t xml:space="preserve"> model is </w:t>
      </w:r>
      <w:r w:rsidR="00BA01A1">
        <w:t xml:space="preserve">applicable </w:t>
      </w:r>
      <w:r>
        <w:t>only</w:t>
      </w:r>
      <w:r w:rsidR="00BA01A1">
        <w:t xml:space="preserve"> to the</w:t>
      </w:r>
      <w:r>
        <w:t xml:space="preserve"> </w:t>
      </w:r>
      <w:proofErr w:type="spellStart"/>
      <w:r>
        <w:t>CoC</w:t>
      </w:r>
      <w:proofErr w:type="spellEnd"/>
      <w:r>
        <w:t xml:space="preserve"> </w:t>
      </w:r>
      <w:r w:rsidR="00BA01A1">
        <w:t xml:space="preserve">Program </w:t>
      </w:r>
      <w:r>
        <w:t xml:space="preserve">so information from other HUD programs is not relevant to the data collected during </w:t>
      </w:r>
      <w:proofErr w:type="spellStart"/>
      <w:r>
        <w:t>CoC</w:t>
      </w:r>
      <w:proofErr w:type="spellEnd"/>
      <w:r>
        <w:t xml:space="preserve"> Registration.  However, the electronic registration process is designed to lessen reporting burden on applicants by preventing duplication within </w:t>
      </w:r>
      <w:proofErr w:type="spellStart"/>
      <w:r w:rsidR="00BA01A1">
        <w:t>CoC</w:t>
      </w:r>
      <w:proofErr w:type="spellEnd"/>
      <w:r w:rsidR="00BA01A1">
        <w:t xml:space="preserve"> Program</w:t>
      </w:r>
      <w:r>
        <w:t xml:space="preserve"> application and reporting tools.</w:t>
      </w:r>
    </w:p>
    <w:p w:rsidR="00693613" w:rsidRDefault="00693613" w:rsidP="00693613"/>
    <w:p w:rsidR="00693613" w:rsidRDefault="00693613" w:rsidP="00693613">
      <w:r>
        <w:t xml:space="preserve"> </w:t>
      </w:r>
    </w:p>
    <w:p w:rsidR="00693613" w:rsidRDefault="00693613" w:rsidP="00693613">
      <w:pPr>
        <w:pStyle w:val="AbtHeadB"/>
      </w:pPr>
      <w:bookmarkStart w:id="36" w:name="_Toc224972105"/>
      <w:bookmarkStart w:id="37" w:name="_Toc233444281"/>
      <w:bookmarkStart w:id="38" w:name="_Toc311186218"/>
      <w:r>
        <w:t>A5</w:t>
      </w:r>
      <w:r>
        <w:tab/>
        <w:t>Small Businesses</w:t>
      </w:r>
      <w:bookmarkEnd w:id="36"/>
      <w:bookmarkEnd w:id="37"/>
      <w:bookmarkEnd w:id="38"/>
    </w:p>
    <w:p w:rsidR="00693613" w:rsidRDefault="00693613" w:rsidP="00693613">
      <w:pPr>
        <w:keepLines/>
        <w:tabs>
          <w:tab w:val="left" w:pos="0"/>
        </w:tabs>
        <w:spacing w:after="80"/>
        <w:rPr>
          <w:rFonts w:ascii="Arial" w:hAnsi="Arial"/>
          <w:i/>
          <w:color w:val="000000"/>
        </w:rPr>
      </w:pPr>
      <w:r>
        <w:rPr>
          <w:rFonts w:ascii="Arial" w:hAnsi="Arial"/>
          <w:i/>
          <w:color w:val="000000"/>
        </w:rPr>
        <w:t>Does the collection of information impact small businesses or other small entities (item 5 of OMB form 83-i)?  Describe any methods used to minimize burden.</w:t>
      </w:r>
    </w:p>
    <w:p w:rsidR="00693613" w:rsidRDefault="00693613" w:rsidP="00693613">
      <w:pPr>
        <w:spacing w:after="240"/>
      </w:pPr>
      <w:r w:rsidRPr="00D07ED0">
        <w:t xml:space="preserve">The wide-range of applicants for </w:t>
      </w:r>
      <w:proofErr w:type="spellStart"/>
      <w:r w:rsidRPr="00E54CCE">
        <w:t>CoC</w:t>
      </w:r>
      <w:proofErr w:type="spellEnd"/>
      <w:r w:rsidRPr="00D07ED0">
        <w:t xml:space="preserve"> </w:t>
      </w:r>
      <w:r w:rsidR="00BA01A1">
        <w:t>Program competition</w:t>
      </w:r>
      <w:r w:rsidRPr="00D07ED0">
        <w:t xml:space="preserve"> (including states, local governments, private nonprofit organizations, and community mental health associations that are public nonprofit organizations) and the need to consider all applications on an equal basis make</w:t>
      </w:r>
      <w:r>
        <w:t>s</w:t>
      </w:r>
      <w:r w:rsidRPr="00D07ED0">
        <w:t xml:space="preserve"> it difficult to give special consideration to the burden placed on small entities by the collection of information.  Instead, efforts </w:t>
      </w:r>
      <w:r w:rsidR="00540118">
        <w:t>are</w:t>
      </w:r>
      <w:r w:rsidRPr="00D07ED0">
        <w:t xml:space="preserve"> made to minimize the burden placed on all applicants, while at the same time ensuring that sufficient information will be provided to allow HUD to determine and select the best proposals</w:t>
      </w:r>
      <w:bookmarkStart w:id="39" w:name="_Toc224972106"/>
      <w:bookmarkStart w:id="40" w:name="_Toc233444282"/>
      <w:r>
        <w:t>.</w:t>
      </w:r>
    </w:p>
    <w:p w:rsidR="00E57839" w:rsidRPr="00553BCC" w:rsidRDefault="00E57839" w:rsidP="00693613">
      <w:pPr>
        <w:spacing w:after="240"/>
      </w:pPr>
    </w:p>
    <w:p w:rsidR="00693613" w:rsidRDefault="00693613" w:rsidP="00693613">
      <w:pPr>
        <w:pStyle w:val="AbtHeadB"/>
      </w:pPr>
      <w:bookmarkStart w:id="41" w:name="_Toc311186219"/>
      <w:r>
        <w:t>A6</w:t>
      </w:r>
      <w:r>
        <w:tab/>
      </w:r>
      <w:proofErr w:type="gramStart"/>
      <w:r>
        <w:t>Less</w:t>
      </w:r>
      <w:proofErr w:type="gramEnd"/>
      <w:r>
        <w:t xml:space="preserve"> Frequent Data Collection</w:t>
      </w:r>
      <w:bookmarkEnd w:id="39"/>
      <w:bookmarkEnd w:id="40"/>
      <w:bookmarkEnd w:id="41"/>
    </w:p>
    <w:p w:rsidR="00693613" w:rsidRDefault="00693613" w:rsidP="00693613">
      <w:pPr>
        <w:keepLines/>
        <w:tabs>
          <w:tab w:val="left" w:pos="0"/>
        </w:tabs>
        <w:spacing w:after="240"/>
        <w:rPr>
          <w:rFonts w:ascii="Arial" w:hAnsi="Arial"/>
          <w:i/>
          <w:color w:val="000000"/>
        </w:rPr>
      </w:pPr>
      <w:r>
        <w:rPr>
          <w:rFonts w:ascii="Arial" w:hAnsi="Arial"/>
          <w:i/>
          <w:color w:val="000000"/>
        </w:rPr>
        <w:t>Describe the consequence to Federal program or policy activities if the collection is not conducted or is conducted less frequently, as well as any technical or legal obstacles to reducing burden.</w:t>
      </w:r>
    </w:p>
    <w:p w:rsidR="00693613" w:rsidRDefault="00693613" w:rsidP="00693613">
      <w:pPr>
        <w:rPr>
          <w:spacing w:val="-2"/>
        </w:rPr>
      </w:pPr>
      <w:r w:rsidRPr="00B27735">
        <w:rPr>
          <w:spacing w:val="-2"/>
        </w:rPr>
        <w:t>All information collected is used to carefully</w:t>
      </w:r>
      <w:r>
        <w:rPr>
          <w:spacing w:val="-2"/>
        </w:rPr>
        <w:t xml:space="preserve"> </w:t>
      </w:r>
      <w:r w:rsidRPr="00B27735">
        <w:rPr>
          <w:spacing w:val="-2"/>
        </w:rPr>
        <w:t xml:space="preserve">consider applications for funding.  If HUD collects less information, or collects less frequently, the Department </w:t>
      </w:r>
      <w:r>
        <w:rPr>
          <w:spacing w:val="-2"/>
        </w:rPr>
        <w:t>will not be able to</w:t>
      </w:r>
      <w:r w:rsidRPr="00B27735">
        <w:rPr>
          <w:spacing w:val="-2"/>
        </w:rPr>
        <w:t xml:space="preserve"> determine the eligibility of applicants for grant funds and applicants will not be eligible to receive funding for the fiscal year</w:t>
      </w:r>
      <w:r>
        <w:rPr>
          <w:spacing w:val="-2"/>
        </w:rPr>
        <w:t>.</w:t>
      </w:r>
    </w:p>
    <w:p w:rsidR="00693613" w:rsidRDefault="00693613" w:rsidP="00693613">
      <w:pPr>
        <w:pStyle w:val="AbtHeadB"/>
        <w:spacing w:after="0"/>
      </w:pPr>
      <w:bookmarkStart w:id="42" w:name="_Toc224972107"/>
      <w:bookmarkStart w:id="43" w:name="_Toc233444283"/>
    </w:p>
    <w:p w:rsidR="00E57839" w:rsidRPr="00E57839" w:rsidRDefault="00E57839" w:rsidP="00E57839">
      <w:pPr>
        <w:pStyle w:val="BodyText"/>
      </w:pPr>
    </w:p>
    <w:p w:rsidR="00693613" w:rsidRPr="000E1981" w:rsidRDefault="00693613" w:rsidP="00693613">
      <w:pPr>
        <w:pStyle w:val="AbtHeadB"/>
      </w:pPr>
      <w:bookmarkStart w:id="44" w:name="_Toc311186220"/>
      <w:r>
        <w:t>A7</w:t>
      </w:r>
      <w:r>
        <w:tab/>
        <w:t>Special Circumstances</w:t>
      </w:r>
      <w:bookmarkEnd w:id="42"/>
      <w:bookmarkEnd w:id="43"/>
      <w:bookmarkEnd w:id="44"/>
    </w:p>
    <w:p w:rsidR="00693613" w:rsidRPr="000C48CF" w:rsidRDefault="00693613" w:rsidP="00693613">
      <w:pPr>
        <w:rPr>
          <w:rFonts w:ascii="Arial" w:hAnsi="Arial" w:cs="Arial"/>
          <w:i/>
        </w:rPr>
      </w:pPr>
      <w:r w:rsidRPr="000C48CF">
        <w:rPr>
          <w:rFonts w:ascii="Arial" w:hAnsi="Arial" w:cs="Arial"/>
          <w:i/>
        </w:rPr>
        <w:t>Explain any special circumstances that would cause an information collection to be conducted in a manner that would impose additional workload burden on recipients (see eight items listed in OMB guidance).</w:t>
      </w:r>
    </w:p>
    <w:p w:rsidR="00693613" w:rsidRPr="00CD521F" w:rsidRDefault="00693613" w:rsidP="00693613">
      <w:pPr>
        <w:rPr>
          <w:i/>
        </w:rPr>
      </w:pPr>
      <w:r>
        <w:rPr>
          <w:i/>
        </w:rPr>
        <w:t xml:space="preserve"> </w:t>
      </w:r>
    </w:p>
    <w:p w:rsidR="00693613" w:rsidRDefault="00693613" w:rsidP="00693613">
      <w:r w:rsidRPr="00B27735">
        <w:t>This information is being collected in a manner consistent with the guidelines in 5CFR 1320.6.  There are not special circumstances</w:t>
      </w:r>
      <w:r w:rsidRPr="005F6633">
        <w:t>.</w:t>
      </w:r>
    </w:p>
    <w:p w:rsidR="00693613" w:rsidRPr="000C48CF" w:rsidRDefault="00693613" w:rsidP="00693613">
      <w:pPr>
        <w:rPr>
          <w:rFonts w:ascii="Arial" w:hAnsi="Arial" w:cs="Arial"/>
        </w:rPr>
      </w:pPr>
    </w:p>
    <w:p w:rsidR="00693613" w:rsidRDefault="00693613" w:rsidP="00693613">
      <w:pPr>
        <w:pStyle w:val="AbtHeadB"/>
        <w:spacing w:after="240"/>
      </w:pPr>
      <w:bookmarkStart w:id="45" w:name="_Toc224972108"/>
      <w:bookmarkStart w:id="46" w:name="_Toc233444284"/>
      <w:bookmarkStart w:id="47" w:name="_Toc311186221"/>
      <w:r w:rsidRPr="005F6633">
        <w:lastRenderedPageBreak/>
        <w:t>A8</w:t>
      </w:r>
      <w:r w:rsidRPr="005F6633">
        <w:tab/>
        <w:t>Federal Register Notice/Outside Consultation</w:t>
      </w:r>
      <w:bookmarkEnd w:id="45"/>
      <w:bookmarkEnd w:id="46"/>
      <w:bookmarkEnd w:id="47"/>
    </w:p>
    <w:p w:rsidR="00693613" w:rsidRDefault="005B63E6" w:rsidP="00693613">
      <w:pPr>
        <w:keepLines/>
        <w:tabs>
          <w:tab w:val="left" w:pos="-110"/>
        </w:tabs>
        <w:spacing w:after="240"/>
        <w:rPr>
          <w:rFonts w:ascii="Arial" w:hAnsi="Arial"/>
          <w:i/>
          <w:color w:val="000000"/>
        </w:rPr>
      </w:pPr>
      <w:r w:rsidRPr="005B63E6">
        <w:rPr>
          <w:rFonts w:ascii="Arial" w:hAnsi="Arial"/>
          <w:i/>
          <w:color w:val="000000"/>
        </w:rPr>
        <w:t>The notice of proposed information collection was published in volume 7</w:t>
      </w:r>
      <w:r>
        <w:rPr>
          <w:rFonts w:ascii="Arial" w:hAnsi="Arial"/>
          <w:i/>
          <w:color w:val="000000"/>
        </w:rPr>
        <w:t>9</w:t>
      </w:r>
      <w:r w:rsidRPr="005B63E6">
        <w:rPr>
          <w:rFonts w:ascii="Arial" w:hAnsi="Arial"/>
          <w:i/>
          <w:color w:val="000000"/>
        </w:rPr>
        <w:t xml:space="preserve">, number </w:t>
      </w:r>
      <w:r>
        <w:rPr>
          <w:rFonts w:ascii="Arial" w:hAnsi="Arial"/>
          <w:i/>
          <w:color w:val="000000"/>
        </w:rPr>
        <w:t>176</w:t>
      </w:r>
      <w:r w:rsidRPr="005B63E6">
        <w:rPr>
          <w:rFonts w:ascii="Arial" w:hAnsi="Arial"/>
          <w:i/>
          <w:color w:val="000000"/>
        </w:rPr>
        <w:t xml:space="preserve">, and page </w:t>
      </w:r>
      <w:r>
        <w:rPr>
          <w:rFonts w:ascii="Arial" w:hAnsi="Arial"/>
          <w:i/>
          <w:color w:val="000000"/>
        </w:rPr>
        <w:t>54283</w:t>
      </w:r>
      <w:r w:rsidRPr="005B63E6">
        <w:rPr>
          <w:rFonts w:ascii="Arial" w:hAnsi="Arial"/>
          <w:i/>
          <w:color w:val="000000"/>
        </w:rPr>
        <w:t xml:space="preserve"> of the Federal Register on </w:t>
      </w:r>
      <w:r>
        <w:rPr>
          <w:rFonts w:ascii="Arial" w:hAnsi="Arial"/>
          <w:i/>
          <w:color w:val="000000"/>
        </w:rPr>
        <w:t>September 11, 2014</w:t>
      </w:r>
      <w:r w:rsidRPr="005B63E6">
        <w:rPr>
          <w:rFonts w:ascii="Arial" w:hAnsi="Arial"/>
          <w:i/>
          <w:color w:val="000000"/>
        </w:rPr>
        <w:t xml:space="preserve">.  Comments were due by </w:t>
      </w:r>
      <w:r>
        <w:rPr>
          <w:rFonts w:ascii="Arial" w:hAnsi="Arial"/>
          <w:i/>
          <w:color w:val="000000"/>
        </w:rPr>
        <w:t>November 10, 2014 (</w:t>
      </w:r>
      <w:r w:rsidR="00693613">
        <w:rPr>
          <w:rFonts w:ascii="Arial" w:hAnsi="Arial"/>
          <w:i/>
          <w:color w:val="000000"/>
        </w:rPr>
        <w:t xml:space="preserve">provide a copy) soliciting comments on the information.  </w:t>
      </w:r>
    </w:p>
    <w:p w:rsidR="00693613" w:rsidRDefault="009712AD" w:rsidP="00693613">
      <w:r>
        <w:t xml:space="preserve"> </w:t>
      </w:r>
    </w:p>
    <w:p w:rsidR="00693613" w:rsidRDefault="00693613" w:rsidP="00693613">
      <w:pPr>
        <w:pStyle w:val="AbtHeadB"/>
      </w:pPr>
      <w:bookmarkStart w:id="48" w:name="_Toc224972111"/>
      <w:bookmarkStart w:id="49" w:name="_Toc233444285"/>
      <w:bookmarkStart w:id="50" w:name="_Toc311186222"/>
      <w:r>
        <w:t>A9</w:t>
      </w:r>
      <w:r>
        <w:tab/>
        <w:t>Payment/Gift to Respondents</w:t>
      </w:r>
      <w:bookmarkEnd w:id="48"/>
      <w:bookmarkEnd w:id="49"/>
      <w:bookmarkEnd w:id="50"/>
    </w:p>
    <w:p w:rsidR="00693613" w:rsidRDefault="00693613" w:rsidP="00693613">
      <w:pPr>
        <w:keepLines/>
        <w:tabs>
          <w:tab w:val="left" w:pos="360"/>
        </w:tabs>
        <w:spacing w:after="240"/>
        <w:rPr>
          <w:rFonts w:ascii="Arial" w:hAnsi="Arial"/>
          <w:i/>
          <w:color w:val="000000"/>
        </w:rPr>
      </w:pPr>
      <w:r>
        <w:rPr>
          <w:rFonts w:ascii="Arial" w:hAnsi="Arial"/>
          <w:i/>
          <w:color w:val="000000"/>
        </w:rPr>
        <w:t>Explain any payments or gifts to respondents, other than remuneration of contractors or grantees.</w:t>
      </w:r>
    </w:p>
    <w:p w:rsidR="00693613" w:rsidRDefault="00693613" w:rsidP="00693613">
      <w:r>
        <w:t>No payment or</w:t>
      </w:r>
      <w:r w:rsidRPr="00B27735">
        <w:t xml:space="preserve"> gift to respondent</w:t>
      </w:r>
      <w:r>
        <w:t>s</w:t>
      </w:r>
      <w:r w:rsidRPr="00B27735">
        <w:t xml:space="preserve"> is allowed</w:t>
      </w:r>
      <w:r w:rsidRPr="00ED7E08">
        <w:t>.</w:t>
      </w:r>
    </w:p>
    <w:p w:rsidR="00693613" w:rsidRDefault="00693613" w:rsidP="00693613">
      <w:pPr>
        <w:rPr>
          <w:sz w:val="20"/>
        </w:rPr>
      </w:pPr>
    </w:p>
    <w:p w:rsidR="00E57839" w:rsidRPr="000C48CF" w:rsidRDefault="00E57839" w:rsidP="00693613">
      <w:pPr>
        <w:rPr>
          <w:sz w:val="20"/>
        </w:rPr>
      </w:pPr>
    </w:p>
    <w:p w:rsidR="00693613" w:rsidRDefault="00693613" w:rsidP="00693613">
      <w:pPr>
        <w:pStyle w:val="AbtHeadB"/>
        <w:spacing w:after="240"/>
      </w:pPr>
      <w:bookmarkStart w:id="51" w:name="_Toc224972112"/>
      <w:bookmarkStart w:id="52" w:name="_Toc233444286"/>
      <w:bookmarkStart w:id="53" w:name="_Toc311186223"/>
      <w:r>
        <w:t>A10</w:t>
      </w:r>
      <w:r>
        <w:tab/>
        <w:t>Confidentiality</w:t>
      </w:r>
      <w:bookmarkEnd w:id="51"/>
      <w:bookmarkEnd w:id="52"/>
      <w:bookmarkEnd w:id="53"/>
    </w:p>
    <w:p w:rsidR="00693613" w:rsidRDefault="00693613" w:rsidP="00693613">
      <w:pPr>
        <w:keepLines/>
        <w:tabs>
          <w:tab w:val="left" w:pos="-110"/>
        </w:tabs>
        <w:rPr>
          <w:rFonts w:ascii="Arial" w:hAnsi="Arial"/>
          <w:i/>
          <w:color w:val="000000"/>
        </w:rPr>
      </w:pPr>
      <w:r>
        <w:rPr>
          <w:rFonts w:ascii="Arial" w:hAnsi="Arial"/>
          <w:i/>
          <w:color w:val="000000"/>
        </w:rPr>
        <w:t>Describe any assurance of confidentiality provided to respondents and the basis for assurance in statute, regulation or agency policy.</w:t>
      </w:r>
    </w:p>
    <w:p w:rsidR="00693613" w:rsidRPr="000C48CF" w:rsidRDefault="00693613" w:rsidP="00693613">
      <w:pPr>
        <w:rPr>
          <w:sz w:val="20"/>
        </w:rPr>
      </w:pPr>
    </w:p>
    <w:p w:rsidR="00693613" w:rsidRDefault="00693613" w:rsidP="00693613">
      <w:r w:rsidRPr="00B27735">
        <w:t>No assurances of confidentiality are offered</w:t>
      </w:r>
      <w:r w:rsidRPr="005F6633">
        <w:t>.</w:t>
      </w:r>
      <w:r>
        <w:t xml:space="preserve">  </w:t>
      </w:r>
    </w:p>
    <w:p w:rsidR="00693613" w:rsidRDefault="00693613" w:rsidP="00693613">
      <w:pPr>
        <w:pStyle w:val="AbtHeadB"/>
        <w:spacing w:after="0"/>
        <w:rPr>
          <w:sz w:val="20"/>
        </w:rPr>
      </w:pPr>
      <w:bookmarkStart w:id="54" w:name="_Toc224972113"/>
      <w:bookmarkStart w:id="55" w:name="_Toc233444287"/>
    </w:p>
    <w:p w:rsidR="00E57839" w:rsidRPr="00E57839" w:rsidRDefault="00E57839" w:rsidP="00E57839">
      <w:pPr>
        <w:pStyle w:val="BodyText"/>
      </w:pPr>
    </w:p>
    <w:p w:rsidR="00693613" w:rsidRDefault="00693613" w:rsidP="00693613">
      <w:pPr>
        <w:pStyle w:val="AbtHeadB"/>
        <w:spacing w:after="240"/>
      </w:pPr>
      <w:bookmarkStart w:id="56" w:name="_Toc311186224"/>
      <w:r>
        <w:t>A11</w:t>
      </w:r>
      <w:r>
        <w:tab/>
        <w:t>Sensitive Questions</w:t>
      </w:r>
      <w:bookmarkEnd w:id="54"/>
      <w:bookmarkEnd w:id="55"/>
      <w:bookmarkEnd w:id="56"/>
    </w:p>
    <w:p w:rsidR="00693613" w:rsidRDefault="00693613" w:rsidP="00693613">
      <w:pPr>
        <w:keepLines/>
        <w:tabs>
          <w:tab w:val="left" w:pos="360"/>
          <w:tab w:val="left" w:pos="720"/>
        </w:tabs>
        <w:rPr>
          <w:rFonts w:ascii="Arial" w:hAnsi="Arial"/>
          <w:i/>
          <w:color w:val="000000"/>
        </w:rPr>
      </w:pPr>
      <w:r>
        <w:rPr>
          <w:rFonts w:ascii="Arial" w:hAnsi="Arial"/>
          <w:i/>
          <w:color w:val="000000"/>
        </w:rPr>
        <w:t>Justify any questions of a sensitive nature, such as sexual, religious beliefs, and other matters that are commonly considered private.</w:t>
      </w:r>
    </w:p>
    <w:p w:rsidR="00693613" w:rsidRPr="00BB6789" w:rsidRDefault="00693613" w:rsidP="00693613">
      <w:pPr>
        <w:keepLines/>
        <w:tabs>
          <w:tab w:val="left" w:pos="360"/>
          <w:tab w:val="left" w:pos="720"/>
        </w:tabs>
        <w:rPr>
          <w:rFonts w:ascii="Arial" w:hAnsi="Arial"/>
          <w:color w:val="000000"/>
        </w:rPr>
      </w:pPr>
    </w:p>
    <w:p w:rsidR="00693613" w:rsidRDefault="00693613" w:rsidP="00693613">
      <w:pPr>
        <w:pStyle w:val="BodyText"/>
      </w:pPr>
      <w:r w:rsidRPr="00B27735">
        <w:t>This information collection does not include any questions of a sensitive nature</w:t>
      </w:r>
      <w:r w:rsidRPr="005F6633">
        <w:t>.</w:t>
      </w:r>
    </w:p>
    <w:p w:rsidR="00693613" w:rsidRDefault="00693613" w:rsidP="00693613"/>
    <w:p w:rsidR="00E57839" w:rsidRDefault="00E57839" w:rsidP="00693613"/>
    <w:p w:rsidR="00693613" w:rsidRDefault="00693613" w:rsidP="00693613">
      <w:pPr>
        <w:pStyle w:val="AbtHeadB"/>
      </w:pPr>
      <w:bookmarkStart w:id="57" w:name="_Toc224972114"/>
      <w:bookmarkStart w:id="58" w:name="_Toc233444288"/>
      <w:bookmarkStart w:id="59" w:name="_Toc311186225"/>
      <w:r>
        <w:t>A12</w:t>
      </w:r>
      <w:r>
        <w:tab/>
        <w:t>Burden Estimate (Total Hours and Wages)</w:t>
      </w:r>
      <w:bookmarkEnd w:id="57"/>
      <w:bookmarkEnd w:id="58"/>
      <w:bookmarkEnd w:id="59"/>
    </w:p>
    <w:p w:rsidR="00693613" w:rsidRDefault="00693613" w:rsidP="00693613">
      <w:pPr>
        <w:autoSpaceDE w:val="0"/>
        <w:autoSpaceDN w:val="0"/>
        <w:adjustRightInd w:val="0"/>
        <w:rPr>
          <w:color w:val="000000"/>
        </w:rPr>
      </w:pPr>
      <w:r>
        <w:rPr>
          <w:rFonts w:ascii="Arial" w:hAnsi="Arial"/>
          <w:i/>
          <w:color w:val="000000"/>
        </w:rPr>
        <w:t>Estimate public burden: number of respondents, frequency of response, annual hour burden.  Explain how the burden was estimated.</w:t>
      </w:r>
    </w:p>
    <w:p w:rsidR="00693613" w:rsidRDefault="00693613" w:rsidP="00693613"/>
    <w:p w:rsidR="00693613" w:rsidRDefault="00693613" w:rsidP="00693613">
      <w:pPr>
        <w:autoSpaceDE w:val="0"/>
        <w:autoSpaceDN w:val="0"/>
        <w:adjustRightInd w:val="0"/>
        <w:rPr>
          <w:color w:val="000000"/>
        </w:rPr>
      </w:pPr>
      <w:r w:rsidRPr="004443D8">
        <w:rPr>
          <w:color w:val="000000"/>
        </w:rPr>
        <w:t>Exhibit A-</w:t>
      </w:r>
      <w:r>
        <w:rPr>
          <w:color w:val="000000"/>
        </w:rPr>
        <w:t>1</w:t>
      </w:r>
      <w:r w:rsidRPr="004443D8">
        <w:rPr>
          <w:color w:val="000000"/>
        </w:rPr>
        <w:t xml:space="preserve"> </w:t>
      </w:r>
      <w:r w:rsidRPr="004443D8">
        <w:rPr>
          <w:color w:val="000000"/>
          <w:szCs w:val="22"/>
        </w:rPr>
        <w:t>below demonstrat</w:t>
      </w:r>
      <w:r>
        <w:rPr>
          <w:color w:val="000000"/>
          <w:szCs w:val="22"/>
        </w:rPr>
        <w:t xml:space="preserve">es how the public burden for </w:t>
      </w:r>
      <w:r>
        <w:rPr>
          <w:color w:val="000000"/>
        </w:rPr>
        <w:t>t</w:t>
      </w:r>
      <w:r w:rsidRPr="00B27735">
        <w:rPr>
          <w:color w:val="000000"/>
        </w:rPr>
        <w:t xml:space="preserve">he </w:t>
      </w:r>
      <w:proofErr w:type="spellStart"/>
      <w:r w:rsidRPr="00E54CCE">
        <w:t>CoC</w:t>
      </w:r>
      <w:proofErr w:type="spellEnd"/>
      <w:r w:rsidRPr="00B27735">
        <w:rPr>
          <w:color w:val="000000"/>
        </w:rPr>
        <w:t xml:space="preserve"> </w:t>
      </w:r>
      <w:r w:rsidR="007449CE">
        <w:rPr>
          <w:color w:val="000000"/>
        </w:rPr>
        <w:t>Program</w:t>
      </w:r>
      <w:r>
        <w:rPr>
          <w:color w:val="000000"/>
        </w:rPr>
        <w:t xml:space="preserve"> </w:t>
      </w:r>
      <w:r w:rsidR="007449CE">
        <w:rPr>
          <w:color w:val="000000"/>
        </w:rPr>
        <w:t xml:space="preserve">Registration was calculated.  </w:t>
      </w:r>
      <w:r w:rsidRPr="00B27735">
        <w:rPr>
          <w:color w:val="000000"/>
        </w:rPr>
        <w:t xml:space="preserve">Approximately </w:t>
      </w:r>
      <w:r w:rsidR="00B81D32" w:rsidRPr="00B27735">
        <w:rPr>
          <w:color w:val="000000"/>
        </w:rPr>
        <w:t>4</w:t>
      </w:r>
      <w:r w:rsidR="00B81D32">
        <w:rPr>
          <w:color w:val="000000"/>
        </w:rPr>
        <w:t>10</w:t>
      </w:r>
      <w:r w:rsidR="00B81D32" w:rsidRPr="00B27735">
        <w:rPr>
          <w:color w:val="000000"/>
        </w:rPr>
        <w:t xml:space="preserve"> </w:t>
      </w:r>
      <w:proofErr w:type="spellStart"/>
      <w:r w:rsidRPr="00B27735">
        <w:rPr>
          <w:color w:val="000000"/>
        </w:rPr>
        <w:t>CoCs</w:t>
      </w:r>
      <w:proofErr w:type="spellEnd"/>
      <w:r w:rsidRPr="00B27735">
        <w:rPr>
          <w:color w:val="000000"/>
        </w:rPr>
        <w:t>, covering</w:t>
      </w:r>
      <w:r w:rsidR="007449CE">
        <w:rPr>
          <w:color w:val="000000"/>
        </w:rPr>
        <w:t xml:space="preserve"> almost</w:t>
      </w:r>
      <w:r w:rsidRPr="00B27735">
        <w:rPr>
          <w:color w:val="000000"/>
        </w:rPr>
        <w:t xml:space="preserve"> </w:t>
      </w:r>
      <w:r w:rsidR="007449CE">
        <w:rPr>
          <w:color w:val="000000"/>
        </w:rPr>
        <w:t xml:space="preserve">every geographic area of </w:t>
      </w:r>
      <w:r w:rsidRPr="00B27735">
        <w:rPr>
          <w:color w:val="000000"/>
        </w:rPr>
        <w:t>every state</w:t>
      </w:r>
      <w:r w:rsidR="00B81D32">
        <w:rPr>
          <w:color w:val="000000"/>
        </w:rPr>
        <w:t xml:space="preserve"> including some US territories</w:t>
      </w:r>
      <w:r w:rsidRPr="00B27735">
        <w:rPr>
          <w:color w:val="000000"/>
        </w:rPr>
        <w:t xml:space="preserve">, will submit this </w:t>
      </w:r>
      <w:r w:rsidR="00B81D32" w:rsidRPr="00B27735">
        <w:rPr>
          <w:color w:val="000000"/>
        </w:rPr>
        <w:t>form along</w:t>
      </w:r>
      <w:r w:rsidR="00D9339E">
        <w:rPr>
          <w:color w:val="000000"/>
        </w:rPr>
        <w:t xml:space="preserve"> </w:t>
      </w:r>
      <w:r w:rsidR="007449CE">
        <w:rPr>
          <w:color w:val="000000"/>
        </w:rPr>
        <w:t xml:space="preserve">with </w:t>
      </w:r>
      <w:r w:rsidR="00D9339E">
        <w:rPr>
          <w:color w:val="000000"/>
        </w:rPr>
        <w:t>the GIW</w:t>
      </w:r>
      <w:r w:rsidRPr="00B27735">
        <w:rPr>
          <w:color w:val="000000"/>
        </w:rPr>
        <w:t>.  Estimates of public burden have been derived through program staff experience and input from previous applicants</w:t>
      </w:r>
      <w:r w:rsidR="00D9339E">
        <w:rPr>
          <w:color w:val="000000"/>
        </w:rPr>
        <w:t xml:space="preserve"> regarding the time it takes to verify the GIW and update all relevant </w:t>
      </w:r>
      <w:r w:rsidR="00365C78">
        <w:rPr>
          <w:color w:val="000000"/>
        </w:rPr>
        <w:t xml:space="preserve">Registration </w:t>
      </w:r>
      <w:r w:rsidR="00D9339E">
        <w:rPr>
          <w:color w:val="000000"/>
        </w:rPr>
        <w:t>forms.</w:t>
      </w:r>
      <w:r w:rsidR="00365C78">
        <w:rPr>
          <w:color w:val="000000"/>
        </w:rPr>
        <w:t xml:space="preserve"> The </w:t>
      </w:r>
      <w:proofErr w:type="spellStart"/>
      <w:r w:rsidR="00365C78">
        <w:rPr>
          <w:color w:val="000000"/>
        </w:rPr>
        <w:t>CoC</w:t>
      </w:r>
      <w:proofErr w:type="spellEnd"/>
      <w:r w:rsidR="00365C78">
        <w:rPr>
          <w:color w:val="000000"/>
        </w:rPr>
        <w:t xml:space="preserve"> Merger Worksheet</w:t>
      </w:r>
      <w:r w:rsidR="00365C78" w:rsidRPr="00365C78">
        <w:rPr>
          <w:color w:val="000000"/>
        </w:rPr>
        <w:t xml:space="preserve"> referenced in q</w:t>
      </w:r>
      <w:r w:rsidR="00365C78">
        <w:rPr>
          <w:color w:val="000000"/>
        </w:rPr>
        <w:t xml:space="preserve">uestion </w:t>
      </w:r>
      <w:r w:rsidR="00365C78" w:rsidRPr="00365C78">
        <w:rPr>
          <w:color w:val="000000"/>
        </w:rPr>
        <w:t>2</w:t>
      </w:r>
      <w:r w:rsidR="00365C78">
        <w:rPr>
          <w:color w:val="000000"/>
        </w:rPr>
        <w:t xml:space="preserve"> above</w:t>
      </w:r>
      <w:r w:rsidR="00365C78" w:rsidRPr="00365C78">
        <w:rPr>
          <w:color w:val="000000"/>
        </w:rPr>
        <w:t>, is optional, and fil</w:t>
      </w:r>
      <w:r w:rsidR="00365C78">
        <w:rPr>
          <w:color w:val="000000"/>
        </w:rPr>
        <w:t>led out by very few respondents, and so has a negligible overall impact on the average burden per applicant</w:t>
      </w:r>
      <w:r w:rsidR="00365C78" w:rsidRPr="00365C78">
        <w:rPr>
          <w:color w:val="000000"/>
        </w:rPr>
        <w:t xml:space="preserve">. </w:t>
      </w:r>
    </w:p>
    <w:p w:rsidR="00365C78" w:rsidRDefault="00365C78" w:rsidP="00693613">
      <w:pPr>
        <w:autoSpaceDE w:val="0"/>
        <w:autoSpaceDN w:val="0"/>
        <w:adjustRightInd w:val="0"/>
        <w:rPr>
          <w:color w:val="000000"/>
        </w:rPr>
      </w:pPr>
    </w:p>
    <w:p w:rsidR="00693613" w:rsidRDefault="00693613" w:rsidP="00693613">
      <w:pPr>
        <w:jc w:val="center"/>
        <w:rPr>
          <w:rFonts w:ascii="Arial" w:hAnsi="Arial"/>
          <w:b/>
          <w:sz w:val="20"/>
        </w:rPr>
      </w:pPr>
      <w:r>
        <w:rPr>
          <w:rFonts w:ascii="Arial" w:hAnsi="Arial"/>
          <w:b/>
          <w:sz w:val="20"/>
        </w:rPr>
        <w:t xml:space="preserve">Exhibit A-1: Estimated </w:t>
      </w:r>
      <w:r w:rsidRPr="00ED7E08">
        <w:rPr>
          <w:rFonts w:ascii="Arial" w:hAnsi="Arial"/>
          <w:b/>
          <w:sz w:val="20"/>
        </w:rPr>
        <w:t>Annual</w:t>
      </w:r>
      <w:r>
        <w:rPr>
          <w:rFonts w:ascii="Arial" w:hAnsi="Arial"/>
          <w:b/>
          <w:sz w:val="20"/>
        </w:rPr>
        <w:t xml:space="preserve"> Burden Hours for </w:t>
      </w:r>
      <w:proofErr w:type="spellStart"/>
      <w:r>
        <w:rPr>
          <w:rFonts w:ascii="Arial" w:hAnsi="Arial"/>
          <w:b/>
          <w:sz w:val="20"/>
        </w:rPr>
        <w:t>CoC</w:t>
      </w:r>
      <w:proofErr w:type="spellEnd"/>
      <w:r>
        <w:rPr>
          <w:rFonts w:ascii="Arial" w:hAnsi="Arial"/>
          <w:b/>
          <w:sz w:val="20"/>
        </w:rPr>
        <w:t xml:space="preserve"> Registration</w:t>
      </w:r>
    </w:p>
    <w:p w:rsidR="00693613" w:rsidRDefault="00693613" w:rsidP="00693613">
      <w:pPr>
        <w:autoSpaceDE w:val="0"/>
        <w:autoSpaceDN w:val="0"/>
        <w:adjustRightInd w:val="0"/>
        <w:rPr>
          <w:color w:val="000000"/>
        </w:rPr>
      </w:pPr>
    </w:p>
    <w:tbl>
      <w:tblPr>
        <w:tblStyle w:val="TableGrid"/>
        <w:tblW w:w="0" w:type="auto"/>
        <w:tblInd w:w="-72" w:type="dxa"/>
        <w:tblLayout w:type="fixed"/>
        <w:tblLook w:val="04A0" w:firstRow="1" w:lastRow="0" w:firstColumn="1" w:lastColumn="0" w:noHBand="0" w:noVBand="1"/>
      </w:tblPr>
      <w:tblGrid>
        <w:gridCol w:w="4050"/>
        <w:gridCol w:w="1260"/>
        <w:gridCol w:w="1080"/>
        <w:gridCol w:w="1350"/>
        <w:gridCol w:w="1080"/>
        <w:gridCol w:w="828"/>
      </w:tblGrid>
      <w:tr w:rsidR="00693613" w:rsidTr="00F07400">
        <w:tc>
          <w:tcPr>
            <w:tcW w:w="4050" w:type="dxa"/>
            <w:shd w:val="clear" w:color="auto" w:fill="808080" w:themeFill="background1" w:themeFillShade="80"/>
            <w:vAlign w:val="center"/>
          </w:tcPr>
          <w:p w:rsidR="00693613" w:rsidRPr="009613CA" w:rsidRDefault="00693613" w:rsidP="00F07400">
            <w:pPr>
              <w:snapToGrid w:val="0"/>
              <w:jc w:val="center"/>
              <w:rPr>
                <w:b/>
                <w:bCs/>
              </w:rPr>
            </w:pPr>
            <w:r>
              <w:rPr>
                <w:rFonts w:ascii="Arial" w:hAnsi="Arial"/>
                <w:b/>
                <w:color w:val="FFFFFF"/>
                <w:sz w:val="20"/>
              </w:rPr>
              <w:t>A</w:t>
            </w:r>
          </w:p>
        </w:tc>
        <w:tc>
          <w:tcPr>
            <w:tcW w:w="1260" w:type="dxa"/>
            <w:shd w:val="clear" w:color="auto" w:fill="808080" w:themeFill="background1" w:themeFillShade="80"/>
            <w:vAlign w:val="center"/>
          </w:tcPr>
          <w:p w:rsidR="00693613" w:rsidRPr="009613CA" w:rsidRDefault="00693613" w:rsidP="00F07400">
            <w:pPr>
              <w:snapToGrid w:val="0"/>
              <w:jc w:val="center"/>
              <w:rPr>
                <w:b/>
                <w:bCs/>
              </w:rPr>
            </w:pPr>
            <w:r>
              <w:rPr>
                <w:rFonts w:ascii="Arial" w:hAnsi="Arial"/>
                <w:b/>
                <w:color w:val="FFFFFF"/>
                <w:sz w:val="20"/>
              </w:rPr>
              <w:t>B</w:t>
            </w:r>
          </w:p>
        </w:tc>
        <w:tc>
          <w:tcPr>
            <w:tcW w:w="1080" w:type="dxa"/>
            <w:shd w:val="clear" w:color="auto" w:fill="808080" w:themeFill="background1" w:themeFillShade="80"/>
            <w:vAlign w:val="center"/>
          </w:tcPr>
          <w:p w:rsidR="00693613" w:rsidRPr="000B7D63" w:rsidRDefault="00693613" w:rsidP="00F07400">
            <w:pPr>
              <w:snapToGrid w:val="0"/>
              <w:jc w:val="center"/>
              <w:rPr>
                <w:rFonts w:ascii="Arial" w:hAnsi="Arial" w:cs="Arial"/>
                <w:b/>
                <w:bCs/>
                <w:color w:val="FFFFFF" w:themeColor="background1"/>
                <w:sz w:val="20"/>
              </w:rPr>
            </w:pPr>
            <w:r>
              <w:rPr>
                <w:rFonts w:ascii="Arial" w:hAnsi="Arial" w:cs="Arial"/>
                <w:b/>
                <w:bCs/>
                <w:color w:val="FFFFFF" w:themeColor="background1"/>
                <w:sz w:val="20"/>
              </w:rPr>
              <w:t>C</w:t>
            </w:r>
          </w:p>
        </w:tc>
        <w:tc>
          <w:tcPr>
            <w:tcW w:w="1350" w:type="dxa"/>
            <w:shd w:val="clear" w:color="auto" w:fill="808080" w:themeFill="background1" w:themeFillShade="80"/>
            <w:vAlign w:val="center"/>
          </w:tcPr>
          <w:p w:rsidR="00693613" w:rsidRPr="000B7D63" w:rsidRDefault="00693613" w:rsidP="00F07400">
            <w:pPr>
              <w:snapToGrid w:val="0"/>
              <w:jc w:val="center"/>
              <w:rPr>
                <w:rFonts w:ascii="Arial" w:hAnsi="Arial" w:cs="Arial"/>
                <w:b/>
                <w:bCs/>
                <w:color w:val="FFFFFF" w:themeColor="background1"/>
                <w:sz w:val="20"/>
              </w:rPr>
            </w:pPr>
            <w:r>
              <w:rPr>
                <w:rFonts w:ascii="Arial" w:hAnsi="Arial" w:cs="Arial"/>
                <w:b/>
                <w:bCs/>
                <w:color w:val="FFFFFF" w:themeColor="background1"/>
                <w:sz w:val="20"/>
              </w:rPr>
              <w:t>D</w:t>
            </w:r>
          </w:p>
        </w:tc>
        <w:tc>
          <w:tcPr>
            <w:tcW w:w="1080" w:type="dxa"/>
            <w:shd w:val="clear" w:color="auto" w:fill="808080" w:themeFill="background1" w:themeFillShade="80"/>
            <w:vAlign w:val="center"/>
          </w:tcPr>
          <w:p w:rsidR="00693613" w:rsidRPr="000B7D63" w:rsidRDefault="00693613" w:rsidP="00F07400">
            <w:pPr>
              <w:snapToGrid w:val="0"/>
              <w:jc w:val="center"/>
              <w:rPr>
                <w:rFonts w:ascii="Arial" w:hAnsi="Arial" w:cs="Arial"/>
                <w:b/>
                <w:bCs/>
                <w:color w:val="FFFFFF" w:themeColor="background1"/>
                <w:sz w:val="20"/>
              </w:rPr>
            </w:pPr>
            <w:r>
              <w:rPr>
                <w:rFonts w:ascii="Arial" w:hAnsi="Arial" w:cs="Arial"/>
                <w:b/>
                <w:bCs/>
                <w:color w:val="FFFFFF" w:themeColor="background1"/>
                <w:sz w:val="20"/>
              </w:rPr>
              <w:t>E</w:t>
            </w:r>
          </w:p>
        </w:tc>
        <w:tc>
          <w:tcPr>
            <w:tcW w:w="828" w:type="dxa"/>
            <w:shd w:val="clear" w:color="auto" w:fill="808080" w:themeFill="background1" w:themeFillShade="80"/>
            <w:vAlign w:val="center"/>
          </w:tcPr>
          <w:p w:rsidR="00693613" w:rsidRPr="000B7D63" w:rsidRDefault="00693613" w:rsidP="00F07400">
            <w:pPr>
              <w:snapToGrid w:val="0"/>
              <w:jc w:val="center"/>
              <w:rPr>
                <w:rFonts w:ascii="Arial" w:hAnsi="Arial" w:cs="Arial"/>
                <w:b/>
                <w:bCs/>
                <w:color w:val="FFFFFF" w:themeColor="background1"/>
                <w:sz w:val="20"/>
              </w:rPr>
            </w:pPr>
            <w:r>
              <w:rPr>
                <w:rFonts w:ascii="Arial" w:hAnsi="Arial" w:cs="Arial"/>
                <w:b/>
                <w:bCs/>
                <w:color w:val="FFFFFF" w:themeColor="background1"/>
                <w:sz w:val="20"/>
              </w:rPr>
              <w:t>F</w:t>
            </w:r>
          </w:p>
        </w:tc>
      </w:tr>
      <w:tr w:rsidR="00693613" w:rsidTr="00F07400">
        <w:trPr>
          <w:trHeight w:val="458"/>
        </w:trPr>
        <w:tc>
          <w:tcPr>
            <w:tcW w:w="4050" w:type="dxa"/>
          </w:tcPr>
          <w:p w:rsidR="00693613" w:rsidRDefault="00693613" w:rsidP="00F07400">
            <w:pPr>
              <w:jc w:val="center"/>
              <w:rPr>
                <w:sz w:val="20"/>
                <w:szCs w:val="20"/>
              </w:rPr>
            </w:pPr>
          </w:p>
          <w:p w:rsidR="00693613" w:rsidRDefault="00693613" w:rsidP="00F07400">
            <w:pPr>
              <w:jc w:val="center"/>
              <w:rPr>
                <w:sz w:val="20"/>
                <w:szCs w:val="20"/>
              </w:rPr>
            </w:pPr>
            <w:r>
              <w:rPr>
                <w:sz w:val="20"/>
                <w:szCs w:val="20"/>
              </w:rPr>
              <w:t>Submission Documents</w:t>
            </w:r>
          </w:p>
        </w:tc>
        <w:tc>
          <w:tcPr>
            <w:tcW w:w="1260" w:type="dxa"/>
          </w:tcPr>
          <w:p w:rsidR="00693613" w:rsidRDefault="00693613" w:rsidP="00F07400">
            <w:pPr>
              <w:jc w:val="center"/>
              <w:rPr>
                <w:sz w:val="20"/>
                <w:szCs w:val="20"/>
              </w:rPr>
            </w:pPr>
            <w:r>
              <w:rPr>
                <w:sz w:val="20"/>
                <w:szCs w:val="20"/>
              </w:rPr>
              <w:t>Number of Respondents</w:t>
            </w:r>
          </w:p>
        </w:tc>
        <w:tc>
          <w:tcPr>
            <w:tcW w:w="1080" w:type="dxa"/>
          </w:tcPr>
          <w:p w:rsidR="00693613" w:rsidRDefault="00693613" w:rsidP="00F07400">
            <w:pPr>
              <w:jc w:val="center"/>
              <w:rPr>
                <w:sz w:val="20"/>
                <w:szCs w:val="20"/>
              </w:rPr>
            </w:pPr>
            <w:r>
              <w:rPr>
                <w:sz w:val="20"/>
                <w:szCs w:val="20"/>
              </w:rPr>
              <w:t>Responses per Year</w:t>
            </w:r>
          </w:p>
        </w:tc>
        <w:tc>
          <w:tcPr>
            <w:tcW w:w="1350" w:type="dxa"/>
          </w:tcPr>
          <w:p w:rsidR="00693613" w:rsidRDefault="00693613" w:rsidP="00F07400">
            <w:pPr>
              <w:jc w:val="center"/>
              <w:rPr>
                <w:sz w:val="20"/>
                <w:szCs w:val="20"/>
              </w:rPr>
            </w:pPr>
            <w:r>
              <w:rPr>
                <w:sz w:val="20"/>
                <w:szCs w:val="20"/>
              </w:rPr>
              <w:t>Total Annual Responses</w:t>
            </w:r>
          </w:p>
        </w:tc>
        <w:tc>
          <w:tcPr>
            <w:tcW w:w="1080" w:type="dxa"/>
          </w:tcPr>
          <w:p w:rsidR="00693613" w:rsidRDefault="00693613" w:rsidP="00F07400">
            <w:pPr>
              <w:jc w:val="center"/>
              <w:rPr>
                <w:sz w:val="20"/>
                <w:szCs w:val="20"/>
              </w:rPr>
            </w:pPr>
            <w:r>
              <w:rPr>
                <w:sz w:val="20"/>
                <w:szCs w:val="20"/>
              </w:rPr>
              <w:t>Hours per Response</w:t>
            </w:r>
          </w:p>
        </w:tc>
        <w:tc>
          <w:tcPr>
            <w:tcW w:w="828" w:type="dxa"/>
          </w:tcPr>
          <w:p w:rsidR="00693613" w:rsidRDefault="00693613" w:rsidP="00F07400">
            <w:pPr>
              <w:jc w:val="center"/>
              <w:rPr>
                <w:sz w:val="20"/>
                <w:szCs w:val="20"/>
              </w:rPr>
            </w:pPr>
            <w:r>
              <w:rPr>
                <w:sz w:val="20"/>
                <w:szCs w:val="20"/>
              </w:rPr>
              <w:t>Total Hours</w:t>
            </w:r>
          </w:p>
        </w:tc>
      </w:tr>
      <w:tr w:rsidR="00363950" w:rsidTr="00BB695D">
        <w:tc>
          <w:tcPr>
            <w:tcW w:w="4050" w:type="dxa"/>
          </w:tcPr>
          <w:p w:rsidR="00363950" w:rsidRPr="00631BF9" w:rsidRDefault="00363950" w:rsidP="00C1363A">
            <w:pPr>
              <w:rPr>
                <w:b/>
                <w:sz w:val="20"/>
                <w:szCs w:val="20"/>
                <w:u w:val="single"/>
              </w:rPr>
            </w:pPr>
            <w:proofErr w:type="spellStart"/>
            <w:r w:rsidRPr="00631BF9">
              <w:rPr>
                <w:b/>
                <w:sz w:val="20"/>
                <w:szCs w:val="20"/>
                <w:u w:val="single"/>
              </w:rPr>
              <w:t>CoC</w:t>
            </w:r>
            <w:r>
              <w:rPr>
                <w:b/>
                <w:sz w:val="20"/>
                <w:szCs w:val="20"/>
                <w:u w:val="single"/>
              </w:rPr>
              <w:t>s</w:t>
            </w:r>
            <w:proofErr w:type="spellEnd"/>
            <w:r>
              <w:rPr>
                <w:b/>
                <w:sz w:val="20"/>
                <w:szCs w:val="20"/>
                <w:u w:val="single"/>
              </w:rPr>
              <w:t xml:space="preserve"> not applying for UFA status</w:t>
            </w:r>
          </w:p>
        </w:tc>
        <w:tc>
          <w:tcPr>
            <w:tcW w:w="5598" w:type="dxa"/>
            <w:gridSpan w:val="5"/>
          </w:tcPr>
          <w:p w:rsidR="00363950" w:rsidRDefault="00363950" w:rsidP="00F07400">
            <w:pPr>
              <w:jc w:val="right"/>
              <w:rPr>
                <w:sz w:val="20"/>
                <w:szCs w:val="20"/>
              </w:rPr>
            </w:pPr>
          </w:p>
        </w:tc>
      </w:tr>
      <w:tr w:rsidR="00693613" w:rsidTr="00F07400">
        <w:tc>
          <w:tcPr>
            <w:tcW w:w="4050" w:type="dxa"/>
          </w:tcPr>
          <w:p w:rsidR="00693613" w:rsidRDefault="00693613" w:rsidP="00F07400">
            <w:pPr>
              <w:rPr>
                <w:sz w:val="20"/>
                <w:szCs w:val="20"/>
              </w:rPr>
            </w:pPr>
            <w:proofErr w:type="spellStart"/>
            <w:r>
              <w:rPr>
                <w:sz w:val="20"/>
                <w:szCs w:val="20"/>
              </w:rPr>
              <w:t>CoC</w:t>
            </w:r>
            <w:proofErr w:type="spellEnd"/>
            <w:r>
              <w:rPr>
                <w:sz w:val="20"/>
                <w:szCs w:val="20"/>
              </w:rPr>
              <w:t xml:space="preserve"> Registration Process</w:t>
            </w:r>
          </w:p>
        </w:tc>
        <w:tc>
          <w:tcPr>
            <w:tcW w:w="1260" w:type="dxa"/>
          </w:tcPr>
          <w:p w:rsidR="00693613" w:rsidRDefault="00631BF9" w:rsidP="00F07400">
            <w:pPr>
              <w:jc w:val="right"/>
              <w:rPr>
                <w:sz w:val="20"/>
                <w:szCs w:val="20"/>
              </w:rPr>
            </w:pPr>
            <w:r>
              <w:rPr>
                <w:sz w:val="20"/>
                <w:szCs w:val="20"/>
              </w:rPr>
              <w:t>390</w:t>
            </w:r>
          </w:p>
        </w:tc>
        <w:tc>
          <w:tcPr>
            <w:tcW w:w="1080" w:type="dxa"/>
          </w:tcPr>
          <w:p w:rsidR="00693613" w:rsidRDefault="00E424B9" w:rsidP="00F07400">
            <w:pPr>
              <w:jc w:val="right"/>
              <w:rPr>
                <w:sz w:val="20"/>
                <w:szCs w:val="20"/>
              </w:rPr>
            </w:pPr>
            <w:r>
              <w:rPr>
                <w:sz w:val="20"/>
                <w:szCs w:val="20"/>
              </w:rPr>
              <w:t>1</w:t>
            </w:r>
          </w:p>
        </w:tc>
        <w:tc>
          <w:tcPr>
            <w:tcW w:w="1350" w:type="dxa"/>
          </w:tcPr>
          <w:p w:rsidR="00693613" w:rsidRDefault="00631BF9" w:rsidP="00E424B9">
            <w:pPr>
              <w:jc w:val="right"/>
              <w:rPr>
                <w:sz w:val="20"/>
                <w:szCs w:val="20"/>
              </w:rPr>
            </w:pPr>
            <w:r>
              <w:rPr>
                <w:sz w:val="20"/>
                <w:szCs w:val="20"/>
              </w:rPr>
              <w:t>390</w:t>
            </w:r>
          </w:p>
        </w:tc>
        <w:tc>
          <w:tcPr>
            <w:tcW w:w="1080" w:type="dxa"/>
          </w:tcPr>
          <w:p w:rsidR="00693613" w:rsidRDefault="00E424B9" w:rsidP="00F07400">
            <w:pPr>
              <w:jc w:val="right"/>
              <w:rPr>
                <w:sz w:val="20"/>
                <w:szCs w:val="20"/>
              </w:rPr>
            </w:pPr>
            <w:r>
              <w:rPr>
                <w:sz w:val="20"/>
                <w:szCs w:val="20"/>
              </w:rPr>
              <w:t>1</w:t>
            </w:r>
          </w:p>
        </w:tc>
        <w:tc>
          <w:tcPr>
            <w:tcW w:w="828" w:type="dxa"/>
          </w:tcPr>
          <w:p w:rsidR="00693613" w:rsidRDefault="00631BF9" w:rsidP="00F07400">
            <w:pPr>
              <w:jc w:val="right"/>
              <w:rPr>
                <w:sz w:val="20"/>
                <w:szCs w:val="20"/>
              </w:rPr>
            </w:pPr>
            <w:r>
              <w:rPr>
                <w:sz w:val="20"/>
                <w:szCs w:val="20"/>
              </w:rPr>
              <w:t>390</w:t>
            </w:r>
          </w:p>
        </w:tc>
      </w:tr>
      <w:tr w:rsidR="007A3C01" w:rsidTr="00F07400">
        <w:tc>
          <w:tcPr>
            <w:tcW w:w="4050" w:type="dxa"/>
          </w:tcPr>
          <w:p w:rsidR="007A3C01" w:rsidRDefault="00E424B9" w:rsidP="00480594">
            <w:pPr>
              <w:rPr>
                <w:sz w:val="20"/>
                <w:szCs w:val="20"/>
              </w:rPr>
            </w:pPr>
            <w:r>
              <w:rPr>
                <w:sz w:val="20"/>
                <w:szCs w:val="20"/>
              </w:rPr>
              <w:t>GIW Review and Updating</w:t>
            </w:r>
          </w:p>
        </w:tc>
        <w:tc>
          <w:tcPr>
            <w:tcW w:w="1260" w:type="dxa"/>
          </w:tcPr>
          <w:p w:rsidR="007A3C01" w:rsidDel="00F906C3" w:rsidRDefault="00631BF9" w:rsidP="00F07400">
            <w:pPr>
              <w:jc w:val="right"/>
              <w:rPr>
                <w:sz w:val="20"/>
                <w:szCs w:val="20"/>
              </w:rPr>
            </w:pPr>
            <w:r>
              <w:rPr>
                <w:sz w:val="20"/>
                <w:szCs w:val="20"/>
              </w:rPr>
              <w:t>390</w:t>
            </w:r>
          </w:p>
        </w:tc>
        <w:tc>
          <w:tcPr>
            <w:tcW w:w="1080" w:type="dxa"/>
          </w:tcPr>
          <w:p w:rsidR="007A3C01" w:rsidRDefault="00E424B9" w:rsidP="00F07400">
            <w:pPr>
              <w:jc w:val="right"/>
              <w:rPr>
                <w:sz w:val="20"/>
                <w:szCs w:val="20"/>
              </w:rPr>
            </w:pPr>
            <w:r>
              <w:rPr>
                <w:sz w:val="20"/>
                <w:szCs w:val="20"/>
              </w:rPr>
              <w:t>1</w:t>
            </w:r>
          </w:p>
        </w:tc>
        <w:tc>
          <w:tcPr>
            <w:tcW w:w="1350" w:type="dxa"/>
          </w:tcPr>
          <w:p w:rsidR="007A3C01" w:rsidDel="00F906C3" w:rsidRDefault="00631BF9" w:rsidP="00F07400">
            <w:pPr>
              <w:jc w:val="right"/>
              <w:rPr>
                <w:sz w:val="20"/>
                <w:szCs w:val="20"/>
              </w:rPr>
            </w:pPr>
            <w:r>
              <w:rPr>
                <w:sz w:val="20"/>
                <w:szCs w:val="20"/>
              </w:rPr>
              <w:t>390</w:t>
            </w:r>
          </w:p>
        </w:tc>
        <w:tc>
          <w:tcPr>
            <w:tcW w:w="1080" w:type="dxa"/>
          </w:tcPr>
          <w:p w:rsidR="007A3C01" w:rsidRDefault="00E424B9" w:rsidP="00F07400">
            <w:pPr>
              <w:jc w:val="right"/>
              <w:rPr>
                <w:sz w:val="20"/>
                <w:szCs w:val="20"/>
              </w:rPr>
            </w:pPr>
            <w:r>
              <w:rPr>
                <w:sz w:val="20"/>
                <w:szCs w:val="20"/>
              </w:rPr>
              <w:t>1</w:t>
            </w:r>
          </w:p>
        </w:tc>
        <w:tc>
          <w:tcPr>
            <w:tcW w:w="828" w:type="dxa"/>
          </w:tcPr>
          <w:p w:rsidR="007A3C01" w:rsidDel="00F906C3" w:rsidRDefault="00631BF9" w:rsidP="00F07400">
            <w:pPr>
              <w:jc w:val="right"/>
              <w:rPr>
                <w:sz w:val="20"/>
                <w:szCs w:val="20"/>
              </w:rPr>
            </w:pPr>
            <w:r>
              <w:rPr>
                <w:sz w:val="20"/>
                <w:szCs w:val="20"/>
              </w:rPr>
              <w:t>390</w:t>
            </w:r>
          </w:p>
        </w:tc>
      </w:tr>
      <w:tr w:rsidR="00631BF9" w:rsidTr="00F07400">
        <w:tc>
          <w:tcPr>
            <w:tcW w:w="4050" w:type="dxa"/>
          </w:tcPr>
          <w:p w:rsidR="00631BF9" w:rsidRPr="00363950" w:rsidRDefault="00631BF9" w:rsidP="00631BF9">
            <w:pPr>
              <w:jc w:val="right"/>
              <w:rPr>
                <w:i/>
                <w:sz w:val="20"/>
                <w:szCs w:val="20"/>
              </w:rPr>
            </w:pPr>
            <w:r w:rsidRPr="00363950">
              <w:rPr>
                <w:i/>
                <w:sz w:val="20"/>
                <w:szCs w:val="20"/>
              </w:rPr>
              <w:t>Subtotal</w:t>
            </w:r>
          </w:p>
        </w:tc>
        <w:tc>
          <w:tcPr>
            <w:tcW w:w="1260" w:type="dxa"/>
          </w:tcPr>
          <w:p w:rsidR="00631BF9" w:rsidRPr="00363950" w:rsidRDefault="00631BF9" w:rsidP="00F07400">
            <w:pPr>
              <w:jc w:val="right"/>
              <w:rPr>
                <w:i/>
                <w:sz w:val="20"/>
                <w:szCs w:val="20"/>
              </w:rPr>
            </w:pPr>
            <w:r w:rsidRPr="00363950">
              <w:rPr>
                <w:i/>
                <w:sz w:val="20"/>
                <w:szCs w:val="20"/>
              </w:rPr>
              <w:t>390</w:t>
            </w:r>
          </w:p>
        </w:tc>
        <w:tc>
          <w:tcPr>
            <w:tcW w:w="1080" w:type="dxa"/>
          </w:tcPr>
          <w:p w:rsidR="00631BF9" w:rsidRPr="00363950" w:rsidRDefault="00631BF9" w:rsidP="00F07400">
            <w:pPr>
              <w:jc w:val="right"/>
              <w:rPr>
                <w:i/>
                <w:sz w:val="20"/>
                <w:szCs w:val="20"/>
              </w:rPr>
            </w:pPr>
            <w:r w:rsidRPr="00363950">
              <w:rPr>
                <w:i/>
                <w:sz w:val="20"/>
                <w:szCs w:val="20"/>
              </w:rPr>
              <w:t>1</w:t>
            </w:r>
          </w:p>
        </w:tc>
        <w:tc>
          <w:tcPr>
            <w:tcW w:w="1350" w:type="dxa"/>
          </w:tcPr>
          <w:p w:rsidR="00631BF9" w:rsidRPr="00363950" w:rsidRDefault="00631BF9" w:rsidP="00F07400">
            <w:pPr>
              <w:jc w:val="right"/>
              <w:rPr>
                <w:i/>
                <w:sz w:val="20"/>
                <w:szCs w:val="20"/>
              </w:rPr>
            </w:pPr>
            <w:r w:rsidRPr="00363950">
              <w:rPr>
                <w:i/>
                <w:sz w:val="20"/>
                <w:szCs w:val="20"/>
              </w:rPr>
              <w:t>390</w:t>
            </w:r>
          </w:p>
        </w:tc>
        <w:tc>
          <w:tcPr>
            <w:tcW w:w="1080" w:type="dxa"/>
          </w:tcPr>
          <w:p w:rsidR="00631BF9" w:rsidRPr="00363950" w:rsidRDefault="00631BF9" w:rsidP="00F07400">
            <w:pPr>
              <w:jc w:val="right"/>
              <w:rPr>
                <w:i/>
                <w:sz w:val="20"/>
                <w:szCs w:val="20"/>
              </w:rPr>
            </w:pPr>
            <w:r w:rsidRPr="00363950">
              <w:rPr>
                <w:i/>
                <w:sz w:val="20"/>
                <w:szCs w:val="20"/>
              </w:rPr>
              <w:t>2</w:t>
            </w:r>
          </w:p>
        </w:tc>
        <w:tc>
          <w:tcPr>
            <w:tcW w:w="828" w:type="dxa"/>
          </w:tcPr>
          <w:p w:rsidR="00631BF9" w:rsidRPr="00363950" w:rsidRDefault="00631BF9" w:rsidP="00F07400">
            <w:pPr>
              <w:jc w:val="right"/>
              <w:rPr>
                <w:i/>
                <w:sz w:val="20"/>
                <w:szCs w:val="20"/>
              </w:rPr>
            </w:pPr>
            <w:r w:rsidRPr="00363950">
              <w:rPr>
                <w:i/>
                <w:sz w:val="20"/>
                <w:szCs w:val="20"/>
              </w:rPr>
              <w:t>780</w:t>
            </w:r>
          </w:p>
        </w:tc>
      </w:tr>
      <w:tr w:rsidR="00363950" w:rsidTr="007335C0">
        <w:tc>
          <w:tcPr>
            <w:tcW w:w="4050" w:type="dxa"/>
          </w:tcPr>
          <w:p w:rsidR="00363950" w:rsidRPr="00631BF9" w:rsidRDefault="00363950" w:rsidP="00480594">
            <w:pPr>
              <w:rPr>
                <w:b/>
                <w:sz w:val="20"/>
                <w:szCs w:val="20"/>
                <w:u w:val="single"/>
              </w:rPr>
            </w:pPr>
            <w:proofErr w:type="spellStart"/>
            <w:r>
              <w:rPr>
                <w:b/>
                <w:sz w:val="20"/>
                <w:szCs w:val="20"/>
                <w:u w:val="single"/>
              </w:rPr>
              <w:t>CoCs</w:t>
            </w:r>
            <w:proofErr w:type="spellEnd"/>
            <w:r>
              <w:rPr>
                <w:b/>
                <w:sz w:val="20"/>
                <w:szCs w:val="20"/>
                <w:u w:val="single"/>
              </w:rPr>
              <w:t xml:space="preserve"> applying for </w:t>
            </w:r>
            <w:r w:rsidRPr="00631BF9">
              <w:rPr>
                <w:b/>
                <w:sz w:val="20"/>
                <w:szCs w:val="20"/>
                <w:u w:val="single"/>
              </w:rPr>
              <w:t xml:space="preserve">UFA </w:t>
            </w:r>
            <w:r>
              <w:rPr>
                <w:b/>
                <w:sz w:val="20"/>
                <w:szCs w:val="20"/>
                <w:u w:val="single"/>
              </w:rPr>
              <w:t>status</w:t>
            </w:r>
          </w:p>
        </w:tc>
        <w:tc>
          <w:tcPr>
            <w:tcW w:w="5598" w:type="dxa"/>
            <w:gridSpan w:val="5"/>
          </w:tcPr>
          <w:p w:rsidR="00363950" w:rsidRDefault="00363950" w:rsidP="00F07400">
            <w:pPr>
              <w:jc w:val="right"/>
              <w:rPr>
                <w:sz w:val="20"/>
                <w:szCs w:val="20"/>
              </w:rPr>
            </w:pPr>
          </w:p>
        </w:tc>
      </w:tr>
      <w:tr w:rsidR="00631BF9" w:rsidTr="00F07400">
        <w:tc>
          <w:tcPr>
            <w:tcW w:w="4050" w:type="dxa"/>
          </w:tcPr>
          <w:p w:rsidR="00631BF9" w:rsidRDefault="00631BF9" w:rsidP="00480594">
            <w:pPr>
              <w:rPr>
                <w:sz w:val="20"/>
                <w:szCs w:val="20"/>
              </w:rPr>
            </w:pPr>
            <w:proofErr w:type="spellStart"/>
            <w:r>
              <w:rPr>
                <w:sz w:val="20"/>
                <w:szCs w:val="20"/>
              </w:rPr>
              <w:t>CoC</w:t>
            </w:r>
            <w:proofErr w:type="spellEnd"/>
            <w:r>
              <w:rPr>
                <w:sz w:val="20"/>
                <w:szCs w:val="20"/>
              </w:rPr>
              <w:t xml:space="preserve"> Registration Process</w:t>
            </w:r>
          </w:p>
        </w:tc>
        <w:tc>
          <w:tcPr>
            <w:tcW w:w="1260" w:type="dxa"/>
          </w:tcPr>
          <w:p w:rsidR="00631BF9" w:rsidRDefault="00631BF9" w:rsidP="00F07400">
            <w:pPr>
              <w:jc w:val="right"/>
              <w:rPr>
                <w:sz w:val="20"/>
                <w:szCs w:val="20"/>
              </w:rPr>
            </w:pPr>
            <w:r>
              <w:rPr>
                <w:sz w:val="20"/>
                <w:szCs w:val="20"/>
              </w:rPr>
              <w:t>20</w:t>
            </w:r>
          </w:p>
        </w:tc>
        <w:tc>
          <w:tcPr>
            <w:tcW w:w="1080" w:type="dxa"/>
          </w:tcPr>
          <w:p w:rsidR="00631BF9" w:rsidRDefault="00631BF9" w:rsidP="00F07400">
            <w:pPr>
              <w:jc w:val="right"/>
              <w:rPr>
                <w:sz w:val="20"/>
                <w:szCs w:val="20"/>
              </w:rPr>
            </w:pPr>
            <w:r>
              <w:rPr>
                <w:sz w:val="20"/>
                <w:szCs w:val="20"/>
              </w:rPr>
              <w:t>1</w:t>
            </w:r>
          </w:p>
        </w:tc>
        <w:tc>
          <w:tcPr>
            <w:tcW w:w="1350" w:type="dxa"/>
          </w:tcPr>
          <w:p w:rsidR="00631BF9" w:rsidRDefault="00631BF9" w:rsidP="00F07400">
            <w:pPr>
              <w:jc w:val="right"/>
              <w:rPr>
                <w:sz w:val="20"/>
                <w:szCs w:val="20"/>
              </w:rPr>
            </w:pPr>
            <w:r>
              <w:rPr>
                <w:sz w:val="20"/>
                <w:szCs w:val="20"/>
              </w:rPr>
              <w:t>20</w:t>
            </w:r>
          </w:p>
        </w:tc>
        <w:tc>
          <w:tcPr>
            <w:tcW w:w="1080" w:type="dxa"/>
          </w:tcPr>
          <w:p w:rsidR="00631BF9" w:rsidRDefault="00C1363A" w:rsidP="00F07400">
            <w:pPr>
              <w:jc w:val="right"/>
              <w:rPr>
                <w:sz w:val="20"/>
                <w:szCs w:val="20"/>
              </w:rPr>
            </w:pPr>
            <w:r>
              <w:rPr>
                <w:sz w:val="20"/>
                <w:szCs w:val="20"/>
              </w:rPr>
              <w:t>1</w:t>
            </w:r>
          </w:p>
        </w:tc>
        <w:tc>
          <w:tcPr>
            <w:tcW w:w="828" w:type="dxa"/>
          </w:tcPr>
          <w:p w:rsidR="00631BF9" w:rsidRDefault="00631BF9" w:rsidP="00F07400">
            <w:pPr>
              <w:jc w:val="right"/>
              <w:rPr>
                <w:sz w:val="20"/>
                <w:szCs w:val="20"/>
              </w:rPr>
            </w:pPr>
            <w:r>
              <w:rPr>
                <w:sz w:val="20"/>
                <w:szCs w:val="20"/>
              </w:rPr>
              <w:t>40</w:t>
            </w:r>
          </w:p>
        </w:tc>
      </w:tr>
      <w:tr w:rsidR="00C1363A" w:rsidTr="00F07400">
        <w:tc>
          <w:tcPr>
            <w:tcW w:w="4050" w:type="dxa"/>
          </w:tcPr>
          <w:p w:rsidR="00C1363A" w:rsidRDefault="00C1363A" w:rsidP="00480594">
            <w:pPr>
              <w:rPr>
                <w:sz w:val="20"/>
                <w:szCs w:val="20"/>
              </w:rPr>
            </w:pPr>
            <w:r>
              <w:rPr>
                <w:sz w:val="20"/>
                <w:szCs w:val="20"/>
              </w:rPr>
              <w:t>UFA Questions</w:t>
            </w:r>
          </w:p>
        </w:tc>
        <w:tc>
          <w:tcPr>
            <w:tcW w:w="1260" w:type="dxa"/>
          </w:tcPr>
          <w:p w:rsidR="00C1363A" w:rsidRDefault="00C1363A" w:rsidP="00F07400">
            <w:pPr>
              <w:jc w:val="right"/>
              <w:rPr>
                <w:sz w:val="20"/>
                <w:szCs w:val="20"/>
              </w:rPr>
            </w:pPr>
            <w:r>
              <w:rPr>
                <w:sz w:val="20"/>
                <w:szCs w:val="20"/>
              </w:rPr>
              <w:t>20</w:t>
            </w:r>
          </w:p>
        </w:tc>
        <w:tc>
          <w:tcPr>
            <w:tcW w:w="1080" w:type="dxa"/>
          </w:tcPr>
          <w:p w:rsidR="00C1363A" w:rsidRDefault="00C1363A" w:rsidP="00F07400">
            <w:pPr>
              <w:jc w:val="right"/>
              <w:rPr>
                <w:sz w:val="20"/>
                <w:szCs w:val="20"/>
              </w:rPr>
            </w:pPr>
            <w:r>
              <w:rPr>
                <w:sz w:val="20"/>
                <w:szCs w:val="20"/>
              </w:rPr>
              <w:t>1</w:t>
            </w:r>
          </w:p>
        </w:tc>
        <w:tc>
          <w:tcPr>
            <w:tcW w:w="1350" w:type="dxa"/>
          </w:tcPr>
          <w:p w:rsidR="00C1363A" w:rsidRDefault="00C1363A" w:rsidP="00F07400">
            <w:pPr>
              <w:jc w:val="right"/>
              <w:rPr>
                <w:sz w:val="20"/>
                <w:szCs w:val="20"/>
              </w:rPr>
            </w:pPr>
            <w:r>
              <w:rPr>
                <w:sz w:val="20"/>
                <w:szCs w:val="20"/>
              </w:rPr>
              <w:t>20</w:t>
            </w:r>
          </w:p>
        </w:tc>
        <w:tc>
          <w:tcPr>
            <w:tcW w:w="1080" w:type="dxa"/>
          </w:tcPr>
          <w:p w:rsidR="00C1363A" w:rsidRDefault="00C1363A" w:rsidP="00F07400">
            <w:pPr>
              <w:jc w:val="right"/>
              <w:rPr>
                <w:sz w:val="20"/>
                <w:szCs w:val="20"/>
              </w:rPr>
            </w:pPr>
            <w:r>
              <w:rPr>
                <w:sz w:val="20"/>
                <w:szCs w:val="20"/>
              </w:rPr>
              <w:t>1</w:t>
            </w:r>
          </w:p>
        </w:tc>
        <w:tc>
          <w:tcPr>
            <w:tcW w:w="828" w:type="dxa"/>
          </w:tcPr>
          <w:p w:rsidR="00C1363A" w:rsidRDefault="00C1363A" w:rsidP="00F07400">
            <w:pPr>
              <w:jc w:val="right"/>
              <w:rPr>
                <w:sz w:val="20"/>
                <w:szCs w:val="20"/>
              </w:rPr>
            </w:pPr>
            <w:r>
              <w:rPr>
                <w:sz w:val="20"/>
                <w:szCs w:val="20"/>
              </w:rPr>
              <w:t>20</w:t>
            </w:r>
          </w:p>
        </w:tc>
      </w:tr>
      <w:tr w:rsidR="00631BF9" w:rsidTr="00F07400">
        <w:tc>
          <w:tcPr>
            <w:tcW w:w="4050" w:type="dxa"/>
          </w:tcPr>
          <w:p w:rsidR="00631BF9" w:rsidRDefault="00631BF9" w:rsidP="00480594">
            <w:pPr>
              <w:rPr>
                <w:sz w:val="20"/>
                <w:szCs w:val="20"/>
              </w:rPr>
            </w:pPr>
            <w:r>
              <w:rPr>
                <w:sz w:val="20"/>
                <w:szCs w:val="20"/>
              </w:rPr>
              <w:t>GIW Review and Updating</w:t>
            </w:r>
          </w:p>
        </w:tc>
        <w:tc>
          <w:tcPr>
            <w:tcW w:w="1260" w:type="dxa"/>
          </w:tcPr>
          <w:p w:rsidR="00631BF9" w:rsidRDefault="00631BF9" w:rsidP="00F07400">
            <w:pPr>
              <w:jc w:val="right"/>
              <w:rPr>
                <w:sz w:val="20"/>
                <w:szCs w:val="20"/>
              </w:rPr>
            </w:pPr>
            <w:r>
              <w:rPr>
                <w:sz w:val="20"/>
                <w:szCs w:val="20"/>
              </w:rPr>
              <w:t>20</w:t>
            </w:r>
          </w:p>
        </w:tc>
        <w:tc>
          <w:tcPr>
            <w:tcW w:w="1080" w:type="dxa"/>
          </w:tcPr>
          <w:p w:rsidR="00631BF9" w:rsidRDefault="00631BF9" w:rsidP="00F07400">
            <w:pPr>
              <w:jc w:val="right"/>
              <w:rPr>
                <w:sz w:val="20"/>
                <w:szCs w:val="20"/>
              </w:rPr>
            </w:pPr>
            <w:r>
              <w:rPr>
                <w:sz w:val="20"/>
                <w:szCs w:val="20"/>
              </w:rPr>
              <w:t>1</w:t>
            </w:r>
          </w:p>
        </w:tc>
        <w:tc>
          <w:tcPr>
            <w:tcW w:w="1350" w:type="dxa"/>
          </w:tcPr>
          <w:p w:rsidR="00631BF9" w:rsidRDefault="00631BF9" w:rsidP="00F07400">
            <w:pPr>
              <w:jc w:val="right"/>
              <w:rPr>
                <w:sz w:val="20"/>
                <w:szCs w:val="20"/>
              </w:rPr>
            </w:pPr>
            <w:r>
              <w:rPr>
                <w:sz w:val="20"/>
                <w:szCs w:val="20"/>
              </w:rPr>
              <w:t>20</w:t>
            </w:r>
          </w:p>
        </w:tc>
        <w:tc>
          <w:tcPr>
            <w:tcW w:w="1080" w:type="dxa"/>
          </w:tcPr>
          <w:p w:rsidR="00631BF9" w:rsidRDefault="00631BF9" w:rsidP="00F07400">
            <w:pPr>
              <w:jc w:val="right"/>
              <w:rPr>
                <w:sz w:val="20"/>
                <w:szCs w:val="20"/>
              </w:rPr>
            </w:pPr>
            <w:r>
              <w:rPr>
                <w:sz w:val="20"/>
                <w:szCs w:val="20"/>
              </w:rPr>
              <w:t>1</w:t>
            </w:r>
          </w:p>
        </w:tc>
        <w:tc>
          <w:tcPr>
            <w:tcW w:w="828" w:type="dxa"/>
          </w:tcPr>
          <w:p w:rsidR="00631BF9" w:rsidRDefault="00631BF9" w:rsidP="00F07400">
            <w:pPr>
              <w:jc w:val="right"/>
              <w:rPr>
                <w:sz w:val="20"/>
                <w:szCs w:val="20"/>
              </w:rPr>
            </w:pPr>
            <w:r>
              <w:rPr>
                <w:sz w:val="20"/>
                <w:szCs w:val="20"/>
              </w:rPr>
              <w:t>20</w:t>
            </w:r>
          </w:p>
        </w:tc>
      </w:tr>
      <w:tr w:rsidR="00631BF9" w:rsidTr="00F07400">
        <w:tc>
          <w:tcPr>
            <w:tcW w:w="4050" w:type="dxa"/>
          </w:tcPr>
          <w:p w:rsidR="00631BF9" w:rsidRPr="00363950" w:rsidRDefault="00631BF9" w:rsidP="00631BF9">
            <w:pPr>
              <w:jc w:val="right"/>
              <w:rPr>
                <w:i/>
                <w:sz w:val="20"/>
                <w:szCs w:val="20"/>
              </w:rPr>
            </w:pPr>
            <w:r w:rsidRPr="00363950">
              <w:rPr>
                <w:i/>
                <w:sz w:val="20"/>
                <w:szCs w:val="20"/>
              </w:rPr>
              <w:t>Subtotal</w:t>
            </w:r>
          </w:p>
        </w:tc>
        <w:tc>
          <w:tcPr>
            <w:tcW w:w="1260" w:type="dxa"/>
          </w:tcPr>
          <w:p w:rsidR="00631BF9" w:rsidRPr="00363950" w:rsidRDefault="00631BF9" w:rsidP="00F07400">
            <w:pPr>
              <w:jc w:val="right"/>
              <w:rPr>
                <w:i/>
                <w:sz w:val="20"/>
                <w:szCs w:val="20"/>
              </w:rPr>
            </w:pPr>
            <w:r w:rsidRPr="00363950">
              <w:rPr>
                <w:i/>
                <w:sz w:val="20"/>
                <w:szCs w:val="20"/>
              </w:rPr>
              <w:t>20</w:t>
            </w:r>
          </w:p>
        </w:tc>
        <w:tc>
          <w:tcPr>
            <w:tcW w:w="1080" w:type="dxa"/>
          </w:tcPr>
          <w:p w:rsidR="00631BF9" w:rsidRPr="00363950" w:rsidRDefault="00631BF9" w:rsidP="00F07400">
            <w:pPr>
              <w:jc w:val="right"/>
              <w:rPr>
                <w:i/>
                <w:sz w:val="20"/>
                <w:szCs w:val="20"/>
              </w:rPr>
            </w:pPr>
            <w:r w:rsidRPr="00363950">
              <w:rPr>
                <w:i/>
                <w:sz w:val="20"/>
                <w:szCs w:val="20"/>
              </w:rPr>
              <w:t>1</w:t>
            </w:r>
          </w:p>
        </w:tc>
        <w:tc>
          <w:tcPr>
            <w:tcW w:w="1350" w:type="dxa"/>
          </w:tcPr>
          <w:p w:rsidR="00631BF9" w:rsidRPr="00363950" w:rsidRDefault="00631BF9" w:rsidP="00F07400">
            <w:pPr>
              <w:jc w:val="right"/>
              <w:rPr>
                <w:i/>
                <w:sz w:val="20"/>
                <w:szCs w:val="20"/>
              </w:rPr>
            </w:pPr>
            <w:r w:rsidRPr="00363950">
              <w:rPr>
                <w:i/>
                <w:sz w:val="20"/>
                <w:szCs w:val="20"/>
              </w:rPr>
              <w:t>20</w:t>
            </w:r>
          </w:p>
        </w:tc>
        <w:tc>
          <w:tcPr>
            <w:tcW w:w="1080" w:type="dxa"/>
          </w:tcPr>
          <w:p w:rsidR="00631BF9" w:rsidRPr="00363950" w:rsidRDefault="00631BF9" w:rsidP="00F07400">
            <w:pPr>
              <w:jc w:val="right"/>
              <w:rPr>
                <w:i/>
                <w:sz w:val="20"/>
                <w:szCs w:val="20"/>
              </w:rPr>
            </w:pPr>
            <w:r w:rsidRPr="00363950">
              <w:rPr>
                <w:i/>
                <w:sz w:val="20"/>
                <w:szCs w:val="20"/>
              </w:rPr>
              <w:t>3</w:t>
            </w:r>
          </w:p>
        </w:tc>
        <w:tc>
          <w:tcPr>
            <w:tcW w:w="828" w:type="dxa"/>
          </w:tcPr>
          <w:p w:rsidR="00631BF9" w:rsidRPr="00363950" w:rsidRDefault="00631BF9" w:rsidP="00F07400">
            <w:pPr>
              <w:jc w:val="right"/>
              <w:rPr>
                <w:i/>
                <w:sz w:val="20"/>
                <w:szCs w:val="20"/>
              </w:rPr>
            </w:pPr>
            <w:r w:rsidRPr="00363950">
              <w:rPr>
                <w:i/>
                <w:sz w:val="20"/>
                <w:szCs w:val="20"/>
              </w:rPr>
              <w:t>60</w:t>
            </w:r>
          </w:p>
        </w:tc>
      </w:tr>
      <w:tr w:rsidR="00693613" w:rsidRPr="005C4B58" w:rsidTr="00F07400">
        <w:tc>
          <w:tcPr>
            <w:tcW w:w="4050" w:type="dxa"/>
          </w:tcPr>
          <w:p w:rsidR="00693613" w:rsidRPr="005C4B58" w:rsidRDefault="00693613" w:rsidP="00F07400">
            <w:pPr>
              <w:rPr>
                <w:b/>
                <w:sz w:val="20"/>
                <w:szCs w:val="20"/>
              </w:rPr>
            </w:pPr>
            <w:r w:rsidRPr="005C4B58">
              <w:rPr>
                <w:b/>
                <w:sz w:val="20"/>
                <w:szCs w:val="20"/>
              </w:rPr>
              <w:t>Total Grant Program Application Collection</w:t>
            </w:r>
          </w:p>
        </w:tc>
        <w:tc>
          <w:tcPr>
            <w:tcW w:w="1260" w:type="dxa"/>
          </w:tcPr>
          <w:p w:rsidR="00693613" w:rsidRPr="00631BF9" w:rsidRDefault="00F906C3" w:rsidP="00F07400">
            <w:pPr>
              <w:jc w:val="right"/>
              <w:rPr>
                <w:b/>
              </w:rPr>
            </w:pPr>
            <w:r w:rsidRPr="00631BF9">
              <w:rPr>
                <w:b/>
              </w:rPr>
              <w:t>410</w:t>
            </w:r>
          </w:p>
        </w:tc>
        <w:tc>
          <w:tcPr>
            <w:tcW w:w="1080" w:type="dxa"/>
          </w:tcPr>
          <w:p w:rsidR="00693613" w:rsidRPr="00631BF9" w:rsidRDefault="00E424B9" w:rsidP="00F07400">
            <w:pPr>
              <w:jc w:val="right"/>
              <w:rPr>
                <w:b/>
                <w:sz w:val="28"/>
                <w:szCs w:val="28"/>
              </w:rPr>
            </w:pPr>
            <w:r w:rsidRPr="00631BF9">
              <w:rPr>
                <w:b/>
                <w:sz w:val="28"/>
                <w:szCs w:val="28"/>
              </w:rPr>
              <w:t>1</w:t>
            </w:r>
          </w:p>
        </w:tc>
        <w:tc>
          <w:tcPr>
            <w:tcW w:w="1350" w:type="dxa"/>
          </w:tcPr>
          <w:p w:rsidR="00693613" w:rsidRPr="005C4B58" w:rsidRDefault="00E424B9" w:rsidP="00F07400">
            <w:pPr>
              <w:jc w:val="right"/>
              <w:rPr>
                <w:b/>
                <w:sz w:val="20"/>
                <w:szCs w:val="20"/>
              </w:rPr>
            </w:pPr>
            <w:r>
              <w:rPr>
                <w:b/>
                <w:sz w:val="20"/>
                <w:szCs w:val="20"/>
              </w:rPr>
              <w:t>410</w:t>
            </w:r>
          </w:p>
        </w:tc>
        <w:tc>
          <w:tcPr>
            <w:tcW w:w="1080" w:type="dxa"/>
          </w:tcPr>
          <w:p w:rsidR="00693613" w:rsidRPr="005C4B58" w:rsidRDefault="00E424B9" w:rsidP="00F07400">
            <w:pPr>
              <w:jc w:val="right"/>
              <w:rPr>
                <w:b/>
                <w:sz w:val="20"/>
                <w:szCs w:val="20"/>
              </w:rPr>
            </w:pPr>
            <w:r>
              <w:rPr>
                <w:b/>
                <w:sz w:val="20"/>
                <w:szCs w:val="20"/>
              </w:rPr>
              <w:t>2</w:t>
            </w:r>
            <w:r w:rsidR="00631BF9">
              <w:rPr>
                <w:b/>
                <w:sz w:val="20"/>
                <w:szCs w:val="20"/>
              </w:rPr>
              <w:t>-3 hours</w:t>
            </w:r>
          </w:p>
        </w:tc>
        <w:tc>
          <w:tcPr>
            <w:tcW w:w="828" w:type="dxa"/>
          </w:tcPr>
          <w:p w:rsidR="00693613" w:rsidRPr="005C4B58" w:rsidRDefault="00631BF9" w:rsidP="00F07400">
            <w:pPr>
              <w:jc w:val="right"/>
              <w:rPr>
                <w:b/>
                <w:sz w:val="20"/>
                <w:szCs w:val="20"/>
              </w:rPr>
            </w:pPr>
            <w:r>
              <w:rPr>
                <w:b/>
                <w:sz w:val="20"/>
                <w:szCs w:val="20"/>
              </w:rPr>
              <w:t>840</w:t>
            </w:r>
          </w:p>
        </w:tc>
      </w:tr>
    </w:tbl>
    <w:p w:rsidR="00693613" w:rsidRDefault="00693613" w:rsidP="00693613">
      <w:pPr>
        <w:autoSpaceDE w:val="0"/>
        <w:autoSpaceDN w:val="0"/>
        <w:adjustRightInd w:val="0"/>
        <w:rPr>
          <w:color w:val="000000"/>
        </w:rPr>
      </w:pPr>
    </w:p>
    <w:p w:rsidR="00693613" w:rsidRDefault="00693613" w:rsidP="00693613">
      <w:pPr>
        <w:autoSpaceDE w:val="0"/>
        <w:autoSpaceDN w:val="0"/>
        <w:adjustRightInd w:val="0"/>
        <w:rPr>
          <w:color w:val="000000"/>
        </w:rPr>
      </w:pPr>
    </w:p>
    <w:p w:rsidR="00693613" w:rsidRPr="000E1981" w:rsidRDefault="00693613" w:rsidP="00693613">
      <w:pPr>
        <w:rPr>
          <w:sz w:val="18"/>
        </w:rPr>
      </w:pPr>
    </w:p>
    <w:p w:rsidR="00693613" w:rsidRDefault="00693613" w:rsidP="00693613">
      <w:pPr>
        <w:pStyle w:val="AbtHeadB"/>
        <w:ind w:left="720" w:hanging="720"/>
      </w:pPr>
      <w:bookmarkStart w:id="60" w:name="_Toc233444289"/>
      <w:bookmarkStart w:id="61" w:name="_Toc311186226"/>
      <w:r>
        <w:t>A13</w:t>
      </w:r>
      <w:r>
        <w:tab/>
        <w:t>Capital Costs</w:t>
      </w:r>
      <w:bookmarkEnd w:id="60"/>
      <w:bookmarkEnd w:id="61"/>
    </w:p>
    <w:p w:rsidR="00693613" w:rsidRDefault="00693613" w:rsidP="00693613">
      <w:pPr>
        <w:tabs>
          <w:tab w:val="left" w:pos="0"/>
        </w:tabs>
        <w:rPr>
          <w:rFonts w:ascii="Arial" w:hAnsi="Arial"/>
          <w:i/>
          <w:color w:val="000000"/>
        </w:rPr>
      </w:pPr>
      <w:r>
        <w:rPr>
          <w:rFonts w:ascii="Arial" w:hAnsi="Arial"/>
          <w:i/>
          <w:color w:val="000000"/>
        </w:rPr>
        <w:t>Estimate the annual capital cost to respondents or record keepers.</w:t>
      </w:r>
    </w:p>
    <w:p w:rsidR="00693613" w:rsidRDefault="00693613" w:rsidP="00693613"/>
    <w:p w:rsidR="00693613" w:rsidRDefault="00693613" w:rsidP="00693613">
      <w:r w:rsidRPr="007172EE">
        <w:t>There are no additional costs to respondents</w:t>
      </w:r>
      <w:r w:rsidRPr="0010088C">
        <w:t>.</w:t>
      </w:r>
    </w:p>
    <w:p w:rsidR="00693613" w:rsidRDefault="00693613" w:rsidP="00693613">
      <w:pPr>
        <w:pStyle w:val="Header"/>
        <w:tabs>
          <w:tab w:val="clear" w:pos="4320"/>
          <w:tab w:val="clear" w:pos="8640"/>
          <w:tab w:val="left" w:pos="720"/>
          <w:tab w:val="left" w:pos="1080"/>
          <w:tab w:val="left" w:pos="1440"/>
        </w:tabs>
      </w:pPr>
    </w:p>
    <w:p w:rsidR="007449CE" w:rsidRDefault="007449CE" w:rsidP="00693613">
      <w:pPr>
        <w:pStyle w:val="Header"/>
        <w:tabs>
          <w:tab w:val="clear" w:pos="4320"/>
          <w:tab w:val="clear" w:pos="8640"/>
          <w:tab w:val="left" w:pos="720"/>
          <w:tab w:val="left" w:pos="1080"/>
          <w:tab w:val="left" w:pos="1440"/>
        </w:tabs>
      </w:pPr>
    </w:p>
    <w:p w:rsidR="00693613" w:rsidRDefault="00693613" w:rsidP="00693613">
      <w:pPr>
        <w:pStyle w:val="AbtHeadB"/>
        <w:spacing w:after="240"/>
      </w:pPr>
      <w:bookmarkStart w:id="62" w:name="_Toc224972117"/>
      <w:bookmarkStart w:id="63" w:name="_Toc233444290"/>
      <w:bookmarkStart w:id="64" w:name="_Toc311186227"/>
      <w:r>
        <w:t>A14</w:t>
      </w:r>
      <w:r>
        <w:tab/>
        <w:t>Cost to the Federal Government</w:t>
      </w:r>
      <w:bookmarkEnd w:id="62"/>
      <w:bookmarkEnd w:id="63"/>
      <w:bookmarkEnd w:id="64"/>
    </w:p>
    <w:p w:rsidR="00693613" w:rsidRDefault="00693613" w:rsidP="00693613">
      <w:pPr>
        <w:pStyle w:val="BodyText"/>
        <w:spacing w:after="240"/>
        <w:rPr>
          <w:rFonts w:ascii="Arial" w:hAnsi="Arial"/>
          <w:i/>
        </w:rPr>
      </w:pPr>
      <w:r>
        <w:rPr>
          <w:rFonts w:ascii="Arial" w:hAnsi="Arial"/>
          <w:i/>
          <w:color w:val="000000"/>
        </w:rPr>
        <w:t>Estimate annualized costs to the Federal government.</w:t>
      </w:r>
    </w:p>
    <w:p w:rsidR="00693613" w:rsidRDefault="00693613" w:rsidP="00693613">
      <w:pPr>
        <w:pStyle w:val="BodyText"/>
      </w:pPr>
      <w:r>
        <w:t>Estimates of annualized cost to the Federal Government (clerical and professional staff time):</w:t>
      </w:r>
    </w:p>
    <w:p w:rsidR="00693613" w:rsidRDefault="00693613" w:rsidP="00693613">
      <w:pPr>
        <w:pStyle w:val="BodyText"/>
        <w:ind w:firstLine="720"/>
      </w:pPr>
      <w:r w:rsidRPr="007172EE">
        <w:rPr>
          <w:u w:val="single"/>
        </w:rPr>
        <w:t>Registration Review</w:t>
      </w:r>
      <w:r w:rsidRPr="007172EE">
        <w:t>:</w:t>
      </w:r>
      <w:r>
        <w:t xml:space="preserve"> 4</w:t>
      </w:r>
      <w:r w:rsidR="00A005D6">
        <w:t>10</w:t>
      </w:r>
      <w:r>
        <w:t xml:space="preserve"> </w:t>
      </w:r>
      <w:proofErr w:type="spellStart"/>
      <w:r>
        <w:t>CoCs</w:t>
      </w:r>
      <w:proofErr w:type="spellEnd"/>
      <w:r>
        <w:t xml:space="preserve"> x 1 hour per year x $</w:t>
      </w:r>
      <w:r w:rsidR="00E424B9">
        <w:t>42.80</w:t>
      </w:r>
      <w:r>
        <w:t xml:space="preserve">* </w:t>
      </w:r>
    </w:p>
    <w:p w:rsidR="00693613" w:rsidRDefault="00693613" w:rsidP="00693613">
      <w:pPr>
        <w:pStyle w:val="BodyText"/>
        <w:ind w:firstLine="720"/>
      </w:pPr>
      <w:r>
        <w:rPr>
          <w:u w:val="single"/>
        </w:rPr>
        <w:t>Total cost to the Federal Government</w:t>
      </w:r>
      <w:r>
        <w:t>:  $</w:t>
      </w:r>
      <w:r w:rsidR="00E424B9">
        <w:t>17,550</w:t>
      </w:r>
    </w:p>
    <w:p w:rsidR="00693613" w:rsidRPr="004A55FD" w:rsidRDefault="00693613" w:rsidP="00693613">
      <w:pPr>
        <w:pStyle w:val="BodyText"/>
        <w:jc w:val="center"/>
        <w:rPr>
          <w:sz w:val="22"/>
        </w:rPr>
      </w:pPr>
      <w:r w:rsidRPr="004A55FD">
        <w:rPr>
          <w:sz w:val="22"/>
        </w:rPr>
        <w:t>*this figure is based on a GS-1</w:t>
      </w:r>
      <w:r w:rsidR="00E424B9">
        <w:rPr>
          <w:sz w:val="22"/>
        </w:rPr>
        <w:t>3, step 1</w:t>
      </w:r>
      <w:r w:rsidRPr="004A55FD">
        <w:rPr>
          <w:sz w:val="22"/>
        </w:rPr>
        <w:t xml:space="preserve"> salary</w:t>
      </w:r>
    </w:p>
    <w:p w:rsidR="00693613" w:rsidRDefault="00693613" w:rsidP="00693613">
      <w:pPr>
        <w:pStyle w:val="BodyText"/>
      </w:pPr>
      <w:r>
        <w:t xml:space="preserve">The cost to specific government employees may increase if respondents under their review apply as Unified Funding </w:t>
      </w:r>
      <w:r w:rsidR="00E02EAA">
        <w:t>Agencies</w:t>
      </w:r>
      <w:r>
        <w:t xml:space="preserve">, as this type of applicant will be required to answer additional questions. </w:t>
      </w:r>
      <w:r w:rsidR="00870C79">
        <w:t>However it is HUD</w:t>
      </w:r>
      <w:r w:rsidR="00F46A59">
        <w:t>’</w:t>
      </w:r>
      <w:r w:rsidR="00870C79">
        <w:t xml:space="preserve">s determination, through staff experience and </w:t>
      </w:r>
      <w:proofErr w:type="gramStart"/>
      <w:r w:rsidR="00870C79">
        <w:t>expertise</w:t>
      </w:r>
      <w:r w:rsidR="007449CE">
        <w:t>,</w:t>
      </w:r>
      <w:r w:rsidR="00870C79">
        <w:t xml:space="preserve"> that</w:t>
      </w:r>
      <w:proofErr w:type="gramEnd"/>
      <w:r w:rsidR="00870C79">
        <w:t xml:space="preserve"> fewer than </w:t>
      </w:r>
      <w:r w:rsidR="00A005D6">
        <w:t xml:space="preserve">20 </w:t>
      </w:r>
      <w:r w:rsidR="00870C79">
        <w:t xml:space="preserve">applicants </w:t>
      </w:r>
      <w:r w:rsidR="006F1093">
        <w:t xml:space="preserve">apply </w:t>
      </w:r>
      <w:r w:rsidR="00F46A59">
        <w:t>for</w:t>
      </w:r>
      <w:r w:rsidR="006F1093">
        <w:t xml:space="preserve"> UFA</w:t>
      </w:r>
      <w:r w:rsidR="00F46A59">
        <w:t xml:space="preserve"> designation</w:t>
      </w:r>
      <w:r w:rsidR="0024505F">
        <w:t xml:space="preserve">, and </w:t>
      </w:r>
      <w:r w:rsidR="00F66F80">
        <w:t xml:space="preserve">only </w:t>
      </w:r>
      <w:r w:rsidR="00F46A59">
        <w:t>two Collaborative Applicants</w:t>
      </w:r>
      <w:r w:rsidR="0024505F">
        <w:t xml:space="preserve"> </w:t>
      </w:r>
      <w:r w:rsidR="00F66F80">
        <w:t>have</w:t>
      </w:r>
      <w:r w:rsidR="0024505F">
        <w:t xml:space="preserve"> been</w:t>
      </w:r>
      <w:r w:rsidR="007449CE">
        <w:t xml:space="preserve"> successful in completing the UFA process at Registration. </w:t>
      </w:r>
      <w:r w:rsidR="0024505F">
        <w:t xml:space="preserve"> </w:t>
      </w:r>
    </w:p>
    <w:p w:rsidR="007449CE" w:rsidRDefault="007449CE" w:rsidP="00693613">
      <w:pPr>
        <w:pStyle w:val="BodyText"/>
      </w:pPr>
    </w:p>
    <w:p w:rsidR="00693613" w:rsidRDefault="00693613" w:rsidP="00693613"/>
    <w:p w:rsidR="00693613" w:rsidRDefault="00693613" w:rsidP="00693613">
      <w:pPr>
        <w:pStyle w:val="AbtHeadB"/>
      </w:pPr>
      <w:bookmarkStart w:id="65" w:name="_Toc224972118"/>
      <w:bookmarkStart w:id="66" w:name="_Toc233444291"/>
      <w:bookmarkStart w:id="67" w:name="_Toc311186228"/>
      <w:r>
        <w:lastRenderedPageBreak/>
        <w:t>A15</w:t>
      </w:r>
      <w:r>
        <w:tab/>
        <w:t>Program or Burden Changes</w:t>
      </w:r>
      <w:bookmarkEnd w:id="65"/>
      <w:bookmarkEnd w:id="66"/>
      <w:bookmarkEnd w:id="67"/>
    </w:p>
    <w:p w:rsidR="00693613" w:rsidRDefault="00693613" w:rsidP="00693613">
      <w:pPr>
        <w:keepLines/>
        <w:tabs>
          <w:tab w:val="left" w:pos="0"/>
        </w:tabs>
        <w:spacing w:after="80"/>
        <w:rPr>
          <w:rFonts w:ascii="Arial" w:hAnsi="Arial"/>
          <w:i/>
          <w:color w:val="000000"/>
        </w:rPr>
      </w:pPr>
      <w:r>
        <w:rPr>
          <w:rFonts w:ascii="Arial" w:hAnsi="Arial"/>
          <w:i/>
          <w:color w:val="000000"/>
        </w:rPr>
        <w:t xml:space="preserve">Explain any program changes or adjustments in burden. </w:t>
      </w:r>
    </w:p>
    <w:p w:rsidR="00987CB7" w:rsidRPr="00987CB7" w:rsidRDefault="00987CB7" w:rsidP="00987CB7">
      <w:pPr>
        <w:rPr>
          <w:spacing w:val="-2"/>
        </w:rPr>
      </w:pPr>
      <w:r w:rsidRPr="00987CB7">
        <w:rPr>
          <w:spacing w:val="-2"/>
        </w:rPr>
        <w:t xml:space="preserve">This collection of information continues the changes that were included in the previous approved package regarding the HEARTH Act and 24 CFR </w:t>
      </w:r>
      <w:proofErr w:type="gramStart"/>
      <w:r w:rsidRPr="00987CB7">
        <w:rPr>
          <w:spacing w:val="-2"/>
        </w:rPr>
        <w:t>part</w:t>
      </w:r>
      <w:proofErr w:type="gramEnd"/>
      <w:r w:rsidRPr="00987CB7">
        <w:rPr>
          <w:spacing w:val="-2"/>
        </w:rPr>
        <w:t xml:space="preserve"> 578.  This package has been changed to show that the number of respondents has decreased (to 410, from 450 previously) due in large part to </w:t>
      </w:r>
      <w:proofErr w:type="spellStart"/>
      <w:r w:rsidRPr="00987CB7">
        <w:rPr>
          <w:spacing w:val="-2"/>
        </w:rPr>
        <w:t>CoCs</w:t>
      </w:r>
      <w:proofErr w:type="spellEnd"/>
      <w:r w:rsidRPr="00987CB7">
        <w:rPr>
          <w:spacing w:val="-2"/>
        </w:rPr>
        <w:t xml:space="preserve"> merging to combine resources and funding.  In addition, while the total burden hours per </w:t>
      </w:r>
      <w:proofErr w:type="spellStart"/>
      <w:r w:rsidRPr="00987CB7">
        <w:rPr>
          <w:spacing w:val="-2"/>
        </w:rPr>
        <w:t>CoC</w:t>
      </w:r>
      <w:proofErr w:type="spellEnd"/>
      <w:r w:rsidRPr="00987CB7">
        <w:rPr>
          <w:spacing w:val="-2"/>
        </w:rPr>
        <w:t xml:space="preserve"> respondent stayed the same (at two hours), the registration process shown in question 12, Burden Estimate, was broken out to show that the Registration forms and the GIW are distinct estimates.  While this break out has always been the case and it does not represent a programmatic change, showing it in the table provides a more detailed presentation of the information collected.   Finally, the burden hours were also broken out for the small number of </w:t>
      </w:r>
      <w:proofErr w:type="spellStart"/>
      <w:r w:rsidRPr="00987CB7">
        <w:rPr>
          <w:spacing w:val="-2"/>
        </w:rPr>
        <w:t>CoCs</w:t>
      </w:r>
      <w:proofErr w:type="spellEnd"/>
      <w:r w:rsidRPr="00987CB7">
        <w:rPr>
          <w:spacing w:val="-2"/>
        </w:rPr>
        <w:t xml:space="preserve"> that apply as UFAs to incorporate the additional hour needed in their registration.  As stated above, based on the program's three years of experience with UFAs, HUD expects that very few </w:t>
      </w:r>
      <w:proofErr w:type="spellStart"/>
      <w:r w:rsidRPr="00987CB7">
        <w:rPr>
          <w:spacing w:val="-2"/>
        </w:rPr>
        <w:t>CoCs</w:t>
      </w:r>
      <w:proofErr w:type="spellEnd"/>
      <w:r w:rsidRPr="00987CB7">
        <w:rPr>
          <w:spacing w:val="-2"/>
        </w:rPr>
        <w:t xml:space="preserve"> will register as UFAs each year, therefore the impact on burden will remain slight."</w:t>
      </w:r>
    </w:p>
    <w:p w:rsidR="00693613" w:rsidRDefault="00693613" w:rsidP="00693613">
      <w:pPr>
        <w:rPr>
          <w:spacing w:val="-2"/>
        </w:rPr>
      </w:pPr>
    </w:p>
    <w:p w:rsidR="007449CE" w:rsidRDefault="007449CE" w:rsidP="00693613">
      <w:bookmarkStart w:id="68" w:name="_GoBack"/>
      <w:bookmarkEnd w:id="68"/>
    </w:p>
    <w:p w:rsidR="009712AD" w:rsidRDefault="009712AD" w:rsidP="00693613"/>
    <w:p w:rsidR="00693613" w:rsidRDefault="00693613" w:rsidP="00693613">
      <w:pPr>
        <w:pStyle w:val="AbtHeadB"/>
      </w:pPr>
      <w:bookmarkStart w:id="69" w:name="_Toc224972119"/>
      <w:bookmarkStart w:id="70" w:name="_Toc233444292"/>
      <w:bookmarkStart w:id="71" w:name="_Toc311186229"/>
      <w:r>
        <w:t>A16</w:t>
      </w:r>
      <w:r>
        <w:tab/>
        <w:t>Publication and Tabulation Dates</w:t>
      </w:r>
      <w:bookmarkEnd w:id="69"/>
      <w:bookmarkEnd w:id="70"/>
      <w:bookmarkEnd w:id="71"/>
    </w:p>
    <w:p w:rsidR="00693613" w:rsidRPr="00E9087D" w:rsidRDefault="00693613" w:rsidP="00693613">
      <w:pPr>
        <w:pStyle w:val="AbtHeadC"/>
        <w:rPr>
          <w:b w:val="0"/>
          <w:i/>
          <w:sz w:val="22"/>
        </w:rPr>
      </w:pPr>
      <w:bookmarkStart w:id="72" w:name="_Toc224972120"/>
      <w:bookmarkStart w:id="73" w:name="_Toc310931668"/>
      <w:bookmarkStart w:id="74" w:name="_Toc310937529"/>
      <w:bookmarkStart w:id="75" w:name="_Toc311186230"/>
      <w:r w:rsidRPr="00E9087D">
        <w:rPr>
          <w:b w:val="0"/>
          <w:i/>
          <w:color w:val="000000"/>
          <w:sz w:val="22"/>
        </w:rPr>
        <w:t>If the information will be published, outline plans for tabulation and publication</w:t>
      </w:r>
      <w:bookmarkEnd w:id="72"/>
      <w:r w:rsidRPr="00E9087D">
        <w:rPr>
          <w:b w:val="0"/>
          <w:i/>
          <w:color w:val="000000"/>
          <w:sz w:val="22"/>
        </w:rPr>
        <w:t>.</w:t>
      </w:r>
      <w:bookmarkEnd w:id="73"/>
      <w:bookmarkEnd w:id="74"/>
      <w:bookmarkEnd w:id="75"/>
    </w:p>
    <w:p w:rsidR="00693613" w:rsidRPr="00E9087D" w:rsidRDefault="00693613" w:rsidP="00693613">
      <w:r w:rsidRPr="007172EE">
        <w:t>The results of this collection of information will not be published for statistical use</w:t>
      </w:r>
      <w:r>
        <w:t>.</w:t>
      </w:r>
    </w:p>
    <w:p w:rsidR="00693613" w:rsidRDefault="00693613" w:rsidP="00693613">
      <w:pPr>
        <w:rPr>
          <w:highlight w:val="yellow"/>
        </w:rPr>
      </w:pPr>
    </w:p>
    <w:p w:rsidR="00693613" w:rsidRDefault="00693613" w:rsidP="00693613">
      <w:pPr>
        <w:rPr>
          <w:rFonts w:ascii="Arial" w:hAnsi="Arial"/>
          <w:b/>
        </w:rPr>
      </w:pPr>
    </w:p>
    <w:p w:rsidR="00693613" w:rsidRDefault="00693613" w:rsidP="00693613">
      <w:pPr>
        <w:pStyle w:val="AbtHeadBOutlined"/>
        <w:tabs>
          <w:tab w:val="clear" w:pos="720"/>
        </w:tabs>
        <w:ind w:left="0" w:firstLine="0"/>
      </w:pPr>
      <w:bookmarkStart w:id="76" w:name="_Toc224972122"/>
      <w:bookmarkStart w:id="77" w:name="_Toc233444293"/>
      <w:bookmarkStart w:id="78" w:name="_Toc311186231"/>
      <w:r>
        <w:t>A17</w:t>
      </w:r>
      <w:r>
        <w:tab/>
        <w:t>Expiration Date</w:t>
      </w:r>
      <w:bookmarkEnd w:id="76"/>
      <w:bookmarkEnd w:id="77"/>
      <w:bookmarkEnd w:id="78"/>
    </w:p>
    <w:p w:rsidR="00693613" w:rsidRDefault="00693613" w:rsidP="00693613">
      <w:pPr>
        <w:keepLines/>
        <w:tabs>
          <w:tab w:val="left" w:pos="0"/>
        </w:tabs>
        <w:rPr>
          <w:rFonts w:ascii="Arial" w:hAnsi="Arial"/>
          <w:i/>
          <w:color w:val="000000"/>
        </w:rPr>
      </w:pPr>
      <w:r>
        <w:rPr>
          <w:rFonts w:ascii="Arial" w:hAnsi="Arial"/>
          <w:i/>
          <w:color w:val="000000"/>
        </w:rPr>
        <w:t xml:space="preserve">Explain any request to not display the expiration date. </w:t>
      </w:r>
    </w:p>
    <w:p w:rsidR="00693613" w:rsidRDefault="00693613" w:rsidP="00693613">
      <w:pPr>
        <w:pStyle w:val="BodyTextIndent"/>
        <w:ind w:left="0"/>
      </w:pPr>
    </w:p>
    <w:p w:rsidR="00693613" w:rsidRDefault="00693613" w:rsidP="00693613">
      <w:pPr>
        <w:pStyle w:val="BodyTextIndent"/>
        <w:ind w:left="0"/>
      </w:pPr>
      <w:r w:rsidRPr="007172EE">
        <w:t>No approval is sought to not display the expiration date for OMB approval of information collection</w:t>
      </w:r>
      <w:r w:rsidRPr="00E9087D">
        <w:t>.</w:t>
      </w:r>
    </w:p>
    <w:p w:rsidR="00693613" w:rsidRDefault="00693613" w:rsidP="00693613">
      <w:pPr>
        <w:ind w:left="360"/>
      </w:pPr>
    </w:p>
    <w:p w:rsidR="00693613" w:rsidRDefault="00693613" w:rsidP="00693613">
      <w:pPr>
        <w:pStyle w:val="AbtHeadBOutlined"/>
        <w:tabs>
          <w:tab w:val="clear" w:pos="720"/>
        </w:tabs>
        <w:ind w:left="0" w:firstLine="0"/>
      </w:pPr>
      <w:bookmarkStart w:id="79" w:name="_Toc224972123"/>
      <w:bookmarkStart w:id="80" w:name="_Toc233444294"/>
      <w:bookmarkStart w:id="81" w:name="_Toc311186232"/>
      <w:r>
        <w:t>A18</w:t>
      </w:r>
      <w:r>
        <w:tab/>
        <w:t>Certification Statement</w:t>
      </w:r>
      <w:bookmarkEnd w:id="79"/>
      <w:bookmarkEnd w:id="80"/>
      <w:bookmarkEnd w:id="81"/>
    </w:p>
    <w:p w:rsidR="00693613" w:rsidRDefault="00693613" w:rsidP="00693613">
      <w:pPr>
        <w:keepLines/>
        <w:tabs>
          <w:tab w:val="left" w:pos="360"/>
        </w:tabs>
        <w:spacing w:after="80"/>
        <w:ind w:left="360" w:hanging="360"/>
        <w:rPr>
          <w:rFonts w:ascii="Arial" w:hAnsi="Arial"/>
          <w:i/>
          <w:color w:val="000000"/>
        </w:rPr>
      </w:pPr>
      <w:r>
        <w:rPr>
          <w:rFonts w:ascii="Arial" w:hAnsi="Arial"/>
          <w:i/>
          <w:color w:val="000000"/>
        </w:rPr>
        <w:t>Explain each exception to the certification statement identified in item 19.</w:t>
      </w:r>
    </w:p>
    <w:p w:rsidR="00693613" w:rsidRDefault="00693613" w:rsidP="00693613">
      <w:pPr>
        <w:pStyle w:val="BodyText"/>
      </w:pPr>
    </w:p>
    <w:p w:rsidR="00693613" w:rsidRDefault="00693613" w:rsidP="00693613">
      <w:pPr>
        <w:pStyle w:val="BodyTextIndent"/>
        <w:ind w:left="0"/>
      </w:pPr>
      <w:r w:rsidRPr="007172EE">
        <w:t>No exceptions</w:t>
      </w:r>
      <w:r w:rsidRPr="00E9087D">
        <w:t>.</w:t>
      </w:r>
    </w:p>
    <w:p w:rsidR="00BD36E0" w:rsidRDefault="00BD36E0"/>
    <w:sectPr w:rsidR="00BD36E0" w:rsidSect="00631BF9">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36E" w:rsidRDefault="0070436E" w:rsidP="00693613">
      <w:r>
        <w:separator/>
      </w:r>
    </w:p>
  </w:endnote>
  <w:endnote w:type="continuationSeparator" w:id="0">
    <w:p w:rsidR="0070436E" w:rsidRDefault="0070436E" w:rsidP="0069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39" w:rsidRDefault="00E57839" w:rsidP="00C036B7">
    <w:pPr>
      <w:pStyle w:val="BodyText"/>
      <w:spacing w:after="0"/>
      <w:jc w:val="right"/>
      <w:rPr>
        <w:spacing w:val="-4"/>
        <w:sz w:val="17"/>
        <w:szCs w:val="17"/>
      </w:rPr>
    </w:pPr>
  </w:p>
  <w:p w:rsidR="00C036B7" w:rsidRDefault="00C036B7" w:rsidP="00C036B7">
    <w:pPr>
      <w:pStyle w:val="BodyText"/>
      <w:spacing w:after="0"/>
      <w:jc w:val="right"/>
      <w:rPr>
        <w:spacing w:val="-4"/>
        <w:sz w:val="17"/>
        <w:szCs w:val="17"/>
      </w:rPr>
    </w:pPr>
    <w:r w:rsidRPr="00102086">
      <w:rPr>
        <w:spacing w:val="-4"/>
        <w:sz w:val="17"/>
        <w:szCs w:val="17"/>
      </w:rPr>
      <w:t xml:space="preserve">OMB Paperwork Reduction Act Submission: </w:t>
    </w:r>
  </w:p>
  <w:p w:rsidR="00C036B7" w:rsidRDefault="00C036B7" w:rsidP="00C036B7">
    <w:pPr>
      <w:pStyle w:val="Footer"/>
      <w:jc w:val="right"/>
      <w:rPr>
        <w:b/>
        <w:sz w:val="17"/>
        <w:szCs w:val="17"/>
      </w:rPr>
    </w:pPr>
    <w:r w:rsidRPr="00584BD0">
      <w:rPr>
        <w:b/>
        <w:sz w:val="17"/>
        <w:szCs w:val="17"/>
      </w:rPr>
      <w:t>Continuum of Care Homeless Assistance Grant Application – Continuum of Care Registration</w:t>
    </w:r>
  </w:p>
  <w:p w:rsidR="009712AD" w:rsidRDefault="009712AD" w:rsidP="00C036B7">
    <w:pPr>
      <w:pStyle w:val="Footer"/>
      <w:jc w:val="right"/>
      <w:rPr>
        <w:b/>
        <w:sz w:val="17"/>
        <w:szCs w:val="17"/>
      </w:rPr>
    </w:pPr>
    <w:r>
      <w:rPr>
        <w:b/>
        <w:sz w:val="17"/>
        <w:szCs w:val="17"/>
      </w:rPr>
      <w:t>OMB 2506-0182</w:t>
    </w:r>
  </w:p>
  <w:p w:rsidR="00C036B7" w:rsidRPr="00584BD0" w:rsidRDefault="00C036B7" w:rsidP="00C036B7">
    <w:pPr>
      <w:pStyle w:val="Footer"/>
      <w:tabs>
        <w:tab w:val="left" w:pos="6510"/>
      </w:tabs>
      <w:rPr>
        <w:sz w:val="16"/>
        <w:szCs w:val="16"/>
      </w:rPr>
    </w:pPr>
    <w:r>
      <w:rPr>
        <w:sz w:val="16"/>
        <w:szCs w:val="16"/>
      </w:rPr>
      <w:tab/>
    </w:r>
    <w:r>
      <w:rPr>
        <w:sz w:val="16"/>
        <w:szCs w:val="16"/>
      </w:rPr>
      <w:tab/>
    </w:r>
    <w:r>
      <w:rPr>
        <w:sz w:val="16"/>
        <w:szCs w:val="16"/>
      </w:rPr>
      <w:tab/>
    </w:r>
    <w:sdt>
      <w:sdtPr>
        <w:rPr>
          <w:sz w:val="16"/>
          <w:szCs w:val="16"/>
        </w:rPr>
        <w:id w:val="-20629187"/>
        <w:docPartObj>
          <w:docPartGallery w:val="Page Numbers (Bottom of Page)"/>
          <w:docPartUnique/>
        </w:docPartObj>
      </w:sdtPr>
      <w:sdtEndPr>
        <w:rPr>
          <w:noProof/>
        </w:rPr>
      </w:sdtEndPr>
      <w:sdtContent>
        <w:r w:rsidRPr="00584BD0">
          <w:rPr>
            <w:sz w:val="16"/>
            <w:szCs w:val="16"/>
          </w:rPr>
          <w:fldChar w:fldCharType="begin"/>
        </w:r>
        <w:r w:rsidRPr="00584BD0">
          <w:rPr>
            <w:sz w:val="16"/>
            <w:szCs w:val="16"/>
          </w:rPr>
          <w:instrText xml:space="preserve"> PAGE   \* MERGEFORMAT </w:instrText>
        </w:r>
        <w:r w:rsidRPr="00584BD0">
          <w:rPr>
            <w:sz w:val="16"/>
            <w:szCs w:val="16"/>
          </w:rPr>
          <w:fldChar w:fldCharType="separate"/>
        </w:r>
        <w:r w:rsidR="00987CB7">
          <w:rPr>
            <w:noProof/>
            <w:sz w:val="16"/>
            <w:szCs w:val="16"/>
          </w:rPr>
          <w:t>7</w:t>
        </w:r>
        <w:r w:rsidRPr="00584BD0">
          <w:rPr>
            <w:noProof/>
            <w:sz w:val="16"/>
            <w:szCs w:val="16"/>
          </w:rPr>
          <w:fldChar w:fldCharType="end"/>
        </w:r>
      </w:sdtContent>
    </w:sdt>
  </w:p>
  <w:p w:rsidR="00C036B7" w:rsidRDefault="00C036B7" w:rsidP="00C036B7">
    <w:pPr>
      <w:pStyle w:val="Footer"/>
      <w:tabs>
        <w:tab w:val="clear" w:pos="4680"/>
        <w:tab w:val="clear" w:pos="9360"/>
        <w:tab w:val="left" w:pos="819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6B7" w:rsidRDefault="00C036B7" w:rsidP="00C036B7">
    <w:pPr>
      <w:pStyle w:val="BodyText"/>
      <w:spacing w:after="0"/>
      <w:jc w:val="right"/>
      <w:rPr>
        <w:spacing w:val="-4"/>
        <w:sz w:val="17"/>
        <w:szCs w:val="17"/>
      </w:rPr>
    </w:pPr>
    <w:r w:rsidRPr="00102086">
      <w:rPr>
        <w:spacing w:val="-4"/>
        <w:sz w:val="17"/>
        <w:szCs w:val="17"/>
      </w:rPr>
      <w:t xml:space="preserve">OMB Paperwork Reduction Act Submission: </w:t>
    </w:r>
  </w:p>
  <w:p w:rsidR="00C036B7" w:rsidRDefault="00C036B7" w:rsidP="00C036B7">
    <w:pPr>
      <w:pStyle w:val="Footer"/>
      <w:jc w:val="right"/>
      <w:rPr>
        <w:b/>
        <w:sz w:val="17"/>
        <w:szCs w:val="17"/>
      </w:rPr>
    </w:pPr>
    <w:r w:rsidRPr="00584BD0">
      <w:rPr>
        <w:b/>
        <w:sz w:val="17"/>
        <w:szCs w:val="17"/>
      </w:rPr>
      <w:t>Continuum of Care Homeless Assistance Grant Application – Continuum of Care Registration</w:t>
    </w:r>
  </w:p>
  <w:p w:rsidR="00C036B7" w:rsidRPr="00631BF9" w:rsidRDefault="00C036B7" w:rsidP="00631BF9">
    <w:pPr>
      <w:pStyle w:val="Footer"/>
      <w:tabs>
        <w:tab w:val="left" w:pos="6510"/>
      </w:tabs>
      <w:rPr>
        <w:sz w:val="16"/>
        <w:szCs w:val="16"/>
      </w:rPr>
    </w:pPr>
    <w:r>
      <w:rPr>
        <w:sz w:val="16"/>
        <w:szCs w:val="16"/>
      </w:rPr>
      <w:tab/>
    </w:r>
    <w:r>
      <w:rPr>
        <w:sz w:val="16"/>
        <w:szCs w:val="16"/>
      </w:rPr>
      <w:tab/>
    </w:r>
    <w:r>
      <w:rPr>
        <w:sz w:val="16"/>
        <w:szCs w:val="16"/>
      </w:rPr>
      <w:tab/>
    </w:r>
    <w:sdt>
      <w:sdtPr>
        <w:rPr>
          <w:sz w:val="16"/>
          <w:szCs w:val="16"/>
        </w:rPr>
        <w:id w:val="-919178759"/>
        <w:docPartObj>
          <w:docPartGallery w:val="Page Numbers (Bottom of Page)"/>
          <w:docPartUnique/>
        </w:docPartObj>
      </w:sdtPr>
      <w:sdtEndPr>
        <w:rPr>
          <w:noProof/>
        </w:rPr>
      </w:sdtEndPr>
      <w:sdtContent>
        <w:r w:rsidRPr="00631BF9">
          <w:rPr>
            <w:sz w:val="16"/>
            <w:szCs w:val="16"/>
          </w:rPr>
          <w:fldChar w:fldCharType="begin"/>
        </w:r>
        <w:r w:rsidRPr="00631BF9">
          <w:rPr>
            <w:sz w:val="16"/>
            <w:szCs w:val="16"/>
          </w:rPr>
          <w:instrText xml:space="preserve"> PAGE   \* MERGEFORMAT </w:instrText>
        </w:r>
        <w:r w:rsidRPr="00631BF9">
          <w:rPr>
            <w:sz w:val="16"/>
            <w:szCs w:val="16"/>
          </w:rPr>
          <w:fldChar w:fldCharType="separate"/>
        </w:r>
        <w:r>
          <w:rPr>
            <w:noProof/>
            <w:sz w:val="16"/>
            <w:szCs w:val="16"/>
          </w:rPr>
          <w:t>1</w:t>
        </w:r>
        <w:r w:rsidRPr="00631BF9">
          <w:rPr>
            <w:noProof/>
            <w:sz w:val="16"/>
            <w:szCs w:val="16"/>
          </w:rPr>
          <w:fldChar w:fldCharType="end"/>
        </w:r>
      </w:sdtContent>
    </w:sdt>
  </w:p>
  <w:p w:rsidR="00870C79" w:rsidRDefault="00870C79" w:rsidP="00631BF9">
    <w:pPr>
      <w:pStyle w:val="BodyText"/>
      <w:spacing w:after="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36E" w:rsidRDefault="0070436E" w:rsidP="00693613">
      <w:r>
        <w:separator/>
      </w:r>
    </w:p>
  </w:footnote>
  <w:footnote w:type="continuationSeparator" w:id="0">
    <w:p w:rsidR="0070436E" w:rsidRDefault="0070436E" w:rsidP="00693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6B7" w:rsidRDefault="00C036B7" w:rsidP="00631BF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13"/>
    <w:rsid w:val="000011EC"/>
    <w:rsid w:val="00070D0E"/>
    <w:rsid w:val="00081099"/>
    <w:rsid w:val="00081E60"/>
    <w:rsid w:val="001277BA"/>
    <w:rsid w:val="001372FE"/>
    <w:rsid w:val="00175B3F"/>
    <w:rsid w:val="001964C9"/>
    <w:rsid w:val="001B1D62"/>
    <w:rsid w:val="0020548D"/>
    <w:rsid w:val="0024505F"/>
    <w:rsid w:val="00246FED"/>
    <w:rsid w:val="00247D33"/>
    <w:rsid w:val="002953EF"/>
    <w:rsid w:val="002B60E2"/>
    <w:rsid w:val="003508DB"/>
    <w:rsid w:val="00362B13"/>
    <w:rsid w:val="00363950"/>
    <w:rsid w:val="00365C78"/>
    <w:rsid w:val="00390B33"/>
    <w:rsid w:val="003A4B56"/>
    <w:rsid w:val="003B5170"/>
    <w:rsid w:val="003D213C"/>
    <w:rsid w:val="003D2D8E"/>
    <w:rsid w:val="004401C6"/>
    <w:rsid w:val="00457E62"/>
    <w:rsid w:val="00462452"/>
    <w:rsid w:val="00480594"/>
    <w:rsid w:val="004B0A38"/>
    <w:rsid w:val="004B1BE6"/>
    <w:rsid w:val="004F0029"/>
    <w:rsid w:val="00540118"/>
    <w:rsid w:val="00582275"/>
    <w:rsid w:val="005852F0"/>
    <w:rsid w:val="00594127"/>
    <w:rsid w:val="005B63E6"/>
    <w:rsid w:val="005E0A46"/>
    <w:rsid w:val="005F5A95"/>
    <w:rsid w:val="00615951"/>
    <w:rsid w:val="00631BF9"/>
    <w:rsid w:val="00635AF4"/>
    <w:rsid w:val="0068413D"/>
    <w:rsid w:val="00693613"/>
    <w:rsid w:val="006A481D"/>
    <w:rsid w:val="006E1160"/>
    <w:rsid w:val="006F1093"/>
    <w:rsid w:val="006F13F5"/>
    <w:rsid w:val="0070436E"/>
    <w:rsid w:val="007148A5"/>
    <w:rsid w:val="00736093"/>
    <w:rsid w:val="007449CE"/>
    <w:rsid w:val="00783E0B"/>
    <w:rsid w:val="00787586"/>
    <w:rsid w:val="007A3C01"/>
    <w:rsid w:val="007C12D1"/>
    <w:rsid w:val="007D1DFF"/>
    <w:rsid w:val="007D240B"/>
    <w:rsid w:val="007F28A5"/>
    <w:rsid w:val="008014BF"/>
    <w:rsid w:val="00852671"/>
    <w:rsid w:val="00870C79"/>
    <w:rsid w:val="00885DB9"/>
    <w:rsid w:val="0089504F"/>
    <w:rsid w:val="008D0DCB"/>
    <w:rsid w:val="00965696"/>
    <w:rsid w:val="009712AD"/>
    <w:rsid w:val="00987750"/>
    <w:rsid w:val="00987CB7"/>
    <w:rsid w:val="00990A43"/>
    <w:rsid w:val="009B62DE"/>
    <w:rsid w:val="00A005D6"/>
    <w:rsid w:val="00A14492"/>
    <w:rsid w:val="00A93DED"/>
    <w:rsid w:val="00A975F2"/>
    <w:rsid w:val="00AA3080"/>
    <w:rsid w:val="00AC487D"/>
    <w:rsid w:val="00B13780"/>
    <w:rsid w:val="00B13B27"/>
    <w:rsid w:val="00B32783"/>
    <w:rsid w:val="00B461B7"/>
    <w:rsid w:val="00B64838"/>
    <w:rsid w:val="00B76B16"/>
    <w:rsid w:val="00B81D32"/>
    <w:rsid w:val="00B82D20"/>
    <w:rsid w:val="00B867DD"/>
    <w:rsid w:val="00B97324"/>
    <w:rsid w:val="00BA01A1"/>
    <w:rsid w:val="00BD36E0"/>
    <w:rsid w:val="00BF698C"/>
    <w:rsid w:val="00C036B7"/>
    <w:rsid w:val="00C12CB6"/>
    <w:rsid w:val="00C1363A"/>
    <w:rsid w:val="00C220E0"/>
    <w:rsid w:val="00C34DAD"/>
    <w:rsid w:val="00C657A9"/>
    <w:rsid w:val="00D46C7D"/>
    <w:rsid w:val="00D769F7"/>
    <w:rsid w:val="00D87968"/>
    <w:rsid w:val="00D9339E"/>
    <w:rsid w:val="00DC7C18"/>
    <w:rsid w:val="00E02EAA"/>
    <w:rsid w:val="00E424B9"/>
    <w:rsid w:val="00E57839"/>
    <w:rsid w:val="00E95589"/>
    <w:rsid w:val="00EF5BEC"/>
    <w:rsid w:val="00F07400"/>
    <w:rsid w:val="00F10B3C"/>
    <w:rsid w:val="00F31D0D"/>
    <w:rsid w:val="00F32116"/>
    <w:rsid w:val="00F46A59"/>
    <w:rsid w:val="00F603EB"/>
    <w:rsid w:val="00F66F80"/>
    <w:rsid w:val="00F84957"/>
    <w:rsid w:val="00F906C3"/>
    <w:rsid w:val="00FB68C7"/>
    <w:rsid w:val="00FF1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6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693613"/>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693613"/>
    <w:pPr>
      <w:spacing w:after="120"/>
    </w:pPr>
  </w:style>
  <w:style w:type="character" w:customStyle="1" w:styleId="BodyTextChar">
    <w:name w:val="Body Text Char"/>
    <w:basedOn w:val="DefaultParagraphFont"/>
    <w:link w:val="BodyText"/>
    <w:rsid w:val="00693613"/>
    <w:rPr>
      <w:rFonts w:ascii="Times New Roman" w:eastAsia="Times New Roman" w:hAnsi="Times New Roman" w:cs="Times New Roman"/>
      <w:sz w:val="24"/>
      <w:szCs w:val="24"/>
    </w:rPr>
  </w:style>
  <w:style w:type="paragraph" w:customStyle="1" w:styleId="AbtHeadB">
    <w:name w:val="AbtHead B"/>
    <w:basedOn w:val="Normal"/>
    <w:next w:val="BodyText"/>
    <w:rsid w:val="00693613"/>
    <w:pPr>
      <w:keepNext/>
      <w:keepLines/>
      <w:tabs>
        <w:tab w:val="left" w:pos="720"/>
        <w:tab w:val="left" w:pos="1080"/>
        <w:tab w:val="left" w:pos="1440"/>
        <w:tab w:val="left" w:pos="1800"/>
      </w:tabs>
      <w:spacing w:after="280" w:line="264" w:lineRule="auto"/>
      <w:outlineLvl w:val="1"/>
    </w:pPr>
    <w:rPr>
      <w:rFonts w:ascii="Arial" w:hAnsi="Arial"/>
      <w:b/>
      <w:sz w:val="28"/>
      <w:szCs w:val="20"/>
    </w:rPr>
  </w:style>
  <w:style w:type="paragraph" w:customStyle="1" w:styleId="AbtHeadC">
    <w:name w:val="AbtHead C"/>
    <w:basedOn w:val="Normal"/>
    <w:next w:val="BodyText"/>
    <w:rsid w:val="00693613"/>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styleId="Header">
    <w:name w:val="header"/>
    <w:basedOn w:val="Normal"/>
    <w:link w:val="HeaderChar"/>
    <w:uiPriority w:val="99"/>
    <w:rsid w:val="00693613"/>
    <w:pPr>
      <w:tabs>
        <w:tab w:val="left" w:pos="1800"/>
        <w:tab w:val="center" w:pos="4320"/>
        <w:tab w:val="right" w:pos="8640"/>
      </w:tabs>
      <w:spacing w:line="264" w:lineRule="auto"/>
    </w:pPr>
    <w:rPr>
      <w:szCs w:val="20"/>
    </w:rPr>
  </w:style>
  <w:style w:type="character" w:customStyle="1" w:styleId="HeaderChar">
    <w:name w:val="Header Char"/>
    <w:basedOn w:val="DefaultParagraphFont"/>
    <w:link w:val="Header"/>
    <w:uiPriority w:val="99"/>
    <w:rsid w:val="00693613"/>
    <w:rPr>
      <w:rFonts w:ascii="Times New Roman" w:eastAsia="Times New Roman" w:hAnsi="Times New Roman" w:cs="Times New Roman"/>
      <w:sz w:val="24"/>
      <w:szCs w:val="20"/>
    </w:rPr>
  </w:style>
  <w:style w:type="paragraph" w:styleId="BodyTextIndent">
    <w:name w:val="Body Text Indent"/>
    <w:basedOn w:val="Normal"/>
    <w:link w:val="BodyTextIndentChar"/>
    <w:rsid w:val="00693613"/>
    <w:pPr>
      <w:spacing w:after="120"/>
      <w:ind w:left="360"/>
    </w:pPr>
  </w:style>
  <w:style w:type="character" w:customStyle="1" w:styleId="BodyTextIndentChar">
    <w:name w:val="Body Text Indent Char"/>
    <w:basedOn w:val="DefaultParagraphFont"/>
    <w:link w:val="BodyTextIndent"/>
    <w:rsid w:val="00693613"/>
    <w:rPr>
      <w:rFonts w:ascii="Times New Roman" w:eastAsia="Times New Roman" w:hAnsi="Times New Roman" w:cs="Times New Roman"/>
      <w:sz w:val="24"/>
      <w:szCs w:val="24"/>
    </w:rPr>
  </w:style>
  <w:style w:type="paragraph" w:customStyle="1" w:styleId="AbtHeadBOutlined">
    <w:name w:val="AbtHead B Outlined"/>
    <w:basedOn w:val="AbtHeadB"/>
    <w:next w:val="BodyText"/>
    <w:rsid w:val="00693613"/>
    <w:pPr>
      <w:tabs>
        <w:tab w:val="num" w:pos="720"/>
      </w:tabs>
      <w:ind w:left="720" w:hanging="720"/>
    </w:pPr>
  </w:style>
  <w:style w:type="paragraph" w:styleId="NormalWeb">
    <w:name w:val="Normal (Web)"/>
    <w:basedOn w:val="Normal"/>
    <w:rsid w:val="00693613"/>
    <w:pPr>
      <w:spacing w:before="100" w:beforeAutospacing="1" w:after="100" w:afterAutospacing="1"/>
    </w:pPr>
  </w:style>
  <w:style w:type="table" w:styleId="TableGrid">
    <w:name w:val="Table Grid"/>
    <w:basedOn w:val="TableNormal"/>
    <w:uiPriority w:val="59"/>
    <w:rsid w:val="006936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93613"/>
    <w:pPr>
      <w:tabs>
        <w:tab w:val="center" w:pos="4680"/>
        <w:tab w:val="right" w:pos="9360"/>
      </w:tabs>
    </w:pPr>
  </w:style>
  <w:style w:type="character" w:customStyle="1" w:styleId="FooterChar">
    <w:name w:val="Footer Char"/>
    <w:basedOn w:val="DefaultParagraphFont"/>
    <w:link w:val="Footer"/>
    <w:uiPriority w:val="99"/>
    <w:rsid w:val="00693613"/>
    <w:rPr>
      <w:rFonts w:ascii="Times New Roman" w:eastAsia="Times New Roman" w:hAnsi="Times New Roman" w:cs="Times New Roman"/>
      <w:sz w:val="24"/>
      <w:szCs w:val="24"/>
    </w:rPr>
  </w:style>
  <w:style w:type="character" w:styleId="PageNumber">
    <w:name w:val="page number"/>
    <w:basedOn w:val="DefaultParagraphFont"/>
    <w:rsid w:val="00693613"/>
    <w:rPr>
      <w:rFonts w:ascii="Arial" w:hAnsi="Arial"/>
      <w:dstrike w:val="0"/>
      <w:color w:val="auto"/>
      <w:sz w:val="18"/>
      <w:bdr w:val="none" w:sz="0" w:space="0" w:color="auto"/>
      <w:vertAlign w:val="baseline"/>
    </w:rPr>
  </w:style>
  <w:style w:type="paragraph" w:styleId="BalloonText">
    <w:name w:val="Balloon Text"/>
    <w:basedOn w:val="Normal"/>
    <w:link w:val="BalloonTextChar"/>
    <w:uiPriority w:val="99"/>
    <w:semiHidden/>
    <w:unhideWhenUsed/>
    <w:rsid w:val="00F07400"/>
    <w:rPr>
      <w:rFonts w:ascii="Tahoma" w:hAnsi="Tahoma" w:cs="Tahoma"/>
      <w:sz w:val="16"/>
      <w:szCs w:val="16"/>
    </w:rPr>
  </w:style>
  <w:style w:type="character" w:customStyle="1" w:styleId="BalloonTextChar">
    <w:name w:val="Balloon Text Char"/>
    <w:basedOn w:val="DefaultParagraphFont"/>
    <w:link w:val="BalloonText"/>
    <w:uiPriority w:val="99"/>
    <w:semiHidden/>
    <w:rsid w:val="00F0740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82D20"/>
    <w:rPr>
      <w:sz w:val="16"/>
      <w:szCs w:val="16"/>
    </w:rPr>
  </w:style>
  <w:style w:type="paragraph" w:styleId="CommentText">
    <w:name w:val="annotation text"/>
    <w:basedOn w:val="Normal"/>
    <w:link w:val="CommentTextChar"/>
    <w:uiPriority w:val="99"/>
    <w:semiHidden/>
    <w:unhideWhenUsed/>
    <w:rsid w:val="00B82D20"/>
    <w:rPr>
      <w:sz w:val="20"/>
      <w:szCs w:val="20"/>
    </w:rPr>
  </w:style>
  <w:style w:type="character" w:customStyle="1" w:styleId="CommentTextChar">
    <w:name w:val="Comment Text Char"/>
    <w:basedOn w:val="DefaultParagraphFont"/>
    <w:link w:val="CommentText"/>
    <w:uiPriority w:val="99"/>
    <w:semiHidden/>
    <w:rsid w:val="00B82D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2D20"/>
    <w:rPr>
      <w:b/>
      <w:bCs/>
    </w:rPr>
  </w:style>
  <w:style w:type="character" w:customStyle="1" w:styleId="CommentSubjectChar">
    <w:name w:val="Comment Subject Char"/>
    <w:basedOn w:val="CommentTextChar"/>
    <w:link w:val="CommentSubject"/>
    <w:uiPriority w:val="99"/>
    <w:semiHidden/>
    <w:rsid w:val="00B82D20"/>
    <w:rPr>
      <w:rFonts w:ascii="Times New Roman" w:eastAsia="Times New Roman" w:hAnsi="Times New Roman" w:cs="Times New Roman"/>
      <w:b/>
      <w:bCs/>
      <w:sz w:val="20"/>
      <w:szCs w:val="20"/>
    </w:rPr>
  </w:style>
  <w:style w:type="paragraph" w:styleId="Revision">
    <w:name w:val="Revision"/>
    <w:hidden/>
    <w:uiPriority w:val="99"/>
    <w:semiHidden/>
    <w:rsid w:val="000011EC"/>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6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693613"/>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693613"/>
    <w:pPr>
      <w:spacing w:after="120"/>
    </w:pPr>
  </w:style>
  <w:style w:type="character" w:customStyle="1" w:styleId="BodyTextChar">
    <w:name w:val="Body Text Char"/>
    <w:basedOn w:val="DefaultParagraphFont"/>
    <w:link w:val="BodyText"/>
    <w:rsid w:val="00693613"/>
    <w:rPr>
      <w:rFonts w:ascii="Times New Roman" w:eastAsia="Times New Roman" w:hAnsi="Times New Roman" w:cs="Times New Roman"/>
      <w:sz w:val="24"/>
      <w:szCs w:val="24"/>
    </w:rPr>
  </w:style>
  <w:style w:type="paragraph" w:customStyle="1" w:styleId="AbtHeadB">
    <w:name w:val="AbtHead B"/>
    <w:basedOn w:val="Normal"/>
    <w:next w:val="BodyText"/>
    <w:rsid w:val="00693613"/>
    <w:pPr>
      <w:keepNext/>
      <w:keepLines/>
      <w:tabs>
        <w:tab w:val="left" w:pos="720"/>
        <w:tab w:val="left" w:pos="1080"/>
        <w:tab w:val="left" w:pos="1440"/>
        <w:tab w:val="left" w:pos="1800"/>
      </w:tabs>
      <w:spacing w:after="280" w:line="264" w:lineRule="auto"/>
      <w:outlineLvl w:val="1"/>
    </w:pPr>
    <w:rPr>
      <w:rFonts w:ascii="Arial" w:hAnsi="Arial"/>
      <w:b/>
      <w:sz w:val="28"/>
      <w:szCs w:val="20"/>
    </w:rPr>
  </w:style>
  <w:style w:type="paragraph" w:customStyle="1" w:styleId="AbtHeadC">
    <w:name w:val="AbtHead C"/>
    <w:basedOn w:val="Normal"/>
    <w:next w:val="BodyText"/>
    <w:rsid w:val="00693613"/>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styleId="Header">
    <w:name w:val="header"/>
    <w:basedOn w:val="Normal"/>
    <w:link w:val="HeaderChar"/>
    <w:uiPriority w:val="99"/>
    <w:rsid w:val="00693613"/>
    <w:pPr>
      <w:tabs>
        <w:tab w:val="left" w:pos="1800"/>
        <w:tab w:val="center" w:pos="4320"/>
        <w:tab w:val="right" w:pos="8640"/>
      </w:tabs>
      <w:spacing w:line="264" w:lineRule="auto"/>
    </w:pPr>
    <w:rPr>
      <w:szCs w:val="20"/>
    </w:rPr>
  </w:style>
  <w:style w:type="character" w:customStyle="1" w:styleId="HeaderChar">
    <w:name w:val="Header Char"/>
    <w:basedOn w:val="DefaultParagraphFont"/>
    <w:link w:val="Header"/>
    <w:uiPriority w:val="99"/>
    <w:rsid w:val="00693613"/>
    <w:rPr>
      <w:rFonts w:ascii="Times New Roman" w:eastAsia="Times New Roman" w:hAnsi="Times New Roman" w:cs="Times New Roman"/>
      <w:sz w:val="24"/>
      <w:szCs w:val="20"/>
    </w:rPr>
  </w:style>
  <w:style w:type="paragraph" w:styleId="BodyTextIndent">
    <w:name w:val="Body Text Indent"/>
    <w:basedOn w:val="Normal"/>
    <w:link w:val="BodyTextIndentChar"/>
    <w:rsid w:val="00693613"/>
    <w:pPr>
      <w:spacing w:after="120"/>
      <w:ind w:left="360"/>
    </w:pPr>
  </w:style>
  <w:style w:type="character" w:customStyle="1" w:styleId="BodyTextIndentChar">
    <w:name w:val="Body Text Indent Char"/>
    <w:basedOn w:val="DefaultParagraphFont"/>
    <w:link w:val="BodyTextIndent"/>
    <w:rsid w:val="00693613"/>
    <w:rPr>
      <w:rFonts w:ascii="Times New Roman" w:eastAsia="Times New Roman" w:hAnsi="Times New Roman" w:cs="Times New Roman"/>
      <w:sz w:val="24"/>
      <w:szCs w:val="24"/>
    </w:rPr>
  </w:style>
  <w:style w:type="paragraph" w:customStyle="1" w:styleId="AbtHeadBOutlined">
    <w:name w:val="AbtHead B Outlined"/>
    <w:basedOn w:val="AbtHeadB"/>
    <w:next w:val="BodyText"/>
    <w:rsid w:val="00693613"/>
    <w:pPr>
      <w:tabs>
        <w:tab w:val="num" w:pos="720"/>
      </w:tabs>
      <w:ind w:left="720" w:hanging="720"/>
    </w:pPr>
  </w:style>
  <w:style w:type="paragraph" w:styleId="NormalWeb">
    <w:name w:val="Normal (Web)"/>
    <w:basedOn w:val="Normal"/>
    <w:rsid w:val="00693613"/>
    <w:pPr>
      <w:spacing w:before="100" w:beforeAutospacing="1" w:after="100" w:afterAutospacing="1"/>
    </w:pPr>
  </w:style>
  <w:style w:type="table" w:styleId="TableGrid">
    <w:name w:val="Table Grid"/>
    <w:basedOn w:val="TableNormal"/>
    <w:uiPriority w:val="59"/>
    <w:rsid w:val="006936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93613"/>
    <w:pPr>
      <w:tabs>
        <w:tab w:val="center" w:pos="4680"/>
        <w:tab w:val="right" w:pos="9360"/>
      </w:tabs>
    </w:pPr>
  </w:style>
  <w:style w:type="character" w:customStyle="1" w:styleId="FooterChar">
    <w:name w:val="Footer Char"/>
    <w:basedOn w:val="DefaultParagraphFont"/>
    <w:link w:val="Footer"/>
    <w:uiPriority w:val="99"/>
    <w:rsid w:val="00693613"/>
    <w:rPr>
      <w:rFonts w:ascii="Times New Roman" w:eastAsia="Times New Roman" w:hAnsi="Times New Roman" w:cs="Times New Roman"/>
      <w:sz w:val="24"/>
      <w:szCs w:val="24"/>
    </w:rPr>
  </w:style>
  <w:style w:type="character" w:styleId="PageNumber">
    <w:name w:val="page number"/>
    <w:basedOn w:val="DefaultParagraphFont"/>
    <w:rsid w:val="00693613"/>
    <w:rPr>
      <w:rFonts w:ascii="Arial" w:hAnsi="Arial"/>
      <w:dstrike w:val="0"/>
      <w:color w:val="auto"/>
      <w:sz w:val="18"/>
      <w:bdr w:val="none" w:sz="0" w:space="0" w:color="auto"/>
      <w:vertAlign w:val="baseline"/>
    </w:rPr>
  </w:style>
  <w:style w:type="paragraph" w:styleId="BalloonText">
    <w:name w:val="Balloon Text"/>
    <w:basedOn w:val="Normal"/>
    <w:link w:val="BalloonTextChar"/>
    <w:uiPriority w:val="99"/>
    <w:semiHidden/>
    <w:unhideWhenUsed/>
    <w:rsid w:val="00F07400"/>
    <w:rPr>
      <w:rFonts w:ascii="Tahoma" w:hAnsi="Tahoma" w:cs="Tahoma"/>
      <w:sz w:val="16"/>
      <w:szCs w:val="16"/>
    </w:rPr>
  </w:style>
  <w:style w:type="character" w:customStyle="1" w:styleId="BalloonTextChar">
    <w:name w:val="Balloon Text Char"/>
    <w:basedOn w:val="DefaultParagraphFont"/>
    <w:link w:val="BalloonText"/>
    <w:uiPriority w:val="99"/>
    <w:semiHidden/>
    <w:rsid w:val="00F0740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82D20"/>
    <w:rPr>
      <w:sz w:val="16"/>
      <w:szCs w:val="16"/>
    </w:rPr>
  </w:style>
  <w:style w:type="paragraph" w:styleId="CommentText">
    <w:name w:val="annotation text"/>
    <w:basedOn w:val="Normal"/>
    <w:link w:val="CommentTextChar"/>
    <w:uiPriority w:val="99"/>
    <w:semiHidden/>
    <w:unhideWhenUsed/>
    <w:rsid w:val="00B82D20"/>
    <w:rPr>
      <w:sz w:val="20"/>
      <w:szCs w:val="20"/>
    </w:rPr>
  </w:style>
  <w:style w:type="character" w:customStyle="1" w:styleId="CommentTextChar">
    <w:name w:val="Comment Text Char"/>
    <w:basedOn w:val="DefaultParagraphFont"/>
    <w:link w:val="CommentText"/>
    <w:uiPriority w:val="99"/>
    <w:semiHidden/>
    <w:rsid w:val="00B82D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2D20"/>
    <w:rPr>
      <w:b/>
      <w:bCs/>
    </w:rPr>
  </w:style>
  <w:style w:type="character" w:customStyle="1" w:styleId="CommentSubjectChar">
    <w:name w:val="Comment Subject Char"/>
    <w:basedOn w:val="CommentTextChar"/>
    <w:link w:val="CommentSubject"/>
    <w:uiPriority w:val="99"/>
    <w:semiHidden/>
    <w:rsid w:val="00B82D20"/>
    <w:rPr>
      <w:rFonts w:ascii="Times New Roman" w:eastAsia="Times New Roman" w:hAnsi="Times New Roman" w:cs="Times New Roman"/>
      <w:b/>
      <w:bCs/>
      <w:sz w:val="20"/>
      <w:szCs w:val="20"/>
    </w:rPr>
  </w:style>
  <w:style w:type="paragraph" w:styleId="Revision">
    <w:name w:val="Revision"/>
    <w:hidden/>
    <w:uiPriority w:val="99"/>
    <w:semiHidden/>
    <w:rsid w:val="000011E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F4FE1-CB78-48DD-9456-DD87A01F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Kyle Aronson</dc:creator>
  <cp:lastModifiedBy>Urnell Johnson-Spears</cp:lastModifiedBy>
  <cp:revision>4</cp:revision>
  <cp:lastPrinted>2014-11-05T14:01:00Z</cp:lastPrinted>
  <dcterms:created xsi:type="dcterms:W3CDTF">2014-11-05T14:02:00Z</dcterms:created>
  <dcterms:modified xsi:type="dcterms:W3CDTF">2014-11-06T16:43:00Z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1126168021</vt:i4>
  </property>
  <property fmtid="{D5CDD505-2E9C-101B-9397-08002B2CF9AE}" pid="4" name="_EmailSubject">
    <vt:lpwstr>PRA REgistration</vt:lpwstr>
  </property>
  <property fmtid="{D5CDD505-2E9C-101B-9397-08002B2CF9AE}" pid="5" name="_AuthorEmail">
    <vt:lpwstr>Sherri.L.Boyd@hud.gov</vt:lpwstr>
  </property>
  <property fmtid="{D5CDD505-2E9C-101B-9397-08002B2CF9AE}" pid="6" name="_AuthorEmailDisplayName">
    <vt:lpwstr>Boyd, Sherri L</vt:lpwstr>
  </property>
  <property fmtid="{D5CDD505-2E9C-101B-9397-08002B2CF9AE}" pid="7" name="_PreviousAdHocReviewCycleID">
    <vt:i4>-1574982676</vt:i4>
  </property>
  <property fmtid="{D5CDD505-2E9C-101B-9397-08002B2CF9AE}" pid="8" name="_ReviewingToolsShownOnce">
    <vt:lpwstr/>
  </property>
</Properties>
</file>