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4A9" w:rsidRPr="0006279D" w:rsidRDefault="00E254A9" w:rsidP="001D2A8B">
      <w:pPr>
        <w:rPr>
          <w:rFonts w:ascii="Arial" w:hAnsi="Arial" w:cs="Arial"/>
          <w:sz w:val="22"/>
          <w:szCs w:val="22"/>
        </w:rPr>
      </w:pPr>
      <w:bookmarkStart w:id="0" w:name="_GoBack"/>
      <w:bookmarkEnd w:id="0"/>
      <w:r w:rsidRPr="0006279D">
        <w:rPr>
          <w:rFonts w:ascii="Arial" w:hAnsi="Arial" w:cs="Arial"/>
          <w:sz w:val="22"/>
          <w:szCs w:val="22"/>
        </w:rPr>
        <w:t>Section 12</w:t>
      </w:r>
    </w:p>
    <w:p w:rsidR="0006279D" w:rsidRPr="0006279D" w:rsidRDefault="0006279D" w:rsidP="0006279D">
      <w:pPr>
        <w:tabs>
          <w:tab w:val="center" w:pos="4680"/>
        </w:tabs>
        <w:jc w:val="center"/>
        <w:rPr>
          <w:rFonts w:ascii="Arial" w:hAnsi="Arial" w:cs="Arial"/>
          <w:b/>
          <w:sz w:val="22"/>
          <w:szCs w:val="22"/>
        </w:rPr>
      </w:pPr>
    </w:p>
    <w:p w:rsidR="0040193F" w:rsidRDefault="00787DB1" w:rsidP="0006279D">
      <w:pPr>
        <w:tabs>
          <w:tab w:val="center" w:pos="4680"/>
        </w:tabs>
        <w:jc w:val="center"/>
        <w:rPr>
          <w:rFonts w:ascii="Arial" w:hAnsi="Arial" w:cs="Arial"/>
          <w:sz w:val="22"/>
          <w:szCs w:val="22"/>
        </w:rPr>
      </w:pPr>
      <w:r>
        <w:rPr>
          <w:rFonts w:ascii="Arial" w:hAnsi="Arial" w:cs="Arial"/>
          <w:sz w:val="22"/>
          <w:szCs w:val="22"/>
        </w:rPr>
        <w:t>FINAL</w:t>
      </w:r>
      <w:r w:rsidR="00A13888">
        <w:rPr>
          <w:rFonts w:ascii="Arial" w:hAnsi="Arial" w:cs="Arial"/>
          <w:sz w:val="22"/>
          <w:szCs w:val="22"/>
        </w:rPr>
        <w:t xml:space="preserve"> </w:t>
      </w:r>
      <w:r w:rsidR="00E254A9" w:rsidRPr="0040193F">
        <w:rPr>
          <w:rFonts w:ascii="Arial" w:hAnsi="Arial" w:cs="Arial"/>
          <w:sz w:val="22"/>
          <w:szCs w:val="22"/>
        </w:rPr>
        <w:t>SUPPORTING STATEMENT</w:t>
      </w:r>
    </w:p>
    <w:p w:rsidR="0040193F" w:rsidRDefault="00E254A9" w:rsidP="0006279D">
      <w:pPr>
        <w:tabs>
          <w:tab w:val="center" w:pos="4680"/>
        </w:tabs>
        <w:jc w:val="center"/>
        <w:rPr>
          <w:rFonts w:ascii="Arial" w:hAnsi="Arial" w:cs="Arial"/>
          <w:sz w:val="22"/>
          <w:szCs w:val="22"/>
        </w:rPr>
      </w:pPr>
      <w:r w:rsidRPr="0040193F">
        <w:rPr>
          <w:rFonts w:ascii="Arial" w:hAnsi="Arial" w:cs="Arial"/>
          <w:sz w:val="22"/>
          <w:szCs w:val="22"/>
        </w:rPr>
        <w:t>FOR</w:t>
      </w:r>
    </w:p>
    <w:p w:rsidR="0040193F" w:rsidRDefault="00E254A9" w:rsidP="0006279D">
      <w:pPr>
        <w:tabs>
          <w:tab w:val="center" w:pos="4680"/>
        </w:tabs>
        <w:jc w:val="center"/>
        <w:rPr>
          <w:rFonts w:ascii="Arial" w:hAnsi="Arial" w:cs="Arial"/>
          <w:sz w:val="22"/>
          <w:szCs w:val="22"/>
        </w:rPr>
      </w:pPr>
      <w:r w:rsidRPr="0040193F">
        <w:rPr>
          <w:rFonts w:ascii="Arial" w:hAnsi="Arial" w:cs="Arial"/>
          <w:sz w:val="22"/>
          <w:szCs w:val="22"/>
        </w:rPr>
        <w:t>PR</w:t>
      </w:r>
      <w:r w:rsidR="0006279D" w:rsidRPr="0040193F">
        <w:rPr>
          <w:rFonts w:ascii="Arial" w:hAnsi="Arial" w:cs="Arial"/>
          <w:sz w:val="22"/>
          <w:szCs w:val="22"/>
        </w:rPr>
        <w:t xml:space="preserve">OPERTY DAMAGE/ACCIDENT RECOVERY </w:t>
      </w:r>
      <w:r w:rsidRPr="0040193F">
        <w:rPr>
          <w:rFonts w:ascii="Arial" w:hAnsi="Arial" w:cs="Arial"/>
          <w:sz w:val="22"/>
          <w:szCs w:val="22"/>
        </w:rPr>
        <w:t>INSURANCE</w:t>
      </w:r>
    </w:p>
    <w:p w:rsidR="0040193F" w:rsidRDefault="0040193F" w:rsidP="0006279D">
      <w:pPr>
        <w:tabs>
          <w:tab w:val="center" w:pos="4680"/>
        </w:tabs>
        <w:jc w:val="center"/>
        <w:rPr>
          <w:rFonts w:ascii="Arial" w:hAnsi="Arial" w:cs="Arial"/>
          <w:sz w:val="22"/>
          <w:szCs w:val="22"/>
        </w:rPr>
      </w:pPr>
    </w:p>
    <w:p w:rsidR="00E254A9" w:rsidRPr="0040193F" w:rsidRDefault="00E254A9" w:rsidP="0006279D">
      <w:pPr>
        <w:tabs>
          <w:tab w:val="center" w:pos="4680"/>
        </w:tabs>
        <w:jc w:val="center"/>
        <w:rPr>
          <w:rFonts w:ascii="Arial" w:hAnsi="Arial" w:cs="Arial"/>
          <w:sz w:val="22"/>
          <w:szCs w:val="22"/>
        </w:rPr>
      </w:pPr>
      <w:r w:rsidRPr="0040193F">
        <w:rPr>
          <w:rFonts w:ascii="Arial" w:hAnsi="Arial" w:cs="Arial"/>
          <w:sz w:val="22"/>
          <w:szCs w:val="22"/>
        </w:rPr>
        <w:t>10 CFR 50.54(w), 50.54(w)(3), 50.54(w)(4)(i) and 50.54(w)(4)(ii)</w:t>
      </w:r>
    </w:p>
    <w:p w:rsidR="00E254A9" w:rsidRPr="0006279D" w:rsidRDefault="00E254A9">
      <w:pPr>
        <w:rPr>
          <w:rFonts w:ascii="Arial" w:hAnsi="Arial" w:cs="Arial"/>
          <w:sz w:val="22"/>
          <w:szCs w:val="22"/>
        </w:rPr>
      </w:pPr>
    </w:p>
    <w:p w:rsidR="0006279D" w:rsidRPr="0006279D" w:rsidRDefault="0006279D">
      <w:pPr>
        <w:rPr>
          <w:rFonts w:ascii="Arial" w:hAnsi="Arial" w:cs="Arial"/>
          <w:sz w:val="22"/>
          <w:szCs w:val="22"/>
          <w:u w:val="single"/>
        </w:rPr>
      </w:pPr>
    </w:p>
    <w:p w:rsidR="00E254A9" w:rsidRPr="0006279D" w:rsidRDefault="00E254A9">
      <w:pPr>
        <w:rPr>
          <w:rFonts w:ascii="Arial" w:hAnsi="Arial" w:cs="Arial"/>
          <w:sz w:val="22"/>
          <w:szCs w:val="22"/>
        </w:rPr>
      </w:pPr>
      <w:r w:rsidRPr="0006279D">
        <w:rPr>
          <w:rFonts w:ascii="Arial" w:hAnsi="Arial" w:cs="Arial"/>
          <w:sz w:val="22"/>
          <w:szCs w:val="22"/>
          <w:u w:val="single"/>
        </w:rPr>
        <w:t>DESCRIPTION OF THE INFORMATION COLLECTION</w:t>
      </w:r>
    </w:p>
    <w:p w:rsidR="00E254A9" w:rsidRPr="0006279D" w:rsidRDefault="00E254A9">
      <w:pPr>
        <w:rPr>
          <w:rFonts w:ascii="Arial" w:hAnsi="Arial" w:cs="Arial"/>
          <w:sz w:val="22"/>
          <w:szCs w:val="22"/>
        </w:rPr>
      </w:pPr>
    </w:p>
    <w:p w:rsidR="00E254A9" w:rsidRPr="0006279D" w:rsidRDefault="00F67936">
      <w:pPr>
        <w:rPr>
          <w:rFonts w:ascii="Arial" w:hAnsi="Arial" w:cs="Arial"/>
          <w:sz w:val="22"/>
          <w:szCs w:val="22"/>
        </w:rPr>
      </w:pPr>
      <w:r>
        <w:rPr>
          <w:rFonts w:ascii="Arial" w:hAnsi="Arial" w:cs="Arial"/>
          <w:sz w:val="22"/>
          <w:szCs w:val="22"/>
        </w:rPr>
        <w:t xml:space="preserve">Title 10 of the </w:t>
      </w:r>
      <w:r w:rsidRPr="000239F4">
        <w:rPr>
          <w:rFonts w:ascii="Arial" w:hAnsi="Arial" w:cs="Arial"/>
          <w:i/>
          <w:sz w:val="22"/>
          <w:szCs w:val="22"/>
        </w:rPr>
        <w:t>Code of Federal Regulations</w:t>
      </w:r>
      <w:r w:rsidR="00AF6AD5">
        <w:rPr>
          <w:rFonts w:ascii="Arial" w:hAnsi="Arial" w:cs="Arial"/>
          <w:sz w:val="22"/>
          <w:szCs w:val="22"/>
        </w:rPr>
        <w:t xml:space="preserve"> (</w:t>
      </w:r>
      <w:r w:rsidR="00E254A9" w:rsidRPr="0006279D">
        <w:rPr>
          <w:rFonts w:ascii="Arial" w:hAnsi="Arial" w:cs="Arial"/>
          <w:sz w:val="22"/>
          <w:szCs w:val="22"/>
        </w:rPr>
        <w:t>CFR</w:t>
      </w:r>
      <w:r>
        <w:rPr>
          <w:rFonts w:ascii="Arial" w:hAnsi="Arial" w:cs="Arial"/>
          <w:sz w:val="22"/>
          <w:szCs w:val="22"/>
        </w:rPr>
        <w:t>) Section</w:t>
      </w:r>
      <w:r w:rsidR="00E254A9" w:rsidRPr="0006279D">
        <w:rPr>
          <w:rFonts w:ascii="Arial" w:hAnsi="Arial" w:cs="Arial"/>
          <w:sz w:val="22"/>
          <w:szCs w:val="22"/>
        </w:rPr>
        <w:t xml:space="preserve"> 50.54(w) requires that each electric utility licensee under 10 CFR Part 50 for a production or utilization facility shall take steps to obtain onsite property damage insurance available at reasonable costs and on reasonable terms from private sources or to demonstrate that it possesses an equivalent amount of protection.  Proceeds from such insurance will be used, in the event of an accident, to stabilize and decontaminate the reactor to prevent a situation that could threaten public health and safety.  </w:t>
      </w:r>
    </w:p>
    <w:p w:rsidR="009E02E6" w:rsidRDefault="009E02E6">
      <w:pPr>
        <w:rPr>
          <w:rFonts w:ascii="Arial" w:hAnsi="Arial" w:cs="Arial"/>
          <w:sz w:val="22"/>
          <w:szCs w:val="22"/>
        </w:rPr>
      </w:pPr>
    </w:p>
    <w:p w:rsidR="00E254A9" w:rsidRPr="0006279D" w:rsidRDefault="00E254A9">
      <w:pPr>
        <w:rPr>
          <w:rFonts w:ascii="Arial" w:hAnsi="Arial" w:cs="Arial"/>
          <w:sz w:val="22"/>
          <w:szCs w:val="22"/>
        </w:rPr>
      </w:pPr>
      <w:r w:rsidRPr="0006279D">
        <w:rPr>
          <w:rFonts w:ascii="Arial" w:hAnsi="Arial" w:cs="Arial"/>
          <w:sz w:val="22"/>
          <w:szCs w:val="22"/>
        </w:rPr>
        <w:t>Under 10 CFR 50.54(w)(3), lead rea</w:t>
      </w:r>
      <w:r w:rsidR="003B022A">
        <w:rPr>
          <w:rFonts w:ascii="Arial" w:hAnsi="Arial" w:cs="Arial"/>
          <w:sz w:val="22"/>
          <w:szCs w:val="22"/>
        </w:rPr>
        <w:t>ctor licensees (approximately 64</w:t>
      </w:r>
      <w:r w:rsidRPr="0006279D">
        <w:rPr>
          <w:rFonts w:ascii="Arial" w:hAnsi="Arial" w:cs="Arial"/>
          <w:sz w:val="22"/>
          <w:szCs w:val="22"/>
        </w:rPr>
        <w:t xml:space="preserve">) are required to report annually on the amount and sources of this required insurance. </w:t>
      </w:r>
    </w:p>
    <w:p w:rsidR="00E254A9" w:rsidRPr="0006279D" w:rsidRDefault="00E254A9">
      <w:pPr>
        <w:rPr>
          <w:rFonts w:ascii="Arial" w:hAnsi="Arial" w:cs="Arial"/>
          <w:sz w:val="22"/>
          <w:szCs w:val="22"/>
        </w:rPr>
      </w:pPr>
    </w:p>
    <w:p w:rsidR="00AF6AD5" w:rsidRDefault="00E254A9">
      <w:pPr>
        <w:rPr>
          <w:rFonts w:ascii="Arial" w:hAnsi="Arial" w:cs="Arial"/>
          <w:sz w:val="22"/>
          <w:szCs w:val="22"/>
        </w:rPr>
      </w:pPr>
      <w:r w:rsidRPr="0006279D">
        <w:rPr>
          <w:rFonts w:ascii="Arial" w:hAnsi="Arial" w:cs="Arial"/>
          <w:sz w:val="22"/>
          <w:szCs w:val="22"/>
        </w:rPr>
        <w:t>Under 10 CFR 50.54(w)(4)(i) and 10 CFR 50.54(w)(4)(ii), a licensee suffering an accident is required to submit a cleanup plan outlining the steps and costs needed to complete decontamination and cleanup and to allow release of the remai</w:t>
      </w:r>
      <w:r w:rsidR="00AF6AD5">
        <w:rPr>
          <w:rFonts w:ascii="Arial" w:hAnsi="Arial" w:cs="Arial"/>
          <w:sz w:val="22"/>
          <w:szCs w:val="22"/>
        </w:rPr>
        <w:t xml:space="preserve">ning insurance proceeds for </w:t>
      </w:r>
    </w:p>
    <w:p w:rsidR="00E254A9" w:rsidRPr="0006279D" w:rsidRDefault="00AF6AD5">
      <w:pPr>
        <w:rPr>
          <w:rFonts w:ascii="Arial" w:hAnsi="Arial" w:cs="Arial"/>
          <w:sz w:val="22"/>
          <w:szCs w:val="22"/>
        </w:rPr>
      </w:pPr>
      <w:r>
        <w:rPr>
          <w:rFonts w:ascii="Arial" w:hAnsi="Arial" w:cs="Arial"/>
          <w:sz w:val="22"/>
          <w:szCs w:val="22"/>
        </w:rPr>
        <w:t>non-</w:t>
      </w:r>
      <w:r w:rsidR="00E254A9" w:rsidRPr="0006279D">
        <w:rPr>
          <w:rFonts w:ascii="Arial" w:hAnsi="Arial" w:cs="Arial"/>
          <w:sz w:val="22"/>
          <w:szCs w:val="22"/>
        </w:rPr>
        <w:t xml:space="preserve">cleanup purposes. </w:t>
      </w:r>
    </w:p>
    <w:p w:rsidR="00E254A9" w:rsidRPr="0006279D" w:rsidRDefault="00E254A9">
      <w:pPr>
        <w:rPr>
          <w:rFonts w:ascii="Arial" w:hAnsi="Arial" w:cs="Arial"/>
          <w:sz w:val="22"/>
          <w:szCs w:val="22"/>
        </w:rPr>
      </w:pPr>
    </w:p>
    <w:p w:rsidR="00E254A9" w:rsidRPr="0006279D" w:rsidRDefault="00E254A9">
      <w:pPr>
        <w:rPr>
          <w:rFonts w:ascii="Arial" w:hAnsi="Arial" w:cs="Arial"/>
          <w:sz w:val="22"/>
          <w:szCs w:val="22"/>
        </w:rPr>
      </w:pPr>
      <w:r w:rsidRPr="0006279D">
        <w:rPr>
          <w:rFonts w:ascii="Arial" w:hAnsi="Arial" w:cs="Arial"/>
          <w:sz w:val="22"/>
          <w:szCs w:val="22"/>
        </w:rPr>
        <w:t>10 CFR 50.54(w)(4)(I) establishes a threshold of $100 million before a cleanup plan would be required.</w:t>
      </w:r>
    </w:p>
    <w:p w:rsidR="00E254A9" w:rsidRPr="0006279D" w:rsidRDefault="00E254A9">
      <w:pPr>
        <w:rPr>
          <w:rFonts w:ascii="Arial" w:hAnsi="Arial" w:cs="Arial"/>
          <w:sz w:val="22"/>
          <w:szCs w:val="22"/>
        </w:rPr>
      </w:pPr>
    </w:p>
    <w:p w:rsidR="00E254A9" w:rsidRPr="0006279D" w:rsidRDefault="00E254A9">
      <w:pPr>
        <w:rPr>
          <w:rFonts w:ascii="Arial" w:hAnsi="Arial" w:cs="Arial"/>
          <w:sz w:val="22"/>
          <w:szCs w:val="22"/>
        </w:rPr>
      </w:pPr>
      <w:r w:rsidRPr="0006279D">
        <w:rPr>
          <w:rFonts w:ascii="Arial" w:hAnsi="Arial" w:cs="Arial"/>
          <w:sz w:val="22"/>
          <w:szCs w:val="22"/>
        </w:rPr>
        <w:t>10 CFR 50.54(w)(4)(ii) requires licensees to inform the Director of the Office of Nuclear Reactor Regulation in writing when the reactor is and can be maintained in a safe and stable condition so as to prevent any significant risk to public health and safety.  Within 30 days after the licensee informs the Director that the reactor is in this condition, or at such earlier time as the licensee may elect or the Director may for good cause direct, the licensee shall prepare and submit a cleanup plan for the Director's approval.  The cleanup plan must identify and contain an estimate of the cost of each cleanup operation that will be required to decontaminate the reactor sufficiently to permit the licensee either to resume operation of the reactor or to apply to the</w:t>
      </w:r>
      <w:r w:rsidR="00F67936">
        <w:rPr>
          <w:rFonts w:ascii="Arial" w:hAnsi="Arial" w:cs="Arial"/>
          <w:sz w:val="22"/>
          <w:szCs w:val="22"/>
        </w:rPr>
        <w:t xml:space="preserve"> </w:t>
      </w:r>
      <w:r w:rsidR="00AF6AD5">
        <w:rPr>
          <w:rFonts w:ascii="Arial" w:hAnsi="Arial" w:cs="Arial"/>
          <w:sz w:val="22"/>
          <w:szCs w:val="22"/>
        </w:rPr>
        <w:t xml:space="preserve">U.S. </w:t>
      </w:r>
      <w:r w:rsidR="00F67936">
        <w:rPr>
          <w:rFonts w:ascii="Arial" w:hAnsi="Arial" w:cs="Arial"/>
          <w:sz w:val="22"/>
          <w:szCs w:val="22"/>
        </w:rPr>
        <w:t>Nuclear Regulatory Commission (</w:t>
      </w:r>
      <w:r w:rsidRPr="0006279D">
        <w:rPr>
          <w:rFonts w:ascii="Arial" w:hAnsi="Arial" w:cs="Arial"/>
          <w:sz w:val="22"/>
          <w:szCs w:val="22"/>
        </w:rPr>
        <w:t>NRC</w:t>
      </w:r>
      <w:r w:rsidR="00F67936">
        <w:rPr>
          <w:rFonts w:ascii="Arial" w:hAnsi="Arial" w:cs="Arial"/>
          <w:sz w:val="22"/>
          <w:szCs w:val="22"/>
        </w:rPr>
        <w:t>)</w:t>
      </w:r>
      <w:r w:rsidRPr="0006279D">
        <w:rPr>
          <w:rFonts w:ascii="Arial" w:hAnsi="Arial" w:cs="Arial"/>
          <w:sz w:val="22"/>
          <w:szCs w:val="22"/>
        </w:rPr>
        <w:t xml:space="preserve"> for authority to decommission the reactor and to surrender the license voluntarily.</w:t>
      </w:r>
    </w:p>
    <w:p w:rsidR="00E254A9" w:rsidRPr="0006279D" w:rsidRDefault="00E254A9">
      <w:pPr>
        <w:rPr>
          <w:rFonts w:ascii="Arial" w:hAnsi="Arial" w:cs="Arial"/>
          <w:sz w:val="22"/>
          <w:szCs w:val="22"/>
        </w:rPr>
      </w:pPr>
    </w:p>
    <w:p w:rsidR="00E254A9" w:rsidRPr="00847F6C" w:rsidRDefault="00E254A9">
      <w:pPr>
        <w:pStyle w:val="Level1"/>
        <w:numPr>
          <w:ilvl w:val="0"/>
          <w:numId w:val="1"/>
        </w:numPr>
        <w:tabs>
          <w:tab w:val="left" w:pos="-1440"/>
          <w:tab w:val="num" w:pos="720"/>
        </w:tabs>
        <w:ind w:left="720"/>
        <w:rPr>
          <w:rFonts w:ascii="Arial" w:hAnsi="Arial" w:cs="Arial"/>
          <w:color w:val="000000" w:themeColor="text1"/>
          <w:sz w:val="22"/>
          <w:szCs w:val="22"/>
        </w:rPr>
      </w:pPr>
      <w:r w:rsidRPr="00847F6C">
        <w:rPr>
          <w:rFonts w:ascii="Arial" w:hAnsi="Arial" w:cs="Arial"/>
          <w:color w:val="000000" w:themeColor="text1"/>
          <w:sz w:val="22"/>
          <w:szCs w:val="22"/>
          <w:u w:val="single"/>
        </w:rPr>
        <w:t>JUSTIFICATION</w:t>
      </w:r>
    </w:p>
    <w:p w:rsidR="00E254A9" w:rsidRPr="00A13888" w:rsidRDefault="00E254A9" w:rsidP="00A13888">
      <w:pPr>
        <w:pStyle w:val="ListParagraph"/>
        <w:rPr>
          <w:sz w:val="20"/>
          <w:szCs w:val="20"/>
        </w:rPr>
      </w:pPr>
    </w:p>
    <w:p w:rsidR="00E254A9" w:rsidRPr="0006279D" w:rsidRDefault="00E254A9" w:rsidP="00847F6C">
      <w:pPr>
        <w:tabs>
          <w:tab w:val="left" w:pos="-1440"/>
        </w:tabs>
        <w:ind w:left="1080" w:hanging="360"/>
        <w:rPr>
          <w:rFonts w:ascii="Arial" w:hAnsi="Arial" w:cs="Arial"/>
          <w:sz w:val="22"/>
          <w:szCs w:val="22"/>
        </w:rPr>
      </w:pPr>
      <w:r w:rsidRPr="0006279D">
        <w:rPr>
          <w:rFonts w:ascii="Arial" w:hAnsi="Arial" w:cs="Arial"/>
          <w:sz w:val="22"/>
          <w:szCs w:val="22"/>
        </w:rPr>
        <w:t>1.</w:t>
      </w:r>
      <w:r w:rsidRPr="0006279D">
        <w:rPr>
          <w:rFonts w:ascii="Arial" w:hAnsi="Arial" w:cs="Arial"/>
          <w:sz w:val="22"/>
          <w:szCs w:val="22"/>
        </w:rPr>
        <w:tab/>
      </w:r>
      <w:r w:rsidRPr="0006279D">
        <w:rPr>
          <w:rFonts w:ascii="Arial" w:hAnsi="Arial" w:cs="Arial"/>
          <w:sz w:val="22"/>
          <w:szCs w:val="22"/>
          <w:u w:val="single"/>
        </w:rPr>
        <w:t>Need for and Practical Utility of the Collection of Information</w:t>
      </w:r>
    </w:p>
    <w:p w:rsidR="00847F6C" w:rsidRDefault="00847F6C" w:rsidP="003F088C">
      <w:pPr>
        <w:ind w:left="1440"/>
        <w:rPr>
          <w:rFonts w:ascii="Arial" w:hAnsi="Arial" w:cs="Arial"/>
          <w:sz w:val="22"/>
          <w:szCs w:val="22"/>
        </w:rPr>
      </w:pPr>
    </w:p>
    <w:p w:rsidR="00426EB1" w:rsidRDefault="00E254A9" w:rsidP="0014687F">
      <w:pPr>
        <w:ind w:left="1080"/>
        <w:rPr>
          <w:rFonts w:ascii="Arial" w:hAnsi="Arial" w:cs="Arial"/>
          <w:sz w:val="22"/>
          <w:szCs w:val="22"/>
        </w:rPr>
        <w:sectPr w:rsidR="00426EB1" w:rsidSect="00426EB1">
          <w:pgSz w:w="12240" w:h="15840"/>
          <w:pgMar w:top="1440" w:right="1440" w:bottom="1440" w:left="1440" w:header="1440" w:footer="1440" w:gutter="0"/>
          <w:cols w:space="720"/>
          <w:noEndnote/>
          <w:titlePg/>
          <w:docGrid w:linePitch="326"/>
        </w:sectPr>
      </w:pPr>
      <w:r w:rsidRPr="0006279D">
        <w:rPr>
          <w:rFonts w:ascii="Arial" w:hAnsi="Arial" w:cs="Arial"/>
          <w:sz w:val="22"/>
          <w:szCs w:val="22"/>
        </w:rPr>
        <w:t>Licensees of commercial nuclear power plants are required to submit proof annually that they carry onsite property damage/accident recovery insurance available from private sources.  A licensee suffering an accident is also required to submit a cleanup plan within 30 days after the reactor is stabilized.  This</w:t>
      </w:r>
      <w:r w:rsidR="00426EB1">
        <w:rPr>
          <w:rFonts w:ascii="Arial" w:hAnsi="Arial" w:cs="Arial"/>
          <w:sz w:val="22"/>
          <w:szCs w:val="22"/>
        </w:rPr>
        <w:t xml:space="preserve"> </w:t>
      </w:r>
      <w:r w:rsidRPr="0006279D">
        <w:rPr>
          <w:rFonts w:ascii="Arial" w:hAnsi="Arial" w:cs="Arial"/>
          <w:sz w:val="22"/>
          <w:szCs w:val="22"/>
        </w:rPr>
        <w:t>cleanup plan also explicitly includes costs of pe</w:t>
      </w:r>
      <w:r w:rsidR="00426EB1">
        <w:rPr>
          <w:rFonts w:ascii="Arial" w:hAnsi="Arial" w:cs="Arial"/>
          <w:sz w:val="22"/>
          <w:szCs w:val="22"/>
        </w:rPr>
        <w:t>rforming each cleanup operation</w:t>
      </w:r>
    </w:p>
    <w:p w:rsidR="00E254A9" w:rsidRPr="0006279D" w:rsidRDefault="00E254A9" w:rsidP="0014687F">
      <w:pPr>
        <w:ind w:left="1080"/>
        <w:rPr>
          <w:rFonts w:ascii="Arial" w:hAnsi="Arial" w:cs="Arial"/>
          <w:sz w:val="22"/>
          <w:szCs w:val="22"/>
        </w:rPr>
      </w:pPr>
      <w:r w:rsidRPr="0006279D">
        <w:rPr>
          <w:rFonts w:ascii="Arial" w:hAnsi="Arial" w:cs="Arial"/>
          <w:sz w:val="22"/>
          <w:szCs w:val="22"/>
        </w:rPr>
        <w:lastRenderedPageBreak/>
        <w:t>This information is required to demonstrate that licensees are complying with NRC's requirement to carry adequate accident recovery insurance and, in the event of a reactor accident, to provide the NRC</w:t>
      </w:r>
      <w:r w:rsidR="003F088C">
        <w:rPr>
          <w:rFonts w:ascii="Arial" w:hAnsi="Arial" w:cs="Arial"/>
          <w:sz w:val="22"/>
          <w:szCs w:val="22"/>
        </w:rPr>
        <w:t xml:space="preserve"> with sufficient information to </w:t>
      </w:r>
      <w:r w:rsidRPr="0006279D">
        <w:rPr>
          <w:rFonts w:ascii="Arial" w:hAnsi="Arial" w:cs="Arial"/>
          <w:sz w:val="22"/>
          <w:szCs w:val="22"/>
        </w:rPr>
        <w:t>monitor cleanup and to allow insurance proceeds to be released from the decontamination priority and to be used for non-cleanup purposes.</w:t>
      </w:r>
    </w:p>
    <w:p w:rsidR="00E254A9" w:rsidRPr="0006279D" w:rsidRDefault="00E254A9">
      <w:pPr>
        <w:rPr>
          <w:rFonts w:ascii="Arial" w:hAnsi="Arial" w:cs="Arial"/>
          <w:sz w:val="22"/>
          <w:szCs w:val="22"/>
        </w:rPr>
      </w:pPr>
    </w:p>
    <w:p w:rsidR="00E254A9" w:rsidRPr="0006279D" w:rsidRDefault="00E254A9" w:rsidP="00847F6C">
      <w:pPr>
        <w:tabs>
          <w:tab w:val="left" w:pos="-1440"/>
        </w:tabs>
        <w:ind w:left="1080" w:hanging="360"/>
        <w:rPr>
          <w:rFonts w:ascii="Arial" w:hAnsi="Arial" w:cs="Arial"/>
          <w:sz w:val="22"/>
          <w:szCs w:val="22"/>
        </w:rPr>
      </w:pPr>
      <w:r w:rsidRPr="0006279D">
        <w:rPr>
          <w:rFonts w:ascii="Arial" w:hAnsi="Arial" w:cs="Arial"/>
          <w:sz w:val="22"/>
          <w:szCs w:val="22"/>
        </w:rPr>
        <w:t>2.</w:t>
      </w:r>
      <w:r w:rsidRPr="0006279D">
        <w:rPr>
          <w:rFonts w:ascii="Arial" w:hAnsi="Arial" w:cs="Arial"/>
          <w:sz w:val="22"/>
          <w:szCs w:val="22"/>
        </w:rPr>
        <w:tab/>
      </w:r>
      <w:r w:rsidRPr="0006279D">
        <w:rPr>
          <w:rFonts w:ascii="Arial" w:hAnsi="Arial" w:cs="Arial"/>
          <w:sz w:val="22"/>
          <w:szCs w:val="22"/>
          <w:u w:val="single"/>
        </w:rPr>
        <w:t>Agency Use of Information</w:t>
      </w:r>
    </w:p>
    <w:p w:rsidR="00E254A9" w:rsidRPr="0006279D" w:rsidRDefault="00E254A9">
      <w:pPr>
        <w:rPr>
          <w:rFonts w:ascii="Arial" w:hAnsi="Arial" w:cs="Arial"/>
          <w:sz w:val="22"/>
          <w:szCs w:val="22"/>
        </w:rPr>
      </w:pPr>
    </w:p>
    <w:p w:rsidR="00E254A9" w:rsidRPr="0006279D" w:rsidRDefault="00E254A9" w:rsidP="0014687F">
      <w:pPr>
        <w:ind w:left="1080"/>
        <w:rPr>
          <w:rFonts w:ascii="Arial" w:hAnsi="Arial" w:cs="Arial"/>
          <w:sz w:val="22"/>
          <w:szCs w:val="22"/>
        </w:rPr>
      </w:pPr>
      <w:r w:rsidRPr="0006279D">
        <w:rPr>
          <w:rFonts w:ascii="Arial" w:hAnsi="Arial" w:cs="Arial"/>
          <w:sz w:val="22"/>
          <w:szCs w:val="22"/>
        </w:rPr>
        <w:t>The information submitted by licensees is used by the NRC staff to ensure that licensees are complying with the requirements to maintain appropriate levels of onsite property damage/accident recovery insurance and to use the proceeds from this insurance for decontamination and cleanup after an accident before any other purpose.</w:t>
      </w:r>
    </w:p>
    <w:p w:rsidR="00E254A9" w:rsidRPr="0006279D" w:rsidRDefault="00E254A9">
      <w:pPr>
        <w:rPr>
          <w:rFonts w:ascii="Arial" w:hAnsi="Arial" w:cs="Arial"/>
          <w:sz w:val="22"/>
          <w:szCs w:val="22"/>
        </w:rPr>
      </w:pPr>
    </w:p>
    <w:p w:rsidR="00E254A9" w:rsidRPr="00A62013" w:rsidRDefault="00E254A9" w:rsidP="00A62013">
      <w:pPr>
        <w:tabs>
          <w:tab w:val="left" w:pos="-1440"/>
        </w:tabs>
        <w:ind w:left="1080" w:hanging="360"/>
        <w:rPr>
          <w:rFonts w:ascii="Arial" w:hAnsi="Arial" w:cs="Arial"/>
          <w:color w:val="000000" w:themeColor="text1"/>
          <w:sz w:val="22"/>
          <w:szCs w:val="22"/>
        </w:rPr>
      </w:pPr>
      <w:r w:rsidRPr="00A62013">
        <w:rPr>
          <w:rFonts w:ascii="Arial" w:hAnsi="Arial" w:cs="Arial"/>
          <w:color w:val="000000" w:themeColor="text1"/>
          <w:sz w:val="22"/>
          <w:szCs w:val="22"/>
        </w:rPr>
        <w:t>3.</w:t>
      </w:r>
      <w:r w:rsidRPr="00A62013">
        <w:rPr>
          <w:rFonts w:ascii="Arial" w:hAnsi="Arial" w:cs="Arial"/>
          <w:color w:val="000000" w:themeColor="text1"/>
          <w:sz w:val="22"/>
          <w:szCs w:val="22"/>
        </w:rPr>
        <w:tab/>
      </w:r>
      <w:r w:rsidR="00F10511" w:rsidRPr="00A62013">
        <w:rPr>
          <w:rFonts w:ascii="Arial" w:hAnsi="Arial" w:cs="Arial"/>
          <w:color w:val="000000" w:themeColor="text1"/>
          <w:sz w:val="22"/>
          <w:szCs w:val="22"/>
          <w:u w:val="single"/>
        </w:rPr>
        <w:t xml:space="preserve">Reduction of Burden </w:t>
      </w:r>
      <w:r w:rsidRPr="00A62013">
        <w:rPr>
          <w:rFonts w:ascii="Arial" w:hAnsi="Arial" w:cs="Arial"/>
          <w:color w:val="000000" w:themeColor="text1"/>
          <w:sz w:val="22"/>
          <w:szCs w:val="22"/>
          <w:u w:val="single"/>
        </w:rPr>
        <w:t>Through Information Technology</w:t>
      </w:r>
    </w:p>
    <w:p w:rsidR="00E254A9" w:rsidRPr="0006279D" w:rsidRDefault="00E254A9">
      <w:pPr>
        <w:rPr>
          <w:rFonts w:ascii="Arial" w:hAnsi="Arial" w:cs="Arial"/>
          <w:color w:val="000000"/>
          <w:sz w:val="22"/>
          <w:szCs w:val="22"/>
        </w:rPr>
      </w:pPr>
    </w:p>
    <w:p w:rsidR="00612665" w:rsidRDefault="00612665" w:rsidP="0014687F">
      <w:pPr>
        <w:ind w:left="1080"/>
        <w:rPr>
          <w:rFonts w:ascii="Arial" w:hAnsi="Arial" w:cs="Arial"/>
          <w:sz w:val="22"/>
          <w:szCs w:val="22"/>
        </w:rPr>
      </w:pPr>
      <w:r w:rsidRPr="00612665">
        <w:rPr>
          <w:rFonts w:ascii="Arial" w:hAnsi="Arial" w:cs="Arial"/>
          <w:sz w:val="22"/>
          <w:szCs w:val="22"/>
        </w:rPr>
        <w:t xml:space="preserve">There are no legal obstacles to reducing the burden associated with this information collection. The NRC encourages respondents to use information technology when it would be beneficial to them.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  It is estimated that approximately </w:t>
      </w:r>
      <w:r w:rsidRPr="00612665">
        <w:rPr>
          <w:rFonts w:ascii="Arial" w:hAnsi="Arial" w:cs="Arial"/>
          <w:bCs/>
          <w:sz w:val="22"/>
          <w:szCs w:val="22"/>
        </w:rPr>
        <w:t>99</w:t>
      </w:r>
      <w:r>
        <w:rPr>
          <w:rFonts w:ascii="Arial" w:hAnsi="Arial" w:cs="Arial"/>
          <w:bCs/>
          <w:sz w:val="22"/>
          <w:szCs w:val="22"/>
        </w:rPr>
        <w:t xml:space="preserve"> percent</w:t>
      </w:r>
      <w:r w:rsidRPr="00612665">
        <w:rPr>
          <w:rFonts w:ascii="Arial" w:hAnsi="Arial" w:cs="Arial"/>
          <w:sz w:val="22"/>
          <w:szCs w:val="22"/>
        </w:rPr>
        <w:t xml:space="preserve"> of the potential responses are filed electronically. </w:t>
      </w:r>
    </w:p>
    <w:p w:rsidR="00E254A9" w:rsidRPr="0006279D" w:rsidRDefault="00D660C9">
      <w:pPr>
        <w:widowControl/>
        <w:rPr>
          <w:rFonts w:ascii="Arial" w:hAnsi="Arial" w:cs="Arial"/>
          <w:color w:val="000000"/>
          <w:sz w:val="22"/>
          <w:szCs w:val="22"/>
        </w:rPr>
      </w:pPr>
      <w:r w:rsidRPr="0006279D">
        <w:rPr>
          <w:rFonts w:ascii="Arial" w:hAnsi="Arial" w:cs="Arial"/>
          <w:color w:val="000000"/>
          <w:sz w:val="22"/>
          <w:szCs w:val="22"/>
        </w:rPr>
        <w:tab/>
      </w:r>
      <w:r w:rsidRPr="0006279D">
        <w:rPr>
          <w:rFonts w:ascii="Arial" w:hAnsi="Arial" w:cs="Arial"/>
          <w:color w:val="000000"/>
          <w:sz w:val="22"/>
          <w:szCs w:val="22"/>
        </w:rPr>
        <w:tab/>
      </w:r>
    </w:p>
    <w:p w:rsidR="00E254A9" w:rsidRPr="00426EB1" w:rsidRDefault="00E254A9" w:rsidP="0014687F">
      <w:pPr>
        <w:widowControl/>
        <w:tabs>
          <w:tab w:val="left" w:pos="-1440"/>
        </w:tabs>
        <w:ind w:left="1080" w:hanging="360"/>
        <w:rPr>
          <w:rFonts w:ascii="Arial" w:hAnsi="Arial" w:cs="Arial"/>
          <w:color w:val="000000" w:themeColor="text1"/>
          <w:sz w:val="22"/>
          <w:szCs w:val="22"/>
        </w:rPr>
      </w:pPr>
      <w:r w:rsidRPr="00426EB1">
        <w:rPr>
          <w:rFonts w:ascii="Arial" w:hAnsi="Arial" w:cs="Arial"/>
          <w:color w:val="000000" w:themeColor="text1"/>
          <w:sz w:val="22"/>
          <w:szCs w:val="22"/>
        </w:rPr>
        <w:t>4.</w:t>
      </w:r>
      <w:r w:rsidRPr="00426EB1">
        <w:rPr>
          <w:rFonts w:ascii="Arial" w:hAnsi="Arial" w:cs="Arial"/>
          <w:color w:val="000000" w:themeColor="text1"/>
          <w:sz w:val="22"/>
          <w:szCs w:val="22"/>
        </w:rPr>
        <w:tab/>
      </w:r>
      <w:r w:rsidRPr="00426EB1">
        <w:rPr>
          <w:rFonts w:ascii="Arial" w:hAnsi="Arial" w:cs="Arial"/>
          <w:color w:val="000000" w:themeColor="text1"/>
          <w:sz w:val="22"/>
          <w:szCs w:val="22"/>
          <w:u w:val="single"/>
        </w:rPr>
        <w:t>Effort to Identify Duplication and Use Similar Information</w:t>
      </w:r>
    </w:p>
    <w:p w:rsidR="00E254A9" w:rsidRPr="00426EB1" w:rsidRDefault="00E254A9">
      <w:pPr>
        <w:widowControl/>
        <w:rPr>
          <w:rFonts w:ascii="Arial" w:hAnsi="Arial" w:cs="Arial"/>
          <w:color w:val="000000" w:themeColor="text1"/>
          <w:sz w:val="22"/>
          <w:szCs w:val="22"/>
        </w:rPr>
      </w:pPr>
    </w:p>
    <w:p w:rsidR="00E254A9" w:rsidRPr="00A62013" w:rsidRDefault="007E3EB8" w:rsidP="0014687F">
      <w:pPr>
        <w:widowControl/>
        <w:ind w:left="1080"/>
        <w:rPr>
          <w:rFonts w:ascii="Arial" w:hAnsi="Arial" w:cs="Arial"/>
          <w:color w:val="000000" w:themeColor="text1"/>
          <w:sz w:val="22"/>
          <w:szCs w:val="22"/>
        </w:rPr>
      </w:pPr>
      <w:r w:rsidRPr="00A62013">
        <w:rPr>
          <w:rFonts w:ascii="Arial" w:hAnsi="Arial" w:cs="Arial"/>
          <w:color w:val="000000" w:themeColor="text1"/>
          <w:sz w:val="22"/>
          <w:szCs w:val="22"/>
        </w:rPr>
        <w:t>No sources of similar information are available.  There is no duplication of requirements.  NRC has in place an ongoing program to examine all information collections with the goal of eliminating all duplication and/or unnecessary information collections.</w:t>
      </w:r>
    </w:p>
    <w:p w:rsidR="00E254A9" w:rsidRPr="0006279D" w:rsidRDefault="00E254A9">
      <w:pPr>
        <w:widowControl/>
        <w:rPr>
          <w:rFonts w:ascii="Arial" w:hAnsi="Arial" w:cs="Arial"/>
          <w:color w:val="000000"/>
          <w:sz w:val="22"/>
          <w:szCs w:val="22"/>
        </w:rPr>
      </w:pPr>
    </w:p>
    <w:p w:rsidR="00E254A9" w:rsidRPr="0006279D" w:rsidRDefault="00E254A9" w:rsidP="0014687F">
      <w:pPr>
        <w:widowControl/>
        <w:tabs>
          <w:tab w:val="left" w:pos="-1440"/>
        </w:tabs>
        <w:ind w:left="1080" w:hanging="360"/>
        <w:rPr>
          <w:rFonts w:ascii="Arial" w:hAnsi="Arial" w:cs="Arial"/>
          <w:color w:val="000000"/>
          <w:sz w:val="22"/>
          <w:szCs w:val="22"/>
        </w:rPr>
      </w:pPr>
      <w:r w:rsidRPr="0006279D">
        <w:rPr>
          <w:rFonts w:ascii="Arial" w:hAnsi="Arial" w:cs="Arial"/>
          <w:color w:val="000000"/>
          <w:sz w:val="22"/>
          <w:szCs w:val="22"/>
        </w:rPr>
        <w:t>5.</w:t>
      </w:r>
      <w:r w:rsidRPr="0006279D">
        <w:rPr>
          <w:rFonts w:ascii="Arial" w:hAnsi="Arial" w:cs="Arial"/>
          <w:color w:val="000000"/>
          <w:sz w:val="22"/>
          <w:szCs w:val="22"/>
        </w:rPr>
        <w:tab/>
      </w:r>
      <w:r w:rsidRPr="0006279D">
        <w:rPr>
          <w:rFonts w:ascii="Arial" w:hAnsi="Arial" w:cs="Arial"/>
          <w:color w:val="000000"/>
          <w:sz w:val="22"/>
          <w:szCs w:val="22"/>
          <w:u w:val="single"/>
        </w:rPr>
        <w:t>Effort to Reduce Small Business Burden</w:t>
      </w:r>
    </w:p>
    <w:p w:rsidR="00E254A9" w:rsidRPr="0006279D" w:rsidRDefault="00E254A9">
      <w:pPr>
        <w:widowControl/>
        <w:rPr>
          <w:rFonts w:ascii="Arial" w:hAnsi="Arial" w:cs="Arial"/>
          <w:color w:val="000000"/>
          <w:sz w:val="22"/>
          <w:szCs w:val="22"/>
        </w:rPr>
      </w:pPr>
    </w:p>
    <w:p w:rsidR="00E254A9" w:rsidRPr="0006279D" w:rsidRDefault="00E254A9" w:rsidP="0014687F">
      <w:pPr>
        <w:widowControl/>
        <w:ind w:left="1080"/>
        <w:rPr>
          <w:rFonts w:ascii="Arial" w:hAnsi="Arial" w:cs="Arial"/>
          <w:color w:val="000000"/>
          <w:sz w:val="22"/>
          <w:szCs w:val="22"/>
        </w:rPr>
      </w:pPr>
      <w:r w:rsidRPr="0006279D">
        <w:rPr>
          <w:rFonts w:ascii="Arial" w:hAnsi="Arial" w:cs="Arial"/>
          <w:color w:val="000000"/>
          <w:sz w:val="22"/>
          <w:szCs w:val="22"/>
        </w:rPr>
        <w:t>This information collection requirement only affects power reactor licensees and thus does not affect small businesses.</w:t>
      </w:r>
    </w:p>
    <w:p w:rsidR="00E254A9" w:rsidRPr="0006279D" w:rsidRDefault="00E254A9">
      <w:pPr>
        <w:widowControl/>
        <w:rPr>
          <w:rFonts w:ascii="Arial" w:hAnsi="Arial" w:cs="Arial"/>
          <w:color w:val="000000"/>
          <w:sz w:val="22"/>
          <w:szCs w:val="22"/>
        </w:rPr>
      </w:pPr>
    </w:p>
    <w:p w:rsidR="00E254A9" w:rsidRPr="0006279D" w:rsidRDefault="00E254A9" w:rsidP="0014687F">
      <w:pPr>
        <w:widowControl/>
        <w:tabs>
          <w:tab w:val="left" w:pos="-1440"/>
        </w:tabs>
        <w:ind w:left="1080" w:hanging="360"/>
        <w:rPr>
          <w:rFonts w:ascii="Arial" w:hAnsi="Arial" w:cs="Arial"/>
          <w:color w:val="000000"/>
          <w:sz w:val="22"/>
          <w:szCs w:val="22"/>
        </w:rPr>
      </w:pPr>
      <w:r w:rsidRPr="0006279D">
        <w:rPr>
          <w:rFonts w:ascii="Arial" w:hAnsi="Arial" w:cs="Arial"/>
          <w:color w:val="000000"/>
          <w:sz w:val="22"/>
          <w:szCs w:val="22"/>
        </w:rPr>
        <w:t>6.</w:t>
      </w:r>
      <w:r w:rsidRPr="0006279D">
        <w:rPr>
          <w:rFonts w:ascii="Arial" w:hAnsi="Arial" w:cs="Arial"/>
          <w:color w:val="000000"/>
          <w:sz w:val="22"/>
          <w:szCs w:val="22"/>
        </w:rPr>
        <w:tab/>
      </w:r>
      <w:r w:rsidRPr="0006279D">
        <w:rPr>
          <w:rFonts w:ascii="Arial" w:hAnsi="Arial" w:cs="Arial"/>
          <w:color w:val="000000"/>
          <w:sz w:val="22"/>
          <w:szCs w:val="22"/>
          <w:u w:val="single"/>
        </w:rPr>
        <w:t>Consequences to Federal Program or Policy A</w:t>
      </w:r>
      <w:r w:rsidR="009D1DC4">
        <w:rPr>
          <w:rFonts w:ascii="Arial" w:hAnsi="Arial" w:cs="Arial"/>
          <w:color w:val="000000"/>
          <w:sz w:val="22"/>
          <w:szCs w:val="22"/>
          <w:u w:val="single"/>
        </w:rPr>
        <w:t>ctivities if the Collection is n</w:t>
      </w:r>
      <w:r w:rsidRPr="0006279D">
        <w:rPr>
          <w:rFonts w:ascii="Arial" w:hAnsi="Arial" w:cs="Arial"/>
          <w:color w:val="000000"/>
          <w:sz w:val="22"/>
          <w:szCs w:val="22"/>
          <w:u w:val="single"/>
        </w:rPr>
        <w:t>ot Conducted or is Conducted Less Frequently</w:t>
      </w:r>
    </w:p>
    <w:p w:rsidR="00E254A9" w:rsidRPr="0006279D" w:rsidRDefault="00E254A9">
      <w:pPr>
        <w:widowControl/>
        <w:rPr>
          <w:rFonts w:ascii="Arial" w:hAnsi="Arial" w:cs="Arial"/>
          <w:color w:val="000000"/>
          <w:sz w:val="22"/>
          <w:szCs w:val="22"/>
        </w:rPr>
      </w:pPr>
    </w:p>
    <w:p w:rsidR="00E254A9" w:rsidRPr="0006279D" w:rsidRDefault="00E254A9" w:rsidP="0014687F">
      <w:pPr>
        <w:widowControl/>
        <w:ind w:left="1080"/>
        <w:rPr>
          <w:rFonts w:ascii="Arial" w:hAnsi="Arial" w:cs="Arial"/>
          <w:color w:val="000000"/>
          <w:sz w:val="22"/>
          <w:szCs w:val="22"/>
        </w:rPr>
      </w:pPr>
      <w:r w:rsidRPr="0006279D">
        <w:rPr>
          <w:rFonts w:ascii="Arial" w:hAnsi="Arial" w:cs="Arial"/>
          <w:color w:val="000000"/>
          <w:sz w:val="22"/>
          <w:szCs w:val="22"/>
        </w:rPr>
        <w:t>Annual reporting of coverage is considered the least frequent reporting interval which will still give reasonable assurance of insurance coverage in order to protect the health and safety of the public in case of an accident.</w:t>
      </w:r>
    </w:p>
    <w:p w:rsidR="00E254A9" w:rsidRPr="0006279D" w:rsidRDefault="00E254A9">
      <w:pPr>
        <w:widowControl/>
        <w:rPr>
          <w:rFonts w:ascii="Arial" w:hAnsi="Arial" w:cs="Arial"/>
          <w:color w:val="000000"/>
          <w:sz w:val="22"/>
          <w:szCs w:val="22"/>
        </w:rPr>
      </w:pPr>
    </w:p>
    <w:p w:rsidR="00E254A9" w:rsidRPr="0006279D" w:rsidRDefault="00E254A9" w:rsidP="0014687F">
      <w:pPr>
        <w:widowControl/>
        <w:tabs>
          <w:tab w:val="left" w:pos="-1440"/>
        </w:tabs>
        <w:ind w:left="1080" w:hanging="360"/>
        <w:rPr>
          <w:rFonts w:ascii="Arial" w:hAnsi="Arial" w:cs="Arial"/>
          <w:color w:val="000000"/>
          <w:sz w:val="22"/>
          <w:szCs w:val="22"/>
        </w:rPr>
      </w:pPr>
      <w:r w:rsidRPr="0006279D">
        <w:rPr>
          <w:rFonts w:ascii="Arial" w:hAnsi="Arial" w:cs="Arial"/>
          <w:color w:val="000000"/>
          <w:sz w:val="22"/>
          <w:szCs w:val="22"/>
        </w:rPr>
        <w:t>7.</w:t>
      </w:r>
      <w:r w:rsidRPr="0006279D">
        <w:rPr>
          <w:rFonts w:ascii="Arial" w:hAnsi="Arial" w:cs="Arial"/>
          <w:color w:val="000000"/>
          <w:sz w:val="22"/>
          <w:szCs w:val="22"/>
        </w:rPr>
        <w:tab/>
      </w:r>
      <w:r w:rsidRPr="0006279D">
        <w:rPr>
          <w:rFonts w:ascii="Arial" w:hAnsi="Arial" w:cs="Arial"/>
          <w:color w:val="000000"/>
          <w:sz w:val="22"/>
          <w:szCs w:val="22"/>
          <w:u w:val="single"/>
        </w:rPr>
        <w:t>Circumstances which Justify Variation from OMB Guidelines</w:t>
      </w:r>
    </w:p>
    <w:p w:rsidR="00E254A9" w:rsidRPr="0006279D" w:rsidRDefault="00E254A9">
      <w:pPr>
        <w:widowControl/>
        <w:rPr>
          <w:rFonts w:ascii="Arial" w:hAnsi="Arial" w:cs="Arial"/>
          <w:color w:val="000000"/>
          <w:sz w:val="22"/>
          <w:szCs w:val="22"/>
        </w:rPr>
      </w:pPr>
    </w:p>
    <w:p w:rsidR="00AF6AD5" w:rsidRDefault="00E254A9" w:rsidP="0014687F">
      <w:pPr>
        <w:widowControl/>
        <w:ind w:left="1080"/>
        <w:rPr>
          <w:rFonts w:ascii="Arial" w:hAnsi="Arial" w:cs="Arial"/>
          <w:color w:val="000000"/>
          <w:sz w:val="22"/>
          <w:szCs w:val="22"/>
        </w:rPr>
      </w:pPr>
      <w:r w:rsidRPr="0006279D">
        <w:rPr>
          <w:rFonts w:ascii="Arial" w:hAnsi="Arial" w:cs="Arial"/>
          <w:color w:val="000000"/>
          <w:sz w:val="22"/>
          <w:szCs w:val="22"/>
        </w:rPr>
        <w:t>As stated above, 10 CFR 50.54(w)(4)(ii) requires licensees to provide written notification when the reactor is and can be maintained in a safe and stable condition.  This notification could occur in less than 30 days of the event, at</w:t>
      </w:r>
      <w:r w:rsidR="00426EB1">
        <w:rPr>
          <w:rFonts w:ascii="Arial" w:hAnsi="Arial" w:cs="Arial"/>
          <w:color w:val="000000"/>
          <w:sz w:val="22"/>
          <w:szCs w:val="22"/>
        </w:rPr>
        <w:t xml:space="preserve"> </w:t>
      </w:r>
      <w:r w:rsidRPr="0006279D">
        <w:rPr>
          <w:rFonts w:ascii="Arial" w:hAnsi="Arial" w:cs="Arial"/>
          <w:color w:val="000000"/>
          <w:sz w:val="22"/>
          <w:szCs w:val="22"/>
        </w:rPr>
        <w:t xml:space="preserve">which time licensees are expected to provide the required notification.  </w:t>
      </w:r>
    </w:p>
    <w:p w:rsidR="00E254A9" w:rsidRPr="0006279D" w:rsidRDefault="00E254A9" w:rsidP="0014687F">
      <w:pPr>
        <w:widowControl/>
        <w:ind w:left="1080"/>
        <w:rPr>
          <w:rFonts w:ascii="Arial" w:hAnsi="Arial" w:cs="Arial"/>
          <w:color w:val="000000"/>
          <w:sz w:val="22"/>
          <w:szCs w:val="22"/>
        </w:rPr>
      </w:pPr>
      <w:r w:rsidRPr="0006279D">
        <w:rPr>
          <w:rFonts w:ascii="Arial" w:hAnsi="Arial" w:cs="Arial"/>
          <w:color w:val="000000"/>
          <w:sz w:val="22"/>
          <w:szCs w:val="22"/>
        </w:rPr>
        <w:lastRenderedPageBreak/>
        <w:t>This notification is necessary to provide the NRC with information to monitor cleanup and to begin allowing the release of insurance proceeds from the decontamination priority and also used for non-cleanup purposes.</w:t>
      </w:r>
    </w:p>
    <w:p w:rsidR="00F67936" w:rsidRPr="00A62013" w:rsidRDefault="00F67936">
      <w:pPr>
        <w:widowControl/>
        <w:rPr>
          <w:rFonts w:ascii="Arial" w:hAnsi="Arial" w:cs="Arial"/>
          <w:color w:val="000000" w:themeColor="text1"/>
          <w:sz w:val="22"/>
          <w:szCs w:val="22"/>
        </w:rPr>
      </w:pPr>
    </w:p>
    <w:p w:rsidR="00E254A9" w:rsidRPr="00A62013" w:rsidRDefault="00E254A9" w:rsidP="0014687F">
      <w:pPr>
        <w:widowControl/>
        <w:tabs>
          <w:tab w:val="left" w:pos="-1440"/>
        </w:tabs>
        <w:ind w:left="1080" w:hanging="360"/>
        <w:rPr>
          <w:rFonts w:ascii="Arial" w:hAnsi="Arial" w:cs="Arial"/>
          <w:color w:val="000000" w:themeColor="text1"/>
          <w:sz w:val="22"/>
          <w:szCs w:val="22"/>
        </w:rPr>
      </w:pPr>
      <w:r w:rsidRPr="00A62013">
        <w:rPr>
          <w:rFonts w:ascii="Arial" w:hAnsi="Arial" w:cs="Arial"/>
          <w:color w:val="000000" w:themeColor="text1"/>
          <w:sz w:val="22"/>
          <w:szCs w:val="22"/>
        </w:rPr>
        <w:t>8.</w:t>
      </w:r>
      <w:r w:rsidRPr="00A13888">
        <w:rPr>
          <w:rFonts w:ascii="Arial" w:hAnsi="Arial" w:cs="Arial"/>
          <w:color w:val="FF0000"/>
          <w:sz w:val="22"/>
          <w:szCs w:val="22"/>
        </w:rPr>
        <w:tab/>
      </w:r>
      <w:r w:rsidR="00F67936" w:rsidRPr="00A62013">
        <w:rPr>
          <w:rFonts w:ascii="Arial" w:hAnsi="Arial" w:cs="Arial"/>
          <w:color w:val="000000" w:themeColor="text1"/>
          <w:sz w:val="22"/>
          <w:szCs w:val="22"/>
          <w:u w:val="single"/>
        </w:rPr>
        <w:t xml:space="preserve">Consultations </w:t>
      </w:r>
      <w:r w:rsidRPr="00A62013">
        <w:rPr>
          <w:rFonts w:ascii="Arial" w:hAnsi="Arial" w:cs="Arial"/>
          <w:color w:val="000000" w:themeColor="text1"/>
          <w:sz w:val="22"/>
          <w:szCs w:val="22"/>
          <w:u w:val="single"/>
        </w:rPr>
        <w:t>Outside the NRC</w:t>
      </w:r>
    </w:p>
    <w:p w:rsidR="00E254A9" w:rsidRPr="00A62013" w:rsidRDefault="00E254A9">
      <w:pPr>
        <w:widowControl/>
        <w:rPr>
          <w:rFonts w:ascii="Arial" w:hAnsi="Arial" w:cs="Arial"/>
          <w:color w:val="000000" w:themeColor="text1"/>
          <w:sz w:val="22"/>
          <w:szCs w:val="22"/>
        </w:rPr>
      </w:pPr>
    </w:p>
    <w:p w:rsidR="0014687F" w:rsidRDefault="00A219D3" w:rsidP="00A219D3">
      <w:pPr>
        <w:tabs>
          <w:tab w:val="left" w:pos="-1440"/>
          <w:tab w:val="left" w:pos="-360"/>
          <w:tab w:val="left" w:pos="600"/>
          <w:tab w:val="left" w:pos="117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color w:val="000000" w:themeColor="text1"/>
          <w:sz w:val="22"/>
          <w:szCs w:val="22"/>
        </w:rPr>
      </w:pPr>
      <w:r>
        <w:rPr>
          <w:rFonts w:ascii="Arial" w:hAnsi="Arial"/>
          <w:sz w:val="22"/>
        </w:rPr>
        <w:t xml:space="preserve">Opportunity for public comment on the information collection requirements for this clearance package was published in the </w:t>
      </w:r>
      <w:r>
        <w:rPr>
          <w:rFonts w:ascii="Arial" w:hAnsi="Arial"/>
          <w:sz w:val="22"/>
          <w:u w:val="single"/>
        </w:rPr>
        <w:t>Federal Register</w:t>
      </w:r>
      <w:r>
        <w:rPr>
          <w:rFonts w:ascii="Arial" w:hAnsi="Arial"/>
          <w:sz w:val="22"/>
        </w:rPr>
        <w:t xml:space="preserve"> on May 14, 2013 (78 FR 28244).  No comments were received.</w:t>
      </w:r>
    </w:p>
    <w:p w:rsidR="00E254A9" w:rsidRPr="00A62013" w:rsidRDefault="00E254A9">
      <w:pPr>
        <w:widowControl/>
        <w:rPr>
          <w:rFonts w:ascii="Arial" w:hAnsi="Arial" w:cs="Arial"/>
          <w:strike/>
          <w:color w:val="000000" w:themeColor="text1"/>
          <w:sz w:val="22"/>
          <w:szCs w:val="22"/>
        </w:rPr>
      </w:pPr>
    </w:p>
    <w:p w:rsidR="00E254A9" w:rsidRPr="00A62013" w:rsidRDefault="00E254A9" w:rsidP="0014687F">
      <w:pPr>
        <w:widowControl/>
        <w:tabs>
          <w:tab w:val="left" w:pos="-1440"/>
        </w:tabs>
        <w:ind w:left="1080" w:hanging="360"/>
        <w:rPr>
          <w:rFonts w:ascii="Arial" w:hAnsi="Arial" w:cs="Arial"/>
          <w:color w:val="000000" w:themeColor="text1"/>
          <w:sz w:val="22"/>
          <w:szCs w:val="22"/>
        </w:rPr>
      </w:pPr>
      <w:r w:rsidRPr="00A62013">
        <w:rPr>
          <w:rFonts w:ascii="Arial" w:hAnsi="Arial" w:cs="Arial"/>
          <w:color w:val="000000" w:themeColor="text1"/>
          <w:sz w:val="22"/>
          <w:szCs w:val="22"/>
        </w:rPr>
        <w:t>9.</w:t>
      </w:r>
      <w:r w:rsidRPr="00A62013">
        <w:rPr>
          <w:rFonts w:ascii="Arial" w:hAnsi="Arial" w:cs="Arial"/>
          <w:color w:val="000000" w:themeColor="text1"/>
          <w:sz w:val="22"/>
          <w:szCs w:val="22"/>
        </w:rPr>
        <w:tab/>
      </w:r>
      <w:r w:rsidRPr="00A62013">
        <w:rPr>
          <w:rFonts w:ascii="Arial" w:hAnsi="Arial" w:cs="Arial"/>
          <w:color w:val="000000" w:themeColor="text1"/>
          <w:sz w:val="22"/>
          <w:szCs w:val="22"/>
          <w:u w:val="single"/>
        </w:rPr>
        <w:t>Payment or Gift to Respondents</w:t>
      </w:r>
    </w:p>
    <w:p w:rsidR="00E254A9" w:rsidRPr="00A62013" w:rsidRDefault="00E254A9">
      <w:pPr>
        <w:widowControl/>
        <w:rPr>
          <w:rFonts w:ascii="Arial" w:hAnsi="Arial" w:cs="Arial"/>
          <w:color w:val="000000" w:themeColor="text1"/>
          <w:sz w:val="22"/>
          <w:szCs w:val="22"/>
        </w:rPr>
      </w:pPr>
    </w:p>
    <w:p w:rsidR="00E254A9" w:rsidRPr="0006279D" w:rsidRDefault="00E254A9" w:rsidP="0014687F">
      <w:pPr>
        <w:widowControl/>
        <w:ind w:left="1080"/>
        <w:rPr>
          <w:rFonts w:ascii="Arial" w:hAnsi="Arial" w:cs="Arial"/>
          <w:color w:val="000000"/>
          <w:sz w:val="22"/>
          <w:szCs w:val="22"/>
        </w:rPr>
      </w:pPr>
      <w:r w:rsidRPr="0006279D">
        <w:rPr>
          <w:rFonts w:ascii="Arial" w:hAnsi="Arial" w:cs="Arial"/>
          <w:color w:val="000000"/>
          <w:sz w:val="22"/>
          <w:szCs w:val="22"/>
        </w:rPr>
        <w:t>Not applicable.</w:t>
      </w:r>
    </w:p>
    <w:p w:rsidR="00E254A9" w:rsidRPr="0006279D" w:rsidRDefault="00E254A9">
      <w:pPr>
        <w:widowControl/>
        <w:rPr>
          <w:rFonts w:ascii="Arial" w:hAnsi="Arial" w:cs="Arial"/>
          <w:color w:val="000000"/>
          <w:sz w:val="22"/>
          <w:szCs w:val="22"/>
        </w:rPr>
      </w:pPr>
    </w:p>
    <w:p w:rsidR="00E254A9" w:rsidRPr="00A62013" w:rsidRDefault="00E254A9" w:rsidP="0014687F">
      <w:pPr>
        <w:pStyle w:val="Level1"/>
        <w:widowControl/>
        <w:numPr>
          <w:ilvl w:val="0"/>
          <w:numId w:val="2"/>
        </w:numPr>
        <w:tabs>
          <w:tab w:val="left" w:pos="-1440"/>
          <w:tab w:val="left" w:pos="1080"/>
          <w:tab w:val="num" w:pos="1440"/>
        </w:tabs>
        <w:rPr>
          <w:rFonts w:ascii="Arial" w:hAnsi="Arial" w:cs="Arial"/>
          <w:color w:val="000000" w:themeColor="text1"/>
          <w:sz w:val="22"/>
          <w:szCs w:val="22"/>
        </w:rPr>
      </w:pPr>
      <w:r w:rsidRPr="00A62013">
        <w:rPr>
          <w:rFonts w:ascii="Arial" w:hAnsi="Arial" w:cs="Arial"/>
          <w:color w:val="000000" w:themeColor="text1"/>
          <w:sz w:val="22"/>
          <w:szCs w:val="22"/>
          <w:u w:val="single"/>
        </w:rPr>
        <w:t>Confidentiality of Information</w:t>
      </w:r>
    </w:p>
    <w:p w:rsidR="00E254A9" w:rsidRPr="00A62013" w:rsidRDefault="00E254A9">
      <w:pPr>
        <w:widowControl/>
        <w:rPr>
          <w:rFonts w:ascii="Arial" w:hAnsi="Arial" w:cs="Arial"/>
          <w:color w:val="000000" w:themeColor="text1"/>
          <w:sz w:val="22"/>
          <w:szCs w:val="22"/>
        </w:rPr>
      </w:pPr>
    </w:p>
    <w:p w:rsidR="00E254A9" w:rsidRPr="00A62013" w:rsidRDefault="00E254A9" w:rsidP="0014687F">
      <w:pPr>
        <w:ind w:left="1080"/>
        <w:rPr>
          <w:rFonts w:ascii="Arial" w:hAnsi="Arial" w:cs="Arial"/>
          <w:color w:val="000000" w:themeColor="text1"/>
          <w:sz w:val="22"/>
          <w:szCs w:val="22"/>
        </w:rPr>
      </w:pPr>
      <w:r w:rsidRPr="00A62013">
        <w:rPr>
          <w:rFonts w:ascii="Arial" w:hAnsi="Arial" w:cs="Arial"/>
          <w:color w:val="000000" w:themeColor="text1"/>
          <w:sz w:val="22"/>
          <w:szCs w:val="22"/>
        </w:rPr>
        <w:t>Confidential and proprietary information is protected in accordance with NRC regulations at 10 CFR 9.17(a) and 10 CFR 2.390(b).</w:t>
      </w:r>
      <w:r w:rsidR="00377B63" w:rsidRPr="00A62013">
        <w:rPr>
          <w:rFonts w:ascii="Arial" w:hAnsi="Arial" w:cs="Arial"/>
          <w:color w:val="000000" w:themeColor="text1"/>
          <w:sz w:val="22"/>
          <w:szCs w:val="22"/>
        </w:rPr>
        <w:t xml:space="preserve">  </w:t>
      </w:r>
      <w:r w:rsidRPr="00A62013">
        <w:rPr>
          <w:rFonts w:ascii="Arial" w:hAnsi="Arial" w:cs="Arial"/>
          <w:color w:val="000000" w:themeColor="text1"/>
          <w:sz w:val="22"/>
          <w:szCs w:val="22"/>
        </w:rPr>
        <w:t>However, no information normally considered confidential or proprietary is requested</w:t>
      </w:r>
      <w:r w:rsidR="00377B63" w:rsidRPr="00A62013">
        <w:rPr>
          <w:rFonts w:ascii="Arial" w:hAnsi="Arial" w:cs="Arial"/>
          <w:color w:val="000000" w:themeColor="text1"/>
          <w:sz w:val="22"/>
          <w:szCs w:val="22"/>
        </w:rPr>
        <w:t>.</w:t>
      </w:r>
    </w:p>
    <w:p w:rsidR="00E254A9" w:rsidRPr="00A62013" w:rsidRDefault="00E254A9">
      <w:pPr>
        <w:widowControl/>
        <w:rPr>
          <w:rFonts w:ascii="Arial" w:hAnsi="Arial" w:cs="Arial"/>
          <w:color w:val="000000" w:themeColor="text1"/>
          <w:sz w:val="22"/>
          <w:szCs w:val="22"/>
        </w:rPr>
      </w:pPr>
    </w:p>
    <w:p w:rsidR="00E254A9" w:rsidRPr="00A62013" w:rsidRDefault="00E254A9" w:rsidP="0014687F">
      <w:pPr>
        <w:pStyle w:val="Level1"/>
        <w:widowControl/>
        <w:numPr>
          <w:ilvl w:val="0"/>
          <w:numId w:val="3"/>
        </w:numPr>
        <w:tabs>
          <w:tab w:val="left" w:pos="-1440"/>
          <w:tab w:val="num" w:pos="1080"/>
        </w:tabs>
        <w:rPr>
          <w:rFonts w:ascii="Arial" w:hAnsi="Arial" w:cs="Arial"/>
          <w:color w:val="000000" w:themeColor="text1"/>
          <w:sz w:val="22"/>
          <w:szCs w:val="22"/>
        </w:rPr>
      </w:pPr>
      <w:r w:rsidRPr="00A62013">
        <w:rPr>
          <w:rFonts w:ascii="Arial" w:hAnsi="Arial" w:cs="Arial"/>
          <w:color w:val="000000" w:themeColor="text1"/>
          <w:sz w:val="22"/>
          <w:szCs w:val="22"/>
          <w:u w:val="single"/>
        </w:rPr>
        <w:t>Justification for Sensitive Questions</w:t>
      </w:r>
    </w:p>
    <w:p w:rsidR="00A62013" w:rsidRDefault="00A62013">
      <w:pPr>
        <w:widowControl/>
        <w:ind w:left="1440"/>
        <w:rPr>
          <w:rFonts w:ascii="Arial" w:hAnsi="Arial" w:cs="Arial"/>
          <w:sz w:val="22"/>
          <w:szCs w:val="22"/>
        </w:rPr>
      </w:pPr>
    </w:p>
    <w:p w:rsidR="00E254A9" w:rsidRPr="0006279D" w:rsidRDefault="00E254A9" w:rsidP="0014687F">
      <w:pPr>
        <w:widowControl/>
        <w:ind w:left="1080"/>
        <w:rPr>
          <w:rFonts w:ascii="Arial" w:hAnsi="Arial" w:cs="Arial"/>
          <w:sz w:val="22"/>
          <w:szCs w:val="22"/>
        </w:rPr>
      </w:pPr>
      <w:r w:rsidRPr="0006279D">
        <w:rPr>
          <w:rFonts w:ascii="Arial" w:hAnsi="Arial" w:cs="Arial"/>
          <w:sz w:val="22"/>
          <w:szCs w:val="22"/>
        </w:rPr>
        <w:t>These regulations do not request sensitive information.</w:t>
      </w:r>
    </w:p>
    <w:p w:rsidR="00E254A9" w:rsidRPr="0006279D" w:rsidRDefault="00E254A9">
      <w:pPr>
        <w:widowControl/>
        <w:rPr>
          <w:rFonts w:ascii="Arial" w:hAnsi="Arial" w:cs="Arial"/>
          <w:sz w:val="22"/>
          <w:szCs w:val="22"/>
        </w:rPr>
      </w:pPr>
    </w:p>
    <w:p w:rsidR="00D660C9" w:rsidRPr="00A62013" w:rsidRDefault="009E02E6" w:rsidP="0014687F">
      <w:pPr>
        <w:pStyle w:val="Level1"/>
        <w:widowControl/>
        <w:tabs>
          <w:tab w:val="left" w:pos="-1440"/>
          <w:tab w:val="num" w:pos="1080"/>
        </w:tabs>
        <w:rPr>
          <w:rFonts w:ascii="Arial" w:hAnsi="Arial" w:cs="Arial"/>
          <w:color w:val="000000" w:themeColor="text1"/>
          <w:sz w:val="22"/>
          <w:szCs w:val="22"/>
        </w:rPr>
      </w:pPr>
      <w:r w:rsidRPr="00A62013">
        <w:rPr>
          <w:rFonts w:ascii="Arial" w:hAnsi="Arial" w:cs="Arial"/>
          <w:color w:val="000000" w:themeColor="text1"/>
          <w:sz w:val="22"/>
          <w:szCs w:val="22"/>
        </w:rPr>
        <w:t>12.</w:t>
      </w:r>
      <w:r w:rsidRPr="00A62013">
        <w:rPr>
          <w:rFonts w:ascii="Arial" w:hAnsi="Arial" w:cs="Arial"/>
          <w:color w:val="000000" w:themeColor="text1"/>
          <w:sz w:val="22"/>
          <w:szCs w:val="22"/>
        </w:rPr>
        <w:tab/>
      </w:r>
      <w:r w:rsidR="00E254A9" w:rsidRPr="00A62013">
        <w:rPr>
          <w:rFonts w:ascii="Arial" w:hAnsi="Arial" w:cs="Arial"/>
          <w:color w:val="000000" w:themeColor="text1"/>
          <w:sz w:val="22"/>
          <w:szCs w:val="22"/>
          <w:u w:val="single"/>
        </w:rPr>
        <w:t>Estimated Industry Burden and Burden Hour Cost</w:t>
      </w:r>
    </w:p>
    <w:p w:rsidR="00A13888" w:rsidRPr="00A62013" w:rsidRDefault="00A13888" w:rsidP="00A13888">
      <w:pPr>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1560"/>
        <w:rPr>
          <w:rFonts w:ascii="Arial" w:hAnsi="Arial" w:cs="Arial"/>
          <w:color w:val="000000" w:themeColor="text1"/>
          <w:sz w:val="22"/>
          <w:szCs w:val="22"/>
        </w:rPr>
      </w:pPr>
    </w:p>
    <w:p w:rsidR="00E254A9" w:rsidRPr="00A62013" w:rsidRDefault="00E254A9" w:rsidP="0014687F">
      <w:pPr>
        <w:ind w:left="1080"/>
        <w:rPr>
          <w:rFonts w:ascii="Arial" w:hAnsi="Arial" w:cs="Arial"/>
          <w:color w:val="000000" w:themeColor="text1"/>
          <w:sz w:val="22"/>
          <w:szCs w:val="22"/>
        </w:rPr>
      </w:pPr>
      <w:r w:rsidRPr="00A62013">
        <w:rPr>
          <w:rFonts w:ascii="Arial" w:hAnsi="Arial" w:cs="Arial"/>
          <w:color w:val="000000" w:themeColor="text1"/>
          <w:sz w:val="22"/>
          <w:szCs w:val="22"/>
        </w:rPr>
        <w:t>Average reporting burden to each licensee for the annual report is a letter to NRC of usually no more than one paragraph indicating both the amount of onsite property damage insurance being carried by the licensee and the insurer(s) from whom the insurance was obtained.  Time to complete this is estimated to be no greater than 4 hours per licensee per site.  No significant variation in burden among licensees is expected.  There are cur</w:t>
      </w:r>
      <w:r w:rsidR="003B022A" w:rsidRPr="00A62013">
        <w:rPr>
          <w:rFonts w:ascii="Arial" w:hAnsi="Arial" w:cs="Arial"/>
          <w:color w:val="000000" w:themeColor="text1"/>
          <w:sz w:val="22"/>
          <w:szCs w:val="22"/>
        </w:rPr>
        <w:t xml:space="preserve">rently 64 </w:t>
      </w:r>
      <w:r w:rsidRPr="00A62013">
        <w:rPr>
          <w:rFonts w:ascii="Arial" w:hAnsi="Arial" w:cs="Arial"/>
          <w:color w:val="000000" w:themeColor="text1"/>
          <w:sz w:val="22"/>
          <w:szCs w:val="22"/>
        </w:rPr>
        <w:t xml:space="preserve">licensees who are lead operators of single or multiple unit sites affected by the reporting </w:t>
      </w:r>
      <w:r w:rsidR="003B022A" w:rsidRPr="00A62013">
        <w:rPr>
          <w:rFonts w:ascii="Arial" w:hAnsi="Arial" w:cs="Arial"/>
          <w:color w:val="000000" w:themeColor="text1"/>
          <w:sz w:val="22"/>
          <w:szCs w:val="22"/>
        </w:rPr>
        <w:t>requirements.  (This includes 52</w:t>
      </w:r>
      <w:r w:rsidRPr="00A62013">
        <w:rPr>
          <w:rFonts w:ascii="Arial" w:hAnsi="Arial" w:cs="Arial"/>
          <w:color w:val="000000" w:themeColor="text1"/>
          <w:sz w:val="22"/>
          <w:szCs w:val="22"/>
        </w:rPr>
        <w:t xml:space="preserve"> lead lice</w:t>
      </w:r>
      <w:r w:rsidR="003B022A" w:rsidRPr="00A62013">
        <w:rPr>
          <w:rFonts w:ascii="Arial" w:hAnsi="Arial" w:cs="Arial"/>
          <w:color w:val="000000" w:themeColor="text1"/>
          <w:sz w:val="22"/>
          <w:szCs w:val="22"/>
        </w:rPr>
        <w:t>nsees of operating plants and 12</w:t>
      </w:r>
      <w:r w:rsidRPr="00A62013">
        <w:rPr>
          <w:rFonts w:ascii="Arial" w:hAnsi="Arial" w:cs="Arial"/>
          <w:color w:val="000000" w:themeColor="text1"/>
          <w:sz w:val="22"/>
          <w:szCs w:val="22"/>
        </w:rPr>
        <w:t xml:space="preserve"> licensees of plants that are shutdown but who continue to maintain insurance.)  Thus, the current annual reporting burd</w:t>
      </w:r>
      <w:r w:rsidR="003B022A" w:rsidRPr="00A62013">
        <w:rPr>
          <w:rFonts w:ascii="Arial" w:hAnsi="Arial" w:cs="Arial"/>
          <w:color w:val="000000" w:themeColor="text1"/>
          <w:sz w:val="22"/>
          <w:szCs w:val="22"/>
        </w:rPr>
        <w:t>en is no more than 256 hours (64</w:t>
      </w:r>
      <w:r w:rsidRPr="00A62013">
        <w:rPr>
          <w:rFonts w:ascii="Arial" w:hAnsi="Arial" w:cs="Arial"/>
          <w:color w:val="000000" w:themeColor="text1"/>
          <w:sz w:val="22"/>
          <w:szCs w:val="22"/>
        </w:rPr>
        <w:t xml:space="preserve"> X 4 hours).  The estimated industry cost is, therefore, $</w:t>
      </w:r>
      <w:r w:rsidR="003B022A" w:rsidRPr="00A62013">
        <w:rPr>
          <w:rFonts w:ascii="Arial" w:hAnsi="Arial" w:cs="Arial"/>
          <w:color w:val="000000" w:themeColor="text1"/>
          <w:sz w:val="22"/>
          <w:szCs w:val="22"/>
        </w:rPr>
        <w:t>70,144 (256</w:t>
      </w:r>
      <w:r w:rsidRPr="00A62013">
        <w:rPr>
          <w:rFonts w:ascii="Arial" w:hAnsi="Arial" w:cs="Arial"/>
          <w:color w:val="000000" w:themeColor="text1"/>
          <w:sz w:val="22"/>
          <w:szCs w:val="22"/>
        </w:rPr>
        <w:t xml:space="preserve"> hours x $</w:t>
      </w:r>
      <w:r w:rsidR="00377B63" w:rsidRPr="00A62013">
        <w:rPr>
          <w:rFonts w:ascii="Arial" w:hAnsi="Arial" w:cs="Arial"/>
          <w:color w:val="000000" w:themeColor="text1"/>
          <w:sz w:val="22"/>
          <w:szCs w:val="22"/>
        </w:rPr>
        <w:t>2</w:t>
      </w:r>
      <w:r w:rsidR="003B022A" w:rsidRPr="00A62013">
        <w:rPr>
          <w:rFonts w:ascii="Arial" w:hAnsi="Arial" w:cs="Arial"/>
          <w:color w:val="000000" w:themeColor="text1"/>
          <w:sz w:val="22"/>
          <w:szCs w:val="22"/>
        </w:rPr>
        <w:t>74</w:t>
      </w:r>
      <w:r w:rsidRPr="00A62013">
        <w:rPr>
          <w:rFonts w:ascii="Arial" w:hAnsi="Arial" w:cs="Arial"/>
          <w:color w:val="000000" w:themeColor="text1"/>
          <w:sz w:val="22"/>
          <w:szCs w:val="22"/>
        </w:rPr>
        <w:t xml:space="preserve">).  The recordkeeping burden is essentially none. </w:t>
      </w:r>
      <w:r w:rsidR="0040193F" w:rsidRPr="00A62013">
        <w:rPr>
          <w:rFonts w:ascii="Arial" w:hAnsi="Arial" w:cs="Arial"/>
          <w:color w:val="000000" w:themeColor="text1"/>
          <w:sz w:val="22"/>
          <w:szCs w:val="22"/>
        </w:rPr>
        <w:t xml:space="preserve"> </w:t>
      </w:r>
      <w:r w:rsidRPr="00A62013">
        <w:rPr>
          <w:rFonts w:ascii="Arial" w:hAnsi="Arial" w:cs="Arial"/>
          <w:color w:val="000000" w:themeColor="text1"/>
          <w:sz w:val="22"/>
          <w:szCs w:val="22"/>
        </w:rPr>
        <w:t>Because an accident requiring a licensee to submit notification and a cleanup plan is unlikely, no burden for this requirement is projected.  It is estimated that a licensee required to prepare and submit notification and a cleanup plan after an accident (if there is such an accident of the severity that is</w:t>
      </w:r>
      <w:r w:rsidR="00A62013">
        <w:rPr>
          <w:rFonts w:ascii="Arial" w:hAnsi="Arial" w:cs="Arial"/>
          <w:color w:val="000000" w:themeColor="text1"/>
          <w:sz w:val="22"/>
          <w:szCs w:val="22"/>
        </w:rPr>
        <w:t xml:space="preserve"> specified in 10 CFR 50.54(w)(4</w:t>
      </w:r>
      <w:r w:rsidRPr="00A62013">
        <w:rPr>
          <w:rFonts w:ascii="Arial" w:hAnsi="Arial" w:cs="Arial"/>
          <w:color w:val="000000" w:themeColor="text1"/>
          <w:sz w:val="22"/>
          <w:szCs w:val="22"/>
        </w:rPr>
        <w:t>) could face a burden of 2,000 hours at a cost of $</w:t>
      </w:r>
      <w:r w:rsidR="003B022A" w:rsidRPr="00A62013">
        <w:rPr>
          <w:rFonts w:ascii="Arial" w:hAnsi="Arial" w:cs="Arial"/>
          <w:color w:val="000000" w:themeColor="text1"/>
          <w:sz w:val="22"/>
          <w:szCs w:val="22"/>
        </w:rPr>
        <w:t>548,000</w:t>
      </w:r>
      <w:r w:rsidRPr="00A62013">
        <w:rPr>
          <w:rFonts w:ascii="Arial" w:hAnsi="Arial" w:cs="Arial"/>
          <w:color w:val="000000" w:themeColor="text1"/>
          <w:sz w:val="22"/>
          <w:szCs w:val="22"/>
        </w:rPr>
        <w:t xml:space="preserve"> (2,000 hours x $</w:t>
      </w:r>
      <w:r w:rsidR="00377B63" w:rsidRPr="00A62013">
        <w:rPr>
          <w:rFonts w:ascii="Arial" w:hAnsi="Arial" w:cs="Arial"/>
          <w:color w:val="000000" w:themeColor="text1"/>
          <w:sz w:val="22"/>
          <w:szCs w:val="22"/>
        </w:rPr>
        <w:t>2</w:t>
      </w:r>
      <w:r w:rsidR="003B022A" w:rsidRPr="00A62013">
        <w:rPr>
          <w:rFonts w:ascii="Arial" w:hAnsi="Arial" w:cs="Arial"/>
          <w:color w:val="000000" w:themeColor="text1"/>
          <w:sz w:val="22"/>
          <w:szCs w:val="22"/>
        </w:rPr>
        <w:t>74</w:t>
      </w:r>
      <w:r w:rsidRPr="00A62013">
        <w:rPr>
          <w:rFonts w:ascii="Arial" w:hAnsi="Arial" w:cs="Arial"/>
          <w:color w:val="000000" w:themeColor="text1"/>
          <w:sz w:val="22"/>
          <w:szCs w:val="22"/>
        </w:rPr>
        <w:t>).</w:t>
      </w:r>
    </w:p>
    <w:p w:rsidR="00E254A9" w:rsidRPr="00A62013" w:rsidRDefault="00E254A9">
      <w:pPr>
        <w:widowControl/>
        <w:rPr>
          <w:rFonts w:ascii="Arial" w:hAnsi="Arial" w:cs="Arial"/>
          <w:color w:val="000000" w:themeColor="text1"/>
          <w:sz w:val="22"/>
          <w:szCs w:val="22"/>
        </w:rPr>
      </w:pPr>
    </w:p>
    <w:p w:rsidR="00E254A9" w:rsidRPr="00A62013" w:rsidRDefault="00E254A9" w:rsidP="0014687F">
      <w:pPr>
        <w:widowControl/>
        <w:tabs>
          <w:tab w:val="left" w:pos="-1440"/>
        </w:tabs>
        <w:ind w:left="1080" w:hanging="360"/>
        <w:rPr>
          <w:rFonts w:ascii="Arial" w:hAnsi="Arial" w:cs="Arial"/>
          <w:color w:val="000000" w:themeColor="text1"/>
          <w:sz w:val="22"/>
          <w:szCs w:val="22"/>
        </w:rPr>
      </w:pPr>
      <w:r w:rsidRPr="00A62013">
        <w:rPr>
          <w:rFonts w:ascii="Arial" w:hAnsi="Arial" w:cs="Arial"/>
          <w:color w:val="000000" w:themeColor="text1"/>
          <w:sz w:val="22"/>
          <w:szCs w:val="22"/>
        </w:rPr>
        <w:t>13.</w:t>
      </w:r>
      <w:r w:rsidRPr="00A62013">
        <w:rPr>
          <w:rFonts w:ascii="Arial" w:hAnsi="Arial" w:cs="Arial"/>
          <w:color w:val="000000" w:themeColor="text1"/>
          <w:sz w:val="22"/>
          <w:szCs w:val="22"/>
        </w:rPr>
        <w:tab/>
      </w:r>
      <w:r w:rsidRPr="00A62013">
        <w:rPr>
          <w:rFonts w:ascii="Arial" w:hAnsi="Arial" w:cs="Arial"/>
          <w:color w:val="000000" w:themeColor="text1"/>
          <w:sz w:val="22"/>
          <w:szCs w:val="22"/>
          <w:u w:val="single"/>
        </w:rPr>
        <w:t>Estimate of Other Additional Costs</w:t>
      </w:r>
    </w:p>
    <w:p w:rsidR="00E254A9" w:rsidRPr="0006279D" w:rsidRDefault="00E254A9">
      <w:pPr>
        <w:widowControl/>
        <w:rPr>
          <w:rFonts w:ascii="Arial" w:hAnsi="Arial" w:cs="Arial"/>
          <w:color w:val="000000"/>
          <w:sz w:val="22"/>
          <w:szCs w:val="22"/>
        </w:rPr>
      </w:pPr>
    </w:p>
    <w:p w:rsidR="00E254A9" w:rsidRPr="00A62013" w:rsidRDefault="00E254A9" w:rsidP="0014687F">
      <w:pPr>
        <w:widowControl/>
        <w:ind w:left="1080"/>
        <w:rPr>
          <w:rFonts w:ascii="Arial" w:hAnsi="Arial" w:cs="Arial"/>
          <w:strike/>
          <w:color w:val="000000" w:themeColor="text1"/>
          <w:sz w:val="22"/>
          <w:szCs w:val="22"/>
        </w:rPr>
      </w:pPr>
      <w:r w:rsidRPr="0006279D">
        <w:rPr>
          <w:rFonts w:ascii="Arial" w:hAnsi="Arial" w:cs="Arial"/>
          <w:sz w:val="22"/>
          <w:szCs w:val="22"/>
        </w:rPr>
        <w:t xml:space="preserve">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cost.  Because the recordkeeping burden is </w:t>
      </w:r>
      <w:r w:rsidRPr="0006279D">
        <w:rPr>
          <w:rFonts w:ascii="Arial" w:hAnsi="Arial" w:cs="Arial"/>
          <w:sz w:val="22"/>
          <w:szCs w:val="22"/>
        </w:rPr>
        <w:lastRenderedPageBreak/>
        <w:t xml:space="preserve">estimated to be </w:t>
      </w:r>
      <w:r w:rsidR="00377B63" w:rsidRPr="0006279D">
        <w:rPr>
          <w:rFonts w:ascii="Arial" w:hAnsi="Arial" w:cs="Arial"/>
          <w:sz w:val="22"/>
          <w:szCs w:val="22"/>
        </w:rPr>
        <w:t>1 hour</w:t>
      </w:r>
      <w:r w:rsidRPr="0006279D">
        <w:rPr>
          <w:rFonts w:ascii="Arial" w:hAnsi="Arial" w:cs="Arial"/>
          <w:sz w:val="22"/>
          <w:szCs w:val="22"/>
        </w:rPr>
        <w:t>, the stor</w:t>
      </w:r>
      <w:r w:rsidR="00AF6AD5">
        <w:rPr>
          <w:rFonts w:ascii="Arial" w:hAnsi="Arial" w:cs="Arial"/>
          <w:sz w:val="22"/>
          <w:szCs w:val="22"/>
        </w:rPr>
        <w:t xml:space="preserve">age cost for this clearance is </w:t>
      </w:r>
      <w:r w:rsidR="00612665">
        <w:rPr>
          <w:rFonts w:ascii="Arial" w:hAnsi="Arial" w:cs="Arial"/>
          <w:sz w:val="22"/>
          <w:szCs w:val="22"/>
        </w:rPr>
        <w:t>$0.11</w:t>
      </w:r>
      <w:r w:rsidR="00280555">
        <w:rPr>
          <w:rFonts w:ascii="Arial" w:hAnsi="Arial" w:cs="Arial"/>
          <w:sz w:val="22"/>
          <w:szCs w:val="22"/>
        </w:rPr>
        <w:t xml:space="preserve"> </w:t>
      </w:r>
      <w:r w:rsidRPr="0006279D">
        <w:rPr>
          <w:rFonts w:ascii="Arial" w:hAnsi="Arial" w:cs="Arial"/>
          <w:sz w:val="22"/>
          <w:szCs w:val="22"/>
        </w:rPr>
        <w:t>(</w:t>
      </w:r>
      <w:r w:rsidR="00F67936">
        <w:rPr>
          <w:rFonts w:ascii="Arial" w:hAnsi="Arial" w:cs="Arial"/>
          <w:sz w:val="22"/>
          <w:szCs w:val="22"/>
        </w:rPr>
        <w:t>1 </w:t>
      </w:r>
      <w:r w:rsidRPr="0006279D">
        <w:rPr>
          <w:rFonts w:ascii="Arial" w:hAnsi="Arial" w:cs="Arial"/>
          <w:sz w:val="22"/>
          <w:szCs w:val="22"/>
        </w:rPr>
        <w:t>hours x 0.0004 x</w:t>
      </w:r>
      <w:r w:rsidR="00280555">
        <w:rPr>
          <w:rFonts w:ascii="Arial" w:hAnsi="Arial" w:cs="Arial"/>
          <w:sz w:val="22"/>
          <w:szCs w:val="22"/>
        </w:rPr>
        <w:t xml:space="preserve"> </w:t>
      </w:r>
      <w:r w:rsidR="003B022A">
        <w:rPr>
          <w:rFonts w:ascii="Arial" w:hAnsi="Arial" w:cs="Arial"/>
          <w:sz w:val="22"/>
          <w:szCs w:val="22"/>
        </w:rPr>
        <w:t>274</w:t>
      </w:r>
      <w:r w:rsidR="00A62013">
        <w:rPr>
          <w:rFonts w:ascii="Arial" w:hAnsi="Arial" w:cs="Arial"/>
          <w:sz w:val="22"/>
          <w:szCs w:val="22"/>
        </w:rPr>
        <w:t>/hour).</w:t>
      </w:r>
    </w:p>
    <w:p w:rsidR="00F67936" w:rsidRPr="0006279D" w:rsidRDefault="00F67936">
      <w:pPr>
        <w:rPr>
          <w:rFonts w:ascii="Arial" w:hAnsi="Arial" w:cs="Arial"/>
          <w:color w:val="000000"/>
          <w:sz w:val="22"/>
          <w:szCs w:val="22"/>
        </w:rPr>
      </w:pPr>
    </w:p>
    <w:p w:rsidR="00E254A9" w:rsidRPr="00A62013" w:rsidRDefault="00E254A9" w:rsidP="0014687F">
      <w:pPr>
        <w:numPr>
          <w:ilvl w:val="0"/>
          <w:numId w:val="5"/>
        </w:numPr>
        <w:tabs>
          <w:tab w:val="clear" w:pos="1440"/>
          <w:tab w:val="left" w:pos="-1440"/>
          <w:tab w:val="num" w:pos="1080"/>
        </w:tabs>
        <w:rPr>
          <w:rFonts w:ascii="Arial" w:hAnsi="Arial" w:cs="Arial"/>
          <w:color w:val="000000" w:themeColor="text1"/>
          <w:sz w:val="22"/>
          <w:szCs w:val="22"/>
          <w:u w:val="single"/>
        </w:rPr>
      </w:pPr>
      <w:r w:rsidRPr="00A62013">
        <w:rPr>
          <w:rFonts w:ascii="Arial" w:hAnsi="Arial" w:cs="Arial"/>
          <w:color w:val="000000" w:themeColor="text1"/>
          <w:sz w:val="22"/>
          <w:szCs w:val="22"/>
          <w:u w:val="single"/>
        </w:rPr>
        <w:t>Estimated Annualized Cost to the Federal Government</w:t>
      </w:r>
    </w:p>
    <w:p w:rsidR="00A62013" w:rsidRDefault="00A62013" w:rsidP="00B023B3">
      <w:pPr>
        <w:widowControl/>
        <w:ind w:left="1440"/>
        <w:rPr>
          <w:rFonts w:ascii="Arial" w:hAnsi="Arial" w:cs="Arial"/>
          <w:color w:val="000000"/>
          <w:sz w:val="22"/>
          <w:szCs w:val="22"/>
        </w:rPr>
      </w:pPr>
    </w:p>
    <w:p w:rsidR="00280555" w:rsidRDefault="00B023B3" w:rsidP="0014687F">
      <w:pPr>
        <w:widowControl/>
        <w:ind w:left="1080"/>
        <w:rPr>
          <w:rFonts w:ascii="Arial" w:hAnsi="Arial" w:cs="Arial"/>
          <w:color w:val="000000"/>
          <w:sz w:val="22"/>
          <w:szCs w:val="22"/>
        </w:rPr>
      </w:pPr>
      <w:r w:rsidRPr="0006279D">
        <w:rPr>
          <w:rFonts w:ascii="Arial" w:hAnsi="Arial" w:cs="Arial"/>
          <w:color w:val="000000"/>
          <w:sz w:val="22"/>
          <w:szCs w:val="22"/>
        </w:rPr>
        <w:t>Total staff review time per year for the annual re</w:t>
      </w:r>
      <w:r w:rsidR="003B022A">
        <w:rPr>
          <w:rFonts w:ascii="Arial" w:hAnsi="Arial" w:cs="Arial"/>
          <w:color w:val="000000"/>
          <w:sz w:val="22"/>
          <w:szCs w:val="22"/>
        </w:rPr>
        <w:t>port is 15 minutes/licensee x 64 licensees = 16</w:t>
      </w:r>
      <w:r w:rsidRPr="0006279D">
        <w:rPr>
          <w:rFonts w:ascii="Arial" w:hAnsi="Arial" w:cs="Arial"/>
          <w:color w:val="000000"/>
          <w:sz w:val="22"/>
          <w:szCs w:val="22"/>
        </w:rPr>
        <w:t xml:space="preserve"> staff hours.  At a cost of $</w:t>
      </w:r>
      <w:r w:rsidRPr="0006279D">
        <w:rPr>
          <w:rFonts w:ascii="Arial" w:hAnsi="Arial" w:cs="Arial"/>
          <w:sz w:val="22"/>
          <w:szCs w:val="22"/>
        </w:rPr>
        <w:t>2</w:t>
      </w:r>
      <w:r w:rsidR="003B022A">
        <w:rPr>
          <w:rFonts w:ascii="Arial" w:hAnsi="Arial" w:cs="Arial"/>
          <w:sz w:val="22"/>
          <w:szCs w:val="22"/>
        </w:rPr>
        <w:t>74</w:t>
      </w:r>
      <w:r w:rsidRPr="0006279D">
        <w:rPr>
          <w:rFonts w:ascii="Arial" w:hAnsi="Arial" w:cs="Arial"/>
          <w:color w:val="000000"/>
          <w:sz w:val="22"/>
          <w:szCs w:val="22"/>
        </w:rPr>
        <w:t xml:space="preserve"> per hour, the total dollar cost to the Federal gov</w:t>
      </w:r>
      <w:r w:rsidR="003B022A">
        <w:rPr>
          <w:rFonts w:ascii="Arial" w:hAnsi="Arial" w:cs="Arial"/>
          <w:color w:val="000000"/>
          <w:sz w:val="22"/>
          <w:szCs w:val="22"/>
        </w:rPr>
        <w:t>ernment is expected to be $4,384 (16</w:t>
      </w:r>
      <w:r w:rsidRPr="0006279D">
        <w:rPr>
          <w:rFonts w:ascii="Arial" w:hAnsi="Arial" w:cs="Arial"/>
          <w:color w:val="000000"/>
          <w:sz w:val="22"/>
          <w:szCs w:val="22"/>
        </w:rPr>
        <w:t xml:space="preserve"> hours x </w:t>
      </w:r>
      <w:r w:rsidR="00A62013">
        <w:rPr>
          <w:rFonts w:ascii="Arial" w:hAnsi="Arial" w:cs="Arial"/>
          <w:color w:val="000000"/>
          <w:sz w:val="22"/>
          <w:szCs w:val="22"/>
        </w:rPr>
        <w:t>$274).</w:t>
      </w:r>
      <w:r w:rsidRPr="0006279D">
        <w:rPr>
          <w:rFonts w:ascii="Arial" w:hAnsi="Arial" w:cs="Arial"/>
          <w:color w:val="000000"/>
          <w:sz w:val="22"/>
          <w:szCs w:val="22"/>
        </w:rPr>
        <w:t xml:space="preserve">  The cleanup plan required to be submitted by a licensee suffering an accident is expected to require approxim</w:t>
      </w:r>
      <w:r w:rsidR="003B022A">
        <w:rPr>
          <w:rFonts w:ascii="Arial" w:hAnsi="Arial" w:cs="Arial"/>
          <w:color w:val="000000"/>
          <w:sz w:val="22"/>
          <w:szCs w:val="22"/>
        </w:rPr>
        <w:t>ately 1,000 staff hours, or $274</w:t>
      </w:r>
      <w:r w:rsidRPr="0006279D">
        <w:rPr>
          <w:rFonts w:ascii="Arial" w:hAnsi="Arial" w:cs="Arial"/>
          <w:color w:val="000000"/>
          <w:sz w:val="22"/>
          <w:szCs w:val="22"/>
        </w:rPr>
        <w:t xml:space="preserve">,000 per review (1,000 hours x </w:t>
      </w:r>
      <w:r w:rsidR="00A62013">
        <w:rPr>
          <w:rFonts w:ascii="Arial" w:hAnsi="Arial" w:cs="Arial"/>
          <w:color w:val="000000"/>
          <w:sz w:val="22"/>
          <w:szCs w:val="22"/>
        </w:rPr>
        <w:t>$274).</w:t>
      </w:r>
      <w:r w:rsidRPr="0006279D">
        <w:rPr>
          <w:rFonts w:ascii="Arial" w:hAnsi="Arial" w:cs="Arial"/>
          <w:color w:val="000000"/>
          <w:sz w:val="22"/>
          <w:szCs w:val="22"/>
        </w:rPr>
        <w:t xml:space="preserve">  However, it is unlikely that there will be an accident </w:t>
      </w:r>
      <w:r w:rsidR="00280555">
        <w:rPr>
          <w:rFonts w:ascii="Arial" w:hAnsi="Arial" w:cs="Arial"/>
          <w:color w:val="000000"/>
          <w:sz w:val="22"/>
          <w:szCs w:val="22"/>
        </w:rPr>
        <w:t>of the severity addressed in 10 </w:t>
      </w:r>
      <w:r w:rsidRPr="0006279D">
        <w:rPr>
          <w:rFonts w:ascii="Arial" w:hAnsi="Arial" w:cs="Arial"/>
          <w:color w:val="000000"/>
          <w:sz w:val="22"/>
          <w:szCs w:val="22"/>
        </w:rPr>
        <w:t xml:space="preserve">CFR 50.54(w).  Thus, the NRC estimates no burden for this potential reporting requirement.  </w:t>
      </w:r>
    </w:p>
    <w:p w:rsidR="00280555" w:rsidRDefault="00280555" w:rsidP="0014687F">
      <w:pPr>
        <w:widowControl/>
        <w:ind w:left="1080"/>
        <w:rPr>
          <w:rFonts w:ascii="Arial" w:hAnsi="Arial" w:cs="Arial"/>
          <w:color w:val="000000"/>
          <w:sz w:val="22"/>
          <w:szCs w:val="22"/>
        </w:rPr>
      </w:pPr>
    </w:p>
    <w:p w:rsidR="00B023B3" w:rsidRPr="0006279D" w:rsidRDefault="00B023B3" w:rsidP="0014687F">
      <w:pPr>
        <w:widowControl/>
        <w:ind w:left="1080"/>
        <w:rPr>
          <w:rFonts w:ascii="Arial" w:hAnsi="Arial" w:cs="Arial"/>
          <w:color w:val="000000"/>
          <w:sz w:val="22"/>
          <w:szCs w:val="22"/>
        </w:rPr>
      </w:pPr>
      <w:r w:rsidRPr="0006279D">
        <w:rPr>
          <w:rFonts w:ascii="Arial" w:hAnsi="Arial" w:cs="Arial"/>
          <w:color w:val="000000"/>
          <w:sz w:val="22"/>
          <w:szCs w:val="22"/>
        </w:rPr>
        <w:t>This cost is fully recovered by fee assessments to NRC licensees pursuant to 10 CFR Parts 170 and/or 171.</w:t>
      </w:r>
    </w:p>
    <w:p w:rsidR="00B023B3" w:rsidRPr="0006279D" w:rsidRDefault="00B023B3" w:rsidP="00B023B3">
      <w:pPr>
        <w:widowControl/>
        <w:rPr>
          <w:rFonts w:ascii="Arial" w:hAnsi="Arial" w:cs="Arial"/>
          <w:color w:val="000000"/>
          <w:sz w:val="22"/>
          <w:szCs w:val="22"/>
        </w:rPr>
      </w:pPr>
    </w:p>
    <w:p w:rsidR="00B023B3" w:rsidRPr="00A62013" w:rsidRDefault="00B023B3" w:rsidP="0014687F">
      <w:pPr>
        <w:widowControl/>
        <w:tabs>
          <w:tab w:val="left" w:pos="-1440"/>
        </w:tabs>
        <w:ind w:left="1080" w:hanging="360"/>
        <w:rPr>
          <w:rFonts w:ascii="Arial" w:hAnsi="Arial" w:cs="Arial"/>
          <w:color w:val="000000" w:themeColor="text1"/>
          <w:sz w:val="22"/>
          <w:szCs w:val="22"/>
        </w:rPr>
      </w:pPr>
      <w:r w:rsidRPr="00A62013">
        <w:rPr>
          <w:rFonts w:ascii="Arial" w:hAnsi="Arial" w:cs="Arial"/>
          <w:color w:val="000000" w:themeColor="text1"/>
          <w:sz w:val="22"/>
          <w:szCs w:val="22"/>
        </w:rPr>
        <w:t>15.</w:t>
      </w:r>
      <w:r w:rsidRPr="00A62013">
        <w:rPr>
          <w:rFonts w:ascii="Arial" w:hAnsi="Arial" w:cs="Arial"/>
          <w:color w:val="000000" w:themeColor="text1"/>
          <w:sz w:val="22"/>
          <w:szCs w:val="22"/>
        </w:rPr>
        <w:tab/>
      </w:r>
      <w:r w:rsidRPr="00A62013">
        <w:rPr>
          <w:rFonts w:ascii="Arial" w:hAnsi="Arial" w:cs="Arial"/>
          <w:color w:val="000000" w:themeColor="text1"/>
          <w:sz w:val="22"/>
          <w:szCs w:val="22"/>
          <w:u w:val="single"/>
        </w:rPr>
        <w:t>Reasons for Changes in Burden or Cost</w:t>
      </w:r>
    </w:p>
    <w:p w:rsidR="00A62013" w:rsidRDefault="00A62013" w:rsidP="00B023B3">
      <w:pPr>
        <w:widowControl/>
        <w:ind w:left="1440"/>
        <w:rPr>
          <w:rFonts w:ascii="Arial" w:hAnsi="Arial" w:cs="Arial"/>
          <w:color w:val="000000"/>
          <w:sz w:val="22"/>
          <w:szCs w:val="22"/>
        </w:rPr>
      </w:pPr>
    </w:p>
    <w:p w:rsidR="008F5685" w:rsidRDefault="008F5685" w:rsidP="0014687F">
      <w:pPr>
        <w:widowControl/>
        <w:ind w:left="1080"/>
        <w:rPr>
          <w:rFonts w:ascii="Arial" w:hAnsi="Arial" w:cs="Arial"/>
          <w:color w:val="000000"/>
          <w:sz w:val="22"/>
          <w:szCs w:val="22"/>
        </w:rPr>
      </w:pPr>
      <w:r>
        <w:rPr>
          <w:rFonts w:ascii="Arial" w:hAnsi="Arial" w:cs="Arial"/>
          <w:color w:val="000000"/>
          <w:sz w:val="22"/>
          <w:szCs w:val="22"/>
        </w:rPr>
        <w:t xml:space="preserve">There was a small </w:t>
      </w:r>
      <w:r w:rsidRPr="008F5685">
        <w:rPr>
          <w:rFonts w:ascii="Arial" w:hAnsi="Arial" w:cs="Arial"/>
          <w:color w:val="000000"/>
          <w:sz w:val="22"/>
          <w:szCs w:val="22"/>
        </w:rPr>
        <w:t xml:space="preserve">increase </w:t>
      </w:r>
      <w:r>
        <w:rPr>
          <w:rFonts w:ascii="Arial" w:hAnsi="Arial" w:cs="Arial"/>
          <w:color w:val="000000"/>
          <w:sz w:val="22"/>
          <w:szCs w:val="22"/>
        </w:rPr>
        <w:t xml:space="preserve">in burden </w:t>
      </w:r>
      <w:r w:rsidRPr="008F5685">
        <w:rPr>
          <w:rFonts w:ascii="Arial" w:hAnsi="Arial" w:cs="Arial"/>
          <w:color w:val="000000"/>
          <w:sz w:val="22"/>
          <w:szCs w:val="22"/>
        </w:rPr>
        <w:t>from 212 hours to 256 hours and the number of respondents/responses increased form 53 to 64</w:t>
      </w:r>
      <w:r>
        <w:rPr>
          <w:rFonts w:ascii="Arial" w:hAnsi="Arial" w:cs="Arial"/>
          <w:color w:val="000000"/>
          <w:sz w:val="22"/>
          <w:szCs w:val="22"/>
        </w:rPr>
        <w:t xml:space="preserve">, this slight increase is due to during the previous extension the number of </w:t>
      </w:r>
      <w:r w:rsidRPr="0006279D">
        <w:rPr>
          <w:rFonts w:ascii="Arial" w:hAnsi="Arial" w:cs="Arial"/>
          <w:sz w:val="22"/>
          <w:szCs w:val="22"/>
        </w:rPr>
        <w:t>lead rea</w:t>
      </w:r>
      <w:r>
        <w:rPr>
          <w:rFonts w:ascii="Arial" w:hAnsi="Arial" w:cs="Arial"/>
          <w:sz w:val="22"/>
          <w:szCs w:val="22"/>
        </w:rPr>
        <w:t>ctor licensees</w:t>
      </w:r>
      <w:r w:rsidRPr="0006279D">
        <w:rPr>
          <w:rFonts w:ascii="Arial" w:hAnsi="Arial" w:cs="Arial"/>
          <w:sz w:val="22"/>
          <w:szCs w:val="22"/>
        </w:rPr>
        <w:t xml:space="preserve"> </w:t>
      </w:r>
      <w:r>
        <w:rPr>
          <w:rFonts w:ascii="Arial" w:hAnsi="Arial" w:cs="Arial"/>
          <w:sz w:val="22"/>
          <w:szCs w:val="22"/>
        </w:rPr>
        <w:t>reporting u</w:t>
      </w:r>
      <w:r w:rsidRPr="0006279D">
        <w:rPr>
          <w:rFonts w:ascii="Arial" w:hAnsi="Arial" w:cs="Arial"/>
          <w:sz w:val="22"/>
          <w:szCs w:val="22"/>
        </w:rPr>
        <w:t xml:space="preserve">nder 10 CFR 50.54(w)(3), </w:t>
      </w:r>
      <w:r>
        <w:rPr>
          <w:rFonts w:ascii="Arial" w:hAnsi="Arial" w:cs="Arial"/>
          <w:sz w:val="22"/>
          <w:szCs w:val="22"/>
        </w:rPr>
        <w:t xml:space="preserve">was inadvertently misstated and are being corrected with this extension.  Additionally, there has been an increase in the fee rate from $257 to $274/hour. </w:t>
      </w:r>
    </w:p>
    <w:p w:rsidR="008F5685" w:rsidRDefault="008F5685" w:rsidP="0014687F">
      <w:pPr>
        <w:widowControl/>
        <w:ind w:left="1080"/>
        <w:rPr>
          <w:rFonts w:ascii="Arial" w:hAnsi="Arial" w:cs="Arial"/>
          <w:color w:val="000000"/>
          <w:sz w:val="22"/>
          <w:szCs w:val="22"/>
        </w:rPr>
      </w:pPr>
    </w:p>
    <w:p w:rsidR="00B023B3" w:rsidRPr="0006279D" w:rsidRDefault="00B023B3" w:rsidP="0014687F">
      <w:pPr>
        <w:widowControl/>
        <w:tabs>
          <w:tab w:val="left" w:pos="-1440"/>
        </w:tabs>
        <w:ind w:left="1080" w:hanging="360"/>
        <w:rPr>
          <w:rFonts w:ascii="Arial" w:hAnsi="Arial" w:cs="Arial"/>
          <w:color w:val="000000"/>
          <w:sz w:val="22"/>
          <w:szCs w:val="22"/>
        </w:rPr>
      </w:pPr>
      <w:r w:rsidRPr="0006279D">
        <w:rPr>
          <w:rFonts w:ascii="Arial" w:hAnsi="Arial" w:cs="Arial"/>
          <w:color w:val="000000"/>
          <w:sz w:val="22"/>
          <w:szCs w:val="22"/>
        </w:rPr>
        <w:t>16.</w:t>
      </w:r>
      <w:r w:rsidRPr="0006279D">
        <w:rPr>
          <w:rFonts w:ascii="Arial" w:hAnsi="Arial" w:cs="Arial"/>
          <w:color w:val="000000"/>
          <w:sz w:val="22"/>
          <w:szCs w:val="22"/>
        </w:rPr>
        <w:tab/>
      </w:r>
      <w:r w:rsidRPr="0006279D">
        <w:rPr>
          <w:rFonts w:ascii="Arial" w:hAnsi="Arial" w:cs="Arial"/>
          <w:color w:val="000000"/>
          <w:sz w:val="22"/>
          <w:szCs w:val="22"/>
          <w:u w:val="single"/>
        </w:rPr>
        <w:t>Publication for Statistical Use</w:t>
      </w:r>
    </w:p>
    <w:p w:rsidR="00B023B3" w:rsidRPr="0006279D" w:rsidRDefault="00B023B3" w:rsidP="00B023B3">
      <w:pPr>
        <w:widowControl/>
        <w:rPr>
          <w:rFonts w:ascii="Arial" w:hAnsi="Arial" w:cs="Arial"/>
          <w:color w:val="000000"/>
          <w:sz w:val="22"/>
          <w:szCs w:val="22"/>
        </w:rPr>
      </w:pPr>
    </w:p>
    <w:p w:rsidR="00B023B3" w:rsidRPr="0006279D" w:rsidRDefault="00B023B3" w:rsidP="0014687F">
      <w:pPr>
        <w:widowControl/>
        <w:ind w:left="1080"/>
        <w:rPr>
          <w:rFonts w:ascii="Arial" w:hAnsi="Arial" w:cs="Arial"/>
          <w:color w:val="000000"/>
          <w:sz w:val="22"/>
          <w:szCs w:val="22"/>
        </w:rPr>
      </w:pPr>
      <w:r w:rsidRPr="0006279D">
        <w:rPr>
          <w:rFonts w:ascii="Arial" w:hAnsi="Arial" w:cs="Arial"/>
          <w:color w:val="000000"/>
          <w:sz w:val="22"/>
          <w:szCs w:val="22"/>
        </w:rPr>
        <w:t>The collected information is not used for statistical purposes.</w:t>
      </w:r>
    </w:p>
    <w:p w:rsidR="00B023B3" w:rsidRPr="0006279D" w:rsidRDefault="00B023B3" w:rsidP="00B023B3">
      <w:pPr>
        <w:widowControl/>
        <w:rPr>
          <w:rFonts w:ascii="Arial" w:hAnsi="Arial" w:cs="Arial"/>
          <w:color w:val="000000"/>
          <w:sz w:val="22"/>
          <w:szCs w:val="22"/>
        </w:rPr>
      </w:pPr>
    </w:p>
    <w:p w:rsidR="00B023B3" w:rsidRPr="0006279D" w:rsidRDefault="00B023B3" w:rsidP="0014687F">
      <w:pPr>
        <w:widowControl/>
        <w:tabs>
          <w:tab w:val="left" w:pos="-1440"/>
        </w:tabs>
        <w:ind w:left="1080" w:hanging="360"/>
        <w:rPr>
          <w:rFonts w:ascii="Arial" w:hAnsi="Arial" w:cs="Arial"/>
          <w:color w:val="000000"/>
          <w:sz w:val="22"/>
          <w:szCs w:val="22"/>
        </w:rPr>
      </w:pPr>
      <w:r w:rsidRPr="0006279D">
        <w:rPr>
          <w:rFonts w:ascii="Arial" w:hAnsi="Arial" w:cs="Arial"/>
          <w:color w:val="000000"/>
          <w:sz w:val="22"/>
          <w:szCs w:val="22"/>
        </w:rPr>
        <w:t>17.</w:t>
      </w:r>
      <w:r w:rsidRPr="0006279D">
        <w:rPr>
          <w:rFonts w:ascii="Arial" w:hAnsi="Arial" w:cs="Arial"/>
          <w:color w:val="000000"/>
          <w:sz w:val="22"/>
          <w:szCs w:val="22"/>
        </w:rPr>
        <w:tab/>
      </w:r>
      <w:r w:rsidRPr="0006279D">
        <w:rPr>
          <w:rFonts w:ascii="Arial" w:hAnsi="Arial" w:cs="Arial"/>
          <w:color w:val="000000"/>
          <w:sz w:val="22"/>
          <w:szCs w:val="22"/>
          <w:u w:val="single"/>
        </w:rPr>
        <w:t>Reason for Not Displaying the Expiration Date</w:t>
      </w:r>
    </w:p>
    <w:p w:rsidR="00B023B3" w:rsidRPr="0006279D" w:rsidRDefault="00B023B3" w:rsidP="00B023B3">
      <w:pPr>
        <w:widowControl/>
        <w:rPr>
          <w:rFonts w:ascii="Arial" w:hAnsi="Arial" w:cs="Arial"/>
          <w:color w:val="000000"/>
          <w:sz w:val="22"/>
          <w:szCs w:val="22"/>
        </w:rPr>
      </w:pPr>
    </w:p>
    <w:p w:rsidR="00B023B3" w:rsidRPr="0006279D" w:rsidRDefault="00B023B3" w:rsidP="0014687F">
      <w:pPr>
        <w:widowControl/>
        <w:ind w:left="1080"/>
        <w:rPr>
          <w:rFonts w:ascii="Arial" w:hAnsi="Arial" w:cs="Arial"/>
          <w:color w:val="000000"/>
          <w:sz w:val="22"/>
          <w:szCs w:val="22"/>
        </w:rPr>
      </w:pPr>
      <w:r w:rsidRPr="0006279D">
        <w:rPr>
          <w:rFonts w:ascii="Arial" w:hAnsi="Arial" w:cs="Arial"/>
          <w:color w:val="000000"/>
          <w:sz w:val="22"/>
          <w:szCs w:val="22"/>
        </w:rPr>
        <w:t xml:space="preserve">The requirement is contained in a regulation.  Amending the </w:t>
      </w:r>
      <w:r w:rsidRPr="0040193F">
        <w:rPr>
          <w:rFonts w:ascii="Arial" w:hAnsi="Arial" w:cs="Arial"/>
          <w:color w:val="000000"/>
          <w:sz w:val="22"/>
          <w:szCs w:val="22"/>
        </w:rPr>
        <w:t>Code of Federal Regulations</w:t>
      </w:r>
      <w:r w:rsidRPr="0006279D">
        <w:rPr>
          <w:rFonts w:ascii="Arial" w:hAnsi="Arial" w:cs="Arial"/>
          <w:color w:val="000000"/>
          <w:sz w:val="22"/>
          <w:szCs w:val="22"/>
        </w:rPr>
        <w:t xml:space="preserve"> to display information that, in an annual publication, could become obsolete would be unduly burdensome and too difficult to keep current.</w:t>
      </w:r>
    </w:p>
    <w:p w:rsidR="00B023B3" w:rsidRPr="0006279D" w:rsidRDefault="00B023B3" w:rsidP="00B023B3">
      <w:pPr>
        <w:widowControl/>
        <w:rPr>
          <w:rFonts w:ascii="Arial" w:hAnsi="Arial" w:cs="Arial"/>
          <w:color w:val="000000"/>
          <w:sz w:val="22"/>
          <w:szCs w:val="22"/>
        </w:rPr>
      </w:pPr>
    </w:p>
    <w:p w:rsidR="00B023B3" w:rsidRPr="0006279D" w:rsidRDefault="00B023B3" w:rsidP="0014687F">
      <w:pPr>
        <w:widowControl/>
        <w:tabs>
          <w:tab w:val="left" w:pos="-1440"/>
        </w:tabs>
        <w:ind w:left="1080" w:hanging="360"/>
        <w:rPr>
          <w:rFonts w:ascii="Arial" w:hAnsi="Arial" w:cs="Arial"/>
          <w:color w:val="000000"/>
          <w:sz w:val="22"/>
          <w:szCs w:val="22"/>
        </w:rPr>
      </w:pPr>
      <w:r w:rsidRPr="0006279D">
        <w:rPr>
          <w:rFonts w:ascii="Arial" w:hAnsi="Arial" w:cs="Arial"/>
          <w:color w:val="000000"/>
          <w:sz w:val="22"/>
          <w:szCs w:val="22"/>
        </w:rPr>
        <w:t>18.</w:t>
      </w:r>
      <w:r w:rsidRPr="0006279D">
        <w:rPr>
          <w:rFonts w:ascii="Arial" w:hAnsi="Arial" w:cs="Arial"/>
          <w:color w:val="000000"/>
          <w:sz w:val="22"/>
          <w:szCs w:val="22"/>
        </w:rPr>
        <w:tab/>
      </w:r>
      <w:r w:rsidRPr="0006279D">
        <w:rPr>
          <w:rFonts w:ascii="Arial" w:hAnsi="Arial" w:cs="Arial"/>
          <w:color w:val="000000"/>
          <w:sz w:val="22"/>
          <w:szCs w:val="22"/>
          <w:u w:val="single"/>
        </w:rPr>
        <w:t>Exceptions to the Certification Statement</w:t>
      </w:r>
    </w:p>
    <w:p w:rsidR="00B023B3" w:rsidRPr="0006279D" w:rsidRDefault="00B023B3" w:rsidP="00B023B3">
      <w:pPr>
        <w:widowControl/>
        <w:rPr>
          <w:rFonts w:ascii="Arial" w:hAnsi="Arial" w:cs="Arial"/>
          <w:color w:val="000000"/>
          <w:sz w:val="22"/>
          <w:szCs w:val="22"/>
        </w:rPr>
      </w:pPr>
    </w:p>
    <w:p w:rsidR="00B023B3" w:rsidRPr="0006279D" w:rsidRDefault="00B023B3" w:rsidP="0014687F">
      <w:pPr>
        <w:widowControl/>
        <w:ind w:left="1080"/>
        <w:rPr>
          <w:rFonts w:ascii="Arial" w:hAnsi="Arial" w:cs="Arial"/>
          <w:color w:val="000000"/>
          <w:sz w:val="22"/>
          <w:szCs w:val="22"/>
        </w:rPr>
      </w:pPr>
      <w:r w:rsidRPr="0006279D">
        <w:rPr>
          <w:rFonts w:ascii="Arial" w:hAnsi="Arial" w:cs="Arial"/>
          <w:color w:val="000000"/>
          <w:sz w:val="22"/>
          <w:szCs w:val="22"/>
        </w:rPr>
        <w:t>None.</w:t>
      </w:r>
    </w:p>
    <w:p w:rsidR="00B023B3" w:rsidRPr="0006279D" w:rsidRDefault="00B023B3" w:rsidP="00B023B3">
      <w:pPr>
        <w:widowControl/>
        <w:rPr>
          <w:rFonts w:ascii="Arial" w:hAnsi="Arial" w:cs="Arial"/>
          <w:color w:val="000000"/>
          <w:sz w:val="22"/>
          <w:szCs w:val="22"/>
        </w:rPr>
      </w:pPr>
    </w:p>
    <w:p w:rsidR="00B023B3" w:rsidRPr="0006279D" w:rsidRDefault="00B023B3" w:rsidP="00B023B3">
      <w:pPr>
        <w:widowControl/>
        <w:tabs>
          <w:tab w:val="left" w:pos="-1440"/>
        </w:tabs>
        <w:ind w:left="720" w:hanging="720"/>
        <w:rPr>
          <w:rFonts w:ascii="Arial" w:hAnsi="Arial" w:cs="Arial"/>
          <w:color w:val="000000"/>
          <w:sz w:val="22"/>
          <w:szCs w:val="22"/>
        </w:rPr>
      </w:pPr>
      <w:r w:rsidRPr="0006279D">
        <w:rPr>
          <w:rFonts w:ascii="Arial" w:hAnsi="Arial" w:cs="Arial"/>
          <w:color w:val="000000"/>
          <w:sz w:val="22"/>
          <w:szCs w:val="22"/>
        </w:rPr>
        <w:t>B.</w:t>
      </w:r>
      <w:r w:rsidRPr="0006279D">
        <w:rPr>
          <w:rFonts w:ascii="Arial" w:hAnsi="Arial" w:cs="Arial"/>
          <w:color w:val="000000"/>
          <w:sz w:val="22"/>
          <w:szCs w:val="22"/>
        </w:rPr>
        <w:tab/>
      </w:r>
      <w:r w:rsidRPr="0006279D">
        <w:rPr>
          <w:rFonts w:ascii="Arial" w:hAnsi="Arial" w:cs="Arial"/>
          <w:color w:val="000000"/>
          <w:sz w:val="22"/>
          <w:szCs w:val="22"/>
          <w:u w:val="single"/>
        </w:rPr>
        <w:t>COLLECTIONS OF INFORMATION EMPLOYING STATISTICAL METHODS</w:t>
      </w:r>
    </w:p>
    <w:p w:rsidR="00B023B3" w:rsidRPr="0006279D" w:rsidRDefault="00B023B3" w:rsidP="00B023B3">
      <w:pPr>
        <w:widowControl/>
        <w:rPr>
          <w:rFonts w:ascii="Arial" w:hAnsi="Arial" w:cs="Arial"/>
          <w:color w:val="000000"/>
          <w:sz w:val="22"/>
          <w:szCs w:val="22"/>
        </w:rPr>
      </w:pPr>
    </w:p>
    <w:p w:rsidR="00B023B3" w:rsidRPr="0006279D" w:rsidRDefault="00B023B3" w:rsidP="00B023B3">
      <w:pPr>
        <w:tabs>
          <w:tab w:val="left" w:pos="-1440"/>
        </w:tabs>
        <w:ind w:left="720"/>
        <w:rPr>
          <w:rFonts w:ascii="Arial" w:hAnsi="Arial" w:cs="Arial"/>
          <w:color w:val="000000"/>
          <w:sz w:val="22"/>
          <w:szCs w:val="22"/>
        </w:rPr>
      </w:pPr>
      <w:r w:rsidRPr="0006279D">
        <w:rPr>
          <w:rFonts w:ascii="Arial" w:hAnsi="Arial" w:cs="Arial"/>
          <w:color w:val="000000"/>
          <w:sz w:val="22"/>
          <w:szCs w:val="22"/>
        </w:rPr>
        <w:t>Not applicable.</w:t>
      </w:r>
    </w:p>
    <w:sectPr w:rsidR="00B023B3" w:rsidRPr="0006279D" w:rsidSect="00426EB1">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2AC" w:rsidRDefault="007272AC">
      <w:r>
        <w:separator/>
      </w:r>
    </w:p>
  </w:endnote>
  <w:endnote w:type="continuationSeparator" w:id="0">
    <w:p w:rsidR="007272AC" w:rsidRDefault="0072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2AC" w:rsidRDefault="007272AC">
      <w:r>
        <w:separator/>
      </w:r>
    </w:p>
  </w:footnote>
  <w:footnote w:type="continuationSeparator" w:id="0">
    <w:p w:rsidR="007272AC" w:rsidRDefault="00727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upperLetter"/>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6C2511CE"/>
    <w:multiLevelType w:val="hybridMultilevel"/>
    <w:tmpl w:val="3550B9E6"/>
    <w:lvl w:ilvl="0" w:tplc="262E22FA">
      <w:start w:val="14"/>
      <w:numFmt w:val="decimal"/>
      <w:lvlText w:val="%1."/>
      <w:lvlJc w:val="left"/>
      <w:pPr>
        <w:tabs>
          <w:tab w:val="num" w:pos="1440"/>
        </w:tabs>
        <w:ind w:left="1440" w:hanging="720"/>
      </w:pPr>
      <w:rPr>
        <w:rFonts w:hint="default"/>
        <w:color w:val="auto"/>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 w:ilvl="0">
        <w:start w:val="1"/>
        <w:numFmt w:val="upperLetter"/>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1"/>
    <w:lvlOverride w:ilvl="0">
      <w:startOverride w:val="10"/>
      <w:lvl w:ilvl="0">
        <w:start w:val="1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11"/>
      <w:lvl w:ilvl="0">
        <w:start w:val="1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lvlOverride w:ilvl="0">
      <w:startOverride w:val="12"/>
      <w:lvl w:ilvl="0">
        <w:start w:val="1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4A9"/>
    <w:rsid w:val="000239F4"/>
    <w:rsid w:val="0006279D"/>
    <w:rsid w:val="000F0EA8"/>
    <w:rsid w:val="00122D86"/>
    <w:rsid w:val="0014687F"/>
    <w:rsid w:val="00146E64"/>
    <w:rsid w:val="00151439"/>
    <w:rsid w:val="0018037C"/>
    <w:rsid w:val="001D2A8B"/>
    <w:rsid w:val="00217297"/>
    <w:rsid w:val="00252DC6"/>
    <w:rsid w:val="00280555"/>
    <w:rsid w:val="002D0F01"/>
    <w:rsid w:val="00347590"/>
    <w:rsid w:val="00377B63"/>
    <w:rsid w:val="003B022A"/>
    <w:rsid w:val="003D3C4C"/>
    <w:rsid w:val="003E10EF"/>
    <w:rsid w:val="003F088C"/>
    <w:rsid w:val="0040193F"/>
    <w:rsid w:val="00426EB1"/>
    <w:rsid w:val="0045667D"/>
    <w:rsid w:val="004853CE"/>
    <w:rsid w:val="004D6676"/>
    <w:rsid w:val="004E158D"/>
    <w:rsid w:val="0056511E"/>
    <w:rsid w:val="00575200"/>
    <w:rsid w:val="00606180"/>
    <w:rsid w:val="00612665"/>
    <w:rsid w:val="00692F48"/>
    <w:rsid w:val="006D2E27"/>
    <w:rsid w:val="007029E9"/>
    <w:rsid w:val="007272AC"/>
    <w:rsid w:val="00787182"/>
    <w:rsid w:val="00787DB1"/>
    <w:rsid w:val="007A4C47"/>
    <w:rsid w:val="007E09CD"/>
    <w:rsid w:val="007E3EB8"/>
    <w:rsid w:val="00847F6C"/>
    <w:rsid w:val="00854387"/>
    <w:rsid w:val="008C6BC9"/>
    <w:rsid w:val="008F5685"/>
    <w:rsid w:val="00950FBE"/>
    <w:rsid w:val="009D1DC4"/>
    <w:rsid w:val="009E02E6"/>
    <w:rsid w:val="009F3F64"/>
    <w:rsid w:val="00A13888"/>
    <w:rsid w:val="00A14450"/>
    <w:rsid w:val="00A219D3"/>
    <w:rsid w:val="00A62013"/>
    <w:rsid w:val="00AC4122"/>
    <w:rsid w:val="00AF6AD5"/>
    <w:rsid w:val="00B023B3"/>
    <w:rsid w:val="00B41453"/>
    <w:rsid w:val="00B442CF"/>
    <w:rsid w:val="00B45404"/>
    <w:rsid w:val="00B576BF"/>
    <w:rsid w:val="00BB059D"/>
    <w:rsid w:val="00BC7F20"/>
    <w:rsid w:val="00C028E0"/>
    <w:rsid w:val="00C43978"/>
    <w:rsid w:val="00C85B11"/>
    <w:rsid w:val="00CB606F"/>
    <w:rsid w:val="00CB61A5"/>
    <w:rsid w:val="00D032E6"/>
    <w:rsid w:val="00D660C9"/>
    <w:rsid w:val="00E12288"/>
    <w:rsid w:val="00E254A9"/>
    <w:rsid w:val="00E36D37"/>
    <w:rsid w:val="00E5089C"/>
    <w:rsid w:val="00F10511"/>
    <w:rsid w:val="00F67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09C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09CD"/>
  </w:style>
  <w:style w:type="paragraph" w:customStyle="1" w:styleId="Level1">
    <w:name w:val="Level 1"/>
    <w:basedOn w:val="Normal"/>
    <w:rsid w:val="007E09CD"/>
    <w:pPr>
      <w:ind w:left="1440" w:hanging="720"/>
      <w:outlineLvl w:val="0"/>
    </w:pPr>
  </w:style>
  <w:style w:type="paragraph" w:styleId="Header">
    <w:name w:val="header"/>
    <w:basedOn w:val="Normal"/>
    <w:rsid w:val="00B45404"/>
    <w:pPr>
      <w:tabs>
        <w:tab w:val="center" w:pos="4320"/>
        <w:tab w:val="right" w:pos="8640"/>
      </w:tabs>
    </w:pPr>
  </w:style>
  <w:style w:type="paragraph" w:styleId="Footer">
    <w:name w:val="footer"/>
    <w:basedOn w:val="Normal"/>
    <w:rsid w:val="00B45404"/>
    <w:pPr>
      <w:tabs>
        <w:tab w:val="center" w:pos="4320"/>
        <w:tab w:val="right" w:pos="8640"/>
      </w:tabs>
    </w:pPr>
  </w:style>
  <w:style w:type="character" w:styleId="PageNumber">
    <w:name w:val="page number"/>
    <w:basedOn w:val="DefaultParagraphFont"/>
    <w:rsid w:val="009D1DC4"/>
  </w:style>
  <w:style w:type="paragraph" w:styleId="ListParagraph">
    <w:name w:val="List Paragraph"/>
    <w:basedOn w:val="Normal"/>
    <w:uiPriority w:val="34"/>
    <w:qFormat/>
    <w:rsid w:val="00A138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09C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09CD"/>
  </w:style>
  <w:style w:type="paragraph" w:customStyle="1" w:styleId="Level1">
    <w:name w:val="Level 1"/>
    <w:basedOn w:val="Normal"/>
    <w:rsid w:val="007E09CD"/>
    <w:pPr>
      <w:ind w:left="1440" w:hanging="720"/>
      <w:outlineLvl w:val="0"/>
    </w:pPr>
  </w:style>
  <w:style w:type="paragraph" w:styleId="Header">
    <w:name w:val="header"/>
    <w:basedOn w:val="Normal"/>
    <w:rsid w:val="00B45404"/>
    <w:pPr>
      <w:tabs>
        <w:tab w:val="center" w:pos="4320"/>
        <w:tab w:val="right" w:pos="8640"/>
      </w:tabs>
    </w:pPr>
  </w:style>
  <w:style w:type="paragraph" w:styleId="Footer">
    <w:name w:val="footer"/>
    <w:basedOn w:val="Normal"/>
    <w:rsid w:val="00B45404"/>
    <w:pPr>
      <w:tabs>
        <w:tab w:val="center" w:pos="4320"/>
        <w:tab w:val="right" w:pos="8640"/>
      </w:tabs>
    </w:pPr>
  </w:style>
  <w:style w:type="character" w:styleId="PageNumber">
    <w:name w:val="page number"/>
    <w:basedOn w:val="DefaultParagraphFont"/>
    <w:rsid w:val="009D1DC4"/>
  </w:style>
  <w:style w:type="paragraph" w:styleId="ListParagraph">
    <w:name w:val="List Paragraph"/>
    <w:basedOn w:val="Normal"/>
    <w:uiPriority w:val="34"/>
    <w:qFormat/>
    <w:rsid w:val="00A138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5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ECA79-9094-4038-9768-39E42E717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1459</Words>
  <Characters>8321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Section 12</vt:lpstr>
    </vt:vector>
  </TitlesOfParts>
  <Company>USNRC</Company>
  <LinksUpToDate>false</LinksUpToDate>
  <CharactersWithSpaces>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dc:title>
  <dc:creator>Anneliese Simmons</dc:creator>
  <cp:lastModifiedBy>Donnell, Tremaine</cp:lastModifiedBy>
  <cp:revision>2</cp:revision>
  <cp:lastPrinted>2009-09-01T12:54:00Z</cp:lastPrinted>
  <dcterms:created xsi:type="dcterms:W3CDTF">2014-10-14T20:45:00Z</dcterms:created>
  <dcterms:modified xsi:type="dcterms:W3CDTF">2014-10-14T20:45:00Z</dcterms:modified>
</cp:coreProperties>
</file>