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68D" w:rsidRPr="009D55DA" w:rsidRDefault="006B468D" w:rsidP="006B468D">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bookmarkStart w:id="0" w:name="_GoBack"/>
      <w:bookmarkEnd w:id="0"/>
      <w:r w:rsidRPr="009D55DA">
        <w:rPr>
          <w:rFonts w:ascii="Arial" w:hAnsi="Arial" w:cs="Arial"/>
          <w:sz w:val="22"/>
          <w:szCs w:val="22"/>
        </w:rPr>
        <w:t>Section 19</w:t>
      </w:r>
    </w:p>
    <w:p w:rsidR="006B468D" w:rsidRPr="009D55DA" w:rsidRDefault="006B468D" w:rsidP="006B468D">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9D55DA" w:rsidRDefault="006B468D" w:rsidP="006B468D">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sidRPr="009D55DA">
        <w:rPr>
          <w:rFonts w:ascii="Arial" w:hAnsi="Arial" w:cs="Arial"/>
          <w:sz w:val="22"/>
          <w:szCs w:val="22"/>
        </w:rPr>
        <w:tab/>
      </w:r>
      <w:r w:rsidR="00520749">
        <w:rPr>
          <w:rFonts w:ascii="Arial" w:hAnsi="Arial" w:cs="Arial"/>
          <w:sz w:val="22"/>
          <w:szCs w:val="22"/>
        </w:rPr>
        <w:t>FINAL</w:t>
      </w:r>
      <w:r w:rsidR="00F715D7">
        <w:rPr>
          <w:rFonts w:ascii="Arial" w:hAnsi="Arial" w:cs="Arial"/>
          <w:sz w:val="22"/>
          <w:szCs w:val="22"/>
        </w:rPr>
        <w:t xml:space="preserve"> </w:t>
      </w:r>
      <w:r w:rsidRPr="009D55DA">
        <w:rPr>
          <w:rFonts w:ascii="Arial" w:hAnsi="Arial" w:cs="Arial"/>
          <w:sz w:val="22"/>
          <w:szCs w:val="22"/>
        </w:rPr>
        <w:t xml:space="preserve">SUPPORTING STATEMENT </w:t>
      </w:r>
    </w:p>
    <w:p w:rsidR="006B468D" w:rsidRPr="009D55DA" w:rsidRDefault="006B468D" w:rsidP="006B468D">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sidRPr="009D55DA">
        <w:rPr>
          <w:rFonts w:ascii="Arial" w:hAnsi="Arial" w:cs="Arial"/>
          <w:sz w:val="22"/>
          <w:szCs w:val="22"/>
        </w:rPr>
        <w:tab/>
        <w:t>FOR</w:t>
      </w:r>
    </w:p>
    <w:p w:rsidR="006B468D" w:rsidRPr="009D55DA" w:rsidRDefault="006B468D" w:rsidP="006B468D">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sidRPr="009D55DA">
        <w:rPr>
          <w:rFonts w:ascii="Arial" w:hAnsi="Arial" w:cs="Arial"/>
          <w:sz w:val="22"/>
          <w:szCs w:val="22"/>
        </w:rPr>
        <w:tab/>
        <w:t>FRACTURE TOUGHNESS REQUIREMENTS FOR PROTECTION AGAINST</w:t>
      </w:r>
    </w:p>
    <w:p w:rsidR="006B468D" w:rsidRPr="009D55DA" w:rsidRDefault="006B468D" w:rsidP="006B468D">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sidRPr="009D55DA">
        <w:rPr>
          <w:rFonts w:ascii="Arial" w:hAnsi="Arial" w:cs="Arial"/>
          <w:sz w:val="22"/>
          <w:szCs w:val="22"/>
        </w:rPr>
        <w:tab/>
        <w:t>PRESSURIZED THERMAL SHOCK EVENTS</w:t>
      </w:r>
    </w:p>
    <w:p w:rsidR="006B468D" w:rsidRPr="009D55DA" w:rsidRDefault="006B468D" w:rsidP="006B468D">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9D55DA" w:rsidRDefault="006B468D" w:rsidP="006B468D">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sidRPr="009D55DA">
        <w:rPr>
          <w:rFonts w:ascii="Arial" w:hAnsi="Arial" w:cs="Arial"/>
          <w:sz w:val="22"/>
          <w:szCs w:val="22"/>
        </w:rPr>
        <w:tab/>
        <w:t>10 CFR 50.61, 10 CFR 50.61(b)(1), 10 CFR 50.61(b)(3), 10 CFR 50.61(b)(4),</w:t>
      </w:r>
    </w:p>
    <w:p w:rsidR="006B468D" w:rsidRPr="009D55DA" w:rsidRDefault="006B468D" w:rsidP="006B468D">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9D55DA">
        <w:rPr>
          <w:rFonts w:ascii="Arial" w:hAnsi="Arial" w:cs="Arial"/>
          <w:sz w:val="22"/>
          <w:szCs w:val="22"/>
        </w:rPr>
        <w:t xml:space="preserve"> 10 CFR 50.61(b)(6) and 10 CFR 50.61(c)(3)</w:t>
      </w:r>
    </w:p>
    <w:p w:rsidR="006B468D" w:rsidRPr="009D55DA" w:rsidRDefault="006B468D" w:rsidP="006B468D">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9D55DA" w:rsidRDefault="006B468D" w:rsidP="006B468D">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9D55DA" w:rsidRDefault="006B468D" w:rsidP="006B468D">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9D55DA">
        <w:rPr>
          <w:rFonts w:ascii="Arial" w:hAnsi="Arial" w:cs="Arial"/>
          <w:sz w:val="22"/>
          <w:szCs w:val="22"/>
          <w:u w:val="single"/>
        </w:rPr>
        <w:t>DESCRIPTION OF THE INFORMATION COLLECTION</w:t>
      </w:r>
    </w:p>
    <w:p w:rsidR="006B468D" w:rsidRPr="009D55DA" w:rsidRDefault="006B468D" w:rsidP="006B468D">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9D55DA" w:rsidRDefault="006B468D" w:rsidP="006B468D">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9D55DA">
        <w:rPr>
          <w:rFonts w:ascii="Arial" w:hAnsi="Arial" w:cs="Arial"/>
          <w:sz w:val="22"/>
          <w:szCs w:val="22"/>
        </w:rPr>
        <w:t>Pressurized thermal shock (PTS) events are system transients in pressurized water reactors (PWRs) that can cause severe overcooling (thermal shock) concurrent with or followed by immediate repressurization to a high pressure.  The thermal stresses caused by rapid cooling of the reactor vessel</w:t>
      </w:r>
      <w:r w:rsidRPr="009D55DA">
        <w:rPr>
          <w:rFonts w:ascii="Arial" w:hAnsi="Arial" w:cs="Arial"/>
          <w:sz w:val="22"/>
          <w:szCs w:val="22"/>
        </w:rPr>
        <w:sym w:font="WP TypographicSymbols" w:char="003D"/>
      </w:r>
      <w:r w:rsidRPr="009D55DA">
        <w:rPr>
          <w:rFonts w:ascii="Arial" w:hAnsi="Arial" w:cs="Arial"/>
          <w:sz w:val="22"/>
          <w:szCs w:val="22"/>
        </w:rPr>
        <w:t>s inside surface combine with the pressure stresses to increase the potential for fracture if an initiating flaw is present in low-toughness material.  Such material may exist in the reactor vessel beltline, adjacent to the core, where neutron radiation gradually embrittles the material during the plant lifetime.  The toughness of reactor vessel materials is characterized by a "reference temperature for nil ductility transition" (RT</w:t>
      </w:r>
      <w:r w:rsidRPr="009D55DA">
        <w:rPr>
          <w:rFonts w:ascii="Arial" w:hAnsi="Arial" w:cs="Arial"/>
          <w:sz w:val="22"/>
          <w:szCs w:val="22"/>
          <w:vertAlign w:val="subscript"/>
        </w:rPr>
        <w:t>NDT</w:t>
      </w:r>
      <w:r w:rsidRPr="009D55DA">
        <w:rPr>
          <w:rFonts w:ascii="Arial" w:hAnsi="Arial" w:cs="Arial"/>
          <w:sz w:val="22"/>
          <w:szCs w:val="22"/>
        </w:rPr>
        <w:t>).  The value of RT</w:t>
      </w:r>
      <w:r w:rsidRPr="009D55DA">
        <w:rPr>
          <w:rFonts w:ascii="Arial" w:hAnsi="Arial" w:cs="Arial"/>
          <w:sz w:val="22"/>
          <w:szCs w:val="22"/>
          <w:vertAlign w:val="subscript"/>
        </w:rPr>
        <w:t>NDT</w:t>
      </w:r>
      <w:r w:rsidRPr="009D55DA">
        <w:rPr>
          <w:rFonts w:ascii="Arial" w:hAnsi="Arial" w:cs="Arial"/>
          <w:sz w:val="22"/>
          <w:szCs w:val="22"/>
        </w:rPr>
        <w:t xml:space="preserve"> at a given time in a vessel's life is used in fracture mechanics calculations to determine whether assumed pre-existing flaws would propagate as cracks when the vessel is stressed.</w:t>
      </w:r>
    </w:p>
    <w:p w:rsidR="006B468D" w:rsidRPr="009D55DA" w:rsidRDefault="006B468D" w:rsidP="006B468D">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9D55DA" w:rsidRDefault="006B468D" w:rsidP="006B468D">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9D55DA">
        <w:rPr>
          <w:rFonts w:ascii="Arial" w:hAnsi="Arial" w:cs="Arial"/>
          <w:sz w:val="22"/>
          <w:szCs w:val="22"/>
        </w:rPr>
        <w:t>10 CFR 50.61 establishes a screening criterion, a limiting level of embrittlement beyond which operation cannot continue without further plant-specific evaluation.  The screening criterion is given in terms of RT</w:t>
      </w:r>
      <w:r w:rsidRPr="009D55DA">
        <w:rPr>
          <w:rFonts w:ascii="Arial" w:hAnsi="Arial" w:cs="Arial"/>
          <w:sz w:val="22"/>
          <w:szCs w:val="22"/>
          <w:vertAlign w:val="subscript"/>
        </w:rPr>
        <w:t>NDT</w:t>
      </w:r>
      <w:r w:rsidRPr="009D55DA">
        <w:rPr>
          <w:rFonts w:ascii="Arial" w:hAnsi="Arial" w:cs="Arial"/>
          <w:sz w:val="22"/>
          <w:szCs w:val="22"/>
        </w:rPr>
        <w:t>, calculated as a function of the copper and nickel contents of the material and the neutron fluence according to the procedure given in 10 CFR 50.61, and called RT</w:t>
      </w:r>
      <w:r w:rsidRPr="009D55DA">
        <w:rPr>
          <w:rFonts w:ascii="Arial" w:hAnsi="Arial" w:cs="Arial"/>
          <w:sz w:val="22"/>
          <w:szCs w:val="22"/>
          <w:vertAlign w:val="subscript"/>
        </w:rPr>
        <w:t>PTS</w:t>
      </w:r>
      <w:r w:rsidRPr="009D55DA">
        <w:rPr>
          <w:rFonts w:ascii="Arial" w:hAnsi="Arial" w:cs="Arial"/>
          <w:sz w:val="22"/>
          <w:szCs w:val="22"/>
        </w:rPr>
        <w:t xml:space="preserve"> to distinguish it from other procedures for calculating RT</w:t>
      </w:r>
      <w:r w:rsidRPr="009D55DA">
        <w:rPr>
          <w:rFonts w:ascii="Arial" w:hAnsi="Arial" w:cs="Arial"/>
          <w:sz w:val="22"/>
          <w:szCs w:val="22"/>
          <w:vertAlign w:val="subscript"/>
        </w:rPr>
        <w:t>NDT</w:t>
      </w:r>
      <w:r w:rsidRPr="009D55DA">
        <w:rPr>
          <w:rFonts w:ascii="Arial" w:hAnsi="Arial" w:cs="Arial"/>
          <w:sz w:val="22"/>
          <w:szCs w:val="22"/>
        </w:rPr>
        <w:t>.</w:t>
      </w:r>
    </w:p>
    <w:p w:rsidR="006B468D" w:rsidRPr="009D55DA" w:rsidRDefault="006B468D" w:rsidP="006B468D">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9D55DA" w:rsidRDefault="006B468D" w:rsidP="006B468D">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9D55DA">
        <w:rPr>
          <w:rFonts w:ascii="Arial" w:hAnsi="Arial" w:cs="Arial"/>
          <w:sz w:val="22"/>
          <w:szCs w:val="22"/>
        </w:rPr>
        <w:t>Effective January 1996, 10 CFR 50.61 was amended to change the procedure for calculating the amount of radiation embrittlement when surveillance data meet the credibility criteria of Regulatory Guide 1.99, Revision 2, "Radiation Embrittlement of Reactor Vessel Materials."  The amended rule requires resubmittal of the RT</w:t>
      </w:r>
      <w:r w:rsidRPr="009D55DA">
        <w:rPr>
          <w:rFonts w:ascii="Arial" w:hAnsi="Arial" w:cs="Arial"/>
          <w:sz w:val="22"/>
          <w:szCs w:val="22"/>
          <w:vertAlign w:val="subscript"/>
        </w:rPr>
        <w:t>PTS</w:t>
      </w:r>
      <w:r w:rsidRPr="009D55DA">
        <w:rPr>
          <w:rFonts w:ascii="Arial" w:hAnsi="Arial" w:cs="Arial"/>
          <w:sz w:val="22"/>
          <w:szCs w:val="22"/>
        </w:rPr>
        <w:t xml:space="preserve"> analysis if there is a significant change in projected values of RT</w:t>
      </w:r>
      <w:r w:rsidRPr="009D55DA">
        <w:rPr>
          <w:rFonts w:ascii="Arial" w:hAnsi="Arial" w:cs="Arial"/>
          <w:sz w:val="22"/>
          <w:szCs w:val="22"/>
          <w:vertAlign w:val="subscript"/>
        </w:rPr>
        <w:t>PTS</w:t>
      </w:r>
      <w:r w:rsidRPr="009D55DA">
        <w:rPr>
          <w:rFonts w:ascii="Arial" w:hAnsi="Arial" w:cs="Arial"/>
          <w:sz w:val="22"/>
          <w:szCs w:val="22"/>
        </w:rPr>
        <w:t>, or upon a request for a change in the expiration date for operation of the facility.</w:t>
      </w:r>
    </w:p>
    <w:p w:rsidR="006B468D" w:rsidRPr="009D55DA" w:rsidRDefault="006B468D" w:rsidP="006B468D">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9D55DA" w:rsidRDefault="006B468D" w:rsidP="006B468D">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9D55DA">
        <w:rPr>
          <w:rFonts w:ascii="Arial" w:hAnsi="Arial" w:cs="Arial"/>
          <w:sz w:val="22"/>
          <w:szCs w:val="22"/>
        </w:rPr>
        <w:t>10 CFR 50.61(b)(1) requires each PWR licensee, other than a licensee for a PWR for which 10 CFR 50.82(a)(1) certifications have been submitted, to have projected values of RT</w:t>
      </w:r>
      <w:r w:rsidRPr="009D55DA">
        <w:rPr>
          <w:rFonts w:ascii="Arial" w:hAnsi="Arial" w:cs="Arial"/>
          <w:sz w:val="22"/>
          <w:szCs w:val="22"/>
          <w:vertAlign w:val="subscript"/>
        </w:rPr>
        <w:t>PTS</w:t>
      </w:r>
      <w:r w:rsidRPr="009D55DA">
        <w:rPr>
          <w:rFonts w:ascii="Arial" w:hAnsi="Arial" w:cs="Arial"/>
          <w:sz w:val="22"/>
          <w:szCs w:val="22"/>
        </w:rPr>
        <w:t>, accepted by the NRC, for each reactor vessel beltline material for the expiration date of the operating license (EOL) fluence of the material.  The assessment must use the calculation procedures given in 10 CFR 50.61 and must specify the bases for the projected value, including the assumptions regarding core loading patterns, and must specify the copper and nickel contents and the fluence value used in the calculation for each beltline material.  This assessment must be updated whenever there is a significant change in projected values of RT</w:t>
      </w:r>
      <w:r w:rsidRPr="009D55DA">
        <w:rPr>
          <w:rFonts w:ascii="Arial" w:hAnsi="Arial" w:cs="Arial"/>
          <w:sz w:val="22"/>
          <w:szCs w:val="22"/>
          <w:vertAlign w:val="subscript"/>
        </w:rPr>
        <w:t>PTS</w:t>
      </w:r>
      <w:r w:rsidRPr="009D55DA">
        <w:rPr>
          <w:rFonts w:ascii="Arial" w:hAnsi="Arial" w:cs="Arial"/>
          <w:sz w:val="22"/>
          <w:szCs w:val="22"/>
        </w:rPr>
        <w:t>, or upon a request for a change in the expiration date for operation of the facility.</w:t>
      </w:r>
    </w:p>
    <w:p w:rsidR="006B468D" w:rsidRPr="009D55DA" w:rsidRDefault="006B468D" w:rsidP="006B468D">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9D55DA" w:rsidRDefault="006B468D" w:rsidP="006B468D">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9D55DA">
        <w:rPr>
          <w:rFonts w:ascii="Arial" w:hAnsi="Arial" w:cs="Arial"/>
          <w:sz w:val="22"/>
          <w:szCs w:val="22"/>
        </w:rPr>
        <w:t>10 CFR 50.61(b)(3) provides for submittal and anticipated approval by the NRC of detailed plant-specific analyses, submitted to demonstrate acceptable risk with RT</w:t>
      </w:r>
      <w:r w:rsidRPr="009D55DA">
        <w:rPr>
          <w:rFonts w:ascii="Arial" w:hAnsi="Arial" w:cs="Arial"/>
          <w:sz w:val="22"/>
          <w:szCs w:val="22"/>
          <w:vertAlign w:val="subscript"/>
        </w:rPr>
        <w:t>PTS</w:t>
      </w:r>
      <w:r w:rsidRPr="009D55DA">
        <w:rPr>
          <w:rFonts w:ascii="Arial" w:hAnsi="Arial" w:cs="Arial"/>
          <w:sz w:val="22"/>
          <w:szCs w:val="22"/>
        </w:rPr>
        <w:t xml:space="preserve"> above the screening limit due to plant modifications, new information, or new analysis techniques. </w:t>
      </w:r>
    </w:p>
    <w:p w:rsidR="006B468D" w:rsidRPr="009D55DA" w:rsidRDefault="006B468D" w:rsidP="006B468D">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9D55DA">
        <w:rPr>
          <w:rFonts w:ascii="Arial" w:hAnsi="Arial" w:cs="Arial"/>
          <w:sz w:val="22"/>
          <w:szCs w:val="22"/>
        </w:rPr>
        <w:t xml:space="preserve">10 CFR 50.61(b)(4) requires licensees for PWRs for which the analysis required by 10 CFR </w:t>
      </w:r>
      <w:r w:rsidRPr="009D55DA">
        <w:rPr>
          <w:rFonts w:ascii="Arial" w:hAnsi="Arial" w:cs="Arial"/>
          <w:sz w:val="22"/>
          <w:szCs w:val="22"/>
        </w:rPr>
        <w:lastRenderedPageBreak/>
        <w:t>50.61(b)(3) indicates that no reasonably practical flux reduction program will prevent RT</w:t>
      </w:r>
      <w:r w:rsidRPr="009D55DA">
        <w:rPr>
          <w:rFonts w:ascii="Arial" w:hAnsi="Arial" w:cs="Arial"/>
          <w:sz w:val="22"/>
          <w:szCs w:val="22"/>
          <w:vertAlign w:val="subscript"/>
        </w:rPr>
        <w:t>PTS</w:t>
      </w:r>
      <w:r w:rsidRPr="009D55DA">
        <w:rPr>
          <w:rFonts w:ascii="Arial" w:hAnsi="Arial" w:cs="Arial"/>
          <w:sz w:val="22"/>
          <w:szCs w:val="22"/>
        </w:rPr>
        <w:t xml:space="preserve"> from exceeding the PTS screening criterion to submit a safety analysis to determine what, if any, modifications to equipment, systems, and operation are necessary to prevent potential failure of the reactor vessel as a result of postulated PTS events if continued operation beyond the screening criterion is allowed.  This analysis must be submitted at least three years before RT</w:t>
      </w:r>
      <w:r w:rsidRPr="009D55DA">
        <w:rPr>
          <w:rFonts w:ascii="Arial" w:hAnsi="Arial" w:cs="Arial"/>
          <w:sz w:val="22"/>
          <w:szCs w:val="22"/>
          <w:vertAlign w:val="subscript"/>
        </w:rPr>
        <w:t>PTS</w:t>
      </w:r>
      <w:r w:rsidRPr="009D55DA">
        <w:rPr>
          <w:rFonts w:ascii="Arial" w:hAnsi="Arial" w:cs="Arial"/>
          <w:sz w:val="22"/>
          <w:szCs w:val="22"/>
        </w:rPr>
        <w:t xml:space="preserve"> is projected to exceed the PTS screening criterion.</w:t>
      </w:r>
    </w:p>
    <w:p w:rsidR="006B468D" w:rsidRPr="009D55DA" w:rsidRDefault="006B468D" w:rsidP="006B468D">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9D55DA" w:rsidRDefault="006B468D" w:rsidP="006B468D">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9D55DA">
        <w:rPr>
          <w:rFonts w:ascii="Arial" w:hAnsi="Arial" w:cs="Arial"/>
          <w:sz w:val="22"/>
          <w:szCs w:val="22"/>
        </w:rPr>
        <w:t>10 CFR 50.61(b)(6) states that if NRC concludes that operation of the facility with PT</w:t>
      </w:r>
      <w:r w:rsidRPr="009D55DA">
        <w:rPr>
          <w:rFonts w:ascii="Arial" w:hAnsi="Arial" w:cs="Arial"/>
          <w:sz w:val="22"/>
          <w:szCs w:val="22"/>
          <w:vertAlign w:val="subscript"/>
        </w:rPr>
        <w:t>PTS</w:t>
      </w:r>
      <w:r w:rsidRPr="009D55DA">
        <w:rPr>
          <w:rFonts w:ascii="Arial" w:hAnsi="Arial" w:cs="Arial"/>
          <w:sz w:val="22"/>
          <w:szCs w:val="22"/>
        </w:rPr>
        <w:t xml:space="preserve"> in excess of the PTS screening criterion cannot be approved on the basis of the licensee's analyses submitted in accordance with 10 CFR 50.61(b)(3) and (4), the licensee shall request and receive approval by NRC prior to any operation beyond the criterion.</w:t>
      </w:r>
    </w:p>
    <w:p w:rsidR="006B468D" w:rsidRPr="009D55DA" w:rsidRDefault="006B468D" w:rsidP="006B468D">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9D55DA" w:rsidRDefault="006B468D" w:rsidP="006B468D">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9D55DA">
        <w:rPr>
          <w:rFonts w:ascii="Arial" w:hAnsi="Arial" w:cs="Arial"/>
          <w:sz w:val="22"/>
          <w:szCs w:val="22"/>
        </w:rPr>
        <w:t>10 CFR 50.61(c)(3) requires licensees to report to NRC any information believed to significantly improve the accuracy of the RT</w:t>
      </w:r>
      <w:r w:rsidRPr="009D55DA">
        <w:rPr>
          <w:rFonts w:ascii="Arial" w:hAnsi="Arial" w:cs="Arial"/>
          <w:sz w:val="22"/>
          <w:szCs w:val="22"/>
          <w:vertAlign w:val="subscript"/>
        </w:rPr>
        <w:t>PTS</w:t>
      </w:r>
      <w:r w:rsidRPr="009D55DA">
        <w:rPr>
          <w:rFonts w:ascii="Arial" w:hAnsi="Arial" w:cs="Arial"/>
          <w:sz w:val="22"/>
          <w:szCs w:val="22"/>
        </w:rPr>
        <w:t xml:space="preserve"> values.  The burden is included in the estimates for RT</w:t>
      </w:r>
      <w:r w:rsidRPr="009D55DA">
        <w:rPr>
          <w:rFonts w:ascii="Arial" w:hAnsi="Arial" w:cs="Arial"/>
          <w:sz w:val="22"/>
          <w:szCs w:val="22"/>
          <w:vertAlign w:val="subscript"/>
        </w:rPr>
        <w:t>PTS</w:t>
      </w:r>
      <w:r w:rsidRPr="009D55DA">
        <w:rPr>
          <w:rFonts w:ascii="Arial" w:hAnsi="Arial" w:cs="Arial"/>
          <w:sz w:val="22"/>
          <w:szCs w:val="22"/>
        </w:rPr>
        <w:t xml:space="preserve"> assessment under Item 12 of this Supporting Statement.</w:t>
      </w:r>
    </w:p>
    <w:p w:rsidR="006B468D" w:rsidRPr="009D55DA" w:rsidRDefault="006B468D" w:rsidP="006B468D">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9D55DA" w:rsidRDefault="006B468D" w:rsidP="006B468D">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7667C2">
        <w:rPr>
          <w:rFonts w:ascii="Arial" w:hAnsi="Arial" w:cs="Arial"/>
          <w:sz w:val="22"/>
          <w:szCs w:val="22"/>
        </w:rPr>
        <w:t>In response to 10 CFR 50.61, the licensees of operating PWRs have submitted the fluence predictions and chemical composition data and these have now been accepted.  A number of licensees have undertaken flux reduction programs for those plants having high values of RT</w:t>
      </w:r>
      <w:r w:rsidRPr="007667C2">
        <w:rPr>
          <w:rFonts w:ascii="Arial" w:hAnsi="Arial" w:cs="Arial"/>
          <w:sz w:val="22"/>
          <w:szCs w:val="22"/>
          <w:vertAlign w:val="subscript"/>
        </w:rPr>
        <w:t>PTS</w:t>
      </w:r>
      <w:r w:rsidRPr="007667C2">
        <w:rPr>
          <w:rFonts w:ascii="Arial" w:hAnsi="Arial" w:cs="Arial"/>
          <w:sz w:val="22"/>
          <w:szCs w:val="22"/>
        </w:rPr>
        <w:t>. Some of these are still under review.  Submittal of requests to operate beyond the screening criterion [per 10 CFR 50.61(b)(4)], is expected to be made during the years 201</w:t>
      </w:r>
      <w:r w:rsidR="00C67733" w:rsidRPr="007667C2">
        <w:rPr>
          <w:rFonts w:ascii="Arial" w:hAnsi="Arial" w:cs="Arial"/>
          <w:sz w:val="22"/>
          <w:szCs w:val="22"/>
        </w:rPr>
        <w:t>3</w:t>
      </w:r>
      <w:r w:rsidRPr="007667C2">
        <w:rPr>
          <w:rFonts w:ascii="Arial" w:hAnsi="Arial" w:cs="Arial"/>
          <w:sz w:val="22"/>
          <w:szCs w:val="22"/>
        </w:rPr>
        <w:t>-201</w:t>
      </w:r>
      <w:r w:rsidR="00C67733" w:rsidRPr="007667C2">
        <w:rPr>
          <w:rFonts w:ascii="Arial" w:hAnsi="Arial" w:cs="Arial"/>
          <w:sz w:val="22"/>
          <w:szCs w:val="22"/>
        </w:rPr>
        <w:t>6</w:t>
      </w:r>
      <w:r w:rsidRPr="007667C2">
        <w:rPr>
          <w:rFonts w:ascii="Arial" w:hAnsi="Arial" w:cs="Arial"/>
          <w:sz w:val="22"/>
          <w:szCs w:val="22"/>
        </w:rPr>
        <w:t>.  The number of licensees affected by 50.61(b)(4) is estimated at 3 during this clearance period because some plants have instituted sufficient flux reduction to prevent them from reaching the screening criteria before end of life.</w:t>
      </w:r>
    </w:p>
    <w:p w:rsidR="006B468D" w:rsidRPr="009D55DA" w:rsidRDefault="006B468D" w:rsidP="006B468D">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9D55DA" w:rsidRDefault="006B468D" w:rsidP="006B468D">
      <w:pPr>
        <w:pStyle w:val="Level1"/>
        <w:tabs>
          <w:tab w:val="left" w:pos="-1080"/>
          <w:tab w:val="left" w:pos="-360"/>
          <w:tab w:val="left" w:pos="0"/>
          <w:tab w:val="num"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cs="Arial"/>
          <w:sz w:val="22"/>
          <w:szCs w:val="22"/>
        </w:rPr>
      </w:pPr>
      <w:r w:rsidRPr="009D55DA">
        <w:rPr>
          <w:rFonts w:ascii="Arial" w:hAnsi="Arial" w:cs="Arial"/>
          <w:sz w:val="22"/>
          <w:szCs w:val="22"/>
          <w:u w:val="single"/>
        </w:rPr>
        <w:t>JUSTIFICATION</w:t>
      </w:r>
    </w:p>
    <w:p w:rsidR="006B468D" w:rsidRPr="009D55DA" w:rsidRDefault="006B468D" w:rsidP="006B468D">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9D55DA" w:rsidRDefault="006B468D" w:rsidP="006B468D">
      <w:pPr>
        <w:pStyle w:val="Level2"/>
        <w:numPr>
          <w:ilvl w:val="0"/>
          <w:numId w:val="1"/>
        </w:numPr>
        <w:tabs>
          <w:tab w:val="left" w:pos="-1080"/>
          <w:tab w:val="left" w:pos="-36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rFonts w:ascii="Arial" w:hAnsi="Arial" w:cs="Arial"/>
          <w:sz w:val="22"/>
          <w:szCs w:val="22"/>
        </w:rPr>
      </w:pPr>
      <w:r w:rsidRPr="009D55DA">
        <w:rPr>
          <w:rFonts w:ascii="Arial" w:hAnsi="Arial" w:cs="Arial"/>
          <w:sz w:val="22"/>
          <w:szCs w:val="22"/>
          <w:u w:val="single"/>
        </w:rPr>
        <w:t>Need for the Collection of Information</w:t>
      </w:r>
    </w:p>
    <w:p w:rsidR="006B468D" w:rsidRPr="009D55DA" w:rsidRDefault="006B468D" w:rsidP="006B468D">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9D55DA" w:rsidRDefault="006B468D" w:rsidP="006B468D">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rFonts w:ascii="Arial" w:hAnsi="Arial" w:cs="Arial"/>
          <w:sz w:val="22"/>
          <w:szCs w:val="22"/>
        </w:rPr>
      </w:pPr>
      <w:r w:rsidRPr="009D55DA">
        <w:rPr>
          <w:rFonts w:ascii="Arial" w:hAnsi="Arial" w:cs="Arial"/>
          <w:sz w:val="22"/>
          <w:szCs w:val="22"/>
        </w:rPr>
        <w:t xml:space="preserve">Maintaining the structural integrity of the reactor pressure vessel of light-water-cooled reactors is a critical concern related to the safe operation of nuclear power plants.  To assure the structural integrity of reactor vessels, the NRC has developed regulations, including 10 CFR 50.61, and regulatory guides, including Regulatory Guide 1.99, Revision 2, to provide analysis and measurement methods and procedures to establish that the reactor vessel has adequate safety margin for continued operation. The fracture toughness of the vessel materials varies with time.  As the plant operates, neutrons escaping from the reactor core impact the vessel beltline materials causing embrittlement of those materials.  The information collections in 10 CFR 50.61, as well as those in 10 CFR 50.60 and 10 CFR 50 Appendix G and 10 CFR 50 Appendix H, provide estimates of the extent of the embrittlement, and evaluations of the consequences of the embrittlement in terms of the structural integrity of the vessel. </w:t>
      </w:r>
    </w:p>
    <w:p w:rsidR="006B468D" w:rsidRPr="009D55DA" w:rsidRDefault="006B468D" w:rsidP="006B468D">
      <w:pPr>
        <w:pStyle w:val="Level2"/>
        <w:tabs>
          <w:tab w:val="left" w:pos="-1080"/>
          <w:tab w:val="left" w:pos="-36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Arial" w:hAnsi="Arial" w:cs="Arial"/>
          <w:sz w:val="22"/>
          <w:szCs w:val="22"/>
        </w:rPr>
      </w:pPr>
    </w:p>
    <w:p w:rsidR="006B468D" w:rsidRPr="009D55DA" w:rsidRDefault="006B468D" w:rsidP="006B468D">
      <w:pPr>
        <w:pStyle w:val="Level2"/>
        <w:numPr>
          <w:ilvl w:val="0"/>
          <w:numId w:val="1"/>
        </w:numPr>
        <w:tabs>
          <w:tab w:val="left" w:pos="-1080"/>
          <w:tab w:val="left" w:pos="-36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rFonts w:ascii="Arial" w:hAnsi="Arial" w:cs="Arial"/>
          <w:sz w:val="22"/>
          <w:szCs w:val="22"/>
        </w:rPr>
      </w:pPr>
      <w:r w:rsidRPr="009D55DA">
        <w:rPr>
          <w:rFonts w:ascii="Arial" w:hAnsi="Arial" w:cs="Arial"/>
          <w:sz w:val="22"/>
          <w:szCs w:val="22"/>
          <w:u w:val="single"/>
        </w:rPr>
        <w:t>Agency Use of the Information</w:t>
      </w:r>
    </w:p>
    <w:p w:rsidR="006B468D" w:rsidRPr="009D55DA" w:rsidRDefault="006B468D" w:rsidP="006B468D">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9D55DA" w:rsidRDefault="006B468D" w:rsidP="006B468D">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rFonts w:ascii="Arial" w:hAnsi="Arial" w:cs="Arial"/>
          <w:sz w:val="22"/>
          <w:szCs w:val="22"/>
        </w:rPr>
      </w:pPr>
      <w:r w:rsidRPr="009D55DA">
        <w:rPr>
          <w:rFonts w:ascii="Arial" w:hAnsi="Arial" w:cs="Arial"/>
          <w:sz w:val="22"/>
          <w:szCs w:val="22"/>
        </w:rPr>
        <w:t xml:space="preserve">The information and analyses required by 10 CFR 50.61 will be reported on the plant's docket pursuant to the provisions of 10 CFR 50.4 and reviewed by NRC to ensure the requirements of the regulation are met.  There is a safety issue involved in the information collection requirement described above.  By reviewing the submittals from the PWR licensees, the NRC can make certain that (a) all of them are aware of the potential threat to the integrity of their reactor vessel from pressurized thermal shock events, and (b) those that need to consider additional flux reduction in order to stay </w:t>
      </w:r>
      <w:r w:rsidRPr="009D55DA">
        <w:rPr>
          <w:rFonts w:ascii="Arial" w:hAnsi="Arial" w:cs="Arial"/>
          <w:sz w:val="22"/>
          <w:szCs w:val="22"/>
        </w:rPr>
        <w:lastRenderedPageBreak/>
        <w:t>below the screening criterion will become aware of the need as early as possible, when flux reduction is most effective.</w:t>
      </w:r>
    </w:p>
    <w:p w:rsidR="006B468D" w:rsidRPr="009D55DA" w:rsidRDefault="006B468D" w:rsidP="006B468D">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9D55DA" w:rsidRDefault="006B468D" w:rsidP="006B468D">
      <w:pPr>
        <w:pStyle w:val="Level2"/>
        <w:numPr>
          <w:ilvl w:val="0"/>
          <w:numId w:val="1"/>
        </w:numPr>
        <w:tabs>
          <w:tab w:val="left" w:pos="-1080"/>
          <w:tab w:val="left" w:pos="-36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rFonts w:ascii="Arial" w:hAnsi="Arial" w:cs="Arial"/>
          <w:sz w:val="22"/>
          <w:szCs w:val="22"/>
        </w:rPr>
      </w:pPr>
      <w:r w:rsidRPr="009D55DA">
        <w:rPr>
          <w:rFonts w:ascii="Arial" w:hAnsi="Arial" w:cs="Arial"/>
          <w:sz w:val="22"/>
          <w:szCs w:val="22"/>
          <w:u w:val="single"/>
        </w:rPr>
        <w:t>Reduction of Burden Through Information Technology</w:t>
      </w:r>
    </w:p>
    <w:p w:rsidR="006B468D" w:rsidRPr="009D55DA" w:rsidRDefault="006B468D" w:rsidP="006B468D">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9D55DA" w:rsidRDefault="006B468D" w:rsidP="006B468D">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rFonts w:ascii="Arial" w:hAnsi="Arial" w:cs="Arial"/>
          <w:sz w:val="22"/>
          <w:szCs w:val="22"/>
        </w:rPr>
      </w:pPr>
      <w:r w:rsidRPr="009D55DA">
        <w:rPr>
          <w:rFonts w:ascii="Arial" w:hAnsi="Arial" w:cs="Arial"/>
          <w:sz w:val="22"/>
          <w:szCs w:val="22"/>
        </w:rPr>
        <w:t xml:space="preserve">There are no legal obstacles to reducing the burden associated with this information collection.  The NRC encourages respondents to use information technology when it would be beneficial to them.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  It is estimated that approximately </w:t>
      </w:r>
      <w:r w:rsidR="00DE076C">
        <w:rPr>
          <w:rFonts w:ascii="Arial" w:hAnsi="Arial" w:cs="Arial"/>
          <w:sz w:val="22"/>
          <w:szCs w:val="22"/>
        </w:rPr>
        <w:t>50</w:t>
      </w:r>
      <w:r w:rsidRPr="009D55DA">
        <w:rPr>
          <w:rFonts w:ascii="Arial" w:hAnsi="Arial" w:cs="Arial"/>
          <w:sz w:val="22"/>
          <w:szCs w:val="22"/>
        </w:rPr>
        <w:t xml:space="preserve">% of the potential responses are filed electronically. </w:t>
      </w:r>
    </w:p>
    <w:p w:rsidR="006B468D" w:rsidRPr="009D55DA" w:rsidRDefault="006B468D" w:rsidP="006B468D">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rFonts w:ascii="Arial" w:hAnsi="Arial" w:cs="Arial"/>
          <w:sz w:val="22"/>
          <w:szCs w:val="22"/>
        </w:rPr>
      </w:pPr>
    </w:p>
    <w:p w:rsidR="006B468D" w:rsidRPr="009D55DA" w:rsidRDefault="006B468D" w:rsidP="006B468D">
      <w:pPr>
        <w:pStyle w:val="Level2"/>
        <w:numPr>
          <w:ilvl w:val="0"/>
          <w:numId w:val="1"/>
        </w:numPr>
        <w:tabs>
          <w:tab w:val="left" w:pos="-1080"/>
          <w:tab w:val="left" w:pos="-36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rFonts w:ascii="Arial" w:hAnsi="Arial" w:cs="Arial"/>
          <w:sz w:val="22"/>
          <w:szCs w:val="22"/>
        </w:rPr>
      </w:pPr>
      <w:r w:rsidRPr="009D55DA">
        <w:rPr>
          <w:rFonts w:ascii="Arial" w:hAnsi="Arial" w:cs="Arial"/>
          <w:sz w:val="22"/>
          <w:szCs w:val="22"/>
          <w:u w:val="single"/>
        </w:rPr>
        <w:t>Effort to Identify Duplication and Use Similar Information</w:t>
      </w:r>
    </w:p>
    <w:p w:rsidR="006B468D" w:rsidRPr="009D55DA" w:rsidRDefault="006B468D" w:rsidP="006B468D">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9D55DA" w:rsidRDefault="006B468D" w:rsidP="006B468D">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rFonts w:ascii="Arial" w:hAnsi="Arial" w:cs="Arial"/>
          <w:sz w:val="22"/>
          <w:szCs w:val="22"/>
        </w:rPr>
      </w:pPr>
      <w:r w:rsidRPr="009D55DA">
        <w:rPr>
          <w:rFonts w:ascii="Arial" w:hAnsi="Arial"/>
          <w:sz w:val="22"/>
        </w:rPr>
        <w:t xml:space="preserve">No sources of similar information are available.  </w:t>
      </w:r>
      <w:r w:rsidRPr="009D55DA">
        <w:rPr>
          <w:rFonts w:ascii="Arial" w:hAnsi="Arial" w:cs="Arial"/>
          <w:sz w:val="22"/>
          <w:szCs w:val="22"/>
        </w:rPr>
        <w:t>There is no duplication of requirements.  NRC has in place an ongoing program to examine all information collections with the goal of eliminating all duplication and/or unnecessary information collections.</w:t>
      </w:r>
    </w:p>
    <w:p w:rsidR="006B468D" w:rsidRPr="009D55DA" w:rsidRDefault="006B468D" w:rsidP="006B468D">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9D55DA" w:rsidRDefault="006B468D" w:rsidP="006B468D">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rFonts w:ascii="Arial" w:hAnsi="Arial" w:cs="Arial"/>
          <w:sz w:val="22"/>
          <w:szCs w:val="22"/>
        </w:rPr>
      </w:pPr>
      <w:r w:rsidRPr="009D55DA">
        <w:rPr>
          <w:rFonts w:ascii="Arial" w:hAnsi="Arial" w:cs="Arial"/>
          <w:sz w:val="22"/>
          <w:szCs w:val="22"/>
        </w:rPr>
        <w:t>There are no other NRC or Federal government requirements regarding analyses for flux reduction or plant PTS safety analyses.  Materials information leading to calculation of an RT</w:t>
      </w:r>
      <w:r w:rsidRPr="009D55DA">
        <w:rPr>
          <w:rFonts w:ascii="Arial" w:hAnsi="Arial" w:cs="Arial"/>
          <w:sz w:val="22"/>
          <w:szCs w:val="22"/>
          <w:vertAlign w:val="subscript"/>
        </w:rPr>
        <w:t>NDT</w:t>
      </w:r>
      <w:r w:rsidRPr="009D55DA">
        <w:rPr>
          <w:rFonts w:ascii="Arial" w:hAnsi="Arial" w:cs="Arial"/>
          <w:sz w:val="22"/>
          <w:szCs w:val="22"/>
        </w:rPr>
        <w:t xml:space="preserve"> value for the reactor vessel is submitted in response to the requirements of 10 CFR 50 Append</w:t>
      </w:r>
      <w:r>
        <w:rPr>
          <w:rFonts w:ascii="Arial" w:hAnsi="Arial" w:cs="Arial"/>
          <w:sz w:val="22"/>
          <w:szCs w:val="22"/>
        </w:rPr>
        <w:t xml:space="preserve">ix G and 10 CFR 50 Appendix H, </w:t>
      </w:r>
      <w:r w:rsidRPr="009D55DA">
        <w:rPr>
          <w:rFonts w:ascii="Arial" w:hAnsi="Arial" w:cs="Arial"/>
          <w:sz w:val="22"/>
          <w:szCs w:val="22"/>
        </w:rPr>
        <w:t xml:space="preserve">(See Supporting Statement included in this submittal as Section 18).  For new plants, it appears in the final safety analysis report.  During the operating life, the information is updated by the individual plant submittals that support requests for changes in the pressure-temperature limits. </w:t>
      </w:r>
    </w:p>
    <w:p w:rsidR="006B468D" w:rsidRPr="009D55DA" w:rsidRDefault="006B468D" w:rsidP="006B468D">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9D55DA" w:rsidRDefault="006B468D" w:rsidP="006B468D">
      <w:pPr>
        <w:pStyle w:val="Level2"/>
        <w:numPr>
          <w:ilvl w:val="0"/>
          <w:numId w:val="1"/>
        </w:numPr>
        <w:tabs>
          <w:tab w:val="left" w:pos="-1080"/>
          <w:tab w:val="left" w:pos="-36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rFonts w:ascii="Arial" w:hAnsi="Arial" w:cs="Arial"/>
          <w:sz w:val="22"/>
          <w:szCs w:val="22"/>
        </w:rPr>
      </w:pPr>
      <w:r w:rsidRPr="009D55DA">
        <w:rPr>
          <w:rFonts w:ascii="Arial" w:hAnsi="Arial" w:cs="Arial"/>
          <w:sz w:val="22"/>
          <w:szCs w:val="22"/>
          <w:u w:val="single"/>
        </w:rPr>
        <w:t>Effort to Reduce Small Business Burden</w:t>
      </w:r>
    </w:p>
    <w:p w:rsidR="006B468D" w:rsidRPr="009D55DA" w:rsidRDefault="006B468D" w:rsidP="006B468D">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9D55DA" w:rsidRDefault="006B468D" w:rsidP="00DE076C">
      <w:pPr>
        <w:tabs>
          <w:tab w:val="left" w:pos="-1080"/>
          <w:tab w:val="left" w:pos="-360"/>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rFonts w:ascii="Arial" w:hAnsi="Arial" w:cs="Arial"/>
          <w:sz w:val="22"/>
          <w:szCs w:val="22"/>
        </w:rPr>
      </w:pPr>
      <w:r w:rsidRPr="009D55DA">
        <w:rPr>
          <w:rFonts w:ascii="Arial" w:hAnsi="Arial" w:cs="Arial"/>
          <w:sz w:val="22"/>
          <w:szCs w:val="22"/>
        </w:rPr>
        <w:t>This information does not affect small business.</w:t>
      </w:r>
    </w:p>
    <w:p w:rsidR="006B468D" w:rsidRPr="009D55DA" w:rsidRDefault="006B468D" w:rsidP="006B468D">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9D55DA" w:rsidRDefault="006B468D" w:rsidP="00DE076C">
      <w:pPr>
        <w:tabs>
          <w:tab w:val="left" w:pos="-1080"/>
          <w:tab w:val="left" w:pos="-360"/>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900" w:hanging="360"/>
        <w:rPr>
          <w:rFonts w:ascii="Arial" w:hAnsi="Arial" w:cs="Arial"/>
          <w:sz w:val="22"/>
          <w:szCs w:val="22"/>
        </w:rPr>
      </w:pPr>
      <w:r w:rsidRPr="009D55DA">
        <w:rPr>
          <w:rFonts w:ascii="Arial" w:hAnsi="Arial" w:cs="Arial"/>
          <w:sz w:val="22"/>
          <w:szCs w:val="22"/>
        </w:rPr>
        <w:t>6.</w:t>
      </w:r>
      <w:r w:rsidRPr="009D55DA">
        <w:rPr>
          <w:rFonts w:ascii="Arial" w:hAnsi="Arial" w:cs="Arial"/>
          <w:sz w:val="22"/>
          <w:szCs w:val="22"/>
        </w:rPr>
        <w:tab/>
      </w:r>
      <w:r w:rsidRPr="009D55DA">
        <w:rPr>
          <w:rFonts w:ascii="Arial" w:hAnsi="Arial" w:cs="Arial"/>
          <w:sz w:val="22"/>
          <w:szCs w:val="22"/>
          <w:u w:val="single"/>
        </w:rPr>
        <w:t>Consequences to Federal Program or Policy Activities if the Collection is Not Conducted or is Conducted Less Frequently</w:t>
      </w:r>
    </w:p>
    <w:p w:rsidR="006B468D" w:rsidRPr="009D55DA" w:rsidRDefault="006B468D" w:rsidP="006B468D">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9D55DA" w:rsidRDefault="006B468D" w:rsidP="00DE076C">
      <w:pPr>
        <w:tabs>
          <w:tab w:val="left" w:pos="-1080"/>
          <w:tab w:val="left" w:pos="-360"/>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rFonts w:ascii="Arial" w:hAnsi="Arial" w:cs="Arial"/>
          <w:sz w:val="22"/>
          <w:szCs w:val="22"/>
        </w:rPr>
      </w:pPr>
      <w:r w:rsidRPr="009D55DA">
        <w:rPr>
          <w:rFonts w:ascii="Arial" w:hAnsi="Arial" w:cs="Arial"/>
          <w:sz w:val="22"/>
          <w:szCs w:val="22"/>
        </w:rPr>
        <w:t>If this information were not collected, the NRC would be unable to establish that each reactor pressure vessel has an adequate safety margin for continued safe operation.</w:t>
      </w:r>
    </w:p>
    <w:p w:rsidR="006B468D" w:rsidRPr="009D55DA" w:rsidRDefault="006B468D" w:rsidP="006B468D">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DE076C" w:rsidRDefault="006B468D" w:rsidP="00DE076C">
      <w:pPr>
        <w:pStyle w:val="Level1"/>
        <w:tabs>
          <w:tab w:val="left" w:pos="-1080"/>
          <w:tab w:val="left" w:pos="-360"/>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540" w:firstLine="0"/>
        <w:rPr>
          <w:rFonts w:ascii="Arial" w:hAnsi="Arial" w:cs="Arial"/>
          <w:sz w:val="22"/>
          <w:szCs w:val="22"/>
        </w:rPr>
      </w:pPr>
      <w:r w:rsidRPr="00DE076C">
        <w:rPr>
          <w:rFonts w:ascii="Arial" w:hAnsi="Arial" w:cs="Arial"/>
          <w:sz w:val="22"/>
          <w:szCs w:val="22"/>
        </w:rPr>
        <w:t>7</w:t>
      </w:r>
      <w:r w:rsidR="00DE076C">
        <w:rPr>
          <w:rFonts w:ascii="Arial" w:hAnsi="Arial" w:cs="Arial"/>
          <w:sz w:val="22"/>
          <w:szCs w:val="22"/>
        </w:rPr>
        <w:t>.</w:t>
      </w:r>
      <w:r w:rsidRPr="00DE076C">
        <w:rPr>
          <w:rFonts w:ascii="Arial" w:hAnsi="Arial" w:cs="Arial"/>
          <w:sz w:val="22"/>
          <w:szCs w:val="22"/>
        </w:rPr>
        <w:t xml:space="preserve"> </w:t>
      </w:r>
      <w:r w:rsidR="00DE076C">
        <w:rPr>
          <w:rFonts w:ascii="Arial" w:hAnsi="Arial" w:cs="Arial"/>
          <w:sz w:val="22"/>
          <w:szCs w:val="22"/>
        </w:rPr>
        <w:tab/>
      </w:r>
      <w:r w:rsidRPr="00DE076C">
        <w:rPr>
          <w:rFonts w:ascii="Arial" w:hAnsi="Arial" w:cs="Arial"/>
          <w:sz w:val="22"/>
          <w:szCs w:val="22"/>
          <w:u w:val="single"/>
        </w:rPr>
        <w:t>Circumstances Which Justify Variations from OMB Guidelines</w:t>
      </w:r>
    </w:p>
    <w:p w:rsidR="006B468D" w:rsidRPr="009D55DA" w:rsidRDefault="006B468D" w:rsidP="006B468D">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9D55DA" w:rsidRDefault="006B468D" w:rsidP="00DE076C">
      <w:pPr>
        <w:tabs>
          <w:tab w:val="left" w:pos="-1080"/>
          <w:tab w:val="left" w:pos="-36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rFonts w:ascii="Arial" w:hAnsi="Arial" w:cs="Arial"/>
          <w:sz w:val="22"/>
          <w:szCs w:val="22"/>
        </w:rPr>
      </w:pPr>
      <w:r w:rsidRPr="009D55DA">
        <w:rPr>
          <w:rFonts w:ascii="Arial" w:hAnsi="Arial" w:cs="Arial"/>
          <w:sz w:val="22"/>
          <w:szCs w:val="22"/>
        </w:rPr>
        <w:t>There are no variations from OMB guidelines in this collection of information.</w:t>
      </w:r>
    </w:p>
    <w:p w:rsidR="006B468D" w:rsidRDefault="006B468D" w:rsidP="006B468D">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9D55DA" w:rsidRDefault="006B468D" w:rsidP="006B468D">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40"/>
        <w:rPr>
          <w:rFonts w:ascii="Arial" w:hAnsi="Arial" w:cs="Arial"/>
          <w:sz w:val="22"/>
          <w:szCs w:val="22"/>
        </w:rPr>
      </w:pPr>
      <w:r>
        <w:rPr>
          <w:rFonts w:ascii="Arial" w:hAnsi="Arial" w:cs="Arial"/>
          <w:sz w:val="22"/>
          <w:szCs w:val="22"/>
        </w:rPr>
        <w:br w:type="page"/>
      </w:r>
      <w:r w:rsidRPr="009D55DA">
        <w:rPr>
          <w:rFonts w:ascii="Arial" w:hAnsi="Arial" w:cs="Arial"/>
          <w:sz w:val="22"/>
          <w:szCs w:val="22"/>
        </w:rPr>
        <w:lastRenderedPageBreak/>
        <w:t>8.</w:t>
      </w:r>
      <w:r w:rsidRPr="009D55DA">
        <w:rPr>
          <w:rFonts w:ascii="Arial" w:hAnsi="Arial" w:cs="Arial"/>
          <w:sz w:val="22"/>
          <w:szCs w:val="22"/>
        </w:rPr>
        <w:tab/>
      </w:r>
      <w:r w:rsidRPr="009D55DA">
        <w:rPr>
          <w:rFonts w:ascii="Arial" w:hAnsi="Arial" w:cs="Arial"/>
          <w:sz w:val="22"/>
          <w:szCs w:val="22"/>
          <w:u w:val="single"/>
        </w:rPr>
        <w:t>Consultations Outside the NRC</w:t>
      </w:r>
    </w:p>
    <w:p w:rsidR="006B468D" w:rsidRDefault="006B468D" w:rsidP="006B468D">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p>
    <w:p w:rsidR="00927BDE" w:rsidRDefault="00927BDE" w:rsidP="00927BDE">
      <w:pPr>
        <w:tabs>
          <w:tab w:val="left" w:pos="-1440"/>
          <w:tab w:val="left" w:pos="-360"/>
          <w:tab w:val="left" w:pos="600"/>
          <w:tab w:val="left" w:pos="117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u w:val="single"/>
        </w:rPr>
      </w:pPr>
      <w:r>
        <w:rPr>
          <w:rFonts w:ascii="Arial" w:hAnsi="Arial"/>
          <w:sz w:val="22"/>
        </w:rPr>
        <w:t xml:space="preserve">Opportunity for public comment on the information collection requirements for this clearance package was published in the </w:t>
      </w:r>
      <w:r>
        <w:rPr>
          <w:rFonts w:ascii="Arial" w:hAnsi="Arial"/>
          <w:sz w:val="22"/>
          <w:u w:val="single"/>
        </w:rPr>
        <w:t>Federal Register</w:t>
      </w:r>
      <w:r>
        <w:rPr>
          <w:rFonts w:ascii="Arial" w:hAnsi="Arial"/>
          <w:sz w:val="22"/>
        </w:rPr>
        <w:t xml:space="preserve"> on May 14, 2013 (78 FR 28244).  No comments were received.</w:t>
      </w:r>
    </w:p>
    <w:p w:rsidR="006B468D" w:rsidRPr="009D55DA" w:rsidRDefault="006B468D" w:rsidP="006B468D">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p>
    <w:p w:rsidR="006B468D" w:rsidRPr="009D55DA" w:rsidRDefault="006B468D" w:rsidP="006B468D">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40"/>
        <w:rPr>
          <w:rFonts w:ascii="Arial" w:hAnsi="Arial" w:cs="Arial"/>
          <w:sz w:val="22"/>
          <w:szCs w:val="22"/>
        </w:rPr>
      </w:pPr>
      <w:r w:rsidRPr="009D55DA">
        <w:rPr>
          <w:rFonts w:ascii="Arial" w:hAnsi="Arial" w:cs="Arial"/>
          <w:sz w:val="22"/>
          <w:szCs w:val="22"/>
        </w:rPr>
        <w:t>9.</w:t>
      </w:r>
      <w:r w:rsidRPr="009D55DA">
        <w:rPr>
          <w:rFonts w:ascii="Arial" w:hAnsi="Arial" w:cs="Arial"/>
          <w:sz w:val="22"/>
          <w:szCs w:val="22"/>
        </w:rPr>
        <w:tab/>
      </w:r>
      <w:r w:rsidRPr="009D55DA">
        <w:rPr>
          <w:rFonts w:ascii="Arial" w:hAnsi="Arial" w:cs="Arial"/>
          <w:sz w:val="22"/>
          <w:szCs w:val="22"/>
          <w:u w:val="single"/>
        </w:rPr>
        <w:t>Payment or Gift to Respondents</w:t>
      </w:r>
    </w:p>
    <w:p w:rsidR="006B468D" w:rsidRPr="009D55DA" w:rsidRDefault="006B468D" w:rsidP="006B468D">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9D55DA" w:rsidRDefault="006B468D" w:rsidP="006B468D">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9D55DA">
        <w:rPr>
          <w:rFonts w:ascii="Arial" w:hAnsi="Arial" w:cs="Arial"/>
          <w:sz w:val="22"/>
          <w:szCs w:val="22"/>
        </w:rPr>
        <w:t>Not applicable.</w:t>
      </w:r>
    </w:p>
    <w:p w:rsidR="006B468D" w:rsidRPr="009D55DA" w:rsidRDefault="006B468D" w:rsidP="006B468D">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9D55DA" w:rsidRDefault="006B468D" w:rsidP="006B468D">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540"/>
        <w:rPr>
          <w:rFonts w:ascii="Arial" w:hAnsi="Arial" w:cs="Arial"/>
          <w:sz w:val="22"/>
          <w:szCs w:val="22"/>
        </w:rPr>
      </w:pPr>
      <w:r w:rsidRPr="009D55DA">
        <w:rPr>
          <w:rFonts w:ascii="Arial" w:hAnsi="Arial" w:cs="Arial"/>
          <w:sz w:val="22"/>
          <w:szCs w:val="22"/>
        </w:rPr>
        <w:t>10.</w:t>
      </w:r>
      <w:r w:rsidRPr="009D55DA">
        <w:rPr>
          <w:rFonts w:ascii="Arial" w:hAnsi="Arial" w:cs="Arial"/>
          <w:sz w:val="22"/>
          <w:szCs w:val="22"/>
        </w:rPr>
        <w:tab/>
      </w:r>
      <w:r w:rsidRPr="009D55DA">
        <w:rPr>
          <w:rFonts w:ascii="Arial" w:hAnsi="Arial" w:cs="Arial"/>
          <w:sz w:val="22"/>
          <w:szCs w:val="22"/>
          <w:u w:val="single"/>
        </w:rPr>
        <w:t>Confidentiality of Information</w:t>
      </w:r>
    </w:p>
    <w:p w:rsidR="006B468D" w:rsidRPr="009D55DA" w:rsidRDefault="006B468D" w:rsidP="006B468D">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9D55DA" w:rsidRDefault="006B468D" w:rsidP="006B468D">
      <w:pPr>
        <w:tabs>
          <w:tab w:val="left" w:pos="-1080"/>
          <w:tab w:val="left" w:pos="-36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9D55DA">
        <w:rPr>
          <w:rFonts w:ascii="Arial" w:hAnsi="Arial" w:cs="Arial"/>
          <w:sz w:val="22"/>
          <w:szCs w:val="22"/>
        </w:rPr>
        <w:t>Confidential and proprietary information is protected in accordance with NRC regulations at 10 CFR 9.17(a) and 10 CFR 2.390(b).  However, no information normally considered confidential or proprietary is requested.</w:t>
      </w:r>
    </w:p>
    <w:p w:rsidR="006B468D" w:rsidRPr="009D55DA" w:rsidRDefault="006B468D" w:rsidP="006B468D">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DE076C" w:rsidRDefault="006B468D" w:rsidP="00DE076C">
      <w:pPr>
        <w:pStyle w:val="Level1"/>
        <w:tabs>
          <w:tab w:val="left" w:pos="-1080"/>
          <w:tab w:val="left" w:pos="-360"/>
          <w:tab w:val="left" w:pos="0"/>
          <w:tab w:val="left" w:pos="540"/>
          <w:tab w:val="left" w:pos="1080"/>
          <w:tab w:val="left" w:pos="3600"/>
          <w:tab w:val="left" w:pos="4320"/>
          <w:tab w:val="left" w:pos="5040"/>
          <w:tab w:val="left" w:pos="5760"/>
          <w:tab w:val="left" w:pos="6480"/>
          <w:tab w:val="left" w:pos="7200"/>
          <w:tab w:val="left" w:pos="7920"/>
          <w:tab w:val="left" w:pos="8640"/>
          <w:tab w:val="left" w:pos="9360"/>
        </w:tabs>
        <w:ind w:left="540" w:firstLine="0"/>
        <w:rPr>
          <w:rFonts w:ascii="Arial" w:hAnsi="Arial" w:cs="Arial"/>
          <w:sz w:val="22"/>
          <w:szCs w:val="22"/>
        </w:rPr>
      </w:pPr>
      <w:r w:rsidRPr="00DE076C">
        <w:rPr>
          <w:rFonts w:ascii="Arial" w:hAnsi="Arial" w:cs="Arial"/>
          <w:sz w:val="22"/>
          <w:szCs w:val="22"/>
        </w:rPr>
        <w:t>11</w:t>
      </w:r>
      <w:r w:rsidR="00DE076C">
        <w:rPr>
          <w:rFonts w:ascii="Arial" w:hAnsi="Arial" w:cs="Arial"/>
          <w:sz w:val="22"/>
          <w:szCs w:val="22"/>
        </w:rPr>
        <w:t>.</w:t>
      </w:r>
      <w:r w:rsidR="00DE076C">
        <w:rPr>
          <w:rFonts w:ascii="Arial" w:hAnsi="Arial" w:cs="Arial"/>
          <w:sz w:val="22"/>
          <w:szCs w:val="22"/>
        </w:rPr>
        <w:tab/>
      </w:r>
      <w:r w:rsidRPr="00DE076C">
        <w:rPr>
          <w:rFonts w:ascii="Arial" w:hAnsi="Arial" w:cs="Arial"/>
          <w:sz w:val="22"/>
          <w:szCs w:val="22"/>
          <w:u w:val="single"/>
        </w:rPr>
        <w:t>Justification for Sensitive Questions</w:t>
      </w:r>
    </w:p>
    <w:p w:rsidR="006B468D" w:rsidRPr="009D55DA" w:rsidRDefault="006B468D" w:rsidP="006B468D">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9D55DA" w:rsidRDefault="006B468D" w:rsidP="006B468D">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9D55DA">
        <w:rPr>
          <w:rFonts w:ascii="Arial" w:hAnsi="Arial" w:cs="Arial"/>
          <w:sz w:val="22"/>
          <w:szCs w:val="22"/>
        </w:rPr>
        <w:t>No sensitive information is requested under these regulations.</w:t>
      </w:r>
    </w:p>
    <w:p w:rsidR="006B468D" w:rsidRPr="009D55DA" w:rsidRDefault="006B468D" w:rsidP="006B468D">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DE076C" w:rsidRDefault="00DE076C" w:rsidP="00DE076C">
      <w:pPr>
        <w:pStyle w:val="Level1"/>
        <w:tabs>
          <w:tab w:val="left" w:pos="-1080"/>
          <w:tab w:val="left" w:pos="-360"/>
          <w:tab w:val="left" w:pos="0"/>
          <w:tab w:val="left" w:pos="540"/>
          <w:tab w:val="left" w:pos="1080"/>
          <w:tab w:val="left" w:pos="2880"/>
          <w:tab w:val="left" w:pos="3600"/>
          <w:tab w:val="left" w:pos="4320"/>
          <w:tab w:val="left" w:pos="5040"/>
          <w:tab w:val="left" w:pos="5760"/>
          <w:tab w:val="left" w:pos="6480"/>
          <w:tab w:val="left" w:pos="7200"/>
          <w:tab w:val="left" w:pos="7920"/>
          <w:tab w:val="left" w:pos="8640"/>
          <w:tab w:val="left" w:pos="9360"/>
        </w:tabs>
        <w:ind w:left="540" w:firstLine="0"/>
        <w:rPr>
          <w:rFonts w:ascii="Arial" w:hAnsi="Arial" w:cs="Arial"/>
          <w:sz w:val="22"/>
          <w:szCs w:val="22"/>
        </w:rPr>
      </w:pPr>
      <w:r>
        <w:rPr>
          <w:rFonts w:ascii="Arial" w:hAnsi="Arial" w:cs="Arial"/>
          <w:sz w:val="22"/>
          <w:szCs w:val="22"/>
        </w:rPr>
        <w:t>12.</w:t>
      </w:r>
      <w:r>
        <w:rPr>
          <w:rFonts w:ascii="Arial" w:hAnsi="Arial" w:cs="Arial"/>
          <w:sz w:val="22"/>
          <w:szCs w:val="22"/>
        </w:rPr>
        <w:tab/>
      </w:r>
      <w:r w:rsidR="006B468D" w:rsidRPr="00DE076C">
        <w:rPr>
          <w:rFonts w:ascii="Arial" w:hAnsi="Arial" w:cs="Arial"/>
          <w:sz w:val="22"/>
          <w:szCs w:val="22"/>
          <w:u w:val="single"/>
        </w:rPr>
        <w:t>Estimated Industry Burden and Burden Hour Cost</w:t>
      </w:r>
    </w:p>
    <w:p w:rsidR="006B468D" w:rsidRPr="009D55DA" w:rsidRDefault="006B468D" w:rsidP="006B468D">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Default="006B468D" w:rsidP="006B468D">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9D55DA">
        <w:rPr>
          <w:rFonts w:ascii="Arial" w:hAnsi="Arial" w:cs="Arial"/>
          <w:sz w:val="22"/>
          <w:szCs w:val="22"/>
        </w:rPr>
        <w:t>The licensees of all 72 operating PWR plants are subject to the regulation.  It is estimated that 30 plants would be affected by the RT</w:t>
      </w:r>
      <w:r w:rsidRPr="009D55DA">
        <w:rPr>
          <w:rFonts w:ascii="Arial" w:hAnsi="Arial" w:cs="Arial"/>
          <w:sz w:val="22"/>
          <w:szCs w:val="22"/>
          <w:vertAlign w:val="subscript"/>
        </w:rPr>
        <w:t>PTS</w:t>
      </w:r>
      <w:r w:rsidRPr="009D55DA">
        <w:rPr>
          <w:rFonts w:ascii="Arial" w:hAnsi="Arial" w:cs="Arial"/>
          <w:sz w:val="22"/>
          <w:szCs w:val="22"/>
        </w:rPr>
        <w:t xml:space="preserve"> assessment; approximately 6 plants would also be affected by the flux reduction analyses, and approximately 3 plants would be affected by the provisions of 10 CFR 50.61(b)(3) and (4).</w:t>
      </w:r>
    </w:p>
    <w:p w:rsidR="006B468D" w:rsidRDefault="006B468D" w:rsidP="006B468D">
      <w:pPr>
        <w:tabs>
          <w:tab w:val="left" w:pos="-1080"/>
          <w:tab w:val="left" w:pos="-36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p>
    <w:tbl>
      <w:tblPr>
        <w:tblW w:w="8250" w:type="dxa"/>
        <w:tblInd w:w="1200" w:type="dxa"/>
        <w:tblCellMar>
          <w:left w:w="0" w:type="dxa"/>
          <w:right w:w="0" w:type="dxa"/>
        </w:tblCellMar>
        <w:tblLook w:val="04A0" w:firstRow="1" w:lastRow="0" w:firstColumn="1" w:lastColumn="0" w:noHBand="0" w:noVBand="1"/>
      </w:tblPr>
      <w:tblGrid>
        <w:gridCol w:w="2250"/>
        <w:gridCol w:w="1350"/>
        <w:gridCol w:w="1260"/>
        <w:gridCol w:w="1170"/>
        <w:gridCol w:w="1020"/>
        <w:gridCol w:w="1200"/>
      </w:tblGrid>
      <w:tr w:rsidR="00655813" w:rsidTr="005F65EF">
        <w:tc>
          <w:tcPr>
            <w:tcW w:w="2250" w:type="dxa"/>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tcPr>
          <w:p w:rsidR="006B468D" w:rsidRPr="00A95CFF" w:rsidRDefault="006B468D" w:rsidP="005F65EF">
            <w:pPr>
              <w:spacing w:line="120" w:lineRule="exact"/>
              <w:rPr>
                <w:rFonts w:ascii="Arial" w:eastAsia="Calibri" w:hAnsi="Arial" w:cs="Arial"/>
                <w:bCs/>
                <w:sz w:val="20"/>
                <w:szCs w:val="20"/>
              </w:rPr>
            </w:pPr>
          </w:p>
          <w:p w:rsidR="006B468D" w:rsidRPr="00A95CFF" w:rsidRDefault="006B468D" w:rsidP="005F65EF">
            <w:pPr>
              <w:spacing w:after="58"/>
              <w:rPr>
                <w:rFonts w:ascii="Arial" w:eastAsia="Calibri" w:hAnsi="Arial" w:cs="Arial"/>
                <w:bCs/>
                <w:sz w:val="20"/>
                <w:szCs w:val="20"/>
              </w:rPr>
            </w:pPr>
            <w:r w:rsidRPr="00A95CFF">
              <w:rPr>
                <w:rFonts w:ascii="Arial" w:hAnsi="Arial" w:cs="Arial"/>
                <w:bCs/>
                <w:sz w:val="20"/>
                <w:szCs w:val="20"/>
              </w:rPr>
              <w:t>Section</w:t>
            </w:r>
          </w:p>
        </w:tc>
        <w:tc>
          <w:tcPr>
            <w:tcW w:w="1350" w:type="dxa"/>
            <w:tcBorders>
              <w:top w:val="single" w:sz="8" w:space="0" w:color="000000"/>
              <w:left w:val="nil"/>
              <w:bottom w:val="single" w:sz="8" w:space="0" w:color="000000"/>
              <w:right w:val="single" w:sz="8" w:space="0" w:color="000000"/>
            </w:tcBorders>
            <w:tcMar>
              <w:top w:w="0" w:type="dxa"/>
              <w:left w:w="120" w:type="dxa"/>
              <w:bottom w:w="0" w:type="dxa"/>
              <w:right w:w="120" w:type="dxa"/>
            </w:tcMar>
          </w:tcPr>
          <w:p w:rsidR="006B468D" w:rsidRPr="00A95CFF" w:rsidRDefault="006B468D" w:rsidP="005F65EF">
            <w:pPr>
              <w:spacing w:line="120" w:lineRule="exact"/>
              <w:rPr>
                <w:rFonts w:ascii="Arial" w:eastAsia="Calibri" w:hAnsi="Arial" w:cs="Arial"/>
                <w:bCs/>
                <w:sz w:val="20"/>
                <w:szCs w:val="20"/>
              </w:rPr>
            </w:pPr>
          </w:p>
          <w:p w:rsidR="006B468D" w:rsidRPr="00A95CFF" w:rsidRDefault="006B468D" w:rsidP="0032208C">
            <w:pPr>
              <w:spacing w:after="58"/>
              <w:jc w:val="center"/>
              <w:rPr>
                <w:rFonts w:ascii="Arial" w:eastAsia="Calibri" w:hAnsi="Arial" w:cs="Arial"/>
                <w:bCs/>
                <w:sz w:val="20"/>
                <w:szCs w:val="20"/>
              </w:rPr>
            </w:pPr>
            <w:r w:rsidRPr="00A95CFF">
              <w:rPr>
                <w:rFonts w:ascii="Arial" w:hAnsi="Arial" w:cs="Arial"/>
                <w:bCs/>
                <w:sz w:val="20"/>
                <w:szCs w:val="20"/>
              </w:rPr>
              <w:t>Number of Licensees</w:t>
            </w:r>
          </w:p>
        </w:tc>
        <w:tc>
          <w:tcPr>
            <w:tcW w:w="1260" w:type="dxa"/>
            <w:tcBorders>
              <w:top w:val="single" w:sz="8" w:space="0" w:color="000000"/>
              <w:left w:val="nil"/>
              <w:bottom w:val="single" w:sz="8" w:space="0" w:color="000000"/>
              <w:right w:val="single" w:sz="8" w:space="0" w:color="000000"/>
            </w:tcBorders>
            <w:tcMar>
              <w:top w:w="0" w:type="dxa"/>
              <w:left w:w="120" w:type="dxa"/>
              <w:bottom w:w="0" w:type="dxa"/>
              <w:right w:w="120" w:type="dxa"/>
            </w:tcMar>
          </w:tcPr>
          <w:p w:rsidR="006B468D" w:rsidRPr="00A95CFF" w:rsidRDefault="006B468D" w:rsidP="005F65EF">
            <w:pPr>
              <w:spacing w:line="120" w:lineRule="exact"/>
              <w:rPr>
                <w:rFonts w:ascii="Arial" w:eastAsia="Calibri" w:hAnsi="Arial" w:cs="Arial"/>
                <w:bCs/>
                <w:sz w:val="20"/>
                <w:szCs w:val="20"/>
              </w:rPr>
            </w:pPr>
          </w:p>
          <w:p w:rsidR="006B468D" w:rsidRPr="00A95CFF" w:rsidRDefault="006B468D" w:rsidP="0032208C">
            <w:pPr>
              <w:spacing w:after="58"/>
              <w:jc w:val="center"/>
              <w:rPr>
                <w:rFonts w:ascii="Arial" w:eastAsia="Calibri" w:hAnsi="Arial" w:cs="Arial"/>
                <w:bCs/>
                <w:sz w:val="20"/>
                <w:szCs w:val="20"/>
              </w:rPr>
            </w:pPr>
            <w:r w:rsidRPr="00A95CFF">
              <w:rPr>
                <w:rFonts w:ascii="Arial" w:hAnsi="Arial" w:cs="Arial"/>
                <w:bCs/>
                <w:sz w:val="20"/>
                <w:szCs w:val="20"/>
              </w:rPr>
              <w:t>Reports per Licensee</w:t>
            </w:r>
          </w:p>
        </w:tc>
        <w:tc>
          <w:tcPr>
            <w:tcW w:w="1170" w:type="dxa"/>
            <w:tcBorders>
              <w:top w:val="single" w:sz="8" w:space="0" w:color="000000"/>
              <w:left w:val="nil"/>
              <w:bottom w:val="single" w:sz="8" w:space="0" w:color="000000"/>
              <w:right w:val="single" w:sz="8" w:space="0" w:color="000000"/>
            </w:tcBorders>
            <w:tcMar>
              <w:top w:w="0" w:type="dxa"/>
              <w:left w:w="120" w:type="dxa"/>
              <w:bottom w:w="0" w:type="dxa"/>
              <w:right w:w="120" w:type="dxa"/>
            </w:tcMar>
          </w:tcPr>
          <w:p w:rsidR="006B468D" w:rsidRPr="00A95CFF" w:rsidRDefault="006B468D" w:rsidP="005F65EF">
            <w:pPr>
              <w:spacing w:line="120" w:lineRule="exact"/>
              <w:rPr>
                <w:rFonts w:ascii="Arial" w:eastAsia="Calibri" w:hAnsi="Arial" w:cs="Arial"/>
                <w:bCs/>
                <w:sz w:val="20"/>
                <w:szCs w:val="20"/>
              </w:rPr>
            </w:pPr>
          </w:p>
          <w:p w:rsidR="006B468D" w:rsidRPr="00A95CFF" w:rsidRDefault="006B468D" w:rsidP="0032208C">
            <w:pPr>
              <w:spacing w:after="58"/>
              <w:jc w:val="center"/>
              <w:rPr>
                <w:rFonts w:ascii="Arial" w:eastAsia="Calibri" w:hAnsi="Arial" w:cs="Arial"/>
                <w:bCs/>
                <w:sz w:val="20"/>
                <w:szCs w:val="20"/>
              </w:rPr>
            </w:pPr>
            <w:r w:rsidRPr="00A95CFF">
              <w:rPr>
                <w:rFonts w:ascii="Arial" w:hAnsi="Arial" w:cs="Arial"/>
                <w:bCs/>
                <w:sz w:val="20"/>
                <w:szCs w:val="20"/>
              </w:rPr>
              <w:t>Burden per Report</w:t>
            </w:r>
          </w:p>
        </w:tc>
        <w:tc>
          <w:tcPr>
            <w:tcW w:w="1020" w:type="dxa"/>
            <w:tcBorders>
              <w:top w:val="single" w:sz="8" w:space="0" w:color="000000"/>
              <w:left w:val="nil"/>
              <w:bottom w:val="single" w:sz="8" w:space="0" w:color="000000"/>
              <w:right w:val="single" w:sz="8" w:space="0" w:color="000000"/>
            </w:tcBorders>
            <w:tcMar>
              <w:top w:w="0" w:type="dxa"/>
              <w:left w:w="120" w:type="dxa"/>
              <w:bottom w:w="0" w:type="dxa"/>
              <w:right w:w="120" w:type="dxa"/>
            </w:tcMar>
          </w:tcPr>
          <w:p w:rsidR="006B468D" w:rsidRPr="00A95CFF" w:rsidRDefault="006B468D" w:rsidP="0032208C">
            <w:pPr>
              <w:spacing w:line="120" w:lineRule="exact"/>
              <w:jc w:val="center"/>
              <w:rPr>
                <w:rFonts w:ascii="Arial" w:eastAsia="Calibri" w:hAnsi="Arial" w:cs="Arial"/>
                <w:bCs/>
                <w:sz w:val="20"/>
                <w:szCs w:val="20"/>
              </w:rPr>
            </w:pPr>
          </w:p>
          <w:p w:rsidR="006B468D" w:rsidRPr="00A95CFF" w:rsidRDefault="006B468D" w:rsidP="0032208C">
            <w:pPr>
              <w:spacing w:after="58"/>
              <w:jc w:val="center"/>
              <w:rPr>
                <w:rFonts w:ascii="Arial" w:eastAsia="Calibri" w:hAnsi="Arial" w:cs="Arial"/>
                <w:bCs/>
                <w:sz w:val="20"/>
                <w:szCs w:val="20"/>
              </w:rPr>
            </w:pPr>
            <w:r w:rsidRPr="00A95CFF">
              <w:rPr>
                <w:rFonts w:ascii="Arial" w:hAnsi="Arial" w:cs="Arial"/>
                <w:bCs/>
                <w:sz w:val="20"/>
                <w:szCs w:val="20"/>
              </w:rPr>
              <w:t>Total Annual Burden</w:t>
            </w:r>
          </w:p>
        </w:tc>
        <w:tc>
          <w:tcPr>
            <w:tcW w:w="1200" w:type="dxa"/>
            <w:tcBorders>
              <w:top w:val="single" w:sz="8" w:space="0" w:color="000000"/>
              <w:left w:val="nil"/>
              <w:bottom w:val="single" w:sz="8" w:space="0" w:color="000000"/>
              <w:right w:val="single" w:sz="8" w:space="0" w:color="000000"/>
            </w:tcBorders>
            <w:tcMar>
              <w:top w:w="0" w:type="dxa"/>
              <w:left w:w="120" w:type="dxa"/>
              <w:bottom w:w="0" w:type="dxa"/>
              <w:right w:w="120" w:type="dxa"/>
            </w:tcMar>
          </w:tcPr>
          <w:p w:rsidR="006B468D" w:rsidRPr="00A95CFF" w:rsidRDefault="006B468D" w:rsidP="005F65EF">
            <w:pPr>
              <w:spacing w:line="120" w:lineRule="exact"/>
              <w:rPr>
                <w:rFonts w:ascii="Arial" w:eastAsia="Calibri" w:hAnsi="Arial" w:cs="Arial"/>
                <w:bCs/>
                <w:sz w:val="20"/>
                <w:szCs w:val="20"/>
              </w:rPr>
            </w:pPr>
          </w:p>
          <w:p w:rsidR="006B468D" w:rsidRDefault="006B468D" w:rsidP="0032208C">
            <w:pPr>
              <w:spacing w:after="58"/>
              <w:jc w:val="center"/>
              <w:rPr>
                <w:rFonts w:ascii="Arial" w:hAnsi="Arial" w:cs="Arial"/>
                <w:bCs/>
                <w:sz w:val="20"/>
                <w:szCs w:val="20"/>
              </w:rPr>
            </w:pPr>
            <w:r w:rsidRPr="00A95CFF">
              <w:rPr>
                <w:rFonts w:ascii="Arial" w:hAnsi="Arial" w:cs="Arial"/>
                <w:bCs/>
                <w:sz w:val="20"/>
                <w:szCs w:val="20"/>
              </w:rPr>
              <w:t>Cost @ $</w:t>
            </w:r>
            <w:r w:rsidR="0032208C">
              <w:rPr>
                <w:rFonts w:ascii="Arial" w:hAnsi="Arial" w:cs="Arial"/>
                <w:bCs/>
                <w:sz w:val="20"/>
                <w:szCs w:val="20"/>
              </w:rPr>
              <w:t>274</w:t>
            </w:r>
            <w:r w:rsidRPr="00A95CFF">
              <w:rPr>
                <w:rFonts w:ascii="Arial" w:hAnsi="Arial" w:cs="Arial"/>
                <w:bCs/>
                <w:sz w:val="20"/>
                <w:szCs w:val="20"/>
              </w:rPr>
              <w:t>hr</w:t>
            </w:r>
          </w:p>
          <w:p w:rsidR="00FA018A" w:rsidRPr="00FA018A" w:rsidRDefault="00FA018A" w:rsidP="005F65EF">
            <w:pPr>
              <w:spacing w:after="58"/>
              <w:rPr>
                <w:rFonts w:ascii="Arial" w:eastAsia="Calibri" w:hAnsi="Arial" w:cs="Arial"/>
                <w:bCs/>
                <w:color w:val="C00000"/>
                <w:sz w:val="20"/>
                <w:szCs w:val="20"/>
              </w:rPr>
            </w:pPr>
          </w:p>
        </w:tc>
      </w:tr>
      <w:tr w:rsidR="00655813" w:rsidTr="005F65EF">
        <w:tc>
          <w:tcPr>
            <w:tcW w:w="2250" w:type="dxa"/>
            <w:tcBorders>
              <w:top w:val="nil"/>
              <w:left w:val="single" w:sz="8" w:space="0" w:color="000000"/>
              <w:bottom w:val="single" w:sz="8" w:space="0" w:color="000000"/>
              <w:right w:val="single" w:sz="8" w:space="0" w:color="000000"/>
            </w:tcBorders>
            <w:tcMar>
              <w:top w:w="0" w:type="dxa"/>
              <w:left w:w="120" w:type="dxa"/>
              <w:bottom w:w="0" w:type="dxa"/>
              <w:right w:w="120" w:type="dxa"/>
            </w:tcMar>
          </w:tcPr>
          <w:p w:rsidR="006B468D" w:rsidRPr="00A95CFF" w:rsidRDefault="006B468D" w:rsidP="005F65EF">
            <w:pPr>
              <w:spacing w:before="120" w:after="120"/>
              <w:rPr>
                <w:rFonts w:ascii="Arial" w:eastAsia="Calibri" w:hAnsi="Arial" w:cs="Arial"/>
                <w:bCs/>
                <w:sz w:val="20"/>
                <w:szCs w:val="20"/>
              </w:rPr>
            </w:pPr>
            <w:r w:rsidRPr="00A95CFF">
              <w:rPr>
                <w:rFonts w:ascii="Arial" w:hAnsi="Arial" w:cs="Arial"/>
                <w:bCs/>
                <w:sz w:val="20"/>
                <w:szCs w:val="20"/>
              </w:rPr>
              <w:t>RT</w:t>
            </w:r>
            <w:r w:rsidRPr="00A95CFF">
              <w:rPr>
                <w:rFonts w:ascii="Arial" w:hAnsi="Arial" w:cs="Arial"/>
                <w:bCs/>
                <w:sz w:val="20"/>
                <w:szCs w:val="20"/>
                <w:vertAlign w:val="subscript"/>
              </w:rPr>
              <w:t>PTS</w:t>
            </w:r>
            <w:r w:rsidRPr="00A95CFF">
              <w:rPr>
                <w:rFonts w:ascii="Arial" w:hAnsi="Arial" w:cs="Arial"/>
                <w:bCs/>
                <w:sz w:val="20"/>
                <w:szCs w:val="20"/>
              </w:rPr>
              <w:t xml:space="preserve"> assessment</w:t>
            </w:r>
          </w:p>
        </w:tc>
        <w:tc>
          <w:tcPr>
            <w:tcW w:w="1350" w:type="dxa"/>
            <w:tcBorders>
              <w:top w:val="nil"/>
              <w:left w:val="nil"/>
              <w:bottom w:val="single" w:sz="8" w:space="0" w:color="000000"/>
              <w:right w:val="single" w:sz="8" w:space="0" w:color="000000"/>
            </w:tcBorders>
            <w:tcMar>
              <w:top w:w="0" w:type="dxa"/>
              <w:left w:w="120" w:type="dxa"/>
              <w:bottom w:w="0" w:type="dxa"/>
              <w:right w:w="120" w:type="dxa"/>
            </w:tcMar>
          </w:tcPr>
          <w:p w:rsidR="006B468D" w:rsidRPr="00A95CFF" w:rsidRDefault="006B468D" w:rsidP="005F65EF">
            <w:pPr>
              <w:jc w:val="center"/>
              <w:rPr>
                <w:rFonts w:ascii="Arial" w:eastAsia="Calibri" w:hAnsi="Arial" w:cs="Arial"/>
                <w:bCs/>
                <w:sz w:val="20"/>
                <w:szCs w:val="20"/>
              </w:rPr>
            </w:pPr>
            <w:r w:rsidRPr="00A95CFF">
              <w:rPr>
                <w:rFonts w:ascii="Arial" w:hAnsi="Arial" w:cs="Arial"/>
                <w:bCs/>
                <w:sz w:val="20"/>
                <w:szCs w:val="20"/>
              </w:rPr>
              <w:t>10</w:t>
            </w:r>
          </w:p>
        </w:tc>
        <w:tc>
          <w:tcPr>
            <w:tcW w:w="1260" w:type="dxa"/>
            <w:tcBorders>
              <w:top w:val="nil"/>
              <w:left w:val="nil"/>
              <w:bottom w:val="single" w:sz="8" w:space="0" w:color="000000"/>
              <w:right w:val="single" w:sz="8" w:space="0" w:color="000000"/>
            </w:tcBorders>
            <w:tcMar>
              <w:top w:w="0" w:type="dxa"/>
              <w:left w:w="120" w:type="dxa"/>
              <w:bottom w:w="0" w:type="dxa"/>
              <w:right w:w="120" w:type="dxa"/>
            </w:tcMar>
          </w:tcPr>
          <w:p w:rsidR="006B468D" w:rsidRPr="00A95CFF" w:rsidRDefault="006B468D" w:rsidP="005F65EF">
            <w:pPr>
              <w:jc w:val="center"/>
              <w:rPr>
                <w:rFonts w:ascii="Arial" w:eastAsia="Calibri" w:hAnsi="Arial" w:cs="Arial"/>
                <w:bCs/>
                <w:sz w:val="20"/>
                <w:szCs w:val="20"/>
              </w:rPr>
            </w:pPr>
            <w:r w:rsidRPr="00A95CFF">
              <w:rPr>
                <w:rFonts w:ascii="Arial" w:hAnsi="Arial" w:cs="Arial"/>
                <w:bCs/>
                <w:sz w:val="20"/>
                <w:szCs w:val="20"/>
              </w:rPr>
              <w:t>1</w:t>
            </w:r>
          </w:p>
        </w:tc>
        <w:tc>
          <w:tcPr>
            <w:tcW w:w="1170" w:type="dxa"/>
            <w:tcBorders>
              <w:top w:val="nil"/>
              <w:left w:val="nil"/>
              <w:bottom w:val="single" w:sz="8" w:space="0" w:color="000000"/>
              <w:right w:val="single" w:sz="8" w:space="0" w:color="000000"/>
            </w:tcBorders>
            <w:tcMar>
              <w:top w:w="0" w:type="dxa"/>
              <w:left w:w="120" w:type="dxa"/>
              <w:bottom w:w="0" w:type="dxa"/>
              <w:right w:w="120" w:type="dxa"/>
            </w:tcMar>
          </w:tcPr>
          <w:p w:rsidR="006B468D" w:rsidRPr="00A95CFF" w:rsidRDefault="006B468D" w:rsidP="005F65EF">
            <w:pPr>
              <w:jc w:val="center"/>
              <w:rPr>
                <w:rFonts w:ascii="Arial" w:eastAsia="Calibri" w:hAnsi="Arial" w:cs="Arial"/>
                <w:bCs/>
                <w:sz w:val="20"/>
                <w:szCs w:val="20"/>
              </w:rPr>
            </w:pPr>
            <w:r w:rsidRPr="00A95CFF">
              <w:rPr>
                <w:rFonts w:ascii="Arial" w:hAnsi="Arial" w:cs="Arial"/>
                <w:bCs/>
                <w:sz w:val="20"/>
                <w:szCs w:val="20"/>
              </w:rPr>
              <w:t>120</w:t>
            </w:r>
          </w:p>
        </w:tc>
        <w:tc>
          <w:tcPr>
            <w:tcW w:w="1020" w:type="dxa"/>
            <w:tcBorders>
              <w:top w:val="nil"/>
              <w:left w:val="nil"/>
              <w:bottom w:val="single" w:sz="8" w:space="0" w:color="000000"/>
              <w:right w:val="single" w:sz="8" w:space="0" w:color="000000"/>
            </w:tcBorders>
            <w:tcMar>
              <w:top w:w="0" w:type="dxa"/>
              <w:left w:w="120" w:type="dxa"/>
              <w:bottom w:w="0" w:type="dxa"/>
              <w:right w:w="120" w:type="dxa"/>
            </w:tcMar>
          </w:tcPr>
          <w:p w:rsidR="006B468D" w:rsidRPr="00A95CFF" w:rsidRDefault="006B468D" w:rsidP="005F65EF">
            <w:pPr>
              <w:jc w:val="center"/>
              <w:rPr>
                <w:rFonts w:ascii="Arial" w:eastAsia="Calibri" w:hAnsi="Arial" w:cs="Arial"/>
                <w:bCs/>
                <w:sz w:val="20"/>
                <w:szCs w:val="20"/>
              </w:rPr>
            </w:pPr>
            <w:r w:rsidRPr="00A95CFF">
              <w:rPr>
                <w:rFonts w:ascii="Arial" w:hAnsi="Arial" w:cs="Arial"/>
                <w:bCs/>
                <w:sz w:val="20"/>
                <w:szCs w:val="20"/>
              </w:rPr>
              <w:t>1,200</w:t>
            </w:r>
          </w:p>
        </w:tc>
        <w:tc>
          <w:tcPr>
            <w:tcW w:w="1200" w:type="dxa"/>
            <w:tcBorders>
              <w:top w:val="nil"/>
              <w:left w:val="nil"/>
              <w:bottom w:val="single" w:sz="8" w:space="0" w:color="000000"/>
              <w:right w:val="single" w:sz="8" w:space="0" w:color="000000"/>
            </w:tcBorders>
            <w:tcMar>
              <w:top w:w="0" w:type="dxa"/>
              <w:left w:w="120" w:type="dxa"/>
              <w:bottom w:w="0" w:type="dxa"/>
              <w:right w:w="120" w:type="dxa"/>
            </w:tcMar>
          </w:tcPr>
          <w:p w:rsidR="00FA018A" w:rsidRPr="00FA018A" w:rsidRDefault="006B468D" w:rsidP="0032208C">
            <w:pPr>
              <w:jc w:val="center"/>
              <w:rPr>
                <w:rFonts w:ascii="Arial" w:eastAsia="Calibri" w:hAnsi="Arial" w:cs="Arial"/>
                <w:bCs/>
                <w:color w:val="C00000"/>
                <w:sz w:val="20"/>
                <w:szCs w:val="20"/>
              </w:rPr>
            </w:pPr>
            <w:r w:rsidRPr="00A95CFF">
              <w:rPr>
                <w:rFonts w:ascii="Arial" w:hAnsi="Arial" w:cs="Arial"/>
                <w:bCs/>
                <w:sz w:val="20"/>
                <w:szCs w:val="20"/>
              </w:rPr>
              <w:t>$</w:t>
            </w:r>
            <w:r w:rsidR="00FA018A" w:rsidRPr="0032208C">
              <w:rPr>
                <w:rFonts w:ascii="Arial" w:hAnsi="Arial" w:cs="Arial"/>
                <w:bCs/>
                <w:sz w:val="20"/>
                <w:szCs w:val="20"/>
              </w:rPr>
              <w:t>328,800</w:t>
            </w:r>
          </w:p>
        </w:tc>
      </w:tr>
      <w:tr w:rsidR="00655813" w:rsidTr="005F65EF">
        <w:tc>
          <w:tcPr>
            <w:tcW w:w="2250" w:type="dxa"/>
            <w:tcBorders>
              <w:top w:val="nil"/>
              <w:left w:val="single" w:sz="8" w:space="0" w:color="000000"/>
              <w:bottom w:val="single" w:sz="8" w:space="0" w:color="000000"/>
              <w:right w:val="single" w:sz="8" w:space="0" w:color="000000"/>
            </w:tcBorders>
            <w:tcMar>
              <w:top w:w="0" w:type="dxa"/>
              <w:left w:w="120" w:type="dxa"/>
              <w:bottom w:w="0" w:type="dxa"/>
              <w:right w:w="120" w:type="dxa"/>
            </w:tcMar>
          </w:tcPr>
          <w:p w:rsidR="006B468D" w:rsidRPr="00A95CFF" w:rsidRDefault="006B468D" w:rsidP="005F65EF">
            <w:pPr>
              <w:spacing w:before="120" w:after="120"/>
              <w:rPr>
                <w:rFonts w:ascii="Arial" w:hAnsi="Arial" w:cs="Arial"/>
                <w:bCs/>
                <w:sz w:val="20"/>
                <w:szCs w:val="20"/>
              </w:rPr>
            </w:pPr>
            <w:r w:rsidRPr="00A95CFF">
              <w:rPr>
                <w:rFonts w:ascii="Arial" w:hAnsi="Arial" w:cs="Arial"/>
                <w:bCs/>
                <w:sz w:val="20"/>
                <w:szCs w:val="20"/>
              </w:rPr>
              <w:t>RT</w:t>
            </w:r>
            <w:r w:rsidRPr="00A95CFF">
              <w:rPr>
                <w:rFonts w:ascii="Arial" w:hAnsi="Arial" w:cs="Arial"/>
                <w:bCs/>
                <w:sz w:val="20"/>
                <w:szCs w:val="20"/>
                <w:vertAlign w:val="subscript"/>
              </w:rPr>
              <w:t>PTS</w:t>
            </w:r>
            <w:r w:rsidRPr="00A95CFF">
              <w:rPr>
                <w:rFonts w:ascii="Arial" w:hAnsi="Arial" w:cs="Arial"/>
                <w:bCs/>
                <w:sz w:val="20"/>
                <w:szCs w:val="20"/>
              </w:rPr>
              <w:t xml:space="preserve"> assessment</w:t>
            </w:r>
          </w:p>
        </w:tc>
        <w:tc>
          <w:tcPr>
            <w:tcW w:w="1350" w:type="dxa"/>
            <w:tcBorders>
              <w:top w:val="nil"/>
              <w:left w:val="nil"/>
              <w:bottom w:val="single" w:sz="8" w:space="0" w:color="000000"/>
              <w:right w:val="single" w:sz="8" w:space="0" w:color="000000"/>
            </w:tcBorders>
            <w:tcMar>
              <w:top w:w="0" w:type="dxa"/>
              <w:left w:w="120" w:type="dxa"/>
              <w:bottom w:w="0" w:type="dxa"/>
              <w:right w:w="120" w:type="dxa"/>
            </w:tcMar>
          </w:tcPr>
          <w:p w:rsidR="006B468D" w:rsidRPr="00A95CFF" w:rsidRDefault="006B468D" w:rsidP="005F65EF">
            <w:pPr>
              <w:jc w:val="center"/>
              <w:rPr>
                <w:rFonts w:ascii="Arial" w:hAnsi="Arial" w:cs="Arial"/>
                <w:bCs/>
                <w:sz w:val="20"/>
                <w:szCs w:val="20"/>
              </w:rPr>
            </w:pPr>
            <w:r>
              <w:rPr>
                <w:rFonts w:ascii="Arial" w:hAnsi="Arial" w:cs="Arial"/>
                <w:bCs/>
                <w:sz w:val="20"/>
                <w:szCs w:val="20"/>
              </w:rPr>
              <w:t>1</w:t>
            </w:r>
          </w:p>
        </w:tc>
        <w:tc>
          <w:tcPr>
            <w:tcW w:w="1260" w:type="dxa"/>
            <w:tcBorders>
              <w:top w:val="nil"/>
              <w:left w:val="nil"/>
              <w:bottom w:val="single" w:sz="8" w:space="0" w:color="000000"/>
              <w:right w:val="single" w:sz="8" w:space="0" w:color="000000"/>
            </w:tcBorders>
            <w:tcMar>
              <w:top w:w="0" w:type="dxa"/>
              <w:left w:w="120" w:type="dxa"/>
              <w:bottom w:w="0" w:type="dxa"/>
              <w:right w:w="120" w:type="dxa"/>
            </w:tcMar>
          </w:tcPr>
          <w:p w:rsidR="006B468D" w:rsidRPr="00A95CFF" w:rsidRDefault="006B468D" w:rsidP="005F65EF">
            <w:pPr>
              <w:jc w:val="center"/>
              <w:rPr>
                <w:rFonts w:ascii="Arial" w:hAnsi="Arial" w:cs="Arial"/>
                <w:bCs/>
                <w:sz w:val="20"/>
                <w:szCs w:val="20"/>
              </w:rPr>
            </w:pPr>
            <w:r>
              <w:rPr>
                <w:rFonts w:ascii="Arial" w:hAnsi="Arial" w:cs="Arial"/>
                <w:bCs/>
                <w:sz w:val="20"/>
                <w:szCs w:val="20"/>
              </w:rPr>
              <w:t>0.3333</w:t>
            </w:r>
          </w:p>
        </w:tc>
        <w:tc>
          <w:tcPr>
            <w:tcW w:w="1170" w:type="dxa"/>
            <w:tcBorders>
              <w:top w:val="nil"/>
              <w:left w:val="nil"/>
              <w:bottom w:val="single" w:sz="8" w:space="0" w:color="000000"/>
              <w:right w:val="single" w:sz="8" w:space="0" w:color="000000"/>
            </w:tcBorders>
            <w:tcMar>
              <w:top w:w="0" w:type="dxa"/>
              <w:left w:w="120" w:type="dxa"/>
              <w:bottom w:w="0" w:type="dxa"/>
              <w:right w:w="120" w:type="dxa"/>
            </w:tcMar>
          </w:tcPr>
          <w:p w:rsidR="006B468D" w:rsidRPr="00A95CFF" w:rsidRDefault="006B468D" w:rsidP="005F65EF">
            <w:pPr>
              <w:jc w:val="center"/>
              <w:rPr>
                <w:rFonts w:ascii="Arial" w:hAnsi="Arial" w:cs="Arial"/>
                <w:bCs/>
                <w:sz w:val="20"/>
                <w:szCs w:val="20"/>
              </w:rPr>
            </w:pPr>
            <w:r>
              <w:rPr>
                <w:rFonts w:ascii="Arial" w:hAnsi="Arial" w:cs="Arial"/>
                <w:bCs/>
                <w:sz w:val="20"/>
                <w:szCs w:val="20"/>
              </w:rPr>
              <w:t>1089</w:t>
            </w:r>
          </w:p>
        </w:tc>
        <w:tc>
          <w:tcPr>
            <w:tcW w:w="1020" w:type="dxa"/>
            <w:tcBorders>
              <w:top w:val="nil"/>
              <w:left w:val="nil"/>
              <w:bottom w:val="single" w:sz="8" w:space="0" w:color="000000"/>
              <w:right w:val="single" w:sz="8" w:space="0" w:color="000000"/>
            </w:tcBorders>
            <w:tcMar>
              <w:top w:w="0" w:type="dxa"/>
              <w:left w:w="120" w:type="dxa"/>
              <w:bottom w:w="0" w:type="dxa"/>
              <w:right w:w="120" w:type="dxa"/>
            </w:tcMar>
          </w:tcPr>
          <w:p w:rsidR="006B468D" w:rsidRPr="00A95CFF" w:rsidRDefault="006B468D" w:rsidP="005F65EF">
            <w:pPr>
              <w:jc w:val="center"/>
              <w:rPr>
                <w:rFonts w:ascii="Arial" w:hAnsi="Arial" w:cs="Arial"/>
                <w:bCs/>
                <w:sz w:val="20"/>
                <w:szCs w:val="20"/>
              </w:rPr>
            </w:pPr>
            <w:r>
              <w:rPr>
                <w:rFonts w:ascii="Arial" w:hAnsi="Arial" w:cs="Arial"/>
                <w:bCs/>
                <w:sz w:val="20"/>
                <w:szCs w:val="20"/>
              </w:rPr>
              <w:t>363</w:t>
            </w:r>
          </w:p>
        </w:tc>
        <w:tc>
          <w:tcPr>
            <w:tcW w:w="1200" w:type="dxa"/>
            <w:tcBorders>
              <w:top w:val="nil"/>
              <w:left w:val="nil"/>
              <w:bottom w:val="single" w:sz="8" w:space="0" w:color="000000"/>
              <w:right w:val="single" w:sz="8" w:space="0" w:color="000000"/>
            </w:tcBorders>
            <w:tcMar>
              <w:top w:w="0" w:type="dxa"/>
              <w:left w:w="120" w:type="dxa"/>
              <w:bottom w:w="0" w:type="dxa"/>
              <w:right w:w="120" w:type="dxa"/>
            </w:tcMar>
          </w:tcPr>
          <w:p w:rsidR="00FA018A" w:rsidRPr="00655813" w:rsidRDefault="006B468D" w:rsidP="00655813">
            <w:pPr>
              <w:jc w:val="center"/>
              <w:rPr>
                <w:rFonts w:ascii="Arial" w:hAnsi="Arial" w:cs="Arial"/>
                <w:bCs/>
                <w:sz w:val="20"/>
                <w:szCs w:val="20"/>
              </w:rPr>
            </w:pPr>
            <w:r w:rsidRPr="00655813">
              <w:rPr>
                <w:rFonts w:ascii="Arial" w:hAnsi="Arial" w:cs="Arial"/>
                <w:bCs/>
                <w:sz w:val="20"/>
                <w:szCs w:val="20"/>
              </w:rPr>
              <w:t>$</w:t>
            </w:r>
            <w:r w:rsidR="00FA018A" w:rsidRPr="00655813">
              <w:rPr>
                <w:rFonts w:ascii="Arial" w:hAnsi="Arial" w:cs="Arial"/>
                <w:bCs/>
                <w:sz w:val="20"/>
                <w:szCs w:val="20"/>
              </w:rPr>
              <w:t>99,462</w:t>
            </w:r>
          </w:p>
        </w:tc>
      </w:tr>
      <w:tr w:rsidR="00655813" w:rsidTr="005F65EF">
        <w:tc>
          <w:tcPr>
            <w:tcW w:w="2250" w:type="dxa"/>
            <w:tcBorders>
              <w:top w:val="nil"/>
              <w:left w:val="single" w:sz="8" w:space="0" w:color="000000"/>
              <w:bottom w:val="single" w:sz="8" w:space="0" w:color="000000"/>
              <w:right w:val="single" w:sz="8" w:space="0" w:color="000000"/>
            </w:tcBorders>
            <w:tcMar>
              <w:top w:w="0" w:type="dxa"/>
              <w:left w:w="120" w:type="dxa"/>
              <w:bottom w:w="0" w:type="dxa"/>
              <w:right w:w="120" w:type="dxa"/>
            </w:tcMar>
          </w:tcPr>
          <w:p w:rsidR="006B468D" w:rsidRPr="00A95CFF" w:rsidRDefault="006B468D" w:rsidP="005F65EF">
            <w:pPr>
              <w:spacing w:before="120" w:after="120"/>
              <w:rPr>
                <w:rFonts w:ascii="Arial" w:eastAsia="Calibri" w:hAnsi="Arial" w:cs="Arial"/>
                <w:bCs/>
                <w:sz w:val="20"/>
                <w:szCs w:val="20"/>
              </w:rPr>
            </w:pPr>
            <w:r w:rsidRPr="00A95CFF">
              <w:rPr>
                <w:rFonts w:ascii="Arial" w:hAnsi="Arial" w:cs="Arial"/>
                <w:bCs/>
                <w:sz w:val="20"/>
                <w:szCs w:val="20"/>
              </w:rPr>
              <w:t>Flux reduction analyses</w:t>
            </w:r>
          </w:p>
        </w:tc>
        <w:tc>
          <w:tcPr>
            <w:tcW w:w="1350" w:type="dxa"/>
            <w:tcBorders>
              <w:top w:val="nil"/>
              <w:left w:val="nil"/>
              <w:bottom w:val="single" w:sz="8" w:space="0" w:color="000000"/>
              <w:right w:val="single" w:sz="8" w:space="0" w:color="000000"/>
            </w:tcBorders>
            <w:tcMar>
              <w:top w:w="0" w:type="dxa"/>
              <w:left w:w="120" w:type="dxa"/>
              <w:bottom w:w="0" w:type="dxa"/>
              <w:right w:w="120" w:type="dxa"/>
            </w:tcMar>
          </w:tcPr>
          <w:p w:rsidR="006B468D" w:rsidRPr="00A95CFF" w:rsidRDefault="006B468D" w:rsidP="005F65EF">
            <w:pPr>
              <w:jc w:val="center"/>
              <w:rPr>
                <w:rFonts w:ascii="Arial" w:eastAsia="Calibri" w:hAnsi="Arial" w:cs="Arial"/>
                <w:bCs/>
                <w:sz w:val="20"/>
                <w:szCs w:val="20"/>
              </w:rPr>
            </w:pPr>
            <w:r w:rsidRPr="00A95CFF">
              <w:rPr>
                <w:rFonts w:ascii="Arial" w:hAnsi="Arial" w:cs="Arial"/>
                <w:bCs/>
                <w:sz w:val="20"/>
                <w:szCs w:val="20"/>
              </w:rPr>
              <w:t>2</w:t>
            </w:r>
          </w:p>
        </w:tc>
        <w:tc>
          <w:tcPr>
            <w:tcW w:w="1260" w:type="dxa"/>
            <w:tcBorders>
              <w:top w:val="nil"/>
              <w:left w:val="nil"/>
              <w:bottom w:val="single" w:sz="8" w:space="0" w:color="000000"/>
              <w:right w:val="single" w:sz="8" w:space="0" w:color="000000"/>
            </w:tcBorders>
            <w:tcMar>
              <w:top w:w="0" w:type="dxa"/>
              <w:left w:w="120" w:type="dxa"/>
              <w:bottom w:w="0" w:type="dxa"/>
              <w:right w:w="120" w:type="dxa"/>
            </w:tcMar>
          </w:tcPr>
          <w:p w:rsidR="006B468D" w:rsidRPr="00A95CFF" w:rsidRDefault="006B468D" w:rsidP="005F65EF">
            <w:pPr>
              <w:jc w:val="center"/>
              <w:rPr>
                <w:rFonts w:ascii="Arial" w:eastAsia="Calibri" w:hAnsi="Arial" w:cs="Arial"/>
                <w:bCs/>
                <w:sz w:val="20"/>
                <w:szCs w:val="20"/>
              </w:rPr>
            </w:pPr>
            <w:r w:rsidRPr="00A95CFF">
              <w:rPr>
                <w:rFonts w:ascii="Arial" w:hAnsi="Arial" w:cs="Arial"/>
                <w:bCs/>
                <w:sz w:val="20"/>
                <w:szCs w:val="20"/>
              </w:rPr>
              <w:t>1</w:t>
            </w:r>
          </w:p>
        </w:tc>
        <w:tc>
          <w:tcPr>
            <w:tcW w:w="1170" w:type="dxa"/>
            <w:tcBorders>
              <w:top w:val="nil"/>
              <w:left w:val="nil"/>
              <w:bottom w:val="single" w:sz="8" w:space="0" w:color="000000"/>
              <w:right w:val="single" w:sz="8" w:space="0" w:color="000000"/>
            </w:tcBorders>
            <w:tcMar>
              <w:top w:w="0" w:type="dxa"/>
              <w:left w:w="120" w:type="dxa"/>
              <w:bottom w:w="0" w:type="dxa"/>
              <w:right w:w="120" w:type="dxa"/>
            </w:tcMar>
          </w:tcPr>
          <w:p w:rsidR="006B468D" w:rsidRPr="00A95CFF" w:rsidRDefault="006B468D" w:rsidP="005F65EF">
            <w:pPr>
              <w:jc w:val="center"/>
              <w:rPr>
                <w:rFonts w:ascii="Arial" w:eastAsia="Calibri" w:hAnsi="Arial" w:cs="Arial"/>
                <w:bCs/>
                <w:sz w:val="20"/>
                <w:szCs w:val="20"/>
              </w:rPr>
            </w:pPr>
            <w:r w:rsidRPr="00A95CFF">
              <w:rPr>
                <w:rFonts w:ascii="Arial" w:hAnsi="Arial" w:cs="Arial"/>
                <w:bCs/>
                <w:sz w:val="20"/>
                <w:szCs w:val="20"/>
              </w:rPr>
              <w:t>600</w:t>
            </w:r>
          </w:p>
        </w:tc>
        <w:tc>
          <w:tcPr>
            <w:tcW w:w="1020" w:type="dxa"/>
            <w:tcBorders>
              <w:top w:val="nil"/>
              <w:left w:val="nil"/>
              <w:bottom w:val="single" w:sz="8" w:space="0" w:color="000000"/>
              <w:right w:val="single" w:sz="8" w:space="0" w:color="000000"/>
            </w:tcBorders>
            <w:tcMar>
              <w:top w:w="0" w:type="dxa"/>
              <w:left w:w="120" w:type="dxa"/>
              <w:bottom w:w="0" w:type="dxa"/>
              <w:right w:w="120" w:type="dxa"/>
            </w:tcMar>
          </w:tcPr>
          <w:p w:rsidR="006B468D" w:rsidRPr="00A95CFF" w:rsidRDefault="006B468D" w:rsidP="005F65EF">
            <w:pPr>
              <w:jc w:val="center"/>
              <w:rPr>
                <w:rFonts w:ascii="Arial" w:eastAsia="Calibri" w:hAnsi="Arial" w:cs="Arial"/>
                <w:bCs/>
                <w:sz w:val="20"/>
                <w:szCs w:val="20"/>
              </w:rPr>
            </w:pPr>
            <w:r w:rsidRPr="00A95CFF">
              <w:rPr>
                <w:rFonts w:ascii="Arial" w:hAnsi="Arial" w:cs="Arial"/>
                <w:bCs/>
                <w:sz w:val="20"/>
                <w:szCs w:val="20"/>
              </w:rPr>
              <w:t>1,200</w:t>
            </w:r>
          </w:p>
        </w:tc>
        <w:tc>
          <w:tcPr>
            <w:tcW w:w="1200" w:type="dxa"/>
            <w:tcBorders>
              <w:top w:val="nil"/>
              <w:left w:val="nil"/>
              <w:bottom w:val="single" w:sz="8" w:space="0" w:color="000000"/>
              <w:right w:val="single" w:sz="8" w:space="0" w:color="000000"/>
            </w:tcBorders>
            <w:tcMar>
              <w:top w:w="0" w:type="dxa"/>
              <w:left w:w="120" w:type="dxa"/>
              <w:bottom w:w="0" w:type="dxa"/>
              <w:right w:w="120" w:type="dxa"/>
            </w:tcMar>
          </w:tcPr>
          <w:p w:rsidR="00FA018A" w:rsidRPr="00655813" w:rsidRDefault="006B468D" w:rsidP="005F65EF">
            <w:pPr>
              <w:jc w:val="center"/>
              <w:rPr>
                <w:rFonts w:ascii="Arial" w:hAnsi="Arial" w:cs="Arial"/>
                <w:bCs/>
                <w:strike/>
                <w:sz w:val="20"/>
                <w:szCs w:val="20"/>
              </w:rPr>
            </w:pPr>
            <w:r w:rsidRPr="00655813">
              <w:rPr>
                <w:rFonts w:ascii="Arial" w:hAnsi="Arial" w:cs="Arial"/>
                <w:bCs/>
                <w:sz w:val="20"/>
                <w:szCs w:val="20"/>
              </w:rPr>
              <w:t>$</w:t>
            </w:r>
            <w:r w:rsidR="00FA018A" w:rsidRPr="00655813">
              <w:rPr>
                <w:rFonts w:ascii="Arial" w:hAnsi="Arial" w:cs="Arial"/>
                <w:bCs/>
                <w:sz w:val="20"/>
                <w:szCs w:val="20"/>
              </w:rPr>
              <w:t>328,800</w:t>
            </w:r>
          </w:p>
        </w:tc>
      </w:tr>
      <w:tr w:rsidR="00655813" w:rsidTr="005F65EF">
        <w:tc>
          <w:tcPr>
            <w:tcW w:w="2250" w:type="dxa"/>
            <w:tcBorders>
              <w:top w:val="nil"/>
              <w:left w:val="single" w:sz="8" w:space="0" w:color="000000"/>
              <w:bottom w:val="single" w:sz="8" w:space="0" w:color="000000"/>
              <w:right w:val="single" w:sz="8" w:space="0" w:color="000000"/>
            </w:tcBorders>
            <w:tcMar>
              <w:top w:w="0" w:type="dxa"/>
              <w:left w:w="120" w:type="dxa"/>
              <w:bottom w:w="0" w:type="dxa"/>
              <w:right w:w="120" w:type="dxa"/>
            </w:tcMar>
          </w:tcPr>
          <w:p w:rsidR="006B468D" w:rsidRPr="00A95CFF" w:rsidRDefault="006B468D" w:rsidP="005F65EF">
            <w:pPr>
              <w:spacing w:before="120" w:after="120"/>
              <w:rPr>
                <w:rFonts w:ascii="Arial" w:eastAsia="Calibri" w:hAnsi="Arial" w:cs="Arial"/>
                <w:bCs/>
                <w:sz w:val="20"/>
                <w:szCs w:val="20"/>
              </w:rPr>
            </w:pPr>
            <w:r w:rsidRPr="00A95CFF">
              <w:rPr>
                <w:rFonts w:ascii="Arial" w:hAnsi="Arial" w:cs="Arial"/>
                <w:bCs/>
                <w:sz w:val="20"/>
                <w:szCs w:val="20"/>
              </w:rPr>
              <w:t>Provisions of 10 CFR 50.61(b)(3) and (4)</w:t>
            </w:r>
          </w:p>
        </w:tc>
        <w:tc>
          <w:tcPr>
            <w:tcW w:w="1350" w:type="dxa"/>
            <w:tcBorders>
              <w:top w:val="nil"/>
              <w:left w:val="nil"/>
              <w:bottom w:val="single" w:sz="8" w:space="0" w:color="000000"/>
              <w:right w:val="single" w:sz="8" w:space="0" w:color="000000"/>
            </w:tcBorders>
            <w:tcMar>
              <w:top w:w="0" w:type="dxa"/>
              <w:left w:w="120" w:type="dxa"/>
              <w:bottom w:w="0" w:type="dxa"/>
              <w:right w:w="120" w:type="dxa"/>
            </w:tcMar>
          </w:tcPr>
          <w:p w:rsidR="006B468D" w:rsidRPr="00A95CFF" w:rsidRDefault="006B468D" w:rsidP="005F65EF">
            <w:pPr>
              <w:jc w:val="center"/>
              <w:rPr>
                <w:rFonts w:ascii="Arial" w:eastAsia="Calibri" w:hAnsi="Arial" w:cs="Arial"/>
                <w:bCs/>
                <w:sz w:val="20"/>
                <w:szCs w:val="20"/>
              </w:rPr>
            </w:pPr>
            <w:r w:rsidRPr="00A95CFF">
              <w:rPr>
                <w:rFonts w:ascii="Arial" w:hAnsi="Arial" w:cs="Arial"/>
                <w:bCs/>
                <w:sz w:val="20"/>
                <w:szCs w:val="20"/>
              </w:rPr>
              <w:t>1</w:t>
            </w:r>
          </w:p>
        </w:tc>
        <w:tc>
          <w:tcPr>
            <w:tcW w:w="1260" w:type="dxa"/>
            <w:tcBorders>
              <w:top w:val="nil"/>
              <w:left w:val="nil"/>
              <w:bottom w:val="single" w:sz="8" w:space="0" w:color="000000"/>
              <w:right w:val="single" w:sz="8" w:space="0" w:color="000000"/>
            </w:tcBorders>
            <w:tcMar>
              <w:top w:w="0" w:type="dxa"/>
              <w:left w:w="120" w:type="dxa"/>
              <w:bottom w:w="0" w:type="dxa"/>
              <w:right w:w="120" w:type="dxa"/>
            </w:tcMar>
          </w:tcPr>
          <w:p w:rsidR="006B468D" w:rsidRPr="00A95CFF" w:rsidRDefault="006B468D" w:rsidP="005F65EF">
            <w:pPr>
              <w:jc w:val="center"/>
              <w:rPr>
                <w:rFonts w:ascii="Arial" w:eastAsia="Calibri" w:hAnsi="Arial" w:cs="Arial"/>
                <w:bCs/>
                <w:sz w:val="20"/>
                <w:szCs w:val="20"/>
              </w:rPr>
            </w:pPr>
            <w:r w:rsidRPr="00A95CFF">
              <w:rPr>
                <w:rFonts w:ascii="Arial" w:hAnsi="Arial" w:cs="Arial"/>
                <w:bCs/>
                <w:sz w:val="20"/>
                <w:szCs w:val="20"/>
              </w:rPr>
              <w:t>1</w:t>
            </w:r>
          </w:p>
        </w:tc>
        <w:tc>
          <w:tcPr>
            <w:tcW w:w="1170" w:type="dxa"/>
            <w:tcBorders>
              <w:top w:val="nil"/>
              <w:left w:val="nil"/>
              <w:bottom w:val="single" w:sz="8" w:space="0" w:color="000000"/>
              <w:right w:val="single" w:sz="8" w:space="0" w:color="000000"/>
            </w:tcBorders>
            <w:tcMar>
              <w:top w:w="0" w:type="dxa"/>
              <w:left w:w="120" w:type="dxa"/>
              <w:bottom w:w="0" w:type="dxa"/>
              <w:right w:w="120" w:type="dxa"/>
            </w:tcMar>
          </w:tcPr>
          <w:p w:rsidR="006B468D" w:rsidRPr="00A95CFF" w:rsidRDefault="006B468D" w:rsidP="005F65EF">
            <w:pPr>
              <w:jc w:val="center"/>
              <w:rPr>
                <w:rFonts w:ascii="Arial" w:eastAsia="Calibri" w:hAnsi="Arial" w:cs="Arial"/>
                <w:bCs/>
                <w:sz w:val="20"/>
                <w:szCs w:val="20"/>
              </w:rPr>
            </w:pPr>
            <w:r w:rsidRPr="00A95CFF">
              <w:rPr>
                <w:rFonts w:ascii="Arial" w:hAnsi="Arial" w:cs="Arial"/>
                <w:bCs/>
                <w:sz w:val="20"/>
                <w:szCs w:val="20"/>
              </w:rPr>
              <w:t>120</w:t>
            </w:r>
          </w:p>
        </w:tc>
        <w:tc>
          <w:tcPr>
            <w:tcW w:w="1020" w:type="dxa"/>
            <w:tcBorders>
              <w:top w:val="nil"/>
              <w:left w:val="nil"/>
              <w:bottom w:val="single" w:sz="8" w:space="0" w:color="000000"/>
              <w:right w:val="single" w:sz="8" w:space="0" w:color="000000"/>
            </w:tcBorders>
            <w:tcMar>
              <w:top w:w="0" w:type="dxa"/>
              <w:left w:w="120" w:type="dxa"/>
              <w:bottom w:w="0" w:type="dxa"/>
              <w:right w:w="120" w:type="dxa"/>
            </w:tcMar>
          </w:tcPr>
          <w:p w:rsidR="006B468D" w:rsidRPr="00A95CFF" w:rsidRDefault="006B468D" w:rsidP="005F65EF">
            <w:pPr>
              <w:jc w:val="center"/>
              <w:rPr>
                <w:rFonts w:ascii="Arial" w:eastAsia="Calibri" w:hAnsi="Arial" w:cs="Arial"/>
                <w:bCs/>
                <w:sz w:val="20"/>
                <w:szCs w:val="20"/>
              </w:rPr>
            </w:pPr>
            <w:r w:rsidRPr="00A95CFF">
              <w:rPr>
                <w:rFonts w:ascii="Arial" w:hAnsi="Arial" w:cs="Arial"/>
                <w:bCs/>
                <w:sz w:val="20"/>
                <w:szCs w:val="20"/>
              </w:rPr>
              <w:t>120</w:t>
            </w:r>
          </w:p>
        </w:tc>
        <w:tc>
          <w:tcPr>
            <w:tcW w:w="1200" w:type="dxa"/>
            <w:tcBorders>
              <w:top w:val="nil"/>
              <w:left w:val="nil"/>
              <w:bottom w:val="single" w:sz="8" w:space="0" w:color="000000"/>
              <w:right w:val="single" w:sz="8" w:space="0" w:color="000000"/>
            </w:tcBorders>
            <w:tcMar>
              <w:top w:w="0" w:type="dxa"/>
              <w:left w:w="120" w:type="dxa"/>
              <w:bottom w:w="0" w:type="dxa"/>
              <w:right w:w="120" w:type="dxa"/>
            </w:tcMar>
          </w:tcPr>
          <w:p w:rsidR="00FA018A" w:rsidRPr="00655813" w:rsidRDefault="006B468D" w:rsidP="005F65EF">
            <w:pPr>
              <w:jc w:val="center"/>
              <w:rPr>
                <w:rFonts w:ascii="Arial" w:hAnsi="Arial" w:cs="Arial"/>
                <w:bCs/>
                <w:strike/>
                <w:sz w:val="20"/>
                <w:szCs w:val="20"/>
              </w:rPr>
            </w:pPr>
            <w:r w:rsidRPr="00655813">
              <w:rPr>
                <w:rFonts w:ascii="Arial" w:hAnsi="Arial" w:cs="Arial"/>
                <w:bCs/>
                <w:sz w:val="20"/>
                <w:szCs w:val="20"/>
              </w:rPr>
              <w:t>$</w:t>
            </w:r>
            <w:r w:rsidR="00FA018A" w:rsidRPr="00655813">
              <w:rPr>
                <w:rFonts w:ascii="Arial" w:hAnsi="Arial" w:cs="Arial"/>
                <w:bCs/>
                <w:sz w:val="20"/>
                <w:szCs w:val="20"/>
              </w:rPr>
              <w:t>32,880</w:t>
            </w:r>
          </w:p>
        </w:tc>
      </w:tr>
      <w:tr w:rsidR="00655813" w:rsidTr="005F65EF">
        <w:tc>
          <w:tcPr>
            <w:tcW w:w="2250" w:type="dxa"/>
            <w:tcBorders>
              <w:top w:val="nil"/>
              <w:left w:val="single" w:sz="8" w:space="0" w:color="000000"/>
              <w:bottom w:val="single" w:sz="8" w:space="0" w:color="000000"/>
              <w:right w:val="single" w:sz="8" w:space="0" w:color="000000"/>
            </w:tcBorders>
            <w:tcMar>
              <w:top w:w="0" w:type="dxa"/>
              <w:left w:w="120" w:type="dxa"/>
              <w:bottom w:w="0" w:type="dxa"/>
              <w:right w:w="120" w:type="dxa"/>
            </w:tcMar>
          </w:tcPr>
          <w:p w:rsidR="006B468D" w:rsidRPr="00A95CFF" w:rsidRDefault="006B468D" w:rsidP="005F65EF">
            <w:pPr>
              <w:spacing w:before="120" w:after="120"/>
              <w:rPr>
                <w:rFonts w:ascii="Arial" w:eastAsia="Calibri" w:hAnsi="Arial" w:cs="Arial"/>
                <w:bCs/>
                <w:sz w:val="20"/>
                <w:szCs w:val="20"/>
              </w:rPr>
            </w:pPr>
            <w:r w:rsidRPr="00A95CFF">
              <w:rPr>
                <w:rFonts w:ascii="Arial" w:hAnsi="Arial" w:cs="Arial"/>
                <w:bCs/>
                <w:sz w:val="20"/>
                <w:szCs w:val="20"/>
              </w:rPr>
              <w:t>Total Reporting</w:t>
            </w:r>
          </w:p>
        </w:tc>
        <w:tc>
          <w:tcPr>
            <w:tcW w:w="1350" w:type="dxa"/>
            <w:tcBorders>
              <w:top w:val="nil"/>
              <w:left w:val="nil"/>
              <w:bottom w:val="single" w:sz="8" w:space="0" w:color="000000"/>
              <w:right w:val="single" w:sz="8" w:space="0" w:color="000000"/>
            </w:tcBorders>
            <w:tcMar>
              <w:top w:w="0" w:type="dxa"/>
              <w:left w:w="120" w:type="dxa"/>
              <w:bottom w:w="0" w:type="dxa"/>
              <w:right w:w="120" w:type="dxa"/>
            </w:tcMar>
          </w:tcPr>
          <w:p w:rsidR="006B468D" w:rsidRPr="00A95CFF" w:rsidRDefault="006B468D" w:rsidP="00AF0957">
            <w:pPr>
              <w:jc w:val="center"/>
              <w:rPr>
                <w:rFonts w:ascii="Arial" w:eastAsia="Calibri" w:hAnsi="Arial" w:cs="Arial"/>
                <w:bCs/>
                <w:sz w:val="20"/>
                <w:szCs w:val="20"/>
              </w:rPr>
            </w:pPr>
            <w:r w:rsidRPr="00A95CFF">
              <w:rPr>
                <w:rFonts w:ascii="Arial" w:hAnsi="Arial" w:cs="Arial"/>
                <w:bCs/>
                <w:sz w:val="20"/>
                <w:szCs w:val="20"/>
              </w:rPr>
              <w:t>1</w:t>
            </w:r>
            <w:r w:rsidR="00AF0957">
              <w:rPr>
                <w:rFonts w:ascii="Arial" w:hAnsi="Arial" w:cs="Arial"/>
                <w:bCs/>
                <w:sz w:val="20"/>
                <w:szCs w:val="20"/>
              </w:rPr>
              <w:t>4</w:t>
            </w:r>
          </w:p>
        </w:tc>
        <w:tc>
          <w:tcPr>
            <w:tcW w:w="1260" w:type="dxa"/>
            <w:tcBorders>
              <w:top w:val="nil"/>
              <w:left w:val="nil"/>
              <w:bottom w:val="single" w:sz="8" w:space="0" w:color="000000"/>
              <w:right w:val="single" w:sz="8" w:space="0" w:color="000000"/>
            </w:tcBorders>
            <w:tcMar>
              <w:top w:w="0" w:type="dxa"/>
              <w:left w:w="120" w:type="dxa"/>
              <w:bottom w:w="0" w:type="dxa"/>
              <w:right w:w="120" w:type="dxa"/>
            </w:tcMar>
          </w:tcPr>
          <w:p w:rsidR="006B468D" w:rsidRPr="00A95CFF" w:rsidRDefault="006B468D" w:rsidP="005F65EF">
            <w:pPr>
              <w:jc w:val="center"/>
              <w:rPr>
                <w:rFonts w:ascii="Arial" w:eastAsia="Calibri" w:hAnsi="Arial" w:cs="Arial"/>
                <w:bCs/>
                <w:sz w:val="20"/>
                <w:szCs w:val="20"/>
              </w:rPr>
            </w:pPr>
          </w:p>
        </w:tc>
        <w:tc>
          <w:tcPr>
            <w:tcW w:w="1170" w:type="dxa"/>
            <w:tcBorders>
              <w:top w:val="nil"/>
              <w:left w:val="nil"/>
              <w:bottom w:val="single" w:sz="8" w:space="0" w:color="000000"/>
              <w:right w:val="single" w:sz="8" w:space="0" w:color="000000"/>
            </w:tcBorders>
            <w:tcMar>
              <w:top w:w="0" w:type="dxa"/>
              <w:left w:w="120" w:type="dxa"/>
              <w:bottom w:w="0" w:type="dxa"/>
              <w:right w:w="120" w:type="dxa"/>
            </w:tcMar>
          </w:tcPr>
          <w:p w:rsidR="006B468D" w:rsidRPr="00A95CFF" w:rsidRDefault="006B468D" w:rsidP="005F65EF">
            <w:pPr>
              <w:jc w:val="center"/>
              <w:rPr>
                <w:rFonts w:ascii="Arial" w:eastAsia="Calibri" w:hAnsi="Arial" w:cs="Arial"/>
                <w:bCs/>
                <w:sz w:val="20"/>
                <w:szCs w:val="20"/>
              </w:rPr>
            </w:pPr>
          </w:p>
        </w:tc>
        <w:tc>
          <w:tcPr>
            <w:tcW w:w="1020" w:type="dxa"/>
            <w:tcBorders>
              <w:top w:val="nil"/>
              <w:left w:val="nil"/>
              <w:bottom w:val="single" w:sz="8" w:space="0" w:color="000000"/>
              <w:right w:val="single" w:sz="8" w:space="0" w:color="000000"/>
            </w:tcBorders>
            <w:tcMar>
              <w:top w:w="0" w:type="dxa"/>
              <w:left w:w="120" w:type="dxa"/>
              <w:bottom w:w="0" w:type="dxa"/>
              <w:right w:w="120" w:type="dxa"/>
            </w:tcMar>
          </w:tcPr>
          <w:p w:rsidR="006B468D" w:rsidRPr="00A95CFF" w:rsidRDefault="006B468D" w:rsidP="005F65EF">
            <w:pPr>
              <w:jc w:val="center"/>
              <w:rPr>
                <w:rFonts w:ascii="Arial" w:eastAsia="Calibri" w:hAnsi="Arial" w:cs="Arial"/>
                <w:bCs/>
                <w:sz w:val="20"/>
                <w:szCs w:val="20"/>
              </w:rPr>
            </w:pPr>
            <w:r w:rsidRPr="00A95CFF">
              <w:rPr>
                <w:rFonts w:ascii="Arial" w:hAnsi="Arial" w:cs="Arial"/>
                <w:bCs/>
                <w:sz w:val="20"/>
                <w:szCs w:val="20"/>
              </w:rPr>
              <w:t>2,</w:t>
            </w:r>
            <w:r>
              <w:rPr>
                <w:rFonts w:ascii="Arial" w:hAnsi="Arial" w:cs="Arial"/>
                <w:bCs/>
                <w:sz w:val="20"/>
                <w:szCs w:val="20"/>
              </w:rPr>
              <w:t>883</w:t>
            </w:r>
          </w:p>
        </w:tc>
        <w:tc>
          <w:tcPr>
            <w:tcW w:w="1200" w:type="dxa"/>
            <w:tcBorders>
              <w:top w:val="nil"/>
              <w:left w:val="nil"/>
              <w:bottom w:val="single" w:sz="8" w:space="0" w:color="000000"/>
              <w:right w:val="single" w:sz="8" w:space="0" w:color="000000"/>
            </w:tcBorders>
            <w:tcMar>
              <w:top w:w="0" w:type="dxa"/>
              <w:left w:w="120" w:type="dxa"/>
              <w:bottom w:w="0" w:type="dxa"/>
              <w:right w:w="120" w:type="dxa"/>
            </w:tcMar>
          </w:tcPr>
          <w:p w:rsidR="00FA018A" w:rsidRPr="00655813" w:rsidRDefault="006B468D" w:rsidP="005F65EF">
            <w:pPr>
              <w:jc w:val="center"/>
              <w:rPr>
                <w:rFonts w:ascii="Arial" w:hAnsi="Arial" w:cs="Arial"/>
                <w:bCs/>
                <w:strike/>
                <w:sz w:val="20"/>
                <w:szCs w:val="20"/>
              </w:rPr>
            </w:pPr>
            <w:r w:rsidRPr="00655813">
              <w:rPr>
                <w:rFonts w:ascii="Arial" w:hAnsi="Arial" w:cs="Arial"/>
                <w:bCs/>
                <w:sz w:val="20"/>
                <w:szCs w:val="20"/>
              </w:rPr>
              <w:t>$</w:t>
            </w:r>
            <w:r w:rsidR="00FA018A" w:rsidRPr="00655813">
              <w:rPr>
                <w:rFonts w:ascii="Arial" w:hAnsi="Arial" w:cs="Arial"/>
                <w:bCs/>
                <w:sz w:val="20"/>
                <w:szCs w:val="20"/>
              </w:rPr>
              <w:t>789,942</w:t>
            </w:r>
          </w:p>
        </w:tc>
      </w:tr>
    </w:tbl>
    <w:p w:rsidR="006B468D" w:rsidRPr="009D55DA" w:rsidRDefault="006B468D" w:rsidP="006B468D">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9D55DA" w:rsidRDefault="006B468D" w:rsidP="00FE5626">
      <w:pPr>
        <w:tabs>
          <w:tab w:val="left" w:pos="-1080"/>
          <w:tab w:val="left" w:pos="-360"/>
          <w:tab w:val="left" w:pos="0"/>
          <w:tab w:val="left" w:pos="540"/>
          <w:tab w:val="left" w:pos="108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9D55DA">
        <w:rPr>
          <w:rFonts w:ascii="Arial" w:hAnsi="Arial" w:cs="Arial"/>
          <w:sz w:val="22"/>
          <w:szCs w:val="22"/>
        </w:rPr>
        <w:t>Although each information collection contained in section 50.61 requires that a report or notification be submitted to NRC, the primary burden for each requirement is the preparation of the analysis or assessment that forms the basis for the report.  Therefore, staff estimates that 90 percent of the burden for the requirements in 10 CFR 50.61 are attributable to recordkeeping (2,</w:t>
      </w:r>
      <w:r>
        <w:rPr>
          <w:rFonts w:ascii="Arial" w:hAnsi="Arial" w:cs="Arial"/>
          <w:sz w:val="22"/>
          <w:szCs w:val="22"/>
        </w:rPr>
        <w:t>595</w:t>
      </w:r>
      <w:r w:rsidRPr="009D55DA">
        <w:rPr>
          <w:rFonts w:ascii="Arial" w:hAnsi="Arial" w:cs="Arial"/>
          <w:sz w:val="22"/>
          <w:szCs w:val="22"/>
        </w:rPr>
        <w:t xml:space="preserve"> hours), and 10 percent of the burden (2</w:t>
      </w:r>
      <w:r>
        <w:rPr>
          <w:rFonts w:ascii="Arial" w:hAnsi="Arial" w:cs="Arial"/>
          <w:sz w:val="22"/>
          <w:szCs w:val="22"/>
        </w:rPr>
        <w:t>88</w:t>
      </w:r>
      <w:r w:rsidRPr="009D55DA">
        <w:rPr>
          <w:rFonts w:ascii="Arial" w:hAnsi="Arial" w:cs="Arial"/>
          <w:sz w:val="22"/>
          <w:szCs w:val="22"/>
        </w:rPr>
        <w:t xml:space="preserve"> hours) is associated with submitting the required reports or notifications.</w:t>
      </w:r>
      <w:r w:rsidR="00FE5626">
        <w:rPr>
          <w:rFonts w:ascii="Arial" w:hAnsi="Arial" w:cs="Arial"/>
          <w:sz w:val="22"/>
          <w:szCs w:val="22"/>
        </w:rPr>
        <w:t xml:space="preserve">  </w:t>
      </w:r>
    </w:p>
    <w:p w:rsidR="006B468D" w:rsidRPr="009D55DA" w:rsidRDefault="006B468D" w:rsidP="006B468D">
      <w:pPr>
        <w:pStyle w:val="Default"/>
        <w:tabs>
          <w:tab w:val="left" w:pos="-1080"/>
          <w:tab w:val="left" w:pos="-360"/>
          <w:tab w:val="left" w:pos="540"/>
          <w:tab w:val="left" w:pos="1080"/>
          <w:tab w:val="left" w:pos="2880"/>
          <w:tab w:val="left" w:pos="3600"/>
          <w:tab w:val="left" w:pos="4320"/>
          <w:tab w:val="left" w:pos="5040"/>
          <w:tab w:val="left" w:pos="5760"/>
          <w:tab w:val="left" w:pos="6480"/>
          <w:tab w:val="left" w:pos="7200"/>
        </w:tabs>
        <w:ind w:left="1080"/>
        <w:rPr>
          <w:rFonts w:cs="Arial"/>
          <w:sz w:val="22"/>
          <w:szCs w:val="22"/>
        </w:rPr>
      </w:pPr>
      <w:r w:rsidRPr="009D55DA">
        <w:rPr>
          <w:rFonts w:cs="Arial"/>
          <w:sz w:val="22"/>
          <w:szCs w:val="22"/>
        </w:rPr>
        <w:lastRenderedPageBreak/>
        <w:t>The provisions of this regulation affect 30 recordkeepers.  An annualized total of 1</w:t>
      </w:r>
      <w:r w:rsidR="00AF0957">
        <w:rPr>
          <w:rFonts w:cs="Arial"/>
          <w:sz w:val="22"/>
          <w:szCs w:val="22"/>
        </w:rPr>
        <w:t>4</w:t>
      </w:r>
      <w:r w:rsidRPr="009D55DA">
        <w:rPr>
          <w:rFonts w:cs="Arial"/>
          <w:sz w:val="22"/>
          <w:szCs w:val="22"/>
        </w:rPr>
        <w:t xml:space="preserve"> responses are expected each year during this clearance period</w:t>
      </w:r>
      <w:r w:rsidR="00FE5626">
        <w:rPr>
          <w:rFonts w:cs="Arial"/>
          <w:sz w:val="22"/>
          <w:szCs w:val="22"/>
        </w:rPr>
        <w:t>.</w:t>
      </w:r>
    </w:p>
    <w:p w:rsidR="006B468D" w:rsidRPr="009D55DA" w:rsidRDefault="006B468D" w:rsidP="006B468D">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ind w:left="1080" w:hanging="540"/>
        <w:rPr>
          <w:rFonts w:ascii="Arial" w:hAnsi="Arial" w:cs="Arial"/>
          <w:sz w:val="22"/>
          <w:szCs w:val="22"/>
        </w:rPr>
      </w:pPr>
      <w:r w:rsidRPr="009D55DA">
        <w:rPr>
          <w:rFonts w:ascii="Arial" w:hAnsi="Arial" w:cs="Arial"/>
          <w:sz w:val="22"/>
          <w:szCs w:val="22"/>
        </w:rPr>
        <w:t>13.</w:t>
      </w:r>
      <w:r w:rsidRPr="009D55DA">
        <w:rPr>
          <w:rFonts w:ascii="Arial" w:hAnsi="Arial" w:cs="Arial"/>
          <w:sz w:val="22"/>
          <w:szCs w:val="22"/>
        </w:rPr>
        <w:tab/>
      </w:r>
      <w:r w:rsidRPr="009D55DA">
        <w:rPr>
          <w:rFonts w:ascii="Arial" w:hAnsi="Arial" w:cs="Arial"/>
          <w:sz w:val="22"/>
          <w:szCs w:val="22"/>
          <w:u w:val="single"/>
        </w:rPr>
        <w:t>Estimate of Other Additional Costs</w:t>
      </w:r>
    </w:p>
    <w:p w:rsidR="006B468D" w:rsidRPr="009D55DA" w:rsidRDefault="006B468D" w:rsidP="006B468D">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9D55DA" w:rsidRDefault="006B468D" w:rsidP="006B468D">
      <w:pPr>
        <w:ind w:left="1080"/>
        <w:rPr>
          <w:rFonts w:ascii="Arial" w:hAnsi="Arial" w:cs="Arial"/>
          <w:sz w:val="22"/>
          <w:szCs w:val="22"/>
        </w:rPr>
      </w:pPr>
      <w:r w:rsidRPr="009D55DA">
        <w:rPr>
          <w:rFonts w:ascii="Arial" w:hAnsi="Arial" w:cs="Arial"/>
          <w:sz w:val="22"/>
          <w:szCs w:val="22"/>
        </w:rPr>
        <w:t>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cost.  Because the recordkeeping burden is estimated to be 2</w:t>
      </w:r>
      <w:r w:rsidR="0008423C">
        <w:rPr>
          <w:rFonts w:ascii="Arial" w:hAnsi="Arial" w:cs="Arial"/>
          <w:sz w:val="22"/>
          <w:szCs w:val="22"/>
        </w:rPr>
        <w:t>,</w:t>
      </w:r>
      <w:r>
        <w:rPr>
          <w:rFonts w:ascii="Arial" w:hAnsi="Arial" w:cs="Arial"/>
          <w:sz w:val="22"/>
          <w:szCs w:val="22"/>
        </w:rPr>
        <w:t>595</w:t>
      </w:r>
      <w:r w:rsidRPr="009D55DA">
        <w:rPr>
          <w:rFonts w:ascii="Arial" w:hAnsi="Arial" w:cs="Arial"/>
          <w:sz w:val="22"/>
          <w:szCs w:val="22"/>
        </w:rPr>
        <w:t xml:space="preserve"> hours, the storage cost for this clearance is $</w:t>
      </w:r>
      <w:r w:rsidR="0008423C">
        <w:rPr>
          <w:rFonts w:ascii="Arial" w:hAnsi="Arial" w:cs="Arial"/>
          <w:sz w:val="22"/>
          <w:szCs w:val="22"/>
        </w:rPr>
        <w:t xml:space="preserve">284.41 </w:t>
      </w:r>
      <w:r w:rsidRPr="009D55DA">
        <w:rPr>
          <w:rFonts w:ascii="Arial" w:hAnsi="Arial" w:cs="Arial"/>
          <w:sz w:val="22"/>
          <w:szCs w:val="22"/>
        </w:rPr>
        <w:t>(2</w:t>
      </w:r>
      <w:r w:rsidR="0008423C">
        <w:rPr>
          <w:rFonts w:ascii="Arial" w:hAnsi="Arial" w:cs="Arial"/>
          <w:sz w:val="22"/>
          <w:szCs w:val="22"/>
        </w:rPr>
        <w:t>,</w:t>
      </w:r>
      <w:r>
        <w:rPr>
          <w:rFonts w:ascii="Arial" w:hAnsi="Arial" w:cs="Arial"/>
          <w:sz w:val="22"/>
          <w:szCs w:val="22"/>
        </w:rPr>
        <w:t>595</w:t>
      </w:r>
      <w:r w:rsidR="00FE5626">
        <w:rPr>
          <w:rFonts w:ascii="Arial" w:hAnsi="Arial" w:cs="Arial"/>
          <w:sz w:val="22"/>
          <w:szCs w:val="22"/>
        </w:rPr>
        <w:t> </w:t>
      </w:r>
      <w:r w:rsidRPr="009D55DA">
        <w:rPr>
          <w:rFonts w:ascii="Arial" w:hAnsi="Arial" w:cs="Arial"/>
          <w:sz w:val="22"/>
          <w:szCs w:val="22"/>
        </w:rPr>
        <w:t xml:space="preserve">hours x 0.0004 x </w:t>
      </w:r>
      <w:r w:rsidRPr="00FE5626">
        <w:rPr>
          <w:rFonts w:ascii="Arial" w:hAnsi="Arial" w:cs="Arial"/>
          <w:sz w:val="22"/>
          <w:szCs w:val="22"/>
        </w:rPr>
        <w:t>$</w:t>
      </w:r>
      <w:r w:rsidR="00F715D7" w:rsidRPr="00FE5626">
        <w:rPr>
          <w:rFonts w:ascii="Arial" w:hAnsi="Arial" w:cs="Arial"/>
          <w:sz w:val="22"/>
          <w:szCs w:val="22"/>
        </w:rPr>
        <w:t>274</w:t>
      </w:r>
      <w:r w:rsidRPr="009D55DA">
        <w:rPr>
          <w:rFonts w:ascii="Arial" w:hAnsi="Arial" w:cs="Arial"/>
          <w:sz w:val="22"/>
          <w:szCs w:val="22"/>
        </w:rPr>
        <w:t>/hour).</w:t>
      </w:r>
    </w:p>
    <w:p w:rsidR="006B468D" w:rsidRPr="009D55DA" w:rsidRDefault="006B468D" w:rsidP="006B468D">
      <w:pPr>
        <w:ind w:left="1080"/>
        <w:rPr>
          <w:rFonts w:ascii="Arial" w:hAnsi="Arial" w:cs="Arial"/>
          <w:sz w:val="22"/>
          <w:szCs w:val="22"/>
        </w:rPr>
      </w:pPr>
    </w:p>
    <w:p w:rsidR="006B468D" w:rsidRPr="009D55DA" w:rsidRDefault="006B468D" w:rsidP="006B468D">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ind w:left="1080" w:hanging="540"/>
        <w:rPr>
          <w:rFonts w:ascii="Arial" w:hAnsi="Arial" w:cs="Arial"/>
          <w:sz w:val="22"/>
          <w:szCs w:val="22"/>
        </w:rPr>
      </w:pPr>
      <w:r w:rsidRPr="009D55DA">
        <w:rPr>
          <w:rFonts w:ascii="Arial" w:hAnsi="Arial" w:cs="Arial"/>
          <w:sz w:val="22"/>
          <w:szCs w:val="22"/>
        </w:rPr>
        <w:t>14.</w:t>
      </w:r>
      <w:r w:rsidRPr="009D55DA">
        <w:rPr>
          <w:rFonts w:ascii="Arial" w:hAnsi="Arial" w:cs="Arial"/>
          <w:sz w:val="22"/>
          <w:szCs w:val="22"/>
        </w:rPr>
        <w:tab/>
      </w:r>
      <w:r w:rsidRPr="009D55DA">
        <w:rPr>
          <w:rFonts w:ascii="Arial" w:hAnsi="Arial" w:cs="Arial"/>
          <w:sz w:val="22"/>
          <w:szCs w:val="22"/>
          <w:u w:val="single"/>
        </w:rPr>
        <w:t>Estimated Annualized Cost to the Federal Government</w:t>
      </w:r>
    </w:p>
    <w:p w:rsidR="006B468D" w:rsidRPr="009D55DA" w:rsidRDefault="006B468D" w:rsidP="006B468D">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9D55DA" w:rsidRDefault="006B468D" w:rsidP="006B468D">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9D55DA">
        <w:rPr>
          <w:rFonts w:ascii="Arial" w:hAnsi="Arial" w:cs="Arial"/>
          <w:sz w:val="22"/>
          <w:szCs w:val="22"/>
        </w:rPr>
        <w:t>Licensee submittals will be evaluated by the staff at the estimated cost given below:</w:t>
      </w:r>
    </w:p>
    <w:p w:rsidR="006B468D" w:rsidRPr="009D55DA" w:rsidRDefault="006B468D" w:rsidP="006B468D">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9D55DA" w:rsidRDefault="006B468D" w:rsidP="006B468D">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ind w:left="1710" w:hanging="630"/>
        <w:rPr>
          <w:rFonts w:ascii="Arial" w:hAnsi="Arial" w:cs="Arial"/>
          <w:sz w:val="22"/>
          <w:szCs w:val="22"/>
        </w:rPr>
      </w:pPr>
      <w:r w:rsidRPr="009D55DA">
        <w:rPr>
          <w:rFonts w:ascii="Arial" w:hAnsi="Arial" w:cs="Arial"/>
          <w:sz w:val="22"/>
          <w:szCs w:val="22"/>
        </w:rPr>
        <w:t>1)</w:t>
      </w:r>
      <w:r w:rsidRPr="009D55DA">
        <w:rPr>
          <w:rFonts w:ascii="Arial" w:hAnsi="Arial" w:cs="Arial"/>
          <w:sz w:val="22"/>
          <w:szCs w:val="22"/>
        </w:rPr>
        <w:tab/>
        <w:t>RT</w:t>
      </w:r>
      <w:r w:rsidRPr="009D55DA">
        <w:rPr>
          <w:rFonts w:ascii="Arial" w:hAnsi="Arial" w:cs="Arial"/>
          <w:sz w:val="22"/>
          <w:szCs w:val="22"/>
          <w:vertAlign w:val="subscript"/>
        </w:rPr>
        <w:t>PTS</w:t>
      </w:r>
      <w:r w:rsidRPr="009D55DA">
        <w:rPr>
          <w:rFonts w:ascii="Arial" w:hAnsi="Arial" w:cs="Arial"/>
          <w:sz w:val="22"/>
          <w:szCs w:val="22"/>
        </w:rPr>
        <w:t xml:space="preserve"> Assessment:  The staff estimates that reevaluations of RT</w:t>
      </w:r>
      <w:r w:rsidRPr="009D55DA">
        <w:rPr>
          <w:rFonts w:ascii="Arial" w:hAnsi="Arial" w:cs="Arial"/>
          <w:sz w:val="22"/>
          <w:szCs w:val="22"/>
          <w:vertAlign w:val="subscript"/>
        </w:rPr>
        <w:t>PTS</w:t>
      </w:r>
      <w:r w:rsidRPr="009D55DA">
        <w:rPr>
          <w:rFonts w:ascii="Arial" w:hAnsi="Arial" w:cs="Arial"/>
          <w:sz w:val="22"/>
          <w:szCs w:val="22"/>
        </w:rPr>
        <w:t xml:space="preserve"> values will be submitted by 15 PWR licensees within the 3-year clearance period.  (Of the 30 licensees affected by the RT</w:t>
      </w:r>
      <w:r w:rsidRPr="009D55DA">
        <w:rPr>
          <w:rFonts w:ascii="Arial" w:hAnsi="Arial" w:cs="Arial"/>
          <w:sz w:val="22"/>
          <w:szCs w:val="22"/>
          <w:vertAlign w:val="subscript"/>
        </w:rPr>
        <w:t>PTS</w:t>
      </w:r>
      <w:r w:rsidRPr="009D55DA">
        <w:rPr>
          <w:rFonts w:ascii="Arial" w:hAnsi="Arial" w:cs="Arial"/>
          <w:sz w:val="22"/>
          <w:szCs w:val="22"/>
        </w:rPr>
        <w:t xml:space="preserve"> assessment, as stated above, only 15 licensees will find significant changes that require NRC review.)  On the average, 40 hours are estimated for the review of each submittal.  Total review time is estimated at 600 staff hours at an estimated cost of $</w:t>
      </w:r>
      <w:r w:rsidR="00F715D7" w:rsidRPr="00161C5F">
        <w:rPr>
          <w:rFonts w:ascii="Arial" w:hAnsi="Arial" w:cs="Arial"/>
          <w:sz w:val="22"/>
          <w:szCs w:val="22"/>
        </w:rPr>
        <w:t>164,400</w:t>
      </w:r>
      <w:r w:rsidR="00161C5F">
        <w:rPr>
          <w:rFonts w:ascii="Arial" w:hAnsi="Arial" w:cs="Arial"/>
          <w:sz w:val="22"/>
          <w:szCs w:val="22"/>
        </w:rPr>
        <w:t xml:space="preserve"> (</w:t>
      </w:r>
      <w:r w:rsidRPr="009D55DA">
        <w:rPr>
          <w:rFonts w:ascii="Arial" w:hAnsi="Arial" w:cs="Arial"/>
          <w:sz w:val="22"/>
          <w:szCs w:val="22"/>
        </w:rPr>
        <w:t>15 x 40 hours x $</w:t>
      </w:r>
      <w:r w:rsidR="00F715D7" w:rsidRPr="00161C5F">
        <w:rPr>
          <w:rFonts w:ascii="Arial" w:hAnsi="Arial" w:cs="Arial"/>
          <w:sz w:val="22"/>
          <w:szCs w:val="22"/>
        </w:rPr>
        <w:t>274</w:t>
      </w:r>
      <w:r w:rsidR="00F715D7">
        <w:rPr>
          <w:rFonts w:ascii="Arial" w:hAnsi="Arial" w:cs="Arial"/>
          <w:sz w:val="22"/>
          <w:szCs w:val="22"/>
        </w:rPr>
        <w:t>)</w:t>
      </w:r>
      <w:r w:rsidRPr="009D55DA">
        <w:rPr>
          <w:rFonts w:ascii="Arial" w:hAnsi="Arial" w:cs="Arial"/>
          <w:sz w:val="22"/>
          <w:szCs w:val="22"/>
        </w:rPr>
        <w:t xml:space="preserve"> over the 3-year clearance period.  Thus, the estimated annualized burden is 200 hours at a cost of $</w:t>
      </w:r>
      <w:r w:rsidR="00F715D7" w:rsidRPr="00161C5F">
        <w:rPr>
          <w:rFonts w:ascii="Arial" w:hAnsi="Arial" w:cs="Arial"/>
          <w:sz w:val="22"/>
          <w:szCs w:val="22"/>
        </w:rPr>
        <w:t>54,800</w:t>
      </w:r>
      <w:r w:rsidRPr="009D55DA">
        <w:rPr>
          <w:rFonts w:ascii="Arial" w:hAnsi="Arial" w:cs="Arial"/>
          <w:sz w:val="22"/>
          <w:szCs w:val="22"/>
        </w:rPr>
        <w:t>.</w:t>
      </w:r>
    </w:p>
    <w:p w:rsidR="006B468D" w:rsidRPr="009D55DA" w:rsidRDefault="006B468D" w:rsidP="006B468D">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9D55DA" w:rsidRDefault="006B468D" w:rsidP="006B468D">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ind w:left="1710" w:hanging="630"/>
        <w:rPr>
          <w:rFonts w:ascii="Arial" w:hAnsi="Arial" w:cs="Arial"/>
          <w:sz w:val="22"/>
          <w:szCs w:val="22"/>
        </w:rPr>
      </w:pPr>
      <w:r w:rsidRPr="009D55DA">
        <w:rPr>
          <w:rFonts w:ascii="Arial" w:hAnsi="Arial" w:cs="Arial"/>
          <w:sz w:val="22"/>
          <w:szCs w:val="22"/>
        </w:rPr>
        <w:t>2)</w:t>
      </w:r>
      <w:r w:rsidRPr="009D55DA">
        <w:rPr>
          <w:rFonts w:ascii="Arial" w:hAnsi="Arial" w:cs="Arial"/>
          <w:sz w:val="22"/>
          <w:szCs w:val="22"/>
        </w:rPr>
        <w:tab/>
      </w:r>
      <w:r w:rsidRPr="002F3A1F">
        <w:rPr>
          <w:rFonts w:ascii="Arial" w:hAnsi="Arial" w:cs="Arial"/>
          <w:sz w:val="22"/>
          <w:szCs w:val="22"/>
        </w:rPr>
        <w:t>It is estimated that an analysis and schedule for implementation of a flux reduction program will be submitted by 6 licensees over 3 years.</w:t>
      </w:r>
      <w:r w:rsidRPr="009D55DA">
        <w:rPr>
          <w:rFonts w:ascii="Arial" w:hAnsi="Arial" w:cs="Arial"/>
          <w:sz w:val="22"/>
          <w:szCs w:val="22"/>
        </w:rPr>
        <w:t xml:space="preserve">  Further, it is estimated that 25 hours will be required to review each submittal.  Total review time is estimated to be 150 staff hours at a cost of $</w:t>
      </w:r>
      <w:r w:rsidR="00F715D7" w:rsidRPr="00161C5F">
        <w:rPr>
          <w:rFonts w:ascii="Arial" w:hAnsi="Arial" w:cs="Arial"/>
          <w:sz w:val="22"/>
          <w:szCs w:val="22"/>
        </w:rPr>
        <w:t>41,100</w:t>
      </w:r>
      <w:r w:rsidR="00161C5F">
        <w:rPr>
          <w:rFonts w:ascii="Arial" w:hAnsi="Arial" w:cs="Arial"/>
          <w:sz w:val="22"/>
          <w:szCs w:val="22"/>
        </w:rPr>
        <w:t xml:space="preserve"> </w:t>
      </w:r>
      <w:r w:rsidRPr="009D55DA">
        <w:rPr>
          <w:rFonts w:ascii="Arial" w:hAnsi="Arial" w:cs="Arial"/>
          <w:sz w:val="22"/>
          <w:szCs w:val="22"/>
        </w:rPr>
        <w:t>(6 x 25 hours x $</w:t>
      </w:r>
      <w:r w:rsidR="00F715D7" w:rsidRPr="00161C5F">
        <w:rPr>
          <w:rFonts w:ascii="Arial" w:hAnsi="Arial" w:cs="Arial"/>
          <w:sz w:val="22"/>
          <w:szCs w:val="22"/>
        </w:rPr>
        <w:t>274</w:t>
      </w:r>
      <w:r w:rsidRPr="009D55DA">
        <w:rPr>
          <w:rFonts w:ascii="Arial" w:hAnsi="Arial" w:cs="Arial"/>
          <w:sz w:val="22"/>
          <w:szCs w:val="22"/>
        </w:rPr>
        <w:t>) over 3 years, or annualized for the 3-year clearance period, a burden of 50 hours per year at a cost of $</w:t>
      </w:r>
      <w:r w:rsidR="00F715D7" w:rsidRPr="00161C5F">
        <w:rPr>
          <w:rFonts w:ascii="Arial" w:hAnsi="Arial" w:cs="Arial"/>
          <w:sz w:val="22"/>
          <w:szCs w:val="22"/>
        </w:rPr>
        <w:t>13,700</w:t>
      </w:r>
      <w:r w:rsidRPr="009D55DA">
        <w:rPr>
          <w:rFonts w:ascii="Arial" w:hAnsi="Arial" w:cs="Arial"/>
          <w:sz w:val="22"/>
          <w:szCs w:val="22"/>
        </w:rPr>
        <w:t>.</w:t>
      </w:r>
    </w:p>
    <w:p w:rsidR="006B468D" w:rsidRPr="009D55DA" w:rsidRDefault="006B468D" w:rsidP="006B468D">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9D55DA" w:rsidRDefault="006B468D" w:rsidP="006B468D">
      <w:pPr>
        <w:pStyle w:val="Level1"/>
        <w:tabs>
          <w:tab w:val="left" w:pos="-1080"/>
          <w:tab w:val="left" w:pos="-360"/>
          <w:tab w:val="left" w:pos="0"/>
          <w:tab w:val="left" w:pos="540"/>
          <w:tab w:val="left" w:pos="1080"/>
          <w:tab w:val="num" w:pos="1710"/>
          <w:tab w:val="left" w:pos="2880"/>
          <w:tab w:val="left" w:pos="3600"/>
          <w:tab w:val="left" w:pos="4320"/>
          <w:tab w:val="left" w:pos="5040"/>
          <w:tab w:val="left" w:pos="5760"/>
          <w:tab w:val="left" w:pos="6480"/>
          <w:tab w:val="left" w:pos="7200"/>
          <w:tab w:val="left" w:pos="7920"/>
          <w:tab w:val="left" w:pos="8640"/>
          <w:tab w:val="left" w:pos="9360"/>
        </w:tabs>
        <w:ind w:left="1710"/>
        <w:rPr>
          <w:rFonts w:ascii="Arial" w:hAnsi="Arial" w:cs="Arial"/>
          <w:sz w:val="22"/>
          <w:szCs w:val="22"/>
        </w:rPr>
      </w:pPr>
      <w:r>
        <w:rPr>
          <w:rFonts w:ascii="Arial" w:hAnsi="Arial" w:cs="Arial"/>
          <w:sz w:val="22"/>
          <w:szCs w:val="22"/>
        </w:rPr>
        <w:tab/>
      </w:r>
      <w:r>
        <w:rPr>
          <w:rFonts w:ascii="Arial" w:hAnsi="Arial" w:cs="Arial"/>
          <w:sz w:val="22"/>
          <w:szCs w:val="22"/>
        </w:rPr>
        <w:tab/>
      </w:r>
      <w:r w:rsidRPr="002F3A1F">
        <w:rPr>
          <w:rFonts w:ascii="Arial" w:hAnsi="Arial" w:cs="Arial"/>
          <w:sz w:val="22"/>
          <w:szCs w:val="22"/>
        </w:rPr>
        <w:t>It is estimated that evaluations of the requests under 10 CFR 50.61(b)(6) will be submitted by 3 licensees over 3 years.</w:t>
      </w:r>
      <w:r w:rsidRPr="009D55DA">
        <w:rPr>
          <w:rFonts w:ascii="Arial" w:hAnsi="Arial" w:cs="Arial"/>
          <w:sz w:val="22"/>
          <w:szCs w:val="22"/>
        </w:rPr>
        <w:t xml:space="preserve">  Further, it is estimated that 40 hours will be required to review each submittal.  Total review time is estimated to be 120 staff hours at a cost of $</w:t>
      </w:r>
      <w:r w:rsidR="00F715D7" w:rsidRPr="00161C5F">
        <w:rPr>
          <w:rFonts w:ascii="Arial" w:hAnsi="Arial" w:cs="Arial"/>
          <w:sz w:val="22"/>
          <w:szCs w:val="22"/>
        </w:rPr>
        <w:t>32,880</w:t>
      </w:r>
      <w:r w:rsidRPr="00F715D7">
        <w:rPr>
          <w:rFonts w:ascii="Arial" w:hAnsi="Arial" w:cs="Arial"/>
          <w:color w:val="C00000"/>
          <w:sz w:val="22"/>
          <w:szCs w:val="22"/>
        </w:rPr>
        <w:t xml:space="preserve"> </w:t>
      </w:r>
      <w:r w:rsidRPr="009D55DA">
        <w:rPr>
          <w:rFonts w:ascii="Arial" w:hAnsi="Arial" w:cs="Arial"/>
          <w:sz w:val="22"/>
          <w:szCs w:val="22"/>
        </w:rPr>
        <w:t>(3 x 40 x $</w:t>
      </w:r>
      <w:r w:rsidR="00F715D7" w:rsidRPr="00161C5F">
        <w:rPr>
          <w:rFonts w:ascii="Arial" w:hAnsi="Arial" w:cs="Arial"/>
          <w:sz w:val="22"/>
          <w:szCs w:val="22"/>
        </w:rPr>
        <w:t>274</w:t>
      </w:r>
      <w:r w:rsidRPr="009D55DA">
        <w:rPr>
          <w:rFonts w:ascii="Arial" w:hAnsi="Arial" w:cs="Arial"/>
          <w:sz w:val="22"/>
          <w:szCs w:val="22"/>
        </w:rPr>
        <w:t>) over 3 years, or annualized for the 3-year clearance period, a burden of 40 hours per year at a cost of $</w:t>
      </w:r>
      <w:r w:rsidR="00F715D7" w:rsidRPr="00161C5F">
        <w:rPr>
          <w:rFonts w:ascii="Arial" w:hAnsi="Arial" w:cs="Arial"/>
          <w:sz w:val="22"/>
          <w:szCs w:val="22"/>
        </w:rPr>
        <w:t>10,960</w:t>
      </w:r>
      <w:r w:rsidRPr="009D55DA">
        <w:rPr>
          <w:rFonts w:ascii="Arial" w:hAnsi="Arial" w:cs="Arial"/>
          <w:sz w:val="22"/>
          <w:szCs w:val="22"/>
        </w:rPr>
        <w:t>.</w:t>
      </w:r>
    </w:p>
    <w:p w:rsidR="006B468D" w:rsidRPr="009D55DA" w:rsidRDefault="006B468D" w:rsidP="006B468D">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9D55DA" w:rsidRDefault="006B468D" w:rsidP="006B468D">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ind w:left="1710"/>
        <w:rPr>
          <w:rFonts w:ascii="Arial" w:hAnsi="Arial" w:cs="Arial"/>
          <w:sz w:val="22"/>
          <w:szCs w:val="22"/>
        </w:rPr>
      </w:pPr>
      <w:r w:rsidRPr="009D55DA">
        <w:rPr>
          <w:rFonts w:ascii="Arial" w:hAnsi="Arial" w:cs="Arial"/>
          <w:sz w:val="22"/>
          <w:szCs w:val="22"/>
        </w:rPr>
        <w:t>Total annual Federal cost = $</w:t>
      </w:r>
      <w:r w:rsidR="00F715D7" w:rsidRPr="00161C5F">
        <w:rPr>
          <w:rFonts w:ascii="Arial" w:hAnsi="Arial" w:cs="Arial"/>
          <w:sz w:val="22"/>
          <w:szCs w:val="22"/>
        </w:rPr>
        <w:t>79,460</w:t>
      </w:r>
      <w:r w:rsidRPr="009D55DA">
        <w:rPr>
          <w:rFonts w:ascii="Arial" w:hAnsi="Arial" w:cs="Arial"/>
          <w:sz w:val="22"/>
          <w:szCs w:val="22"/>
        </w:rPr>
        <w:t xml:space="preserve"> ($</w:t>
      </w:r>
      <w:r w:rsidR="00F715D7" w:rsidRPr="00161C5F">
        <w:rPr>
          <w:rFonts w:ascii="Arial" w:hAnsi="Arial" w:cs="Arial"/>
          <w:sz w:val="22"/>
          <w:szCs w:val="22"/>
        </w:rPr>
        <w:t>54,800</w:t>
      </w:r>
      <w:r w:rsidRPr="00161C5F">
        <w:rPr>
          <w:rFonts w:ascii="Arial" w:hAnsi="Arial" w:cs="Arial"/>
          <w:sz w:val="22"/>
          <w:szCs w:val="22"/>
        </w:rPr>
        <w:t>+ $</w:t>
      </w:r>
      <w:r w:rsidR="00F715D7" w:rsidRPr="00161C5F">
        <w:rPr>
          <w:rFonts w:ascii="Arial" w:hAnsi="Arial" w:cs="Arial"/>
          <w:sz w:val="22"/>
          <w:szCs w:val="22"/>
        </w:rPr>
        <w:t>13,700</w:t>
      </w:r>
      <w:r w:rsidRPr="00161C5F">
        <w:rPr>
          <w:rFonts w:ascii="Arial" w:hAnsi="Arial" w:cs="Arial"/>
          <w:sz w:val="22"/>
          <w:szCs w:val="22"/>
        </w:rPr>
        <w:t>+ $</w:t>
      </w:r>
      <w:r w:rsidR="00F715D7" w:rsidRPr="00161C5F">
        <w:rPr>
          <w:rFonts w:ascii="Arial" w:hAnsi="Arial" w:cs="Arial"/>
          <w:sz w:val="22"/>
          <w:szCs w:val="22"/>
        </w:rPr>
        <w:t>10,960</w:t>
      </w:r>
      <w:r w:rsidRPr="009D55DA">
        <w:rPr>
          <w:rFonts w:ascii="Arial" w:hAnsi="Arial" w:cs="Arial"/>
          <w:sz w:val="22"/>
          <w:szCs w:val="22"/>
        </w:rPr>
        <w:t>).</w:t>
      </w:r>
    </w:p>
    <w:p w:rsidR="006B468D" w:rsidRPr="009D55DA" w:rsidRDefault="006B468D" w:rsidP="006B468D">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9D55DA" w:rsidRDefault="006B468D" w:rsidP="006B468D">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ind w:left="1080" w:hanging="540"/>
        <w:rPr>
          <w:rFonts w:ascii="Arial" w:hAnsi="Arial" w:cs="Arial"/>
          <w:sz w:val="22"/>
          <w:szCs w:val="22"/>
        </w:rPr>
      </w:pPr>
      <w:r w:rsidRPr="009D55DA">
        <w:rPr>
          <w:rFonts w:ascii="Arial" w:hAnsi="Arial" w:cs="Arial"/>
          <w:sz w:val="22"/>
          <w:szCs w:val="22"/>
        </w:rPr>
        <w:t>15.</w:t>
      </w:r>
      <w:r w:rsidRPr="009D55DA">
        <w:rPr>
          <w:rFonts w:ascii="Arial" w:hAnsi="Arial" w:cs="Arial"/>
          <w:sz w:val="22"/>
          <w:szCs w:val="22"/>
        </w:rPr>
        <w:tab/>
      </w:r>
      <w:r w:rsidRPr="009D55DA">
        <w:rPr>
          <w:rFonts w:ascii="Arial" w:hAnsi="Arial" w:cs="Arial"/>
          <w:sz w:val="22"/>
          <w:szCs w:val="22"/>
          <w:u w:val="single"/>
        </w:rPr>
        <w:t>Reasons for Changes in Burden or Cost</w:t>
      </w:r>
    </w:p>
    <w:p w:rsidR="006B468D" w:rsidRPr="009D55DA" w:rsidRDefault="006B468D" w:rsidP="006B468D">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E473B" w:rsidRPr="00CE473B" w:rsidRDefault="00CE473B" w:rsidP="00CE473B">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CE473B">
        <w:rPr>
          <w:rFonts w:ascii="Arial" w:hAnsi="Arial" w:cs="Arial"/>
          <w:sz w:val="22"/>
          <w:szCs w:val="22"/>
        </w:rPr>
        <w:t>There is no change in the overall burden; however, there has been an increase in the fee rate from $257 to $274 per hour.</w:t>
      </w:r>
    </w:p>
    <w:p w:rsidR="006B468D" w:rsidRPr="009D55DA" w:rsidRDefault="006B468D" w:rsidP="006B468D">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9D55DA" w:rsidRDefault="006B468D" w:rsidP="006B468D">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ind w:left="1080" w:hanging="540"/>
        <w:rPr>
          <w:rFonts w:ascii="Arial" w:hAnsi="Arial" w:cs="Arial"/>
          <w:sz w:val="22"/>
          <w:szCs w:val="22"/>
        </w:rPr>
      </w:pPr>
      <w:r w:rsidRPr="009D55DA">
        <w:rPr>
          <w:rFonts w:ascii="Arial" w:hAnsi="Arial" w:cs="Arial"/>
          <w:sz w:val="22"/>
          <w:szCs w:val="22"/>
        </w:rPr>
        <w:t>16.</w:t>
      </w:r>
      <w:r w:rsidRPr="009D55DA">
        <w:rPr>
          <w:rFonts w:ascii="Arial" w:hAnsi="Arial" w:cs="Arial"/>
          <w:sz w:val="22"/>
          <w:szCs w:val="22"/>
        </w:rPr>
        <w:tab/>
      </w:r>
      <w:r w:rsidRPr="009D55DA">
        <w:rPr>
          <w:rFonts w:ascii="Arial" w:hAnsi="Arial" w:cs="Arial"/>
          <w:sz w:val="22"/>
          <w:szCs w:val="22"/>
          <w:u w:val="single"/>
        </w:rPr>
        <w:t>Publication for Statistical Use</w:t>
      </w:r>
    </w:p>
    <w:p w:rsidR="006B468D" w:rsidRPr="009D55DA" w:rsidRDefault="006B468D" w:rsidP="006B468D">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9D55DA" w:rsidRDefault="006B468D" w:rsidP="006B468D">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9D55DA">
        <w:rPr>
          <w:rFonts w:ascii="Arial" w:hAnsi="Arial" w:cs="Arial"/>
          <w:sz w:val="22"/>
          <w:szCs w:val="22"/>
        </w:rPr>
        <w:t>The collected information is not published for statistical purposes.</w:t>
      </w:r>
    </w:p>
    <w:p w:rsidR="006B468D" w:rsidRPr="009D55DA" w:rsidRDefault="006B468D" w:rsidP="006B468D">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ind w:left="1080" w:hanging="540"/>
        <w:rPr>
          <w:rFonts w:ascii="Arial" w:hAnsi="Arial" w:cs="Arial"/>
          <w:sz w:val="22"/>
          <w:szCs w:val="22"/>
        </w:rPr>
      </w:pPr>
    </w:p>
    <w:p w:rsidR="00AF0957" w:rsidRDefault="00AF0957">
      <w:pPr>
        <w:widowControl/>
        <w:autoSpaceDE/>
        <w:autoSpaceDN/>
        <w:adjustRightInd/>
        <w:spacing w:line="276" w:lineRule="auto"/>
        <w:rPr>
          <w:rFonts w:ascii="Arial" w:hAnsi="Arial" w:cs="Arial"/>
          <w:sz w:val="22"/>
          <w:szCs w:val="22"/>
        </w:rPr>
      </w:pPr>
      <w:r>
        <w:rPr>
          <w:rFonts w:ascii="Arial" w:hAnsi="Arial" w:cs="Arial"/>
          <w:sz w:val="22"/>
          <w:szCs w:val="22"/>
        </w:rPr>
        <w:br w:type="page"/>
      </w:r>
    </w:p>
    <w:p w:rsidR="006B468D" w:rsidRPr="009D55DA" w:rsidRDefault="006B468D" w:rsidP="006B468D">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ind w:left="1080" w:hanging="540"/>
        <w:rPr>
          <w:rFonts w:ascii="Arial" w:hAnsi="Arial" w:cs="Arial"/>
          <w:sz w:val="22"/>
          <w:szCs w:val="22"/>
        </w:rPr>
      </w:pPr>
      <w:r w:rsidRPr="009D55DA">
        <w:rPr>
          <w:rFonts w:ascii="Arial" w:hAnsi="Arial" w:cs="Arial"/>
          <w:sz w:val="22"/>
          <w:szCs w:val="22"/>
        </w:rPr>
        <w:lastRenderedPageBreak/>
        <w:t>17.</w:t>
      </w:r>
      <w:r w:rsidRPr="009D55DA">
        <w:rPr>
          <w:rFonts w:ascii="Arial" w:hAnsi="Arial" w:cs="Arial"/>
          <w:sz w:val="22"/>
          <w:szCs w:val="22"/>
        </w:rPr>
        <w:tab/>
      </w:r>
      <w:r w:rsidRPr="009D55DA">
        <w:rPr>
          <w:rFonts w:ascii="Arial" w:hAnsi="Arial" w:cs="Arial"/>
          <w:sz w:val="22"/>
          <w:szCs w:val="22"/>
          <w:u w:val="single"/>
        </w:rPr>
        <w:t>Reason for Not Displaying the Expiration Date</w:t>
      </w:r>
    </w:p>
    <w:p w:rsidR="006B468D" w:rsidRPr="009D55DA" w:rsidRDefault="006B468D" w:rsidP="006B468D">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9D55DA" w:rsidRDefault="006B468D" w:rsidP="006B468D">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9D55DA">
        <w:rPr>
          <w:rFonts w:ascii="Arial" w:hAnsi="Arial" w:cs="Arial"/>
          <w:sz w:val="22"/>
          <w:szCs w:val="22"/>
        </w:rPr>
        <w:t>The requirement is contained in a regulation.  Amending the Code of Federal Regulations to display information that, in an annual publication, could become obsolete would be unduly burdensome and too difficult to keep current.</w:t>
      </w:r>
    </w:p>
    <w:p w:rsidR="006B468D" w:rsidRPr="009D55DA" w:rsidRDefault="006B468D" w:rsidP="006B468D">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9D55DA" w:rsidRDefault="006B468D" w:rsidP="006B468D">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ind w:left="1080" w:hanging="540"/>
        <w:rPr>
          <w:rFonts w:ascii="Arial" w:hAnsi="Arial" w:cs="Arial"/>
          <w:sz w:val="22"/>
          <w:szCs w:val="22"/>
        </w:rPr>
      </w:pPr>
      <w:r w:rsidRPr="009D55DA">
        <w:rPr>
          <w:rFonts w:ascii="Arial" w:hAnsi="Arial" w:cs="Arial"/>
          <w:sz w:val="22"/>
          <w:szCs w:val="22"/>
        </w:rPr>
        <w:t>18.</w:t>
      </w:r>
      <w:r w:rsidRPr="009D55DA">
        <w:rPr>
          <w:rFonts w:ascii="Arial" w:hAnsi="Arial" w:cs="Arial"/>
          <w:sz w:val="22"/>
          <w:szCs w:val="22"/>
        </w:rPr>
        <w:tab/>
      </w:r>
      <w:r w:rsidRPr="009D55DA">
        <w:rPr>
          <w:rFonts w:ascii="Arial" w:hAnsi="Arial" w:cs="Arial"/>
          <w:sz w:val="22"/>
          <w:szCs w:val="22"/>
          <w:u w:val="single"/>
        </w:rPr>
        <w:t>Exceptions to the Certification Statement</w:t>
      </w:r>
    </w:p>
    <w:p w:rsidR="006B468D" w:rsidRPr="009D55DA" w:rsidRDefault="006B468D" w:rsidP="006B468D">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9D55DA" w:rsidRDefault="006B468D" w:rsidP="006B468D">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9D55DA">
        <w:rPr>
          <w:rFonts w:ascii="Arial" w:hAnsi="Arial" w:cs="Arial"/>
          <w:sz w:val="22"/>
          <w:szCs w:val="22"/>
        </w:rPr>
        <w:t>None.</w:t>
      </w:r>
    </w:p>
    <w:p w:rsidR="006B468D" w:rsidRPr="009D55DA" w:rsidRDefault="006B468D" w:rsidP="006B468D">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9D55DA" w:rsidRDefault="006B468D" w:rsidP="006B468D">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Arial" w:hAnsi="Arial" w:cs="Arial"/>
          <w:sz w:val="22"/>
          <w:szCs w:val="22"/>
        </w:rPr>
      </w:pPr>
      <w:r w:rsidRPr="009D55DA">
        <w:rPr>
          <w:rFonts w:ascii="Arial" w:hAnsi="Arial" w:cs="Arial"/>
          <w:sz w:val="22"/>
          <w:szCs w:val="22"/>
        </w:rPr>
        <w:t>B.</w:t>
      </w:r>
      <w:r w:rsidRPr="009D55DA">
        <w:rPr>
          <w:rFonts w:ascii="Arial" w:hAnsi="Arial" w:cs="Arial"/>
          <w:sz w:val="22"/>
          <w:szCs w:val="22"/>
        </w:rPr>
        <w:tab/>
      </w:r>
      <w:r w:rsidRPr="009D55DA">
        <w:rPr>
          <w:rFonts w:ascii="Arial" w:hAnsi="Arial" w:cs="Arial"/>
          <w:sz w:val="22"/>
          <w:szCs w:val="22"/>
          <w:u w:val="single"/>
        </w:rPr>
        <w:t>COLLECTIONS OF INFORMATION EMPLOYING STATISTICAL METHODS</w:t>
      </w:r>
    </w:p>
    <w:p w:rsidR="006B468D" w:rsidRPr="009D55DA" w:rsidRDefault="006B468D" w:rsidP="006B468D">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B468D" w:rsidRPr="009D55DA" w:rsidRDefault="006B468D" w:rsidP="006B468D">
      <w:pPr>
        <w:tabs>
          <w:tab w:val="left" w:pos="-1080"/>
          <w:tab w:val="left" w:pos="-360"/>
          <w:tab w:val="left" w:pos="0"/>
          <w:tab w:val="left" w:pos="540"/>
          <w:tab w:val="left" w:pos="1080"/>
          <w:tab w:val="left" w:pos="1710"/>
          <w:tab w:val="left" w:pos="2880"/>
          <w:tab w:val="left" w:pos="3600"/>
          <w:tab w:val="left" w:pos="4320"/>
          <w:tab w:val="left" w:pos="5040"/>
          <w:tab w:val="left" w:pos="5760"/>
          <w:tab w:val="left" w:pos="6480"/>
          <w:tab w:val="left" w:pos="7200"/>
          <w:tab w:val="left" w:pos="7920"/>
          <w:tab w:val="left" w:pos="8640"/>
          <w:tab w:val="left" w:pos="9360"/>
        </w:tabs>
        <w:ind w:left="540"/>
        <w:rPr>
          <w:rFonts w:ascii="Arial" w:hAnsi="Arial" w:cs="Arial"/>
          <w:sz w:val="22"/>
          <w:szCs w:val="22"/>
        </w:rPr>
      </w:pPr>
      <w:r w:rsidRPr="009D55DA">
        <w:rPr>
          <w:rFonts w:ascii="Arial" w:hAnsi="Arial" w:cs="Arial"/>
          <w:sz w:val="22"/>
          <w:szCs w:val="22"/>
        </w:rPr>
        <w:t>Not applicable.</w:t>
      </w:r>
    </w:p>
    <w:p w:rsidR="006B468D" w:rsidRDefault="006B468D" w:rsidP="006B4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B468D" w:rsidRDefault="006B468D" w:rsidP="006B4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B468D" w:rsidRPr="00CB4CEA" w:rsidRDefault="006B468D" w:rsidP="006B4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B468D" w:rsidRDefault="006B468D" w:rsidP="006B468D"/>
    <w:p w:rsidR="006B468D" w:rsidRPr="003F3462" w:rsidRDefault="006B468D" w:rsidP="006B468D"/>
    <w:p w:rsidR="004A3F84" w:rsidRPr="003F3462" w:rsidRDefault="004A3F84"/>
    <w:sectPr w:rsidR="004A3F84" w:rsidRPr="003F3462" w:rsidSect="004A3F8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A4C" w:rsidRDefault="00392A4C" w:rsidP="00BD3697">
      <w:r>
        <w:separator/>
      </w:r>
    </w:p>
  </w:endnote>
  <w:endnote w:type="continuationSeparator" w:id="0">
    <w:p w:rsidR="00392A4C" w:rsidRDefault="00392A4C" w:rsidP="00BD3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a Lisa Recut">
    <w:altName w:val="Mangal"/>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76C" w:rsidRDefault="00DE07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76C" w:rsidRDefault="00DE07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76C" w:rsidRDefault="00DE07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A4C" w:rsidRDefault="00392A4C" w:rsidP="00BD3697">
      <w:r>
        <w:separator/>
      </w:r>
    </w:p>
  </w:footnote>
  <w:footnote w:type="continuationSeparator" w:id="0">
    <w:p w:rsidR="00392A4C" w:rsidRDefault="00392A4C" w:rsidP="00BD3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76C" w:rsidRDefault="00DE07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012" w:rsidRPr="008E6ADB" w:rsidRDefault="00D07012" w:rsidP="008C196F">
    <w:pPr>
      <w:pStyle w:val="Header"/>
      <w:jc w:val="center"/>
      <w:rPr>
        <w:rFonts w:ascii="Arial" w:hAnsi="Arial" w:cs="Arial"/>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76C" w:rsidRDefault="00DE07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50417"/>
    <w:multiLevelType w:val="hybridMultilevel"/>
    <w:tmpl w:val="4C1EB14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68D"/>
    <w:rsid w:val="000011B6"/>
    <w:rsid w:val="0000234D"/>
    <w:rsid w:val="00006B71"/>
    <w:rsid w:val="000119B8"/>
    <w:rsid w:val="00013B35"/>
    <w:rsid w:val="00014CCB"/>
    <w:rsid w:val="00016C44"/>
    <w:rsid w:val="00016D5E"/>
    <w:rsid w:val="00020AA5"/>
    <w:rsid w:val="000216DD"/>
    <w:rsid w:val="00021D65"/>
    <w:rsid w:val="000226AB"/>
    <w:rsid w:val="000249CE"/>
    <w:rsid w:val="00024E85"/>
    <w:rsid w:val="00030313"/>
    <w:rsid w:val="00030799"/>
    <w:rsid w:val="00032232"/>
    <w:rsid w:val="00035682"/>
    <w:rsid w:val="00037A6A"/>
    <w:rsid w:val="00041DE0"/>
    <w:rsid w:val="00042D8E"/>
    <w:rsid w:val="0004344A"/>
    <w:rsid w:val="00043638"/>
    <w:rsid w:val="0004422A"/>
    <w:rsid w:val="000444F2"/>
    <w:rsid w:val="00044B27"/>
    <w:rsid w:val="00047483"/>
    <w:rsid w:val="00047B64"/>
    <w:rsid w:val="00050A86"/>
    <w:rsid w:val="00051B21"/>
    <w:rsid w:val="00052485"/>
    <w:rsid w:val="00052527"/>
    <w:rsid w:val="0005629B"/>
    <w:rsid w:val="00057B1E"/>
    <w:rsid w:val="00060C71"/>
    <w:rsid w:val="000667C8"/>
    <w:rsid w:val="00073964"/>
    <w:rsid w:val="00076217"/>
    <w:rsid w:val="0008423C"/>
    <w:rsid w:val="0008727D"/>
    <w:rsid w:val="0009124F"/>
    <w:rsid w:val="000926D6"/>
    <w:rsid w:val="000939B3"/>
    <w:rsid w:val="000974DA"/>
    <w:rsid w:val="000A0EBB"/>
    <w:rsid w:val="000A17A1"/>
    <w:rsid w:val="000A21F0"/>
    <w:rsid w:val="000A729A"/>
    <w:rsid w:val="000A7D04"/>
    <w:rsid w:val="000B2783"/>
    <w:rsid w:val="000B32EB"/>
    <w:rsid w:val="000B40E7"/>
    <w:rsid w:val="000B42E7"/>
    <w:rsid w:val="000B60B3"/>
    <w:rsid w:val="000B7098"/>
    <w:rsid w:val="000C08E7"/>
    <w:rsid w:val="000C3AAA"/>
    <w:rsid w:val="000C4548"/>
    <w:rsid w:val="000C4753"/>
    <w:rsid w:val="000C764E"/>
    <w:rsid w:val="000D2156"/>
    <w:rsid w:val="000D78AF"/>
    <w:rsid w:val="000E12B8"/>
    <w:rsid w:val="000E2638"/>
    <w:rsid w:val="000E38CA"/>
    <w:rsid w:val="000E3B45"/>
    <w:rsid w:val="000E4286"/>
    <w:rsid w:val="000E4711"/>
    <w:rsid w:val="000E4B3A"/>
    <w:rsid w:val="000F007F"/>
    <w:rsid w:val="000F390D"/>
    <w:rsid w:val="000F3DA8"/>
    <w:rsid w:val="000F4F46"/>
    <w:rsid w:val="000F7844"/>
    <w:rsid w:val="0010183A"/>
    <w:rsid w:val="00104130"/>
    <w:rsid w:val="00106CA6"/>
    <w:rsid w:val="00114AB7"/>
    <w:rsid w:val="00117AF5"/>
    <w:rsid w:val="00120619"/>
    <w:rsid w:val="00122D0F"/>
    <w:rsid w:val="00126246"/>
    <w:rsid w:val="00126F83"/>
    <w:rsid w:val="001305F5"/>
    <w:rsid w:val="0013132E"/>
    <w:rsid w:val="001315ED"/>
    <w:rsid w:val="001328CE"/>
    <w:rsid w:val="00132C65"/>
    <w:rsid w:val="00133200"/>
    <w:rsid w:val="00137F05"/>
    <w:rsid w:val="00137F70"/>
    <w:rsid w:val="00142CDC"/>
    <w:rsid w:val="00145C3C"/>
    <w:rsid w:val="00147B6B"/>
    <w:rsid w:val="001527DD"/>
    <w:rsid w:val="001538F9"/>
    <w:rsid w:val="00153D17"/>
    <w:rsid w:val="00154125"/>
    <w:rsid w:val="00156232"/>
    <w:rsid w:val="001578C7"/>
    <w:rsid w:val="0015798A"/>
    <w:rsid w:val="00161C5F"/>
    <w:rsid w:val="00162B88"/>
    <w:rsid w:val="00166B96"/>
    <w:rsid w:val="00166D38"/>
    <w:rsid w:val="00167865"/>
    <w:rsid w:val="00170C70"/>
    <w:rsid w:val="00171D93"/>
    <w:rsid w:val="001726E9"/>
    <w:rsid w:val="00172CB3"/>
    <w:rsid w:val="001731B3"/>
    <w:rsid w:val="0017324F"/>
    <w:rsid w:val="00173797"/>
    <w:rsid w:val="0017760D"/>
    <w:rsid w:val="00182AFD"/>
    <w:rsid w:val="001854CB"/>
    <w:rsid w:val="00186F24"/>
    <w:rsid w:val="001873CE"/>
    <w:rsid w:val="00187B9D"/>
    <w:rsid w:val="00192653"/>
    <w:rsid w:val="001943E9"/>
    <w:rsid w:val="001973FC"/>
    <w:rsid w:val="00197A1B"/>
    <w:rsid w:val="00197D0C"/>
    <w:rsid w:val="001A4201"/>
    <w:rsid w:val="001A6AA1"/>
    <w:rsid w:val="001A7443"/>
    <w:rsid w:val="001B1A8D"/>
    <w:rsid w:val="001B1FAF"/>
    <w:rsid w:val="001B62C4"/>
    <w:rsid w:val="001C25E8"/>
    <w:rsid w:val="001C2859"/>
    <w:rsid w:val="001C3175"/>
    <w:rsid w:val="001C4EC7"/>
    <w:rsid w:val="001C51A5"/>
    <w:rsid w:val="001D006C"/>
    <w:rsid w:val="001D19FA"/>
    <w:rsid w:val="001D3CFC"/>
    <w:rsid w:val="001D40AF"/>
    <w:rsid w:val="001E134C"/>
    <w:rsid w:val="001E6BED"/>
    <w:rsid w:val="001F0614"/>
    <w:rsid w:val="001F39DD"/>
    <w:rsid w:val="001F582C"/>
    <w:rsid w:val="001F5A63"/>
    <w:rsid w:val="001F693D"/>
    <w:rsid w:val="001F7A42"/>
    <w:rsid w:val="002017EC"/>
    <w:rsid w:val="00205DBE"/>
    <w:rsid w:val="0021013B"/>
    <w:rsid w:val="0021174B"/>
    <w:rsid w:val="002213E4"/>
    <w:rsid w:val="0022260A"/>
    <w:rsid w:val="00227F72"/>
    <w:rsid w:val="002308D4"/>
    <w:rsid w:val="00234EDC"/>
    <w:rsid w:val="0023623E"/>
    <w:rsid w:val="00236B43"/>
    <w:rsid w:val="002422D2"/>
    <w:rsid w:val="0024259F"/>
    <w:rsid w:val="0024606D"/>
    <w:rsid w:val="002543FC"/>
    <w:rsid w:val="00254595"/>
    <w:rsid w:val="00256B1A"/>
    <w:rsid w:val="002610EC"/>
    <w:rsid w:val="0026356F"/>
    <w:rsid w:val="0026375F"/>
    <w:rsid w:val="00264CEE"/>
    <w:rsid w:val="0026537E"/>
    <w:rsid w:val="00266C82"/>
    <w:rsid w:val="00271A10"/>
    <w:rsid w:val="0027270C"/>
    <w:rsid w:val="00273790"/>
    <w:rsid w:val="002739AB"/>
    <w:rsid w:val="00273F90"/>
    <w:rsid w:val="00274AAB"/>
    <w:rsid w:val="00276B4A"/>
    <w:rsid w:val="00277A83"/>
    <w:rsid w:val="00283C66"/>
    <w:rsid w:val="00285319"/>
    <w:rsid w:val="00286F9B"/>
    <w:rsid w:val="0029081C"/>
    <w:rsid w:val="002921EF"/>
    <w:rsid w:val="0029270C"/>
    <w:rsid w:val="00295E71"/>
    <w:rsid w:val="002A10CC"/>
    <w:rsid w:val="002A158A"/>
    <w:rsid w:val="002A180E"/>
    <w:rsid w:val="002A5B9D"/>
    <w:rsid w:val="002B503C"/>
    <w:rsid w:val="002B5D1C"/>
    <w:rsid w:val="002B7682"/>
    <w:rsid w:val="002C18D6"/>
    <w:rsid w:val="002C2C18"/>
    <w:rsid w:val="002C3D48"/>
    <w:rsid w:val="002C4599"/>
    <w:rsid w:val="002C53CC"/>
    <w:rsid w:val="002C6C22"/>
    <w:rsid w:val="002D58A2"/>
    <w:rsid w:val="002D6C0E"/>
    <w:rsid w:val="002E736A"/>
    <w:rsid w:val="002E7A1B"/>
    <w:rsid w:val="002F2A63"/>
    <w:rsid w:val="002F36D2"/>
    <w:rsid w:val="002F4451"/>
    <w:rsid w:val="002F47F5"/>
    <w:rsid w:val="002F4D2D"/>
    <w:rsid w:val="002F5880"/>
    <w:rsid w:val="002F5887"/>
    <w:rsid w:val="002F7D56"/>
    <w:rsid w:val="00300B47"/>
    <w:rsid w:val="003027C2"/>
    <w:rsid w:val="00302C05"/>
    <w:rsid w:val="0030385D"/>
    <w:rsid w:val="00305263"/>
    <w:rsid w:val="0030674E"/>
    <w:rsid w:val="00307998"/>
    <w:rsid w:val="00307DB4"/>
    <w:rsid w:val="003165E2"/>
    <w:rsid w:val="00320092"/>
    <w:rsid w:val="003218CC"/>
    <w:rsid w:val="0032208C"/>
    <w:rsid w:val="00322632"/>
    <w:rsid w:val="003228AC"/>
    <w:rsid w:val="00331E8B"/>
    <w:rsid w:val="0033642E"/>
    <w:rsid w:val="0034272A"/>
    <w:rsid w:val="003435D1"/>
    <w:rsid w:val="0034419A"/>
    <w:rsid w:val="0034462B"/>
    <w:rsid w:val="00350849"/>
    <w:rsid w:val="0035205B"/>
    <w:rsid w:val="003527CC"/>
    <w:rsid w:val="00352FE5"/>
    <w:rsid w:val="003602A3"/>
    <w:rsid w:val="003638E6"/>
    <w:rsid w:val="003656A6"/>
    <w:rsid w:val="00366A0F"/>
    <w:rsid w:val="00376182"/>
    <w:rsid w:val="00377C22"/>
    <w:rsid w:val="00382038"/>
    <w:rsid w:val="00390C81"/>
    <w:rsid w:val="00392980"/>
    <w:rsid w:val="00392A4C"/>
    <w:rsid w:val="00394BB1"/>
    <w:rsid w:val="003A3779"/>
    <w:rsid w:val="003A3E3A"/>
    <w:rsid w:val="003A4CBC"/>
    <w:rsid w:val="003A5619"/>
    <w:rsid w:val="003A60EB"/>
    <w:rsid w:val="003B2512"/>
    <w:rsid w:val="003B5895"/>
    <w:rsid w:val="003B5D04"/>
    <w:rsid w:val="003C3D44"/>
    <w:rsid w:val="003C4B37"/>
    <w:rsid w:val="003C6035"/>
    <w:rsid w:val="003C7204"/>
    <w:rsid w:val="003C7F64"/>
    <w:rsid w:val="003D0CE5"/>
    <w:rsid w:val="003D2C61"/>
    <w:rsid w:val="003D4405"/>
    <w:rsid w:val="003E12AC"/>
    <w:rsid w:val="003E33F5"/>
    <w:rsid w:val="003E561E"/>
    <w:rsid w:val="003E6954"/>
    <w:rsid w:val="003E7AAC"/>
    <w:rsid w:val="003F24DA"/>
    <w:rsid w:val="003F27DA"/>
    <w:rsid w:val="003F3462"/>
    <w:rsid w:val="003F7A59"/>
    <w:rsid w:val="00402D12"/>
    <w:rsid w:val="004039A9"/>
    <w:rsid w:val="0040605D"/>
    <w:rsid w:val="00406888"/>
    <w:rsid w:val="004077D9"/>
    <w:rsid w:val="0042197D"/>
    <w:rsid w:val="00426A25"/>
    <w:rsid w:val="00431C9F"/>
    <w:rsid w:val="004339AA"/>
    <w:rsid w:val="004365B0"/>
    <w:rsid w:val="0043762F"/>
    <w:rsid w:val="0043781D"/>
    <w:rsid w:val="00440A6B"/>
    <w:rsid w:val="00440CD8"/>
    <w:rsid w:val="00441EAC"/>
    <w:rsid w:val="00441F46"/>
    <w:rsid w:val="00444050"/>
    <w:rsid w:val="0044771C"/>
    <w:rsid w:val="00450742"/>
    <w:rsid w:val="00452341"/>
    <w:rsid w:val="00460EAB"/>
    <w:rsid w:val="0046480E"/>
    <w:rsid w:val="00466F40"/>
    <w:rsid w:val="00472D44"/>
    <w:rsid w:val="00475553"/>
    <w:rsid w:val="004823AE"/>
    <w:rsid w:val="004832EB"/>
    <w:rsid w:val="00485FC7"/>
    <w:rsid w:val="00486326"/>
    <w:rsid w:val="00486B60"/>
    <w:rsid w:val="00487EFD"/>
    <w:rsid w:val="0049015A"/>
    <w:rsid w:val="00494057"/>
    <w:rsid w:val="004945B2"/>
    <w:rsid w:val="00495532"/>
    <w:rsid w:val="00495863"/>
    <w:rsid w:val="00495B04"/>
    <w:rsid w:val="004A03E2"/>
    <w:rsid w:val="004A1761"/>
    <w:rsid w:val="004A1E92"/>
    <w:rsid w:val="004A229C"/>
    <w:rsid w:val="004A3F84"/>
    <w:rsid w:val="004A4297"/>
    <w:rsid w:val="004B02F5"/>
    <w:rsid w:val="004B2A1E"/>
    <w:rsid w:val="004B3277"/>
    <w:rsid w:val="004B592C"/>
    <w:rsid w:val="004B626E"/>
    <w:rsid w:val="004B6604"/>
    <w:rsid w:val="004B68CB"/>
    <w:rsid w:val="004B6AAF"/>
    <w:rsid w:val="004B778A"/>
    <w:rsid w:val="004C0446"/>
    <w:rsid w:val="004C0811"/>
    <w:rsid w:val="004D288B"/>
    <w:rsid w:val="004D49B8"/>
    <w:rsid w:val="004E130F"/>
    <w:rsid w:val="004E13D1"/>
    <w:rsid w:val="004E2205"/>
    <w:rsid w:val="004E2CB8"/>
    <w:rsid w:val="004E6285"/>
    <w:rsid w:val="004E6C79"/>
    <w:rsid w:val="004F163F"/>
    <w:rsid w:val="004F36C9"/>
    <w:rsid w:val="004F6D0F"/>
    <w:rsid w:val="00502A2E"/>
    <w:rsid w:val="00505D78"/>
    <w:rsid w:val="00505EB1"/>
    <w:rsid w:val="00520749"/>
    <w:rsid w:val="00520AB6"/>
    <w:rsid w:val="005268DC"/>
    <w:rsid w:val="005277FC"/>
    <w:rsid w:val="005311A4"/>
    <w:rsid w:val="00535A2F"/>
    <w:rsid w:val="00535C64"/>
    <w:rsid w:val="005426AE"/>
    <w:rsid w:val="005427B1"/>
    <w:rsid w:val="005427F0"/>
    <w:rsid w:val="0054477B"/>
    <w:rsid w:val="00551B2C"/>
    <w:rsid w:val="00554C8A"/>
    <w:rsid w:val="00556CF0"/>
    <w:rsid w:val="005601FB"/>
    <w:rsid w:val="0056113B"/>
    <w:rsid w:val="00564313"/>
    <w:rsid w:val="00565FD8"/>
    <w:rsid w:val="00566452"/>
    <w:rsid w:val="00566BE5"/>
    <w:rsid w:val="00567DEB"/>
    <w:rsid w:val="00567E1A"/>
    <w:rsid w:val="005706CD"/>
    <w:rsid w:val="00570B60"/>
    <w:rsid w:val="00572723"/>
    <w:rsid w:val="005774C0"/>
    <w:rsid w:val="00581899"/>
    <w:rsid w:val="0058319B"/>
    <w:rsid w:val="00587F91"/>
    <w:rsid w:val="00593528"/>
    <w:rsid w:val="00594884"/>
    <w:rsid w:val="00596315"/>
    <w:rsid w:val="00596FE4"/>
    <w:rsid w:val="005A5B8B"/>
    <w:rsid w:val="005A7D13"/>
    <w:rsid w:val="005A7E6E"/>
    <w:rsid w:val="005B138E"/>
    <w:rsid w:val="005B37CB"/>
    <w:rsid w:val="005B4DBF"/>
    <w:rsid w:val="005B72F5"/>
    <w:rsid w:val="005C0AE6"/>
    <w:rsid w:val="005C3CD2"/>
    <w:rsid w:val="005C3DEC"/>
    <w:rsid w:val="005C583E"/>
    <w:rsid w:val="005D2273"/>
    <w:rsid w:val="005E18A7"/>
    <w:rsid w:val="005E1F08"/>
    <w:rsid w:val="005E3CDE"/>
    <w:rsid w:val="005E3D22"/>
    <w:rsid w:val="005E62FD"/>
    <w:rsid w:val="005E6A05"/>
    <w:rsid w:val="005F1540"/>
    <w:rsid w:val="005F1F1D"/>
    <w:rsid w:val="005F227E"/>
    <w:rsid w:val="005F3EC7"/>
    <w:rsid w:val="005F44FC"/>
    <w:rsid w:val="005F4CFA"/>
    <w:rsid w:val="005F52EC"/>
    <w:rsid w:val="005F6DDD"/>
    <w:rsid w:val="005F7A9C"/>
    <w:rsid w:val="0060185A"/>
    <w:rsid w:val="00601EC5"/>
    <w:rsid w:val="00602CCA"/>
    <w:rsid w:val="00606B96"/>
    <w:rsid w:val="00607CD8"/>
    <w:rsid w:val="006138A9"/>
    <w:rsid w:val="00614E05"/>
    <w:rsid w:val="00616556"/>
    <w:rsid w:val="00617CA7"/>
    <w:rsid w:val="006210D7"/>
    <w:rsid w:val="0062168F"/>
    <w:rsid w:val="0062230D"/>
    <w:rsid w:val="00622797"/>
    <w:rsid w:val="006233BA"/>
    <w:rsid w:val="00623AA5"/>
    <w:rsid w:val="00624134"/>
    <w:rsid w:val="006303F1"/>
    <w:rsid w:val="00632BE4"/>
    <w:rsid w:val="0063534B"/>
    <w:rsid w:val="00640F79"/>
    <w:rsid w:val="00641C34"/>
    <w:rsid w:val="00643716"/>
    <w:rsid w:val="00643972"/>
    <w:rsid w:val="00647EC8"/>
    <w:rsid w:val="00650AC8"/>
    <w:rsid w:val="00650E12"/>
    <w:rsid w:val="00652DA8"/>
    <w:rsid w:val="006533C4"/>
    <w:rsid w:val="00655813"/>
    <w:rsid w:val="006560D2"/>
    <w:rsid w:val="00660FE3"/>
    <w:rsid w:val="00661590"/>
    <w:rsid w:val="006617E6"/>
    <w:rsid w:val="00663351"/>
    <w:rsid w:val="00664676"/>
    <w:rsid w:val="00664A76"/>
    <w:rsid w:val="00666B24"/>
    <w:rsid w:val="006672B1"/>
    <w:rsid w:val="00671F55"/>
    <w:rsid w:val="006743B4"/>
    <w:rsid w:val="0067530F"/>
    <w:rsid w:val="00675B66"/>
    <w:rsid w:val="00675DCA"/>
    <w:rsid w:val="00677EC0"/>
    <w:rsid w:val="00680052"/>
    <w:rsid w:val="00682A76"/>
    <w:rsid w:val="00684CF2"/>
    <w:rsid w:val="00687174"/>
    <w:rsid w:val="00697FA2"/>
    <w:rsid w:val="006A1BBC"/>
    <w:rsid w:val="006A20BC"/>
    <w:rsid w:val="006A31BD"/>
    <w:rsid w:val="006A3C46"/>
    <w:rsid w:val="006A66AF"/>
    <w:rsid w:val="006B014B"/>
    <w:rsid w:val="006B0F55"/>
    <w:rsid w:val="006B1144"/>
    <w:rsid w:val="006B1399"/>
    <w:rsid w:val="006B171A"/>
    <w:rsid w:val="006B4158"/>
    <w:rsid w:val="006B468D"/>
    <w:rsid w:val="006B6EB6"/>
    <w:rsid w:val="006C116C"/>
    <w:rsid w:val="006C27E1"/>
    <w:rsid w:val="006C31A1"/>
    <w:rsid w:val="006C3603"/>
    <w:rsid w:val="006C458A"/>
    <w:rsid w:val="006C4ABC"/>
    <w:rsid w:val="006C51EE"/>
    <w:rsid w:val="006C56C9"/>
    <w:rsid w:val="006C76C5"/>
    <w:rsid w:val="006D18CD"/>
    <w:rsid w:val="006D27FA"/>
    <w:rsid w:val="006D289E"/>
    <w:rsid w:val="006D37F7"/>
    <w:rsid w:val="006D7480"/>
    <w:rsid w:val="006E1AE3"/>
    <w:rsid w:val="006E3751"/>
    <w:rsid w:val="006E46EA"/>
    <w:rsid w:val="006F06C7"/>
    <w:rsid w:val="006F1536"/>
    <w:rsid w:val="006F1D9F"/>
    <w:rsid w:val="006F358B"/>
    <w:rsid w:val="006F66F8"/>
    <w:rsid w:val="007003CD"/>
    <w:rsid w:val="00703C30"/>
    <w:rsid w:val="00704058"/>
    <w:rsid w:val="0070538D"/>
    <w:rsid w:val="0070637D"/>
    <w:rsid w:val="0070738F"/>
    <w:rsid w:val="00710940"/>
    <w:rsid w:val="00714BB9"/>
    <w:rsid w:val="0072139E"/>
    <w:rsid w:val="007224FA"/>
    <w:rsid w:val="00722FE8"/>
    <w:rsid w:val="007245EF"/>
    <w:rsid w:val="0072476C"/>
    <w:rsid w:val="00725240"/>
    <w:rsid w:val="00725F80"/>
    <w:rsid w:val="0072747B"/>
    <w:rsid w:val="00732AB6"/>
    <w:rsid w:val="00735F44"/>
    <w:rsid w:val="00741515"/>
    <w:rsid w:val="00743F70"/>
    <w:rsid w:val="00745F72"/>
    <w:rsid w:val="00747ABC"/>
    <w:rsid w:val="007503C0"/>
    <w:rsid w:val="0075171F"/>
    <w:rsid w:val="00753083"/>
    <w:rsid w:val="00753FBC"/>
    <w:rsid w:val="00754E88"/>
    <w:rsid w:val="00757E6C"/>
    <w:rsid w:val="007633C6"/>
    <w:rsid w:val="0076418E"/>
    <w:rsid w:val="007643C1"/>
    <w:rsid w:val="007657AF"/>
    <w:rsid w:val="007660C1"/>
    <w:rsid w:val="007667C2"/>
    <w:rsid w:val="00771969"/>
    <w:rsid w:val="00775418"/>
    <w:rsid w:val="00776897"/>
    <w:rsid w:val="00776AAB"/>
    <w:rsid w:val="00777702"/>
    <w:rsid w:val="00782A24"/>
    <w:rsid w:val="00783DBA"/>
    <w:rsid w:val="0078719F"/>
    <w:rsid w:val="0078787E"/>
    <w:rsid w:val="0078790C"/>
    <w:rsid w:val="007923C7"/>
    <w:rsid w:val="00794493"/>
    <w:rsid w:val="00794B0E"/>
    <w:rsid w:val="007A49CB"/>
    <w:rsid w:val="007A5103"/>
    <w:rsid w:val="007A5B32"/>
    <w:rsid w:val="007A6468"/>
    <w:rsid w:val="007B1895"/>
    <w:rsid w:val="007B1942"/>
    <w:rsid w:val="007B4CC8"/>
    <w:rsid w:val="007B5B57"/>
    <w:rsid w:val="007B5F88"/>
    <w:rsid w:val="007C128A"/>
    <w:rsid w:val="007C47B8"/>
    <w:rsid w:val="007C6974"/>
    <w:rsid w:val="007C70CD"/>
    <w:rsid w:val="007C7163"/>
    <w:rsid w:val="007D0A2C"/>
    <w:rsid w:val="007D37F1"/>
    <w:rsid w:val="007D3AE2"/>
    <w:rsid w:val="007D6302"/>
    <w:rsid w:val="007E0093"/>
    <w:rsid w:val="007E1163"/>
    <w:rsid w:val="007E1CAA"/>
    <w:rsid w:val="007E3979"/>
    <w:rsid w:val="007E427A"/>
    <w:rsid w:val="007E4E9C"/>
    <w:rsid w:val="007E64F7"/>
    <w:rsid w:val="007F2C7B"/>
    <w:rsid w:val="007F4455"/>
    <w:rsid w:val="0080141C"/>
    <w:rsid w:val="00803A6E"/>
    <w:rsid w:val="0080437D"/>
    <w:rsid w:val="008060F4"/>
    <w:rsid w:val="0080703B"/>
    <w:rsid w:val="00811576"/>
    <w:rsid w:val="00817BF2"/>
    <w:rsid w:val="008231F5"/>
    <w:rsid w:val="008247DB"/>
    <w:rsid w:val="00825478"/>
    <w:rsid w:val="008303AD"/>
    <w:rsid w:val="00830C6E"/>
    <w:rsid w:val="008324E2"/>
    <w:rsid w:val="008336BB"/>
    <w:rsid w:val="00833854"/>
    <w:rsid w:val="00834637"/>
    <w:rsid w:val="0083725B"/>
    <w:rsid w:val="00840858"/>
    <w:rsid w:val="00841EF7"/>
    <w:rsid w:val="00843BE7"/>
    <w:rsid w:val="00843DAB"/>
    <w:rsid w:val="0084691B"/>
    <w:rsid w:val="00846F7F"/>
    <w:rsid w:val="0085210C"/>
    <w:rsid w:val="00854F68"/>
    <w:rsid w:val="00860223"/>
    <w:rsid w:val="008611AA"/>
    <w:rsid w:val="00862B33"/>
    <w:rsid w:val="00863CA0"/>
    <w:rsid w:val="008702C1"/>
    <w:rsid w:val="008710C4"/>
    <w:rsid w:val="00872349"/>
    <w:rsid w:val="00873BF3"/>
    <w:rsid w:val="0087502F"/>
    <w:rsid w:val="0087683B"/>
    <w:rsid w:val="00877E9B"/>
    <w:rsid w:val="008849C2"/>
    <w:rsid w:val="008851F7"/>
    <w:rsid w:val="00886462"/>
    <w:rsid w:val="00887600"/>
    <w:rsid w:val="00887D70"/>
    <w:rsid w:val="00891255"/>
    <w:rsid w:val="008929B6"/>
    <w:rsid w:val="00894AE3"/>
    <w:rsid w:val="008A0485"/>
    <w:rsid w:val="008A0A85"/>
    <w:rsid w:val="008A0EBC"/>
    <w:rsid w:val="008A2087"/>
    <w:rsid w:val="008A4DEF"/>
    <w:rsid w:val="008A5769"/>
    <w:rsid w:val="008A643B"/>
    <w:rsid w:val="008A746B"/>
    <w:rsid w:val="008B07BF"/>
    <w:rsid w:val="008B1CB9"/>
    <w:rsid w:val="008B291C"/>
    <w:rsid w:val="008B2A5D"/>
    <w:rsid w:val="008B2A7E"/>
    <w:rsid w:val="008B61C7"/>
    <w:rsid w:val="008B750D"/>
    <w:rsid w:val="008C0F1A"/>
    <w:rsid w:val="008D13BA"/>
    <w:rsid w:val="008D336C"/>
    <w:rsid w:val="008D6E6D"/>
    <w:rsid w:val="008F06A7"/>
    <w:rsid w:val="008F0CE2"/>
    <w:rsid w:val="008F3082"/>
    <w:rsid w:val="008F58D3"/>
    <w:rsid w:val="008F613C"/>
    <w:rsid w:val="008F7883"/>
    <w:rsid w:val="008F7B47"/>
    <w:rsid w:val="00900333"/>
    <w:rsid w:val="00901FFF"/>
    <w:rsid w:val="0090216C"/>
    <w:rsid w:val="00904CD6"/>
    <w:rsid w:val="00910E8A"/>
    <w:rsid w:val="009156AB"/>
    <w:rsid w:val="00915984"/>
    <w:rsid w:val="009167E2"/>
    <w:rsid w:val="00920262"/>
    <w:rsid w:val="0092114E"/>
    <w:rsid w:val="0092668F"/>
    <w:rsid w:val="00927580"/>
    <w:rsid w:val="00927BDE"/>
    <w:rsid w:val="009302F5"/>
    <w:rsid w:val="00933C71"/>
    <w:rsid w:val="00935843"/>
    <w:rsid w:val="009370B6"/>
    <w:rsid w:val="0093712C"/>
    <w:rsid w:val="00940E62"/>
    <w:rsid w:val="009422ED"/>
    <w:rsid w:val="00945C61"/>
    <w:rsid w:val="00950D9A"/>
    <w:rsid w:val="0095111A"/>
    <w:rsid w:val="009604FA"/>
    <w:rsid w:val="0096125A"/>
    <w:rsid w:val="009618C9"/>
    <w:rsid w:val="00961A2B"/>
    <w:rsid w:val="00964E4C"/>
    <w:rsid w:val="00965258"/>
    <w:rsid w:val="009656AD"/>
    <w:rsid w:val="00967142"/>
    <w:rsid w:val="00970821"/>
    <w:rsid w:val="009722F8"/>
    <w:rsid w:val="00972BCE"/>
    <w:rsid w:val="00973854"/>
    <w:rsid w:val="00975420"/>
    <w:rsid w:val="0097585C"/>
    <w:rsid w:val="00977426"/>
    <w:rsid w:val="0098212A"/>
    <w:rsid w:val="009902BF"/>
    <w:rsid w:val="00991569"/>
    <w:rsid w:val="0099208C"/>
    <w:rsid w:val="00992F11"/>
    <w:rsid w:val="0099563F"/>
    <w:rsid w:val="009A7526"/>
    <w:rsid w:val="009B25B6"/>
    <w:rsid w:val="009B3DAD"/>
    <w:rsid w:val="009B5BE3"/>
    <w:rsid w:val="009B5F55"/>
    <w:rsid w:val="009B6776"/>
    <w:rsid w:val="009C1695"/>
    <w:rsid w:val="009C44E9"/>
    <w:rsid w:val="009C524B"/>
    <w:rsid w:val="009C6215"/>
    <w:rsid w:val="009C7F6C"/>
    <w:rsid w:val="009D298D"/>
    <w:rsid w:val="009D747F"/>
    <w:rsid w:val="009D77CC"/>
    <w:rsid w:val="009E0282"/>
    <w:rsid w:val="009E0D1C"/>
    <w:rsid w:val="009E157D"/>
    <w:rsid w:val="009E1D13"/>
    <w:rsid w:val="009E1DA6"/>
    <w:rsid w:val="009E361B"/>
    <w:rsid w:val="009E7DDD"/>
    <w:rsid w:val="009F020F"/>
    <w:rsid w:val="009F0806"/>
    <w:rsid w:val="009F171D"/>
    <w:rsid w:val="009F4C04"/>
    <w:rsid w:val="009F53DE"/>
    <w:rsid w:val="009F6C48"/>
    <w:rsid w:val="009F7004"/>
    <w:rsid w:val="00A00F19"/>
    <w:rsid w:val="00A01458"/>
    <w:rsid w:val="00A028A3"/>
    <w:rsid w:val="00A05825"/>
    <w:rsid w:val="00A07374"/>
    <w:rsid w:val="00A07BFE"/>
    <w:rsid w:val="00A101FA"/>
    <w:rsid w:val="00A1113E"/>
    <w:rsid w:val="00A11C26"/>
    <w:rsid w:val="00A12D02"/>
    <w:rsid w:val="00A14A8C"/>
    <w:rsid w:val="00A27158"/>
    <w:rsid w:val="00A27E9E"/>
    <w:rsid w:val="00A3035C"/>
    <w:rsid w:val="00A31B84"/>
    <w:rsid w:val="00A3206E"/>
    <w:rsid w:val="00A334B7"/>
    <w:rsid w:val="00A34142"/>
    <w:rsid w:val="00A409D7"/>
    <w:rsid w:val="00A4310E"/>
    <w:rsid w:val="00A458D9"/>
    <w:rsid w:val="00A45C46"/>
    <w:rsid w:val="00A500A0"/>
    <w:rsid w:val="00A50EAA"/>
    <w:rsid w:val="00A50FDB"/>
    <w:rsid w:val="00A51D80"/>
    <w:rsid w:val="00A51F67"/>
    <w:rsid w:val="00A520AD"/>
    <w:rsid w:val="00A5295D"/>
    <w:rsid w:val="00A52F65"/>
    <w:rsid w:val="00A54292"/>
    <w:rsid w:val="00A55DF7"/>
    <w:rsid w:val="00A6027E"/>
    <w:rsid w:val="00A64F4C"/>
    <w:rsid w:val="00A66519"/>
    <w:rsid w:val="00A67CFF"/>
    <w:rsid w:val="00A7360C"/>
    <w:rsid w:val="00A742E0"/>
    <w:rsid w:val="00A76EEE"/>
    <w:rsid w:val="00A80023"/>
    <w:rsid w:val="00A81404"/>
    <w:rsid w:val="00A83D0F"/>
    <w:rsid w:val="00A858AF"/>
    <w:rsid w:val="00A87C19"/>
    <w:rsid w:val="00A909CB"/>
    <w:rsid w:val="00A9126A"/>
    <w:rsid w:val="00A91C90"/>
    <w:rsid w:val="00A91F5D"/>
    <w:rsid w:val="00A926EB"/>
    <w:rsid w:val="00A92B75"/>
    <w:rsid w:val="00A94461"/>
    <w:rsid w:val="00A95CB4"/>
    <w:rsid w:val="00A96D93"/>
    <w:rsid w:val="00AA139F"/>
    <w:rsid w:val="00AA17CF"/>
    <w:rsid w:val="00AA33E8"/>
    <w:rsid w:val="00AA469A"/>
    <w:rsid w:val="00AA5C13"/>
    <w:rsid w:val="00AA5D4D"/>
    <w:rsid w:val="00AA7FFB"/>
    <w:rsid w:val="00AB2277"/>
    <w:rsid w:val="00AB3CED"/>
    <w:rsid w:val="00AB3FF5"/>
    <w:rsid w:val="00AB786F"/>
    <w:rsid w:val="00AC1E29"/>
    <w:rsid w:val="00AC2D5A"/>
    <w:rsid w:val="00AC74C4"/>
    <w:rsid w:val="00AC7E9D"/>
    <w:rsid w:val="00AD12B8"/>
    <w:rsid w:val="00AE0241"/>
    <w:rsid w:val="00AE17E7"/>
    <w:rsid w:val="00AE465E"/>
    <w:rsid w:val="00AE4CBA"/>
    <w:rsid w:val="00AE76F8"/>
    <w:rsid w:val="00AF0957"/>
    <w:rsid w:val="00AF0D12"/>
    <w:rsid w:val="00AF3FFA"/>
    <w:rsid w:val="00AF71C4"/>
    <w:rsid w:val="00B00207"/>
    <w:rsid w:val="00B05851"/>
    <w:rsid w:val="00B0782F"/>
    <w:rsid w:val="00B101E5"/>
    <w:rsid w:val="00B112C5"/>
    <w:rsid w:val="00B11F07"/>
    <w:rsid w:val="00B133CB"/>
    <w:rsid w:val="00B13B6E"/>
    <w:rsid w:val="00B147AB"/>
    <w:rsid w:val="00B155C1"/>
    <w:rsid w:val="00B21C0A"/>
    <w:rsid w:val="00B22A4B"/>
    <w:rsid w:val="00B22DB0"/>
    <w:rsid w:val="00B22F65"/>
    <w:rsid w:val="00B235E9"/>
    <w:rsid w:val="00B24B80"/>
    <w:rsid w:val="00B27B5A"/>
    <w:rsid w:val="00B3025C"/>
    <w:rsid w:val="00B313D0"/>
    <w:rsid w:val="00B31762"/>
    <w:rsid w:val="00B326FE"/>
    <w:rsid w:val="00B34752"/>
    <w:rsid w:val="00B349E6"/>
    <w:rsid w:val="00B35380"/>
    <w:rsid w:val="00B37068"/>
    <w:rsid w:val="00B376C1"/>
    <w:rsid w:val="00B43FFC"/>
    <w:rsid w:val="00B44022"/>
    <w:rsid w:val="00B44AA0"/>
    <w:rsid w:val="00B52170"/>
    <w:rsid w:val="00B535B3"/>
    <w:rsid w:val="00B61505"/>
    <w:rsid w:val="00B627D4"/>
    <w:rsid w:val="00B6359B"/>
    <w:rsid w:val="00B65B4A"/>
    <w:rsid w:val="00B66084"/>
    <w:rsid w:val="00B72013"/>
    <w:rsid w:val="00B7444D"/>
    <w:rsid w:val="00B74EA4"/>
    <w:rsid w:val="00B757BC"/>
    <w:rsid w:val="00B767B2"/>
    <w:rsid w:val="00B76B64"/>
    <w:rsid w:val="00B80D9B"/>
    <w:rsid w:val="00B8145F"/>
    <w:rsid w:val="00B8564D"/>
    <w:rsid w:val="00B868EB"/>
    <w:rsid w:val="00B87BEB"/>
    <w:rsid w:val="00B93E8C"/>
    <w:rsid w:val="00B96D52"/>
    <w:rsid w:val="00B97825"/>
    <w:rsid w:val="00B978A1"/>
    <w:rsid w:val="00BA3F74"/>
    <w:rsid w:val="00BA48D1"/>
    <w:rsid w:val="00BA523F"/>
    <w:rsid w:val="00BA53F7"/>
    <w:rsid w:val="00BB6B40"/>
    <w:rsid w:val="00BC218C"/>
    <w:rsid w:val="00BC32C0"/>
    <w:rsid w:val="00BC3BCB"/>
    <w:rsid w:val="00BC3EC4"/>
    <w:rsid w:val="00BC4F30"/>
    <w:rsid w:val="00BC594C"/>
    <w:rsid w:val="00BC5C13"/>
    <w:rsid w:val="00BC6A22"/>
    <w:rsid w:val="00BC7980"/>
    <w:rsid w:val="00BD088A"/>
    <w:rsid w:val="00BD0BAE"/>
    <w:rsid w:val="00BD2722"/>
    <w:rsid w:val="00BD34BA"/>
    <w:rsid w:val="00BD3697"/>
    <w:rsid w:val="00BD55DE"/>
    <w:rsid w:val="00BE1B66"/>
    <w:rsid w:val="00BE2AA7"/>
    <w:rsid w:val="00BE2C08"/>
    <w:rsid w:val="00BE45CA"/>
    <w:rsid w:val="00BE6E11"/>
    <w:rsid w:val="00BF05D8"/>
    <w:rsid w:val="00BF2F67"/>
    <w:rsid w:val="00BF3545"/>
    <w:rsid w:val="00BF53E9"/>
    <w:rsid w:val="00C00373"/>
    <w:rsid w:val="00C01BDD"/>
    <w:rsid w:val="00C026C5"/>
    <w:rsid w:val="00C026CE"/>
    <w:rsid w:val="00C040A5"/>
    <w:rsid w:val="00C06AB9"/>
    <w:rsid w:val="00C112E2"/>
    <w:rsid w:val="00C153B5"/>
    <w:rsid w:val="00C15B06"/>
    <w:rsid w:val="00C16A1B"/>
    <w:rsid w:val="00C213D6"/>
    <w:rsid w:val="00C216E3"/>
    <w:rsid w:val="00C2748E"/>
    <w:rsid w:val="00C27F2A"/>
    <w:rsid w:val="00C27FBD"/>
    <w:rsid w:val="00C30398"/>
    <w:rsid w:val="00C31B17"/>
    <w:rsid w:val="00C35520"/>
    <w:rsid w:val="00C35639"/>
    <w:rsid w:val="00C37550"/>
    <w:rsid w:val="00C416C1"/>
    <w:rsid w:val="00C41772"/>
    <w:rsid w:val="00C4208D"/>
    <w:rsid w:val="00C427FC"/>
    <w:rsid w:val="00C44FD0"/>
    <w:rsid w:val="00C4606F"/>
    <w:rsid w:val="00C4693B"/>
    <w:rsid w:val="00C50628"/>
    <w:rsid w:val="00C53422"/>
    <w:rsid w:val="00C6133A"/>
    <w:rsid w:val="00C617F5"/>
    <w:rsid w:val="00C62717"/>
    <w:rsid w:val="00C6318E"/>
    <w:rsid w:val="00C64128"/>
    <w:rsid w:val="00C649DA"/>
    <w:rsid w:val="00C65B07"/>
    <w:rsid w:val="00C674B3"/>
    <w:rsid w:val="00C67733"/>
    <w:rsid w:val="00C7384D"/>
    <w:rsid w:val="00C73F92"/>
    <w:rsid w:val="00C746D0"/>
    <w:rsid w:val="00C7555F"/>
    <w:rsid w:val="00C760F2"/>
    <w:rsid w:val="00C766D0"/>
    <w:rsid w:val="00C76746"/>
    <w:rsid w:val="00C775B1"/>
    <w:rsid w:val="00C80D80"/>
    <w:rsid w:val="00C80F8B"/>
    <w:rsid w:val="00C8474A"/>
    <w:rsid w:val="00C849D6"/>
    <w:rsid w:val="00C84D47"/>
    <w:rsid w:val="00C86442"/>
    <w:rsid w:val="00C865BA"/>
    <w:rsid w:val="00C90023"/>
    <w:rsid w:val="00C90592"/>
    <w:rsid w:val="00C90C77"/>
    <w:rsid w:val="00C92881"/>
    <w:rsid w:val="00C92E3B"/>
    <w:rsid w:val="00C93B16"/>
    <w:rsid w:val="00C95D92"/>
    <w:rsid w:val="00C95E07"/>
    <w:rsid w:val="00C961CE"/>
    <w:rsid w:val="00C97FF6"/>
    <w:rsid w:val="00CA073B"/>
    <w:rsid w:val="00CA073F"/>
    <w:rsid w:val="00CA13F5"/>
    <w:rsid w:val="00CA4418"/>
    <w:rsid w:val="00CA4F70"/>
    <w:rsid w:val="00CA58B7"/>
    <w:rsid w:val="00CA7EBE"/>
    <w:rsid w:val="00CB09FF"/>
    <w:rsid w:val="00CB2714"/>
    <w:rsid w:val="00CB462D"/>
    <w:rsid w:val="00CB6FF6"/>
    <w:rsid w:val="00CC0864"/>
    <w:rsid w:val="00CC2C0E"/>
    <w:rsid w:val="00CC2D6E"/>
    <w:rsid w:val="00CD1AAB"/>
    <w:rsid w:val="00CD2EF6"/>
    <w:rsid w:val="00CD3E2D"/>
    <w:rsid w:val="00CD44AD"/>
    <w:rsid w:val="00CD4892"/>
    <w:rsid w:val="00CD6D53"/>
    <w:rsid w:val="00CD7733"/>
    <w:rsid w:val="00CD7EB7"/>
    <w:rsid w:val="00CE0473"/>
    <w:rsid w:val="00CE0C19"/>
    <w:rsid w:val="00CE1214"/>
    <w:rsid w:val="00CE473B"/>
    <w:rsid w:val="00CE4927"/>
    <w:rsid w:val="00CE753B"/>
    <w:rsid w:val="00CF015F"/>
    <w:rsid w:val="00CF2FC3"/>
    <w:rsid w:val="00D03F44"/>
    <w:rsid w:val="00D04854"/>
    <w:rsid w:val="00D04AF0"/>
    <w:rsid w:val="00D07012"/>
    <w:rsid w:val="00D105CA"/>
    <w:rsid w:val="00D11EE3"/>
    <w:rsid w:val="00D13F3F"/>
    <w:rsid w:val="00D145EF"/>
    <w:rsid w:val="00D14AE3"/>
    <w:rsid w:val="00D15EF7"/>
    <w:rsid w:val="00D200EC"/>
    <w:rsid w:val="00D205F9"/>
    <w:rsid w:val="00D21329"/>
    <w:rsid w:val="00D2303E"/>
    <w:rsid w:val="00D23B24"/>
    <w:rsid w:val="00D26FF8"/>
    <w:rsid w:val="00D2792A"/>
    <w:rsid w:val="00D30271"/>
    <w:rsid w:val="00D30B78"/>
    <w:rsid w:val="00D31CEE"/>
    <w:rsid w:val="00D32279"/>
    <w:rsid w:val="00D35420"/>
    <w:rsid w:val="00D37231"/>
    <w:rsid w:val="00D427C9"/>
    <w:rsid w:val="00D44309"/>
    <w:rsid w:val="00D46442"/>
    <w:rsid w:val="00D46BD2"/>
    <w:rsid w:val="00D5005D"/>
    <w:rsid w:val="00D50A21"/>
    <w:rsid w:val="00D50BCF"/>
    <w:rsid w:val="00D511B9"/>
    <w:rsid w:val="00D513D5"/>
    <w:rsid w:val="00D51482"/>
    <w:rsid w:val="00D52E6A"/>
    <w:rsid w:val="00D53F92"/>
    <w:rsid w:val="00D57A0E"/>
    <w:rsid w:val="00D60AF8"/>
    <w:rsid w:val="00D6167E"/>
    <w:rsid w:val="00D619C8"/>
    <w:rsid w:val="00D62004"/>
    <w:rsid w:val="00D62C75"/>
    <w:rsid w:val="00D65FC8"/>
    <w:rsid w:val="00D66CCA"/>
    <w:rsid w:val="00D716B5"/>
    <w:rsid w:val="00D7471C"/>
    <w:rsid w:val="00D74858"/>
    <w:rsid w:val="00D76861"/>
    <w:rsid w:val="00D77945"/>
    <w:rsid w:val="00D81AB9"/>
    <w:rsid w:val="00D82427"/>
    <w:rsid w:val="00D86858"/>
    <w:rsid w:val="00D87455"/>
    <w:rsid w:val="00D97A0A"/>
    <w:rsid w:val="00DA0490"/>
    <w:rsid w:val="00DA0598"/>
    <w:rsid w:val="00DA0EFA"/>
    <w:rsid w:val="00DA198F"/>
    <w:rsid w:val="00DA1EA0"/>
    <w:rsid w:val="00DA4093"/>
    <w:rsid w:val="00DA5E9D"/>
    <w:rsid w:val="00DA6431"/>
    <w:rsid w:val="00DA6EC2"/>
    <w:rsid w:val="00DA73F1"/>
    <w:rsid w:val="00DB087C"/>
    <w:rsid w:val="00DB0988"/>
    <w:rsid w:val="00DB4EF5"/>
    <w:rsid w:val="00DB5786"/>
    <w:rsid w:val="00DB5F1A"/>
    <w:rsid w:val="00DB64C8"/>
    <w:rsid w:val="00DB7017"/>
    <w:rsid w:val="00DC0C0F"/>
    <w:rsid w:val="00DC4648"/>
    <w:rsid w:val="00DC4BBC"/>
    <w:rsid w:val="00DC7122"/>
    <w:rsid w:val="00DD440E"/>
    <w:rsid w:val="00DE076C"/>
    <w:rsid w:val="00DE266E"/>
    <w:rsid w:val="00DE2B04"/>
    <w:rsid w:val="00DE2EA4"/>
    <w:rsid w:val="00DE4F5C"/>
    <w:rsid w:val="00DE566A"/>
    <w:rsid w:val="00DE5B74"/>
    <w:rsid w:val="00DE6FF7"/>
    <w:rsid w:val="00DF697E"/>
    <w:rsid w:val="00E014F1"/>
    <w:rsid w:val="00E0204C"/>
    <w:rsid w:val="00E036BA"/>
    <w:rsid w:val="00E0380B"/>
    <w:rsid w:val="00E05688"/>
    <w:rsid w:val="00E13F13"/>
    <w:rsid w:val="00E1419F"/>
    <w:rsid w:val="00E166A8"/>
    <w:rsid w:val="00E167B2"/>
    <w:rsid w:val="00E16FC0"/>
    <w:rsid w:val="00E20739"/>
    <w:rsid w:val="00E23BFD"/>
    <w:rsid w:val="00E25A63"/>
    <w:rsid w:val="00E25ACC"/>
    <w:rsid w:val="00E30B07"/>
    <w:rsid w:val="00E313C7"/>
    <w:rsid w:val="00E3491A"/>
    <w:rsid w:val="00E3615E"/>
    <w:rsid w:val="00E44283"/>
    <w:rsid w:val="00E47E8A"/>
    <w:rsid w:val="00E525E2"/>
    <w:rsid w:val="00E53C24"/>
    <w:rsid w:val="00E53C93"/>
    <w:rsid w:val="00E57A1A"/>
    <w:rsid w:val="00E6336B"/>
    <w:rsid w:val="00E63499"/>
    <w:rsid w:val="00E63785"/>
    <w:rsid w:val="00E65470"/>
    <w:rsid w:val="00E657FF"/>
    <w:rsid w:val="00E659C3"/>
    <w:rsid w:val="00E7030F"/>
    <w:rsid w:val="00E70EAF"/>
    <w:rsid w:val="00E727A9"/>
    <w:rsid w:val="00E72E21"/>
    <w:rsid w:val="00E75740"/>
    <w:rsid w:val="00E757D5"/>
    <w:rsid w:val="00E77101"/>
    <w:rsid w:val="00E77584"/>
    <w:rsid w:val="00E77CCF"/>
    <w:rsid w:val="00E77FCE"/>
    <w:rsid w:val="00E818AE"/>
    <w:rsid w:val="00E82091"/>
    <w:rsid w:val="00E82A2C"/>
    <w:rsid w:val="00E835F6"/>
    <w:rsid w:val="00E84CBE"/>
    <w:rsid w:val="00E86939"/>
    <w:rsid w:val="00E9058F"/>
    <w:rsid w:val="00E90C94"/>
    <w:rsid w:val="00E90D1F"/>
    <w:rsid w:val="00E91B28"/>
    <w:rsid w:val="00E947B5"/>
    <w:rsid w:val="00E947E5"/>
    <w:rsid w:val="00E976BF"/>
    <w:rsid w:val="00EA1EBD"/>
    <w:rsid w:val="00EA4618"/>
    <w:rsid w:val="00EA5122"/>
    <w:rsid w:val="00EA55DD"/>
    <w:rsid w:val="00EA718C"/>
    <w:rsid w:val="00EA7CE2"/>
    <w:rsid w:val="00EB37AA"/>
    <w:rsid w:val="00EB45D9"/>
    <w:rsid w:val="00EB5A34"/>
    <w:rsid w:val="00EB5D6D"/>
    <w:rsid w:val="00EB6977"/>
    <w:rsid w:val="00EB7BE0"/>
    <w:rsid w:val="00EC2AF6"/>
    <w:rsid w:val="00EC4091"/>
    <w:rsid w:val="00EC6B08"/>
    <w:rsid w:val="00EC71AA"/>
    <w:rsid w:val="00ED19FC"/>
    <w:rsid w:val="00ED35D0"/>
    <w:rsid w:val="00ED4B5F"/>
    <w:rsid w:val="00ED526E"/>
    <w:rsid w:val="00ED692F"/>
    <w:rsid w:val="00ED71F0"/>
    <w:rsid w:val="00EE2D8A"/>
    <w:rsid w:val="00EE5124"/>
    <w:rsid w:val="00EE63EF"/>
    <w:rsid w:val="00EF0AB6"/>
    <w:rsid w:val="00EF3222"/>
    <w:rsid w:val="00F01003"/>
    <w:rsid w:val="00F013A0"/>
    <w:rsid w:val="00F030B1"/>
    <w:rsid w:val="00F034DF"/>
    <w:rsid w:val="00F045DC"/>
    <w:rsid w:val="00F04A57"/>
    <w:rsid w:val="00F052BB"/>
    <w:rsid w:val="00F05BDD"/>
    <w:rsid w:val="00F07976"/>
    <w:rsid w:val="00F1128D"/>
    <w:rsid w:val="00F12150"/>
    <w:rsid w:val="00F1256E"/>
    <w:rsid w:val="00F13738"/>
    <w:rsid w:val="00F15C53"/>
    <w:rsid w:val="00F16FB5"/>
    <w:rsid w:val="00F2018A"/>
    <w:rsid w:val="00F21988"/>
    <w:rsid w:val="00F3054C"/>
    <w:rsid w:val="00F305AC"/>
    <w:rsid w:val="00F33821"/>
    <w:rsid w:val="00F37577"/>
    <w:rsid w:val="00F412D2"/>
    <w:rsid w:val="00F460C8"/>
    <w:rsid w:val="00F51A51"/>
    <w:rsid w:val="00F53C2C"/>
    <w:rsid w:val="00F54EC5"/>
    <w:rsid w:val="00F5706E"/>
    <w:rsid w:val="00F604BA"/>
    <w:rsid w:val="00F625DB"/>
    <w:rsid w:val="00F63DEE"/>
    <w:rsid w:val="00F64164"/>
    <w:rsid w:val="00F66FD5"/>
    <w:rsid w:val="00F715D7"/>
    <w:rsid w:val="00F7260F"/>
    <w:rsid w:val="00F7261A"/>
    <w:rsid w:val="00F72624"/>
    <w:rsid w:val="00F769AD"/>
    <w:rsid w:val="00F8315D"/>
    <w:rsid w:val="00F85644"/>
    <w:rsid w:val="00F873A4"/>
    <w:rsid w:val="00F91184"/>
    <w:rsid w:val="00F9332E"/>
    <w:rsid w:val="00F93371"/>
    <w:rsid w:val="00F93B2E"/>
    <w:rsid w:val="00F93BB5"/>
    <w:rsid w:val="00F97294"/>
    <w:rsid w:val="00F976F5"/>
    <w:rsid w:val="00FA018A"/>
    <w:rsid w:val="00FA3173"/>
    <w:rsid w:val="00FA3FF5"/>
    <w:rsid w:val="00FA4DBF"/>
    <w:rsid w:val="00FA5BF4"/>
    <w:rsid w:val="00FA74CC"/>
    <w:rsid w:val="00FB15C9"/>
    <w:rsid w:val="00FB2A3E"/>
    <w:rsid w:val="00FB2D56"/>
    <w:rsid w:val="00FB3F53"/>
    <w:rsid w:val="00FB4C3B"/>
    <w:rsid w:val="00FB6487"/>
    <w:rsid w:val="00FB6517"/>
    <w:rsid w:val="00FC01CA"/>
    <w:rsid w:val="00FC23C5"/>
    <w:rsid w:val="00FC33B3"/>
    <w:rsid w:val="00FC4CC3"/>
    <w:rsid w:val="00FC4F80"/>
    <w:rsid w:val="00FD0025"/>
    <w:rsid w:val="00FD052D"/>
    <w:rsid w:val="00FD474E"/>
    <w:rsid w:val="00FD6C50"/>
    <w:rsid w:val="00FD7E13"/>
    <w:rsid w:val="00FE1C22"/>
    <w:rsid w:val="00FE3400"/>
    <w:rsid w:val="00FE3C76"/>
    <w:rsid w:val="00FE5626"/>
    <w:rsid w:val="00FE77BA"/>
    <w:rsid w:val="00FF0266"/>
    <w:rsid w:val="00FF07E0"/>
    <w:rsid w:val="00FF2AC5"/>
    <w:rsid w:val="00FF76DF"/>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68D"/>
    <w:pPr>
      <w:widowControl w:val="0"/>
      <w:autoSpaceDE w:val="0"/>
      <w:autoSpaceDN w:val="0"/>
      <w:adjustRightInd w:val="0"/>
      <w:spacing w:line="240" w:lineRule="auto"/>
    </w:pPr>
    <w:rPr>
      <w:rFonts w:ascii="Mona Lisa Recut" w:eastAsia="Times New Roman" w:hAnsi="Mona Lisa Recu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6B468D"/>
    <w:pPr>
      <w:ind w:left="720" w:hanging="720"/>
      <w:outlineLvl w:val="0"/>
    </w:pPr>
  </w:style>
  <w:style w:type="paragraph" w:customStyle="1" w:styleId="Level2">
    <w:name w:val="Level 2"/>
    <w:basedOn w:val="Normal"/>
    <w:rsid w:val="006B468D"/>
    <w:pPr>
      <w:ind w:left="1440" w:hanging="720"/>
      <w:outlineLvl w:val="1"/>
    </w:pPr>
  </w:style>
  <w:style w:type="paragraph" w:styleId="Header">
    <w:name w:val="header"/>
    <w:basedOn w:val="Normal"/>
    <w:link w:val="HeaderChar"/>
    <w:rsid w:val="006B468D"/>
    <w:pPr>
      <w:tabs>
        <w:tab w:val="center" w:pos="4320"/>
        <w:tab w:val="right" w:pos="8640"/>
      </w:tabs>
    </w:pPr>
  </w:style>
  <w:style w:type="character" w:customStyle="1" w:styleId="HeaderChar">
    <w:name w:val="Header Char"/>
    <w:basedOn w:val="DefaultParagraphFont"/>
    <w:link w:val="Header"/>
    <w:rsid w:val="006B468D"/>
    <w:rPr>
      <w:rFonts w:ascii="Mona Lisa Recut" w:eastAsia="Times New Roman" w:hAnsi="Mona Lisa Recut" w:cs="Times New Roman"/>
      <w:sz w:val="24"/>
      <w:szCs w:val="24"/>
    </w:rPr>
  </w:style>
  <w:style w:type="paragraph" w:customStyle="1" w:styleId="Default">
    <w:name w:val="Default"/>
    <w:rsid w:val="006B468D"/>
    <w:pPr>
      <w:autoSpaceDE w:val="0"/>
      <w:autoSpaceDN w:val="0"/>
      <w:adjustRightInd w:val="0"/>
      <w:spacing w:line="240" w:lineRule="auto"/>
    </w:pPr>
    <w:rPr>
      <w:rFonts w:eastAsia="Times New Roman" w:cs="Times New Roman"/>
      <w:sz w:val="24"/>
      <w:szCs w:val="24"/>
    </w:rPr>
  </w:style>
  <w:style w:type="paragraph" w:styleId="Footer">
    <w:name w:val="footer"/>
    <w:basedOn w:val="Normal"/>
    <w:link w:val="FooterChar"/>
    <w:uiPriority w:val="99"/>
    <w:semiHidden/>
    <w:unhideWhenUsed/>
    <w:rsid w:val="00DE076C"/>
    <w:pPr>
      <w:tabs>
        <w:tab w:val="center" w:pos="4680"/>
        <w:tab w:val="right" w:pos="9360"/>
      </w:tabs>
    </w:pPr>
  </w:style>
  <w:style w:type="character" w:customStyle="1" w:styleId="FooterChar">
    <w:name w:val="Footer Char"/>
    <w:basedOn w:val="DefaultParagraphFont"/>
    <w:link w:val="Footer"/>
    <w:uiPriority w:val="99"/>
    <w:semiHidden/>
    <w:rsid w:val="00DE076C"/>
    <w:rPr>
      <w:rFonts w:ascii="Mona Lisa Recut" w:eastAsia="Times New Roman" w:hAnsi="Mona Lisa Recut"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68D"/>
    <w:pPr>
      <w:widowControl w:val="0"/>
      <w:autoSpaceDE w:val="0"/>
      <w:autoSpaceDN w:val="0"/>
      <w:adjustRightInd w:val="0"/>
      <w:spacing w:line="240" w:lineRule="auto"/>
    </w:pPr>
    <w:rPr>
      <w:rFonts w:ascii="Mona Lisa Recut" w:eastAsia="Times New Roman" w:hAnsi="Mona Lisa Recu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6B468D"/>
    <w:pPr>
      <w:ind w:left="720" w:hanging="720"/>
      <w:outlineLvl w:val="0"/>
    </w:pPr>
  </w:style>
  <w:style w:type="paragraph" w:customStyle="1" w:styleId="Level2">
    <w:name w:val="Level 2"/>
    <w:basedOn w:val="Normal"/>
    <w:rsid w:val="006B468D"/>
    <w:pPr>
      <w:ind w:left="1440" w:hanging="720"/>
      <w:outlineLvl w:val="1"/>
    </w:pPr>
  </w:style>
  <w:style w:type="paragraph" w:styleId="Header">
    <w:name w:val="header"/>
    <w:basedOn w:val="Normal"/>
    <w:link w:val="HeaderChar"/>
    <w:rsid w:val="006B468D"/>
    <w:pPr>
      <w:tabs>
        <w:tab w:val="center" w:pos="4320"/>
        <w:tab w:val="right" w:pos="8640"/>
      </w:tabs>
    </w:pPr>
  </w:style>
  <w:style w:type="character" w:customStyle="1" w:styleId="HeaderChar">
    <w:name w:val="Header Char"/>
    <w:basedOn w:val="DefaultParagraphFont"/>
    <w:link w:val="Header"/>
    <w:rsid w:val="006B468D"/>
    <w:rPr>
      <w:rFonts w:ascii="Mona Lisa Recut" w:eastAsia="Times New Roman" w:hAnsi="Mona Lisa Recut" w:cs="Times New Roman"/>
      <w:sz w:val="24"/>
      <w:szCs w:val="24"/>
    </w:rPr>
  </w:style>
  <w:style w:type="paragraph" w:customStyle="1" w:styleId="Default">
    <w:name w:val="Default"/>
    <w:rsid w:val="006B468D"/>
    <w:pPr>
      <w:autoSpaceDE w:val="0"/>
      <w:autoSpaceDN w:val="0"/>
      <w:adjustRightInd w:val="0"/>
      <w:spacing w:line="240" w:lineRule="auto"/>
    </w:pPr>
    <w:rPr>
      <w:rFonts w:eastAsia="Times New Roman" w:cs="Times New Roman"/>
      <w:sz w:val="24"/>
      <w:szCs w:val="24"/>
    </w:rPr>
  </w:style>
  <w:style w:type="paragraph" w:styleId="Footer">
    <w:name w:val="footer"/>
    <w:basedOn w:val="Normal"/>
    <w:link w:val="FooterChar"/>
    <w:uiPriority w:val="99"/>
    <w:semiHidden/>
    <w:unhideWhenUsed/>
    <w:rsid w:val="00DE076C"/>
    <w:pPr>
      <w:tabs>
        <w:tab w:val="center" w:pos="4680"/>
        <w:tab w:val="right" w:pos="9360"/>
      </w:tabs>
    </w:pPr>
  </w:style>
  <w:style w:type="character" w:customStyle="1" w:styleId="FooterChar">
    <w:name w:val="Footer Char"/>
    <w:basedOn w:val="DefaultParagraphFont"/>
    <w:link w:val="Footer"/>
    <w:uiPriority w:val="99"/>
    <w:semiHidden/>
    <w:rsid w:val="00DE076C"/>
    <w:rPr>
      <w:rFonts w:ascii="Mona Lisa Recut" w:eastAsia="Times New Roman" w:hAnsi="Mona Lisa Recu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35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87EC5-C2A8-4088-A4D3-82C8EEA6C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2085</Words>
  <Characters>11887</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2014-10-14T21:08:00Z</dcterms:created>
  <dcterms:modified xsi:type="dcterms:W3CDTF">2014-10-14T21:08:00Z</dcterms:modified>
</cp:coreProperties>
</file>