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4E" w:rsidRPr="00960C69" w:rsidRDefault="008B164E" w:rsidP="008B164E">
      <w:pPr>
        <w:rPr>
          <w:rFonts w:ascii="Arial" w:hAnsi="Arial" w:cs="Arial"/>
          <w:sz w:val="22"/>
          <w:szCs w:val="22"/>
        </w:rPr>
      </w:pPr>
      <w:bookmarkStart w:id="0" w:name="_GoBack"/>
      <w:bookmarkEnd w:id="0"/>
      <w:r w:rsidRPr="00960C69">
        <w:rPr>
          <w:rFonts w:ascii="Arial" w:hAnsi="Arial" w:cs="Arial"/>
          <w:sz w:val="22"/>
          <w:szCs w:val="22"/>
        </w:rPr>
        <w:t>Section 34</w:t>
      </w:r>
    </w:p>
    <w:p w:rsidR="008B164E" w:rsidRPr="00960C69" w:rsidRDefault="008B164E" w:rsidP="008B164E">
      <w:pPr>
        <w:rPr>
          <w:rFonts w:ascii="Arial" w:hAnsi="Arial" w:cs="Arial"/>
          <w:sz w:val="22"/>
          <w:szCs w:val="22"/>
        </w:rPr>
      </w:pPr>
    </w:p>
    <w:p w:rsidR="008B164E" w:rsidRPr="00960C69" w:rsidRDefault="0001005C" w:rsidP="008B164E">
      <w:pPr>
        <w:tabs>
          <w:tab w:val="center" w:pos="4680"/>
        </w:tabs>
        <w:jc w:val="center"/>
        <w:rPr>
          <w:rFonts w:ascii="Arial" w:hAnsi="Arial" w:cs="Arial"/>
          <w:sz w:val="22"/>
          <w:szCs w:val="22"/>
        </w:rPr>
      </w:pPr>
      <w:r>
        <w:rPr>
          <w:rFonts w:ascii="Arial" w:hAnsi="Arial" w:cs="Arial"/>
          <w:sz w:val="22"/>
          <w:szCs w:val="22"/>
        </w:rPr>
        <w:t>FINAL</w:t>
      </w:r>
      <w:r w:rsidR="008B164E" w:rsidRPr="00960C69">
        <w:rPr>
          <w:rFonts w:ascii="Arial" w:hAnsi="Arial" w:cs="Arial"/>
          <w:sz w:val="22"/>
          <w:szCs w:val="22"/>
        </w:rPr>
        <w:t xml:space="preserve"> SUPPORTING STATEMENT</w:t>
      </w:r>
    </w:p>
    <w:p w:rsidR="008B164E" w:rsidRPr="00960C69" w:rsidRDefault="008B164E" w:rsidP="008B164E">
      <w:pPr>
        <w:tabs>
          <w:tab w:val="center" w:pos="4680"/>
        </w:tabs>
        <w:jc w:val="center"/>
        <w:rPr>
          <w:rFonts w:ascii="Arial" w:hAnsi="Arial" w:cs="Arial"/>
          <w:sz w:val="22"/>
          <w:szCs w:val="22"/>
        </w:rPr>
      </w:pPr>
      <w:r w:rsidRPr="00960C69">
        <w:rPr>
          <w:rFonts w:ascii="Arial" w:hAnsi="Arial" w:cs="Arial"/>
          <w:sz w:val="22"/>
          <w:szCs w:val="22"/>
        </w:rPr>
        <w:t>FOR</w:t>
      </w:r>
    </w:p>
    <w:p w:rsidR="008B164E" w:rsidRPr="00960C69" w:rsidRDefault="008B164E" w:rsidP="008B164E">
      <w:pPr>
        <w:tabs>
          <w:tab w:val="center" w:pos="4680"/>
        </w:tabs>
        <w:jc w:val="center"/>
        <w:rPr>
          <w:rFonts w:ascii="Arial" w:hAnsi="Arial" w:cs="Arial"/>
          <w:sz w:val="22"/>
          <w:szCs w:val="22"/>
        </w:rPr>
      </w:pPr>
      <w:r w:rsidRPr="00960C69">
        <w:rPr>
          <w:rFonts w:ascii="Arial" w:hAnsi="Arial" w:cs="Arial"/>
          <w:sz w:val="22"/>
          <w:szCs w:val="22"/>
        </w:rPr>
        <w:t>10 CFR 50.70 TEAM INSPECTIONS OF POWER REACTOR LICENSEES</w:t>
      </w:r>
    </w:p>
    <w:p w:rsidR="008B164E" w:rsidRPr="00960C69" w:rsidRDefault="008B164E" w:rsidP="008B164E">
      <w:pPr>
        <w:ind w:firstLine="1440"/>
        <w:rPr>
          <w:rFonts w:ascii="Arial" w:hAnsi="Arial" w:cs="Arial"/>
          <w:sz w:val="22"/>
          <w:szCs w:val="22"/>
          <w:u w:val="single"/>
        </w:rPr>
      </w:pPr>
    </w:p>
    <w:p w:rsidR="008B164E" w:rsidRPr="00960C69" w:rsidRDefault="008B164E" w:rsidP="008B164E">
      <w:pPr>
        <w:rPr>
          <w:rFonts w:ascii="Arial" w:hAnsi="Arial" w:cs="Arial"/>
          <w:sz w:val="22"/>
          <w:szCs w:val="22"/>
          <w:u w:val="single"/>
        </w:rPr>
      </w:pPr>
    </w:p>
    <w:p w:rsidR="008B164E" w:rsidRPr="00960C69" w:rsidRDefault="008B164E" w:rsidP="008B164E">
      <w:pPr>
        <w:rPr>
          <w:rFonts w:ascii="Arial" w:hAnsi="Arial" w:cs="Arial"/>
          <w:sz w:val="22"/>
          <w:szCs w:val="22"/>
          <w:u w:val="single"/>
        </w:rPr>
      </w:pPr>
      <w:r w:rsidRPr="00960C69">
        <w:rPr>
          <w:rFonts w:ascii="Arial" w:hAnsi="Arial" w:cs="Arial"/>
          <w:sz w:val="22"/>
          <w:szCs w:val="22"/>
          <w:u w:val="single"/>
        </w:rPr>
        <w:t>Description of the Information Collection</w:t>
      </w:r>
    </w:p>
    <w:p w:rsidR="008B164E" w:rsidRPr="00960C69" w:rsidRDefault="008B164E" w:rsidP="008B164E">
      <w:pPr>
        <w:rPr>
          <w:rFonts w:ascii="Arial" w:hAnsi="Arial" w:cs="Arial"/>
          <w:sz w:val="22"/>
          <w:szCs w:val="22"/>
          <w:u w:val="single"/>
        </w:rPr>
      </w:pPr>
    </w:p>
    <w:p w:rsidR="008B164E" w:rsidRPr="00960C69" w:rsidRDefault="008B164E" w:rsidP="008B164E">
      <w:pPr>
        <w:rPr>
          <w:rFonts w:ascii="Arial" w:hAnsi="Arial" w:cs="Arial"/>
          <w:sz w:val="22"/>
          <w:szCs w:val="22"/>
        </w:rPr>
      </w:pPr>
      <w:r w:rsidRPr="00960C69">
        <w:rPr>
          <w:rFonts w:ascii="Arial" w:hAnsi="Arial" w:cs="Arial"/>
          <w:sz w:val="22"/>
          <w:szCs w:val="22"/>
        </w:rPr>
        <w:t>Pursuant to the Atomic Energy Act of 1954, as amended, the U.S. Nuclear Regulatory Commission (NRC) has the responsibility and authority to regulate nuclear power plants.  The NRC verifies licensees’ compliance with NRC rules and regulations by conducting inspections.  10 CFR 50.70 requires power-reactor licensees to permit inspection of licensee records, premises, activities, and licensed material as necessary for the NRC to ensure public health and safety.  For three types of inspections, the NRC requests licensees to submit relevant information before the inspection to improve efficiency and effectiveness for both the licensee and the NRC.  Licensees are encouraged to transmit this information electronically to reduce burden on themselves and the NRC.</w:t>
      </w:r>
    </w:p>
    <w:p w:rsidR="008B164E" w:rsidRPr="00960C69" w:rsidRDefault="008B164E" w:rsidP="008B164E">
      <w:pPr>
        <w:rPr>
          <w:rFonts w:ascii="Arial" w:hAnsi="Arial" w:cs="Arial"/>
          <w:sz w:val="22"/>
          <w:szCs w:val="22"/>
        </w:rPr>
      </w:pPr>
    </w:p>
    <w:p w:rsidR="008B164E" w:rsidRPr="00960C69" w:rsidRDefault="008B164E" w:rsidP="008B164E">
      <w:pPr>
        <w:pStyle w:val="Level1"/>
        <w:widowControl/>
        <w:numPr>
          <w:ilvl w:val="0"/>
          <w:numId w:val="5"/>
        </w:numPr>
        <w:tabs>
          <w:tab w:val="left" w:pos="-1440"/>
          <w:tab w:val="num" w:pos="720"/>
        </w:tabs>
        <w:autoSpaceDE w:val="0"/>
        <w:autoSpaceDN w:val="0"/>
        <w:adjustRightInd w:val="0"/>
        <w:ind w:left="720" w:hanging="720"/>
        <w:outlineLvl w:val="0"/>
        <w:rPr>
          <w:rFonts w:ascii="Arial" w:hAnsi="Arial"/>
          <w:sz w:val="22"/>
        </w:rPr>
      </w:pPr>
      <w:r w:rsidRPr="00960C69">
        <w:rPr>
          <w:rFonts w:ascii="Arial" w:hAnsi="Arial"/>
          <w:sz w:val="22"/>
          <w:u w:val="single"/>
        </w:rPr>
        <w:t>JUSTIFICATION</w:t>
      </w:r>
    </w:p>
    <w:p w:rsidR="008B164E" w:rsidRPr="00960C69" w:rsidRDefault="008B164E" w:rsidP="008B164E">
      <w:pPr>
        <w:pStyle w:val="Level1"/>
        <w:widowControl/>
        <w:tabs>
          <w:tab w:val="left" w:pos="-1440"/>
        </w:tabs>
        <w:rPr>
          <w:rFonts w:ascii="Arial" w:hAnsi="Arial"/>
          <w:sz w:val="22"/>
        </w:rPr>
      </w:pPr>
    </w:p>
    <w:p w:rsidR="008B164E" w:rsidRPr="00960C69" w:rsidRDefault="00296A8C" w:rsidP="00296A8C">
      <w:pPr>
        <w:pStyle w:val="Level1"/>
        <w:widowControl/>
        <w:tabs>
          <w:tab w:val="left" w:pos="-1440"/>
        </w:tabs>
        <w:autoSpaceDE w:val="0"/>
        <w:autoSpaceDN w:val="0"/>
        <w:adjustRightInd w:val="0"/>
        <w:ind w:left="720" w:hanging="360"/>
        <w:outlineLvl w:val="0"/>
        <w:rPr>
          <w:rFonts w:ascii="Arial" w:hAnsi="Arial"/>
          <w:sz w:val="22"/>
        </w:rPr>
      </w:pPr>
      <w:r w:rsidRPr="00296A8C">
        <w:rPr>
          <w:rFonts w:ascii="Arial" w:hAnsi="Arial"/>
          <w:sz w:val="22"/>
        </w:rPr>
        <w:t xml:space="preserve">1.  </w:t>
      </w:r>
      <w:r>
        <w:rPr>
          <w:rFonts w:ascii="Arial" w:hAnsi="Arial"/>
          <w:sz w:val="22"/>
        </w:rPr>
        <w:tab/>
      </w:r>
      <w:r w:rsidR="008B164E" w:rsidRPr="00296A8C">
        <w:rPr>
          <w:rFonts w:ascii="Arial" w:hAnsi="Arial"/>
          <w:sz w:val="22"/>
          <w:u w:val="single"/>
        </w:rPr>
        <w:t>Need For and Practical Utility of the Collection of Information</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rPr>
      </w:pPr>
      <w:r w:rsidRPr="00960C69">
        <w:rPr>
          <w:rFonts w:ascii="Arial" w:hAnsi="Arial"/>
          <w:sz w:val="22"/>
        </w:rPr>
        <w:t>The Reactor Oversight Process (ROP) defines the inspection program for power reactors in</w:t>
      </w:r>
      <w:r w:rsidR="00E46DBC">
        <w:rPr>
          <w:rFonts w:ascii="Arial" w:hAnsi="Arial"/>
          <w:sz w:val="22"/>
        </w:rPr>
        <w:t xml:space="preserve"> Inspection Manual </w:t>
      </w:r>
      <w:r w:rsidR="00296A8C">
        <w:rPr>
          <w:rFonts w:ascii="Arial" w:hAnsi="Arial"/>
          <w:sz w:val="22"/>
        </w:rPr>
        <w:t xml:space="preserve">Chapter </w:t>
      </w:r>
      <w:r w:rsidR="00296A8C" w:rsidRPr="00960C69">
        <w:rPr>
          <w:rFonts w:ascii="Arial" w:hAnsi="Arial" w:cs="Arial"/>
          <w:sz w:val="22"/>
          <w:szCs w:val="22"/>
        </w:rPr>
        <w:t>2515</w:t>
      </w:r>
      <w:r w:rsidRPr="00960C69">
        <w:rPr>
          <w:rFonts w:ascii="Arial" w:hAnsi="Arial"/>
          <w:sz w:val="22"/>
        </w:rPr>
        <w:t>.  Within the ROP, three types of inspections require extensive planning and preparation due to their scope and depth.  In order to prevent inefficient use of licensee and NRC resources during these inspections certain relevant inspection information is need prior conducting on-site inspections.  The recordkeeping requirement for licensees to maintain this relevant inspection information is established in 10</w:t>
      </w:r>
      <w:r w:rsidRPr="00960C69">
        <w:rPr>
          <w:rFonts w:ascii="Arial" w:hAnsi="Arial" w:cs="Arial"/>
          <w:sz w:val="22"/>
          <w:szCs w:val="22"/>
        </w:rPr>
        <w:t> </w:t>
      </w:r>
      <w:r w:rsidR="00201C46" w:rsidRPr="00201C46">
        <w:rPr>
          <w:rFonts w:ascii="Arial" w:hAnsi="Arial" w:cs="Arial"/>
          <w:i/>
          <w:sz w:val="22"/>
          <w:szCs w:val="22"/>
        </w:rPr>
        <w:t>Code of Federal Regulations</w:t>
      </w:r>
      <w:r w:rsidR="00201C46">
        <w:rPr>
          <w:rFonts w:ascii="Arial" w:hAnsi="Arial" w:cs="Arial"/>
          <w:sz w:val="22"/>
          <w:szCs w:val="22"/>
        </w:rPr>
        <w:t xml:space="preserve"> (</w:t>
      </w:r>
      <w:r w:rsidRPr="00960C69">
        <w:rPr>
          <w:rFonts w:ascii="Arial" w:hAnsi="Arial"/>
          <w:sz w:val="22"/>
        </w:rPr>
        <w:t>CFR</w:t>
      </w:r>
      <w:r w:rsidR="00201C46">
        <w:rPr>
          <w:rFonts w:ascii="Arial" w:hAnsi="Arial"/>
          <w:sz w:val="22"/>
        </w:rPr>
        <w:t>)</w:t>
      </w:r>
      <w:r w:rsidRPr="00960C69">
        <w:rPr>
          <w:rFonts w:ascii="Arial" w:hAnsi="Arial" w:cs="Arial"/>
          <w:sz w:val="22"/>
          <w:szCs w:val="22"/>
        </w:rPr>
        <w:t> </w:t>
      </w:r>
      <w:r w:rsidRPr="00960C69">
        <w:rPr>
          <w:rFonts w:ascii="Arial" w:hAnsi="Arial"/>
          <w:sz w:val="22"/>
        </w:rPr>
        <w:t>50.71 and the burden is included in each relevant section of this clearance.  The three inspection procedures (IPs) are listed below along with a description of needed information.</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rPr>
      </w:pPr>
      <w:r w:rsidRPr="00960C69">
        <w:rPr>
          <w:rFonts w:ascii="Arial" w:hAnsi="Arial"/>
          <w:sz w:val="22"/>
          <w:u w:val="single"/>
        </w:rPr>
        <w:t>IP</w:t>
      </w:r>
      <w:r w:rsidRPr="00960C69">
        <w:rPr>
          <w:rFonts w:ascii="Arial" w:hAnsi="Arial" w:cs="Arial"/>
          <w:i/>
          <w:sz w:val="22"/>
          <w:szCs w:val="22"/>
          <w:u w:val="single"/>
        </w:rPr>
        <w:t> </w:t>
      </w:r>
      <w:r w:rsidRPr="00960C69">
        <w:rPr>
          <w:rFonts w:ascii="Arial" w:hAnsi="Arial"/>
          <w:sz w:val="22"/>
          <w:u w:val="single"/>
        </w:rPr>
        <w:t xml:space="preserve">71111.05, </w:t>
      </w:r>
      <w:r w:rsidRPr="00960C69">
        <w:rPr>
          <w:rFonts w:ascii="Arial" w:hAnsi="Arial"/>
          <w:sz w:val="22"/>
          <w:u w:val="single"/>
        </w:rPr>
        <w:sym w:font="WP TypographicSymbols" w:char="0041"/>
      </w:r>
      <w:r w:rsidRPr="00960C69">
        <w:rPr>
          <w:rFonts w:ascii="Arial" w:hAnsi="Arial"/>
          <w:sz w:val="22"/>
          <w:u w:val="single"/>
        </w:rPr>
        <w:t>Fire Protection [Triennial]</w:t>
      </w:r>
      <w:r w:rsidRPr="00960C69">
        <w:rPr>
          <w:rFonts w:ascii="Arial" w:hAnsi="Arial"/>
          <w:sz w:val="22"/>
          <w:u w:val="single"/>
        </w:rPr>
        <w:sym w:font="WP TypographicSymbols" w:char="0040"/>
      </w:r>
      <w:r w:rsidRPr="00960C69">
        <w:rPr>
          <w:rFonts w:ascii="Arial" w:hAnsi="Arial"/>
          <w:sz w:val="22"/>
        </w:rPr>
        <w:t xml:space="preserve"> inspection is performed every three years.  Information requested to prepare for this inspection includes a copy of selected system drawings and procedures; selected information related to system design, system risk, and licensing basis information; and a list of recent fire protection tests, recent problems, and corrective actions.  </w:t>
      </w:r>
      <w:r w:rsidR="00737C6F">
        <w:rPr>
          <w:rFonts w:ascii="Arial" w:hAnsi="Arial"/>
          <w:sz w:val="22"/>
        </w:rPr>
        <w:t xml:space="preserve">There are two versions of this inspection depending on the fire protection licensing basis of the plant.  </w:t>
      </w:r>
      <w:r w:rsidRPr="00960C69">
        <w:rPr>
          <w:rFonts w:ascii="Arial" w:hAnsi="Arial"/>
          <w:sz w:val="22"/>
        </w:rPr>
        <w:t>This information is needed to assess the licensee</w:t>
      </w:r>
      <w:r w:rsidRPr="00960C69">
        <w:rPr>
          <w:rFonts w:ascii="Arial" w:hAnsi="Arial"/>
          <w:sz w:val="22"/>
        </w:rPr>
        <w:sym w:font="WP TypographicSymbols" w:char="003D"/>
      </w:r>
      <w:r w:rsidRPr="00960C69">
        <w:rPr>
          <w:rFonts w:ascii="Arial" w:hAnsi="Arial"/>
          <w:sz w:val="22"/>
        </w:rPr>
        <w:t>s ability to safely shut down the plant after a fire.</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szCs w:val="22"/>
        </w:rPr>
      </w:pPr>
      <w:r w:rsidRPr="00960C69">
        <w:rPr>
          <w:rFonts w:ascii="Arial" w:hAnsi="Arial"/>
          <w:sz w:val="22"/>
          <w:szCs w:val="22"/>
          <w:u w:val="single"/>
        </w:rPr>
        <w:t>IP</w:t>
      </w:r>
      <w:r w:rsidRPr="00960C69">
        <w:rPr>
          <w:rFonts w:ascii="Arial" w:hAnsi="Arial" w:cs="Arial"/>
          <w:i/>
          <w:sz w:val="22"/>
          <w:szCs w:val="22"/>
          <w:u w:val="single"/>
        </w:rPr>
        <w:t> </w:t>
      </w:r>
      <w:r w:rsidRPr="00960C69">
        <w:rPr>
          <w:rFonts w:ascii="Arial" w:hAnsi="Arial"/>
          <w:sz w:val="22"/>
          <w:szCs w:val="22"/>
          <w:u w:val="single"/>
        </w:rPr>
        <w:t xml:space="preserve">71111.21, </w:t>
      </w:r>
      <w:r w:rsidRPr="00960C69">
        <w:rPr>
          <w:rFonts w:ascii="Arial" w:hAnsi="Arial"/>
          <w:sz w:val="22"/>
          <w:szCs w:val="22"/>
          <w:u w:val="single"/>
        </w:rPr>
        <w:sym w:font="WP TypographicSymbols" w:char="0041"/>
      </w:r>
      <w:r w:rsidRPr="00960C69">
        <w:rPr>
          <w:rFonts w:ascii="Arial" w:hAnsi="Arial"/>
          <w:sz w:val="22"/>
          <w:szCs w:val="22"/>
          <w:u w:val="single"/>
        </w:rPr>
        <w:t>Component Design Bases Inspection</w:t>
      </w:r>
      <w:r w:rsidRPr="00960C69">
        <w:rPr>
          <w:rFonts w:ascii="Arial" w:hAnsi="Arial"/>
          <w:sz w:val="22"/>
          <w:szCs w:val="22"/>
          <w:u w:val="single"/>
        </w:rPr>
        <w:sym w:font="WP TypographicSymbols" w:char="0040"/>
      </w:r>
      <w:r w:rsidRPr="00960C69">
        <w:rPr>
          <w:rFonts w:ascii="Arial" w:hAnsi="Arial"/>
          <w:sz w:val="22"/>
          <w:szCs w:val="22"/>
        </w:rPr>
        <w:t xml:space="preserve"> is performed every three years.  Information requested to prepare for this inspection includes a list of recent system performance problems, corrective actions, system modifications, and operability evaluations; selected information related to </w:t>
      </w:r>
      <w:r w:rsidRPr="00960C69">
        <w:rPr>
          <w:rFonts w:ascii="Arial" w:hAnsi="Arial" w:cs="Arial"/>
          <w:sz w:val="22"/>
          <w:szCs w:val="22"/>
        </w:rPr>
        <w:t xml:space="preserve">component </w:t>
      </w:r>
      <w:r w:rsidRPr="00960C69">
        <w:rPr>
          <w:rFonts w:ascii="Arial" w:hAnsi="Arial"/>
          <w:sz w:val="22"/>
          <w:szCs w:val="22"/>
        </w:rPr>
        <w:t xml:space="preserve">design </w:t>
      </w:r>
      <w:r w:rsidRPr="00960C69">
        <w:rPr>
          <w:rFonts w:ascii="Arial" w:hAnsi="Arial" w:cs="Arial"/>
          <w:sz w:val="22"/>
          <w:szCs w:val="22"/>
        </w:rPr>
        <w:t>(design calculations, design basis)</w:t>
      </w:r>
      <w:r w:rsidRPr="00960C69">
        <w:rPr>
          <w:rFonts w:ascii="Arial" w:hAnsi="Arial"/>
          <w:sz w:val="22"/>
          <w:szCs w:val="22"/>
        </w:rPr>
        <w:t xml:space="preserve">, </w:t>
      </w:r>
      <w:r w:rsidRPr="00960C69">
        <w:rPr>
          <w:rFonts w:ascii="Arial" w:hAnsi="Arial" w:cs="Arial"/>
          <w:sz w:val="22"/>
          <w:szCs w:val="22"/>
        </w:rPr>
        <w:t xml:space="preserve">component and operator action </w:t>
      </w:r>
      <w:r w:rsidRPr="00960C69">
        <w:rPr>
          <w:rFonts w:ascii="Arial" w:hAnsi="Arial"/>
          <w:sz w:val="22"/>
          <w:szCs w:val="22"/>
        </w:rPr>
        <w:t xml:space="preserve">risk, and licensing basis information; and a copy of selected system diagrams, operating and </w:t>
      </w:r>
      <w:r w:rsidRPr="00960C69">
        <w:rPr>
          <w:rFonts w:ascii="Arial" w:hAnsi="Arial" w:cs="Arial"/>
          <w:sz w:val="22"/>
          <w:szCs w:val="22"/>
        </w:rPr>
        <w:t>surveillance</w:t>
      </w:r>
      <w:r w:rsidRPr="00960C69">
        <w:rPr>
          <w:rFonts w:ascii="Arial" w:hAnsi="Arial"/>
          <w:sz w:val="22"/>
          <w:szCs w:val="22"/>
        </w:rPr>
        <w:t xml:space="preserve"> testing procedures.  This information is needed to assess whether a selected </w:t>
      </w:r>
      <w:r w:rsidRPr="00960C69">
        <w:rPr>
          <w:rFonts w:ascii="Arial" w:hAnsi="Arial" w:cs="Arial"/>
          <w:sz w:val="22"/>
          <w:szCs w:val="22"/>
        </w:rPr>
        <w:t xml:space="preserve">components or operator actions </w:t>
      </w:r>
      <w:r w:rsidRPr="00960C69">
        <w:rPr>
          <w:rFonts w:ascii="Arial" w:hAnsi="Arial"/>
          <w:sz w:val="22"/>
          <w:szCs w:val="22"/>
        </w:rPr>
        <w:t xml:space="preserve">used </w:t>
      </w:r>
      <w:r w:rsidRPr="00960C69">
        <w:rPr>
          <w:rFonts w:ascii="Arial" w:hAnsi="Arial" w:cs="Arial"/>
          <w:sz w:val="22"/>
          <w:szCs w:val="22"/>
        </w:rPr>
        <w:t>to</w:t>
      </w:r>
      <w:r w:rsidRPr="00960C69">
        <w:rPr>
          <w:rFonts w:ascii="Arial" w:hAnsi="Arial"/>
          <w:sz w:val="22"/>
          <w:szCs w:val="22"/>
        </w:rPr>
        <w:t xml:space="preserve"> mitigate risk-significant accident sequences can be relied upon to meet functional requirements that would prevent damage to the reactor core </w:t>
      </w:r>
      <w:r w:rsidRPr="00960C69">
        <w:rPr>
          <w:rFonts w:ascii="Arial" w:hAnsi="Arial" w:cs="Arial"/>
          <w:sz w:val="22"/>
          <w:szCs w:val="22"/>
        </w:rPr>
        <w:t>during design basis events</w:t>
      </w:r>
      <w:r w:rsidRPr="00960C69">
        <w:rPr>
          <w:rFonts w:ascii="Arial" w:hAnsi="Arial"/>
          <w:sz w:val="22"/>
          <w:szCs w:val="22"/>
        </w:rPr>
        <w:t>.</w:t>
      </w:r>
    </w:p>
    <w:p w:rsidR="008B164E" w:rsidRPr="00960C69" w:rsidRDefault="008B164E" w:rsidP="008B164E">
      <w:pPr>
        <w:ind w:left="720"/>
        <w:rPr>
          <w:rFonts w:ascii="Arial" w:hAnsi="Arial"/>
          <w:sz w:val="22"/>
        </w:rPr>
      </w:pPr>
      <w:r w:rsidRPr="00960C69">
        <w:rPr>
          <w:rFonts w:ascii="Arial" w:hAnsi="Arial"/>
          <w:sz w:val="22"/>
          <w:u w:val="single"/>
        </w:rPr>
        <w:lastRenderedPageBreak/>
        <w:t>IP</w:t>
      </w:r>
      <w:r w:rsidRPr="00960C69">
        <w:rPr>
          <w:rFonts w:ascii="Arial" w:hAnsi="Arial" w:cs="Arial"/>
          <w:i/>
          <w:sz w:val="22"/>
          <w:szCs w:val="22"/>
          <w:u w:val="single"/>
        </w:rPr>
        <w:t> </w:t>
      </w:r>
      <w:r w:rsidRPr="00960C69">
        <w:rPr>
          <w:rFonts w:ascii="Arial" w:hAnsi="Arial"/>
          <w:sz w:val="22"/>
          <w:u w:val="single"/>
        </w:rPr>
        <w:t xml:space="preserve">71152, </w:t>
      </w:r>
      <w:r w:rsidRPr="00960C69">
        <w:rPr>
          <w:rFonts w:ascii="Arial" w:hAnsi="Arial"/>
          <w:sz w:val="22"/>
          <w:u w:val="single"/>
        </w:rPr>
        <w:sym w:font="WP TypographicSymbols" w:char="0041"/>
      </w:r>
      <w:r w:rsidRPr="00960C69">
        <w:rPr>
          <w:rFonts w:ascii="Arial" w:hAnsi="Arial"/>
          <w:sz w:val="22"/>
          <w:u w:val="single"/>
        </w:rPr>
        <w:t>Identification and Resolution of Problems</w:t>
      </w:r>
      <w:r w:rsidRPr="00960C69">
        <w:rPr>
          <w:rFonts w:ascii="Arial" w:hAnsi="Arial"/>
          <w:sz w:val="22"/>
          <w:u w:val="single"/>
        </w:rPr>
        <w:sym w:font="WP TypographicSymbols" w:char="0040"/>
      </w:r>
      <w:r w:rsidRPr="00960C69">
        <w:rPr>
          <w:rFonts w:ascii="Arial" w:hAnsi="Arial"/>
          <w:sz w:val="22"/>
        </w:rPr>
        <w:t xml:space="preserve"> inspection is performed every two years.  However, an additional inspection may be performed at a site if warranted by either declining plant performance (typically this triggers one additional inspection per year) or the need to follow-up on an independent safety culture assessment.  Information requested to prepare for this inspection includes a list of recent equipment problems, self-assessments, </w:t>
      </w:r>
      <w:r w:rsidR="00737C6F">
        <w:rPr>
          <w:rFonts w:ascii="Arial" w:hAnsi="Arial"/>
          <w:sz w:val="22"/>
        </w:rPr>
        <w:t xml:space="preserve">licensee audits, </w:t>
      </w:r>
      <w:r w:rsidRPr="00960C69">
        <w:rPr>
          <w:rFonts w:ascii="Arial" w:hAnsi="Arial"/>
          <w:sz w:val="22"/>
        </w:rPr>
        <w:t>root cause evaluations, and corrective action documents; and a copy of the corrective action program and equipment monitoring program procedures.  This information is needed to gain insights regarding the licensee</w:t>
      </w:r>
      <w:r w:rsidRPr="00960C69">
        <w:rPr>
          <w:rFonts w:ascii="Arial" w:hAnsi="Arial"/>
          <w:sz w:val="22"/>
        </w:rPr>
        <w:sym w:font="WP TypographicSymbols" w:char="003D"/>
      </w:r>
      <w:r w:rsidRPr="00960C69">
        <w:rPr>
          <w:rFonts w:ascii="Arial" w:hAnsi="Arial"/>
          <w:sz w:val="22"/>
        </w:rPr>
        <w:t>s ability to promptly identify and resolve problems.</w:t>
      </w:r>
    </w:p>
    <w:p w:rsidR="008B164E" w:rsidRPr="00960C69" w:rsidRDefault="008B164E" w:rsidP="008B164E">
      <w:pPr>
        <w:rPr>
          <w:rFonts w:ascii="Arial" w:hAnsi="Arial"/>
          <w:sz w:val="22"/>
        </w:rPr>
      </w:pPr>
    </w:p>
    <w:p w:rsidR="008B164E" w:rsidRPr="00296A8C" w:rsidRDefault="00296A8C" w:rsidP="00296A8C">
      <w:pPr>
        <w:pStyle w:val="Level1"/>
        <w:widowControl/>
        <w:tabs>
          <w:tab w:val="left" w:pos="-1440"/>
          <w:tab w:val="left" w:pos="360"/>
        </w:tabs>
        <w:autoSpaceDE w:val="0"/>
        <w:autoSpaceDN w:val="0"/>
        <w:adjustRightInd w:val="0"/>
        <w:outlineLvl w:val="0"/>
        <w:rPr>
          <w:rFonts w:ascii="Arial" w:hAnsi="Arial"/>
          <w:sz w:val="22"/>
        </w:rPr>
      </w:pPr>
      <w:r w:rsidRPr="00296A8C">
        <w:rPr>
          <w:rFonts w:ascii="Arial" w:hAnsi="Arial"/>
          <w:sz w:val="22"/>
        </w:rPr>
        <w:tab/>
        <w:t>2.</w:t>
      </w:r>
      <w:r w:rsidRPr="00296A8C">
        <w:rPr>
          <w:rFonts w:ascii="Arial" w:hAnsi="Arial"/>
          <w:sz w:val="22"/>
        </w:rPr>
        <w:tab/>
      </w:r>
      <w:r w:rsidR="008B164E" w:rsidRPr="00296A8C">
        <w:rPr>
          <w:rFonts w:ascii="Arial" w:hAnsi="Arial"/>
          <w:sz w:val="22"/>
          <w:u w:val="single"/>
        </w:rPr>
        <w:t>Agency Use of Information</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rPr>
      </w:pPr>
      <w:r w:rsidRPr="00960C69">
        <w:rPr>
          <w:rFonts w:ascii="Arial" w:hAnsi="Arial"/>
          <w:sz w:val="22"/>
        </w:rPr>
        <w:t>The information requested is used by the inspectors responsible for evaluating licensee compliance with existing rules and regulations.  The requested information is used to focus on-site inspection on the most significant licensee activities and help achieve more accurate inspection results during the short time available for on-site inspection.  Accurate inspection results are needed to correctly assess licensee performance, to determine the level of agency oversight, and to allocate agency inspection resources efficiently.  Inspectors also request information for other inspections, but these information requests involve issues unique to individual facilities and therefore are not subject to the Paperwork Reduction Act requirements.  This off-site preparation improves effectiveness and minimizes the impact on licensees and NRC resources.</w:t>
      </w:r>
    </w:p>
    <w:p w:rsidR="008B164E" w:rsidRPr="00960C69" w:rsidRDefault="008B164E" w:rsidP="008B164E">
      <w:pPr>
        <w:rPr>
          <w:rFonts w:ascii="Arial" w:hAnsi="Arial"/>
          <w:sz w:val="22"/>
        </w:rPr>
      </w:pPr>
    </w:p>
    <w:p w:rsidR="008B164E" w:rsidRPr="00296A8C" w:rsidRDefault="00296A8C" w:rsidP="00296A8C">
      <w:pPr>
        <w:pStyle w:val="Level1"/>
        <w:widowControl/>
        <w:tabs>
          <w:tab w:val="left" w:pos="-1440"/>
          <w:tab w:val="left" w:pos="360"/>
        </w:tabs>
        <w:autoSpaceDE w:val="0"/>
        <w:autoSpaceDN w:val="0"/>
        <w:adjustRightInd w:val="0"/>
        <w:outlineLvl w:val="0"/>
        <w:rPr>
          <w:rFonts w:ascii="Arial" w:hAnsi="Arial"/>
          <w:sz w:val="22"/>
        </w:rPr>
      </w:pPr>
      <w:r w:rsidRPr="00296A8C">
        <w:rPr>
          <w:rFonts w:ascii="Arial" w:hAnsi="Arial"/>
          <w:sz w:val="22"/>
        </w:rPr>
        <w:tab/>
        <w:t>3.</w:t>
      </w:r>
      <w:r w:rsidRPr="00296A8C">
        <w:rPr>
          <w:rFonts w:ascii="Arial" w:hAnsi="Arial"/>
          <w:sz w:val="22"/>
        </w:rPr>
        <w:tab/>
      </w:r>
      <w:r w:rsidR="008B164E" w:rsidRPr="00296A8C">
        <w:rPr>
          <w:rFonts w:ascii="Arial" w:hAnsi="Arial"/>
          <w:sz w:val="22"/>
          <w:u w:val="single"/>
        </w:rPr>
        <w:t>Reduction of Burden through Information Technology</w:t>
      </w:r>
    </w:p>
    <w:p w:rsidR="008B164E" w:rsidRPr="00960C69" w:rsidRDefault="008B164E" w:rsidP="008B164E">
      <w:pPr>
        <w:pStyle w:val="Level1"/>
        <w:widowControl/>
        <w:tabs>
          <w:tab w:val="left" w:pos="-1440"/>
        </w:tabs>
        <w:rPr>
          <w:rFonts w:ascii="Arial" w:hAnsi="Arial"/>
          <w:sz w:val="22"/>
        </w:rPr>
      </w:pPr>
    </w:p>
    <w:p w:rsidR="008B164E" w:rsidRPr="00960C69" w:rsidRDefault="008B164E" w:rsidP="008B164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960C69">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w:t>
      </w:r>
      <w:r w:rsidR="00201C46">
        <w:rPr>
          <w:rFonts w:ascii="Arial" w:hAnsi="Arial" w:cs="Arial"/>
          <w:sz w:val="22"/>
          <w:szCs w:val="22"/>
        </w:rPr>
        <w:t>Federal Register (</w:t>
      </w:r>
      <w:r w:rsidRPr="00960C69">
        <w:rPr>
          <w:rFonts w:ascii="Arial" w:hAnsi="Arial" w:cs="Arial"/>
          <w:sz w:val="22"/>
          <w:szCs w:val="22"/>
        </w:rPr>
        <w:t>FR</w:t>
      </w:r>
      <w:r w:rsidR="00201C46">
        <w:rPr>
          <w:rFonts w:ascii="Arial" w:hAnsi="Arial" w:cs="Arial"/>
          <w:sz w:val="22"/>
          <w:szCs w:val="22"/>
        </w:rPr>
        <w:t>)</w:t>
      </w:r>
      <w:r w:rsidRPr="00960C69">
        <w:rPr>
          <w:rFonts w:ascii="Arial" w:hAnsi="Arial" w:cs="Arial"/>
          <w:sz w:val="22"/>
          <w:szCs w:val="22"/>
        </w:rPr>
        <w:t> 58791), consistent with the Government Paperwork Elimination Act, which allows its licensees, vendors, applicants, and members of the public the option to make submissions electronically via CD-ROM, e-mail, special Web-based interface, or other means.  It is estimated that approximately 90</w:t>
      </w:r>
      <w:r>
        <w:rPr>
          <w:rFonts w:ascii="Arial" w:hAnsi="Arial" w:cs="Arial"/>
          <w:sz w:val="22"/>
          <w:szCs w:val="22"/>
        </w:rPr>
        <w:t xml:space="preserve"> percent</w:t>
      </w:r>
      <w:r w:rsidRPr="00960C69">
        <w:rPr>
          <w:rFonts w:ascii="Arial" w:hAnsi="Arial" w:cs="Arial"/>
          <w:sz w:val="22"/>
          <w:szCs w:val="22"/>
        </w:rPr>
        <w:t xml:space="preserve"> of the potential responses are filed electronically.</w:t>
      </w:r>
    </w:p>
    <w:p w:rsidR="008B164E" w:rsidRPr="00960C69"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sz w:val="22"/>
        </w:rPr>
      </w:pPr>
      <w:r>
        <w:rPr>
          <w:rFonts w:ascii="Arial" w:hAnsi="Arial"/>
          <w:sz w:val="22"/>
        </w:rPr>
        <w:tab/>
      </w:r>
      <w:r w:rsidR="008B164E" w:rsidRPr="00960C69">
        <w:rPr>
          <w:rFonts w:ascii="Arial" w:hAnsi="Arial"/>
          <w:sz w:val="22"/>
        </w:rPr>
        <w:t>4.</w:t>
      </w:r>
      <w:r w:rsidR="008B164E" w:rsidRPr="00960C69">
        <w:rPr>
          <w:rFonts w:ascii="Arial" w:hAnsi="Arial"/>
          <w:sz w:val="22"/>
        </w:rPr>
        <w:tab/>
      </w:r>
      <w:r w:rsidR="008B164E" w:rsidRPr="00960C69">
        <w:rPr>
          <w:rFonts w:ascii="Arial" w:hAnsi="Arial"/>
          <w:sz w:val="22"/>
          <w:u w:val="single"/>
        </w:rPr>
        <w:t>Effort to Identify Duplication and Use Similar Information</w:t>
      </w:r>
    </w:p>
    <w:p w:rsidR="008B164E" w:rsidRPr="00960C69" w:rsidRDefault="008B164E" w:rsidP="008B164E">
      <w:pPr>
        <w:tabs>
          <w:tab w:val="left" w:pos="-1440"/>
        </w:tabs>
        <w:ind w:left="720" w:hanging="720"/>
        <w:rPr>
          <w:rFonts w:ascii="Arial" w:hAnsi="Arial"/>
          <w:sz w:val="22"/>
        </w:rPr>
      </w:pPr>
    </w:p>
    <w:p w:rsidR="008B164E" w:rsidRPr="00960C69" w:rsidRDefault="008B164E" w:rsidP="008B164E">
      <w:pPr>
        <w:tabs>
          <w:tab w:val="left" w:pos="-1440"/>
          <w:tab w:val="left" w:pos="-36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trike/>
          <w:sz w:val="22"/>
          <w:szCs w:val="22"/>
        </w:rPr>
      </w:pPr>
      <w:r w:rsidRPr="00960C69">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8B164E" w:rsidRPr="00960C69" w:rsidRDefault="008B164E" w:rsidP="008B164E">
      <w:pPr>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5.</w:t>
      </w:r>
      <w:r w:rsidR="008B164E" w:rsidRPr="00960C69">
        <w:rPr>
          <w:rFonts w:ascii="Arial" w:hAnsi="Arial" w:cs="Arial"/>
          <w:sz w:val="22"/>
          <w:szCs w:val="22"/>
        </w:rPr>
        <w:tab/>
      </w:r>
      <w:r w:rsidR="008B164E" w:rsidRPr="00960C69">
        <w:rPr>
          <w:rFonts w:ascii="Arial" w:hAnsi="Arial" w:cs="Arial"/>
          <w:sz w:val="22"/>
          <w:szCs w:val="22"/>
          <w:u w:val="single"/>
        </w:rPr>
        <w:t>Effort to Reduce Small Business Burden</w:t>
      </w:r>
    </w:p>
    <w:p w:rsidR="008B164E" w:rsidRPr="00960C69" w:rsidRDefault="008B164E" w:rsidP="008B164E">
      <w:pPr>
        <w:ind w:left="720"/>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 xml:space="preserve">These information collections do not affect small business. </w:t>
      </w:r>
    </w:p>
    <w:p w:rsidR="008B164E" w:rsidRPr="00960C69" w:rsidRDefault="008B164E" w:rsidP="008B164E">
      <w:pPr>
        <w:rPr>
          <w:rFonts w:ascii="Arial" w:hAnsi="Arial" w:cs="Arial"/>
          <w:sz w:val="22"/>
          <w:szCs w:val="22"/>
        </w:rPr>
      </w:pPr>
    </w:p>
    <w:p w:rsidR="008B164E" w:rsidRPr="00960C69" w:rsidRDefault="008B164E" w:rsidP="00296A8C">
      <w:pPr>
        <w:tabs>
          <w:tab w:val="left" w:pos="-1440"/>
          <w:tab w:val="left" w:pos="360"/>
        </w:tabs>
        <w:ind w:left="720" w:hanging="720"/>
        <w:rPr>
          <w:rFonts w:ascii="Arial" w:hAnsi="Arial" w:cs="Arial"/>
          <w:sz w:val="22"/>
          <w:szCs w:val="22"/>
        </w:rPr>
      </w:pPr>
      <w:r>
        <w:rPr>
          <w:rFonts w:ascii="Arial" w:hAnsi="Arial" w:cs="Arial"/>
          <w:sz w:val="22"/>
          <w:szCs w:val="22"/>
        </w:rPr>
        <w:br w:type="page"/>
      </w:r>
      <w:r w:rsidR="00296A8C">
        <w:rPr>
          <w:rFonts w:ascii="Arial" w:hAnsi="Arial" w:cs="Arial"/>
          <w:sz w:val="22"/>
          <w:szCs w:val="22"/>
        </w:rPr>
        <w:lastRenderedPageBreak/>
        <w:tab/>
      </w:r>
      <w:r w:rsidRPr="00960C69">
        <w:rPr>
          <w:rFonts w:ascii="Arial" w:hAnsi="Arial" w:cs="Arial"/>
          <w:sz w:val="22"/>
          <w:szCs w:val="22"/>
        </w:rPr>
        <w:t>6.</w:t>
      </w:r>
      <w:r w:rsidRPr="00960C69">
        <w:rPr>
          <w:rFonts w:ascii="Arial" w:hAnsi="Arial" w:cs="Arial"/>
          <w:sz w:val="22"/>
          <w:szCs w:val="22"/>
        </w:rPr>
        <w:tab/>
      </w:r>
      <w:r w:rsidRPr="00960C69">
        <w:rPr>
          <w:rFonts w:ascii="Arial" w:hAnsi="Arial" w:cs="Arial"/>
          <w:sz w:val="22"/>
          <w:szCs w:val="22"/>
          <w:u w:val="single"/>
        </w:rPr>
        <w:t xml:space="preserve">Consequences to Federal Program or Policy Activities if the Collection </w:t>
      </w:r>
      <w:r w:rsidR="00F24C79">
        <w:rPr>
          <w:rFonts w:ascii="Arial" w:hAnsi="Arial" w:cs="Arial"/>
          <w:sz w:val="22"/>
          <w:szCs w:val="22"/>
          <w:u w:val="single"/>
        </w:rPr>
        <w:t>i</w:t>
      </w:r>
      <w:r w:rsidRPr="00960C69">
        <w:rPr>
          <w:rFonts w:ascii="Arial" w:hAnsi="Arial" w:cs="Arial"/>
          <w:sz w:val="22"/>
          <w:szCs w:val="22"/>
          <w:u w:val="single"/>
        </w:rPr>
        <w:t>s Not Conducted or</w:t>
      </w:r>
      <w:r w:rsidR="00F24C79">
        <w:rPr>
          <w:rFonts w:ascii="Arial" w:hAnsi="Arial" w:cs="Arial"/>
          <w:sz w:val="22"/>
          <w:szCs w:val="22"/>
          <w:u w:val="single"/>
        </w:rPr>
        <w:t xml:space="preserve"> i</w:t>
      </w:r>
      <w:r w:rsidRPr="00960C69">
        <w:rPr>
          <w:rFonts w:ascii="Arial" w:hAnsi="Arial" w:cs="Arial"/>
          <w:sz w:val="22"/>
          <w:szCs w:val="22"/>
          <w:u w:val="single"/>
        </w:rPr>
        <w:t>s Conducted Less Frequently</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The licensee and NRC resources would be less effective and less efficiently utilized if relevant inspection information is not available or is available less frequently.  That is, the NRC would have to accept less accurate inspection results or keep inspectors on site longer (who would engage supporting licensee resources longer) to achieve the same level of accuracy.  This inspection information is needed to select the most risk significant inspection samples for these detailed and resource intensive inspections.</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7.</w:t>
      </w:r>
      <w:r w:rsidR="008B164E" w:rsidRPr="00960C69">
        <w:rPr>
          <w:rFonts w:ascii="Arial" w:hAnsi="Arial" w:cs="Arial"/>
          <w:sz w:val="22"/>
          <w:szCs w:val="22"/>
        </w:rPr>
        <w:tab/>
      </w:r>
      <w:r w:rsidR="008B164E" w:rsidRPr="00960C69">
        <w:rPr>
          <w:rFonts w:ascii="Arial" w:hAnsi="Arial" w:cs="Arial"/>
          <w:sz w:val="22"/>
          <w:szCs w:val="22"/>
          <w:u w:val="single"/>
        </w:rPr>
        <w:t>Circumstances which Justify Variation from</w:t>
      </w:r>
      <w:r w:rsidR="00201C46">
        <w:rPr>
          <w:rFonts w:ascii="Arial" w:hAnsi="Arial" w:cs="Arial"/>
          <w:sz w:val="22"/>
          <w:szCs w:val="22"/>
          <w:u w:val="single"/>
        </w:rPr>
        <w:t xml:space="preserve"> Office of Management and Budget</w:t>
      </w:r>
      <w:r w:rsidR="008B164E" w:rsidRPr="00960C69">
        <w:rPr>
          <w:rFonts w:ascii="Arial" w:hAnsi="Arial" w:cs="Arial"/>
          <w:sz w:val="22"/>
          <w:szCs w:val="22"/>
          <w:u w:val="single"/>
        </w:rPr>
        <w:t xml:space="preserve"> </w:t>
      </w:r>
      <w:r w:rsidR="00201C46">
        <w:rPr>
          <w:rFonts w:ascii="Arial" w:hAnsi="Arial" w:cs="Arial"/>
          <w:sz w:val="22"/>
          <w:szCs w:val="22"/>
          <w:u w:val="single"/>
        </w:rPr>
        <w:t>(</w:t>
      </w:r>
      <w:r w:rsidR="008B164E" w:rsidRPr="00960C69">
        <w:rPr>
          <w:rFonts w:ascii="Arial" w:hAnsi="Arial" w:cs="Arial"/>
          <w:sz w:val="22"/>
          <w:szCs w:val="22"/>
          <w:u w:val="single"/>
        </w:rPr>
        <w:t>OMB</w:t>
      </w:r>
      <w:r w:rsidR="00201C46">
        <w:rPr>
          <w:rFonts w:ascii="Arial" w:hAnsi="Arial" w:cs="Arial"/>
          <w:sz w:val="22"/>
          <w:szCs w:val="22"/>
          <w:u w:val="single"/>
        </w:rPr>
        <w:t>)</w:t>
      </w:r>
      <w:r w:rsidR="008B164E" w:rsidRPr="00960C69">
        <w:rPr>
          <w:rFonts w:ascii="Arial" w:hAnsi="Arial" w:cs="Arial"/>
          <w:sz w:val="22"/>
          <w:szCs w:val="22"/>
          <w:u w:val="single"/>
        </w:rPr>
        <w:t xml:space="preserve"> Guidelines</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Normally, this information collection will not vary from OMB guidelines.  However, there may be occasions when the information will be requested in less than 30 days to ensure that the information is current.</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8.</w:t>
      </w:r>
      <w:r w:rsidR="008B164E" w:rsidRPr="00960C69">
        <w:rPr>
          <w:rFonts w:ascii="Arial" w:hAnsi="Arial" w:cs="Arial"/>
          <w:sz w:val="22"/>
          <w:szCs w:val="22"/>
        </w:rPr>
        <w:tab/>
      </w:r>
      <w:r w:rsidR="008B164E" w:rsidRPr="00960C69">
        <w:rPr>
          <w:rFonts w:ascii="Arial" w:hAnsi="Arial" w:cs="Arial"/>
          <w:sz w:val="22"/>
          <w:szCs w:val="22"/>
          <w:u w:val="single"/>
        </w:rPr>
        <w:t>Consultations Outside the NRC</w:t>
      </w:r>
    </w:p>
    <w:p w:rsidR="008B164E" w:rsidRPr="00960C69" w:rsidRDefault="008B164E" w:rsidP="008B164E">
      <w:pPr>
        <w:rPr>
          <w:rFonts w:ascii="Arial" w:hAnsi="Arial" w:cs="Arial"/>
          <w:sz w:val="22"/>
          <w:szCs w:val="22"/>
        </w:rPr>
      </w:pPr>
    </w:p>
    <w:p w:rsidR="0001005C" w:rsidRDefault="0001005C" w:rsidP="0001005C">
      <w:pPr>
        <w:ind w:left="720"/>
        <w:rPr>
          <w:rFonts w:ascii="Arial" w:hAnsi="Arial" w:cs="Arial"/>
          <w:sz w:val="22"/>
          <w:szCs w:val="22"/>
          <w:u w:val="single"/>
        </w:rPr>
      </w:pPr>
      <w:r>
        <w:rPr>
          <w:rFonts w:ascii="Arial" w:hAnsi="Arial" w:cs="Arial"/>
          <w:sz w:val="22"/>
          <w:szCs w:val="22"/>
        </w:rPr>
        <w:t xml:space="preserve">Opportunity for public comment on the information collection requirements for this clearance package was published in the </w:t>
      </w:r>
      <w:r>
        <w:rPr>
          <w:rFonts w:ascii="Arial" w:hAnsi="Arial" w:cs="Arial"/>
          <w:sz w:val="22"/>
          <w:szCs w:val="22"/>
          <w:u w:val="single"/>
        </w:rPr>
        <w:t>Federal Register</w:t>
      </w:r>
      <w:r>
        <w:rPr>
          <w:rFonts w:ascii="Arial" w:hAnsi="Arial" w:cs="Arial"/>
          <w:sz w:val="22"/>
          <w:szCs w:val="22"/>
        </w:rPr>
        <w:t xml:space="preserve"> on May 14, 2013 (78 FR 28244).  No comments were received.</w:t>
      </w:r>
    </w:p>
    <w:p w:rsidR="00296A8C" w:rsidRPr="00960C69" w:rsidRDefault="00296A8C" w:rsidP="00296A8C">
      <w:pPr>
        <w:ind w:left="720"/>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9.</w:t>
      </w:r>
      <w:r w:rsidR="008B164E" w:rsidRPr="00960C69">
        <w:rPr>
          <w:rFonts w:ascii="Arial" w:hAnsi="Arial" w:cs="Arial"/>
          <w:sz w:val="22"/>
          <w:szCs w:val="22"/>
        </w:rPr>
        <w:tab/>
      </w:r>
      <w:r w:rsidR="008B164E" w:rsidRPr="00960C69">
        <w:rPr>
          <w:rFonts w:ascii="Arial" w:hAnsi="Arial" w:cs="Arial"/>
          <w:sz w:val="22"/>
          <w:szCs w:val="22"/>
          <w:u w:val="single"/>
        </w:rPr>
        <w:t>Payment or Gift to Respondents</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Not applicable.</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10.</w:t>
      </w:r>
      <w:r w:rsidR="008B164E" w:rsidRPr="00960C69">
        <w:rPr>
          <w:rFonts w:ascii="Arial" w:hAnsi="Arial" w:cs="Arial"/>
          <w:sz w:val="22"/>
          <w:szCs w:val="22"/>
        </w:rPr>
        <w:tab/>
      </w:r>
      <w:r w:rsidR="008B164E" w:rsidRPr="00960C69">
        <w:rPr>
          <w:rFonts w:ascii="Arial" w:hAnsi="Arial" w:cs="Arial"/>
          <w:sz w:val="22"/>
          <w:szCs w:val="22"/>
          <w:u w:val="single"/>
        </w:rPr>
        <w:t>Confidentiality of the Information</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Confidential and proprietary information is protected in accordance with NRC regulations at 10 CFR 9.17(a) and 10 CFR 2.390(b).</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11.</w:t>
      </w:r>
      <w:r w:rsidR="008B164E" w:rsidRPr="00960C69">
        <w:rPr>
          <w:rFonts w:ascii="Arial" w:hAnsi="Arial" w:cs="Arial"/>
          <w:sz w:val="22"/>
          <w:szCs w:val="22"/>
        </w:rPr>
        <w:tab/>
      </w:r>
      <w:r w:rsidR="008B164E" w:rsidRPr="00960C69">
        <w:rPr>
          <w:rFonts w:ascii="Arial" w:hAnsi="Arial" w:cs="Arial"/>
          <w:sz w:val="22"/>
          <w:szCs w:val="22"/>
          <w:u w:val="single"/>
        </w:rPr>
        <w:t>Justification for Sensitive Questions</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Not applicable.</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12.</w:t>
      </w:r>
      <w:r w:rsidR="008B164E" w:rsidRPr="00960C69">
        <w:rPr>
          <w:rFonts w:ascii="Arial" w:hAnsi="Arial" w:cs="Arial"/>
          <w:sz w:val="22"/>
          <w:szCs w:val="22"/>
        </w:rPr>
        <w:tab/>
      </w:r>
      <w:r w:rsidR="008B164E" w:rsidRPr="00960C69">
        <w:rPr>
          <w:rFonts w:ascii="Arial" w:hAnsi="Arial" w:cs="Arial"/>
          <w:sz w:val="22"/>
          <w:szCs w:val="22"/>
          <w:u w:val="single"/>
        </w:rPr>
        <w:t>Estimate of Industry Burden and Burden Hour Cost</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The following table reflects licensee burden to collect and report requested inspection information and is based on information from industry.  There is no recordkeeping burden imposed by this information collection.  There are 65 sites subject to the information collection.  IP 71111.05 and IP 71111.21 inspections are done once every 3 years, and IP 71152 inspections are done every 2 years at each site.  The number of annual responses for IP 71152 counts the number of sites based on inspection frequency (half the sites being inspected per year) plus one anticipated additional inspection based on declining performance.</w:t>
      </w:r>
    </w:p>
    <w:p w:rsidR="008B164E" w:rsidRPr="00960C69" w:rsidRDefault="008B164E" w:rsidP="008B164E">
      <w:pPr>
        <w:rPr>
          <w:rFonts w:ascii="Arial" w:hAnsi="Arial" w:cs="Arial"/>
          <w:sz w:val="22"/>
          <w:szCs w:val="22"/>
        </w:rPr>
      </w:pPr>
    </w:p>
    <w:p w:rsidR="008B164E" w:rsidRPr="00960C69" w:rsidRDefault="008B164E" w:rsidP="008B164E">
      <w:pPr>
        <w:tabs>
          <w:tab w:val="center" w:pos="4680"/>
        </w:tabs>
        <w:jc w:val="center"/>
        <w:rPr>
          <w:rFonts w:ascii="Arial" w:hAnsi="Arial" w:cs="Arial"/>
          <w:sz w:val="22"/>
          <w:szCs w:val="22"/>
        </w:rPr>
      </w:pPr>
      <w:r>
        <w:rPr>
          <w:rFonts w:ascii="Arial" w:hAnsi="Arial" w:cs="Arial"/>
          <w:sz w:val="22"/>
          <w:szCs w:val="22"/>
        </w:rPr>
        <w:br w:type="page"/>
      </w:r>
      <w:r w:rsidRPr="00960C69">
        <w:rPr>
          <w:rFonts w:ascii="Arial" w:hAnsi="Arial" w:cs="Arial"/>
          <w:sz w:val="22"/>
          <w:szCs w:val="22"/>
        </w:rPr>
        <w:lastRenderedPageBreak/>
        <w:t>ANNUAL REPORTING BURDEN</w:t>
      </w:r>
    </w:p>
    <w:p w:rsidR="008B164E" w:rsidRPr="00960C69" w:rsidRDefault="008B164E" w:rsidP="008B164E">
      <w:pPr>
        <w:tabs>
          <w:tab w:val="center" w:pos="4680"/>
        </w:tabs>
        <w:jc w:val="center"/>
        <w:rPr>
          <w:rFonts w:ascii="Arial" w:hAnsi="Arial" w:cs="Arial"/>
          <w:sz w:val="22"/>
          <w:szCs w:val="22"/>
        </w:rPr>
      </w:pPr>
    </w:p>
    <w:tbl>
      <w:tblPr>
        <w:tblW w:w="9430" w:type="dxa"/>
        <w:jc w:val="center"/>
        <w:tblLayout w:type="fixed"/>
        <w:tblCellMar>
          <w:left w:w="120" w:type="dxa"/>
          <w:right w:w="120" w:type="dxa"/>
        </w:tblCellMar>
        <w:tblLook w:val="0000" w:firstRow="0" w:lastRow="0" w:firstColumn="0" w:lastColumn="0" w:noHBand="0" w:noVBand="0"/>
      </w:tblPr>
      <w:tblGrid>
        <w:gridCol w:w="1220"/>
        <w:gridCol w:w="1620"/>
        <w:gridCol w:w="1785"/>
        <w:gridCol w:w="1710"/>
        <w:gridCol w:w="1620"/>
        <w:gridCol w:w="1475"/>
      </w:tblGrid>
      <w:tr w:rsidR="008B164E" w:rsidRPr="00960C69" w:rsidTr="006C4632">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IP</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Number of Respondents</w:t>
            </w:r>
          </w:p>
        </w:tc>
        <w:tc>
          <w:tcPr>
            <w:tcW w:w="1785"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Responses per Respondent</w:t>
            </w:r>
          </w:p>
        </w:tc>
        <w:tc>
          <w:tcPr>
            <w:tcW w:w="171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Burden Hours per Response*</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6C4632">
            <w:pPr>
              <w:spacing w:after="58"/>
              <w:rPr>
                <w:rFonts w:ascii="Arial" w:hAnsi="Arial" w:cs="Arial"/>
                <w:szCs w:val="22"/>
              </w:rPr>
            </w:pPr>
            <w:r w:rsidRPr="00960C69">
              <w:rPr>
                <w:rFonts w:ascii="Arial" w:hAnsi="Arial" w:cs="Arial"/>
                <w:sz w:val="22"/>
                <w:szCs w:val="22"/>
              </w:rPr>
              <w:t>Total Annual Burden Hours</w:t>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8B164E" w:rsidRPr="00960C69" w:rsidRDefault="008B164E" w:rsidP="00737C6F">
            <w:pPr>
              <w:spacing w:after="58"/>
              <w:rPr>
                <w:rFonts w:ascii="Arial" w:hAnsi="Arial" w:cs="Arial"/>
                <w:szCs w:val="22"/>
              </w:rPr>
            </w:pPr>
            <w:r w:rsidRPr="00960C69">
              <w:rPr>
                <w:rFonts w:ascii="Arial" w:hAnsi="Arial" w:cs="Arial"/>
                <w:sz w:val="22"/>
                <w:szCs w:val="22"/>
              </w:rPr>
              <w:t>Cost @ $</w:t>
            </w:r>
            <w:r w:rsidR="00737C6F">
              <w:rPr>
                <w:rFonts w:ascii="Arial" w:hAnsi="Arial" w:cs="Arial"/>
                <w:sz w:val="22"/>
                <w:szCs w:val="22"/>
              </w:rPr>
              <w:t>274</w:t>
            </w:r>
            <w:r w:rsidRPr="00960C69">
              <w:rPr>
                <w:rFonts w:ascii="Arial" w:hAnsi="Arial" w:cs="Arial"/>
                <w:sz w:val="22"/>
                <w:szCs w:val="22"/>
              </w:rPr>
              <w:t>/Hr.</w:t>
            </w:r>
          </w:p>
        </w:tc>
      </w:tr>
      <w:tr w:rsidR="00737C6F" w:rsidRPr="00960C69" w:rsidTr="002C2961">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71111.05</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22</w:t>
            </w:r>
          </w:p>
        </w:tc>
        <w:tc>
          <w:tcPr>
            <w:tcW w:w="1785"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1</w:t>
            </w:r>
          </w:p>
        </w:tc>
        <w:tc>
          <w:tcPr>
            <w:tcW w:w="171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164</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3,608</w:t>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737C6F" w:rsidRDefault="002C2961" w:rsidP="002C2961">
            <w:pPr>
              <w:jc w:val="right"/>
              <w:rPr>
                <w:rFonts w:ascii="Arial" w:hAnsi="Arial" w:cs="Arial"/>
                <w:color w:val="000000"/>
                <w:szCs w:val="22"/>
              </w:rPr>
            </w:pPr>
            <w:r>
              <w:rPr>
                <w:rFonts w:ascii="Arial" w:hAnsi="Arial" w:cs="Arial"/>
                <w:color w:val="000000"/>
                <w:sz w:val="22"/>
                <w:szCs w:val="22"/>
              </w:rPr>
              <w:t>$</w:t>
            </w:r>
            <w:r w:rsidR="00737C6F">
              <w:rPr>
                <w:rFonts w:ascii="Arial" w:hAnsi="Arial" w:cs="Arial"/>
                <w:color w:val="000000"/>
                <w:sz w:val="22"/>
                <w:szCs w:val="22"/>
              </w:rPr>
              <w:t>988</w:t>
            </w:r>
            <w:r>
              <w:rPr>
                <w:rFonts w:ascii="Arial" w:hAnsi="Arial" w:cs="Arial"/>
                <w:color w:val="000000"/>
                <w:sz w:val="22"/>
                <w:szCs w:val="22"/>
              </w:rPr>
              <w:t>,</w:t>
            </w:r>
            <w:r w:rsidR="00737C6F">
              <w:rPr>
                <w:rFonts w:ascii="Arial" w:hAnsi="Arial" w:cs="Arial"/>
                <w:color w:val="000000"/>
                <w:sz w:val="22"/>
                <w:szCs w:val="22"/>
              </w:rPr>
              <w:t>592</w:t>
            </w:r>
          </w:p>
        </w:tc>
      </w:tr>
      <w:tr w:rsidR="00737C6F" w:rsidRPr="00960C69" w:rsidTr="002C2961">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71111.21</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22</w:t>
            </w:r>
          </w:p>
        </w:tc>
        <w:tc>
          <w:tcPr>
            <w:tcW w:w="1785" w:type="dxa"/>
            <w:tcBorders>
              <w:top w:val="single" w:sz="7" w:space="0" w:color="000000"/>
              <w:left w:val="single" w:sz="7" w:space="0" w:color="000000"/>
              <w:bottom w:val="single" w:sz="8"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1</w:t>
            </w:r>
          </w:p>
        </w:tc>
        <w:tc>
          <w:tcPr>
            <w:tcW w:w="171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178</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3,916</w:t>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737C6F" w:rsidRDefault="002C2961" w:rsidP="002C2961">
            <w:pPr>
              <w:jc w:val="right"/>
              <w:rPr>
                <w:rFonts w:ascii="Arial" w:hAnsi="Arial" w:cs="Arial"/>
                <w:color w:val="000000"/>
                <w:szCs w:val="22"/>
              </w:rPr>
            </w:pPr>
            <w:r>
              <w:rPr>
                <w:rFonts w:ascii="Arial" w:hAnsi="Arial" w:cs="Arial"/>
                <w:color w:val="000000"/>
                <w:sz w:val="22"/>
                <w:szCs w:val="22"/>
              </w:rPr>
              <w:t>$</w:t>
            </w:r>
            <w:r w:rsidR="00737C6F">
              <w:rPr>
                <w:rFonts w:ascii="Arial" w:hAnsi="Arial" w:cs="Arial"/>
                <w:color w:val="000000"/>
                <w:sz w:val="22"/>
                <w:szCs w:val="22"/>
              </w:rPr>
              <w:t>1</w:t>
            </w:r>
            <w:r>
              <w:rPr>
                <w:rFonts w:ascii="Arial" w:hAnsi="Arial" w:cs="Arial"/>
                <w:color w:val="000000"/>
                <w:sz w:val="22"/>
                <w:szCs w:val="22"/>
              </w:rPr>
              <w:t>,</w:t>
            </w:r>
            <w:r w:rsidR="00737C6F">
              <w:rPr>
                <w:rFonts w:ascii="Arial" w:hAnsi="Arial" w:cs="Arial"/>
                <w:color w:val="000000"/>
                <w:sz w:val="22"/>
                <w:szCs w:val="22"/>
              </w:rPr>
              <w:t>072</w:t>
            </w:r>
            <w:r>
              <w:rPr>
                <w:rFonts w:ascii="Arial" w:hAnsi="Arial" w:cs="Arial"/>
                <w:color w:val="000000"/>
                <w:sz w:val="22"/>
                <w:szCs w:val="22"/>
              </w:rPr>
              <w:t>,</w:t>
            </w:r>
            <w:r w:rsidR="00737C6F">
              <w:rPr>
                <w:rFonts w:ascii="Arial" w:hAnsi="Arial" w:cs="Arial"/>
                <w:color w:val="000000"/>
                <w:sz w:val="22"/>
                <w:szCs w:val="22"/>
              </w:rPr>
              <w:t>984</w:t>
            </w:r>
          </w:p>
        </w:tc>
      </w:tr>
      <w:tr w:rsidR="00737C6F" w:rsidRPr="00960C69" w:rsidTr="002C2961">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71152</w:t>
            </w:r>
          </w:p>
        </w:tc>
        <w:tc>
          <w:tcPr>
            <w:tcW w:w="1620" w:type="dxa"/>
            <w:tcBorders>
              <w:top w:val="single" w:sz="7" w:space="0" w:color="000000"/>
              <w:left w:val="single" w:sz="7" w:space="0" w:color="000000"/>
              <w:bottom w:val="single" w:sz="7" w:space="0" w:color="000000"/>
              <w:right w:val="single" w:sz="8"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34</w:t>
            </w:r>
          </w:p>
        </w:tc>
        <w:tc>
          <w:tcPr>
            <w:tcW w:w="1785" w:type="dxa"/>
            <w:tcBorders>
              <w:top w:val="single" w:sz="8" w:space="0" w:color="000000"/>
              <w:left w:val="single" w:sz="8" w:space="0" w:color="000000"/>
              <w:bottom w:val="single" w:sz="8" w:space="0" w:color="000000"/>
              <w:right w:val="single" w:sz="4" w:space="0" w:color="auto"/>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1</w:t>
            </w:r>
          </w:p>
        </w:tc>
        <w:tc>
          <w:tcPr>
            <w:tcW w:w="1710" w:type="dxa"/>
            <w:tcBorders>
              <w:top w:val="single" w:sz="7" w:space="0" w:color="000000"/>
              <w:left w:val="single" w:sz="4" w:space="0" w:color="auto"/>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85</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737C6F" w:rsidRPr="00960C69" w:rsidRDefault="00737C6F" w:rsidP="006C4632">
            <w:pPr>
              <w:spacing w:after="58"/>
              <w:jc w:val="center"/>
              <w:rPr>
                <w:rFonts w:ascii="Arial" w:hAnsi="Arial" w:cs="Arial"/>
                <w:szCs w:val="22"/>
              </w:rPr>
            </w:pPr>
            <w:r w:rsidRPr="00960C69">
              <w:rPr>
                <w:rFonts w:ascii="Arial" w:hAnsi="Arial" w:cs="Arial"/>
                <w:sz w:val="22"/>
                <w:szCs w:val="22"/>
              </w:rPr>
              <w:t>2,890</w:t>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737C6F" w:rsidRDefault="002C2961" w:rsidP="002C2961">
            <w:pPr>
              <w:jc w:val="right"/>
              <w:rPr>
                <w:rFonts w:ascii="Arial" w:hAnsi="Arial" w:cs="Arial"/>
                <w:color w:val="000000"/>
                <w:szCs w:val="22"/>
              </w:rPr>
            </w:pPr>
            <w:r>
              <w:rPr>
                <w:rFonts w:ascii="Arial" w:hAnsi="Arial" w:cs="Arial"/>
                <w:color w:val="000000"/>
                <w:sz w:val="22"/>
                <w:szCs w:val="22"/>
              </w:rPr>
              <w:t>$</w:t>
            </w:r>
            <w:r w:rsidR="00737C6F">
              <w:rPr>
                <w:rFonts w:ascii="Arial" w:hAnsi="Arial" w:cs="Arial"/>
                <w:color w:val="000000"/>
                <w:sz w:val="22"/>
                <w:szCs w:val="22"/>
              </w:rPr>
              <w:t>791</w:t>
            </w:r>
            <w:r>
              <w:rPr>
                <w:rFonts w:ascii="Arial" w:hAnsi="Arial" w:cs="Arial"/>
                <w:color w:val="000000"/>
                <w:sz w:val="22"/>
                <w:szCs w:val="22"/>
              </w:rPr>
              <w:t>,</w:t>
            </w:r>
            <w:r w:rsidR="00737C6F">
              <w:rPr>
                <w:rFonts w:ascii="Arial" w:hAnsi="Arial" w:cs="Arial"/>
                <w:color w:val="000000"/>
                <w:sz w:val="22"/>
                <w:szCs w:val="22"/>
              </w:rPr>
              <w:t>860</w:t>
            </w:r>
          </w:p>
        </w:tc>
      </w:tr>
      <w:tr w:rsidR="00737C6F" w:rsidRPr="00192D7E" w:rsidTr="002C2961">
        <w:trPr>
          <w:jc w:val="center"/>
        </w:trPr>
        <w:tc>
          <w:tcPr>
            <w:tcW w:w="1220" w:type="dxa"/>
            <w:tcBorders>
              <w:top w:val="single" w:sz="7" w:space="0" w:color="000000"/>
              <w:left w:val="single" w:sz="7" w:space="0" w:color="000000"/>
              <w:bottom w:val="single" w:sz="7" w:space="0" w:color="000000"/>
              <w:right w:val="single" w:sz="7" w:space="0" w:color="000000"/>
            </w:tcBorders>
            <w:tcMar>
              <w:top w:w="29" w:type="dxa"/>
            </w:tcMar>
          </w:tcPr>
          <w:p w:rsidR="00737C6F" w:rsidRPr="00192D7E" w:rsidRDefault="00737C6F" w:rsidP="006C4632">
            <w:pPr>
              <w:spacing w:after="58"/>
              <w:jc w:val="center"/>
              <w:rPr>
                <w:rFonts w:ascii="Arial" w:hAnsi="Arial" w:cs="Arial"/>
                <w:szCs w:val="22"/>
              </w:rPr>
            </w:pPr>
            <w:r w:rsidRPr="00192D7E">
              <w:rPr>
                <w:rFonts w:ascii="Arial" w:hAnsi="Arial" w:cs="Arial"/>
                <w:sz w:val="22"/>
                <w:szCs w:val="22"/>
              </w:rPr>
              <w:t>TOTALS</w:t>
            </w:r>
          </w:p>
        </w:tc>
        <w:tc>
          <w:tcPr>
            <w:tcW w:w="1620" w:type="dxa"/>
            <w:tcBorders>
              <w:top w:val="single" w:sz="7" w:space="0" w:color="000000"/>
              <w:left w:val="single" w:sz="7" w:space="0" w:color="000000"/>
              <w:bottom w:val="single" w:sz="7" w:space="0" w:color="000000"/>
              <w:right w:val="single" w:sz="8" w:space="0" w:color="000000"/>
            </w:tcBorders>
            <w:tcMar>
              <w:top w:w="29" w:type="dxa"/>
            </w:tcMar>
          </w:tcPr>
          <w:p w:rsidR="00737C6F" w:rsidRPr="00192D7E" w:rsidRDefault="00737C6F" w:rsidP="006C4632">
            <w:pPr>
              <w:spacing w:after="58"/>
              <w:jc w:val="center"/>
              <w:rPr>
                <w:rFonts w:ascii="Arial" w:hAnsi="Arial" w:cs="Arial"/>
                <w:szCs w:val="22"/>
              </w:rPr>
            </w:pPr>
            <w:r w:rsidRPr="00192D7E">
              <w:rPr>
                <w:rFonts w:ascii="Arial" w:hAnsi="Arial" w:cs="Arial"/>
                <w:sz w:val="22"/>
                <w:szCs w:val="22"/>
              </w:rPr>
              <w:t>78</w:t>
            </w:r>
          </w:p>
        </w:tc>
        <w:tc>
          <w:tcPr>
            <w:tcW w:w="1785" w:type="dxa"/>
            <w:tcBorders>
              <w:top w:val="single" w:sz="8" w:space="0" w:color="000000"/>
              <w:left w:val="single" w:sz="8" w:space="0" w:color="000000"/>
              <w:bottom w:val="single" w:sz="4" w:space="0" w:color="auto"/>
              <w:right w:val="single" w:sz="4" w:space="0" w:color="auto"/>
            </w:tcBorders>
            <w:tcMar>
              <w:top w:w="29" w:type="dxa"/>
            </w:tcMar>
          </w:tcPr>
          <w:p w:rsidR="00737C6F" w:rsidRPr="00192D7E" w:rsidRDefault="00737C6F" w:rsidP="006C4632">
            <w:pPr>
              <w:spacing w:after="58"/>
              <w:jc w:val="center"/>
              <w:rPr>
                <w:rFonts w:ascii="Arial" w:hAnsi="Arial" w:cs="Arial"/>
                <w:szCs w:val="22"/>
              </w:rPr>
            </w:pPr>
          </w:p>
        </w:tc>
        <w:tc>
          <w:tcPr>
            <w:tcW w:w="1710" w:type="dxa"/>
            <w:tcBorders>
              <w:top w:val="single" w:sz="7" w:space="0" w:color="000000"/>
              <w:left w:val="single" w:sz="4" w:space="0" w:color="auto"/>
              <w:bottom w:val="single" w:sz="4" w:space="0" w:color="auto"/>
              <w:right w:val="single" w:sz="7" w:space="0" w:color="000000"/>
            </w:tcBorders>
            <w:tcMar>
              <w:top w:w="29" w:type="dxa"/>
            </w:tcMar>
          </w:tcPr>
          <w:p w:rsidR="00737C6F" w:rsidRPr="00192D7E" w:rsidRDefault="00737C6F" w:rsidP="006C4632">
            <w:pPr>
              <w:spacing w:after="58"/>
              <w:jc w:val="center"/>
              <w:rPr>
                <w:rFonts w:ascii="Arial" w:hAnsi="Arial" w:cs="Arial"/>
                <w:szCs w:val="22"/>
              </w:rPr>
            </w:pPr>
            <w:r>
              <w:rPr>
                <w:rFonts w:ascii="Arial" w:hAnsi="Arial" w:cs="Arial"/>
                <w:sz w:val="22"/>
                <w:szCs w:val="22"/>
              </w:rPr>
              <w:t>427</w:t>
            </w:r>
          </w:p>
        </w:tc>
        <w:tc>
          <w:tcPr>
            <w:tcW w:w="1620" w:type="dxa"/>
            <w:tcBorders>
              <w:top w:val="single" w:sz="7" w:space="0" w:color="000000"/>
              <w:left w:val="single" w:sz="7" w:space="0" w:color="000000"/>
              <w:bottom w:val="single" w:sz="7" w:space="0" w:color="000000"/>
              <w:right w:val="single" w:sz="7" w:space="0" w:color="000000"/>
            </w:tcBorders>
            <w:tcMar>
              <w:top w:w="29" w:type="dxa"/>
            </w:tcMar>
          </w:tcPr>
          <w:p w:rsidR="00737C6F" w:rsidRPr="00192D7E" w:rsidRDefault="00A74153" w:rsidP="006C4632">
            <w:pPr>
              <w:spacing w:after="58"/>
              <w:jc w:val="center"/>
              <w:rPr>
                <w:rFonts w:ascii="Arial" w:hAnsi="Arial" w:cs="Arial"/>
                <w:szCs w:val="22"/>
              </w:rPr>
            </w:pPr>
            <w:r>
              <w:rPr>
                <w:rFonts w:ascii="Arial" w:hAnsi="Arial" w:cs="Arial"/>
                <w:sz w:val="22"/>
                <w:szCs w:val="22"/>
              </w:rPr>
              <w:fldChar w:fldCharType="begin"/>
            </w:r>
            <w:r w:rsidR="00737C6F">
              <w:rPr>
                <w:rFonts w:ascii="Arial" w:hAnsi="Arial" w:cs="Arial"/>
                <w:sz w:val="22"/>
                <w:szCs w:val="22"/>
              </w:rPr>
              <w:instrText xml:space="preserve"> =SUM(ABOVE) </w:instrText>
            </w:r>
            <w:r>
              <w:rPr>
                <w:rFonts w:ascii="Arial" w:hAnsi="Arial" w:cs="Arial"/>
                <w:sz w:val="22"/>
                <w:szCs w:val="22"/>
              </w:rPr>
              <w:fldChar w:fldCharType="separate"/>
            </w:r>
            <w:r w:rsidR="00737C6F">
              <w:rPr>
                <w:rFonts w:ascii="Arial" w:hAnsi="Arial" w:cs="Arial"/>
                <w:noProof/>
                <w:sz w:val="22"/>
                <w:szCs w:val="22"/>
              </w:rPr>
              <w:t>10,414</w:t>
            </w:r>
            <w:r>
              <w:rPr>
                <w:rFonts w:ascii="Arial" w:hAnsi="Arial" w:cs="Arial"/>
                <w:sz w:val="22"/>
                <w:szCs w:val="22"/>
              </w:rPr>
              <w:fldChar w:fldCharType="end"/>
            </w:r>
          </w:p>
        </w:tc>
        <w:tc>
          <w:tcPr>
            <w:tcW w:w="1475" w:type="dxa"/>
            <w:tcBorders>
              <w:top w:val="single" w:sz="7" w:space="0" w:color="000000"/>
              <w:left w:val="single" w:sz="7" w:space="0" w:color="000000"/>
              <w:bottom w:val="single" w:sz="7" w:space="0" w:color="000000"/>
              <w:right w:val="single" w:sz="7" w:space="0" w:color="000000"/>
            </w:tcBorders>
            <w:tcMar>
              <w:top w:w="29" w:type="dxa"/>
            </w:tcMar>
          </w:tcPr>
          <w:p w:rsidR="00737C6F" w:rsidRDefault="002C2961" w:rsidP="002C2961">
            <w:pPr>
              <w:jc w:val="right"/>
              <w:rPr>
                <w:rFonts w:ascii="Arial" w:hAnsi="Arial" w:cs="Arial"/>
                <w:color w:val="000000"/>
                <w:szCs w:val="22"/>
              </w:rPr>
            </w:pPr>
            <w:r>
              <w:rPr>
                <w:rFonts w:ascii="Arial" w:hAnsi="Arial" w:cs="Arial"/>
                <w:color w:val="000000"/>
                <w:sz w:val="22"/>
                <w:szCs w:val="22"/>
              </w:rPr>
              <w:t>$</w:t>
            </w:r>
            <w:r w:rsidR="00737C6F">
              <w:rPr>
                <w:rFonts w:ascii="Arial" w:hAnsi="Arial" w:cs="Arial"/>
                <w:color w:val="000000"/>
                <w:sz w:val="22"/>
                <w:szCs w:val="22"/>
              </w:rPr>
              <w:t>2</w:t>
            </w:r>
            <w:r>
              <w:rPr>
                <w:rFonts w:ascii="Arial" w:hAnsi="Arial" w:cs="Arial"/>
                <w:color w:val="000000"/>
                <w:sz w:val="22"/>
                <w:szCs w:val="22"/>
              </w:rPr>
              <w:t>,</w:t>
            </w:r>
            <w:r w:rsidR="00737C6F">
              <w:rPr>
                <w:rFonts w:ascii="Arial" w:hAnsi="Arial" w:cs="Arial"/>
                <w:color w:val="000000"/>
                <w:sz w:val="22"/>
                <w:szCs w:val="22"/>
              </w:rPr>
              <w:t>853</w:t>
            </w:r>
            <w:r>
              <w:rPr>
                <w:rFonts w:ascii="Arial" w:hAnsi="Arial" w:cs="Arial"/>
                <w:color w:val="000000"/>
                <w:sz w:val="22"/>
                <w:szCs w:val="22"/>
              </w:rPr>
              <w:t>,</w:t>
            </w:r>
            <w:r w:rsidR="00737C6F">
              <w:rPr>
                <w:rFonts w:ascii="Arial" w:hAnsi="Arial" w:cs="Arial"/>
                <w:color w:val="000000"/>
                <w:sz w:val="22"/>
                <w:szCs w:val="22"/>
              </w:rPr>
              <w:t>436</w:t>
            </w:r>
          </w:p>
        </w:tc>
      </w:tr>
    </w:tbl>
    <w:p w:rsidR="008B164E" w:rsidRPr="00192D7E" w:rsidRDefault="008B164E" w:rsidP="008B164E">
      <w:pPr>
        <w:rPr>
          <w:rFonts w:ascii="Arial" w:hAnsi="Arial" w:cs="Arial"/>
          <w:sz w:val="22"/>
          <w:szCs w:val="22"/>
        </w:rPr>
      </w:pPr>
      <w:r w:rsidRPr="00192D7E">
        <w:rPr>
          <w:rFonts w:ascii="Arial" w:hAnsi="Arial" w:cs="Arial"/>
          <w:sz w:val="22"/>
          <w:szCs w:val="22"/>
        </w:rPr>
        <w:t>*Based on numbers supplied by th</w:t>
      </w:r>
      <w:r w:rsidR="00E46DBC">
        <w:rPr>
          <w:rFonts w:ascii="Arial" w:hAnsi="Arial" w:cs="Arial"/>
          <w:sz w:val="22"/>
          <w:szCs w:val="22"/>
        </w:rPr>
        <w:t>e Nuclear Energy Institute</w:t>
      </w:r>
      <w:r w:rsidRPr="00192D7E">
        <w:rPr>
          <w:rFonts w:ascii="Arial" w:hAnsi="Arial" w:cs="Arial"/>
          <w:sz w:val="22"/>
          <w:szCs w:val="22"/>
        </w:rPr>
        <w:t xml:space="preserve"> in 2006.  These numbers are still valid since the scope of the information requested has not changed.</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13.</w:t>
      </w:r>
      <w:r w:rsidR="008B164E" w:rsidRPr="00960C69">
        <w:rPr>
          <w:rFonts w:ascii="Arial" w:hAnsi="Arial" w:cs="Arial"/>
          <w:sz w:val="22"/>
          <w:szCs w:val="22"/>
        </w:rPr>
        <w:tab/>
      </w:r>
      <w:r w:rsidR="008B164E" w:rsidRPr="00960C69">
        <w:rPr>
          <w:rFonts w:ascii="Arial" w:hAnsi="Arial" w:cs="Arial"/>
          <w:sz w:val="22"/>
          <w:szCs w:val="22"/>
          <w:u w:val="single"/>
        </w:rPr>
        <w:t>Estimate of Other Additional Costs</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sidR="001A2516">
        <w:rPr>
          <w:rFonts w:ascii="Arial" w:hAnsi="Arial" w:cs="Arial"/>
          <w:sz w:val="22"/>
          <w:szCs w:val="22"/>
        </w:rPr>
        <w:t>0</w:t>
      </w:r>
      <w:r w:rsidRPr="00960C69">
        <w:rPr>
          <w:rFonts w:ascii="Arial" w:hAnsi="Arial" w:cs="Arial"/>
          <w:sz w:val="22"/>
          <w:szCs w:val="22"/>
        </w:rPr>
        <w:t> hours, the storage cost for this clearance is $</w:t>
      </w:r>
      <w:r w:rsidR="001A2516">
        <w:rPr>
          <w:rFonts w:ascii="Arial" w:hAnsi="Arial" w:cs="Arial"/>
          <w:sz w:val="22"/>
          <w:szCs w:val="22"/>
        </w:rPr>
        <w:t>0.00</w:t>
      </w:r>
      <w:r w:rsidRPr="00960C69">
        <w:rPr>
          <w:rFonts w:ascii="Arial" w:hAnsi="Arial" w:cs="Arial"/>
          <w:sz w:val="22"/>
          <w:szCs w:val="22"/>
        </w:rPr>
        <w:t xml:space="preserve"> (</w:t>
      </w:r>
      <w:r>
        <w:rPr>
          <w:rFonts w:ascii="Arial" w:hAnsi="Arial" w:cs="Arial"/>
          <w:sz w:val="22"/>
          <w:szCs w:val="22"/>
        </w:rPr>
        <w:t>0</w:t>
      </w:r>
      <w:r w:rsidRPr="00960C69">
        <w:rPr>
          <w:rFonts w:ascii="Arial" w:hAnsi="Arial" w:cs="Arial"/>
          <w:sz w:val="22"/>
          <w:szCs w:val="22"/>
        </w:rPr>
        <w:t xml:space="preserve"> hours x 0.0004 x $</w:t>
      </w:r>
      <w:r w:rsidR="002C2961">
        <w:rPr>
          <w:rFonts w:ascii="Arial" w:hAnsi="Arial" w:cs="Arial"/>
          <w:sz w:val="22"/>
          <w:szCs w:val="22"/>
        </w:rPr>
        <w:t>274</w:t>
      </w:r>
      <w:r w:rsidRPr="00960C69">
        <w:rPr>
          <w:rFonts w:ascii="Arial" w:hAnsi="Arial" w:cs="Arial"/>
          <w:sz w:val="22"/>
          <w:szCs w:val="22"/>
        </w:rPr>
        <w:t>/hour).</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14.</w:t>
      </w:r>
      <w:r w:rsidR="008B164E" w:rsidRPr="00960C69">
        <w:rPr>
          <w:rFonts w:ascii="Arial" w:hAnsi="Arial" w:cs="Arial"/>
          <w:sz w:val="22"/>
          <w:szCs w:val="22"/>
        </w:rPr>
        <w:tab/>
      </w:r>
      <w:r w:rsidR="008B164E" w:rsidRPr="00960C69">
        <w:rPr>
          <w:rFonts w:ascii="Arial" w:hAnsi="Arial" w:cs="Arial"/>
          <w:sz w:val="22"/>
          <w:szCs w:val="22"/>
          <w:u w:val="single"/>
        </w:rPr>
        <w:t>Estimated Annualized Cost to the Federal Government</w:t>
      </w:r>
    </w:p>
    <w:p w:rsidR="008B164E" w:rsidRPr="00960C69" w:rsidRDefault="008B164E" w:rsidP="008B164E">
      <w:pPr>
        <w:rPr>
          <w:rFonts w:ascii="Arial" w:hAnsi="Arial" w:cs="Arial"/>
          <w:sz w:val="22"/>
          <w:szCs w:val="22"/>
          <w:u w:val="single"/>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The information submitted to the NRC is reviewed as a normal part of the routine inspection process and, therefore, incur minimal incremental cost to the government.  This cost is fully recovered through fee assessments to NRC licensees pursuant to 10 CFR 170 and/or 10 CFR 171.</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15.</w:t>
      </w:r>
      <w:r w:rsidR="008B164E" w:rsidRPr="00960C69">
        <w:rPr>
          <w:rFonts w:ascii="Arial" w:hAnsi="Arial" w:cs="Arial"/>
          <w:sz w:val="22"/>
          <w:szCs w:val="22"/>
        </w:rPr>
        <w:tab/>
      </w:r>
      <w:r w:rsidR="008B164E" w:rsidRPr="00960C69">
        <w:rPr>
          <w:rFonts w:ascii="Arial" w:hAnsi="Arial" w:cs="Arial"/>
          <w:sz w:val="22"/>
          <w:szCs w:val="22"/>
          <w:u w:val="single"/>
        </w:rPr>
        <w:t>Reasons for Change in Burden or Cost</w:t>
      </w:r>
    </w:p>
    <w:p w:rsidR="008B164E" w:rsidRPr="00960C69" w:rsidRDefault="008B164E" w:rsidP="008B164E">
      <w:pPr>
        <w:rPr>
          <w:rFonts w:ascii="Arial" w:hAnsi="Arial" w:cs="Arial"/>
          <w:b/>
          <w:bCs/>
          <w:sz w:val="22"/>
          <w:szCs w:val="22"/>
          <w:u w:val="single"/>
        </w:rPr>
      </w:pPr>
    </w:p>
    <w:p w:rsidR="001A2516" w:rsidRPr="001A2516" w:rsidRDefault="001A2516" w:rsidP="001A2516">
      <w:pPr>
        <w:ind w:left="720"/>
        <w:rPr>
          <w:rFonts w:ascii="Arial" w:hAnsi="Arial" w:cs="Arial"/>
          <w:sz w:val="22"/>
          <w:szCs w:val="22"/>
        </w:rPr>
      </w:pPr>
      <w:r w:rsidRPr="001A2516">
        <w:rPr>
          <w:rFonts w:ascii="Arial" w:hAnsi="Arial" w:cs="Arial"/>
          <w:sz w:val="22"/>
          <w:szCs w:val="22"/>
        </w:rPr>
        <w:t>There is no change in the overall burden.  However, cost estimates have changed since the last clearance renewal resulting in an increase in the fee rate from $257 to $274 per hour.</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16.</w:t>
      </w:r>
      <w:r w:rsidR="008B164E" w:rsidRPr="00960C69">
        <w:rPr>
          <w:rFonts w:ascii="Arial" w:hAnsi="Arial" w:cs="Arial"/>
          <w:sz w:val="22"/>
          <w:szCs w:val="22"/>
        </w:rPr>
        <w:tab/>
      </w:r>
      <w:r w:rsidR="008B164E" w:rsidRPr="00960C69">
        <w:rPr>
          <w:rFonts w:ascii="Arial" w:hAnsi="Arial" w:cs="Arial"/>
          <w:sz w:val="22"/>
          <w:szCs w:val="22"/>
          <w:u w:val="single"/>
        </w:rPr>
        <w:t>Publication for Statistical Use</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This information will not be published for statistical use.</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17.</w:t>
      </w:r>
      <w:r w:rsidR="008B164E" w:rsidRPr="00960C69">
        <w:rPr>
          <w:rFonts w:ascii="Arial" w:hAnsi="Arial" w:cs="Arial"/>
          <w:sz w:val="22"/>
          <w:szCs w:val="22"/>
        </w:rPr>
        <w:tab/>
      </w:r>
      <w:r w:rsidR="008B164E" w:rsidRPr="00960C69">
        <w:rPr>
          <w:rFonts w:ascii="Arial" w:hAnsi="Arial" w:cs="Arial"/>
          <w:sz w:val="22"/>
          <w:szCs w:val="22"/>
          <w:u w:val="single"/>
        </w:rPr>
        <w:t>Reason for Not Displaying the Expiration Date</w:t>
      </w:r>
    </w:p>
    <w:p w:rsidR="008B164E" w:rsidRPr="00960C69" w:rsidRDefault="008B164E" w:rsidP="008B164E">
      <w:pPr>
        <w:rPr>
          <w:rFonts w:ascii="Arial" w:hAnsi="Arial" w:cs="Arial"/>
          <w:sz w:val="22"/>
          <w:szCs w:val="22"/>
        </w:rPr>
      </w:pPr>
    </w:p>
    <w:p w:rsidR="008B164E" w:rsidRPr="00960C69" w:rsidRDefault="008B164E" w:rsidP="008B164E">
      <w:pPr>
        <w:ind w:left="720"/>
        <w:rPr>
          <w:rFonts w:ascii="Arial" w:hAnsi="Arial" w:cs="Arial"/>
          <w:sz w:val="22"/>
          <w:szCs w:val="22"/>
        </w:rPr>
      </w:pPr>
      <w:r w:rsidRPr="00960C69">
        <w:rPr>
          <w:rFonts w:ascii="Arial" w:hAnsi="Arial" w:cs="Arial"/>
          <w:sz w:val="22"/>
          <w:szCs w:val="22"/>
        </w:rPr>
        <w:t xml:space="preserve">The requirement is contained in a regulation.  Amending the </w:t>
      </w:r>
      <w:r w:rsidR="00201C46">
        <w:rPr>
          <w:rFonts w:ascii="Arial" w:hAnsi="Arial" w:cs="Arial"/>
          <w:sz w:val="22"/>
          <w:szCs w:val="22"/>
        </w:rPr>
        <w:t>CFR</w:t>
      </w:r>
      <w:r w:rsidRPr="00960C69">
        <w:rPr>
          <w:rFonts w:ascii="Arial" w:hAnsi="Arial" w:cs="Arial"/>
          <w:sz w:val="22"/>
          <w:szCs w:val="22"/>
        </w:rPr>
        <w:t xml:space="preserve"> to display information that, in an annual publication, could become obsolete would be unduly burdensome and too difficult to keep current.</w:t>
      </w:r>
    </w:p>
    <w:p w:rsidR="008B164E" w:rsidRPr="00960C69" w:rsidRDefault="008B164E" w:rsidP="008B164E">
      <w:pPr>
        <w:rPr>
          <w:rFonts w:ascii="Arial" w:hAnsi="Arial" w:cs="Arial"/>
          <w:sz w:val="22"/>
          <w:szCs w:val="22"/>
        </w:rPr>
      </w:pPr>
    </w:p>
    <w:p w:rsidR="008B164E" w:rsidRPr="00960C69" w:rsidRDefault="00296A8C" w:rsidP="00296A8C">
      <w:pPr>
        <w:tabs>
          <w:tab w:val="left" w:pos="-1440"/>
          <w:tab w:val="left" w:pos="360"/>
        </w:tabs>
        <w:ind w:left="720" w:hanging="720"/>
        <w:rPr>
          <w:rFonts w:ascii="Arial" w:hAnsi="Arial" w:cs="Arial"/>
          <w:sz w:val="22"/>
          <w:szCs w:val="22"/>
        </w:rPr>
      </w:pPr>
      <w:r>
        <w:rPr>
          <w:rFonts w:ascii="Arial" w:hAnsi="Arial" w:cs="Arial"/>
          <w:sz w:val="22"/>
          <w:szCs w:val="22"/>
        </w:rPr>
        <w:tab/>
      </w:r>
      <w:r w:rsidR="008B164E" w:rsidRPr="00960C69">
        <w:rPr>
          <w:rFonts w:ascii="Arial" w:hAnsi="Arial" w:cs="Arial"/>
          <w:sz w:val="22"/>
          <w:szCs w:val="22"/>
        </w:rPr>
        <w:t>18.</w:t>
      </w:r>
      <w:r w:rsidR="008B164E" w:rsidRPr="00960C69">
        <w:rPr>
          <w:rFonts w:ascii="Arial" w:hAnsi="Arial" w:cs="Arial"/>
          <w:sz w:val="22"/>
          <w:szCs w:val="22"/>
        </w:rPr>
        <w:tab/>
      </w:r>
      <w:r w:rsidR="008B164E" w:rsidRPr="00960C69">
        <w:rPr>
          <w:rFonts w:ascii="Arial" w:hAnsi="Arial" w:cs="Arial"/>
          <w:sz w:val="22"/>
          <w:szCs w:val="22"/>
          <w:u w:val="single"/>
        </w:rPr>
        <w:t>Exceptions to the Certification Statement</w:t>
      </w:r>
      <w:r w:rsidR="008B164E" w:rsidRPr="00960C69">
        <w:rPr>
          <w:rFonts w:ascii="Arial" w:hAnsi="Arial" w:cs="Arial"/>
          <w:sz w:val="22"/>
          <w:szCs w:val="22"/>
        </w:rPr>
        <w:t>.</w:t>
      </w:r>
    </w:p>
    <w:p w:rsidR="008B164E" w:rsidRPr="00960C69" w:rsidRDefault="008B164E" w:rsidP="008B164E">
      <w:pPr>
        <w:rPr>
          <w:rFonts w:ascii="Arial" w:hAnsi="Arial" w:cs="Arial"/>
          <w:sz w:val="22"/>
          <w:szCs w:val="22"/>
        </w:rPr>
      </w:pPr>
    </w:p>
    <w:p w:rsidR="008B164E" w:rsidRPr="00960C69" w:rsidRDefault="00296A8C" w:rsidP="008B164E">
      <w:pPr>
        <w:ind w:left="720"/>
        <w:rPr>
          <w:rFonts w:ascii="Arial" w:hAnsi="Arial" w:cs="Arial"/>
          <w:sz w:val="22"/>
          <w:szCs w:val="22"/>
        </w:rPr>
      </w:pPr>
      <w:r>
        <w:rPr>
          <w:rFonts w:ascii="Arial" w:hAnsi="Arial" w:cs="Arial"/>
          <w:sz w:val="22"/>
          <w:szCs w:val="22"/>
        </w:rPr>
        <w:t>None</w:t>
      </w:r>
    </w:p>
    <w:p w:rsidR="008B164E" w:rsidRPr="00960C69" w:rsidRDefault="008B164E" w:rsidP="008B164E">
      <w:pPr>
        <w:rPr>
          <w:rFonts w:ascii="Arial" w:hAnsi="Arial" w:cs="Arial"/>
          <w:sz w:val="22"/>
          <w:szCs w:val="22"/>
        </w:rPr>
      </w:pPr>
    </w:p>
    <w:p w:rsidR="008B164E" w:rsidRPr="00296A8C" w:rsidRDefault="00296A8C" w:rsidP="008B164E">
      <w:pPr>
        <w:pStyle w:val="Level1"/>
        <w:widowControl/>
        <w:tabs>
          <w:tab w:val="left" w:pos="-1440"/>
          <w:tab w:val="num" w:pos="720"/>
        </w:tabs>
        <w:rPr>
          <w:rFonts w:ascii="Arial" w:hAnsi="Arial"/>
          <w:sz w:val="22"/>
          <w:u w:val="single"/>
        </w:rPr>
      </w:pPr>
      <w:r w:rsidRPr="00296A8C">
        <w:rPr>
          <w:rFonts w:ascii="Arial" w:hAnsi="Arial"/>
          <w:sz w:val="22"/>
        </w:rPr>
        <w:lastRenderedPageBreak/>
        <w:t xml:space="preserve">B. </w:t>
      </w:r>
      <w:r w:rsidRPr="00296A8C">
        <w:rPr>
          <w:rFonts w:ascii="Arial" w:hAnsi="Arial"/>
          <w:sz w:val="22"/>
        </w:rPr>
        <w:tab/>
      </w:r>
      <w:r w:rsidR="008B164E" w:rsidRPr="00296A8C">
        <w:rPr>
          <w:rFonts w:ascii="Arial" w:hAnsi="Arial"/>
          <w:sz w:val="22"/>
          <w:u w:val="single"/>
        </w:rPr>
        <w:t>COLLECTIONS OF INFORMATION EMPLOYING STATISTICAL METHODS</w:t>
      </w:r>
    </w:p>
    <w:p w:rsidR="008B164E" w:rsidRPr="00960C69" w:rsidRDefault="008B164E" w:rsidP="008B164E">
      <w:pPr>
        <w:rPr>
          <w:rFonts w:ascii="Arial" w:hAnsi="Arial"/>
          <w:sz w:val="22"/>
        </w:rPr>
      </w:pPr>
    </w:p>
    <w:p w:rsidR="008B164E" w:rsidRPr="00960C69" w:rsidRDefault="008B164E" w:rsidP="008B164E">
      <w:pPr>
        <w:ind w:left="720"/>
        <w:rPr>
          <w:rFonts w:ascii="Arial" w:hAnsi="Arial"/>
          <w:sz w:val="22"/>
        </w:rPr>
      </w:pPr>
      <w:r w:rsidRPr="00960C69">
        <w:rPr>
          <w:rFonts w:ascii="Arial" w:hAnsi="Arial"/>
          <w:sz w:val="22"/>
        </w:rPr>
        <w:t>Not applicable.</w:t>
      </w:r>
    </w:p>
    <w:p w:rsidR="008B164E" w:rsidRDefault="008B164E">
      <w:pPr>
        <w:spacing w:line="276" w:lineRule="auto"/>
      </w:pPr>
    </w:p>
    <w:sectPr w:rsidR="008B164E" w:rsidSect="009D01E2">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77" w:rsidRDefault="00327C77" w:rsidP="00DF4E51">
      <w:r>
        <w:separator/>
      </w:r>
    </w:p>
  </w:endnote>
  <w:endnote w:type="continuationSeparator" w:id="0">
    <w:p w:rsidR="00327C77" w:rsidRDefault="00327C77" w:rsidP="00DF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Xerox Sans Serif Wide">
    <w:altName w:val="Century Gothic"/>
    <w:charset w:val="00"/>
    <w:family w:val="swiss"/>
    <w:pitch w:val="variable"/>
    <w:sig w:usb0="00000001" w:usb1="00000000" w:usb2="00000000" w:usb3="00000000" w:csb0="00000093" w:csb1="00000000"/>
  </w:font>
  <w:font w:name="Mona Lisa Recut">
    <w:charset w:val="00"/>
    <w:family w:val="auto"/>
    <w:pitch w:val="variable"/>
    <w:sig w:usb0="00000003" w:usb1="00000000" w:usb2="00000000" w:usb3="00000000" w:csb0="00000001" w:csb1="00000000"/>
  </w:font>
  <w:font w:name="WP TypographicSymbols">
    <w:altName w:val="Courier10 B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77" w:rsidRDefault="00327C77" w:rsidP="00DF4E51">
      <w:r>
        <w:separator/>
      </w:r>
    </w:p>
  </w:footnote>
  <w:footnote w:type="continuationSeparator" w:id="0">
    <w:p w:rsidR="00327C77" w:rsidRDefault="00327C77" w:rsidP="00DF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5"/>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5">
    <w:nsid w:val="00000006"/>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C24643A"/>
    <w:multiLevelType w:val="hybridMultilevel"/>
    <w:tmpl w:val="4972ED8C"/>
    <w:lvl w:ilvl="0" w:tplc="598E28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9846D5"/>
    <w:multiLevelType w:val="hybridMultilevel"/>
    <w:tmpl w:val="F42015F6"/>
    <w:lvl w:ilvl="0" w:tplc="09160870">
      <w:start w:val="4"/>
      <w:numFmt w:val="decimal"/>
      <w:lvlText w:val="%1."/>
      <w:lvlJc w:val="left"/>
      <w:pPr>
        <w:tabs>
          <w:tab w:val="num" w:pos="1200"/>
        </w:tabs>
        <w:ind w:left="1200" w:hanging="4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2E4190"/>
    <w:multiLevelType w:val="hybridMultilevel"/>
    <w:tmpl w:val="E1621BC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54AD2D30"/>
    <w:multiLevelType w:val="hybridMultilevel"/>
    <w:tmpl w:val="A546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D045E1"/>
    <w:multiLevelType w:val="hybridMultilevel"/>
    <w:tmpl w:val="040A4DFA"/>
    <w:lvl w:ilvl="0" w:tplc="797C1CAA">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1261BF"/>
    <w:multiLevelType w:val="hybridMultilevel"/>
    <w:tmpl w:val="FC6693B4"/>
    <w:lvl w:ilvl="0" w:tplc="07D250FA">
      <w:start w:val="10"/>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504F9B"/>
    <w:multiLevelType w:val="hybridMultilevel"/>
    <w:tmpl w:val="42A2B898"/>
    <w:lvl w:ilvl="0" w:tplc="8D4C4862">
      <w:start w:val="4"/>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2"/>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num>
  <w:num w:numId="8">
    <w:abstractNumId w:val="0"/>
    <w:lvlOverride w:ilvl="0">
      <w:lvl w:ilvl="0">
        <w:start w:val="1"/>
        <w:numFmt w:val="upperLetter"/>
        <w:lvlText w:val="%1."/>
        <w:lvlJc w:val="left"/>
      </w:lvl>
    </w:lvlOverride>
    <w:lvlOverride w:ilvl="1">
      <w:lvl w:ilvl="1">
        <w:start w:val="1"/>
        <w:numFmt w:val="decimal"/>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num>
  <w:num w:numId="9">
    <w:abstractNumId w:val="9"/>
  </w:num>
  <w:num w:numId="10">
    <w:abstractNumId w:val="0"/>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abstractNumId w:val="1"/>
    <w:lvlOverride w:ilvl="0">
      <w:startOverride w:val="8"/>
      <w:lvl w:ilvl="0">
        <w:start w:val="8"/>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5"/>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0"/>
  </w:num>
  <w:num w:numId="16">
    <w:abstractNumId w:val="0"/>
    <w:lvlOverride w:ilvl="0">
      <w:lvl w:ilvl="0">
        <w:start w:val="7"/>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7">
    <w:abstractNumId w:val="6"/>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
  </w:num>
  <w:num w:numId="19">
    <w:abstractNumId w:val="8"/>
  </w:num>
  <w:num w:numId="20">
    <w:abstractNumId w:val="2"/>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51"/>
    <w:rsid w:val="0001005C"/>
    <w:rsid w:val="00036FA8"/>
    <w:rsid w:val="00060E54"/>
    <w:rsid w:val="000761B1"/>
    <w:rsid w:val="00095BC4"/>
    <w:rsid w:val="000A3ECA"/>
    <w:rsid w:val="000B0E52"/>
    <w:rsid w:val="000B3BD1"/>
    <w:rsid w:val="000B635F"/>
    <w:rsid w:val="00100AE8"/>
    <w:rsid w:val="00167900"/>
    <w:rsid w:val="001A2516"/>
    <w:rsid w:val="001C1EDC"/>
    <w:rsid w:val="001C3221"/>
    <w:rsid w:val="001F53F9"/>
    <w:rsid w:val="001F5781"/>
    <w:rsid w:val="001F7205"/>
    <w:rsid w:val="00201C46"/>
    <w:rsid w:val="00225CFF"/>
    <w:rsid w:val="0022622F"/>
    <w:rsid w:val="00296A8C"/>
    <w:rsid w:val="002C2961"/>
    <w:rsid w:val="002C2F78"/>
    <w:rsid w:val="002C75C8"/>
    <w:rsid w:val="002E3A08"/>
    <w:rsid w:val="002E7A71"/>
    <w:rsid w:val="00327C77"/>
    <w:rsid w:val="003536CA"/>
    <w:rsid w:val="00357E1C"/>
    <w:rsid w:val="003943F6"/>
    <w:rsid w:val="003A4B9A"/>
    <w:rsid w:val="003E3E25"/>
    <w:rsid w:val="003F3462"/>
    <w:rsid w:val="004057E5"/>
    <w:rsid w:val="00443263"/>
    <w:rsid w:val="00443873"/>
    <w:rsid w:val="00451485"/>
    <w:rsid w:val="004740B8"/>
    <w:rsid w:val="004A3F84"/>
    <w:rsid w:val="004A688D"/>
    <w:rsid w:val="004A71CB"/>
    <w:rsid w:val="004B2D25"/>
    <w:rsid w:val="004B70F9"/>
    <w:rsid w:val="004D52EE"/>
    <w:rsid w:val="004D75AD"/>
    <w:rsid w:val="00514773"/>
    <w:rsid w:val="00515164"/>
    <w:rsid w:val="005237C6"/>
    <w:rsid w:val="00533D3C"/>
    <w:rsid w:val="00582062"/>
    <w:rsid w:val="005A650B"/>
    <w:rsid w:val="005B5DC0"/>
    <w:rsid w:val="005C7F26"/>
    <w:rsid w:val="005D1319"/>
    <w:rsid w:val="005F68BB"/>
    <w:rsid w:val="006670B9"/>
    <w:rsid w:val="006937CE"/>
    <w:rsid w:val="006A3ABB"/>
    <w:rsid w:val="006C392A"/>
    <w:rsid w:val="006C4632"/>
    <w:rsid w:val="006F07A5"/>
    <w:rsid w:val="00714384"/>
    <w:rsid w:val="00737C6F"/>
    <w:rsid w:val="0076040D"/>
    <w:rsid w:val="00775418"/>
    <w:rsid w:val="007855C6"/>
    <w:rsid w:val="007E6661"/>
    <w:rsid w:val="007F1988"/>
    <w:rsid w:val="007F498D"/>
    <w:rsid w:val="00865848"/>
    <w:rsid w:val="00870826"/>
    <w:rsid w:val="008967A0"/>
    <w:rsid w:val="008A7AFA"/>
    <w:rsid w:val="008B164E"/>
    <w:rsid w:val="008D70C2"/>
    <w:rsid w:val="0090241E"/>
    <w:rsid w:val="00911630"/>
    <w:rsid w:val="0091301C"/>
    <w:rsid w:val="009167FC"/>
    <w:rsid w:val="00976BEF"/>
    <w:rsid w:val="009815B6"/>
    <w:rsid w:val="009939C6"/>
    <w:rsid w:val="009A2C8E"/>
    <w:rsid w:val="009C603B"/>
    <w:rsid w:val="009C7C49"/>
    <w:rsid w:val="009D01E2"/>
    <w:rsid w:val="009E5CCC"/>
    <w:rsid w:val="009E6DA6"/>
    <w:rsid w:val="00A540B4"/>
    <w:rsid w:val="00A74153"/>
    <w:rsid w:val="00AA0E7D"/>
    <w:rsid w:val="00B0481A"/>
    <w:rsid w:val="00B14256"/>
    <w:rsid w:val="00B22B23"/>
    <w:rsid w:val="00B80609"/>
    <w:rsid w:val="00B82003"/>
    <w:rsid w:val="00BA0762"/>
    <w:rsid w:val="00BA47A8"/>
    <w:rsid w:val="00BB1E7B"/>
    <w:rsid w:val="00BC1882"/>
    <w:rsid w:val="00BC3D5A"/>
    <w:rsid w:val="00BD670D"/>
    <w:rsid w:val="00BE7F46"/>
    <w:rsid w:val="00BF11E2"/>
    <w:rsid w:val="00C15349"/>
    <w:rsid w:val="00C84C48"/>
    <w:rsid w:val="00D04E4A"/>
    <w:rsid w:val="00D06D59"/>
    <w:rsid w:val="00D116B0"/>
    <w:rsid w:val="00D2342A"/>
    <w:rsid w:val="00D41324"/>
    <w:rsid w:val="00D46FBF"/>
    <w:rsid w:val="00DD610C"/>
    <w:rsid w:val="00DE6BF2"/>
    <w:rsid w:val="00DF4E51"/>
    <w:rsid w:val="00E02A2C"/>
    <w:rsid w:val="00E11207"/>
    <w:rsid w:val="00E23AD8"/>
    <w:rsid w:val="00E3750E"/>
    <w:rsid w:val="00E46DBC"/>
    <w:rsid w:val="00E53BEE"/>
    <w:rsid w:val="00E84966"/>
    <w:rsid w:val="00E932EE"/>
    <w:rsid w:val="00F0370B"/>
    <w:rsid w:val="00F04C57"/>
    <w:rsid w:val="00F24C79"/>
    <w:rsid w:val="00F8649B"/>
    <w:rsid w:val="00FB708C"/>
    <w:rsid w:val="00FD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51"/>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F4E51"/>
    <w:pPr>
      <w:widowControl w:val="0"/>
    </w:pPr>
  </w:style>
  <w:style w:type="paragraph" w:customStyle="1" w:styleId="Level2">
    <w:name w:val="Level 2"/>
    <w:basedOn w:val="Normal"/>
    <w:rsid w:val="00DF4E51"/>
    <w:pPr>
      <w:widowControl w:val="0"/>
    </w:pPr>
  </w:style>
  <w:style w:type="character" w:styleId="PageNumber">
    <w:name w:val="page number"/>
    <w:basedOn w:val="DefaultParagraphFont"/>
    <w:rsid w:val="00DF4E51"/>
  </w:style>
  <w:style w:type="character" w:styleId="FootnoteReference">
    <w:name w:val="footnote reference"/>
    <w:rsid w:val="00DF4E51"/>
  </w:style>
  <w:style w:type="paragraph" w:styleId="ListParagraph">
    <w:name w:val="List Paragraph"/>
    <w:basedOn w:val="Normal"/>
    <w:uiPriority w:val="34"/>
    <w:qFormat/>
    <w:rsid w:val="00DF4E51"/>
    <w:pPr>
      <w:widowControl w:val="0"/>
      <w:autoSpaceDE w:val="0"/>
      <w:autoSpaceDN w:val="0"/>
      <w:adjustRightInd w:val="0"/>
      <w:ind w:left="720"/>
      <w:contextualSpacing/>
    </w:pPr>
    <w:rPr>
      <w:rFonts w:ascii="Xerox Sans Serif Wide" w:hAnsi="Xerox Sans Serif Wide"/>
      <w:szCs w:val="24"/>
    </w:rPr>
  </w:style>
  <w:style w:type="paragraph" w:customStyle="1" w:styleId="Level3">
    <w:name w:val="Level 3"/>
    <w:basedOn w:val="Normal"/>
    <w:rsid w:val="008B164E"/>
    <w:pPr>
      <w:widowControl w:val="0"/>
      <w:autoSpaceDE w:val="0"/>
      <w:autoSpaceDN w:val="0"/>
      <w:adjustRightInd w:val="0"/>
      <w:ind w:left="1680" w:hanging="480"/>
      <w:outlineLvl w:val="2"/>
    </w:pPr>
    <w:rPr>
      <w:rFonts w:ascii="Mona Lisa Recut" w:hAnsi="Mona Lisa Recut"/>
      <w:szCs w:val="24"/>
    </w:rPr>
  </w:style>
  <w:style w:type="paragraph" w:styleId="Footer">
    <w:name w:val="footer"/>
    <w:basedOn w:val="Normal"/>
    <w:link w:val="FooterChar"/>
    <w:rsid w:val="008B164E"/>
    <w:pPr>
      <w:tabs>
        <w:tab w:val="center" w:pos="4320"/>
        <w:tab w:val="right" w:pos="8640"/>
      </w:tabs>
    </w:pPr>
  </w:style>
  <w:style w:type="character" w:customStyle="1" w:styleId="FooterChar">
    <w:name w:val="Footer Char"/>
    <w:basedOn w:val="DefaultParagraphFont"/>
    <w:link w:val="Footer"/>
    <w:rsid w:val="008B164E"/>
    <w:rPr>
      <w:rFonts w:ascii="Times New Roman" w:eastAsia="Times New Roman" w:hAnsi="Times New Roman" w:cs="Times New Roman"/>
      <w:sz w:val="24"/>
      <w:szCs w:val="20"/>
    </w:rPr>
  </w:style>
  <w:style w:type="table" w:styleId="TableGrid">
    <w:name w:val="Table Grid"/>
    <w:basedOn w:val="TableNormal"/>
    <w:rsid w:val="008B164E"/>
    <w:pPr>
      <w:spacing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8B164E"/>
    <w:pPr>
      <w:widowControl w:val="0"/>
      <w:tabs>
        <w:tab w:val="center" w:pos="4320"/>
        <w:tab w:val="right" w:pos="8640"/>
      </w:tabs>
      <w:autoSpaceDE w:val="0"/>
      <w:autoSpaceDN w:val="0"/>
      <w:adjustRightInd w:val="0"/>
    </w:pPr>
    <w:rPr>
      <w:szCs w:val="24"/>
    </w:rPr>
  </w:style>
  <w:style w:type="character" w:customStyle="1" w:styleId="HeaderChar">
    <w:name w:val="Header Char"/>
    <w:basedOn w:val="DefaultParagraphFont"/>
    <w:link w:val="Header"/>
    <w:rsid w:val="008B164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51"/>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F4E51"/>
    <w:pPr>
      <w:widowControl w:val="0"/>
    </w:pPr>
  </w:style>
  <w:style w:type="paragraph" w:customStyle="1" w:styleId="Level2">
    <w:name w:val="Level 2"/>
    <w:basedOn w:val="Normal"/>
    <w:rsid w:val="00DF4E51"/>
    <w:pPr>
      <w:widowControl w:val="0"/>
    </w:pPr>
  </w:style>
  <w:style w:type="character" w:styleId="PageNumber">
    <w:name w:val="page number"/>
    <w:basedOn w:val="DefaultParagraphFont"/>
    <w:rsid w:val="00DF4E51"/>
  </w:style>
  <w:style w:type="character" w:styleId="FootnoteReference">
    <w:name w:val="footnote reference"/>
    <w:rsid w:val="00DF4E51"/>
  </w:style>
  <w:style w:type="paragraph" w:styleId="ListParagraph">
    <w:name w:val="List Paragraph"/>
    <w:basedOn w:val="Normal"/>
    <w:uiPriority w:val="34"/>
    <w:qFormat/>
    <w:rsid w:val="00DF4E51"/>
    <w:pPr>
      <w:widowControl w:val="0"/>
      <w:autoSpaceDE w:val="0"/>
      <w:autoSpaceDN w:val="0"/>
      <w:adjustRightInd w:val="0"/>
      <w:ind w:left="720"/>
      <w:contextualSpacing/>
    </w:pPr>
    <w:rPr>
      <w:rFonts w:ascii="Xerox Sans Serif Wide" w:hAnsi="Xerox Sans Serif Wide"/>
      <w:szCs w:val="24"/>
    </w:rPr>
  </w:style>
  <w:style w:type="paragraph" w:customStyle="1" w:styleId="Level3">
    <w:name w:val="Level 3"/>
    <w:basedOn w:val="Normal"/>
    <w:rsid w:val="008B164E"/>
    <w:pPr>
      <w:widowControl w:val="0"/>
      <w:autoSpaceDE w:val="0"/>
      <w:autoSpaceDN w:val="0"/>
      <w:adjustRightInd w:val="0"/>
      <w:ind w:left="1680" w:hanging="480"/>
      <w:outlineLvl w:val="2"/>
    </w:pPr>
    <w:rPr>
      <w:rFonts w:ascii="Mona Lisa Recut" w:hAnsi="Mona Lisa Recut"/>
      <w:szCs w:val="24"/>
    </w:rPr>
  </w:style>
  <w:style w:type="paragraph" w:styleId="Footer">
    <w:name w:val="footer"/>
    <w:basedOn w:val="Normal"/>
    <w:link w:val="FooterChar"/>
    <w:rsid w:val="008B164E"/>
    <w:pPr>
      <w:tabs>
        <w:tab w:val="center" w:pos="4320"/>
        <w:tab w:val="right" w:pos="8640"/>
      </w:tabs>
    </w:pPr>
  </w:style>
  <w:style w:type="character" w:customStyle="1" w:styleId="FooterChar">
    <w:name w:val="Footer Char"/>
    <w:basedOn w:val="DefaultParagraphFont"/>
    <w:link w:val="Footer"/>
    <w:rsid w:val="008B164E"/>
    <w:rPr>
      <w:rFonts w:ascii="Times New Roman" w:eastAsia="Times New Roman" w:hAnsi="Times New Roman" w:cs="Times New Roman"/>
      <w:sz w:val="24"/>
      <w:szCs w:val="20"/>
    </w:rPr>
  </w:style>
  <w:style w:type="table" w:styleId="TableGrid">
    <w:name w:val="Table Grid"/>
    <w:basedOn w:val="TableNormal"/>
    <w:rsid w:val="008B164E"/>
    <w:pPr>
      <w:spacing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8B164E"/>
    <w:pPr>
      <w:widowControl w:val="0"/>
      <w:tabs>
        <w:tab w:val="center" w:pos="4320"/>
        <w:tab w:val="right" w:pos="8640"/>
      </w:tabs>
      <w:autoSpaceDE w:val="0"/>
      <w:autoSpaceDN w:val="0"/>
      <w:adjustRightInd w:val="0"/>
    </w:pPr>
    <w:rPr>
      <w:szCs w:val="24"/>
    </w:rPr>
  </w:style>
  <w:style w:type="character" w:customStyle="1" w:styleId="HeaderChar">
    <w:name w:val="Header Char"/>
    <w:basedOn w:val="DefaultParagraphFont"/>
    <w:link w:val="Header"/>
    <w:rsid w:val="008B16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55089">
      <w:bodyDiv w:val="1"/>
      <w:marLeft w:val="0"/>
      <w:marRight w:val="0"/>
      <w:marTop w:val="0"/>
      <w:marBottom w:val="0"/>
      <w:divBdr>
        <w:top w:val="none" w:sz="0" w:space="0" w:color="auto"/>
        <w:left w:val="none" w:sz="0" w:space="0" w:color="auto"/>
        <w:bottom w:val="none" w:sz="0" w:space="0" w:color="auto"/>
        <w:right w:val="none" w:sz="0" w:space="0" w:color="auto"/>
      </w:divBdr>
    </w:div>
    <w:div w:id="1342590421">
      <w:bodyDiv w:val="1"/>
      <w:marLeft w:val="0"/>
      <w:marRight w:val="0"/>
      <w:marTop w:val="0"/>
      <w:marBottom w:val="0"/>
      <w:divBdr>
        <w:top w:val="none" w:sz="0" w:space="0" w:color="auto"/>
        <w:left w:val="none" w:sz="0" w:space="0" w:color="auto"/>
        <w:bottom w:val="none" w:sz="0" w:space="0" w:color="auto"/>
        <w:right w:val="none" w:sz="0" w:space="0" w:color="auto"/>
      </w:divBdr>
    </w:div>
    <w:div w:id="18892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8545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DMB2</dc:creator>
  <cp:lastModifiedBy>Donnell, Tremaine</cp:lastModifiedBy>
  <cp:revision>2</cp:revision>
  <dcterms:created xsi:type="dcterms:W3CDTF">2014-10-14T21:21:00Z</dcterms:created>
  <dcterms:modified xsi:type="dcterms:W3CDTF">2014-10-14T21:21:00Z</dcterms:modified>
</cp:coreProperties>
</file>