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2F08F" w14:textId="77777777" w:rsidR="009C6442" w:rsidRDefault="00BB6C98" w:rsidP="009C6442">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Mini-</w:t>
      </w:r>
      <w:r w:rsidR="009C6442" w:rsidRPr="009C6442">
        <w:rPr>
          <w:rFonts w:ascii="Times New Roman" w:hAnsi="Times New Roman" w:cs="Times New Roman"/>
          <w:b/>
          <w:sz w:val="24"/>
          <w:szCs w:val="24"/>
        </w:rPr>
        <w:t xml:space="preserve">Supporting Statement for </w:t>
      </w:r>
      <w:r w:rsidR="009C6442" w:rsidRPr="009C6442">
        <w:rPr>
          <w:rFonts w:ascii="Times New Roman" w:hAnsi="Times New Roman" w:cs="Times New Roman"/>
          <w:sz w:val="24"/>
          <w:szCs w:val="24"/>
        </w:rPr>
        <w:t xml:space="preserve"> </w:t>
      </w:r>
    </w:p>
    <w:p w14:paraId="16035FBD" w14:textId="0A4B9AD5" w:rsidR="009C6442" w:rsidRPr="009C6442" w:rsidRDefault="00260923" w:rsidP="009C6442">
      <w:pPr>
        <w:jc w:val="center"/>
        <w:rPr>
          <w:rFonts w:ascii="Times New Roman" w:hAnsi="Times New Roman" w:cs="Times New Roman"/>
          <w:b/>
          <w:sz w:val="24"/>
          <w:szCs w:val="24"/>
        </w:rPr>
      </w:pPr>
      <w:r w:rsidRPr="00260923">
        <w:rPr>
          <w:rFonts w:ascii="Times New Roman" w:hAnsi="Times New Roman" w:cs="Times New Roman"/>
          <w:b/>
          <w:sz w:val="24"/>
          <w:szCs w:val="24"/>
        </w:rPr>
        <w:t>Alternative tools for improving CRP cost-effectiveness</w:t>
      </w:r>
      <w:r w:rsidR="007C300F">
        <w:rPr>
          <w:rFonts w:ascii="Times New Roman" w:hAnsi="Times New Roman" w:cs="Times New Roman"/>
          <w:b/>
          <w:sz w:val="24"/>
          <w:szCs w:val="24"/>
        </w:rPr>
        <w:t>, Part II</w:t>
      </w:r>
    </w:p>
    <w:p w14:paraId="1A7C9B92" w14:textId="77777777" w:rsidR="009C6442" w:rsidRPr="009C6442" w:rsidRDefault="009C6442" w:rsidP="009C6442">
      <w:pPr>
        <w:pStyle w:val="BodyText"/>
        <w:jc w:val="center"/>
        <w:rPr>
          <w:b/>
        </w:rPr>
      </w:pPr>
      <w:r w:rsidRPr="009C6442">
        <w:rPr>
          <w:b/>
        </w:rPr>
        <w:t>Section A</w:t>
      </w:r>
    </w:p>
    <w:p w14:paraId="3968F593" w14:textId="77777777" w:rsidR="009C6442" w:rsidRPr="009C6442" w:rsidRDefault="009C6442" w:rsidP="009C6442">
      <w:pPr>
        <w:pStyle w:val="BodyText"/>
        <w:jc w:val="center"/>
        <w:rPr>
          <w:b/>
        </w:rPr>
      </w:pPr>
      <w:r>
        <w:rPr>
          <w:b/>
        </w:rPr>
        <w:t>(</w:t>
      </w:r>
      <w:r w:rsidR="00BB6C98">
        <w:rPr>
          <w:b/>
        </w:rPr>
        <w:t xml:space="preserve">Generic Clearance: </w:t>
      </w:r>
      <w:r w:rsidRPr="009C6442">
        <w:rPr>
          <w:b/>
        </w:rPr>
        <w:t>OMB Control No. 0536-0070</w:t>
      </w:r>
      <w:r>
        <w:rPr>
          <w:b/>
        </w:rPr>
        <w:t>)</w:t>
      </w:r>
    </w:p>
    <w:p w14:paraId="0AA1D176" w14:textId="77777777" w:rsidR="00ED416F" w:rsidRDefault="00ED416F" w:rsidP="005003B6"/>
    <w:p w14:paraId="7CED5329" w14:textId="01B0FA08" w:rsidR="00462725" w:rsidRDefault="005003B6" w:rsidP="005003B6">
      <w:r>
        <w:t xml:space="preserve">Please find attached all materials associated with </w:t>
      </w:r>
      <w:r w:rsidR="00A77CE5">
        <w:t>this</w:t>
      </w:r>
      <w:r>
        <w:t xml:space="preserve"> planned experiment under generic clearance </w:t>
      </w:r>
      <w:r w:rsidR="00203B9A">
        <w:t xml:space="preserve">(OMB Control Number </w:t>
      </w:r>
      <w:r w:rsidR="00203B9A" w:rsidRPr="00203B9A">
        <w:t>0536-0070</w:t>
      </w:r>
      <w:r w:rsidR="00203B9A">
        <w:t>)</w:t>
      </w:r>
      <w:r>
        <w:t xml:space="preserve">.  If approved, the experiment will be conducted at </w:t>
      </w:r>
      <w:r w:rsidR="00EF3869">
        <w:t>The</w:t>
      </w:r>
      <w:r>
        <w:t xml:space="preserve"> University </w:t>
      </w:r>
      <w:r w:rsidR="00EF3869">
        <w:t xml:space="preserve">of Maryland </w:t>
      </w:r>
      <w:r w:rsidR="003E72F9">
        <w:t xml:space="preserve">and/or the University of California, Santa Cruz </w:t>
      </w:r>
      <w:r>
        <w:t xml:space="preserve">under a cooperative agreement with Professor </w:t>
      </w:r>
      <w:r w:rsidR="00EF3869">
        <w:t>Peter Cramton</w:t>
      </w:r>
      <w:r w:rsidR="00BB6C98">
        <w:t xml:space="preserve">, Economics Department, University of Maryland, </w:t>
      </w:r>
      <w:proofErr w:type="gramStart"/>
      <w:r w:rsidR="00BB6C98">
        <w:t>College</w:t>
      </w:r>
      <w:proofErr w:type="gramEnd"/>
      <w:r w:rsidR="00BB6C98">
        <w:t xml:space="preserve"> Park</w:t>
      </w:r>
      <w:r w:rsidR="007C300F">
        <w:t>.</w:t>
      </w:r>
    </w:p>
    <w:p w14:paraId="379C4E0C" w14:textId="77777777" w:rsidR="00A92EF3" w:rsidRDefault="00A92EF3" w:rsidP="005003B6">
      <w:r>
        <w:t>Attachment list:</w:t>
      </w:r>
    </w:p>
    <w:p w14:paraId="026AE978" w14:textId="77777777" w:rsidR="00A92EF3" w:rsidRDefault="00A92EF3" w:rsidP="00A92EF3">
      <w:pPr>
        <w:spacing w:after="0"/>
      </w:pPr>
      <w:r w:rsidRPr="00A92EF3">
        <w:t>Attachment A - Email for recruitment</w:t>
      </w:r>
    </w:p>
    <w:p w14:paraId="5A8B6288" w14:textId="77777777" w:rsidR="00A92EF3" w:rsidRDefault="00A92EF3" w:rsidP="00A92EF3">
      <w:pPr>
        <w:spacing w:after="0"/>
      </w:pPr>
      <w:r w:rsidRPr="00A92EF3">
        <w:t>Attachment B -</w:t>
      </w:r>
      <w:r w:rsidR="00E90915">
        <w:t xml:space="preserve"> </w:t>
      </w:r>
      <w:r w:rsidRPr="00A92EF3">
        <w:t>Experimental Design Protocol</w:t>
      </w:r>
    </w:p>
    <w:p w14:paraId="00CEC4E9" w14:textId="6432B45B" w:rsidR="00A92EF3" w:rsidRDefault="00A92EF3" w:rsidP="00A92EF3">
      <w:pPr>
        <w:spacing w:after="0"/>
      </w:pPr>
      <w:r w:rsidRPr="00A92EF3">
        <w:t>A</w:t>
      </w:r>
      <w:r w:rsidR="001422A9">
        <w:t xml:space="preserve">ttachment </w:t>
      </w:r>
      <w:r w:rsidR="00EA1F35">
        <w:t>C</w:t>
      </w:r>
      <w:r w:rsidR="001422A9">
        <w:t xml:space="preserve"> - Instructions</w:t>
      </w:r>
    </w:p>
    <w:p w14:paraId="1764DF63" w14:textId="1666EE52" w:rsidR="00A92EF3" w:rsidRDefault="00A92EF3" w:rsidP="00A92EF3">
      <w:pPr>
        <w:spacing w:after="0"/>
      </w:pPr>
      <w:r>
        <w:t xml:space="preserve">Attachment </w:t>
      </w:r>
      <w:r w:rsidR="00EA1F35">
        <w:t>D</w:t>
      </w:r>
      <w:r>
        <w:t xml:space="preserve"> </w:t>
      </w:r>
      <w:r w:rsidR="0013779A">
        <w:t>-</w:t>
      </w:r>
      <w:r>
        <w:t xml:space="preserve"> </w:t>
      </w:r>
      <w:r w:rsidRPr="00A92EF3">
        <w:t>Questionnaire</w:t>
      </w:r>
    </w:p>
    <w:p w14:paraId="13DA8A0C" w14:textId="389977FC" w:rsidR="00346C6F" w:rsidRDefault="00346C6F" w:rsidP="00A92EF3">
      <w:pPr>
        <w:spacing w:after="0"/>
      </w:pPr>
      <w:r w:rsidRPr="00346C6F">
        <w:t>Attachment</w:t>
      </w:r>
      <w:r w:rsidR="00E90915">
        <w:t xml:space="preserve"> </w:t>
      </w:r>
      <w:r w:rsidR="00EA1F35">
        <w:t>E</w:t>
      </w:r>
      <w:r w:rsidR="00E90915">
        <w:t xml:space="preserve"> </w:t>
      </w:r>
      <w:r w:rsidRPr="00346C6F">
        <w:t>-</w:t>
      </w:r>
      <w:r w:rsidR="00E90915">
        <w:t xml:space="preserve"> Consent form</w:t>
      </w:r>
      <w:r w:rsidR="0013016C">
        <w:t xml:space="preserve"> (and Attachment E part 2 – UCSC Exception)</w:t>
      </w:r>
    </w:p>
    <w:p w14:paraId="41EEAC5D" w14:textId="272FF3AA" w:rsidR="00346C6F" w:rsidRDefault="00346C6F" w:rsidP="00A92EF3">
      <w:pPr>
        <w:spacing w:after="0"/>
      </w:pPr>
      <w:r w:rsidRPr="00346C6F">
        <w:t>Attachment</w:t>
      </w:r>
      <w:r w:rsidR="00E90915">
        <w:t xml:space="preserve"> </w:t>
      </w:r>
      <w:r w:rsidR="00EA1F35">
        <w:t>F</w:t>
      </w:r>
      <w:r w:rsidR="00E90915">
        <w:t xml:space="preserve"> - </w:t>
      </w:r>
      <w:r w:rsidRPr="00346C6F">
        <w:t>Disc</w:t>
      </w:r>
      <w:r w:rsidR="00FC3951">
        <w:t>l</w:t>
      </w:r>
      <w:r w:rsidRPr="00346C6F">
        <w:t>aimer</w:t>
      </w:r>
    </w:p>
    <w:p w14:paraId="2B20DFA1" w14:textId="77777777" w:rsidR="0013016C" w:rsidRDefault="0013016C" w:rsidP="00A92EF3">
      <w:pPr>
        <w:spacing w:after="0"/>
      </w:pPr>
    </w:p>
    <w:p w14:paraId="39FBB993" w14:textId="77777777" w:rsidR="00462725" w:rsidRPr="00462725" w:rsidRDefault="00462725" w:rsidP="00462725">
      <w:pPr>
        <w:pStyle w:val="Heading1"/>
      </w:pPr>
      <w:r>
        <w:t>Overview</w:t>
      </w:r>
    </w:p>
    <w:p w14:paraId="032E91DE" w14:textId="005E962C" w:rsidR="007C300F" w:rsidRDefault="005003B6" w:rsidP="005003B6">
      <w:r>
        <w:t>The</w:t>
      </w:r>
      <w:r w:rsidR="00152B1E">
        <w:t xml:space="preserve"> pr</w:t>
      </w:r>
      <w:r w:rsidR="005E3B79">
        <w:t>o</w:t>
      </w:r>
      <w:r w:rsidR="00152B1E">
        <w:t>posed</w:t>
      </w:r>
      <w:r>
        <w:t xml:space="preserve"> experiment would </w:t>
      </w:r>
      <w:r w:rsidR="007C300F">
        <w:t xml:space="preserve">be a follow-up study, expanding on </w:t>
      </w:r>
      <w:r w:rsidR="0034599B">
        <w:t>the study conducted under clearance titled “</w:t>
      </w:r>
      <w:r w:rsidR="0034599B" w:rsidRPr="0034599B">
        <w:t>Alternative tools for improving CRP cost-effectiveness</w:t>
      </w:r>
      <w:r w:rsidR="0034599B">
        <w:t>” (hereafter “CRP Study 1”)</w:t>
      </w:r>
      <w:r w:rsidR="007C300F">
        <w:t>, a completed collection meant to generate preliminary feedback on alternative mechanisms, as we explain below.</w:t>
      </w:r>
    </w:p>
    <w:p w14:paraId="090B095B" w14:textId="5B24AF6E" w:rsidR="005003B6" w:rsidRDefault="00254891" w:rsidP="005003B6">
      <w:r>
        <w:t xml:space="preserve">The purpose of the project is to </w:t>
      </w:r>
      <w:r w:rsidR="005003B6">
        <w:t xml:space="preserve">compare </w:t>
      </w:r>
      <w:r w:rsidR="001C7AAF">
        <w:t xml:space="preserve">alternative mechanisms for </w:t>
      </w:r>
      <w:r w:rsidR="005003B6">
        <w:t xml:space="preserve">competitive </w:t>
      </w:r>
      <w:r w:rsidR="001C7AAF">
        <w:t>purchase (auctions)</w:t>
      </w:r>
      <w:r w:rsidR="005003B6">
        <w:t xml:space="preserve">.  </w:t>
      </w:r>
      <w:r w:rsidR="00E52B76">
        <w:t xml:space="preserve">These experiments address an important question in conservation program design.  </w:t>
      </w:r>
      <w:r w:rsidR="005003B6">
        <w:t>When the goal is to purchase many identical items from a group of individuals, economic theory suggests that procurement costs will be lower if competitive mechanisms, such as auctions or bidding, are used</w:t>
      </w:r>
      <w:r w:rsidR="001C7AAF">
        <w:t xml:space="preserve">.  In an effort to </w:t>
      </w:r>
      <w:proofErr w:type="gramStart"/>
      <w:r w:rsidR="001C7AAF">
        <w:t>harness</w:t>
      </w:r>
      <w:proofErr w:type="gramEnd"/>
      <w:r w:rsidR="001C7AAF">
        <w:t xml:space="preserve"> competitive forces, the USDA has structured some of its signature conservation programs, including the largest, the Conservation Reserve Program (CRP), as auctions.</w:t>
      </w:r>
    </w:p>
    <w:p w14:paraId="0772B071" w14:textId="77777777" w:rsidR="001C7AAF" w:rsidRDefault="001C7AAF" w:rsidP="005003B6">
      <w:r>
        <w:t xml:space="preserve">In the CRP, farmers participate in a competitive auction by offering to enroll land for a payment.  These offers are ranked according to an index of environmental benefit and a cost metric.  Each offer is constrained by a parcel-specific bid cap.  Both economic theory and practical experience from other types of government auctions (e.g.: timber sales, toxic asset purchase, and communication spectrum sales) suggest that modifying the current auction structure could make CRP more cost-effective. </w:t>
      </w:r>
      <w:r>
        <w:lastRenderedPageBreak/>
        <w:t xml:space="preserve">Research </w:t>
      </w:r>
      <w:r w:rsidR="00214ADB">
        <w:t>(Kirwan et al., 2005)</w:t>
      </w:r>
      <w:r w:rsidR="00214ADB">
        <w:rPr>
          <w:rStyle w:val="FootnoteReference"/>
        </w:rPr>
        <w:footnoteReference w:id="1"/>
      </w:r>
      <w:r w:rsidR="00214ADB">
        <w:t xml:space="preserve"> </w:t>
      </w:r>
      <w:r>
        <w:t>estimates that $380 million or 20% of current annual payments exceed producer’s costs.  In the proposed research, we explore options for controlling costs by adjusting the bid cap and/or using alternative auction mechanisms such as reference prices or groupings.</w:t>
      </w:r>
    </w:p>
    <w:p w14:paraId="55E7A45C" w14:textId="5E39E896" w:rsidR="001C7AAF" w:rsidRDefault="005003B6" w:rsidP="005003B6">
      <w:r>
        <w:t xml:space="preserve">Subjects will be recruited from the student population at </w:t>
      </w:r>
      <w:r w:rsidR="001C7AAF">
        <w:t xml:space="preserve">The </w:t>
      </w:r>
      <w:r>
        <w:t xml:space="preserve">University </w:t>
      </w:r>
      <w:r w:rsidR="001C7AAF">
        <w:t>of Maryland (UMD)</w:t>
      </w:r>
      <w:r w:rsidR="00BB6C98">
        <w:t>, College Park</w:t>
      </w:r>
      <w:r w:rsidR="00254891">
        <w:t>, and/or the University of California, Santa Cruz</w:t>
      </w:r>
      <w:r w:rsidR="001C7AAF">
        <w:t xml:space="preserve"> </w:t>
      </w:r>
      <w:r>
        <w:t xml:space="preserve">using a standard email (see </w:t>
      </w:r>
      <w:r w:rsidR="00211106">
        <w:t>Attachment A</w:t>
      </w:r>
      <w:r w:rsidR="00B41C25">
        <w:t>: Email for recruitment</w:t>
      </w:r>
      <w:r>
        <w:t>).  Sessions will be conducted in a</w:t>
      </w:r>
      <w:r w:rsidR="001C7AAF">
        <w:t xml:space="preserve"> classroom laboratory.</w:t>
      </w:r>
    </w:p>
    <w:p w14:paraId="329937F0" w14:textId="77777777" w:rsidR="005003B6" w:rsidRDefault="005003B6" w:rsidP="005003B6">
      <w:r>
        <w:t>For more details on the specifics of the experimental design, plea</w:t>
      </w:r>
      <w:r w:rsidR="00781517">
        <w:t>se see</w:t>
      </w:r>
      <w:r>
        <w:t xml:space="preserve"> </w:t>
      </w:r>
      <w:r w:rsidR="00781517">
        <w:t>A</w:t>
      </w:r>
      <w:r>
        <w:t>ttachment</w:t>
      </w:r>
      <w:r w:rsidR="00781517">
        <w:t xml:space="preserve"> B: Experimental Design Protocol.</w:t>
      </w:r>
    </w:p>
    <w:p w14:paraId="3B03B5D9" w14:textId="72681F13" w:rsidR="005003B6" w:rsidRDefault="005003B6" w:rsidP="005003B6">
      <w:r>
        <w:t xml:space="preserve">We also attach examples of the experimental materials to be used in the experiment:  the instructions for each of the </w:t>
      </w:r>
      <w:r w:rsidR="004B041C">
        <w:t xml:space="preserve">five </w:t>
      </w:r>
      <w:r>
        <w:t>treatments (see</w:t>
      </w:r>
      <w:r w:rsidR="00CF3C41">
        <w:t xml:space="preserve"> Attachments </w:t>
      </w:r>
      <w:r w:rsidR="00152B1E">
        <w:t>C</w:t>
      </w:r>
      <w:r w:rsidR="00781517">
        <w:t>-</w:t>
      </w:r>
      <w:r w:rsidR="004B041C">
        <w:t>Instructions</w:t>
      </w:r>
      <w:r w:rsidR="001C7AAF">
        <w:t>)</w:t>
      </w:r>
      <w:r>
        <w:t xml:space="preserve"> and the post-experiment questionnaire distributed to subjects (see</w:t>
      </w:r>
      <w:r w:rsidR="001C7AAF">
        <w:t xml:space="preserve"> Attachment</w:t>
      </w:r>
      <w:r w:rsidR="004B041C">
        <w:t xml:space="preserve"> </w:t>
      </w:r>
      <w:r w:rsidR="00152B1E">
        <w:t>D</w:t>
      </w:r>
      <w:r w:rsidR="004B041C">
        <w:t xml:space="preserve">: </w:t>
      </w:r>
      <w:r w:rsidR="00781517">
        <w:t>Questionnaire</w:t>
      </w:r>
      <w:r>
        <w:t>).</w:t>
      </w:r>
    </w:p>
    <w:p w14:paraId="1864207F" w14:textId="77777777" w:rsidR="00203B9A" w:rsidRDefault="00203B9A" w:rsidP="004B041C">
      <w:pPr>
        <w:pStyle w:val="Heading1"/>
      </w:pPr>
      <w:r>
        <w:t>Justification</w:t>
      </w:r>
    </w:p>
    <w:p w14:paraId="543F79BC" w14:textId="77777777" w:rsidR="00203B9A" w:rsidRDefault="00203B9A" w:rsidP="00203B9A">
      <w:pPr>
        <w:pStyle w:val="Num-DocParagraph"/>
        <w:numPr>
          <w:ilvl w:val="0"/>
          <w:numId w:val="2"/>
        </w:numPr>
        <w:rPr>
          <w:b/>
          <w:bCs/>
          <w:sz w:val="24"/>
          <w:szCs w:val="24"/>
        </w:rPr>
      </w:pPr>
      <w:r w:rsidRPr="00203B9A">
        <w:rPr>
          <w:b/>
          <w:bCs/>
          <w:sz w:val="24"/>
          <w:szCs w:val="24"/>
        </w:rPr>
        <w:t>Circumstances making the collection of information necessary</w:t>
      </w:r>
    </w:p>
    <w:p w14:paraId="222DF3B8" w14:textId="77777777" w:rsidR="00A62DBE" w:rsidRPr="00E61387" w:rsidRDefault="00203B9A" w:rsidP="00AF76EF">
      <w:pPr>
        <w:pStyle w:val="Num-DocParagraph"/>
        <w:ind w:left="720"/>
        <w:rPr>
          <w:bCs/>
          <w:color w:val="000000" w:themeColor="text1"/>
          <w:sz w:val="24"/>
          <w:szCs w:val="24"/>
        </w:rPr>
      </w:pPr>
      <w:r>
        <w:rPr>
          <w:bCs/>
          <w:sz w:val="24"/>
          <w:szCs w:val="24"/>
        </w:rPr>
        <w:t>Substantial USDA funds for conservation are distrib</w:t>
      </w:r>
      <w:r w:rsidR="00C50DC6">
        <w:rPr>
          <w:bCs/>
          <w:sz w:val="24"/>
          <w:szCs w:val="24"/>
        </w:rPr>
        <w:t xml:space="preserve">uted using competitive mechanisms.  </w:t>
      </w:r>
      <w:r w:rsidR="001A0C4F">
        <w:rPr>
          <w:bCs/>
          <w:sz w:val="24"/>
          <w:szCs w:val="24"/>
        </w:rPr>
        <w:t>Empirical evidence of the optimality of mechanisms is lacking.  The standard economic model used to analyze behavior in auctions is the game-theoretic model.  Analytical solutions for most real-world auction mechanisms, howe</w:t>
      </w:r>
      <w:r w:rsidR="008E5E21">
        <w:rPr>
          <w:bCs/>
          <w:sz w:val="24"/>
          <w:szCs w:val="24"/>
        </w:rPr>
        <w:t xml:space="preserve">ver, are impossible to derive.  Furthermore, the behavior of bidders in auctions often deviates from predictions of the game-theoretic model.  It has become standard practice in the analysis of auction design to compare mechanisms using experimental testing.  </w:t>
      </w:r>
      <w:r w:rsidR="00A62DBE" w:rsidRPr="00E61387">
        <w:rPr>
          <w:bCs/>
          <w:color w:val="000000" w:themeColor="text1"/>
          <w:sz w:val="24"/>
          <w:szCs w:val="24"/>
        </w:rPr>
        <w:t xml:space="preserve">The first step </w:t>
      </w:r>
      <w:r w:rsidR="00E34258">
        <w:rPr>
          <w:bCs/>
          <w:color w:val="000000" w:themeColor="text1"/>
          <w:sz w:val="24"/>
          <w:szCs w:val="24"/>
        </w:rPr>
        <w:t xml:space="preserve">of the </w:t>
      </w:r>
      <w:r w:rsidR="00A62DBE" w:rsidRPr="00E61387">
        <w:rPr>
          <w:bCs/>
          <w:color w:val="000000" w:themeColor="text1"/>
          <w:sz w:val="24"/>
          <w:szCs w:val="24"/>
        </w:rPr>
        <w:t>testing protocol is to test theoretically appealing mechanisms (loose bid caps, reference price, endogenous reference price, and selection by grouping) against the baseline mechanism (tight bid cap) in a laboratory s</w:t>
      </w:r>
      <w:r w:rsidR="00E34258">
        <w:rPr>
          <w:bCs/>
          <w:color w:val="000000" w:themeColor="text1"/>
          <w:sz w:val="24"/>
          <w:szCs w:val="24"/>
        </w:rPr>
        <w:t>e</w:t>
      </w:r>
      <w:r w:rsidR="00A62DBE" w:rsidRPr="00E61387">
        <w:rPr>
          <w:bCs/>
          <w:color w:val="000000" w:themeColor="text1"/>
          <w:sz w:val="24"/>
          <w:szCs w:val="24"/>
        </w:rPr>
        <w:t>tting.</w:t>
      </w:r>
    </w:p>
    <w:p w14:paraId="57EBAC30" w14:textId="77777777" w:rsidR="00203B9A" w:rsidRPr="00203B9A" w:rsidRDefault="00203B9A" w:rsidP="00AF76EF">
      <w:pPr>
        <w:pStyle w:val="Num-DocParagraph"/>
        <w:ind w:left="720"/>
        <w:rPr>
          <w:bCs/>
          <w:sz w:val="24"/>
          <w:szCs w:val="24"/>
        </w:rPr>
      </w:pPr>
    </w:p>
    <w:p w14:paraId="07399F2F" w14:textId="77777777" w:rsidR="00203B9A" w:rsidRDefault="00203B9A" w:rsidP="00AF76EF">
      <w:pPr>
        <w:pStyle w:val="Num-DocParagraph"/>
        <w:numPr>
          <w:ilvl w:val="0"/>
          <w:numId w:val="2"/>
        </w:numPr>
        <w:rPr>
          <w:b/>
          <w:bCs/>
          <w:sz w:val="24"/>
          <w:szCs w:val="24"/>
        </w:rPr>
      </w:pPr>
      <w:r w:rsidRPr="00203B9A">
        <w:rPr>
          <w:b/>
          <w:bCs/>
          <w:sz w:val="24"/>
          <w:szCs w:val="24"/>
        </w:rPr>
        <w:t>Purpose and use of the information collection</w:t>
      </w:r>
    </w:p>
    <w:p w14:paraId="489C7736" w14:textId="77777777" w:rsidR="003B742C" w:rsidRPr="00E34258" w:rsidRDefault="003B742C" w:rsidP="00AF76EF">
      <w:pPr>
        <w:ind w:left="720"/>
        <w:rPr>
          <w:color w:val="000000" w:themeColor="text1"/>
          <w:sz w:val="24"/>
          <w:szCs w:val="24"/>
        </w:rPr>
      </w:pPr>
      <w:r w:rsidRPr="00E34258">
        <w:rPr>
          <w:color w:val="000000" w:themeColor="text1"/>
          <w:sz w:val="24"/>
          <w:szCs w:val="24"/>
        </w:rPr>
        <w:t xml:space="preserve">This experiment would address an important question in conservation program design by comparing alternative mechanisms for competitive purchase (auctions).  When the goal is to purchase many </w:t>
      </w:r>
      <w:r w:rsidR="00E34258" w:rsidRPr="00E34258">
        <w:rPr>
          <w:color w:val="000000" w:themeColor="text1"/>
          <w:sz w:val="24"/>
          <w:szCs w:val="24"/>
        </w:rPr>
        <w:t xml:space="preserve">similar but not </w:t>
      </w:r>
      <w:r w:rsidRPr="00E34258">
        <w:rPr>
          <w:color w:val="000000" w:themeColor="text1"/>
          <w:sz w:val="24"/>
          <w:szCs w:val="24"/>
        </w:rPr>
        <w:t xml:space="preserve">identical items from a group of individuals, economic theory suggests that procurement costs will be lower if competitive </w:t>
      </w:r>
      <w:r w:rsidRPr="00E34258">
        <w:rPr>
          <w:color w:val="000000" w:themeColor="text1"/>
          <w:sz w:val="24"/>
          <w:szCs w:val="24"/>
        </w:rPr>
        <w:lastRenderedPageBreak/>
        <w:t>mechanisms, such as auctions or bidding, are used.  In an effort to harness competitive forces, the USDA has structured some of its signature conservation programs, including the largest, the Conservation Reserve Program (CRP), as auctions.</w:t>
      </w:r>
    </w:p>
    <w:p w14:paraId="359621BE" w14:textId="77777777" w:rsidR="003B742C" w:rsidRPr="00E34258" w:rsidRDefault="003B742C" w:rsidP="00AF76EF">
      <w:pPr>
        <w:ind w:left="720"/>
        <w:rPr>
          <w:color w:val="000000" w:themeColor="text1"/>
          <w:sz w:val="24"/>
          <w:szCs w:val="24"/>
        </w:rPr>
      </w:pPr>
      <w:r w:rsidRPr="00E34258">
        <w:rPr>
          <w:color w:val="000000" w:themeColor="text1"/>
          <w:sz w:val="24"/>
          <w:szCs w:val="24"/>
        </w:rPr>
        <w:t>Both economic theory and practical experience from other types of government auctions (e.g.: timber sales, toxic asset purchase, and communication spectrum sales) suggest that modifying the current auction structure could make CRP more cost-effective.  In the proposed research, we explore options for controlling costs by adjusting the bid cap and/or using alternative auction mechanisms such as reference prices or groupings.  The research question to be addressed by the study is:</w:t>
      </w:r>
    </w:p>
    <w:p w14:paraId="5B9948AB" w14:textId="6C330134" w:rsidR="003B742C" w:rsidRPr="00AF76EF" w:rsidRDefault="003B742C" w:rsidP="00AF76EF">
      <w:pPr>
        <w:ind w:left="720"/>
        <w:rPr>
          <w:bCs/>
          <w:color w:val="000000" w:themeColor="text1"/>
          <w:sz w:val="24"/>
          <w:szCs w:val="24"/>
        </w:rPr>
      </w:pPr>
      <w:r w:rsidRPr="00AF76EF">
        <w:rPr>
          <w:color w:val="000000" w:themeColor="text1"/>
          <w:sz w:val="24"/>
          <w:szCs w:val="24"/>
        </w:rPr>
        <w:t xml:space="preserve">Are there any significant differences in terms of procurement costs between the baseline mechanism (aka tight bid cap) and any of the four alternative </w:t>
      </w:r>
      <w:r w:rsidR="008E06EA" w:rsidRPr="00AF76EF">
        <w:rPr>
          <w:color w:val="000000" w:themeColor="text1"/>
          <w:sz w:val="24"/>
          <w:szCs w:val="24"/>
        </w:rPr>
        <w:t>C</w:t>
      </w:r>
      <w:r w:rsidR="008E06EA">
        <w:rPr>
          <w:color w:val="000000" w:themeColor="text1"/>
          <w:sz w:val="24"/>
          <w:szCs w:val="24"/>
        </w:rPr>
        <w:t>RP</w:t>
      </w:r>
      <w:r w:rsidR="008E06EA" w:rsidRPr="00AF76EF">
        <w:rPr>
          <w:color w:val="000000" w:themeColor="text1"/>
          <w:sz w:val="24"/>
          <w:szCs w:val="24"/>
        </w:rPr>
        <w:t xml:space="preserve"> </w:t>
      </w:r>
      <w:r w:rsidRPr="00AF76EF">
        <w:rPr>
          <w:color w:val="000000" w:themeColor="text1"/>
          <w:sz w:val="24"/>
          <w:szCs w:val="24"/>
        </w:rPr>
        <w:t xml:space="preserve">enrollment mechanisms </w:t>
      </w:r>
      <w:r w:rsidRPr="00AF76EF">
        <w:rPr>
          <w:bCs/>
          <w:color w:val="000000" w:themeColor="text1"/>
          <w:sz w:val="24"/>
          <w:szCs w:val="24"/>
        </w:rPr>
        <w:t>(loose bid caps, reference price, endogenous reference price, and selection by grouping)?</w:t>
      </w:r>
      <w:r w:rsidR="00F65282">
        <w:rPr>
          <w:bCs/>
          <w:color w:val="000000" w:themeColor="text1"/>
          <w:sz w:val="24"/>
          <w:szCs w:val="24"/>
        </w:rPr>
        <w:t xml:space="preserve">  Initial testing under </w:t>
      </w:r>
      <w:r w:rsidR="0034599B">
        <w:rPr>
          <w:bCs/>
          <w:color w:val="000000" w:themeColor="text1"/>
          <w:sz w:val="24"/>
          <w:szCs w:val="24"/>
        </w:rPr>
        <w:t>CRP Study 1</w:t>
      </w:r>
      <w:r w:rsidR="00F65282">
        <w:rPr>
          <w:bCs/>
          <w:color w:val="000000" w:themeColor="text1"/>
          <w:sz w:val="24"/>
          <w:szCs w:val="24"/>
        </w:rPr>
        <w:t xml:space="preserve"> suggested that alternative mechanisms may be successful at price-discriminating, but more testing is needed under more realistic auction scenarios (a principle known in experimental economics as increased “parallelism”).</w:t>
      </w:r>
    </w:p>
    <w:p w14:paraId="2285AF60" w14:textId="3C822F17" w:rsidR="00774284" w:rsidRPr="00AF76EF" w:rsidRDefault="00774284" w:rsidP="00AF76EF">
      <w:pPr>
        <w:pStyle w:val="Num-DocParagraph"/>
        <w:ind w:left="720"/>
        <w:rPr>
          <w:rFonts w:asciiTheme="minorHAnsi" w:hAnsiTheme="minorHAnsi"/>
          <w:bCs/>
          <w:color w:val="000000" w:themeColor="text1"/>
          <w:sz w:val="24"/>
          <w:szCs w:val="24"/>
        </w:rPr>
      </w:pPr>
      <w:r w:rsidRPr="00350AFD">
        <w:rPr>
          <w:rFonts w:asciiTheme="minorHAnsi" w:hAnsiTheme="minorHAnsi"/>
          <w:bCs/>
          <w:color w:val="000000" w:themeColor="text1"/>
          <w:sz w:val="24"/>
          <w:szCs w:val="24"/>
        </w:rPr>
        <w:t xml:space="preserve">The primary </w:t>
      </w:r>
      <w:r w:rsidR="00AB4997">
        <w:rPr>
          <w:rFonts w:asciiTheme="minorHAnsi" w:hAnsiTheme="minorHAnsi"/>
          <w:bCs/>
          <w:color w:val="000000" w:themeColor="text1"/>
          <w:sz w:val="24"/>
          <w:szCs w:val="24"/>
        </w:rPr>
        <w:t xml:space="preserve">quantitative outputs of the experiment </w:t>
      </w:r>
      <w:r w:rsidRPr="00350AFD">
        <w:rPr>
          <w:rFonts w:asciiTheme="minorHAnsi" w:hAnsiTheme="minorHAnsi"/>
          <w:bCs/>
          <w:color w:val="000000" w:themeColor="text1"/>
          <w:sz w:val="24"/>
          <w:szCs w:val="24"/>
        </w:rPr>
        <w:t>will be comparisons of expected cost under the five auction regimes (t-tests and non-par</w:t>
      </w:r>
      <w:r w:rsidR="00C30F3C">
        <w:rPr>
          <w:rFonts w:asciiTheme="minorHAnsi" w:hAnsiTheme="minorHAnsi"/>
          <w:bCs/>
          <w:color w:val="000000" w:themeColor="text1"/>
          <w:sz w:val="24"/>
          <w:szCs w:val="24"/>
        </w:rPr>
        <w:t>ametric tests of expected cost), and predictive bidding functions derived from experimental data.</w:t>
      </w:r>
    </w:p>
    <w:p w14:paraId="7DA5B4E3" w14:textId="77777777" w:rsidR="00203B9A" w:rsidRDefault="0056216F" w:rsidP="00AF76EF">
      <w:pPr>
        <w:pStyle w:val="Num-DocParagraph"/>
        <w:ind w:left="720"/>
        <w:rPr>
          <w:sz w:val="24"/>
          <w:szCs w:val="24"/>
        </w:rPr>
      </w:pPr>
      <w:r>
        <w:rPr>
          <w:sz w:val="24"/>
          <w:szCs w:val="24"/>
        </w:rPr>
        <w:t xml:space="preserve">The information from the proposed experiment investigating </w:t>
      </w:r>
      <w:r w:rsidR="00EC4155">
        <w:rPr>
          <w:sz w:val="24"/>
          <w:szCs w:val="24"/>
        </w:rPr>
        <w:t>alternative CRP enrollment mechanisms will be shared with the Farm Service Agency (FSA) of the USDA.  The FSA operates the CRP and is interested in exploring alternative enrollment mechanisms (ERS and FSA meet regularly and FSA has expressed interest both in the general notion of alternative mechanisms, and specifically in the mechanisms explored here).</w:t>
      </w:r>
      <w:r w:rsidR="00E27507">
        <w:rPr>
          <w:sz w:val="24"/>
          <w:szCs w:val="24"/>
        </w:rPr>
        <w:t xml:space="preserve">  The experiment will be used as a preliminary test of three general types of alternative mechanisms.  Note that an infinite number of variants are possible, but each variant that is proposed to be tested in this document fall under three labels:</w:t>
      </w:r>
    </w:p>
    <w:p w14:paraId="59195F73" w14:textId="77777777" w:rsidR="00E27507" w:rsidRDefault="00E27507" w:rsidP="00AF76EF">
      <w:pPr>
        <w:pStyle w:val="Num-DocParagraph"/>
        <w:numPr>
          <w:ilvl w:val="0"/>
          <w:numId w:val="10"/>
        </w:numPr>
        <w:rPr>
          <w:sz w:val="24"/>
          <w:szCs w:val="24"/>
        </w:rPr>
      </w:pPr>
      <w:r>
        <w:rPr>
          <w:sz w:val="24"/>
          <w:szCs w:val="24"/>
        </w:rPr>
        <w:t>Relaxed bid caps (relaxing the maximum price that is imposed by FSA on bidders in the CRP).</w:t>
      </w:r>
    </w:p>
    <w:p w14:paraId="3D6FA9B3" w14:textId="77777777" w:rsidR="00E27507" w:rsidRDefault="00E27507" w:rsidP="00AF76EF">
      <w:pPr>
        <w:pStyle w:val="Num-DocParagraph"/>
        <w:numPr>
          <w:ilvl w:val="0"/>
          <w:numId w:val="10"/>
        </w:numPr>
        <w:rPr>
          <w:sz w:val="24"/>
          <w:szCs w:val="24"/>
        </w:rPr>
      </w:pPr>
      <w:r>
        <w:rPr>
          <w:sz w:val="24"/>
          <w:szCs w:val="24"/>
        </w:rPr>
        <w:t>Grouping-based auctions (auctions which harness competition by asking ex ante similar parcels to compete among themselves before being considered in a national ranking).</w:t>
      </w:r>
    </w:p>
    <w:p w14:paraId="7FCE1995" w14:textId="77777777" w:rsidR="00E27507" w:rsidRDefault="00E27507" w:rsidP="00AF76EF">
      <w:pPr>
        <w:pStyle w:val="Num-DocParagraph"/>
        <w:numPr>
          <w:ilvl w:val="0"/>
          <w:numId w:val="10"/>
        </w:numPr>
        <w:rPr>
          <w:sz w:val="24"/>
          <w:szCs w:val="24"/>
        </w:rPr>
      </w:pPr>
      <w:r>
        <w:rPr>
          <w:sz w:val="24"/>
          <w:szCs w:val="24"/>
        </w:rPr>
        <w:t>Reference-price auctions (auctions which harness competition by ranking bids relative to an ex ante estimate of value).</w:t>
      </w:r>
    </w:p>
    <w:p w14:paraId="20B85601" w14:textId="77777777" w:rsidR="00E27507" w:rsidRDefault="00E27507" w:rsidP="00AF76EF">
      <w:pPr>
        <w:pStyle w:val="Num-DocParagraph"/>
        <w:ind w:left="720"/>
        <w:rPr>
          <w:sz w:val="24"/>
          <w:szCs w:val="24"/>
        </w:rPr>
      </w:pPr>
      <w:r>
        <w:rPr>
          <w:sz w:val="24"/>
          <w:szCs w:val="24"/>
        </w:rPr>
        <w:lastRenderedPageBreak/>
        <w:t>The findings of the experiment will be shared with FSA in regular meetings that ERS and FSA hold.  The primary outcomes of interest to both ERS and FSA are the cost-effectiveness of the auction mechanisms, i.e. the cost to procure a fixed number of parcels.</w:t>
      </w:r>
    </w:p>
    <w:p w14:paraId="5AC814FE" w14:textId="6CD8A34D" w:rsidR="002B072C" w:rsidRPr="00350AFD" w:rsidRDefault="00C30F3C" w:rsidP="00AF76EF">
      <w:pPr>
        <w:pStyle w:val="Num-DocParagraph"/>
        <w:ind w:left="720"/>
        <w:rPr>
          <w:rFonts w:asciiTheme="minorHAnsi" w:hAnsiTheme="minorHAnsi"/>
          <w:color w:val="000000" w:themeColor="text1"/>
          <w:sz w:val="24"/>
          <w:szCs w:val="24"/>
        </w:rPr>
      </w:pPr>
      <w:r>
        <w:rPr>
          <w:rFonts w:asciiTheme="minorHAnsi" w:hAnsiTheme="minorHAnsi"/>
          <w:color w:val="000000" w:themeColor="text1"/>
          <w:sz w:val="24"/>
          <w:szCs w:val="24"/>
        </w:rPr>
        <w:t>R</w:t>
      </w:r>
      <w:r w:rsidR="002B072C" w:rsidRPr="00350AFD">
        <w:rPr>
          <w:rFonts w:asciiTheme="minorHAnsi" w:hAnsiTheme="minorHAnsi"/>
          <w:color w:val="000000" w:themeColor="text1"/>
          <w:sz w:val="24"/>
          <w:szCs w:val="24"/>
        </w:rPr>
        <w:t xml:space="preserve">esearch findings </w:t>
      </w:r>
      <w:r w:rsidR="00F93B14">
        <w:rPr>
          <w:rFonts w:asciiTheme="minorHAnsi" w:hAnsiTheme="minorHAnsi"/>
          <w:color w:val="000000" w:themeColor="text1"/>
          <w:sz w:val="24"/>
          <w:szCs w:val="24"/>
        </w:rPr>
        <w:t>will</w:t>
      </w:r>
      <w:r w:rsidR="00F93B14" w:rsidRPr="00350AFD">
        <w:rPr>
          <w:rFonts w:asciiTheme="minorHAnsi" w:hAnsiTheme="minorHAnsi"/>
          <w:color w:val="000000" w:themeColor="text1"/>
          <w:sz w:val="24"/>
          <w:szCs w:val="24"/>
        </w:rPr>
        <w:t xml:space="preserve"> </w:t>
      </w:r>
      <w:r w:rsidR="002B072C" w:rsidRPr="00350AFD">
        <w:rPr>
          <w:rFonts w:asciiTheme="minorHAnsi" w:hAnsiTheme="minorHAnsi"/>
          <w:color w:val="000000" w:themeColor="text1"/>
          <w:sz w:val="24"/>
          <w:szCs w:val="24"/>
        </w:rPr>
        <w:t xml:space="preserve">be shared with researchers inside and outside the agency through seminars </w:t>
      </w:r>
      <w:r>
        <w:rPr>
          <w:rFonts w:asciiTheme="minorHAnsi" w:hAnsiTheme="minorHAnsi"/>
          <w:color w:val="000000" w:themeColor="text1"/>
          <w:sz w:val="24"/>
          <w:szCs w:val="24"/>
        </w:rPr>
        <w:t xml:space="preserve">or training sessions, and </w:t>
      </w:r>
      <w:r w:rsidR="002B072C" w:rsidRPr="00350AFD">
        <w:rPr>
          <w:rFonts w:asciiTheme="minorHAnsi" w:hAnsiTheme="minorHAnsi"/>
          <w:color w:val="000000" w:themeColor="text1"/>
          <w:sz w:val="24"/>
          <w:szCs w:val="24"/>
        </w:rPr>
        <w:t>may also be prepared for presentations at professional meetings or publications in professional journals.</w:t>
      </w:r>
    </w:p>
    <w:p w14:paraId="48DA29B1" w14:textId="77777777" w:rsidR="002B072C" w:rsidRPr="004B041C" w:rsidRDefault="002B072C" w:rsidP="00E27507">
      <w:pPr>
        <w:pStyle w:val="Num-DocParagraph"/>
        <w:ind w:left="720"/>
        <w:rPr>
          <w:sz w:val="24"/>
          <w:szCs w:val="24"/>
        </w:rPr>
      </w:pPr>
    </w:p>
    <w:p w14:paraId="747E47D6" w14:textId="77777777" w:rsidR="00214ADB" w:rsidRDefault="00214ADB" w:rsidP="00214ADB">
      <w:pPr>
        <w:pStyle w:val="Num-DocParagraph"/>
        <w:rPr>
          <w:bCs/>
          <w:sz w:val="24"/>
          <w:szCs w:val="24"/>
        </w:rPr>
      </w:pPr>
      <w:r>
        <w:rPr>
          <w:b/>
          <w:bCs/>
          <w:sz w:val="24"/>
          <w:szCs w:val="24"/>
        </w:rPr>
        <w:tab/>
        <w:t>3.</w:t>
      </w:r>
      <w:r>
        <w:rPr>
          <w:b/>
          <w:bCs/>
          <w:sz w:val="24"/>
          <w:szCs w:val="24"/>
        </w:rPr>
        <w:tab/>
      </w:r>
      <w:r w:rsidRPr="00203B9A">
        <w:rPr>
          <w:b/>
          <w:bCs/>
          <w:sz w:val="24"/>
          <w:szCs w:val="24"/>
        </w:rPr>
        <w:t>Use of improved information technology and burden reduction</w:t>
      </w:r>
    </w:p>
    <w:p w14:paraId="2B96C319" w14:textId="77777777" w:rsidR="00203B9A" w:rsidRDefault="00CA4C53" w:rsidP="00203B9A">
      <w:pPr>
        <w:pStyle w:val="Num-DocParagraph"/>
        <w:ind w:left="720"/>
        <w:rPr>
          <w:sz w:val="24"/>
          <w:szCs w:val="24"/>
        </w:rPr>
      </w:pPr>
      <w:r>
        <w:rPr>
          <w:bCs/>
          <w:sz w:val="24"/>
          <w:szCs w:val="24"/>
        </w:rPr>
        <w:t>As referenced in the parent supporting statement of the generic clearance</w:t>
      </w:r>
      <w:r w:rsidR="00214ADB">
        <w:rPr>
          <w:bCs/>
          <w:sz w:val="24"/>
          <w:szCs w:val="24"/>
        </w:rPr>
        <w:t xml:space="preserve"> (</w:t>
      </w:r>
      <w:proofErr w:type="spellStart"/>
      <w:r w:rsidR="00214ADB">
        <w:rPr>
          <w:bCs/>
          <w:sz w:val="24"/>
          <w:szCs w:val="24"/>
        </w:rPr>
        <w:t>pg</w:t>
      </w:r>
      <w:proofErr w:type="spellEnd"/>
      <w:r w:rsidR="00214ADB">
        <w:rPr>
          <w:bCs/>
          <w:sz w:val="24"/>
          <w:szCs w:val="24"/>
        </w:rPr>
        <w:t xml:space="preserve"> 4)</w:t>
      </w:r>
      <w:r>
        <w:rPr>
          <w:bCs/>
          <w:sz w:val="24"/>
          <w:szCs w:val="24"/>
        </w:rPr>
        <w:t xml:space="preserve">.  </w:t>
      </w:r>
    </w:p>
    <w:p w14:paraId="51C74E5A" w14:textId="77777777" w:rsidR="00214ADB" w:rsidRDefault="00214ADB" w:rsidP="00214ADB">
      <w:pPr>
        <w:pStyle w:val="Num-DocParagraph"/>
        <w:ind w:left="720"/>
        <w:rPr>
          <w:sz w:val="24"/>
          <w:szCs w:val="24"/>
        </w:rPr>
      </w:pPr>
      <w:r>
        <w:rPr>
          <w:sz w:val="24"/>
          <w:szCs w:val="24"/>
        </w:rPr>
        <w:t xml:space="preserve">ERS will employ information technology as appropriate to reduce the burden of respondents who agree to participate in its research.  </w:t>
      </w:r>
    </w:p>
    <w:p w14:paraId="6615BC58" w14:textId="77777777" w:rsidR="00214ADB" w:rsidRDefault="00214ADB" w:rsidP="00214ADB">
      <w:pPr>
        <w:pStyle w:val="Num-DocParagraph"/>
        <w:ind w:left="720"/>
        <w:rPr>
          <w:sz w:val="24"/>
          <w:szCs w:val="24"/>
        </w:rPr>
      </w:pPr>
      <w:r>
        <w:rPr>
          <w:sz w:val="24"/>
          <w:szCs w:val="24"/>
        </w:rPr>
        <w:t>ERS plans to use</w:t>
      </w:r>
      <w:r w:rsidRPr="00711724">
        <w:rPr>
          <w:sz w:val="24"/>
          <w:szCs w:val="24"/>
        </w:rPr>
        <w:t xml:space="preserve"> </w:t>
      </w:r>
      <w:r>
        <w:rPr>
          <w:sz w:val="24"/>
          <w:szCs w:val="24"/>
        </w:rPr>
        <w:t>a single</w:t>
      </w:r>
      <w:r w:rsidRPr="00711724">
        <w:rPr>
          <w:sz w:val="24"/>
          <w:szCs w:val="24"/>
        </w:rPr>
        <w:t xml:space="preserve"> general method of information collection, in-person group experiment activities </w:t>
      </w:r>
      <w:r>
        <w:rPr>
          <w:sz w:val="24"/>
          <w:szCs w:val="24"/>
        </w:rPr>
        <w:t xml:space="preserve">will be </w:t>
      </w:r>
      <w:r w:rsidRPr="00711724">
        <w:rPr>
          <w:sz w:val="24"/>
          <w:szCs w:val="24"/>
        </w:rPr>
        <w:t>held at university computer labs</w:t>
      </w:r>
      <w:r w:rsidR="008E673D">
        <w:rPr>
          <w:sz w:val="24"/>
          <w:szCs w:val="24"/>
        </w:rPr>
        <w:t>.</w:t>
      </w:r>
      <w:r w:rsidRPr="00711724">
        <w:rPr>
          <w:sz w:val="24"/>
          <w:szCs w:val="24"/>
        </w:rPr>
        <w:t xml:space="preserve"> </w:t>
      </w:r>
      <w:r w:rsidR="008E673D">
        <w:rPr>
          <w:sz w:val="24"/>
          <w:szCs w:val="24"/>
        </w:rPr>
        <w:t xml:space="preserve"> </w:t>
      </w:r>
      <w:r w:rsidRPr="00711724">
        <w:rPr>
          <w:sz w:val="24"/>
          <w:szCs w:val="24"/>
        </w:rPr>
        <w:t>Computer assisted p</w:t>
      </w:r>
      <w:r>
        <w:rPr>
          <w:sz w:val="24"/>
          <w:szCs w:val="24"/>
        </w:rPr>
        <w:t>articipation</w:t>
      </w:r>
      <w:r w:rsidRPr="00711724">
        <w:rPr>
          <w:sz w:val="24"/>
          <w:szCs w:val="24"/>
        </w:rPr>
        <w:t xml:space="preserve"> will be used when p</w:t>
      </w:r>
      <w:r>
        <w:rPr>
          <w:sz w:val="24"/>
          <w:szCs w:val="24"/>
        </w:rPr>
        <w:t>ossible; else, paper and pencil</w:t>
      </w:r>
      <w:r w:rsidRPr="00711724">
        <w:rPr>
          <w:sz w:val="24"/>
          <w:szCs w:val="24"/>
        </w:rPr>
        <w:t xml:space="preserve"> will be used.</w:t>
      </w:r>
    </w:p>
    <w:p w14:paraId="6AE75A27" w14:textId="4AB2D3EE" w:rsidR="001C5694" w:rsidRDefault="001C5694" w:rsidP="001C5694">
      <w:pPr>
        <w:pStyle w:val="Num-DocParagraph"/>
        <w:ind w:left="720"/>
        <w:rPr>
          <w:sz w:val="24"/>
          <w:szCs w:val="24"/>
        </w:rPr>
      </w:pPr>
      <w:r>
        <w:rPr>
          <w:sz w:val="24"/>
          <w:szCs w:val="24"/>
        </w:rPr>
        <w:t>The proposed experiment will be conducted in a university experimental economics laboratory at UMD, College Park</w:t>
      </w:r>
      <w:r w:rsidR="008E06EA">
        <w:rPr>
          <w:sz w:val="24"/>
          <w:szCs w:val="24"/>
        </w:rPr>
        <w:t xml:space="preserve"> and/or UC Santa Cruz</w:t>
      </w:r>
      <w:r>
        <w:rPr>
          <w:sz w:val="24"/>
          <w:szCs w:val="24"/>
        </w:rPr>
        <w:t xml:space="preserve">. </w:t>
      </w:r>
    </w:p>
    <w:p w14:paraId="487A705F" w14:textId="77777777" w:rsidR="00214ADB" w:rsidRPr="00203B9A" w:rsidRDefault="00214ADB" w:rsidP="00203B9A">
      <w:pPr>
        <w:pStyle w:val="Num-DocParagraph"/>
        <w:ind w:left="720"/>
        <w:rPr>
          <w:sz w:val="24"/>
          <w:szCs w:val="24"/>
        </w:rPr>
      </w:pPr>
    </w:p>
    <w:p w14:paraId="1C35BD10" w14:textId="77777777" w:rsidR="00203B9A" w:rsidRPr="00647E83" w:rsidRDefault="00203B9A" w:rsidP="00214ADB">
      <w:pPr>
        <w:pStyle w:val="Num-DocParagraph"/>
        <w:numPr>
          <w:ilvl w:val="0"/>
          <w:numId w:val="8"/>
        </w:numPr>
        <w:rPr>
          <w:b/>
          <w:sz w:val="24"/>
          <w:szCs w:val="24"/>
        </w:rPr>
      </w:pPr>
      <w:r w:rsidRPr="00203B9A">
        <w:rPr>
          <w:b/>
          <w:bCs/>
          <w:sz w:val="24"/>
          <w:szCs w:val="24"/>
        </w:rPr>
        <w:t>Efforts to identify duplication; use of similar information</w:t>
      </w:r>
    </w:p>
    <w:p w14:paraId="54A2CC67" w14:textId="77777777" w:rsidR="00647E83" w:rsidRDefault="00647E83" w:rsidP="00647E83">
      <w:pPr>
        <w:pStyle w:val="Num-DocParagraph"/>
        <w:ind w:left="720"/>
        <w:rPr>
          <w:bCs/>
          <w:sz w:val="24"/>
          <w:szCs w:val="24"/>
        </w:rPr>
      </w:pPr>
      <w:r>
        <w:rPr>
          <w:bCs/>
          <w:sz w:val="24"/>
          <w:szCs w:val="24"/>
        </w:rPr>
        <w:t>A literature review was</w:t>
      </w:r>
      <w:r w:rsidR="00E52B76">
        <w:rPr>
          <w:bCs/>
          <w:sz w:val="24"/>
          <w:szCs w:val="24"/>
        </w:rPr>
        <w:t xml:space="preserve"> completed</w:t>
      </w:r>
      <w:r w:rsidR="008E5E21">
        <w:rPr>
          <w:bCs/>
          <w:sz w:val="24"/>
          <w:szCs w:val="24"/>
        </w:rPr>
        <w:t xml:space="preserve">.  Much of the relevant literature has been produced by the Principal Investigators (PIs) of this project, especially Nathaniel Higgins and Daniel Hellerstein.  In addition, we have partnered with Professor Peter </w:t>
      </w:r>
      <w:r w:rsidR="00BB6C98">
        <w:rPr>
          <w:bCs/>
          <w:sz w:val="24"/>
          <w:szCs w:val="24"/>
        </w:rPr>
        <w:t>Cramton, Economics Department, UMD</w:t>
      </w:r>
      <w:r w:rsidR="008E5E21">
        <w:rPr>
          <w:bCs/>
          <w:sz w:val="24"/>
          <w:szCs w:val="24"/>
        </w:rPr>
        <w:t xml:space="preserve">, one of the foremost market design economists in the world.  A white paper co-authored by the ERS PIs and </w:t>
      </w:r>
      <w:r w:rsidR="00BB6C98">
        <w:rPr>
          <w:bCs/>
          <w:sz w:val="24"/>
          <w:szCs w:val="24"/>
        </w:rPr>
        <w:t>Cramton, Economics Department, UMD</w:t>
      </w:r>
      <w:r w:rsidR="008E5E21">
        <w:rPr>
          <w:bCs/>
          <w:sz w:val="24"/>
          <w:szCs w:val="24"/>
        </w:rPr>
        <w:t xml:space="preserve"> reviews the relevant literature, market design concepts, and applicable </w:t>
      </w:r>
      <w:r w:rsidR="00CF3C41">
        <w:rPr>
          <w:bCs/>
          <w:sz w:val="24"/>
          <w:szCs w:val="24"/>
        </w:rPr>
        <w:t>practical knowledge (Attachment C).</w:t>
      </w:r>
    </w:p>
    <w:p w14:paraId="0488711A" w14:textId="77777777" w:rsidR="00E27507" w:rsidRPr="00BA2FF0" w:rsidRDefault="00E27507" w:rsidP="00647E83">
      <w:pPr>
        <w:pStyle w:val="Num-DocParagraph"/>
        <w:ind w:left="720"/>
        <w:rPr>
          <w:sz w:val="24"/>
          <w:szCs w:val="24"/>
        </w:rPr>
      </w:pPr>
      <w:r w:rsidRPr="00BA2FF0">
        <w:rPr>
          <w:bCs/>
          <w:sz w:val="24"/>
          <w:szCs w:val="24"/>
        </w:rPr>
        <w:t>The literature review revealed that there are no relevant studies of similar mechanisms</w:t>
      </w:r>
      <w:r w:rsidR="00060D28" w:rsidRPr="00BA2FF0">
        <w:rPr>
          <w:bCs/>
          <w:sz w:val="24"/>
          <w:szCs w:val="24"/>
        </w:rPr>
        <w:t xml:space="preserve"> in the context of a multi-unit auction with many bidders</w:t>
      </w:r>
      <w:r w:rsidRPr="00BA2FF0">
        <w:rPr>
          <w:bCs/>
          <w:sz w:val="24"/>
          <w:szCs w:val="24"/>
        </w:rPr>
        <w:t xml:space="preserve">.  There is a long tradition of experimental auctions more generally (see for example Lusk and </w:t>
      </w:r>
      <w:proofErr w:type="spellStart"/>
      <w:r w:rsidRPr="00BA2FF0">
        <w:rPr>
          <w:bCs/>
          <w:sz w:val="24"/>
          <w:szCs w:val="24"/>
        </w:rPr>
        <w:t>Shogren</w:t>
      </w:r>
      <w:proofErr w:type="spellEnd"/>
      <w:r w:rsidRPr="00BA2FF0">
        <w:rPr>
          <w:bCs/>
          <w:sz w:val="24"/>
          <w:szCs w:val="24"/>
        </w:rPr>
        <w:t>, 2007</w:t>
      </w:r>
      <w:r w:rsidRPr="00BA2FF0">
        <w:rPr>
          <w:rStyle w:val="FootnoteReference"/>
          <w:bCs/>
          <w:sz w:val="24"/>
          <w:szCs w:val="24"/>
        </w:rPr>
        <w:footnoteReference w:id="2"/>
      </w:r>
      <w:r w:rsidRPr="00BA2FF0">
        <w:rPr>
          <w:bCs/>
          <w:sz w:val="24"/>
          <w:szCs w:val="24"/>
        </w:rPr>
        <w:t xml:space="preserve">) and of </w:t>
      </w:r>
      <w:r w:rsidRPr="00BA2FF0">
        <w:rPr>
          <w:bCs/>
          <w:sz w:val="24"/>
          <w:szCs w:val="24"/>
        </w:rPr>
        <w:lastRenderedPageBreak/>
        <w:t>the study of the CRP (</w:t>
      </w:r>
      <w:proofErr w:type="spellStart"/>
      <w:r w:rsidRPr="00BA2FF0">
        <w:rPr>
          <w:bCs/>
          <w:sz w:val="24"/>
          <w:szCs w:val="24"/>
        </w:rPr>
        <w:t>Latacz-Lohmann</w:t>
      </w:r>
      <w:proofErr w:type="spellEnd"/>
      <w:r w:rsidRPr="00BA2FF0">
        <w:rPr>
          <w:bCs/>
          <w:sz w:val="24"/>
          <w:szCs w:val="24"/>
        </w:rPr>
        <w:t xml:space="preserve"> and Van der </w:t>
      </w:r>
      <w:proofErr w:type="spellStart"/>
      <w:r w:rsidRPr="00BA2FF0">
        <w:rPr>
          <w:bCs/>
          <w:sz w:val="24"/>
          <w:szCs w:val="24"/>
        </w:rPr>
        <w:t>Hamsvoort</w:t>
      </w:r>
      <w:proofErr w:type="spellEnd"/>
      <w:r w:rsidRPr="00BA2FF0">
        <w:rPr>
          <w:bCs/>
          <w:sz w:val="24"/>
          <w:szCs w:val="24"/>
        </w:rPr>
        <w:t>, 1997</w:t>
      </w:r>
      <w:r w:rsidRPr="00BA2FF0">
        <w:rPr>
          <w:rStyle w:val="FootnoteReference"/>
          <w:bCs/>
          <w:sz w:val="24"/>
          <w:szCs w:val="24"/>
        </w:rPr>
        <w:footnoteReference w:id="3"/>
      </w:r>
      <w:r w:rsidRPr="00BA2FF0">
        <w:rPr>
          <w:bCs/>
          <w:sz w:val="24"/>
          <w:szCs w:val="24"/>
        </w:rPr>
        <w:t>), but there are no studies – experimental or otherwise – directly comparing the proposed mechanisms</w:t>
      </w:r>
      <w:r w:rsidR="00060D28" w:rsidRPr="00BA2FF0">
        <w:rPr>
          <w:bCs/>
          <w:sz w:val="24"/>
          <w:szCs w:val="24"/>
        </w:rPr>
        <w:t>, which ERS has selected in consultation with FSA.  The proposed mechanisms compare to</w:t>
      </w:r>
      <w:r w:rsidRPr="00BA2FF0">
        <w:rPr>
          <w:bCs/>
          <w:sz w:val="24"/>
          <w:szCs w:val="24"/>
        </w:rPr>
        <w:t xml:space="preserve"> </w:t>
      </w:r>
      <w:r w:rsidR="001C5694" w:rsidRPr="00BA2FF0">
        <w:rPr>
          <w:bCs/>
          <w:sz w:val="24"/>
          <w:szCs w:val="24"/>
        </w:rPr>
        <w:t xml:space="preserve">a </w:t>
      </w:r>
      <w:r w:rsidRPr="00BA2FF0">
        <w:rPr>
          <w:bCs/>
          <w:sz w:val="24"/>
          <w:szCs w:val="24"/>
        </w:rPr>
        <w:t>baseline (an auction mimicking the current CRP)</w:t>
      </w:r>
      <w:r w:rsidR="00060D28" w:rsidRPr="00BA2FF0">
        <w:rPr>
          <w:bCs/>
          <w:sz w:val="24"/>
          <w:szCs w:val="24"/>
        </w:rPr>
        <w:t xml:space="preserve"> the three mechanisms listed above:</w:t>
      </w:r>
      <w:r w:rsidRPr="00BA2FF0">
        <w:rPr>
          <w:bCs/>
          <w:sz w:val="24"/>
          <w:szCs w:val="24"/>
        </w:rPr>
        <w:t xml:space="preserve"> “</w:t>
      </w:r>
      <w:r w:rsidR="00060D28" w:rsidRPr="00BA2FF0">
        <w:rPr>
          <w:bCs/>
          <w:sz w:val="24"/>
          <w:szCs w:val="24"/>
        </w:rPr>
        <w:t>relaxed</w:t>
      </w:r>
      <w:r w:rsidRPr="00BA2FF0">
        <w:rPr>
          <w:bCs/>
          <w:sz w:val="24"/>
          <w:szCs w:val="24"/>
        </w:rPr>
        <w:t>” bid cap (using an individual-specific maximum bid that is higher in expectation than the baseline)</w:t>
      </w:r>
      <w:r w:rsidR="00060D28" w:rsidRPr="00BA2FF0">
        <w:rPr>
          <w:bCs/>
          <w:sz w:val="24"/>
          <w:szCs w:val="24"/>
        </w:rPr>
        <w:t xml:space="preserve">, </w:t>
      </w:r>
      <w:r w:rsidR="00060D28" w:rsidRPr="00BA2FF0">
        <w:rPr>
          <w:sz w:val="24"/>
          <w:szCs w:val="24"/>
        </w:rPr>
        <w:t>grouping-based auction (also explained in more detail in Attachment B - Experimental Design Protocol)</w:t>
      </w:r>
      <w:r w:rsidRPr="00BA2FF0">
        <w:rPr>
          <w:bCs/>
          <w:sz w:val="24"/>
          <w:szCs w:val="24"/>
        </w:rPr>
        <w:t xml:space="preserve">, </w:t>
      </w:r>
      <w:r w:rsidR="00060D28" w:rsidRPr="00BA2FF0">
        <w:rPr>
          <w:bCs/>
          <w:sz w:val="24"/>
          <w:szCs w:val="24"/>
        </w:rPr>
        <w:t xml:space="preserve">and </w:t>
      </w:r>
      <w:r w:rsidRPr="00BA2FF0">
        <w:rPr>
          <w:bCs/>
          <w:sz w:val="24"/>
          <w:szCs w:val="24"/>
        </w:rPr>
        <w:t xml:space="preserve">two variations on a reference price auction (explained in more detail in </w:t>
      </w:r>
      <w:r w:rsidRPr="00BA2FF0">
        <w:rPr>
          <w:sz w:val="24"/>
          <w:szCs w:val="24"/>
        </w:rPr>
        <w:t>Attachment B - Experimental Design Protocol</w:t>
      </w:r>
      <w:r w:rsidR="00060D28" w:rsidRPr="00BA2FF0">
        <w:rPr>
          <w:sz w:val="24"/>
          <w:szCs w:val="24"/>
        </w:rPr>
        <w:t>)</w:t>
      </w:r>
      <w:r w:rsidRPr="00BA2FF0">
        <w:rPr>
          <w:sz w:val="24"/>
          <w:szCs w:val="24"/>
        </w:rPr>
        <w:t>.  These mechanisms are the ones that FSA is interested in considering, making the testing appropriate at this time.</w:t>
      </w:r>
    </w:p>
    <w:p w14:paraId="01679238" w14:textId="7A877FED" w:rsidR="00B2584C" w:rsidRDefault="00B2584C" w:rsidP="00647E83">
      <w:pPr>
        <w:pStyle w:val="Num-DocParagraph"/>
        <w:ind w:left="720"/>
      </w:pPr>
      <w:r>
        <w:t>We view this test as a first step in producing experimentally-valid knowledge (knowledge where the internal validity of the causal mechanism is not in question).  Further testing, including field testing, is an obvious next step.</w:t>
      </w:r>
    </w:p>
    <w:p w14:paraId="3B43A820" w14:textId="16FF68E2" w:rsidR="006D34B9" w:rsidRPr="00060D28" w:rsidRDefault="006D34B9" w:rsidP="00647E83">
      <w:pPr>
        <w:pStyle w:val="Num-DocParagraph"/>
        <w:ind w:left="720"/>
      </w:pPr>
      <w:r>
        <w:t>Initial testing of the mechanisms in a slightly different environment – an environment in which all potential bidders were able to submit bids in each round, unconstrained by the possibility that the bid cap could be less than a bidder’s opportunity cost – showed that alternative mechanisms could perform well.  The proposed sessions will relax this important constraint.</w:t>
      </w:r>
    </w:p>
    <w:p w14:paraId="7D61226A" w14:textId="77777777" w:rsidR="00203B9A" w:rsidRPr="00647E83" w:rsidRDefault="00203B9A" w:rsidP="00214ADB">
      <w:pPr>
        <w:pStyle w:val="Num-DocParagraph"/>
        <w:numPr>
          <w:ilvl w:val="0"/>
          <w:numId w:val="8"/>
        </w:numPr>
        <w:rPr>
          <w:b/>
          <w:sz w:val="24"/>
          <w:szCs w:val="24"/>
        </w:rPr>
      </w:pPr>
      <w:r w:rsidRPr="00203B9A">
        <w:rPr>
          <w:b/>
          <w:bCs/>
          <w:sz w:val="24"/>
          <w:szCs w:val="24"/>
        </w:rPr>
        <w:t>Impact on small businesses or other small entities</w:t>
      </w:r>
    </w:p>
    <w:p w14:paraId="127245EE" w14:textId="4298AA3D" w:rsidR="00647E83" w:rsidRPr="00647E83" w:rsidRDefault="00647E83" w:rsidP="00647E83">
      <w:pPr>
        <w:pStyle w:val="Num-DocParagraph"/>
        <w:ind w:left="720"/>
        <w:rPr>
          <w:sz w:val="24"/>
          <w:szCs w:val="24"/>
        </w:rPr>
      </w:pPr>
      <w:r>
        <w:rPr>
          <w:sz w:val="24"/>
          <w:szCs w:val="24"/>
        </w:rPr>
        <w:t xml:space="preserve">No respondents will be small businesses.  All respondents for this study will be students recruited to participate in experiments on the campus of </w:t>
      </w:r>
      <w:r w:rsidR="003F7717">
        <w:rPr>
          <w:sz w:val="24"/>
          <w:szCs w:val="24"/>
        </w:rPr>
        <w:t>UMD</w:t>
      </w:r>
      <w:r w:rsidR="00BB6C98">
        <w:rPr>
          <w:sz w:val="24"/>
          <w:szCs w:val="24"/>
        </w:rPr>
        <w:t>, College Park</w:t>
      </w:r>
      <w:r w:rsidR="008E06EA">
        <w:rPr>
          <w:sz w:val="24"/>
          <w:szCs w:val="24"/>
        </w:rPr>
        <w:t xml:space="preserve"> and/or UC Santa Cruz</w:t>
      </w:r>
      <w:r>
        <w:rPr>
          <w:sz w:val="24"/>
          <w:szCs w:val="24"/>
        </w:rPr>
        <w:t>.</w:t>
      </w:r>
    </w:p>
    <w:p w14:paraId="44F17F6C" w14:textId="77777777" w:rsidR="00203B9A" w:rsidRPr="00647E83" w:rsidRDefault="00203B9A" w:rsidP="00214ADB">
      <w:pPr>
        <w:pStyle w:val="Num-DocParagraph"/>
        <w:numPr>
          <w:ilvl w:val="0"/>
          <w:numId w:val="8"/>
        </w:numPr>
        <w:rPr>
          <w:b/>
          <w:sz w:val="24"/>
          <w:szCs w:val="24"/>
        </w:rPr>
      </w:pPr>
      <w:r w:rsidRPr="00203B9A">
        <w:rPr>
          <w:b/>
          <w:bCs/>
          <w:sz w:val="24"/>
          <w:szCs w:val="24"/>
        </w:rPr>
        <w:t>Consequences of not conducting data collection, or of collecting information less frequently</w:t>
      </w:r>
    </w:p>
    <w:p w14:paraId="7FB22267" w14:textId="77777777" w:rsidR="00647E83" w:rsidRDefault="00647E83" w:rsidP="00647E83">
      <w:pPr>
        <w:pStyle w:val="Num-DocParagraph"/>
        <w:ind w:left="720"/>
        <w:rPr>
          <w:bCs/>
          <w:sz w:val="24"/>
          <w:szCs w:val="24"/>
        </w:rPr>
      </w:pPr>
      <w:r>
        <w:rPr>
          <w:bCs/>
          <w:sz w:val="24"/>
          <w:szCs w:val="24"/>
        </w:rPr>
        <w:t>As referenced in the parent supporting statement of the generic clearance</w:t>
      </w:r>
      <w:r w:rsidR="00214ADB">
        <w:rPr>
          <w:bCs/>
          <w:sz w:val="24"/>
          <w:szCs w:val="24"/>
        </w:rPr>
        <w:t xml:space="preserve"> (pg. 5)</w:t>
      </w:r>
      <w:r>
        <w:rPr>
          <w:bCs/>
          <w:sz w:val="24"/>
          <w:szCs w:val="24"/>
        </w:rPr>
        <w:t>.</w:t>
      </w:r>
    </w:p>
    <w:p w14:paraId="6FDED741" w14:textId="77777777" w:rsidR="00214ADB" w:rsidRDefault="00214ADB" w:rsidP="00214ADB">
      <w:pPr>
        <w:pStyle w:val="Num-DocParagraph"/>
        <w:ind w:left="720"/>
        <w:rPr>
          <w:sz w:val="24"/>
          <w:szCs w:val="24"/>
        </w:rPr>
      </w:pPr>
      <w:r>
        <w:rPr>
          <w:sz w:val="24"/>
          <w:szCs w:val="24"/>
        </w:rPr>
        <w:t>T</w:t>
      </w:r>
      <w:r w:rsidRPr="00711724">
        <w:rPr>
          <w:sz w:val="24"/>
          <w:szCs w:val="24"/>
        </w:rPr>
        <w:t>he</w:t>
      </w:r>
      <w:r>
        <w:rPr>
          <w:sz w:val="24"/>
          <w:szCs w:val="24"/>
        </w:rPr>
        <w:t xml:space="preserve"> proposed</w:t>
      </w:r>
      <w:r w:rsidRPr="00711724">
        <w:rPr>
          <w:sz w:val="24"/>
          <w:szCs w:val="24"/>
        </w:rPr>
        <w:t xml:space="preserve"> generic clearance mechanism will allow the development of more robust and efficient measures regarding agricultural behavioral economics, with minimal burden, that will benefit subsequent ERS and USDA information collections.</w:t>
      </w:r>
    </w:p>
    <w:p w14:paraId="52F4D2F8" w14:textId="77777777" w:rsidR="00214ADB" w:rsidRDefault="00214ADB" w:rsidP="00214ADB">
      <w:pPr>
        <w:pStyle w:val="Num-DocParagraph"/>
        <w:ind w:left="720"/>
        <w:rPr>
          <w:sz w:val="24"/>
          <w:szCs w:val="24"/>
        </w:rPr>
      </w:pPr>
      <w:r>
        <w:rPr>
          <w:sz w:val="24"/>
          <w:szCs w:val="24"/>
        </w:rPr>
        <w:t xml:space="preserve">The quality of research that ERS can provide to its stakeholders will be increased if ERS is able to utilize state-of-the art experimental research mechanisms.  The quality of quantitative research and its contribution to prospective policy will especially benefit under the proposed generic clearance.  Experimental studies are often the only </w:t>
      </w:r>
      <w:r>
        <w:rPr>
          <w:sz w:val="24"/>
          <w:szCs w:val="24"/>
        </w:rPr>
        <w:lastRenderedPageBreak/>
        <w:t>empirical tool that can be used to evaluate economic mechanisms that do not exist in the real world.</w:t>
      </w:r>
    </w:p>
    <w:p w14:paraId="154E65C3" w14:textId="77777777" w:rsidR="00214ADB" w:rsidRPr="00647E83" w:rsidRDefault="00214ADB" w:rsidP="00647E83">
      <w:pPr>
        <w:pStyle w:val="Num-DocParagraph"/>
        <w:ind w:left="720"/>
        <w:rPr>
          <w:sz w:val="24"/>
          <w:szCs w:val="24"/>
        </w:rPr>
      </w:pPr>
    </w:p>
    <w:p w14:paraId="7BA2B25E" w14:textId="77777777" w:rsidR="00203B9A" w:rsidRPr="00647E83" w:rsidRDefault="00203B9A" w:rsidP="00214ADB">
      <w:pPr>
        <w:pStyle w:val="Num-DocParagraph"/>
        <w:numPr>
          <w:ilvl w:val="0"/>
          <w:numId w:val="8"/>
        </w:numPr>
        <w:rPr>
          <w:b/>
          <w:sz w:val="24"/>
          <w:szCs w:val="24"/>
        </w:rPr>
      </w:pPr>
      <w:r w:rsidRPr="00203B9A">
        <w:rPr>
          <w:b/>
          <w:bCs/>
          <w:sz w:val="24"/>
          <w:szCs w:val="24"/>
        </w:rPr>
        <w:t>Special circumstances that would cause an information collection to be conducted so as to require respondents to report information to the agency more often than quarterly</w:t>
      </w:r>
    </w:p>
    <w:p w14:paraId="2BA1B9C2" w14:textId="77777777" w:rsidR="00647E83" w:rsidRPr="00647E83" w:rsidRDefault="00F82F69" w:rsidP="00647E83">
      <w:pPr>
        <w:pStyle w:val="Num-DocParagraph"/>
        <w:ind w:left="720"/>
        <w:rPr>
          <w:sz w:val="24"/>
          <w:szCs w:val="24"/>
        </w:rPr>
      </w:pPr>
      <w:r>
        <w:rPr>
          <w:sz w:val="24"/>
          <w:szCs w:val="24"/>
        </w:rPr>
        <w:t xml:space="preserve">There are no special circumstances associated with this information collection.  </w:t>
      </w:r>
      <w:r w:rsidR="00647E83">
        <w:rPr>
          <w:bCs/>
          <w:sz w:val="24"/>
          <w:szCs w:val="24"/>
        </w:rPr>
        <w:t xml:space="preserve">All responses will </w:t>
      </w:r>
      <w:r w:rsidR="008E0FAF">
        <w:rPr>
          <w:bCs/>
          <w:sz w:val="24"/>
          <w:szCs w:val="24"/>
        </w:rPr>
        <w:t>be one time responses</w:t>
      </w:r>
      <w:r w:rsidR="00647E83">
        <w:rPr>
          <w:bCs/>
          <w:sz w:val="24"/>
          <w:szCs w:val="24"/>
        </w:rPr>
        <w:t>.</w:t>
      </w:r>
    </w:p>
    <w:p w14:paraId="766019D2" w14:textId="77777777" w:rsidR="00203B9A" w:rsidRPr="00647E83" w:rsidRDefault="00203B9A" w:rsidP="00214ADB">
      <w:pPr>
        <w:pStyle w:val="Num-DocParagraph"/>
        <w:numPr>
          <w:ilvl w:val="0"/>
          <w:numId w:val="8"/>
        </w:numPr>
        <w:rPr>
          <w:b/>
          <w:sz w:val="24"/>
          <w:szCs w:val="24"/>
        </w:rPr>
      </w:pPr>
      <w:r w:rsidRPr="00203B9A">
        <w:rPr>
          <w:b/>
          <w:bCs/>
          <w:sz w:val="24"/>
          <w:szCs w:val="24"/>
        </w:rPr>
        <w:t>Comments in response to the Federal Register Notice and efforts to consult outside the agency</w:t>
      </w:r>
    </w:p>
    <w:p w14:paraId="5FCB7F07" w14:textId="77777777" w:rsidR="00446F8E" w:rsidRDefault="00446F8E" w:rsidP="00446F8E">
      <w:pPr>
        <w:pStyle w:val="Num-DocParagraph"/>
        <w:ind w:left="720"/>
        <w:rPr>
          <w:bCs/>
          <w:sz w:val="24"/>
          <w:szCs w:val="24"/>
        </w:rPr>
      </w:pPr>
      <w:r w:rsidRPr="00446F8E">
        <w:rPr>
          <w:bCs/>
          <w:sz w:val="24"/>
          <w:szCs w:val="24"/>
        </w:rPr>
        <w:t xml:space="preserve"> </w:t>
      </w:r>
      <w:r>
        <w:rPr>
          <w:bCs/>
          <w:sz w:val="24"/>
          <w:szCs w:val="24"/>
        </w:rPr>
        <w:t>This mini-clearance has not been posted in the Federal Register and so not comments have been received from the public.</w:t>
      </w:r>
    </w:p>
    <w:p w14:paraId="1CD5258F" w14:textId="77777777" w:rsidR="00446F8E" w:rsidRPr="00446F8E" w:rsidRDefault="00446F8E" w:rsidP="00446F8E">
      <w:pPr>
        <w:pStyle w:val="Num-DocParagraph"/>
        <w:ind w:left="720"/>
        <w:rPr>
          <w:bCs/>
          <w:sz w:val="24"/>
          <w:szCs w:val="24"/>
        </w:rPr>
      </w:pPr>
      <w:r>
        <w:rPr>
          <w:bCs/>
          <w:sz w:val="24"/>
          <w:szCs w:val="24"/>
        </w:rPr>
        <w:t>We have consulted with – and will work throughout the process with – Peter Cramton, a Professor of Economics at UMD College Park and a leading expert in auction design.  Cramton helped directly in the design of the mechanisms to be tested and in the experimental protocol.</w:t>
      </w:r>
    </w:p>
    <w:p w14:paraId="228FCBB6" w14:textId="77777777" w:rsidR="00203B9A" w:rsidRPr="00647E83" w:rsidRDefault="00203B9A" w:rsidP="004B041C">
      <w:pPr>
        <w:pStyle w:val="Num-DocParagraph"/>
        <w:numPr>
          <w:ilvl w:val="0"/>
          <w:numId w:val="8"/>
        </w:numPr>
        <w:rPr>
          <w:b/>
          <w:sz w:val="24"/>
          <w:szCs w:val="24"/>
        </w:rPr>
      </w:pPr>
      <w:r w:rsidRPr="00203B9A">
        <w:rPr>
          <w:b/>
          <w:bCs/>
          <w:sz w:val="24"/>
          <w:szCs w:val="24"/>
        </w:rPr>
        <w:t>Explanation of any payment or gift to respondents</w:t>
      </w:r>
    </w:p>
    <w:p w14:paraId="0186C6C2" w14:textId="77777777" w:rsidR="006478A3" w:rsidRPr="00647E83" w:rsidRDefault="006478A3" w:rsidP="00E518D4">
      <w:pPr>
        <w:pStyle w:val="Num-DocParagraph"/>
        <w:ind w:left="720"/>
        <w:rPr>
          <w:sz w:val="24"/>
          <w:szCs w:val="24"/>
        </w:rPr>
      </w:pPr>
      <w:r>
        <w:rPr>
          <w:bCs/>
          <w:sz w:val="24"/>
          <w:szCs w:val="24"/>
        </w:rPr>
        <w:t>As referenced in the parent supporting statement of the generic clearance.</w:t>
      </w:r>
    </w:p>
    <w:p w14:paraId="739898EE" w14:textId="564B9717" w:rsidR="007B4D93" w:rsidRDefault="00647E83" w:rsidP="007B4D93">
      <w:pPr>
        <w:pStyle w:val="Num-DocParagraph"/>
        <w:ind w:left="720"/>
        <w:rPr>
          <w:sz w:val="24"/>
          <w:szCs w:val="24"/>
        </w:rPr>
      </w:pPr>
      <w:r>
        <w:rPr>
          <w:sz w:val="24"/>
          <w:szCs w:val="24"/>
        </w:rPr>
        <w:t xml:space="preserve">The experiment will be conducted using money payments to participants in the experiment.  </w:t>
      </w:r>
      <w:r w:rsidR="00375A35">
        <w:rPr>
          <w:sz w:val="24"/>
          <w:szCs w:val="24"/>
        </w:rPr>
        <w:t>Consistent with the underlying scientific foundations of the experimental economics, a</w:t>
      </w:r>
      <w:r w:rsidR="005B1EC5">
        <w:rPr>
          <w:sz w:val="24"/>
          <w:szCs w:val="24"/>
        </w:rPr>
        <w:t xml:space="preserve"> fundamental requirement of the research methodol</w:t>
      </w:r>
      <w:r w:rsidR="00375A35">
        <w:rPr>
          <w:sz w:val="24"/>
          <w:szCs w:val="24"/>
        </w:rPr>
        <w:t>o</w:t>
      </w:r>
      <w:r w:rsidR="005B1EC5">
        <w:rPr>
          <w:sz w:val="24"/>
          <w:szCs w:val="24"/>
        </w:rPr>
        <w:t xml:space="preserve">gy is </w:t>
      </w:r>
      <w:r w:rsidR="005072A0">
        <w:rPr>
          <w:sz w:val="24"/>
          <w:szCs w:val="24"/>
        </w:rPr>
        <w:t xml:space="preserve">that </w:t>
      </w:r>
      <w:r w:rsidR="005B1EC5">
        <w:rPr>
          <w:sz w:val="24"/>
          <w:szCs w:val="24"/>
        </w:rPr>
        <w:t xml:space="preserve">participants </w:t>
      </w:r>
      <w:r w:rsidR="005072A0">
        <w:rPr>
          <w:sz w:val="24"/>
          <w:szCs w:val="24"/>
        </w:rPr>
        <w:t xml:space="preserve">value </w:t>
      </w:r>
      <w:r w:rsidR="003F7717">
        <w:rPr>
          <w:sz w:val="24"/>
          <w:szCs w:val="24"/>
        </w:rPr>
        <w:t>their time</w:t>
      </w:r>
      <w:r w:rsidR="005072A0">
        <w:rPr>
          <w:sz w:val="24"/>
          <w:szCs w:val="24"/>
        </w:rPr>
        <w:t xml:space="preserve"> and treat </w:t>
      </w:r>
      <w:r w:rsidR="003F7717">
        <w:rPr>
          <w:sz w:val="24"/>
          <w:szCs w:val="24"/>
        </w:rPr>
        <w:t>the task of bidding seriously</w:t>
      </w:r>
      <w:r w:rsidR="00375A35">
        <w:rPr>
          <w:sz w:val="24"/>
          <w:szCs w:val="24"/>
        </w:rPr>
        <w:t xml:space="preserve"> (</w:t>
      </w:r>
      <w:r w:rsidR="00375A35">
        <w:rPr>
          <w:bCs/>
          <w:sz w:val="24"/>
          <w:szCs w:val="24"/>
        </w:rPr>
        <w:t>as referenced in the parent supporting statement of the generic clearance)</w:t>
      </w:r>
      <w:r w:rsidR="003F7717">
        <w:rPr>
          <w:sz w:val="24"/>
          <w:szCs w:val="24"/>
        </w:rPr>
        <w:t>.</w:t>
      </w:r>
      <w:r w:rsidR="005072A0">
        <w:rPr>
          <w:sz w:val="24"/>
          <w:szCs w:val="24"/>
        </w:rPr>
        <w:t xml:space="preserve">  </w:t>
      </w:r>
      <w:r w:rsidR="003F7717">
        <w:rPr>
          <w:sz w:val="24"/>
          <w:szCs w:val="24"/>
        </w:rPr>
        <w:t xml:space="preserve">Each student will compete in multiple </w:t>
      </w:r>
      <w:r w:rsidR="00E34258">
        <w:rPr>
          <w:sz w:val="24"/>
          <w:szCs w:val="24"/>
        </w:rPr>
        <w:t>rounds (</w:t>
      </w:r>
      <w:r w:rsidR="00062007">
        <w:rPr>
          <w:sz w:val="24"/>
          <w:szCs w:val="24"/>
        </w:rPr>
        <w:t xml:space="preserve">approximately </w:t>
      </w:r>
      <w:r w:rsidR="00E34258">
        <w:rPr>
          <w:sz w:val="24"/>
          <w:szCs w:val="24"/>
        </w:rPr>
        <w:t>15</w:t>
      </w:r>
      <w:r w:rsidR="00062007">
        <w:rPr>
          <w:sz w:val="24"/>
          <w:szCs w:val="24"/>
        </w:rPr>
        <w:t xml:space="preserve">, based on performance in the similar experiment </w:t>
      </w:r>
      <w:r w:rsidR="0034599B">
        <w:t>CRP Study 1</w:t>
      </w:r>
      <w:r w:rsidR="00E34258">
        <w:rPr>
          <w:sz w:val="24"/>
          <w:szCs w:val="24"/>
        </w:rPr>
        <w:t>)</w:t>
      </w:r>
      <w:r w:rsidR="00062007">
        <w:rPr>
          <w:sz w:val="24"/>
          <w:szCs w:val="24"/>
        </w:rPr>
        <w:t xml:space="preserve"> of 3 different auctions (approximately </w:t>
      </w:r>
      <w:r w:rsidR="00E34258">
        <w:rPr>
          <w:sz w:val="24"/>
          <w:szCs w:val="24"/>
        </w:rPr>
        <w:t xml:space="preserve">45 total rounds) within a 90 minute time period </w:t>
      </w:r>
      <w:r w:rsidR="0096213F">
        <w:rPr>
          <w:sz w:val="24"/>
          <w:szCs w:val="24"/>
        </w:rPr>
        <w:t>(see Table 1.)</w:t>
      </w:r>
      <w:r w:rsidR="00E34258">
        <w:rPr>
          <w:sz w:val="24"/>
          <w:szCs w:val="24"/>
        </w:rPr>
        <w:t>.</w:t>
      </w:r>
      <w:r w:rsidR="00D21E1B">
        <w:rPr>
          <w:sz w:val="24"/>
          <w:szCs w:val="24"/>
        </w:rPr>
        <w:t xml:space="preserve"> </w:t>
      </w:r>
      <w:r w:rsidR="00E34258">
        <w:rPr>
          <w:sz w:val="24"/>
          <w:szCs w:val="24"/>
        </w:rPr>
        <w:t xml:space="preserve">They </w:t>
      </w:r>
      <w:r w:rsidR="003F7717">
        <w:rPr>
          <w:sz w:val="24"/>
          <w:szCs w:val="24"/>
        </w:rPr>
        <w:t xml:space="preserve">will receive a cash payment </w:t>
      </w:r>
      <w:r w:rsidR="00E34258">
        <w:rPr>
          <w:sz w:val="24"/>
          <w:szCs w:val="24"/>
        </w:rPr>
        <w:t>based on the experimental market outcome which results from e</w:t>
      </w:r>
      <w:r w:rsidR="005F1268">
        <w:rPr>
          <w:sz w:val="24"/>
          <w:szCs w:val="24"/>
        </w:rPr>
        <w:t>ach student’s behavior.</w:t>
      </w:r>
      <w:r w:rsidR="00DC604D">
        <w:rPr>
          <w:rStyle w:val="FootnoteReference"/>
          <w:sz w:val="24"/>
          <w:szCs w:val="24"/>
        </w:rPr>
        <w:footnoteReference w:id="4"/>
      </w:r>
      <w:r w:rsidR="003F7717">
        <w:rPr>
          <w:sz w:val="24"/>
          <w:szCs w:val="24"/>
        </w:rPr>
        <w:t xml:space="preserve">  </w:t>
      </w:r>
      <w:r w:rsidR="005072A0">
        <w:rPr>
          <w:sz w:val="24"/>
          <w:szCs w:val="24"/>
        </w:rPr>
        <w:t xml:space="preserve">The cash payment will be of uncertain value before the experiments take place, but we do not expect any payments </w:t>
      </w:r>
      <w:r w:rsidR="005072A0">
        <w:rPr>
          <w:sz w:val="24"/>
          <w:szCs w:val="24"/>
        </w:rPr>
        <w:lastRenderedPageBreak/>
        <w:t>in excess of $</w:t>
      </w:r>
      <w:r w:rsidR="0096213F">
        <w:rPr>
          <w:sz w:val="24"/>
          <w:szCs w:val="24"/>
        </w:rPr>
        <w:t>5</w:t>
      </w:r>
      <w:r w:rsidR="003F7717">
        <w:rPr>
          <w:sz w:val="24"/>
          <w:szCs w:val="24"/>
        </w:rPr>
        <w:t>0</w:t>
      </w:r>
      <w:r w:rsidR="000A19D9">
        <w:rPr>
          <w:sz w:val="24"/>
          <w:szCs w:val="24"/>
        </w:rPr>
        <w:t>.</w:t>
      </w:r>
      <w:r w:rsidR="0087207D" w:rsidRPr="00AB0FE8">
        <w:rPr>
          <w:rStyle w:val="FootnoteReference"/>
          <w:sz w:val="24"/>
          <w:szCs w:val="24"/>
        </w:rPr>
        <w:footnoteReference w:id="5"/>
      </w:r>
      <w:r w:rsidR="00AB0FE8" w:rsidRPr="00AB0FE8">
        <w:rPr>
          <w:sz w:val="24"/>
          <w:szCs w:val="24"/>
          <w:vertAlign w:val="superscript"/>
        </w:rPr>
        <w:t>,</w:t>
      </w:r>
      <w:r w:rsidR="00DC604D">
        <w:rPr>
          <w:rStyle w:val="FootnoteReference"/>
          <w:sz w:val="24"/>
          <w:szCs w:val="24"/>
        </w:rPr>
        <w:footnoteReference w:id="6"/>
      </w:r>
      <w:r w:rsidR="0096213F">
        <w:rPr>
          <w:sz w:val="24"/>
          <w:szCs w:val="24"/>
        </w:rPr>
        <w:t xml:space="preserve"> </w:t>
      </w:r>
      <w:r w:rsidR="006466BC">
        <w:rPr>
          <w:sz w:val="24"/>
          <w:szCs w:val="24"/>
        </w:rPr>
        <w:t xml:space="preserve">  The average payments </w:t>
      </w:r>
      <w:r w:rsidR="00062007">
        <w:rPr>
          <w:sz w:val="24"/>
          <w:szCs w:val="24"/>
        </w:rPr>
        <w:t xml:space="preserve">under the similar </w:t>
      </w:r>
      <w:r w:rsidR="00062007" w:rsidRPr="00062007">
        <w:rPr>
          <w:sz w:val="24"/>
          <w:szCs w:val="24"/>
        </w:rPr>
        <w:t xml:space="preserve">experiment </w:t>
      </w:r>
      <w:r w:rsidR="0034599B">
        <w:rPr>
          <w:sz w:val="24"/>
          <w:szCs w:val="24"/>
        </w:rPr>
        <w:t>CRP Study 1</w:t>
      </w:r>
      <w:r w:rsidR="00062007" w:rsidRPr="00062007">
        <w:rPr>
          <w:sz w:val="24"/>
          <w:szCs w:val="24"/>
        </w:rPr>
        <w:t xml:space="preserve"> were about $15</w:t>
      </w:r>
      <w:r w:rsidR="006466BC">
        <w:rPr>
          <w:sz w:val="24"/>
          <w:szCs w:val="24"/>
        </w:rPr>
        <w:t>.</w:t>
      </w:r>
      <w:r w:rsidR="00DC604D">
        <w:rPr>
          <w:sz w:val="24"/>
          <w:szCs w:val="24"/>
        </w:rPr>
        <w:t xml:space="preserve">  </w:t>
      </w:r>
      <w:r w:rsidR="00AF74D5">
        <w:rPr>
          <w:sz w:val="24"/>
          <w:szCs w:val="24"/>
        </w:rPr>
        <w:t xml:space="preserve">While a maximum cap would be desirable, given that the market equilibrates within the experiment and we are specifically testing a treatment without price caps, we cannot guarantee </w:t>
      </w:r>
      <w:r w:rsidR="00BA2FF0">
        <w:rPr>
          <w:sz w:val="24"/>
          <w:szCs w:val="24"/>
        </w:rPr>
        <w:t xml:space="preserve">that </w:t>
      </w:r>
      <w:r w:rsidR="00AF74D5">
        <w:rPr>
          <w:sz w:val="24"/>
          <w:szCs w:val="24"/>
        </w:rPr>
        <w:t xml:space="preserve">someone </w:t>
      </w:r>
      <w:r w:rsidR="00BA2FF0">
        <w:rPr>
          <w:sz w:val="24"/>
          <w:szCs w:val="24"/>
        </w:rPr>
        <w:t>will</w:t>
      </w:r>
      <w:r w:rsidR="005F1268">
        <w:rPr>
          <w:sz w:val="24"/>
          <w:szCs w:val="24"/>
        </w:rPr>
        <w:t xml:space="preserve"> not</w:t>
      </w:r>
      <w:r w:rsidR="00BA2FF0">
        <w:rPr>
          <w:sz w:val="24"/>
          <w:szCs w:val="24"/>
        </w:rPr>
        <w:t xml:space="preserve"> </w:t>
      </w:r>
      <w:r w:rsidR="00AF74D5">
        <w:rPr>
          <w:sz w:val="24"/>
          <w:szCs w:val="24"/>
        </w:rPr>
        <w:t>earn more than the $50 if we calibrate the E</w:t>
      </w:r>
      <w:r w:rsidR="00B51BD4">
        <w:rPr>
          <w:sz w:val="24"/>
          <w:szCs w:val="24"/>
        </w:rPr>
        <w:t>C</w:t>
      </w:r>
      <w:r w:rsidR="00AF74D5">
        <w:rPr>
          <w:sz w:val="24"/>
          <w:szCs w:val="24"/>
        </w:rPr>
        <w:t xml:space="preserve">Us for a $25 USD average payment.  </w:t>
      </w:r>
      <w:r w:rsidR="00DC604D">
        <w:rPr>
          <w:sz w:val="24"/>
          <w:szCs w:val="24"/>
        </w:rPr>
        <w:t xml:space="preserve">The payments listed here are for the entire </w:t>
      </w:r>
      <w:r w:rsidR="0096213F">
        <w:rPr>
          <w:sz w:val="24"/>
          <w:szCs w:val="24"/>
        </w:rPr>
        <w:t xml:space="preserve">90 minute </w:t>
      </w:r>
      <w:r w:rsidR="00DC604D">
        <w:rPr>
          <w:sz w:val="24"/>
          <w:szCs w:val="24"/>
        </w:rPr>
        <w:t>session, i.e. all auctions</w:t>
      </w:r>
      <w:r w:rsidR="005F1268">
        <w:rPr>
          <w:sz w:val="24"/>
          <w:szCs w:val="24"/>
        </w:rPr>
        <w:t xml:space="preserve"> </w:t>
      </w:r>
      <w:r w:rsidR="00DC604D">
        <w:rPr>
          <w:sz w:val="24"/>
          <w:szCs w:val="24"/>
        </w:rPr>
        <w:t xml:space="preserve">participated in by a given individual.  Although individuals participate in many </w:t>
      </w:r>
      <w:r w:rsidR="00523E93">
        <w:rPr>
          <w:sz w:val="24"/>
          <w:szCs w:val="24"/>
        </w:rPr>
        <w:t xml:space="preserve">rounds </w:t>
      </w:r>
      <w:r w:rsidR="00DC604D">
        <w:rPr>
          <w:sz w:val="24"/>
          <w:szCs w:val="24"/>
        </w:rPr>
        <w:t xml:space="preserve">within a session, individuals are paid at the end of the </w:t>
      </w:r>
      <w:r w:rsidR="0096213F">
        <w:rPr>
          <w:sz w:val="24"/>
          <w:szCs w:val="24"/>
        </w:rPr>
        <w:t xml:space="preserve">90 minute </w:t>
      </w:r>
      <w:r w:rsidR="005F1268">
        <w:rPr>
          <w:sz w:val="24"/>
          <w:szCs w:val="24"/>
        </w:rPr>
        <w:t xml:space="preserve">session </w:t>
      </w:r>
      <w:r w:rsidR="00DC604D">
        <w:rPr>
          <w:sz w:val="24"/>
          <w:szCs w:val="24"/>
        </w:rPr>
        <w:t xml:space="preserve">based on </w:t>
      </w:r>
      <w:r w:rsidR="00163F7F">
        <w:rPr>
          <w:sz w:val="24"/>
          <w:szCs w:val="24"/>
        </w:rPr>
        <w:t xml:space="preserve">2 </w:t>
      </w:r>
      <w:r w:rsidR="00DC604D">
        <w:rPr>
          <w:sz w:val="24"/>
          <w:szCs w:val="24"/>
        </w:rPr>
        <w:t xml:space="preserve">randomly-drawn </w:t>
      </w:r>
      <w:r w:rsidR="00163F7F">
        <w:rPr>
          <w:sz w:val="24"/>
          <w:szCs w:val="24"/>
        </w:rPr>
        <w:t xml:space="preserve">rounds for each auction type </w:t>
      </w:r>
      <w:r w:rsidR="00DC604D">
        <w:rPr>
          <w:sz w:val="24"/>
          <w:szCs w:val="24"/>
        </w:rPr>
        <w:t xml:space="preserve">(for example, in a session </w:t>
      </w:r>
      <w:r w:rsidR="00523E93">
        <w:rPr>
          <w:sz w:val="24"/>
          <w:szCs w:val="24"/>
        </w:rPr>
        <w:t xml:space="preserve">for one treatment </w:t>
      </w:r>
      <w:r w:rsidR="00DC604D">
        <w:rPr>
          <w:sz w:val="24"/>
          <w:szCs w:val="24"/>
        </w:rPr>
        <w:t xml:space="preserve">that includes </w:t>
      </w:r>
      <w:r w:rsidR="00163F7F">
        <w:rPr>
          <w:sz w:val="24"/>
          <w:szCs w:val="24"/>
        </w:rPr>
        <w:t>12</w:t>
      </w:r>
      <w:r w:rsidR="005F1268">
        <w:rPr>
          <w:sz w:val="24"/>
          <w:szCs w:val="24"/>
        </w:rPr>
        <w:t xml:space="preserve"> </w:t>
      </w:r>
      <w:r w:rsidR="00523E93">
        <w:rPr>
          <w:sz w:val="24"/>
          <w:szCs w:val="24"/>
        </w:rPr>
        <w:t>rounds</w:t>
      </w:r>
      <w:r w:rsidR="00DC604D">
        <w:rPr>
          <w:sz w:val="24"/>
          <w:szCs w:val="24"/>
        </w:rPr>
        <w:t xml:space="preserve">, </w:t>
      </w:r>
      <w:r w:rsidR="00163F7F">
        <w:rPr>
          <w:sz w:val="24"/>
          <w:szCs w:val="24"/>
        </w:rPr>
        <w:t xml:space="preserve">experimentalists will </w:t>
      </w:r>
      <w:r w:rsidR="00DC604D">
        <w:rPr>
          <w:sz w:val="24"/>
          <w:szCs w:val="24"/>
        </w:rPr>
        <w:t xml:space="preserve">draw </w:t>
      </w:r>
      <w:r w:rsidR="00163F7F">
        <w:rPr>
          <w:sz w:val="24"/>
          <w:szCs w:val="24"/>
        </w:rPr>
        <w:t>two</w:t>
      </w:r>
      <w:r w:rsidR="005F1268">
        <w:rPr>
          <w:sz w:val="24"/>
          <w:szCs w:val="24"/>
        </w:rPr>
        <w:t xml:space="preserve"> </w:t>
      </w:r>
      <w:r w:rsidR="00523E93">
        <w:rPr>
          <w:sz w:val="24"/>
          <w:szCs w:val="24"/>
        </w:rPr>
        <w:t>rounds</w:t>
      </w:r>
      <w:r w:rsidR="00DC604D">
        <w:rPr>
          <w:sz w:val="24"/>
          <w:szCs w:val="24"/>
        </w:rPr>
        <w:t xml:space="preserve"> at random to be the </w:t>
      </w:r>
      <w:r w:rsidR="005F1268">
        <w:rPr>
          <w:sz w:val="24"/>
          <w:szCs w:val="24"/>
        </w:rPr>
        <w:t xml:space="preserve">auctions </w:t>
      </w:r>
      <w:r w:rsidR="00DC604D">
        <w:rPr>
          <w:sz w:val="24"/>
          <w:szCs w:val="24"/>
        </w:rPr>
        <w:t>on which payment is based</w:t>
      </w:r>
      <w:r w:rsidR="005F1268">
        <w:rPr>
          <w:sz w:val="24"/>
          <w:szCs w:val="24"/>
        </w:rPr>
        <w:t>)</w:t>
      </w:r>
      <w:r w:rsidR="00540AA5">
        <w:rPr>
          <w:sz w:val="24"/>
          <w:szCs w:val="24"/>
        </w:rPr>
        <w:t>.</w:t>
      </w:r>
      <w:r w:rsidR="00DC604D">
        <w:rPr>
          <w:sz w:val="24"/>
          <w:szCs w:val="24"/>
        </w:rPr>
        <w:t xml:space="preserve"> </w:t>
      </w:r>
      <w:r w:rsidR="00540AA5">
        <w:rPr>
          <w:sz w:val="24"/>
          <w:szCs w:val="24"/>
        </w:rPr>
        <w:t xml:space="preserve"> This practice </w:t>
      </w:r>
      <w:r w:rsidR="00DC604D">
        <w:rPr>
          <w:sz w:val="24"/>
          <w:szCs w:val="24"/>
        </w:rPr>
        <w:t xml:space="preserve">prevents any </w:t>
      </w:r>
      <w:r w:rsidR="00DC604D">
        <w:rPr>
          <w:i/>
          <w:sz w:val="24"/>
          <w:szCs w:val="24"/>
        </w:rPr>
        <w:t>wealth effects</w:t>
      </w:r>
      <w:r w:rsidR="00DC604D">
        <w:rPr>
          <w:sz w:val="24"/>
          <w:szCs w:val="24"/>
        </w:rPr>
        <w:t xml:space="preserve"> from distorting the findings of the experiment</w:t>
      </w:r>
      <w:r w:rsidR="00540AA5">
        <w:rPr>
          <w:sz w:val="24"/>
          <w:szCs w:val="24"/>
        </w:rPr>
        <w:t>.</w:t>
      </w:r>
      <w:r w:rsidR="00DC604D">
        <w:rPr>
          <w:rStyle w:val="FootnoteReference"/>
          <w:sz w:val="24"/>
          <w:szCs w:val="24"/>
        </w:rPr>
        <w:footnoteReference w:id="7"/>
      </w:r>
      <w:r w:rsidR="002F34B2">
        <w:rPr>
          <w:sz w:val="24"/>
          <w:szCs w:val="24"/>
        </w:rPr>
        <w:t xml:space="preserve">  This practice is standard in the literature.</w:t>
      </w:r>
      <w:r w:rsidR="00950C89">
        <w:rPr>
          <w:rStyle w:val="FootnoteReference"/>
          <w:sz w:val="24"/>
          <w:szCs w:val="24"/>
        </w:rPr>
        <w:footnoteReference w:id="8"/>
      </w:r>
      <w:r w:rsidR="00163F7F">
        <w:rPr>
          <w:sz w:val="24"/>
          <w:szCs w:val="24"/>
        </w:rPr>
        <w:t xml:space="preserve"> Therefore, their payments will be </w:t>
      </w:r>
      <w:r w:rsidR="00564170">
        <w:rPr>
          <w:sz w:val="24"/>
          <w:szCs w:val="24"/>
        </w:rPr>
        <w:t xml:space="preserve">based on </w:t>
      </w:r>
      <w:r w:rsidR="00163F7F">
        <w:rPr>
          <w:sz w:val="24"/>
          <w:szCs w:val="24"/>
        </w:rPr>
        <w:t xml:space="preserve">the sum of 6 randomly drawn </w:t>
      </w:r>
      <w:r w:rsidR="00DF69C5">
        <w:rPr>
          <w:sz w:val="24"/>
          <w:szCs w:val="24"/>
        </w:rPr>
        <w:t>rounds</w:t>
      </w:r>
      <w:r w:rsidR="00163F7F">
        <w:rPr>
          <w:sz w:val="24"/>
          <w:szCs w:val="24"/>
        </w:rPr>
        <w:t>: 2 per each auction type.</w:t>
      </w:r>
      <w:r w:rsidR="007B4D93">
        <w:rPr>
          <w:sz w:val="24"/>
          <w:szCs w:val="24"/>
        </w:rPr>
        <w:t xml:space="preserve">  The minimum payment will be 7 USD</w:t>
      </w:r>
      <w:r w:rsidR="00581FFE">
        <w:rPr>
          <w:sz w:val="24"/>
          <w:szCs w:val="24"/>
        </w:rPr>
        <w:t xml:space="preserve"> for “showing up”</w:t>
      </w:r>
      <w:r w:rsidR="007B4D93">
        <w:rPr>
          <w:sz w:val="24"/>
          <w:szCs w:val="24"/>
        </w:rPr>
        <w:t>.</w:t>
      </w:r>
    </w:p>
    <w:p w14:paraId="012C77C1" w14:textId="028E8995" w:rsidR="00062007" w:rsidRPr="002F6444" w:rsidRDefault="00062007" w:rsidP="007B4D93">
      <w:pPr>
        <w:pStyle w:val="Num-DocParagraph"/>
        <w:ind w:left="720"/>
        <w:rPr>
          <w:sz w:val="24"/>
          <w:szCs w:val="24"/>
        </w:rPr>
      </w:pPr>
      <w:r>
        <w:rPr>
          <w:sz w:val="24"/>
          <w:szCs w:val="24"/>
        </w:rPr>
        <w:t xml:space="preserve">Experience from the experiment conducted under </w:t>
      </w:r>
      <w:r w:rsidR="0034599B">
        <w:t>CRP Study 1</w:t>
      </w:r>
      <w:r>
        <w:t xml:space="preserve"> suggest average payments of</w:t>
      </w:r>
      <w:r w:rsidR="008E06EA">
        <w:t xml:space="preserve"> $15.</w:t>
      </w:r>
      <w:r>
        <w:t xml:space="preserve"> </w:t>
      </w:r>
    </w:p>
    <w:p w14:paraId="2A83B873" w14:textId="47ED3F0C" w:rsidR="00647E83" w:rsidRDefault="00564170" w:rsidP="00647E83">
      <w:pPr>
        <w:pStyle w:val="Num-DocParagraph"/>
        <w:ind w:left="720"/>
        <w:rPr>
          <w:sz w:val="24"/>
          <w:szCs w:val="24"/>
        </w:rPr>
      </w:pPr>
      <w:r>
        <w:rPr>
          <w:sz w:val="24"/>
          <w:szCs w:val="24"/>
        </w:rPr>
        <w:t xml:space="preserve"> </w:t>
      </w:r>
    </w:p>
    <w:p w14:paraId="0D28CFDF" w14:textId="77777777" w:rsidR="00275D46" w:rsidRDefault="00275D46" w:rsidP="00647E83">
      <w:pPr>
        <w:pStyle w:val="Num-DocParagraph"/>
        <w:ind w:left="720"/>
        <w:rPr>
          <w:sz w:val="24"/>
          <w:szCs w:val="24"/>
        </w:rPr>
      </w:pPr>
    </w:p>
    <w:p w14:paraId="6A511671" w14:textId="77777777" w:rsidR="00275D46" w:rsidRDefault="00275D46" w:rsidP="00647E83">
      <w:pPr>
        <w:pStyle w:val="Num-DocParagraph"/>
        <w:ind w:left="720"/>
        <w:rPr>
          <w:sz w:val="24"/>
          <w:szCs w:val="24"/>
        </w:rPr>
      </w:pPr>
    </w:p>
    <w:p w14:paraId="64509BA3" w14:textId="77777777" w:rsidR="00275D46" w:rsidRDefault="00275D46" w:rsidP="00647E83">
      <w:pPr>
        <w:pStyle w:val="Num-DocParagraph"/>
        <w:ind w:left="720"/>
        <w:rPr>
          <w:sz w:val="24"/>
          <w:szCs w:val="24"/>
        </w:rPr>
      </w:pPr>
    </w:p>
    <w:p w14:paraId="36E19E21" w14:textId="77777777" w:rsidR="00DF69C5" w:rsidRDefault="00DF69C5" w:rsidP="00DF69C5">
      <w:pPr>
        <w:ind w:left="720"/>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DF69C5" w14:paraId="20D814F2" w14:textId="77777777" w:rsidTr="003E150F">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7C3A5F" w14:textId="77777777" w:rsidR="00DF69C5" w:rsidRPr="007F338C" w:rsidRDefault="00DF69C5" w:rsidP="003E150F">
            <w:pPr>
              <w:jc w:val="center"/>
              <w:rPr>
                <w:b/>
                <w:bCs/>
                <w:color w:val="000000"/>
              </w:rPr>
            </w:pPr>
            <w:r w:rsidRPr="008058FA">
              <w:rPr>
                <w:b/>
                <w:bCs/>
                <w:color w:val="000000"/>
              </w:rPr>
              <w:lastRenderedPageBreak/>
              <w:t>Table 1</w:t>
            </w:r>
            <w:r w:rsidRPr="007F338C">
              <w:rPr>
                <w:b/>
                <w:bCs/>
                <w:color w:val="000000"/>
              </w:rPr>
              <w:t>. Experimental Design</w:t>
            </w:r>
          </w:p>
        </w:tc>
      </w:tr>
      <w:tr w:rsidR="00DF69C5" w14:paraId="3C9F02DE" w14:textId="77777777" w:rsidTr="003E150F">
        <w:trPr>
          <w:trHeight w:val="585"/>
        </w:trPr>
        <w:tc>
          <w:tcPr>
            <w:tcW w:w="881" w:type="dxa"/>
            <w:tcBorders>
              <w:top w:val="nil"/>
              <w:left w:val="single" w:sz="4" w:space="0" w:color="auto"/>
              <w:bottom w:val="single" w:sz="4" w:space="0" w:color="auto"/>
              <w:right w:val="nil"/>
            </w:tcBorders>
            <w:shd w:val="clear" w:color="auto" w:fill="auto"/>
            <w:noWrap/>
            <w:vAlign w:val="bottom"/>
            <w:hideMark/>
          </w:tcPr>
          <w:p w14:paraId="1CA857DD" w14:textId="77777777" w:rsidR="00DF69C5" w:rsidRPr="007F338C" w:rsidRDefault="00DF69C5" w:rsidP="003E150F">
            <w:pPr>
              <w:rPr>
                <w:rFonts w:ascii="Calibri" w:hAnsi="Calibri"/>
                <w:color w:val="000000"/>
              </w:rPr>
            </w:pPr>
            <w:r w:rsidRPr="007F338C">
              <w:rPr>
                <w:rFonts w:ascii="Calibri" w:hAnsi="Calibri"/>
                <w:color w:val="000000"/>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013F8BDC" w14:textId="77777777" w:rsidR="00DF69C5" w:rsidRPr="007F338C" w:rsidRDefault="00DF69C5" w:rsidP="003E150F">
            <w:pPr>
              <w:rPr>
                <w:rFonts w:ascii="Calibri" w:hAnsi="Calibri"/>
                <w:color w:val="000000"/>
              </w:rPr>
            </w:pPr>
            <w:r w:rsidRPr="007F338C">
              <w:rPr>
                <w:rFonts w:ascii="Calibri" w:hAnsi="Calibri"/>
                <w:color w:val="000000"/>
              </w:rPr>
              <w:t>Treatment</w:t>
            </w:r>
            <w:r w:rsidRPr="007F338C">
              <w:rPr>
                <w:rFonts w:ascii="Calibri" w:hAnsi="Calibri"/>
                <w:color w:val="000000"/>
                <w:vertAlign w:val="superscript"/>
              </w:rPr>
              <w:t>*</w:t>
            </w:r>
          </w:p>
        </w:tc>
        <w:tc>
          <w:tcPr>
            <w:tcW w:w="1788" w:type="dxa"/>
            <w:tcBorders>
              <w:top w:val="nil"/>
              <w:left w:val="nil"/>
              <w:bottom w:val="single" w:sz="4" w:space="0" w:color="auto"/>
              <w:right w:val="nil"/>
            </w:tcBorders>
            <w:shd w:val="clear" w:color="auto" w:fill="auto"/>
            <w:vAlign w:val="bottom"/>
            <w:hideMark/>
          </w:tcPr>
          <w:p w14:paraId="7DE530D7" w14:textId="77777777" w:rsidR="00DF69C5" w:rsidRPr="007F338C" w:rsidRDefault="00DF69C5" w:rsidP="003E150F">
            <w:pPr>
              <w:rPr>
                <w:color w:val="000000"/>
              </w:rPr>
            </w:pPr>
            <w:r w:rsidRPr="007F338C">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5C8F919B" w14:textId="77777777" w:rsidR="00DF69C5" w:rsidRPr="007F338C" w:rsidRDefault="00DF69C5" w:rsidP="003E150F">
            <w:pPr>
              <w:rPr>
                <w:rFonts w:ascii="Calibri" w:hAnsi="Calibri"/>
                <w:color w:val="000000"/>
              </w:rPr>
            </w:pPr>
            <w:r w:rsidRPr="007F338C">
              <w:rPr>
                <w:rFonts w:ascii="Calibri" w:hAnsi="Calibri"/>
                <w:color w:val="000000"/>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14:paraId="0AD1C319" w14:textId="54BDBB9B" w:rsidR="00DF69C5" w:rsidRPr="007F338C" w:rsidRDefault="00DF69C5" w:rsidP="003E72F9">
            <w:pPr>
              <w:rPr>
                <w:rFonts w:ascii="Calibri" w:hAnsi="Calibri"/>
                <w:color w:val="000000"/>
              </w:rPr>
            </w:pPr>
            <w:r w:rsidRPr="007F338C">
              <w:rPr>
                <w:rFonts w:ascii="Calibri" w:hAnsi="Calibri"/>
                <w:color w:val="000000"/>
              </w:rPr>
              <w:t>Time (in minutes)</w:t>
            </w:r>
          </w:p>
        </w:tc>
        <w:tc>
          <w:tcPr>
            <w:tcW w:w="1431" w:type="dxa"/>
            <w:tcBorders>
              <w:top w:val="nil"/>
              <w:left w:val="nil"/>
              <w:bottom w:val="single" w:sz="4" w:space="0" w:color="auto"/>
              <w:right w:val="single" w:sz="4" w:space="0" w:color="auto"/>
            </w:tcBorders>
            <w:shd w:val="clear" w:color="auto" w:fill="auto"/>
            <w:vAlign w:val="bottom"/>
            <w:hideMark/>
          </w:tcPr>
          <w:p w14:paraId="2C365D1E" w14:textId="77777777" w:rsidR="00DF69C5" w:rsidRPr="007F338C" w:rsidRDefault="00DF69C5" w:rsidP="003E150F">
            <w:pPr>
              <w:rPr>
                <w:rFonts w:ascii="Calibri" w:hAnsi="Calibri"/>
                <w:color w:val="000000"/>
              </w:rPr>
            </w:pPr>
            <w:r w:rsidRPr="007F338C">
              <w:rPr>
                <w:rFonts w:ascii="Calibri" w:hAnsi="Calibri"/>
                <w:color w:val="000000"/>
              </w:rPr>
              <w:t># of participants</w:t>
            </w:r>
          </w:p>
        </w:tc>
      </w:tr>
      <w:tr w:rsidR="00DF69C5" w14:paraId="44ACF897"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3B3DD69D" w14:textId="77777777" w:rsidR="00DF69C5" w:rsidRPr="007F338C" w:rsidRDefault="00DF69C5" w:rsidP="003E150F">
            <w:pPr>
              <w:jc w:val="center"/>
              <w:rPr>
                <w:rFonts w:ascii="Calibri" w:hAnsi="Calibri"/>
                <w:color w:val="000000"/>
              </w:rPr>
            </w:pPr>
            <w:r w:rsidRPr="007F338C">
              <w:rPr>
                <w:rFonts w:ascii="Calibri" w:hAnsi="Calibri"/>
                <w:color w:val="000000"/>
              </w:rPr>
              <w:t>1</w:t>
            </w:r>
          </w:p>
        </w:tc>
        <w:tc>
          <w:tcPr>
            <w:tcW w:w="1263" w:type="dxa"/>
            <w:tcBorders>
              <w:top w:val="nil"/>
              <w:left w:val="single" w:sz="4" w:space="0" w:color="auto"/>
              <w:bottom w:val="nil"/>
              <w:right w:val="single" w:sz="4" w:space="0" w:color="auto"/>
            </w:tcBorders>
            <w:shd w:val="clear" w:color="auto" w:fill="auto"/>
            <w:noWrap/>
            <w:vAlign w:val="bottom"/>
            <w:hideMark/>
          </w:tcPr>
          <w:p w14:paraId="4E5F2851" w14:textId="77777777" w:rsidR="00DF69C5" w:rsidRPr="007F338C" w:rsidRDefault="00DF69C5" w:rsidP="003E150F">
            <w:pPr>
              <w:jc w:val="center"/>
              <w:rPr>
                <w:rFonts w:ascii="Calibri" w:hAnsi="Calibri"/>
                <w:color w:val="000000"/>
              </w:rPr>
            </w:pPr>
            <w:r w:rsidRPr="007F338C">
              <w:rPr>
                <w:rFonts w:ascii="Calibri" w:hAnsi="Calibri"/>
                <w:color w:val="000000"/>
              </w:rPr>
              <w:t>1,2,3</w:t>
            </w:r>
          </w:p>
        </w:tc>
        <w:tc>
          <w:tcPr>
            <w:tcW w:w="1788" w:type="dxa"/>
            <w:tcBorders>
              <w:top w:val="nil"/>
              <w:left w:val="nil"/>
              <w:bottom w:val="nil"/>
              <w:right w:val="nil"/>
            </w:tcBorders>
            <w:shd w:val="clear" w:color="auto" w:fill="auto"/>
            <w:noWrap/>
            <w:vAlign w:val="bottom"/>
            <w:hideMark/>
          </w:tcPr>
          <w:p w14:paraId="339A78C1"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481748F9"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40574F86"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7092A410"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120F610"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3AC99F95" w14:textId="77777777" w:rsidR="00DF69C5" w:rsidRPr="007F338C" w:rsidRDefault="00DF69C5" w:rsidP="003E150F">
            <w:pPr>
              <w:jc w:val="center"/>
              <w:rPr>
                <w:rFonts w:ascii="Calibri" w:hAnsi="Calibri"/>
                <w:color w:val="000000"/>
              </w:rPr>
            </w:pPr>
            <w:r w:rsidRPr="007F338C">
              <w:rPr>
                <w:rFonts w:ascii="Calibri" w:hAnsi="Calibri"/>
                <w:color w:val="000000"/>
              </w:rPr>
              <w:t>2</w:t>
            </w:r>
          </w:p>
        </w:tc>
        <w:tc>
          <w:tcPr>
            <w:tcW w:w="1263" w:type="dxa"/>
            <w:tcBorders>
              <w:top w:val="nil"/>
              <w:left w:val="single" w:sz="4" w:space="0" w:color="auto"/>
              <w:bottom w:val="nil"/>
              <w:right w:val="single" w:sz="4" w:space="0" w:color="auto"/>
            </w:tcBorders>
            <w:shd w:val="clear" w:color="auto" w:fill="auto"/>
            <w:noWrap/>
            <w:vAlign w:val="bottom"/>
            <w:hideMark/>
          </w:tcPr>
          <w:p w14:paraId="63FBF217" w14:textId="77777777" w:rsidR="00DF69C5" w:rsidRPr="007F338C" w:rsidRDefault="00DF69C5" w:rsidP="003E150F">
            <w:pPr>
              <w:jc w:val="center"/>
              <w:rPr>
                <w:rFonts w:ascii="Calibri" w:hAnsi="Calibri"/>
                <w:color w:val="000000"/>
              </w:rPr>
            </w:pPr>
            <w:r w:rsidRPr="007F338C">
              <w:rPr>
                <w:rFonts w:ascii="Calibri" w:hAnsi="Calibri"/>
                <w:color w:val="000000"/>
              </w:rPr>
              <w:t>1,2,4</w:t>
            </w:r>
          </w:p>
        </w:tc>
        <w:tc>
          <w:tcPr>
            <w:tcW w:w="1788" w:type="dxa"/>
            <w:tcBorders>
              <w:top w:val="nil"/>
              <w:left w:val="nil"/>
              <w:bottom w:val="nil"/>
              <w:right w:val="nil"/>
            </w:tcBorders>
            <w:shd w:val="clear" w:color="auto" w:fill="auto"/>
            <w:noWrap/>
            <w:vAlign w:val="bottom"/>
            <w:hideMark/>
          </w:tcPr>
          <w:p w14:paraId="538349D3"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6EB40BF3"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0C3B637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5D646FC6"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215E2068"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188CBCAD" w14:textId="77777777" w:rsidR="00DF69C5" w:rsidRPr="007F338C" w:rsidRDefault="00DF69C5" w:rsidP="003E150F">
            <w:pPr>
              <w:jc w:val="center"/>
              <w:rPr>
                <w:rFonts w:ascii="Calibri" w:hAnsi="Calibri"/>
                <w:color w:val="000000"/>
              </w:rPr>
            </w:pPr>
            <w:r w:rsidRPr="007F338C">
              <w:rPr>
                <w:rFonts w:ascii="Calibri" w:hAnsi="Calibri"/>
                <w:color w:val="000000"/>
              </w:rPr>
              <w:t>3</w:t>
            </w:r>
          </w:p>
        </w:tc>
        <w:tc>
          <w:tcPr>
            <w:tcW w:w="1263" w:type="dxa"/>
            <w:tcBorders>
              <w:top w:val="nil"/>
              <w:left w:val="single" w:sz="4" w:space="0" w:color="auto"/>
              <w:bottom w:val="nil"/>
              <w:right w:val="single" w:sz="4" w:space="0" w:color="auto"/>
            </w:tcBorders>
            <w:shd w:val="clear" w:color="auto" w:fill="auto"/>
            <w:noWrap/>
            <w:vAlign w:val="bottom"/>
            <w:hideMark/>
          </w:tcPr>
          <w:p w14:paraId="6A2EEBDF" w14:textId="77777777" w:rsidR="00DF69C5" w:rsidRPr="007F338C" w:rsidRDefault="00DF69C5" w:rsidP="003E150F">
            <w:pPr>
              <w:jc w:val="center"/>
              <w:rPr>
                <w:rFonts w:ascii="Calibri" w:hAnsi="Calibri"/>
                <w:color w:val="000000"/>
              </w:rPr>
            </w:pPr>
            <w:r w:rsidRPr="007F338C">
              <w:rPr>
                <w:rFonts w:ascii="Calibri" w:hAnsi="Calibri"/>
                <w:color w:val="000000"/>
              </w:rPr>
              <w:t>1,2,5</w:t>
            </w:r>
          </w:p>
        </w:tc>
        <w:tc>
          <w:tcPr>
            <w:tcW w:w="1788" w:type="dxa"/>
            <w:tcBorders>
              <w:top w:val="nil"/>
              <w:left w:val="nil"/>
              <w:bottom w:val="nil"/>
              <w:right w:val="nil"/>
            </w:tcBorders>
            <w:shd w:val="clear" w:color="auto" w:fill="auto"/>
            <w:noWrap/>
            <w:vAlign w:val="bottom"/>
            <w:hideMark/>
          </w:tcPr>
          <w:p w14:paraId="251BBE9A"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346BE5B3"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2A57D00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05D39740"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9F795FE"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330E0B6D" w14:textId="77777777" w:rsidR="00DF69C5" w:rsidRPr="007F338C" w:rsidRDefault="00DF69C5" w:rsidP="003E150F">
            <w:pPr>
              <w:jc w:val="center"/>
              <w:rPr>
                <w:rFonts w:ascii="Calibri" w:hAnsi="Calibri"/>
                <w:color w:val="000000"/>
              </w:rPr>
            </w:pPr>
            <w:r w:rsidRPr="007F338C">
              <w:rPr>
                <w:rFonts w:ascii="Calibri" w:hAnsi="Calibri"/>
                <w:color w:val="000000"/>
              </w:rPr>
              <w:t>4</w:t>
            </w:r>
          </w:p>
        </w:tc>
        <w:tc>
          <w:tcPr>
            <w:tcW w:w="1263" w:type="dxa"/>
            <w:tcBorders>
              <w:top w:val="nil"/>
              <w:left w:val="single" w:sz="4" w:space="0" w:color="auto"/>
              <w:bottom w:val="nil"/>
              <w:right w:val="single" w:sz="4" w:space="0" w:color="auto"/>
            </w:tcBorders>
            <w:shd w:val="clear" w:color="auto" w:fill="auto"/>
            <w:noWrap/>
            <w:vAlign w:val="bottom"/>
          </w:tcPr>
          <w:p w14:paraId="3CD91FAD" w14:textId="77777777" w:rsidR="00DF69C5" w:rsidRPr="007F338C" w:rsidRDefault="00DF69C5" w:rsidP="003E150F">
            <w:pPr>
              <w:jc w:val="center"/>
              <w:rPr>
                <w:rFonts w:ascii="Calibri" w:hAnsi="Calibri"/>
                <w:color w:val="000000"/>
              </w:rPr>
            </w:pPr>
            <w:r w:rsidRPr="007F338C">
              <w:rPr>
                <w:rFonts w:ascii="Calibri" w:hAnsi="Calibri"/>
                <w:color w:val="000000"/>
              </w:rPr>
              <w:t>1,3,4</w:t>
            </w:r>
          </w:p>
        </w:tc>
        <w:tc>
          <w:tcPr>
            <w:tcW w:w="1788" w:type="dxa"/>
            <w:tcBorders>
              <w:top w:val="nil"/>
              <w:left w:val="nil"/>
              <w:bottom w:val="nil"/>
              <w:right w:val="nil"/>
            </w:tcBorders>
            <w:shd w:val="clear" w:color="auto" w:fill="auto"/>
            <w:noWrap/>
            <w:vAlign w:val="bottom"/>
          </w:tcPr>
          <w:p w14:paraId="70A109D5"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D033659"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2F48EBD8"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1B8C8C85"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0F02FF05"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2A421CA6" w14:textId="77777777" w:rsidR="00DF69C5" w:rsidRPr="007F338C" w:rsidRDefault="00DF69C5" w:rsidP="003E150F">
            <w:pPr>
              <w:jc w:val="center"/>
              <w:rPr>
                <w:rFonts w:ascii="Calibri" w:hAnsi="Calibri"/>
                <w:color w:val="000000"/>
              </w:rPr>
            </w:pPr>
            <w:r w:rsidRPr="007F338C">
              <w:rPr>
                <w:rFonts w:ascii="Calibri" w:hAnsi="Calibri"/>
                <w:color w:val="000000"/>
              </w:rPr>
              <w:t>5</w:t>
            </w:r>
          </w:p>
        </w:tc>
        <w:tc>
          <w:tcPr>
            <w:tcW w:w="1263" w:type="dxa"/>
            <w:tcBorders>
              <w:top w:val="nil"/>
              <w:left w:val="single" w:sz="4" w:space="0" w:color="auto"/>
              <w:bottom w:val="nil"/>
              <w:right w:val="single" w:sz="4" w:space="0" w:color="auto"/>
            </w:tcBorders>
            <w:shd w:val="clear" w:color="auto" w:fill="auto"/>
            <w:noWrap/>
            <w:vAlign w:val="bottom"/>
          </w:tcPr>
          <w:p w14:paraId="4551CB05" w14:textId="77777777" w:rsidR="00DF69C5" w:rsidRPr="007F338C" w:rsidRDefault="00DF69C5" w:rsidP="003E150F">
            <w:pPr>
              <w:jc w:val="center"/>
              <w:rPr>
                <w:rFonts w:ascii="Calibri" w:hAnsi="Calibri"/>
                <w:color w:val="000000"/>
              </w:rPr>
            </w:pPr>
            <w:r w:rsidRPr="007F338C">
              <w:rPr>
                <w:rFonts w:ascii="Calibri" w:hAnsi="Calibri"/>
                <w:color w:val="000000"/>
              </w:rPr>
              <w:t>1,3,5</w:t>
            </w:r>
          </w:p>
        </w:tc>
        <w:tc>
          <w:tcPr>
            <w:tcW w:w="1788" w:type="dxa"/>
            <w:tcBorders>
              <w:top w:val="nil"/>
              <w:left w:val="nil"/>
              <w:bottom w:val="nil"/>
              <w:right w:val="nil"/>
            </w:tcBorders>
            <w:shd w:val="clear" w:color="auto" w:fill="auto"/>
            <w:noWrap/>
            <w:vAlign w:val="bottom"/>
          </w:tcPr>
          <w:p w14:paraId="6DE659E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3914D481"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6F2938FE"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1B7C6A34"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B50F0AD"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00FE2A27" w14:textId="77777777" w:rsidR="00DF69C5" w:rsidRPr="007F338C" w:rsidRDefault="00DF69C5" w:rsidP="003E150F">
            <w:pPr>
              <w:jc w:val="center"/>
              <w:rPr>
                <w:rFonts w:ascii="Calibri" w:hAnsi="Calibri"/>
                <w:color w:val="000000"/>
              </w:rPr>
            </w:pPr>
            <w:r w:rsidRPr="007F338C">
              <w:rPr>
                <w:rFonts w:ascii="Calibri" w:hAnsi="Calibri"/>
                <w:color w:val="000000"/>
              </w:rPr>
              <w:t>6</w:t>
            </w:r>
          </w:p>
        </w:tc>
        <w:tc>
          <w:tcPr>
            <w:tcW w:w="1263" w:type="dxa"/>
            <w:tcBorders>
              <w:top w:val="nil"/>
              <w:left w:val="single" w:sz="4" w:space="0" w:color="auto"/>
              <w:bottom w:val="nil"/>
              <w:right w:val="single" w:sz="4" w:space="0" w:color="auto"/>
            </w:tcBorders>
            <w:shd w:val="clear" w:color="auto" w:fill="auto"/>
            <w:noWrap/>
            <w:vAlign w:val="bottom"/>
          </w:tcPr>
          <w:p w14:paraId="31A3CAA6" w14:textId="77777777" w:rsidR="00DF69C5" w:rsidRPr="007F338C" w:rsidRDefault="00DF69C5" w:rsidP="003E150F">
            <w:pPr>
              <w:jc w:val="center"/>
              <w:rPr>
                <w:rFonts w:ascii="Calibri" w:hAnsi="Calibri"/>
                <w:color w:val="000000"/>
              </w:rPr>
            </w:pPr>
            <w:r w:rsidRPr="007F338C">
              <w:rPr>
                <w:rFonts w:ascii="Calibri" w:hAnsi="Calibri"/>
                <w:color w:val="000000"/>
              </w:rPr>
              <w:t>1,4,5</w:t>
            </w:r>
          </w:p>
        </w:tc>
        <w:tc>
          <w:tcPr>
            <w:tcW w:w="1788" w:type="dxa"/>
            <w:tcBorders>
              <w:top w:val="nil"/>
              <w:left w:val="nil"/>
              <w:bottom w:val="nil"/>
              <w:right w:val="nil"/>
            </w:tcBorders>
            <w:shd w:val="clear" w:color="auto" w:fill="auto"/>
            <w:noWrap/>
            <w:vAlign w:val="bottom"/>
          </w:tcPr>
          <w:p w14:paraId="73A209C9"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2A5E544D"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7FD4DBD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2401FCEE"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41E8108B"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6B2E2238" w14:textId="77777777" w:rsidR="00DF69C5" w:rsidRPr="007F338C" w:rsidRDefault="00DF69C5" w:rsidP="003E150F">
            <w:pPr>
              <w:jc w:val="center"/>
              <w:rPr>
                <w:rFonts w:ascii="Calibri" w:hAnsi="Calibri"/>
                <w:color w:val="000000"/>
              </w:rPr>
            </w:pPr>
            <w:r w:rsidRPr="007F338C">
              <w:rPr>
                <w:rFonts w:ascii="Calibri" w:hAnsi="Calibri"/>
                <w:color w:val="000000"/>
              </w:rPr>
              <w:t>7</w:t>
            </w:r>
          </w:p>
        </w:tc>
        <w:tc>
          <w:tcPr>
            <w:tcW w:w="1263" w:type="dxa"/>
            <w:tcBorders>
              <w:top w:val="nil"/>
              <w:left w:val="single" w:sz="4" w:space="0" w:color="auto"/>
              <w:bottom w:val="nil"/>
              <w:right w:val="single" w:sz="4" w:space="0" w:color="auto"/>
            </w:tcBorders>
            <w:shd w:val="clear" w:color="auto" w:fill="auto"/>
            <w:noWrap/>
            <w:vAlign w:val="bottom"/>
          </w:tcPr>
          <w:p w14:paraId="63E3A478" w14:textId="77777777" w:rsidR="00DF69C5" w:rsidRPr="007F338C" w:rsidRDefault="00DF69C5" w:rsidP="003E150F">
            <w:pPr>
              <w:jc w:val="center"/>
              <w:rPr>
                <w:rFonts w:ascii="Calibri" w:hAnsi="Calibri"/>
                <w:color w:val="000000"/>
              </w:rPr>
            </w:pPr>
            <w:r w:rsidRPr="007F338C">
              <w:rPr>
                <w:rFonts w:ascii="Calibri" w:hAnsi="Calibri"/>
                <w:color w:val="000000"/>
              </w:rPr>
              <w:t>1,2,3</w:t>
            </w:r>
          </w:p>
        </w:tc>
        <w:tc>
          <w:tcPr>
            <w:tcW w:w="1788" w:type="dxa"/>
            <w:tcBorders>
              <w:top w:val="nil"/>
              <w:left w:val="nil"/>
              <w:bottom w:val="nil"/>
              <w:right w:val="nil"/>
            </w:tcBorders>
            <w:shd w:val="clear" w:color="auto" w:fill="auto"/>
            <w:noWrap/>
            <w:vAlign w:val="center"/>
          </w:tcPr>
          <w:p w14:paraId="2F297F9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61172B7"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466AB7AA"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0714BECA"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3FFE8AE1"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7ECF7112" w14:textId="77777777" w:rsidR="00DF69C5" w:rsidRPr="007F338C" w:rsidRDefault="00DF69C5" w:rsidP="003E150F">
            <w:pPr>
              <w:jc w:val="center"/>
              <w:rPr>
                <w:rFonts w:ascii="Calibri" w:hAnsi="Calibri"/>
                <w:color w:val="000000"/>
              </w:rPr>
            </w:pPr>
            <w:r w:rsidRPr="007F338C">
              <w:rPr>
                <w:rFonts w:ascii="Calibri" w:hAnsi="Calibri"/>
                <w:color w:val="000000"/>
              </w:rPr>
              <w:t>8</w:t>
            </w:r>
          </w:p>
        </w:tc>
        <w:tc>
          <w:tcPr>
            <w:tcW w:w="1263" w:type="dxa"/>
            <w:tcBorders>
              <w:top w:val="nil"/>
              <w:left w:val="single" w:sz="4" w:space="0" w:color="auto"/>
              <w:bottom w:val="nil"/>
              <w:right w:val="single" w:sz="4" w:space="0" w:color="auto"/>
            </w:tcBorders>
            <w:shd w:val="clear" w:color="auto" w:fill="auto"/>
            <w:noWrap/>
            <w:vAlign w:val="bottom"/>
          </w:tcPr>
          <w:p w14:paraId="7731B1CD" w14:textId="77777777" w:rsidR="00DF69C5" w:rsidRPr="007F338C" w:rsidRDefault="00DF69C5" w:rsidP="003E150F">
            <w:pPr>
              <w:jc w:val="center"/>
              <w:rPr>
                <w:rFonts w:ascii="Calibri" w:hAnsi="Calibri"/>
                <w:color w:val="000000"/>
              </w:rPr>
            </w:pPr>
            <w:r w:rsidRPr="007F338C">
              <w:rPr>
                <w:rFonts w:ascii="Calibri" w:hAnsi="Calibri"/>
                <w:color w:val="000000"/>
              </w:rPr>
              <w:t>1,2,4</w:t>
            </w:r>
          </w:p>
        </w:tc>
        <w:tc>
          <w:tcPr>
            <w:tcW w:w="1788" w:type="dxa"/>
            <w:tcBorders>
              <w:top w:val="nil"/>
              <w:left w:val="nil"/>
              <w:bottom w:val="nil"/>
              <w:right w:val="nil"/>
            </w:tcBorders>
            <w:shd w:val="clear" w:color="auto" w:fill="auto"/>
            <w:noWrap/>
            <w:vAlign w:val="center"/>
          </w:tcPr>
          <w:p w14:paraId="487F05D3"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4C0F4F56"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02636E5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3B8D8A47"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5202976A"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2322B65A" w14:textId="77777777" w:rsidR="00DF69C5" w:rsidRPr="007F338C" w:rsidRDefault="00DF69C5" w:rsidP="003E150F">
            <w:pPr>
              <w:jc w:val="center"/>
              <w:rPr>
                <w:rFonts w:ascii="Calibri" w:hAnsi="Calibri"/>
                <w:color w:val="000000"/>
              </w:rPr>
            </w:pPr>
            <w:r w:rsidRPr="007F338C">
              <w:rPr>
                <w:rFonts w:ascii="Calibri" w:hAnsi="Calibri"/>
                <w:color w:val="000000"/>
              </w:rPr>
              <w:t>9</w:t>
            </w:r>
          </w:p>
        </w:tc>
        <w:tc>
          <w:tcPr>
            <w:tcW w:w="1263" w:type="dxa"/>
            <w:tcBorders>
              <w:top w:val="nil"/>
              <w:left w:val="single" w:sz="4" w:space="0" w:color="auto"/>
              <w:bottom w:val="nil"/>
              <w:right w:val="single" w:sz="4" w:space="0" w:color="auto"/>
            </w:tcBorders>
            <w:shd w:val="clear" w:color="auto" w:fill="auto"/>
            <w:noWrap/>
            <w:vAlign w:val="bottom"/>
          </w:tcPr>
          <w:p w14:paraId="05BA61A8" w14:textId="77777777" w:rsidR="00DF69C5" w:rsidRPr="007F338C" w:rsidRDefault="00DF69C5" w:rsidP="003E150F">
            <w:pPr>
              <w:jc w:val="center"/>
              <w:rPr>
                <w:rFonts w:ascii="Calibri" w:hAnsi="Calibri"/>
                <w:color w:val="000000"/>
              </w:rPr>
            </w:pPr>
            <w:r w:rsidRPr="007F338C">
              <w:rPr>
                <w:rFonts w:ascii="Calibri" w:hAnsi="Calibri"/>
                <w:color w:val="000000"/>
              </w:rPr>
              <w:t>1,2,5</w:t>
            </w:r>
          </w:p>
        </w:tc>
        <w:tc>
          <w:tcPr>
            <w:tcW w:w="1788" w:type="dxa"/>
            <w:tcBorders>
              <w:top w:val="nil"/>
              <w:left w:val="nil"/>
              <w:bottom w:val="nil"/>
              <w:right w:val="nil"/>
            </w:tcBorders>
            <w:shd w:val="clear" w:color="auto" w:fill="auto"/>
            <w:noWrap/>
            <w:vAlign w:val="center"/>
          </w:tcPr>
          <w:p w14:paraId="5A411E08"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0F29F4FF"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57A8972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79BC908E"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28AF965D"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487792B3" w14:textId="77777777" w:rsidR="00DF69C5" w:rsidRPr="007F338C" w:rsidRDefault="00DF69C5" w:rsidP="003E150F">
            <w:pPr>
              <w:jc w:val="center"/>
              <w:rPr>
                <w:rFonts w:ascii="Calibri" w:hAnsi="Calibri"/>
                <w:color w:val="000000"/>
              </w:rPr>
            </w:pPr>
            <w:r w:rsidRPr="007F338C">
              <w:rPr>
                <w:rFonts w:ascii="Calibri" w:hAnsi="Calibri"/>
                <w:color w:val="000000"/>
              </w:rPr>
              <w:t>10</w:t>
            </w:r>
          </w:p>
        </w:tc>
        <w:tc>
          <w:tcPr>
            <w:tcW w:w="1263" w:type="dxa"/>
            <w:tcBorders>
              <w:top w:val="nil"/>
              <w:left w:val="single" w:sz="4" w:space="0" w:color="auto"/>
              <w:bottom w:val="nil"/>
              <w:right w:val="single" w:sz="4" w:space="0" w:color="auto"/>
            </w:tcBorders>
            <w:shd w:val="clear" w:color="auto" w:fill="auto"/>
            <w:noWrap/>
            <w:vAlign w:val="bottom"/>
          </w:tcPr>
          <w:p w14:paraId="2E43CB06" w14:textId="77777777" w:rsidR="00DF69C5" w:rsidRPr="007F338C" w:rsidRDefault="00DF69C5" w:rsidP="003E150F">
            <w:pPr>
              <w:jc w:val="center"/>
              <w:rPr>
                <w:rFonts w:ascii="Calibri" w:hAnsi="Calibri"/>
                <w:color w:val="000000"/>
              </w:rPr>
            </w:pPr>
            <w:r w:rsidRPr="007F338C">
              <w:rPr>
                <w:rFonts w:ascii="Calibri" w:hAnsi="Calibri"/>
                <w:color w:val="000000"/>
              </w:rPr>
              <w:t>1,3,4</w:t>
            </w:r>
          </w:p>
        </w:tc>
        <w:tc>
          <w:tcPr>
            <w:tcW w:w="1788" w:type="dxa"/>
            <w:tcBorders>
              <w:top w:val="nil"/>
              <w:left w:val="nil"/>
              <w:bottom w:val="nil"/>
              <w:right w:val="nil"/>
            </w:tcBorders>
            <w:shd w:val="clear" w:color="auto" w:fill="auto"/>
            <w:noWrap/>
            <w:vAlign w:val="center"/>
          </w:tcPr>
          <w:p w14:paraId="79D07187"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4CA04BC4"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3C87847B"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35F23A33"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166AE857"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73282D79" w14:textId="77777777" w:rsidR="00DF69C5" w:rsidRPr="007F338C" w:rsidRDefault="00DF69C5" w:rsidP="003E150F">
            <w:pPr>
              <w:jc w:val="center"/>
              <w:rPr>
                <w:rFonts w:ascii="Calibri" w:hAnsi="Calibri"/>
                <w:color w:val="000000"/>
              </w:rPr>
            </w:pPr>
            <w:r w:rsidRPr="007F338C">
              <w:rPr>
                <w:rFonts w:ascii="Calibri" w:hAnsi="Calibri"/>
                <w:color w:val="000000"/>
              </w:rPr>
              <w:t>11</w:t>
            </w:r>
          </w:p>
        </w:tc>
        <w:tc>
          <w:tcPr>
            <w:tcW w:w="1263" w:type="dxa"/>
            <w:tcBorders>
              <w:top w:val="nil"/>
              <w:left w:val="single" w:sz="4" w:space="0" w:color="auto"/>
              <w:bottom w:val="nil"/>
              <w:right w:val="single" w:sz="4" w:space="0" w:color="auto"/>
            </w:tcBorders>
            <w:shd w:val="clear" w:color="auto" w:fill="auto"/>
            <w:noWrap/>
            <w:vAlign w:val="bottom"/>
          </w:tcPr>
          <w:p w14:paraId="676563EE" w14:textId="77777777" w:rsidR="00DF69C5" w:rsidRPr="007F338C" w:rsidRDefault="00DF69C5" w:rsidP="003E150F">
            <w:pPr>
              <w:jc w:val="center"/>
              <w:rPr>
                <w:rFonts w:ascii="Calibri" w:hAnsi="Calibri"/>
                <w:color w:val="000000"/>
              </w:rPr>
            </w:pPr>
            <w:r w:rsidRPr="007F338C">
              <w:rPr>
                <w:rFonts w:ascii="Calibri" w:hAnsi="Calibri"/>
                <w:color w:val="000000"/>
              </w:rPr>
              <w:t>1,3,5</w:t>
            </w:r>
          </w:p>
        </w:tc>
        <w:tc>
          <w:tcPr>
            <w:tcW w:w="1788" w:type="dxa"/>
            <w:tcBorders>
              <w:top w:val="nil"/>
              <w:left w:val="nil"/>
              <w:bottom w:val="nil"/>
              <w:right w:val="nil"/>
            </w:tcBorders>
            <w:shd w:val="clear" w:color="auto" w:fill="auto"/>
            <w:noWrap/>
            <w:vAlign w:val="center"/>
          </w:tcPr>
          <w:p w14:paraId="37B78DBC"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7C52AD5"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0208F670"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2CE2DDFC"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3C79FF1" w14:textId="77777777" w:rsidTr="003E150F">
        <w:trPr>
          <w:trHeight w:val="300"/>
        </w:trPr>
        <w:tc>
          <w:tcPr>
            <w:tcW w:w="881" w:type="dxa"/>
            <w:tcBorders>
              <w:top w:val="nil"/>
              <w:left w:val="single" w:sz="4" w:space="0" w:color="auto"/>
              <w:bottom w:val="single" w:sz="4" w:space="0" w:color="auto"/>
              <w:right w:val="nil"/>
            </w:tcBorders>
            <w:shd w:val="clear" w:color="auto" w:fill="auto"/>
            <w:noWrap/>
            <w:vAlign w:val="bottom"/>
            <w:hideMark/>
          </w:tcPr>
          <w:p w14:paraId="1E600948" w14:textId="77777777" w:rsidR="00DF69C5" w:rsidRPr="007F338C" w:rsidRDefault="00DF69C5" w:rsidP="003E150F">
            <w:pPr>
              <w:jc w:val="center"/>
              <w:rPr>
                <w:rFonts w:ascii="Calibri" w:hAnsi="Calibri"/>
                <w:color w:val="000000"/>
              </w:rPr>
            </w:pPr>
            <w:r w:rsidRPr="007F338C">
              <w:rPr>
                <w:rFonts w:ascii="Calibri" w:hAnsi="Calibri"/>
                <w:color w:val="000000"/>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6550C10E" w14:textId="77777777" w:rsidR="00DF69C5" w:rsidRPr="007F338C" w:rsidRDefault="00DF69C5" w:rsidP="003E150F">
            <w:pPr>
              <w:jc w:val="center"/>
              <w:rPr>
                <w:rFonts w:ascii="Calibri" w:hAnsi="Calibri"/>
                <w:color w:val="000000"/>
              </w:rPr>
            </w:pPr>
            <w:r w:rsidRPr="007F338C">
              <w:rPr>
                <w:rFonts w:ascii="Calibri" w:hAnsi="Calibri"/>
                <w:color w:val="000000"/>
              </w:rPr>
              <w:t>1,4,5</w:t>
            </w:r>
          </w:p>
        </w:tc>
        <w:tc>
          <w:tcPr>
            <w:tcW w:w="1788" w:type="dxa"/>
            <w:tcBorders>
              <w:top w:val="nil"/>
              <w:left w:val="nil"/>
              <w:bottom w:val="single" w:sz="4" w:space="0" w:color="auto"/>
              <w:right w:val="nil"/>
            </w:tcBorders>
            <w:shd w:val="clear" w:color="auto" w:fill="auto"/>
            <w:noWrap/>
            <w:vAlign w:val="bottom"/>
            <w:hideMark/>
          </w:tcPr>
          <w:p w14:paraId="660B353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5706485D"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single" w:sz="4" w:space="0" w:color="auto"/>
              <w:right w:val="single" w:sz="4" w:space="0" w:color="auto"/>
            </w:tcBorders>
            <w:shd w:val="clear" w:color="auto" w:fill="auto"/>
            <w:noWrap/>
            <w:vAlign w:val="bottom"/>
            <w:hideMark/>
          </w:tcPr>
          <w:p w14:paraId="2713048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single" w:sz="4" w:space="0" w:color="auto"/>
              <w:right w:val="single" w:sz="4" w:space="0" w:color="auto"/>
            </w:tcBorders>
            <w:shd w:val="clear" w:color="auto" w:fill="auto"/>
            <w:noWrap/>
            <w:vAlign w:val="bottom"/>
            <w:hideMark/>
          </w:tcPr>
          <w:p w14:paraId="1FA0B836"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118BC7CC" w14:textId="77777777" w:rsidTr="003E150F">
        <w:trPr>
          <w:trHeight w:val="300"/>
        </w:trPr>
        <w:tc>
          <w:tcPr>
            <w:tcW w:w="5406" w:type="dxa"/>
            <w:gridSpan w:val="4"/>
            <w:tcBorders>
              <w:top w:val="nil"/>
              <w:left w:val="nil"/>
              <w:bottom w:val="nil"/>
              <w:right w:val="nil"/>
            </w:tcBorders>
            <w:shd w:val="clear" w:color="auto" w:fill="auto"/>
            <w:noWrap/>
            <w:vAlign w:val="bottom"/>
            <w:hideMark/>
          </w:tcPr>
          <w:p w14:paraId="4C4FE6D2" w14:textId="77777777" w:rsidR="00DF69C5" w:rsidRPr="007F338C" w:rsidRDefault="00DF69C5" w:rsidP="003E150F">
            <w:pPr>
              <w:rPr>
                <w:color w:val="000000"/>
              </w:rPr>
            </w:pPr>
            <w:r w:rsidRPr="007F338C">
              <w:rPr>
                <w:color w:val="000000"/>
              </w:rPr>
              <w:t>* Random order of treatment within session.</w:t>
            </w:r>
          </w:p>
        </w:tc>
        <w:tc>
          <w:tcPr>
            <w:tcW w:w="1342" w:type="dxa"/>
            <w:tcBorders>
              <w:top w:val="nil"/>
              <w:left w:val="nil"/>
              <w:bottom w:val="nil"/>
              <w:right w:val="nil"/>
            </w:tcBorders>
            <w:shd w:val="clear" w:color="auto" w:fill="auto"/>
            <w:noWrap/>
            <w:vAlign w:val="bottom"/>
            <w:hideMark/>
          </w:tcPr>
          <w:p w14:paraId="3056F350" w14:textId="77777777" w:rsidR="00DF69C5" w:rsidRPr="00C67368" w:rsidRDefault="00DF69C5" w:rsidP="003E150F">
            <w:pPr>
              <w:rPr>
                <w:rFonts w:ascii="Calibri" w:hAnsi="Calibri"/>
                <w:color w:val="000000"/>
                <w:highlight w:val="yellow"/>
              </w:rPr>
            </w:pPr>
          </w:p>
        </w:tc>
        <w:tc>
          <w:tcPr>
            <w:tcW w:w="1431" w:type="dxa"/>
            <w:tcBorders>
              <w:top w:val="nil"/>
              <w:left w:val="nil"/>
              <w:bottom w:val="nil"/>
              <w:right w:val="nil"/>
            </w:tcBorders>
            <w:shd w:val="clear" w:color="auto" w:fill="auto"/>
            <w:noWrap/>
            <w:vAlign w:val="bottom"/>
            <w:hideMark/>
          </w:tcPr>
          <w:p w14:paraId="12C1028E" w14:textId="77777777" w:rsidR="00DF69C5" w:rsidRPr="00C67368" w:rsidRDefault="00DF69C5" w:rsidP="003E150F">
            <w:pPr>
              <w:rPr>
                <w:rFonts w:ascii="Calibri" w:hAnsi="Calibri"/>
                <w:color w:val="000000"/>
                <w:highlight w:val="yellow"/>
              </w:rPr>
            </w:pPr>
          </w:p>
        </w:tc>
      </w:tr>
    </w:tbl>
    <w:p w14:paraId="26B21F77" w14:textId="77777777" w:rsidR="00DF69C5" w:rsidRDefault="00DF69C5" w:rsidP="00647E83">
      <w:pPr>
        <w:pStyle w:val="Num-DocParagraph"/>
        <w:ind w:left="720"/>
        <w:rPr>
          <w:sz w:val="24"/>
          <w:szCs w:val="24"/>
        </w:rPr>
      </w:pPr>
    </w:p>
    <w:p w14:paraId="1A47E18F" w14:textId="20C45B91" w:rsidR="00A5162C" w:rsidRDefault="00062007" w:rsidP="00647E83">
      <w:pPr>
        <w:pStyle w:val="Num-DocParagraph"/>
        <w:ind w:left="720"/>
        <w:rPr>
          <w:sz w:val="24"/>
          <w:szCs w:val="24"/>
        </w:rPr>
      </w:pPr>
      <w:r w:rsidRPr="00062007">
        <w:rPr>
          <w:sz w:val="24"/>
          <w:szCs w:val="24"/>
        </w:rPr>
        <w:t xml:space="preserve">As cited in </w:t>
      </w:r>
      <w:r w:rsidR="0034599B">
        <w:rPr>
          <w:sz w:val="24"/>
          <w:szCs w:val="24"/>
        </w:rPr>
        <w:t>CRP Study 1</w:t>
      </w:r>
      <w:r w:rsidRPr="00062007">
        <w:rPr>
          <w:sz w:val="24"/>
          <w:szCs w:val="24"/>
        </w:rPr>
        <w:t xml:space="preserve">, </w:t>
      </w:r>
      <w:r w:rsidR="00AB0FE8">
        <w:rPr>
          <w:sz w:val="24"/>
          <w:szCs w:val="24"/>
        </w:rPr>
        <w:t>t</w:t>
      </w:r>
      <w:r w:rsidR="00A5162C">
        <w:rPr>
          <w:sz w:val="24"/>
          <w:szCs w:val="24"/>
        </w:rPr>
        <w:t>he planned payment amounts are in line with the current payment structure utilized in the experimental laboratory at the University of Maryland, College Park.  We developed the payment structure in consultation with Professor Cramton</w:t>
      </w:r>
      <w:r w:rsidR="001C5694">
        <w:rPr>
          <w:sz w:val="24"/>
          <w:szCs w:val="24"/>
        </w:rPr>
        <w:t>, UMD,</w:t>
      </w:r>
      <w:r w:rsidR="00A5162C">
        <w:rPr>
          <w:sz w:val="24"/>
          <w:szCs w:val="24"/>
        </w:rPr>
        <w:t xml:space="preserve"> and his graduate students who run the lab (and who implement the experiments at the lab).  </w:t>
      </w:r>
      <w:r w:rsidR="000A2255" w:rsidRPr="000A2255">
        <w:rPr>
          <w:sz w:val="24"/>
          <w:szCs w:val="24"/>
        </w:rPr>
        <w:t>In the three years</w:t>
      </w:r>
      <w:r w:rsidR="00AB0FE8">
        <w:rPr>
          <w:sz w:val="24"/>
          <w:szCs w:val="24"/>
        </w:rPr>
        <w:t xml:space="preserve"> prior to 2015 (when the aforementioned ICR was proposed)</w:t>
      </w:r>
      <w:r w:rsidR="000A2255" w:rsidRPr="000A2255">
        <w:rPr>
          <w:sz w:val="24"/>
          <w:szCs w:val="24"/>
        </w:rPr>
        <w:t xml:space="preserve">, experiments conducted at the Experimental Economics Laboratory at UMD have, on average, provided an hourly payment of 16 to 18 USD for undergraduate students. This amount implies that for 90 minutes of participation in an experiment the approximate payment will be between 24 and 27 USD. That is 25 USD for 90 minutes is in the range of earnings typical for the practices of this laboratory. </w:t>
      </w:r>
      <w:r w:rsidR="0096213F">
        <w:rPr>
          <w:sz w:val="24"/>
          <w:szCs w:val="24"/>
        </w:rPr>
        <w:t xml:space="preserve"> </w:t>
      </w:r>
      <w:r w:rsidR="000A2255" w:rsidRPr="000A2255">
        <w:rPr>
          <w:sz w:val="24"/>
          <w:szCs w:val="24"/>
        </w:rPr>
        <w:t>See the table in the following open link for detailed information for four of the latest research work conducted at the Laboratory:</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304"/>
        <w:gridCol w:w="2310"/>
        <w:gridCol w:w="1108"/>
        <w:gridCol w:w="1466"/>
        <w:gridCol w:w="1066"/>
        <w:gridCol w:w="1090"/>
      </w:tblGrid>
      <w:tr w:rsidR="000A2255" w:rsidRPr="000A2255" w14:paraId="65EF78C5"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4D864" w14:textId="77777777" w:rsidR="000A2255" w:rsidRPr="000A2255" w:rsidRDefault="000A2255" w:rsidP="000A2255">
            <w:pPr>
              <w:spacing w:after="0" w:line="240" w:lineRule="auto"/>
              <w:rPr>
                <w:rFonts w:ascii="Arial" w:eastAsia="Times New Roman" w:hAnsi="Arial" w:cs="Arial"/>
                <w:b/>
                <w:bCs/>
                <w:sz w:val="20"/>
                <w:szCs w:val="20"/>
              </w:rPr>
            </w:pPr>
            <w:r w:rsidRPr="000A2255">
              <w:rPr>
                <w:rFonts w:ascii="Arial" w:eastAsia="Times New Roman" w:hAnsi="Arial" w:cs="Arial"/>
                <w:b/>
                <w:bCs/>
                <w:sz w:val="20"/>
                <w:szCs w:val="20"/>
              </w:rPr>
              <w:lastRenderedPageBreak/>
              <w:t xml:space="preserve">Recent papers whose experiments were conducted at UMD </w:t>
            </w:r>
            <w:proofErr w:type="spellStart"/>
            <w:r w:rsidRPr="000A2255">
              <w:rPr>
                <w:rFonts w:ascii="Arial" w:eastAsia="Times New Roman" w:hAnsi="Arial" w:cs="Arial"/>
                <w:b/>
                <w:bCs/>
                <w:sz w:val="20"/>
                <w:szCs w:val="20"/>
              </w:rPr>
              <w:t>Exp</w:t>
            </w:r>
            <w:proofErr w:type="spellEnd"/>
            <w:r w:rsidRPr="000A2255">
              <w:rPr>
                <w:rFonts w:ascii="Arial" w:eastAsia="Times New Roman" w:hAnsi="Arial" w:cs="Arial"/>
                <w:b/>
                <w:bCs/>
                <w:sz w:val="20"/>
                <w:szCs w:val="20"/>
              </w:rPr>
              <w:t xml:space="preserve"> Econ Lab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E67AF"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C5D38"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11378"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4D289"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DB9D8" w14:textId="77777777" w:rsidR="000A2255" w:rsidRPr="000A2255" w:rsidRDefault="000A2255" w:rsidP="000A2255">
            <w:pPr>
              <w:spacing w:after="0" w:line="240" w:lineRule="auto"/>
              <w:rPr>
                <w:rFonts w:ascii="Arial" w:eastAsia="Times New Roman" w:hAnsi="Arial" w:cs="Arial"/>
                <w:sz w:val="20"/>
                <w:szCs w:val="20"/>
              </w:rPr>
            </w:pPr>
          </w:p>
        </w:tc>
      </w:tr>
      <w:tr w:rsidR="000A2255" w:rsidRPr="000A2255" w14:paraId="442DDF1F"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90D9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Paper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AFC2D"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Authors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9052B"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Average Payment USD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80CA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Approximate Duration (mins)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A27D4"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USD Payment / hour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6BC97"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Payment for 1.5 hours</w:t>
            </w:r>
          </w:p>
        </w:tc>
      </w:tr>
      <w:tr w:rsidR="000A2255" w:rsidRPr="000A2255" w14:paraId="7E0D5D17"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58241"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"On the Demand for Expressing Emotions"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2B0DC"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 xml:space="preserve">Brit </w:t>
            </w:r>
            <w:proofErr w:type="spellStart"/>
            <w:r w:rsidRPr="000A2255">
              <w:rPr>
                <w:rFonts w:ascii="Arial" w:eastAsia="Times New Roman" w:hAnsi="Arial" w:cs="Arial"/>
                <w:sz w:val="20"/>
                <w:szCs w:val="20"/>
              </w:rPr>
              <w:t>Grosskopf</w:t>
            </w:r>
            <w:proofErr w:type="spellEnd"/>
            <w:r w:rsidRPr="000A2255">
              <w:rPr>
                <w:rFonts w:ascii="Arial" w:eastAsia="Times New Roman" w:hAnsi="Arial" w:cs="Arial"/>
                <w:sz w:val="20"/>
                <w:szCs w:val="20"/>
              </w:rPr>
              <w:t>; Kristian Lopez Vargas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7B912"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3B684"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DAAA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904E4"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26.0</w:t>
            </w:r>
          </w:p>
        </w:tc>
      </w:tr>
      <w:tr w:rsidR="000A2255" w:rsidRPr="000A2255" w14:paraId="3C0BCA8B"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93962"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"Risk Attitudes and Fairness: Theory and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B528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Kristian Lopez Vargas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9A411"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7DB4B"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4B22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336D9"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25.5</w:t>
            </w:r>
          </w:p>
        </w:tc>
      </w:tr>
      <w:tr w:rsidR="000A2255" w:rsidRPr="000A2255" w14:paraId="790C12B7"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61AAE"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 xml:space="preserve">"Multi-Object Auctions with Resale: Theory and </w:t>
            </w:r>
            <w:proofErr w:type="spellStart"/>
            <w:r w:rsidRPr="000A2255">
              <w:rPr>
                <w:rFonts w:ascii="Arial" w:eastAsia="Times New Roman" w:hAnsi="Arial" w:cs="Arial"/>
                <w:sz w:val="20"/>
                <w:szCs w:val="20"/>
              </w:rPr>
              <w:t>Experimen</w:t>
            </w:r>
            <w:proofErr w:type="spellEnd"/>
            <w:r w:rsidRPr="000A2255">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A3E89" w14:textId="77777777" w:rsidR="000A2255" w:rsidRPr="000A2255" w:rsidRDefault="000A2255" w:rsidP="000A2255">
            <w:pPr>
              <w:spacing w:after="0" w:line="240" w:lineRule="auto"/>
              <w:rPr>
                <w:rFonts w:ascii="Arial" w:eastAsia="Times New Roman" w:hAnsi="Arial" w:cs="Arial"/>
                <w:sz w:val="20"/>
                <w:szCs w:val="20"/>
              </w:rPr>
            </w:pPr>
            <w:proofErr w:type="spellStart"/>
            <w:r w:rsidRPr="000A2255">
              <w:rPr>
                <w:rFonts w:ascii="Arial" w:eastAsia="Times New Roman" w:hAnsi="Arial" w:cs="Arial"/>
                <w:sz w:val="20"/>
                <w:szCs w:val="20"/>
              </w:rPr>
              <w:t>Emel</w:t>
            </w:r>
            <w:proofErr w:type="spellEnd"/>
            <w:r w:rsidRPr="000A2255">
              <w:rPr>
                <w:rFonts w:ascii="Arial" w:eastAsia="Times New Roman" w:hAnsi="Arial" w:cs="Arial"/>
                <w:sz w:val="20"/>
                <w:szCs w:val="20"/>
              </w:rPr>
              <w:t xml:space="preserve"> </w:t>
            </w:r>
            <w:proofErr w:type="spellStart"/>
            <w:r w:rsidRPr="000A2255">
              <w:rPr>
                <w:rFonts w:ascii="Arial" w:eastAsia="Times New Roman" w:hAnsi="Arial" w:cs="Arial"/>
                <w:sz w:val="20"/>
                <w:szCs w:val="20"/>
              </w:rPr>
              <w:t>Filiz-Ozbay</w:t>
            </w:r>
            <w:proofErr w:type="spellEnd"/>
            <w:r w:rsidRPr="000A2255">
              <w:rPr>
                <w:rFonts w:ascii="Arial" w:eastAsia="Times New Roman" w:hAnsi="Arial" w:cs="Arial"/>
                <w:sz w:val="20"/>
                <w:szCs w:val="20"/>
              </w:rPr>
              <w:t xml:space="preserve">, Kristian Lopez-Vargas and </w:t>
            </w:r>
            <w:proofErr w:type="spellStart"/>
            <w:r w:rsidRPr="000A2255">
              <w:rPr>
                <w:rFonts w:ascii="Arial" w:eastAsia="Times New Roman" w:hAnsi="Arial" w:cs="Arial"/>
                <w:sz w:val="20"/>
                <w:szCs w:val="20"/>
              </w:rPr>
              <w:t>Erkut</w:t>
            </w:r>
            <w:proofErr w:type="spellEnd"/>
            <w:r w:rsidRPr="000A2255">
              <w:rPr>
                <w:rFonts w:ascii="Arial" w:eastAsia="Times New Roman" w:hAnsi="Arial" w:cs="Arial"/>
                <w:sz w:val="20"/>
                <w:szCs w:val="20"/>
              </w:rPr>
              <w:t xml:space="preserve"> Y. </w:t>
            </w:r>
            <w:proofErr w:type="spellStart"/>
            <w:r w:rsidRPr="000A2255">
              <w:rPr>
                <w:rFonts w:ascii="Arial" w:eastAsia="Times New Roman" w:hAnsi="Arial" w:cs="Arial"/>
                <w:sz w:val="20"/>
                <w:szCs w:val="20"/>
              </w:rPr>
              <w:t>Ozbay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DBF8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94289"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A46D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D052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24.4</w:t>
            </w:r>
          </w:p>
        </w:tc>
      </w:tr>
      <w:tr w:rsidR="000A2255" w:rsidRPr="000A2255" w14:paraId="4B3C2025"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6FD6D"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"Do Lottery Payments Induce Savings Behavior? Evidence from the Lab"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51DAE" w14:textId="77777777" w:rsidR="000A2255" w:rsidRPr="000A2255" w:rsidRDefault="000A2255" w:rsidP="000A2255">
            <w:pPr>
              <w:spacing w:after="0" w:line="240" w:lineRule="auto"/>
              <w:rPr>
                <w:rFonts w:ascii="Arial" w:eastAsia="Times New Roman" w:hAnsi="Arial" w:cs="Arial"/>
                <w:sz w:val="20"/>
                <w:szCs w:val="20"/>
              </w:rPr>
            </w:pPr>
            <w:proofErr w:type="spellStart"/>
            <w:r w:rsidRPr="000A2255">
              <w:rPr>
                <w:rFonts w:ascii="Arial" w:eastAsia="Times New Roman" w:hAnsi="Arial" w:cs="Arial"/>
                <w:sz w:val="20"/>
                <w:szCs w:val="20"/>
              </w:rPr>
              <w:t>Emel</w:t>
            </w:r>
            <w:proofErr w:type="spellEnd"/>
            <w:r w:rsidRPr="000A2255">
              <w:rPr>
                <w:rFonts w:ascii="Arial" w:eastAsia="Times New Roman" w:hAnsi="Arial" w:cs="Arial"/>
                <w:sz w:val="20"/>
                <w:szCs w:val="20"/>
              </w:rPr>
              <w:t xml:space="preserve"> </w:t>
            </w:r>
            <w:proofErr w:type="spellStart"/>
            <w:r w:rsidRPr="000A2255">
              <w:rPr>
                <w:rFonts w:ascii="Arial" w:eastAsia="Times New Roman" w:hAnsi="Arial" w:cs="Arial"/>
                <w:sz w:val="20"/>
                <w:szCs w:val="20"/>
              </w:rPr>
              <w:t>Filiz-Ozbay</w:t>
            </w:r>
            <w:proofErr w:type="spellEnd"/>
            <w:r w:rsidRPr="000A2255">
              <w:rPr>
                <w:rFonts w:ascii="Arial" w:eastAsia="Times New Roman" w:hAnsi="Arial" w:cs="Arial"/>
                <w:sz w:val="20"/>
                <w:szCs w:val="20"/>
              </w:rPr>
              <w:t xml:space="preserve">; Jonathan </w:t>
            </w:r>
            <w:proofErr w:type="spellStart"/>
            <w:r w:rsidRPr="000A2255">
              <w:rPr>
                <w:rFonts w:ascii="Arial" w:eastAsia="Times New Roman" w:hAnsi="Arial" w:cs="Arial"/>
                <w:sz w:val="20"/>
                <w:szCs w:val="20"/>
              </w:rPr>
              <w:t>Guryan</w:t>
            </w:r>
            <w:proofErr w:type="spellEnd"/>
            <w:r w:rsidRPr="000A2255">
              <w:rPr>
                <w:rFonts w:ascii="Arial" w:eastAsia="Times New Roman" w:hAnsi="Arial" w:cs="Arial"/>
                <w:sz w:val="20"/>
                <w:szCs w:val="20"/>
              </w:rPr>
              <w:t xml:space="preserve">; Kyle Hyndman; Melissa Kearney; and </w:t>
            </w:r>
            <w:proofErr w:type="spellStart"/>
            <w:r w:rsidRPr="000A2255">
              <w:rPr>
                <w:rFonts w:ascii="Arial" w:eastAsia="Times New Roman" w:hAnsi="Arial" w:cs="Arial"/>
                <w:sz w:val="20"/>
                <w:szCs w:val="20"/>
              </w:rPr>
              <w:t>Erkut</w:t>
            </w:r>
            <w:proofErr w:type="spellEnd"/>
            <w:r w:rsidRPr="000A2255">
              <w:rPr>
                <w:rFonts w:ascii="Arial" w:eastAsia="Times New Roman" w:hAnsi="Arial" w:cs="Arial"/>
                <w:sz w:val="20"/>
                <w:szCs w:val="20"/>
              </w:rPr>
              <w:t xml:space="preserve"> Y. </w:t>
            </w:r>
            <w:proofErr w:type="spellStart"/>
            <w:r w:rsidRPr="000A2255">
              <w:rPr>
                <w:rFonts w:ascii="Arial" w:eastAsia="Times New Roman" w:hAnsi="Arial" w:cs="Arial"/>
                <w:sz w:val="20"/>
                <w:szCs w:val="20"/>
              </w:rPr>
              <w:t>Ozbay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0894E"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06128"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C23FB"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D35F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27.0</w:t>
            </w:r>
          </w:p>
        </w:tc>
      </w:tr>
    </w:tbl>
    <w:p w14:paraId="5CA9F5FE" w14:textId="77777777" w:rsidR="000A2255" w:rsidRDefault="000A2255" w:rsidP="00647E83">
      <w:pPr>
        <w:pStyle w:val="Num-DocParagraph"/>
        <w:ind w:left="720"/>
        <w:rPr>
          <w:sz w:val="24"/>
          <w:szCs w:val="24"/>
        </w:rPr>
      </w:pPr>
      <w:r>
        <w:rPr>
          <w:sz w:val="24"/>
          <w:szCs w:val="24"/>
        </w:rPr>
        <w:t xml:space="preserve">Note carefully that these are </w:t>
      </w:r>
      <w:r>
        <w:rPr>
          <w:i/>
          <w:sz w:val="24"/>
          <w:szCs w:val="24"/>
        </w:rPr>
        <w:t>average</w:t>
      </w:r>
      <w:r>
        <w:rPr>
          <w:sz w:val="24"/>
          <w:szCs w:val="24"/>
        </w:rPr>
        <w:t xml:space="preserve"> payments.  We intend for our average payments to fall within the range here, but the maximum payment will likely be larger </w:t>
      </w:r>
      <w:r w:rsidR="001C5694">
        <w:rPr>
          <w:sz w:val="24"/>
          <w:szCs w:val="24"/>
        </w:rPr>
        <w:t xml:space="preserve">than 25 USD </w:t>
      </w:r>
      <w:r w:rsidR="00557D89">
        <w:rPr>
          <w:sz w:val="24"/>
          <w:szCs w:val="24"/>
        </w:rPr>
        <w:t xml:space="preserve">and the minimum payment will be less than 25 USD </w:t>
      </w:r>
      <w:r>
        <w:rPr>
          <w:sz w:val="24"/>
          <w:szCs w:val="24"/>
        </w:rPr>
        <w:t>due to the fact that in auctions (real and laboratory) bidders</w:t>
      </w:r>
      <w:r w:rsidR="001C5694">
        <w:rPr>
          <w:sz w:val="24"/>
          <w:szCs w:val="24"/>
        </w:rPr>
        <w:t xml:space="preserve"> will have different values and as such will </w:t>
      </w:r>
      <w:r w:rsidR="00AF74D5">
        <w:rPr>
          <w:sz w:val="24"/>
          <w:szCs w:val="24"/>
        </w:rPr>
        <w:t xml:space="preserve">each </w:t>
      </w:r>
      <w:r w:rsidR="001C5694">
        <w:rPr>
          <w:sz w:val="24"/>
          <w:szCs w:val="24"/>
        </w:rPr>
        <w:t>behave differently which</w:t>
      </w:r>
      <w:r>
        <w:rPr>
          <w:sz w:val="24"/>
          <w:szCs w:val="24"/>
        </w:rPr>
        <w:t xml:space="preserve"> causes earnings to vary.</w:t>
      </w:r>
    </w:p>
    <w:p w14:paraId="066CB9FD" w14:textId="58449B21" w:rsidR="001C79EC" w:rsidRPr="000A2255" w:rsidRDefault="001C79EC" w:rsidP="00647E83">
      <w:pPr>
        <w:pStyle w:val="Num-DocParagraph"/>
        <w:ind w:left="720"/>
        <w:rPr>
          <w:sz w:val="24"/>
          <w:szCs w:val="24"/>
        </w:rPr>
      </w:pPr>
      <w:r>
        <w:rPr>
          <w:sz w:val="24"/>
          <w:szCs w:val="24"/>
        </w:rPr>
        <w:t xml:space="preserve">The discussion above is focused on academic literature and common practice in economics, rather than common practice in government-sponsored research.  In an effort to use the scientific best practices above in a government-sponsored research study, we propose a plan of reporting that involves special oversight by OMB.  Researchers will report regularly to OMB the distribution of payments, including the minimum, maximum, and average payments of each session.  Researchers will report these results after the first session, and monthly thereafter.  In addition, if any payment to a single participant in excess of $50 occurs, researchers will notify OMB immediately.  </w:t>
      </w:r>
      <w:r w:rsidR="00773D29">
        <w:rPr>
          <w:sz w:val="24"/>
          <w:szCs w:val="24"/>
        </w:rPr>
        <w:t>OMB will reserve the right to pause the collection if large payment outliers become a significant concern during the experiment. In such a case, we will consult with OMB for identifying appropriate methods to address this issue.  The experiment may be resumed only after obtaining further OMB approval.</w:t>
      </w:r>
    </w:p>
    <w:p w14:paraId="7F4F0735" w14:textId="7B875584" w:rsidR="007F6DE2" w:rsidRDefault="004B62DA" w:rsidP="007A15D1">
      <w:pPr>
        <w:pStyle w:val="Num-DocParagraph"/>
        <w:ind w:left="720"/>
        <w:rPr>
          <w:sz w:val="24"/>
          <w:szCs w:val="24"/>
        </w:rPr>
      </w:pPr>
      <w:r w:rsidRPr="007F338C">
        <w:rPr>
          <w:sz w:val="24"/>
          <w:szCs w:val="24"/>
        </w:rPr>
        <w:t xml:space="preserve">Because it is common to get a number of no-shows and last-minute cancellations for a given experiment session, and because it is important to have a particular number of participants in each session, we plan to “overbook” our sessions </w:t>
      </w:r>
      <w:r w:rsidR="0096213F" w:rsidRPr="007F338C">
        <w:rPr>
          <w:sz w:val="24"/>
          <w:szCs w:val="24"/>
        </w:rPr>
        <w:t xml:space="preserve">by 2 students </w:t>
      </w:r>
      <w:r w:rsidRPr="007F338C">
        <w:rPr>
          <w:sz w:val="24"/>
          <w:szCs w:val="24"/>
        </w:rPr>
        <w:t xml:space="preserve">to ensure we have the right number of individuals </w:t>
      </w:r>
      <w:r w:rsidR="0096213F" w:rsidRPr="007F338C">
        <w:rPr>
          <w:sz w:val="24"/>
          <w:szCs w:val="24"/>
        </w:rPr>
        <w:t xml:space="preserve">(16) </w:t>
      </w:r>
      <w:r w:rsidRPr="007F338C">
        <w:rPr>
          <w:sz w:val="24"/>
          <w:szCs w:val="24"/>
        </w:rPr>
        <w:t>to run the experiment. We wil</w:t>
      </w:r>
      <w:r w:rsidR="00DF69C5">
        <w:rPr>
          <w:sz w:val="24"/>
          <w:szCs w:val="24"/>
        </w:rPr>
        <w:t>l do our best to avoid it, but e</w:t>
      </w:r>
      <w:r w:rsidRPr="007F338C">
        <w:rPr>
          <w:sz w:val="24"/>
          <w:szCs w:val="24"/>
        </w:rPr>
        <w:t xml:space="preserve">xperience suggests that in some cases more people will show up than </w:t>
      </w:r>
      <w:r w:rsidRPr="007F338C">
        <w:rPr>
          <w:sz w:val="24"/>
          <w:szCs w:val="24"/>
        </w:rPr>
        <w:lastRenderedPageBreak/>
        <w:t xml:space="preserve">can be accommodated for a given session. In this case, </w:t>
      </w:r>
      <w:r w:rsidR="00DF69C5">
        <w:rPr>
          <w:sz w:val="24"/>
          <w:szCs w:val="24"/>
        </w:rPr>
        <w:t>each extra</w:t>
      </w:r>
      <w:r w:rsidRPr="007F338C">
        <w:rPr>
          <w:sz w:val="24"/>
          <w:szCs w:val="24"/>
        </w:rPr>
        <w:t xml:space="preserve"> who show up before the scheduled start time will </w:t>
      </w:r>
      <w:r w:rsidR="008245D1" w:rsidRPr="007F338C">
        <w:rPr>
          <w:sz w:val="24"/>
          <w:szCs w:val="24"/>
        </w:rPr>
        <w:t>receive a</w:t>
      </w:r>
      <w:r w:rsidRPr="007F338C">
        <w:rPr>
          <w:sz w:val="24"/>
          <w:szCs w:val="24"/>
        </w:rPr>
        <w:t xml:space="preserve"> $7 </w:t>
      </w:r>
      <w:r w:rsidR="008245D1" w:rsidRPr="007F338C">
        <w:rPr>
          <w:sz w:val="24"/>
          <w:szCs w:val="24"/>
        </w:rPr>
        <w:t>payment for time and travel</w:t>
      </w:r>
      <w:r w:rsidRPr="007F338C">
        <w:rPr>
          <w:sz w:val="24"/>
          <w:szCs w:val="24"/>
        </w:rPr>
        <w:t xml:space="preserve"> and can reschedule for another session.  This is common practice among experimentalists.  For instance:  “Given the high cost of cancellations due to insufficient attendance, most researchers err on the higher side and pay a decent sum to the extra subjects who present themselves on time to avoid alienating them as future recruits….”</w:t>
      </w:r>
      <w:r w:rsidRPr="007F338C">
        <w:rPr>
          <w:rStyle w:val="FootnoteReference"/>
          <w:sz w:val="24"/>
          <w:szCs w:val="24"/>
        </w:rPr>
        <w:footnoteReference w:id="9"/>
      </w:r>
      <w:r w:rsidR="007D745C" w:rsidRPr="007F338C">
        <w:rPr>
          <w:sz w:val="24"/>
          <w:szCs w:val="24"/>
        </w:rPr>
        <w:t xml:space="preserve">  Friedman and Sunder do not discuss what is meant by “a decent sum.”  The regular practice at each lab around the world varies.  We set our payment amount, which is only for those individuals who do not participate in the experiment (and thus the figures listed above for average payments for participants are entirely separate), at the level used by researchers at the University of Maryland, College Park.  This is the payment always used at this institution with the population we intend to target with the proposed experiment.</w:t>
      </w:r>
    </w:p>
    <w:p w14:paraId="7E9E3D2A" w14:textId="77777777" w:rsidR="0096213F" w:rsidRDefault="0096213F" w:rsidP="007A15D1">
      <w:pPr>
        <w:pStyle w:val="Num-DocParagraph"/>
        <w:ind w:left="720"/>
        <w:rPr>
          <w:sz w:val="24"/>
          <w:szCs w:val="24"/>
        </w:rPr>
      </w:pPr>
    </w:p>
    <w:p w14:paraId="179D6A6C" w14:textId="77777777" w:rsidR="00203B9A" w:rsidRPr="007A15D1" w:rsidRDefault="007F6DE2" w:rsidP="007A15D1">
      <w:pPr>
        <w:pStyle w:val="Num-DocParagraph"/>
        <w:ind w:left="720"/>
        <w:rPr>
          <w:sz w:val="24"/>
          <w:szCs w:val="24"/>
        </w:rPr>
      </w:pPr>
      <w:r>
        <w:rPr>
          <w:b/>
          <w:bCs/>
          <w:sz w:val="24"/>
          <w:szCs w:val="24"/>
        </w:rPr>
        <w:t xml:space="preserve">10. </w:t>
      </w:r>
      <w:r w:rsidR="00203B9A" w:rsidRPr="00203B9A">
        <w:rPr>
          <w:b/>
          <w:bCs/>
          <w:sz w:val="24"/>
          <w:szCs w:val="24"/>
        </w:rPr>
        <w:t>Assurance of confidentiality provided to respondent</w:t>
      </w:r>
    </w:p>
    <w:p w14:paraId="0D0875F2" w14:textId="77777777" w:rsidR="00584C85" w:rsidRDefault="00584C85" w:rsidP="007A15D1">
      <w:pPr>
        <w:pStyle w:val="Num-DocParagraph"/>
        <w:ind w:left="720"/>
        <w:rPr>
          <w:sz w:val="24"/>
          <w:szCs w:val="24"/>
        </w:rPr>
      </w:pPr>
      <w:r>
        <w:rPr>
          <w:sz w:val="24"/>
          <w:szCs w:val="24"/>
        </w:rPr>
        <w:t>Respondent data will be protected by the Privacy Act of 1974 (5 USC 552a</w:t>
      </w:r>
      <w:r w:rsidR="004C63D8">
        <w:rPr>
          <w:sz w:val="24"/>
          <w:szCs w:val="24"/>
        </w:rPr>
        <w:t>)</w:t>
      </w:r>
      <w:r>
        <w:rPr>
          <w:sz w:val="24"/>
          <w:szCs w:val="24"/>
        </w:rPr>
        <w:t>.</w:t>
      </w:r>
      <w:r w:rsidR="00E97223">
        <w:rPr>
          <w:sz w:val="24"/>
          <w:szCs w:val="24"/>
        </w:rPr>
        <w:t xml:space="preserve">  </w:t>
      </w:r>
    </w:p>
    <w:p w14:paraId="18A18E0C" w14:textId="77777777" w:rsidR="00530624" w:rsidRDefault="00530624" w:rsidP="005072A0">
      <w:pPr>
        <w:pStyle w:val="Num-DocParagraph"/>
        <w:ind w:left="720"/>
        <w:rPr>
          <w:bCs/>
          <w:sz w:val="24"/>
          <w:szCs w:val="24"/>
        </w:rPr>
      </w:pPr>
      <w:r w:rsidRPr="00530624">
        <w:rPr>
          <w:bCs/>
          <w:sz w:val="24"/>
          <w:szCs w:val="24"/>
        </w:rPr>
        <w:t>Subjects will sign a consent form at the start of the experiment.  They can withdraw from the study at any time.  Subjects will receive an ID number that we will use to keep track of their bids and to match bids with background questionnaires</w:t>
      </w:r>
      <w:r>
        <w:rPr>
          <w:bCs/>
          <w:sz w:val="24"/>
          <w:szCs w:val="24"/>
        </w:rPr>
        <w:t xml:space="preserve"> used for control in regression analysis</w:t>
      </w:r>
      <w:r w:rsidRPr="00530624">
        <w:rPr>
          <w:bCs/>
          <w:sz w:val="24"/>
          <w:szCs w:val="24"/>
        </w:rPr>
        <w:t>.  Students will have to sign their names to a receipt but this sheet will be kept separate from the bids.</w:t>
      </w:r>
    </w:p>
    <w:p w14:paraId="08D320A1" w14:textId="77777777" w:rsidR="007F62E9" w:rsidRDefault="007F62E9" w:rsidP="005072A0">
      <w:pPr>
        <w:pStyle w:val="Num-DocParagraph"/>
        <w:ind w:left="720"/>
        <w:rPr>
          <w:bCs/>
          <w:sz w:val="24"/>
          <w:szCs w:val="24"/>
        </w:rPr>
      </w:pPr>
      <w:r>
        <w:rPr>
          <w:bCs/>
          <w:sz w:val="24"/>
          <w:szCs w:val="24"/>
        </w:rPr>
        <w:t>ERS researchers will not have access to participant names at all, and participant names will not be stored on government computers.</w:t>
      </w:r>
    </w:p>
    <w:p w14:paraId="6A347690" w14:textId="049B0365" w:rsidR="00B73841" w:rsidRPr="005072A0" w:rsidRDefault="00B73841" w:rsidP="005072A0">
      <w:pPr>
        <w:pStyle w:val="Num-DocParagraph"/>
        <w:ind w:left="720"/>
        <w:rPr>
          <w:bCs/>
          <w:sz w:val="24"/>
          <w:szCs w:val="24"/>
        </w:rPr>
      </w:pPr>
      <w:r>
        <w:rPr>
          <w:bCs/>
          <w:sz w:val="24"/>
          <w:szCs w:val="24"/>
        </w:rPr>
        <w:t xml:space="preserve">ERS has decided not to invoke the </w:t>
      </w:r>
      <w:r w:rsidRPr="00F639BB">
        <w:rPr>
          <w:bCs/>
          <w:sz w:val="24"/>
          <w:szCs w:val="24"/>
        </w:rPr>
        <w:t>Confidential Information Protection and Statistical Efficiency Act of 2002</w:t>
      </w:r>
      <w:r>
        <w:rPr>
          <w:bCs/>
          <w:sz w:val="24"/>
          <w:szCs w:val="24"/>
        </w:rPr>
        <w:t xml:space="preserve"> (CIPSEA).  </w:t>
      </w:r>
      <w:r w:rsidRPr="00F639BB">
        <w:rPr>
          <w:bCs/>
          <w:sz w:val="24"/>
          <w:szCs w:val="24"/>
        </w:rPr>
        <w:t>The complexity and cost necessary to invoke CIPSEA is not justified given the nature of</w:t>
      </w:r>
      <w:r>
        <w:rPr>
          <w:bCs/>
          <w:sz w:val="24"/>
          <w:szCs w:val="24"/>
        </w:rPr>
        <w:t xml:space="preserve"> the collection; the collection</w:t>
      </w:r>
      <w:r w:rsidRPr="00F639BB">
        <w:rPr>
          <w:bCs/>
          <w:sz w:val="24"/>
          <w:szCs w:val="24"/>
        </w:rPr>
        <w:t xml:space="preserve"> w</w:t>
      </w:r>
      <w:r>
        <w:rPr>
          <w:bCs/>
          <w:sz w:val="24"/>
          <w:szCs w:val="24"/>
        </w:rPr>
        <w:t>ill</w:t>
      </w:r>
      <w:r w:rsidRPr="00F639BB">
        <w:rPr>
          <w:bCs/>
          <w:sz w:val="24"/>
          <w:szCs w:val="24"/>
        </w:rPr>
        <w:t xml:space="preserve"> include a very limited amount of personally-identifiable information (PII), and </w:t>
      </w:r>
      <w:r>
        <w:rPr>
          <w:bCs/>
          <w:sz w:val="24"/>
          <w:szCs w:val="24"/>
        </w:rPr>
        <w:t>is</w:t>
      </w:r>
      <w:r w:rsidRPr="00F639BB">
        <w:rPr>
          <w:bCs/>
          <w:sz w:val="24"/>
          <w:szCs w:val="24"/>
        </w:rPr>
        <w:t xml:space="preserve"> hosted in university computer labs, where CIPSEA compliance </w:t>
      </w:r>
      <w:r>
        <w:rPr>
          <w:bCs/>
          <w:sz w:val="24"/>
          <w:szCs w:val="24"/>
        </w:rPr>
        <w:t>can</w:t>
      </w:r>
      <w:r w:rsidRPr="00F639BB">
        <w:rPr>
          <w:bCs/>
          <w:sz w:val="24"/>
          <w:szCs w:val="24"/>
        </w:rPr>
        <w:t>not be assured.</w:t>
      </w:r>
    </w:p>
    <w:p w14:paraId="269771CB" w14:textId="77777777" w:rsidR="00203B9A" w:rsidRDefault="007A15D1" w:rsidP="007A15D1">
      <w:pPr>
        <w:pStyle w:val="Num-DocParagraph"/>
        <w:ind w:left="720"/>
        <w:rPr>
          <w:b/>
          <w:bCs/>
          <w:sz w:val="24"/>
          <w:szCs w:val="24"/>
        </w:rPr>
      </w:pPr>
      <w:r>
        <w:rPr>
          <w:b/>
          <w:bCs/>
          <w:sz w:val="24"/>
          <w:szCs w:val="24"/>
        </w:rPr>
        <w:t xml:space="preserve">11. </w:t>
      </w:r>
      <w:r w:rsidR="00203B9A" w:rsidRPr="00203B9A">
        <w:rPr>
          <w:b/>
          <w:bCs/>
          <w:sz w:val="24"/>
          <w:szCs w:val="24"/>
        </w:rPr>
        <w:t>Justification for sensitive questions</w:t>
      </w:r>
    </w:p>
    <w:p w14:paraId="1AF54028" w14:textId="77777777" w:rsidR="00530624" w:rsidRPr="00530624" w:rsidRDefault="00530624" w:rsidP="00530624">
      <w:pPr>
        <w:pStyle w:val="Num-DocParagraph"/>
        <w:ind w:left="720"/>
        <w:rPr>
          <w:bCs/>
          <w:sz w:val="24"/>
          <w:szCs w:val="24"/>
        </w:rPr>
      </w:pPr>
      <w:r>
        <w:rPr>
          <w:bCs/>
          <w:sz w:val="24"/>
          <w:szCs w:val="24"/>
        </w:rPr>
        <w:t>No sensitive questions will be asked.</w:t>
      </w:r>
    </w:p>
    <w:p w14:paraId="4DAAF5FA" w14:textId="77777777" w:rsidR="00203B9A" w:rsidRDefault="007A15D1" w:rsidP="007A15D1">
      <w:pPr>
        <w:pStyle w:val="Num-DocParagraph"/>
        <w:ind w:left="720"/>
        <w:rPr>
          <w:b/>
          <w:bCs/>
          <w:sz w:val="24"/>
          <w:szCs w:val="24"/>
        </w:rPr>
      </w:pPr>
      <w:r>
        <w:rPr>
          <w:b/>
          <w:bCs/>
          <w:sz w:val="24"/>
          <w:szCs w:val="24"/>
        </w:rPr>
        <w:lastRenderedPageBreak/>
        <w:t xml:space="preserve">12. </w:t>
      </w:r>
      <w:r w:rsidR="00203B9A" w:rsidRPr="00203B9A">
        <w:rPr>
          <w:b/>
          <w:bCs/>
          <w:sz w:val="24"/>
          <w:szCs w:val="24"/>
        </w:rPr>
        <w:t>Estimates of hour-burden including hourly costs</w:t>
      </w:r>
    </w:p>
    <w:p w14:paraId="32AB618C" w14:textId="251346D8" w:rsidR="00214ADB" w:rsidRDefault="00683DDF" w:rsidP="00530624">
      <w:pPr>
        <w:pStyle w:val="Num-DocParagraph"/>
        <w:ind w:left="720"/>
        <w:rPr>
          <w:bCs/>
          <w:sz w:val="24"/>
          <w:szCs w:val="24"/>
        </w:rPr>
      </w:pPr>
      <w:r>
        <w:rPr>
          <w:bCs/>
          <w:sz w:val="24"/>
          <w:szCs w:val="24"/>
        </w:rPr>
        <w:t xml:space="preserve">Based on the extensive experience of the </w:t>
      </w:r>
      <w:r w:rsidR="00375A35">
        <w:rPr>
          <w:bCs/>
          <w:sz w:val="24"/>
          <w:szCs w:val="24"/>
        </w:rPr>
        <w:t>principal investigators in running experiments</w:t>
      </w:r>
      <w:r>
        <w:rPr>
          <w:bCs/>
          <w:sz w:val="24"/>
          <w:szCs w:val="24"/>
        </w:rPr>
        <w:t xml:space="preserve">, </w:t>
      </w:r>
      <w:r w:rsidR="00675BA7" w:rsidRPr="00062007">
        <w:rPr>
          <w:bCs/>
          <w:sz w:val="24"/>
          <w:szCs w:val="24"/>
        </w:rPr>
        <w:t xml:space="preserve">as well as </w:t>
      </w:r>
      <w:r w:rsidR="00062007" w:rsidRPr="00062007">
        <w:rPr>
          <w:bCs/>
          <w:sz w:val="24"/>
          <w:szCs w:val="24"/>
        </w:rPr>
        <w:t xml:space="preserve">experiments </w:t>
      </w:r>
      <w:r w:rsidR="00675BA7" w:rsidRPr="00062007">
        <w:rPr>
          <w:bCs/>
          <w:sz w:val="24"/>
          <w:szCs w:val="24"/>
        </w:rPr>
        <w:t xml:space="preserve">conducted </w:t>
      </w:r>
      <w:r w:rsidR="00062007" w:rsidRPr="00062007">
        <w:rPr>
          <w:bCs/>
          <w:sz w:val="24"/>
          <w:szCs w:val="24"/>
        </w:rPr>
        <w:t xml:space="preserve">under </w:t>
      </w:r>
      <w:r w:rsidR="0034599B">
        <w:rPr>
          <w:sz w:val="24"/>
          <w:szCs w:val="24"/>
        </w:rPr>
        <w:t>CRP Study 1</w:t>
      </w:r>
      <w:r w:rsidR="00675BA7">
        <w:rPr>
          <w:bCs/>
          <w:sz w:val="24"/>
          <w:szCs w:val="24"/>
        </w:rPr>
        <w:t xml:space="preserve">, </w:t>
      </w:r>
      <w:r>
        <w:rPr>
          <w:bCs/>
          <w:sz w:val="24"/>
          <w:szCs w:val="24"/>
        </w:rPr>
        <w:t>t</w:t>
      </w:r>
      <w:r w:rsidR="00530624">
        <w:rPr>
          <w:bCs/>
          <w:sz w:val="24"/>
          <w:szCs w:val="24"/>
        </w:rPr>
        <w:t xml:space="preserve">his laboratory study will take approximately </w:t>
      </w:r>
      <w:r w:rsidR="00CF335C">
        <w:rPr>
          <w:bCs/>
          <w:sz w:val="24"/>
          <w:szCs w:val="24"/>
        </w:rPr>
        <w:t>9</w:t>
      </w:r>
      <w:r w:rsidR="00530624">
        <w:rPr>
          <w:bCs/>
          <w:sz w:val="24"/>
          <w:szCs w:val="24"/>
        </w:rPr>
        <w:t xml:space="preserve">0 minutes (and possibly less) for each participant to complete.  We plan to conduct </w:t>
      </w:r>
      <w:r w:rsidR="00675BA7">
        <w:rPr>
          <w:bCs/>
          <w:sz w:val="24"/>
          <w:szCs w:val="24"/>
        </w:rPr>
        <w:t>12</w:t>
      </w:r>
      <w:r w:rsidR="00530624">
        <w:rPr>
          <w:bCs/>
          <w:sz w:val="24"/>
          <w:szCs w:val="24"/>
        </w:rPr>
        <w:t xml:space="preserve"> </w:t>
      </w:r>
      <w:r w:rsidR="00DF69C5">
        <w:rPr>
          <w:bCs/>
          <w:sz w:val="24"/>
          <w:szCs w:val="24"/>
        </w:rPr>
        <w:t xml:space="preserve">sessions </w:t>
      </w:r>
      <w:r w:rsidR="00530624">
        <w:rPr>
          <w:bCs/>
          <w:sz w:val="24"/>
          <w:szCs w:val="24"/>
        </w:rPr>
        <w:t xml:space="preserve">with </w:t>
      </w:r>
      <w:r w:rsidR="00214ADB">
        <w:rPr>
          <w:bCs/>
          <w:sz w:val="24"/>
          <w:szCs w:val="24"/>
        </w:rPr>
        <w:t xml:space="preserve">16 participants in each session.  Therefore, we expect to use a total of 12*16*1.5 = 288 burden hours to conduct the experiments for this study.  </w:t>
      </w:r>
    </w:p>
    <w:p w14:paraId="73C9F6A5" w14:textId="586B5241" w:rsidR="00F4689A" w:rsidRDefault="003D7B58" w:rsidP="00530624">
      <w:pPr>
        <w:pStyle w:val="Num-DocParagraph"/>
        <w:ind w:left="720"/>
        <w:rPr>
          <w:bCs/>
          <w:sz w:val="24"/>
          <w:szCs w:val="24"/>
        </w:rPr>
      </w:pPr>
      <w:r>
        <w:rPr>
          <w:bCs/>
          <w:sz w:val="24"/>
          <w:szCs w:val="24"/>
        </w:rPr>
        <w:t>In order to recruit subjects for this study an email</w:t>
      </w:r>
      <w:r w:rsidR="006466BC">
        <w:rPr>
          <w:bCs/>
          <w:sz w:val="24"/>
          <w:szCs w:val="24"/>
        </w:rPr>
        <w:t xml:space="preserve"> will be sent to students</w:t>
      </w:r>
      <w:r>
        <w:rPr>
          <w:bCs/>
          <w:sz w:val="24"/>
          <w:szCs w:val="24"/>
        </w:rPr>
        <w:t xml:space="preserve">, announcing the opportunity to participate.  </w:t>
      </w:r>
      <w:r w:rsidR="008343A9">
        <w:rPr>
          <w:bCs/>
          <w:sz w:val="24"/>
          <w:szCs w:val="24"/>
        </w:rPr>
        <w:t>The experimental economics lab</w:t>
      </w:r>
      <w:r w:rsidR="008E06EA">
        <w:rPr>
          <w:bCs/>
          <w:sz w:val="24"/>
          <w:szCs w:val="24"/>
        </w:rPr>
        <w:t>s at UMD, College Park and UC, Santa Cruz</w:t>
      </w:r>
      <w:r w:rsidR="008343A9">
        <w:rPr>
          <w:bCs/>
          <w:sz w:val="24"/>
          <w:szCs w:val="24"/>
        </w:rPr>
        <w:t xml:space="preserve"> maintain database</w:t>
      </w:r>
      <w:r w:rsidR="008E06EA">
        <w:rPr>
          <w:bCs/>
          <w:sz w:val="24"/>
          <w:szCs w:val="24"/>
        </w:rPr>
        <w:t>s</w:t>
      </w:r>
      <w:r w:rsidR="008343A9">
        <w:rPr>
          <w:bCs/>
          <w:sz w:val="24"/>
          <w:szCs w:val="24"/>
        </w:rPr>
        <w:t xml:space="preserve"> of s</w:t>
      </w:r>
      <w:r>
        <w:rPr>
          <w:bCs/>
          <w:sz w:val="24"/>
          <w:szCs w:val="24"/>
        </w:rPr>
        <w:t xml:space="preserve">tudents </w:t>
      </w:r>
      <w:r w:rsidR="00675BA7">
        <w:rPr>
          <w:bCs/>
          <w:sz w:val="24"/>
          <w:szCs w:val="24"/>
        </w:rPr>
        <w:t>who have expressed interest in participating in economics experiments</w:t>
      </w:r>
      <w:r w:rsidR="00BB6C98">
        <w:rPr>
          <w:sz w:val="24"/>
          <w:szCs w:val="24"/>
        </w:rPr>
        <w:t xml:space="preserve"> </w:t>
      </w:r>
      <w:r w:rsidR="00675BA7">
        <w:rPr>
          <w:bCs/>
          <w:sz w:val="24"/>
          <w:szCs w:val="24"/>
        </w:rPr>
        <w:t>and who have shared their email addresses with the economics department</w:t>
      </w:r>
      <w:r>
        <w:rPr>
          <w:bCs/>
          <w:sz w:val="24"/>
          <w:szCs w:val="24"/>
        </w:rPr>
        <w:t xml:space="preserve">.  </w:t>
      </w:r>
      <w:r w:rsidR="000E47AC">
        <w:rPr>
          <w:bCs/>
          <w:sz w:val="24"/>
          <w:szCs w:val="24"/>
        </w:rPr>
        <w:t>Signup</w:t>
      </w:r>
      <w:r w:rsidR="00F4689A">
        <w:rPr>
          <w:bCs/>
          <w:sz w:val="24"/>
          <w:szCs w:val="24"/>
        </w:rPr>
        <w:t xml:space="preserve"> rates</w:t>
      </w:r>
      <w:r w:rsidR="000E47AC">
        <w:rPr>
          <w:bCs/>
          <w:sz w:val="24"/>
          <w:szCs w:val="24"/>
        </w:rPr>
        <w:t xml:space="preserve"> to solicitations on this list</w:t>
      </w:r>
      <w:r w:rsidR="00F4689A">
        <w:rPr>
          <w:bCs/>
          <w:sz w:val="24"/>
          <w:szCs w:val="24"/>
        </w:rPr>
        <w:t xml:space="preserve"> are 5%.</w:t>
      </w:r>
      <w:r w:rsidR="00F96F06">
        <w:rPr>
          <w:rStyle w:val="FootnoteReference"/>
          <w:bCs/>
          <w:sz w:val="24"/>
          <w:szCs w:val="24"/>
        </w:rPr>
        <w:footnoteReference w:id="10"/>
      </w:r>
      <w:r w:rsidR="00F4689A">
        <w:rPr>
          <w:bCs/>
          <w:sz w:val="24"/>
          <w:szCs w:val="24"/>
        </w:rPr>
        <w:t xml:space="preserve">  </w:t>
      </w:r>
      <w:r w:rsidR="00AD4841">
        <w:rPr>
          <w:bCs/>
          <w:sz w:val="24"/>
          <w:szCs w:val="24"/>
        </w:rPr>
        <w:t>Per previous discussion in A.9</w:t>
      </w:r>
      <w:r w:rsidR="00AD4841" w:rsidRPr="00136618">
        <w:rPr>
          <w:sz w:val="24"/>
          <w:szCs w:val="24"/>
        </w:rPr>
        <w:t xml:space="preserve">, we plan to “overbook” each session by 2 potential participants </w:t>
      </w:r>
      <w:r w:rsidR="0050375B">
        <w:rPr>
          <w:sz w:val="24"/>
          <w:szCs w:val="24"/>
        </w:rPr>
        <w:t xml:space="preserve">as backups </w:t>
      </w:r>
      <w:r w:rsidR="00AD4841" w:rsidRPr="00136618">
        <w:rPr>
          <w:sz w:val="24"/>
          <w:szCs w:val="24"/>
        </w:rPr>
        <w:t>to ensure we have the right number of individuals to run the experiment.</w:t>
      </w:r>
      <w:r w:rsidR="00AD4841">
        <w:rPr>
          <w:sz w:val="24"/>
          <w:szCs w:val="24"/>
        </w:rPr>
        <w:t xml:space="preserve"> </w:t>
      </w:r>
      <w:r w:rsidR="00FF31E0">
        <w:rPr>
          <w:sz w:val="24"/>
          <w:szCs w:val="24"/>
        </w:rPr>
        <w:t xml:space="preserve">Therefore, </w:t>
      </w:r>
      <w:r w:rsidR="0050375B">
        <w:rPr>
          <w:bCs/>
          <w:sz w:val="24"/>
          <w:szCs w:val="24"/>
        </w:rPr>
        <w:t>i</w:t>
      </w:r>
      <w:r w:rsidR="00F96F06">
        <w:rPr>
          <w:bCs/>
          <w:sz w:val="24"/>
          <w:szCs w:val="24"/>
        </w:rPr>
        <w:t xml:space="preserve">f the response rate to our solicitation is exactly 5%, this would imply we would need to email </w:t>
      </w:r>
      <w:r w:rsidR="001F0A3F">
        <w:rPr>
          <w:bCs/>
          <w:sz w:val="24"/>
          <w:szCs w:val="24"/>
        </w:rPr>
        <w:t>4,320</w:t>
      </w:r>
      <w:r w:rsidR="00F96F06">
        <w:rPr>
          <w:bCs/>
          <w:sz w:val="24"/>
          <w:szCs w:val="24"/>
        </w:rPr>
        <w:t xml:space="preserve"> </w:t>
      </w:r>
      <w:r w:rsidR="008343A9">
        <w:rPr>
          <w:bCs/>
          <w:sz w:val="24"/>
          <w:szCs w:val="24"/>
        </w:rPr>
        <w:t>students</w:t>
      </w:r>
      <w:r w:rsidR="00F96F06">
        <w:rPr>
          <w:bCs/>
          <w:sz w:val="24"/>
          <w:szCs w:val="24"/>
        </w:rPr>
        <w:t xml:space="preserve"> in </w:t>
      </w:r>
      <w:r w:rsidR="00F4689A">
        <w:rPr>
          <w:bCs/>
          <w:sz w:val="24"/>
          <w:szCs w:val="24"/>
        </w:rPr>
        <w:t xml:space="preserve">order to obtain </w:t>
      </w:r>
      <w:r w:rsidR="001F0A3F">
        <w:rPr>
          <w:bCs/>
          <w:sz w:val="24"/>
          <w:szCs w:val="24"/>
        </w:rPr>
        <w:t>216</w:t>
      </w:r>
      <w:r w:rsidR="008210AB">
        <w:rPr>
          <w:bCs/>
          <w:sz w:val="24"/>
          <w:szCs w:val="24"/>
        </w:rPr>
        <w:t xml:space="preserve"> </w:t>
      </w:r>
      <w:r w:rsidR="00315D4D">
        <w:rPr>
          <w:bCs/>
          <w:sz w:val="24"/>
          <w:szCs w:val="24"/>
        </w:rPr>
        <w:t xml:space="preserve">(12*18=216) </w:t>
      </w:r>
      <w:r w:rsidR="00F4689A">
        <w:rPr>
          <w:bCs/>
          <w:sz w:val="24"/>
          <w:szCs w:val="24"/>
        </w:rPr>
        <w:t xml:space="preserve">participants.  </w:t>
      </w:r>
      <w:r w:rsidR="006471CA">
        <w:rPr>
          <w:bCs/>
          <w:sz w:val="24"/>
          <w:szCs w:val="24"/>
        </w:rPr>
        <w:t>In order to be sure we obtain</w:t>
      </w:r>
      <w:r w:rsidR="007E7DF3">
        <w:rPr>
          <w:bCs/>
          <w:sz w:val="24"/>
          <w:szCs w:val="24"/>
        </w:rPr>
        <w:t xml:space="preserve"> a</w:t>
      </w:r>
      <w:r w:rsidR="006471CA">
        <w:rPr>
          <w:bCs/>
          <w:sz w:val="24"/>
          <w:szCs w:val="24"/>
        </w:rPr>
        <w:t xml:space="preserve"> sufficient </w:t>
      </w:r>
      <w:r w:rsidR="007E7DF3">
        <w:rPr>
          <w:bCs/>
          <w:sz w:val="24"/>
          <w:szCs w:val="24"/>
        </w:rPr>
        <w:t xml:space="preserve">number of </w:t>
      </w:r>
      <w:r w:rsidR="006471CA">
        <w:rPr>
          <w:bCs/>
          <w:sz w:val="24"/>
          <w:szCs w:val="24"/>
        </w:rPr>
        <w:t>responses, we plan to email participants</w:t>
      </w:r>
      <w:r w:rsidR="000E47AC">
        <w:rPr>
          <w:bCs/>
          <w:sz w:val="24"/>
          <w:szCs w:val="24"/>
        </w:rPr>
        <w:t xml:space="preserve"> in waves of 300</w:t>
      </w:r>
      <w:r w:rsidR="00837854">
        <w:rPr>
          <w:bCs/>
          <w:sz w:val="24"/>
          <w:szCs w:val="24"/>
        </w:rPr>
        <w:t xml:space="preserve"> (approximately the number necessary to obtain one full session of 16 subjects)</w:t>
      </w:r>
      <w:r w:rsidR="006471CA">
        <w:rPr>
          <w:bCs/>
          <w:sz w:val="24"/>
          <w:szCs w:val="24"/>
        </w:rPr>
        <w:t xml:space="preserve">.  </w:t>
      </w:r>
      <w:r w:rsidR="00F4689A">
        <w:rPr>
          <w:bCs/>
          <w:sz w:val="24"/>
          <w:szCs w:val="24"/>
        </w:rPr>
        <w:t xml:space="preserve">We estimate that participants will require five minutes to read the recruitment email and respond that they would like to attend an experiment.  This will result in the use of </w:t>
      </w:r>
      <w:r w:rsidR="00C83C0B">
        <w:rPr>
          <w:bCs/>
          <w:sz w:val="24"/>
          <w:szCs w:val="24"/>
        </w:rPr>
        <w:t>18</w:t>
      </w:r>
      <w:r w:rsidR="00F4689A">
        <w:rPr>
          <w:bCs/>
          <w:sz w:val="24"/>
          <w:szCs w:val="24"/>
        </w:rPr>
        <w:t xml:space="preserve"> burden hours</w:t>
      </w:r>
      <w:r w:rsidR="007E7DF3">
        <w:rPr>
          <w:bCs/>
          <w:sz w:val="24"/>
          <w:szCs w:val="24"/>
        </w:rPr>
        <w:t xml:space="preserve"> (5 minutes X </w:t>
      </w:r>
      <w:r w:rsidR="00C83C0B">
        <w:rPr>
          <w:bCs/>
          <w:sz w:val="24"/>
          <w:szCs w:val="24"/>
        </w:rPr>
        <w:t>216</w:t>
      </w:r>
      <w:r w:rsidR="007E7DF3">
        <w:rPr>
          <w:bCs/>
          <w:sz w:val="24"/>
          <w:szCs w:val="24"/>
        </w:rPr>
        <w:t xml:space="preserve"> affirmative responses)</w:t>
      </w:r>
      <w:r w:rsidR="00F4689A">
        <w:rPr>
          <w:bCs/>
          <w:sz w:val="24"/>
          <w:szCs w:val="24"/>
        </w:rPr>
        <w:t>.  We estimate that it will take individuals two minutes to read the entire email and decide not to respond.</w:t>
      </w:r>
      <w:r w:rsidR="00B567A8">
        <w:rPr>
          <w:bCs/>
          <w:sz w:val="24"/>
          <w:szCs w:val="24"/>
        </w:rPr>
        <w:t xml:space="preserve"> </w:t>
      </w:r>
      <w:r w:rsidR="007E68A2">
        <w:rPr>
          <w:bCs/>
          <w:sz w:val="24"/>
          <w:szCs w:val="24"/>
        </w:rPr>
        <w:t xml:space="preserve"> </w:t>
      </w:r>
      <w:r w:rsidR="00B567A8">
        <w:rPr>
          <w:bCs/>
          <w:sz w:val="24"/>
          <w:szCs w:val="24"/>
        </w:rPr>
        <w:t xml:space="preserve">This results in a total of </w:t>
      </w:r>
      <w:r w:rsidR="001C56B4">
        <w:rPr>
          <w:bCs/>
          <w:sz w:val="24"/>
          <w:szCs w:val="24"/>
        </w:rPr>
        <w:t>136.8</w:t>
      </w:r>
      <w:r w:rsidR="00B567A8">
        <w:rPr>
          <w:bCs/>
          <w:sz w:val="24"/>
          <w:szCs w:val="24"/>
        </w:rPr>
        <w:t xml:space="preserve"> burden hours</w:t>
      </w:r>
      <w:r w:rsidR="007E68A2">
        <w:rPr>
          <w:bCs/>
          <w:sz w:val="24"/>
          <w:szCs w:val="24"/>
        </w:rPr>
        <w:t xml:space="preserve"> (</w:t>
      </w:r>
      <w:r w:rsidR="00043135">
        <w:rPr>
          <w:bCs/>
          <w:sz w:val="24"/>
          <w:szCs w:val="24"/>
        </w:rPr>
        <w:t xml:space="preserve">2 minutes X </w:t>
      </w:r>
      <w:r w:rsidR="001C56B4">
        <w:rPr>
          <w:bCs/>
          <w:sz w:val="24"/>
          <w:szCs w:val="24"/>
        </w:rPr>
        <w:t>4,104</w:t>
      </w:r>
      <w:r w:rsidR="007E68A2">
        <w:rPr>
          <w:bCs/>
          <w:sz w:val="24"/>
          <w:szCs w:val="24"/>
        </w:rPr>
        <w:t xml:space="preserve"> nonresponses)</w:t>
      </w:r>
      <w:r w:rsidR="00B567A8">
        <w:rPr>
          <w:bCs/>
          <w:sz w:val="24"/>
          <w:szCs w:val="24"/>
        </w:rPr>
        <w:t>.</w:t>
      </w:r>
    </w:p>
    <w:p w14:paraId="26082063" w14:textId="77777777" w:rsidR="006466BC" w:rsidRPr="00AF74D5" w:rsidRDefault="00B567A8" w:rsidP="00F13F33">
      <w:pPr>
        <w:pStyle w:val="Num-DocParagraph"/>
        <w:ind w:left="720"/>
        <w:rPr>
          <w:bCs/>
          <w:color w:val="000000" w:themeColor="text1"/>
          <w:sz w:val="24"/>
          <w:szCs w:val="24"/>
        </w:rPr>
      </w:pPr>
      <w:r>
        <w:rPr>
          <w:bCs/>
          <w:sz w:val="24"/>
          <w:szCs w:val="24"/>
        </w:rPr>
        <w:t xml:space="preserve">The total number of burden hours used for this study will be the sum of recruitment </w:t>
      </w:r>
      <w:r w:rsidRPr="00AF74D5">
        <w:rPr>
          <w:bCs/>
          <w:color w:val="000000" w:themeColor="text1"/>
          <w:sz w:val="24"/>
          <w:szCs w:val="24"/>
        </w:rPr>
        <w:t xml:space="preserve">burden hours and experimental burden hours: </w:t>
      </w:r>
      <w:r w:rsidR="00214ADB" w:rsidRPr="00AF74D5">
        <w:rPr>
          <w:bCs/>
          <w:color w:val="000000" w:themeColor="text1"/>
          <w:sz w:val="24"/>
          <w:szCs w:val="24"/>
        </w:rPr>
        <w:t>288</w:t>
      </w:r>
      <w:r w:rsidRPr="00AF74D5">
        <w:rPr>
          <w:bCs/>
          <w:color w:val="000000" w:themeColor="text1"/>
          <w:sz w:val="24"/>
          <w:szCs w:val="24"/>
        </w:rPr>
        <w:t xml:space="preserve">+ </w:t>
      </w:r>
      <w:r w:rsidR="001C56B4" w:rsidRPr="00AF74D5">
        <w:rPr>
          <w:bCs/>
          <w:color w:val="000000" w:themeColor="text1"/>
          <w:sz w:val="24"/>
          <w:szCs w:val="24"/>
        </w:rPr>
        <w:t>18</w:t>
      </w:r>
      <w:r w:rsidRPr="00AF74D5">
        <w:rPr>
          <w:bCs/>
          <w:color w:val="000000" w:themeColor="text1"/>
          <w:sz w:val="24"/>
          <w:szCs w:val="24"/>
        </w:rPr>
        <w:t xml:space="preserve"> + </w:t>
      </w:r>
      <w:r w:rsidR="001C56B4" w:rsidRPr="00AF74D5">
        <w:rPr>
          <w:bCs/>
          <w:color w:val="000000" w:themeColor="text1"/>
          <w:sz w:val="24"/>
          <w:szCs w:val="24"/>
        </w:rPr>
        <w:t>136.8</w:t>
      </w:r>
      <w:r w:rsidRPr="00AF74D5">
        <w:rPr>
          <w:bCs/>
          <w:color w:val="000000" w:themeColor="text1"/>
          <w:sz w:val="24"/>
          <w:szCs w:val="24"/>
        </w:rPr>
        <w:t xml:space="preserve"> =</w:t>
      </w:r>
      <w:r w:rsidR="00214ADB" w:rsidRPr="00AF74D5">
        <w:rPr>
          <w:bCs/>
          <w:color w:val="000000" w:themeColor="text1"/>
          <w:sz w:val="24"/>
          <w:szCs w:val="24"/>
        </w:rPr>
        <w:t>442</w:t>
      </w:r>
      <w:r w:rsidR="001C56B4" w:rsidRPr="00AF74D5">
        <w:rPr>
          <w:bCs/>
          <w:color w:val="000000" w:themeColor="text1"/>
          <w:sz w:val="24"/>
          <w:szCs w:val="24"/>
        </w:rPr>
        <w:t>.8</w:t>
      </w:r>
      <w:r w:rsidRPr="00AF74D5">
        <w:rPr>
          <w:bCs/>
          <w:color w:val="000000" w:themeColor="text1"/>
          <w:sz w:val="24"/>
          <w:szCs w:val="24"/>
        </w:rPr>
        <w:t>.</w:t>
      </w:r>
    </w:p>
    <w:tbl>
      <w:tblPr>
        <w:tblW w:w="10710" w:type="dxa"/>
        <w:tblInd w:w="-725" w:type="dxa"/>
        <w:tblLayout w:type="fixed"/>
        <w:tblLook w:val="04A0" w:firstRow="1" w:lastRow="0" w:firstColumn="1" w:lastColumn="0" w:noHBand="0" w:noVBand="1"/>
      </w:tblPr>
      <w:tblGrid>
        <w:gridCol w:w="1350"/>
        <w:gridCol w:w="900"/>
        <w:gridCol w:w="630"/>
        <w:gridCol w:w="810"/>
        <w:gridCol w:w="829"/>
        <w:gridCol w:w="791"/>
        <w:gridCol w:w="898"/>
        <w:gridCol w:w="1082"/>
        <w:gridCol w:w="810"/>
        <w:gridCol w:w="810"/>
        <w:gridCol w:w="900"/>
        <w:gridCol w:w="900"/>
      </w:tblGrid>
      <w:tr w:rsidR="00C30A87" w:rsidRPr="00C45650" w14:paraId="335EA123" w14:textId="77777777" w:rsidTr="00554550">
        <w:trPr>
          <w:trHeight w:val="575"/>
        </w:trPr>
        <w:tc>
          <w:tcPr>
            <w:tcW w:w="1350" w:type="dxa"/>
            <w:vMerge w:val="restart"/>
            <w:tcBorders>
              <w:top w:val="single" w:sz="4" w:space="0" w:color="auto"/>
              <w:left w:val="single" w:sz="4" w:space="0" w:color="auto"/>
              <w:bottom w:val="nil"/>
              <w:right w:val="single" w:sz="4" w:space="0" w:color="auto"/>
            </w:tcBorders>
            <w:shd w:val="clear" w:color="auto" w:fill="auto"/>
            <w:vAlign w:val="bottom"/>
            <w:hideMark/>
          </w:tcPr>
          <w:p w14:paraId="20CF46F7"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Instrument/experiment</w:t>
            </w:r>
          </w:p>
        </w:tc>
        <w:tc>
          <w:tcPr>
            <w:tcW w:w="900" w:type="dxa"/>
            <w:vMerge w:val="restart"/>
            <w:tcBorders>
              <w:top w:val="single" w:sz="4" w:space="0" w:color="auto"/>
              <w:left w:val="single" w:sz="4" w:space="0" w:color="auto"/>
              <w:bottom w:val="nil"/>
              <w:right w:val="nil"/>
            </w:tcBorders>
            <w:shd w:val="clear" w:color="auto" w:fill="auto"/>
            <w:vAlign w:val="bottom"/>
            <w:hideMark/>
          </w:tcPr>
          <w:p w14:paraId="4AE232C5"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Sample Size</w:t>
            </w:r>
          </w:p>
        </w:tc>
        <w:tc>
          <w:tcPr>
            <w:tcW w:w="63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2C27C84" w14:textId="77777777" w:rsidR="00CF3B35" w:rsidRPr="00AF74D5" w:rsidRDefault="00CF3B35" w:rsidP="00136618">
            <w:pPr>
              <w:jc w:val="center"/>
              <w:rPr>
                <w:rFonts w:ascii="Calibri" w:hAnsi="Calibri"/>
                <w:b/>
                <w:bCs/>
                <w:color w:val="000000" w:themeColor="text1"/>
              </w:rPr>
            </w:pPr>
            <w:proofErr w:type="spellStart"/>
            <w:r w:rsidRPr="00AF74D5">
              <w:rPr>
                <w:rFonts w:ascii="Calibri" w:hAnsi="Calibri"/>
                <w:b/>
                <w:bCs/>
                <w:color w:val="000000" w:themeColor="text1"/>
              </w:rPr>
              <w:t>Freq</w:t>
            </w:r>
            <w:proofErr w:type="spellEnd"/>
          </w:p>
        </w:tc>
        <w:tc>
          <w:tcPr>
            <w:tcW w:w="3328" w:type="dxa"/>
            <w:gridSpan w:val="4"/>
            <w:tcBorders>
              <w:top w:val="single" w:sz="4" w:space="0" w:color="auto"/>
              <w:left w:val="nil"/>
              <w:bottom w:val="single" w:sz="4" w:space="0" w:color="auto"/>
              <w:right w:val="nil"/>
            </w:tcBorders>
            <w:shd w:val="clear" w:color="auto" w:fill="auto"/>
            <w:noWrap/>
            <w:vAlign w:val="bottom"/>
            <w:hideMark/>
          </w:tcPr>
          <w:p w14:paraId="5A2FC2B2"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Responses</w:t>
            </w:r>
          </w:p>
        </w:tc>
        <w:tc>
          <w:tcPr>
            <w:tcW w:w="360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4D1255"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Non-response</w:t>
            </w:r>
          </w:p>
        </w:tc>
        <w:tc>
          <w:tcPr>
            <w:tcW w:w="900" w:type="dxa"/>
            <w:vMerge w:val="restart"/>
            <w:tcBorders>
              <w:top w:val="single" w:sz="4" w:space="0" w:color="auto"/>
              <w:left w:val="single" w:sz="4" w:space="0" w:color="auto"/>
              <w:bottom w:val="nil"/>
              <w:right w:val="single" w:sz="4" w:space="0" w:color="auto"/>
            </w:tcBorders>
            <w:shd w:val="clear" w:color="auto" w:fill="auto"/>
            <w:vAlign w:val="bottom"/>
            <w:hideMark/>
          </w:tcPr>
          <w:p w14:paraId="28C547C2"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Total Burden Hours</w:t>
            </w:r>
          </w:p>
        </w:tc>
      </w:tr>
      <w:tr w:rsidR="00C30A87" w:rsidRPr="00C45650" w14:paraId="1E67E680" w14:textId="77777777" w:rsidTr="00554550">
        <w:trPr>
          <w:trHeight w:val="900"/>
        </w:trPr>
        <w:tc>
          <w:tcPr>
            <w:tcW w:w="1350" w:type="dxa"/>
            <w:vMerge/>
            <w:tcBorders>
              <w:top w:val="single" w:sz="4" w:space="0" w:color="auto"/>
              <w:left w:val="single" w:sz="4" w:space="0" w:color="auto"/>
              <w:bottom w:val="nil"/>
              <w:right w:val="single" w:sz="4" w:space="0" w:color="auto"/>
            </w:tcBorders>
            <w:vAlign w:val="center"/>
            <w:hideMark/>
          </w:tcPr>
          <w:p w14:paraId="50589661" w14:textId="77777777" w:rsidR="00CF3B35" w:rsidRPr="00AF74D5" w:rsidRDefault="00CF3B35" w:rsidP="00136618">
            <w:pPr>
              <w:rPr>
                <w:rFonts w:ascii="Calibri" w:hAnsi="Calibri"/>
                <w:b/>
                <w:bCs/>
                <w:color w:val="000000" w:themeColor="text1"/>
              </w:rPr>
            </w:pPr>
          </w:p>
        </w:tc>
        <w:tc>
          <w:tcPr>
            <w:tcW w:w="900" w:type="dxa"/>
            <w:vMerge/>
            <w:tcBorders>
              <w:top w:val="single" w:sz="4" w:space="0" w:color="auto"/>
              <w:left w:val="single" w:sz="4" w:space="0" w:color="auto"/>
              <w:bottom w:val="nil"/>
              <w:right w:val="nil"/>
            </w:tcBorders>
            <w:vAlign w:val="center"/>
            <w:hideMark/>
          </w:tcPr>
          <w:p w14:paraId="718DD8D5" w14:textId="77777777" w:rsidR="00CF3B35" w:rsidRPr="00AF74D5" w:rsidRDefault="00CF3B35" w:rsidP="00136618">
            <w:pPr>
              <w:rPr>
                <w:rFonts w:ascii="Calibri" w:hAnsi="Calibri"/>
                <w:b/>
                <w:bCs/>
                <w:color w:val="000000" w:themeColor="text1"/>
              </w:rPr>
            </w:pPr>
          </w:p>
        </w:tc>
        <w:tc>
          <w:tcPr>
            <w:tcW w:w="630" w:type="dxa"/>
            <w:vMerge/>
            <w:tcBorders>
              <w:top w:val="single" w:sz="4" w:space="0" w:color="auto"/>
              <w:left w:val="single" w:sz="4" w:space="0" w:color="auto"/>
              <w:bottom w:val="nil"/>
              <w:right w:val="single" w:sz="4" w:space="0" w:color="auto"/>
            </w:tcBorders>
            <w:vAlign w:val="center"/>
            <w:hideMark/>
          </w:tcPr>
          <w:p w14:paraId="69C45C29" w14:textId="77777777" w:rsidR="00CF3B35" w:rsidRPr="00AF74D5" w:rsidRDefault="00CF3B35" w:rsidP="00136618">
            <w:pPr>
              <w:rPr>
                <w:rFonts w:ascii="Calibri" w:hAnsi="Calibri"/>
                <w:b/>
                <w:bCs/>
                <w:color w:val="000000" w:themeColor="text1"/>
              </w:rPr>
            </w:pPr>
          </w:p>
        </w:tc>
        <w:tc>
          <w:tcPr>
            <w:tcW w:w="810" w:type="dxa"/>
            <w:tcBorders>
              <w:top w:val="nil"/>
              <w:left w:val="nil"/>
              <w:bottom w:val="nil"/>
              <w:right w:val="nil"/>
            </w:tcBorders>
            <w:shd w:val="clear" w:color="auto" w:fill="auto"/>
            <w:vAlign w:val="bottom"/>
            <w:hideMark/>
          </w:tcPr>
          <w:p w14:paraId="2D10899B"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Resp. Count</w:t>
            </w:r>
          </w:p>
        </w:tc>
        <w:tc>
          <w:tcPr>
            <w:tcW w:w="829" w:type="dxa"/>
            <w:tcBorders>
              <w:top w:val="nil"/>
              <w:left w:val="single" w:sz="4" w:space="0" w:color="auto"/>
              <w:bottom w:val="nil"/>
              <w:right w:val="single" w:sz="4" w:space="0" w:color="auto"/>
            </w:tcBorders>
            <w:shd w:val="clear" w:color="auto" w:fill="auto"/>
            <w:vAlign w:val="bottom"/>
            <w:hideMark/>
          </w:tcPr>
          <w:p w14:paraId="6E7BCAAF"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Freq</w:t>
            </w:r>
            <w:proofErr w:type="spellEnd"/>
            <w:r w:rsidRPr="00AF74D5">
              <w:rPr>
                <w:rFonts w:ascii="Calibri" w:hAnsi="Calibri"/>
                <w:b/>
                <w:bCs/>
                <w:color w:val="000000" w:themeColor="text1"/>
              </w:rPr>
              <w:t xml:space="preserve"> X Count</w:t>
            </w:r>
          </w:p>
        </w:tc>
        <w:tc>
          <w:tcPr>
            <w:tcW w:w="791" w:type="dxa"/>
            <w:tcBorders>
              <w:top w:val="nil"/>
              <w:left w:val="nil"/>
              <w:bottom w:val="single" w:sz="4" w:space="0" w:color="auto"/>
              <w:right w:val="single" w:sz="4" w:space="0" w:color="auto"/>
            </w:tcBorders>
            <w:shd w:val="clear" w:color="auto" w:fill="auto"/>
            <w:vAlign w:val="bottom"/>
            <w:hideMark/>
          </w:tcPr>
          <w:p w14:paraId="1E1B9170"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Min./Resp.</w:t>
            </w:r>
          </w:p>
        </w:tc>
        <w:tc>
          <w:tcPr>
            <w:tcW w:w="898" w:type="dxa"/>
            <w:tcBorders>
              <w:top w:val="nil"/>
              <w:left w:val="nil"/>
              <w:bottom w:val="nil"/>
              <w:right w:val="nil"/>
            </w:tcBorders>
            <w:shd w:val="clear" w:color="auto" w:fill="auto"/>
            <w:vAlign w:val="bottom"/>
            <w:hideMark/>
          </w:tcPr>
          <w:p w14:paraId="22A744E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Burden Hours</w:t>
            </w:r>
          </w:p>
        </w:tc>
        <w:tc>
          <w:tcPr>
            <w:tcW w:w="1082" w:type="dxa"/>
            <w:tcBorders>
              <w:top w:val="nil"/>
              <w:left w:val="single" w:sz="4" w:space="0" w:color="auto"/>
              <w:bottom w:val="nil"/>
              <w:right w:val="nil"/>
            </w:tcBorders>
            <w:shd w:val="clear" w:color="auto" w:fill="auto"/>
            <w:vAlign w:val="bottom"/>
            <w:hideMark/>
          </w:tcPr>
          <w:p w14:paraId="060A9215"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Nonresp</w:t>
            </w:r>
            <w:proofErr w:type="spellEnd"/>
            <w:r w:rsidRPr="00AF74D5">
              <w:rPr>
                <w:rFonts w:ascii="Calibri" w:hAnsi="Calibri"/>
                <w:b/>
                <w:bCs/>
                <w:color w:val="000000" w:themeColor="text1"/>
              </w:rPr>
              <w:t>. Count</w:t>
            </w:r>
          </w:p>
        </w:tc>
        <w:tc>
          <w:tcPr>
            <w:tcW w:w="810" w:type="dxa"/>
            <w:tcBorders>
              <w:top w:val="nil"/>
              <w:left w:val="single" w:sz="4" w:space="0" w:color="auto"/>
              <w:bottom w:val="nil"/>
              <w:right w:val="single" w:sz="4" w:space="0" w:color="auto"/>
            </w:tcBorders>
            <w:shd w:val="clear" w:color="auto" w:fill="auto"/>
            <w:vAlign w:val="bottom"/>
            <w:hideMark/>
          </w:tcPr>
          <w:p w14:paraId="5E92EC65"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Freq</w:t>
            </w:r>
            <w:proofErr w:type="spellEnd"/>
            <w:r w:rsidRPr="00AF74D5">
              <w:rPr>
                <w:rFonts w:ascii="Calibri" w:hAnsi="Calibri"/>
                <w:b/>
                <w:bCs/>
                <w:color w:val="000000" w:themeColor="text1"/>
              </w:rPr>
              <w:t xml:space="preserve"> X Count</w:t>
            </w:r>
          </w:p>
        </w:tc>
        <w:tc>
          <w:tcPr>
            <w:tcW w:w="810" w:type="dxa"/>
            <w:tcBorders>
              <w:top w:val="nil"/>
              <w:left w:val="nil"/>
              <w:bottom w:val="nil"/>
              <w:right w:val="single" w:sz="4" w:space="0" w:color="auto"/>
            </w:tcBorders>
            <w:shd w:val="clear" w:color="auto" w:fill="auto"/>
            <w:vAlign w:val="bottom"/>
            <w:hideMark/>
          </w:tcPr>
          <w:p w14:paraId="4583C472"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Min./Resp.</w:t>
            </w:r>
          </w:p>
        </w:tc>
        <w:tc>
          <w:tcPr>
            <w:tcW w:w="900" w:type="dxa"/>
            <w:tcBorders>
              <w:top w:val="nil"/>
              <w:left w:val="nil"/>
              <w:bottom w:val="nil"/>
              <w:right w:val="nil"/>
            </w:tcBorders>
            <w:shd w:val="clear" w:color="auto" w:fill="auto"/>
            <w:vAlign w:val="bottom"/>
            <w:hideMark/>
          </w:tcPr>
          <w:p w14:paraId="6B141683"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Burden Hours</w:t>
            </w:r>
          </w:p>
        </w:tc>
        <w:tc>
          <w:tcPr>
            <w:tcW w:w="900" w:type="dxa"/>
            <w:vMerge/>
            <w:tcBorders>
              <w:top w:val="single" w:sz="4" w:space="0" w:color="auto"/>
              <w:left w:val="single" w:sz="4" w:space="0" w:color="auto"/>
              <w:bottom w:val="nil"/>
              <w:right w:val="single" w:sz="4" w:space="0" w:color="auto"/>
            </w:tcBorders>
            <w:vAlign w:val="center"/>
            <w:hideMark/>
          </w:tcPr>
          <w:p w14:paraId="7CB09C44" w14:textId="77777777" w:rsidR="00CF3B35" w:rsidRPr="00AF74D5" w:rsidRDefault="00CF3B35" w:rsidP="00136618">
            <w:pPr>
              <w:rPr>
                <w:rFonts w:ascii="Calibri" w:hAnsi="Calibri"/>
                <w:b/>
                <w:bCs/>
                <w:color w:val="000000" w:themeColor="text1"/>
              </w:rPr>
            </w:pPr>
          </w:p>
        </w:tc>
      </w:tr>
      <w:tr w:rsidR="00C30A87" w:rsidRPr="00C45650" w14:paraId="5BD1CAF4" w14:textId="77777777" w:rsidTr="00554550">
        <w:trPr>
          <w:trHeight w:val="225"/>
        </w:trPr>
        <w:tc>
          <w:tcPr>
            <w:tcW w:w="1350" w:type="dxa"/>
            <w:tcBorders>
              <w:top w:val="single" w:sz="4" w:space="0" w:color="auto"/>
              <w:left w:val="single" w:sz="4" w:space="0" w:color="auto"/>
              <w:bottom w:val="nil"/>
              <w:right w:val="single" w:sz="4" w:space="0" w:color="auto"/>
            </w:tcBorders>
            <w:shd w:val="clear" w:color="auto" w:fill="auto"/>
            <w:vAlign w:val="bottom"/>
            <w:hideMark/>
          </w:tcPr>
          <w:p w14:paraId="1302717A"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nil"/>
              <w:bottom w:val="nil"/>
              <w:right w:val="nil"/>
            </w:tcBorders>
            <w:shd w:val="clear" w:color="auto" w:fill="auto"/>
            <w:vAlign w:val="bottom"/>
            <w:hideMark/>
          </w:tcPr>
          <w:p w14:paraId="5FC818E7"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630" w:type="dxa"/>
            <w:tcBorders>
              <w:top w:val="single" w:sz="4" w:space="0" w:color="auto"/>
              <w:left w:val="single" w:sz="4" w:space="0" w:color="auto"/>
              <w:bottom w:val="nil"/>
              <w:right w:val="single" w:sz="4" w:space="0" w:color="auto"/>
            </w:tcBorders>
            <w:shd w:val="clear" w:color="auto" w:fill="auto"/>
            <w:noWrap/>
            <w:vAlign w:val="bottom"/>
            <w:hideMark/>
          </w:tcPr>
          <w:p w14:paraId="1A704FFB"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nil"/>
              <w:bottom w:val="nil"/>
              <w:right w:val="nil"/>
            </w:tcBorders>
            <w:shd w:val="clear" w:color="auto" w:fill="auto"/>
            <w:vAlign w:val="bottom"/>
            <w:hideMark/>
          </w:tcPr>
          <w:p w14:paraId="61B8FF89"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29" w:type="dxa"/>
            <w:tcBorders>
              <w:top w:val="single" w:sz="4" w:space="0" w:color="auto"/>
              <w:left w:val="single" w:sz="4" w:space="0" w:color="auto"/>
              <w:bottom w:val="nil"/>
              <w:right w:val="single" w:sz="4" w:space="0" w:color="auto"/>
            </w:tcBorders>
            <w:shd w:val="clear" w:color="auto" w:fill="auto"/>
            <w:vAlign w:val="bottom"/>
            <w:hideMark/>
          </w:tcPr>
          <w:p w14:paraId="1130232F"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791" w:type="dxa"/>
            <w:tcBorders>
              <w:top w:val="nil"/>
              <w:left w:val="nil"/>
              <w:bottom w:val="nil"/>
              <w:right w:val="single" w:sz="4" w:space="0" w:color="auto"/>
            </w:tcBorders>
            <w:shd w:val="clear" w:color="auto" w:fill="auto"/>
            <w:vAlign w:val="bottom"/>
            <w:hideMark/>
          </w:tcPr>
          <w:p w14:paraId="7EC27193"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98" w:type="dxa"/>
            <w:tcBorders>
              <w:top w:val="single" w:sz="4" w:space="0" w:color="auto"/>
              <w:left w:val="nil"/>
              <w:bottom w:val="nil"/>
              <w:right w:val="nil"/>
            </w:tcBorders>
            <w:shd w:val="clear" w:color="auto" w:fill="auto"/>
            <w:vAlign w:val="bottom"/>
            <w:hideMark/>
          </w:tcPr>
          <w:p w14:paraId="048C1AC1"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1082" w:type="dxa"/>
            <w:tcBorders>
              <w:top w:val="single" w:sz="4" w:space="0" w:color="auto"/>
              <w:left w:val="single" w:sz="4" w:space="0" w:color="auto"/>
              <w:bottom w:val="nil"/>
              <w:right w:val="nil"/>
            </w:tcBorders>
            <w:shd w:val="clear" w:color="auto" w:fill="auto"/>
            <w:vAlign w:val="bottom"/>
            <w:hideMark/>
          </w:tcPr>
          <w:p w14:paraId="0DEB057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single" w:sz="4" w:space="0" w:color="auto"/>
              <w:bottom w:val="nil"/>
              <w:right w:val="single" w:sz="4" w:space="0" w:color="auto"/>
            </w:tcBorders>
            <w:shd w:val="clear" w:color="auto" w:fill="auto"/>
            <w:vAlign w:val="bottom"/>
            <w:hideMark/>
          </w:tcPr>
          <w:p w14:paraId="0C3CF47B"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nil"/>
              <w:bottom w:val="nil"/>
              <w:right w:val="single" w:sz="4" w:space="0" w:color="auto"/>
            </w:tcBorders>
            <w:shd w:val="clear" w:color="auto" w:fill="auto"/>
            <w:vAlign w:val="bottom"/>
            <w:hideMark/>
          </w:tcPr>
          <w:p w14:paraId="197BD526"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nil"/>
              <w:bottom w:val="nil"/>
              <w:right w:val="nil"/>
            </w:tcBorders>
            <w:shd w:val="clear" w:color="auto" w:fill="auto"/>
            <w:vAlign w:val="bottom"/>
            <w:hideMark/>
          </w:tcPr>
          <w:p w14:paraId="3EACCAB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single" w:sz="4" w:space="0" w:color="auto"/>
              <w:bottom w:val="nil"/>
              <w:right w:val="single" w:sz="4" w:space="0" w:color="auto"/>
            </w:tcBorders>
            <w:shd w:val="clear" w:color="auto" w:fill="auto"/>
            <w:vAlign w:val="bottom"/>
            <w:hideMark/>
          </w:tcPr>
          <w:p w14:paraId="05E92234"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r>
      <w:tr w:rsidR="00C30A87" w:rsidRPr="00C45650" w14:paraId="1C0492B1" w14:textId="77777777" w:rsidTr="00554550">
        <w:trPr>
          <w:trHeight w:val="600"/>
        </w:trPr>
        <w:tc>
          <w:tcPr>
            <w:tcW w:w="1350" w:type="dxa"/>
            <w:tcBorders>
              <w:top w:val="nil"/>
              <w:left w:val="single" w:sz="4" w:space="0" w:color="auto"/>
              <w:bottom w:val="single" w:sz="4" w:space="0" w:color="auto"/>
              <w:right w:val="single" w:sz="4" w:space="0" w:color="auto"/>
            </w:tcBorders>
            <w:shd w:val="clear" w:color="auto" w:fill="auto"/>
            <w:vAlign w:val="bottom"/>
            <w:hideMark/>
          </w:tcPr>
          <w:p w14:paraId="1A63D6F9"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Recruitment email</w:t>
            </w:r>
          </w:p>
        </w:tc>
        <w:tc>
          <w:tcPr>
            <w:tcW w:w="900" w:type="dxa"/>
            <w:tcBorders>
              <w:top w:val="nil"/>
              <w:left w:val="nil"/>
              <w:bottom w:val="single" w:sz="4" w:space="0" w:color="auto"/>
              <w:right w:val="nil"/>
            </w:tcBorders>
            <w:shd w:val="clear" w:color="auto" w:fill="auto"/>
            <w:noWrap/>
            <w:vAlign w:val="bottom"/>
            <w:hideMark/>
          </w:tcPr>
          <w:p w14:paraId="033ACA41"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4,320</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16DD12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810" w:type="dxa"/>
            <w:tcBorders>
              <w:top w:val="nil"/>
              <w:left w:val="nil"/>
              <w:bottom w:val="single" w:sz="4" w:space="0" w:color="auto"/>
              <w:right w:val="nil"/>
            </w:tcBorders>
            <w:shd w:val="clear" w:color="auto" w:fill="auto"/>
            <w:noWrap/>
            <w:vAlign w:val="bottom"/>
            <w:hideMark/>
          </w:tcPr>
          <w:p w14:paraId="6CFD2E64"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47E99AC6"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791" w:type="dxa"/>
            <w:tcBorders>
              <w:top w:val="nil"/>
              <w:left w:val="nil"/>
              <w:bottom w:val="single" w:sz="4" w:space="0" w:color="auto"/>
              <w:right w:val="single" w:sz="4" w:space="0" w:color="auto"/>
            </w:tcBorders>
            <w:shd w:val="clear" w:color="auto" w:fill="auto"/>
            <w:noWrap/>
            <w:vAlign w:val="bottom"/>
            <w:hideMark/>
          </w:tcPr>
          <w:p w14:paraId="67E36CAD"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5</w:t>
            </w:r>
          </w:p>
        </w:tc>
        <w:tc>
          <w:tcPr>
            <w:tcW w:w="898" w:type="dxa"/>
            <w:tcBorders>
              <w:top w:val="nil"/>
              <w:left w:val="nil"/>
              <w:bottom w:val="single" w:sz="4" w:space="0" w:color="auto"/>
              <w:right w:val="nil"/>
            </w:tcBorders>
            <w:shd w:val="clear" w:color="auto" w:fill="auto"/>
            <w:noWrap/>
            <w:vAlign w:val="bottom"/>
            <w:hideMark/>
          </w:tcPr>
          <w:p w14:paraId="1ACD256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18</w:t>
            </w:r>
          </w:p>
        </w:tc>
        <w:tc>
          <w:tcPr>
            <w:tcW w:w="1082" w:type="dxa"/>
            <w:tcBorders>
              <w:top w:val="nil"/>
              <w:left w:val="single" w:sz="4" w:space="0" w:color="auto"/>
              <w:bottom w:val="single" w:sz="4" w:space="0" w:color="auto"/>
              <w:right w:val="nil"/>
            </w:tcBorders>
            <w:shd w:val="clear" w:color="auto" w:fill="auto"/>
            <w:noWrap/>
            <w:vAlign w:val="bottom"/>
            <w:hideMark/>
          </w:tcPr>
          <w:p w14:paraId="4B1FCFB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4,104</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E711C71"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810" w:type="dxa"/>
            <w:tcBorders>
              <w:top w:val="nil"/>
              <w:left w:val="nil"/>
              <w:bottom w:val="single" w:sz="4" w:space="0" w:color="auto"/>
              <w:right w:val="single" w:sz="4" w:space="0" w:color="auto"/>
            </w:tcBorders>
            <w:shd w:val="clear" w:color="auto" w:fill="auto"/>
            <w:noWrap/>
            <w:vAlign w:val="bottom"/>
            <w:hideMark/>
          </w:tcPr>
          <w:p w14:paraId="745CD6EA"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w:t>
            </w:r>
          </w:p>
        </w:tc>
        <w:tc>
          <w:tcPr>
            <w:tcW w:w="900" w:type="dxa"/>
            <w:tcBorders>
              <w:top w:val="nil"/>
              <w:left w:val="nil"/>
              <w:bottom w:val="single" w:sz="4" w:space="0" w:color="auto"/>
              <w:right w:val="nil"/>
            </w:tcBorders>
            <w:shd w:val="clear" w:color="auto" w:fill="auto"/>
            <w:noWrap/>
            <w:vAlign w:val="bottom"/>
            <w:hideMark/>
          </w:tcPr>
          <w:p w14:paraId="28ADD43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136.80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FB3B3C6"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154.80</w:t>
            </w:r>
          </w:p>
        </w:tc>
      </w:tr>
      <w:tr w:rsidR="00C30A87" w:rsidRPr="00C45650" w14:paraId="378C1C2C" w14:textId="77777777" w:rsidTr="00554550">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67C4905"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lastRenderedPageBreak/>
              <w:t>Experiment</w:t>
            </w:r>
          </w:p>
        </w:tc>
        <w:tc>
          <w:tcPr>
            <w:tcW w:w="900" w:type="dxa"/>
            <w:tcBorders>
              <w:top w:val="nil"/>
              <w:left w:val="nil"/>
              <w:bottom w:val="single" w:sz="4" w:space="0" w:color="auto"/>
              <w:right w:val="nil"/>
            </w:tcBorders>
            <w:shd w:val="clear" w:color="auto" w:fill="auto"/>
            <w:noWrap/>
            <w:vAlign w:val="bottom"/>
            <w:hideMark/>
          </w:tcPr>
          <w:p w14:paraId="190A31EA"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729A378"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810" w:type="dxa"/>
            <w:tcBorders>
              <w:top w:val="nil"/>
              <w:left w:val="nil"/>
              <w:bottom w:val="single" w:sz="4" w:space="0" w:color="auto"/>
              <w:right w:val="nil"/>
            </w:tcBorders>
            <w:shd w:val="clear" w:color="auto" w:fill="auto"/>
            <w:noWrap/>
            <w:vAlign w:val="bottom"/>
            <w:hideMark/>
          </w:tcPr>
          <w:p w14:paraId="5370F4A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2F6798F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791" w:type="dxa"/>
            <w:tcBorders>
              <w:top w:val="nil"/>
              <w:left w:val="nil"/>
              <w:bottom w:val="single" w:sz="4" w:space="0" w:color="auto"/>
              <w:right w:val="single" w:sz="4" w:space="0" w:color="auto"/>
            </w:tcBorders>
            <w:shd w:val="clear" w:color="auto" w:fill="auto"/>
            <w:noWrap/>
            <w:vAlign w:val="bottom"/>
            <w:hideMark/>
          </w:tcPr>
          <w:p w14:paraId="346523B0"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90</w:t>
            </w:r>
          </w:p>
        </w:tc>
        <w:tc>
          <w:tcPr>
            <w:tcW w:w="898" w:type="dxa"/>
            <w:tcBorders>
              <w:top w:val="nil"/>
              <w:left w:val="nil"/>
              <w:bottom w:val="single" w:sz="4" w:space="0" w:color="auto"/>
              <w:right w:val="nil"/>
            </w:tcBorders>
            <w:shd w:val="clear" w:color="auto" w:fill="auto"/>
            <w:noWrap/>
            <w:vAlign w:val="bottom"/>
            <w:hideMark/>
          </w:tcPr>
          <w:p w14:paraId="2716E17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288</w:t>
            </w:r>
          </w:p>
        </w:tc>
        <w:tc>
          <w:tcPr>
            <w:tcW w:w="1082" w:type="dxa"/>
            <w:tcBorders>
              <w:top w:val="nil"/>
              <w:left w:val="single" w:sz="4" w:space="0" w:color="auto"/>
              <w:bottom w:val="single" w:sz="4" w:space="0" w:color="auto"/>
              <w:right w:val="nil"/>
            </w:tcBorders>
            <w:shd w:val="clear" w:color="auto" w:fill="auto"/>
            <w:noWrap/>
            <w:vAlign w:val="bottom"/>
            <w:hideMark/>
          </w:tcPr>
          <w:p w14:paraId="33D56E59"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DF7226D"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810" w:type="dxa"/>
            <w:tcBorders>
              <w:top w:val="nil"/>
              <w:left w:val="nil"/>
              <w:bottom w:val="single" w:sz="4" w:space="0" w:color="auto"/>
              <w:right w:val="single" w:sz="4" w:space="0" w:color="auto"/>
            </w:tcBorders>
            <w:shd w:val="clear" w:color="auto" w:fill="auto"/>
            <w:noWrap/>
            <w:vAlign w:val="bottom"/>
            <w:hideMark/>
          </w:tcPr>
          <w:p w14:paraId="2CF07E20"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900" w:type="dxa"/>
            <w:tcBorders>
              <w:top w:val="nil"/>
              <w:left w:val="nil"/>
              <w:bottom w:val="single" w:sz="4" w:space="0" w:color="auto"/>
              <w:right w:val="nil"/>
            </w:tcBorders>
            <w:shd w:val="clear" w:color="auto" w:fill="auto"/>
            <w:noWrap/>
            <w:vAlign w:val="bottom"/>
            <w:hideMark/>
          </w:tcPr>
          <w:p w14:paraId="212352E4"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32FB05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288</w:t>
            </w:r>
          </w:p>
        </w:tc>
      </w:tr>
      <w:tr w:rsidR="00C30A87" w:rsidRPr="00C45650" w14:paraId="66BEB5C6" w14:textId="77777777" w:rsidTr="00554550">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218A6B"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42C7FAD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CEE1CDD"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nil"/>
            </w:tcBorders>
            <w:shd w:val="clear" w:color="auto" w:fill="auto"/>
            <w:noWrap/>
            <w:vAlign w:val="bottom"/>
            <w:hideMark/>
          </w:tcPr>
          <w:p w14:paraId="25D60435"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1E6C2864"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791" w:type="dxa"/>
            <w:tcBorders>
              <w:top w:val="nil"/>
              <w:left w:val="nil"/>
              <w:bottom w:val="single" w:sz="4" w:space="0" w:color="auto"/>
              <w:right w:val="single" w:sz="4" w:space="0" w:color="auto"/>
            </w:tcBorders>
            <w:shd w:val="clear" w:color="auto" w:fill="auto"/>
            <w:noWrap/>
            <w:vAlign w:val="bottom"/>
            <w:hideMark/>
          </w:tcPr>
          <w:p w14:paraId="36565494"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98" w:type="dxa"/>
            <w:tcBorders>
              <w:top w:val="nil"/>
              <w:left w:val="nil"/>
              <w:bottom w:val="single" w:sz="4" w:space="0" w:color="auto"/>
              <w:right w:val="nil"/>
            </w:tcBorders>
            <w:shd w:val="clear" w:color="auto" w:fill="auto"/>
            <w:noWrap/>
            <w:vAlign w:val="bottom"/>
            <w:hideMark/>
          </w:tcPr>
          <w:p w14:paraId="28F779D9"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1082" w:type="dxa"/>
            <w:tcBorders>
              <w:top w:val="nil"/>
              <w:left w:val="single" w:sz="4" w:space="0" w:color="auto"/>
              <w:bottom w:val="single" w:sz="4" w:space="0" w:color="auto"/>
              <w:right w:val="nil"/>
            </w:tcBorders>
            <w:shd w:val="clear" w:color="auto" w:fill="auto"/>
            <w:noWrap/>
            <w:vAlign w:val="bottom"/>
            <w:hideMark/>
          </w:tcPr>
          <w:p w14:paraId="390A49A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AB7907C"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single" w:sz="4" w:space="0" w:color="auto"/>
            </w:tcBorders>
            <w:shd w:val="clear" w:color="auto" w:fill="auto"/>
            <w:noWrap/>
            <w:vAlign w:val="bottom"/>
            <w:hideMark/>
          </w:tcPr>
          <w:p w14:paraId="4F2ECD9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519142CA"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CBC16AC"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r>
      <w:tr w:rsidR="00C30A87" w:rsidRPr="00C45650" w14:paraId="2D210381" w14:textId="77777777" w:rsidTr="00554550">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D505F58"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Total</w:t>
            </w:r>
          </w:p>
        </w:tc>
        <w:tc>
          <w:tcPr>
            <w:tcW w:w="900" w:type="dxa"/>
            <w:tcBorders>
              <w:top w:val="nil"/>
              <w:left w:val="nil"/>
              <w:bottom w:val="single" w:sz="4" w:space="0" w:color="auto"/>
              <w:right w:val="nil"/>
            </w:tcBorders>
            <w:shd w:val="clear" w:color="auto" w:fill="auto"/>
            <w:noWrap/>
            <w:vAlign w:val="bottom"/>
            <w:hideMark/>
          </w:tcPr>
          <w:p w14:paraId="4F669AD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4,320</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E4E3AB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nil"/>
            </w:tcBorders>
            <w:shd w:val="clear" w:color="auto" w:fill="auto"/>
            <w:noWrap/>
            <w:vAlign w:val="bottom"/>
            <w:hideMark/>
          </w:tcPr>
          <w:p w14:paraId="0A2E47F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2C8B499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791" w:type="dxa"/>
            <w:tcBorders>
              <w:top w:val="nil"/>
              <w:left w:val="nil"/>
              <w:bottom w:val="single" w:sz="4" w:space="0" w:color="auto"/>
              <w:right w:val="single" w:sz="4" w:space="0" w:color="auto"/>
            </w:tcBorders>
            <w:shd w:val="clear" w:color="auto" w:fill="auto"/>
            <w:noWrap/>
            <w:vAlign w:val="bottom"/>
            <w:hideMark/>
          </w:tcPr>
          <w:p w14:paraId="7691DEB1"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98" w:type="dxa"/>
            <w:tcBorders>
              <w:top w:val="nil"/>
              <w:left w:val="nil"/>
              <w:bottom w:val="single" w:sz="4" w:space="0" w:color="auto"/>
              <w:right w:val="nil"/>
            </w:tcBorders>
            <w:shd w:val="clear" w:color="auto" w:fill="auto"/>
            <w:noWrap/>
            <w:vAlign w:val="bottom"/>
            <w:hideMark/>
          </w:tcPr>
          <w:p w14:paraId="5519342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306</w:t>
            </w:r>
          </w:p>
        </w:tc>
        <w:tc>
          <w:tcPr>
            <w:tcW w:w="1082" w:type="dxa"/>
            <w:tcBorders>
              <w:top w:val="nil"/>
              <w:left w:val="single" w:sz="4" w:space="0" w:color="auto"/>
              <w:bottom w:val="single" w:sz="4" w:space="0" w:color="auto"/>
              <w:right w:val="nil"/>
            </w:tcBorders>
            <w:shd w:val="clear" w:color="auto" w:fill="auto"/>
            <w:noWrap/>
            <w:vAlign w:val="bottom"/>
            <w:hideMark/>
          </w:tcPr>
          <w:p w14:paraId="42F2556B"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5C3CBE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single" w:sz="4" w:space="0" w:color="auto"/>
            </w:tcBorders>
            <w:shd w:val="clear" w:color="auto" w:fill="auto"/>
            <w:noWrap/>
            <w:vAlign w:val="bottom"/>
            <w:hideMark/>
          </w:tcPr>
          <w:p w14:paraId="237140B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4ACBAAD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136.80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2666443"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442.80</w:t>
            </w:r>
          </w:p>
        </w:tc>
      </w:tr>
    </w:tbl>
    <w:p w14:paraId="6690494D" w14:textId="77777777" w:rsidR="00214ADB" w:rsidRPr="006466BC" w:rsidRDefault="00214ADB" w:rsidP="00F13F33">
      <w:pPr>
        <w:pStyle w:val="Num-DocParagraph"/>
        <w:ind w:left="720"/>
        <w:rPr>
          <w:b/>
          <w:bCs/>
          <w:sz w:val="24"/>
          <w:szCs w:val="24"/>
        </w:rPr>
      </w:pPr>
    </w:p>
    <w:p w14:paraId="4858ECDC" w14:textId="77777777" w:rsidR="00203B9A" w:rsidRDefault="00203B9A" w:rsidP="00D45E11">
      <w:pPr>
        <w:pStyle w:val="Num-DocParagraph"/>
        <w:numPr>
          <w:ilvl w:val="0"/>
          <w:numId w:val="5"/>
        </w:numPr>
        <w:rPr>
          <w:b/>
          <w:bCs/>
          <w:sz w:val="24"/>
          <w:szCs w:val="24"/>
        </w:rPr>
      </w:pPr>
      <w:r w:rsidRPr="00203B9A">
        <w:rPr>
          <w:b/>
          <w:bCs/>
          <w:sz w:val="24"/>
          <w:szCs w:val="24"/>
        </w:rPr>
        <w:t xml:space="preserve">Estimate of other total annual cost burden to respondent or </w:t>
      </w:r>
      <w:proofErr w:type="spellStart"/>
      <w:r w:rsidRPr="00203B9A">
        <w:rPr>
          <w:b/>
          <w:bCs/>
          <w:sz w:val="24"/>
          <w:szCs w:val="24"/>
        </w:rPr>
        <w:t>recordkeepers</w:t>
      </w:r>
      <w:proofErr w:type="spellEnd"/>
    </w:p>
    <w:p w14:paraId="16837E41" w14:textId="77777777" w:rsidR="00306432" w:rsidRPr="00306432" w:rsidRDefault="00F43870" w:rsidP="00306432">
      <w:pPr>
        <w:pStyle w:val="Num-DocParagraph"/>
        <w:ind w:left="720"/>
        <w:rPr>
          <w:bCs/>
          <w:sz w:val="24"/>
          <w:szCs w:val="24"/>
        </w:rPr>
      </w:pPr>
      <w:r>
        <w:rPr>
          <w:sz w:val="24"/>
          <w:szCs w:val="24"/>
        </w:rPr>
        <w:t>There will be no capital, operating, or maintenance costs to the respondent as the result of participation in an information collection under this generic clearance.</w:t>
      </w:r>
    </w:p>
    <w:p w14:paraId="4D8F3E48" w14:textId="77777777" w:rsidR="00203B9A" w:rsidRDefault="00203B9A" w:rsidP="00D45E11">
      <w:pPr>
        <w:pStyle w:val="Num-DocParagraph"/>
        <w:numPr>
          <w:ilvl w:val="0"/>
          <w:numId w:val="5"/>
        </w:numPr>
        <w:rPr>
          <w:b/>
          <w:bCs/>
          <w:sz w:val="24"/>
          <w:szCs w:val="24"/>
        </w:rPr>
      </w:pPr>
      <w:r w:rsidRPr="00203B9A">
        <w:rPr>
          <w:b/>
          <w:bCs/>
          <w:sz w:val="24"/>
          <w:szCs w:val="24"/>
        </w:rPr>
        <w:t>Estimate of costs to the Federal Government</w:t>
      </w:r>
    </w:p>
    <w:p w14:paraId="0B55329E" w14:textId="77777777" w:rsidR="00F43870" w:rsidRPr="00F43870" w:rsidRDefault="00F43870" w:rsidP="00F43870">
      <w:pPr>
        <w:pStyle w:val="Num-DocParagraph"/>
        <w:ind w:left="720"/>
        <w:rPr>
          <w:bCs/>
          <w:sz w:val="24"/>
          <w:szCs w:val="24"/>
        </w:rPr>
      </w:pPr>
      <w:r>
        <w:rPr>
          <w:bCs/>
          <w:sz w:val="24"/>
          <w:szCs w:val="24"/>
        </w:rPr>
        <w:t xml:space="preserve">The Federal Government </w:t>
      </w:r>
      <w:r w:rsidR="004E3B44">
        <w:rPr>
          <w:bCs/>
          <w:sz w:val="24"/>
          <w:szCs w:val="24"/>
        </w:rPr>
        <w:t xml:space="preserve">has funded this research through a cooperative agreement with </w:t>
      </w:r>
      <w:r w:rsidR="006466BC">
        <w:rPr>
          <w:bCs/>
          <w:sz w:val="24"/>
          <w:szCs w:val="24"/>
        </w:rPr>
        <w:t>The University of Maryland</w:t>
      </w:r>
      <w:r w:rsidR="004E3B44">
        <w:rPr>
          <w:bCs/>
          <w:sz w:val="24"/>
          <w:szCs w:val="24"/>
        </w:rPr>
        <w:t xml:space="preserve">.  The total </w:t>
      </w:r>
      <w:r w:rsidR="0076326D">
        <w:rPr>
          <w:bCs/>
          <w:sz w:val="24"/>
          <w:szCs w:val="24"/>
        </w:rPr>
        <w:t xml:space="preserve">reimbursable </w:t>
      </w:r>
      <w:r w:rsidR="004E3B44">
        <w:rPr>
          <w:bCs/>
          <w:sz w:val="24"/>
          <w:szCs w:val="24"/>
        </w:rPr>
        <w:t>cost of this cooperative agreement will be $</w:t>
      </w:r>
      <w:r w:rsidR="006466BC">
        <w:rPr>
          <w:bCs/>
          <w:sz w:val="24"/>
          <w:szCs w:val="24"/>
        </w:rPr>
        <w:t>66,000</w:t>
      </w:r>
      <w:r w:rsidR="004E3B44">
        <w:rPr>
          <w:bCs/>
          <w:sz w:val="24"/>
          <w:szCs w:val="24"/>
        </w:rPr>
        <w:t>.</w:t>
      </w:r>
      <w:r w:rsidR="00B339F2">
        <w:rPr>
          <w:bCs/>
          <w:sz w:val="24"/>
          <w:szCs w:val="24"/>
        </w:rPr>
        <w:t xml:space="preserve">  </w:t>
      </w:r>
      <w:r w:rsidR="0076326D">
        <w:rPr>
          <w:bCs/>
          <w:sz w:val="24"/>
          <w:szCs w:val="24"/>
        </w:rPr>
        <w:t>ERS staff time for this agreement will be $</w:t>
      </w:r>
      <w:r w:rsidR="006466BC">
        <w:rPr>
          <w:bCs/>
          <w:sz w:val="24"/>
          <w:szCs w:val="24"/>
        </w:rPr>
        <w:t>20,000</w:t>
      </w:r>
      <w:r w:rsidR="0076326D">
        <w:rPr>
          <w:bCs/>
          <w:sz w:val="24"/>
          <w:szCs w:val="24"/>
        </w:rPr>
        <w:t>.  Total cost to the government will be $</w:t>
      </w:r>
      <w:r w:rsidR="006466BC">
        <w:rPr>
          <w:bCs/>
          <w:sz w:val="24"/>
          <w:szCs w:val="24"/>
        </w:rPr>
        <w:t>86,000.</w:t>
      </w:r>
    </w:p>
    <w:p w14:paraId="5E837E6F" w14:textId="77777777" w:rsidR="00203B9A" w:rsidRDefault="00203B9A" w:rsidP="00D45E11">
      <w:pPr>
        <w:pStyle w:val="Num-DocParagraph"/>
        <w:numPr>
          <w:ilvl w:val="0"/>
          <w:numId w:val="5"/>
        </w:numPr>
        <w:rPr>
          <w:b/>
          <w:bCs/>
          <w:sz w:val="24"/>
          <w:szCs w:val="24"/>
        </w:rPr>
      </w:pPr>
      <w:r w:rsidRPr="00203B9A">
        <w:rPr>
          <w:b/>
          <w:bCs/>
          <w:sz w:val="24"/>
          <w:szCs w:val="24"/>
        </w:rPr>
        <w:t>Changes in burden hour</w:t>
      </w:r>
    </w:p>
    <w:p w14:paraId="75965A83" w14:textId="77777777" w:rsidR="004E3B44" w:rsidRPr="004E3B44" w:rsidRDefault="004E3B44" w:rsidP="004E3B44">
      <w:pPr>
        <w:pStyle w:val="Num-DocParagraph"/>
        <w:ind w:left="720"/>
        <w:rPr>
          <w:bCs/>
          <w:sz w:val="24"/>
          <w:szCs w:val="24"/>
        </w:rPr>
      </w:pPr>
      <w:r>
        <w:rPr>
          <w:bCs/>
          <w:sz w:val="24"/>
          <w:szCs w:val="24"/>
        </w:rPr>
        <w:t>This is a new data collection.</w:t>
      </w:r>
    </w:p>
    <w:p w14:paraId="241B4CE7" w14:textId="77777777" w:rsidR="00203B9A" w:rsidRDefault="00203B9A" w:rsidP="00D45E11">
      <w:pPr>
        <w:pStyle w:val="Num-DocParagraph"/>
        <w:numPr>
          <w:ilvl w:val="0"/>
          <w:numId w:val="5"/>
        </w:numPr>
        <w:rPr>
          <w:b/>
          <w:bCs/>
          <w:sz w:val="24"/>
          <w:szCs w:val="24"/>
        </w:rPr>
      </w:pPr>
      <w:r w:rsidRPr="00203B9A">
        <w:rPr>
          <w:b/>
          <w:bCs/>
          <w:sz w:val="24"/>
          <w:szCs w:val="24"/>
        </w:rPr>
        <w:t>Plans for tabulation, publication, and project time schedule</w:t>
      </w:r>
    </w:p>
    <w:p w14:paraId="4661F064" w14:textId="3C8D6D9C" w:rsidR="004E3B44" w:rsidRDefault="004E3B44" w:rsidP="004E3B44">
      <w:pPr>
        <w:pStyle w:val="Num-DocParagraph"/>
        <w:ind w:left="720"/>
        <w:rPr>
          <w:bCs/>
          <w:sz w:val="24"/>
          <w:szCs w:val="24"/>
        </w:rPr>
      </w:pPr>
      <w:r>
        <w:rPr>
          <w:bCs/>
          <w:sz w:val="24"/>
          <w:szCs w:val="24"/>
        </w:rPr>
        <w:t xml:space="preserve">If approved, </w:t>
      </w:r>
      <w:r w:rsidR="003E72F9">
        <w:rPr>
          <w:bCs/>
          <w:sz w:val="24"/>
          <w:szCs w:val="24"/>
        </w:rPr>
        <w:t xml:space="preserve">we anticipate </w:t>
      </w:r>
      <w:r>
        <w:rPr>
          <w:bCs/>
          <w:sz w:val="24"/>
          <w:szCs w:val="24"/>
        </w:rPr>
        <w:t xml:space="preserve">this research will be completed </w:t>
      </w:r>
      <w:r w:rsidR="00AF74D5">
        <w:rPr>
          <w:bCs/>
          <w:sz w:val="24"/>
          <w:szCs w:val="24"/>
        </w:rPr>
        <w:t>within six months of approval.</w:t>
      </w:r>
      <w:r>
        <w:rPr>
          <w:bCs/>
          <w:sz w:val="24"/>
          <w:szCs w:val="24"/>
        </w:rPr>
        <w:t xml:space="preserve">  Data will be analyzed and a report will be written in 201</w:t>
      </w:r>
      <w:r w:rsidR="00062007">
        <w:rPr>
          <w:bCs/>
          <w:sz w:val="24"/>
          <w:szCs w:val="24"/>
        </w:rPr>
        <w:t>6</w:t>
      </w:r>
      <w:r>
        <w:rPr>
          <w:bCs/>
          <w:sz w:val="24"/>
          <w:szCs w:val="24"/>
        </w:rPr>
        <w:t>.</w:t>
      </w:r>
      <w:r w:rsidR="00632BE1">
        <w:rPr>
          <w:bCs/>
          <w:sz w:val="24"/>
          <w:szCs w:val="24"/>
        </w:rPr>
        <w:t xml:space="preserve">  The results of the experiment will be </w:t>
      </w:r>
      <w:r w:rsidR="00632BE1" w:rsidRPr="007F338C">
        <w:rPr>
          <w:bCs/>
          <w:sz w:val="24"/>
          <w:szCs w:val="24"/>
        </w:rPr>
        <w:t xml:space="preserve">shared in a memo and in meetings with FSA.  The primary hypotheses to be tested will be univariate comparisons of expected cost </w:t>
      </w:r>
      <w:r w:rsidR="0058184B" w:rsidRPr="007F338C">
        <w:rPr>
          <w:bCs/>
          <w:sz w:val="24"/>
          <w:szCs w:val="24"/>
        </w:rPr>
        <w:t xml:space="preserve">under the five auction regimes </w:t>
      </w:r>
      <w:r w:rsidR="00632BE1" w:rsidRPr="007F338C">
        <w:rPr>
          <w:bCs/>
          <w:sz w:val="24"/>
          <w:szCs w:val="24"/>
        </w:rPr>
        <w:t>(t-tests and non-par</w:t>
      </w:r>
      <w:r w:rsidR="00062007">
        <w:rPr>
          <w:bCs/>
          <w:sz w:val="24"/>
          <w:szCs w:val="24"/>
        </w:rPr>
        <w:t>ametric tests of expected cost), and estimates of bidding functions.</w:t>
      </w:r>
    </w:p>
    <w:p w14:paraId="36500831" w14:textId="77777777" w:rsidR="00203B9A" w:rsidRDefault="00203B9A" w:rsidP="00D45E11">
      <w:pPr>
        <w:pStyle w:val="Num-DocParagraph"/>
        <w:numPr>
          <w:ilvl w:val="0"/>
          <w:numId w:val="5"/>
        </w:numPr>
        <w:rPr>
          <w:b/>
          <w:bCs/>
          <w:sz w:val="24"/>
          <w:szCs w:val="24"/>
        </w:rPr>
      </w:pPr>
      <w:r w:rsidRPr="00203B9A">
        <w:rPr>
          <w:b/>
          <w:bCs/>
          <w:sz w:val="24"/>
          <w:szCs w:val="24"/>
        </w:rPr>
        <w:t>Reasons display of OMB expiration date is inappropriate</w:t>
      </w:r>
    </w:p>
    <w:p w14:paraId="37570DCD" w14:textId="77777777" w:rsidR="004E3B44" w:rsidRPr="004E3B44" w:rsidRDefault="004E3B44" w:rsidP="004E3B44">
      <w:pPr>
        <w:pStyle w:val="Num-DocParagraph"/>
        <w:ind w:left="720"/>
        <w:rPr>
          <w:bCs/>
          <w:sz w:val="24"/>
          <w:szCs w:val="24"/>
        </w:rPr>
      </w:pPr>
      <w:r>
        <w:rPr>
          <w:sz w:val="24"/>
          <w:szCs w:val="24"/>
        </w:rPr>
        <w:t>No exemption is requested.</w:t>
      </w:r>
    </w:p>
    <w:p w14:paraId="21B94EB0" w14:textId="77777777" w:rsidR="00203B9A" w:rsidRDefault="00203B9A" w:rsidP="00D45E11">
      <w:pPr>
        <w:pStyle w:val="Num-DocParagraph"/>
        <w:numPr>
          <w:ilvl w:val="0"/>
          <w:numId w:val="5"/>
        </w:numPr>
        <w:rPr>
          <w:b/>
          <w:bCs/>
          <w:sz w:val="24"/>
          <w:szCs w:val="24"/>
        </w:rPr>
      </w:pPr>
      <w:r w:rsidRPr="00203B9A">
        <w:rPr>
          <w:b/>
          <w:bCs/>
          <w:sz w:val="24"/>
          <w:szCs w:val="24"/>
        </w:rPr>
        <w:t>Exceptions to certification for paperwork reduction act submissions</w:t>
      </w:r>
    </w:p>
    <w:p w14:paraId="5D0C67EA" w14:textId="77777777" w:rsidR="004E3B44" w:rsidRPr="004E3B44" w:rsidRDefault="004E3B44" w:rsidP="004E3B44">
      <w:pPr>
        <w:pStyle w:val="Num-DocParagraph"/>
        <w:ind w:left="720"/>
        <w:rPr>
          <w:bCs/>
          <w:sz w:val="24"/>
          <w:szCs w:val="24"/>
        </w:rPr>
      </w:pPr>
      <w:r w:rsidRPr="0091606E">
        <w:rPr>
          <w:sz w:val="24"/>
          <w:szCs w:val="24"/>
        </w:rPr>
        <w:t>No exceptions to certification are requested.</w:t>
      </w:r>
    </w:p>
    <w:p w14:paraId="3FFB5BC4" w14:textId="77777777" w:rsidR="003A7212" w:rsidRDefault="00995C75" w:rsidP="00214ADB"/>
    <w:sectPr w:rsidR="003A7212" w:rsidSect="004A60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B602D" w14:textId="77777777" w:rsidR="00995C75" w:rsidRDefault="00995C75" w:rsidP="005003B6">
      <w:pPr>
        <w:spacing w:after="0" w:line="240" w:lineRule="auto"/>
      </w:pPr>
      <w:r>
        <w:separator/>
      </w:r>
    </w:p>
  </w:endnote>
  <w:endnote w:type="continuationSeparator" w:id="0">
    <w:p w14:paraId="7E289D62" w14:textId="77777777" w:rsidR="00995C75" w:rsidRDefault="00995C75" w:rsidP="0050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957669"/>
      <w:docPartObj>
        <w:docPartGallery w:val="Page Numbers (Bottom of Page)"/>
        <w:docPartUnique/>
      </w:docPartObj>
    </w:sdtPr>
    <w:sdtEndPr>
      <w:rPr>
        <w:noProof/>
      </w:rPr>
    </w:sdtEndPr>
    <w:sdtContent>
      <w:p w14:paraId="32BF5552" w14:textId="63DAC2E5" w:rsidR="00AF76EF" w:rsidRDefault="00AF76EF">
        <w:pPr>
          <w:pStyle w:val="Footer"/>
          <w:jc w:val="right"/>
        </w:pPr>
        <w:r>
          <w:fldChar w:fldCharType="begin"/>
        </w:r>
        <w:r>
          <w:instrText xml:space="preserve"> PAGE   \* MERGEFORMAT </w:instrText>
        </w:r>
        <w:r>
          <w:fldChar w:fldCharType="separate"/>
        </w:r>
        <w:r w:rsidR="004A6011">
          <w:rPr>
            <w:noProof/>
          </w:rPr>
          <w:t>1</w:t>
        </w:r>
        <w:r>
          <w:rPr>
            <w:noProof/>
          </w:rPr>
          <w:fldChar w:fldCharType="end"/>
        </w:r>
      </w:p>
    </w:sdtContent>
  </w:sdt>
  <w:p w14:paraId="7139011B" w14:textId="77777777" w:rsidR="00AF76EF" w:rsidRDefault="00AF7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628D" w14:textId="77777777" w:rsidR="00995C75" w:rsidRDefault="00995C75" w:rsidP="005003B6">
      <w:pPr>
        <w:spacing w:after="0" w:line="240" w:lineRule="auto"/>
      </w:pPr>
      <w:r>
        <w:separator/>
      </w:r>
    </w:p>
  </w:footnote>
  <w:footnote w:type="continuationSeparator" w:id="0">
    <w:p w14:paraId="724E45CD" w14:textId="77777777" w:rsidR="00995C75" w:rsidRDefault="00995C75" w:rsidP="005003B6">
      <w:pPr>
        <w:spacing w:after="0" w:line="240" w:lineRule="auto"/>
      </w:pPr>
      <w:r>
        <w:continuationSeparator/>
      </w:r>
    </w:p>
  </w:footnote>
  <w:footnote w:id="1">
    <w:p w14:paraId="599B4116" w14:textId="77777777" w:rsidR="00214ADB" w:rsidRPr="00D0000C" w:rsidRDefault="00214ADB" w:rsidP="00214ADB">
      <w:pPr>
        <w:rPr>
          <w:sz w:val="18"/>
          <w:szCs w:val="18"/>
        </w:rPr>
      </w:pPr>
      <w:r w:rsidRPr="00D0000C">
        <w:rPr>
          <w:rStyle w:val="FootnoteReference"/>
          <w:sz w:val="18"/>
          <w:szCs w:val="18"/>
        </w:rPr>
        <w:footnoteRef/>
      </w:r>
      <w:r w:rsidRPr="00D0000C">
        <w:rPr>
          <w:sz w:val="18"/>
          <w:szCs w:val="18"/>
        </w:rPr>
        <w:t xml:space="preserve"> </w:t>
      </w:r>
      <w:r w:rsidRPr="00D0000C">
        <w:rPr>
          <w:rFonts w:ascii="Verdana" w:hAnsi="Verdana" w:cs="Verdana"/>
          <w:i/>
          <w:iCs/>
          <w:sz w:val="18"/>
          <w:szCs w:val="18"/>
        </w:rPr>
        <w:t xml:space="preserve">Kirwan, Barrett, Ruben N. </w:t>
      </w:r>
      <w:proofErr w:type="spellStart"/>
      <w:r w:rsidRPr="00D0000C">
        <w:rPr>
          <w:rFonts w:ascii="Verdana" w:hAnsi="Verdana" w:cs="Verdana"/>
          <w:i/>
          <w:iCs/>
          <w:sz w:val="18"/>
          <w:szCs w:val="18"/>
        </w:rPr>
        <w:t>Lubowski</w:t>
      </w:r>
      <w:proofErr w:type="spellEnd"/>
      <w:r w:rsidRPr="00D0000C">
        <w:rPr>
          <w:rFonts w:ascii="Verdana" w:hAnsi="Verdana" w:cs="Verdana"/>
          <w:sz w:val="18"/>
          <w:szCs w:val="18"/>
        </w:rPr>
        <w:t xml:space="preserve"> and </w:t>
      </w:r>
      <w:r w:rsidRPr="00D0000C">
        <w:rPr>
          <w:rFonts w:ascii="Verdana" w:hAnsi="Verdana" w:cs="Verdana"/>
          <w:i/>
          <w:iCs/>
          <w:sz w:val="18"/>
          <w:szCs w:val="18"/>
        </w:rPr>
        <w:t>Michael Roberts</w:t>
      </w:r>
      <w:r w:rsidRPr="00D0000C">
        <w:rPr>
          <w:rFonts w:ascii="Verdana" w:hAnsi="Verdana" w:cs="Verdana"/>
          <w:sz w:val="18"/>
          <w:szCs w:val="18"/>
        </w:rPr>
        <w:t xml:space="preserve">, (2005), </w:t>
      </w:r>
      <w:hyperlink r:id="rId1" w:history="1">
        <w:r w:rsidRPr="00D0000C">
          <w:rPr>
            <w:rFonts w:ascii="Verdana" w:hAnsi="Verdana" w:cs="Verdana"/>
            <w:sz w:val="18"/>
            <w:szCs w:val="18"/>
            <w:u w:val="single" w:color="0F7232"/>
          </w:rPr>
          <w:t>How Cost-Effective Are Land Retirement Auctions? Estimating the Difference between Payments and Willingness to Accept in the Conservation Reserve Program</w:t>
        </w:r>
      </w:hyperlink>
      <w:r w:rsidRPr="00D0000C">
        <w:rPr>
          <w:rFonts w:ascii="Verdana" w:hAnsi="Verdana" w:cs="Verdana"/>
          <w:sz w:val="18"/>
          <w:szCs w:val="18"/>
        </w:rPr>
        <w:t xml:space="preserve">, </w:t>
      </w:r>
      <w:r w:rsidRPr="00D0000C">
        <w:rPr>
          <w:rFonts w:ascii="Verdana" w:hAnsi="Verdana" w:cs="Verdana"/>
          <w:i/>
          <w:iCs/>
          <w:sz w:val="18"/>
          <w:szCs w:val="18"/>
        </w:rPr>
        <w:t>American Journal of Agricultural Economics</w:t>
      </w:r>
      <w:r w:rsidRPr="00D0000C">
        <w:rPr>
          <w:rFonts w:ascii="Verdana" w:hAnsi="Verdana" w:cs="Verdana"/>
          <w:sz w:val="18"/>
          <w:szCs w:val="18"/>
        </w:rPr>
        <w:t xml:space="preserve">, </w:t>
      </w:r>
      <w:r w:rsidRPr="00D0000C">
        <w:rPr>
          <w:rFonts w:ascii="Verdana" w:hAnsi="Verdana" w:cs="Verdana"/>
          <w:b/>
          <w:bCs/>
          <w:sz w:val="18"/>
          <w:szCs w:val="18"/>
        </w:rPr>
        <w:t>87</w:t>
      </w:r>
      <w:r w:rsidRPr="00D0000C">
        <w:rPr>
          <w:rFonts w:ascii="Verdana" w:hAnsi="Verdana" w:cs="Verdana"/>
          <w:sz w:val="18"/>
          <w:szCs w:val="18"/>
        </w:rPr>
        <w:t>, (5), 1239-1247</w:t>
      </w:r>
    </w:p>
    <w:p w14:paraId="341CBCB0" w14:textId="77777777" w:rsidR="00214ADB" w:rsidRDefault="00214ADB">
      <w:pPr>
        <w:pStyle w:val="FootnoteText"/>
      </w:pPr>
    </w:p>
  </w:footnote>
  <w:footnote w:id="2">
    <w:p w14:paraId="4D7F81A8" w14:textId="77777777" w:rsidR="00E27507" w:rsidRPr="00BF123A" w:rsidRDefault="00E27507" w:rsidP="00E27507">
      <w:pPr>
        <w:pStyle w:val="FootnoteText"/>
      </w:pPr>
      <w:r>
        <w:rPr>
          <w:rStyle w:val="FootnoteReference"/>
        </w:rPr>
        <w:footnoteRef/>
      </w:r>
      <w:r>
        <w:t xml:space="preserve"> Lusk, Jayson L. and Jason F. </w:t>
      </w:r>
      <w:proofErr w:type="spellStart"/>
      <w:r>
        <w:t>Shogren</w:t>
      </w:r>
      <w:proofErr w:type="spellEnd"/>
      <w:r>
        <w:t xml:space="preserve"> (2007).  </w:t>
      </w:r>
      <w:r>
        <w:rPr>
          <w:u w:val="single"/>
        </w:rPr>
        <w:t>Experimental Auctions</w:t>
      </w:r>
      <w:r>
        <w:t>.  Cambridge University Press, Cambridge, UK.</w:t>
      </w:r>
    </w:p>
  </w:footnote>
  <w:footnote w:id="3">
    <w:p w14:paraId="2F9DDC14" w14:textId="77777777" w:rsidR="00E27507" w:rsidRPr="000D79FF" w:rsidRDefault="00E27507" w:rsidP="00E27507">
      <w:pPr>
        <w:pStyle w:val="FootnoteText"/>
      </w:pPr>
      <w:r>
        <w:rPr>
          <w:rStyle w:val="FootnoteReference"/>
        </w:rPr>
        <w:footnoteRef/>
      </w:r>
      <w:r>
        <w:t xml:space="preserve"> </w:t>
      </w:r>
      <w:proofErr w:type="spellStart"/>
      <w:r>
        <w:t>Latacz-Lohmann</w:t>
      </w:r>
      <w:proofErr w:type="spellEnd"/>
      <w:r>
        <w:t xml:space="preserve">, Uwe and </w:t>
      </w:r>
      <w:proofErr w:type="spellStart"/>
      <w:r>
        <w:t>Carel</w:t>
      </w:r>
      <w:proofErr w:type="spellEnd"/>
      <w:r>
        <w:t xml:space="preserve"> Van der </w:t>
      </w:r>
      <w:proofErr w:type="spellStart"/>
      <w:r>
        <w:t>Hamsvoort</w:t>
      </w:r>
      <w:proofErr w:type="spellEnd"/>
      <w:r>
        <w:t xml:space="preserve"> (1997).  “Auctioning Conservation Contracts: A Theoretical Analysis and an Application,” </w:t>
      </w:r>
      <w:r>
        <w:rPr>
          <w:i/>
        </w:rPr>
        <w:t>American Journal of Agricultural Economics</w:t>
      </w:r>
      <w:r>
        <w:t>, 79: 407-418.</w:t>
      </w:r>
    </w:p>
  </w:footnote>
  <w:footnote w:id="4">
    <w:p w14:paraId="5610C122" w14:textId="77777777" w:rsidR="00DC604D" w:rsidRDefault="00DC604D">
      <w:pPr>
        <w:pStyle w:val="FootnoteText"/>
      </w:pPr>
      <w:r>
        <w:rPr>
          <w:rStyle w:val="FootnoteReference"/>
        </w:rPr>
        <w:footnoteRef/>
      </w:r>
      <w:r>
        <w:t xml:space="preserve"> The number of auctions participated in by each individual within a session will be identical, but may vary across sessions.  For more details, please see </w:t>
      </w:r>
      <w:r w:rsidRPr="00A92EF3">
        <w:t>Attachment B -</w:t>
      </w:r>
      <w:r>
        <w:t xml:space="preserve"> </w:t>
      </w:r>
      <w:r w:rsidRPr="00A92EF3">
        <w:t>Experimental Design Protocol</w:t>
      </w:r>
      <w:r>
        <w:t>.</w:t>
      </w:r>
    </w:p>
  </w:footnote>
  <w:footnote w:id="5">
    <w:p w14:paraId="2FC31AB2" w14:textId="2A2FDD9A" w:rsidR="0087207D" w:rsidRDefault="0087207D">
      <w:pPr>
        <w:pStyle w:val="FootnoteText"/>
      </w:pPr>
      <w:r>
        <w:rPr>
          <w:rStyle w:val="FootnoteReference"/>
        </w:rPr>
        <w:footnoteRef/>
      </w:r>
      <w:r>
        <w:t xml:space="preserve"> </w:t>
      </w:r>
      <w:r w:rsidR="00062007">
        <w:t xml:space="preserve">The maximum payment under </w:t>
      </w:r>
      <w:r w:rsidR="0034599B">
        <w:t>CRP Study 1</w:t>
      </w:r>
      <w:r w:rsidR="00062007">
        <w:t xml:space="preserve"> was approximately $30</w:t>
      </w:r>
      <w:r>
        <w:t xml:space="preserve">. </w:t>
      </w:r>
    </w:p>
  </w:footnote>
  <w:footnote w:id="6">
    <w:p w14:paraId="5BCE1555" w14:textId="77777777" w:rsidR="00DC604D" w:rsidRDefault="00DC604D">
      <w:pPr>
        <w:pStyle w:val="FootnoteText"/>
      </w:pPr>
      <w:r>
        <w:rPr>
          <w:rStyle w:val="FootnoteReference"/>
        </w:rPr>
        <w:footnoteRef/>
      </w:r>
      <w:r>
        <w:t xml:space="preserve"> Because auctions are competitive, it is not possible to directly limit the earnings that can be generated by participation without an explicit limit – a price cap.  Because this experiment includes auctions </w:t>
      </w:r>
      <w:r>
        <w:rPr>
          <w:i/>
        </w:rPr>
        <w:t>without</w:t>
      </w:r>
      <w:r>
        <w:t xml:space="preserve"> price caps as a very explicit treatment, it is not possible to </w:t>
      </w:r>
      <w:r>
        <w:rPr>
          <w:i/>
        </w:rPr>
        <w:t>guarantee</w:t>
      </w:r>
      <w:r>
        <w:t xml:space="preserve"> that payments greater than $</w:t>
      </w:r>
      <w:r w:rsidR="0096213F">
        <w:t>5</w:t>
      </w:r>
      <w:r>
        <w:t>0 will not be made.  Competition, however, is an excellent check on high payments.  All auctions will be competitive and payments above $</w:t>
      </w:r>
      <w:r w:rsidR="0096213F">
        <w:t>5</w:t>
      </w:r>
      <w:r>
        <w:t>0 will be exceedingly rare.</w:t>
      </w:r>
      <w:r w:rsidR="00754CC7">
        <w:t xml:space="preserve">  Furthermore, the payment design can be changed after the completion of a session, further reducing payment risk.  That is, if in live testing – which by definition cannot be conducted at scale with 16 bidders until PRA clearance is received – individuals earn amounts in excess of the planned maximum, the rate of exchange between “experimental dollars” (the currency used in the experiment and displayed onscreen to the experiment participants) and $U.S. can be modified to ensure that payment stay within the proposed range in future sessions.</w:t>
      </w:r>
    </w:p>
  </w:footnote>
  <w:footnote w:id="7">
    <w:p w14:paraId="0C1551DF" w14:textId="77777777" w:rsidR="00DC604D" w:rsidRDefault="00DC604D" w:rsidP="00DC604D">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Since the CRP is a “one-shot” auction – there is only one CRP auction conducted at a moment in time, not a series of CRP auctions – it is necessary to eliminate wealth effects.</w:t>
      </w:r>
    </w:p>
  </w:footnote>
  <w:footnote w:id="8">
    <w:p w14:paraId="28F29262" w14:textId="77777777" w:rsidR="00950C89" w:rsidRDefault="00950C89">
      <w:pPr>
        <w:pStyle w:val="FootnoteText"/>
      </w:pPr>
      <w:r>
        <w:rPr>
          <w:rStyle w:val="FootnoteReference"/>
        </w:rPr>
        <w:footnoteRef/>
      </w:r>
      <w:r>
        <w:t xml:space="preserve"> See “Incentives in Experiments: A Theoretical Analysis” by </w:t>
      </w:r>
      <w:proofErr w:type="spellStart"/>
      <w:r>
        <w:t>Azrieli</w:t>
      </w:r>
      <w:proofErr w:type="spellEnd"/>
      <w:r>
        <w:t xml:space="preserve">, Chambers, and Healy.  </w:t>
      </w:r>
      <w:r w:rsidRPr="00950C89">
        <w:t>http://www.econ.ucsb.edu/about_us/events/seminar_papers/Healy.pdf</w:t>
      </w:r>
      <w:r>
        <w:t>.</w:t>
      </w:r>
    </w:p>
  </w:footnote>
  <w:footnote w:id="9">
    <w:p w14:paraId="7CE6802E" w14:textId="77777777" w:rsidR="004B62DA" w:rsidRDefault="004B62DA">
      <w:pPr>
        <w:pStyle w:val="FootnoteText"/>
      </w:pPr>
      <w:r>
        <w:rPr>
          <w:rStyle w:val="FootnoteReference"/>
        </w:rPr>
        <w:footnoteRef/>
      </w:r>
      <w:r>
        <w:t xml:space="preserve"> </w:t>
      </w:r>
      <w:r w:rsidRPr="004B62DA">
        <w:rPr>
          <w:sz w:val="24"/>
          <w:szCs w:val="24"/>
        </w:rPr>
        <w:t>D. Friedman and S. Sunder, Experimental Methods: A Primer for Economists, Cambridge University Press 1994</w:t>
      </w:r>
      <w:r w:rsidR="008F3F1F">
        <w:rPr>
          <w:sz w:val="24"/>
          <w:szCs w:val="24"/>
        </w:rPr>
        <w:t>, p. 54.</w:t>
      </w:r>
    </w:p>
  </w:footnote>
  <w:footnote w:id="10">
    <w:p w14:paraId="31D068F6" w14:textId="77777777" w:rsidR="00F96F06" w:rsidRDefault="00F96F06">
      <w:pPr>
        <w:pStyle w:val="FootnoteText"/>
      </w:pPr>
      <w:r>
        <w:rPr>
          <w:rStyle w:val="FootnoteReference"/>
        </w:rPr>
        <w:footnoteRef/>
      </w:r>
      <w:r>
        <w:t xml:space="preserve"> Personal communication with </w:t>
      </w:r>
      <w:r w:rsidR="006466BC">
        <w:t>UMD</w:t>
      </w:r>
      <w:r>
        <w:t xml:space="preserve"> cooperator.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21D91"/>
    <w:multiLevelType w:val="hybridMultilevel"/>
    <w:tmpl w:val="7ED0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0003"/>
    <w:multiLevelType w:val="hybridMultilevel"/>
    <w:tmpl w:val="241A5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F007A7"/>
    <w:multiLevelType w:val="hybridMultilevel"/>
    <w:tmpl w:val="80C8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CB09A0"/>
    <w:multiLevelType w:val="hybridMultilevel"/>
    <w:tmpl w:val="EE1C3A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73878"/>
    <w:multiLevelType w:val="hybridMultilevel"/>
    <w:tmpl w:val="41549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8B1F70"/>
    <w:multiLevelType w:val="hybridMultilevel"/>
    <w:tmpl w:val="A9885AEE"/>
    <w:lvl w:ilvl="0" w:tplc="BC6650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1131E"/>
    <w:multiLevelType w:val="hybridMultilevel"/>
    <w:tmpl w:val="1D3C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3371"/>
    <w:multiLevelType w:val="hybridMultilevel"/>
    <w:tmpl w:val="B2D64DBE"/>
    <w:lvl w:ilvl="0" w:tplc="32E27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9686A"/>
    <w:multiLevelType w:val="hybridMultilevel"/>
    <w:tmpl w:val="6036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340C5"/>
    <w:multiLevelType w:val="hybridMultilevel"/>
    <w:tmpl w:val="D9B6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6"/>
  </w:num>
  <w:num w:numId="5">
    <w:abstractNumId w:val="5"/>
  </w:num>
  <w:num w:numId="6">
    <w:abstractNumId w:val="7"/>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B6"/>
    <w:rsid w:val="000011F6"/>
    <w:rsid w:val="0000307A"/>
    <w:rsid w:val="000105F5"/>
    <w:rsid w:val="000130D4"/>
    <w:rsid w:val="00026847"/>
    <w:rsid w:val="0004033A"/>
    <w:rsid w:val="00043135"/>
    <w:rsid w:val="00060D28"/>
    <w:rsid w:val="00062007"/>
    <w:rsid w:val="000658C4"/>
    <w:rsid w:val="00073B5E"/>
    <w:rsid w:val="00081E51"/>
    <w:rsid w:val="0009210F"/>
    <w:rsid w:val="000A19D9"/>
    <w:rsid w:val="000A2255"/>
    <w:rsid w:val="000A7D3A"/>
    <w:rsid w:val="000B0C91"/>
    <w:rsid w:val="000B6170"/>
    <w:rsid w:val="000C4586"/>
    <w:rsid w:val="000C5878"/>
    <w:rsid w:val="000C74DD"/>
    <w:rsid w:val="000E104E"/>
    <w:rsid w:val="000E47AC"/>
    <w:rsid w:val="000F41CF"/>
    <w:rsid w:val="000F77D0"/>
    <w:rsid w:val="00105B74"/>
    <w:rsid w:val="001167FC"/>
    <w:rsid w:val="0013016C"/>
    <w:rsid w:val="00134095"/>
    <w:rsid w:val="0013779A"/>
    <w:rsid w:val="00140CD8"/>
    <w:rsid w:val="001422A9"/>
    <w:rsid w:val="0014761C"/>
    <w:rsid w:val="00151448"/>
    <w:rsid w:val="00152B1E"/>
    <w:rsid w:val="00163F7F"/>
    <w:rsid w:val="001649AD"/>
    <w:rsid w:val="00165BBB"/>
    <w:rsid w:val="00167CF2"/>
    <w:rsid w:val="00177743"/>
    <w:rsid w:val="001827F3"/>
    <w:rsid w:val="001844A7"/>
    <w:rsid w:val="00196DF1"/>
    <w:rsid w:val="001A0C4F"/>
    <w:rsid w:val="001A0CFC"/>
    <w:rsid w:val="001A60A7"/>
    <w:rsid w:val="001B334C"/>
    <w:rsid w:val="001B50DD"/>
    <w:rsid w:val="001C059C"/>
    <w:rsid w:val="001C159E"/>
    <w:rsid w:val="001C2E94"/>
    <w:rsid w:val="001C513E"/>
    <w:rsid w:val="001C5694"/>
    <w:rsid w:val="001C56B4"/>
    <w:rsid w:val="001C636E"/>
    <w:rsid w:val="001C79EC"/>
    <w:rsid w:val="001C7AAF"/>
    <w:rsid w:val="001D3027"/>
    <w:rsid w:val="001E2604"/>
    <w:rsid w:val="001F0A3F"/>
    <w:rsid w:val="0020160D"/>
    <w:rsid w:val="00203B9A"/>
    <w:rsid w:val="00211106"/>
    <w:rsid w:val="00214ADB"/>
    <w:rsid w:val="002171A7"/>
    <w:rsid w:val="002173F2"/>
    <w:rsid w:val="002328FD"/>
    <w:rsid w:val="00251C74"/>
    <w:rsid w:val="00254891"/>
    <w:rsid w:val="00260923"/>
    <w:rsid w:val="002661E8"/>
    <w:rsid w:val="00272154"/>
    <w:rsid w:val="0027459A"/>
    <w:rsid w:val="00275D46"/>
    <w:rsid w:val="0028344B"/>
    <w:rsid w:val="002B072C"/>
    <w:rsid w:val="002B55F1"/>
    <w:rsid w:val="002C79EE"/>
    <w:rsid w:val="002D4544"/>
    <w:rsid w:val="002D6B60"/>
    <w:rsid w:val="002F250A"/>
    <w:rsid w:val="002F34B2"/>
    <w:rsid w:val="003025FF"/>
    <w:rsid w:val="00306432"/>
    <w:rsid w:val="00313E9F"/>
    <w:rsid w:val="00315D4D"/>
    <w:rsid w:val="00321A00"/>
    <w:rsid w:val="00323953"/>
    <w:rsid w:val="00326296"/>
    <w:rsid w:val="003436EA"/>
    <w:rsid w:val="0034599B"/>
    <w:rsid w:val="00346C6F"/>
    <w:rsid w:val="00350AFD"/>
    <w:rsid w:val="00356323"/>
    <w:rsid w:val="00356E50"/>
    <w:rsid w:val="00357395"/>
    <w:rsid w:val="0036367F"/>
    <w:rsid w:val="00372D99"/>
    <w:rsid w:val="00375307"/>
    <w:rsid w:val="00375A35"/>
    <w:rsid w:val="00394255"/>
    <w:rsid w:val="003A0321"/>
    <w:rsid w:val="003A1371"/>
    <w:rsid w:val="003B1CFE"/>
    <w:rsid w:val="003B742C"/>
    <w:rsid w:val="003C1154"/>
    <w:rsid w:val="003C42A6"/>
    <w:rsid w:val="003C5731"/>
    <w:rsid w:val="003D229F"/>
    <w:rsid w:val="003D26E2"/>
    <w:rsid w:val="003D3E93"/>
    <w:rsid w:val="003D7B58"/>
    <w:rsid w:val="003E4A4E"/>
    <w:rsid w:val="003E72F9"/>
    <w:rsid w:val="003F7717"/>
    <w:rsid w:val="00400E9C"/>
    <w:rsid w:val="00412F33"/>
    <w:rsid w:val="0042356C"/>
    <w:rsid w:val="00424001"/>
    <w:rsid w:val="004406EB"/>
    <w:rsid w:val="00446F8E"/>
    <w:rsid w:val="00454DE5"/>
    <w:rsid w:val="00462725"/>
    <w:rsid w:val="00467784"/>
    <w:rsid w:val="0047325F"/>
    <w:rsid w:val="004855D0"/>
    <w:rsid w:val="00497430"/>
    <w:rsid w:val="004A09C2"/>
    <w:rsid w:val="004A2040"/>
    <w:rsid w:val="004A6011"/>
    <w:rsid w:val="004B041C"/>
    <w:rsid w:val="004B62DA"/>
    <w:rsid w:val="004B6468"/>
    <w:rsid w:val="004B656C"/>
    <w:rsid w:val="004C1E22"/>
    <w:rsid w:val="004C63D8"/>
    <w:rsid w:val="004D0EDA"/>
    <w:rsid w:val="004D2598"/>
    <w:rsid w:val="004D273E"/>
    <w:rsid w:val="004E3B44"/>
    <w:rsid w:val="004E7502"/>
    <w:rsid w:val="004F4474"/>
    <w:rsid w:val="004F6ED9"/>
    <w:rsid w:val="004F7514"/>
    <w:rsid w:val="005003B6"/>
    <w:rsid w:val="00502B21"/>
    <w:rsid w:val="0050375B"/>
    <w:rsid w:val="005072A0"/>
    <w:rsid w:val="0051613D"/>
    <w:rsid w:val="00523E93"/>
    <w:rsid w:val="0052455E"/>
    <w:rsid w:val="00526B14"/>
    <w:rsid w:val="00530624"/>
    <w:rsid w:val="0053639C"/>
    <w:rsid w:val="00540AA5"/>
    <w:rsid w:val="005415F3"/>
    <w:rsid w:val="00543B2C"/>
    <w:rsid w:val="00546609"/>
    <w:rsid w:val="00554550"/>
    <w:rsid w:val="005561C3"/>
    <w:rsid w:val="00557D89"/>
    <w:rsid w:val="00560957"/>
    <w:rsid w:val="00561331"/>
    <w:rsid w:val="00562035"/>
    <w:rsid w:val="0056216F"/>
    <w:rsid w:val="00564170"/>
    <w:rsid w:val="00574604"/>
    <w:rsid w:val="00580523"/>
    <w:rsid w:val="0058184B"/>
    <w:rsid w:val="00581FFE"/>
    <w:rsid w:val="00584C85"/>
    <w:rsid w:val="005B0BC6"/>
    <w:rsid w:val="005B1EC5"/>
    <w:rsid w:val="005E3B79"/>
    <w:rsid w:val="005F1268"/>
    <w:rsid w:val="005F498A"/>
    <w:rsid w:val="006135B7"/>
    <w:rsid w:val="006259FE"/>
    <w:rsid w:val="00627565"/>
    <w:rsid w:val="00632BE1"/>
    <w:rsid w:val="00644107"/>
    <w:rsid w:val="006466BC"/>
    <w:rsid w:val="006471CA"/>
    <w:rsid w:val="006478A3"/>
    <w:rsid w:val="00647E83"/>
    <w:rsid w:val="00650836"/>
    <w:rsid w:val="0065322F"/>
    <w:rsid w:val="00653AEC"/>
    <w:rsid w:val="00657A53"/>
    <w:rsid w:val="006624C9"/>
    <w:rsid w:val="00663D17"/>
    <w:rsid w:val="00675BA7"/>
    <w:rsid w:val="00681676"/>
    <w:rsid w:val="00682846"/>
    <w:rsid w:val="00683DDF"/>
    <w:rsid w:val="00684063"/>
    <w:rsid w:val="0068730F"/>
    <w:rsid w:val="006A2F24"/>
    <w:rsid w:val="006B036E"/>
    <w:rsid w:val="006B1723"/>
    <w:rsid w:val="006C241A"/>
    <w:rsid w:val="006C38C8"/>
    <w:rsid w:val="006C3B45"/>
    <w:rsid w:val="006D063A"/>
    <w:rsid w:val="006D1442"/>
    <w:rsid w:val="006D34B9"/>
    <w:rsid w:val="006F3881"/>
    <w:rsid w:val="00723FDB"/>
    <w:rsid w:val="00735368"/>
    <w:rsid w:val="00737C6B"/>
    <w:rsid w:val="00744638"/>
    <w:rsid w:val="0075292D"/>
    <w:rsid w:val="00754371"/>
    <w:rsid w:val="00754CC7"/>
    <w:rsid w:val="0076326D"/>
    <w:rsid w:val="00766A62"/>
    <w:rsid w:val="00766C26"/>
    <w:rsid w:val="00773D29"/>
    <w:rsid w:val="007740E4"/>
    <w:rsid w:val="00774284"/>
    <w:rsid w:val="00781517"/>
    <w:rsid w:val="0078694F"/>
    <w:rsid w:val="00787961"/>
    <w:rsid w:val="00795AA3"/>
    <w:rsid w:val="007A15D1"/>
    <w:rsid w:val="007A3A4E"/>
    <w:rsid w:val="007B1F47"/>
    <w:rsid w:val="007B4D93"/>
    <w:rsid w:val="007C300F"/>
    <w:rsid w:val="007C5026"/>
    <w:rsid w:val="007D0A9D"/>
    <w:rsid w:val="007D1693"/>
    <w:rsid w:val="007D4499"/>
    <w:rsid w:val="007D745C"/>
    <w:rsid w:val="007D7684"/>
    <w:rsid w:val="007E68A2"/>
    <w:rsid w:val="007E7072"/>
    <w:rsid w:val="007E7D73"/>
    <w:rsid w:val="007E7DF3"/>
    <w:rsid w:val="007F2418"/>
    <w:rsid w:val="007F338C"/>
    <w:rsid w:val="007F3575"/>
    <w:rsid w:val="007F62E9"/>
    <w:rsid w:val="007F6DE2"/>
    <w:rsid w:val="0080413A"/>
    <w:rsid w:val="008058FA"/>
    <w:rsid w:val="008106E9"/>
    <w:rsid w:val="008210AB"/>
    <w:rsid w:val="0082239B"/>
    <w:rsid w:val="008245D1"/>
    <w:rsid w:val="0082695B"/>
    <w:rsid w:val="00832964"/>
    <w:rsid w:val="00832EBA"/>
    <w:rsid w:val="008343A9"/>
    <w:rsid w:val="0083762D"/>
    <w:rsid w:val="00837854"/>
    <w:rsid w:val="00843A39"/>
    <w:rsid w:val="0084436E"/>
    <w:rsid w:val="00860417"/>
    <w:rsid w:val="0087207D"/>
    <w:rsid w:val="008844EA"/>
    <w:rsid w:val="00886287"/>
    <w:rsid w:val="008952C9"/>
    <w:rsid w:val="008952E3"/>
    <w:rsid w:val="008A4ADB"/>
    <w:rsid w:val="008C2D89"/>
    <w:rsid w:val="008C43A6"/>
    <w:rsid w:val="008C4BA1"/>
    <w:rsid w:val="008C768F"/>
    <w:rsid w:val="008D4F9C"/>
    <w:rsid w:val="008E06EA"/>
    <w:rsid w:val="008E0FAF"/>
    <w:rsid w:val="008E1B85"/>
    <w:rsid w:val="008E493B"/>
    <w:rsid w:val="008E5E21"/>
    <w:rsid w:val="008E673D"/>
    <w:rsid w:val="008E7236"/>
    <w:rsid w:val="008E7F97"/>
    <w:rsid w:val="008F0009"/>
    <w:rsid w:val="008F3F1F"/>
    <w:rsid w:val="008F5F35"/>
    <w:rsid w:val="00901C27"/>
    <w:rsid w:val="00903EDC"/>
    <w:rsid w:val="009110C0"/>
    <w:rsid w:val="009166AA"/>
    <w:rsid w:val="00916D9E"/>
    <w:rsid w:val="00922571"/>
    <w:rsid w:val="00936D0A"/>
    <w:rsid w:val="009409A3"/>
    <w:rsid w:val="00950C89"/>
    <w:rsid w:val="00957121"/>
    <w:rsid w:val="0096213F"/>
    <w:rsid w:val="00974135"/>
    <w:rsid w:val="00983DC2"/>
    <w:rsid w:val="0098438D"/>
    <w:rsid w:val="00991CBC"/>
    <w:rsid w:val="00995C75"/>
    <w:rsid w:val="009A1D30"/>
    <w:rsid w:val="009A2E0A"/>
    <w:rsid w:val="009A4D11"/>
    <w:rsid w:val="009B29ED"/>
    <w:rsid w:val="009B4E56"/>
    <w:rsid w:val="009C032E"/>
    <w:rsid w:val="009C6442"/>
    <w:rsid w:val="009C76FF"/>
    <w:rsid w:val="009C77CF"/>
    <w:rsid w:val="009D1D59"/>
    <w:rsid w:val="009E6F83"/>
    <w:rsid w:val="00A15A41"/>
    <w:rsid w:val="00A15ECB"/>
    <w:rsid w:val="00A2080B"/>
    <w:rsid w:val="00A331B2"/>
    <w:rsid w:val="00A43A99"/>
    <w:rsid w:val="00A5162C"/>
    <w:rsid w:val="00A62DBE"/>
    <w:rsid w:val="00A64CF5"/>
    <w:rsid w:val="00A70C41"/>
    <w:rsid w:val="00A77CE5"/>
    <w:rsid w:val="00A80283"/>
    <w:rsid w:val="00A85B6F"/>
    <w:rsid w:val="00A871C6"/>
    <w:rsid w:val="00A92EF3"/>
    <w:rsid w:val="00A9448C"/>
    <w:rsid w:val="00AA3076"/>
    <w:rsid w:val="00AA4709"/>
    <w:rsid w:val="00AA5390"/>
    <w:rsid w:val="00AA5692"/>
    <w:rsid w:val="00AB0FE8"/>
    <w:rsid w:val="00AB4997"/>
    <w:rsid w:val="00AD4841"/>
    <w:rsid w:val="00AE6028"/>
    <w:rsid w:val="00AE63FE"/>
    <w:rsid w:val="00AF3104"/>
    <w:rsid w:val="00AF40C6"/>
    <w:rsid w:val="00AF74D5"/>
    <w:rsid w:val="00AF76EF"/>
    <w:rsid w:val="00B03EFF"/>
    <w:rsid w:val="00B11AB2"/>
    <w:rsid w:val="00B12B40"/>
    <w:rsid w:val="00B22DAD"/>
    <w:rsid w:val="00B24DB6"/>
    <w:rsid w:val="00B2584C"/>
    <w:rsid w:val="00B339F2"/>
    <w:rsid w:val="00B34063"/>
    <w:rsid w:val="00B41C25"/>
    <w:rsid w:val="00B46B8F"/>
    <w:rsid w:val="00B51289"/>
    <w:rsid w:val="00B51338"/>
    <w:rsid w:val="00B51BD4"/>
    <w:rsid w:val="00B567A8"/>
    <w:rsid w:val="00B60403"/>
    <w:rsid w:val="00B60798"/>
    <w:rsid w:val="00B62B10"/>
    <w:rsid w:val="00B63E5A"/>
    <w:rsid w:val="00B64A18"/>
    <w:rsid w:val="00B73841"/>
    <w:rsid w:val="00BA2FF0"/>
    <w:rsid w:val="00BB6AB6"/>
    <w:rsid w:val="00BB6C98"/>
    <w:rsid w:val="00BC22B7"/>
    <w:rsid w:val="00BD12E0"/>
    <w:rsid w:val="00BD4DDE"/>
    <w:rsid w:val="00BD5A1E"/>
    <w:rsid w:val="00BD7C7C"/>
    <w:rsid w:val="00BE39CA"/>
    <w:rsid w:val="00BE7A2F"/>
    <w:rsid w:val="00BF494E"/>
    <w:rsid w:val="00BF4C80"/>
    <w:rsid w:val="00C00C47"/>
    <w:rsid w:val="00C05264"/>
    <w:rsid w:val="00C05F59"/>
    <w:rsid w:val="00C11CDD"/>
    <w:rsid w:val="00C163AA"/>
    <w:rsid w:val="00C246C1"/>
    <w:rsid w:val="00C30A87"/>
    <w:rsid w:val="00C30F3C"/>
    <w:rsid w:val="00C34B90"/>
    <w:rsid w:val="00C375A7"/>
    <w:rsid w:val="00C4086A"/>
    <w:rsid w:val="00C45650"/>
    <w:rsid w:val="00C4581F"/>
    <w:rsid w:val="00C46CF0"/>
    <w:rsid w:val="00C50C6B"/>
    <w:rsid w:val="00C50DC6"/>
    <w:rsid w:val="00C51CDB"/>
    <w:rsid w:val="00C55BFC"/>
    <w:rsid w:val="00C764B3"/>
    <w:rsid w:val="00C83C0B"/>
    <w:rsid w:val="00C84481"/>
    <w:rsid w:val="00C97E1B"/>
    <w:rsid w:val="00CA4C53"/>
    <w:rsid w:val="00CA69D1"/>
    <w:rsid w:val="00CA737D"/>
    <w:rsid w:val="00CB2E4A"/>
    <w:rsid w:val="00CB66D4"/>
    <w:rsid w:val="00CB67A1"/>
    <w:rsid w:val="00CC483B"/>
    <w:rsid w:val="00CC6313"/>
    <w:rsid w:val="00CD4D1B"/>
    <w:rsid w:val="00CD7AE0"/>
    <w:rsid w:val="00CF0B72"/>
    <w:rsid w:val="00CF335C"/>
    <w:rsid w:val="00CF3B35"/>
    <w:rsid w:val="00CF3C41"/>
    <w:rsid w:val="00D0000C"/>
    <w:rsid w:val="00D047AE"/>
    <w:rsid w:val="00D04D4C"/>
    <w:rsid w:val="00D12B18"/>
    <w:rsid w:val="00D1470D"/>
    <w:rsid w:val="00D21E1B"/>
    <w:rsid w:val="00D21EE8"/>
    <w:rsid w:val="00D22CC8"/>
    <w:rsid w:val="00D2354C"/>
    <w:rsid w:val="00D25F82"/>
    <w:rsid w:val="00D334C3"/>
    <w:rsid w:val="00D4273B"/>
    <w:rsid w:val="00D4350C"/>
    <w:rsid w:val="00D45E11"/>
    <w:rsid w:val="00D46340"/>
    <w:rsid w:val="00D479AD"/>
    <w:rsid w:val="00D524CA"/>
    <w:rsid w:val="00D5476E"/>
    <w:rsid w:val="00D56800"/>
    <w:rsid w:val="00D650C7"/>
    <w:rsid w:val="00D65D7D"/>
    <w:rsid w:val="00D71915"/>
    <w:rsid w:val="00D71FB1"/>
    <w:rsid w:val="00D91C75"/>
    <w:rsid w:val="00DA6817"/>
    <w:rsid w:val="00DC604D"/>
    <w:rsid w:val="00DC6806"/>
    <w:rsid w:val="00DD0E93"/>
    <w:rsid w:val="00DD45FB"/>
    <w:rsid w:val="00DF244E"/>
    <w:rsid w:val="00DF69C5"/>
    <w:rsid w:val="00E05325"/>
    <w:rsid w:val="00E20335"/>
    <w:rsid w:val="00E27507"/>
    <w:rsid w:val="00E34258"/>
    <w:rsid w:val="00E462EC"/>
    <w:rsid w:val="00E50930"/>
    <w:rsid w:val="00E518D4"/>
    <w:rsid w:val="00E52B76"/>
    <w:rsid w:val="00E54310"/>
    <w:rsid w:val="00E5683C"/>
    <w:rsid w:val="00E61387"/>
    <w:rsid w:val="00E642EF"/>
    <w:rsid w:val="00E70F46"/>
    <w:rsid w:val="00E8018F"/>
    <w:rsid w:val="00E90915"/>
    <w:rsid w:val="00E97223"/>
    <w:rsid w:val="00EA1F35"/>
    <w:rsid w:val="00EB3026"/>
    <w:rsid w:val="00EC4155"/>
    <w:rsid w:val="00EC6C02"/>
    <w:rsid w:val="00ED416F"/>
    <w:rsid w:val="00ED4D1E"/>
    <w:rsid w:val="00ED6DA7"/>
    <w:rsid w:val="00EE6589"/>
    <w:rsid w:val="00EE68D9"/>
    <w:rsid w:val="00EF318D"/>
    <w:rsid w:val="00EF3869"/>
    <w:rsid w:val="00EF5767"/>
    <w:rsid w:val="00F13F33"/>
    <w:rsid w:val="00F22547"/>
    <w:rsid w:val="00F23F47"/>
    <w:rsid w:val="00F26F12"/>
    <w:rsid w:val="00F402DB"/>
    <w:rsid w:val="00F43870"/>
    <w:rsid w:val="00F46460"/>
    <w:rsid w:val="00F4689A"/>
    <w:rsid w:val="00F52E50"/>
    <w:rsid w:val="00F641F9"/>
    <w:rsid w:val="00F65282"/>
    <w:rsid w:val="00F75A2B"/>
    <w:rsid w:val="00F76391"/>
    <w:rsid w:val="00F77519"/>
    <w:rsid w:val="00F82F69"/>
    <w:rsid w:val="00F851C7"/>
    <w:rsid w:val="00F93B14"/>
    <w:rsid w:val="00F96F06"/>
    <w:rsid w:val="00FB2921"/>
    <w:rsid w:val="00FC3951"/>
    <w:rsid w:val="00FD0926"/>
    <w:rsid w:val="00FD1DC9"/>
    <w:rsid w:val="00FD47EB"/>
    <w:rsid w:val="00FE175D"/>
    <w:rsid w:val="00FF2B04"/>
    <w:rsid w:val="00FF31E0"/>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35902"/>
  <w15:docId w15:val="{548DF8FE-92EC-4993-839E-AE2DA6A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B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B6"/>
    <w:pPr>
      <w:ind w:left="720"/>
      <w:contextualSpacing/>
    </w:pPr>
  </w:style>
  <w:style w:type="paragraph" w:styleId="FootnoteText">
    <w:name w:val="footnote text"/>
    <w:basedOn w:val="Normal"/>
    <w:link w:val="FootnoteTextChar"/>
    <w:uiPriority w:val="99"/>
    <w:unhideWhenUsed/>
    <w:rsid w:val="005003B6"/>
    <w:pPr>
      <w:spacing w:after="0" w:line="240" w:lineRule="auto"/>
    </w:pPr>
    <w:rPr>
      <w:sz w:val="20"/>
      <w:szCs w:val="20"/>
    </w:rPr>
  </w:style>
  <w:style w:type="character" w:customStyle="1" w:styleId="FootnoteTextChar">
    <w:name w:val="Footnote Text Char"/>
    <w:basedOn w:val="DefaultParagraphFont"/>
    <w:link w:val="FootnoteText"/>
    <w:uiPriority w:val="99"/>
    <w:rsid w:val="005003B6"/>
    <w:rPr>
      <w:sz w:val="20"/>
      <w:szCs w:val="20"/>
    </w:rPr>
  </w:style>
  <w:style w:type="character" w:styleId="FootnoteReference">
    <w:name w:val="footnote reference"/>
    <w:basedOn w:val="DefaultParagraphFont"/>
    <w:uiPriority w:val="99"/>
    <w:unhideWhenUsed/>
    <w:rsid w:val="005003B6"/>
    <w:rPr>
      <w:vertAlign w:val="superscript"/>
    </w:rPr>
  </w:style>
  <w:style w:type="paragraph" w:customStyle="1" w:styleId="Num-DocParagraph">
    <w:name w:val="Num-Doc Paragraph"/>
    <w:link w:val="Num-DocParagraphChar1"/>
    <w:uiPriority w:val="99"/>
    <w:rsid w:val="00203B9A"/>
    <w:rPr>
      <w:rFonts w:ascii="Calibri" w:eastAsia="Calibri" w:hAnsi="Calibri" w:cs="Calibri"/>
    </w:rPr>
  </w:style>
  <w:style w:type="character" w:customStyle="1" w:styleId="Num-DocParagraphChar1">
    <w:name w:val="Num-Doc Paragraph Char1"/>
    <w:basedOn w:val="DefaultParagraphFont"/>
    <w:link w:val="Num-DocParagraph"/>
    <w:uiPriority w:val="99"/>
    <w:rsid w:val="00203B9A"/>
    <w:rPr>
      <w:rFonts w:ascii="Calibri" w:eastAsia="Calibri" w:hAnsi="Calibri" w:cs="Calibri"/>
    </w:rPr>
  </w:style>
  <w:style w:type="character" w:customStyle="1" w:styleId="Heading1Char">
    <w:name w:val="Heading 1 Char"/>
    <w:basedOn w:val="DefaultParagraphFont"/>
    <w:link w:val="Heading1"/>
    <w:uiPriority w:val="9"/>
    <w:rsid w:val="00203B9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E52B76"/>
    <w:rPr>
      <w:sz w:val="16"/>
      <w:szCs w:val="16"/>
    </w:rPr>
  </w:style>
  <w:style w:type="paragraph" w:styleId="CommentText">
    <w:name w:val="annotation text"/>
    <w:basedOn w:val="Normal"/>
    <w:link w:val="CommentTextChar"/>
    <w:uiPriority w:val="99"/>
    <w:unhideWhenUsed/>
    <w:rsid w:val="00E52B76"/>
    <w:pPr>
      <w:spacing w:line="240" w:lineRule="auto"/>
    </w:pPr>
    <w:rPr>
      <w:sz w:val="20"/>
      <w:szCs w:val="20"/>
    </w:rPr>
  </w:style>
  <w:style w:type="character" w:customStyle="1" w:styleId="CommentTextChar">
    <w:name w:val="Comment Text Char"/>
    <w:basedOn w:val="DefaultParagraphFont"/>
    <w:link w:val="CommentText"/>
    <w:uiPriority w:val="99"/>
    <w:rsid w:val="00E52B76"/>
    <w:rPr>
      <w:sz w:val="20"/>
      <w:szCs w:val="20"/>
    </w:rPr>
  </w:style>
  <w:style w:type="paragraph" w:styleId="CommentSubject">
    <w:name w:val="annotation subject"/>
    <w:basedOn w:val="CommentText"/>
    <w:next w:val="CommentText"/>
    <w:link w:val="CommentSubjectChar"/>
    <w:uiPriority w:val="99"/>
    <w:semiHidden/>
    <w:unhideWhenUsed/>
    <w:rsid w:val="00E52B76"/>
    <w:rPr>
      <w:b/>
      <w:bCs/>
    </w:rPr>
  </w:style>
  <w:style w:type="character" w:customStyle="1" w:styleId="CommentSubjectChar">
    <w:name w:val="Comment Subject Char"/>
    <w:basedOn w:val="CommentTextChar"/>
    <w:link w:val="CommentSubject"/>
    <w:uiPriority w:val="99"/>
    <w:semiHidden/>
    <w:rsid w:val="00E52B76"/>
    <w:rPr>
      <w:b/>
      <w:bCs/>
      <w:sz w:val="20"/>
      <w:szCs w:val="20"/>
    </w:rPr>
  </w:style>
  <w:style w:type="paragraph" w:styleId="BalloonText">
    <w:name w:val="Balloon Text"/>
    <w:basedOn w:val="Normal"/>
    <w:link w:val="BalloonTextChar"/>
    <w:uiPriority w:val="99"/>
    <w:semiHidden/>
    <w:unhideWhenUsed/>
    <w:rsid w:val="00E5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B76"/>
    <w:rPr>
      <w:rFonts w:ascii="Tahoma" w:hAnsi="Tahoma" w:cs="Tahoma"/>
      <w:sz w:val="16"/>
      <w:szCs w:val="16"/>
    </w:rPr>
  </w:style>
  <w:style w:type="paragraph" w:styleId="BodyText">
    <w:name w:val="Body Text"/>
    <w:basedOn w:val="Normal"/>
    <w:link w:val="BodyTextChar"/>
    <w:semiHidden/>
    <w:unhideWhenUsed/>
    <w:rsid w:val="00ED416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D416F"/>
    <w:rPr>
      <w:rFonts w:ascii="Times New Roman" w:eastAsia="Times New Roman" w:hAnsi="Times New Roman" w:cs="Times New Roman"/>
      <w:sz w:val="24"/>
      <w:szCs w:val="24"/>
    </w:rPr>
  </w:style>
  <w:style w:type="table" w:styleId="TableGrid">
    <w:name w:val="Table Grid"/>
    <w:basedOn w:val="TableNormal"/>
    <w:uiPriority w:val="59"/>
    <w:rsid w:val="0021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69D1"/>
  </w:style>
  <w:style w:type="paragraph" w:styleId="Revision">
    <w:name w:val="Revision"/>
    <w:hidden/>
    <w:uiPriority w:val="99"/>
    <w:semiHidden/>
    <w:rsid w:val="00400E9C"/>
    <w:pPr>
      <w:spacing w:after="0" w:line="240" w:lineRule="auto"/>
    </w:pPr>
  </w:style>
  <w:style w:type="character" w:styleId="PlaceholderText">
    <w:name w:val="Placeholder Text"/>
    <w:basedOn w:val="DefaultParagraphFont"/>
    <w:uiPriority w:val="99"/>
    <w:semiHidden/>
    <w:rsid w:val="002328FD"/>
    <w:rPr>
      <w:color w:val="808080"/>
    </w:rPr>
  </w:style>
  <w:style w:type="paragraph" w:styleId="Header">
    <w:name w:val="header"/>
    <w:basedOn w:val="Normal"/>
    <w:link w:val="HeaderChar"/>
    <w:uiPriority w:val="99"/>
    <w:unhideWhenUsed/>
    <w:rsid w:val="00AF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EF"/>
  </w:style>
  <w:style w:type="paragraph" w:styleId="Footer">
    <w:name w:val="footer"/>
    <w:basedOn w:val="Normal"/>
    <w:link w:val="FooterChar"/>
    <w:uiPriority w:val="99"/>
    <w:unhideWhenUsed/>
    <w:rsid w:val="00AF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0065">
      <w:bodyDiv w:val="1"/>
      <w:marLeft w:val="0"/>
      <w:marRight w:val="0"/>
      <w:marTop w:val="0"/>
      <w:marBottom w:val="0"/>
      <w:divBdr>
        <w:top w:val="none" w:sz="0" w:space="0" w:color="auto"/>
        <w:left w:val="none" w:sz="0" w:space="0" w:color="auto"/>
        <w:bottom w:val="none" w:sz="0" w:space="0" w:color="auto"/>
        <w:right w:val="none" w:sz="0" w:space="0" w:color="auto"/>
      </w:divBdr>
    </w:div>
    <w:div w:id="912928018">
      <w:bodyDiv w:val="1"/>
      <w:marLeft w:val="0"/>
      <w:marRight w:val="0"/>
      <w:marTop w:val="0"/>
      <w:marBottom w:val="0"/>
      <w:divBdr>
        <w:top w:val="none" w:sz="0" w:space="0" w:color="auto"/>
        <w:left w:val="none" w:sz="0" w:space="0" w:color="auto"/>
        <w:bottom w:val="none" w:sz="0" w:space="0" w:color="auto"/>
        <w:right w:val="none" w:sz="0" w:space="0" w:color="auto"/>
      </w:divBdr>
    </w:div>
    <w:div w:id="1068920092">
      <w:bodyDiv w:val="1"/>
      <w:marLeft w:val="0"/>
      <w:marRight w:val="0"/>
      <w:marTop w:val="0"/>
      <w:marBottom w:val="0"/>
      <w:divBdr>
        <w:top w:val="none" w:sz="0" w:space="0" w:color="auto"/>
        <w:left w:val="none" w:sz="0" w:space="0" w:color="auto"/>
        <w:bottom w:val="none" w:sz="0" w:space="0" w:color="auto"/>
        <w:right w:val="none" w:sz="0" w:space="0" w:color="auto"/>
      </w:divBdr>
    </w:div>
    <w:div w:id="1131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onpapers.repec.org/article/oupajagec/v_3a87_3ay_3a2005_3ai_3a5_3ap_3a1239-12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AB9C7-2C42-4923-92E8-C7677CCC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Weidman, Pheny - ERS</cp:lastModifiedBy>
  <cp:revision>17</cp:revision>
  <cp:lastPrinted>2016-04-20T16:39:00Z</cp:lastPrinted>
  <dcterms:created xsi:type="dcterms:W3CDTF">2016-04-18T21:29:00Z</dcterms:created>
  <dcterms:modified xsi:type="dcterms:W3CDTF">2016-05-05T18:44:00Z</dcterms:modified>
</cp:coreProperties>
</file>