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38C" w:rsidRDefault="0031638C" w:rsidP="0031638C">
      <w:pPr>
        <w:pStyle w:val="covertitle"/>
        <w:jc w:val="right"/>
      </w:pPr>
      <w:r>
        <w:t xml:space="preserve">Part B: Collections of Information Employing Statistical Methods for the Supplementation Nutrition Assistance Program (SNAP) Employment &amp; Training Study </w:t>
      </w:r>
      <w:r>
        <w:drawing>
          <wp:anchor distT="0" distB="0" distL="114300" distR="114300" simplePos="0" relativeHeight="251658240" behindDoc="0" locked="1" layoutInCell="1" allowOverlap="1">
            <wp:simplePos x="0" y="0"/>
            <wp:positionH relativeFrom="margin">
              <wp:align>right</wp:align>
            </wp:positionH>
            <wp:positionV relativeFrom="margin">
              <wp:posOffset>-2143125</wp:posOffset>
            </wp:positionV>
            <wp:extent cx="4876800" cy="124777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4876800" cy="1247775"/>
                    </a:xfrm>
                    <a:prstGeom prst="rect">
                      <a:avLst/>
                    </a:prstGeom>
                    <a:noFill/>
                  </pic:spPr>
                </pic:pic>
              </a:graphicData>
            </a:graphic>
          </wp:anchor>
        </w:drawing>
      </w:r>
    </w:p>
    <w:p w:rsidR="0031638C" w:rsidRDefault="0031638C" w:rsidP="0031638C">
      <w:pPr>
        <w:pStyle w:val="coverdate"/>
        <w:jc w:val="right"/>
      </w:pPr>
      <w:bookmarkStart w:id="0" w:name="DateMark"/>
      <w:bookmarkEnd w:id="0"/>
    </w:p>
    <w:p w:rsidR="0031638C" w:rsidRDefault="0031638C" w:rsidP="0031638C">
      <w:pPr>
        <w:pStyle w:val="coverdate"/>
        <w:jc w:val="right"/>
      </w:pPr>
    </w:p>
    <w:p w:rsidR="0031638C" w:rsidRDefault="0031638C" w:rsidP="0031638C">
      <w:pPr>
        <w:pStyle w:val="coverdate"/>
        <w:jc w:val="right"/>
      </w:pPr>
      <w:r>
        <w:t>October 27, 2014</w:t>
      </w:r>
    </w:p>
    <w:p w:rsidR="0031638C" w:rsidRDefault="0031638C" w:rsidP="0031638C">
      <w:pPr>
        <w:pStyle w:val="coverdate"/>
        <w:jc w:val="right"/>
      </w:pPr>
    </w:p>
    <w:p w:rsidR="0031638C" w:rsidRDefault="0031638C" w:rsidP="0031638C">
      <w:pPr>
        <w:pStyle w:val="coverdate"/>
        <w:jc w:val="right"/>
      </w:pPr>
    </w:p>
    <w:p w:rsidR="0031638C" w:rsidRDefault="0031638C" w:rsidP="0031638C">
      <w:pPr>
        <w:pStyle w:val="coverdate"/>
        <w:jc w:val="right"/>
      </w:pPr>
    </w:p>
    <w:p w:rsidR="0031638C" w:rsidRDefault="0031638C" w:rsidP="0031638C">
      <w:pPr>
        <w:pStyle w:val="coverdate"/>
        <w:jc w:val="right"/>
      </w:pPr>
    </w:p>
    <w:p w:rsidR="0031638C" w:rsidRDefault="0031638C" w:rsidP="0031638C">
      <w:pPr>
        <w:pStyle w:val="covertextnoline"/>
        <w:spacing w:line="260" w:lineRule="exact"/>
        <w:jc w:val="right"/>
      </w:pPr>
      <w:r>
        <w:t>Submitted to:</w:t>
      </w:r>
    </w:p>
    <w:p w:rsidR="0031638C" w:rsidRDefault="0031638C" w:rsidP="0031638C">
      <w:pPr>
        <w:pStyle w:val="covertext"/>
        <w:spacing w:after="0"/>
        <w:jc w:val="right"/>
      </w:pPr>
      <w:bookmarkStart w:id="1" w:name="Agency"/>
      <w:bookmarkEnd w:id="1"/>
      <w:r>
        <w:t xml:space="preserve">Office of Management and Budget </w:t>
      </w:r>
    </w:p>
    <w:p w:rsidR="0031638C" w:rsidRDefault="0031638C" w:rsidP="0031638C">
      <w:pPr>
        <w:pStyle w:val="covertextnoline"/>
        <w:spacing w:line="260" w:lineRule="exact"/>
        <w:jc w:val="right"/>
      </w:pPr>
    </w:p>
    <w:p w:rsidR="0031638C" w:rsidRDefault="0031638C" w:rsidP="0031638C">
      <w:pPr>
        <w:pStyle w:val="covertextnoline"/>
        <w:spacing w:line="260" w:lineRule="exact"/>
        <w:jc w:val="right"/>
      </w:pPr>
    </w:p>
    <w:p w:rsidR="0031638C" w:rsidRDefault="0031638C" w:rsidP="0031638C">
      <w:pPr>
        <w:pStyle w:val="covertextnoline"/>
        <w:spacing w:line="260" w:lineRule="exact"/>
        <w:jc w:val="right"/>
      </w:pPr>
    </w:p>
    <w:p w:rsidR="0031638C" w:rsidRDefault="0031638C" w:rsidP="0031638C">
      <w:pPr>
        <w:pStyle w:val="covertextnoline"/>
        <w:spacing w:line="260" w:lineRule="exact"/>
        <w:jc w:val="right"/>
      </w:pPr>
    </w:p>
    <w:p w:rsidR="0031638C" w:rsidRDefault="0031638C" w:rsidP="0031638C">
      <w:pPr>
        <w:pStyle w:val="covertextnoline"/>
        <w:spacing w:line="260" w:lineRule="exact"/>
        <w:jc w:val="right"/>
      </w:pPr>
      <w:r>
        <w:br/>
        <w:t>Submitted by:</w:t>
      </w:r>
    </w:p>
    <w:p w:rsidR="0031638C" w:rsidRDefault="0031638C" w:rsidP="0031638C">
      <w:pPr>
        <w:pStyle w:val="covertext"/>
        <w:spacing w:after="0"/>
        <w:jc w:val="right"/>
      </w:pPr>
      <w:r>
        <w:t>Food and Nutrition Service</w:t>
      </w:r>
    </w:p>
    <w:p w:rsidR="0031638C" w:rsidRDefault="0031638C" w:rsidP="0031638C">
      <w:pPr>
        <w:pStyle w:val="covertext"/>
        <w:spacing w:after="0"/>
        <w:jc w:val="right"/>
      </w:pPr>
      <w:bookmarkStart w:id="2" w:name="AgencyDept"/>
      <w:bookmarkEnd w:id="2"/>
      <w:r>
        <w:t>United States Department of Agriculture</w:t>
      </w:r>
    </w:p>
    <w:p w:rsidR="0031638C" w:rsidRDefault="0031638C" w:rsidP="0031638C">
      <w:pPr>
        <w:pStyle w:val="covertext"/>
        <w:spacing w:after="0"/>
        <w:jc w:val="right"/>
      </w:pPr>
      <w:bookmarkStart w:id="3" w:name="AgencyAddress1"/>
      <w:bookmarkEnd w:id="3"/>
      <w:r>
        <w:t>3101 Park Center Drive</w:t>
      </w:r>
    </w:p>
    <w:p w:rsidR="0031638C" w:rsidRDefault="0031638C" w:rsidP="0031638C">
      <w:pPr>
        <w:pStyle w:val="covertext"/>
        <w:spacing w:after="60"/>
        <w:contextualSpacing/>
        <w:jc w:val="right"/>
      </w:pPr>
      <w:bookmarkStart w:id="4" w:name="AgencyAddress2"/>
      <w:bookmarkEnd w:id="4"/>
      <w:r>
        <w:t>Alexandria, VA 22302-1500</w:t>
      </w:r>
    </w:p>
    <w:p w:rsidR="005F0633" w:rsidRDefault="005F0633" w:rsidP="005F0633">
      <w:pPr>
        <w:pStyle w:val="NormalSS"/>
        <w:sectPr w:rsidR="005F0633" w:rsidSect="000E4C3F">
          <w:headerReference w:type="default" r:id="rId10"/>
          <w:footerReference w:type="default" r:id="rId11"/>
          <w:pgSz w:w="12240" w:h="15840"/>
          <w:pgMar w:top="1440" w:right="1440" w:bottom="1440" w:left="1440" w:header="720" w:footer="720" w:gutter="0"/>
          <w:cols w:space="720"/>
          <w:docGrid w:linePitch="360"/>
        </w:sectPr>
      </w:pPr>
    </w:p>
    <w:p w:rsidR="005F0633" w:rsidRDefault="005F0633" w:rsidP="005F0633">
      <w:pPr>
        <w:pBdr>
          <w:bottom w:val="single" w:sz="2" w:space="1" w:color="auto"/>
        </w:pBdr>
        <w:spacing w:before="240" w:after="240" w:line="240" w:lineRule="auto"/>
        <w:ind w:firstLine="0"/>
        <w:jc w:val="both"/>
        <w:rPr>
          <w:rFonts w:ascii="Arial Black" w:hAnsi="Arial Black"/>
          <w:sz w:val="22"/>
        </w:rPr>
      </w:pPr>
      <w:r>
        <w:rPr>
          <w:rFonts w:ascii="Arial Black" w:hAnsi="Arial Black"/>
          <w:sz w:val="22"/>
        </w:rPr>
        <w:lastRenderedPageBreak/>
        <w:t>CONTENTS</w:t>
      </w:r>
    </w:p>
    <w:p w:rsidR="005F0633" w:rsidRDefault="006E4C45">
      <w:pPr>
        <w:pStyle w:val="TOC1"/>
        <w:rPr>
          <w:rFonts w:asciiTheme="minorHAnsi" w:eastAsiaTheme="minorEastAsia" w:hAnsiTheme="minorHAnsi" w:cstheme="minorBidi"/>
          <w:caps w:val="0"/>
          <w:noProof/>
          <w:sz w:val="22"/>
          <w:szCs w:val="22"/>
        </w:rPr>
      </w:pPr>
      <w:r>
        <w:rPr>
          <w:rFonts w:cs="Arial"/>
        </w:rPr>
        <w:fldChar w:fldCharType="begin"/>
      </w:r>
      <w:r w:rsidR="005F0633">
        <w:rPr>
          <w:rFonts w:cs="Arial"/>
        </w:rPr>
        <w:instrText xml:space="preserve"> TOC \o "1-3" \z \t "Heading 1,1,Heading 2,2,Mark for Attachment Heading,8,Mark for Appendix Heading,8" </w:instrText>
      </w:r>
      <w:r>
        <w:rPr>
          <w:rFonts w:cs="Arial"/>
        </w:rPr>
        <w:fldChar w:fldCharType="separate"/>
      </w:r>
      <w:r w:rsidR="005F0633">
        <w:rPr>
          <w:noProof/>
        </w:rPr>
        <w:t>PART B: COLLECTIONs OF INFORMATION EMPLOYING STATISTICAL METHODS</w:t>
      </w:r>
      <w:r w:rsidR="005F0633">
        <w:rPr>
          <w:noProof/>
          <w:webHidden/>
        </w:rPr>
        <w:tab/>
      </w:r>
      <w:r>
        <w:rPr>
          <w:noProof/>
          <w:webHidden/>
        </w:rPr>
        <w:fldChar w:fldCharType="begin"/>
      </w:r>
      <w:r w:rsidR="005F0633">
        <w:rPr>
          <w:noProof/>
          <w:webHidden/>
        </w:rPr>
        <w:instrText xml:space="preserve"> PAGEREF _Toc402174643 \h </w:instrText>
      </w:r>
      <w:r>
        <w:rPr>
          <w:noProof/>
          <w:webHidden/>
        </w:rPr>
      </w:r>
      <w:r>
        <w:rPr>
          <w:noProof/>
          <w:webHidden/>
        </w:rPr>
        <w:fldChar w:fldCharType="separate"/>
      </w:r>
      <w:r w:rsidR="00CF2E0C">
        <w:rPr>
          <w:noProof/>
          <w:webHidden/>
        </w:rPr>
        <w:t>1</w:t>
      </w:r>
      <w:r>
        <w:rPr>
          <w:noProof/>
          <w:webHidden/>
        </w:rPr>
        <w:fldChar w:fldCharType="end"/>
      </w:r>
    </w:p>
    <w:p w:rsidR="005F0633" w:rsidRDefault="005F0633" w:rsidP="005F0633">
      <w:pPr>
        <w:pStyle w:val="TOC2"/>
        <w:rPr>
          <w:rFonts w:asciiTheme="minorHAnsi" w:eastAsiaTheme="minorEastAsia" w:hAnsiTheme="minorHAnsi" w:cstheme="minorBidi"/>
          <w:sz w:val="22"/>
          <w:szCs w:val="22"/>
        </w:rPr>
      </w:pPr>
      <w:r>
        <w:t>B.1. 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r>
        <w:rPr>
          <w:webHidden/>
        </w:rPr>
        <w:tab/>
      </w:r>
      <w:r w:rsidR="006E4C45">
        <w:rPr>
          <w:webHidden/>
        </w:rPr>
        <w:fldChar w:fldCharType="begin"/>
      </w:r>
      <w:r>
        <w:rPr>
          <w:webHidden/>
        </w:rPr>
        <w:instrText xml:space="preserve"> PAGEREF _Toc402174644 \h </w:instrText>
      </w:r>
      <w:r w:rsidR="006E4C45">
        <w:rPr>
          <w:webHidden/>
        </w:rPr>
      </w:r>
      <w:r w:rsidR="006E4C45">
        <w:rPr>
          <w:webHidden/>
        </w:rPr>
        <w:fldChar w:fldCharType="separate"/>
      </w:r>
      <w:r w:rsidR="00CF2E0C">
        <w:rPr>
          <w:webHidden/>
        </w:rPr>
        <w:t>1</w:t>
      </w:r>
      <w:r w:rsidR="006E4C45">
        <w:rPr>
          <w:webHidden/>
        </w:rPr>
        <w:fldChar w:fldCharType="end"/>
      </w:r>
    </w:p>
    <w:p w:rsidR="005F0633" w:rsidRDefault="005F0633">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 xml:space="preserve"> Selecting registrants and participants from study states for survey data collection</w:t>
      </w:r>
      <w:r>
        <w:rPr>
          <w:webHidden/>
        </w:rPr>
        <w:tab/>
      </w:r>
      <w:r w:rsidR="006E4C45">
        <w:rPr>
          <w:webHidden/>
        </w:rPr>
        <w:fldChar w:fldCharType="begin"/>
      </w:r>
      <w:r>
        <w:rPr>
          <w:webHidden/>
        </w:rPr>
        <w:instrText xml:space="preserve"> PAGEREF _Toc402174645 \h </w:instrText>
      </w:r>
      <w:r w:rsidR="006E4C45">
        <w:rPr>
          <w:webHidden/>
        </w:rPr>
      </w:r>
      <w:r w:rsidR="006E4C45">
        <w:rPr>
          <w:webHidden/>
        </w:rPr>
        <w:fldChar w:fldCharType="separate"/>
      </w:r>
      <w:r w:rsidR="00CF2E0C">
        <w:rPr>
          <w:webHidden/>
        </w:rPr>
        <w:t>1</w:t>
      </w:r>
      <w:r w:rsidR="006E4C45">
        <w:rPr>
          <w:webHidden/>
        </w:rPr>
        <w:fldChar w:fldCharType="end"/>
      </w:r>
    </w:p>
    <w:p w:rsidR="005F0633" w:rsidRDefault="005F0633">
      <w:pPr>
        <w:pStyle w:val="TOC3"/>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Selecting providers from study states for survey data collection</w:t>
      </w:r>
      <w:r>
        <w:rPr>
          <w:webHidden/>
        </w:rPr>
        <w:tab/>
      </w:r>
      <w:r w:rsidR="006E4C45">
        <w:rPr>
          <w:webHidden/>
        </w:rPr>
        <w:fldChar w:fldCharType="begin"/>
      </w:r>
      <w:r>
        <w:rPr>
          <w:webHidden/>
        </w:rPr>
        <w:instrText xml:space="preserve"> PAGEREF _Toc402174646 \h </w:instrText>
      </w:r>
      <w:r w:rsidR="006E4C45">
        <w:rPr>
          <w:webHidden/>
        </w:rPr>
      </w:r>
      <w:r w:rsidR="006E4C45">
        <w:rPr>
          <w:webHidden/>
        </w:rPr>
        <w:fldChar w:fldCharType="separate"/>
      </w:r>
      <w:r w:rsidR="00CF2E0C">
        <w:rPr>
          <w:webHidden/>
        </w:rPr>
        <w:t>3</w:t>
      </w:r>
      <w:r w:rsidR="006E4C45">
        <w:rPr>
          <w:webHidden/>
        </w:rPr>
        <w:fldChar w:fldCharType="end"/>
      </w:r>
    </w:p>
    <w:p w:rsidR="005F0633" w:rsidRDefault="005F0633">
      <w:pPr>
        <w:pStyle w:val="TOC3"/>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Selecting focus group participants from study states</w:t>
      </w:r>
      <w:r>
        <w:rPr>
          <w:webHidden/>
        </w:rPr>
        <w:tab/>
      </w:r>
      <w:r w:rsidR="006E4C45">
        <w:rPr>
          <w:webHidden/>
        </w:rPr>
        <w:fldChar w:fldCharType="begin"/>
      </w:r>
      <w:r>
        <w:rPr>
          <w:webHidden/>
        </w:rPr>
        <w:instrText xml:space="preserve"> PAGEREF _Toc402174647 \h </w:instrText>
      </w:r>
      <w:r w:rsidR="006E4C45">
        <w:rPr>
          <w:webHidden/>
        </w:rPr>
      </w:r>
      <w:r w:rsidR="006E4C45">
        <w:rPr>
          <w:webHidden/>
        </w:rPr>
        <w:fldChar w:fldCharType="separate"/>
      </w:r>
      <w:r w:rsidR="00CF2E0C">
        <w:rPr>
          <w:webHidden/>
        </w:rPr>
        <w:t>3</w:t>
      </w:r>
      <w:r w:rsidR="006E4C45">
        <w:rPr>
          <w:webHidden/>
        </w:rPr>
        <w:fldChar w:fldCharType="end"/>
      </w:r>
    </w:p>
    <w:p w:rsidR="005F0633" w:rsidRDefault="005F0633" w:rsidP="005F0633">
      <w:pPr>
        <w:pStyle w:val="TOC2"/>
        <w:rPr>
          <w:rFonts w:asciiTheme="minorHAnsi" w:eastAsiaTheme="minorEastAsia" w:hAnsiTheme="minorHAnsi" w:cstheme="minorBidi"/>
          <w:sz w:val="22"/>
          <w:szCs w:val="22"/>
        </w:rPr>
      </w:pPr>
      <w:r>
        <w:t>B.2. Describe the procedures for the collection of information including:</w:t>
      </w:r>
      <w:r>
        <w:rPr>
          <w:webHidden/>
        </w:rPr>
        <w:tab/>
      </w:r>
      <w:r w:rsidR="006E4C45">
        <w:rPr>
          <w:webHidden/>
        </w:rPr>
        <w:fldChar w:fldCharType="begin"/>
      </w:r>
      <w:r>
        <w:rPr>
          <w:webHidden/>
        </w:rPr>
        <w:instrText xml:space="preserve"> PAGEREF _Toc402174648 \h </w:instrText>
      </w:r>
      <w:r w:rsidR="006E4C45">
        <w:rPr>
          <w:webHidden/>
        </w:rPr>
      </w:r>
      <w:r w:rsidR="006E4C45">
        <w:rPr>
          <w:webHidden/>
        </w:rPr>
        <w:fldChar w:fldCharType="separate"/>
      </w:r>
      <w:r w:rsidR="00CF2E0C">
        <w:rPr>
          <w:webHidden/>
        </w:rPr>
        <w:t>3</w:t>
      </w:r>
      <w:r w:rsidR="006E4C45">
        <w:rPr>
          <w:webHidden/>
        </w:rPr>
        <w:fldChar w:fldCharType="end"/>
      </w:r>
    </w:p>
    <w:p w:rsidR="005F0633" w:rsidRDefault="005F0633">
      <w:pPr>
        <w:pStyle w:val="TOC3"/>
        <w:rPr>
          <w:rFonts w:asciiTheme="minorHAnsi" w:eastAsiaTheme="minorEastAsia" w:hAnsiTheme="minorHAnsi" w:cstheme="minorBidi"/>
          <w:sz w:val="22"/>
          <w:szCs w:val="22"/>
        </w:rPr>
      </w:pPr>
      <w:r>
        <w:t xml:space="preserve">1. </w:t>
      </w:r>
      <w:r>
        <w:rPr>
          <w:rFonts w:asciiTheme="minorHAnsi" w:eastAsiaTheme="minorEastAsia" w:hAnsiTheme="minorHAnsi" w:cstheme="minorBidi"/>
          <w:sz w:val="22"/>
          <w:szCs w:val="22"/>
        </w:rPr>
        <w:tab/>
      </w:r>
      <w:r>
        <w:t>Data collection</w:t>
      </w:r>
      <w:r>
        <w:rPr>
          <w:webHidden/>
        </w:rPr>
        <w:tab/>
      </w:r>
      <w:r w:rsidR="006E4C45">
        <w:rPr>
          <w:webHidden/>
        </w:rPr>
        <w:fldChar w:fldCharType="begin"/>
      </w:r>
      <w:r>
        <w:rPr>
          <w:webHidden/>
        </w:rPr>
        <w:instrText xml:space="preserve"> PAGEREF _Toc402174649 \h </w:instrText>
      </w:r>
      <w:r w:rsidR="006E4C45">
        <w:rPr>
          <w:webHidden/>
        </w:rPr>
      </w:r>
      <w:r w:rsidR="006E4C45">
        <w:rPr>
          <w:webHidden/>
        </w:rPr>
        <w:fldChar w:fldCharType="separate"/>
      </w:r>
      <w:r w:rsidR="00CF2E0C">
        <w:rPr>
          <w:webHidden/>
        </w:rPr>
        <w:t>4</w:t>
      </w:r>
      <w:r w:rsidR="006E4C45">
        <w:rPr>
          <w:webHidden/>
        </w:rPr>
        <w:fldChar w:fldCharType="end"/>
      </w:r>
    </w:p>
    <w:p w:rsidR="005F0633" w:rsidRDefault="005F0633">
      <w:pPr>
        <w:pStyle w:val="TOC3"/>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Statistical methodology, estimation, and degree of accuracy</w:t>
      </w:r>
      <w:r>
        <w:rPr>
          <w:webHidden/>
        </w:rPr>
        <w:tab/>
      </w:r>
      <w:r w:rsidR="006E4C45">
        <w:rPr>
          <w:webHidden/>
        </w:rPr>
        <w:fldChar w:fldCharType="begin"/>
      </w:r>
      <w:r>
        <w:rPr>
          <w:webHidden/>
        </w:rPr>
        <w:instrText xml:space="preserve"> PAGEREF _Toc402174650 \h </w:instrText>
      </w:r>
      <w:r w:rsidR="006E4C45">
        <w:rPr>
          <w:webHidden/>
        </w:rPr>
      </w:r>
      <w:r w:rsidR="006E4C45">
        <w:rPr>
          <w:webHidden/>
        </w:rPr>
        <w:fldChar w:fldCharType="separate"/>
      </w:r>
      <w:r w:rsidR="00CF2E0C">
        <w:rPr>
          <w:webHidden/>
        </w:rPr>
        <w:t>6</w:t>
      </w:r>
      <w:r w:rsidR="006E4C45">
        <w:rPr>
          <w:webHidden/>
        </w:rPr>
        <w:fldChar w:fldCharType="end"/>
      </w:r>
    </w:p>
    <w:p w:rsidR="005F0633" w:rsidRDefault="005F0633">
      <w:pPr>
        <w:pStyle w:val="TOC3"/>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Unusual problems requiring specialized sampling procedures</w:t>
      </w:r>
      <w:r>
        <w:rPr>
          <w:webHidden/>
        </w:rPr>
        <w:tab/>
      </w:r>
      <w:r w:rsidR="006E4C45">
        <w:rPr>
          <w:webHidden/>
        </w:rPr>
        <w:fldChar w:fldCharType="begin"/>
      </w:r>
      <w:r>
        <w:rPr>
          <w:webHidden/>
        </w:rPr>
        <w:instrText xml:space="preserve"> PAGEREF _Toc402174651 \h </w:instrText>
      </w:r>
      <w:r w:rsidR="006E4C45">
        <w:rPr>
          <w:webHidden/>
        </w:rPr>
      </w:r>
      <w:r w:rsidR="006E4C45">
        <w:rPr>
          <w:webHidden/>
        </w:rPr>
        <w:fldChar w:fldCharType="separate"/>
      </w:r>
      <w:r w:rsidR="00CF2E0C">
        <w:rPr>
          <w:webHidden/>
        </w:rPr>
        <w:t>7</w:t>
      </w:r>
      <w:r w:rsidR="006E4C45">
        <w:rPr>
          <w:webHidden/>
        </w:rPr>
        <w:fldChar w:fldCharType="end"/>
      </w:r>
    </w:p>
    <w:p w:rsidR="005F0633" w:rsidRDefault="005F0633">
      <w:pPr>
        <w:pStyle w:val="TOC3"/>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Periodic data collection cycles to reduce burden</w:t>
      </w:r>
      <w:r>
        <w:rPr>
          <w:webHidden/>
        </w:rPr>
        <w:tab/>
      </w:r>
      <w:r w:rsidR="006E4C45">
        <w:rPr>
          <w:webHidden/>
        </w:rPr>
        <w:fldChar w:fldCharType="begin"/>
      </w:r>
      <w:r>
        <w:rPr>
          <w:webHidden/>
        </w:rPr>
        <w:instrText xml:space="preserve"> PAGEREF _Toc402174652 \h </w:instrText>
      </w:r>
      <w:r w:rsidR="006E4C45">
        <w:rPr>
          <w:webHidden/>
        </w:rPr>
      </w:r>
      <w:r w:rsidR="006E4C45">
        <w:rPr>
          <w:webHidden/>
        </w:rPr>
        <w:fldChar w:fldCharType="separate"/>
      </w:r>
      <w:r w:rsidR="00CF2E0C">
        <w:rPr>
          <w:webHidden/>
        </w:rPr>
        <w:t>7</w:t>
      </w:r>
      <w:r w:rsidR="006E4C45">
        <w:rPr>
          <w:webHidden/>
        </w:rPr>
        <w:fldChar w:fldCharType="end"/>
      </w:r>
    </w:p>
    <w:p w:rsidR="005F0633" w:rsidRDefault="005F0633" w:rsidP="005F0633">
      <w:pPr>
        <w:pStyle w:val="TOC2"/>
        <w:rPr>
          <w:rFonts w:asciiTheme="minorHAnsi" w:eastAsiaTheme="minorEastAsia" w:hAnsiTheme="minorHAnsi" w:cstheme="minorBidi"/>
          <w:sz w:val="22"/>
          <w:szCs w:val="22"/>
        </w:rPr>
      </w:pPr>
      <w:r>
        <w:t>B.3.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r>
        <w:rPr>
          <w:webHidden/>
        </w:rPr>
        <w:tab/>
      </w:r>
      <w:r w:rsidR="006E4C45">
        <w:rPr>
          <w:webHidden/>
        </w:rPr>
        <w:fldChar w:fldCharType="begin"/>
      </w:r>
      <w:r>
        <w:rPr>
          <w:webHidden/>
        </w:rPr>
        <w:instrText xml:space="preserve"> PAGEREF _Toc402174653 \h </w:instrText>
      </w:r>
      <w:r w:rsidR="006E4C45">
        <w:rPr>
          <w:webHidden/>
        </w:rPr>
      </w:r>
      <w:r w:rsidR="006E4C45">
        <w:rPr>
          <w:webHidden/>
        </w:rPr>
        <w:fldChar w:fldCharType="separate"/>
      </w:r>
      <w:r w:rsidR="00CF2E0C">
        <w:rPr>
          <w:webHidden/>
        </w:rPr>
        <w:t>7</w:t>
      </w:r>
      <w:r w:rsidR="006E4C45">
        <w:rPr>
          <w:webHidden/>
        </w:rPr>
        <w:fldChar w:fldCharType="end"/>
      </w:r>
    </w:p>
    <w:p w:rsidR="005F0633" w:rsidRDefault="005F0633">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Survey data collection</w:t>
      </w:r>
      <w:r>
        <w:rPr>
          <w:webHidden/>
        </w:rPr>
        <w:tab/>
      </w:r>
      <w:r w:rsidR="006E4C45">
        <w:rPr>
          <w:webHidden/>
        </w:rPr>
        <w:fldChar w:fldCharType="begin"/>
      </w:r>
      <w:r>
        <w:rPr>
          <w:webHidden/>
        </w:rPr>
        <w:instrText xml:space="preserve"> PAGEREF _Toc402174654 \h </w:instrText>
      </w:r>
      <w:r w:rsidR="006E4C45">
        <w:rPr>
          <w:webHidden/>
        </w:rPr>
      </w:r>
      <w:r w:rsidR="006E4C45">
        <w:rPr>
          <w:webHidden/>
        </w:rPr>
        <w:fldChar w:fldCharType="separate"/>
      </w:r>
      <w:r w:rsidR="00CF2E0C">
        <w:rPr>
          <w:webHidden/>
        </w:rPr>
        <w:t>7</w:t>
      </w:r>
      <w:r w:rsidR="006E4C45">
        <w:rPr>
          <w:webHidden/>
        </w:rPr>
        <w:fldChar w:fldCharType="end"/>
      </w:r>
    </w:p>
    <w:p w:rsidR="005F0633" w:rsidRDefault="005F0633">
      <w:pPr>
        <w:pStyle w:val="TOC3"/>
        <w:rPr>
          <w:rFonts w:asciiTheme="minorHAnsi" w:eastAsiaTheme="minorEastAsia" w:hAnsiTheme="minorHAnsi" w:cstheme="minorBidi"/>
          <w:sz w:val="22"/>
          <w:szCs w:val="22"/>
        </w:rPr>
      </w:pPr>
      <w:r>
        <w:t xml:space="preserve">2. </w:t>
      </w:r>
      <w:r>
        <w:rPr>
          <w:rFonts w:asciiTheme="minorHAnsi" w:eastAsiaTheme="minorEastAsia" w:hAnsiTheme="minorHAnsi" w:cstheme="minorBidi"/>
          <w:sz w:val="22"/>
          <w:szCs w:val="22"/>
        </w:rPr>
        <w:tab/>
      </w:r>
      <w:r>
        <w:t>Focus group data collection</w:t>
      </w:r>
      <w:r>
        <w:rPr>
          <w:webHidden/>
        </w:rPr>
        <w:tab/>
      </w:r>
      <w:r w:rsidR="006E4C45">
        <w:rPr>
          <w:webHidden/>
        </w:rPr>
        <w:fldChar w:fldCharType="begin"/>
      </w:r>
      <w:r>
        <w:rPr>
          <w:webHidden/>
        </w:rPr>
        <w:instrText xml:space="preserve"> PAGEREF _Toc402174655 \h </w:instrText>
      </w:r>
      <w:r w:rsidR="006E4C45">
        <w:rPr>
          <w:webHidden/>
        </w:rPr>
      </w:r>
      <w:r w:rsidR="006E4C45">
        <w:rPr>
          <w:webHidden/>
        </w:rPr>
        <w:fldChar w:fldCharType="separate"/>
      </w:r>
      <w:r w:rsidR="00CF2E0C">
        <w:rPr>
          <w:webHidden/>
        </w:rPr>
        <w:t>10</w:t>
      </w:r>
      <w:r w:rsidR="006E4C45">
        <w:rPr>
          <w:webHidden/>
        </w:rPr>
        <w:fldChar w:fldCharType="end"/>
      </w:r>
    </w:p>
    <w:p w:rsidR="005F0633" w:rsidRDefault="005F0633" w:rsidP="005F0633">
      <w:pPr>
        <w:pStyle w:val="TOC2"/>
        <w:rPr>
          <w:rFonts w:asciiTheme="minorHAnsi" w:eastAsiaTheme="minorEastAsia" w:hAnsiTheme="minorHAnsi" w:cstheme="minorBidi"/>
          <w:sz w:val="22"/>
          <w:szCs w:val="22"/>
        </w:rPr>
      </w:pPr>
      <w:r w:rsidRPr="005F0633">
        <w:t>B.4. Describe any tests of procedures or methods to be undertaken.  Testing is</w:t>
      </w:r>
      <w:r>
        <w:t xml:space="preserve"> encouraged as an effective means of refining collections of information to minimize burden and improve utility. </w:t>
      </w:r>
      <w:r w:rsidRPr="00603840">
        <w:rPr>
          <w:bCs/>
          <w:color w:val="000000"/>
        </w:rPr>
        <w:t> </w:t>
      </w:r>
      <w:r>
        <w:t>Tests must be approved if they call for answers to identical questions from 10 or more respondents. A proposed test or set of tests may be submitted for approval separately or in combination with the main collection of information.</w:t>
      </w:r>
      <w:r>
        <w:rPr>
          <w:webHidden/>
        </w:rPr>
        <w:tab/>
      </w:r>
      <w:r w:rsidR="006E4C45">
        <w:rPr>
          <w:webHidden/>
        </w:rPr>
        <w:fldChar w:fldCharType="begin"/>
      </w:r>
      <w:r>
        <w:rPr>
          <w:webHidden/>
        </w:rPr>
        <w:instrText xml:space="preserve"> PAGEREF _Toc402174656 \h </w:instrText>
      </w:r>
      <w:r w:rsidR="006E4C45">
        <w:rPr>
          <w:webHidden/>
        </w:rPr>
      </w:r>
      <w:r w:rsidR="006E4C45">
        <w:rPr>
          <w:webHidden/>
        </w:rPr>
        <w:fldChar w:fldCharType="separate"/>
      </w:r>
      <w:r w:rsidR="00CF2E0C">
        <w:rPr>
          <w:webHidden/>
        </w:rPr>
        <w:t>10</w:t>
      </w:r>
      <w:r w:rsidR="006E4C45">
        <w:rPr>
          <w:webHidden/>
        </w:rPr>
        <w:fldChar w:fldCharType="end"/>
      </w:r>
    </w:p>
    <w:p w:rsidR="005F0633" w:rsidRDefault="005F0633">
      <w:pPr>
        <w:pStyle w:val="TOC3"/>
        <w:rPr>
          <w:rFonts w:asciiTheme="minorHAnsi" w:eastAsiaTheme="minorEastAsia" w:hAnsiTheme="minorHAnsi" w:cstheme="minorBidi"/>
          <w:sz w:val="22"/>
          <w:szCs w:val="22"/>
        </w:rPr>
      </w:pPr>
      <w:r>
        <w:t xml:space="preserve">1. </w:t>
      </w:r>
      <w:r>
        <w:rPr>
          <w:rFonts w:asciiTheme="minorHAnsi" w:eastAsiaTheme="minorEastAsia" w:hAnsiTheme="minorHAnsi" w:cstheme="minorBidi"/>
          <w:sz w:val="22"/>
          <w:szCs w:val="22"/>
        </w:rPr>
        <w:tab/>
      </w:r>
      <w:r>
        <w:t>Survey pre-test</w:t>
      </w:r>
      <w:r>
        <w:rPr>
          <w:webHidden/>
        </w:rPr>
        <w:tab/>
      </w:r>
      <w:r w:rsidR="006E4C45">
        <w:rPr>
          <w:webHidden/>
        </w:rPr>
        <w:fldChar w:fldCharType="begin"/>
      </w:r>
      <w:r>
        <w:rPr>
          <w:webHidden/>
        </w:rPr>
        <w:instrText xml:space="preserve"> PAGEREF _Toc402174657 \h </w:instrText>
      </w:r>
      <w:r w:rsidR="006E4C45">
        <w:rPr>
          <w:webHidden/>
        </w:rPr>
      </w:r>
      <w:r w:rsidR="006E4C45">
        <w:rPr>
          <w:webHidden/>
        </w:rPr>
        <w:fldChar w:fldCharType="separate"/>
      </w:r>
      <w:r w:rsidR="00CF2E0C">
        <w:rPr>
          <w:webHidden/>
        </w:rPr>
        <w:t>10</w:t>
      </w:r>
      <w:r w:rsidR="006E4C45">
        <w:rPr>
          <w:webHidden/>
        </w:rPr>
        <w:fldChar w:fldCharType="end"/>
      </w:r>
    </w:p>
    <w:p w:rsidR="005F0633" w:rsidRDefault="005F0633">
      <w:pPr>
        <w:pStyle w:val="TOC3"/>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Focus group pre-test</w:t>
      </w:r>
      <w:r>
        <w:rPr>
          <w:webHidden/>
        </w:rPr>
        <w:tab/>
      </w:r>
      <w:r w:rsidR="006E4C45">
        <w:rPr>
          <w:webHidden/>
        </w:rPr>
        <w:fldChar w:fldCharType="begin"/>
      </w:r>
      <w:r>
        <w:rPr>
          <w:webHidden/>
        </w:rPr>
        <w:instrText xml:space="preserve"> PAGEREF _Toc402174658 \h </w:instrText>
      </w:r>
      <w:r w:rsidR="006E4C45">
        <w:rPr>
          <w:webHidden/>
        </w:rPr>
      </w:r>
      <w:r w:rsidR="006E4C45">
        <w:rPr>
          <w:webHidden/>
        </w:rPr>
        <w:fldChar w:fldCharType="separate"/>
      </w:r>
      <w:r w:rsidR="00CF2E0C">
        <w:rPr>
          <w:webHidden/>
        </w:rPr>
        <w:t>11</w:t>
      </w:r>
      <w:r w:rsidR="006E4C45">
        <w:rPr>
          <w:webHidden/>
        </w:rPr>
        <w:fldChar w:fldCharType="end"/>
      </w:r>
    </w:p>
    <w:p w:rsidR="005F0633" w:rsidRDefault="005F0633" w:rsidP="005F0633">
      <w:pPr>
        <w:pStyle w:val="TOC2"/>
        <w:rPr>
          <w:rFonts w:asciiTheme="minorHAnsi" w:eastAsiaTheme="minorEastAsia" w:hAnsiTheme="minorHAnsi" w:cstheme="minorBidi"/>
          <w:sz w:val="22"/>
          <w:szCs w:val="22"/>
        </w:rPr>
      </w:pPr>
      <w:r>
        <w:t>B.5. Provide the name and telephone number of individuals consulted on statistical aspects of the design and the name of the agency unit, contractor(s), grantee(s), or other person(s) who will actually collect and/or analyze the information for the agency.</w:t>
      </w:r>
      <w:r>
        <w:rPr>
          <w:webHidden/>
        </w:rPr>
        <w:tab/>
      </w:r>
      <w:r w:rsidR="006E4C45">
        <w:rPr>
          <w:webHidden/>
        </w:rPr>
        <w:fldChar w:fldCharType="begin"/>
      </w:r>
      <w:r>
        <w:rPr>
          <w:webHidden/>
        </w:rPr>
        <w:instrText xml:space="preserve"> PAGEREF _Toc402174659 \h </w:instrText>
      </w:r>
      <w:r w:rsidR="006E4C45">
        <w:rPr>
          <w:webHidden/>
        </w:rPr>
      </w:r>
      <w:r w:rsidR="006E4C45">
        <w:rPr>
          <w:webHidden/>
        </w:rPr>
        <w:fldChar w:fldCharType="separate"/>
      </w:r>
      <w:r w:rsidR="00CF2E0C">
        <w:rPr>
          <w:webHidden/>
        </w:rPr>
        <w:t>11</w:t>
      </w:r>
      <w:r w:rsidR="006E4C45">
        <w:rPr>
          <w:webHidden/>
        </w:rPr>
        <w:fldChar w:fldCharType="end"/>
      </w:r>
    </w:p>
    <w:p w:rsidR="005F0633" w:rsidRDefault="005F0633">
      <w:pPr>
        <w:pStyle w:val="TOC1"/>
        <w:rPr>
          <w:rFonts w:asciiTheme="minorHAnsi" w:eastAsiaTheme="minorEastAsia" w:hAnsiTheme="minorHAnsi" w:cstheme="minorBidi"/>
          <w:caps w:val="0"/>
          <w:noProof/>
          <w:sz w:val="22"/>
          <w:szCs w:val="22"/>
        </w:rPr>
      </w:pPr>
      <w:r>
        <w:rPr>
          <w:noProof/>
        </w:rPr>
        <w:t>References</w:t>
      </w:r>
      <w:r>
        <w:rPr>
          <w:noProof/>
          <w:webHidden/>
        </w:rPr>
        <w:tab/>
      </w:r>
      <w:r w:rsidR="006E4C45">
        <w:rPr>
          <w:noProof/>
          <w:webHidden/>
        </w:rPr>
        <w:fldChar w:fldCharType="begin"/>
      </w:r>
      <w:r>
        <w:rPr>
          <w:noProof/>
          <w:webHidden/>
        </w:rPr>
        <w:instrText xml:space="preserve"> PAGEREF _Toc402174660 \h </w:instrText>
      </w:r>
      <w:r w:rsidR="006E4C45">
        <w:rPr>
          <w:noProof/>
          <w:webHidden/>
        </w:rPr>
      </w:r>
      <w:r w:rsidR="006E4C45">
        <w:rPr>
          <w:noProof/>
          <w:webHidden/>
        </w:rPr>
        <w:fldChar w:fldCharType="separate"/>
      </w:r>
      <w:r w:rsidR="00CF2E0C">
        <w:rPr>
          <w:noProof/>
          <w:webHidden/>
        </w:rPr>
        <w:t>12</w:t>
      </w:r>
      <w:r w:rsidR="006E4C45">
        <w:rPr>
          <w:noProof/>
          <w:webHidden/>
        </w:rPr>
        <w:fldChar w:fldCharType="end"/>
      </w:r>
    </w:p>
    <w:p w:rsidR="005F0633" w:rsidRDefault="006E4C45" w:rsidP="005F0633">
      <w:pPr>
        <w:spacing w:after="180" w:line="240" w:lineRule="auto"/>
        <w:ind w:firstLine="0"/>
        <w:jc w:val="both"/>
      </w:pPr>
      <w:r>
        <w:rPr>
          <w:rFonts w:ascii="Arial" w:hAnsi="Arial" w:cs="Arial"/>
          <w:sz w:val="20"/>
        </w:rPr>
        <w:fldChar w:fldCharType="end"/>
      </w:r>
    </w:p>
    <w:p w:rsidR="005F0633" w:rsidRDefault="005F0633" w:rsidP="005F0633">
      <w:pPr>
        <w:pStyle w:val="NormalSS"/>
        <w:sectPr w:rsidR="005F0633" w:rsidSect="00CF2E0C">
          <w:headerReference w:type="default" r:id="rId12"/>
          <w:footerReference w:type="default" r:id="rId13"/>
          <w:pgSz w:w="12240" w:h="15840"/>
          <w:pgMar w:top="1440" w:right="1440" w:bottom="1440" w:left="1440" w:header="720" w:footer="720" w:gutter="0"/>
          <w:pgNumType w:fmt="lowerRoman"/>
          <w:cols w:space="720"/>
          <w:docGrid w:linePitch="360"/>
        </w:sectPr>
      </w:pPr>
    </w:p>
    <w:p w:rsidR="00451FEE" w:rsidRDefault="00451FEE" w:rsidP="00451FEE">
      <w:pPr>
        <w:pStyle w:val="Heading1"/>
      </w:pPr>
      <w:bookmarkStart w:id="5" w:name="_Toc402174643"/>
      <w:r>
        <w:lastRenderedPageBreak/>
        <w:t xml:space="preserve">PART B: </w:t>
      </w:r>
      <w:r w:rsidRPr="00451FEE">
        <w:t>COLLECTION</w:t>
      </w:r>
      <w:r w:rsidR="00C20013">
        <w:t>s</w:t>
      </w:r>
      <w:r>
        <w:t xml:space="preserve"> OF INFORMATION EMPLOYING STATISTICAL METHODS</w:t>
      </w:r>
      <w:bookmarkEnd w:id="5"/>
    </w:p>
    <w:p w:rsidR="00AA24D5" w:rsidRDefault="00451FEE" w:rsidP="00CA71BA">
      <w:pPr>
        <w:pStyle w:val="Heading3"/>
        <w:spacing w:after="0" w:line="480" w:lineRule="auto"/>
      </w:pPr>
      <w:bookmarkStart w:id="6" w:name="_Toc402174644"/>
      <w:r>
        <w:t>B.1.</w:t>
      </w:r>
      <w:r w:rsidR="00C20013">
        <w:t xml:space="preserve"> </w:t>
      </w:r>
      <w:r w:rsidR="009B73B2" w:rsidRPr="00D87C49">
        <w:t>Describe (including a numerical estimate) the potential respondent universe and any sam</w:t>
      </w:r>
      <w:r w:rsidR="009B73B2" w:rsidRPr="00D87C49">
        <w:softHyphen/>
        <w:t>pling or other respondent selection method to be used.  Data on the number of entities (e.g., establishments, State and local government units, households, or persons) in the universe covered by the collection and in the corre</w:t>
      </w:r>
      <w:r w:rsidR="009B73B2" w:rsidRPr="00D87C49">
        <w:softHyphen/>
        <w:t>sponding sample are to be provided in tabular form for the uni</w:t>
      </w:r>
      <w:r w:rsidR="009B73B2" w:rsidRPr="00D87C49">
        <w:softHyphen/>
        <w:t>verse as a whole and for each of the strata in the proposed sample. Indicate expected response rates for the collection as a whole. If the collection had been conducted previously, include the actual response rate achieved during the last collection.</w:t>
      </w:r>
      <w:bookmarkEnd w:id="6"/>
    </w:p>
    <w:p w:rsidR="00451FEE" w:rsidRPr="00CF2F94" w:rsidRDefault="00451FEE" w:rsidP="00CA71BA">
      <w:pPr>
        <w:pStyle w:val="NormalSS"/>
        <w:spacing w:after="0" w:line="480" w:lineRule="auto"/>
        <w:rPr>
          <w:highlight w:val="yellow"/>
        </w:rPr>
      </w:pPr>
      <w:r w:rsidRPr="00D30F8C">
        <w:t xml:space="preserve">The </w:t>
      </w:r>
      <w:r>
        <w:t xml:space="preserve">SNAP E&amp;T study </w:t>
      </w:r>
      <w:r w:rsidRPr="00D30F8C">
        <w:t xml:space="preserve">will </w:t>
      </w:r>
      <w:r>
        <w:t>collect survey data from SNAP work registrants (Instrument I.1), SNAP E&amp;T participants (Instrument I.</w:t>
      </w:r>
      <w:r w:rsidRPr="009C329A">
        <w:t>1</w:t>
      </w:r>
      <w:r>
        <w:t xml:space="preserve">), and SNAP E&amp;T program providers (Instrument I.2). </w:t>
      </w:r>
      <w:r w:rsidRPr="00451FEE">
        <w:t>The</w:t>
      </w:r>
      <w:r>
        <w:t xml:space="preserve"> study team will also conduct focus groups with SNAP E&amp;T participants (Instrument</w:t>
      </w:r>
      <w:r w:rsidR="009218AA">
        <w:t>s I.3 and</w:t>
      </w:r>
      <w:r>
        <w:t xml:space="preserve"> I.4). This section provides information on sampling procedures for the SNAP E&amp;T </w:t>
      </w:r>
      <w:r w:rsidRPr="00865AC3">
        <w:t>study</w:t>
      </w:r>
      <w:r>
        <w:t>.</w:t>
      </w:r>
    </w:p>
    <w:p w:rsidR="00451FEE" w:rsidRDefault="00451FEE" w:rsidP="00CA71BA">
      <w:pPr>
        <w:pStyle w:val="Heading3"/>
        <w:spacing w:after="0" w:line="480" w:lineRule="auto"/>
      </w:pPr>
      <w:bookmarkStart w:id="7" w:name="_Toc402174645"/>
      <w:r>
        <w:t>1.</w:t>
      </w:r>
      <w:r>
        <w:tab/>
        <w:t xml:space="preserve"> Selecting registrants and participants from study states for survey data collection</w:t>
      </w:r>
      <w:bookmarkEnd w:id="7"/>
    </w:p>
    <w:p w:rsidR="00451FEE" w:rsidRDefault="00451FEE" w:rsidP="00CA71BA">
      <w:pPr>
        <w:pStyle w:val="NormalSS"/>
        <w:spacing w:after="0" w:line="480" w:lineRule="auto"/>
      </w:pPr>
      <w:r>
        <w:t>The study team has randomly selected a nationally representative sample of 25 states using a stratified probability proportional to size (</w:t>
      </w:r>
      <w:r w:rsidRPr="0098268C">
        <w:t>PPS</w:t>
      </w:r>
      <w:r>
        <w:t>) sampling design. The study team also selected 5 additional states to serve as backups to replace any of the 25 states from the initial sample that decline or are unable to participate</w:t>
      </w:r>
      <w:r w:rsidR="00B232DD">
        <w:t xml:space="preserve"> (no more than 30 states would be contacted to obtain the 25 selected)</w:t>
      </w:r>
      <w:r>
        <w:t>. The study team used a composite size measure, based on state-level work registrants and SNAP E&amp;T participant counts, as the measure of size (</w:t>
      </w:r>
      <w:r w:rsidRPr="0098268C">
        <w:t>MOS</w:t>
      </w:r>
      <w:r>
        <w:t xml:space="preserve">) for sampling. This </w:t>
      </w:r>
      <w:r w:rsidRPr="00451FEE">
        <w:t>measure</w:t>
      </w:r>
      <w:r>
        <w:t xml:space="preserve"> is a weighted sum of both the number of work registrants and the number of SNAP E&amp;T participants in a state. Therefore, if a state has a large number of work registrants but few SNAP E&amp;T participants, the chances of selection might be similar to a state with fewer work registrants </w:t>
      </w:r>
      <w:r>
        <w:lastRenderedPageBreak/>
        <w:t xml:space="preserve">but a large number of SNAP E&amp;T participants. The study team </w:t>
      </w:r>
      <w:r w:rsidRPr="00241759">
        <w:t xml:space="preserve">carried </w:t>
      </w:r>
      <w:r>
        <w:t xml:space="preserve">out this sampling using a three-stage process: </w:t>
      </w:r>
    </w:p>
    <w:p w:rsidR="00451FEE" w:rsidRDefault="00451FEE" w:rsidP="00CA71BA">
      <w:pPr>
        <w:pStyle w:val="NumberedBullet"/>
        <w:spacing w:after="0" w:line="480" w:lineRule="auto"/>
      </w:pPr>
      <w:r>
        <w:rPr>
          <w:b/>
        </w:rPr>
        <w:t>S</w:t>
      </w:r>
      <w:r w:rsidRPr="00BE0577">
        <w:rPr>
          <w:b/>
        </w:rPr>
        <w:t xml:space="preserve">elect </w:t>
      </w:r>
      <w:r>
        <w:rPr>
          <w:b/>
        </w:rPr>
        <w:t>“</w:t>
      </w:r>
      <w:r w:rsidRPr="00BE0577">
        <w:rPr>
          <w:b/>
        </w:rPr>
        <w:t>certainty</w:t>
      </w:r>
      <w:r>
        <w:rPr>
          <w:b/>
        </w:rPr>
        <w:t>”</w:t>
      </w:r>
      <w:r w:rsidRPr="00BE0577">
        <w:rPr>
          <w:b/>
        </w:rPr>
        <w:t xml:space="preserve"> states</w:t>
      </w:r>
      <w:r>
        <w:t xml:space="preserve">. States with an MOS large enough that they </w:t>
      </w:r>
      <w:r w:rsidRPr="0093785D">
        <w:t>would</w:t>
      </w:r>
      <w:r>
        <w:t xml:space="preserve"> be included in the sample of 25 states with a probability of 1 are called “certainty” states. The study team selected all certainty states for the initial sample. </w:t>
      </w:r>
    </w:p>
    <w:p w:rsidR="00451FEE" w:rsidRDefault="00451FEE" w:rsidP="00CA71BA">
      <w:pPr>
        <w:pStyle w:val="NumberedBullet"/>
        <w:spacing w:after="0" w:line="480" w:lineRule="auto"/>
      </w:pPr>
      <w:r>
        <w:rPr>
          <w:b/>
        </w:rPr>
        <w:t>S</w:t>
      </w:r>
      <w:r w:rsidRPr="00BE0577">
        <w:rPr>
          <w:b/>
        </w:rPr>
        <w:t>elect “second-level” certainty states.</w:t>
      </w:r>
      <w:r w:rsidR="00F17959">
        <w:t xml:space="preserve"> States with an MOS </w:t>
      </w:r>
      <w:r>
        <w:t xml:space="preserve">large enough to be included in a sample of 30 states with a probability of 1 (but not </w:t>
      </w:r>
      <w:r w:rsidR="000E48D1">
        <w:t xml:space="preserve">necessarily </w:t>
      </w:r>
      <w:r>
        <w:t xml:space="preserve">large enough to be included in a sample of 25 states with a probability of 1) are called “second-level” certainty states. The sample size of 30 reflects the initial sample plus 5 backup states. Therefore, all second-level certainty states were included in either the initial sample or as a backup state. The study team assigned these states to the sample or backup by using simple random sampling. </w:t>
      </w:r>
    </w:p>
    <w:p w:rsidR="00451FEE" w:rsidRDefault="00451FEE" w:rsidP="00CA71BA">
      <w:pPr>
        <w:pStyle w:val="NumberedBulletLastSS"/>
        <w:spacing w:after="0" w:line="480" w:lineRule="auto"/>
      </w:pPr>
      <w:r>
        <w:rPr>
          <w:b/>
        </w:rPr>
        <w:t>S</w:t>
      </w:r>
      <w:r w:rsidRPr="00BE0577">
        <w:rPr>
          <w:b/>
        </w:rPr>
        <w:t>elect remaining states.</w:t>
      </w:r>
      <w:r>
        <w:t xml:space="preserve"> In the final stage, PPS sampling was used to select the remaining smaller states for the sample. Before sampling, the study team sorted these states into implicit strata defined by the work components offered by each state. The study team grouped the various work activities into four broad categories: (1) basic education and upfront work training, (2) job training, (3) higher education training, and (4) unique activities. Although each state may provide several activities across the four categories, a state is assigned to only one category.</w:t>
      </w:r>
      <w:r>
        <w:rPr>
          <w:rStyle w:val="FootnoteReference"/>
        </w:rPr>
        <w:footnoteReference w:id="1"/>
      </w:r>
      <w:r>
        <w:t xml:space="preserve"> The study team also considered including geographic region as a stratum variable but determined that states would be well represented </w:t>
      </w:r>
      <w:r w:rsidRPr="0093785D">
        <w:t>geographically</w:t>
      </w:r>
      <w:r>
        <w:t xml:space="preserve"> in the sample without the inclusion of the additional stratum.</w:t>
      </w:r>
      <w:r w:rsidRPr="00663D3F">
        <w:t xml:space="preserve"> </w:t>
      </w:r>
      <w:r>
        <w:t xml:space="preserve"> </w:t>
      </w:r>
    </w:p>
    <w:p w:rsidR="00451FEE" w:rsidRDefault="00451FEE" w:rsidP="00CA71BA">
      <w:pPr>
        <w:pStyle w:val="NormalSS"/>
        <w:spacing w:after="0" w:line="480" w:lineRule="auto"/>
      </w:pPr>
      <w:r>
        <w:lastRenderedPageBreak/>
        <w:t xml:space="preserve">Using state data from Form FNS-583 </w:t>
      </w:r>
      <w:r w:rsidR="00850302">
        <w:t xml:space="preserve">(OMB Control Number 0584-0339, Expiration date 7/31/2017) </w:t>
      </w:r>
      <w:r>
        <w:t xml:space="preserve">for fiscal year (FY) 2013 from FNS, the study team created the composite size measure and work component stratification variable. The study team used the quarterly and annual </w:t>
      </w:r>
      <w:r w:rsidRPr="00451FEE">
        <w:t>counts</w:t>
      </w:r>
      <w:r>
        <w:t xml:space="preserve"> of work registrants and SNAP E&amp;T participants that states submit to FNS each year. Given the possibility that counts could vary across quarters as a result of seasonal patterns, the yearly count may be a more accurate representation of work registrants and SNAP E&amp;T participants for each state. Therefore, the study ultimately used only the annual counts of work registrants and SNAP E&amp;T participants from each state to construct the composite size measure.</w:t>
      </w:r>
    </w:p>
    <w:p w:rsidR="00451FEE" w:rsidRDefault="00451FEE" w:rsidP="00CA71BA">
      <w:pPr>
        <w:pStyle w:val="NormalSS"/>
        <w:spacing w:after="0" w:line="480" w:lineRule="auto"/>
      </w:pPr>
      <w:r>
        <w:t xml:space="preserve">The state sampling </w:t>
      </w:r>
      <w:r w:rsidRPr="00451FEE">
        <w:t>frame</w:t>
      </w:r>
      <w:r>
        <w:t xml:space="preserve"> included 49 states and the District of Columbia (hereafter, referred to as “states”). The study team excluded Rhode Island from the sample because state officials did not provide FNS with complete data for FY 2013.</w:t>
      </w:r>
    </w:p>
    <w:p w:rsidR="00451FEE" w:rsidRDefault="00451FEE" w:rsidP="00CA71BA">
      <w:pPr>
        <w:pStyle w:val="NormalSS"/>
        <w:spacing w:after="0" w:line="480" w:lineRule="auto"/>
      </w:pPr>
      <w:r>
        <w:t xml:space="preserve">Each of the 25 </w:t>
      </w:r>
      <w:r w:rsidR="00F878F0">
        <w:t xml:space="preserve">selected </w:t>
      </w:r>
      <w:r>
        <w:t xml:space="preserve">states will be asked to provide administrative data for work registrants and SNAP E&amp;T participants over a specific period. The study team will use the data to create the sampling frame for the </w:t>
      </w:r>
      <w:r w:rsidR="00E604B8">
        <w:t>SNAP E&amp;T registrant and participant survey</w:t>
      </w:r>
      <w:r>
        <w:t xml:space="preserve">. The study team expects that about 95 percent of the individuals in the sample frame will be eligible and will aim to have 80 percent of those eligible complete the survey. To obtain the </w:t>
      </w:r>
      <w:r w:rsidRPr="0093785D">
        <w:t>desired</w:t>
      </w:r>
      <w:r>
        <w:t xml:space="preserve"> number of completed surveys (3,000 completed, with 1,500 from each group), the study team will select 1,974 individuals for each group, for a total sample of 3,948. Before selection, work registrants and SNAP E&amp;T participants within states will be sorted to ensure adequate distribution of several </w:t>
      </w:r>
      <w:r w:rsidRPr="00451FEE">
        <w:t>factors</w:t>
      </w:r>
      <w:r>
        <w:t xml:space="preserve">, including age, gender, zip code, and household type. The study team will sample work registrants and SNAP E&amp;T participants by using sequential random selection, with samples released in phases until the desired number of completed surveys are obtained. The initial release of sample will include only enough individuals to obtain the desired number of completed </w:t>
      </w:r>
      <w:r>
        <w:lastRenderedPageBreak/>
        <w:t xml:space="preserve">surveys under the most optimistic assumptions about eligibility and cooperation. After </w:t>
      </w:r>
      <w:r w:rsidR="004F2999">
        <w:t>about three</w:t>
      </w:r>
      <w:r>
        <w:t xml:space="preserve"> weeks of data collection, the study team will review the progress and determine whether additional sample releases should be made and how many individuals should be included in them. Each release of sample will be a random subsample of the full sample.</w:t>
      </w:r>
    </w:p>
    <w:p w:rsidR="00451FEE" w:rsidRDefault="00451FEE" w:rsidP="00CA71BA">
      <w:pPr>
        <w:pStyle w:val="NormalSS"/>
        <w:spacing w:after="0" w:line="480" w:lineRule="auto"/>
      </w:pPr>
      <w:r>
        <w:t>From the proposed sample sizes, precise estimates for work registrants and SNAP E&amp;T participants will be obtained. The precision of estimates from the proposed survey will be a function of sample size and the expected design effects.</w:t>
      </w:r>
    </w:p>
    <w:p w:rsidR="00451FEE" w:rsidRDefault="00451FEE" w:rsidP="00CA71BA">
      <w:pPr>
        <w:pStyle w:val="Heading3"/>
        <w:spacing w:after="0" w:line="480" w:lineRule="auto"/>
      </w:pPr>
      <w:bookmarkStart w:id="8" w:name="_Toc402174646"/>
      <w:r>
        <w:t>2.</w:t>
      </w:r>
      <w:r>
        <w:tab/>
        <w:t>Selecting providers from study states for survey data collection</w:t>
      </w:r>
      <w:bookmarkEnd w:id="8"/>
      <w:r>
        <w:t xml:space="preserve"> </w:t>
      </w:r>
    </w:p>
    <w:p w:rsidR="00451FEE" w:rsidRPr="00012903" w:rsidRDefault="00451FEE" w:rsidP="00CA71BA">
      <w:pPr>
        <w:pStyle w:val="NormalSS"/>
        <w:spacing w:after="0" w:line="480" w:lineRule="auto"/>
      </w:pPr>
      <w:r>
        <w:t xml:space="preserve">The study team will collect a current list of SNAP E&amp;T program providers from each state. The list will include contact information to be used to create the sample frame for the providers. The study team estimates a 95 percent eligibility rate and an 80 percent response rate for providers. Thus, a sample size of 658 providers will supply the desired 500 completed interviews. Selection of the sample of providers will not be independent of the participant sample, but rather will be limited (to the extent possible) to locations where sampled SNAP E&amp;T participants reside. The study team will first identify providers serving areas covered by individuals in the </w:t>
      </w:r>
      <w:r w:rsidRPr="00451FEE">
        <w:t>participant</w:t>
      </w:r>
      <w:r>
        <w:t xml:space="preserve"> sample. Then, the study team will randomly select an equal number of providers across the 25 states for the provider sample.</w:t>
      </w:r>
    </w:p>
    <w:p w:rsidR="00451FEE" w:rsidRDefault="00451FEE" w:rsidP="00CA71BA">
      <w:pPr>
        <w:pStyle w:val="Heading3"/>
        <w:spacing w:after="0" w:line="480" w:lineRule="auto"/>
      </w:pPr>
      <w:bookmarkStart w:id="9" w:name="_Toc402174647"/>
      <w:r>
        <w:t>3.</w:t>
      </w:r>
      <w:r>
        <w:tab/>
        <w:t xml:space="preserve">Selecting focus </w:t>
      </w:r>
      <w:r w:rsidRPr="00451FEE">
        <w:t>group</w:t>
      </w:r>
      <w:r>
        <w:t xml:space="preserve"> participants from study states</w:t>
      </w:r>
      <w:bookmarkEnd w:id="9"/>
    </w:p>
    <w:p w:rsidR="00451FEE" w:rsidRDefault="00451FEE" w:rsidP="00CA71BA">
      <w:pPr>
        <w:pStyle w:val="NormalSS"/>
        <w:spacing w:after="0" w:line="480" w:lineRule="auto"/>
      </w:pPr>
      <w:r w:rsidRPr="009C7353">
        <w:t xml:space="preserve">From the 25 </w:t>
      </w:r>
      <w:r>
        <w:t>s</w:t>
      </w:r>
      <w:r w:rsidRPr="009C7353">
        <w:t xml:space="preserve">tates included in the study, </w:t>
      </w:r>
      <w:r>
        <w:t xml:space="preserve">the study team </w:t>
      </w:r>
      <w:r w:rsidRPr="009C7353">
        <w:t xml:space="preserve">will select </w:t>
      </w:r>
      <w:r>
        <w:t>5</w:t>
      </w:r>
      <w:r w:rsidRPr="009C7353">
        <w:t xml:space="preserve"> </w:t>
      </w:r>
      <w:r>
        <w:t>states,</w:t>
      </w:r>
      <w:r w:rsidRPr="009C7353">
        <w:t xml:space="preserve"> </w:t>
      </w:r>
      <w:r w:rsidR="00655E0C">
        <w:t>in consultation with</w:t>
      </w:r>
      <w:r>
        <w:t xml:space="preserve"> FNS, </w:t>
      </w:r>
      <w:r w:rsidRPr="009C7353">
        <w:t xml:space="preserve">in which to target </w:t>
      </w:r>
      <w:r>
        <w:t>SNAP E&amp;T participant</w:t>
      </w:r>
      <w:r w:rsidRPr="009C7353">
        <w:t xml:space="preserve">s for focus group discussions. </w:t>
      </w:r>
      <w:r>
        <w:t xml:space="preserve">Selection criteria—including voluntary or mandatory status, geographic </w:t>
      </w:r>
      <w:r w:rsidRPr="009C7353">
        <w:t xml:space="preserve">region, size of the SNAP E&amp;T program, </w:t>
      </w:r>
      <w:r w:rsidR="009218AA">
        <w:t>long-term and short-term unemploy</w:t>
      </w:r>
      <w:r w:rsidR="006975B6">
        <w:t xml:space="preserve">ed, </w:t>
      </w:r>
      <w:r w:rsidRPr="009C7353">
        <w:t xml:space="preserve">and </w:t>
      </w:r>
      <w:r>
        <w:t xml:space="preserve">the SNAP </w:t>
      </w:r>
      <w:r w:rsidRPr="009C7353">
        <w:t xml:space="preserve">E&amp;T </w:t>
      </w:r>
      <w:r>
        <w:t xml:space="preserve">program </w:t>
      </w:r>
      <w:r w:rsidRPr="009C7353">
        <w:t>services and components</w:t>
      </w:r>
      <w:r>
        <w:t xml:space="preserve"> offered—will help to </w:t>
      </w:r>
      <w:r w:rsidRPr="009C7353">
        <w:t xml:space="preserve">ensure that the focus group participants </w:t>
      </w:r>
      <w:r>
        <w:t>represent</w:t>
      </w:r>
      <w:r w:rsidRPr="009C7353">
        <w:t xml:space="preserve"> variation </w:t>
      </w:r>
      <w:r>
        <w:t>i</w:t>
      </w:r>
      <w:r w:rsidRPr="009C7353">
        <w:t xml:space="preserve">n </w:t>
      </w:r>
      <w:r w:rsidRPr="009C7353">
        <w:lastRenderedPageBreak/>
        <w:t xml:space="preserve">key characteristics. Once the </w:t>
      </w:r>
      <w:r>
        <w:t>5</w:t>
      </w:r>
      <w:r w:rsidRPr="009C7353">
        <w:t xml:space="preserve"> participating </w:t>
      </w:r>
      <w:r>
        <w:t>s</w:t>
      </w:r>
      <w:r w:rsidRPr="009C7353">
        <w:t xml:space="preserve">tates have been selected, </w:t>
      </w:r>
      <w:r>
        <w:t>the study team</w:t>
      </w:r>
      <w:r w:rsidRPr="009C7353">
        <w:t xml:space="preserve"> will use provider lists to identify three locations in each </w:t>
      </w:r>
      <w:r>
        <w:t>s</w:t>
      </w:r>
      <w:r w:rsidRPr="009C7353">
        <w:t xml:space="preserve">tate for focus groups. </w:t>
      </w:r>
      <w:r>
        <w:t>The</w:t>
      </w:r>
      <w:r w:rsidRPr="009C7353">
        <w:t xml:space="preserve"> goal</w:t>
      </w:r>
      <w:r>
        <w:t xml:space="preserve">s when selecting </w:t>
      </w:r>
      <w:r w:rsidRPr="009C7353">
        <w:t>the</w:t>
      </w:r>
      <w:r>
        <w:t xml:space="preserve">se </w:t>
      </w:r>
      <w:r w:rsidRPr="009C7353">
        <w:t>sites</w:t>
      </w:r>
      <w:r>
        <w:t xml:space="preserve"> </w:t>
      </w:r>
      <w:r w:rsidRPr="009C7353">
        <w:t xml:space="preserve">will be </w:t>
      </w:r>
      <w:r w:rsidRPr="00451FEE">
        <w:t>to</w:t>
      </w:r>
      <w:r w:rsidRPr="009C7353">
        <w:t xml:space="preserve"> have a mix of urban, suburban, and rural locations where </w:t>
      </w:r>
      <w:r>
        <w:t xml:space="preserve">SNAP </w:t>
      </w:r>
      <w:r w:rsidRPr="009C7353">
        <w:t xml:space="preserve">E&amp;T </w:t>
      </w:r>
      <w:r>
        <w:t xml:space="preserve">program </w:t>
      </w:r>
      <w:r w:rsidRPr="009C7353">
        <w:t xml:space="preserve">training is provided, as well as to capture different key features of </w:t>
      </w:r>
      <w:r>
        <w:t xml:space="preserve">SNAP </w:t>
      </w:r>
      <w:r w:rsidRPr="009C7353">
        <w:t xml:space="preserve">E&amp;T </w:t>
      </w:r>
      <w:r>
        <w:t xml:space="preserve">program </w:t>
      </w:r>
      <w:r w:rsidRPr="009C7353">
        <w:t xml:space="preserve">service provider characteristics </w:t>
      </w:r>
      <w:r>
        <w:t>with</w:t>
      </w:r>
      <w:r w:rsidRPr="009C7353">
        <w:t xml:space="preserve"> each focus group. </w:t>
      </w:r>
      <w:r>
        <w:t>The study team will also identify SNAP E&amp;T locations where there are large concentrations of Spanish-speakers, and will conduct some Spanish language focus groups in these areas. The study team</w:t>
      </w:r>
      <w:r w:rsidRPr="009C7353">
        <w:t xml:space="preserve"> will work with community-based organizations</w:t>
      </w:r>
      <w:r>
        <w:t xml:space="preserve"> that work with </w:t>
      </w:r>
      <w:r w:rsidRPr="009C7353">
        <w:t xml:space="preserve">local SNAP offices to help identify a place to conduct the focus groups (for example, a church or community center). </w:t>
      </w:r>
    </w:p>
    <w:p w:rsidR="00451FEE" w:rsidRDefault="00FB5D6C" w:rsidP="00CA71BA">
      <w:pPr>
        <w:pStyle w:val="NormalSS"/>
        <w:spacing w:after="0" w:line="480" w:lineRule="auto"/>
      </w:pPr>
      <w:r>
        <w:t>A random sample of f</w:t>
      </w:r>
      <w:r w:rsidR="00451FEE" w:rsidRPr="009C7353">
        <w:t xml:space="preserve">ocus group participants will be drawn from the administrative data provided by the </w:t>
      </w:r>
      <w:r w:rsidR="00AE0BD5">
        <w:t xml:space="preserve">five selected </w:t>
      </w:r>
      <w:r w:rsidR="00451FEE">
        <w:t>s</w:t>
      </w:r>
      <w:r w:rsidR="00451FEE" w:rsidRPr="009C7353">
        <w:t>tate</w:t>
      </w:r>
      <w:r w:rsidR="00AE0BD5">
        <w:t>s</w:t>
      </w:r>
      <w:r>
        <w:t>, which will be a different sample than that which is drawn for the registrant and participant survey</w:t>
      </w:r>
      <w:r w:rsidR="00451FEE" w:rsidRPr="009C7353">
        <w:t xml:space="preserve">. </w:t>
      </w:r>
      <w:r w:rsidR="00451FEE">
        <w:t>The study team</w:t>
      </w:r>
      <w:r w:rsidR="00451FEE" w:rsidRPr="009C7353">
        <w:t xml:space="preserve"> will identify a sample large enough to account for </w:t>
      </w:r>
      <w:r w:rsidR="00451FEE">
        <w:t xml:space="preserve">individuals for whom the contact information is no </w:t>
      </w:r>
      <w:r w:rsidR="00451FEE" w:rsidRPr="00451FEE">
        <w:t>longer</w:t>
      </w:r>
      <w:r w:rsidR="00451FEE">
        <w:t xml:space="preserve"> </w:t>
      </w:r>
      <w:r w:rsidR="00451FEE" w:rsidRPr="0071381D">
        <w:t>accurate</w:t>
      </w:r>
      <w:r w:rsidR="00451FEE">
        <w:t xml:space="preserve">. </w:t>
      </w:r>
      <w:r w:rsidR="00451FEE" w:rsidRPr="009C7353">
        <w:t xml:space="preserve">Participants will be selected to represent a broad range of demographic characteristics (age, </w:t>
      </w:r>
      <w:r w:rsidR="00451FEE">
        <w:t>gender</w:t>
      </w:r>
      <w:r w:rsidR="00451FEE" w:rsidRPr="009C7353">
        <w:t>, race, education level, urban</w:t>
      </w:r>
      <w:r w:rsidR="00451FEE">
        <w:t xml:space="preserve"> or </w:t>
      </w:r>
      <w:r w:rsidR="00451FEE" w:rsidRPr="009C7353">
        <w:t xml:space="preserve">rural location, </w:t>
      </w:r>
      <w:r w:rsidR="00451FEE">
        <w:t>able-bodied adults without dependents, and so on</w:t>
      </w:r>
      <w:r w:rsidR="00451FEE" w:rsidRPr="009C7353">
        <w:t>) and type of group</w:t>
      </w:r>
      <w:r w:rsidR="00451FEE">
        <w:t>. The study team</w:t>
      </w:r>
      <w:r w:rsidR="00451FEE" w:rsidRPr="009C7353">
        <w:t xml:space="preserve"> will design a screening questionnaire for </w:t>
      </w:r>
      <w:r w:rsidR="00451FEE">
        <w:t xml:space="preserve">use in recruiting subjects, and will assign bilingual recruiters to contact households where Spanish is likely to be the primary language (Attachment A.11). </w:t>
      </w:r>
      <w:r w:rsidR="00451FEE" w:rsidRPr="009C7353">
        <w:t>Th</w:t>
      </w:r>
      <w:r w:rsidR="00451FEE">
        <w:t>is</w:t>
      </w:r>
      <w:r w:rsidR="00451FEE" w:rsidRPr="009C7353">
        <w:t xml:space="preserve"> screening will allow organiz</w:t>
      </w:r>
      <w:r w:rsidR="00451FEE">
        <w:t>ation of</w:t>
      </w:r>
      <w:r w:rsidR="00451FEE" w:rsidRPr="009C7353">
        <w:t xml:space="preserve"> subgroups of individuals with diverse characteristics. </w:t>
      </w:r>
      <w:r w:rsidR="00451FEE">
        <w:t>The study team</w:t>
      </w:r>
      <w:r w:rsidR="00451FEE" w:rsidRPr="009C7353">
        <w:t xml:space="preserve"> anticipate</w:t>
      </w:r>
      <w:r w:rsidR="00451FEE">
        <w:t>s</w:t>
      </w:r>
      <w:r w:rsidR="00451FEE" w:rsidRPr="009C7353">
        <w:t xml:space="preserve">, on average, about a </w:t>
      </w:r>
      <w:r>
        <w:t>four</w:t>
      </w:r>
      <w:r w:rsidR="00451FEE">
        <w:t>-to-one</w:t>
      </w:r>
      <w:r w:rsidR="00451FEE" w:rsidRPr="009C7353">
        <w:t xml:space="preserve"> ratio </w:t>
      </w:r>
      <w:r w:rsidR="00451FEE">
        <w:t>of</w:t>
      </w:r>
      <w:r w:rsidR="00451FEE" w:rsidRPr="009C7353">
        <w:t xml:space="preserve"> contacts </w:t>
      </w:r>
      <w:r w:rsidR="00451FEE">
        <w:t>to</w:t>
      </w:r>
      <w:r w:rsidR="00451FEE" w:rsidRPr="009C7353">
        <w:t xml:space="preserve"> participants</w:t>
      </w:r>
      <w:r w:rsidR="00451FEE">
        <w:t xml:space="preserve">. Thus, a total sample of 600 SNAP E&amp;T participants will be used to target </w:t>
      </w:r>
      <w:r w:rsidR="003139AD">
        <w:t xml:space="preserve">about </w:t>
      </w:r>
      <w:r w:rsidR="00451FEE">
        <w:t>120</w:t>
      </w:r>
      <w:r w:rsidR="003139AD">
        <w:t xml:space="preserve"> to 150</w:t>
      </w:r>
      <w:r w:rsidR="00451FEE">
        <w:t xml:space="preserve"> focus group participants</w:t>
      </w:r>
      <w:r w:rsidR="00451FEE" w:rsidRPr="009C7353">
        <w:t xml:space="preserve">. </w:t>
      </w:r>
      <w:r>
        <w:t>Also, based on previous experience with similar populations, the study team</w:t>
      </w:r>
      <w:r w:rsidRPr="009C7353">
        <w:t xml:space="preserve"> plan</w:t>
      </w:r>
      <w:r>
        <w:t>s</w:t>
      </w:r>
      <w:r w:rsidRPr="009C7353">
        <w:t xml:space="preserve"> to over</w:t>
      </w:r>
      <w:r>
        <w:t>-</w:t>
      </w:r>
      <w:r w:rsidRPr="009C7353">
        <w:t xml:space="preserve">recruit </w:t>
      </w:r>
      <w:r>
        <w:t xml:space="preserve">for the focus groups </w:t>
      </w:r>
      <w:r w:rsidRPr="009C7353">
        <w:t xml:space="preserve">by about </w:t>
      </w:r>
      <w:r>
        <w:t>2</w:t>
      </w:r>
      <w:r w:rsidRPr="009C7353">
        <w:t xml:space="preserve">0 percent to account for </w:t>
      </w:r>
      <w:r>
        <w:t>no</w:t>
      </w:r>
      <w:r w:rsidRPr="009C7353">
        <w:t>-shows</w:t>
      </w:r>
      <w:r>
        <w:t>.</w:t>
      </w:r>
    </w:p>
    <w:p w:rsidR="00AA24D5" w:rsidRPr="005F0633" w:rsidRDefault="00451FEE" w:rsidP="00CA71BA">
      <w:pPr>
        <w:pStyle w:val="Heading3"/>
        <w:spacing w:after="0" w:line="480" w:lineRule="auto"/>
      </w:pPr>
      <w:bookmarkStart w:id="10" w:name="_Toc402174648"/>
      <w:r w:rsidRPr="005F0633">
        <w:lastRenderedPageBreak/>
        <w:t xml:space="preserve">B.2. </w:t>
      </w:r>
      <w:r w:rsidR="00C20013" w:rsidRPr="005F0633">
        <w:t>Describe the procedures for the collection of information including:</w:t>
      </w:r>
      <w:bookmarkEnd w:id="10"/>
    </w:p>
    <w:p w:rsidR="00F165F1" w:rsidRPr="005F0633" w:rsidRDefault="00C20013" w:rsidP="00CA71BA">
      <w:pPr>
        <w:pStyle w:val="Bullet"/>
        <w:tabs>
          <w:tab w:val="clear" w:pos="432"/>
          <w:tab w:val="left" w:pos="900"/>
        </w:tabs>
        <w:spacing w:after="0" w:line="480" w:lineRule="auto"/>
        <w:ind w:left="900"/>
        <w:rPr>
          <w:b/>
        </w:rPr>
      </w:pPr>
      <w:r w:rsidRPr="005F0633">
        <w:rPr>
          <w:b/>
        </w:rPr>
        <w:t>Statistical methodology for stratification and sample selection,</w:t>
      </w:r>
    </w:p>
    <w:p w:rsidR="00F165F1" w:rsidRPr="005F0633" w:rsidRDefault="00C20013" w:rsidP="00CA71BA">
      <w:pPr>
        <w:pStyle w:val="Bullet"/>
        <w:tabs>
          <w:tab w:val="clear" w:pos="432"/>
          <w:tab w:val="left" w:pos="900"/>
        </w:tabs>
        <w:spacing w:after="0" w:line="480" w:lineRule="auto"/>
        <w:ind w:left="900"/>
        <w:rPr>
          <w:b/>
        </w:rPr>
      </w:pPr>
      <w:r w:rsidRPr="005F0633">
        <w:rPr>
          <w:b/>
        </w:rPr>
        <w:t>Estimation procedure,</w:t>
      </w:r>
    </w:p>
    <w:p w:rsidR="00F165F1" w:rsidRPr="005F0633" w:rsidRDefault="00C20013" w:rsidP="00CA71BA">
      <w:pPr>
        <w:pStyle w:val="Bullet"/>
        <w:tabs>
          <w:tab w:val="clear" w:pos="432"/>
          <w:tab w:val="left" w:pos="900"/>
        </w:tabs>
        <w:spacing w:after="0" w:line="480" w:lineRule="auto"/>
        <w:ind w:left="900"/>
        <w:rPr>
          <w:b/>
        </w:rPr>
      </w:pPr>
      <w:r w:rsidRPr="005F0633">
        <w:rPr>
          <w:b/>
        </w:rPr>
        <w:t>Degree of accuracy needed for the pur</w:t>
      </w:r>
      <w:r w:rsidRPr="005F0633">
        <w:rPr>
          <w:b/>
        </w:rPr>
        <w:softHyphen/>
        <w:t>pose described in the justification,</w:t>
      </w:r>
    </w:p>
    <w:p w:rsidR="00F165F1" w:rsidRPr="005F0633" w:rsidRDefault="00C20013" w:rsidP="00CA71BA">
      <w:pPr>
        <w:pStyle w:val="Bullet"/>
        <w:tabs>
          <w:tab w:val="clear" w:pos="432"/>
          <w:tab w:val="left" w:pos="900"/>
        </w:tabs>
        <w:spacing w:after="0" w:line="480" w:lineRule="auto"/>
        <w:ind w:left="900"/>
        <w:rPr>
          <w:b/>
        </w:rPr>
      </w:pPr>
      <w:r w:rsidRPr="005F0633">
        <w:rPr>
          <w:b/>
        </w:rPr>
        <w:t>Unusual problems requiring specialized sampling procedures, and</w:t>
      </w:r>
    </w:p>
    <w:p w:rsidR="00F165F1" w:rsidRPr="005F0633" w:rsidRDefault="00C20013" w:rsidP="00CA71BA">
      <w:pPr>
        <w:pStyle w:val="Bullet"/>
        <w:tabs>
          <w:tab w:val="clear" w:pos="432"/>
          <w:tab w:val="left" w:pos="900"/>
        </w:tabs>
        <w:spacing w:after="0" w:line="480" w:lineRule="auto"/>
        <w:ind w:left="900"/>
        <w:rPr>
          <w:b/>
        </w:rPr>
      </w:pPr>
      <w:r w:rsidRPr="005F0633">
        <w:rPr>
          <w:b/>
        </w:rPr>
        <w:t>Any use of periodic (less frequent than annual) data collection cycles to reduce burden.</w:t>
      </w:r>
    </w:p>
    <w:p w:rsidR="00451FEE" w:rsidRPr="001866FA" w:rsidRDefault="00451FEE" w:rsidP="00CA71BA">
      <w:pPr>
        <w:pStyle w:val="NormalSS"/>
        <w:spacing w:after="0" w:line="480" w:lineRule="auto"/>
      </w:pPr>
      <w:r>
        <w:t>The SNAP E&amp;T S</w:t>
      </w:r>
      <w:r w:rsidRPr="0039092D">
        <w:t>tudy</w:t>
      </w:r>
      <w:r>
        <w:t xml:space="preserve"> will collect administrative data to select states and sample survey and focus group participants. From this sample, the study will field surveys of work registrants, SNAP E&amp;T </w:t>
      </w:r>
      <w:r w:rsidRPr="00451FEE">
        <w:t>participants</w:t>
      </w:r>
      <w:r>
        <w:t>, and SNAP E&amp;T program providers in 25 states. Focus groups will provide more in-depth information in 5 states. This section provides more information on data collection procedures.</w:t>
      </w:r>
    </w:p>
    <w:p w:rsidR="00451FEE" w:rsidRDefault="00451FEE" w:rsidP="00CA71BA">
      <w:pPr>
        <w:pStyle w:val="Heading3"/>
        <w:spacing w:after="0" w:line="480" w:lineRule="auto"/>
      </w:pPr>
      <w:bookmarkStart w:id="11" w:name="_Toc402174649"/>
      <w:r>
        <w:t xml:space="preserve">1. </w:t>
      </w:r>
      <w:r>
        <w:tab/>
        <w:t xml:space="preserve">Data </w:t>
      </w:r>
      <w:r w:rsidRPr="007D61DF">
        <w:t>collection</w:t>
      </w:r>
      <w:bookmarkEnd w:id="11"/>
      <w:r>
        <w:t xml:space="preserve"> </w:t>
      </w:r>
    </w:p>
    <w:p w:rsidR="00451FEE" w:rsidRDefault="00451FEE" w:rsidP="00CA71BA">
      <w:pPr>
        <w:pStyle w:val="NormalSS"/>
        <w:spacing w:after="0" w:line="480" w:lineRule="auto"/>
      </w:pPr>
      <w:r>
        <w:t>The study team</w:t>
      </w:r>
      <w:r w:rsidRPr="009C7353">
        <w:t xml:space="preserve"> </w:t>
      </w:r>
      <w:r>
        <w:t xml:space="preserve">will collect </w:t>
      </w:r>
      <w:r w:rsidRPr="009C7353">
        <w:t xml:space="preserve">administrative data from FNS and </w:t>
      </w:r>
      <w:r>
        <w:t>from s</w:t>
      </w:r>
      <w:r w:rsidRPr="009C7353">
        <w:t xml:space="preserve">tates for the purpose of sampling </w:t>
      </w:r>
      <w:r>
        <w:t>s</w:t>
      </w:r>
      <w:r w:rsidRPr="009C7353">
        <w:t>tates</w:t>
      </w:r>
      <w:r>
        <w:t>, work registrants, and SNAP E&amp;T participants</w:t>
      </w:r>
      <w:r w:rsidRPr="009C7353">
        <w:t xml:space="preserve">. </w:t>
      </w:r>
      <w:r w:rsidR="00181731">
        <w:t>Using these data, the study team will select states</w:t>
      </w:r>
      <w:r w:rsidRPr="009C7353">
        <w:t>, creat</w:t>
      </w:r>
      <w:r w:rsidR="00181731">
        <w:t>e</w:t>
      </w:r>
      <w:r w:rsidRPr="009C7353">
        <w:t xml:space="preserve"> the sampling frame</w:t>
      </w:r>
      <w:r w:rsidR="00181731">
        <w:t>s for surveys</w:t>
      </w:r>
      <w:r w:rsidRPr="009C7353">
        <w:t xml:space="preserve">, and </w:t>
      </w:r>
      <w:r w:rsidR="00181731">
        <w:t xml:space="preserve">obtain respondent </w:t>
      </w:r>
      <w:r w:rsidRPr="008F5CCF">
        <w:t>contact</w:t>
      </w:r>
      <w:r w:rsidRPr="009C7353">
        <w:t xml:space="preserve"> </w:t>
      </w:r>
      <w:r w:rsidR="00181731">
        <w:t>information</w:t>
      </w:r>
      <w:r w:rsidRPr="009C7353">
        <w:t xml:space="preserve">. Administrative data will come from two sources: </w:t>
      </w:r>
      <w:r>
        <w:t xml:space="preserve">(1) </w:t>
      </w:r>
      <w:r w:rsidRPr="009C7353">
        <w:t xml:space="preserve">federally collected SNAP E&amp;T </w:t>
      </w:r>
      <w:r>
        <w:t xml:space="preserve">program </w:t>
      </w:r>
      <w:r w:rsidRPr="009C7353">
        <w:t xml:space="preserve">data and </w:t>
      </w:r>
      <w:r>
        <w:t>(2) s</w:t>
      </w:r>
      <w:r w:rsidRPr="009C7353">
        <w:t xml:space="preserve">tate-level caseload files. </w:t>
      </w:r>
    </w:p>
    <w:p w:rsidR="00451FEE" w:rsidRDefault="00451FEE" w:rsidP="00CA71BA">
      <w:pPr>
        <w:pStyle w:val="NormalSS"/>
        <w:spacing w:after="0" w:line="480" w:lineRule="auto"/>
      </w:pPr>
      <w:r w:rsidRPr="009C7353">
        <w:t xml:space="preserve">Once </w:t>
      </w:r>
      <w:r>
        <w:t xml:space="preserve">the </w:t>
      </w:r>
      <w:r w:rsidRPr="009C7353">
        <w:t xml:space="preserve">necessary data from </w:t>
      </w:r>
      <w:r>
        <w:t>s</w:t>
      </w:r>
      <w:r w:rsidRPr="009C7353">
        <w:t>tates</w:t>
      </w:r>
      <w:r>
        <w:t xml:space="preserve"> has been obtained,</w:t>
      </w:r>
      <w:r w:rsidRPr="009C7353">
        <w:t xml:space="preserve"> nationally representative samples of </w:t>
      </w:r>
      <w:r>
        <w:t xml:space="preserve">SNAP </w:t>
      </w:r>
      <w:r w:rsidRPr="008F5CCF">
        <w:t>work</w:t>
      </w:r>
      <w:r w:rsidRPr="009C7353">
        <w:t xml:space="preserve"> registrants</w:t>
      </w:r>
      <w:r>
        <w:t>, SNAP E&amp;T participant</w:t>
      </w:r>
      <w:r w:rsidRPr="009C7353">
        <w:t xml:space="preserve">s, and a sample of </w:t>
      </w:r>
      <w:r>
        <w:t xml:space="preserve">SNAP E&amp;T program </w:t>
      </w:r>
      <w:r w:rsidRPr="009C7353">
        <w:t>providers</w:t>
      </w:r>
      <w:r>
        <w:t xml:space="preserve"> will be selected</w:t>
      </w:r>
      <w:r w:rsidRPr="009C7353">
        <w:t xml:space="preserve">. </w:t>
      </w:r>
      <w:r>
        <w:t>The study team</w:t>
      </w:r>
      <w:r w:rsidRPr="009C7353">
        <w:t xml:space="preserve"> </w:t>
      </w:r>
      <w:r>
        <w:t>will select</w:t>
      </w:r>
      <w:r w:rsidRPr="009C7353">
        <w:t xml:space="preserve"> samples large enough to obtain completed </w:t>
      </w:r>
      <w:r>
        <w:t xml:space="preserve">surveys </w:t>
      </w:r>
      <w:r w:rsidRPr="009C7353">
        <w:t>with 1,500</w:t>
      </w:r>
      <w:r w:rsidR="00F028CE">
        <w:t xml:space="preserve"> </w:t>
      </w:r>
      <w:r>
        <w:t xml:space="preserve">work </w:t>
      </w:r>
      <w:r w:rsidRPr="009C7353">
        <w:t xml:space="preserve">registrants, 1,500 </w:t>
      </w:r>
      <w:r>
        <w:t xml:space="preserve">SNAP E&amp;T </w:t>
      </w:r>
      <w:r w:rsidRPr="009C7353">
        <w:t xml:space="preserve">participants, and 500 </w:t>
      </w:r>
      <w:r>
        <w:t xml:space="preserve">SNAP E&amp;T program </w:t>
      </w:r>
      <w:r w:rsidRPr="009C7353">
        <w:t xml:space="preserve">providers. </w:t>
      </w:r>
      <w:r>
        <w:t>The study team</w:t>
      </w:r>
      <w:r w:rsidRPr="009C7353">
        <w:t xml:space="preserve"> will administer two surveys</w:t>
      </w:r>
      <w:r>
        <w:t xml:space="preserve">: (1) </w:t>
      </w:r>
      <w:r w:rsidRPr="009C7353">
        <w:t xml:space="preserve">a single instrument for </w:t>
      </w:r>
      <w:r>
        <w:t xml:space="preserve">the </w:t>
      </w:r>
      <w:r w:rsidR="00E604B8">
        <w:lastRenderedPageBreak/>
        <w:t>SNAP E&amp;T registrant and participant survey</w:t>
      </w:r>
      <w:r w:rsidRPr="009C7353">
        <w:t xml:space="preserve">, with specialized pathways for each, and </w:t>
      </w:r>
      <w:r>
        <w:t xml:space="preserve">(2) </w:t>
      </w:r>
      <w:r w:rsidRPr="009C7353">
        <w:t xml:space="preserve">a survey for </w:t>
      </w:r>
      <w:r>
        <w:t>SNAP E&amp;T program provider</w:t>
      </w:r>
      <w:r w:rsidRPr="009C7353">
        <w:t>s</w:t>
      </w:r>
      <w:r>
        <w:t>.</w:t>
      </w:r>
    </w:p>
    <w:p w:rsidR="00451FEE" w:rsidRDefault="00451FEE" w:rsidP="00CA71BA">
      <w:pPr>
        <w:pStyle w:val="NormalSS"/>
        <w:spacing w:after="0" w:line="480" w:lineRule="auto"/>
      </w:pPr>
      <w:r w:rsidRPr="009C7353">
        <w:t xml:space="preserve">SNAP E&amp;T </w:t>
      </w:r>
      <w:r>
        <w:t xml:space="preserve">program </w:t>
      </w:r>
      <w:r w:rsidRPr="009C7353">
        <w:t xml:space="preserve">data collection will </w:t>
      </w:r>
      <w:r>
        <w:t>use</w:t>
      </w:r>
      <w:r w:rsidRPr="009C7353">
        <w:t xml:space="preserve"> a variety of integrated methodologies and instruments to gather the information required from respondents. </w:t>
      </w:r>
      <w:r>
        <w:t>The study team will develop w</w:t>
      </w:r>
      <w:r w:rsidRPr="009C7353">
        <w:t xml:space="preserve">eb and </w:t>
      </w:r>
      <w:r>
        <w:t>computer-assisted telephone interviewing (CATI)</w:t>
      </w:r>
      <w:r w:rsidRPr="009C7353">
        <w:t xml:space="preserve"> instruments for the</w:t>
      </w:r>
      <w:r>
        <w:t xml:space="preserve"> registrant and participant survey. For the SNAP E&amp;T program provider survey, respondents will have the option of completing</w:t>
      </w:r>
      <w:r w:rsidRPr="009C7353">
        <w:t xml:space="preserve"> </w:t>
      </w:r>
      <w:r>
        <w:t xml:space="preserve">either </w:t>
      </w:r>
      <w:r w:rsidRPr="009C7353">
        <w:t>a web</w:t>
      </w:r>
      <w:r>
        <w:t>-based</w:t>
      </w:r>
      <w:r w:rsidRPr="009C7353">
        <w:t xml:space="preserve"> survey </w:t>
      </w:r>
      <w:r>
        <w:t>or a telephone survey with an interviewer.</w:t>
      </w:r>
      <w:r w:rsidRPr="009C7353">
        <w:t xml:space="preserve"> </w:t>
      </w:r>
    </w:p>
    <w:p w:rsidR="00451FEE" w:rsidRDefault="00451FEE" w:rsidP="00CA71BA">
      <w:pPr>
        <w:pStyle w:val="Heading4"/>
        <w:spacing w:after="0" w:line="480" w:lineRule="auto"/>
      </w:pPr>
      <w:r>
        <w:t>a.</w:t>
      </w:r>
      <w:r>
        <w:tab/>
        <w:t xml:space="preserve">Survey data collection </w:t>
      </w:r>
    </w:p>
    <w:p w:rsidR="00451FEE" w:rsidRDefault="00F165F1" w:rsidP="00CA71BA">
      <w:pPr>
        <w:pStyle w:val="NormalSS"/>
        <w:spacing w:after="0" w:line="480" w:lineRule="auto"/>
      </w:pPr>
      <w:r w:rsidRPr="00F165F1">
        <w:rPr>
          <w:b/>
        </w:rPr>
        <w:t>SNAP E&amp;T registrant and participant survey.</w:t>
      </w:r>
      <w:r>
        <w:t xml:space="preserve"> </w:t>
      </w:r>
      <w:r w:rsidR="00451FEE">
        <w:t xml:space="preserve">The study team will release the </w:t>
      </w:r>
      <w:r w:rsidR="00451FEE" w:rsidRPr="009C7353">
        <w:t>sample</w:t>
      </w:r>
      <w:r w:rsidR="00451FEE">
        <w:t xml:space="preserve"> </w:t>
      </w:r>
      <w:r w:rsidR="00451FEE" w:rsidRPr="009C7353">
        <w:t xml:space="preserve">in three waves, each a week apart. </w:t>
      </w:r>
      <w:r w:rsidR="00451FEE">
        <w:t>The study team</w:t>
      </w:r>
      <w:r w:rsidR="00451FEE" w:rsidRPr="009C7353">
        <w:t xml:space="preserve"> will conduct the data collection for each </w:t>
      </w:r>
      <w:r w:rsidR="00451FEE">
        <w:t>s</w:t>
      </w:r>
      <w:r w:rsidR="00451FEE" w:rsidRPr="009C7353">
        <w:t xml:space="preserve">tate over a 10-week period. </w:t>
      </w:r>
      <w:r w:rsidR="00451FEE">
        <w:t>The study team</w:t>
      </w:r>
      <w:r w:rsidR="00451FEE" w:rsidRPr="009C7353">
        <w:t xml:space="preserve"> </w:t>
      </w:r>
      <w:r w:rsidR="00451FEE">
        <w:t xml:space="preserve">will target an 80 </w:t>
      </w:r>
      <w:r w:rsidR="00451FEE" w:rsidRPr="009C7353">
        <w:t xml:space="preserve">percent response rate for the </w:t>
      </w:r>
      <w:r w:rsidR="00E604B8">
        <w:t>SNAP E&amp;T registrant and participant survey</w:t>
      </w:r>
      <w:r w:rsidR="00D87C49">
        <w:t>.</w:t>
      </w:r>
    </w:p>
    <w:p w:rsidR="00451FEE" w:rsidRDefault="00451FEE" w:rsidP="00CA71BA">
      <w:pPr>
        <w:pStyle w:val="NormalSS"/>
        <w:spacing w:after="0" w:line="480" w:lineRule="auto"/>
      </w:pPr>
      <w:r>
        <w:t xml:space="preserve">The study team </w:t>
      </w:r>
      <w:r w:rsidRPr="009C7353">
        <w:t>will send advance letters</w:t>
      </w:r>
      <w:r>
        <w:t xml:space="preserve"> (Attachment A.1) </w:t>
      </w:r>
      <w:r w:rsidRPr="009C7353">
        <w:t xml:space="preserve">to sample members reminding them of the importance of the SNAP E&amp;T program. </w:t>
      </w:r>
      <w:r>
        <w:t>T</w:t>
      </w:r>
      <w:r w:rsidRPr="009C7353">
        <w:t>he advance letter</w:t>
      </w:r>
      <w:r>
        <w:t xml:space="preserve"> will</w:t>
      </w:r>
      <w:r w:rsidRPr="009C7353">
        <w:t xml:space="preserve"> be printed on </w:t>
      </w:r>
      <w:r>
        <w:t>USDA</w:t>
      </w:r>
      <w:r w:rsidRPr="009C7353">
        <w:t xml:space="preserve"> letterhead and signed by a high-ranking FNS official. Letters will be written in both English and Spanish</w:t>
      </w:r>
      <w:r>
        <w:t>,</w:t>
      </w:r>
      <w:r w:rsidRPr="009C7353">
        <w:t xml:space="preserve"> at a </w:t>
      </w:r>
      <w:r>
        <w:t>fifth</w:t>
      </w:r>
      <w:r w:rsidRPr="009C7353">
        <w:t>-grade level to ensure comprehension. The letter will include a</w:t>
      </w:r>
      <w:r>
        <w:t>n address for the</w:t>
      </w:r>
      <w:r w:rsidRPr="009C7353">
        <w:t xml:space="preserve"> web</w:t>
      </w:r>
      <w:r>
        <w:t>-based</w:t>
      </w:r>
      <w:r w:rsidRPr="009C7353">
        <w:t xml:space="preserve"> survey</w:t>
      </w:r>
      <w:r w:rsidR="00017684">
        <w:t xml:space="preserve"> </w:t>
      </w:r>
      <w:r w:rsidRPr="009C7353">
        <w:t>and a toll-free number to call to ask questions or co</w:t>
      </w:r>
      <w:r>
        <w:t>mplete</w:t>
      </w:r>
      <w:r w:rsidRPr="009C7353">
        <w:t xml:space="preserve"> the </w:t>
      </w:r>
      <w:r>
        <w:t xml:space="preserve">survey. The letter also will </w:t>
      </w:r>
      <w:r w:rsidRPr="009C7353">
        <w:t>describe the incentive</w:t>
      </w:r>
      <w:r>
        <w:t xml:space="preserve">. </w:t>
      </w:r>
      <w:r w:rsidRPr="009C7353">
        <w:t xml:space="preserve">Letters will be </w:t>
      </w:r>
      <w:r>
        <w:t>sent</w:t>
      </w:r>
      <w:r w:rsidRPr="009C7353">
        <w:t xml:space="preserve"> first</w:t>
      </w:r>
      <w:r>
        <w:t>-</w:t>
      </w:r>
      <w:r w:rsidRPr="009C7353">
        <w:t xml:space="preserve">class with address service, </w:t>
      </w:r>
      <w:r>
        <w:t xml:space="preserve">as that will enable </w:t>
      </w:r>
      <w:r w:rsidRPr="009C7353">
        <w:t xml:space="preserve">us to update </w:t>
      </w:r>
      <w:r>
        <w:t>incorrect</w:t>
      </w:r>
      <w:r w:rsidRPr="009C7353">
        <w:t xml:space="preserve"> addresses.</w:t>
      </w:r>
      <w:r>
        <w:rPr>
          <w:rStyle w:val="FootnoteReference"/>
        </w:rPr>
        <w:footnoteReference w:id="2"/>
      </w:r>
    </w:p>
    <w:p w:rsidR="00451FEE" w:rsidRDefault="00451FEE" w:rsidP="00CA71BA">
      <w:pPr>
        <w:pStyle w:val="NormalSS"/>
        <w:spacing w:after="0" w:line="480" w:lineRule="auto"/>
      </w:pPr>
      <w:r>
        <w:t>The study team</w:t>
      </w:r>
      <w:r w:rsidRPr="009C7353">
        <w:t xml:space="preserve"> anticipate</w:t>
      </w:r>
      <w:r>
        <w:t>s</w:t>
      </w:r>
      <w:r w:rsidRPr="009C7353">
        <w:t xml:space="preserve"> that </w:t>
      </w:r>
      <w:r>
        <w:t xml:space="preserve">some </w:t>
      </w:r>
      <w:r w:rsidRPr="009C7353">
        <w:t xml:space="preserve">sample members will speak </w:t>
      </w:r>
      <w:r>
        <w:t xml:space="preserve">Spanish. The study team </w:t>
      </w:r>
      <w:r w:rsidRPr="009C7353">
        <w:t xml:space="preserve">will develop bilingual study materials and offer to conduct interviews in Spanish to minimize </w:t>
      </w:r>
      <w:r w:rsidRPr="009C7353">
        <w:lastRenderedPageBreak/>
        <w:t>nonresponse</w:t>
      </w:r>
      <w:r>
        <w:t>s</w:t>
      </w:r>
      <w:r w:rsidRPr="009C7353">
        <w:t xml:space="preserve"> due to language barriers. Using information from administrative records on primary language or language of application, </w:t>
      </w:r>
      <w:r>
        <w:t>the study team</w:t>
      </w:r>
      <w:r w:rsidRPr="009C7353">
        <w:t xml:space="preserve"> will attempt to identify Spanish-speaking households </w:t>
      </w:r>
      <w:r>
        <w:t>before</w:t>
      </w:r>
      <w:r w:rsidRPr="009C7353">
        <w:t xml:space="preserve"> contacting them for CATI interviews</w:t>
      </w:r>
      <w:r>
        <w:t>,</w:t>
      </w:r>
      <w:r w:rsidRPr="009C7353">
        <w:t xml:space="preserve"> </w:t>
      </w:r>
      <w:r>
        <w:t xml:space="preserve">so that the initial contact will be from </w:t>
      </w:r>
      <w:r w:rsidRPr="009C7353">
        <w:t xml:space="preserve">a bilingual interviewer. </w:t>
      </w:r>
      <w:r>
        <w:t>The study team will also</w:t>
      </w:r>
      <w:r w:rsidRPr="009C7353">
        <w:t xml:space="preserve"> evaluate the need for interviews in other languages and, in consultation with FNS, will determine whether to provide additional language service using </w:t>
      </w:r>
      <w:r>
        <w:t>study team</w:t>
      </w:r>
      <w:r w:rsidRPr="009C7353">
        <w:t xml:space="preserve"> staff (</w:t>
      </w:r>
      <w:r>
        <w:t xml:space="preserve">which can </w:t>
      </w:r>
      <w:r w:rsidRPr="009C7353">
        <w:t xml:space="preserve">provide ad hoc translation for </w:t>
      </w:r>
      <w:r>
        <w:t xml:space="preserve">many Asian and European </w:t>
      </w:r>
      <w:r w:rsidRPr="009C7353">
        <w:t>languages)</w:t>
      </w:r>
      <w:r w:rsidRPr="004707A6">
        <w:t xml:space="preserve"> </w:t>
      </w:r>
      <w:r w:rsidRPr="009C7353">
        <w:t xml:space="preserve">or our language service partners, Interviewing Services of America or Magnus Language Valet. </w:t>
      </w:r>
    </w:p>
    <w:p w:rsidR="00451FEE" w:rsidRDefault="00451FEE" w:rsidP="00CA71BA">
      <w:pPr>
        <w:pStyle w:val="NormalSS"/>
        <w:spacing w:after="0" w:line="480" w:lineRule="auto"/>
      </w:pPr>
      <w:r w:rsidRPr="009C7353">
        <w:t xml:space="preserve">High response rates are correlated with high quality data. </w:t>
      </w:r>
      <w:r>
        <w:t>The study team</w:t>
      </w:r>
      <w:r w:rsidRPr="009C7353">
        <w:t xml:space="preserve"> has had success </w:t>
      </w:r>
      <w:r w:rsidRPr="002E6AFD">
        <w:t>administering</w:t>
      </w:r>
      <w:r w:rsidRPr="009C7353">
        <w:t xml:space="preserve"> CATI surveys to SNAP and other low-income populations, </w:t>
      </w:r>
      <w:r>
        <w:t xml:space="preserve">but </w:t>
      </w:r>
      <w:r w:rsidRPr="009C7353">
        <w:t>CATI response rates</w:t>
      </w:r>
      <w:r>
        <w:t>,</w:t>
      </w:r>
      <w:r w:rsidRPr="009C7353">
        <w:t xml:space="preserve"> in general</w:t>
      </w:r>
      <w:r>
        <w:t>,</w:t>
      </w:r>
      <w:r w:rsidRPr="009C7353">
        <w:t xml:space="preserve"> have been declining for many years</w:t>
      </w:r>
      <w:r>
        <w:t>. T</w:t>
      </w:r>
      <w:r w:rsidRPr="009C7353">
        <w:t xml:space="preserve">o achieve </w:t>
      </w:r>
      <w:r>
        <w:t xml:space="preserve">a </w:t>
      </w:r>
      <w:r w:rsidRPr="009C7353">
        <w:t xml:space="preserve">high response, multiple </w:t>
      </w:r>
      <w:r w:rsidRPr="00401FE5">
        <w:t>survey modes</w:t>
      </w:r>
      <w:r>
        <w:t xml:space="preserve"> should be offered</w:t>
      </w:r>
      <w:r w:rsidRPr="00401FE5">
        <w:t xml:space="preserve"> </w:t>
      </w:r>
      <w:r w:rsidRPr="00272D9C">
        <w:t xml:space="preserve">(De </w:t>
      </w:r>
      <w:proofErr w:type="spellStart"/>
      <w:r w:rsidRPr="00272D9C">
        <w:t>Leeuw</w:t>
      </w:r>
      <w:proofErr w:type="spellEnd"/>
      <w:r w:rsidRPr="00272D9C">
        <w:t xml:space="preserve"> et al. 2007)</w:t>
      </w:r>
      <w:r w:rsidRPr="00401FE5">
        <w:t xml:space="preserve">. To maximize response to the </w:t>
      </w:r>
      <w:r>
        <w:t>SNAP</w:t>
      </w:r>
      <w:r w:rsidRPr="00401FE5">
        <w:t xml:space="preserve"> </w:t>
      </w:r>
      <w:proofErr w:type="spellStart"/>
      <w:r w:rsidR="00E604B8">
        <w:t>SNAP</w:t>
      </w:r>
      <w:proofErr w:type="spellEnd"/>
      <w:r w:rsidR="00E604B8">
        <w:t xml:space="preserve"> E&amp;T registrant and participant survey</w:t>
      </w:r>
      <w:r>
        <w:t xml:space="preserve">, the study team will give sampled work registrants and </w:t>
      </w:r>
      <w:r w:rsidRPr="00451FEE">
        <w:t>participants</w:t>
      </w:r>
      <w:r>
        <w:t xml:space="preserve"> two options for responding—(1) CATI and (2) web. Web surveys have been less effective with low-income populations because of the group’s relatively low rates of Internet access. However, web access has expanded in recent years—at home, at work, through smart phones, and in public places such as libraries (</w:t>
      </w:r>
      <w:proofErr w:type="spellStart"/>
      <w:r w:rsidRPr="00272D9C">
        <w:t>Zicku</w:t>
      </w:r>
      <w:r>
        <w:t>h</w:t>
      </w:r>
      <w:r w:rsidRPr="00272D9C">
        <w:t>r</w:t>
      </w:r>
      <w:proofErr w:type="spellEnd"/>
      <w:r w:rsidRPr="00272D9C">
        <w:t xml:space="preserve"> 2012)</w:t>
      </w:r>
      <w:r w:rsidRPr="00401FE5">
        <w:t xml:space="preserve">. </w:t>
      </w:r>
      <w:r>
        <w:t xml:space="preserve">SNAP E&amp;T participants are also likely to have familiarity with computers because some of the SNAP E&amp;T work programs use computers exclusively to administer training. The CATI questionnaire will be programmed to match the web-based questionnaire in order to minimize mode effects (differences in the responses depending upon whether the survey is conducted via the Internet or telephone). The study will use universal survey design practices </w:t>
      </w:r>
      <w:r w:rsidRPr="00272D9C">
        <w:t>(</w:t>
      </w:r>
      <w:proofErr w:type="spellStart"/>
      <w:r w:rsidRPr="00272D9C">
        <w:t>Matulewicz</w:t>
      </w:r>
      <w:proofErr w:type="spellEnd"/>
      <w:r w:rsidRPr="00272D9C">
        <w:t xml:space="preserve"> and Coburn 2008)</w:t>
      </w:r>
      <w:r w:rsidRPr="00401FE5">
        <w:t xml:space="preserve"> so the web</w:t>
      </w:r>
      <w:r>
        <w:t>-based</w:t>
      </w:r>
      <w:r w:rsidRPr="00401FE5">
        <w:t xml:space="preserve"> questionnaire can be completed by recipients </w:t>
      </w:r>
      <w:r>
        <w:t xml:space="preserve">of differing reading levels and cognitive </w:t>
      </w:r>
      <w:r>
        <w:lastRenderedPageBreak/>
        <w:t xml:space="preserve">abilities, without the assistance that telephone interviewers offer. The study team expects the web-based and CATI surveys to take about the same amount of time to complete (20 minutes). </w:t>
      </w:r>
    </w:p>
    <w:p w:rsidR="00F165F1" w:rsidRPr="006826C5" w:rsidRDefault="00F165F1" w:rsidP="00CA71BA">
      <w:pPr>
        <w:pStyle w:val="NormalSS"/>
        <w:spacing w:after="0" w:line="480" w:lineRule="auto"/>
      </w:pPr>
      <w:proofErr w:type="gramStart"/>
      <w:r>
        <w:rPr>
          <w:b/>
        </w:rPr>
        <w:t>Provider survey.</w:t>
      </w:r>
      <w:proofErr w:type="gramEnd"/>
      <w:r>
        <w:rPr>
          <w:b/>
        </w:rPr>
        <w:t xml:space="preserve"> </w:t>
      </w:r>
      <w:r w:rsidR="0071013F" w:rsidRPr="009C7353">
        <w:t xml:space="preserve">The provider survey will follow a data collection schedule </w:t>
      </w:r>
      <w:r w:rsidR="0071013F">
        <w:t>similar to the registrant and participant</w:t>
      </w:r>
      <w:r w:rsidR="0071013F" w:rsidRPr="009C7353">
        <w:t xml:space="preserve"> survey. </w:t>
      </w:r>
      <w:r>
        <w:t>The study team</w:t>
      </w:r>
      <w:r w:rsidRPr="009C7353">
        <w:t xml:space="preserve"> </w:t>
      </w:r>
      <w:r>
        <w:t xml:space="preserve">anticipates an 80 </w:t>
      </w:r>
      <w:r w:rsidRPr="009C7353">
        <w:t xml:space="preserve">percent response rate for the </w:t>
      </w:r>
      <w:r>
        <w:t xml:space="preserve">SNAP E&amp;T provider survey. As with the registrant and participant survey, the study team </w:t>
      </w:r>
      <w:r w:rsidRPr="009C7353">
        <w:t>will send advance letters</w:t>
      </w:r>
      <w:r>
        <w:t xml:space="preserve"> </w:t>
      </w:r>
      <w:r w:rsidRPr="009C7353">
        <w:t>to sample members reminding them of the impo</w:t>
      </w:r>
      <w:r>
        <w:t xml:space="preserve">rtance of the SNAP E&amp;T program; </w:t>
      </w:r>
      <w:r w:rsidRPr="009C7353">
        <w:t xml:space="preserve">printed on </w:t>
      </w:r>
      <w:r>
        <w:t>USDA</w:t>
      </w:r>
      <w:r w:rsidRPr="009C7353">
        <w:t xml:space="preserve"> letterhead and signed by a high-ranking</w:t>
      </w:r>
      <w:r>
        <w:t xml:space="preserve">; and, that </w:t>
      </w:r>
      <w:r w:rsidRPr="009C7353">
        <w:t>include a</w:t>
      </w:r>
      <w:r>
        <w:t>n address for the</w:t>
      </w:r>
      <w:r w:rsidRPr="009C7353">
        <w:t xml:space="preserve"> web</w:t>
      </w:r>
      <w:r>
        <w:t>-based</w:t>
      </w:r>
      <w:r w:rsidRPr="009C7353">
        <w:t xml:space="preserve"> surve</w:t>
      </w:r>
      <w:r>
        <w:t xml:space="preserve">y, a completion deadline, and </w:t>
      </w:r>
      <w:r w:rsidRPr="009C7353">
        <w:t>a toll-free number to call to ask questions or co</w:t>
      </w:r>
      <w:r>
        <w:t>mplete</w:t>
      </w:r>
      <w:r w:rsidRPr="009C7353">
        <w:t xml:space="preserve"> the </w:t>
      </w:r>
      <w:r>
        <w:t>survey (see Attachment A.8). The primary completion mode for the provider survey will be the web. However, in order to provide maximum flexibility to respondents, t</w:t>
      </w:r>
      <w:r w:rsidRPr="006826C5">
        <w:t xml:space="preserve">he study team will </w:t>
      </w:r>
      <w:r>
        <w:t xml:space="preserve">also provide respondents with the option to complete the survey over the phone. We anticipate that 90 percent of provider respondents will complete the survey via the web and 10 percent will complete it over the phone. </w:t>
      </w:r>
    </w:p>
    <w:p w:rsidR="00451FEE" w:rsidRDefault="00451FEE" w:rsidP="00CA71BA">
      <w:pPr>
        <w:pStyle w:val="Heading4"/>
        <w:spacing w:after="0" w:line="480" w:lineRule="auto"/>
      </w:pPr>
      <w:r>
        <w:t xml:space="preserve">b. </w:t>
      </w:r>
      <w:r>
        <w:tab/>
        <w:t xml:space="preserve">Focus group data collection </w:t>
      </w:r>
    </w:p>
    <w:p w:rsidR="00451FEE" w:rsidRDefault="00451FEE" w:rsidP="00CA71BA">
      <w:pPr>
        <w:pStyle w:val="NormalSS"/>
        <w:spacing w:after="0" w:line="480" w:lineRule="auto"/>
      </w:pPr>
      <w:r>
        <w:t>The study team</w:t>
      </w:r>
      <w:r w:rsidRPr="009C7353">
        <w:t xml:space="preserve"> will </w:t>
      </w:r>
      <w:r w:rsidR="0081484C">
        <w:t>use</w:t>
      </w:r>
      <w:r w:rsidR="0081484C" w:rsidRPr="009C7353">
        <w:t xml:space="preserve"> </w:t>
      </w:r>
      <w:r w:rsidRPr="009C7353">
        <w:t xml:space="preserve">a screening questionnaire for </w:t>
      </w:r>
      <w:r>
        <w:t xml:space="preserve">recruitment of subjects and will assign </w:t>
      </w:r>
      <w:r w:rsidR="00DF25B7">
        <w:t xml:space="preserve">trained </w:t>
      </w:r>
      <w:r>
        <w:t xml:space="preserve">bilingual recruiters to contact households where Spanish is likely to be the primary language. </w:t>
      </w:r>
      <w:r w:rsidRPr="009C7353">
        <w:t>Th</w:t>
      </w:r>
      <w:r>
        <w:t>is</w:t>
      </w:r>
      <w:r w:rsidRPr="009C7353">
        <w:t xml:space="preserve"> screening will allow </w:t>
      </w:r>
      <w:r>
        <w:t xml:space="preserve">organization of </w:t>
      </w:r>
      <w:r w:rsidRPr="009C7353">
        <w:t>subgroups of individuals with diverse characteristics</w:t>
      </w:r>
      <w:r>
        <w:t xml:space="preserve"> (Attachment A.11)</w:t>
      </w:r>
      <w:r w:rsidRPr="009C7353">
        <w:t xml:space="preserve">. </w:t>
      </w:r>
      <w:r>
        <w:t>The study team</w:t>
      </w:r>
      <w:r w:rsidRPr="009C7353">
        <w:t xml:space="preserve"> anticipate</w:t>
      </w:r>
      <w:r>
        <w:t>s</w:t>
      </w:r>
      <w:r w:rsidRPr="009C7353">
        <w:t xml:space="preserve">, on average, about a </w:t>
      </w:r>
      <w:r>
        <w:t>five</w:t>
      </w:r>
      <w:r w:rsidRPr="009C7353">
        <w:t>-to-one ratio for contacts versus participants</w:t>
      </w:r>
      <w:r>
        <w:t xml:space="preserve">, and </w:t>
      </w:r>
      <w:r w:rsidRPr="009C7353">
        <w:t>plan</w:t>
      </w:r>
      <w:r>
        <w:t>s</w:t>
      </w:r>
      <w:r w:rsidRPr="009C7353">
        <w:t xml:space="preserve"> to over</w:t>
      </w:r>
      <w:r>
        <w:t>-</w:t>
      </w:r>
      <w:r w:rsidRPr="009C7353">
        <w:t xml:space="preserve">recruit </w:t>
      </w:r>
      <w:r>
        <w:t xml:space="preserve">for the focus groups </w:t>
      </w:r>
      <w:r w:rsidRPr="009C7353">
        <w:t xml:space="preserve">by about </w:t>
      </w:r>
      <w:r>
        <w:t>2</w:t>
      </w:r>
      <w:r w:rsidRPr="009C7353">
        <w:t xml:space="preserve">0 percent to account for </w:t>
      </w:r>
      <w:r>
        <w:t>no</w:t>
      </w:r>
      <w:r w:rsidRPr="009C7353">
        <w:t xml:space="preserve">-shows. </w:t>
      </w:r>
    </w:p>
    <w:p w:rsidR="00451FEE" w:rsidRDefault="00451FEE" w:rsidP="00CA71BA">
      <w:pPr>
        <w:pStyle w:val="NormalSS"/>
        <w:spacing w:after="0" w:line="480" w:lineRule="auto"/>
      </w:pPr>
      <w:r>
        <w:t>The study</w:t>
      </w:r>
      <w:r w:rsidRPr="009C7353">
        <w:t xml:space="preserve"> team has extensive experience conducting focus groups with </w:t>
      </w:r>
      <w:r>
        <w:t xml:space="preserve">individuals </w:t>
      </w:r>
      <w:r w:rsidRPr="009C7353">
        <w:t xml:space="preserve">similar to those </w:t>
      </w:r>
      <w:r>
        <w:t xml:space="preserve">who participate </w:t>
      </w:r>
      <w:r w:rsidRPr="009C7353">
        <w:t>in</w:t>
      </w:r>
      <w:r>
        <w:t xml:space="preserve"> the</w:t>
      </w:r>
      <w:r w:rsidRPr="009C7353">
        <w:t xml:space="preserve"> SNAP E&amp;T</w:t>
      </w:r>
      <w:r>
        <w:t xml:space="preserve"> program</w:t>
      </w:r>
      <w:r w:rsidRPr="009C7353">
        <w:t>, and rel</w:t>
      </w:r>
      <w:r>
        <w:t>ies</w:t>
      </w:r>
      <w:r w:rsidRPr="009C7353">
        <w:t xml:space="preserve"> </w:t>
      </w:r>
      <w:r>
        <w:t>up</w:t>
      </w:r>
      <w:r w:rsidRPr="009C7353">
        <w:t>on a set of well</w:t>
      </w:r>
      <w:r>
        <w:t>-</w:t>
      </w:r>
      <w:r w:rsidRPr="009C7353">
        <w:t>established</w:t>
      </w:r>
      <w:r>
        <w:t>,</w:t>
      </w:r>
      <w:r w:rsidRPr="009C7353">
        <w:t xml:space="preserve"> field</w:t>
      </w:r>
      <w:r>
        <w:t>-</w:t>
      </w:r>
      <w:r w:rsidRPr="009C7353">
        <w:t>tested</w:t>
      </w:r>
      <w:r>
        <w:t>,</w:t>
      </w:r>
      <w:r w:rsidRPr="009C7353">
        <w:t xml:space="preserve"> standardized procedures. Every focus group will be conducted by two staff members </w:t>
      </w:r>
      <w:r w:rsidRPr="009C7353">
        <w:lastRenderedPageBreak/>
        <w:t xml:space="preserve">who are highly skilled data collectors. </w:t>
      </w:r>
      <w:r>
        <w:t xml:space="preserve">Each session will </w:t>
      </w:r>
      <w:r w:rsidRPr="009C7353">
        <w:t xml:space="preserve">last approximately 90 minutes. One person will moderate the focus group while the other takes notes on a </w:t>
      </w:r>
      <w:r>
        <w:t>laptop</w:t>
      </w:r>
      <w:r w:rsidRPr="009C7353">
        <w:t xml:space="preserve">. </w:t>
      </w:r>
      <w:r>
        <w:t xml:space="preserve">At the </w:t>
      </w:r>
      <w:r w:rsidRPr="009C7353">
        <w:t xml:space="preserve">beginning </w:t>
      </w:r>
      <w:r>
        <w:t xml:space="preserve">of </w:t>
      </w:r>
      <w:r w:rsidRPr="009C7353">
        <w:t xml:space="preserve">the focus group session, </w:t>
      </w:r>
      <w:r>
        <w:t>the study team</w:t>
      </w:r>
      <w:r w:rsidRPr="009C7353">
        <w:t xml:space="preserve"> will provide an overview of the purpose of the study and</w:t>
      </w:r>
      <w:r>
        <w:t xml:space="preserve"> of</w:t>
      </w:r>
      <w:r w:rsidRPr="009C7353">
        <w:t xml:space="preserve"> the focus group</w:t>
      </w:r>
      <w:r>
        <w:t>. P</w:t>
      </w:r>
      <w:r w:rsidRPr="009C7353">
        <w:t xml:space="preserve">articipants </w:t>
      </w:r>
      <w:r>
        <w:t>will be given letters regarding informed</w:t>
      </w:r>
      <w:r w:rsidRPr="009C7353">
        <w:t xml:space="preserve"> consent </w:t>
      </w:r>
      <w:r>
        <w:t xml:space="preserve">(Attachment A.14), advising them </w:t>
      </w:r>
      <w:r w:rsidRPr="009C7353">
        <w:t>of their rights as subjects</w:t>
      </w:r>
      <w:r>
        <w:t>—including</w:t>
      </w:r>
      <w:r w:rsidRPr="009C7353">
        <w:t xml:space="preserve"> their right to discontinue participation at any time or refuse to answer any question. Participants will be asked to sign a release </w:t>
      </w:r>
      <w:r>
        <w:t>agreeing to</w:t>
      </w:r>
      <w:r w:rsidRPr="009C7353">
        <w:t xml:space="preserve"> </w:t>
      </w:r>
      <w:r>
        <w:t xml:space="preserve">the </w:t>
      </w:r>
      <w:r w:rsidR="0081484C">
        <w:t>digital recording</w:t>
      </w:r>
      <w:r w:rsidRPr="009C7353">
        <w:t xml:space="preserve"> </w:t>
      </w:r>
      <w:r>
        <w:t xml:space="preserve">of </w:t>
      </w:r>
      <w:r w:rsidRPr="009C7353">
        <w:t xml:space="preserve">the </w:t>
      </w:r>
      <w:r w:rsidR="0081484C">
        <w:t>discussion</w:t>
      </w:r>
      <w:r w:rsidR="0081484C" w:rsidRPr="009C7353">
        <w:t xml:space="preserve"> </w:t>
      </w:r>
      <w:r w:rsidRPr="009C7353">
        <w:t xml:space="preserve">and </w:t>
      </w:r>
      <w:r>
        <w:t xml:space="preserve">to the </w:t>
      </w:r>
      <w:r w:rsidRPr="009C7353">
        <w:t xml:space="preserve">use </w:t>
      </w:r>
      <w:r>
        <w:t xml:space="preserve">of </w:t>
      </w:r>
      <w:r w:rsidRPr="009C7353">
        <w:t xml:space="preserve">the </w:t>
      </w:r>
      <w:r w:rsidR="0081484C">
        <w:t>recording</w:t>
      </w:r>
      <w:r w:rsidR="0081484C" w:rsidRPr="009C7353">
        <w:t xml:space="preserve"> </w:t>
      </w:r>
      <w:r w:rsidRPr="009C7353">
        <w:t>for research purposes</w:t>
      </w:r>
      <w:r>
        <w:t xml:space="preserve">, as long as </w:t>
      </w:r>
      <w:r w:rsidRPr="009C7353">
        <w:t xml:space="preserve">respondents are not identified by name. </w:t>
      </w:r>
    </w:p>
    <w:p w:rsidR="00451FEE" w:rsidRDefault="00451FEE" w:rsidP="00CA71BA">
      <w:pPr>
        <w:pStyle w:val="NormalSS"/>
        <w:spacing w:after="0" w:line="480" w:lineRule="auto"/>
      </w:pPr>
      <w:r>
        <w:t xml:space="preserve">When the focus group session is complete, </w:t>
      </w:r>
      <w:r w:rsidRPr="009C7353">
        <w:t xml:space="preserve">the </w:t>
      </w:r>
      <w:r w:rsidR="00DF25B7">
        <w:t xml:space="preserve">trained </w:t>
      </w:r>
      <w:r w:rsidRPr="009C7353">
        <w:t>moderator and note taker will debrief</w:t>
      </w:r>
      <w:r>
        <w:t>,</w:t>
      </w:r>
      <w:r w:rsidRPr="009C7353">
        <w:t xml:space="preserve"> review the notes for </w:t>
      </w:r>
      <w:r w:rsidRPr="0071381D">
        <w:t>major</w:t>
      </w:r>
      <w:r w:rsidRPr="009C7353">
        <w:t xml:space="preserve"> themes</w:t>
      </w:r>
      <w:r>
        <w:t>,</w:t>
      </w:r>
      <w:r w:rsidRPr="009C7353">
        <w:t xml:space="preserve"> and ensure that all research questions were answered. Topical areas found to be lacking in coverage will be emphasized </w:t>
      </w:r>
      <w:r>
        <w:t>during</w:t>
      </w:r>
      <w:r w:rsidRPr="009C7353">
        <w:t xml:space="preserve"> the </w:t>
      </w:r>
      <w:r>
        <w:t>next</w:t>
      </w:r>
      <w:r w:rsidRPr="009C7353">
        <w:t xml:space="preserve"> focus group</w:t>
      </w:r>
      <w:r>
        <w:t xml:space="preserve"> and question probes will be tailored accordingly</w:t>
      </w:r>
      <w:r w:rsidRPr="009C7353">
        <w:t>.</w:t>
      </w:r>
    </w:p>
    <w:p w:rsidR="00451FEE" w:rsidRDefault="00451FEE" w:rsidP="00CA71BA">
      <w:pPr>
        <w:pStyle w:val="NormalSS"/>
        <w:spacing w:after="0" w:line="480" w:lineRule="auto"/>
      </w:pPr>
      <w:r w:rsidRPr="009C7353">
        <w:t xml:space="preserve"> All data will be </w:t>
      </w:r>
      <w:r>
        <w:t xml:space="preserve">transferred to </w:t>
      </w:r>
      <w:r w:rsidRPr="009C7353">
        <w:t xml:space="preserve">a password-protected laptop. At the end of each session, the recordings will be sent to a data transcription service, Landmark Associates, via a secure </w:t>
      </w:r>
      <w:r>
        <w:t xml:space="preserve">file transfer protocol (FTP) </w:t>
      </w:r>
      <w:r w:rsidRPr="009C7353">
        <w:t xml:space="preserve">site. All submitted media files and completed transcripts </w:t>
      </w:r>
      <w:r>
        <w:t>will be</w:t>
      </w:r>
      <w:r w:rsidRPr="009C7353">
        <w:t xml:space="preserve"> stored and maintained on a 256-bit encrypted </w:t>
      </w:r>
      <w:r w:rsidRPr="0071381D">
        <w:t>secure</w:t>
      </w:r>
      <w:r w:rsidRPr="009C7353">
        <w:t xml:space="preserve"> server</w:t>
      </w:r>
      <w:r>
        <w:t xml:space="preserve">. The files will be </w:t>
      </w:r>
      <w:r w:rsidRPr="009C7353">
        <w:t xml:space="preserve">available only </w:t>
      </w:r>
      <w:r>
        <w:t xml:space="preserve">when </w:t>
      </w:r>
      <w:r w:rsidRPr="009C7353">
        <w:t xml:space="preserve">password and user identification </w:t>
      </w:r>
      <w:r>
        <w:t>are validated</w:t>
      </w:r>
      <w:r w:rsidRPr="009C7353">
        <w:t>.</w:t>
      </w:r>
    </w:p>
    <w:p w:rsidR="00451FEE" w:rsidRPr="00E05669" w:rsidRDefault="00451FEE" w:rsidP="00CA71BA">
      <w:pPr>
        <w:pStyle w:val="NormalSS"/>
        <w:spacing w:after="0" w:line="480" w:lineRule="auto"/>
      </w:pPr>
      <w:r w:rsidRPr="009C7353">
        <w:t xml:space="preserve">Following completion of all interviews and </w:t>
      </w:r>
      <w:r>
        <w:t>focus</w:t>
      </w:r>
      <w:r w:rsidRPr="009C7353">
        <w:t xml:space="preserve"> groups, </w:t>
      </w:r>
      <w:r>
        <w:t>the study team</w:t>
      </w:r>
      <w:r w:rsidRPr="009C7353">
        <w:t xml:space="preserve"> will use the </w:t>
      </w:r>
      <w:proofErr w:type="spellStart"/>
      <w:r>
        <w:t>NVivo</w:t>
      </w:r>
      <w:proofErr w:type="spellEnd"/>
      <w:r w:rsidRPr="009C7353">
        <w:t xml:space="preserve"> </w:t>
      </w:r>
      <w:r>
        <w:t>10</w:t>
      </w:r>
      <w:r w:rsidRPr="009C7353">
        <w:t xml:space="preserve"> software program to analyze the qualitative data collected. Researchers will import a verbatim transcript of each group into </w:t>
      </w:r>
      <w:proofErr w:type="spellStart"/>
      <w:r w:rsidRPr="009C7353">
        <w:t>NVivo</w:t>
      </w:r>
      <w:proofErr w:type="spellEnd"/>
      <w:r>
        <w:t xml:space="preserve"> </w:t>
      </w:r>
      <w:r w:rsidRPr="009C7353">
        <w:t xml:space="preserve">and will </w:t>
      </w:r>
      <w:r w:rsidRPr="0071381D">
        <w:t>code</w:t>
      </w:r>
      <w:r w:rsidRPr="009C7353">
        <w:t xml:space="preserve"> the data using a standard coding scheme </w:t>
      </w:r>
      <w:r>
        <w:t>that will be honed over multiple coding cycles. A comprehensive list of nodes will be included in the coding scheme in order to identify and capture salient themes across groups. Attribute</w:t>
      </w:r>
      <w:r w:rsidR="00B0451A">
        <w:t>d</w:t>
      </w:r>
      <w:r>
        <w:t xml:space="preserve"> codes </w:t>
      </w:r>
      <w:r>
        <w:lastRenderedPageBreak/>
        <w:t xml:space="preserve">will be assigned to each transcript, allowing the research team to analyze the results across different types of groups. </w:t>
      </w:r>
      <w:r w:rsidRPr="009C7353">
        <w:t xml:space="preserve"> </w:t>
      </w:r>
    </w:p>
    <w:p w:rsidR="00451FEE" w:rsidRPr="00EC1D85" w:rsidRDefault="00451FEE" w:rsidP="00CA71BA">
      <w:pPr>
        <w:pStyle w:val="Heading3"/>
        <w:spacing w:after="0" w:line="480" w:lineRule="auto"/>
      </w:pPr>
      <w:bookmarkStart w:id="12" w:name="_Toc402174650"/>
      <w:r w:rsidRPr="00EC1D85">
        <w:t>2.</w:t>
      </w:r>
      <w:r>
        <w:tab/>
      </w:r>
      <w:r w:rsidRPr="00EC1D85">
        <w:t xml:space="preserve">Statistical </w:t>
      </w:r>
      <w:r w:rsidRPr="00451FEE">
        <w:t>methodology</w:t>
      </w:r>
      <w:r w:rsidRPr="00EC1D85">
        <w:t xml:space="preserve">, </w:t>
      </w:r>
      <w:r>
        <w:t>e</w:t>
      </w:r>
      <w:r w:rsidRPr="00EC1D85">
        <w:t xml:space="preserve">stimation, and </w:t>
      </w:r>
      <w:r>
        <w:t>d</w:t>
      </w:r>
      <w:r w:rsidRPr="00EC1D85">
        <w:t xml:space="preserve">egree of </w:t>
      </w:r>
      <w:r>
        <w:t>a</w:t>
      </w:r>
      <w:r w:rsidRPr="00EC1D85">
        <w:t>ccuracy</w:t>
      </w:r>
      <w:bookmarkEnd w:id="12"/>
      <w:r w:rsidRPr="00EC1D85">
        <w:t xml:space="preserve"> </w:t>
      </w:r>
    </w:p>
    <w:p w:rsidR="00451FEE" w:rsidRDefault="00451FEE" w:rsidP="00CA71BA">
      <w:pPr>
        <w:pStyle w:val="NormalSS"/>
        <w:spacing w:after="0" w:line="480" w:lineRule="auto"/>
      </w:pPr>
      <w:r w:rsidRPr="009C7353">
        <w:t xml:space="preserve">Separate sets of weights will be constructed for each of the target groups being </w:t>
      </w:r>
      <w:r>
        <w:t>sampled for surveying</w:t>
      </w:r>
      <w:r w:rsidRPr="009C7353">
        <w:t xml:space="preserve">: </w:t>
      </w:r>
      <w:r>
        <w:t xml:space="preserve">(1) </w:t>
      </w:r>
      <w:r w:rsidRPr="009C7353">
        <w:t xml:space="preserve">work registrants, </w:t>
      </w:r>
      <w:r>
        <w:t>(2) SNAP E&amp;T participant</w:t>
      </w:r>
      <w:r w:rsidRPr="009C7353">
        <w:t xml:space="preserve">s, and </w:t>
      </w:r>
      <w:r>
        <w:t>(3) SNAP E&amp;T program provider</w:t>
      </w:r>
      <w:r w:rsidRPr="009C7353">
        <w:t xml:space="preserve">s. Weights </w:t>
      </w:r>
      <w:r w:rsidRPr="00451FEE">
        <w:t>are</w:t>
      </w:r>
      <w:r w:rsidRPr="009C7353">
        <w:t xml:space="preserve"> needed to account for differential sampling, which </w:t>
      </w:r>
      <w:r w:rsidRPr="0071381D">
        <w:t>includes</w:t>
      </w:r>
      <w:r w:rsidRPr="009C7353">
        <w:t xml:space="preserve"> PPS sampling, to account for nonresponse</w:t>
      </w:r>
      <w:r>
        <w:t>s</w:t>
      </w:r>
      <w:r w:rsidRPr="009C7353">
        <w:t xml:space="preserve"> (which will likely occur during data collection) </w:t>
      </w:r>
      <w:r>
        <w:t>as well as</w:t>
      </w:r>
      <w:r w:rsidRPr="009C7353">
        <w:t xml:space="preserve"> any potential </w:t>
      </w:r>
      <w:proofErr w:type="spellStart"/>
      <w:r>
        <w:t>undercoverage</w:t>
      </w:r>
      <w:proofErr w:type="spellEnd"/>
      <w:r w:rsidRPr="009C7353">
        <w:t xml:space="preserve"> that may exist in the sampling frames. </w:t>
      </w:r>
    </w:p>
    <w:p w:rsidR="00451FEE" w:rsidRDefault="00451FEE" w:rsidP="00CA71BA">
      <w:pPr>
        <w:pStyle w:val="NormalSS"/>
        <w:spacing w:after="0" w:line="480" w:lineRule="auto"/>
        <w:rPr>
          <w:rFonts w:ascii="TimesNewRomanPSMT" w:hAnsi="TimesNewRomanPSMT" w:cs="TimesNewRomanPSMT"/>
        </w:rPr>
      </w:pPr>
      <w:r w:rsidRPr="009C7353">
        <w:t xml:space="preserve">Construction of the </w:t>
      </w:r>
      <w:r w:rsidRPr="0071381D">
        <w:t>analysis</w:t>
      </w:r>
      <w:r w:rsidRPr="009C7353">
        <w:t xml:space="preserve"> weights for each of the target groups will involve four main steps. First, probabilities of selection will be calculated for the responding units in the analysis samples. The inverses of the </w:t>
      </w:r>
      <w:r w:rsidRPr="00451FEE">
        <w:t>probabilities</w:t>
      </w:r>
      <w:r w:rsidRPr="009C7353">
        <w:t xml:space="preserve"> of selection will serve as the initial sampling weights. Second, nonresponse weighting adjustments will be made to the sampling weights to correct for different response rates among different groups. Nonresponse weighting adjustment factors will be developed during an extensive nonresponse bias analysis in which variables associated with nonresponse </w:t>
      </w:r>
      <w:r w:rsidRPr="00401FE5">
        <w:t>propensities will be determined using chi-squared automatic interaction detector (CHAID) procedures (</w:t>
      </w:r>
      <w:proofErr w:type="spellStart"/>
      <w:r w:rsidRPr="00272D9C">
        <w:t>Kass</w:t>
      </w:r>
      <w:proofErr w:type="spellEnd"/>
      <w:r w:rsidRPr="00272D9C">
        <w:t xml:space="preserve"> 1980</w:t>
      </w:r>
      <w:r w:rsidRPr="00401FE5">
        <w:t>). Variables</w:t>
      </w:r>
      <w:r w:rsidRPr="009C7353">
        <w:t xml:space="preserve"> identified during the CHAID </w:t>
      </w:r>
      <w:r>
        <w:t xml:space="preserve">procedures </w:t>
      </w:r>
      <w:r w:rsidRPr="009C7353">
        <w:t>will be used in logistic regression models to estimate response propensities. The propensity scores for respondents will then be used for the nonresponse adjustments to the sampling weights. Third, post-stratification to known population totals or ratio adjustments to estimated total</w:t>
      </w:r>
      <w:r>
        <w:t>s</w:t>
      </w:r>
      <w:r w:rsidRPr="009C7353">
        <w:t xml:space="preserve"> will be made to the weights to correct for any </w:t>
      </w:r>
      <w:proofErr w:type="spellStart"/>
      <w:r>
        <w:t>undercoverage</w:t>
      </w:r>
      <w:proofErr w:type="spellEnd"/>
      <w:r w:rsidRPr="009C7353">
        <w:t xml:space="preserve"> in the sampling frames. </w:t>
      </w:r>
      <w:r w:rsidR="005C055C">
        <w:t>Population totals, including</w:t>
      </w:r>
      <w:r w:rsidR="00C906F1">
        <w:t xml:space="preserve"> those based on gender and race and </w:t>
      </w:r>
      <w:r w:rsidR="005C055C">
        <w:t xml:space="preserve">ethnicity, will be considered. </w:t>
      </w:r>
      <w:r w:rsidR="00841CEB">
        <w:t xml:space="preserve">As a </w:t>
      </w:r>
      <w:r w:rsidRPr="009C7353">
        <w:t>fourth and final step</w:t>
      </w:r>
      <w:r w:rsidR="00841CEB">
        <w:t>, we</w:t>
      </w:r>
      <w:r w:rsidRPr="009C7353">
        <w:t xml:space="preserve"> will identify and adjust for any extreme outlier weights that may result from the first three steps of the weight construction. Weights that are extremely large relative to all other </w:t>
      </w:r>
      <w:r w:rsidRPr="009C7353">
        <w:lastRenderedPageBreak/>
        <w:t>weights can increase design effects and give certain cases undue influence on estimates based on the analysis samples.</w:t>
      </w:r>
      <w:r w:rsidR="00841CEB">
        <w:t xml:space="preserve"> We will </w:t>
      </w:r>
      <w:r w:rsidR="005C055C">
        <w:t>determine a systematic protocol for trimming extreme weights once the initial weights are constructed</w:t>
      </w:r>
      <w:r w:rsidR="00A141A7">
        <w:t xml:space="preserve"> (based on Potter 1990)</w:t>
      </w:r>
      <w:r w:rsidR="005C055C">
        <w:t xml:space="preserve">. </w:t>
      </w:r>
    </w:p>
    <w:p w:rsidR="00451FEE" w:rsidRPr="00EC1D85" w:rsidRDefault="00451FEE" w:rsidP="00CA71BA">
      <w:pPr>
        <w:pStyle w:val="Heading3"/>
        <w:spacing w:after="0" w:line="480" w:lineRule="auto"/>
      </w:pPr>
      <w:bookmarkStart w:id="13" w:name="_Toc402174651"/>
      <w:r w:rsidRPr="00EC1D85">
        <w:t>3.</w:t>
      </w:r>
      <w:r>
        <w:tab/>
      </w:r>
      <w:r w:rsidRPr="003B1C49">
        <w:t>Unusual</w:t>
      </w:r>
      <w:r w:rsidRPr="00EC1D85">
        <w:t xml:space="preserve"> </w:t>
      </w:r>
      <w:r w:rsidRPr="00451FEE">
        <w:t>problems</w:t>
      </w:r>
      <w:r w:rsidRPr="00EC1D85">
        <w:t xml:space="preserve"> </w:t>
      </w:r>
      <w:r>
        <w:t>r</w:t>
      </w:r>
      <w:r w:rsidRPr="00EC1D85">
        <w:t xml:space="preserve">equiring </w:t>
      </w:r>
      <w:r>
        <w:t>s</w:t>
      </w:r>
      <w:r w:rsidRPr="00EC1D85">
        <w:t xml:space="preserve">pecialized </w:t>
      </w:r>
      <w:r>
        <w:t>s</w:t>
      </w:r>
      <w:r w:rsidRPr="00EC1D85">
        <w:t xml:space="preserve">ampling </w:t>
      </w:r>
      <w:r>
        <w:t>p</w:t>
      </w:r>
      <w:r w:rsidRPr="00EC1D85">
        <w:t>rocedures</w:t>
      </w:r>
      <w:bookmarkEnd w:id="13"/>
      <w:r w:rsidRPr="00EC1D85">
        <w:t xml:space="preserve"> </w:t>
      </w:r>
    </w:p>
    <w:p w:rsidR="00451FEE" w:rsidRDefault="00451FEE" w:rsidP="00CA71BA">
      <w:pPr>
        <w:pStyle w:val="NormalSS"/>
        <w:spacing w:after="0" w:line="480" w:lineRule="auto"/>
      </w:pPr>
      <w:r>
        <w:t xml:space="preserve">The study has no </w:t>
      </w:r>
      <w:r w:rsidRPr="00EC1D85">
        <w:t>unusual problems requiring specialized sampling procedures.</w:t>
      </w:r>
    </w:p>
    <w:p w:rsidR="00451FEE" w:rsidRPr="00EC1D85" w:rsidRDefault="00451FEE" w:rsidP="00CA71BA">
      <w:pPr>
        <w:pStyle w:val="Heading3"/>
        <w:spacing w:after="0" w:line="480" w:lineRule="auto"/>
      </w:pPr>
      <w:bookmarkStart w:id="14" w:name="_Toc402174652"/>
      <w:r w:rsidRPr="00EC1D85">
        <w:t>4.</w:t>
      </w:r>
      <w:r>
        <w:tab/>
      </w:r>
      <w:r w:rsidRPr="00EC1D85">
        <w:t xml:space="preserve">Periodic </w:t>
      </w:r>
      <w:r>
        <w:t>d</w:t>
      </w:r>
      <w:r w:rsidRPr="00EC1D85">
        <w:t xml:space="preserve">ata </w:t>
      </w:r>
      <w:r w:rsidRPr="00451FEE">
        <w:t>collection</w:t>
      </w:r>
      <w:r w:rsidRPr="00EC1D85">
        <w:t xml:space="preserve"> </w:t>
      </w:r>
      <w:r>
        <w:t>c</w:t>
      </w:r>
      <w:r w:rsidRPr="00EC1D85">
        <w:t xml:space="preserve">ycles to </w:t>
      </w:r>
      <w:r>
        <w:t>r</w:t>
      </w:r>
      <w:r w:rsidRPr="00EC1D85">
        <w:t xml:space="preserve">educe </w:t>
      </w:r>
      <w:r>
        <w:t>b</w:t>
      </w:r>
      <w:r w:rsidRPr="00EC1D85">
        <w:t>urden</w:t>
      </w:r>
      <w:bookmarkEnd w:id="14"/>
      <w:r w:rsidRPr="00EC1D85">
        <w:t xml:space="preserve"> </w:t>
      </w:r>
    </w:p>
    <w:p w:rsidR="00451FEE" w:rsidRPr="00EC1D85" w:rsidRDefault="00451FEE" w:rsidP="00CA71BA">
      <w:pPr>
        <w:pStyle w:val="NormalSS"/>
        <w:spacing w:after="0" w:line="480" w:lineRule="auto"/>
      </w:pPr>
      <w:r>
        <w:t>The study only has one cycle of data collection.</w:t>
      </w:r>
    </w:p>
    <w:p w:rsidR="00451FEE" w:rsidRPr="005F0633" w:rsidRDefault="00451FEE" w:rsidP="00CA71BA">
      <w:pPr>
        <w:pStyle w:val="Heading3"/>
        <w:spacing w:after="0" w:line="480" w:lineRule="auto"/>
      </w:pPr>
      <w:bookmarkStart w:id="15" w:name="_Toc402174653"/>
      <w:proofErr w:type="gramStart"/>
      <w:r w:rsidRPr="005F0633">
        <w:t>B.3</w:t>
      </w:r>
      <w:r w:rsidR="009B73B2" w:rsidRPr="005F0633">
        <w:t>. Describe methods to maximize response rates and to deal with issues of non-response.</w:t>
      </w:r>
      <w:proofErr w:type="gramEnd"/>
      <w:r w:rsidR="009B73B2" w:rsidRPr="005F0633">
        <w:t xml:space="preserve"> The accuracy and reliability of information collected must be shown to be adequate for intended uses. For collections based on sam</w:t>
      </w:r>
      <w:r w:rsidR="009B73B2" w:rsidRPr="005F0633">
        <w:softHyphen/>
        <w:t>pling, a special justification must be provid</w:t>
      </w:r>
      <w:r w:rsidR="009B73B2" w:rsidRPr="005F0633">
        <w:softHyphen/>
        <w:t>ed for any collection that will not yield "reli</w:t>
      </w:r>
      <w:r w:rsidR="009B73B2" w:rsidRPr="005F0633">
        <w:softHyphen/>
        <w:t>able" data that can be generalized to the universe studied.</w:t>
      </w:r>
      <w:bookmarkEnd w:id="15"/>
    </w:p>
    <w:p w:rsidR="00451FEE" w:rsidRPr="003A4F3B" w:rsidRDefault="00451FEE" w:rsidP="00CA71BA">
      <w:pPr>
        <w:pStyle w:val="NormalSS"/>
        <w:spacing w:after="0" w:line="480" w:lineRule="auto"/>
      </w:pPr>
      <w:r>
        <w:t xml:space="preserve">The SNAP E&amp;T </w:t>
      </w:r>
      <w:r w:rsidRPr="00A31FB9">
        <w:t>s</w:t>
      </w:r>
      <w:r w:rsidRPr="0039092D">
        <w:t>tudy</w:t>
      </w:r>
      <w:r>
        <w:t xml:space="preserve"> will employ a variety of methods to maximize response rates and deal with nonresponses. </w:t>
      </w:r>
      <w:r w:rsidRPr="00451FEE">
        <w:t>This</w:t>
      </w:r>
      <w:r>
        <w:t xml:space="preserve"> section describes these methods for the survey and focus group data collection efforts.  </w:t>
      </w:r>
    </w:p>
    <w:p w:rsidR="00451FEE" w:rsidRDefault="00451FEE" w:rsidP="00CA71BA">
      <w:pPr>
        <w:pStyle w:val="Heading3"/>
        <w:spacing w:after="0" w:line="480" w:lineRule="auto"/>
      </w:pPr>
      <w:bookmarkStart w:id="16" w:name="_Toc402174654"/>
      <w:r>
        <w:t>1.</w:t>
      </w:r>
      <w:r>
        <w:tab/>
        <w:t xml:space="preserve">Survey data </w:t>
      </w:r>
      <w:r w:rsidRPr="007D61DF">
        <w:t>collection</w:t>
      </w:r>
      <w:bookmarkEnd w:id="16"/>
    </w:p>
    <w:p w:rsidR="00451FEE" w:rsidRDefault="00451FEE" w:rsidP="00CA71BA">
      <w:pPr>
        <w:pStyle w:val="NormalSS"/>
        <w:spacing w:after="0" w:line="480" w:lineRule="auto"/>
      </w:pPr>
      <w:r>
        <w:t>The study team</w:t>
      </w:r>
      <w:r w:rsidRPr="009C7353">
        <w:t xml:space="preserve"> </w:t>
      </w:r>
      <w:r>
        <w:t xml:space="preserve">will target an 80 </w:t>
      </w:r>
      <w:r w:rsidRPr="009C7353">
        <w:t xml:space="preserve">percent response rate for the </w:t>
      </w:r>
      <w:r w:rsidR="00E604B8">
        <w:t>SNAP E&amp;T registrant and participant survey</w:t>
      </w:r>
      <w:r w:rsidRPr="009C7353" w:rsidDel="001F5E4E">
        <w:t xml:space="preserve"> </w:t>
      </w:r>
      <w:r>
        <w:t>and the SNAP E&amp;T program provider survey</w:t>
      </w:r>
      <w:r w:rsidRPr="009C7353">
        <w:t xml:space="preserve">. To obtain 1,500 completed </w:t>
      </w:r>
      <w:r w:rsidR="00E604B8">
        <w:t>SNAP E&amp;T registrant and participant survey</w:t>
      </w:r>
      <w:r w:rsidRPr="009C7353">
        <w:t xml:space="preserve">s, a sample size of </w:t>
      </w:r>
      <w:r>
        <w:t>1,974</w:t>
      </w:r>
      <w:r w:rsidRPr="009C7353">
        <w:t xml:space="preserve"> for each group</w:t>
      </w:r>
      <w:r>
        <w:t xml:space="preserve"> (for a total of 3,948) will be used. The study team will create a sample of 658 SNAP E&amp;T program providers to target 500 completed provider surveys.</w:t>
      </w:r>
    </w:p>
    <w:p w:rsidR="00451FEE" w:rsidRPr="00451FEE" w:rsidRDefault="00451FEE" w:rsidP="00CA71BA">
      <w:pPr>
        <w:pStyle w:val="NormalSS"/>
        <w:spacing w:after="0" w:line="480" w:lineRule="auto"/>
      </w:pPr>
      <w:r w:rsidRPr="009C7353">
        <w:t>T</w:t>
      </w:r>
      <w:r>
        <w:t xml:space="preserve">he SNAP E&amp;T study will provide work registrants and SNAP E&amp;T participants two options for </w:t>
      </w:r>
      <w:r w:rsidRPr="00451FEE">
        <w:t>responding to the survey:</w:t>
      </w:r>
      <w:r w:rsidRPr="00451FEE" w:rsidDel="0003473E">
        <w:t xml:space="preserve"> </w:t>
      </w:r>
      <w:r w:rsidRPr="00451FEE">
        <w:t>(1) CATI and (2) web-based. Respondents can call a toll-</w:t>
      </w:r>
      <w:r w:rsidRPr="00451FEE">
        <w:lastRenderedPageBreak/>
        <w:t>free number to complete the survey over the phone. Interviewers available through the toll-free number will also be available to provide assistance or answer any questions respondents may have. The CATI questionnaire will be programmed to match the web-based questionnaire, which will use language that is accessible to respondents with varying reading levels and cognitive abilities. In addition, all instruments will be available in English and Spanish. For CATI surveys, bilingual interviewers can conduct the interview in Spanish and possibly other languages, if deemed necessary.</w:t>
      </w:r>
    </w:p>
    <w:p w:rsidR="00451FEE" w:rsidRPr="00451FEE" w:rsidRDefault="00451FEE" w:rsidP="00CA71BA">
      <w:pPr>
        <w:pStyle w:val="NormalSS"/>
        <w:spacing w:after="0" w:line="480" w:lineRule="auto"/>
      </w:pPr>
      <w:r w:rsidRPr="00451FEE">
        <w:t xml:space="preserve">For the </w:t>
      </w:r>
      <w:r w:rsidR="00E604B8">
        <w:t>SNAP E&amp;T registrant and participant survey</w:t>
      </w:r>
      <w:r w:rsidRPr="00451FEE">
        <w:t xml:space="preserve">, the study team will offer sample members a differential incentive to encourage web-based completion or call-in completion (versus the incentive offered to those sample members to whom the study team initiates a call). The study team will </w:t>
      </w:r>
      <w:r w:rsidR="00DF25B7">
        <w:t>provide</w:t>
      </w:r>
      <w:r w:rsidR="00DF25B7" w:rsidRPr="00451FEE">
        <w:t xml:space="preserve"> </w:t>
      </w:r>
      <w:r w:rsidRPr="00451FEE">
        <w:t xml:space="preserve">$40 </w:t>
      </w:r>
      <w:r w:rsidR="00AF0C5F">
        <w:t>to</w:t>
      </w:r>
      <w:r w:rsidRPr="00451FEE">
        <w:t xml:space="preserve"> the respondent </w:t>
      </w:r>
      <w:r w:rsidR="00DF25B7">
        <w:t xml:space="preserve">as a token of our appreciation after the respondent </w:t>
      </w:r>
      <w:r w:rsidRPr="00451FEE">
        <w:t xml:space="preserve">completes the interview in one of these less-expensive modes (initiates the call or completes a web-based survey) and $20 if the study team initiates the call. In addition, if it is necessary to increase the response rate, in week 7 of the survey, the study team will identify </w:t>
      </w:r>
      <w:proofErr w:type="spellStart"/>
      <w:r w:rsidRPr="00451FEE">
        <w:t>nonrespondents</w:t>
      </w:r>
      <w:proofErr w:type="spellEnd"/>
      <w:r w:rsidRPr="00451FEE">
        <w:t xml:space="preserve"> and mail each a letter with $5 as a “pre-incentive” to visit the website or call us to complete the survey (Attachment A.4). </w:t>
      </w:r>
    </w:p>
    <w:p w:rsidR="00451FEE" w:rsidRPr="00451FEE" w:rsidRDefault="00451FEE" w:rsidP="00CA71BA">
      <w:pPr>
        <w:pStyle w:val="NormalSS"/>
        <w:spacing w:after="0" w:line="480" w:lineRule="auto"/>
      </w:pPr>
      <w:proofErr w:type="gramStart"/>
      <w:r w:rsidRPr="00451FEE">
        <w:t>The study plan for successfully locating respondents and convincing them to participate combines intensive locating efforts to identify missing contact information with proven methods for gaining cooperation.</w:t>
      </w:r>
      <w:proofErr w:type="gramEnd"/>
      <w:r w:rsidRPr="00451FEE">
        <w:t xml:space="preserve"> Address and telephone</w:t>
      </w:r>
      <w:r w:rsidRPr="009C7353">
        <w:t xml:space="preserve"> numbers will be included for many sample members</w:t>
      </w:r>
      <w:r w:rsidR="000477F6">
        <w:t>, or might be incorrect</w:t>
      </w:r>
      <w:r>
        <w:t>.</w:t>
      </w:r>
      <w:r w:rsidR="009663BE">
        <w:t xml:space="preserve"> That is, their contact information has changed since last provided to the state or is otherwise incorrect in program records (as a result, for example, of an expected normal amount of data entry error).</w:t>
      </w:r>
      <w:r>
        <w:t xml:space="preserve"> When records lack </w:t>
      </w:r>
      <w:r w:rsidR="000477F6">
        <w:t xml:space="preserve">correct </w:t>
      </w:r>
      <w:r>
        <w:t xml:space="preserve">information, the study team will, during </w:t>
      </w:r>
      <w:r w:rsidRPr="009C7353">
        <w:t>sample selection</w:t>
      </w:r>
      <w:r>
        <w:t xml:space="preserve">, </w:t>
      </w:r>
      <w:r w:rsidRPr="009C7353">
        <w:t xml:space="preserve">send records to two vendors for updates: (1) </w:t>
      </w:r>
      <w:proofErr w:type="spellStart"/>
      <w:r w:rsidRPr="009C7353">
        <w:t>Accurint</w:t>
      </w:r>
      <w:proofErr w:type="spellEnd"/>
      <w:r w:rsidRPr="009C7353">
        <w:t xml:space="preserve">, a </w:t>
      </w:r>
      <w:r w:rsidRPr="009C7353">
        <w:lastRenderedPageBreak/>
        <w:t>division of LexisNexis, which uses a comprehensive database compiled from sources such as credit bureaus, motor vehicle administrations, and voter registration lists</w:t>
      </w:r>
      <w:r>
        <w:t xml:space="preserve">; </w:t>
      </w:r>
      <w:r w:rsidRPr="009C7353">
        <w:t xml:space="preserve">and (2) </w:t>
      </w:r>
      <w:proofErr w:type="spellStart"/>
      <w:r w:rsidRPr="009C7353">
        <w:t>MelissaData</w:t>
      </w:r>
      <w:proofErr w:type="spellEnd"/>
      <w:r w:rsidRPr="009C7353">
        <w:t>, which u</w:t>
      </w:r>
      <w:r>
        <w:t>ses</w:t>
      </w:r>
      <w:r w:rsidRPr="009C7353">
        <w:t xml:space="preserve"> National Change of Address (</w:t>
      </w:r>
      <w:r w:rsidRPr="00451FEE">
        <w:t>NCOA) data. NCOA is a registry maintained by the U. S. Postal Service of people who move or change address in the United States. If neither vendor provides updated information on a case, the study team will refer it to Mathematica’s locating department, which is highly skilled at searching specialized online databases, social media, and other sources for contact information. The study team will also obtain updated address information from advance letters returned by the postal service.</w:t>
      </w:r>
    </w:p>
    <w:p w:rsidR="00451FEE" w:rsidRPr="00451FEE" w:rsidRDefault="00451FEE" w:rsidP="00CA71BA">
      <w:pPr>
        <w:pStyle w:val="NormalSS"/>
        <w:spacing w:after="0" w:line="480" w:lineRule="auto"/>
      </w:pPr>
      <w:r w:rsidRPr="00451FEE">
        <w:rPr>
          <w:rFonts w:eastAsiaTheme="minorHAnsi"/>
        </w:rPr>
        <w:t xml:space="preserve">To further reinforce study legitimacy among work registrants and SNAP E&amp;T participants, the study team will create a one-page flyer (Attachment A.6) that describes the study’s purpose and the evaluator’s role in conducting a brief survey sponsored by FNS. The study team will ask state administrators to email flyers to local SNAP offices and SNAP E&amp;T program providers so they can be distributed to office staff and posted in areas where they will be visible to visiting SNAP work registrants and SNAP E&amp;T participants. </w:t>
      </w:r>
    </w:p>
    <w:p w:rsidR="00451FEE" w:rsidRDefault="00451FEE" w:rsidP="00CA71BA">
      <w:pPr>
        <w:pStyle w:val="NormalSS"/>
        <w:spacing w:after="0" w:line="480" w:lineRule="auto"/>
      </w:pPr>
      <w:r w:rsidRPr="00451FEE">
        <w:t>During the field period, a series of reminder</w:t>
      </w:r>
      <w:r w:rsidRPr="009C7353">
        <w:t xml:space="preserve"> letters </w:t>
      </w:r>
      <w:r>
        <w:t>(Attachment</w:t>
      </w:r>
      <w:r w:rsidR="00655E0C">
        <w:t>s</w:t>
      </w:r>
      <w:r>
        <w:t xml:space="preserve"> A.3</w:t>
      </w:r>
      <w:r w:rsidR="00655E0C">
        <w:t>, A.5, and A.5</w:t>
      </w:r>
      <w:r>
        <w:t xml:space="preserve">) </w:t>
      </w:r>
      <w:r w:rsidR="00655E0C">
        <w:t>and a</w:t>
      </w:r>
      <w:r w:rsidRPr="009C7353">
        <w:t xml:space="preserve"> postcard </w:t>
      </w:r>
      <w:r>
        <w:t xml:space="preserve">(Attachment A.2) </w:t>
      </w:r>
      <w:r w:rsidRPr="009C7353">
        <w:t xml:space="preserve">will be sent every two weeks to all </w:t>
      </w:r>
      <w:r>
        <w:t xml:space="preserve">sample members who are </w:t>
      </w:r>
      <w:r w:rsidRPr="009C7353">
        <w:t>presumed</w:t>
      </w:r>
      <w:r>
        <w:t xml:space="preserve"> to be </w:t>
      </w:r>
      <w:r w:rsidRPr="009C7353">
        <w:t>eligible</w:t>
      </w:r>
      <w:r>
        <w:t xml:space="preserve"> and are nonresponsive</w:t>
      </w:r>
      <w:r w:rsidRPr="009C7353">
        <w:t xml:space="preserve">. The reminder materials will briefly </w:t>
      </w:r>
      <w:r w:rsidRPr="0071381D">
        <w:t>describe</w:t>
      </w:r>
      <w:r w:rsidRPr="009C7353">
        <w:t xml:space="preserve"> the purpose of the survey, state that </w:t>
      </w:r>
      <w:r>
        <w:t>the study team</w:t>
      </w:r>
      <w:r w:rsidRPr="009C7353">
        <w:t xml:space="preserve"> </w:t>
      </w:r>
      <w:r>
        <w:t>has</w:t>
      </w:r>
      <w:r w:rsidRPr="009C7353">
        <w:t xml:space="preserve"> been trying to reach the sample member by telephone, highlight the incentive, and provide the study’s toll-free number to call and complete the survey or obtain web log</w:t>
      </w:r>
      <w:r>
        <w:t>-</w:t>
      </w:r>
      <w:r w:rsidRPr="009C7353">
        <w:t>in information.</w:t>
      </w:r>
      <w:r>
        <w:t xml:space="preserve"> Table B.3 </w:t>
      </w:r>
      <w:r w:rsidRPr="009C7353">
        <w:t>summarize</w:t>
      </w:r>
      <w:r>
        <w:t>s</w:t>
      </w:r>
      <w:r w:rsidRPr="009C7353">
        <w:t xml:space="preserve"> the </w:t>
      </w:r>
      <w:r>
        <w:t xml:space="preserve">approximate schedule for </w:t>
      </w:r>
      <w:r w:rsidRPr="009C7353">
        <w:t xml:space="preserve">survey data collection activities for the </w:t>
      </w:r>
      <w:r w:rsidR="00E604B8">
        <w:t>SNAP E&amp;T registrant and participant survey</w:t>
      </w:r>
      <w:r>
        <w:t>,</w:t>
      </w:r>
      <w:r w:rsidRPr="009C7353">
        <w:t xml:space="preserve"> by release.</w:t>
      </w:r>
      <w:r>
        <w:t xml:space="preserve"> The exact timing of each activity may vary depending on the analysis of </w:t>
      </w:r>
      <w:proofErr w:type="spellStart"/>
      <w:r>
        <w:t>paradata</w:t>
      </w:r>
      <w:proofErr w:type="spellEnd"/>
      <w:r>
        <w:t xml:space="preserve"> during data collection. </w:t>
      </w:r>
    </w:p>
    <w:p w:rsidR="00451FEE" w:rsidRDefault="00451FEE" w:rsidP="000F1B60">
      <w:pPr>
        <w:pStyle w:val="MarkforTableTitle"/>
      </w:pPr>
      <w:r>
        <w:lastRenderedPageBreak/>
        <w:t xml:space="preserve">Table B.3. Summary of </w:t>
      </w:r>
      <w:r w:rsidR="00E604B8">
        <w:t>SNAP E&amp;T registrant and participant survey</w:t>
      </w:r>
      <w:r>
        <w:t xml:space="preserve"> data collection activities, by release </w:t>
      </w:r>
    </w:p>
    <w:tbl>
      <w:tblPr>
        <w:tblStyle w:val="SMPRTableBlue"/>
        <w:tblW w:w="4981" w:type="pct"/>
        <w:tblLook w:val="04A0" w:firstRow="1" w:lastRow="0" w:firstColumn="1" w:lastColumn="0" w:noHBand="0" w:noVBand="1"/>
      </w:tblPr>
      <w:tblGrid>
        <w:gridCol w:w="1074"/>
        <w:gridCol w:w="1072"/>
        <w:gridCol w:w="1137"/>
        <w:gridCol w:w="1143"/>
        <w:gridCol w:w="1179"/>
        <w:gridCol w:w="1251"/>
        <w:gridCol w:w="1333"/>
        <w:gridCol w:w="1351"/>
      </w:tblGrid>
      <w:tr w:rsidR="00451FEE" w:rsidRPr="000F1B60" w:rsidTr="000F1B60">
        <w:trPr>
          <w:cnfStyle w:val="100000000000" w:firstRow="1" w:lastRow="0" w:firstColumn="0" w:lastColumn="0" w:oddVBand="0" w:evenVBand="0" w:oddHBand="0" w:evenHBand="0" w:firstRowFirstColumn="0" w:firstRowLastColumn="0" w:lastRowFirstColumn="0" w:lastRowLastColumn="0"/>
        </w:trPr>
        <w:tc>
          <w:tcPr>
            <w:tcW w:w="567" w:type="pct"/>
            <w:tcBorders>
              <w:top w:val="nil"/>
            </w:tcBorders>
            <w:shd w:val="clear" w:color="auto" w:fill="A2987A"/>
          </w:tcPr>
          <w:p w:rsidR="00451FEE" w:rsidRPr="000F1B60" w:rsidRDefault="00451FEE" w:rsidP="000F1B60">
            <w:pPr>
              <w:pStyle w:val="TableHeaderCenter"/>
              <w:rPr>
                <w:color w:val="FFFFFF" w:themeColor="background1"/>
                <w:szCs w:val="18"/>
              </w:rPr>
            </w:pPr>
          </w:p>
        </w:tc>
        <w:tc>
          <w:tcPr>
            <w:tcW w:w="566" w:type="pct"/>
            <w:tcBorders>
              <w:top w:val="nil"/>
            </w:tcBorders>
            <w:shd w:val="clear" w:color="auto" w:fill="A2987A"/>
            <w:hideMark/>
          </w:tcPr>
          <w:p w:rsidR="00451FEE" w:rsidRPr="000F1B60" w:rsidRDefault="00451FEE" w:rsidP="000F1B60">
            <w:pPr>
              <w:pStyle w:val="TableHeaderCenter"/>
              <w:rPr>
                <w:color w:val="FFFFFF" w:themeColor="background1"/>
              </w:rPr>
            </w:pPr>
            <w:r w:rsidRPr="000F1B60">
              <w:rPr>
                <w:color w:val="FFFFFF" w:themeColor="background1"/>
              </w:rPr>
              <w:t>Mail advance letter</w:t>
            </w:r>
          </w:p>
        </w:tc>
        <w:tc>
          <w:tcPr>
            <w:tcW w:w="566" w:type="pct"/>
            <w:tcBorders>
              <w:top w:val="nil"/>
            </w:tcBorders>
            <w:shd w:val="clear" w:color="auto" w:fill="A2987A"/>
            <w:hideMark/>
          </w:tcPr>
          <w:p w:rsidR="00451FEE" w:rsidRPr="000F1B60" w:rsidRDefault="00451FEE" w:rsidP="000F1B60">
            <w:pPr>
              <w:pStyle w:val="TableHeaderCenter"/>
              <w:rPr>
                <w:color w:val="FFFFFF" w:themeColor="background1"/>
              </w:rPr>
            </w:pPr>
            <w:r w:rsidRPr="000F1B60">
              <w:rPr>
                <w:color w:val="FFFFFF" w:themeColor="background1"/>
              </w:rPr>
              <w:t>Begin outbound calls</w:t>
            </w:r>
          </w:p>
        </w:tc>
        <w:tc>
          <w:tcPr>
            <w:tcW w:w="603" w:type="pct"/>
            <w:tcBorders>
              <w:top w:val="nil"/>
            </w:tcBorders>
            <w:shd w:val="clear" w:color="auto" w:fill="A2987A"/>
            <w:hideMark/>
          </w:tcPr>
          <w:p w:rsidR="00451FEE" w:rsidRPr="000F1B60" w:rsidRDefault="00451FEE" w:rsidP="000F1B60">
            <w:pPr>
              <w:pStyle w:val="TableHeaderCenter"/>
              <w:rPr>
                <w:color w:val="FFFFFF" w:themeColor="background1"/>
              </w:rPr>
            </w:pPr>
            <w:r w:rsidRPr="000F1B60">
              <w:rPr>
                <w:color w:val="FFFFFF" w:themeColor="background1"/>
              </w:rPr>
              <w:t>Mail reminder postcard</w:t>
            </w:r>
          </w:p>
        </w:tc>
        <w:tc>
          <w:tcPr>
            <w:tcW w:w="622" w:type="pct"/>
            <w:tcBorders>
              <w:top w:val="nil"/>
            </w:tcBorders>
            <w:shd w:val="clear" w:color="auto" w:fill="A2987A"/>
            <w:hideMark/>
          </w:tcPr>
          <w:p w:rsidR="00451FEE" w:rsidRPr="000F1B60" w:rsidRDefault="00451FEE" w:rsidP="000F1B60">
            <w:pPr>
              <w:pStyle w:val="TableHeaderCenter"/>
              <w:rPr>
                <w:color w:val="FFFFFF" w:themeColor="background1"/>
              </w:rPr>
            </w:pPr>
            <w:r w:rsidRPr="000F1B60">
              <w:rPr>
                <w:color w:val="FFFFFF" w:themeColor="background1"/>
              </w:rPr>
              <w:t>Mail 1st reminder letter</w:t>
            </w:r>
          </w:p>
        </w:tc>
        <w:tc>
          <w:tcPr>
            <w:tcW w:w="660" w:type="pct"/>
            <w:tcBorders>
              <w:top w:val="nil"/>
            </w:tcBorders>
            <w:shd w:val="clear" w:color="auto" w:fill="A2987A"/>
            <w:hideMark/>
          </w:tcPr>
          <w:p w:rsidR="00451FEE" w:rsidRPr="000F1B60" w:rsidRDefault="00451FEE" w:rsidP="000F1B60">
            <w:pPr>
              <w:pStyle w:val="TableHeaderCenter"/>
              <w:rPr>
                <w:color w:val="FFFFFF" w:themeColor="background1"/>
              </w:rPr>
            </w:pPr>
            <w:r w:rsidRPr="000F1B60">
              <w:rPr>
                <w:color w:val="FFFFFF" w:themeColor="background1"/>
              </w:rPr>
              <w:t>Mail pre-incentive letter</w:t>
            </w:r>
          </w:p>
        </w:tc>
        <w:tc>
          <w:tcPr>
            <w:tcW w:w="703" w:type="pct"/>
            <w:tcBorders>
              <w:top w:val="nil"/>
            </w:tcBorders>
            <w:shd w:val="clear" w:color="auto" w:fill="A2987A"/>
            <w:hideMark/>
          </w:tcPr>
          <w:p w:rsidR="00451FEE" w:rsidRPr="000F1B60" w:rsidRDefault="00451FEE" w:rsidP="000F1B60">
            <w:pPr>
              <w:pStyle w:val="TableHeaderCenter"/>
              <w:rPr>
                <w:color w:val="FFFFFF" w:themeColor="background1"/>
              </w:rPr>
            </w:pPr>
            <w:r w:rsidRPr="000F1B60">
              <w:rPr>
                <w:color w:val="FFFFFF" w:themeColor="background1"/>
              </w:rPr>
              <w:t>Mail 2nd reminder letter in colored envelope</w:t>
            </w:r>
          </w:p>
        </w:tc>
        <w:tc>
          <w:tcPr>
            <w:tcW w:w="712" w:type="pct"/>
            <w:tcBorders>
              <w:top w:val="nil"/>
            </w:tcBorders>
            <w:shd w:val="clear" w:color="auto" w:fill="A2987A"/>
            <w:hideMark/>
          </w:tcPr>
          <w:p w:rsidR="00451FEE" w:rsidRPr="000F1B60" w:rsidRDefault="00451FEE" w:rsidP="000F1B60">
            <w:pPr>
              <w:pStyle w:val="TableHeaderCenter"/>
              <w:rPr>
                <w:color w:val="FFFFFF" w:themeColor="background1"/>
              </w:rPr>
            </w:pPr>
            <w:r w:rsidRPr="000F1B60">
              <w:rPr>
                <w:color w:val="FFFFFF" w:themeColor="background1"/>
              </w:rPr>
              <w:t>Complete data collection</w:t>
            </w:r>
          </w:p>
        </w:tc>
      </w:tr>
      <w:tr w:rsidR="00451FEE" w:rsidRPr="00DA5C5B" w:rsidTr="00D266E7">
        <w:tc>
          <w:tcPr>
            <w:tcW w:w="567" w:type="pct"/>
            <w:hideMark/>
          </w:tcPr>
          <w:p w:rsidR="00451FEE" w:rsidRPr="0071381D" w:rsidRDefault="00451FEE" w:rsidP="00D266E7">
            <w:pPr>
              <w:pStyle w:val="TableText"/>
              <w:spacing w:before="60" w:after="60"/>
              <w:jc w:val="center"/>
            </w:pPr>
            <w:r w:rsidRPr="0071381D">
              <w:t>Release 1</w:t>
            </w:r>
          </w:p>
        </w:tc>
        <w:tc>
          <w:tcPr>
            <w:tcW w:w="566" w:type="pct"/>
            <w:hideMark/>
          </w:tcPr>
          <w:p w:rsidR="00451FEE" w:rsidRPr="0071381D" w:rsidRDefault="00451FEE" w:rsidP="00D266E7">
            <w:pPr>
              <w:pStyle w:val="TableText"/>
              <w:spacing w:before="60" w:after="60"/>
              <w:jc w:val="center"/>
            </w:pPr>
            <w:r w:rsidRPr="0071381D">
              <w:t>Week 1</w:t>
            </w:r>
          </w:p>
        </w:tc>
        <w:tc>
          <w:tcPr>
            <w:tcW w:w="566" w:type="pct"/>
            <w:hideMark/>
          </w:tcPr>
          <w:p w:rsidR="00451FEE" w:rsidRPr="0071381D" w:rsidRDefault="00451FEE" w:rsidP="00D266E7">
            <w:pPr>
              <w:pStyle w:val="TableText"/>
              <w:spacing w:before="60" w:after="60"/>
              <w:jc w:val="center"/>
            </w:pPr>
            <w:r w:rsidRPr="0071381D">
              <w:t>Week 2</w:t>
            </w:r>
          </w:p>
        </w:tc>
        <w:tc>
          <w:tcPr>
            <w:tcW w:w="603" w:type="pct"/>
            <w:hideMark/>
          </w:tcPr>
          <w:p w:rsidR="00451FEE" w:rsidRPr="0071381D" w:rsidRDefault="00451FEE" w:rsidP="00D266E7">
            <w:pPr>
              <w:pStyle w:val="TableText"/>
              <w:spacing w:before="60" w:after="60"/>
              <w:jc w:val="center"/>
            </w:pPr>
            <w:r w:rsidRPr="0071381D">
              <w:t>Week 4</w:t>
            </w:r>
          </w:p>
        </w:tc>
        <w:tc>
          <w:tcPr>
            <w:tcW w:w="622" w:type="pct"/>
            <w:hideMark/>
          </w:tcPr>
          <w:p w:rsidR="00451FEE" w:rsidRPr="0071381D" w:rsidRDefault="00451FEE" w:rsidP="00D266E7">
            <w:pPr>
              <w:pStyle w:val="TableText"/>
              <w:spacing w:before="60" w:after="60"/>
              <w:jc w:val="center"/>
            </w:pPr>
            <w:r w:rsidRPr="0071381D">
              <w:t>Week 6</w:t>
            </w:r>
          </w:p>
        </w:tc>
        <w:tc>
          <w:tcPr>
            <w:tcW w:w="660" w:type="pct"/>
            <w:hideMark/>
          </w:tcPr>
          <w:p w:rsidR="00451FEE" w:rsidRPr="0071381D" w:rsidRDefault="00451FEE" w:rsidP="00D266E7">
            <w:pPr>
              <w:pStyle w:val="TableText"/>
              <w:spacing w:before="60" w:after="60"/>
              <w:jc w:val="center"/>
            </w:pPr>
            <w:r w:rsidRPr="0071381D">
              <w:t>Week 7</w:t>
            </w:r>
          </w:p>
        </w:tc>
        <w:tc>
          <w:tcPr>
            <w:tcW w:w="703" w:type="pct"/>
            <w:hideMark/>
          </w:tcPr>
          <w:p w:rsidR="00451FEE" w:rsidRPr="0071381D" w:rsidRDefault="00451FEE" w:rsidP="00D266E7">
            <w:pPr>
              <w:pStyle w:val="TableText"/>
              <w:spacing w:before="60" w:after="60"/>
              <w:jc w:val="center"/>
            </w:pPr>
            <w:r w:rsidRPr="0071381D">
              <w:t>Week 8</w:t>
            </w:r>
          </w:p>
        </w:tc>
        <w:tc>
          <w:tcPr>
            <w:tcW w:w="712" w:type="pct"/>
            <w:hideMark/>
          </w:tcPr>
          <w:p w:rsidR="00451FEE" w:rsidRPr="0071381D" w:rsidRDefault="00451FEE" w:rsidP="00D266E7">
            <w:pPr>
              <w:pStyle w:val="TableText"/>
              <w:spacing w:before="60" w:after="60"/>
              <w:jc w:val="center"/>
            </w:pPr>
            <w:r w:rsidRPr="0071381D">
              <w:t>Week 10</w:t>
            </w:r>
          </w:p>
        </w:tc>
      </w:tr>
      <w:tr w:rsidR="00451FEE" w:rsidRPr="00DA5C5B" w:rsidTr="00D266E7">
        <w:tc>
          <w:tcPr>
            <w:tcW w:w="567" w:type="pct"/>
            <w:hideMark/>
          </w:tcPr>
          <w:p w:rsidR="00451FEE" w:rsidRPr="0071381D" w:rsidRDefault="00451FEE" w:rsidP="00D266E7">
            <w:pPr>
              <w:pStyle w:val="TableText"/>
              <w:spacing w:before="60" w:after="60"/>
              <w:jc w:val="center"/>
            </w:pPr>
            <w:r w:rsidRPr="0071381D">
              <w:t>Release 2</w:t>
            </w:r>
          </w:p>
        </w:tc>
        <w:tc>
          <w:tcPr>
            <w:tcW w:w="566" w:type="pct"/>
            <w:hideMark/>
          </w:tcPr>
          <w:p w:rsidR="00451FEE" w:rsidRPr="0071381D" w:rsidRDefault="00451FEE" w:rsidP="00D266E7">
            <w:pPr>
              <w:pStyle w:val="TableText"/>
              <w:spacing w:before="60" w:after="60"/>
              <w:jc w:val="center"/>
            </w:pPr>
            <w:r w:rsidRPr="0071381D">
              <w:t>Week 2</w:t>
            </w:r>
          </w:p>
        </w:tc>
        <w:tc>
          <w:tcPr>
            <w:tcW w:w="566" w:type="pct"/>
            <w:hideMark/>
          </w:tcPr>
          <w:p w:rsidR="00451FEE" w:rsidRPr="0071381D" w:rsidRDefault="00451FEE" w:rsidP="00D266E7">
            <w:pPr>
              <w:pStyle w:val="TableText"/>
              <w:spacing w:before="60" w:after="60"/>
              <w:jc w:val="center"/>
            </w:pPr>
            <w:r w:rsidRPr="0071381D">
              <w:t>Week 3</w:t>
            </w:r>
          </w:p>
        </w:tc>
        <w:tc>
          <w:tcPr>
            <w:tcW w:w="603" w:type="pct"/>
            <w:hideMark/>
          </w:tcPr>
          <w:p w:rsidR="00451FEE" w:rsidRPr="0071381D" w:rsidRDefault="00451FEE" w:rsidP="00D266E7">
            <w:pPr>
              <w:pStyle w:val="TableText"/>
              <w:spacing w:before="60" w:after="60"/>
              <w:jc w:val="center"/>
            </w:pPr>
            <w:r w:rsidRPr="0071381D">
              <w:t>Week 5</w:t>
            </w:r>
          </w:p>
        </w:tc>
        <w:tc>
          <w:tcPr>
            <w:tcW w:w="622" w:type="pct"/>
            <w:hideMark/>
          </w:tcPr>
          <w:p w:rsidR="00451FEE" w:rsidRPr="0071381D" w:rsidRDefault="00451FEE" w:rsidP="00D266E7">
            <w:pPr>
              <w:pStyle w:val="TableText"/>
              <w:spacing w:before="60" w:after="60"/>
              <w:jc w:val="center"/>
            </w:pPr>
            <w:r w:rsidRPr="0071381D">
              <w:t>Week 7</w:t>
            </w:r>
          </w:p>
        </w:tc>
        <w:tc>
          <w:tcPr>
            <w:tcW w:w="660" w:type="pct"/>
            <w:hideMark/>
          </w:tcPr>
          <w:p w:rsidR="00451FEE" w:rsidRPr="0071381D" w:rsidRDefault="00451FEE" w:rsidP="00D266E7">
            <w:pPr>
              <w:pStyle w:val="TableText"/>
              <w:spacing w:before="60" w:after="60"/>
              <w:jc w:val="center"/>
            </w:pPr>
            <w:r w:rsidRPr="0071381D">
              <w:t>Week 8</w:t>
            </w:r>
          </w:p>
        </w:tc>
        <w:tc>
          <w:tcPr>
            <w:tcW w:w="703" w:type="pct"/>
            <w:hideMark/>
          </w:tcPr>
          <w:p w:rsidR="00451FEE" w:rsidRPr="0071381D" w:rsidRDefault="00451FEE" w:rsidP="00D266E7">
            <w:pPr>
              <w:pStyle w:val="TableText"/>
              <w:spacing w:before="60" w:after="60"/>
              <w:jc w:val="center"/>
            </w:pPr>
            <w:r w:rsidRPr="0071381D">
              <w:t>Week 9</w:t>
            </w:r>
          </w:p>
        </w:tc>
        <w:tc>
          <w:tcPr>
            <w:tcW w:w="712" w:type="pct"/>
            <w:hideMark/>
          </w:tcPr>
          <w:p w:rsidR="00451FEE" w:rsidRPr="0071381D" w:rsidRDefault="00451FEE" w:rsidP="00D266E7">
            <w:pPr>
              <w:pStyle w:val="TableText"/>
              <w:spacing w:before="60" w:after="60"/>
              <w:jc w:val="center"/>
            </w:pPr>
            <w:r w:rsidRPr="0071381D">
              <w:t>Week 11</w:t>
            </w:r>
          </w:p>
        </w:tc>
      </w:tr>
      <w:tr w:rsidR="00451FEE" w:rsidRPr="00DA5C5B" w:rsidTr="00D266E7">
        <w:tc>
          <w:tcPr>
            <w:tcW w:w="567" w:type="pct"/>
            <w:hideMark/>
          </w:tcPr>
          <w:p w:rsidR="00451FEE" w:rsidRPr="0071381D" w:rsidRDefault="00451FEE" w:rsidP="00D266E7">
            <w:pPr>
              <w:pStyle w:val="TableText"/>
              <w:spacing w:before="60" w:after="60"/>
              <w:jc w:val="center"/>
            </w:pPr>
            <w:r w:rsidRPr="0071381D">
              <w:t>Release 3</w:t>
            </w:r>
          </w:p>
        </w:tc>
        <w:tc>
          <w:tcPr>
            <w:tcW w:w="566" w:type="pct"/>
            <w:hideMark/>
          </w:tcPr>
          <w:p w:rsidR="00451FEE" w:rsidRPr="0071381D" w:rsidRDefault="00451FEE" w:rsidP="00D266E7">
            <w:pPr>
              <w:pStyle w:val="TableText"/>
              <w:spacing w:before="60" w:after="60"/>
              <w:jc w:val="center"/>
            </w:pPr>
            <w:r w:rsidRPr="0071381D">
              <w:t>Week 3</w:t>
            </w:r>
          </w:p>
        </w:tc>
        <w:tc>
          <w:tcPr>
            <w:tcW w:w="566" w:type="pct"/>
            <w:hideMark/>
          </w:tcPr>
          <w:p w:rsidR="00451FEE" w:rsidRPr="0071381D" w:rsidRDefault="00451FEE" w:rsidP="00D266E7">
            <w:pPr>
              <w:pStyle w:val="TableText"/>
              <w:spacing w:before="60" w:after="60"/>
              <w:jc w:val="center"/>
            </w:pPr>
            <w:r w:rsidRPr="0071381D">
              <w:t>Week 4</w:t>
            </w:r>
          </w:p>
        </w:tc>
        <w:tc>
          <w:tcPr>
            <w:tcW w:w="603" w:type="pct"/>
            <w:hideMark/>
          </w:tcPr>
          <w:p w:rsidR="00451FEE" w:rsidRPr="0071381D" w:rsidRDefault="00451FEE" w:rsidP="00D266E7">
            <w:pPr>
              <w:pStyle w:val="TableText"/>
              <w:spacing w:before="60" w:after="60"/>
              <w:jc w:val="center"/>
            </w:pPr>
            <w:r w:rsidRPr="0071381D">
              <w:t>Week 6</w:t>
            </w:r>
          </w:p>
        </w:tc>
        <w:tc>
          <w:tcPr>
            <w:tcW w:w="622" w:type="pct"/>
            <w:hideMark/>
          </w:tcPr>
          <w:p w:rsidR="00451FEE" w:rsidRPr="0071381D" w:rsidRDefault="00451FEE" w:rsidP="00D266E7">
            <w:pPr>
              <w:pStyle w:val="TableText"/>
              <w:spacing w:before="60" w:after="60"/>
              <w:jc w:val="center"/>
            </w:pPr>
            <w:r w:rsidRPr="0071381D">
              <w:t>Week 8</w:t>
            </w:r>
          </w:p>
        </w:tc>
        <w:tc>
          <w:tcPr>
            <w:tcW w:w="660" w:type="pct"/>
            <w:hideMark/>
          </w:tcPr>
          <w:p w:rsidR="00451FEE" w:rsidRPr="0071381D" w:rsidRDefault="00451FEE" w:rsidP="00D266E7">
            <w:pPr>
              <w:pStyle w:val="TableText"/>
              <w:spacing w:before="60" w:after="60"/>
              <w:jc w:val="center"/>
            </w:pPr>
            <w:r w:rsidRPr="0071381D">
              <w:t>Week 9</w:t>
            </w:r>
          </w:p>
        </w:tc>
        <w:tc>
          <w:tcPr>
            <w:tcW w:w="703" w:type="pct"/>
            <w:hideMark/>
          </w:tcPr>
          <w:p w:rsidR="00451FEE" w:rsidRPr="0071381D" w:rsidRDefault="00451FEE" w:rsidP="00D266E7">
            <w:pPr>
              <w:pStyle w:val="TableText"/>
              <w:spacing w:before="60" w:after="60"/>
              <w:jc w:val="center"/>
            </w:pPr>
            <w:r w:rsidRPr="0071381D">
              <w:t>Week 10</w:t>
            </w:r>
          </w:p>
        </w:tc>
        <w:tc>
          <w:tcPr>
            <w:tcW w:w="712" w:type="pct"/>
            <w:hideMark/>
          </w:tcPr>
          <w:p w:rsidR="00451FEE" w:rsidRPr="0071381D" w:rsidRDefault="00451FEE" w:rsidP="00D266E7">
            <w:pPr>
              <w:pStyle w:val="TableText"/>
              <w:spacing w:before="60" w:after="60"/>
              <w:jc w:val="center"/>
            </w:pPr>
            <w:r w:rsidRPr="0071381D">
              <w:t>Week 12</w:t>
            </w:r>
          </w:p>
        </w:tc>
      </w:tr>
    </w:tbl>
    <w:p w:rsidR="00451FEE" w:rsidRDefault="00451FEE" w:rsidP="00CA71BA">
      <w:pPr>
        <w:pStyle w:val="NormalSS"/>
        <w:spacing w:before="360" w:after="0" w:line="480" w:lineRule="auto"/>
      </w:pPr>
      <w:r>
        <w:t xml:space="preserve">In addition to the biweekly reminder, if the study team is not on target to reach an 80 percent response rate by week 7, the study team will send </w:t>
      </w:r>
      <w:proofErr w:type="spellStart"/>
      <w:r>
        <w:t>nonrespondents</w:t>
      </w:r>
      <w:proofErr w:type="spellEnd"/>
      <w:r>
        <w:t xml:space="preserve"> </w:t>
      </w:r>
      <w:r w:rsidRPr="0064127B">
        <w:t xml:space="preserve">an additional </w:t>
      </w:r>
      <w:r>
        <w:t>“Time</w:t>
      </w:r>
      <w:r w:rsidRPr="0064127B">
        <w:t xml:space="preserve"> is Running Out” letter </w:t>
      </w:r>
      <w:r>
        <w:t>(Attachment A.4)</w:t>
      </w:r>
      <w:r w:rsidRPr="0064127B">
        <w:t xml:space="preserve">. The letter </w:t>
      </w:r>
      <w:r>
        <w:t xml:space="preserve">will </w:t>
      </w:r>
      <w:r w:rsidRPr="0064127B">
        <w:t xml:space="preserve">include $5 as </w:t>
      </w:r>
      <w:r w:rsidR="00786660">
        <w:t>a token of our appreciation</w:t>
      </w:r>
      <w:r w:rsidRPr="0064127B">
        <w:t xml:space="preserve"> to visit the website or call to complete the survey. </w:t>
      </w:r>
      <w:r>
        <w:t>The study team</w:t>
      </w:r>
      <w:r w:rsidRPr="0064127B">
        <w:t xml:space="preserve"> will send </w:t>
      </w:r>
      <w:r>
        <w:t xml:space="preserve">these </w:t>
      </w:r>
      <w:r w:rsidRPr="0064127B">
        <w:t xml:space="preserve">letters to all </w:t>
      </w:r>
      <w:proofErr w:type="spellStart"/>
      <w:r w:rsidRPr="0064127B">
        <w:t>nonrespondents</w:t>
      </w:r>
      <w:proofErr w:type="spellEnd"/>
      <w:r w:rsidRPr="0064127B">
        <w:t xml:space="preserve">, which </w:t>
      </w:r>
      <w:r>
        <w:t>the study team</w:t>
      </w:r>
      <w:r w:rsidRPr="0064127B">
        <w:t xml:space="preserve"> anticipate</w:t>
      </w:r>
      <w:r>
        <w:t>s</w:t>
      </w:r>
      <w:r w:rsidRPr="0064127B">
        <w:t xml:space="preserve"> will be </w:t>
      </w:r>
      <w:r>
        <w:t xml:space="preserve">no more than </w:t>
      </w:r>
      <w:r w:rsidRPr="0064127B">
        <w:t xml:space="preserve">30 </w:t>
      </w:r>
      <w:r w:rsidRPr="0071381D">
        <w:t>percent</w:t>
      </w:r>
      <w:r w:rsidRPr="0064127B">
        <w:t xml:space="preserve"> of the sample. Finally, instead of sending the traditional reminder letter in week 8 of the survey, </w:t>
      </w:r>
      <w:r>
        <w:t>the study team</w:t>
      </w:r>
      <w:r w:rsidRPr="0064127B">
        <w:t xml:space="preserve"> </w:t>
      </w:r>
      <w:r>
        <w:t xml:space="preserve">will send a “Last Chance” letter (Attachment A.5). This final letter will be sent </w:t>
      </w:r>
      <w:r w:rsidRPr="0064127B">
        <w:t>in an oversized</w:t>
      </w:r>
      <w:r>
        <w:t>,</w:t>
      </w:r>
      <w:r w:rsidRPr="0064127B">
        <w:t xml:space="preserve"> colored envelope to draw additional attention to the letter</w:t>
      </w:r>
      <w:r>
        <w:t xml:space="preserve"> and increase the likelihood that it will be opened.</w:t>
      </w:r>
    </w:p>
    <w:p w:rsidR="00451FEE" w:rsidRDefault="00451FEE" w:rsidP="00CA71BA">
      <w:pPr>
        <w:pStyle w:val="NormalSS"/>
        <w:spacing w:after="0" w:line="480" w:lineRule="auto"/>
      </w:pPr>
      <w:r>
        <w:t>The study team</w:t>
      </w:r>
      <w:r w:rsidRPr="009C7353">
        <w:t xml:space="preserve"> has developed and refined methods to build rapport and overcome </w:t>
      </w:r>
      <w:r>
        <w:t xml:space="preserve">the </w:t>
      </w:r>
      <w:r w:rsidRPr="009C7353">
        <w:t xml:space="preserve">reluctance of sample members to participate in the interview. </w:t>
      </w:r>
      <w:r>
        <w:t>The study team’s</w:t>
      </w:r>
      <w:r w:rsidRPr="009C7353">
        <w:t xml:space="preserve"> approaches focus on preventing and converting refusals. </w:t>
      </w:r>
      <w:r>
        <w:t>The</w:t>
      </w:r>
      <w:r w:rsidRPr="009C7353">
        <w:t xml:space="preserve"> strategies </w:t>
      </w:r>
      <w:r>
        <w:t xml:space="preserve">aim to </w:t>
      </w:r>
      <w:r w:rsidRPr="009C7353">
        <w:t>convinc</w:t>
      </w:r>
      <w:r>
        <w:t>e</w:t>
      </w:r>
      <w:r w:rsidRPr="009C7353">
        <w:t xml:space="preserve"> sample members that </w:t>
      </w:r>
      <w:r>
        <w:t xml:space="preserve">(1) </w:t>
      </w:r>
      <w:r w:rsidRPr="009C7353">
        <w:t xml:space="preserve">the study is legitimate and worthwhile, </w:t>
      </w:r>
      <w:r>
        <w:t xml:space="preserve">(2) </w:t>
      </w:r>
      <w:r w:rsidRPr="009C7353">
        <w:t xml:space="preserve">their participation is important and appreciated, and </w:t>
      </w:r>
      <w:r>
        <w:t xml:space="preserve">(3) </w:t>
      </w:r>
      <w:r w:rsidRPr="009C7353">
        <w:t xml:space="preserve">the information provided will be held confidential and will not affect their job or their eligibility for SNAP or other benefits. </w:t>
      </w:r>
      <w:r>
        <w:t>The study team</w:t>
      </w:r>
      <w:r w:rsidRPr="009C7353">
        <w:t xml:space="preserve"> interviewers are </w:t>
      </w:r>
      <w:r>
        <w:t>well</w:t>
      </w:r>
      <w:r w:rsidRPr="009C7353">
        <w:t xml:space="preserve"> prepared to address common respondent concerns</w:t>
      </w:r>
      <w:r>
        <w:t xml:space="preserve"> in</w:t>
      </w:r>
      <w:r w:rsidRPr="009C7353">
        <w:t xml:space="preserve"> these areas. </w:t>
      </w:r>
      <w:r>
        <w:t>T</w:t>
      </w:r>
      <w:r w:rsidRPr="009C7353">
        <w:t>elephone refusals are flagged in the CATI scheduler</w:t>
      </w:r>
      <w:r>
        <w:t xml:space="preserve"> and, one </w:t>
      </w:r>
      <w:r w:rsidRPr="009C7353">
        <w:t xml:space="preserve">week </w:t>
      </w:r>
      <w:r w:rsidRPr="00451FEE">
        <w:t>after</w:t>
      </w:r>
      <w:r>
        <w:t xml:space="preserve"> a refusal</w:t>
      </w:r>
      <w:r w:rsidRPr="009C7353">
        <w:t xml:space="preserve">, </w:t>
      </w:r>
      <w:r>
        <w:t>the study team</w:t>
      </w:r>
      <w:r w:rsidRPr="009C7353">
        <w:t xml:space="preserve"> will send a letter </w:t>
      </w:r>
      <w:r>
        <w:t xml:space="preserve">to the sample member </w:t>
      </w:r>
      <w:r w:rsidRPr="009C7353">
        <w:lastRenderedPageBreak/>
        <w:t xml:space="preserve">emphasizing the importance of the study and addressing typical concerns. </w:t>
      </w:r>
      <w:r>
        <w:t>Interviewers s</w:t>
      </w:r>
      <w:r w:rsidRPr="009C7353">
        <w:t xml:space="preserve">killed </w:t>
      </w:r>
      <w:r>
        <w:t xml:space="preserve">at converting refusals will </w:t>
      </w:r>
      <w:r w:rsidRPr="009C7353">
        <w:t>then</w:t>
      </w:r>
      <w:r>
        <w:t xml:space="preserve"> </w:t>
      </w:r>
      <w:r w:rsidRPr="009C7353">
        <w:t>contact the sample member</w:t>
      </w:r>
      <w:r>
        <w:t xml:space="preserve"> by telephone</w:t>
      </w:r>
      <w:r w:rsidRPr="009C7353">
        <w:t>.</w:t>
      </w:r>
    </w:p>
    <w:p w:rsidR="00451FEE" w:rsidRPr="00451FEE" w:rsidRDefault="00451FEE" w:rsidP="00CA71BA">
      <w:pPr>
        <w:pStyle w:val="NormalSS"/>
        <w:spacing w:after="0" w:line="480" w:lineRule="auto"/>
      </w:pPr>
      <w:r w:rsidRPr="00451FEE">
        <w:t xml:space="preserve">The study team will select data collectors who have solid experience and performance in comparable topic areas, and who have demonstrated (1) reliability, (2) communication skills, (3) accurate reading and recording proficiency, and (4) aptitude for the administrative and reporting requirements of survey work. The study team will use certified bilingual interviewers to complete interviews in Spanish. To develop the skills necessary to encourage participation among low-income households, all telephone interviewers receive general interviewer training before being assigned to a study. This training involves essential interviewing skills, probing, establishing rapport, avoiding refusals, eliminating bias, and being sensitive to at-risk and special populations. In addition, all interviewers will receive project-specific training that reviews study goals, provides a question-by-question review of the instrument, and conveys best practices for interviewing for the specific study. Interviewers will also conduct mock interviews prior to conducting real interviews. Data collector training sessions will take place no earlier than two weeks before data collection begins. </w:t>
      </w:r>
    </w:p>
    <w:p w:rsidR="00451FEE" w:rsidRPr="00451FEE" w:rsidRDefault="00451FEE" w:rsidP="00CA71BA">
      <w:pPr>
        <w:pStyle w:val="NormalSS"/>
        <w:spacing w:after="0" w:line="480" w:lineRule="auto"/>
      </w:pPr>
      <w:r w:rsidRPr="00451FEE">
        <w:t>The study team will develop a comprehensive data collection training manual and plan. Topics will include (1) an overview of the study; (2) a review of general interviewing techniques, such as contacting, scheduling, confirmation methods, refusal avoidance, refusal conversion, and confidentiality issues; (3) frequently asked questions and approved responses; (4) glossary of terms; (5) procedures and contacts for addressing problems; and, (6) strategies for maximizing valid responses and obtaining high response rates. All interviewing staff will receive these materials.</w:t>
      </w:r>
    </w:p>
    <w:p w:rsidR="00451FEE" w:rsidRDefault="00451FEE" w:rsidP="00CA71BA">
      <w:pPr>
        <w:pStyle w:val="NormalSS"/>
        <w:spacing w:after="0" w:line="480" w:lineRule="auto"/>
      </w:pPr>
      <w:r w:rsidRPr="00451FEE">
        <w:lastRenderedPageBreak/>
        <w:t>The study team will also target an 80 percent response rate for the SNAP E&amp;T program provider survey. To obtain 500 completed interviews, the study team will start with a sample size of 658 providers. The study team will send each of the providers in the sample an email containing password-embedded links to the web</w:t>
      </w:r>
      <w:r>
        <w:t>-based</w:t>
      </w:r>
      <w:r w:rsidRPr="009C7353">
        <w:t xml:space="preserve"> survey</w:t>
      </w:r>
      <w:r>
        <w:t xml:space="preserve"> (Attachment A.8)</w:t>
      </w:r>
      <w:r w:rsidRPr="009C7353">
        <w:t>. Emails will highlight the importance and ease of the survey and provide a toll-free number for questions or concerns.</w:t>
      </w:r>
      <w:r w:rsidRPr="0053164B">
        <w:t xml:space="preserve"> </w:t>
      </w:r>
      <w:r>
        <w:t xml:space="preserve">The study team will send </w:t>
      </w:r>
      <w:r w:rsidR="00655E0C">
        <w:t>a</w:t>
      </w:r>
      <w:r>
        <w:t xml:space="preserve"> reminder email (Attachment A.9) </w:t>
      </w:r>
      <w:r w:rsidR="00655E0C">
        <w:t xml:space="preserve">up to four times </w:t>
      </w:r>
      <w:r>
        <w:t xml:space="preserve">and a postcard (Attachment A.10) to encourage survey completion. As previously stated, the exact timing of each reminder may vary depending upon the analysis of </w:t>
      </w:r>
      <w:proofErr w:type="spellStart"/>
      <w:r w:rsidRPr="009B1871">
        <w:t>paradata</w:t>
      </w:r>
      <w:proofErr w:type="spellEnd"/>
      <w:r>
        <w:t xml:space="preserve"> during data collection. A</w:t>
      </w:r>
      <w:r w:rsidRPr="009C7353">
        <w:t>s is custom</w:t>
      </w:r>
      <w:r>
        <w:t>ary,</w:t>
      </w:r>
      <w:r w:rsidRPr="009C7353">
        <w:t xml:space="preserve"> provider respondents will not be offered an incentive.</w:t>
      </w:r>
    </w:p>
    <w:p w:rsidR="00451FEE" w:rsidRDefault="00451FEE" w:rsidP="00CA71BA">
      <w:pPr>
        <w:pStyle w:val="Heading3"/>
        <w:spacing w:after="0" w:line="480" w:lineRule="auto"/>
      </w:pPr>
      <w:bookmarkStart w:id="17" w:name="_Toc402174655"/>
      <w:r>
        <w:t xml:space="preserve">2. </w:t>
      </w:r>
      <w:r>
        <w:tab/>
        <w:t xml:space="preserve">Focus group data </w:t>
      </w:r>
      <w:r w:rsidRPr="007D61DF">
        <w:t>collection</w:t>
      </w:r>
      <w:bookmarkEnd w:id="17"/>
      <w:r>
        <w:t xml:space="preserve"> </w:t>
      </w:r>
    </w:p>
    <w:p w:rsidR="00451FEE" w:rsidRDefault="00451FEE" w:rsidP="00CA71BA">
      <w:pPr>
        <w:pStyle w:val="NormalSS"/>
        <w:spacing w:after="0" w:line="480" w:lineRule="auto"/>
      </w:pPr>
      <w:r>
        <w:t>Once individuals have been recruited to participate in focus groups, the study team</w:t>
      </w:r>
      <w:r w:rsidRPr="009C7353">
        <w:t xml:space="preserve"> will prepare and send </w:t>
      </w:r>
      <w:r>
        <w:t>a</w:t>
      </w:r>
      <w:r w:rsidR="0081484C">
        <w:t xml:space="preserve"> personally addressed</w:t>
      </w:r>
      <w:r>
        <w:t xml:space="preserve"> letter </w:t>
      </w:r>
      <w:r w:rsidRPr="009C7353">
        <w:t xml:space="preserve">to </w:t>
      </w:r>
      <w:r w:rsidR="0081484C">
        <w:t xml:space="preserve">each individual </w:t>
      </w:r>
      <w:r w:rsidRPr="009C7353">
        <w:t xml:space="preserve"> who agree</w:t>
      </w:r>
      <w:r>
        <w:t>d</w:t>
      </w:r>
      <w:r w:rsidRPr="009C7353">
        <w:t xml:space="preserve"> to participate</w:t>
      </w:r>
      <w:r>
        <w:t xml:space="preserve"> (Attachment A.12)</w:t>
      </w:r>
      <w:r w:rsidRPr="009C7353">
        <w:t xml:space="preserve"> confirming the time, date, and place</w:t>
      </w:r>
      <w:r>
        <w:t xml:space="preserve"> of the focus group. </w:t>
      </w:r>
      <w:r w:rsidRPr="009C7353">
        <w:t xml:space="preserve">The materials also will </w:t>
      </w:r>
      <w:r>
        <w:t xml:space="preserve">make note of </w:t>
      </w:r>
      <w:r w:rsidRPr="009C7353">
        <w:t>the $</w:t>
      </w:r>
      <w:r w:rsidR="00DC4702">
        <w:t>40</w:t>
      </w:r>
      <w:r w:rsidR="00DC4702" w:rsidRPr="009C7353">
        <w:t xml:space="preserve"> </w:t>
      </w:r>
      <w:r w:rsidRPr="0071381D">
        <w:t>incentive</w:t>
      </w:r>
      <w:r w:rsidRPr="009C7353">
        <w:t xml:space="preserve"> </w:t>
      </w:r>
      <w:r w:rsidR="00EF4BDF">
        <w:t xml:space="preserve">as a token of our appreciation after </w:t>
      </w:r>
      <w:r w:rsidRPr="009C7353">
        <w:t>participating in the focus group</w:t>
      </w:r>
      <w:r w:rsidR="00DC4702">
        <w:t xml:space="preserve"> and an additional $10 if the participant arrives 15 minutes early</w:t>
      </w:r>
      <w:r w:rsidRPr="009C7353">
        <w:t xml:space="preserve">. In addition, the day before the focus group, </w:t>
      </w:r>
      <w:r>
        <w:t>the study team</w:t>
      </w:r>
      <w:r w:rsidRPr="009C7353">
        <w:t xml:space="preserve"> will call </w:t>
      </w:r>
      <w:r w:rsidR="0081484C">
        <w:t xml:space="preserve">each participant </w:t>
      </w:r>
      <w:r w:rsidRPr="009C7353">
        <w:t xml:space="preserve">to remind </w:t>
      </w:r>
      <w:r w:rsidR="0081484C">
        <w:t xml:space="preserve">him or her </w:t>
      </w:r>
      <w:r>
        <w:t xml:space="preserve">of </w:t>
      </w:r>
      <w:r w:rsidRPr="009C7353">
        <w:t>the time and location</w:t>
      </w:r>
      <w:r>
        <w:t xml:space="preserve"> (Attachment A.13)</w:t>
      </w:r>
      <w:r w:rsidRPr="009C7353">
        <w:t xml:space="preserve">. </w:t>
      </w:r>
      <w:r>
        <w:t xml:space="preserve">Once each focus group has been conducted, </w:t>
      </w:r>
      <w:r w:rsidR="00DB2FB8">
        <w:t xml:space="preserve">a member of the study team will send a </w:t>
      </w:r>
      <w:r w:rsidRPr="009C7353">
        <w:t>thank</w:t>
      </w:r>
      <w:r>
        <w:t>-</w:t>
      </w:r>
      <w:r w:rsidRPr="009C7353">
        <w:t>you note</w:t>
      </w:r>
      <w:r>
        <w:t xml:space="preserve"> </w:t>
      </w:r>
      <w:r w:rsidRPr="009C7353">
        <w:t xml:space="preserve">to </w:t>
      </w:r>
      <w:r w:rsidR="00DB2FB8">
        <w:t>each participant</w:t>
      </w:r>
      <w:r w:rsidRPr="009C7353">
        <w:t xml:space="preserve">. </w:t>
      </w:r>
    </w:p>
    <w:p w:rsidR="00AA24D5" w:rsidRDefault="007D61DF" w:rsidP="00CA71BA">
      <w:pPr>
        <w:pStyle w:val="Heading3"/>
        <w:spacing w:after="0" w:line="480" w:lineRule="auto"/>
      </w:pPr>
      <w:bookmarkStart w:id="18" w:name="_Toc402174656"/>
      <w:r>
        <w:lastRenderedPageBreak/>
        <w:t xml:space="preserve">B.4. </w:t>
      </w:r>
      <w:r w:rsidR="00C20013">
        <w:t>Describe any tests of procedures or methods to be undertaken. </w:t>
      </w:r>
      <w:r w:rsidR="00C20013">
        <w:rPr>
          <w:rStyle w:val="apple-converted-space"/>
          <w:b w:val="0"/>
          <w:bCs/>
          <w:color w:val="000000"/>
        </w:rPr>
        <w:t> </w:t>
      </w:r>
      <w:r w:rsidR="00C20013">
        <w:t>Testing is encouraged as an effective means of refining collections of information to minimize burden and improve utility. </w:t>
      </w:r>
      <w:r w:rsidR="00C20013">
        <w:rPr>
          <w:rStyle w:val="apple-converted-space"/>
          <w:b w:val="0"/>
          <w:bCs/>
          <w:color w:val="000000"/>
        </w:rPr>
        <w:t> </w:t>
      </w:r>
      <w:r w:rsidR="00C20013">
        <w:t>Tests must be approved if they call for answers to identical questions from 10 or more respondents. A proposed test or set of tests may be submitted for approval separate</w:t>
      </w:r>
      <w:r w:rsidR="00C20013">
        <w:softHyphen/>
        <w:t>ly or in combination with the main collection of information.</w:t>
      </w:r>
      <w:bookmarkEnd w:id="18"/>
    </w:p>
    <w:p w:rsidR="00451FEE" w:rsidRPr="00FF6023" w:rsidRDefault="00451FEE" w:rsidP="00CA71BA">
      <w:pPr>
        <w:pStyle w:val="NormalSS"/>
        <w:spacing w:after="0" w:line="480" w:lineRule="auto"/>
      </w:pPr>
      <w:r>
        <w:t xml:space="preserve">The SNAP E&amp;T study will pre-test the survey instruments with SNAP work registrants, SNAP E&amp;T participants, and SNAP E&amp;T program providers. It will also pre-test the focus groups in English and Spanish. </w:t>
      </w:r>
    </w:p>
    <w:p w:rsidR="00451FEE" w:rsidRDefault="00451FEE" w:rsidP="00CA71BA">
      <w:pPr>
        <w:pStyle w:val="Heading3"/>
        <w:spacing w:after="0" w:line="480" w:lineRule="auto"/>
      </w:pPr>
      <w:bookmarkStart w:id="19" w:name="_Toc402174657"/>
      <w:r>
        <w:t xml:space="preserve">1. </w:t>
      </w:r>
      <w:r>
        <w:tab/>
      </w:r>
      <w:r w:rsidRPr="00451FEE">
        <w:t>Survey</w:t>
      </w:r>
      <w:r>
        <w:t xml:space="preserve"> pre-test</w:t>
      </w:r>
      <w:bookmarkEnd w:id="19"/>
    </w:p>
    <w:p w:rsidR="00451FEE" w:rsidRDefault="00451FEE" w:rsidP="00CA71BA">
      <w:pPr>
        <w:pStyle w:val="NormalSS"/>
        <w:spacing w:after="0" w:line="480" w:lineRule="auto"/>
      </w:pPr>
      <w:r>
        <w:t xml:space="preserve">The study team </w:t>
      </w:r>
      <w:r w:rsidRPr="009C7353">
        <w:t>follow</w:t>
      </w:r>
      <w:r w:rsidR="00B62DC6">
        <w:t>ed</w:t>
      </w:r>
      <w:r w:rsidRPr="009C7353">
        <w:t xml:space="preserve"> </w:t>
      </w:r>
      <w:r w:rsidR="00B62DC6">
        <w:t xml:space="preserve">a </w:t>
      </w:r>
      <w:r w:rsidRPr="009C7353">
        <w:t xml:space="preserve">careful process for review and </w:t>
      </w:r>
      <w:r>
        <w:t>pre-test</w:t>
      </w:r>
      <w:r w:rsidRPr="009C7353">
        <w:t>ing</w:t>
      </w:r>
      <w:r>
        <w:t xml:space="preserve"> that it established for developing all data collection</w:t>
      </w:r>
      <w:r w:rsidRPr="009C7353">
        <w:t xml:space="preserve"> instruments. </w:t>
      </w:r>
      <w:r>
        <w:t>A pre-test of the combined</w:t>
      </w:r>
      <w:r w:rsidR="002E524B">
        <w:t xml:space="preserve"> work registrant and participant</w:t>
      </w:r>
      <w:r>
        <w:t xml:space="preserve"> instrument </w:t>
      </w:r>
      <w:r w:rsidR="00B62DC6">
        <w:t>was</w:t>
      </w:r>
      <w:r>
        <w:t xml:space="preserve"> conducted by trained interviewers, including </w:t>
      </w:r>
      <w:r w:rsidR="00902BA0">
        <w:t xml:space="preserve">a </w:t>
      </w:r>
      <w:r>
        <w:t>certified bilingual interviewer</w:t>
      </w:r>
      <w:r w:rsidR="00B62DC6">
        <w:t xml:space="preserve"> in August 2014</w:t>
      </w:r>
      <w:r>
        <w:t xml:space="preserve">. </w:t>
      </w:r>
      <w:r w:rsidR="00902BA0">
        <w:t xml:space="preserve"> Two Spanish speaking work registrants were included in the pre-test.</w:t>
      </w:r>
      <w:r>
        <w:t xml:space="preserve"> The SNAP E&amp;T program provider data collection instrument </w:t>
      </w:r>
      <w:r w:rsidR="00902BA0">
        <w:t>was also</w:t>
      </w:r>
      <w:r>
        <w:t xml:space="preserve"> pre-tested by trained interviewers. At the end of the pre-test, the study team conduct</w:t>
      </w:r>
      <w:r w:rsidR="00902BA0">
        <w:t>ed</w:t>
      </w:r>
      <w:r>
        <w:t xml:space="preserve"> a debriefing </w:t>
      </w:r>
      <w:r w:rsidR="002E524B">
        <w:t xml:space="preserve">interview with each respondent discussing </w:t>
      </w:r>
      <w:r>
        <w:t xml:space="preserve">(1) the flow of introductory and transitional text, (2) the clarity of questions and response options, (3) sensitivity, (4) respondent burden, and (5) survey length. </w:t>
      </w:r>
    </w:p>
    <w:p w:rsidR="00451FEE" w:rsidRPr="00EF57AC" w:rsidRDefault="00451FEE" w:rsidP="00CA71BA">
      <w:pPr>
        <w:pStyle w:val="NormalSS"/>
        <w:spacing w:after="0" w:line="480" w:lineRule="auto"/>
      </w:pPr>
      <w:r w:rsidRPr="009C7353">
        <w:t xml:space="preserve">Using </w:t>
      </w:r>
      <w:r>
        <w:t>the pre-test</w:t>
      </w:r>
      <w:r w:rsidRPr="009C7353">
        <w:t xml:space="preserve"> </w:t>
      </w:r>
      <w:r w:rsidRPr="0071381D">
        <w:t>results</w:t>
      </w:r>
      <w:r w:rsidRPr="009C7353">
        <w:t xml:space="preserve">, </w:t>
      </w:r>
      <w:r>
        <w:t>the study team</w:t>
      </w:r>
      <w:r w:rsidRPr="009C7353">
        <w:t xml:space="preserve"> prepare</w:t>
      </w:r>
      <w:r w:rsidR="00902BA0">
        <w:t>d</w:t>
      </w:r>
      <w:r w:rsidRPr="009C7353">
        <w:t xml:space="preserve"> a </w:t>
      </w:r>
      <w:r>
        <w:t>pre-test</w:t>
      </w:r>
      <w:r w:rsidRPr="009C7353">
        <w:t xml:space="preserve"> </w:t>
      </w:r>
      <w:r w:rsidR="00902BA0">
        <w:t>memo</w:t>
      </w:r>
      <w:r w:rsidR="00902BA0" w:rsidRPr="009C7353">
        <w:t xml:space="preserve"> </w:t>
      </w:r>
      <w:bookmarkStart w:id="20" w:name="_GoBack"/>
      <w:bookmarkEnd w:id="20"/>
      <w:r w:rsidR="002E524B">
        <w:t xml:space="preserve">that </w:t>
      </w:r>
      <w:r w:rsidRPr="009C7353">
        <w:t>identif</w:t>
      </w:r>
      <w:r w:rsidR="002E524B">
        <w:t xml:space="preserve">ies </w:t>
      </w:r>
      <w:r w:rsidRPr="009C7353">
        <w:t xml:space="preserve">issues requiring discussion with FNS and </w:t>
      </w:r>
      <w:r w:rsidR="002E524B">
        <w:t>recommendations for changes to the instruments.</w:t>
      </w:r>
      <w:r>
        <w:t xml:space="preserve"> </w:t>
      </w:r>
      <w:r w:rsidR="00902BA0">
        <w:t xml:space="preserve">The </w:t>
      </w:r>
      <w:proofErr w:type="gramStart"/>
      <w:r w:rsidR="002E524B">
        <w:t xml:space="preserve">final </w:t>
      </w:r>
      <w:r w:rsidR="00902BA0">
        <w:t xml:space="preserve"> instruments</w:t>
      </w:r>
      <w:proofErr w:type="gramEnd"/>
      <w:r w:rsidR="002E524B">
        <w:t>, including revisions based on pre-test results,</w:t>
      </w:r>
      <w:r w:rsidR="00902BA0">
        <w:t xml:space="preserve"> are included as attachments.</w:t>
      </w:r>
    </w:p>
    <w:p w:rsidR="00451FEE" w:rsidRDefault="00451FEE" w:rsidP="00CA71BA">
      <w:pPr>
        <w:pStyle w:val="Heading3"/>
        <w:spacing w:after="0" w:line="480" w:lineRule="auto"/>
      </w:pPr>
      <w:bookmarkStart w:id="21" w:name="_Toc402174658"/>
      <w:r>
        <w:t>2.</w:t>
      </w:r>
      <w:r>
        <w:tab/>
        <w:t xml:space="preserve">Focus group </w:t>
      </w:r>
      <w:r w:rsidRPr="00451FEE">
        <w:t>pre</w:t>
      </w:r>
      <w:r>
        <w:t>-test</w:t>
      </w:r>
      <w:bookmarkEnd w:id="21"/>
    </w:p>
    <w:p w:rsidR="00451FEE" w:rsidRDefault="00451FEE" w:rsidP="00CA71BA">
      <w:pPr>
        <w:pStyle w:val="NormalSS"/>
        <w:spacing w:after="0" w:line="480" w:lineRule="auto"/>
        <w:rPr>
          <w:rFonts w:ascii="Arial Black" w:hAnsi="Arial Black"/>
          <w:sz w:val="22"/>
        </w:rPr>
      </w:pPr>
      <w:r w:rsidRPr="009C7353">
        <w:t xml:space="preserve">The </w:t>
      </w:r>
      <w:r>
        <w:t xml:space="preserve">focus group </w:t>
      </w:r>
      <w:r w:rsidR="002E524B">
        <w:t xml:space="preserve">discussion guide </w:t>
      </w:r>
      <w:r w:rsidR="00902BA0">
        <w:t>was</w:t>
      </w:r>
      <w:r w:rsidRPr="009C7353">
        <w:t xml:space="preserve"> developed in English and</w:t>
      </w:r>
      <w:r w:rsidR="00EB692B">
        <w:t xml:space="preserve"> translated into </w:t>
      </w:r>
      <w:r w:rsidRPr="009C7353">
        <w:t xml:space="preserve">Spanish. </w:t>
      </w:r>
      <w:r>
        <w:t>The study team</w:t>
      </w:r>
      <w:r w:rsidRPr="009C7353">
        <w:t xml:space="preserve"> conduct</w:t>
      </w:r>
      <w:r w:rsidR="00902BA0">
        <w:t xml:space="preserve">ed </w:t>
      </w:r>
      <w:r w:rsidRPr="009C7353">
        <w:t xml:space="preserve">focus groups to </w:t>
      </w:r>
      <w:r>
        <w:t>pre-</w:t>
      </w:r>
      <w:r w:rsidRPr="009C7353">
        <w:t xml:space="preserve">test the </w:t>
      </w:r>
      <w:r w:rsidR="002E524B">
        <w:t xml:space="preserve">guide </w:t>
      </w:r>
      <w:r w:rsidR="00902BA0">
        <w:t>with English and Spanish respondents</w:t>
      </w:r>
      <w:r w:rsidR="00394CE0">
        <w:t>.</w:t>
      </w:r>
      <w:r w:rsidR="00394CE0" w:rsidRPr="009C7353">
        <w:t xml:space="preserve"> </w:t>
      </w:r>
      <w:r w:rsidRPr="009C7353">
        <w:lastRenderedPageBreak/>
        <w:t xml:space="preserve">After the </w:t>
      </w:r>
      <w:r>
        <w:t>pre-test</w:t>
      </w:r>
      <w:r w:rsidRPr="009C7353">
        <w:t xml:space="preserve">s, </w:t>
      </w:r>
      <w:r>
        <w:t>the study</w:t>
      </w:r>
      <w:r w:rsidRPr="009C7353">
        <w:t xml:space="preserve"> </w:t>
      </w:r>
      <w:r>
        <w:t xml:space="preserve">team </w:t>
      </w:r>
      <w:r w:rsidRPr="009C7353">
        <w:t>assess</w:t>
      </w:r>
      <w:r w:rsidR="00902BA0">
        <w:t>ed</w:t>
      </w:r>
      <w:r w:rsidRPr="009C7353">
        <w:t xml:space="preserve"> wh</w:t>
      </w:r>
      <w:r>
        <w:t>ich</w:t>
      </w:r>
      <w:r w:rsidRPr="009C7353">
        <w:t xml:space="preserve"> questions worked</w:t>
      </w:r>
      <w:r w:rsidR="00EB692B">
        <w:t xml:space="preserve"> well</w:t>
      </w:r>
      <w:r w:rsidRPr="009C7353">
        <w:t xml:space="preserve"> and which need</w:t>
      </w:r>
      <w:r w:rsidR="00902BA0">
        <w:t>ed</w:t>
      </w:r>
      <w:r w:rsidRPr="009C7353">
        <w:t xml:space="preserve"> adjustment</w:t>
      </w:r>
      <w:r w:rsidR="00902BA0">
        <w:t xml:space="preserve">. In consultation with FNS, the study team revised the </w:t>
      </w:r>
      <w:r w:rsidR="002E524B">
        <w:t xml:space="preserve">instrument based on pre-test findings. The final instrument is </w:t>
      </w:r>
      <w:r w:rsidR="00902BA0">
        <w:t xml:space="preserve">included as </w:t>
      </w:r>
      <w:r w:rsidR="002E524B">
        <w:t xml:space="preserve">an </w:t>
      </w:r>
      <w:r w:rsidR="00902BA0">
        <w:t xml:space="preserve">attachment. </w:t>
      </w:r>
    </w:p>
    <w:p w:rsidR="00451FEE" w:rsidRDefault="007D61DF" w:rsidP="00CA71BA">
      <w:pPr>
        <w:pStyle w:val="Heading3"/>
        <w:spacing w:after="0" w:line="480" w:lineRule="auto"/>
      </w:pPr>
      <w:bookmarkStart w:id="22" w:name="_Toc402174659"/>
      <w:r w:rsidRPr="005F0633">
        <w:t xml:space="preserve">B.5. </w:t>
      </w:r>
      <w:r w:rsidR="00E114C3" w:rsidRPr="005F0633">
        <w:t>Provide the name and telephone number of individuals consulted on statistical aspects of the design and the name of the agency unit, contractor(s), grantee(s), or other person(s) who will actually collect and/or analyze the information for the agency.</w:t>
      </w:r>
      <w:bookmarkEnd w:id="22"/>
    </w:p>
    <w:p w:rsidR="00451FEE" w:rsidRDefault="00451FEE" w:rsidP="00D266E7">
      <w:pPr>
        <w:pStyle w:val="NormalSS"/>
        <w:spacing w:after="0"/>
        <w:ind w:left="540" w:firstLine="0"/>
      </w:pPr>
      <w:r>
        <w:t>Gretchen Rowe</w:t>
      </w:r>
    </w:p>
    <w:p w:rsidR="00451FEE" w:rsidRDefault="00451FEE" w:rsidP="00D266E7">
      <w:pPr>
        <w:pStyle w:val="NormalSS"/>
        <w:spacing w:after="0"/>
        <w:ind w:left="540" w:firstLine="0"/>
      </w:pPr>
      <w:r>
        <w:t>Project director</w:t>
      </w:r>
    </w:p>
    <w:p w:rsidR="00451FEE" w:rsidRDefault="00451FEE" w:rsidP="00D266E7">
      <w:pPr>
        <w:pStyle w:val="NormalSS"/>
        <w:spacing w:after="0"/>
        <w:ind w:left="540" w:firstLine="0"/>
      </w:pPr>
      <w:r>
        <w:t>Senior researcher, Mathematica Policy Research</w:t>
      </w:r>
    </w:p>
    <w:p w:rsidR="00451FEE" w:rsidRDefault="00451FEE" w:rsidP="00D266E7">
      <w:pPr>
        <w:pStyle w:val="NormalSS"/>
        <w:spacing w:after="0"/>
        <w:ind w:left="540" w:firstLine="0"/>
      </w:pPr>
      <w:r>
        <w:t>(202) 484-4221</w:t>
      </w:r>
    </w:p>
    <w:p w:rsidR="00451FEE" w:rsidRDefault="00451FEE" w:rsidP="00D266E7">
      <w:pPr>
        <w:pStyle w:val="NormalSS"/>
        <w:spacing w:after="0"/>
        <w:ind w:left="540" w:firstLine="0"/>
      </w:pPr>
    </w:p>
    <w:p w:rsidR="00451FEE" w:rsidRDefault="00451FEE" w:rsidP="00D266E7">
      <w:pPr>
        <w:pStyle w:val="NormalSS"/>
        <w:spacing w:after="0"/>
        <w:ind w:left="540" w:firstLine="0"/>
      </w:pPr>
      <w:r>
        <w:t>Stephanie Boraas</w:t>
      </w:r>
    </w:p>
    <w:p w:rsidR="00451FEE" w:rsidRDefault="00451FEE" w:rsidP="00D266E7">
      <w:pPr>
        <w:pStyle w:val="NormalSS"/>
        <w:spacing w:after="0"/>
        <w:ind w:left="540" w:firstLine="0"/>
      </w:pPr>
      <w:r>
        <w:t>Survey director</w:t>
      </w:r>
    </w:p>
    <w:p w:rsidR="00451FEE" w:rsidRDefault="00451FEE" w:rsidP="00D266E7">
      <w:pPr>
        <w:pStyle w:val="NormalSS"/>
        <w:spacing w:after="0"/>
        <w:ind w:left="540" w:firstLine="0"/>
      </w:pPr>
      <w:r>
        <w:t>Survey researcher, Mathematica Policy Research</w:t>
      </w:r>
    </w:p>
    <w:p w:rsidR="00451FEE" w:rsidRDefault="00451FEE" w:rsidP="00D266E7">
      <w:pPr>
        <w:pStyle w:val="NormalSS"/>
        <w:spacing w:after="0"/>
        <w:ind w:left="540" w:firstLine="0"/>
      </w:pPr>
      <w:r>
        <w:t>(202) 484-3292</w:t>
      </w:r>
    </w:p>
    <w:p w:rsidR="00451FEE" w:rsidRDefault="00451FEE" w:rsidP="00D266E7">
      <w:pPr>
        <w:pStyle w:val="NormalSS"/>
        <w:spacing w:after="0"/>
        <w:ind w:left="540" w:firstLine="0"/>
      </w:pPr>
    </w:p>
    <w:p w:rsidR="00451FEE" w:rsidRDefault="00451FEE" w:rsidP="00D266E7">
      <w:pPr>
        <w:pStyle w:val="NormalSS"/>
        <w:spacing w:after="0"/>
        <w:ind w:left="540" w:firstLine="0"/>
      </w:pPr>
      <w:r>
        <w:t xml:space="preserve">Nick </w:t>
      </w:r>
      <w:proofErr w:type="spellStart"/>
      <w:r>
        <w:t>Beyler</w:t>
      </w:r>
      <w:proofErr w:type="spellEnd"/>
    </w:p>
    <w:p w:rsidR="00451FEE" w:rsidRDefault="00451FEE" w:rsidP="00D266E7">
      <w:pPr>
        <w:pStyle w:val="NormalSS"/>
        <w:spacing w:after="0"/>
        <w:ind w:left="540" w:firstLine="0"/>
      </w:pPr>
      <w:r>
        <w:t>Statistician</w:t>
      </w:r>
    </w:p>
    <w:p w:rsidR="00451FEE" w:rsidRDefault="00451FEE" w:rsidP="00D266E7">
      <w:pPr>
        <w:pStyle w:val="NormalSS"/>
        <w:spacing w:after="0"/>
        <w:ind w:left="540" w:firstLine="0"/>
      </w:pPr>
      <w:r w:rsidRPr="00D20BDA">
        <w:t>Statistician, Mathematica</w:t>
      </w:r>
      <w:r>
        <w:t xml:space="preserve"> Policy Research</w:t>
      </w:r>
    </w:p>
    <w:p w:rsidR="00451FEE" w:rsidRPr="00D20BDA" w:rsidRDefault="00451FEE" w:rsidP="000F1B60">
      <w:pPr>
        <w:pStyle w:val="NormalSS"/>
        <w:ind w:left="540" w:firstLine="0"/>
      </w:pPr>
      <w:r w:rsidRPr="00D20BDA">
        <w:t>(202) 250-3539</w:t>
      </w:r>
    </w:p>
    <w:p w:rsidR="00451FEE" w:rsidRDefault="00451FEE" w:rsidP="00D266E7">
      <w:pPr>
        <w:pStyle w:val="NormalSS"/>
        <w:spacing w:after="0"/>
        <w:ind w:left="540" w:firstLine="0"/>
      </w:pPr>
      <w:r>
        <w:t>John Hall</w:t>
      </w:r>
    </w:p>
    <w:p w:rsidR="00451FEE" w:rsidRDefault="00451FEE" w:rsidP="00D266E7">
      <w:pPr>
        <w:pStyle w:val="NormalSS"/>
        <w:spacing w:after="0"/>
        <w:ind w:left="540" w:firstLine="0"/>
      </w:pPr>
      <w:r>
        <w:t>Statistician</w:t>
      </w:r>
    </w:p>
    <w:p w:rsidR="00451FEE" w:rsidRDefault="00451FEE" w:rsidP="00D266E7">
      <w:pPr>
        <w:pStyle w:val="NormalSS"/>
        <w:spacing w:after="0"/>
        <w:ind w:left="540" w:firstLine="0"/>
      </w:pPr>
      <w:r>
        <w:t>Senior fellow, Mathematica Policy Research</w:t>
      </w:r>
    </w:p>
    <w:p w:rsidR="00451FEE" w:rsidRDefault="00451FEE" w:rsidP="00D266E7">
      <w:pPr>
        <w:pStyle w:val="NormalSS"/>
        <w:spacing w:after="0"/>
        <w:ind w:left="540" w:firstLine="0"/>
      </w:pPr>
      <w:r>
        <w:t>(609) 275-2357</w:t>
      </w:r>
    </w:p>
    <w:p w:rsidR="00451FEE" w:rsidRDefault="00451FEE" w:rsidP="00D266E7">
      <w:pPr>
        <w:pStyle w:val="NormalSS"/>
        <w:spacing w:after="0"/>
        <w:ind w:left="540" w:firstLine="0"/>
      </w:pPr>
    </w:p>
    <w:p w:rsidR="00451FEE" w:rsidRDefault="00451FEE" w:rsidP="00D266E7">
      <w:pPr>
        <w:pStyle w:val="NormalSS"/>
        <w:spacing w:after="0"/>
        <w:ind w:left="540" w:firstLine="0"/>
      </w:pPr>
      <w:r>
        <w:t>Bonnie Harvey</w:t>
      </w:r>
    </w:p>
    <w:p w:rsidR="00451FEE" w:rsidRDefault="00451FEE" w:rsidP="00D266E7">
      <w:pPr>
        <w:pStyle w:val="NormalSS"/>
        <w:spacing w:after="0"/>
        <w:ind w:left="540" w:firstLine="0"/>
      </w:pPr>
      <w:r>
        <w:t>Statistical assistant</w:t>
      </w:r>
    </w:p>
    <w:p w:rsidR="00451FEE" w:rsidRDefault="00451FEE" w:rsidP="00D266E7">
      <w:pPr>
        <w:pStyle w:val="NormalSS"/>
        <w:spacing w:after="0"/>
        <w:ind w:left="540" w:firstLine="0"/>
      </w:pPr>
      <w:r>
        <w:t>Statistical assistant, Mathematica Policy Research</w:t>
      </w:r>
    </w:p>
    <w:p w:rsidR="00451FEE" w:rsidRPr="00D20BDA" w:rsidRDefault="00451FEE" w:rsidP="00D266E7">
      <w:pPr>
        <w:pStyle w:val="NormalSS"/>
        <w:ind w:firstLine="540"/>
      </w:pPr>
      <w:r w:rsidRPr="00D20BDA">
        <w:t>(202) 552-6409</w:t>
      </w:r>
    </w:p>
    <w:p w:rsidR="00451FEE" w:rsidRDefault="00451FEE" w:rsidP="00D266E7">
      <w:pPr>
        <w:pStyle w:val="NormalSS"/>
        <w:spacing w:after="0"/>
        <w:ind w:left="180" w:firstLine="360"/>
      </w:pPr>
      <w:r>
        <w:t>Frank Potter</w:t>
      </w:r>
    </w:p>
    <w:p w:rsidR="00451FEE" w:rsidRDefault="00451FEE" w:rsidP="00D266E7">
      <w:pPr>
        <w:pStyle w:val="NormalSS"/>
        <w:spacing w:after="0"/>
        <w:ind w:left="180" w:firstLine="360"/>
      </w:pPr>
      <w:r>
        <w:t>Statistician</w:t>
      </w:r>
    </w:p>
    <w:p w:rsidR="00451FEE" w:rsidRDefault="00451FEE" w:rsidP="00D266E7">
      <w:pPr>
        <w:pStyle w:val="NormalSS"/>
        <w:spacing w:after="0"/>
        <w:ind w:left="180" w:firstLine="360"/>
      </w:pPr>
      <w:r>
        <w:t>Senior fellow, Mathematica Policy Research</w:t>
      </w:r>
    </w:p>
    <w:p w:rsidR="00451FEE" w:rsidRPr="00D20BDA" w:rsidRDefault="00451FEE" w:rsidP="00D266E7">
      <w:pPr>
        <w:pStyle w:val="NormalSS"/>
        <w:ind w:firstLine="540"/>
      </w:pPr>
      <w:r w:rsidRPr="00D20BDA">
        <w:t>(609) 945-6573</w:t>
      </w:r>
    </w:p>
    <w:p w:rsidR="00D87C49" w:rsidRPr="00140635" w:rsidRDefault="00D87C49" w:rsidP="000F1B60">
      <w:pPr>
        <w:pStyle w:val="NormalSS"/>
        <w:spacing w:after="0"/>
        <w:ind w:left="540" w:firstLine="0"/>
        <w:rPr>
          <w:szCs w:val="24"/>
        </w:rPr>
      </w:pPr>
      <w:r w:rsidRPr="00140635">
        <w:rPr>
          <w:szCs w:val="24"/>
        </w:rPr>
        <w:t>Vivian Gabor</w:t>
      </w:r>
    </w:p>
    <w:p w:rsidR="00D87C49" w:rsidRPr="00140635" w:rsidRDefault="00D87C49" w:rsidP="000F1B60">
      <w:pPr>
        <w:pStyle w:val="NormalSS"/>
        <w:spacing w:after="0"/>
        <w:ind w:left="540" w:firstLine="0"/>
        <w:rPr>
          <w:szCs w:val="24"/>
        </w:rPr>
      </w:pPr>
      <w:r w:rsidRPr="00140635">
        <w:rPr>
          <w:szCs w:val="24"/>
        </w:rPr>
        <w:t>Principal, Gabor &amp; Associates</w:t>
      </w:r>
      <w:r>
        <w:rPr>
          <w:szCs w:val="24"/>
        </w:rPr>
        <w:t xml:space="preserve"> Consulting</w:t>
      </w:r>
    </w:p>
    <w:p w:rsidR="00D87C49" w:rsidRPr="007B30B0" w:rsidRDefault="00D87C49" w:rsidP="000F1B60">
      <w:pPr>
        <w:pStyle w:val="NormalSS"/>
        <w:spacing w:after="0"/>
        <w:ind w:left="540" w:firstLine="0"/>
        <w:rPr>
          <w:szCs w:val="24"/>
          <w:lang w:val="fr-FR"/>
        </w:rPr>
      </w:pPr>
      <w:r w:rsidRPr="007B30B0">
        <w:rPr>
          <w:szCs w:val="24"/>
          <w:lang w:val="fr-FR"/>
        </w:rPr>
        <w:t>(202) 841-3071</w:t>
      </w:r>
    </w:p>
    <w:p w:rsidR="00D87C49" w:rsidRPr="007B30B0" w:rsidRDefault="00D87C49" w:rsidP="00D87C49">
      <w:pPr>
        <w:pStyle w:val="NormalSS"/>
        <w:spacing w:after="0"/>
        <w:ind w:left="450" w:firstLine="0"/>
        <w:rPr>
          <w:lang w:val="fr-FR"/>
        </w:rPr>
      </w:pPr>
    </w:p>
    <w:p w:rsidR="00CA71BA" w:rsidRPr="007B30B0" w:rsidRDefault="00CA71BA">
      <w:pPr>
        <w:spacing w:after="240" w:line="240" w:lineRule="auto"/>
        <w:ind w:firstLine="0"/>
        <w:rPr>
          <w:lang w:val="fr-FR"/>
        </w:rPr>
      </w:pPr>
      <w:r w:rsidRPr="007B30B0">
        <w:rPr>
          <w:lang w:val="fr-FR"/>
        </w:rPr>
        <w:br w:type="page"/>
      </w:r>
    </w:p>
    <w:p w:rsidR="00AA24D5" w:rsidRPr="007B30B0" w:rsidRDefault="00D87C49">
      <w:pPr>
        <w:pStyle w:val="NormalSS"/>
        <w:spacing w:after="0"/>
        <w:ind w:left="108"/>
        <w:rPr>
          <w:lang w:val="fr-FR"/>
        </w:rPr>
      </w:pPr>
      <w:r w:rsidRPr="007B30B0">
        <w:rPr>
          <w:lang w:val="fr-FR"/>
        </w:rPr>
        <w:lastRenderedPageBreak/>
        <w:t>Alicia Kon</w:t>
      </w:r>
      <w:r w:rsidRPr="007B30B0">
        <w:rPr>
          <w:color w:val="000000"/>
          <w:szCs w:val="24"/>
          <w:lang w:val="fr-FR"/>
        </w:rPr>
        <w:t>é</w:t>
      </w:r>
    </w:p>
    <w:p w:rsidR="00AA24D5" w:rsidRPr="007B30B0" w:rsidRDefault="00D87C49">
      <w:pPr>
        <w:pStyle w:val="NormalSS"/>
        <w:spacing w:after="0"/>
        <w:ind w:left="450" w:firstLine="90"/>
        <w:rPr>
          <w:lang w:val="fr-FR"/>
        </w:rPr>
      </w:pPr>
      <w:r w:rsidRPr="007B30B0">
        <w:rPr>
          <w:lang w:val="fr-FR"/>
        </w:rPr>
        <w:t>Principal, Kon</w:t>
      </w:r>
      <w:r w:rsidRPr="007B30B0">
        <w:rPr>
          <w:color w:val="000000"/>
          <w:szCs w:val="24"/>
          <w:lang w:val="fr-FR"/>
        </w:rPr>
        <w:t>é</w:t>
      </w:r>
      <w:r w:rsidRPr="007B30B0">
        <w:rPr>
          <w:lang w:val="fr-FR"/>
        </w:rPr>
        <w:t xml:space="preserve"> Consulting</w:t>
      </w:r>
    </w:p>
    <w:p w:rsidR="00D87C49" w:rsidRPr="007B30B0" w:rsidRDefault="00D87C49" w:rsidP="00D87C49">
      <w:pPr>
        <w:pStyle w:val="NormalSS"/>
        <w:spacing w:after="0"/>
        <w:ind w:left="180" w:firstLine="360"/>
        <w:rPr>
          <w:lang w:val="fr-FR"/>
        </w:rPr>
      </w:pPr>
      <w:r w:rsidRPr="007B30B0">
        <w:rPr>
          <w:lang w:val="fr-FR"/>
        </w:rPr>
        <w:t>(425) 275-2895</w:t>
      </w:r>
    </w:p>
    <w:p w:rsidR="00D87C49" w:rsidRPr="007B30B0" w:rsidRDefault="00D87C49" w:rsidP="00D87C49">
      <w:pPr>
        <w:pStyle w:val="NormalSS"/>
        <w:spacing w:after="0"/>
        <w:ind w:left="180" w:firstLine="360"/>
        <w:rPr>
          <w:lang w:val="fr-FR"/>
        </w:rPr>
      </w:pPr>
    </w:p>
    <w:p w:rsidR="00451FEE" w:rsidRDefault="00451FEE" w:rsidP="00D266E7">
      <w:pPr>
        <w:pStyle w:val="NormalSS"/>
        <w:spacing w:after="0"/>
        <w:ind w:left="180" w:firstLine="360"/>
      </w:pPr>
      <w:r>
        <w:t>Claire Wilson</w:t>
      </w:r>
    </w:p>
    <w:p w:rsidR="00451FEE" w:rsidRDefault="00451FEE" w:rsidP="00D266E7">
      <w:pPr>
        <w:pStyle w:val="NormalSS"/>
        <w:spacing w:after="0"/>
        <w:ind w:left="180" w:firstLine="360"/>
      </w:pPr>
      <w:r>
        <w:t>Focus group task leader</w:t>
      </w:r>
    </w:p>
    <w:p w:rsidR="00451FEE" w:rsidRDefault="00451FEE" w:rsidP="00D266E7">
      <w:pPr>
        <w:pStyle w:val="NormalSS"/>
        <w:spacing w:after="0"/>
        <w:ind w:left="180" w:firstLine="360"/>
      </w:pPr>
      <w:r>
        <w:t>Executive director of research, Insight Policy Research</w:t>
      </w:r>
    </w:p>
    <w:p w:rsidR="00451FEE" w:rsidRDefault="00451FEE" w:rsidP="00D266E7">
      <w:pPr>
        <w:pStyle w:val="NormalSS"/>
        <w:spacing w:after="0"/>
        <w:ind w:left="180" w:firstLine="360"/>
      </w:pPr>
      <w:r>
        <w:t>(703) 504-9484</w:t>
      </w:r>
    </w:p>
    <w:p w:rsidR="00451FEE" w:rsidRDefault="00451FEE" w:rsidP="00D266E7">
      <w:pPr>
        <w:pStyle w:val="NormalSS"/>
        <w:spacing w:after="0"/>
        <w:ind w:left="180" w:firstLine="360"/>
      </w:pPr>
    </w:p>
    <w:p w:rsidR="00451FEE" w:rsidRDefault="00451FEE" w:rsidP="00D266E7">
      <w:pPr>
        <w:pStyle w:val="NormalSS"/>
        <w:spacing w:after="0"/>
        <w:ind w:left="180" w:firstLine="360"/>
      </w:pPr>
      <w:r>
        <w:t>Brian Estes</w:t>
      </w:r>
    </w:p>
    <w:p w:rsidR="00451FEE" w:rsidRDefault="00451FEE" w:rsidP="00D266E7">
      <w:pPr>
        <w:pStyle w:val="NormalSS"/>
        <w:spacing w:after="0"/>
        <w:ind w:left="180" w:firstLine="360"/>
      </w:pPr>
      <w:r>
        <w:t>Senior researcher</w:t>
      </w:r>
    </w:p>
    <w:p w:rsidR="00451FEE" w:rsidRDefault="00451FEE" w:rsidP="00D266E7">
      <w:pPr>
        <w:pStyle w:val="NormalSS"/>
        <w:spacing w:after="0"/>
        <w:ind w:left="180" w:firstLine="360"/>
      </w:pPr>
      <w:r>
        <w:t>Senior researcher, Insight Policy Research</w:t>
      </w:r>
    </w:p>
    <w:p w:rsidR="00451FEE" w:rsidRDefault="00451FEE">
      <w:pPr>
        <w:pStyle w:val="NormalSS"/>
        <w:spacing w:after="0"/>
        <w:ind w:left="180" w:firstLine="360"/>
      </w:pPr>
      <w:r>
        <w:t xml:space="preserve">(703) 504-9492 </w:t>
      </w:r>
    </w:p>
    <w:p w:rsidR="003170A6" w:rsidRDefault="003170A6">
      <w:pPr>
        <w:pStyle w:val="NormalSS"/>
        <w:spacing w:after="0"/>
        <w:ind w:left="180" w:firstLine="360"/>
      </w:pPr>
    </w:p>
    <w:p w:rsidR="009F36E8" w:rsidRDefault="009F36E8" w:rsidP="000F1B60">
      <w:pPr>
        <w:pStyle w:val="NormalSS"/>
        <w:spacing w:after="0"/>
        <w:ind w:firstLine="540"/>
      </w:pPr>
      <w:r>
        <w:t>Leslie Smith</w:t>
      </w:r>
      <w:r w:rsidRPr="002407CD">
        <w:t xml:space="preserve"> </w:t>
      </w:r>
    </w:p>
    <w:p w:rsidR="009F36E8" w:rsidRDefault="009F36E8" w:rsidP="000F1B60">
      <w:pPr>
        <w:pStyle w:val="NormalSS"/>
        <w:spacing w:after="0"/>
        <w:ind w:firstLine="540"/>
      </w:pPr>
      <w:r w:rsidRPr="002407CD">
        <w:t>Methodology Division</w:t>
      </w:r>
    </w:p>
    <w:p w:rsidR="009F36E8" w:rsidRDefault="009F36E8" w:rsidP="000F1B60">
      <w:pPr>
        <w:pStyle w:val="NormalSS"/>
        <w:spacing w:after="0"/>
        <w:ind w:firstLine="540"/>
      </w:pPr>
      <w:r w:rsidRPr="002407CD">
        <w:t>U</w:t>
      </w:r>
      <w:r>
        <w:t xml:space="preserve">nited </w:t>
      </w:r>
      <w:r w:rsidRPr="002407CD">
        <w:t>S</w:t>
      </w:r>
      <w:r>
        <w:t xml:space="preserve">tates </w:t>
      </w:r>
      <w:r w:rsidRPr="002407CD">
        <w:t>D</w:t>
      </w:r>
      <w:r>
        <w:t xml:space="preserve">epartment of </w:t>
      </w:r>
      <w:r w:rsidRPr="002407CD">
        <w:t>A</w:t>
      </w:r>
      <w:r>
        <w:t>griculture</w:t>
      </w:r>
      <w:r w:rsidRPr="002407CD">
        <w:t>-N</w:t>
      </w:r>
      <w:r>
        <w:t xml:space="preserve">ational Agricultural </w:t>
      </w:r>
      <w:r w:rsidRPr="002407CD">
        <w:t>S</w:t>
      </w:r>
      <w:r>
        <w:t xml:space="preserve">tatistics </w:t>
      </w:r>
      <w:r w:rsidRPr="002407CD">
        <w:t>S</w:t>
      </w:r>
      <w:r>
        <w:t>ervice</w:t>
      </w:r>
      <w:r w:rsidRPr="002407CD">
        <w:t xml:space="preserve"> </w:t>
      </w:r>
    </w:p>
    <w:p w:rsidR="003170A6" w:rsidRDefault="009F36E8" w:rsidP="009F36E8">
      <w:pPr>
        <w:pStyle w:val="NormalSS"/>
        <w:spacing w:after="0"/>
        <w:ind w:left="180" w:firstLine="360"/>
      </w:pPr>
      <w:r w:rsidDel="009F36E8">
        <w:t xml:space="preserve"> </w:t>
      </w:r>
    </w:p>
    <w:p w:rsidR="00451FEE" w:rsidRDefault="00451FEE">
      <w:pPr>
        <w:pStyle w:val="Heading1"/>
      </w:pPr>
      <w:bookmarkStart w:id="23" w:name="_Toc402174660"/>
      <w:r>
        <w:t>References</w:t>
      </w:r>
      <w:bookmarkEnd w:id="23"/>
    </w:p>
    <w:p w:rsidR="00451FEE" w:rsidRDefault="00451FEE" w:rsidP="00CA71BA">
      <w:pPr>
        <w:pStyle w:val="References"/>
        <w:spacing w:after="0" w:line="480" w:lineRule="auto"/>
        <w:rPr>
          <w:b/>
        </w:rPr>
      </w:pPr>
      <w:proofErr w:type="gramStart"/>
      <w:r w:rsidRPr="00EF607E">
        <w:t xml:space="preserve">De </w:t>
      </w:r>
      <w:proofErr w:type="spellStart"/>
      <w:r w:rsidRPr="00EF607E">
        <w:t>Leeuw</w:t>
      </w:r>
      <w:proofErr w:type="spellEnd"/>
      <w:r w:rsidRPr="00EF607E">
        <w:t xml:space="preserve">, E., M. </w:t>
      </w:r>
      <w:proofErr w:type="spellStart"/>
      <w:r w:rsidRPr="00EF607E">
        <w:t>Callegaro</w:t>
      </w:r>
      <w:proofErr w:type="spellEnd"/>
      <w:r w:rsidRPr="00EF607E">
        <w:t xml:space="preserve">, J. </w:t>
      </w:r>
      <w:proofErr w:type="spellStart"/>
      <w:r w:rsidRPr="00EF607E">
        <w:t>Hox</w:t>
      </w:r>
      <w:proofErr w:type="spellEnd"/>
      <w:r w:rsidRPr="00EF607E">
        <w:t xml:space="preserve">, E. </w:t>
      </w:r>
      <w:proofErr w:type="spellStart"/>
      <w:r w:rsidRPr="00EF607E">
        <w:t>Korendijk</w:t>
      </w:r>
      <w:proofErr w:type="spellEnd"/>
      <w:r w:rsidRPr="00EF607E">
        <w:t xml:space="preserve">, and G. </w:t>
      </w:r>
      <w:proofErr w:type="spellStart"/>
      <w:r w:rsidRPr="00EF607E">
        <w:t>Lensvelt</w:t>
      </w:r>
      <w:proofErr w:type="spellEnd"/>
      <w:r w:rsidRPr="00EF607E">
        <w:t>-Mulders.</w:t>
      </w:r>
      <w:proofErr w:type="gramEnd"/>
      <w:r w:rsidRPr="00EF607E">
        <w:t xml:space="preserve"> </w:t>
      </w:r>
      <w:proofErr w:type="gramStart"/>
      <w:r w:rsidRPr="00EF607E">
        <w:t>“The Influence of Advance Letters on Response in Telephone Surveys.”</w:t>
      </w:r>
      <w:proofErr w:type="gramEnd"/>
      <w:r w:rsidRPr="00EF607E">
        <w:t xml:space="preserve"> </w:t>
      </w:r>
      <w:r w:rsidRPr="00A060AE">
        <w:rPr>
          <w:i/>
        </w:rPr>
        <w:t>Public Opinion Quarterly</w:t>
      </w:r>
      <w:r w:rsidRPr="00A31FB9">
        <w:rPr>
          <w:i/>
        </w:rPr>
        <w:t>,</w:t>
      </w:r>
      <w:r>
        <w:t xml:space="preserve"> </w:t>
      </w:r>
      <w:r w:rsidRPr="00EF607E">
        <w:t xml:space="preserve">vol. 71, </w:t>
      </w:r>
      <w:r>
        <w:t xml:space="preserve">no. 3, </w:t>
      </w:r>
      <w:r w:rsidRPr="00EF607E">
        <w:t>2007, pp. 413</w:t>
      </w:r>
      <w:r>
        <w:t>–</w:t>
      </w:r>
      <w:r w:rsidRPr="00EF607E">
        <w:t>443</w:t>
      </w:r>
      <w:r>
        <w:t xml:space="preserve">. </w:t>
      </w:r>
    </w:p>
    <w:p w:rsidR="00451FEE" w:rsidRPr="00EF607E" w:rsidRDefault="00451FEE" w:rsidP="00CA71BA">
      <w:pPr>
        <w:pStyle w:val="References"/>
        <w:spacing w:after="0" w:line="480" w:lineRule="auto"/>
      </w:pPr>
      <w:proofErr w:type="spellStart"/>
      <w:r w:rsidRPr="00EF607E">
        <w:t>Kass</w:t>
      </w:r>
      <w:proofErr w:type="spellEnd"/>
      <w:r>
        <w:t>, G.</w:t>
      </w:r>
      <w:r w:rsidRPr="00EF607E">
        <w:t xml:space="preserve">V. “An Exploratory Technique for Investigating Large Quantities of Categorical Data.” </w:t>
      </w:r>
      <w:proofErr w:type="gramStart"/>
      <w:r w:rsidRPr="00EF607E">
        <w:rPr>
          <w:i/>
          <w:iCs/>
        </w:rPr>
        <w:t>Applied Statistics</w:t>
      </w:r>
      <w:r w:rsidRPr="00A31FB9">
        <w:rPr>
          <w:i/>
        </w:rPr>
        <w:t>,</w:t>
      </w:r>
      <w:r w:rsidRPr="00EF607E">
        <w:t xml:space="preserve"> vol. 29,</w:t>
      </w:r>
      <w:r>
        <w:t xml:space="preserve"> no. 2,</w:t>
      </w:r>
      <w:r w:rsidRPr="00EF607E">
        <w:t xml:space="preserve"> 1980, pp. 119</w:t>
      </w:r>
      <w:r>
        <w:t>–</w:t>
      </w:r>
      <w:r w:rsidRPr="00EF607E">
        <w:t>127.</w:t>
      </w:r>
      <w:proofErr w:type="gramEnd"/>
      <w:r>
        <w:t xml:space="preserve"> </w:t>
      </w:r>
    </w:p>
    <w:p w:rsidR="00704FA4" w:rsidRDefault="00451FEE" w:rsidP="00CA71BA">
      <w:pPr>
        <w:pStyle w:val="References"/>
        <w:spacing w:after="0" w:line="480" w:lineRule="auto"/>
      </w:pPr>
      <w:proofErr w:type="spellStart"/>
      <w:proofErr w:type="gramStart"/>
      <w:r w:rsidRPr="005940F3">
        <w:t>Matulewicz</w:t>
      </w:r>
      <w:proofErr w:type="spellEnd"/>
      <w:r>
        <w:t>, H., and J. Coburn.</w:t>
      </w:r>
      <w:proofErr w:type="gramEnd"/>
      <w:r>
        <w:t xml:space="preserve"> “</w:t>
      </w:r>
      <w:r w:rsidRPr="005940F3">
        <w:t>Universal Design for Web Surveys: Practical Guidelines.”</w:t>
      </w:r>
      <w:r>
        <w:t xml:space="preserve"> </w:t>
      </w:r>
      <w:proofErr w:type="gramStart"/>
      <w:r w:rsidRPr="00A060AE">
        <w:rPr>
          <w:i/>
        </w:rPr>
        <w:t>Survey Practice</w:t>
      </w:r>
      <w:r w:rsidRPr="00A31FB9">
        <w:rPr>
          <w:i/>
        </w:rPr>
        <w:t>,</w:t>
      </w:r>
      <w:r>
        <w:t xml:space="preserve"> vol. 1, no. 4, 2008.</w:t>
      </w:r>
      <w:proofErr w:type="gramEnd"/>
      <w:r>
        <w:t xml:space="preserve"> </w:t>
      </w:r>
    </w:p>
    <w:p w:rsidR="00704FA4" w:rsidRDefault="00704FA4" w:rsidP="00CA71BA">
      <w:pPr>
        <w:pStyle w:val="References"/>
        <w:spacing w:after="0" w:line="480" w:lineRule="auto"/>
        <w:rPr>
          <w:szCs w:val="24"/>
        </w:rPr>
      </w:pPr>
      <w:r>
        <w:rPr>
          <w:szCs w:val="24"/>
        </w:rPr>
        <w:t xml:space="preserve">Potter, Francis J. “A Study of Procedures to Identify and Trim Extreme Sampling Weights.” </w:t>
      </w:r>
      <w:proofErr w:type="gramStart"/>
      <w:r>
        <w:rPr>
          <w:szCs w:val="24"/>
        </w:rPr>
        <w:t xml:space="preserve">In </w:t>
      </w:r>
      <w:r>
        <w:rPr>
          <w:i/>
          <w:szCs w:val="24"/>
        </w:rPr>
        <w:t>Proceedings of the American Statistical Association, Section on Survey Research Methods.</w:t>
      </w:r>
      <w:proofErr w:type="gramEnd"/>
      <w:r>
        <w:rPr>
          <w:szCs w:val="24"/>
        </w:rPr>
        <w:t xml:space="preserve"> Alexandria, VA: American Statistical Association, 1990, pp. 225</w:t>
      </w:r>
      <w:r>
        <w:rPr>
          <w:szCs w:val="24"/>
        </w:rPr>
        <w:noBreakHyphen/>
        <w:t>230.</w:t>
      </w:r>
    </w:p>
    <w:p w:rsidR="0068230E" w:rsidRPr="00F6063A" w:rsidRDefault="00451FEE" w:rsidP="00CA71BA">
      <w:pPr>
        <w:pStyle w:val="References"/>
        <w:spacing w:after="0" w:line="480" w:lineRule="auto"/>
      </w:pPr>
      <w:proofErr w:type="spellStart"/>
      <w:proofErr w:type="gramStart"/>
      <w:r>
        <w:t>Zickuhr</w:t>
      </w:r>
      <w:proofErr w:type="spellEnd"/>
      <w:r>
        <w:t xml:space="preserve">, K., </w:t>
      </w:r>
      <w:r w:rsidRPr="00EF607E">
        <w:t>and A. Smith.</w:t>
      </w:r>
      <w:proofErr w:type="gramEnd"/>
      <w:r w:rsidRPr="00EF607E">
        <w:t xml:space="preserve"> </w:t>
      </w:r>
      <w:proofErr w:type="gramStart"/>
      <w:r w:rsidRPr="00EF607E">
        <w:t>“Digital Differences.”</w:t>
      </w:r>
      <w:proofErr w:type="gramEnd"/>
      <w:r w:rsidRPr="00EF607E">
        <w:t xml:space="preserve"> </w:t>
      </w:r>
      <w:r>
        <w:t>Washington, DC:</w:t>
      </w:r>
      <w:r w:rsidRPr="00EF607E">
        <w:t xml:space="preserve"> Pew Research Center’s Internet &amp; American Life Project</w:t>
      </w:r>
      <w:r>
        <w:t xml:space="preserve">, </w:t>
      </w:r>
      <w:r w:rsidRPr="00EF607E">
        <w:t>April 12, 2012.</w:t>
      </w:r>
      <w:r>
        <w:t xml:space="preserve"> </w:t>
      </w:r>
    </w:p>
    <w:sectPr w:rsidR="0068230E" w:rsidRPr="00F6063A" w:rsidSect="00CF2E0C">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13B" w:rsidRDefault="0000313B" w:rsidP="002E3E35">
      <w:pPr>
        <w:spacing w:line="240" w:lineRule="auto"/>
      </w:pPr>
      <w:r>
        <w:separator/>
      </w:r>
    </w:p>
  </w:endnote>
  <w:endnote w:type="continuationSeparator" w:id="0">
    <w:p w:rsidR="0000313B" w:rsidRDefault="0000313B"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Lucida Sans">
    <w:panose1 w:val="020B06020405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13B" w:rsidRPr="00A12B64" w:rsidRDefault="0000313B" w:rsidP="00455D47">
    <w:pPr>
      <w:pStyle w:val="Footer"/>
      <w:pBdr>
        <w:bottom w:val="none" w:sz="0" w:space="0" w:color="auto"/>
      </w:pBdr>
      <w:tabs>
        <w:tab w:val="clear" w:pos="4320"/>
        <w:tab w:val="right" w:leader="underscore" w:pos="8539"/>
      </w:tabs>
      <w:spacing w:line="192" w:lineRule="auto"/>
      <w:rPr>
        <w:rFonts w:cs="Arial"/>
        <w:snapToGrid w:val="0"/>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13B" w:rsidRPr="00A12B64" w:rsidRDefault="0000313B" w:rsidP="00455D47">
    <w:pPr>
      <w:pStyle w:val="Footer"/>
      <w:pBdr>
        <w:bottom w:val="none" w:sz="0" w:space="0" w:color="auto"/>
      </w:pBdr>
      <w:tabs>
        <w:tab w:val="clear" w:pos="4320"/>
        <w:tab w:val="right" w:leader="underscore" w:pos="8539"/>
      </w:tabs>
      <w:spacing w:line="192" w:lineRule="auto"/>
      <w:rPr>
        <w:rFonts w:cs="Arial"/>
        <w:snapToGrid w:val="0"/>
        <w:szCs w:val="14"/>
      </w:rPr>
    </w:pPr>
  </w:p>
  <w:p w:rsidR="0000313B" w:rsidRDefault="0000313B" w:rsidP="00370BC5">
    <w:pPr>
      <w:pStyle w:val="Footer"/>
      <w:pBdr>
        <w:top w:val="single" w:sz="2" w:space="1" w:color="auto"/>
        <w:bottom w:val="none" w:sz="0" w:space="0" w:color="auto"/>
      </w:pBdr>
      <w:rPr>
        <w:rStyle w:val="PageNumber"/>
      </w:rPr>
    </w:pPr>
    <w:r w:rsidRPr="00964AB7">
      <w:rPr>
        <w:rStyle w:val="PageNumber"/>
      </w:rPr>
      <w:tab/>
    </w:r>
  </w:p>
  <w:p w:rsidR="0000313B" w:rsidRPr="00964AB7" w:rsidRDefault="0000313B" w:rsidP="00451FEE">
    <w:pPr>
      <w:pStyle w:val="Footer"/>
      <w:pBdr>
        <w:top w:val="single" w:sz="2" w:space="1" w:color="auto"/>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BC2832">
      <w:rPr>
        <w:rStyle w:val="PageNumber"/>
        <w:noProof/>
      </w:rPr>
      <w:t>ii</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13B" w:rsidRDefault="0000313B" w:rsidP="00203E3B">
      <w:pPr>
        <w:spacing w:line="240" w:lineRule="auto"/>
        <w:ind w:firstLine="0"/>
      </w:pPr>
      <w:r>
        <w:separator/>
      </w:r>
    </w:p>
  </w:footnote>
  <w:footnote w:type="continuationSeparator" w:id="0">
    <w:p w:rsidR="0000313B" w:rsidRDefault="0000313B" w:rsidP="00203E3B">
      <w:pPr>
        <w:spacing w:line="240" w:lineRule="auto"/>
        <w:ind w:firstLine="0"/>
      </w:pPr>
      <w:r>
        <w:separator/>
      </w:r>
    </w:p>
    <w:p w:rsidR="0000313B" w:rsidRPr="00157CA2" w:rsidRDefault="0000313B"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 w:id="1">
    <w:p w:rsidR="0000313B" w:rsidRDefault="0000313B" w:rsidP="00451FEE">
      <w:pPr>
        <w:pStyle w:val="FootnoteText"/>
      </w:pPr>
      <w:r>
        <w:rPr>
          <w:rStyle w:val="FootnoteReference"/>
        </w:rPr>
        <w:footnoteRef/>
      </w:r>
      <w:r>
        <w:t xml:space="preserve"> The study team developed the groups to ensure that states providing less common types of activities, such as on-the-job training or higher education, were included. All states provided some type of basic education or upfront training (category 1). Therefore, </w:t>
      </w:r>
      <w:r w:rsidRPr="00451FEE">
        <w:t>the</w:t>
      </w:r>
      <w:r>
        <w:t xml:space="preserve"> study team will </w:t>
      </w:r>
      <w:r w:rsidRPr="0093785D">
        <w:t>first</w:t>
      </w:r>
      <w:r>
        <w:t xml:space="preserve"> assign any states reporting participation in activities under category 2 to that group, then category 3, then category 4. The study team will assign any remaining states to category 1. The study team will not base the assignments on the proportion of participants in each of the categories, but rather on the existence of participation. </w:t>
      </w:r>
    </w:p>
  </w:footnote>
  <w:footnote w:id="2">
    <w:p w:rsidR="0000313B" w:rsidRDefault="0000313B">
      <w:pPr>
        <w:pStyle w:val="FootnoteText"/>
      </w:pPr>
      <w:r>
        <w:rPr>
          <w:rStyle w:val="FootnoteReference"/>
        </w:rPr>
        <w:footnoteRef/>
      </w:r>
      <w:r>
        <w:t xml:space="preserve"> </w:t>
      </w:r>
      <w:r w:rsidRPr="009146C3">
        <w:t xml:space="preserve">Address service means that the </w:t>
      </w:r>
      <w:r>
        <w:t>U.S. P</w:t>
      </w:r>
      <w:r w:rsidRPr="009146C3">
        <w:t>ost</w:t>
      </w:r>
      <w:r>
        <w:t>al</w:t>
      </w:r>
      <w:r w:rsidRPr="009146C3">
        <w:t xml:space="preserve"> </w:t>
      </w:r>
      <w:r>
        <w:t>Service</w:t>
      </w:r>
      <w:r w:rsidRPr="009146C3">
        <w:t xml:space="preserve"> will return mail to the sender if </w:t>
      </w:r>
      <w:r>
        <w:t>the mail</w:t>
      </w:r>
      <w:r w:rsidRPr="009146C3">
        <w:t xml:space="preserve"> contains a wrong address. If a forwarding address</w:t>
      </w:r>
      <w:r>
        <w:t xml:space="preserve"> for the recipient</w:t>
      </w:r>
      <w:r w:rsidRPr="009146C3">
        <w:t xml:space="preserve"> is available, </w:t>
      </w:r>
      <w:r>
        <w:t>the new address</w:t>
      </w:r>
      <w:r w:rsidRPr="009146C3">
        <w:t xml:space="preserve"> </w:t>
      </w:r>
      <w:r w:rsidRPr="00FA4A16">
        <w:t>will</w:t>
      </w:r>
      <w:r>
        <w:t xml:space="preserve"> </w:t>
      </w:r>
      <w:r w:rsidRPr="0071381D">
        <w:t>be</w:t>
      </w:r>
      <w:r w:rsidRPr="009146C3">
        <w:t xml:space="preserve"> attached</w:t>
      </w:r>
      <w:r>
        <w:t xml:space="preserve"> to the letter and be mailed.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13B" w:rsidRPr="00CF2E0C" w:rsidRDefault="0000313B" w:rsidP="00CF2E0C">
    <w:pPr>
      <w:pStyle w:val="Header"/>
      <w:pBdr>
        <w:bottom w:val="none" w:sz="0" w:space="0" w:color="auto"/>
      </w:pBdr>
      <w:rPr>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13B" w:rsidRPr="00C44B5B" w:rsidRDefault="0000313B" w:rsidP="002E3E35">
    <w:pPr>
      <w:pStyle w:val="Header"/>
      <w:rPr>
        <w:rFonts w:cs="Arial"/>
        <w:i/>
        <w:szCs w:val="14"/>
      </w:rPr>
    </w:pPr>
    <w:r>
      <w:t>OMB Supporting statement Part B: snap E&amp;t study</w:t>
    </w:r>
    <w:r w:rsidRPr="006F6DD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5">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0"/>
  </w:num>
  <w:num w:numId="4">
    <w:abstractNumId w:val="1"/>
  </w:num>
  <w:num w:numId="5">
    <w:abstractNumId w:val="9"/>
  </w:num>
  <w:num w:numId="6">
    <w:abstractNumId w:val="7"/>
  </w:num>
  <w:num w:numId="7">
    <w:abstractNumId w:val="4"/>
  </w:num>
  <w:num w:numId="8">
    <w:abstractNumId w:val="3"/>
  </w:num>
  <w:num w:numId="9">
    <w:abstractNumId w:val="6"/>
  </w:num>
  <w:num w:numId="10">
    <w:abstractNumId w:val="2"/>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efaultTabStop w:val="432"/>
  <w:characterSpacingControl w:val="doNotCompress"/>
  <w:hdrShapeDefaults>
    <o:shapedefaults v:ext="edit" spidmax="62465"/>
  </w:hdrShapeDefaults>
  <w:footnotePr>
    <w:footnote w:id="-1"/>
    <w:footnote w:id="0"/>
  </w:footnotePr>
  <w:endnotePr>
    <w:endnote w:id="-1"/>
    <w:endnote w:id="0"/>
  </w:endnotePr>
  <w:compat>
    <w:useFELayout/>
    <w:compatSetting w:name="compatibilityMode" w:uri="http://schemas.microsoft.com/office/word" w:val="12"/>
  </w:compat>
  <w:rsids>
    <w:rsidRoot w:val="007D61DF"/>
    <w:rsid w:val="000030B1"/>
    <w:rsid w:val="0000313B"/>
    <w:rsid w:val="00010CEE"/>
    <w:rsid w:val="0001587F"/>
    <w:rsid w:val="00016D34"/>
    <w:rsid w:val="00017684"/>
    <w:rsid w:val="00022DBC"/>
    <w:rsid w:val="0002322B"/>
    <w:rsid w:val="0002754E"/>
    <w:rsid w:val="0003265D"/>
    <w:rsid w:val="00032E4E"/>
    <w:rsid w:val="00034667"/>
    <w:rsid w:val="00037F08"/>
    <w:rsid w:val="00040B2C"/>
    <w:rsid w:val="000423BE"/>
    <w:rsid w:val="00042419"/>
    <w:rsid w:val="00042FA8"/>
    <w:rsid w:val="00043B27"/>
    <w:rsid w:val="000477F6"/>
    <w:rsid w:val="00047BDD"/>
    <w:rsid w:val="00056BC1"/>
    <w:rsid w:val="000575D5"/>
    <w:rsid w:val="000578BB"/>
    <w:rsid w:val="00060579"/>
    <w:rsid w:val="000633AA"/>
    <w:rsid w:val="0007041A"/>
    <w:rsid w:val="000855BD"/>
    <w:rsid w:val="00086066"/>
    <w:rsid w:val="0009143A"/>
    <w:rsid w:val="000972E1"/>
    <w:rsid w:val="000A2330"/>
    <w:rsid w:val="000A5226"/>
    <w:rsid w:val="000A5A8D"/>
    <w:rsid w:val="000A6591"/>
    <w:rsid w:val="000A7604"/>
    <w:rsid w:val="000A76F7"/>
    <w:rsid w:val="000A7FB4"/>
    <w:rsid w:val="000B521D"/>
    <w:rsid w:val="000B555A"/>
    <w:rsid w:val="000B764C"/>
    <w:rsid w:val="000C2E3B"/>
    <w:rsid w:val="000C413E"/>
    <w:rsid w:val="000C7D4D"/>
    <w:rsid w:val="000D5B34"/>
    <w:rsid w:val="000D6D88"/>
    <w:rsid w:val="000D70ED"/>
    <w:rsid w:val="000D751A"/>
    <w:rsid w:val="000E0694"/>
    <w:rsid w:val="000E1C2B"/>
    <w:rsid w:val="000E2169"/>
    <w:rsid w:val="000E48D1"/>
    <w:rsid w:val="000E4C3F"/>
    <w:rsid w:val="000F1B60"/>
    <w:rsid w:val="000F677B"/>
    <w:rsid w:val="001119F8"/>
    <w:rsid w:val="00112A5E"/>
    <w:rsid w:val="00113CC8"/>
    <w:rsid w:val="00130C03"/>
    <w:rsid w:val="001311F7"/>
    <w:rsid w:val="0013184F"/>
    <w:rsid w:val="00131F00"/>
    <w:rsid w:val="00136BE4"/>
    <w:rsid w:val="0013709C"/>
    <w:rsid w:val="00144778"/>
    <w:rsid w:val="00146CE3"/>
    <w:rsid w:val="00147515"/>
    <w:rsid w:val="00147A74"/>
    <w:rsid w:val="00154DF1"/>
    <w:rsid w:val="00157CA2"/>
    <w:rsid w:val="001649D5"/>
    <w:rsid w:val="00164BC2"/>
    <w:rsid w:val="00166C62"/>
    <w:rsid w:val="001739F1"/>
    <w:rsid w:val="00181731"/>
    <w:rsid w:val="00181AC8"/>
    <w:rsid w:val="00184421"/>
    <w:rsid w:val="00185CEF"/>
    <w:rsid w:val="001921A4"/>
    <w:rsid w:val="00194A0E"/>
    <w:rsid w:val="0019580C"/>
    <w:rsid w:val="001969F1"/>
    <w:rsid w:val="00196E5A"/>
    <w:rsid w:val="00197503"/>
    <w:rsid w:val="001A3781"/>
    <w:rsid w:val="001B107D"/>
    <w:rsid w:val="001B6DB5"/>
    <w:rsid w:val="001C7FBE"/>
    <w:rsid w:val="001D3544"/>
    <w:rsid w:val="001D39AA"/>
    <w:rsid w:val="001D39EC"/>
    <w:rsid w:val="001D418D"/>
    <w:rsid w:val="001D4CE0"/>
    <w:rsid w:val="001D661F"/>
    <w:rsid w:val="001D7B65"/>
    <w:rsid w:val="001E6E5A"/>
    <w:rsid w:val="00201E7E"/>
    <w:rsid w:val="00203E3B"/>
    <w:rsid w:val="00204AB9"/>
    <w:rsid w:val="00204B23"/>
    <w:rsid w:val="00214E0B"/>
    <w:rsid w:val="00215C5A"/>
    <w:rsid w:val="00215E4D"/>
    <w:rsid w:val="00217FA0"/>
    <w:rsid w:val="00225954"/>
    <w:rsid w:val="0022714B"/>
    <w:rsid w:val="002272CB"/>
    <w:rsid w:val="00231607"/>
    <w:rsid w:val="00247945"/>
    <w:rsid w:val="0025299A"/>
    <w:rsid w:val="00253CD5"/>
    <w:rsid w:val="00253E70"/>
    <w:rsid w:val="00254C89"/>
    <w:rsid w:val="00254E2D"/>
    <w:rsid w:val="00256D04"/>
    <w:rsid w:val="0026025C"/>
    <w:rsid w:val="0026713B"/>
    <w:rsid w:val="00271C83"/>
    <w:rsid w:val="0027245E"/>
    <w:rsid w:val="002733A4"/>
    <w:rsid w:val="002771B3"/>
    <w:rsid w:val="00283304"/>
    <w:rsid w:val="0028360E"/>
    <w:rsid w:val="002869EF"/>
    <w:rsid w:val="0029042C"/>
    <w:rsid w:val="00292A7F"/>
    <w:rsid w:val="00297266"/>
    <w:rsid w:val="002A00E4"/>
    <w:rsid w:val="002A2808"/>
    <w:rsid w:val="002A4F27"/>
    <w:rsid w:val="002A6552"/>
    <w:rsid w:val="002B0CE3"/>
    <w:rsid w:val="002B0E82"/>
    <w:rsid w:val="002B71CD"/>
    <w:rsid w:val="002B76AB"/>
    <w:rsid w:val="002B7C37"/>
    <w:rsid w:val="002C1507"/>
    <w:rsid w:val="002C3CA5"/>
    <w:rsid w:val="002C71CA"/>
    <w:rsid w:val="002D262A"/>
    <w:rsid w:val="002D6763"/>
    <w:rsid w:val="002E06F1"/>
    <w:rsid w:val="002E3E35"/>
    <w:rsid w:val="002E524B"/>
    <w:rsid w:val="002F6E35"/>
    <w:rsid w:val="0030242C"/>
    <w:rsid w:val="00302890"/>
    <w:rsid w:val="00306F1E"/>
    <w:rsid w:val="00310CBE"/>
    <w:rsid w:val="003139AD"/>
    <w:rsid w:val="00315DEC"/>
    <w:rsid w:val="0031638C"/>
    <w:rsid w:val="003170A6"/>
    <w:rsid w:val="0031740A"/>
    <w:rsid w:val="00317FDB"/>
    <w:rsid w:val="003232D9"/>
    <w:rsid w:val="003250D8"/>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83095"/>
    <w:rsid w:val="0038478A"/>
    <w:rsid w:val="00384A00"/>
    <w:rsid w:val="00384E5E"/>
    <w:rsid w:val="003921CA"/>
    <w:rsid w:val="00394544"/>
    <w:rsid w:val="00394CE0"/>
    <w:rsid w:val="00394DAA"/>
    <w:rsid w:val="003969F2"/>
    <w:rsid w:val="00396FD7"/>
    <w:rsid w:val="003A16DA"/>
    <w:rsid w:val="003A501E"/>
    <w:rsid w:val="003A63C1"/>
    <w:rsid w:val="003C012C"/>
    <w:rsid w:val="003C03DC"/>
    <w:rsid w:val="003C3464"/>
    <w:rsid w:val="003C3D79"/>
    <w:rsid w:val="003E1520"/>
    <w:rsid w:val="003E3505"/>
    <w:rsid w:val="003E418E"/>
    <w:rsid w:val="003E7979"/>
    <w:rsid w:val="003F4ADD"/>
    <w:rsid w:val="003F7027"/>
    <w:rsid w:val="003F7D6D"/>
    <w:rsid w:val="00406760"/>
    <w:rsid w:val="00430A83"/>
    <w:rsid w:val="00431084"/>
    <w:rsid w:val="00431FD2"/>
    <w:rsid w:val="00435539"/>
    <w:rsid w:val="00436B58"/>
    <w:rsid w:val="00436BEA"/>
    <w:rsid w:val="00437868"/>
    <w:rsid w:val="004406E3"/>
    <w:rsid w:val="0044335E"/>
    <w:rsid w:val="00451FEE"/>
    <w:rsid w:val="004533DB"/>
    <w:rsid w:val="00455D47"/>
    <w:rsid w:val="0046172A"/>
    <w:rsid w:val="004620FF"/>
    <w:rsid w:val="00462212"/>
    <w:rsid w:val="00464B7F"/>
    <w:rsid w:val="004655C1"/>
    <w:rsid w:val="00465789"/>
    <w:rsid w:val="004662C5"/>
    <w:rsid w:val="0047779E"/>
    <w:rsid w:val="00480779"/>
    <w:rsid w:val="004867C2"/>
    <w:rsid w:val="0049195D"/>
    <w:rsid w:val="00491AB9"/>
    <w:rsid w:val="004934BE"/>
    <w:rsid w:val="00495DE3"/>
    <w:rsid w:val="004A4935"/>
    <w:rsid w:val="004B47D3"/>
    <w:rsid w:val="004C498B"/>
    <w:rsid w:val="004C67B1"/>
    <w:rsid w:val="004D132C"/>
    <w:rsid w:val="004D1EAA"/>
    <w:rsid w:val="004D2C35"/>
    <w:rsid w:val="004D2D80"/>
    <w:rsid w:val="004D6B97"/>
    <w:rsid w:val="004E049B"/>
    <w:rsid w:val="004E69F7"/>
    <w:rsid w:val="004E74D1"/>
    <w:rsid w:val="004F2999"/>
    <w:rsid w:val="004F2BAC"/>
    <w:rsid w:val="004F36C4"/>
    <w:rsid w:val="004F7DB3"/>
    <w:rsid w:val="0050038C"/>
    <w:rsid w:val="0050235E"/>
    <w:rsid w:val="00506F79"/>
    <w:rsid w:val="005257EC"/>
    <w:rsid w:val="00526576"/>
    <w:rsid w:val="00526D08"/>
    <w:rsid w:val="00535221"/>
    <w:rsid w:val="00540352"/>
    <w:rsid w:val="005403E8"/>
    <w:rsid w:val="00551D48"/>
    <w:rsid w:val="005534D2"/>
    <w:rsid w:val="005547CA"/>
    <w:rsid w:val="00555F68"/>
    <w:rsid w:val="005576F8"/>
    <w:rsid w:val="00560D9D"/>
    <w:rsid w:val="00560F0D"/>
    <w:rsid w:val="005720EB"/>
    <w:rsid w:val="00572339"/>
    <w:rsid w:val="00580A6C"/>
    <w:rsid w:val="00582310"/>
    <w:rsid w:val="00585F60"/>
    <w:rsid w:val="005903AC"/>
    <w:rsid w:val="005975FE"/>
    <w:rsid w:val="005A151B"/>
    <w:rsid w:val="005A7F69"/>
    <w:rsid w:val="005B3BFB"/>
    <w:rsid w:val="005C055C"/>
    <w:rsid w:val="005C2E96"/>
    <w:rsid w:val="005C40D5"/>
    <w:rsid w:val="005C40E0"/>
    <w:rsid w:val="005D1DEB"/>
    <w:rsid w:val="005D5D21"/>
    <w:rsid w:val="005D61CE"/>
    <w:rsid w:val="005E2B24"/>
    <w:rsid w:val="005E454D"/>
    <w:rsid w:val="005F0633"/>
    <w:rsid w:val="005F28ED"/>
    <w:rsid w:val="005F6F8C"/>
    <w:rsid w:val="005F7ADD"/>
    <w:rsid w:val="005F7FEA"/>
    <w:rsid w:val="006075CC"/>
    <w:rsid w:val="00616DE6"/>
    <w:rsid w:val="00622372"/>
    <w:rsid w:val="00623E13"/>
    <w:rsid w:val="0062545D"/>
    <w:rsid w:val="00633E77"/>
    <w:rsid w:val="006344FE"/>
    <w:rsid w:val="0063644E"/>
    <w:rsid w:val="00636D6D"/>
    <w:rsid w:val="006371A1"/>
    <w:rsid w:val="006404FF"/>
    <w:rsid w:val="00640F0F"/>
    <w:rsid w:val="00655E0C"/>
    <w:rsid w:val="0066062F"/>
    <w:rsid w:val="0066273C"/>
    <w:rsid w:val="0066503E"/>
    <w:rsid w:val="00671099"/>
    <w:rsid w:val="0067358F"/>
    <w:rsid w:val="0067395C"/>
    <w:rsid w:val="00676A56"/>
    <w:rsid w:val="0068215C"/>
    <w:rsid w:val="0068230E"/>
    <w:rsid w:val="006975B6"/>
    <w:rsid w:val="0069799C"/>
    <w:rsid w:val="00697E5B"/>
    <w:rsid w:val="006A465C"/>
    <w:rsid w:val="006A4FFC"/>
    <w:rsid w:val="006B1180"/>
    <w:rsid w:val="006B2425"/>
    <w:rsid w:val="006B3E2E"/>
    <w:rsid w:val="006B4E3F"/>
    <w:rsid w:val="006B6AD5"/>
    <w:rsid w:val="006B6D4A"/>
    <w:rsid w:val="006C2620"/>
    <w:rsid w:val="006C3304"/>
    <w:rsid w:val="006C7956"/>
    <w:rsid w:val="006D03BB"/>
    <w:rsid w:val="006D21FF"/>
    <w:rsid w:val="006E3BD4"/>
    <w:rsid w:val="006E4164"/>
    <w:rsid w:val="006E4C45"/>
    <w:rsid w:val="006F265F"/>
    <w:rsid w:val="006F4AFC"/>
    <w:rsid w:val="006F730C"/>
    <w:rsid w:val="006F73F3"/>
    <w:rsid w:val="00702EB1"/>
    <w:rsid w:val="00702F11"/>
    <w:rsid w:val="007043FD"/>
    <w:rsid w:val="00704FA4"/>
    <w:rsid w:val="00707736"/>
    <w:rsid w:val="0071013F"/>
    <w:rsid w:val="00711B96"/>
    <w:rsid w:val="007222A0"/>
    <w:rsid w:val="00722ACB"/>
    <w:rsid w:val="00734ED3"/>
    <w:rsid w:val="007544B6"/>
    <w:rsid w:val="0075488B"/>
    <w:rsid w:val="00756044"/>
    <w:rsid w:val="007614D4"/>
    <w:rsid w:val="00761C9D"/>
    <w:rsid w:val="00761DA6"/>
    <w:rsid w:val="007700B1"/>
    <w:rsid w:val="007803B1"/>
    <w:rsid w:val="00780B38"/>
    <w:rsid w:val="00781F52"/>
    <w:rsid w:val="007825D9"/>
    <w:rsid w:val="00786660"/>
    <w:rsid w:val="00787CE7"/>
    <w:rsid w:val="007963EB"/>
    <w:rsid w:val="007A1493"/>
    <w:rsid w:val="007A2D95"/>
    <w:rsid w:val="007A2E39"/>
    <w:rsid w:val="007A4FD7"/>
    <w:rsid w:val="007A737B"/>
    <w:rsid w:val="007B1192"/>
    <w:rsid w:val="007B1305"/>
    <w:rsid w:val="007B1E87"/>
    <w:rsid w:val="007B30B0"/>
    <w:rsid w:val="007B4F3D"/>
    <w:rsid w:val="007C6B92"/>
    <w:rsid w:val="007D2AD5"/>
    <w:rsid w:val="007D61DF"/>
    <w:rsid w:val="007D6AE7"/>
    <w:rsid w:val="007D6CFB"/>
    <w:rsid w:val="007E574B"/>
    <w:rsid w:val="007E5750"/>
    <w:rsid w:val="007E6923"/>
    <w:rsid w:val="0080264C"/>
    <w:rsid w:val="008059AC"/>
    <w:rsid w:val="00811638"/>
    <w:rsid w:val="0081484C"/>
    <w:rsid w:val="00814AE7"/>
    <w:rsid w:val="00815382"/>
    <w:rsid w:val="00821341"/>
    <w:rsid w:val="00830296"/>
    <w:rsid w:val="008321D0"/>
    <w:rsid w:val="00833B51"/>
    <w:rsid w:val="008403EE"/>
    <w:rsid w:val="008405D8"/>
    <w:rsid w:val="00841251"/>
    <w:rsid w:val="00841793"/>
    <w:rsid w:val="00841CEB"/>
    <w:rsid w:val="00850302"/>
    <w:rsid w:val="00852D7A"/>
    <w:rsid w:val="008540D9"/>
    <w:rsid w:val="00854CC7"/>
    <w:rsid w:val="00854FD1"/>
    <w:rsid w:val="00865AD4"/>
    <w:rsid w:val="00872A9C"/>
    <w:rsid w:val="00877B02"/>
    <w:rsid w:val="008813AB"/>
    <w:rsid w:val="00882E5C"/>
    <w:rsid w:val="0089611E"/>
    <w:rsid w:val="008A1353"/>
    <w:rsid w:val="008A1D13"/>
    <w:rsid w:val="008A705A"/>
    <w:rsid w:val="008B07B5"/>
    <w:rsid w:val="008B2BAC"/>
    <w:rsid w:val="008B4482"/>
    <w:rsid w:val="008B4E7B"/>
    <w:rsid w:val="008B5ADA"/>
    <w:rsid w:val="008B778F"/>
    <w:rsid w:val="008C0044"/>
    <w:rsid w:val="008C16FA"/>
    <w:rsid w:val="008C39E1"/>
    <w:rsid w:val="008C42DA"/>
    <w:rsid w:val="008C792F"/>
    <w:rsid w:val="008D19C5"/>
    <w:rsid w:val="008D680C"/>
    <w:rsid w:val="008E0151"/>
    <w:rsid w:val="008E725C"/>
    <w:rsid w:val="008F033F"/>
    <w:rsid w:val="008F2984"/>
    <w:rsid w:val="00901CA4"/>
    <w:rsid w:val="00902BA0"/>
    <w:rsid w:val="009059B9"/>
    <w:rsid w:val="00910B00"/>
    <w:rsid w:val="0091313F"/>
    <w:rsid w:val="009147A0"/>
    <w:rsid w:val="009157C5"/>
    <w:rsid w:val="0091711A"/>
    <w:rsid w:val="00917F77"/>
    <w:rsid w:val="009218AA"/>
    <w:rsid w:val="0092292E"/>
    <w:rsid w:val="009250ED"/>
    <w:rsid w:val="009259C2"/>
    <w:rsid w:val="00931483"/>
    <w:rsid w:val="0093204A"/>
    <w:rsid w:val="00932E4E"/>
    <w:rsid w:val="009353EB"/>
    <w:rsid w:val="00935598"/>
    <w:rsid w:val="00944C5E"/>
    <w:rsid w:val="00954468"/>
    <w:rsid w:val="009555B9"/>
    <w:rsid w:val="00957195"/>
    <w:rsid w:val="00962492"/>
    <w:rsid w:val="009625E7"/>
    <w:rsid w:val="00964824"/>
    <w:rsid w:val="00964B48"/>
    <w:rsid w:val="009663BE"/>
    <w:rsid w:val="009766F4"/>
    <w:rsid w:val="00976BF5"/>
    <w:rsid w:val="00981FE2"/>
    <w:rsid w:val="00982052"/>
    <w:rsid w:val="00982410"/>
    <w:rsid w:val="00991067"/>
    <w:rsid w:val="00995D54"/>
    <w:rsid w:val="009A2930"/>
    <w:rsid w:val="009A5344"/>
    <w:rsid w:val="009B11C3"/>
    <w:rsid w:val="009B69E2"/>
    <w:rsid w:val="009B73B2"/>
    <w:rsid w:val="009B76DA"/>
    <w:rsid w:val="009B7DF6"/>
    <w:rsid w:val="009C40AE"/>
    <w:rsid w:val="009D58E7"/>
    <w:rsid w:val="009E2852"/>
    <w:rsid w:val="009E69BF"/>
    <w:rsid w:val="009E6C29"/>
    <w:rsid w:val="009E715C"/>
    <w:rsid w:val="009E756D"/>
    <w:rsid w:val="009E7C89"/>
    <w:rsid w:val="009F33C2"/>
    <w:rsid w:val="009F36E8"/>
    <w:rsid w:val="00A01047"/>
    <w:rsid w:val="00A064A6"/>
    <w:rsid w:val="00A141A7"/>
    <w:rsid w:val="00A219A4"/>
    <w:rsid w:val="00A25844"/>
    <w:rsid w:val="00A26E0C"/>
    <w:rsid w:val="00A270F8"/>
    <w:rsid w:val="00A311C2"/>
    <w:rsid w:val="00A343A5"/>
    <w:rsid w:val="00A3715B"/>
    <w:rsid w:val="00A40FBE"/>
    <w:rsid w:val="00A469D3"/>
    <w:rsid w:val="00A50368"/>
    <w:rsid w:val="00A60379"/>
    <w:rsid w:val="00A606CF"/>
    <w:rsid w:val="00A66515"/>
    <w:rsid w:val="00A66A4E"/>
    <w:rsid w:val="00A73463"/>
    <w:rsid w:val="00A73F0A"/>
    <w:rsid w:val="00A74AFC"/>
    <w:rsid w:val="00A81CB0"/>
    <w:rsid w:val="00A81E86"/>
    <w:rsid w:val="00A8684E"/>
    <w:rsid w:val="00A900BC"/>
    <w:rsid w:val="00A92089"/>
    <w:rsid w:val="00A96CD2"/>
    <w:rsid w:val="00AA1231"/>
    <w:rsid w:val="00AA24D5"/>
    <w:rsid w:val="00AA795E"/>
    <w:rsid w:val="00AB1235"/>
    <w:rsid w:val="00AB496C"/>
    <w:rsid w:val="00AB7AB9"/>
    <w:rsid w:val="00AB7DAD"/>
    <w:rsid w:val="00AC5514"/>
    <w:rsid w:val="00AC603E"/>
    <w:rsid w:val="00AD2206"/>
    <w:rsid w:val="00AD24F3"/>
    <w:rsid w:val="00AE0BD5"/>
    <w:rsid w:val="00AE3DBB"/>
    <w:rsid w:val="00AF0545"/>
    <w:rsid w:val="00AF0C5F"/>
    <w:rsid w:val="00AF429C"/>
    <w:rsid w:val="00B000BE"/>
    <w:rsid w:val="00B01117"/>
    <w:rsid w:val="00B01CB5"/>
    <w:rsid w:val="00B023D9"/>
    <w:rsid w:val="00B02C9E"/>
    <w:rsid w:val="00B0451A"/>
    <w:rsid w:val="00B04DDB"/>
    <w:rsid w:val="00B1116D"/>
    <w:rsid w:val="00B11994"/>
    <w:rsid w:val="00B11C13"/>
    <w:rsid w:val="00B11F80"/>
    <w:rsid w:val="00B176FD"/>
    <w:rsid w:val="00B232DD"/>
    <w:rsid w:val="00B32FDA"/>
    <w:rsid w:val="00B331F4"/>
    <w:rsid w:val="00B33BD4"/>
    <w:rsid w:val="00B42423"/>
    <w:rsid w:val="00B45B86"/>
    <w:rsid w:val="00B4717F"/>
    <w:rsid w:val="00B518EB"/>
    <w:rsid w:val="00B57DCF"/>
    <w:rsid w:val="00B6037C"/>
    <w:rsid w:val="00B62DC6"/>
    <w:rsid w:val="00B648F5"/>
    <w:rsid w:val="00B72C2C"/>
    <w:rsid w:val="00B73D4C"/>
    <w:rsid w:val="00B83B64"/>
    <w:rsid w:val="00B86797"/>
    <w:rsid w:val="00B86E7E"/>
    <w:rsid w:val="00B9069A"/>
    <w:rsid w:val="00B90E1D"/>
    <w:rsid w:val="00B949A7"/>
    <w:rsid w:val="00B973C9"/>
    <w:rsid w:val="00BA025F"/>
    <w:rsid w:val="00BA0343"/>
    <w:rsid w:val="00BA2F05"/>
    <w:rsid w:val="00BA36B1"/>
    <w:rsid w:val="00BA79D9"/>
    <w:rsid w:val="00BB000E"/>
    <w:rsid w:val="00BB4F8E"/>
    <w:rsid w:val="00BB5573"/>
    <w:rsid w:val="00BB5649"/>
    <w:rsid w:val="00BC2562"/>
    <w:rsid w:val="00BC2832"/>
    <w:rsid w:val="00BC3468"/>
    <w:rsid w:val="00BE18A5"/>
    <w:rsid w:val="00BE33C8"/>
    <w:rsid w:val="00BE6894"/>
    <w:rsid w:val="00BF1CE7"/>
    <w:rsid w:val="00BF39D4"/>
    <w:rsid w:val="00BF3F82"/>
    <w:rsid w:val="00BF7326"/>
    <w:rsid w:val="00C03960"/>
    <w:rsid w:val="00C0495F"/>
    <w:rsid w:val="00C138B9"/>
    <w:rsid w:val="00C14871"/>
    <w:rsid w:val="00C20013"/>
    <w:rsid w:val="00C247F2"/>
    <w:rsid w:val="00C2798C"/>
    <w:rsid w:val="00C35F85"/>
    <w:rsid w:val="00C41092"/>
    <w:rsid w:val="00C4142C"/>
    <w:rsid w:val="00C4232B"/>
    <w:rsid w:val="00C44D41"/>
    <w:rsid w:val="00C45A45"/>
    <w:rsid w:val="00C45D90"/>
    <w:rsid w:val="00C47A9D"/>
    <w:rsid w:val="00C51094"/>
    <w:rsid w:val="00C536C6"/>
    <w:rsid w:val="00C5662D"/>
    <w:rsid w:val="00C57CB6"/>
    <w:rsid w:val="00C62485"/>
    <w:rsid w:val="00C6450B"/>
    <w:rsid w:val="00C7488A"/>
    <w:rsid w:val="00C749D7"/>
    <w:rsid w:val="00C81C15"/>
    <w:rsid w:val="00C81CE4"/>
    <w:rsid w:val="00C83353"/>
    <w:rsid w:val="00C906F1"/>
    <w:rsid w:val="00C90FA2"/>
    <w:rsid w:val="00C94B60"/>
    <w:rsid w:val="00C95148"/>
    <w:rsid w:val="00C971DE"/>
    <w:rsid w:val="00CA1FFC"/>
    <w:rsid w:val="00CA6471"/>
    <w:rsid w:val="00CA71BA"/>
    <w:rsid w:val="00CA73BC"/>
    <w:rsid w:val="00CA7F45"/>
    <w:rsid w:val="00CB0072"/>
    <w:rsid w:val="00CB3552"/>
    <w:rsid w:val="00CB4AFD"/>
    <w:rsid w:val="00CB5665"/>
    <w:rsid w:val="00CB77C1"/>
    <w:rsid w:val="00CC2B56"/>
    <w:rsid w:val="00CD0D49"/>
    <w:rsid w:val="00CD148B"/>
    <w:rsid w:val="00CE347E"/>
    <w:rsid w:val="00CE55BF"/>
    <w:rsid w:val="00CE614C"/>
    <w:rsid w:val="00CF2E0C"/>
    <w:rsid w:val="00CF6E72"/>
    <w:rsid w:val="00CF773F"/>
    <w:rsid w:val="00D04B5A"/>
    <w:rsid w:val="00D05BD4"/>
    <w:rsid w:val="00D13A18"/>
    <w:rsid w:val="00D154AE"/>
    <w:rsid w:val="00D17BAD"/>
    <w:rsid w:val="00D206F1"/>
    <w:rsid w:val="00D230FE"/>
    <w:rsid w:val="00D266E7"/>
    <w:rsid w:val="00D267D7"/>
    <w:rsid w:val="00D269FC"/>
    <w:rsid w:val="00D3011C"/>
    <w:rsid w:val="00D3206B"/>
    <w:rsid w:val="00D32D01"/>
    <w:rsid w:val="00D36A2A"/>
    <w:rsid w:val="00D42186"/>
    <w:rsid w:val="00D426AD"/>
    <w:rsid w:val="00D44594"/>
    <w:rsid w:val="00D46CC5"/>
    <w:rsid w:val="00D5415B"/>
    <w:rsid w:val="00D541E7"/>
    <w:rsid w:val="00D71B98"/>
    <w:rsid w:val="00D775F7"/>
    <w:rsid w:val="00D854D7"/>
    <w:rsid w:val="00D8659F"/>
    <w:rsid w:val="00D87C49"/>
    <w:rsid w:val="00D9439C"/>
    <w:rsid w:val="00DA4121"/>
    <w:rsid w:val="00DA4E74"/>
    <w:rsid w:val="00DB0CFD"/>
    <w:rsid w:val="00DB2324"/>
    <w:rsid w:val="00DB2FB8"/>
    <w:rsid w:val="00DC02C5"/>
    <w:rsid w:val="00DC0518"/>
    <w:rsid w:val="00DC1F96"/>
    <w:rsid w:val="00DC2044"/>
    <w:rsid w:val="00DC4702"/>
    <w:rsid w:val="00DC4B62"/>
    <w:rsid w:val="00DC57DB"/>
    <w:rsid w:val="00DD2ADB"/>
    <w:rsid w:val="00DD673B"/>
    <w:rsid w:val="00DE222B"/>
    <w:rsid w:val="00DF25B7"/>
    <w:rsid w:val="00DF3111"/>
    <w:rsid w:val="00DF4330"/>
    <w:rsid w:val="00DF4F75"/>
    <w:rsid w:val="00DF7006"/>
    <w:rsid w:val="00E03DB4"/>
    <w:rsid w:val="00E114C3"/>
    <w:rsid w:val="00E141D5"/>
    <w:rsid w:val="00E15AD4"/>
    <w:rsid w:val="00E16443"/>
    <w:rsid w:val="00E202FA"/>
    <w:rsid w:val="00E218CA"/>
    <w:rsid w:val="00E2458E"/>
    <w:rsid w:val="00E253D5"/>
    <w:rsid w:val="00E25645"/>
    <w:rsid w:val="00E4054A"/>
    <w:rsid w:val="00E4096D"/>
    <w:rsid w:val="00E41FF2"/>
    <w:rsid w:val="00E42570"/>
    <w:rsid w:val="00E4482D"/>
    <w:rsid w:val="00E50C9B"/>
    <w:rsid w:val="00E55240"/>
    <w:rsid w:val="00E57389"/>
    <w:rsid w:val="00E57A14"/>
    <w:rsid w:val="00E604B8"/>
    <w:rsid w:val="00E6337E"/>
    <w:rsid w:val="00E64671"/>
    <w:rsid w:val="00E655FB"/>
    <w:rsid w:val="00E67AF9"/>
    <w:rsid w:val="00E71EDC"/>
    <w:rsid w:val="00E77EEF"/>
    <w:rsid w:val="00E80996"/>
    <w:rsid w:val="00E81DAA"/>
    <w:rsid w:val="00E820A5"/>
    <w:rsid w:val="00E85F06"/>
    <w:rsid w:val="00E877DB"/>
    <w:rsid w:val="00EA0B95"/>
    <w:rsid w:val="00EA2F43"/>
    <w:rsid w:val="00EA74AC"/>
    <w:rsid w:val="00EB175C"/>
    <w:rsid w:val="00EB692B"/>
    <w:rsid w:val="00EB7B14"/>
    <w:rsid w:val="00EC4A25"/>
    <w:rsid w:val="00EC553B"/>
    <w:rsid w:val="00ED039D"/>
    <w:rsid w:val="00ED1A2B"/>
    <w:rsid w:val="00EE11F8"/>
    <w:rsid w:val="00EE3C1D"/>
    <w:rsid w:val="00EF14AC"/>
    <w:rsid w:val="00EF2082"/>
    <w:rsid w:val="00EF4BDF"/>
    <w:rsid w:val="00F028CE"/>
    <w:rsid w:val="00F04524"/>
    <w:rsid w:val="00F0490D"/>
    <w:rsid w:val="00F07599"/>
    <w:rsid w:val="00F1029B"/>
    <w:rsid w:val="00F12333"/>
    <w:rsid w:val="00F14FDC"/>
    <w:rsid w:val="00F165F1"/>
    <w:rsid w:val="00F17959"/>
    <w:rsid w:val="00F220AC"/>
    <w:rsid w:val="00F2315C"/>
    <w:rsid w:val="00F24ED2"/>
    <w:rsid w:val="00F318F6"/>
    <w:rsid w:val="00F326A0"/>
    <w:rsid w:val="00F43593"/>
    <w:rsid w:val="00F44272"/>
    <w:rsid w:val="00F553C3"/>
    <w:rsid w:val="00F567E2"/>
    <w:rsid w:val="00F6063A"/>
    <w:rsid w:val="00F60738"/>
    <w:rsid w:val="00F61242"/>
    <w:rsid w:val="00F6274E"/>
    <w:rsid w:val="00F70118"/>
    <w:rsid w:val="00F770B2"/>
    <w:rsid w:val="00F814A7"/>
    <w:rsid w:val="00F81688"/>
    <w:rsid w:val="00F81C42"/>
    <w:rsid w:val="00F8490E"/>
    <w:rsid w:val="00F85145"/>
    <w:rsid w:val="00F85583"/>
    <w:rsid w:val="00F878F0"/>
    <w:rsid w:val="00F92064"/>
    <w:rsid w:val="00F9218C"/>
    <w:rsid w:val="00F93A13"/>
    <w:rsid w:val="00FA03B3"/>
    <w:rsid w:val="00FB0524"/>
    <w:rsid w:val="00FB5D6C"/>
    <w:rsid w:val="00FC50A5"/>
    <w:rsid w:val="00FC6324"/>
    <w:rsid w:val="00FC7F31"/>
    <w:rsid w:val="00FD327B"/>
    <w:rsid w:val="00FD567C"/>
    <w:rsid w:val="00FE1900"/>
    <w:rsid w:val="00FE3270"/>
    <w:rsid w:val="00FE5257"/>
    <w:rsid w:val="00FE7DA9"/>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uiPriority="22" w:unhideWhenUsed="0" w:qFormat="1"/>
    <w:lsdException w:name="Emphasis"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203E3B"/>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8"/>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qFormat/>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MarkforAppendixHeading">
    <w:name w:val="Mark for Appendix Heading"/>
    <w:basedOn w:val="Normal"/>
    <w:next w:val="Normal"/>
    <w:qFormat/>
    <w:rsid w:val="00451FEE"/>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451FEE"/>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451FEE"/>
  </w:style>
  <w:style w:type="paragraph" w:customStyle="1" w:styleId="MarkforTableHeading">
    <w:name w:val="Mark for Table Heading"/>
    <w:basedOn w:val="Normal"/>
    <w:next w:val="NormalSS"/>
    <w:qFormat/>
    <w:rsid w:val="00451FEE"/>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451FEE"/>
  </w:style>
  <w:style w:type="table" w:customStyle="1" w:styleId="Table">
    <w:name w:val="Table"/>
    <w:basedOn w:val="TableNormal"/>
    <w:uiPriority w:val="99"/>
    <w:qFormat/>
    <w:locked/>
    <w:rsid w:val="00451FEE"/>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table" w:styleId="TableGrid">
    <w:name w:val="Table Grid"/>
    <w:basedOn w:val="TableNormal"/>
    <w:uiPriority w:val="59"/>
    <w:locked/>
    <w:rsid w:val="00451FEE"/>
    <w:pPr>
      <w:spacing w:after="0"/>
    </w:pPr>
    <w:rPr>
      <w:rFonts w:ascii="Arial" w:eastAsia="Times New Roman" w:hAnsi="Arial"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hitesidebar">
    <w:name w:val="white sidebar"/>
    <w:basedOn w:val="Normal"/>
    <w:qFormat/>
    <w:rsid w:val="00451FEE"/>
    <w:pPr>
      <w:spacing w:after="400" w:line="240" w:lineRule="auto"/>
      <w:ind w:firstLine="0"/>
    </w:pPr>
    <w:rPr>
      <w:rFonts w:ascii="Arial Bold" w:hAnsi="Arial Bold" w:cstheme="minorHAnsi"/>
      <w:color w:val="FFFFFF" w:themeColor="background1"/>
    </w:rPr>
  </w:style>
  <w:style w:type="character" w:styleId="CommentReference">
    <w:name w:val="annotation reference"/>
    <w:basedOn w:val="DefaultParagraphFont"/>
    <w:uiPriority w:val="99"/>
    <w:semiHidden/>
    <w:unhideWhenUsed/>
    <w:rsid w:val="00451FEE"/>
    <w:rPr>
      <w:sz w:val="16"/>
      <w:szCs w:val="16"/>
    </w:rPr>
  </w:style>
  <w:style w:type="paragraph" w:styleId="CommentText">
    <w:name w:val="annotation text"/>
    <w:basedOn w:val="Normal"/>
    <w:link w:val="CommentTextChar"/>
    <w:uiPriority w:val="99"/>
    <w:unhideWhenUsed/>
    <w:rsid w:val="00451FEE"/>
    <w:pPr>
      <w:spacing w:line="240" w:lineRule="auto"/>
    </w:pPr>
    <w:rPr>
      <w:sz w:val="20"/>
    </w:rPr>
  </w:style>
  <w:style w:type="character" w:customStyle="1" w:styleId="CommentTextChar">
    <w:name w:val="Comment Text Char"/>
    <w:basedOn w:val="DefaultParagraphFont"/>
    <w:link w:val="CommentText"/>
    <w:uiPriority w:val="99"/>
    <w:rsid w:val="00451FE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51FEE"/>
    <w:rPr>
      <w:b/>
      <w:bCs/>
    </w:rPr>
  </w:style>
  <w:style w:type="character" w:customStyle="1" w:styleId="CommentSubjectChar">
    <w:name w:val="Comment Subject Char"/>
    <w:basedOn w:val="CommentTextChar"/>
    <w:link w:val="CommentSubject"/>
    <w:uiPriority w:val="99"/>
    <w:semiHidden/>
    <w:rsid w:val="00451FEE"/>
    <w:rPr>
      <w:rFonts w:eastAsia="Times New Roman" w:cs="Times New Roman"/>
      <w:b/>
      <w:bCs/>
      <w:sz w:val="20"/>
      <w:szCs w:val="20"/>
    </w:rPr>
  </w:style>
  <w:style w:type="character" w:customStyle="1" w:styleId="NormalSSChar">
    <w:name w:val="NormalSS Char"/>
    <w:basedOn w:val="DefaultParagraphFont"/>
    <w:link w:val="NormalSS"/>
    <w:rsid w:val="00451FEE"/>
    <w:rPr>
      <w:rFonts w:eastAsia="Times New Roman" w:cs="Times New Roman"/>
      <w:szCs w:val="20"/>
    </w:rPr>
  </w:style>
  <w:style w:type="table" w:customStyle="1" w:styleId="SMPRTableBlack">
    <w:name w:val="SMPR_Table_Black"/>
    <w:basedOn w:val="TableNormal"/>
    <w:uiPriority w:val="99"/>
    <w:rsid w:val="00451FEE"/>
    <w:pPr>
      <w:spacing w:after="0"/>
    </w:pPr>
    <w:rPr>
      <w:rFonts w:ascii="Lucida Sans" w:eastAsia="Times New Roman" w:hAnsi="Lucida Sans" w:cs="Times New Roman"/>
      <w:sz w:val="20"/>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BulletRed">
    <w:name w:val="Bullet_Red"/>
    <w:basedOn w:val="Normal"/>
    <w:qFormat/>
    <w:rsid w:val="00451FEE"/>
    <w:pPr>
      <w:numPr>
        <w:numId w:val="9"/>
      </w:numPr>
      <w:tabs>
        <w:tab w:val="left" w:pos="360"/>
      </w:tabs>
      <w:spacing w:after="120" w:line="240" w:lineRule="auto"/>
      <w:ind w:left="720" w:right="360" w:hanging="288"/>
      <w:jc w:val="both"/>
    </w:pPr>
    <w:rPr>
      <w:rFonts w:ascii="Garamond" w:hAnsi="Garamond"/>
      <w:szCs w:val="24"/>
    </w:rPr>
  </w:style>
  <w:style w:type="paragraph" w:customStyle="1" w:styleId="BulletBlue">
    <w:name w:val="Bullet_Blue"/>
    <w:basedOn w:val="Normal"/>
    <w:qFormat/>
    <w:rsid w:val="00451FEE"/>
    <w:pPr>
      <w:numPr>
        <w:numId w:val="10"/>
      </w:numPr>
      <w:tabs>
        <w:tab w:val="left" w:pos="360"/>
      </w:tabs>
      <w:spacing w:after="120" w:line="240" w:lineRule="auto"/>
      <w:ind w:left="720" w:right="360" w:hanging="288"/>
      <w:jc w:val="both"/>
    </w:pPr>
    <w:rPr>
      <w:rFonts w:ascii="Garamond" w:hAnsi="Garamond"/>
      <w:szCs w:val="24"/>
    </w:rPr>
  </w:style>
  <w:style w:type="paragraph" w:customStyle="1" w:styleId="BulletBlueLastSS">
    <w:name w:val="Bullet_Blue (Last SS)"/>
    <w:basedOn w:val="Normal"/>
    <w:next w:val="NormalSS"/>
    <w:qFormat/>
    <w:rsid w:val="00451FEE"/>
    <w:pPr>
      <w:numPr>
        <w:numId w:val="11"/>
      </w:numPr>
      <w:tabs>
        <w:tab w:val="left" w:pos="360"/>
      </w:tabs>
      <w:spacing w:after="240" w:line="240" w:lineRule="auto"/>
      <w:ind w:left="720" w:right="360" w:hanging="288"/>
      <w:jc w:val="both"/>
    </w:pPr>
    <w:rPr>
      <w:rFonts w:ascii="Garamond" w:hAnsi="Garamond"/>
      <w:szCs w:val="24"/>
    </w:rPr>
  </w:style>
  <w:style w:type="table" w:customStyle="1" w:styleId="SMPRTableBlue">
    <w:name w:val="SMPR_Table_Blue"/>
    <w:basedOn w:val="TableNormal"/>
    <w:uiPriority w:val="99"/>
    <w:rsid w:val="00451FEE"/>
    <w:pPr>
      <w:spacing w:after="0"/>
    </w:pPr>
    <w:rPr>
      <w:rFonts w:ascii="Arial" w:eastAsia="Times New Roman" w:hAnsi="Arial" w:cs="Times New Roman"/>
      <w:sz w:val="20"/>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character" w:customStyle="1" w:styleId="apple-converted-space">
    <w:name w:val="apple-converted-space"/>
    <w:basedOn w:val="DefaultParagraphFont"/>
    <w:rsid w:val="00C20013"/>
  </w:style>
  <w:style w:type="paragraph" w:customStyle="1" w:styleId="level1">
    <w:name w:val="level1"/>
    <w:basedOn w:val="Normal"/>
    <w:rsid w:val="00C20013"/>
    <w:pPr>
      <w:spacing w:before="100" w:beforeAutospacing="1" w:after="100" w:afterAutospacing="1" w:line="240" w:lineRule="auto"/>
      <w:ind w:firstLine="0"/>
    </w:pPr>
    <w:rPr>
      <w:szCs w:val="24"/>
    </w:rPr>
  </w:style>
  <w:style w:type="paragraph" w:customStyle="1" w:styleId="Pubs">
    <w:name w:val="Pubs"/>
    <w:basedOn w:val="Normal"/>
    <w:qFormat/>
    <w:rsid w:val="00704FA4"/>
    <w:pPr>
      <w:keepLines/>
      <w:widowControl w:val="0"/>
      <w:snapToGrid w:val="0"/>
      <w:spacing w:before="120" w:line="240" w:lineRule="auto"/>
      <w:ind w:left="360" w:hanging="360"/>
      <w:jc w:val="both"/>
    </w:pPr>
    <w:rPr>
      <w:rFonts w:ascii="Garamond" w:hAnsi="Garamond"/>
      <w:sz w:val="21"/>
      <w:szCs w:val="21"/>
    </w:rPr>
  </w:style>
  <w:style w:type="paragraph" w:customStyle="1" w:styleId="covertitle">
    <w:name w:val="cover title"/>
    <w:basedOn w:val="Normal"/>
    <w:qFormat/>
    <w:rsid w:val="0031638C"/>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date">
    <w:name w:val="cover date"/>
    <w:qFormat/>
    <w:rsid w:val="0031638C"/>
    <w:pPr>
      <w:spacing w:after="0" w:line="440" w:lineRule="exact"/>
    </w:pPr>
    <w:rPr>
      <w:rFonts w:ascii="Arial" w:eastAsia="Times New Roman" w:hAnsi="Arial" w:cs="Times New Roman"/>
      <w:sz w:val="34"/>
      <w:szCs w:val="26"/>
    </w:rPr>
  </w:style>
  <w:style w:type="paragraph" w:customStyle="1" w:styleId="covertext">
    <w:name w:val="cover text"/>
    <w:qFormat/>
    <w:rsid w:val="0031638C"/>
    <w:pPr>
      <w:spacing w:after="100" w:line="260" w:lineRule="exact"/>
    </w:pPr>
    <w:rPr>
      <w:rFonts w:ascii="Arial" w:eastAsia="Times New Roman" w:hAnsi="Arial" w:cs="Times New Roman"/>
      <w:sz w:val="16"/>
      <w:szCs w:val="19"/>
    </w:rPr>
  </w:style>
  <w:style w:type="paragraph" w:customStyle="1" w:styleId="covertextnoline">
    <w:name w:val="cover text (no line)"/>
    <w:basedOn w:val="Normal"/>
    <w:qFormat/>
    <w:rsid w:val="0031638C"/>
    <w:pPr>
      <w:spacing w:line="240" w:lineRule="auto"/>
      <w:ind w:firstLine="0"/>
    </w:pPr>
    <w:rPr>
      <w:rFonts w:ascii="Arial Black" w:hAnsi="Arial Black"/>
      <w:noProof/>
      <w:sz w:val="16"/>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uiPriority="22" w:unhideWhenUsed="0" w:qFormat="1"/>
    <w:lsdException w:name="Emphasis"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203E3B"/>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8"/>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qFormat/>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MarkforAppendixHeading">
    <w:name w:val="Mark for Appendix Heading"/>
    <w:basedOn w:val="Normal"/>
    <w:next w:val="Normal"/>
    <w:qFormat/>
    <w:rsid w:val="00451FEE"/>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451FEE"/>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451FEE"/>
  </w:style>
  <w:style w:type="paragraph" w:customStyle="1" w:styleId="MarkforTableHeading">
    <w:name w:val="Mark for Table Heading"/>
    <w:basedOn w:val="Normal"/>
    <w:next w:val="NormalSS"/>
    <w:qFormat/>
    <w:rsid w:val="00451FEE"/>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451FEE"/>
  </w:style>
  <w:style w:type="table" w:customStyle="1" w:styleId="Table">
    <w:name w:val="Table"/>
    <w:basedOn w:val="TableNormal"/>
    <w:uiPriority w:val="99"/>
    <w:qFormat/>
    <w:locked/>
    <w:rsid w:val="00451FEE"/>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table" w:styleId="TableGrid">
    <w:name w:val="Table Grid"/>
    <w:basedOn w:val="TableNormal"/>
    <w:uiPriority w:val="59"/>
    <w:locked/>
    <w:rsid w:val="00451FEE"/>
    <w:pPr>
      <w:spacing w:after="0"/>
    </w:pPr>
    <w:rPr>
      <w:rFonts w:ascii="Arial" w:eastAsia="Times New Roman" w:hAnsi="Arial"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hitesidebar">
    <w:name w:val="white sidebar"/>
    <w:basedOn w:val="Normal"/>
    <w:qFormat/>
    <w:rsid w:val="00451FEE"/>
    <w:pPr>
      <w:spacing w:after="400" w:line="240" w:lineRule="auto"/>
      <w:ind w:firstLine="0"/>
    </w:pPr>
    <w:rPr>
      <w:rFonts w:ascii="Arial Bold" w:hAnsi="Arial Bold" w:cstheme="minorHAnsi"/>
      <w:color w:val="FFFFFF" w:themeColor="background1"/>
    </w:rPr>
  </w:style>
  <w:style w:type="character" w:styleId="CommentReference">
    <w:name w:val="annotation reference"/>
    <w:basedOn w:val="DefaultParagraphFont"/>
    <w:uiPriority w:val="99"/>
    <w:semiHidden/>
    <w:unhideWhenUsed/>
    <w:rsid w:val="00451FEE"/>
    <w:rPr>
      <w:sz w:val="16"/>
      <w:szCs w:val="16"/>
    </w:rPr>
  </w:style>
  <w:style w:type="paragraph" w:styleId="CommentText">
    <w:name w:val="annotation text"/>
    <w:basedOn w:val="Normal"/>
    <w:link w:val="CommentTextChar"/>
    <w:uiPriority w:val="99"/>
    <w:unhideWhenUsed/>
    <w:rsid w:val="00451FEE"/>
    <w:pPr>
      <w:spacing w:line="240" w:lineRule="auto"/>
    </w:pPr>
    <w:rPr>
      <w:sz w:val="20"/>
    </w:rPr>
  </w:style>
  <w:style w:type="character" w:customStyle="1" w:styleId="CommentTextChar">
    <w:name w:val="Comment Text Char"/>
    <w:basedOn w:val="DefaultParagraphFont"/>
    <w:link w:val="CommentText"/>
    <w:uiPriority w:val="99"/>
    <w:rsid w:val="00451FE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51FEE"/>
    <w:rPr>
      <w:b/>
      <w:bCs/>
    </w:rPr>
  </w:style>
  <w:style w:type="character" w:customStyle="1" w:styleId="CommentSubjectChar">
    <w:name w:val="Comment Subject Char"/>
    <w:basedOn w:val="CommentTextChar"/>
    <w:link w:val="CommentSubject"/>
    <w:uiPriority w:val="99"/>
    <w:semiHidden/>
    <w:rsid w:val="00451FEE"/>
    <w:rPr>
      <w:rFonts w:eastAsia="Times New Roman" w:cs="Times New Roman"/>
      <w:b/>
      <w:bCs/>
      <w:sz w:val="20"/>
      <w:szCs w:val="20"/>
    </w:rPr>
  </w:style>
  <w:style w:type="character" w:customStyle="1" w:styleId="NormalSSChar">
    <w:name w:val="NormalSS Char"/>
    <w:basedOn w:val="DefaultParagraphFont"/>
    <w:link w:val="NormalSS"/>
    <w:rsid w:val="00451FEE"/>
    <w:rPr>
      <w:rFonts w:eastAsia="Times New Roman" w:cs="Times New Roman"/>
      <w:szCs w:val="20"/>
    </w:rPr>
  </w:style>
  <w:style w:type="table" w:customStyle="1" w:styleId="SMPRTableBlack">
    <w:name w:val="SMPR_Table_Black"/>
    <w:basedOn w:val="TableNormal"/>
    <w:uiPriority w:val="99"/>
    <w:rsid w:val="00451FEE"/>
    <w:pPr>
      <w:spacing w:after="0"/>
    </w:pPr>
    <w:rPr>
      <w:rFonts w:ascii="Lucida Sans" w:eastAsia="Times New Roman" w:hAnsi="Lucida Sans" w:cs="Times New Roman"/>
      <w:sz w:val="20"/>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BulletRed">
    <w:name w:val="Bullet_Red"/>
    <w:basedOn w:val="Normal"/>
    <w:qFormat/>
    <w:rsid w:val="00451FEE"/>
    <w:pPr>
      <w:numPr>
        <w:numId w:val="9"/>
      </w:numPr>
      <w:tabs>
        <w:tab w:val="left" w:pos="360"/>
      </w:tabs>
      <w:spacing w:after="120" w:line="240" w:lineRule="auto"/>
      <w:ind w:left="720" w:right="360" w:hanging="288"/>
      <w:jc w:val="both"/>
    </w:pPr>
    <w:rPr>
      <w:rFonts w:ascii="Garamond" w:hAnsi="Garamond"/>
      <w:szCs w:val="24"/>
    </w:rPr>
  </w:style>
  <w:style w:type="paragraph" w:customStyle="1" w:styleId="BulletBlue">
    <w:name w:val="Bullet_Blue"/>
    <w:basedOn w:val="Normal"/>
    <w:qFormat/>
    <w:rsid w:val="00451FEE"/>
    <w:pPr>
      <w:numPr>
        <w:numId w:val="10"/>
      </w:numPr>
      <w:tabs>
        <w:tab w:val="left" w:pos="360"/>
      </w:tabs>
      <w:spacing w:after="120" w:line="240" w:lineRule="auto"/>
      <w:ind w:left="720" w:right="360" w:hanging="288"/>
      <w:jc w:val="both"/>
    </w:pPr>
    <w:rPr>
      <w:rFonts w:ascii="Garamond" w:hAnsi="Garamond"/>
      <w:szCs w:val="24"/>
    </w:rPr>
  </w:style>
  <w:style w:type="paragraph" w:customStyle="1" w:styleId="BulletBlueLastSS">
    <w:name w:val="Bullet_Blue (Last SS)"/>
    <w:basedOn w:val="Normal"/>
    <w:next w:val="NormalSS"/>
    <w:qFormat/>
    <w:rsid w:val="00451FEE"/>
    <w:pPr>
      <w:numPr>
        <w:numId w:val="11"/>
      </w:numPr>
      <w:tabs>
        <w:tab w:val="left" w:pos="360"/>
      </w:tabs>
      <w:spacing w:after="240" w:line="240" w:lineRule="auto"/>
      <w:ind w:left="720" w:right="360" w:hanging="288"/>
      <w:jc w:val="both"/>
    </w:pPr>
    <w:rPr>
      <w:rFonts w:ascii="Garamond" w:hAnsi="Garamond"/>
      <w:szCs w:val="24"/>
    </w:rPr>
  </w:style>
  <w:style w:type="table" w:customStyle="1" w:styleId="SMPRTableBlue">
    <w:name w:val="SMPR_Table_Blue"/>
    <w:basedOn w:val="TableNormal"/>
    <w:uiPriority w:val="99"/>
    <w:rsid w:val="00451FEE"/>
    <w:pPr>
      <w:spacing w:after="0"/>
    </w:pPr>
    <w:rPr>
      <w:rFonts w:ascii="Arial" w:eastAsia="Times New Roman" w:hAnsi="Arial" w:cs="Times New Roman"/>
      <w:sz w:val="20"/>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15573">
      <w:bodyDiv w:val="1"/>
      <w:marLeft w:val="0"/>
      <w:marRight w:val="0"/>
      <w:marTop w:val="0"/>
      <w:marBottom w:val="0"/>
      <w:divBdr>
        <w:top w:val="none" w:sz="0" w:space="0" w:color="auto"/>
        <w:left w:val="none" w:sz="0" w:space="0" w:color="auto"/>
        <w:bottom w:val="none" w:sz="0" w:space="0" w:color="auto"/>
        <w:right w:val="none" w:sz="0" w:space="0" w:color="auto"/>
      </w:divBdr>
    </w:div>
    <w:div w:id="470758021">
      <w:bodyDiv w:val="1"/>
      <w:marLeft w:val="0"/>
      <w:marRight w:val="0"/>
      <w:marTop w:val="0"/>
      <w:marBottom w:val="0"/>
      <w:divBdr>
        <w:top w:val="none" w:sz="0" w:space="0" w:color="auto"/>
        <w:left w:val="none" w:sz="0" w:space="0" w:color="auto"/>
        <w:bottom w:val="none" w:sz="0" w:space="0" w:color="auto"/>
        <w:right w:val="none" w:sz="0" w:space="0" w:color="auto"/>
      </w:divBdr>
    </w:div>
    <w:div w:id="643235945">
      <w:bodyDiv w:val="1"/>
      <w:marLeft w:val="0"/>
      <w:marRight w:val="0"/>
      <w:marTop w:val="0"/>
      <w:marBottom w:val="0"/>
      <w:divBdr>
        <w:top w:val="none" w:sz="0" w:space="0" w:color="auto"/>
        <w:left w:val="none" w:sz="0" w:space="0" w:color="auto"/>
        <w:bottom w:val="none" w:sz="0" w:space="0" w:color="auto"/>
        <w:right w:val="none" w:sz="0" w:space="0" w:color="auto"/>
      </w:divBdr>
    </w:div>
    <w:div w:id="1581939955">
      <w:bodyDiv w:val="1"/>
      <w:marLeft w:val="0"/>
      <w:marRight w:val="0"/>
      <w:marTop w:val="0"/>
      <w:marBottom w:val="0"/>
      <w:divBdr>
        <w:top w:val="none" w:sz="0" w:space="0" w:color="auto"/>
        <w:left w:val="none" w:sz="0" w:space="0" w:color="auto"/>
        <w:bottom w:val="none" w:sz="0" w:space="0" w:color="auto"/>
        <w:right w:val="none" w:sz="0" w:space="0" w:color="auto"/>
      </w:divBdr>
    </w:div>
    <w:div w:id="1905215214">
      <w:bodyDiv w:val="1"/>
      <w:marLeft w:val="0"/>
      <w:marRight w:val="0"/>
      <w:marTop w:val="0"/>
      <w:marBottom w:val="0"/>
      <w:divBdr>
        <w:top w:val="none" w:sz="0" w:space="0" w:color="auto"/>
        <w:left w:val="none" w:sz="0" w:space="0" w:color="auto"/>
        <w:bottom w:val="none" w:sz="0" w:space="0" w:color="auto"/>
        <w:right w:val="none" w:sz="0" w:space="0" w:color="auto"/>
      </w:divBdr>
    </w:div>
    <w:div w:id="210452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0BD82C-CAC7-487D-BE2E-01D1C0258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21</TotalTime>
  <Pages>22</Pages>
  <Words>5985</Words>
  <Characters>34115</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40020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LaTia Downing</dc:creator>
  <cp:lastModifiedBy>Windows User</cp:lastModifiedBy>
  <cp:revision>6</cp:revision>
  <dcterms:created xsi:type="dcterms:W3CDTF">2014-11-24T23:09:00Z</dcterms:created>
  <dcterms:modified xsi:type="dcterms:W3CDTF">2014-12-22T16:05:00Z</dcterms:modified>
</cp:coreProperties>
</file>