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ECB" w:rsidRDefault="009212C0" w:rsidP="00634EA7">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E07611">
        <w:rPr>
          <w:rFonts w:ascii="Times New Roman" w:eastAsia="Times New Roman" w:hAnsi="Times New Roman" w:cs="Times New Roman"/>
          <w:b/>
          <w:bCs/>
          <w:color w:val="000000"/>
          <w:sz w:val="24"/>
          <w:szCs w:val="24"/>
        </w:rPr>
        <w:t>SUPPORTING STATEMENT</w:t>
      </w:r>
    </w:p>
    <w:p w:rsidR="009212C0" w:rsidRPr="00E07611" w:rsidRDefault="0065468D" w:rsidP="00634EA7">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CENTRAL VALLEY ANGLER </w:t>
      </w:r>
      <w:r w:rsidR="00C35CA1">
        <w:rPr>
          <w:rFonts w:ascii="Times New Roman" w:eastAsia="Times New Roman" w:hAnsi="Times New Roman" w:cs="Times New Roman"/>
          <w:b/>
          <w:bCs/>
          <w:color w:val="000000"/>
          <w:sz w:val="24"/>
          <w:szCs w:val="24"/>
        </w:rPr>
        <w:t>SURVEY</w:t>
      </w:r>
    </w:p>
    <w:p w:rsidR="009212C0" w:rsidRPr="00E07611" w:rsidRDefault="009212C0" w:rsidP="00634EA7">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proofErr w:type="gramStart"/>
      <w:r w:rsidRPr="00E07611">
        <w:rPr>
          <w:rFonts w:ascii="Times New Roman" w:eastAsia="Times New Roman" w:hAnsi="Times New Roman" w:cs="Times New Roman"/>
          <w:b/>
          <w:bCs/>
          <w:color w:val="000000"/>
          <w:sz w:val="24"/>
          <w:szCs w:val="24"/>
        </w:rPr>
        <w:t>OMB CONTROL NO.</w:t>
      </w:r>
      <w:proofErr w:type="gramEnd"/>
      <w:r w:rsidRPr="00E07611">
        <w:rPr>
          <w:rFonts w:ascii="Times New Roman" w:eastAsia="Times New Roman" w:hAnsi="Times New Roman" w:cs="Times New Roman"/>
          <w:b/>
          <w:bCs/>
          <w:color w:val="000000"/>
          <w:sz w:val="24"/>
          <w:szCs w:val="24"/>
        </w:rPr>
        <w:t xml:space="preserve"> 0648-XXXX</w:t>
      </w:r>
    </w:p>
    <w:p w:rsidR="009212C0" w:rsidRDefault="009212C0" w:rsidP="00634EA7">
      <w:pPr>
        <w:widowControl w:val="0"/>
        <w:autoSpaceDE w:val="0"/>
        <w:autoSpaceDN w:val="0"/>
        <w:adjustRightInd w:val="0"/>
        <w:spacing w:after="0" w:line="240" w:lineRule="auto"/>
        <w:contextualSpacing/>
        <w:rPr>
          <w:rFonts w:ascii="Times New Roman" w:eastAsia="Times New Roman" w:hAnsi="Times New Roman" w:cs="Times New Roman"/>
          <w:b/>
          <w:bCs/>
          <w:sz w:val="24"/>
          <w:szCs w:val="24"/>
        </w:rPr>
      </w:pPr>
    </w:p>
    <w:p w:rsidR="006B6EDC" w:rsidRPr="00E07611" w:rsidRDefault="006B6EDC" w:rsidP="001844FE">
      <w:pPr>
        <w:widowControl w:val="0"/>
        <w:tabs>
          <w:tab w:val="left" w:pos="2250"/>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9212C0" w:rsidRPr="00902A4F" w:rsidRDefault="006B6EDC" w:rsidP="00634EA7">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w:t>
      </w:r>
      <w:r>
        <w:rPr>
          <w:rFonts w:ascii="Times New Roman" w:eastAsia="Times New Roman" w:hAnsi="Times New Roman" w:cs="Times New Roman"/>
          <w:b/>
          <w:bCs/>
          <w:color w:val="000000"/>
          <w:sz w:val="24"/>
          <w:szCs w:val="24"/>
        </w:rPr>
        <w:tab/>
      </w:r>
      <w:r w:rsidR="009212C0" w:rsidRPr="00902A4F">
        <w:rPr>
          <w:rFonts w:ascii="Times New Roman" w:eastAsia="Times New Roman" w:hAnsi="Times New Roman" w:cs="Times New Roman"/>
          <w:b/>
          <w:bCs/>
          <w:color w:val="000000"/>
          <w:sz w:val="24"/>
          <w:szCs w:val="24"/>
        </w:rPr>
        <w:t>COLLECTIONS OF INFORMATION EMPLOYING STATISTICAL METHODS</w:t>
      </w:r>
    </w:p>
    <w:p w:rsidR="002343EF" w:rsidRPr="00902A4F" w:rsidRDefault="002343EF" w:rsidP="00634EA7">
      <w:pPr>
        <w:shd w:val="clear" w:color="auto" w:fill="FFFFFF"/>
        <w:spacing w:after="0" w:line="240" w:lineRule="auto"/>
        <w:contextualSpacing/>
        <w:rPr>
          <w:rFonts w:ascii="Times New Roman" w:eastAsia="Times New Roman" w:hAnsi="Times New Roman" w:cs="Times New Roman"/>
          <w:b/>
          <w:bCs/>
          <w:iCs/>
          <w:color w:val="000000"/>
          <w:sz w:val="24"/>
          <w:szCs w:val="24"/>
        </w:rPr>
      </w:pPr>
    </w:p>
    <w:p w:rsidR="009212C0" w:rsidRPr="00902A4F" w:rsidRDefault="00902A4F" w:rsidP="00CC7697">
      <w:pPr>
        <w:shd w:val="clear" w:color="auto" w:fill="FFFFFF"/>
        <w:spacing w:line="240" w:lineRule="auto"/>
        <w:contextualSpacing/>
        <w:rPr>
          <w:rFonts w:ascii="Times New Roman" w:hAnsi="Times New Roman" w:cs="Times New Roman"/>
          <w:b/>
          <w:bCs/>
          <w:color w:val="000000"/>
          <w:sz w:val="24"/>
          <w:szCs w:val="24"/>
        </w:rPr>
      </w:pPr>
      <w:r w:rsidRPr="00902A4F">
        <w:rPr>
          <w:rFonts w:ascii="Times New Roman" w:eastAsia="Times New Roman" w:hAnsi="Times New Roman" w:cs="Times New Roman"/>
          <w:b/>
          <w:bCs/>
          <w:color w:val="000000"/>
          <w:sz w:val="24"/>
          <w:szCs w:val="24"/>
        </w:rPr>
        <w:t>1.</w:t>
      </w:r>
      <w:r w:rsidRPr="00902A4F">
        <w:rPr>
          <w:rFonts w:ascii="Times New Roman" w:hAnsi="Times New Roman" w:cs="Times New Roman"/>
          <w:b/>
          <w:bCs/>
          <w:color w:val="000000"/>
          <w:sz w:val="24"/>
          <w:szCs w:val="24"/>
        </w:rPr>
        <w:t xml:space="preserve"> D</w:t>
      </w:r>
      <w:r w:rsidR="009212C0" w:rsidRPr="00902A4F">
        <w:rPr>
          <w:rFonts w:ascii="Times New Roman" w:hAnsi="Times New Roman" w:cs="Times New Roman"/>
          <w:b/>
          <w:bCs/>
          <w:color w:val="000000"/>
          <w:sz w:val="24"/>
          <w:szCs w:val="24"/>
        </w:rPr>
        <w:t xml:space="preserve">escribe (including a numerical estimate) the potential respondent universe and any </w:t>
      </w:r>
      <w:r w:rsidR="00003016" w:rsidRPr="00902A4F">
        <w:rPr>
          <w:rFonts w:ascii="Times New Roman" w:hAnsi="Times New Roman" w:cs="Times New Roman"/>
          <w:b/>
          <w:bCs/>
          <w:color w:val="000000"/>
          <w:sz w:val="24"/>
          <w:szCs w:val="24"/>
        </w:rPr>
        <w:t>samplin</w:t>
      </w:r>
      <w:r w:rsidR="009212C0" w:rsidRPr="00902A4F">
        <w:rPr>
          <w:rFonts w:ascii="Times New Roman" w:hAnsi="Times New Roman" w:cs="Times New Roman"/>
          <w:b/>
          <w:bCs/>
          <w:color w:val="000000"/>
          <w:sz w:val="24"/>
          <w:szCs w:val="24"/>
        </w:rPr>
        <w:t xml:space="preserve">g or other respondent selection method to be used. </w:t>
      </w:r>
      <w:r w:rsidR="0069461D">
        <w:rPr>
          <w:rFonts w:ascii="Times New Roman" w:hAnsi="Times New Roman" w:cs="Times New Roman"/>
          <w:b/>
          <w:bCs/>
          <w:color w:val="000000"/>
          <w:sz w:val="24"/>
          <w:szCs w:val="24"/>
        </w:rPr>
        <w:t xml:space="preserve"> </w:t>
      </w:r>
      <w:r w:rsidR="009212C0" w:rsidRPr="00902A4F">
        <w:rPr>
          <w:rFonts w:ascii="Times New Roman" w:hAnsi="Times New Roman" w:cs="Times New Roman"/>
          <w:b/>
          <w:bCs/>
          <w:color w:val="000000"/>
          <w:sz w:val="24"/>
          <w:szCs w:val="24"/>
        </w:rPr>
        <w:t>Data on the number of entities (e.g.</w:t>
      </w:r>
      <w:r w:rsidR="006B6EDC">
        <w:rPr>
          <w:rFonts w:ascii="Times New Roman" w:hAnsi="Times New Roman" w:cs="Times New Roman"/>
          <w:b/>
          <w:bCs/>
          <w:color w:val="000000"/>
          <w:sz w:val="24"/>
          <w:szCs w:val="24"/>
        </w:rPr>
        <w:t>,</w:t>
      </w:r>
      <w:r w:rsidR="009212C0" w:rsidRPr="00902A4F">
        <w:rPr>
          <w:rFonts w:ascii="Times New Roman" w:hAnsi="Times New Roman" w:cs="Times New Roman"/>
          <w:b/>
          <w:bCs/>
          <w:color w:val="000000"/>
          <w:sz w:val="24"/>
          <w:szCs w:val="24"/>
        </w:rPr>
        <w:t xml:space="preserve"> establishments, State and local governmental units, households, or persons) in the universe and the corresponding sample are to be provided in tabular form. </w:t>
      </w:r>
      <w:r w:rsidR="0069461D">
        <w:rPr>
          <w:rFonts w:ascii="Times New Roman" w:hAnsi="Times New Roman" w:cs="Times New Roman"/>
          <w:b/>
          <w:bCs/>
          <w:color w:val="000000"/>
          <w:sz w:val="24"/>
          <w:szCs w:val="24"/>
        </w:rPr>
        <w:t xml:space="preserve"> </w:t>
      </w:r>
      <w:r w:rsidR="009212C0" w:rsidRPr="00902A4F">
        <w:rPr>
          <w:rFonts w:ascii="Times New Roman" w:hAnsi="Times New Roman" w:cs="Times New Roman"/>
          <w:b/>
          <w:bCs/>
          <w:color w:val="000000"/>
          <w:sz w:val="24"/>
          <w:szCs w:val="24"/>
        </w:rPr>
        <w:t>The tabulation must also include expected response rates for the collection as a whole. If the collection has been conducted before, provide the</w:t>
      </w:r>
      <w:r w:rsidR="006B6EDC">
        <w:rPr>
          <w:rFonts w:ascii="Times New Roman" w:hAnsi="Times New Roman" w:cs="Times New Roman"/>
          <w:b/>
          <w:bCs/>
          <w:color w:val="000000"/>
          <w:sz w:val="24"/>
          <w:szCs w:val="24"/>
        </w:rPr>
        <w:t xml:space="preserve"> actual response rate achieved.</w:t>
      </w:r>
    </w:p>
    <w:p w:rsidR="002343EF" w:rsidRPr="00902A4F" w:rsidRDefault="002343EF" w:rsidP="00634EA7">
      <w:pPr>
        <w:shd w:val="clear" w:color="auto" w:fill="FFFFFF"/>
        <w:spacing w:after="0" w:line="240" w:lineRule="auto"/>
        <w:contextualSpacing/>
        <w:rPr>
          <w:rFonts w:ascii="Times New Roman" w:eastAsia="Times New Roman" w:hAnsi="Times New Roman" w:cs="Times New Roman"/>
          <w:i/>
          <w:color w:val="000000"/>
          <w:sz w:val="24"/>
          <w:szCs w:val="24"/>
        </w:rPr>
      </w:pPr>
    </w:p>
    <w:p w:rsidR="009672C8" w:rsidRPr="00902A4F" w:rsidRDefault="00AD49B4"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sidRPr="00902A4F">
        <w:rPr>
          <w:rFonts w:ascii="Times New Roman" w:eastAsia="Times New Roman" w:hAnsi="Times New Roman" w:cs="Times New Roman"/>
          <w:b/>
          <w:i/>
          <w:sz w:val="24"/>
          <w:szCs w:val="24"/>
        </w:rPr>
        <w:t>Potential respondent u</w:t>
      </w:r>
      <w:r w:rsidR="009672C8" w:rsidRPr="00902A4F">
        <w:rPr>
          <w:rFonts w:ascii="Times New Roman" w:eastAsia="Times New Roman" w:hAnsi="Times New Roman" w:cs="Times New Roman"/>
          <w:b/>
          <w:i/>
          <w:sz w:val="24"/>
          <w:szCs w:val="24"/>
        </w:rPr>
        <w:t>niverse</w:t>
      </w:r>
    </w:p>
    <w:p w:rsidR="009672C8" w:rsidRPr="00E07611"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u w:val="single"/>
        </w:rPr>
      </w:pPr>
    </w:p>
    <w:p w:rsidR="0002495C"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The potent</w:t>
      </w:r>
      <w:r w:rsidR="00CC7697">
        <w:rPr>
          <w:rFonts w:ascii="Times New Roman" w:eastAsia="Times New Roman" w:hAnsi="Times New Roman" w:cs="Times New Roman"/>
          <w:sz w:val="24"/>
          <w:szCs w:val="24"/>
        </w:rPr>
        <w:t xml:space="preserve">ial respondent universe consists of </w:t>
      </w:r>
      <w:r w:rsidR="00FD5442">
        <w:rPr>
          <w:rFonts w:ascii="Times New Roman" w:eastAsia="Times New Roman" w:hAnsi="Times New Roman" w:cs="Times New Roman"/>
          <w:sz w:val="24"/>
          <w:szCs w:val="24"/>
        </w:rPr>
        <w:t>anglers</w:t>
      </w:r>
      <w:r w:rsidR="00F865E7">
        <w:rPr>
          <w:rFonts w:ascii="Times New Roman" w:eastAsia="Times New Roman" w:hAnsi="Times New Roman" w:cs="Times New Roman"/>
          <w:sz w:val="24"/>
          <w:szCs w:val="24"/>
        </w:rPr>
        <w:t xml:space="preserve"> who </w:t>
      </w:r>
      <w:r w:rsidR="00B45894">
        <w:rPr>
          <w:rFonts w:ascii="Times New Roman" w:eastAsia="Times New Roman" w:hAnsi="Times New Roman" w:cs="Times New Roman"/>
          <w:sz w:val="24"/>
          <w:szCs w:val="24"/>
        </w:rPr>
        <w:t>fish on California’s Sacramento River system</w:t>
      </w:r>
      <w:r w:rsidR="00B16125">
        <w:rPr>
          <w:rFonts w:ascii="Times New Roman" w:eastAsia="Times New Roman" w:hAnsi="Times New Roman" w:cs="Times New Roman"/>
          <w:sz w:val="24"/>
          <w:szCs w:val="24"/>
        </w:rPr>
        <w:t xml:space="preserve">.  </w:t>
      </w:r>
      <w:r w:rsidR="00345C7A" w:rsidRPr="00345C7A">
        <w:rPr>
          <w:rFonts w:ascii="Times New Roman" w:eastAsia="Times New Roman" w:hAnsi="Times New Roman" w:cs="Times New Roman"/>
          <w:sz w:val="24"/>
          <w:szCs w:val="24"/>
        </w:rPr>
        <w:t>Of these individuals, those who</w:t>
      </w:r>
      <w:r w:rsidR="00111DC0">
        <w:rPr>
          <w:rFonts w:ascii="Times New Roman" w:eastAsia="Times New Roman" w:hAnsi="Times New Roman" w:cs="Times New Roman"/>
          <w:sz w:val="24"/>
          <w:szCs w:val="24"/>
        </w:rPr>
        <w:t xml:space="preserve"> are 18 years and older and </w:t>
      </w:r>
      <w:r w:rsidR="00B45894">
        <w:rPr>
          <w:rFonts w:ascii="Times New Roman" w:eastAsia="Times New Roman" w:hAnsi="Times New Roman" w:cs="Times New Roman"/>
          <w:sz w:val="24"/>
          <w:szCs w:val="24"/>
        </w:rPr>
        <w:t xml:space="preserve">participated in Sacramento River </w:t>
      </w:r>
      <w:r w:rsidR="00345C7A" w:rsidRPr="00345C7A">
        <w:rPr>
          <w:rFonts w:ascii="Times New Roman" w:eastAsia="Times New Roman" w:hAnsi="Times New Roman" w:cs="Times New Roman"/>
          <w:sz w:val="24"/>
          <w:szCs w:val="24"/>
        </w:rPr>
        <w:t>fishing at least once in the previous 12 months are e</w:t>
      </w:r>
      <w:r w:rsidR="00C36D2C">
        <w:rPr>
          <w:rFonts w:ascii="Times New Roman" w:eastAsia="Times New Roman" w:hAnsi="Times New Roman" w:cs="Times New Roman"/>
          <w:sz w:val="24"/>
          <w:szCs w:val="24"/>
        </w:rPr>
        <w:t>ligible to participate in this survey.</w:t>
      </w:r>
    </w:p>
    <w:p w:rsidR="0069461D" w:rsidRDefault="0069461D"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185E9A" w:rsidRDefault="0002495C"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California Department of Fish and Wildlife (CDFW) </w:t>
      </w:r>
      <w:proofErr w:type="gramStart"/>
      <w:r w:rsidR="005A673E">
        <w:rPr>
          <w:rFonts w:ascii="Times New Roman" w:eastAsia="Times New Roman" w:hAnsi="Times New Roman" w:cs="Times New Roman"/>
          <w:sz w:val="24"/>
          <w:szCs w:val="24"/>
        </w:rPr>
        <w:t>conducts</w:t>
      </w:r>
      <w:proofErr w:type="gramEnd"/>
      <w:r w:rsidR="005A673E">
        <w:rPr>
          <w:rFonts w:ascii="Times New Roman" w:eastAsia="Times New Roman" w:hAnsi="Times New Roman" w:cs="Times New Roman"/>
          <w:sz w:val="24"/>
          <w:szCs w:val="24"/>
        </w:rPr>
        <w:t xml:space="preserve"> a</w:t>
      </w:r>
      <w:r w:rsidR="005E7DAC">
        <w:rPr>
          <w:rFonts w:ascii="Times New Roman" w:eastAsia="Times New Roman" w:hAnsi="Times New Roman" w:cs="Times New Roman"/>
          <w:sz w:val="24"/>
          <w:szCs w:val="24"/>
        </w:rPr>
        <w:t>n annual</w:t>
      </w:r>
      <w:r w:rsidR="005A67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creel survey on the Sacramento River system</w:t>
      </w:r>
      <w:r w:rsidR="00645DF4">
        <w:rPr>
          <w:rFonts w:ascii="Times New Roman" w:eastAsia="Times New Roman" w:hAnsi="Times New Roman" w:cs="Times New Roman"/>
          <w:sz w:val="24"/>
          <w:szCs w:val="24"/>
        </w:rPr>
        <w:t xml:space="preserve"> (including </w:t>
      </w:r>
      <w:r w:rsidR="00111DC0">
        <w:rPr>
          <w:rFonts w:ascii="Times New Roman" w:eastAsia="Times New Roman" w:hAnsi="Times New Roman" w:cs="Times New Roman"/>
          <w:sz w:val="24"/>
          <w:szCs w:val="24"/>
        </w:rPr>
        <w:t xml:space="preserve">major </w:t>
      </w:r>
      <w:r w:rsidR="00645DF4">
        <w:rPr>
          <w:rFonts w:ascii="Times New Roman" w:eastAsia="Times New Roman" w:hAnsi="Times New Roman" w:cs="Times New Roman"/>
          <w:sz w:val="24"/>
          <w:szCs w:val="24"/>
        </w:rPr>
        <w:t>tributaries)</w:t>
      </w:r>
      <w:r>
        <w:rPr>
          <w:rFonts w:ascii="Times New Roman" w:eastAsia="Times New Roman" w:hAnsi="Times New Roman" w:cs="Times New Roman"/>
          <w:sz w:val="24"/>
          <w:szCs w:val="24"/>
        </w:rPr>
        <w:t>.  Results of the c</w:t>
      </w:r>
      <w:r w:rsidR="00CC7697">
        <w:rPr>
          <w:rFonts w:ascii="Times New Roman" w:eastAsia="Times New Roman" w:hAnsi="Times New Roman" w:cs="Times New Roman"/>
          <w:sz w:val="24"/>
          <w:szCs w:val="24"/>
        </w:rPr>
        <w:t xml:space="preserve">reel </w:t>
      </w:r>
      <w:r w:rsidR="00271D9B">
        <w:rPr>
          <w:rFonts w:ascii="Times New Roman" w:eastAsia="Times New Roman" w:hAnsi="Times New Roman" w:cs="Times New Roman"/>
          <w:sz w:val="24"/>
          <w:szCs w:val="24"/>
        </w:rPr>
        <w:t>survey indicate that</w:t>
      </w:r>
      <w:r w:rsidR="00C60E9E">
        <w:rPr>
          <w:rFonts w:ascii="Times New Roman" w:eastAsia="Times New Roman" w:hAnsi="Times New Roman" w:cs="Times New Roman"/>
          <w:sz w:val="24"/>
          <w:szCs w:val="24"/>
        </w:rPr>
        <w:t xml:space="preserve"> 663,607 </w:t>
      </w:r>
      <w:r w:rsidR="004B189B">
        <w:rPr>
          <w:rFonts w:ascii="Times New Roman" w:eastAsia="Times New Roman" w:hAnsi="Times New Roman" w:cs="Times New Roman"/>
          <w:sz w:val="24"/>
          <w:szCs w:val="24"/>
        </w:rPr>
        <w:t xml:space="preserve">angler trips </w:t>
      </w:r>
      <w:r w:rsidR="00271D9B">
        <w:rPr>
          <w:rFonts w:ascii="Times New Roman" w:eastAsia="Times New Roman" w:hAnsi="Times New Roman" w:cs="Times New Roman"/>
          <w:sz w:val="24"/>
          <w:szCs w:val="24"/>
        </w:rPr>
        <w:t xml:space="preserve">were made </w:t>
      </w:r>
      <w:r w:rsidR="00041A8F">
        <w:rPr>
          <w:rFonts w:ascii="Times New Roman" w:eastAsia="Times New Roman" w:hAnsi="Times New Roman" w:cs="Times New Roman"/>
          <w:sz w:val="24"/>
          <w:szCs w:val="24"/>
        </w:rPr>
        <w:t>on the Sacra</w:t>
      </w:r>
      <w:r w:rsidR="00A113F5">
        <w:rPr>
          <w:rFonts w:ascii="Times New Roman" w:eastAsia="Times New Roman" w:hAnsi="Times New Roman" w:cs="Times New Roman"/>
          <w:sz w:val="24"/>
          <w:szCs w:val="24"/>
        </w:rPr>
        <w:t xml:space="preserve">mento River system </w:t>
      </w:r>
      <w:r w:rsidR="00041A8F">
        <w:rPr>
          <w:rFonts w:ascii="Times New Roman" w:eastAsia="Times New Roman" w:hAnsi="Times New Roman" w:cs="Times New Roman"/>
          <w:sz w:val="24"/>
          <w:szCs w:val="24"/>
        </w:rPr>
        <w:t xml:space="preserve">in </w:t>
      </w:r>
      <w:r w:rsidR="005A673E">
        <w:rPr>
          <w:rFonts w:ascii="Times New Roman" w:eastAsia="Times New Roman" w:hAnsi="Times New Roman" w:cs="Times New Roman"/>
          <w:sz w:val="24"/>
          <w:szCs w:val="24"/>
        </w:rPr>
        <w:t xml:space="preserve">the 2011-12 </w:t>
      </w:r>
      <w:proofErr w:type="gramStart"/>
      <w:r w:rsidR="005A673E">
        <w:rPr>
          <w:rFonts w:ascii="Times New Roman" w:eastAsia="Times New Roman" w:hAnsi="Times New Roman" w:cs="Times New Roman"/>
          <w:sz w:val="24"/>
          <w:szCs w:val="24"/>
        </w:rPr>
        <w:t>season</w:t>
      </w:r>
      <w:proofErr w:type="gramEnd"/>
      <w:r w:rsidR="00345C7A">
        <w:rPr>
          <w:rFonts w:ascii="Times New Roman" w:eastAsia="Times New Roman" w:hAnsi="Times New Roman" w:cs="Times New Roman"/>
          <w:sz w:val="24"/>
          <w:szCs w:val="24"/>
        </w:rPr>
        <w:t xml:space="preserve">.  </w:t>
      </w:r>
      <w:r w:rsidR="00345C7A" w:rsidRPr="00345C7A">
        <w:rPr>
          <w:rFonts w:ascii="Times New Roman" w:eastAsia="Times New Roman" w:hAnsi="Times New Roman" w:cs="Times New Roman"/>
          <w:sz w:val="24"/>
          <w:szCs w:val="24"/>
        </w:rPr>
        <w:t xml:space="preserve">The </w:t>
      </w:r>
      <w:r w:rsidR="00481AF4">
        <w:rPr>
          <w:rFonts w:ascii="Times New Roman" w:eastAsia="Times New Roman" w:hAnsi="Times New Roman" w:cs="Times New Roman"/>
          <w:sz w:val="24"/>
          <w:szCs w:val="24"/>
        </w:rPr>
        <w:t>number o</w:t>
      </w:r>
      <w:r w:rsidR="002C5CC3">
        <w:rPr>
          <w:rFonts w:ascii="Times New Roman" w:eastAsia="Times New Roman" w:hAnsi="Times New Roman" w:cs="Times New Roman"/>
          <w:sz w:val="24"/>
          <w:szCs w:val="24"/>
        </w:rPr>
        <w:t xml:space="preserve">f anglers who made these </w:t>
      </w:r>
      <w:r w:rsidR="00481AF4">
        <w:rPr>
          <w:rFonts w:ascii="Times New Roman" w:eastAsia="Times New Roman" w:hAnsi="Times New Roman" w:cs="Times New Roman"/>
          <w:sz w:val="24"/>
          <w:szCs w:val="24"/>
        </w:rPr>
        <w:t xml:space="preserve">trips is not </w:t>
      </w:r>
      <w:r w:rsidR="00345C7A" w:rsidRPr="00345C7A">
        <w:rPr>
          <w:rFonts w:ascii="Times New Roman" w:eastAsia="Times New Roman" w:hAnsi="Times New Roman" w:cs="Times New Roman"/>
          <w:sz w:val="24"/>
          <w:szCs w:val="24"/>
        </w:rPr>
        <w:t>known and will be dete</w:t>
      </w:r>
      <w:r w:rsidR="0069461D">
        <w:rPr>
          <w:rFonts w:ascii="Times New Roman" w:eastAsia="Times New Roman" w:hAnsi="Times New Roman" w:cs="Times New Roman"/>
          <w:sz w:val="24"/>
          <w:szCs w:val="24"/>
        </w:rPr>
        <w:t>rmined as part of this survey.</w:t>
      </w:r>
    </w:p>
    <w:p w:rsidR="0069461D" w:rsidRDefault="0069461D"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68218B" w:rsidRDefault="00AD49B4"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Sample f</w:t>
      </w:r>
      <w:r w:rsidR="009672C8" w:rsidRPr="00E07611">
        <w:rPr>
          <w:rFonts w:ascii="Times New Roman" w:eastAsia="Times New Roman" w:hAnsi="Times New Roman" w:cs="Times New Roman"/>
          <w:b/>
          <w:i/>
          <w:sz w:val="24"/>
          <w:szCs w:val="24"/>
        </w:rPr>
        <w:t>ra</w:t>
      </w:r>
      <w:r w:rsidR="0068218B">
        <w:rPr>
          <w:rFonts w:ascii="Times New Roman" w:eastAsia="Times New Roman" w:hAnsi="Times New Roman" w:cs="Times New Roman"/>
          <w:b/>
          <w:i/>
          <w:sz w:val="24"/>
          <w:szCs w:val="24"/>
        </w:rPr>
        <w:t>me</w:t>
      </w:r>
    </w:p>
    <w:p w:rsidR="002D1D98" w:rsidRDefault="002D1D98" w:rsidP="00680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hAnsi="Times New Roman" w:cs="Times New Roman"/>
          <w:sz w:val="24"/>
          <w:szCs w:val="24"/>
        </w:rPr>
      </w:pPr>
    </w:p>
    <w:p w:rsidR="002D1D98" w:rsidRDefault="00B45894" w:rsidP="00680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According to the </w:t>
      </w:r>
      <w:r w:rsidR="00FA3B7D">
        <w:rPr>
          <w:rFonts w:ascii="Times New Roman" w:hAnsi="Times New Roman" w:cs="Times New Roman"/>
          <w:sz w:val="24"/>
          <w:szCs w:val="24"/>
        </w:rPr>
        <w:t xml:space="preserve">2011-12 </w:t>
      </w:r>
      <w:r>
        <w:rPr>
          <w:rFonts w:ascii="Times New Roman" w:hAnsi="Times New Roman" w:cs="Times New Roman"/>
          <w:sz w:val="24"/>
          <w:szCs w:val="24"/>
        </w:rPr>
        <w:t>CDFW c</w:t>
      </w:r>
      <w:r w:rsidR="002D1D98">
        <w:rPr>
          <w:rFonts w:ascii="Times New Roman" w:hAnsi="Times New Roman" w:cs="Times New Roman"/>
          <w:sz w:val="24"/>
          <w:szCs w:val="24"/>
        </w:rPr>
        <w:t xml:space="preserve">reel survey, </w:t>
      </w:r>
      <w:r w:rsidR="007C4517">
        <w:rPr>
          <w:rFonts w:ascii="Times New Roman" w:hAnsi="Times New Roman" w:cs="Times New Roman"/>
          <w:sz w:val="24"/>
          <w:szCs w:val="24"/>
        </w:rPr>
        <w:t>76</w:t>
      </w:r>
      <w:r w:rsidR="0011567F">
        <w:rPr>
          <w:rFonts w:ascii="Times New Roman" w:hAnsi="Times New Roman" w:cs="Times New Roman"/>
          <w:sz w:val="24"/>
          <w:szCs w:val="24"/>
        </w:rPr>
        <w:t xml:space="preserve">% of </w:t>
      </w:r>
      <w:r w:rsidR="002D1D98" w:rsidRPr="002D1D98">
        <w:rPr>
          <w:rFonts w:ascii="Times New Roman" w:hAnsi="Times New Roman" w:cs="Times New Roman"/>
          <w:sz w:val="24"/>
          <w:szCs w:val="24"/>
        </w:rPr>
        <w:t xml:space="preserve">fishing effort </w:t>
      </w:r>
      <w:r w:rsidR="007B78CC">
        <w:rPr>
          <w:rFonts w:ascii="Times New Roman" w:hAnsi="Times New Roman" w:cs="Times New Roman"/>
          <w:sz w:val="24"/>
          <w:szCs w:val="24"/>
        </w:rPr>
        <w:t xml:space="preserve">on the Sacramento River system </w:t>
      </w:r>
      <w:r w:rsidR="005C134B">
        <w:rPr>
          <w:rFonts w:ascii="Times New Roman" w:hAnsi="Times New Roman" w:cs="Times New Roman"/>
          <w:sz w:val="24"/>
          <w:szCs w:val="24"/>
        </w:rPr>
        <w:t xml:space="preserve">is </w:t>
      </w:r>
      <w:r w:rsidR="002D1D98" w:rsidRPr="002D1D98">
        <w:rPr>
          <w:rFonts w:ascii="Times New Roman" w:hAnsi="Times New Roman" w:cs="Times New Roman"/>
          <w:sz w:val="24"/>
          <w:szCs w:val="24"/>
        </w:rPr>
        <w:t>attributable to anglers residing in the following 14 counties:  Amador, Butte, Colusa, El Dorado, Glenn, Nevada, Placer, Sacramento, Shasta, Solano, Sutter, Tehama, Yolo and Yuba</w:t>
      </w:r>
      <w:r w:rsidR="00611B71">
        <w:rPr>
          <w:rFonts w:ascii="Times New Roman" w:hAnsi="Times New Roman" w:cs="Times New Roman"/>
          <w:sz w:val="24"/>
          <w:szCs w:val="24"/>
        </w:rPr>
        <w:t xml:space="preserve">.   This 14-county area </w:t>
      </w:r>
      <w:r w:rsidR="002D1D98" w:rsidRPr="002D1D98">
        <w:rPr>
          <w:rFonts w:ascii="Times New Roman" w:hAnsi="Times New Roman" w:cs="Times New Roman"/>
          <w:sz w:val="24"/>
          <w:szCs w:val="24"/>
        </w:rPr>
        <w:t xml:space="preserve">coincides </w:t>
      </w:r>
      <w:r w:rsidR="00611B71">
        <w:rPr>
          <w:rFonts w:ascii="Times New Roman" w:hAnsi="Times New Roman" w:cs="Times New Roman"/>
          <w:sz w:val="24"/>
          <w:szCs w:val="24"/>
        </w:rPr>
        <w:t xml:space="preserve">closely </w:t>
      </w:r>
      <w:r w:rsidR="002D1D98" w:rsidRPr="002D1D98">
        <w:rPr>
          <w:rFonts w:ascii="Times New Roman" w:hAnsi="Times New Roman" w:cs="Times New Roman"/>
          <w:sz w:val="24"/>
          <w:szCs w:val="24"/>
        </w:rPr>
        <w:t>with the area covered b</w:t>
      </w:r>
      <w:r w:rsidR="00F03ED1">
        <w:rPr>
          <w:rFonts w:ascii="Times New Roman" w:hAnsi="Times New Roman" w:cs="Times New Roman"/>
          <w:sz w:val="24"/>
          <w:szCs w:val="24"/>
        </w:rPr>
        <w:t xml:space="preserve">y the </w:t>
      </w:r>
      <w:r w:rsidR="00412133">
        <w:rPr>
          <w:rFonts w:ascii="Times New Roman" w:hAnsi="Times New Roman" w:cs="Times New Roman"/>
          <w:sz w:val="24"/>
          <w:szCs w:val="24"/>
        </w:rPr>
        <w:t xml:space="preserve">creel survey </w:t>
      </w:r>
      <w:r w:rsidR="002D1D98" w:rsidRPr="002D1D98">
        <w:rPr>
          <w:rFonts w:ascii="Times New Roman" w:hAnsi="Times New Roman" w:cs="Times New Roman"/>
          <w:sz w:val="24"/>
          <w:szCs w:val="24"/>
        </w:rPr>
        <w:t>and suggests the strong influence of residential proximity on fishery participation.</w:t>
      </w:r>
      <w:r w:rsidR="00515C0A">
        <w:rPr>
          <w:rFonts w:ascii="Times New Roman" w:hAnsi="Times New Roman" w:cs="Times New Roman"/>
          <w:sz w:val="24"/>
          <w:szCs w:val="24"/>
        </w:rPr>
        <w:t xml:space="preserve">  California residents who live outside t</w:t>
      </w:r>
      <w:r w:rsidR="0011567F">
        <w:rPr>
          <w:rFonts w:ascii="Times New Roman" w:hAnsi="Times New Roman" w:cs="Times New Roman"/>
          <w:sz w:val="24"/>
          <w:szCs w:val="24"/>
        </w:rPr>
        <w:t xml:space="preserve">he 14-county area </w:t>
      </w:r>
      <w:r w:rsidR="007C4517">
        <w:rPr>
          <w:rFonts w:ascii="Times New Roman" w:hAnsi="Times New Roman" w:cs="Times New Roman"/>
          <w:sz w:val="24"/>
          <w:szCs w:val="24"/>
        </w:rPr>
        <w:t xml:space="preserve">and out-of-state residents </w:t>
      </w:r>
      <w:r w:rsidR="0011567F">
        <w:rPr>
          <w:rFonts w:ascii="Times New Roman" w:hAnsi="Times New Roman" w:cs="Times New Roman"/>
          <w:sz w:val="24"/>
          <w:szCs w:val="24"/>
        </w:rPr>
        <w:t xml:space="preserve">account for 22% </w:t>
      </w:r>
      <w:r w:rsidR="007C4517">
        <w:rPr>
          <w:rFonts w:ascii="Times New Roman" w:hAnsi="Times New Roman" w:cs="Times New Roman"/>
          <w:sz w:val="24"/>
          <w:szCs w:val="24"/>
        </w:rPr>
        <w:t>and 2%</w:t>
      </w:r>
      <w:r w:rsidR="00FA3B7D">
        <w:rPr>
          <w:rFonts w:ascii="Times New Roman" w:hAnsi="Times New Roman" w:cs="Times New Roman"/>
          <w:sz w:val="24"/>
          <w:szCs w:val="24"/>
        </w:rPr>
        <w:t>,</w:t>
      </w:r>
      <w:r w:rsidR="007C4517">
        <w:rPr>
          <w:rFonts w:ascii="Times New Roman" w:hAnsi="Times New Roman" w:cs="Times New Roman"/>
          <w:sz w:val="24"/>
          <w:szCs w:val="24"/>
        </w:rPr>
        <w:t xml:space="preserve"> respectively</w:t>
      </w:r>
      <w:r w:rsidR="00FA3B7D">
        <w:rPr>
          <w:rFonts w:ascii="Times New Roman" w:hAnsi="Times New Roman" w:cs="Times New Roman"/>
          <w:sz w:val="24"/>
          <w:szCs w:val="24"/>
        </w:rPr>
        <w:t>,</w:t>
      </w:r>
      <w:r w:rsidR="007C4517">
        <w:rPr>
          <w:rFonts w:ascii="Times New Roman" w:hAnsi="Times New Roman" w:cs="Times New Roman"/>
          <w:sz w:val="24"/>
          <w:szCs w:val="24"/>
        </w:rPr>
        <w:t xml:space="preserve"> </w:t>
      </w:r>
      <w:r w:rsidR="0011567F">
        <w:rPr>
          <w:rFonts w:ascii="Times New Roman" w:hAnsi="Times New Roman" w:cs="Times New Roman"/>
          <w:sz w:val="24"/>
          <w:szCs w:val="24"/>
        </w:rPr>
        <w:t xml:space="preserve">of </w:t>
      </w:r>
      <w:r w:rsidR="007B78CC">
        <w:rPr>
          <w:rFonts w:ascii="Times New Roman" w:hAnsi="Times New Roman" w:cs="Times New Roman"/>
          <w:sz w:val="24"/>
          <w:szCs w:val="24"/>
        </w:rPr>
        <w:t>an</w:t>
      </w:r>
      <w:r w:rsidR="0003728D">
        <w:rPr>
          <w:rFonts w:ascii="Times New Roman" w:hAnsi="Times New Roman" w:cs="Times New Roman"/>
          <w:sz w:val="24"/>
          <w:szCs w:val="24"/>
        </w:rPr>
        <w:t>glers encountered in the creel</w:t>
      </w:r>
      <w:r w:rsidR="007C4517">
        <w:rPr>
          <w:rFonts w:ascii="Times New Roman" w:hAnsi="Times New Roman" w:cs="Times New Roman"/>
          <w:sz w:val="24"/>
          <w:szCs w:val="24"/>
        </w:rPr>
        <w:t xml:space="preserve">.  </w:t>
      </w:r>
    </w:p>
    <w:p w:rsidR="002D1D98" w:rsidRDefault="002D1D98" w:rsidP="00680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hAnsi="Times New Roman" w:cs="Times New Roman"/>
          <w:sz w:val="24"/>
          <w:szCs w:val="24"/>
        </w:rPr>
      </w:pPr>
    </w:p>
    <w:p w:rsidR="00EE1DEA" w:rsidRDefault="00E15735" w:rsidP="00680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pPr>
      <w:r>
        <w:rPr>
          <w:rFonts w:ascii="Times New Roman" w:hAnsi="Times New Roman" w:cs="Times New Roman"/>
          <w:sz w:val="24"/>
          <w:szCs w:val="24"/>
        </w:rPr>
        <w:t>CDFW</w:t>
      </w:r>
      <w:r w:rsidR="002D1D98" w:rsidRPr="002D1D98">
        <w:rPr>
          <w:rFonts w:ascii="Times New Roman" w:hAnsi="Times New Roman" w:cs="Times New Roman"/>
          <w:sz w:val="24"/>
          <w:szCs w:val="24"/>
        </w:rPr>
        <w:t xml:space="preserve"> has a computerized Automated License Data System (ALDS) that includes names, addresses and telephone numbers of all resident and non-resident anglers who purchase fishing licenses in California.  </w:t>
      </w:r>
      <w:r w:rsidR="00D0050E">
        <w:rPr>
          <w:rFonts w:ascii="Times New Roman" w:hAnsi="Times New Roman" w:cs="Times New Roman"/>
          <w:sz w:val="24"/>
          <w:szCs w:val="24"/>
        </w:rPr>
        <w:t>Resident and non-resident a</w:t>
      </w:r>
      <w:r w:rsidR="00C57D77">
        <w:rPr>
          <w:rFonts w:ascii="Times New Roman" w:hAnsi="Times New Roman" w:cs="Times New Roman"/>
          <w:sz w:val="24"/>
          <w:szCs w:val="24"/>
        </w:rPr>
        <w:t>nglers in t</w:t>
      </w:r>
      <w:r w:rsidR="00D50173">
        <w:rPr>
          <w:rFonts w:ascii="Times New Roman" w:hAnsi="Times New Roman" w:cs="Times New Roman"/>
          <w:sz w:val="24"/>
          <w:szCs w:val="24"/>
        </w:rPr>
        <w:t xml:space="preserve">he ALDS </w:t>
      </w:r>
      <w:r w:rsidR="0000321B">
        <w:rPr>
          <w:rFonts w:ascii="Times New Roman" w:hAnsi="Times New Roman" w:cs="Times New Roman"/>
          <w:sz w:val="24"/>
          <w:szCs w:val="24"/>
        </w:rPr>
        <w:t xml:space="preserve">who </w:t>
      </w:r>
      <w:r>
        <w:rPr>
          <w:rFonts w:ascii="Times New Roman" w:hAnsi="Times New Roman" w:cs="Times New Roman"/>
          <w:sz w:val="24"/>
          <w:szCs w:val="24"/>
        </w:rPr>
        <w:t xml:space="preserve">purchase their </w:t>
      </w:r>
      <w:r w:rsidR="00C57D77">
        <w:rPr>
          <w:rFonts w:ascii="Times New Roman" w:hAnsi="Times New Roman" w:cs="Times New Roman"/>
          <w:sz w:val="24"/>
          <w:szCs w:val="24"/>
        </w:rPr>
        <w:t xml:space="preserve">license in the 14-county area </w:t>
      </w:r>
      <w:r w:rsidR="00D0050E">
        <w:rPr>
          <w:rFonts w:ascii="Times New Roman" w:hAnsi="Times New Roman" w:cs="Times New Roman"/>
          <w:sz w:val="24"/>
          <w:szCs w:val="24"/>
        </w:rPr>
        <w:t xml:space="preserve">encompassing the </w:t>
      </w:r>
      <w:r w:rsidR="0096673A">
        <w:rPr>
          <w:rFonts w:ascii="Times New Roman" w:hAnsi="Times New Roman" w:cs="Times New Roman"/>
          <w:sz w:val="24"/>
          <w:szCs w:val="24"/>
        </w:rPr>
        <w:t>Sacramento</w:t>
      </w:r>
      <w:r w:rsidR="00D0050E">
        <w:rPr>
          <w:rFonts w:ascii="Times New Roman" w:hAnsi="Times New Roman" w:cs="Times New Roman"/>
          <w:sz w:val="24"/>
          <w:szCs w:val="24"/>
        </w:rPr>
        <w:t xml:space="preserve"> River syste</w:t>
      </w:r>
      <w:r w:rsidR="00521583">
        <w:rPr>
          <w:rFonts w:ascii="Times New Roman" w:hAnsi="Times New Roman" w:cs="Times New Roman"/>
          <w:sz w:val="24"/>
          <w:szCs w:val="24"/>
        </w:rPr>
        <w:t xml:space="preserve">m </w:t>
      </w:r>
      <w:r w:rsidR="00D0050E">
        <w:rPr>
          <w:rFonts w:ascii="Times New Roman" w:hAnsi="Times New Roman" w:cs="Times New Roman"/>
          <w:sz w:val="24"/>
          <w:szCs w:val="24"/>
        </w:rPr>
        <w:t xml:space="preserve">will </w:t>
      </w:r>
      <w:r w:rsidR="00D50173">
        <w:rPr>
          <w:rFonts w:ascii="Times New Roman" w:hAnsi="Times New Roman" w:cs="Times New Roman"/>
          <w:sz w:val="24"/>
          <w:szCs w:val="24"/>
        </w:rPr>
        <w:t>serve as the sample frame for this survey.</w:t>
      </w:r>
      <w:r w:rsidR="00EE1DEA" w:rsidRPr="00EE1DEA">
        <w:t xml:space="preserve"> </w:t>
      </w:r>
    </w:p>
    <w:p w:rsidR="00521583" w:rsidRDefault="00521583" w:rsidP="00680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hAnsi="Times New Roman" w:cs="Times New Roman"/>
          <w:sz w:val="24"/>
          <w:szCs w:val="24"/>
        </w:rPr>
      </w:pPr>
    </w:p>
    <w:p w:rsidR="00E81D89" w:rsidRPr="00A65A9A" w:rsidRDefault="00C357EE" w:rsidP="00A65A9A">
      <w:pPr>
        <w:spacing w:line="240" w:lineRule="auto"/>
        <w:contextualSpacing/>
        <w:rPr>
          <w:rFonts w:ascii="Times New Roman" w:hAnsi="Times New Roman" w:cs="Times New Roman"/>
          <w:sz w:val="24"/>
          <w:szCs w:val="24"/>
        </w:rPr>
      </w:pPr>
      <w:r>
        <w:rPr>
          <w:rFonts w:ascii="Times New Roman" w:hAnsi="Times New Roman" w:cs="Times New Roman"/>
          <w:sz w:val="24"/>
          <w:szCs w:val="24"/>
        </w:rPr>
        <w:t>A s</w:t>
      </w:r>
      <w:r w:rsidR="00F5084F" w:rsidRPr="00A65A9A">
        <w:rPr>
          <w:rFonts w:ascii="Times New Roman" w:hAnsi="Times New Roman" w:cs="Times New Roman"/>
          <w:sz w:val="24"/>
          <w:szCs w:val="24"/>
        </w:rPr>
        <w:t xml:space="preserve">ample </w:t>
      </w:r>
      <w:r>
        <w:rPr>
          <w:rFonts w:ascii="Times New Roman" w:hAnsi="Times New Roman" w:cs="Times New Roman"/>
          <w:sz w:val="24"/>
          <w:szCs w:val="24"/>
        </w:rPr>
        <w:t xml:space="preserve">frame </w:t>
      </w:r>
      <w:r w:rsidR="00604DF1">
        <w:rPr>
          <w:rFonts w:ascii="Times New Roman" w:hAnsi="Times New Roman" w:cs="Times New Roman"/>
          <w:sz w:val="24"/>
          <w:szCs w:val="24"/>
        </w:rPr>
        <w:t xml:space="preserve">that </w:t>
      </w:r>
      <w:r w:rsidR="00BC6A6B">
        <w:rPr>
          <w:rFonts w:ascii="Times New Roman" w:hAnsi="Times New Roman" w:cs="Times New Roman"/>
          <w:sz w:val="24"/>
          <w:szCs w:val="24"/>
        </w:rPr>
        <w:t>encompasse</w:t>
      </w:r>
      <w:r w:rsidR="000972C7">
        <w:rPr>
          <w:rFonts w:ascii="Times New Roman" w:hAnsi="Times New Roman" w:cs="Times New Roman"/>
          <w:sz w:val="24"/>
          <w:szCs w:val="24"/>
        </w:rPr>
        <w:t>d</w:t>
      </w:r>
      <w:r w:rsidR="00604DF1">
        <w:rPr>
          <w:rFonts w:ascii="Times New Roman" w:hAnsi="Times New Roman" w:cs="Times New Roman"/>
          <w:sz w:val="24"/>
          <w:szCs w:val="24"/>
        </w:rPr>
        <w:t xml:space="preserve"> the enti</w:t>
      </w:r>
      <w:r w:rsidR="002401DD">
        <w:rPr>
          <w:rFonts w:ascii="Times New Roman" w:hAnsi="Times New Roman" w:cs="Times New Roman"/>
          <w:sz w:val="24"/>
          <w:szCs w:val="24"/>
        </w:rPr>
        <w:t>re ALDS database (e.g</w:t>
      </w:r>
      <w:r w:rsidR="00F02AB0">
        <w:rPr>
          <w:rFonts w:ascii="Times New Roman" w:hAnsi="Times New Roman" w:cs="Times New Roman"/>
          <w:sz w:val="24"/>
          <w:szCs w:val="24"/>
        </w:rPr>
        <w:t>., include</w:t>
      </w:r>
      <w:r w:rsidR="00963239">
        <w:rPr>
          <w:rFonts w:ascii="Times New Roman" w:hAnsi="Times New Roman" w:cs="Times New Roman"/>
          <w:sz w:val="24"/>
          <w:szCs w:val="24"/>
        </w:rPr>
        <w:t>d</w:t>
      </w:r>
      <w:r w:rsidR="00604DF1">
        <w:rPr>
          <w:rFonts w:ascii="Times New Roman" w:hAnsi="Times New Roman" w:cs="Times New Roman"/>
          <w:sz w:val="24"/>
          <w:szCs w:val="24"/>
        </w:rPr>
        <w:t xml:space="preserve"> </w:t>
      </w:r>
      <w:r w:rsidR="00332778">
        <w:rPr>
          <w:rFonts w:ascii="Times New Roman" w:hAnsi="Times New Roman" w:cs="Times New Roman"/>
          <w:sz w:val="24"/>
          <w:szCs w:val="24"/>
        </w:rPr>
        <w:t>license sales in all of California’s 58 counties</w:t>
      </w:r>
      <w:r w:rsidR="00604DF1">
        <w:rPr>
          <w:rFonts w:ascii="Times New Roman" w:hAnsi="Times New Roman" w:cs="Times New Roman"/>
          <w:sz w:val="24"/>
          <w:szCs w:val="24"/>
        </w:rPr>
        <w:t>)</w:t>
      </w:r>
      <w:r w:rsidR="00BB38F6">
        <w:rPr>
          <w:rFonts w:ascii="Times New Roman" w:hAnsi="Times New Roman" w:cs="Times New Roman"/>
          <w:sz w:val="24"/>
          <w:szCs w:val="24"/>
        </w:rPr>
        <w:t xml:space="preserve"> </w:t>
      </w:r>
      <w:r w:rsidR="00BC6A6B">
        <w:rPr>
          <w:rFonts w:ascii="Times New Roman" w:hAnsi="Times New Roman" w:cs="Times New Roman"/>
          <w:sz w:val="24"/>
          <w:szCs w:val="24"/>
        </w:rPr>
        <w:t xml:space="preserve">would </w:t>
      </w:r>
      <w:r w:rsidR="00FA3B7D">
        <w:rPr>
          <w:rFonts w:ascii="Times New Roman" w:hAnsi="Times New Roman" w:cs="Times New Roman"/>
          <w:sz w:val="24"/>
          <w:szCs w:val="24"/>
        </w:rPr>
        <w:t xml:space="preserve">also </w:t>
      </w:r>
      <w:r w:rsidR="00BC6A6B">
        <w:rPr>
          <w:rFonts w:ascii="Times New Roman" w:hAnsi="Times New Roman" w:cs="Times New Roman"/>
          <w:sz w:val="24"/>
          <w:szCs w:val="24"/>
        </w:rPr>
        <w:t>include</w:t>
      </w:r>
      <w:r w:rsidR="00332778">
        <w:rPr>
          <w:rFonts w:ascii="Times New Roman" w:hAnsi="Times New Roman" w:cs="Times New Roman"/>
          <w:sz w:val="24"/>
          <w:szCs w:val="24"/>
        </w:rPr>
        <w:t xml:space="preserve"> </w:t>
      </w:r>
      <w:r w:rsidR="00BB38F6">
        <w:rPr>
          <w:rFonts w:ascii="Times New Roman" w:hAnsi="Times New Roman" w:cs="Times New Roman"/>
          <w:sz w:val="24"/>
          <w:szCs w:val="24"/>
        </w:rPr>
        <w:t xml:space="preserve">Sacramento River </w:t>
      </w:r>
      <w:r w:rsidR="00946B7B" w:rsidRPr="00A65A9A">
        <w:rPr>
          <w:rFonts w:ascii="Times New Roman" w:hAnsi="Times New Roman" w:cs="Times New Roman"/>
          <w:sz w:val="24"/>
          <w:szCs w:val="24"/>
        </w:rPr>
        <w:t>anglers</w:t>
      </w:r>
      <w:r w:rsidR="004D411A" w:rsidRPr="00A65A9A">
        <w:rPr>
          <w:rFonts w:ascii="Times New Roman" w:hAnsi="Times New Roman" w:cs="Times New Roman"/>
          <w:sz w:val="24"/>
          <w:szCs w:val="24"/>
        </w:rPr>
        <w:t xml:space="preserve"> </w:t>
      </w:r>
      <w:r w:rsidR="00BB38F6">
        <w:rPr>
          <w:rFonts w:ascii="Times New Roman" w:hAnsi="Times New Roman" w:cs="Times New Roman"/>
          <w:sz w:val="24"/>
          <w:szCs w:val="24"/>
        </w:rPr>
        <w:t xml:space="preserve">who </w:t>
      </w:r>
      <w:r w:rsidR="00946B7B" w:rsidRPr="00A65A9A">
        <w:rPr>
          <w:rFonts w:ascii="Times New Roman" w:hAnsi="Times New Roman" w:cs="Times New Roman"/>
          <w:sz w:val="24"/>
          <w:szCs w:val="24"/>
        </w:rPr>
        <w:t>purchased their li</w:t>
      </w:r>
      <w:r w:rsidR="007F77A4">
        <w:rPr>
          <w:rFonts w:ascii="Times New Roman" w:hAnsi="Times New Roman" w:cs="Times New Roman"/>
          <w:sz w:val="24"/>
          <w:szCs w:val="24"/>
        </w:rPr>
        <w:t>cense anywhere in California</w:t>
      </w:r>
      <w:r w:rsidR="00946B7B" w:rsidRPr="00A65A9A">
        <w:rPr>
          <w:rFonts w:ascii="Times New Roman" w:hAnsi="Times New Roman" w:cs="Times New Roman"/>
          <w:sz w:val="24"/>
          <w:szCs w:val="24"/>
        </w:rPr>
        <w:t xml:space="preserve">.  </w:t>
      </w:r>
      <w:r w:rsidR="00332778">
        <w:rPr>
          <w:rFonts w:ascii="Times New Roman" w:hAnsi="Times New Roman" w:cs="Times New Roman"/>
          <w:sz w:val="24"/>
          <w:szCs w:val="24"/>
        </w:rPr>
        <w:t xml:space="preserve">However </w:t>
      </w:r>
      <w:r w:rsidR="00332778" w:rsidRPr="00332778">
        <w:rPr>
          <w:rFonts w:ascii="Times New Roman" w:hAnsi="Times New Roman" w:cs="Times New Roman"/>
          <w:sz w:val="24"/>
          <w:szCs w:val="24"/>
        </w:rPr>
        <w:t>a</w:t>
      </w:r>
      <w:r w:rsidR="00455DE1">
        <w:rPr>
          <w:rFonts w:ascii="Times New Roman" w:hAnsi="Times New Roman" w:cs="Times New Roman"/>
          <w:sz w:val="24"/>
          <w:szCs w:val="24"/>
        </w:rPr>
        <w:t xml:space="preserve"> statewide frame was deemed </w:t>
      </w:r>
      <w:r w:rsidR="00332778" w:rsidRPr="00332778">
        <w:rPr>
          <w:rFonts w:ascii="Times New Roman" w:hAnsi="Times New Roman" w:cs="Times New Roman"/>
          <w:sz w:val="24"/>
          <w:szCs w:val="24"/>
        </w:rPr>
        <w:t>cost-prohibitiv</w:t>
      </w:r>
      <w:r w:rsidR="00332778">
        <w:rPr>
          <w:rFonts w:ascii="Times New Roman" w:hAnsi="Times New Roman" w:cs="Times New Roman"/>
          <w:sz w:val="24"/>
          <w:szCs w:val="24"/>
        </w:rPr>
        <w:t>e</w:t>
      </w:r>
      <w:r w:rsidR="007C4517">
        <w:rPr>
          <w:rFonts w:ascii="Times New Roman" w:hAnsi="Times New Roman" w:cs="Times New Roman"/>
          <w:sz w:val="24"/>
          <w:szCs w:val="24"/>
        </w:rPr>
        <w:t>,</w:t>
      </w:r>
      <w:r w:rsidR="00332778">
        <w:rPr>
          <w:rFonts w:ascii="Times New Roman" w:hAnsi="Times New Roman" w:cs="Times New Roman"/>
          <w:sz w:val="24"/>
          <w:szCs w:val="24"/>
        </w:rPr>
        <w:t xml:space="preserve"> as </w:t>
      </w:r>
      <w:r w:rsidR="00332778" w:rsidRPr="00332778">
        <w:rPr>
          <w:rFonts w:ascii="Times New Roman" w:hAnsi="Times New Roman" w:cs="Times New Roman"/>
          <w:sz w:val="24"/>
          <w:szCs w:val="24"/>
        </w:rPr>
        <w:t xml:space="preserve">much more extensive telephone screening </w:t>
      </w:r>
      <w:r w:rsidR="00455DE1">
        <w:rPr>
          <w:rFonts w:ascii="Times New Roman" w:hAnsi="Times New Roman" w:cs="Times New Roman"/>
          <w:sz w:val="24"/>
          <w:szCs w:val="24"/>
        </w:rPr>
        <w:t xml:space="preserve">would be </w:t>
      </w:r>
      <w:r w:rsidR="00332778" w:rsidRPr="00332778">
        <w:rPr>
          <w:rFonts w:ascii="Times New Roman" w:hAnsi="Times New Roman" w:cs="Times New Roman"/>
          <w:sz w:val="24"/>
          <w:szCs w:val="24"/>
        </w:rPr>
        <w:t xml:space="preserve">required to identify Sacramento River </w:t>
      </w:r>
      <w:r w:rsidR="00332778">
        <w:rPr>
          <w:rFonts w:ascii="Times New Roman" w:hAnsi="Times New Roman" w:cs="Times New Roman"/>
          <w:sz w:val="24"/>
          <w:szCs w:val="24"/>
        </w:rPr>
        <w:lastRenderedPageBreak/>
        <w:t>anglers from this larger frame.  M</w:t>
      </w:r>
      <w:r w:rsidR="00302FF8">
        <w:rPr>
          <w:rFonts w:ascii="Times New Roman" w:hAnsi="Times New Roman" w:cs="Times New Roman"/>
          <w:sz w:val="24"/>
          <w:szCs w:val="24"/>
        </w:rPr>
        <w:t xml:space="preserve">ost license sales </w:t>
      </w:r>
      <w:r w:rsidR="00BC6A6B">
        <w:rPr>
          <w:rFonts w:ascii="Times New Roman" w:hAnsi="Times New Roman" w:cs="Times New Roman"/>
          <w:sz w:val="24"/>
          <w:szCs w:val="24"/>
        </w:rPr>
        <w:t xml:space="preserve">outside the 14-county area </w:t>
      </w:r>
      <w:r w:rsidR="00332778">
        <w:rPr>
          <w:rFonts w:ascii="Times New Roman" w:hAnsi="Times New Roman" w:cs="Times New Roman"/>
          <w:sz w:val="24"/>
          <w:szCs w:val="24"/>
        </w:rPr>
        <w:t xml:space="preserve">occur in counties </w:t>
      </w:r>
      <w:r w:rsidR="00302FF8">
        <w:rPr>
          <w:rFonts w:ascii="Times New Roman" w:hAnsi="Times New Roman" w:cs="Times New Roman"/>
          <w:sz w:val="24"/>
          <w:szCs w:val="24"/>
        </w:rPr>
        <w:t xml:space="preserve">that are adjacent to the Pacific Ocean or San Francisco Bay and/or </w:t>
      </w:r>
      <w:r w:rsidR="000972C7">
        <w:rPr>
          <w:rFonts w:ascii="Times New Roman" w:hAnsi="Times New Roman" w:cs="Times New Roman"/>
          <w:sz w:val="24"/>
          <w:szCs w:val="24"/>
        </w:rPr>
        <w:t xml:space="preserve">are </w:t>
      </w:r>
      <w:r w:rsidR="00302FF8">
        <w:rPr>
          <w:rFonts w:ascii="Times New Roman" w:hAnsi="Times New Roman" w:cs="Times New Roman"/>
          <w:sz w:val="24"/>
          <w:szCs w:val="24"/>
        </w:rPr>
        <w:t>far from the Sacramento River (e.g., southern California)</w:t>
      </w:r>
      <w:r w:rsidR="00332778">
        <w:rPr>
          <w:rFonts w:ascii="Times New Roman" w:hAnsi="Times New Roman" w:cs="Times New Roman"/>
          <w:sz w:val="24"/>
          <w:szCs w:val="24"/>
        </w:rPr>
        <w:t xml:space="preserve">; </w:t>
      </w:r>
      <w:r w:rsidR="00302FF8">
        <w:rPr>
          <w:rFonts w:ascii="Times New Roman" w:hAnsi="Times New Roman" w:cs="Times New Roman"/>
          <w:sz w:val="24"/>
          <w:szCs w:val="24"/>
        </w:rPr>
        <w:t xml:space="preserve">anglers </w:t>
      </w:r>
      <w:r w:rsidR="00332778">
        <w:rPr>
          <w:rFonts w:ascii="Times New Roman" w:hAnsi="Times New Roman" w:cs="Times New Roman"/>
          <w:sz w:val="24"/>
          <w:szCs w:val="24"/>
        </w:rPr>
        <w:t>who pu</w:t>
      </w:r>
      <w:r w:rsidR="00E15735">
        <w:rPr>
          <w:rFonts w:ascii="Times New Roman" w:hAnsi="Times New Roman" w:cs="Times New Roman"/>
          <w:sz w:val="24"/>
          <w:szCs w:val="24"/>
        </w:rPr>
        <w:t>rch</w:t>
      </w:r>
      <w:r w:rsidR="007F77A4">
        <w:rPr>
          <w:rFonts w:ascii="Times New Roman" w:hAnsi="Times New Roman" w:cs="Times New Roman"/>
          <w:sz w:val="24"/>
          <w:szCs w:val="24"/>
        </w:rPr>
        <w:t xml:space="preserve">ase their license in these </w:t>
      </w:r>
      <w:r w:rsidR="00332778">
        <w:rPr>
          <w:rFonts w:ascii="Times New Roman" w:hAnsi="Times New Roman" w:cs="Times New Roman"/>
          <w:sz w:val="24"/>
          <w:szCs w:val="24"/>
        </w:rPr>
        <w:t xml:space="preserve">counties </w:t>
      </w:r>
      <w:r w:rsidR="00302FF8">
        <w:rPr>
          <w:rFonts w:ascii="Times New Roman" w:hAnsi="Times New Roman" w:cs="Times New Roman"/>
          <w:sz w:val="24"/>
          <w:szCs w:val="24"/>
        </w:rPr>
        <w:t xml:space="preserve">are much more likely to be saltwater anglers than </w:t>
      </w:r>
      <w:r w:rsidR="00332778">
        <w:rPr>
          <w:rFonts w:ascii="Times New Roman" w:hAnsi="Times New Roman" w:cs="Times New Roman"/>
          <w:sz w:val="24"/>
          <w:szCs w:val="24"/>
        </w:rPr>
        <w:t xml:space="preserve">Sacramento River </w:t>
      </w:r>
      <w:r w:rsidR="00302FF8">
        <w:rPr>
          <w:rFonts w:ascii="Times New Roman" w:hAnsi="Times New Roman" w:cs="Times New Roman"/>
          <w:sz w:val="24"/>
          <w:szCs w:val="24"/>
        </w:rPr>
        <w:t>anglers</w:t>
      </w:r>
      <w:r w:rsidR="00332778">
        <w:rPr>
          <w:rFonts w:ascii="Times New Roman" w:hAnsi="Times New Roman" w:cs="Times New Roman"/>
          <w:sz w:val="24"/>
          <w:szCs w:val="24"/>
        </w:rPr>
        <w:t>.</w:t>
      </w:r>
    </w:p>
    <w:p w:rsidR="002D7843" w:rsidRPr="00E07611" w:rsidRDefault="002D7843" w:rsidP="00496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eastAsia="Times New Roman" w:hAnsi="Times New Roman" w:cs="Times New Roman"/>
          <w:sz w:val="24"/>
          <w:szCs w:val="24"/>
        </w:rPr>
      </w:pPr>
    </w:p>
    <w:p w:rsidR="009672C8" w:rsidRPr="00E07611"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sidRPr="00B901C5">
        <w:rPr>
          <w:rFonts w:ascii="Times New Roman" w:eastAsia="Times New Roman" w:hAnsi="Times New Roman" w:cs="Times New Roman"/>
          <w:b/>
          <w:i/>
          <w:sz w:val="24"/>
          <w:szCs w:val="24"/>
        </w:rPr>
        <w:t>Sampling</w:t>
      </w:r>
      <w:r w:rsidR="007A09EC">
        <w:rPr>
          <w:rFonts w:ascii="Times New Roman" w:eastAsia="Times New Roman" w:hAnsi="Times New Roman" w:cs="Times New Roman"/>
          <w:b/>
          <w:i/>
          <w:sz w:val="24"/>
          <w:szCs w:val="24"/>
        </w:rPr>
        <w:t xml:space="preserve"> or other respondent selection m</w:t>
      </w:r>
      <w:r w:rsidRPr="00E07611">
        <w:rPr>
          <w:rFonts w:ascii="Times New Roman" w:eastAsia="Times New Roman" w:hAnsi="Times New Roman" w:cs="Times New Roman"/>
          <w:b/>
          <w:i/>
          <w:sz w:val="24"/>
          <w:szCs w:val="24"/>
        </w:rPr>
        <w:t>ethods</w:t>
      </w:r>
    </w:p>
    <w:p w:rsidR="00A41E49" w:rsidRDefault="00A41E49" w:rsidP="00695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eastAsia="Times New Roman" w:hAnsi="Times New Roman" w:cs="Times New Roman"/>
          <w:sz w:val="24"/>
          <w:szCs w:val="24"/>
        </w:rPr>
      </w:pPr>
    </w:p>
    <w:p w:rsidR="004C33F3" w:rsidRDefault="004C33F3"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sidRPr="004C33F3">
        <w:rPr>
          <w:rFonts w:ascii="Times New Roman" w:eastAsia="Times New Roman" w:hAnsi="Times New Roman" w:cs="Times New Roman"/>
          <w:sz w:val="24"/>
          <w:szCs w:val="24"/>
        </w:rPr>
        <w:t>To identify potential respondents for the proposed survey, a random sample of anglers from the sample frame will be called and asked if th</w:t>
      </w:r>
      <w:r>
        <w:rPr>
          <w:rFonts w:ascii="Times New Roman" w:eastAsia="Times New Roman" w:hAnsi="Times New Roman" w:cs="Times New Roman"/>
          <w:sz w:val="24"/>
          <w:szCs w:val="24"/>
        </w:rPr>
        <w:t xml:space="preserve">ey fished on the Sacramento River system </w:t>
      </w:r>
      <w:r w:rsidRPr="004C33F3">
        <w:rPr>
          <w:rFonts w:ascii="Times New Roman" w:eastAsia="Times New Roman" w:hAnsi="Times New Roman" w:cs="Times New Roman"/>
          <w:sz w:val="24"/>
          <w:szCs w:val="24"/>
        </w:rPr>
        <w:t>in the past year.  Those who an</w:t>
      </w:r>
      <w:r w:rsidR="005F6D97">
        <w:rPr>
          <w:rFonts w:ascii="Times New Roman" w:eastAsia="Times New Roman" w:hAnsi="Times New Roman" w:cs="Times New Roman"/>
          <w:sz w:val="24"/>
          <w:szCs w:val="24"/>
        </w:rPr>
        <w:t>swer ‘yes’ will then be asked (a</w:t>
      </w:r>
      <w:r w:rsidRPr="004C33F3">
        <w:rPr>
          <w:rFonts w:ascii="Times New Roman" w:eastAsia="Times New Roman" w:hAnsi="Times New Roman" w:cs="Times New Roman"/>
          <w:sz w:val="24"/>
          <w:szCs w:val="24"/>
        </w:rPr>
        <w:t>) how many days they fi</w:t>
      </w:r>
      <w:r>
        <w:rPr>
          <w:rFonts w:ascii="Times New Roman" w:eastAsia="Times New Roman" w:hAnsi="Times New Roman" w:cs="Times New Roman"/>
          <w:sz w:val="24"/>
          <w:szCs w:val="24"/>
        </w:rPr>
        <w:t>shed on the Sacramento River</w:t>
      </w:r>
      <w:r w:rsidR="00EC46AA">
        <w:rPr>
          <w:rFonts w:ascii="Times New Roman" w:eastAsia="Times New Roman" w:hAnsi="Times New Roman" w:cs="Times New Roman"/>
          <w:sz w:val="24"/>
          <w:szCs w:val="24"/>
        </w:rPr>
        <w:t xml:space="preserve"> system</w:t>
      </w:r>
      <w:r w:rsidR="005F6D97">
        <w:rPr>
          <w:rFonts w:ascii="Times New Roman" w:eastAsia="Times New Roman" w:hAnsi="Times New Roman" w:cs="Times New Roman"/>
          <w:sz w:val="24"/>
          <w:szCs w:val="24"/>
        </w:rPr>
        <w:t>, and (b</w:t>
      </w:r>
      <w:r w:rsidRPr="004C33F3">
        <w:rPr>
          <w:rFonts w:ascii="Times New Roman" w:eastAsia="Times New Roman" w:hAnsi="Times New Roman" w:cs="Times New Roman"/>
          <w:sz w:val="24"/>
          <w:szCs w:val="24"/>
        </w:rPr>
        <w:t>) whether they would be willing to com</w:t>
      </w:r>
      <w:r w:rsidR="0069461D">
        <w:rPr>
          <w:rFonts w:ascii="Times New Roman" w:eastAsia="Times New Roman" w:hAnsi="Times New Roman" w:cs="Times New Roman"/>
          <w:sz w:val="24"/>
          <w:szCs w:val="24"/>
        </w:rPr>
        <w:t>plete a follow-up mail survey.</w:t>
      </w:r>
    </w:p>
    <w:p w:rsidR="006B6EDC" w:rsidRDefault="006B6EDC"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9672C8" w:rsidRPr="00E07611"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sidRPr="0095014C">
        <w:rPr>
          <w:rFonts w:ascii="Times New Roman" w:eastAsia="Times New Roman" w:hAnsi="Times New Roman" w:cs="Times New Roman"/>
          <w:b/>
          <w:i/>
          <w:sz w:val="24"/>
          <w:szCs w:val="24"/>
        </w:rPr>
        <w:t xml:space="preserve">Expected </w:t>
      </w:r>
      <w:r w:rsidR="007A09EC">
        <w:rPr>
          <w:rFonts w:ascii="Times New Roman" w:eastAsia="Times New Roman" w:hAnsi="Times New Roman" w:cs="Times New Roman"/>
          <w:b/>
          <w:i/>
          <w:sz w:val="24"/>
          <w:szCs w:val="24"/>
        </w:rPr>
        <w:t>r</w:t>
      </w:r>
      <w:r w:rsidR="00614FA0">
        <w:rPr>
          <w:rFonts w:ascii="Times New Roman" w:eastAsia="Times New Roman" w:hAnsi="Times New Roman" w:cs="Times New Roman"/>
          <w:b/>
          <w:i/>
          <w:sz w:val="24"/>
          <w:szCs w:val="24"/>
        </w:rPr>
        <w:t>esponse</w:t>
      </w:r>
      <w:r w:rsidR="007A09EC">
        <w:rPr>
          <w:rFonts w:ascii="Times New Roman" w:eastAsia="Times New Roman" w:hAnsi="Times New Roman" w:cs="Times New Roman"/>
          <w:b/>
          <w:i/>
          <w:sz w:val="24"/>
          <w:szCs w:val="24"/>
        </w:rPr>
        <w:t xml:space="preserve"> r</w:t>
      </w:r>
      <w:r w:rsidRPr="0095014C">
        <w:rPr>
          <w:rFonts w:ascii="Times New Roman" w:eastAsia="Times New Roman" w:hAnsi="Times New Roman" w:cs="Times New Roman"/>
          <w:b/>
          <w:i/>
          <w:sz w:val="24"/>
          <w:szCs w:val="24"/>
        </w:rPr>
        <w:t>ate</w:t>
      </w:r>
      <w:r w:rsidRPr="00E07611">
        <w:rPr>
          <w:rFonts w:ascii="Times New Roman" w:eastAsia="Times New Roman" w:hAnsi="Times New Roman" w:cs="Times New Roman"/>
          <w:b/>
          <w:i/>
          <w:sz w:val="24"/>
          <w:szCs w:val="24"/>
        </w:rPr>
        <w:t xml:space="preserve"> and </w:t>
      </w:r>
      <w:r w:rsidR="007A09EC">
        <w:rPr>
          <w:rFonts w:ascii="Times New Roman" w:eastAsia="Times New Roman" w:hAnsi="Times New Roman" w:cs="Times New Roman"/>
          <w:b/>
          <w:i/>
          <w:sz w:val="24"/>
          <w:szCs w:val="24"/>
        </w:rPr>
        <w:t>c</w:t>
      </w:r>
      <w:r w:rsidRPr="00E07611">
        <w:rPr>
          <w:rFonts w:ascii="Times New Roman" w:eastAsia="Times New Roman" w:hAnsi="Times New Roman" w:cs="Times New Roman"/>
          <w:b/>
          <w:i/>
          <w:sz w:val="24"/>
          <w:szCs w:val="24"/>
        </w:rPr>
        <w:t xml:space="preserve">omparison with </w:t>
      </w:r>
      <w:r w:rsidR="007A09EC">
        <w:rPr>
          <w:rFonts w:ascii="Times New Roman" w:eastAsia="Times New Roman" w:hAnsi="Times New Roman" w:cs="Times New Roman"/>
          <w:b/>
          <w:i/>
          <w:sz w:val="24"/>
          <w:szCs w:val="24"/>
        </w:rPr>
        <w:t>previous s</w:t>
      </w:r>
      <w:r w:rsidR="00614FA0">
        <w:rPr>
          <w:rFonts w:ascii="Times New Roman" w:eastAsia="Times New Roman" w:hAnsi="Times New Roman" w:cs="Times New Roman"/>
          <w:b/>
          <w:i/>
          <w:sz w:val="24"/>
          <w:szCs w:val="24"/>
        </w:rPr>
        <w:t>tudies</w:t>
      </w:r>
    </w:p>
    <w:p w:rsidR="0063437B" w:rsidRDefault="0063437B"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8D1CE4" w:rsidRDefault="00DD3AD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w:t>
      </w:r>
      <w:r w:rsidR="0074484A">
        <w:rPr>
          <w:rFonts w:ascii="Times New Roman" w:eastAsia="Times New Roman" w:hAnsi="Times New Roman" w:cs="Times New Roman"/>
          <w:sz w:val="24"/>
          <w:szCs w:val="24"/>
        </w:rPr>
        <w:t xml:space="preserve">the prevalence of </w:t>
      </w:r>
      <w:r>
        <w:rPr>
          <w:rFonts w:ascii="Times New Roman" w:eastAsia="Times New Roman" w:hAnsi="Times New Roman" w:cs="Times New Roman"/>
          <w:sz w:val="24"/>
          <w:szCs w:val="24"/>
        </w:rPr>
        <w:t xml:space="preserve">caller ID </w:t>
      </w:r>
      <w:r w:rsidR="00757465">
        <w:rPr>
          <w:rFonts w:ascii="Times New Roman" w:eastAsia="Times New Roman" w:hAnsi="Times New Roman" w:cs="Times New Roman"/>
          <w:sz w:val="24"/>
          <w:szCs w:val="24"/>
        </w:rPr>
        <w:t xml:space="preserve">and call screening, </w:t>
      </w:r>
      <w:r w:rsidR="0074484A">
        <w:rPr>
          <w:rFonts w:ascii="Times New Roman" w:eastAsia="Times New Roman" w:hAnsi="Times New Roman" w:cs="Times New Roman"/>
          <w:sz w:val="24"/>
          <w:szCs w:val="24"/>
        </w:rPr>
        <w:t>16% (11,447) of the 71,544 license holders cal</w:t>
      </w:r>
      <w:r w:rsidR="005C134B">
        <w:rPr>
          <w:rFonts w:ascii="Times New Roman" w:eastAsia="Times New Roman" w:hAnsi="Times New Roman" w:cs="Times New Roman"/>
          <w:sz w:val="24"/>
          <w:szCs w:val="24"/>
        </w:rPr>
        <w:t xml:space="preserve">led are </w:t>
      </w:r>
      <w:r w:rsidR="005A4A48">
        <w:rPr>
          <w:rFonts w:ascii="Times New Roman" w:eastAsia="Times New Roman" w:hAnsi="Times New Roman" w:cs="Times New Roman"/>
          <w:sz w:val="24"/>
          <w:szCs w:val="24"/>
        </w:rPr>
        <w:t xml:space="preserve">expected to be successfully contacted for a </w:t>
      </w:r>
      <w:r w:rsidR="0074484A">
        <w:rPr>
          <w:rFonts w:ascii="Times New Roman" w:eastAsia="Times New Roman" w:hAnsi="Times New Roman" w:cs="Times New Roman"/>
          <w:sz w:val="24"/>
          <w:szCs w:val="24"/>
        </w:rPr>
        <w:t>phone</w:t>
      </w:r>
      <w:r w:rsidR="005A4A48">
        <w:rPr>
          <w:rFonts w:ascii="Times New Roman" w:eastAsia="Times New Roman" w:hAnsi="Times New Roman" w:cs="Times New Roman"/>
          <w:sz w:val="24"/>
          <w:szCs w:val="24"/>
        </w:rPr>
        <w:t xml:space="preserve"> interview</w:t>
      </w:r>
      <w:r w:rsidR="0074484A">
        <w:rPr>
          <w:rFonts w:ascii="Times New Roman" w:eastAsia="Times New Roman" w:hAnsi="Times New Roman" w:cs="Times New Roman"/>
          <w:sz w:val="24"/>
          <w:szCs w:val="24"/>
        </w:rPr>
        <w:t xml:space="preserve">.  </w:t>
      </w:r>
      <w:r w:rsidR="00E97363">
        <w:rPr>
          <w:rFonts w:ascii="Times New Roman" w:eastAsia="Times New Roman" w:hAnsi="Times New Roman" w:cs="Times New Roman"/>
          <w:sz w:val="24"/>
          <w:szCs w:val="24"/>
        </w:rPr>
        <w:t xml:space="preserve">About </w:t>
      </w:r>
      <w:r w:rsidR="0074484A">
        <w:rPr>
          <w:rFonts w:ascii="Times New Roman" w:eastAsia="Times New Roman" w:hAnsi="Times New Roman" w:cs="Times New Roman"/>
          <w:sz w:val="24"/>
          <w:szCs w:val="24"/>
        </w:rPr>
        <w:t xml:space="preserve">63% (7,212) of </w:t>
      </w:r>
      <w:r w:rsidR="00700899">
        <w:rPr>
          <w:rFonts w:ascii="Times New Roman" w:eastAsia="Times New Roman" w:hAnsi="Times New Roman" w:cs="Times New Roman"/>
          <w:sz w:val="24"/>
          <w:szCs w:val="24"/>
        </w:rPr>
        <w:t xml:space="preserve">the phone interviewees </w:t>
      </w:r>
      <w:r w:rsidR="0074484A">
        <w:rPr>
          <w:rFonts w:ascii="Times New Roman" w:eastAsia="Times New Roman" w:hAnsi="Times New Roman" w:cs="Times New Roman"/>
          <w:sz w:val="24"/>
          <w:szCs w:val="24"/>
        </w:rPr>
        <w:t xml:space="preserve">are expected to </w:t>
      </w:r>
      <w:r w:rsidR="009E22EF">
        <w:rPr>
          <w:rFonts w:ascii="Times New Roman" w:eastAsia="Times New Roman" w:hAnsi="Times New Roman" w:cs="Times New Roman"/>
          <w:sz w:val="24"/>
          <w:szCs w:val="24"/>
        </w:rPr>
        <w:t xml:space="preserve">be Sacramento River anglers.  Of these anglers, </w:t>
      </w:r>
      <w:r w:rsidR="0074484A">
        <w:rPr>
          <w:rFonts w:ascii="Times New Roman" w:eastAsia="Times New Roman" w:hAnsi="Times New Roman" w:cs="Times New Roman"/>
          <w:sz w:val="24"/>
          <w:szCs w:val="24"/>
        </w:rPr>
        <w:t>80% (5,769) are expected to be willing to complete the follow-up mail survey</w:t>
      </w:r>
      <w:r w:rsidR="009E22EF">
        <w:rPr>
          <w:rFonts w:ascii="Times New Roman" w:eastAsia="Times New Roman" w:hAnsi="Times New Roman" w:cs="Times New Roman"/>
          <w:sz w:val="24"/>
          <w:szCs w:val="24"/>
        </w:rPr>
        <w:t>,</w:t>
      </w:r>
      <w:r w:rsidR="0074484A">
        <w:rPr>
          <w:rFonts w:ascii="Times New Roman" w:eastAsia="Times New Roman" w:hAnsi="Times New Roman" w:cs="Times New Roman"/>
          <w:sz w:val="24"/>
          <w:szCs w:val="24"/>
        </w:rPr>
        <w:t xml:space="preserve"> and 26%</w:t>
      </w:r>
      <w:r w:rsidR="009E22EF">
        <w:rPr>
          <w:rFonts w:ascii="Times New Roman" w:eastAsia="Times New Roman" w:hAnsi="Times New Roman" w:cs="Times New Roman"/>
          <w:sz w:val="24"/>
          <w:szCs w:val="24"/>
        </w:rPr>
        <w:t xml:space="preserve"> (1,500) </w:t>
      </w:r>
      <w:r w:rsidR="0074484A">
        <w:rPr>
          <w:rFonts w:ascii="Times New Roman" w:eastAsia="Times New Roman" w:hAnsi="Times New Roman" w:cs="Times New Roman"/>
          <w:sz w:val="24"/>
          <w:szCs w:val="24"/>
        </w:rPr>
        <w:t xml:space="preserve">are expected to return the survey.  The 16% telephone response rate, </w:t>
      </w:r>
      <w:r w:rsidR="00005767">
        <w:rPr>
          <w:rFonts w:ascii="Times New Roman" w:eastAsia="Times New Roman" w:hAnsi="Times New Roman" w:cs="Times New Roman"/>
          <w:sz w:val="24"/>
          <w:szCs w:val="24"/>
        </w:rPr>
        <w:t xml:space="preserve">the 80% </w:t>
      </w:r>
      <w:r w:rsidR="00757465">
        <w:rPr>
          <w:rFonts w:ascii="Times New Roman" w:eastAsia="Times New Roman" w:hAnsi="Times New Roman" w:cs="Times New Roman"/>
          <w:sz w:val="24"/>
          <w:szCs w:val="24"/>
        </w:rPr>
        <w:t xml:space="preserve">mail survey volunteer </w:t>
      </w:r>
      <w:r w:rsidR="0074484A">
        <w:rPr>
          <w:rFonts w:ascii="Times New Roman" w:eastAsia="Times New Roman" w:hAnsi="Times New Roman" w:cs="Times New Roman"/>
          <w:sz w:val="24"/>
          <w:szCs w:val="24"/>
        </w:rPr>
        <w:t xml:space="preserve">rate, and the 26% mail response rate are based on the </w:t>
      </w:r>
      <w:r w:rsidR="00E1630D">
        <w:rPr>
          <w:rFonts w:ascii="Times New Roman" w:eastAsia="Times New Roman" w:hAnsi="Times New Roman" w:cs="Times New Roman"/>
          <w:sz w:val="24"/>
          <w:szCs w:val="24"/>
        </w:rPr>
        <w:t>NOAA Fisheries</w:t>
      </w:r>
      <w:r w:rsidR="0074484A">
        <w:rPr>
          <w:rFonts w:ascii="Times New Roman" w:eastAsia="Times New Roman" w:hAnsi="Times New Roman" w:cs="Times New Roman"/>
          <w:sz w:val="24"/>
          <w:szCs w:val="24"/>
        </w:rPr>
        <w:t xml:space="preserve"> contractor’s prior experience with </w:t>
      </w:r>
      <w:r w:rsidR="00700899" w:rsidRPr="005F6D97">
        <w:rPr>
          <w:rFonts w:ascii="Times New Roman" w:eastAsia="Times New Roman" w:hAnsi="Times New Roman" w:cs="Times New Roman"/>
          <w:sz w:val="24"/>
          <w:szCs w:val="24"/>
        </w:rPr>
        <w:t>saltwater</w:t>
      </w:r>
      <w:r w:rsidR="00700899">
        <w:rPr>
          <w:rFonts w:ascii="Times New Roman" w:eastAsia="Times New Roman" w:hAnsi="Times New Roman" w:cs="Times New Roman"/>
          <w:sz w:val="24"/>
          <w:szCs w:val="24"/>
        </w:rPr>
        <w:t xml:space="preserve"> </w:t>
      </w:r>
      <w:r w:rsidR="0074484A">
        <w:rPr>
          <w:rFonts w:ascii="Times New Roman" w:eastAsia="Times New Roman" w:hAnsi="Times New Roman" w:cs="Times New Roman"/>
          <w:sz w:val="24"/>
          <w:szCs w:val="24"/>
        </w:rPr>
        <w:t>angler survey</w:t>
      </w:r>
      <w:r w:rsidR="00C55E4B">
        <w:rPr>
          <w:rFonts w:ascii="Times New Roman" w:eastAsia="Times New Roman" w:hAnsi="Times New Roman" w:cs="Times New Roman"/>
          <w:sz w:val="24"/>
          <w:szCs w:val="24"/>
        </w:rPr>
        <w:t xml:space="preserve">s involving </w:t>
      </w:r>
      <w:r w:rsidR="00700899">
        <w:rPr>
          <w:rFonts w:ascii="Times New Roman" w:eastAsia="Times New Roman" w:hAnsi="Times New Roman" w:cs="Times New Roman"/>
          <w:sz w:val="24"/>
          <w:szCs w:val="24"/>
        </w:rPr>
        <w:t xml:space="preserve">random </w:t>
      </w:r>
      <w:r w:rsidR="00C55E4B">
        <w:rPr>
          <w:rFonts w:ascii="Times New Roman" w:eastAsia="Times New Roman" w:hAnsi="Times New Roman" w:cs="Times New Roman"/>
          <w:sz w:val="24"/>
          <w:szCs w:val="24"/>
        </w:rPr>
        <w:t xml:space="preserve">telephone interviews with </w:t>
      </w:r>
      <w:r w:rsidR="00C139E8">
        <w:rPr>
          <w:rFonts w:ascii="Times New Roman" w:eastAsia="Times New Roman" w:hAnsi="Times New Roman" w:cs="Times New Roman"/>
          <w:sz w:val="24"/>
          <w:szCs w:val="24"/>
        </w:rPr>
        <w:t xml:space="preserve">a </w:t>
      </w:r>
      <w:r w:rsidR="00757465">
        <w:rPr>
          <w:rFonts w:ascii="Times New Roman" w:eastAsia="Times New Roman" w:hAnsi="Times New Roman" w:cs="Times New Roman"/>
          <w:sz w:val="24"/>
          <w:szCs w:val="24"/>
        </w:rPr>
        <w:t xml:space="preserve">mail follow-up.  </w:t>
      </w:r>
      <w:r w:rsidR="00700899">
        <w:rPr>
          <w:rFonts w:ascii="Times New Roman" w:eastAsia="Times New Roman" w:hAnsi="Times New Roman" w:cs="Times New Roman"/>
          <w:sz w:val="24"/>
          <w:szCs w:val="24"/>
        </w:rPr>
        <w:t>It is assumed here that th</w:t>
      </w:r>
      <w:r w:rsidR="001E1F55">
        <w:rPr>
          <w:rFonts w:ascii="Times New Roman" w:eastAsia="Times New Roman" w:hAnsi="Times New Roman" w:cs="Times New Roman"/>
          <w:sz w:val="24"/>
          <w:szCs w:val="24"/>
        </w:rPr>
        <w:t>ese rates would be similar for the proposed</w:t>
      </w:r>
      <w:r w:rsidR="00700899">
        <w:rPr>
          <w:rFonts w:ascii="Times New Roman" w:eastAsia="Times New Roman" w:hAnsi="Times New Roman" w:cs="Times New Roman"/>
          <w:sz w:val="24"/>
          <w:szCs w:val="24"/>
        </w:rPr>
        <w:t xml:space="preserve"> </w:t>
      </w:r>
      <w:r w:rsidR="002C5574">
        <w:rPr>
          <w:rFonts w:ascii="Times New Roman" w:eastAsia="Times New Roman" w:hAnsi="Times New Roman" w:cs="Times New Roman"/>
          <w:sz w:val="24"/>
          <w:szCs w:val="24"/>
        </w:rPr>
        <w:t>Central Valley</w:t>
      </w:r>
      <w:r w:rsidR="001E1F55">
        <w:rPr>
          <w:rFonts w:ascii="Times New Roman" w:eastAsia="Times New Roman" w:hAnsi="Times New Roman" w:cs="Times New Roman"/>
          <w:sz w:val="24"/>
          <w:szCs w:val="24"/>
        </w:rPr>
        <w:t xml:space="preserve"> </w:t>
      </w:r>
      <w:r w:rsidR="00757465">
        <w:rPr>
          <w:rFonts w:ascii="Times New Roman" w:eastAsia="Times New Roman" w:hAnsi="Times New Roman" w:cs="Times New Roman"/>
          <w:sz w:val="24"/>
          <w:szCs w:val="24"/>
        </w:rPr>
        <w:t>angler survey.</w:t>
      </w:r>
      <w:r w:rsidR="00700899">
        <w:rPr>
          <w:rFonts w:ascii="Times New Roman" w:eastAsia="Times New Roman" w:hAnsi="Times New Roman" w:cs="Times New Roman"/>
          <w:sz w:val="24"/>
          <w:szCs w:val="24"/>
        </w:rPr>
        <w:t xml:space="preserve"> </w:t>
      </w:r>
      <w:r w:rsidR="006B6EDC">
        <w:rPr>
          <w:rFonts w:ascii="Times New Roman" w:eastAsia="Times New Roman" w:hAnsi="Times New Roman" w:cs="Times New Roman"/>
          <w:sz w:val="24"/>
          <w:szCs w:val="24"/>
        </w:rPr>
        <w:t xml:space="preserve"> </w:t>
      </w:r>
    </w:p>
    <w:p w:rsidR="008D1CE4" w:rsidRDefault="008D1CE4"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EB333F" w:rsidRDefault="009E22EF"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63% Sacramento River participation rate </w:t>
      </w:r>
      <w:r w:rsidR="00F46131">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based on results of </w:t>
      </w:r>
      <w:r w:rsidR="00E1630D">
        <w:rPr>
          <w:rFonts w:ascii="Times New Roman" w:eastAsia="Times New Roman" w:hAnsi="Times New Roman" w:cs="Times New Roman"/>
          <w:sz w:val="24"/>
          <w:szCs w:val="24"/>
        </w:rPr>
        <w:t>NOAA Fisheries’</w:t>
      </w:r>
      <w:r>
        <w:rPr>
          <w:rFonts w:ascii="Times New Roman" w:eastAsia="Times New Roman" w:hAnsi="Times New Roman" w:cs="Times New Roman"/>
          <w:sz w:val="24"/>
          <w:szCs w:val="24"/>
        </w:rPr>
        <w:t xml:space="preserve"> 2004 salmon/steelhead angler survey</w:t>
      </w:r>
      <w:r w:rsidR="005C134B">
        <w:rPr>
          <w:rFonts w:ascii="Times New Roman" w:eastAsia="Times New Roman" w:hAnsi="Times New Roman" w:cs="Times New Roman"/>
          <w:sz w:val="24"/>
          <w:szCs w:val="24"/>
        </w:rPr>
        <w:t xml:space="preserve"> indicating </w:t>
      </w:r>
      <w:r w:rsidR="00A34470">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63% of </w:t>
      </w:r>
      <w:r w:rsidR="005A4A48">
        <w:rPr>
          <w:rFonts w:ascii="Times New Roman" w:eastAsia="Times New Roman" w:hAnsi="Times New Roman" w:cs="Times New Roman"/>
          <w:sz w:val="24"/>
          <w:szCs w:val="24"/>
        </w:rPr>
        <w:t xml:space="preserve">license holders </w:t>
      </w:r>
      <w:r w:rsidR="00F46131">
        <w:rPr>
          <w:rFonts w:ascii="Times New Roman" w:eastAsia="Times New Roman" w:hAnsi="Times New Roman" w:cs="Times New Roman"/>
          <w:sz w:val="24"/>
          <w:szCs w:val="24"/>
        </w:rPr>
        <w:t xml:space="preserve">residing in the 14-county Sacramento River area </w:t>
      </w:r>
      <w:r w:rsidR="005C134B">
        <w:rPr>
          <w:rFonts w:ascii="Times New Roman" w:eastAsia="Times New Roman" w:hAnsi="Times New Roman" w:cs="Times New Roman"/>
          <w:sz w:val="24"/>
          <w:szCs w:val="24"/>
        </w:rPr>
        <w:t xml:space="preserve">fished </w:t>
      </w:r>
      <w:r w:rsidR="00F46131">
        <w:rPr>
          <w:rFonts w:ascii="Times New Roman" w:eastAsia="Times New Roman" w:hAnsi="Times New Roman" w:cs="Times New Roman"/>
          <w:sz w:val="24"/>
          <w:szCs w:val="24"/>
        </w:rPr>
        <w:t xml:space="preserve">on the </w:t>
      </w:r>
      <w:r w:rsidR="00C55E4B">
        <w:rPr>
          <w:rFonts w:ascii="Times New Roman" w:eastAsia="Times New Roman" w:hAnsi="Times New Roman" w:cs="Times New Roman"/>
          <w:sz w:val="24"/>
          <w:szCs w:val="24"/>
        </w:rPr>
        <w:t>Sacramento River</w:t>
      </w:r>
      <w:r w:rsidR="002C5574">
        <w:rPr>
          <w:rFonts w:ascii="Times New Roman" w:eastAsia="Times New Roman" w:hAnsi="Times New Roman" w:cs="Times New Roman"/>
          <w:sz w:val="24"/>
          <w:szCs w:val="24"/>
        </w:rPr>
        <w:t xml:space="preserve"> system</w:t>
      </w:r>
      <w:r w:rsidR="00F46131">
        <w:rPr>
          <w:rFonts w:ascii="Times New Roman" w:eastAsia="Times New Roman" w:hAnsi="Times New Roman" w:cs="Times New Roman"/>
          <w:sz w:val="24"/>
          <w:szCs w:val="24"/>
        </w:rPr>
        <w:t xml:space="preserve">. </w:t>
      </w:r>
      <w:r w:rsidR="00814AC8">
        <w:rPr>
          <w:rFonts w:ascii="Times New Roman" w:eastAsia="Times New Roman" w:hAnsi="Times New Roman" w:cs="Times New Roman"/>
          <w:sz w:val="24"/>
          <w:szCs w:val="24"/>
        </w:rPr>
        <w:t>As noted above, t</w:t>
      </w:r>
      <w:r w:rsidR="00EB333F">
        <w:rPr>
          <w:rFonts w:ascii="Times New Roman" w:eastAsia="Times New Roman" w:hAnsi="Times New Roman" w:cs="Times New Roman"/>
          <w:sz w:val="24"/>
          <w:szCs w:val="24"/>
        </w:rPr>
        <w:t xml:space="preserve">he sample frame </w:t>
      </w:r>
      <w:r w:rsidR="008D1CE4">
        <w:rPr>
          <w:rFonts w:ascii="Times New Roman" w:eastAsia="Times New Roman" w:hAnsi="Times New Roman" w:cs="Times New Roman"/>
          <w:sz w:val="24"/>
          <w:szCs w:val="24"/>
        </w:rPr>
        <w:t>for the proposed survey consists of</w:t>
      </w:r>
      <w:r w:rsidR="00EB333F">
        <w:rPr>
          <w:rFonts w:ascii="Times New Roman" w:eastAsia="Times New Roman" w:hAnsi="Times New Roman" w:cs="Times New Roman"/>
          <w:sz w:val="24"/>
          <w:szCs w:val="24"/>
        </w:rPr>
        <w:t xml:space="preserve"> anglers who purchase a C</w:t>
      </w:r>
      <w:r w:rsidR="00814AC8">
        <w:rPr>
          <w:rFonts w:ascii="Times New Roman" w:eastAsia="Times New Roman" w:hAnsi="Times New Roman" w:cs="Times New Roman"/>
          <w:sz w:val="24"/>
          <w:szCs w:val="24"/>
        </w:rPr>
        <w:t>alifornia fishing license in this</w:t>
      </w:r>
      <w:r w:rsidR="00EB333F">
        <w:rPr>
          <w:rFonts w:ascii="Times New Roman" w:eastAsia="Times New Roman" w:hAnsi="Times New Roman" w:cs="Times New Roman"/>
          <w:sz w:val="24"/>
          <w:szCs w:val="24"/>
        </w:rPr>
        <w:t xml:space="preserve"> </w:t>
      </w:r>
      <w:r w:rsidR="00B53355">
        <w:rPr>
          <w:rFonts w:ascii="Times New Roman" w:eastAsia="Times New Roman" w:hAnsi="Times New Roman" w:cs="Times New Roman"/>
          <w:sz w:val="24"/>
          <w:szCs w:val="24"/>
        </w:rPr>
        <w:t xml:space="preserve">same </w:t>
      </w:r>
      <w:r w:rsidR="00EB333F">
        <w:rPr>
          <w:rFonts w:ascii="Times New Roman" w:eastAsia="Times New Roman" w:hAnsi="Times New Roman" w:cs="Times New Roman"/>
          <w:sz w:val="24"/>
          <w:szCs w:val="24"/>
        </w:rPr>
        <w:t>14-county area.</w:t>
      </w:r>
      <w:r w:rsidR="00F46131">
        <w:rPr>
          <w:rFonts w:ascii="Times New Roman" w:eastAsia="Times New Roman" w:hAnsi="Times New Roman" w:cs="Times New Roman"/>
          <w:sz w:val="24"/>
          <w:szCs w:val="24"/>
        </w:rPr>
        <w:t xml:space="preserve"> </w:t>
      </w:r>
      <w:r w:rsidR="00EB333F">
        <w:rPr>
          <w:rFonts w:ascii="Times New Roman" w:eastAsia="Times New Roman" w:hAnsi="Times New Roman" w:cs="Times New Roman"/>
          <w:sz w:val="24"/>
          <w:szCs w:val="24"/>
        </w:rPr>
        <w:t xml:space="preserve">  The reason for basing the frame on county of purchase was to increase the probability of</w:t>
      </w:r>
      <w:r w:rsidR="00D507AC">
        <w:rPr>
          <w:rFonts w:ascii="Times New Roman" w:eastAsia="Times New Roman" w:hAnsi="Times New Roman" w:cs="Times New Roman"/>
          <w:sz w:val="24"/>
          <w:szCs w:val="24"/>
        </w:rPr>
        <w:t xml:space="preserve"> encountering anglers who fish</w:t>
      </w:r>
      <w:r w:rsidR="00EB333F">
        <w:rPr>
          <w:rFonts w:ascii="Times New Roman" w:eastAsia="Times New Roman" w:hAnsi="Times New Roman" w:cs="Times New Roman"/>
          <w:sz w:val="24"/>
          <w:szCs w:val="24"/>
        </w:rPr>
        <w:t xml:space="preserve"> on the Sacramento River system.  </w:t>
      </w:r>
      <w:r w:rsidR="00814AC8">
        <w:rPr>
          <w:rFonts w:ascii="Times New Roman" w:eastAsia="Times New Roman" w:hAnsi="Times New Roman" w:cs="Times New Roman"/>
          <w:sz w:val="24"/>
          <w:szCs w:val="24"/>
        </w:rPr>
        <w:t>A</w:t>
      </w:r>
      <w:r w:rsidR="00D507AC">
        <w:rPr>
          <w:rFonts w:ascii="Times New Roman" w:eastAsia="Times New Roman" w:hAnsi="Times New Roman" w:cs="Times New Roman"/>
          <w:sz w:val="24"/>
          <w:szCs w:val="24"/>
        </w:rPr>
        <w:t xml:space="preserve">nglers </w:t>
      </w:r>
      <w:r w:rsidR="00814AC8">
        <w:rPr>
          <w:rFonts w:ascii="Times New Roman" w:eastAsia="Times New Roman" w:hAnsi="Times New Roman" w:cs="Times New Roman"/>
          <w:sz w:val="24"/>
          <w:szCs w:val="24"/>
        </w:rPr>
        <w:t xml:space="preserve">in the frame </w:t>
      </w:r>
      <w:r w:rsidR="00D507AC">
        <w:rPr>
          <w:rFonts w:ascii="Times New Roman" w:eastAsia="Times New Roman" w:hAnsi="Times New Roman" w:cs="Times New Roman"/>
          <w:sz w:val="24"/>
          <w:szCs w:val="24"/>
        </w:rPr>
        <w:t xml:space="preserve">can be categorized </w:t>
      </w:r>
      <w:r w:rsidR="00EB333F">
        <w:rPr>
          <w:rFonts w:ascii="Times New Roman" w:eastAsia="Times New Roman" w:hAnsi="Times New Roman" w:cs="Times New Roman"/>
          <w:sz w:val="24"/>
          <w:szCs w:val="24"/>
        </w:rPr>
        <w:t>as follows:</w:t>
      </w:r>
    </w:p>
    <w:p w:rsidR="00C06532" w:rsidRDefault="00EB333F" w:rsidP="00D507AC">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1443C3">
        <w:rPr>
          <w:sz w:val="24"/>
          <w:szCs w:val="24"/>
          <w:u w:val="single"/>
        </w:rPr>
        <w:t xml:space="preserve">Anglers who </w:t>
      </w:r>
      <w:r w:rsidR="008D1CE4" w:rsidRPr="001443C3">
        <w:rPr>
          <w:sz w:val="24"/>
          <w:szCs w:val="24"/>
          <w:u w:val="single"/>
        </w:rPr>
        <w:t xml:space="preserve">purchase their license in the 14-county area and also live </w:t>
      </w:r>
      <w:r w:rsidRPr="001443C3">
        <w:rPr>
          <w:sz w:val="24"/>
          <w:szCs w:val="24"/>
          <w:u w:val="single"/>
        </w:rPr>
        <w:t>in that area:</w:t>
      </w:r>
      <w:r>
        <w:rPr>
          <w:sz w:val="24"/>
          <w:szCs w:val="24"/>
        </w:rPr>
        <w:t xml:space="preserve">  </w:t>
      </w:r>
      <w:r w:rsidRPr="00D507AC">
        <w:rPr>
          <w:sz w:val="24"/>
          <w:szCs w:val="24"/>
        </w:rPr>
        <w:t xml:space="preserve">The 63% </w:t>
      </w:r>
      <w:r w:rsidR="007A082A">
        <w:rPr>
          <w:sz w:val="24"/>
          <w:szCs w:val="24"/>
        </w:rPr>
        <w:t xml:space="preserve">Sacramento River </w:t>
      </w:r>
      <w:r>
        <w:rPr>
          <w:sz w:val="24"/>
          <w:szCs w:val="24"/>
        </w:rPr>
        <w:t>participation rate</w:t>
      </w:r>
      <w:r w:rsidR="003C1DE7">
        <w:rPr>
          <w:sz w:val="24"/>
          <w:szCs w:val="24"/>
        </w:rPr>
        <w:t xml:space="preserve"> </w:t>
      </w:r>
      <w:r w:rsidR="00C06532">
        <w:rPr>
          <w:sz w:val="24"/>
          <w:szCs w:val="24"/>
        </w:rPr>
        <w:t xml:space="preserve">pertains to all </w:t>
      </w:r>
      <w:r w:rsidR="001443C3">
        <w:rPr>
          <w:sz w:val="24"/>
          <w:szCs w:val="24"/>
        </w:rPr>
        <w:t xml:space="preserve">respondents to the 2004 survey </w:t>
      </w:r>
      <w:r>
        <w:rPr>
          <w:sz w:val="24"/>
          <w:szCs w:val="24"/>
        </w:rPr>
        <w:t>who live</w:t>
      </w:r>
      <w:r w:rsidR="001443C3">
        <w:rPr>
          <w:sz w:val="24"/>
          <w:szCs w:val="24"/>
        </w:rPr>
        <w:t>d</w:t>
      </w:r>
      <w:r>
        <w:rPr>
          <w:sz w:val="24"/>
          <w:szCs w:val="24"/>
        </w:rPr>
        <w:t xml:space="preserve"> in the 14-county area</w:t>
      </w:r>
      <w:r w:rsidR="00D507AC">
        <w:rPr>
          <w:sz w:val="24"/>
          <w:szCs w:val="24"/>
        </w:rPr>
        <w:t xml:space="preserve"> </w:t>
      </w:r>
      <w:r w:rsidR="00C06532">
        <w:rPr>
          <w:sz w:val="24"/>
          <w:szCs w:val="24"/>
        </w:rPr>
        <w:t>(including t</w:t>
      </w:r>
      <w:r w:rsidR="00814AC8">
        <w:rPr>
          <w:sz w:val="24"/>
          <w:szCs w:val="24"/>
        </w:rPr>
        <w:t xml:space="preserve">hose </w:t>
      </w:r>
      <w:r w:rsidR="00B53355">
        <w:rPr>
          <w:sz w:val="24"/>
          <w:szCs w:val="24"/>
        </w:rPr>
        <w:t xml:space="preserve">who </w:t>
      </w:r>
      <w:r w:rsidR="00814AC8">
        <w:rPr>
          <w:sz w:val="24"/>
          <w:szCs w:val="24"/>
        </w:rPr>
        <w:t>purchase</w:t>
      </w:r>
      <w:r w:rsidR="001443C3">
        <w:rPr>
          <w:sz w:val="24"/>
          <w:szCs w:val="24"/>
        </w:rPr>
        <w:t>d</w:t>
      </w:r>
      <w:r w:rsidR="00D507AC">
        <w:rPr>
          <w:sz w:val="24"/>
          <w:szCs w:val="24"/>
        </w:rPr>
        <w:t xml:space="preserve"> their license outside </w:t>
      </w:r>
      <w:r>
        <w:rPr>
          <w:sz w:val="24"/>
          <w:szCs w:val="24"/>
        </w:rPr>
        <w:t>t</w:t>
      </w:r>
      <w:r w:rsidR="00622EB0">
        <w:rPr>
          <w:sz w:val="24"/>
          <w:szCs w:val="24"/>
        </w:rPr>
        <w:t>he</w:t>
      </w:r>
      <w:r>
        <w:rPr>
          <w:sz w:val="24"/>
          <w:szCs w:val="24"/>
        </w:rPr>
        <w:t xml:space="preserve"> area</w:t>
      </w:r>
      <w:r w:rsidR="00C1695D">
        <w:rPr>
          <w:sz w:val="24"/>
          <w:szCs w:val="24"/>
        </w:rPr>
        <w:t>,</w:t>
      </w:r>
      <w:r w:rsidR="007A082A">
        <w:rPr>
          <w:sz w:val="24"/>
          <w:szCs w:val="24"/>
        </w:rPr>
        <w:t xml:space="preserve"> </w:t>
      </w:r>
      <w:r w:rsidR="00C1695D">
        <w:rPr>
          <w:sz w:val="24"/>
          <w:szCs w:val="24"/>
        </w:rPr>
        <w:t xml:space="preserve">perhaps while </w:t>
      </w:r>
      <w:r w:rsidR="00D507AC">
        <w:rPr>
          <w:sz w:val="24"/>
          <w:szCs w:val="24"/>
        </w:rPr>
        <w:t xml:space="preserve">fishing </w:t>
      </w:r>
      <w:r w:rsidR="007A082A">
        <w:rPr>
          <w:sz w:val="24"/>
          <w:szCs w:val="24"/>
        </w:rPr>
        <w:t>elsewhere</w:t>
      </w:r>
      <w:r w:rsidR="00D507AC">
        <w:rPr>
          <w:sz w:val="24"/>
          <w:szCs w:val="24"/>
        </w:rPr>
        <w:t xml:space="preserve">). </w:t>
      </w:r>
      <w:r w:rsidR="00B53355">
        <w:rPr>
          <w:sz w:val="24"/>
          <w:szCs w:val="24"/>
        </w:rPr>
        <w:t>Thus t</w:t>
      </w:r>
      <w:r w:rsidR="00622EB0">
        <w:rPr>
          <w:sz w:val="24"/>
          <w:szCs w:val="24"/>
        </w:rPr>
        <w:t xml:space="preserve">he </w:t>
      </w:r>
      <w:r w:rsidR="003C1DE7">
        <w:rPr>
          <w:sz w:val="24"/>
          <w:szCs w:val="24"/>
        </w:rPr>
        <w:t xml:space="preserve">Sacramento River </w:t>
      </w:r>
      <w:r w:rsidR="00622EB0">
        <w:rPr>
          <w:sz w:val="24"/>
          <w:szCs w:val="24"/>
        </w:rPr>
        <w:t>p</w:t>
      </w:r>
      <w:r w:rsidR="003C1DE7">
        <w:rPr>
          <w:sz w:val="24"/>
          <w:szCs w:val="24"/>
        </w:rPr>
        <w:t xml:space="preserve">articipation rate for </w:t>
      </w:r>
      <w:r w:rsidR="00622EB0">
        <w:rPr>
          <w:sz w:val="24"/>
          <w:szCs w:val="24"/>
        </w:rPr>
        <w:t xml:space="preserve">residents </w:t>
      </w:r>
      <w:r w:rsidR="003C1DE7">
        <w:rPr>
          <w:sz w:val="24"/>
          <w:szCs w:val="24"/>
        </w:rPr>
        <w:t xml:space="preserve">of the 14-county area </w:t>
      </w:r>
      <w:r w:rsidR="00C62440">
        <w:rPr>
          <w:sz w:val="24"/>
          <w:szCs w:val="24"/>
        </w:rPr>
        <w:t xml:space="preserve">who </w:t>
      </w:r>
      <w:r w:rsidR="00604789">
        <w:rPr>
          <w:sz w:val="24"/>
          <w:szCs w:val="24"/>
        </w:rPr>
        <w:t xml:space="preserve">also </w:t>
      </w:r>
      <w:r w:rsidR="00622EB0">
        <w:rPr>
          <w:sz w:val="24"/>
          <w:szCs w:val="24"/>
        </w:rPr>
        <w:t xml:space="preserve">purchase their license in that </w:t>
      </w:r>
      <w:r w:rsidR="00C62440">
        <w:rPr>
          <w:sz w:val="24"/>
          <w:szCs w:val="24"/>
        </w:rPr>
        <w:t xml:space="preserve">same </w:t>
      </w:r>
      <w:r w:rsidR="00622EB0">
        <w:rPr>
          <w:sz w:val="24"/>
          <w:szCs w:val="24"/>
        </w:rPr>
        <w:t>area is likely higher than 63%.</w:t>
      </w:r>
    </w:p>
    <w:p w:rsidR="00C06532" w:rsidRDefault="00C06532" w:rsidP="00D507AC">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1443C3">
        <w:rPr>
          <w:sz w:val="24"/>
          <w:szCs w:val="24"/>
          <w:u w:val="single"/>
        </w:rPr>
        <w:t>Anglers who purchase their license in the 14-county area but live elsewhere in California:</w:t>
      </w:r>
      <w:r>
        <w:rPr>
          <w:sz w:val="24"/>
          <w:szCs w:val="24"/>
        </w:rPr>
        <w:t xml:space="preserve">  </w:t>
      </w:r>
      <w:r w:rsidR="00C62440">
        <w:rPr>
          <w:sz w:val="24"/>
          <w:szCs w:val="24"/>
        </w:rPr>
        <w:t xml:space="preserve">Given the tendency of </w:t>
      </w:r>
      <w:r w:rsidR="007E77AF" w:rsidRPr="00D507AC">
        <w:rPr>
          <w:sz w:val="24"/>
          <w:szCs w:val="24"/>
        </w:rPr>
        <w:t xml:space="preserve">California </w:t>
      </w:r>
      <w:r w:rsidR="0036568D" w:rsidRPr="00D507AC">
        <w:rPr>
          <w:sz w:val="24"/>
          <w:szCs w:val="24"/>
        </w:rPr>
        <w:t xml:space="preserve">residents </w:t>
      </w:r>
      <w:r w:rsidR="007331C9" w:rsidRPr="00D507AC">
        <w:rPr>
          <w:sz w:val="24"/>
          <w:szCs w:val="24"/>
        </w:rPr>
        <w:t xml:space="preserve">to purchase their </w:t>
      </w:r>
      <w:r w:rsidR="0036568D" w:rsidRPr="00D507AC">
        <w:rPr>
          <w:sz w:val="24"/>
          <w:szCs w:val="24"/>
        </w:rPr>
        <w:t xml:space="preserve">fishing </w:t>
      </w:r>
      <w:r w:rsidR="007331C9" w:rsidRPr="00D507AC">
        <w:rPr>
          <w:sz w:val="24"/>
          <w:szCs w:val="24"/>
        </w:rPr>
        <w:t>license in or ne</w:t>
      </w:r>
      <w:r w:rsidR="0036568D" w:rsidRPr="00D507AC">
        <w:rPr>
          <w:sz w:val="24"/>
          <w:szCs w:val="24"/>
        </w:rPr>
        <w:t>ar their county of residence</w:t>
      </w:r>
      <w:r w:rsidR="00C62440">
        <w:rPr>
          <w:sz w:val="24"/>
          <w:szCs w:val="24"/>
        </w:rPr>
        <w:t xml:space="preserve"> (where most of them do at least some of their fishing)</w:t>
      </w:r>
      <w:r w:rsidR="00DD682B" w:rsidRPr="00D507AC">
        <w:rPr>
          <w:sz w:val="24"/>
          <w:szCs w:val="24"/>
        </w:rPr>
        <w:t xml:space="preserve">, </w:t>
      </w:r>
      <w:r w:rsidR="00865C8F" w:rsidRPr="00D507AC">
        <w:rPr>
          <w:sz w:val="24"/>
          <w:szCs w:val="24"/>
        </w:rPr>
        <w:t xml:space="preserve">it was deemed </w:t>
      </w:r>
      <w:r w:rsidR="0036568D" w:rsidRPr="00D507AC">
        <w:rPr>
          <w:sz w:val="24"/>
          <w:szCs w:val="24"/>
        </w:rPr>
        <w:t xml:space="preserve">reasonable to assume </w:t>
      </w:r>
      <w:r w:rsidR="00DD682B" w:rsidRPr="00D507AC">
        <w:rPr>
          <w:sz w:val="24"/>
          <w:szCs w:val="24"/>
        </w:rPr>
        <w:t xml:space="preserve">that </w:t>
      </w:r>
      <w:r w:rsidR="003C1DE7">
        <w:rPr>
          <w:sz w:val="24"/>
          <w:szCs w:val="24"/>
        </w:rPr>
        <w:t xml:space="preserve">a sizeable proportion of </w:t>
      </w:r>
      <w:r w:rsidR="00DD682B" w:rsidRPr="00D507AC">
        <w:rPr>
          <w:sz w:val="24"/>
          <w:szCs w:val="24"/>
        </w:rPr>
        <w:t>resident angler</w:t>
      </w:r>
      <w:r w:rsidR="0036568D" w:rsidRPr="00D507AC">
        <w:rPr>
          <w:sz w:val="24"/>
          <w:szCs w:val="24"/>
        </w:rPr>
        <w:t xml:space="preserve">s who live outside the </w:t>
      </w:r>
      <w:r w:rsidR="007E77AF" w:rsidRPr="00D507AC">
        <w:rPr>
          <w:sz w:val="24"/>
          <w:szCs w:val="24"/>
        </w:rPr>
        <w:t>14-c</w:t>
      </w:r>
      <w:r w:rsidR="00E41C6A">
        <w:rPr>
          <w:sz w:val="24"/>
          <w:szCs w:val="24"/>
        </w:rPr>
        <w:t xml:space="preserve">ounty </w:t>
      </w:r>
      <w:r w:rsidR="00865C8F" w:rsidRPr="00D507AC">
        <w:rPr>
          <w:sz w:val="24"/>
          <w:szCs w:val="24"/>
        </w:rPr>
        <w:t xml:space="preserve">area but </w:t>
      </w:r>
      <w:r w:rsidR="007E77AF" w:rsidRPr="00D507AC">
        <w:rPr>
          <w:sz w:val="24"/>
          <w:szCs w:val="24"/>
        </w:rPr>
        <w:t xml:space="preserve">purchase their license in that area </w:t>
      </w:r>
      <w:r w:rsidR="007A082A">
        <w:rPr>
          <w:sz w:val="24"/>
          <w:szCs w:val="24"/>
        </w:rPr>
        <w:t xml:space="preserve">do so </w:t>
      </w:r>
      <w:r w:rsidR="00FD56E6">
        <w:rPr>
          <w:sz w:val="24"/>
          <w:szCs w:val="24"/>
        </w:rPr>
        <w:t xml:space="preserve">because the </w:t>
      </w:r>
      <w:r w:rsidR="007A082A">
        <w:rPr>
          <w:sz w:val="24"/>
          <w:szCs w:val="24"/>
        </w:rPr>
        <w:t xml:space="preserve">Sacramento River </w:t>
      </w:r>
      <w:r w:rsidR="00FD56E6">
        <w:rPr>
          <w:sz w:val="24"/>
          <w:szCs w:val="24"/>
        </w:rPr>
        <w:t xml:space="preserve">is their </w:t>
      </w:r>
      <w:r w:rsidR="007A082A">
        <w:rPr>
          <w:sz w:val="24"/>
          <w:szCs w:val="24"/>
        </w:rPr>
        <w:t>fishing destination</w:t>
      </w:r>
      <w:r w:rsidR="007E77AF" w:rsidRPr="00D507AC">
        <w:rPr>
          <w:sz w:val="24"/>
          <w:szCs w:val="24"/>
        </w:rPr>
        <w:t xml:space="preserve">.  </w:t>
      </w:r>
    </w:p>
    <w:p w:rsidR="007A082A" w:rsidRDefault="00C06532" w:rsidP="00D507AC">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1443C3">
        <w:rPr>
          <w:sz w:val="24"/>
          <w:szCs w:val="24"/>
          <w:u w:val="single"/>
        </w:rPr>
        <w:t>Anglers who purchase their li</w:t>
      </w:r>
      <w:r w:rsidR="00357C35" w:rsidRPr="001443C3">
        <w:rPr>
          <w:sz w:val="24"/>
          <w:szCs w:val="24"/>
          <w:u w:val="single"/>
        </w:rPr>
        <w:t xml:space="preserve">cense in the 14-county area </w:t>
      </w:r>
      <w:r w:rsidR="00E41C6A" w:rsidRPr="001443C3">
        <w:rPr>
          <w:sz w:val="24"/>
          <w:szCs w:val="24"/>
          <w:u w:val="single"/>
        </w:rPr>
        <w:t xml:space="preserve">but </w:t>
      </w:r>
      <w:r w:rsidRPr="001443C3">
        <w:rPr>
          <w:sz w:val="24"/>
          <w:szCs w:val="24"/>
          <w:u w:val="single"/>
        </w:rPr>
        <w:t>live out of state:</w:t>
      </w:r>
      <w:r>
        <w:rPr>
          <w:sz w:val="24"/>
          <w:szCs w:val="24"/>
        </w:rPr>
        <w:t xml:space="preserve">  </w:t>
      </w:r>
      <w:r w:rsidR="00C62440">
        <w:rPr>
          <w:sz w:val="24"/>
          <w:szCs w:val="24"/>
        </w:rPr>
        <w:t xml:space="preserve">Given the tendency of </w:t>
      </w:r>
      <w:r w:rsidR="00DD682B" w:rsidRPr="00D507AC">
        <w:rPr>
          <w:sz w:val="24"/>
          <w:szCs w:val="24"/>
        </w:rPr>
        <w:t>o</w:t>
      </w:r>
      <w:r w:rsidR="007E77AF" w:rsidRPr="00D507AC">
        <w:rPr>
          <w:sz w:val="24"/>
          <w:szCs w:val="24"/>
        </w:rPr>
        <w:t xml:space="preserve">ut-of-state anglers </w:t>
      </w:r>
      <w:r w:rsidR="00865C8F" w:rsidRPr="00D507AC">
        <w:rPr>
          <w:sz w:val="24"/>
          <w:szCs w:val="24"/>
        </w:rPr>
        <w:t xml:space="preserve">to </w:t>
      </w:r>
      <w:r w:rsidR="007E77AF" w:rsidRPr="00D507AC">
        <w:rPr>
          <w:sz w:val="24"/>
          <w:szCs w:val="24"/>
        </w:rPr>
        <w:t>purchase their license near their fishing destinat</w:t>
      </w:r>
      <w:r w:rsidR="00865C8F" w:rsidRPr="00D507AC">
        <w:rPr>
          <w:sz w:val="24"/>
          <w:szCs w:val="24"/>
        </w:rPr>
        <w:t>ion</w:t>
      </w:r>
      <w:r w:rsidR="00DD682B" w:rsidRPr="00D507AC">
        <w:rPr>
          <w:sz w:val="24"/>
          <w:szCs w:val="24"/>
        </w:rPr>
        <w:t xml:space="preserve">, </w:t>
      </w:r>
      <w:r w:rsidR="00865C8F" w:rsidRPr="00D507AC">
        <w:rPr>
          <w:sz w:val="24"/>
          <w:szCs w:val="24"/>
        </w:rPr>
        <w:t xml:space="preserve">it was deemed reasonable to assume that </w:t>
      </w:r>
      <w:r w:rsidR="003C1DE7">
        <w:rPr>
          <w:sz w:val="24"/>
          <w:szCs w:val="24"/>
        </w:rPr>
        <w:t xml:space="preserve">a sizeable proportion of </w:t>
      </w:r>
      <w:r w:rsidR="00865C8F" w:rsidRPr="00D507AC">
        <w:rPr>
          <w:sz w:val="24"/>
          <w:szCs w:val="24"/>
        </w:rPr>
        <w:t xml:space="preserve">out-of-state anglers </w:t>
      </w:r>
      <w:r w:rsidR="004356BF" w:rsidRPr="00D507AC">
        <w:rPr>
          <w:sz w:val="24"/>
          <w:szCs w:val="24"/>
        </w:rPr>
        <w:t xml:space="preserve">who </w:t>
      </w:r>
      <w:r w:rsidR="0036568D" w:rsidRPr="00D507AC">
        <w:rPr>
          <w:sz w:val="24"/>
          <w:szCs w:val="24"/>
        </w:rPr>
        <w:lastRenderedPageBreak/>
        <w:t xml:space="preserve">purchase their license </w:t>
      </w:r>
      <w:r w:rsidR="007E77AF" w:rsidRPr="00D507AC">
        <w:rPr>
          <w:sz w:val="24"/>
          <w:szCs w:val="24"/>
        </w:rPr>
        <w:t>in</w:t>
      </w:r>
      <w:r w:rsidR="00E41C6A">
        <w:rPr>
          <w:sz w:val="24"/>
          <w:szCs w:val="24"/>
        </w:rPr>
        <w:t xml:space="preserve"> the 14-county </w:t>
      </w:r>
      <w:r w:rsidR="007E77AF" w:rsidRPr="00D507AC">
        <w:rPr>
          <w:sz w:val="24"/>
          <w:szCs w:val="24"/>
        </w:rPr>
        <w:t xml:space="preserve">area </w:t>
      </w:r>
      <w:r w:rsidR="007A082A">
        <w:rPr>
          <w:sz w:val="24"/>
          <w:szCs w:val="24"/>
        </w:rPr>
        <w:t xml:space="preserve">do so because the Sacramento River is their fishing destination. </w:t>
      </w:r>
    </w:p>
    <w:p w:rsidR="007A082A" w:rsidRDefault="007A082A" w:rsidP="008D1CE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rsidR="0074484A" w:rsidRDefault="005A4A48" w:rsidP="00713FA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rPr>
          <w:sz w:val="24"/>
          <w:szCs w:val="24"/>
        </w:rPr>
      </w:pPr>
      <w:r>
        <w:rPr>
          <w:sz w:val="24"/>
          <w:szCs w:val="24"/>
        </w:rPr>
        <w:t xml:space="preserve">For purposes of the proposed </w:t>
      </w:r>
      <w:r w:rsidR="00A34470">
        <w:rPr>
          <w:sz w:val="24"/>
          <w:szCs w:val="24"/>
        </w:rPr>
        <w:t xml:space="preserve">survey, </w:t>
      </w:r>
      <w:r w:rsidR="003656EB">
        <w:rPr>
          <w:sz w:val="24"/>
          <w:szCs w:val="24"/>
        </w:rPr>
        <w:t>the</w:t>
      </w:r>
      <w:r w:rsidR="00A34470">
        <w:rPr>
          <w:sz w:val="24"/>
          <w:szCs w:val="24"/>
        </w:rPr>
        <w:t xml:space="preserve"> </w:t>
      </w:r>
      <w:r w:rsidR="00F46131">
        <w:rPr>
          <w:sz w:val="24"/>
          <w:szCs w:val="24"/>
        </w:rPr>
        <w:t xml:space="preserve">same 63% </w:t>
      </w:r>
      <w:r w:rsidR="001C4176">
        <w:rPr>
          <w:sz w:val="24"/>
          <w:szCs w:val="24"/>
        </w:rPr>
        <w:t xml:space="preserve">Sacramento River </w:t>
      </w:r>
      <w:r w:rsidR="00F46131">
        <w:rPr>
          <w:sz w:val="24"/>
          <w:szCs w:val="24"/>
        </w:rPr>
        <w:t xml:space="preserve">participation rate is assumed to apply to </w:t>
      </w:r>
      <w:r w:rsidR="00A34470">
        <w:rPr>
          <w:sz w:val="24"/>
          <w:szCs w:val="24"/>
        </w:rPr>
        <w:t xml:space="preserve">all </w:t>
      </w:r>
      <w:r w:rsidR="00F46131">
        <w:rPr>
          <w:sz w:val="24"/>
          <w:szCs w:val="24"/>
        </w:rPr>
        <w:t>anglers who purchase their license in the 14-county area (regardless of where they live).</w:t>
      </w:r>
      <w:r w:rsidR="00674C84">
        <w:rPr>
          <w:sz w:val="24"/>
          <w:szCs w:val="24"/>
        </w:rPr>
        <w:t xml:space="preserve"> </w:t>
      </w:r>
      <w:r w:rsidR="003656EB" w:rsidRPr="003656EB">
        <w:rPr>
          <w:sz w:val="24"/>
          <w:szCs w:val="24"/>
        </w:rPr>
        <w:t xml:space="preserve">Given the behavioral tendencies of resident and </w:t>
      </w:r>
      <w:r w:rsidR="00737268">
        <w:rPr>
          <w:sz w:val="24"/>
          <w:szCs w:val="24"/>
        </w:rPr>
        <w:t>non-resident anglers with regard to where they purchase their license</w:t>
      </w:r>
      <w:r w:rsidR="002B44F0">
        <w:rPr>
          <w:sz w:val="24"/>
          <w:szCs w:val="24"/>
        </w:rPr>
        <w:t xml:space="preserve"> relative to where they fish</w:t>
      </w:r>
      <w:r w:rsidR="003656EB" w:rsidRPr="003656EB">
        <w:rPr>
          <w:sz w:val="24"/>
          <w:szCs w:val="24"/>
        </w:rPr>
        <w:t xml:space="preserve">, the fact that the Sacramento River is the most likely place in the 14-county area to fish (being by far </w:t>
      </w:r>
      <w:r w:rsidR="0058397A">
        <w:rPr>
          <w:sz w:val="24"/>
          <w:szCs w:val="24"/>
        </w:rPr>
        <w:t>the largest river system in the</w:t>
      </w:r>
      <w:r w:rsidR="003656EB" w:rsidRPr="003656EB">
        <w:rPr>
          <w:sz w:val="24"/>
          <w:szCs w:val="24"/>
        </w:rPr>
        <w:t xml:space="preserve"> area), </w:t>
      </w:r>
      <w:r w:rsidR="003656EB">
        <w:rPr>
          <w:sz w:val="24"/>
          <w:szCs w:val="24"/>
        </w:rPr>
        <w:t xml:space="preserve">and the </w:t>
      </w:r>
      <w:r w:rsidR="003656EB" w:rsidRPr="003656EB">
        <w:rPr>
          <w:sz w:val="24"/>
          <w:szCs w:val="24"/>
        </w:rPr>
        <w:t xml:space="preserve">conservative </w:t>
      </w:r>
      <w:r w:rsidR="003656EB">
        <w:rPr>
          <w:sz w:val="24"/>
          <w:szCs w:val="24"/>
        </w:rPr>
        <w:t xml:space="preserve">nature of the 63% </w:t>
      </w:r>
      <w:r w:rsidR="003656EB" w:rsidRPr="003656EB">
        <w:rPr>
          <w:sz w:val="24"/>
          <w:szCs w:val="24"/>
        </w:rPr>
        <w:t>participation rate for anglers residing in the 14-county area</w:t>
      </w:r>
      <w:r w:rsidR="00E05AFF">
        <w:rPr>
          <w:sz w:val="24"/>
          <w:szCs w:val="24"/>
        </w:rPr>
        <w:t>, it seems</w:t>
      </w:r>
      <w:r w:rsidR="003656EB">
        <w:rPr>
          <w:sz w:val="24"/>
          <w:szCs w:val="24"/>
        </w:rPr>
        <w:t xml:space="preserve"> reasonable to assume that the same participation rate would apply to </w:t>
      </w:r>
      <w:r w:rsidR="001C4176">
        <w:rPr>
          <w:sz w:val="24"/>
          <w:szCs w:val="24"/>
        </w:rPr>
        <w:t xml:space="preserve">anglers who purchase their license </w:t>
      </w:r>
      <w:r w:rsidR="003656EB" w:rsidRPr="003656EB">
        <w:rPr>
          <w:sz w:val="24"/>
          <w:szCs w:val="24"/>
        </w:rPr>
        <w:t xml:space="preserve">in the same area but live elsewhere.  </w:t>
      </w:r>
    </w:p>
    <w:p w:rsidR="006B6EDC" w:rsidRDefault="006B6EDC"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9672C8" w:rsidRPr="00E07611" w:rsidRDefault="00E47880"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Number of entities to be s</w:t>
      </w:r>
      <w:r w:rsidR="009672C8" w:rsidRPr="00582AA6">
        <w:rPr>
          <w:rFonts w:ascii="Times New Roman" w:eastAsia="Times New Roman" w:hAnsi="Times New Roman" w:cs="Times New Roman"/>
          <w:b/>
          <w:i/>
          <w:sz w:val="24"/>
          <w:szCs w:val="24"/>
        </w:rPr>
        <w:t>ampled</w:t>
      </w:r>
    </w:p>
    <w:p w:rsidR="009672C8" w:rsidRPr="0069461D"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C032B7" w:rsidRDefault="00A62747" w:rsidP="006F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w:t>
      </w:r>
      <w:r w:rsidR="009D49C1">
        <w:rPr>
          <w:rFonts w:ascii="Times New Roman" w:eastAsia="Times New Roman" w:hAnsi="Times New Roman" w:cs="Times New Roman"/>
          <w:color w:val="000000"/>
          <w:sz w:val="24"/>
          <w:szCs w:val="24"/>
        </w:rPr>
        <w:t>B-</w:t>
      </w:r>
      <w:r w:rsidR="00AF7C6E">
        <w:rPr>
          <w:rFonts w:ascii="Times New Roman" w:eastAsia="Times New Roman" w:hAnsi="Times New Roman" w:cs="Times New Roman"/>
          <w:color w:val="000000"/>
          <w:sz w:val="24"/>
          <w:szCs w:val="24"/>
        </w:rPr>
        <w:t>1 describes the number o</w:t>
      </w:r>
      <w:r w:rsidR="00BE48FD">
        <w:rPr>
          <w:rFonts w:ascii="Times New Roman" w:eastAsia="Times New Roman" w:hAnsi="Times New Roman" w:cs="Times New Roman"/>
          <w:color w:val="000000"/>
          <w:sz w:val="24"/>
          <w:szCs w:val="24"/>
        </w:rPr>
        <w:t>f telephone screening interviews and survey mail</w:t>
      </w:r>
      <w:r w:rsidR="00757465">
        <w:rPr>
          <w:rFonts w:ascii="Times New Roman" w:eastAsia="Times New Roman" w:hAnsi="Times New Roman" w:cs="Times New Roman"/>
          <w:color w:val="000000"/>
          <w:sz w:val="24"/>
          <w:szCs w:val="24"/>
        </w:rPr>
        <w:t>-</w:t>
      </w:r>
      <w:r w:rsidR="00BE48FD">
        <w:rPr>
          <w:rFonts w:ascii="Times New Roman" w:eastAsia="Times New Roman" w:hAnsi="Times New Roman" w:cs="Times New Roman"/>
          <w:color w:val="000000"/>
          <w:sz w:val="24"/>
          <w:szCs w:val="24"/>
        </w:rPr>
        <w:t>outs that will be needed to ob</w:t>
      </w:r>
      <w:r w:rsidR="006B6EDC">
        <w:rPr>
          <w:rFonts w:ascii="Times New Roman" w:eastAsia="Times New Roman" w:hAnsi="Times New Roman" w:cs="Times New Roman"/>
          <w:color w:val="000000"/>
          <w:sz w:val="24"/>
          <w:szCs w:val="24"/>
        </w:rPr>
        <w:t>tain 1,500 completed surveys.</w:t>
      </w:r>
    </w:p>
    <w:p w:rsidR="00D8753A" w:rsidRPr="002401DD" w:rsidRDefault="00D8753A" w:rsidP="006F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tbl>
      <w:tblPr>
        <w:tblStyle w:val="TableGrid"/>
        <w:tblW w:w="8928" w:type="dxa"/>
        <w:jc w:val="center"/>
        <w:tblLayout w:type="fixed"/>
        <w:tblLook w:val="04A0" w:firstRow="1" w:lastRow="0" w:firstColumn="1" w:lastColumn="0" w:noHBand="0" w:noVBand="1"/>
      </w:tblPr>
      <w:tblGrid>
        <w:gridCol w:w="1458"/>
        <w:gridCol w:w="1080"/>
        <w:gridCol w:w="1170"/>
        <w:gridCol w:w="1350"/>
        <w:gridCol w:w="1260"/>
        <w:gridCol w:w="1350"/>
        <w:gridCol w:w="1260"/>
      </w:tblGrid>
      <w:tr w:rsidR="00241DF4" w:rsidRPr="002401DD" w:rsidTr="002401DD">
        <w:trPr>
          <w:jc w:val="center"/>
        </w:trPr>
        <w:tc>
          <w:tcPr>
            <w:tcW w:w="8928" w:type="dxa"/>
            <w:gridSpan w:val="7"/>
            <w:shd w:val="clear" w:color="auto" w:fill="D9D9D9" w:themeFill="background1" w:themeFillShade="D9"/>
            <w:vAlign w:val="center"/>
          </w:tcPr>
          <w:p w:rsidR="00241DF4" w:rsidRPr="002401DD" w:rsidRDefault="00241DF4" w:rsidP="0024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2401DD">
              <w:rPr>
                <w:color w:val="000000"/>
              </w:rPr>
              <w:t>Table B-1.</w:t>
            </w:r>
            <w:r w:rsidR="00C2231B" w:rsidRPr="002401DD">
              <w:rPr>
                <w:color w:val="000000"/>
              </w:rPr>
              <w:t xml:space="preserve">  Expected sample size requirements for proposed s</w:t>
            </w:r>
            <w:r w:rsidR="000220A5" w:rsidRPr="002401DD">
              <w:rPr>
                <w:color w:val="000000"/>
              </w:rPr>
              <w:t>urvey</w:t>
            </w:r>
          </w:p>
        </w:tc>
      </w:tr>
      <w:tr w:rsidR="000E056B" w:rsidTr="006B6EDC">
        <w:trPr>
          <w:jc w:val="center"/>
        </w:trPr>
        <w:tc>
          <w:tcPr>
            <w:tcW w:w="1458" w:type="dxa"/>
            <w:vAlign w:val="center"/>
          </w:tcPr>
          <w:p w:rsidR="00B35ACE" w:rsidRPr="002401DD" w:rsidRDefault="000E056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2401DD">
              <w:rPr>
                <w:i/>
                <w:color w:val="000000"/>
              </w:rPr>
              <w:t>Area of residence</w:t>
            </w:r>
          </w:p>
        </w:tc>
        <w:tc>
          <w:tcPr>
            <w:tcW w:w="1080" w:type="dxa"/>
            <w:vAlign w:val="center"/>
          </w:tcPr>
          <w:p w:rsidR="000E056B" w:rsidRPr="002401DD" w:rsidRDefault="000E056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2401DD">
              <w:rPr>
                <w:i/>
                <w:color w:val="000000"/>
              </w:rPr>
              <w:t>Sample</w:t>
            </w:r>
          </w:p>
          <w:p w:rsidR="00B35ACE" w:rsidRPr="002401DD" w:rsidRDefault="000E056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2401DD">
              <w:rPr>
                <w:i/>
                <w:color w:val="000000"/>
              </w:rPr>
              <w:t>frame</w:t>
            </w:r>
            <w:r w:rsidRPr="002401DD">
              <w:rPr>
                <w:i/>
                <w:color w:val="000000"/>
                <w:vertAlign w:val="superscript"/>
              </w:rPr>
              <w:t xml:space="preserve"> </w:t>
            </w:r>
            <w:r w:rsidR="0049650D" w:rsidRPr="002401DD">
              <w:rPr>
                <w:i/>
                <w:color w:val="000000"/>
                <w:vertAlign w:val="superscript"/>
              </w:rPr>
              <w:t>1</w:t>
            </w:r>
          </w:p>
        </w:tc>
        <w:tc>
          <w:tcPr>
            <w:tcW w:w="1170" w:type="dxa"/>
            <w:vAlign w:val="center"/>
          </w:tcPr>
          <w:p w:rsidR="00B35ACE" w:rsidRPr="002401DD" w:rsidRDefault="00B35ACE"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2401DD">
              <w:rPr>
                <w:i/>
                <w:color w:val="000000"/>
              </w:rPr>
              <w:t xml:space="preserve"># </w:t>
            </w:r>
            <w:r w:rsidR="00241DF4" w:rsidRPr="002401DD">
              <w:rPr>
                <w:i/>
                <w:color w:val="000000"/>
              </w:rPr>
              <w:t>l</w:t>
            </w:r>
            <w:r w:rsidRPr="002401DD">
              <w:rPr>
                <w:i/>
                <w:color w:val="000000"/>
              </w:rPr>
              <w:t>icense holders called</w:t>
            </w:r>
            <w:r w:rsidR="0049650D" w:rsidRPr="002401DD">
              <w:rPr>
                <w:i/>
                <w:color w:val="000000"/>
                <w:vertAlign w:val="superscript"/>
              </w:rPr>
              <w:t>2</w:t>
            </w:r>
          </w:p>
        </w:tc>
        <w:tc>
          <w:tcPr>
            <w:tcW w:w="1350" w:type="dxa"/>
            <w:vAlign w:val="center"/>
          </w:tcPr>
          <w:p w:rsidR="00B35ACE" w:rsidRPr="002401DD" w:rsidRDefault="00B35ACE" w:rsidP="006B6EDC">
            <w:pPr>
              <w:tabs>
                <w:tab w:val="left" w:pos="916"/>
                <w:tab w:val="left" w:pos="1832"/>
                <w:tab w:val="left" w:pos="2748"/>
                <w:tab w:val="left" w:pos="3664"/>
                <w:tab w:val="left" w:pos="4580"/>
                <w:tab w:val="left" w:pos="4752"/>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2401DD">
              <w:rPr>
                <w:i/>
                <w:color w:val="000000"/>
              </w:rPr>
              <w:t>#</w:t>
            </w:r>
            <w:r w:rsidR="00005767" w:rsidRPr="002401DD">
              <w:rPr>
                <w:i/>
                <w:color w:val="000000"/>
              </w:rPr>
              <w:t xml:space="preserve"> telephone responses</w:t>
            </w:r>
            <w:r w:rsidR="0049650D" w:rsidRPr="002401DD">
              <w:rPr>
                <w:i/>
                <w:color w:val="000000"/>
                <w:vertAlign w:val="superscript"/>
              </w:rPr>
              <w:t>3</w:t>
            </w:r>
          </w:p>
        </w:tc>
        <w:tc>
          <w:tcPr>
            <w:tcW w:w="1260" w:type="dxa"/>
            <w:vAlign w:val="center"/>
          </w:tcPr>
          <w:p w:rsidR="00B35ACE" w:rsidRPr="002401DD" w:rsidRDefault="00D025A9"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2401DD">
              <w:rPr>
                <w:i/>
                <w:color w:val="000000"/>
              </w:rPr>
              <w:t xml:space="preserve"># </w:t>
            </w:r>
            <w:proofErr w:type="spellStart"/>
            <w:r w:rsidRPr="002401DD">
              <w:rPr>
                <w:i/>
                <w:color w:val="000000"/>
              </w:rPr>
              <w:t>SacRiver</w:t>
            </w:r>
            <w:proofErr w:type="spellEnd"/>
            <w:r w:rsidR="00F11475" w:rsidRPr="002401DD">
              <w:rPr>
                <w:i/>
                <w:color w:val="000000"/>
              </w:rPr>
              <w:t xml:space="preserve"> </w:t>
            </w:r>
            <w:r w:rsidR="00B35ACE" w:rsidRPr="002401DD">
              <w:rPr>
                <w:i/>
                <w:color w:val="000000"/>
              </w:rPr>
              <w:t>anglers</w:t>
            </w:r>
            <w:r w:rsidR="0049650D" w:rsidRPr="002401DD">
              <w:rPr>
                <w:i/>
                <w:color w:val="000000"/>
                <w:vertAlign w:val="superscript"/>
              </w:rPr>
              <w:t>4</w:t>
            </w:r>
          </w:p>
        </w:tc>
        <w:tc>
          <w:tcPr>
            <w:tcW w:w="1350" w:type="dxa"/>
            <w:vAlign w:val="center"/>
          </w:tcPr>
          <w:p w:rsidR="00B35ACE" w:rsidRPr="002401DD" w:rsidRDefault="00005767"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2401DD">
              <w:rPr>
                <w:i/>
                <w:color w:val="000000"/>
              </w:rPr>
              <w:t xml:space="preserve"># </w:t>
            </w:r>
            <w:r w:rsidR="00B35ACE" w:rsidRPr="002401DD">
              <w:rPr>
                <w:i/>
                <w:color w:val="000000"/>
              </w:rPr>
              <w:t>surve</w:t>
            </w:r>
            <w:r w:rsidRPr="002401DD">
              <w:rPr>
                <w:i/>
                <w:color w:val="000000"/>
              </w:rPr>
              <w:t>y mail</w:t>
            </w:r>
            <w:r w:rsidR="00757465" w:rsidRPr="002401DD">
              <w:rPr>
                <w:i/>
                <w:color w:val="000000"/>
              </w:rPr>
              <w:t>-</w:t>
            </w:r>
            <w:r w:rsidRPr="002401DD">
              <w:rPr>
                <w:i/>
                <w:color w:val="000000"/>
              </w:rPr>
              <w:t>outs</w:t>
            </w:r>
            <w:r w:rsidR="0049650D" w:rsidRPr="002401DD">
              <w:rPr>
                <w:i/>
                <w:color w:val="000000"/>
                <w:vertAlign w:val="superscript"/>
              </w:rPr>
              <w:t>5</w:t>
            </w:r>
          </w:p>
        </w:tc>
        <w:tc>
          <w:tcPr>
            <w:tcW w:w="1260" w:type="dxa"/>
            <w:vAlign w:val="center"/>
          </w:tcPr>
          <w:p w:rsidR="00B35ACE" w:rsidRPr="002401DD" w:rsidRDefault="00241DF4"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2401DD">
              <w:rPr>
                <w:i/>
                <w:color w:val="000000"/>
              </w:rPr>
              <w:t xml:space="preserve"># returned </w:t>
            </w:r>
            <w:r w:rsidR="00B35ACE" w:rsidRPr="002401DD">
              <w:rPr>
                <w:i/>
                <w:color w:val="000000"/>
              </w:rPr>
              <w:t>surveys</w:t>
            </w:r>
            <w:r w:rsidR="0049650D" w:rsidRPr="002401DD">
              <w:rPr>
                <w:i/>
                <w:color w:val="000000"/>
                <w:vertAlign w:val="superscript"/>
              </w:rPr>
              <w:t>6</w:t>
            </w:r>
          </w:p>
        </w:tc>
      </w:tr>
      <w:tr w:rsidR="000E056B" w:rsidTr="006B6EDC">
        <w:trPr>
          <w:jc w:val="center"/>
        </w:trPr>
        <w:tc>
          <w:tcPr>
            <w:tcW w:w="1458" w:type="dxa"/>
            <w:vAlign w:val="center"/>
          </w:tcPr>
          <w:p w:rsidR="005E16AC" w:rsidRPr="002401DD" w:rsidRDefault="000E056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2401DD">
              <w:rPr>
                <w:color w:val="000000"/>
              </w:rPr>
              <w:t>14-county</w:t>
            </w:r>
          </w:p>
        </w:tc>
        <w:tc>
          <w:tcPr>
            <w:tcW w:w="1080" w:type="dxa"/>
            <w:vAlign w:val="center"/>
          </w:tcPr>
          <w:p w:rsidR="005E16AC" w:rsidRPr="002401DD" w:rsidRDefault="005E16AC"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color w:val="000000"/>
              </w:rPr>
            </w:pPr>
            <w:r w:rsidRPr="002401DD">
              <w:rPr>
                <w:color w:val="000000"/>
              </w:rPr>
              <w:t>315,323</w:t>
            </w:r>
          </w:p>
        </w:tc>
        <w:tc>
          <w:tcPr>
            <w:tcW w:w="1170" w:type="dxa"/>
            <w:vAlign w:val="center"/>
          </w:tcPr>
          <w:p w:rsidR="005E16AC" w:rsidRPr="002401DD" w:rsidRDefault="005E16AC" w:rsidP="006B6EDC">
            <w:pPr>
              <w:jc w:val="right"/>
              <w:rPr>
                <w:color w:val="000000"/>
              </w:rPr>
            </w:pPr>
            <w:r w:rsidRPr="002401DD">
              <w:rPr>
                <w:color w:val="000000"/>
              </w:rPr>
              <w:t>60,634</w:t>
            </w:r>
          </w:p>
        </w:tc>
        <w:tc>
          <w:tcPr>
            <w:tcW w:w="1350" w:type="dxa"/>
            <w:vAlign w:val="center"/>
          </w:tcPr>
          <w:p w:rsidR="005E16AC" w:rsidRPr="002401DD" w:rsidRDefault="005E16AC" w:rsidP="006B6EDC">
            <w:pPr>
              <w:jc w:val="right"/>
              <w:rPr>
                <w:color w:val="000000"/>
              </w:rPr>
            </w:pPr>
            <w:r w:rsidRPr="002401DD">
              <w:rPr>
                <w:color w:val="000000"/>
              </w:rPr>
              <w:t>9,701</w:t>
            </w:r>
          </w:p>
        </w:tc>
        <w:tc>
          <w:tcPr>
            <w:tcW w:w="1260" w:type="dxa"/>
            <w:vAlign w:val="center"/>
          </w:tcPr>
          <w:p w:rsidR="005E16AC" w:rsidRPr="002401DD" w:rsidRDefault="005E16AC" w:rsidP="006B6EDC">
            <w:pPr>
              <w:jc w:val="right"/>
              <w:rPr>
                <w:color w:val="000000"/>
              </w:rPr>
            </w:pPr>
            <w:r w:rsidRPr="002401DD">
              <w:rPr>
                <w:color w:val="000000"/>
              </w:rPr>
              <w:t>6,112</w:t>
            </w:r>
          </w:p>
        </w:tc>
        <w:tc>
          <w:tcPr>
            <w:tcW w:w="1350" w:type="dxa"/>
            <w:vAlign w:val="center"/>
          </w:tcPr>
          <w:p w:rsidR="005E16AC" w:rsidRPr="002401DD" w:rsidRDefault="005E16AC" w:rsidP="006B6EDC">
            <w:pPr>
              <w:jc w:val="right"/>
              <w:rPr>
                <w:color w:val="000000"/>
              </w:rPr>
            </w:pPr>
            <w:r w:rsidRPr="002401DD">
              <w:rPr>
                <w:color w:val="000000"/>
              </w:rPr>
              <w:t>4,889</w:t>
            </w:r>
          </w:p>
        </w:tc>
        <w:tc>
          <w:tcPr>
            <w:tcW w:w="1260" w:type="dxa"/>
            <w:vAlign w:val="center"/>
          </w:tcPr>
          <w:p w:rsidR="005E16AC" w:rsidRPr="002401DD" w:rsidRDefault="005E16AC" w:rsidP="006B6EDC">
            <w:pPr>
              <w:jc w:val="right"/>
              <w:rPr>
                <w:color w:val="000000"/>
              </w:rPr>
            </w:pPr>
            <w:r w:rsidRPr="002401DD">
              <w:rPr>
                <w:color w:val="000000"/>
              </w:rPr>
              <w:t>1,271</w:t>
            </w:r>
          </w:p>
        </w:tc>
      </w:tr>
      <w:tr w:rsidR="000E056B" w:rsidTr="006B6EDC">
        <w:trPr>
          <w:jc w:val="center"/>
        </w:trPr>
        <w:tc>
          <w:tcPr>
            <w:tcW w:w="1458" w:type="dxa"/>
            <w:vAlign w:val="center"/>
          </w:tcPr>
          <w:p w:rsidR="005E16AC" w:rsidRPr="002401DD" w:rsidRDefault="005E16AC"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2401DD">
              <w:rPr>
                <w:color w:val="000000"/>
              </w:rPr>
              <w:t>Other CA</w:t>
            </w:r>
          </w:p>
        </w:tc>
        <w:tc>
          <w:tcPr>
            <w:tcW w:w="1080" w:type="dxa"/>
            <w:vAlign w:val="center"/>
          </w:tcPr>
          <w:p w:rsidR="005E16AC" w:rsidRPr="002401DD" w:rsidRDefault="005E16AC"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color w:val="000000"/>
              </w:rPr>
            </w:pPr>
            <w:r w:rsidRPr="002401DD">
              <w:rPr>
                <w:color w:val="000000"/>
              </w:rPr>
              <w:t>39,176</w:t>
            </w:r>
          </w:p>
        </w:tc>
        <w:tc>
          <w:tcPr>
            <w:tcW w:w="1170" w:type="dxa"/>
            <w:vAlign w:val="center"/>
          </w:tcPr>
          <w:p w:rsidR="005E16AC" w:rsidRPr="002401DD" w:rsidRDefault="005E16AC" w:rsidP="006B6EDC">
            <w:pPr>
              <w:jc w:val="right"/>
              <w:rPr>
                <w:color w:val="000000"/>
              </w:rPr>
            </w:pPr>
            <w:r w:rsidRPr="002401DD">
              <w:rPr>
                <w:color w:val="000000"/>
              </w:rPr>
              <w:t>7,534</w:t>
            </w:r>
          </w:p>
        </w:tc>
        <w:tc>
          <w:tcPr>
            <w:tcW w:w="1350" w:type="dxa"/>
            <w:vAlign w:val="center"/>
          </w:tcPr>
          <w:p w:rsidR="005E16AC" w:rsidRPr="002401DD" w:rsidRDefault="005E16AC" w:rsidP="006B6EDC">
            <w:pPr>
              <w:jc w:val="right"/>
              <w:rPr>
                <w:color w:val="000000"/>
              </w:rPr>
            </w:pPr>
            <w:r w:rsidRPr="002401DD">
              <w:rPr>
                <w:color w:val="000000"/>
              </w:rPr>
              <w:t>1,205</w:t>
            </w:r>
          </w:p>
        </w:tc>
        <w:tc>
          <w:tcPr>
            <w:tcW w:w="1260" w:type="dxa"/>
            <w:vAlign w:val="center"/>
          </w:tcPr>
          <w:p w:rsidR="005E16AC" w:rsidRPr="002401DD" w:rsidRDefault="005E16AC" w:rsidP="006B6EDC">
            <w:pPr>
              <w:jc w:val="right"/>
              <w:rPr>
                <w:color w:val="000000"/>
              </w:rPr>
            </w:pPr>
            <w:r w:rsidRPr="002401DD">
              <w:rPr>
                <w:color w:val="000000"/>
              </w:rPr>
              <w:t>759</w:t>
            </w:r>
          </w:p>
        </w:tc>
        <w:tc>
          <w:tcPr>
            <w:tcW w:w="1350" w:type="dxa"/>
            <w:vAlign w:val="center"/>
          </w:tcPr>
          <w:p w:rsidR="005E16AC" w:rsidRPr="002401DD" w:rsidRDefault="005E16AC" w:rsidP="006B6EDC">
            <w:pPr>
              <w:jc w:val="right"/>
              <w:rPr>
                <w:color w:val="000000"/>
              </w:rPr>
            </w:pPr>
            <w:r w:rsidRPr="002401DD">
              <w:rPr>
                <w:color w:val="000000"/>
              </w:rPr>
              <w:t>608</w:t>
            </w:r>
          </w:p>
        </w:tc>
        <w:tc>
          <w:tcPr>
            <w:tcW w:w="1260" w:type="dxa"/>
            <w:vAlign w:val="center"/>
          </w:tcPr>
          <w:p w:rsidR="005E16AC" w:rsidRPr="002401DD" w:rsidRDefault="005E16AC" w:rsidP="006B6EDC">
            <w:pPr>
              <w:jc w:val="right"/>
              <w:rPr>
                <w:color w:val="000000"/>
              </w:rPr>
            </w:pPr>
            <w:r w:rsidRPr="002401DD">
              <w:rPr>
                <w:color w:val="000000"/>
              </w:rPr>
              <w:t>158</w:t>
            </w:r>
          </w:p>
        </w:tc>
      </w:tr>
      <w:tr w:rsidR="000E056B" w:rsidTr="006B6EDC">
        <w:trPr>
          <w:jc w:val="center"/>
        </w:trPr>
        <w:tc>
          <w:tcPr>
            <w:tcW w:w="1458" w:type="dxa"/>
            <w:vAlign w:val="center"/>
          </w:tcPr>
          <w:p w:rsidR="005E16AC" w:rsidRPr="002401DD" w:rsidRDefault="000E056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2401DD">
              <w:rPr>
                <w:color w:val="000000"/>
              </w:rPr>
              <w:t>Out-of-s</w:t>
            </w:r>
            <w:r w:rsidR="005E16AC" w:rsidRPr="002401DD">
              <w:rPr>
                <w:color w:val="000000"/>
              </w:rPr>
              <w:t>tate</w:t>
            </w:r>
          </w:p>
        </w:tc>
        <w:tc>
          <w:tcPr>
            <w:tcW w:w="1080" w:type="dxa"/>
            <w:vAlign w:val="center"/>
          </w:tcPr>
          <w:p w:rsidR="005E16AC" w:rsidRPr="002401DD" w:rsidRDefault="005E16AC"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color w:val="000000"/>
              </w:rPr>
            </w:pPr>
            <w:r w:rsidRPr="002401DD">
              <w:rPr>
                <w:color w:val="000000"/>
              </w:rPr>
              <w:t>17,564</w:t>
            </w:r>
          </w:p>
        </w:tc>
        <w:tc>
          <w:tcPr>
            <w:tcW w:w="1170" w:type="dxa"/>
            <w:vAlign w:val="center"/>
          </w:tcPr>
          <w:p w:rsidR="005E16AC" w:rsidRPr="002401DD" w:rsidRDefault="005E16AC" w:rsidP="006B6EDC">
            <w:pPr>
              <w:jc w:val="right"/>
              <w:rPr>
                <w:color w:val="000000"/>
              </w:rPr>
            </w:pPr>
            <w:r w:rsidRPr="002401DD">
              <w:rPr>
                <w:color w:val="000000"/>
              </w:rPr>
              <w:t>3,377</w:t>
            </w:r>
          </w:p>
        </w:tc>
        <w:tc>
          <w:tcPr>
            <w:tcW w:w="1350" w:type="dxa"/>
            <w:vAlign w:val="center"/>
          </w:tcPr>
          <w:p w:rsidR="005E16AC" w:rsidRPr="002401DD" w:rsidRDefault="005E16AC" w:rsidP="006B6EDC">
            <w:pPr>
              <w:jc w:val="right"/>
              <w:rPr>
                <w:color w:val="000000"/>
              </w:rPr>
            </w:pPr>
            <w:r w:rsidRPr="002401DD">
              <w:rPr>
                <w:color w:val="000000"/>
              </w:rPr>
              <w:t>540</w:t>
            </w:r>
          </w:p>
        </w:tc>
        <w:tc>
          <w:tcPr>
            <w:tcW w:w="1260" w:type="dxa"/>
            <w:vAlign w:val="center"/>
          </w:tcPr>
          <w:p w:rsidR="005E16AC" w:rsidRPr="002401DD" w:rsidRDefault="005E16AC" w:rsidP="006B6EDC">
            <w:pPr>
              <w:jc w:val="right"/>
              <w:rPr>
                <w:color w:val="000000"/>
              </w:rPr>
            </w:pPr>
            <w:r w:rsidRPr="002401DD">
              <w:rPr>
                <w:color w:val="000000"/>
              </w:rPr>
              <w:t>340</w:t>
            </w:r>
          </w:p>
        </w:tc>
        <w:tc>
          <w:tcPr>
            <w:tcW w:w="1350" w:type="dxa"/>
            <w:vAlign w:val="center"/>
          </w:tcPr>
          <w:p w:rsidR="005E16AC" w:rsidRPr="002401DD" w:rsidRDefault="005E16AC" w:rsidP="006B6EDC">
            <w:pPr>
              <w:jc w:val="right"/>
              <w:rPr>
                <w:color w:val="000000"/>
              </w:rPr>
            </w:pPr>
            <w:r w:rsidRPr="002401DD">
              <w:rPr>
                <w:color w:val="000000"/>
              </w:rPr>
              <w:t>272</w:t>
            </w:r>
          </w:p>
        </w:tc>
        <w:tc>
          <w:tcPr>
            <w:tcW w:w="1260" w:type="dxa"/>
            <w:vAlign w:val="center"/>
          </w:tcPr>
          <w:p w:rsidR="005E16AC" w:rsidRPr="002401DD" w:rsidRDefault="005E16AC" w:rsidP="006B6EDC">
            <w:pPr>
              <w:jc w:val="right"/>
              <w:rPr>
                <w:color w:val="000000"/>
              </w:rPr>
            </w:pPr>
            <w:r w:rsidRPr="002401DD">
              <w:rPr>
                <w:color w:val="000000"/>
              </w:rPr>
              <w:t>71</w:t>
            </w:r>
          </w:p>
        </w:tc>
      </w:tr>
      <w:tr w:rsidR="000E056B" w:rsidTr="006B6EDC">
        <w:trPr>
          <w:jc w:val="center"/>
        </w:trPr>
        <w:tc>
          <w:tcPr>
            <w:tcW w:w="1458" w:type="dxa"/>
            <w:vAlign w:val="center"/>
          </w:tcPr>
          <w:p w:rsidR="005E16AC" w:rsidRPr="002401DD" w:rsidRDefault="005E16AC"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2401DD">
              <w:rPr>
                <w:color w:val="000000"/>
              </w:rPr>
              <w:t>TOTAL</w:t>
            </w:r>
          </w:p>
        </w:tc>
        <w:tc>
          <w:tcPr>
            <w:tcW w:w="1080" w:type="dxa"/>
            <w:vAlign w:val="center"/>
          </w:tcPr>
          <w:p w:rsidR="005E16AC" w:rsidRPr="002401DD" w:rsidRDefault="005E16AC"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color w:val="000000"/>
              </w:rPr>
            </w:pPr>
            <w:r w:rsidRPr="002401DD">
              <w:rPr>
                <w:color w:val="000000"/>
              </w:rPr>
              <w:t>372,063</w:t>
            </w:r>
          </w:p>
        </w:tc>
        <w:tc>
          <w:tcPr>
            <w:tcW w:w="1170" w:type="dxa"/>
            <w:vAlign w:val="center"/>
          </w:tcPr>
          <w:p w:rsidR="005E16AC" w:rsidRPr="002401DD" w:rsidRDefault="005E16AC" w:rsidP="006B6EDC">
            <w:pPr>
              <w:jc w:val="right"/>
              <w:rPr>
                <w:color w:val="000000"/>
              </w:rPr>
            </w:pPr>
            <w:r w:rsidRPr="002401DD">
              <w:rPr>
                <w:color w:val="000000"/>
              </w:rPr>
              <w:t>71</w:t>
            </w:r>
            <w:r w:rsidR="00797B4E" w:rsidRPr="002401DD">
              <w:rPr>
                <w:color w:val="000000"/>
              </w:rPr>
              <w:t>,</w:t>
            </w:r>
            <w:r w:rsidRPr="002401DD">
              <w:rPr>
                <w:color w:val="000000"/>
              </w:rPr>
              <w:t>544</w:t>
            </w:r>
          </w:p>
        </w:tc>
        <w:tc>
          <w:tcPr>
            <w:tcW w:w="1350" w:type="dxa"/>
            <w:vAlign w:val="center"/>
          </w:tcPr>
          <w:p w:rsidR="005E16AC" w:rsidRPr="002401DD" w:rsidRDefault="005E16AC" w:rsidP="006B6EDC">
            <w:pPr>
              <w:jc w:val="right"/>
              <w:rPr>
                <w:color w:val="000000"/>
              </w:rPr>
            </w:pPr>
            <w:r w:rsidRPr="002401DD">
              <w:rPr>
                <w:color w:val="000000"/>
              </w:rPr>
              <w:t>11,447</w:t>
            </w:r>
          </w:p>
        </w:tc>
        <w:tc>
          <w:tcPr>
            <w:tcW w:w="1260" w:type="dxa"/>
            <w:vAlign w:val="center"/>
          </w:tcPr>
          <w:p w:rsidR="005E16AC" w:rsidRPr="002401DD" w:rsidRDefault="005E16AC" w:rsidP="006B6EDC">
            <w:pPr>
              <w:jc w:val="right"/>
              <w:rPr>
                <w:color w:val="000000"/>
              </w:rPr>
            </w:pPr>
            <w:r w:rsidRPr="002401DD">
              <w:rPr>
                <w:color w:val="000000"/>
              </w:rPr>
              <w:t>7,212</w:t>
            </w:r>
          </w:p>
        </w:tc>
        <w:tc>
          <w:tcPr>
            <w:tcW w:w="1350" w:type="dxa"/>
            <w:vAlign w:val="center"/>
          </w:tcPr>
          <w:p w:rsidR="005E16AC" w:rsidRPr="002401DD" w:rsidRDefault="005E16AC" w:rsidP="006B6EDC">
            <w:pPr>
              <w:jc w:val="right"/>
              <w:rPr>
                <w:color w:val="000000"/>
              </w:rPr>
            </w:pPr>
            <w:r w:rsidRPr="002401DD">
              <w:rPr>
                <w:color w:val="000000"/>
              </w:rPr>
              <w:t>5</w:t>
            </w:r>
            <w:r w:rsidR="00694732" w:rsidRPr="002401DD">
              <w:rPr>
                <w:color w:val="000000"/>
              </w:rPr>
              <w:t>,</w:t>
            </w:r>
            <w:r w:rsidRPr="002401DD">
              <w:rPr>
                <w:color w:val="000000"/>
              </w:rPr>
              <w:t>769</w:t>
            </w:r>
          </w:p>
        </w:tc>
        <w:tc>
          <w:tcPr>
            <w:tcW w:w="1260" w:type="dxa"/>
            <w:vAlign w:val="center"/>
          </w:tcPr>
          <w:p w:rsidR="005E16AC" w:rsidRPr="002401DD" w:rsidRDefault="005E16AC" w:rsidP="006B6EDC">
            <w:pPr>
              <w:jc w:val="right"/>
              <w:rPr>
                <w:color w:val="000000"/>
              </w:rPr>
            </w:pPr>
            <w:r w:rsidRPr="002401DD">
              <w:rPr>
                <w:color w:val="000000"/>
              </w:rPr>
              <w:t>1,500</w:t>
            </w:r>
          </w:p>
        </w:tc>
      </w:tr>
      <w:tr w:rsidR="005E16AC" w:rsidTr="006B6EDC">
        <w:trPr>
          <w:jc w:val="center"/>
        </w:trPr>
        <w:tc>
          <w:tcPr>
            <w:tcW w:w="8928" w:type="dxa"/>
            <w:gridSpan w:val="7"/>
          </w:tcPr>
          <w:p w:rsidR="005E16AC" w:rsidRPr="002401DD" w:rsidRDefault="005E16AC"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16"/>
                <w:szCs w:val="16"/>
              </w:rPr>
            </w:pPr>
            <w:r w:rsidRPr="002401DD">
              <w:rPr>
                <w:color w:val="000000"/>
                <w:sz w:val="16"/>
                <w:szCs w:val="16"/>
                <w:vertAlign w:val="superscript"/>
              </w:rPr>
              <w:t>1</w:t>
            </w:r>
            <w:r w:rsidRPr="002401DD">
              <w:rPr>
                <w:color w:val="000000"/>
                <w:sz w:val="16"/>
                <w:szCs w:val="16"/>
              </w:rPr>
              <w:t xml:space="preserve"> Number of anglers in 2013 ALDS database that purchased license in 14-county Sacramento River area</w:t>
            </w:r>
            <w:r w:rsidR="00005767" w:rsidRPr="002401DD">
              <w:rPr>
                <w:color w:val="000000"/>
                <w:sz w:val="16"/>
                <w:szCs w:val="16"/>
              </w:rPr>
              <w:t>, categorized by area of residence.</w:t>
            </w:r>
          </w:p>
          <w:p w:rsidR="005E16AC" w:rsidRPr="002401DD" w:rsidRDefault="005E16AC"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16"/>
                <w:szCs w:val="16"/>
              </w:rPr>
            </w:pPr>
            <w:r w:rsidRPr="002401DD">
              <w:rPr>
                <w:color w:val="000000"/>
                <w:sz w:val="16"/>
                <w:szCs w:val="16"/>
                <w:vertAlign w:val="superscript"/>
              </w:rPr>
              <w:t>2</w:t>
            </w:r>
            <w:r w:rsidRPr="002401DD">
              <w:rPr>
                <w:color w:val="000000"/>
                <w:sz w:val="16"/>
                <w:szCs w:val="16"/>
              </w:rPr>
              <w:t xml:space="preserve">  Number of license holders from 14-county area that will need to be called to achieve 1,500 returned surveys</w:t>
            </w:r>
          </w:p>
          <w:p w:rsidR="005E16AC" w:rsidRPr="002401DD" w:rsidRDefault="005E16AC"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16"/>
                <w:szCs w:val="16"/>
              </w:rPr>
            </w:pPr>
            <w:proofErr w:type="gramStart"/>
            <w:r w:rsidRPr="002401DD">
              <w:rPr>
                <w:color w:val="000000"/>
                <w:sz w:val="16"/>
                <w:szCs w:val="16"/>
                <w:vertAlign w:val="superscript"/>
              </w:rPr>
              <w:t>3</w:t>
            </w:r>
            <w:r w:rsidRPr="002401DD">
              <w:rPr>
                <w:color w:val="000000"/>
                <w:sz w:val="16"/>
                <w:szCs w:val="16"/>
              </w:rPr>
              <w:t xml:space="preserve">  Assuming</w:t>
            </w:r>
            <w:proofErr w:type="gramEnd"/>
            <w:r w:rsidRPr="002401DD">
              <w:rPr>
                <w:color w:val="000000"/>
                <w:sz w:val="16"/>
                <w:szCs w:val="16"/>
              </w:rPr>
              <w:t xml:space="preserve"> that 16% of lice</w:t>
            </w:r>
            <w:r w:rsidR="00005767" w:rsidRPr="002401DD">
              <w:rPr>
                <w:color w:val="000000"/>
                <w:sz w:val="16"/>
                <w:szCs w:val="16"/>
              </w:rPr>
              <w:t>nse</w:t>
            </w:r>
            <w:r w:rsidR="005F6D97" w:rsidRPr="002401DD">
              <w:rPr>
                <w:color w:val="000000"/>
                <w:sz w:val="16"/>
                <w:szCs w:val="16"/>
              </w:rPr>
              <w:t xml:space="preserve"> holders called will participate in telephone screener</w:t>
            </w:r>
            <w:r w:rsidRPr="002401DD">
              <w:rPr>
                <w:color w:val="000000"/>
                <w:sz w:val="16"/>
                <w:szCs w:val="16"/>
              </w:rPr>
              <w:t>.</w:t>
            </w:r>
          </w:p>
          <w:p w:rsidR="005E16AC" w:rsidRPr="002401DD" w:rsidRDefault="005E16AC"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16"/>
                <w:szCs w:val="16"/>
              </w:rPr>
            </w:pPr>
            <w:proofErr w:type="gramStart"/>
            <w:r w:rsidRPr="002401DD">
              <w:rPr>
                <w:color w:val="000000"/>
                <w:sz w:val="16"/>
                <w:szCs w:val="16"/>
                <w:vertAlign w:val="superscript"/>
              </w:rPr>
              <w:t>4</w:t>
            </w:r>
            <w:r w:rsidR="00005767" w:rsidRPr="002401DD">
              <w:rPr>
                <w:color w:val="000000"/>
                <w:sz w:val="16"/>
                <w:szCs w:val="16"/>
              </w:rPr>
              <w:t xml:space="preserve">  Assuming</w:t>
            </w:r>
            <w:proofErr w:type="gramEnd"/>
            <w:r w:rsidR="00005767" w:rsidRPr="002401DD">
              <w:rPr>
                <w:color w:val="000000"/>
                <w:sz w:val="16"/>
                <w:szCs w:val="16"/>
              </w:rPr>
              <w:t xml:space="preserve"> that 63% of telephone respondents </w:t>
            </w:r>
            <w:r w:rsidRPr="002401DD">
              <w:rPr>
                <w:color w:val="000000"/>
                <w:sz w:val="16"/>
                <w:szCs w:val="16"/>
              </w:rPr>
              <w:t>will be Sacramento River anglers.</w:t>
            </w:r>
          </w:p>
          <w:p w:rsidR="005E16AC" w:rsidRPr="002401DD" w:rsidRDefault="005E16AC"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16"/>
                <w:szCs w:val="16"/>
              </w:rPr>
            </w:pPr>
            <w:proofErr w:type="gramStart"/>
            <w:r w:rsidRPr="002401DD">
              <w:rPr>
                <w:color w:val="000000"/>
                <w:sz w:val="16"/>
                <w:szCs w:val="16"/>
                <w:vertAlign w:val="superscript"/>
              </w:rPr>
              <w:t>5</w:t>
            </w:r>
            <w:r w:rsidRPr="002401DD">
              <w:rPr>
                <w:color w:val="000000"/>
                <w:sz w:val="16"/>
                <w:szCs w:val="16"/>
              </w:rPr>
              <w:t xml:space="preserve">  Assuming</w:t>
            </w:r>
            <w:proofErr w:type="gramEnd"/>
            <w:r w:rsidRPr="002401DD">
              <w:rPr>
                <w:color w:val="000000"/>
                <w:sz w:val="16"/>
                <w:szCs w:val="16"/>
              </w:rPr>
              <w:t xml:space="preserve"> that 80% of Sacramento Ri</w:t>
            </w:r>
            <w:r w:rsidR="00005767" w:rsidRPr="002401DD">
              <w:rPr>
                <w:color w:val="000000"/>
                <w:sz w:val="16"/>
                <w:szCs w:val="16"/>
              </w:rPr>
              <w:t xml:space="preserve">ver anglers </w:t>
            </w:r>
            <w:r w:rsidRPr="002401DD">
              <w:rPr>
                <w:color w:val="000000"/>
                <w:sz w:val="16"/>
                <w:szCs w:val="16"/>
              </w:rPr>
              <w:t>will be willing to complete survey.</w:t>
            </w:r>
          </w:p>
          <w:p w:rsidR="005E16AC" w:rsidRPr="002401DD" w:rsidRDefault="005E16AC"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16"/>
                <w:szCs w:val="16"/>
              </w:rPr>
            </w:pPr>
            <w:proofErr w:type="gramStart"/>
            <w:r w:rsidRPr="002401DD">
              <w:rPr>
                <w:color w:val="000000"/>
                <w:sz w:val="16"/>
                <w:szCs w:val="16"/>
                <w:vertAlign w:val="superscript"/>
              </w:rPr>
              <w:t>6</w:t>
            </w:r>
            <w:r w:rsidRPr="002401DD">
              <w:rPr>
                <w:color w:val="000000"/>
                <w:sz w:val="16"/>
                <w:szCs w:val="16"/>
              </w:rPr>
              <w:t xml:space="preserve">  Assuming</w:t>
            </w:r>
            <w:proofErr w:type="gramEnd"/>
            <w:r w:rsidRPr="002401DD">
              <w:rPr>
                <w:color w:val="000000"/>
                <w:sz w:val="16"/>
                <w:szCs w:val="16"/>
              </w:rPr>
              <w:t xml:space="preserve"> that 26% of Sacramento River anglers who are willing to complete</w:t>
            </w:r>
            <w:r w:rsidR="00005767" w:rsidRPr="002401DD">
              <w:rPr>
                <w:color w:val="000000"/>
                <w:sz w:val="16"/>
                <w:szCs w:val="16"/>
              </w:rPr>
              <w:t xml:space="preserve"> the survey actually return the survey</w:t>
            </w:r>
            <w:r w:rsidRPr="002401DD">
              <w:rPr>
                <w:color w:val="000000"/>
                <w:sz w:val="16"/>
                <w:szCs w:val="16"/>
              </w:rPr>
              <w:t>.</w:t>
            </w:r>
          </w:p>
        </w:tc>
      </w:tr>
    </w:tbl>
    <w:p w:rsidR="009212C0" w:rsidRPr="00E07611" w:rsidRDefault="009212C0" w:rsidP="00634EA7">
      <w:pPr>
        <w:shd w:val="clear" w:color="auto" w:fill="FFFFFF"/>
        <w:spacing w:after="0" w:line="240" w:lineRule="auto"/>
        <w:contextualSpacing/>
        <w:rPr>
          <w:rFonts w:ascii="Times New Roman" w:eastAsia="Times New Roman" w:hAnsi="Times New Roman" w:cs="Times New Roman"/>
          <w:color w:val="000000"/>
          <w:sz w:val="24"/>
          <w:szCs w:val="24"/>
        </w:rPr>
      </w:pPr>
      <w:r w:rsidRPr="00097E7A">
        <w:rPr>
          <w:rFonts w:ascii="Times New Roman" w:eastAsia="Times New Roman" w:hAnsi="Times New Roman" w:cs="Times New Roman"/>
          <w:b/>
          <w:bCs/>
          <w:color w:val="000000"/>
          <w:sz w:val="24"/>
          <w:szCs w:val="24"/>
        </w:rPr>
        <w:t>2.</w:t>
      </w:r>
      <w:r w:rsidR="006B6EDC">
        <w:rPr>
          <w:rFonts w:ascii="Times New Roman" w:eastAsia="Times New Roman" w:hAnsi="Times New Roman" w:cs="Times New Roman"/>
          <w:color w:val="000000"/>
          <w:sz w:val="24"/>
          <w:szCs w:val="24"/>
        </w:rPr>
        <w:t xml:space="preserve"> </w:t>
      </w:r>
      <w:r w:rsidRPr="001D17A8">
        <w:rPr>
          <w:rFonts w:ascii="Times New Roman" w:eastAsia="Times New Roman" w:hAnsi="Times New Roman" w:cs="Times New Roman"/>
          <w:b/>
          <w:bCs/>
          <w:color w:val="000000"/>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433CC" w:rsidRDefault="00C433CC" w:rsidP="00634EA7">
      <w:pPr>
        <w:shd w:val="clear" w:color="auto" w:fill="FFFFFF"/>
        <w:spacing w:after="0" w:line="240" w:lineRule="auto"/>
        <w:contextualSpacing/>
        <w:rPr>
          <w:rFonts w:ascii="Times New Roman" w:eastAsia="Times New Roman" w:hAnsi="Times New Roman" w:cs="Times New Roman"/>
          <w:color w:val="000000"/>
          <w:sz w:val="24"/>
          <w:szCs w:val="24"/>
        </w:rPr>
      </w:pPr>
    </w:p>
    <w:p w:rsidR="00C433CC" w:rsidRPr="00E07611" w:rsidRDefault="00883E6B"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Statistical </w:t>
      </w:r>
      <w:r w:rsidR="00A25FD9">
        <w:rPr>
          <w:rFonts w:ascii="Times New Roman" w:eastAsia="Times New Roman" w:hAnsi="Times New Roman" w:cs="Times New Roman"/>
          <w:b/>
          <w:i/>
          <w:sz w:val="24"/>
          <w:szCs w:val="24"/>
        </w:rPr>
        <w:t>m</w:t>
      </w:r>
      <w:r w:rsidR="0068218B">
        <w:rPr>
          <w:rFonts w:ascii="Times New Roman" w:eastAsia="Times New Roman" w:hAnsi="Times New Roman" w:cs="Times New Roman"/>
          <w:b/>
          <w:i/>
          <w:sz w:val="24"/>
          <w:szCs w:val="24"/>
        </w:rPr>
        <w:t>ethodology for stratification and sample selection</w:t>
      </w:r>
    </w:p>
    <w:p w:rsidR="0068218B" w:rsidRDefault="0068218B" w:rsidP="006821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656047" w:rsidRPr="001D7A4F" w:rsidRDefault="002C245A" w:rsidP="00424861">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indicated in T</w:t>
      </w:r>
      <w:r w:rsidR="00650B2D">
        <w:rPr>
          <w:rFonts w:ascii="Times New Roman" w:hAnsi="Times New Roman" w:cs="Times New Roman"/>
          <w:sz w:val="24"/>
          <w:szCs w:val="24"/>
        </w:rPr>
        <w:t xml:space="preserve">able B-1, </w:t>
      </w:r>
      <w:r w:rsidR="0071732F">
        <w:rPr>
          <w:rFonts w:ascii="Times New Roman" w:hAnsi="Times New Roman" w:cs="Times New Roman"/>
          <w:sz w:val="24"/>
          <w:szCs w:val="24"/>
        </w:rPr>
        <w:t xml:space="preserve">the </w:t>
      </w:r>
      <w:r w:rsidR="00CA3CF7">
        <w:rPr>
          <w:rFonts w:ascii="Times New Roman" w:hAnsi="Times New Roman" w:cs="Times New Roman"/>
          <w:sz w:val="24"/>
          <w:szCs w:val="24"/>
        </w:rPr>
        <w:t xml:space="preserve">number of </w:t>
      </w:r>
      <w:r w:rsidR="0071732F">
        <w:rPr>
          <w:rFonts w:ascii="Times New Roman" w:hAnsi="Times New Roman" w:cs="Times New Roman"/>
          <w:sz w:val="24"/>
          <w:szCs w:val="24"/>
        </w:rPr>
        <w:t xml:space="preserve">anglers </w:t>
      </w:r>
      <w:r w:rsidR="007A730D">
        <w:rPr>
          <w:rFonts w:ascii="Times New Roman" w:hAnsi="Times New Roman" w:cs="Times New Roman"/>
          <w:sz w:val="24"/>
          <w:szCs w:val="24"/>
        </w:rPr>
        <w:t xml:space="preserve">in the sample frame </w:t>
      </w:r>
      <w:r w:rsidR="00CA3CF7">
        <w:rPr>
          <w:rFonts w:ascii="Times New Roman" w:hAnsi="Times New Roman" w:cs="Times New Roman"/>
          <w:sz w:val="24"/>
          <w:szCs w:val="24"/>
        </w:rPr>
        <w:t xml:space="preserve">is 372,063 – based </w:t>
      </w:r>
      <w:r w:rsidR="0071732F">
        <w:rPr>
          <w:rFonts w:ascii="Times New Roman" w:hAnsi="Times New Roman" w:cs="Times New Roman"/>
          <w:sz w:val="24"/>
          <w:szCs w:val="24"/>
        </w:rPr>
        <w:t xml:space="preserve">on the number of </w:t>
      </w:r>
      <w:r w:rsidR="00AA5FA0">
        <w:rPr>
          <w:rFonts w:ascii="Times New Roman" w:hAnsi="Times New Roman" w:cs="Times New Roman"/>
          <w:sz w:val="24"/>
          <w:szCs w:val="24"/>
        </w:rPr>
        <w:t xml:space="preserve">resident and non-resident </w:t>
      </w:r>
      <w:r w:rsidR="0071732F">
        <w:rPr>
          <w:rFonts w:ascii="Times New Roman" w:hAnsi="Times New Roman" w:cs="Times New Roman"/>
          <w:sz w:val="24"/>
          <w:szCs w:val="24"/>
        </w:rPr>
        <w:t>licenses sold in the 14-count</w:t>
      </w:r>
      <w:r w:rsidR="00CA3CF7">
        <w:rPr>
          <w:rFonts w:ascii="Times New Roman" w:hAnsi="Times New Roman" w:cs="Times New Roman"/>
          <w:sz w:val="24"/>
          <w:szCs w:val="24"/>
        </w:rPr>
        <w:t>y Sacramento River area in 2013.  These anglers</w:t>
      </w:r>
      <w:r w:rsidR="0071732F">
        <w:rPr>
          <w:rFonts w:ascii="Times New Roman" w:hAnsi="Times New Roman" w:cs="Times New Roman"/>
          <w:sz w:val="24"/>
          <w:szCs w:val="24"/>
        </w:rPr>
        <w:t xml:space="preserve"> are distributed by</w:t>
      </w:r>
      <w:r w:rsidR="00474FF0">
        <w:rPr>
          <w:rFonts w:ascii="Times New Roman" w:hAnsi="Times New Roman" w:cs="Times New Roman"/>
          <w:sz w:val="24"/>
          <w:szCs w:val="24"/>
        </w:rPr>
        <w:t xml:space="preserve"> area of residence as follows: </w:t>
      </w:r>
      <w:r w:rsidR="00B008F6">
        <w:rPr>
          <w:rFonts w:ascii="Times New Roman" w:hAnsi="Times New Roman" w:cs="Times New Roman"/>
          <w:sz w:val="24"/>
          <w:szCs w:val="24"/>
        </w:rPr>
        <w:t>85</w:t>
      </w:r>
      <w:r w:rsidR="00D33693">
        <w:rPr>
          <w:rFonts w:ascii="Times New Roman" w:hAnsi="Times New Roman" w:cs="Times New Roman"/>
          <w:sz w:val="24"/>
          <w:szCs w:val="24"/>
        </w:rPr>
        <w:t>%</w:t>
      </w:r>
      <w:r w:rsidR="00531AB7">
        <w:rPr>
          <w:rFonts w:ascii="Times New Roman" w:hAnsi="Times New Roman" w:cs="Times New Roman"/>
          <w:sz w:val="24"/>
          <w:szCs w:val="24"/>
        </w:rPr>
        <w:t xml:space="preserve"> </w:t>
      </w:r>
      <w:r w:rsidR="0071732F">
        <w:rPr>
          <w:rFonts w:ascii="Times New Roman" w:hAnsi="Times New Roman" w:cs="Times New Roman"/>
          <w:sz w:val="24"/>
          <w:szCs w:val="24"/>
        </w:rPr>
        <w:t xml:space="preserve">from the </w:t>
      </w:r>
      <w:r w:rsidR="00AA5FA0">
        <w:rPr>
          <w:rFonts w:ascii="Times New Roman" w:hAnsi="Times New Roman" w:cs="Times New Roman"/>
          <w:sz w:val="24"/>
          <w:szCs w:val="24"/>
        </w:rPr>
        <w:t xml:space="preserve">14-county </w:t>
      </w:r>
      <w:r w:rsidR="00650B2D">
        <w:rPr>
          <w:rFonts w:ascii="Times New Roman" w:hAnsi="Times New Roman" w:cs="Times New Roman"/>
          <w:sz w:val="24"/>
          <w:szCs w:val="24"/>
        </w:rPr>
        <w:t xml:space="preserve">area, </w:t>
      </w:r>
      <w:r w:rsidR="009F140E">
        <w:rPr>
          <w:rFonts w:ascii="Times New Roman" w:hAnsi="Times New Roman" w:cs="Times New Roman"/>
          <w:sz w:val="24"/>
          <w:szCs w:val="24"/>
        </w:rPr>
        <w:t>10</w:t>
      </w:r>
      <w:r w:rsidR="00D33693">
        <w:rPr>
          <w:rFonts w:ascii="Times New Roman" w:hAnsi="Times New Roman" w:cs="Times New Roman"/>
          <w:sz w:val="24"/>
          <w:szCs w:val="24"/>
        </w:rPr>
        <w:t xml:space="preserve">% </w:t>
      </w:r>
      <w:r w:rsidR="0071732F">
        <w:rPr>
          <w:rFonts w:ascii="Times New Roman" w:hAnsi="Times New Roman" w:cs="Times New Roman"/>
          <w:sz w:val="24"/>
          <w:szCs w:val="24"/>
        </w:rPr>
        <w:t xml:space="preserve">from </w:t>
      </w:r>
      <w:r w:rsidR="00650B2D">
        <w:rPr>
          <w:rFonts w:ascii="Times New Roman" w:hAnsi="Times New Roman" w:cs="Times New Roman"/>
          <w:sz w:val="24"/>
          <w:szCs w:val="24"/>
        </w:rPr>
        <w:t xml:space="preserve">other California </w:t>
      </w:r>
      <w:r w:rsidR="000E056B">
        <w:rPr>
          <w:rFonts w:ascii="Times New Roman" w:hAnsi="Times New Roman" w:cs="Times New Roman"/>
          <w:sz w:val="24"/>
          <w:szCs w:val="24"/>
        </w:rPr>
        <w:t>counties</w:t>
      </w:r>
      <w:r w:rsidR="00B008F6">
        <w:rPr>
          <w:rFonts w:ascii="Times New Roman" w:hAnsi="Times New Roman" w:cs="Times New Roman"/>
          <w:sz w:val="24"/>
          <w:szCs w:val="24"/>
        </w:rPr>
        <w:t>, and 5</w:t>
      </w:r>
      <w:r w:rsidR="00D33693">
        <w:rPr>
          <w:rFonts w:ascii="Times New Roman" w:hAnsi="Times New Roman" w:cs="Times New Roman"/>
          <w:sz w:val="24"/>
          <w:szCs w:val="24"/>
        </w:rPr>
        <w:t xml:space="preserve">% </w:t>
      </w:r>
      <w:r w:rsidR="0071732F">
        <w:rPr>
          <w:rFonts w:ascii="Times New Roman" w:hAnsi="Times New Roman" w:cs="Times New Roman"/>
          <w:sz w:val="24"/>
          <w:szCs w:val="24"/>
        </w:rPr>
        <w:t xml:space="preserve">from </w:t>
      </w:r>
      <w:r w:rsidR="00650B2D">
        <w:rPr>
          <w:rFonts w:ascii="Times New Roman" w:hAnsi="Times New Roman" w:cs="Times New Roman"/>
          <w:sz w:val="24"/>
          <w:szCs w:val="24"/>
        </w:rPr>
        <w:t>o</w:t>
      </w:r>
      <w:r w:rsidR="00DE2E48">
        <w:rPr>
          <w:rFonts w:ascii="Times New Roman" w:hAnsi="Times New Roman" w:cs="Times New Roman"/>
          <w:sz w:val="24"/>
          <w:szCs w:val="24"/>
        </w:rPr>
        <w:t>ut-o</w:t>
      </w:r>
      <w:r w:rsidR="00650B2D">
        <w:rPr>
          <w:rFonts w:ascii="Times New Roman" w:hAnsi="Times New Roman" w:cs="Times New Roman"/>
          <w:sz w:val="24"/>
          <w:szCs w:val="24"/>
        </w:rPr>
        <w:t>f-s</w:t>
      </w:r>
      <w:r w:rsidR="00A43241">
        <w:rPr>
          <w:rFonts w:ascii="Times New Roman" w:hAnsi="Times New Roman" w:cs="Times New Roman"/>
          <w:sz w:val="24"/>
          <w:szCs w:val="24"/>
        </w:rPr>
        <w:t>tat</w:t>
      </w:r>
      <w:r w:rsidR="00531AB7">
        <w:rPr>
          <w:rFonts w:ascii="Times New Roman" w:hAnsi="Times New Roman" w:cs="Times New Roman"/>
          <w:sz w:val="24"/>
          <w:szCs w:val="24"/>
        </w:rPr>
        <w:t>e</w:t>
      </w:r>
      <w:r w:rsidR="00FC2776">
        <w:rPr>
          <w:rFonts w:ascii="Times New Roman" w:hAnsi="Times New Roman" w:cs="Times New Roman"/>
          <w:sz w:val="24"/>
          <w:szCs w:val="24"/>
        </w:rPr>
        <w:t>.</w:t>
      </w:r>
      <w:r w:rsidR="00FF1ECB">
        <w:rPr>
          <w:rFonts w:ascii="Times New Roman" w:hAnsi="Times New Roman" w:cs="Times New Roman"/>
          <w:sz w:val="24"/>
          <w:szCs w:val="24"/>
        </w:rPr>
        <w:t xml:space="preserve"> </w:t>
      </w:r>
      <w:r w:rsidR="006B6EDC">
        <w:rPr>
          <w:rFonts w:ascii="Times New Roman" w:hAnsi="Times New Roman" w:cs="Times New Roman"/>
          <w:sz w:val="24"/>
          <w:szCs w:val="24"/>
        </w:rPr>
        <w:t xml:space="preserve"> </w:t>
      </w:r>
      <w:r w:rsidR="003D7C7D">
        <w:rPr>
          <w:rFonts w:ascii="Times New Roman" w:hAnsi="Times New Roman" w:cs="Times New Roman"/>
          <w:sz w:val="24"/>
          <w:szCs w:val="24"/>
        </w:rPr>
        <w:t>Because s</w:t>
      </w:r>
      <w:r w:rsidR="0071732F">
        <w:rPr>
          <w:rFonts w:ascii="Times New Roman" w:hAnsi="Times New Roman" w:cs="Times New Roman"/>
          <w:sz w:val="24"/>
          <w:szCs w:val="24"/>
        </w:rPr>
        <w:t xml:space="preserve">urvey respondents </w:t>
      </w:r>
      <w:r w:rsidR="00CA3CF7">
        <w:rPr>
          <w:rFonts w:ascii="Times New Roman" w:hAnsi="Times New Roman" w:cs="Times New Roman"/>
          <w:sz w:val="24"/>
          <w:szCs w:val="24"/>
        </w:rPr>
        <w:t xml:space="preserve">will be selected </w:t>
      </w:r>
      <w:r w:rsidR="0071732F">
        <w:rPr>
          <w:rFonts w:ascii="Times New Roman" w:hAnsi="Times New Roman" w:cs="Times New Roman"/>
          <w:sz w:val="24"/>
          <w:szCs w:val="24"/>
        </w:rPr>
        <w:t>from the sample frame</w:t>
      </w:r>
      <w:r w:rsidR="00CA3CF7">
        <w:rPr>
          <w:rFonts w:ascii="Times New Roman" w:hAnsi="Times New Roman" w:cs="Times New Roman"/>
          <w:sz w:val="24"/>
          <w:szCs w:val="24"/>
        </w:rPr>
        <w:t xml:space="preserve"> using a simple random sampling protocol</w:t>
      </w:r>
      <w:r w:rsidR="003D7C7D">
        <w:rPr>
          <w:rFonts w:ascii="Times New Roman" w:hAnsi="Times New Roman" w:cs="Times New Roman"/>
          <w:sz w:val="24"/>
          <w:szCs w:val="24"/>
        </w:rPr>
        <w:t xml:space="preserve">, </w:t>
      </w:r>
      <w:r w:rsidR="0071732F">
        <w:rPr>
          <w:rFonts w:ascii="Times New Roman" w:hAnsi="Times New Roman" w:cs="Times New Roman"/>
          <w:sz w:val="24"/>
          <w:szCs w:val="24"/>
        </w:rPr>
        <w:t xml:space="preserve">representation of the three areas </w:t>
      </w:r>
      <w:r w:rsidR="00793A62">
        <w:rPr>
          <w:rFonts w:ascii="Times New Roman" w:hAnsi="Times New Roman" w:cs="Times New Roman"/>
          <w:sz w:val="24"/>
          <w:szCs w:val="24"/>
        </w:rPr>
        <w:t>of residence in the te</w:t>
      </w:r>
      <w:r w:rsidR="00AA5FA0">
        <w:rPr>
          <w:rFonts w:ascii="Times New Roman" w:hAnsi="Times New Roman" w:cs="Times New Roman"/>
          <w:sz w:val="24"/>
          <w:szCs w:val="24"/>
        </w:rPr>
        <w:t xml:space="preserve">lephone and mail survey </w:t>
      </w:r>
      <w:r w:rsidR="006B605E">
        <w:rPr>
          <w:rFonts w:ascii="Times New Roman" w:hAnsi="Times New Roman" w:cs="Times New Roman"/>
          <w:sz w:val="24"/>
          <w:szCs w:val="24"/>
        </w:rPr>
        <w:t xml:space="preserve">is expected to be </w:t>
      </w:r>
      <w:r w:rsidR="00793A62">
        <w:rPr>
          <w:rFonts w:ascii="Times New Roman" w:hAnsi="Times New Roman" w:cs="Times New Roman"/>
          <w:sz w:val="24"/>
          <w:szCs w:val="24"/>
        </w:rPr>
        <w:t xml:space="preserve">proportional to </w:t>
      </w:r>
      <w:r w:rsidR="008C482A">
        <w:rPr>
          <w:rFonts w:ascii="Times New Roman" w:hAnsi="Times New Roman" w:cs="Times New Roman"/>
          <w:sz w:val="24"/>
          <w:szCs w:val="24"/>
        </w:rPr>
        <w:t xml:space="preserve">their </w:t>
      </w:r>
      <w:r w:rsidR="00D8753A" w:rsidRPr="00D8753A">
        <w:rPr>
          <w:rFonts w:ascii="Times New Roman" w:hAnsi="Times New Roman" w:cs="Times New Roman"/>
          <w:sz w:val="24"/>
          <w:szCs w:val="24"/>
        </w:rPr>
        <w:t xml:space="preserve">representation in the frame.  </w:t>
      </w:r>
    </w:p>
    <w:p w:rsidR="009128C6" w:rsidRDefault="009128C6" w:rsidP="00B46F55">
      <w:pPr>
        <w:autoSpaceDE w:val="0"/>
        <w:autoSpaceDN w:val="0"/>
        <w:adjustRightInd w:val="0"/>
        <w:spacing w:after="0" w:line="240" w:lineRule="auto"/>
        <w:contextualSpacing/>
        <w:rPr>
          <w:rFonts w:ascii="Times New Roman" w:eastAsia="Times New Roman" w:hAnsi="Times New Roman" w:cs="Times New Roman"/>
          <w:sz w:val="24"/>
          <w:szCs w:val="24"/>
        </w:rPr>
      </w:pPr>
    </w:p>
    <w:p w:rsidR="00B46F55" w:rsidRPr="002B0FD3" w:rsidRDefault="00A25FD9" w:rsidP="00B4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Estimation p</w:t>
      </w:r>
      <w:r w:rsidR="002B0FD3" w:rsidRPr="002B0FD3">
        <w:rPr>
          <w:rFonts w:ascii="Times New Roman" w:eastAsia="Times New Roman" w:hAnsi="Times New Roman" w:cs="Times New Roman"/>
          <w:b/>
          <w:i/>
          <w:sz w:val="24"/>
          <w:szCs w:val="24"/>
        </w:rPr>
        <w:t>rocedure</w:t>
      </w:r>
    </w:p>
    <w:p w:rsidR="007375EC" w:rsidRDefault="007375EC" w:rsidP="009128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i/>
          <w:sz w:val="24"/>
          <w:szCs w:val="24"/>
        </w:rPr>
      </w:pPr>
    </w:p>
    <w:p w:rsidR="00021566" w:rsidRDefault="007A730D" w:rsidP="008945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w:t>
      </w:r>
      <w:r w:rsidR="00793A62">
        <w:rPr>
          <w:rFonts w:ascii="Times New Roman" w:eastAsia="Times New Roman" w:hAnsi="Times New Roman" w:cs="Times New Roman"/>
          <w:sz w:val="24"/>
          <w:szCs w:val="24"/>
        </w:rPr>
        <w:t xml:space="preserve">ample frame includes all resident and non-resident anglers who purchased their fishing license in the 14-county Sacramento River area.  </w:t>
      </w:r>
      <w:r w:rsidR="00F228D4">
        <w:rPr>
          <w:rFonts w:ascii="Times New Roman" w:eastAsia="Times New Roman" w:hAnsi="Times New Roman" w:cs="Times New Roman"/>
          <w:sz w:val="24"/>
          <w:szCs w:val="24"/>
        </w:rPr>
        <w:t xml:space="preserve">The population of Sacramento River anglers </w:t>
      </w:r>
      <w:r w:rsidR="00894587">
        <w:rPr>
          <w:rFonts w:ascii="Times New Roman" w:eastAsia="Times New Roman" w:hAnsi="Times New Roman" w:cs="Times New Roman"/>
          <w:sz w:val="24"/>
          <w:szCs w:val="24"/>
        </w:rPr>
        <w:t>will be estimated by multiplying the proportion of angler</w:t>
      </w:r>
      <w:r w:rsidR="00963239">
        <w:rPr>
          <w:rFonts w:ascii="Times New Roman" w:eastAsia="Times New Roman" w:hAnsi="Times New Roman" w:cs="Times New Roman"/>
          <w:sz w:val="24"/>
          <w:szCs w:val="24"/>
        </w:rPr>
        <w:t>s in the sample frame who fish</w:t>
      </w:r>
      <w:r w:rsidR="003B5B07">
        <w:rPr>
          <w:rFonts w:ascii="Times New Roman" w:eastAsia="Times New Roman" w:hAnsi="Times New Roman" w:cs="Times New Roman"/>
          <w:sz w:val="24"/>
          <w:szCs w:val="24"/>
        </w:rPr>
        <w:t xml:space="preserve"> on the Sacramento River </w:t>
      </w:r>
      <w:r w:rsidR="00894587">
        <w:rPr>
          <w:rFonts w:ascii="Times New Roman" w:eastAsia="Times New Roman" w:hAnsi="Times New Roman" w:cs="Times New Roman"/>
          <w:sz w:val="24"/>
          <w:szCs w:val="24"/>
        </w:rPr>
        <w:t xml:space="preserve">(as estimated from the </w:t>
      </w:r>
      <w:r w:rsidR="00963239">
        <w:rPr>
          <w:rFonts w:ascii="Times New Roman" w:eastAsia="Times New Roman" w:hAnsi="Times New Roman" w:cs="Times New Roman"/>
          <w:sz w:val="24"/>
          <w:szCs w:val="24"/>
        </w:rPr>
        <w:t>tele</w:t>
      </w:r>
      <w:r w:rsidR="00894587">
        <w:rPr>
          <w:rFonts w:ascii="Times New Roman" w:eastAsia="Times New Roman" w:hAnsi="Times New Roman" w:cs="Times New Roman"/>
          <w:sz w:val="24"/>
          <w:szCs w:val="24"/>
        </w:rPr>
        <w:t xml:space="preserve">phone survey) by the </w:t>
      </w:r>
      <w:r w:rsidR="00D43149">
        <w:rPr>
          <w:rFonts w:ascii="Times New Roman" w:eastAsia="Times New Roman" w:hAnsi="Times New Roman" w:cs="Times New Roman"/>
          <w:sz w:val="24"/>
          <w:szCs w:val="24"/>
        </w:rPr>
        <w:t xml:space="preserve">number of anglers in the </w:t>
      </w:r>
      <w:r w:rsidR="00894587">
        <w:rPr>
          <w:rFonts w:ascii="Times New Roman" w:eastAsia="Times New Roman" w:hAnsi="Times New Roman" w:cs="Times New Roman"/>
          <w:sz w:val="24"/>
          <w:szCs w:val="24"/>
        </w:rPr>
        <w:t>frame.</w:t>
      </w:r>
    </w:p>
    <w:p w:rsidR="00021566" w:rsidRDefault="00021566" w:rsidP="008945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78315D" w:rsidRDefault="00B03C67" w:rsidP="008945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Mail s</w:t>
      </w:r>
      <w:r w:rsidR="0031287E" w:rsidRPr="0031287E">
        <w:rPr>
          <w:rFonts w:ascii="Times New Roman" w:eastAsia="Times New Roman" w:hAnsi="Times New Roman" w:cs="Times New Roman"/>
          <w:sz w:val="24"/>
          <w:szCs w:val="24"/>
        </w:rPr>
        <w:t>urvey data will be ana</w:t>
      </w:r>
      <w:r w:rsidR="00D962D5">
        <w:rPr>
          <w:rFonts w:ascii="Times New Roman" w:eastAsia="Times New Roman" w:hAnsi="Times New Roman" w:cs="Times New Roman"/>
          <w:sz w:val="24"/>
          <w:szCs w:val="24"/>
        </w:rPr>
        <w:t xml:space="preserve">lyzed </w:t>
      </w:r>
      <w:r w:rsidR="0031287E" w:rsidRPr="0031287E">
        <w:rPr>
          <w:rFonts w:ascii="Times New Roman" w:eastAsia="Times New Roman" w:hAnsi="Times New Roman" w:cs="Times New Roman"/>
          <w:sz w:val="24"/>
          <w:szCs w:val="24"/>
        </w:rPr>
        <w:t>using statistics such as means, s</w:t>
      </w:r>
      <w:r w:rsidR="00894587">
        <w:rPr>
          <w:rFonts w:ascii="Times New Roman" w:eastAsia="Times New Roman" w:hAnsi="Times New Roman" w:cs="Times New Roman"/>
          <w:sz w:val="24"/>
          <w:szCs w:val="24"/>
        </w:rPr>
        <w:t>tandard deviations, and ranges.</w:t>
      </w:r>
      <w:r w:rsidR="00021566">
        <w:rPr>
          <w:rFonts w:ascii="Times New Roman" w:eastAsia="Times New Roman" w:hAnsi="Times New Roman" w:cs="Times New Roman"/>
          <w:sz w:val="24"/>
          <w:szCs w:val="24"/>
        </w:rPr>
        <w:t xml:space="preserve"> </w:t>
      </w:r>
      <w:r w:rsidR="0078315D" w:rsidRPr="0078315D">
        <w:rPr>
          <w:rFonts w:ascii="Times New Roman" w:eastAsia="Times New Roman" w:hAnsi="Times New Roman" w:cs="Times New Roman"/>
          <w:sz w:val="24"/>
          <w:szCs w:val="24"/>
        </w:rPr>
        <w:t>Mail survey responses will be expanded to the population of Sacramento River anglers, based on the population estimate derived from the telephone survey.</w:t>
      </w:r>
    </w:p>
    <w:p w:rsidR="0078315D" w:rsidRDefault="0078315D" w:rsidP="008945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BF43D5" w:rsidRPr="00EE0C77" w:rsidRDefault="00021566" w:rsidP="008945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001F7CBB">
        <w:rPr>
          <w:rFonts w:ascii="Times New Roman" w:eastAsia="Times New Roman" w:hAnsi="Times New Roman" w:cs="Times New Roman"/>
          <w:sz w:val="24"/>
          <w:szCs w:val="24"/>
        </w:rPr>
        <w:t>fishing avidity (</w:t>
      </w:r>
      <w:r>
        <w:rPr>
          <w:rFonts w:ascii="Times New Roman" w:eastAsia="Times New Roman" w:hAnsi="Times New Roman" w:cs="Times New Roman"/>
          <w:sz w:val="24"/>
          <w:szCs w:val="24"/>
        </w:rPr>
        <w:t>number of angler days</w:t>
      </w:r>
      <w:r w:rsidR="001F7CBB">
        <w:rPr>
          <w:rFonts w:ascii="Times New Roman" w:eastAsia="Times New Roman" w:hAnsi="Times New Roman" w:cs="Times New Roman"/>
          <w:sz w:val="24"/>
          <w:szCs w:val="24"/>
        </w:rPr>
        <w:t xml:space="preserve"> on the Sacramento River </w:t>
      </w:r>
      <w:r>
        <w:rPr>
          <w:rFonts w:ascii="Times New Roman" w:eastAsia="Times New Roman" w:hAnsi="Times New Roman" w:cs="Times New Roman"/>
          <w:sz w:val="24"/>
          <w:szCs w:val="24"/>
        </w:rPr>
        <w:t>in the past year</w:t>
      </w:r>
      <w:r w:rsidR="001F7CBB">
        <w:rPr>
          <w:rFonts w:ascii="Times New Roman" w:eastAsia="Times New Roman" w:hAnsi="Times New Roman" w:cs="Times New Roman"/>
          <w:sz w:val="24"/>
          <w:szCs w:val="24"/>
        </w:rPr>
        <w:t>)</w:t>
      </w:r>
      <w:r w:rsidR="009E11E9">
        <w:rPr>
          <w:rFonts w:ascii="Times New Roman" w:eastAsia="Times New Roman" w:hAnsi="Times New Roman" w:cs="Times New Roman"/>
          <w:sz w:val="24"/>
          <w:szCs w:val="24"/>
        </w:rPr>
        <w:t xml:space="preserve"> </w:t>
      </w:r>
      <w:r w:rsidR="001F7CBB">
        <w:rPr>
          <w:rFonts w:ascii="Times New Roman" w:eastAsia="Times New Roman" w:hAnsi="Times New Roman" w:cs="Times New Roman"/>
          <w:sz w:val="24"/>
          <w:szCs w:val="24"/>
        </w:rPr>
        <w:t xml:space="preserve">differs significantly between </w:t>
      </w:r>
      <w:r w:rsidR="005F6D97">
        <w:rPr>
          <w:rFonts w:ascii="Times New Roman" w:eastAsia="Times New Roman" w:hAnsi="Times New Roman" w:cs="Times New Roman"/>
          <w:sz w:val="24"/>
          <w:szCs w:val="24"/>
        </w:rPr>
        <w:t xml:space="preserve">telephone survey respondents </w:t>
      </w:r>
      <w:r w:rsidR="001F7CBB">
        <w:rPr>
          <w:rFonts w:ascii="Times New Roman" w:eastAsia="Times New Roman" w:hAnsi="Times New Roman" w:cs="Times New Roman"/>
          <w:sz w:val="24"/>
          <w:szCs w:val="24"/>
        </w:rPr>
        <w:t xml:space="preserve">and the subset of </w:t>
      </w:r>
      <w:r w:rsidR="00CE5AB9">
        <w:rPr>
          <w:rFonts w:ascii="Times New Roman" w:eastAsia="Times New Roman" w:hAnsi="Times New Roman" w:cs="Times New Roman"/>
          <w:sz w:val="24"/>
          <w:szCs w:val="24"/>
        </w:rPr>
        <w:t>tele</w:t>
      </w:r>
      <w:r w:rsidR="005F6D97">
        <w:rPr>
          <w:rFonts w:ascii="Times New Roman" w:eastAsia="Times New Roman" w:hAnsi="Times New Roman" w:cs="Times New Roman"/>
          <w:sz w:val="24"/>
          <w:szCs w:val="24"/>
        </w:rPr>
        <w:t>phone respondents who complete the mail survey</w:t>
      </w:r>
      <w:r>
        <w:rPr>
          <w:rFonts w:ascii="Times New Roman" w:eastAsia="Times New Roman" w:hAnsi="Times New Roman" w:cs="Times New Roman"/>
          <w:sz w:val="24"/>
          <w:szCs w:val="24"/>
        </w:rPr>
        <w:t>, mail survey responses will be weighted as needed to correct for non-response bias</w:t>
      </w:r>
      <w:r w:rsidR="006E05AF">
        <w:rPr>
          <w:rFonts w:ascii="Times New Roman" w:eastAsia="Times New Roman" w:hAnsi="Times New Roman" w:cs="Times New Roman"/>
          <w:sz w:val="24"/>
          <w:szCs w:val="24"/>
        </w:rPr>
        <w:t>.</w:t>
      </w:r>
      <w:r w:rsidR="006B6EDC">
        <w:t xml:space="preserve">  </w:t>
      </w:r>
      <w:r w:rsidR="00EE0C77">
        <w:rPr>
          <w:rFonts w:ascii="Times New Roman" w:hAnsi="Times New Roman" w:cs="Times New Roman"/>
          <w:sz w:val="24"/>
          <w:szCs w:val="24"/>
        </w:rPr>
        <w:t>This is based on the expectation that more avid anglers</w:t>
      </w:r>
      <w:r w:rsidR="00CE5AB9">
        <w:rPr>
          <w:rFonts w:ascii="Times New Roman" w:hAnsi="Times New Roman" w:cs="Times New Roman"/>
          <w:sz w:val="24"/>
          <w:szCs w:val="24"/>
        </w:rPr>
        <w:t xml:space="preserve"> will be </w:t>
      </w:r>
      <w:r w:rsidR="00EE0C77" w:rsidRPr="00EE0C77">
        <w:rPr>
          <w:rFonts w:ascii="Times New Roman" w:hAnsi="Times New Roman" w:cs="Times New Roman"/>
          <w:sz w:val="24"/>
          <w:szCs w:val="24"/>
        </w:rPr>
        <w:t>more likely to return</w:t>
      </w:r>
      <w:r w:rsidR="00EE0C77">
        <w:rPr>
          <w:rFonts w:ascii="Times New Roman" w:hAnsi="Times New Roman" w:cs="Times New Roman"/>
          <w:sz w:val="24"/>
          <w:szCs w:val="24"/>
        </w:rPr>
        <w:t xml:space="preserve"> the mail survey than less avid anglers</w:t>
      </w:r>
      <w:r w:rsidR="006B6EDC">
        <w:rPr>
          <w:rFonts w:ascii="Times New Roman" w:hAnsi="Times New Roman" w:cs="Times New Roman"/>
          <w:sz w:val="24"/>
          <w:szCs w:val="24"/>
        </w:rPr>
        <w:t>.</w:t>
      </w:r>
    </w:p>
    <w:p w:rsidR="00C433CC" w:rsidRDefault="00C433CC"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95176A" w:rsidRPr="00BF43D5" w:rsidRDefault="00BF43D5"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i/>
          <w:color w:val="000000"/>
          <w:sz w:val="24"/>
          <w:szCs w:val="24"/>
        </w:rPr>
      </w:pPr>
      <w:r w:rsidRPr="00BF43D5">
        <w:rPr>
          <w:rFonts w:ascii="Times New Roman" w:eastAsia="Times New Roman" w:hAnsi="Times New Roman" w:cs="Times New Roman"/>
          <w:b/>
          <w:i/>
          <w:color w:val="000000"/>
          <w:sz w:val="24"/>
          <w:szCs w:val="24"/>
        </w:rPr>
        <w:t>Degree of accuracy - p</w:t>
      </w:r>
      <w:r w:rsidR="0095176A" w:rsidRPr="00BF43D5">
        <w:rPr>
          <w:rFonts w:ascii="Times New Roman" w:eastAsia="Times New Roman" w:hAnsi="Times New Roman" w:cs="Times New Roman"/>
          <w:b/>
          <w:i/>
          <w:color w:val="000000"/>
          <w:sz w:val="24"/>
          <w:szCs w:val="24"/>
        </w:rPr>
        <w:t>recision analysis</w:t>
      </w:r>
    </w:p>
    <w:p w:rsidR="00B91728" w:rsidRDefault="00B91728"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7F7696" w:rsidRDefault="00704DBF"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E6511A">
        <w:rPr>
          <w:rFonts w:ascii="Times New Roman" w:eastAsia="Times New Roman" w:hAnsi="Times New Roman" w:cs="Times New Roman"/>
          <w:color w:val="000000"/>
          <w:sz w:val="24"/>
          <w:szCs w:val="24"/>
        </w:rPr>
        <w:t xml:space="preserve">target sample size for the mail survey </w:t>
      </w:r>
      <w:r w:rsidR="00E97DA8">
        <w:rPr>
          <w:rFonts w:ascii="Times New Roman" w:eastAsia="Times New Roman" w:hAnsi="Times New Roman" w:cs="Times New Roman"/>
          <w:color w:val="000000"/>
          <w:sz w:val="24"/>
          <w:szCs w:val="24"/>
        </w:rPr>
        <w:t xml:space="preserve">(n=1500) </w:t>
      </w:r>
      <w:r w:rsidR="00E6511A">
        <w:rPr>
          <w:rFonts w:ascii="Times New Roman" w:eastAsia="Times New Roman" w:hAnsi="Times New Roman" w:cs="Times New Roman"/>
          <w:color w:val="000000"/>
          <w:sz w:val="24"/>
          <w:szCs w:val="24"/>
        </w:rPr>
        <w:t>is based on the level of precision</w:t>
      </w:r>
      <w:r w:rsidR="000552E8">
        <w:rPr>
          <w:rFonts w:ascii="Times New Roman" w:eastAsia="Times New Roman" w:hAnsi="Times New Roman" w:cs="Times New Roman"/>
          <w:color w:val="000000"/>
          <w:sz w:val="24"/>
          <w:szCs w:val="24"/>
        </w:rPr>
        <w:t xml:space="preserve"> desired for </w:t>
      </w:r>
      <w:r w:rsidR="00F8761D">
        <w:rPr>
          <w:rFonts w:ascii="Times New Roman" w:eastAsia="Times New Roman" w:hAnsi="Times New Roman" w:cs="Times New Roman"/>
          <w:color w:val="000000"/>
          <w:sz w:val="24"/>
          <w:szCs w:val="24"/>
        </w:rPr>
        <w:t xml:space="preserve">(1) </w:t>
      </w:r>
      <w:r w:rsidR="009D4B58">
        <w:rPr>
          <w:rFonts w:ascii="Times New Roman" w:eastAsia="Times New Roman" w:hAnsi="Times New Roman" w:cs="Times New Roman"/>
          <w:color w:val="000000"/>
          <w:sz w:val="24"/>
          <w:szCs w:val="24"/>
        </w:rPr>
        <w:t xml:space="preserve">the </w:t>
      </w:r>
      <w:r w:rsidR="00E57AB1">
        <w:rPr>
          <w:rFonts w:ascii="Times New Roman" w:eastAsia="Times New Roman" w:hAnsi="Times New Roman" w:cs="Times New Roman"/>
          <w:color w:val="000000"/>
          <w:sz w:val="24"/>
          <w:szCs w:val="24"/>
        </w:rPr>
        <w:t xml:space="preserve">responses </w:t>
      </w:r>
      <w:r w:rsidR="00F8761D">
        <w:rPr>
          <w:rFonts w:ascii="Times New Roman" w:eastAsia="Times New Roman" w:hAnsi="Times New Roman" w:cs="Times New Roman"/>
          <w:color w:val="000000"/>
          <w:sz w:val="24"/>
          <w:szCs w:val="24"/>
        </w:rPr>
        <w:t>to categorical questions, and (</w:t>
      </w:r>
      <w:r w:rsidR="00B74679">
        <w:rPr>
          <w:rFonts w:ascii="Times New Roman" w:eastAsia="Times New Roman" w:hAnsi="Times New Roman" w:cs="Times New Roman"/>
          <w:color w:val="000000"/>
          <w:sz w:val="24"/>
          <w:szCs w:val="24"/>
        </w:rPr>
        <w:t>2</w:t>
      </w:r>
      <w:r w:rsidR="00F8761D">
        <w:rPr>
          <w:rFonts w:ascii="Times New Roman" w:eastAsia="Times New Roman" w:hAnsi="Times New Roman" w:cs="Times New Roman"/>
          <w:color w:val="000000"/>
          <w:sz w:val="24"/>
          <w:szCs w:val="24"/>
        </w:rPr>
        <w:t xml:space="preserve">) </w:t>
      </w:r>
      <w:r w:rsidR="00B74679">
        <w:rPr>
          <w:rFonts w:ascii="Times New Roman" w:eastAsia="Times New Roman" w:hAnsi="Times New Roman" w:cs="Times New Roman"/>
          <w:color w:val="000000"/>
          <w:sz w:val="24"/>
          <w:szCs w:val="24"/>
        </w:rPr>
        <w:t xml:space="preserve">the </w:t>
      </w:r>
      <w:r w:rsidR="00F8761D">
        <w:rPr>
          <w:rFonts w:ascii="Times New Roman" w:eastAsia="Times New Roman" w:hAnsi="Times New Roman" w:cs="Times New Roman"/>
          <w:color w:val="000000"/>
          <w:sz w:val="24"/>
          <w:szCs w:val="24"/>
        </w:rPr>
        <w:t>trip expenditure</w:t>
      </w:r>
      <w:r w:rsidR="00B74679">
        <w:rPr>
          <w:rFonts w:ascii="Times New Roman" w:eastAsia="Times New Roman" w:hAnsi="Times New Roman" w:cs="Times New Roman"/>
          <w:color w:val="000000"/>
          <w:sz w:val="24"/>
          <w:szCs w:val="24"/>
        </w:rPr>
        <w:t xml:space="preserve"> estimate</w:t>
      </w:r>
      <w:r w:rsidR="007F7696">
        <w:rPr>
          <w:rFonts w:ascii="Times New Roman" w:eastAsia="Times New Roman" w:hAnsi="Times New Roman" w:cs="Times New Roman"/>
          <w:color w:val="000000"/>
          <w:sz w:val="24"/>
          <w:szCs w:val="24"/>
        </w:rPr>
        <w:t>.</w:t>
      </w:r>
    </w:p>
    <w:p w:rsidR="00634EA7" w:rsidRDefault="00634EA7"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B63627" w:rsidRPr="00B63627" w:rsidRDefault="00B63627" w:rsidP="00E53C5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color w:val="000000"/>
          <w:sz w:val="24"/>
          <w:szCs w:val="24"/>
          <w:u w:val="single"/>
        </w:rPr>
      </w:pPr>
      <w:r w:rsidRPr="00B63627">
        <w:rPr>
          <w:color w:val="000000"/>
          <w:sz w:val="24"/>
          <w:szCs w:val="24"/>
          <w:u w:val="single"/>
        </w:rPr>
        <w:t>Categorical responses</w:t>
      </w:r>
    </w:p>
    <w:p w:rsidR="00B63627" w:rsidRDefault="00B63627" w:rsidP="00B636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color w:val="000000"/>
          <w:sz w:val="24"/>
          <w:szCs w:val="24"/>
        </w:rPr>
      </w:pPr>
    </w:p>
    <w:p w:rsidR="00DF1D6D" w:rsidRDefault="00DC615E" w:rsidP="00734EA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rPr>
          <w:color w:val="000000"/>
          <w:sz w:val="24"/>
          <w:szCs w:val="24"/>
        </w:rPr>
      </w:pPr>
      <w:r>
        <w:rPr>
          <w:color w:val="000000"/>
          <w:sz w:val="24"/>
          <w:szCs w:val="24"/>
        </w:rPr>
        <w:t xml:space="preserve">The vast majority of questions in the mail survey are categorical in nature – i.e., require the angler to ‘check off’ one </w:t>
      </w:r>
      <w:r w:rsidR="00724324">
        <w:rPr>
          <w:color w:val="000000"/>
          <w:sz w:val="24"/>
          <w:szCs w:val="24"/>
        </w:rPr>
        <w:t xml:space="preserve">or more </w:t>
      </w:r>
      <w:r w:rsidR="009D4B58">
        <w:rPr>
          <w:color w:val="000000"/>
          <w:sz w:val="24"/>
          <w:szCs w:val="24"/>
        </w:rPr>
        <w:t xml:space="preserve">of the </w:t>
      </w:r>
      <w:r w:rsidR="00724324">
        <w:rPr>
          <w:color w:val="000000"/>
          <w:sz w:val="24"/>
          <w:szCs w:val="24"/>
        </w:rPr>
        <w:t xml:space="preserve">alternative </w:t>
      </w:r>
      <w:r>
        <w:rPr>
          <w:color w:val="000000"/>
          <w:sz w:val="24"/>
          <w:szCs w:val="24"/>
        </w:rPr>
        <w:t xml:space="preserve">responses provided rather than enter a number.  </w:t>
      </w:r>
      <w:r w:rsidR="00D86A06">
        <w:rPr>
          <w:color w:val="000000"/>
          <w:sz w:val="24"/>
          <w:szCs w:val="24"/>
        </w:rPr>
        <w:t>Given the diversity of these qu</w:t>
      </w:r>
      <w:r w:rsidR="00F04487">
        <w:rPr>
          <w:color w:val="000000"/>
          <w:sz w:val="24"/>
          <w:szCs w:val="24"/>
        </w:rPr>
        <w:t xml:space="preserve">estions and limited prior knowledge regarding how anglers </w:t>
      </w:r>
      <w:r w:rsidR="00E35CD9">
        <w:rPr>
          <w:color w:val="000000"/>
          <w:sz w:val="24"/>
          <w:szCs w:val="24"/>
        </w:rPr>
        <w:t>will</w:t>
      </w:r>
      <w:r w:rsidR="00F04487">
        <w:rPr>
          <w:color w:val="000000"/>
          <w:sz w:val="24"/>
          <w:szCs w:val="24"/>
        </w:rPr>
        <w:t xml:space="preserve"> respond to them</w:t>
      </w:r>
      <w:r w:rsidR="00D86A06">
        <w:rPr>
          <w:color w:val="000000"/>
          <w:sz w:val="24"/>
          <w:szCs w:val="24"/>
        </w:rPr>
        <w:t xml:space="preserve">, sample size </w:t>
      </w:r>
      <w:r w:rsidR="00B63627">
        <w:rPr>
          <w:color w:val="000000"/>
          <w:sz w:val="24"/>
          <w:szCs w:val="24"/>
        </w:rPr>
        <w:t>determination</w:t>
      </w:r>
      <w:r w:rsidR="00E35CD9">
        <w:rPr>
          <w:color w:val="000000"/>
          <w:sz w:val="24"/>
          <w:szCs w:val="24"/>
        </w:rPr>
        <w:t xml:space="preserve">s </w:t>
      </w:r>
      <w:r w:rsidR="00724324">
        <w:rPr>
          <w:color w:val="000000"/>
          <w:sz w:val="24"/>
          <w:szCs w:val="24"/>
        </w:rPr>
        <w:t xml:space="preserve">for categorical questions were </w:t>
      </w:r>
      <w:r w:rsidR="00D86A06">
        <w:rPr>
          <w:color w:val="000000"/>
          <w:sz w:val="24"/>
          <w:szCs w:val="24"/>
        </w:rPr>
        <w:t xml:space="preserve">based on a wide range of </w:t>
      </w:r>
      <w:r w:rsidR="00E35CD9">
        <w:rPr>
          <w:color w:val="000000"/>
          <w:sz w:val="24"/>
          <w:szCs w:val="24"/>
        </w:rPr>
        <w:t xml:space="preserve">possible </w:t>
      </w:r>
      <w:r w:rsidR="00D86A06">
        <w:rPr>
          <w:color w:val="000000"/>
          <w:sz w:val="24"/>
          <w:szCs w:val="24"/>
        </w:rPr>
        <w:t>outcomes</w:t>
      </w:r>
      <w:r w:rsidR="00E35CD9">
        <w:rPr>
          <w:color w:val="000000"/>
          <w:sz w:val="24"/>
          <w:szCs w:val="24"/>
        </w:rPr>
        <w:t xml:space="preserve"> regarding the proportion of anglers </w:t>
      </w:r>
      <w:r w:rsidR="004463A2">
        <w:rPr>
          <w:color w:val="000000"/>
          <w:sz w:val="24"/>
          <w:szCs w:val="24"/>
        </w:rPr>
        <w:t xml:space="preserve">who ‘check off’ </w:t>
      </w:r>
      <w:r w:rsidR="00685582">
        <w:rPr>
          <w:color w:val="000000"/>
          <w:sz w:val="24"/>
          <w:szCs w:val="24"/>
        </w:rPr>
        <w:t xml:space="preserve">a </w:t>
      </w:r>
      <w:r w:rsidR="004463A2">
        <w:rPr>
          <w:color w:val="000000"/>
          <w:sz w:val="24"/>
          <w:szCs w:val="24"/>
        </w:rPr>
        <w:t xml:space="preserve">particular </w:t>
      </w:r>
      <w:r w:rsidR="006E1AF3">
        <w:rPr>
          <w:color w:val="000000"/>
          <w:sz w:val="24"/>
          <w:szCs w:val="24"/>
        </w:rPr>
        <w:t xml:space="preserve">response to </w:t>
      </w:r>
      <w:r w:rsidR="009D4B58">
        <w:rPr>
          <w:color w:val="000000"/>
          <w:sz w:val="24"/>
          <w:szCs w:val="24"/>
        </w:rPr>
        <w:t xml:space="preserve">a </w:t>
      </w:r>
      <w:r w:rsidR="000B455E">
        <w:rPr>
          <w:color w:val="000000"/>
          <w:sz w:val="24"/>
          <w:szCs w:val="24"/>
        </w:rPr>
        <w:t>question</w:t>
      </w:r>
      <w:r w:rsidR="00F04487">
        <w:rPr>
          <w:color w:val="000000"/>
          <w:sz w:val="24"/>
          <w:szCs w:val="24"/>
        </w:rPr>
        <w:t xml:space="preserve">. </w:t>
      </w:r>
      <w:r w:rsidR="00CE25E1">
        <w:rPr>
          <w:color w:val="000000"/>
          <w:sz w:val="24"/>
          <w:szCs w:val="24"/>
        </w:rPr>
        <w:t xml:space="preserve"> </w:t>
      </w:r>
      <w:r w:rsidR="00F24097">
        <w:rPr>
          <w:color w:val="000000"/>
          <w:sz w:val="24"/>
          <w:szCs w:val="24"/>
        </w:rPr>
        <w:t xml:space="preserve">For purposes of this survey, a margin of error of </w:t>
      </w:r>
      <w:r w:rsidR="00F24097" w:rsidRPr="00EB7BB2">
        <w:rPr>
          <w:color w:val="000000"/>
          <w:sz w:val="24"/>
          <w:szCs w:val="24"/>
        </w:rPr>
        <w:t>±10%</w:t>
      </w:r>
      <w:r w:rsidR="00477F8D">
        <w:rPr>
          <w:color w:val="000000"/>
          <w:sz w:val="24"/>
          <w:szCs w:val="24"/>
        </w:rPr>
        <w:t xml:space="preserve"> to </w:t>
      </w:r>
      <w:r w:rsidR="00F24097" w:rsidRPr="00215EC5">
        <w:rPr>
          <w:color w:val="000000"/>
          <w:sz w:val="24"/>
          <w:szCs w:val="24"/>
        </w:rPr>
        <w:t>±20</w:t>
      </w:r>
      <w:r w:rsidR="00F24097">
        <w:rPr>
          <w:color w:val="000000"/>
          <w:sz w:val="24"/>
          <w:szCs w:val="24"/>
        </w:rPr>
        <w:t xml:space="preserve">% was deemed acceptable for estimating proportions.  </w:t>
      </w:r>
      <w:r w:rsidR="006825CF">
        <w:rPr>
          <w:color w:val="000000"/>
          <w:sz w:val="24"/>
          <w:szCs w:val="24"/>
        </w:rPr>
        <w:t xml:space="preserve">Table B-2 </w:t>
      </w:r>
      <w:r w:rsidR="0038287E">
        <w:rPr>
          <w:color w:val="000000"/>
          <w:sz w:val="24"/>
          <w:szCs w:val="24"/>
        </w:rPr>
        <w:t>illustrates</w:t>
      </w:r>
      <w:r w:rsidR="006825CF">
        <w:rPr>
          <w:color w:val="000000"/>
          <w:sz w:val="24"/>
          <w:szCs w:val="24"/>
        </w:rPr>
        <w:t xml:space="preserve"> </w:t>
      </w:r>
      <w:r w:rsidR="0038287E">
        <w:rPr>
          <w:color w:val="000000"/>
          <w:sz w:val="24"/>
          <w:szCs w:val="24"/>
        </w:rPr>
        <w:t xml:space="preserve">what </w:t>
      </w:r>
      <w:r w:rsidR="00C61213">
        <w:rPr>
          <w:color w:val="000000"/>
          <w:sz w:val="24"/>
          <w:szCs w:val="24"/>
        </w:rPr>
        <w:t xml:space="preserve">several </w:t>
      </w:r>
      <w:r w:rsidR="006825CF">
        <w:rPr>
          <w:color w:val="000000"/>
          <w:sz w:val="24"/>
          <w:szCs w:val="24"/>
        </w:rPr>
        <w:t xml:space="preserve">margins of error </w:t>
      </w:r>
      <w:r w:rsidR="00C61213">
        <w:rPr>
          <w:color w:val="000000"/>
          <w:sz w:val="24"/>
          <w:szCs w:val="24"/>
        </w:rPr>
        <w:t xml:space="preserve">within this range </w:t>
      </w:r>
      <w:r w:rsidR="006825CF">
        <w:rPr>
          <w:color w:val="000000"/>
          <w:sz w:val="24"/>
          <w:szCs w:val="24"/>
        </w:rPr>
        <w:t>(</w:t>
      </w:r>
      <w:r w:rsidR="0038287E" w:rsidRPr="00EB7BB2">
        <w:rPr>
          <w:color w:val="000000"/>
          <w:sz w:val="24"/>
          <w:szCs w:val="24"/>
        </w:rPr>
        <w:t>±</w:t>
      </w:r>
      <w:r w:rsidR="006825CF">
        <w:rPr>
          <w:color w:val="000000"/>
          <w:sz w:val="24"/>
          <w:szCs w:val="24"/>
        </w:rPr>
        <w:t xml:space="preserve">10%, </w:t>
      </w:r>
      <w:r w:rsidR="0038287E" w:rsidRPr="00EB7BB2">
        <w:rPr>
          <w:color w:val="000000"/>
          <w:sz w:val="24"/>
          <w:szCs w:val="24"/>
        </w:rPr>
        <w:t>±</w:t>
      </w:r>
      <w:r w:rsidR="0038287E">
        <w:rPr>
          <w:color w:val="000000"/>
          <w:sz w:val="24"/>
          <w:szCs w:val="24"/>
        </w:rPr>
        <w:t xml:space="preserve">15%, </w:t>
      </w:r>
      <w:r w:rsidR="0038287E" w:rsidRPr="00EB7BB2">
        <w:rPr>
          <w:color w:val="000000"/>
          <w:sz w:val="24"/>
          <w:szCs w:val="24"/>
        </w:rPr>
        <w:t>±</w:t>
      </w:r>
      <w:r w:rsidR="006825CF">
        <w:rPr>
          <w:color w:val="000000"/>
          <w:sz w:val="24"/>
          <w:szCs w:val="24"/>
        </w:rPr>
        <w:t>20%</w:t>
      </w:r>
      <w:r w:rsidR="0038287E">
        <w:rPr>
          <w:color w:val="000000"/>
          <w:sz w:val="24"/>
          <w:szCs w:val="24"/>
        </w:rPr>
        <w:t>) imply</w:t>
      </w:r>
      <w:r w:rsidR="006825CF">
        <w:rPr>
          <w:color w:val="000000"/>
          <w:sz w:val="24"/>
          <w:szCs w:val="24"/>
        </w:rPr>
        <w:t xml:space="preserve"> </w:t>
      </w:r>
      <w:r w:rsidR="00F24097">
        <w:rPr>
          <w:color w:val="000000"/>
          <w:sz w:val="24"/>
          <w:szCs w:val="24"/>
        </w:rPr>
        <w:t xml:space="preserve">for a wide range of </w:t>
      </w:r>
      <w:r w:rsidR="006825CF">
        <w:rPr>
          <w:color w:val="000000"/>
          <w:sz w:val="24"/>
          <w:szCs w:val="24"/>
        </w:rPr>
        <w:t>proportions 0.10≤</w:t>
      </w:r>
      <w:r w:rsidR="006825CF" w:rsidRPr="00F563D5">
        <w:rPr>
          <w:color w:val="000000"/>
          <w:sz w:val="24"/>
          <w:szCs w:val="24"/>
        </w:rPr>
        <w:t>ρ</w:t>
      </w:r>
      <w:r w:rsidR="006825CF">
        <w:rPr>
          <w:color w:val="000000"/>
          <w:sz w:val="24"/>
          <w:szCs w:val="24"/>
        </w:rPr>
        <w:t>≤0.90.</w:t>
      </w:r>
    </w:p>
    <w:p w:rsidR="002C2BC4" w:rsidRDefault="002C2BC4"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2718"/>
        <w:gridCol w:w="1710"/>
        <w:gridCol w:w="1440"/>
        <w:gridCol w:w="1800"/>
      </w:tblGrid>
      <w:tr w:rsidR="00C46C63" w:rsidTr="0069461D">
        <w:trPr>
          <w:jc w:val="center"/>
        </w:trPr>
        <w:tc>
          <w:tcPr>
            <w:tcW w:w="7668" w:type="dxa"/>
            <w:gridSpan w:val="4"/>
            <w:shd w:val="clear" w:color="auto" w:fill="D9D9D9" w:themeFill="background1" w:themeFillShade="D9"/>
            <w:vAlign w:val="center"/>
          </w:tcPr>
          <w:p w:rsidR="00C46C63" w:rsidRPr="0069461D" w:rsidRDefault="00F83B12"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69461D">
              <w:rPr>
                <w:color w:val="000000"/>
              </w:rPr>
              <w:t>Table</w:t>
            </w:r>
            <w:r w:rsidR="00DF1D6D" w:rsidRPr="0069461D">
              <w:rPr>
                <w:color w:val="000000"/>
              </w:rPr>
              <w:t xml:space="preserve"> B-2</w:t>
            </w:r>
            <w:r w:rsidR="0044574F" w:rsidRPr="0069461D">
              <w:rPr>
                <w:color w:val="000000"/>
              </w:rPr>
              <w:t>.</w:t>
            </w:r>
            <w:r w:rsidR="004F24F4" w:rsidRPr="0069461D">
              <w:rPr>
                <w:color w:val="000000"/>
              </w:rPr>
              <w:t xml:space="preserve"> </w:t>
            </w:r>
            <w:r w:rsidR="00DF1D6D" w:rsidRPr="0069461D">
              <w:rPr>
                <w:color w:val="000000"/>
              </w:rPr>
              <w:t xml:space="preserve"> </w:t>
            </w:r>
            <w:r w:rsidR="00024702" w:rsidRPr="0069461D">
              <w:rPr>
                <w:color w:val="000000"/>
              </w:rPr>
              <w:t>M</w:t>
            </w:r>
            <w:r w:rsidR="00E331C6" w:rsidRPr="0069461D">
              <w:rPr>
                <w:color w:val="000000"/>
              </w:rPr>
              <w:t>argin</w:t>
            </w:r>
            <w:r w:rsidR="00DF1D6D" w:rsidRPr="0069461D">
              <w:rPr>
                <w:color w:val="000000"/>
              </w:rPr>
              <w:t>s</w:t>
            </w:r>
            <w:r w:rsidR="00E331C6" w:rsidRPr="0069461D">
              <w:rPr>
                <w:color w:val="000000"/>
              </w:rPr>
              <w:t xml:space="preserve"> of error</w:t>
            </w:r>
            <w:r w:rsidR="00DF1D6D" w:rsidRPr="0069461D">
              <w:rPr>
                <w:color w:val="000000"/>
              </w:rPr>
              <w:t xml:space="preserve"> for </w:t>
            </w:r>
            <w:r w:rsidR="005C19FB" w:rsidRPr="0069461D">
              <w:rPr>
                <w:color w:val="000000"/>
              </w:rPr>
              <w:t>0.10≤ρ≤0.90</w:t>
            </w:r>
            <w:r w:rsidR="00DF1D6D" w:rsidRPr="0069461D">
              <w:rPr>
                <w:color w:val="000000"/>
              </w:rPr>
              <w:t xml:space="preserve">, </w:t>
            </w:r>
            <w:r w:rsidR="00E331C6" w:rsidRPr="0069461D">
              <w:rPr>
                <w:color w:val="000000"/>
              </w:rPr>
              <w:t xml:space="preserve">calculated </w:t>
            </w:r>
            <w:r w:rsidR="001C1AF2" w:rsidRPr="0069461D">
              <w:rPr>
                <w:color w:val="000000"/>
              </w:rPr>
              <w:t xml:space="preserve">as 10%, 15% and 20% of </w:t>
            </w:r>
            <w:r w:rsidR="00A302CF" w:rsidRPr="0069461D">
              <w:rPr>
                <w:color w:val="000000"/>
              </w:rPr>
              <w:t>ρ</w:t>
            </w:r>
          </w:p>
        </w:tc>
      </w:tr>
      <w:tr w:rsidR="00F83B12" w:rsidTr="006B6EDC">
        <w:trPr>
          <w:jc w:val="center"/>
        </w:trPr>
        <w:tc>
          <w:tcPr>
            <w:tcW w:w="2718" w:type="dxa"/>
            <w:vMerge w:val="restart"/>
            <w:vAlign w:val="center"/>
          </w:tcPr>
          <w:p w:rsidR="00F83B12" w:rsidRPr="0069461D" w:rsidRDefault="0015574E"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69461D">
              <w:rPr>
                <w:i/>
                <w:color w:val="000000"/>
              </w:rPr>
              <w:t>Proportion (</w:t>
            </w:r>
            <w:r w:rsidR="00024702" w:rsidRPr="0069461D">
              <w:rPr>
                <w:i/>
                <w:color w:val="000000"/>
              </w:rPr>
              <w:t>ρ</w:t>
            </w:r>
            <w:r w:rsidRPr="0069461D">
              <w:rPr>
                <w:i/>
                <w:color w:val="000000"/>
              </w:rPr>
              <w:t>)</w:t>
            </w:r>
          </w:p>
        </w:tc>
        <w:tc>
          <w:tcPr>
            <w:tcW w:w="4950" w:type="dxa"/>
            <w:gridSpan w:val="3"/>
            <w:vAlign w:val="center"/>
          </w:tcPr>
          <w:p w:rsidR="00F83B12" w:rsidRPr="0069461D" w:rsidRDefault="00CC6E29"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69461D">
              <w:rPr>
                <w:i/>
                <w:color w:val="000000"/>
              </w:rPr>
              <w:t>Margin of erro</w:t>
            </w:r>
            <w:r w:rsidR="0015574E" w:rsidRPr="0069461D">
              <w:rPr>
                <w:i/>
                <w:color w:val="000000"/>
              </w:rPr>
              <w:t>r (m)</w:t>
            </w:r>
            <w:r w:rsidR="0015574E" w:rsidRPr="0069461D">
              <w:rPr>
                <w:i/>
                <w:color w:val="000000"/>
                <w:vertAlign w:val="superscript"/>
              </w:rPr>
              <w:t xml:space="preserve"> </w:t>
            </w:r>
            <w:r w:rsidR="00702A29" w:rsidRPr="0069461D">
              <w:rPr>
                <w:i/>
                <w:color w:val="000000"/>
                <w:vertAlign w:val="superscript"/>
              </w:rPr>
              <w:t>1</w:t>
            </w:r>
          </w:p>
        </w:tc>
      </w:tr>
      <w:tr w:rsidR="00CC187D" w:rsidRPr="00C46C63" w:rsidTr="006B6EDC">
        <w:trPr>
          <w:trHeight w:val="300"/>
          <w:jc w:val="center"/>
        </w:trPr>
        <w:tc>
          <w:tcPr>
            <w:tcW w:w="2718" w:type="dxa"/>
            <w:vMerge/>
            <w:noWrap/>
            <w:hideMark/>
          </w:tcPr>
          <w:p w:rsidR="00F83B12" w:rsidRPr="0069461D" w:rsidRDefault="00F83B12" w:rsidP="00C46C63">
            <w:pPr>
              <w:rPr>
                <w:i/>
                <w:color w:val="000000"/>
              </w:rPr>
            </w:pPr>
          </w:p>
        </w:tc>
        <w:tc>
          <w:tcPr>
            <w:tcW w:w="1710" w:type="dxa"/>
            <w:noWrap/>
            <w:vAlign w:val="center"/>
            <w:hideMark/>
          </w:tcPr>
          <w:p w:rsidR="00F83B12" w:rsidRPr="0069461D" w:rsidRDefault="00477F8D" w:rsidP="006B6EDC">
            <w:pPr>
              <w:jc w:val="center"/>
              <w:rPr>
                <w:i/>
                <w:color w:val="000000"/>
              </w:rPr>
            </w:pPr>
            <w:r w:rsidRPr="0069461D">
              <w:rPr>
                <w:i/>
                <w:color w:val="000000"/>
              </w:rPr>
              <w:t>±</w:t>
            </w:r>
            <w:r w:rsidR="00F83B12" w:rsidRPr="0069461D">
              <w:rPr>
                <w:i/>
                <w:color w:val="000000"/>
              </w:rPr>
              <w:t>10%</w:t>
            </w:r>
          </w:p>
        </w:tc>
        <w:tc>
          <w:tcPr>
            <w:tcW w:w="1440" w:type="dxa"/>
            <w:noWrap/>
            <w:vAlign w:val="center"/>
            <w:hideMark/>
          </w:tcPr>
          <w:p w:rsidR="00F83B12" w:rsidRPr="0069461D" w:rsidRDefault="00477F8D" w:rsidP="006B6EDC">
            <w:pPr>
              <w:jc w:val="center"/>
              <w:rPr>
                <w:i/>
                <w:color w:val="000000"/>
              </w:rPr>
            </w:pPr>
            <w:r w:rsidRPr="0069461D">
              <w:rPr>
                <w:i/>
                <w:color w:val="000000"/>
              </w:rPr>
              <w:t>±</w:t>
            </w:r>
            <w:r w:rsidR="00F83B12" w:rsidRPr="0069461D">
              <w:rPr>
                <w:i/>
                <w:color w:val="000000"/>
              </w:rPr>
              <w:t>15%</w:t>
            </w:r>
          </w:p>
        </w:tc>
        <w:tc>
          <w:tcPr>
            <w:tcW w:w="1800" w:type="dxa"/>
            <w:noWrap/>
            <w:vAlign w:val="center"/>
            <w:hideMark/>
          </w:tcPr>
          <w:p w:rsidR="00F83B12" w:rsidRPr="0069461D" w:rsidRDefault="00477F8D" w:rsidP="006B6EDC">
            <w:pPr>
              <w:jc w:val="center"/>
              <w:rPr>
                <w:i/>
                <w:color w:val="000000"/>
              </w:rPr>
            </w:pPr>
            <w:r w:rsidRPr="0069461D">
              <w:rPr>
                <w:i/>
                <w:color w:val="000000"/>
              </w:rPr>
              <w:t>±</w:t>
            </w:r>
            <w:r w:rsidR="00F83B12" w:rsidRPr="0069461D">
              <w:rPr>
                <w:i/>
                <w:color w:val="000000"/>
              </w:rPr>
              <w:t>20%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0.10</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0.0100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0.0150</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0.0200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0.15</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0.0150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0.0225</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0.0300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0.20</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0.0200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0.0300</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0.0400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0.25</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0.0250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0.0375</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0.0500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0.30</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0.0300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0.0450</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0.0600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0.35</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0.0350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0.0525</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0.0700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0.40</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0.0400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0.0600</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0.0800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0.45</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0.0450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0.0675</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0.0900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0.50</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0.0500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0.0750</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0.1000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lastRenderedPageBreak/>
              <w:t>0.55</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0.0550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0.0825</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0.1100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0.60</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0.0600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0.0900</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0.1200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0.65</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0.0650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0.0975</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0.1300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0.70</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0.0700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0.1050</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0.1400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0.75</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0.0750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0.1125</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0.1500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0.80</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0.0800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0.1200</w:t>
            </w:r>
          </w:p>
        </w:tc>
        <w:tc>
          <w:tcPr>
            <w:tcW w:w="180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0.1600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0.85</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0.0850</w:t>
            </w:r>
          </w:p>
        </w:tc>
        <w:tc>
          <w:tcPr>
            <w:tcW w:w="144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0.1275</w:t>
            </w:r>
          </w:p>
        </w:tc>
        <w:tc>
          <w:tcPr>
            <w:tcW w:w="1800" w:type="dxa"/>
            <w:noWrap/>
            <w:vAlign w:val="center"/>
          </w:tcPr>
          <w:p w:rsidR="00C46C63" w:rsidRPr="0069461D" w:rsidRDefault="002A12F7" w:rsidP="006B6EDC">
            <w:pPr>
              <w:jc w:val="center"/>
              <w:rPr>
                <w:color w:val="000000"/>
              </w:rPr>
            </w:pPr>
            <w:r w:rsidRPr="0069461D">
              <w:rPr>
                <w:color w:val="000000"/>
              </w:rPr>
              <w:t>±</w:t>
            </w:r>
            <w:r w:rsidRPr="0069461D">
              <w:rPr>
                <w:bCs/>
                <w:color w:val="000000"/>
              </w:rPr>
              <w:t>0.1700</w:t>
            </w:r>
          </w:p>
        </w:tc>
      </w:tr>
      <w:tr w:rsidR="00702A29" w:rsidRPr="00C46C63" w:rsidTr="006B6EDC">
        <w:trPr>
          <w:trHeight w:val="300"/>
          <w:jc w:val="center"/>
        </w:trPr>
        <w:tc>
          <w:tcPr>
            <w:tcW w:w="2718" w:type="dxa"/>
            <w:noWrap/>
            <w:vAlign w:val="center"/>
            <w:hideMark/>
          </w:tcPr>
          <w:p w:rsidR="00C46C63" w:rsidRPr="0069461D" w:rsidRDefault="00C46C63" w:rsidP="006B6EDC">
            <w:pPr>
              <w:jc w:val="center"/>
              <w:rPr>
                <w:color w:val="000000"/>
              </w:rPr>
            </w:pPr>
            <w:r w:rsidRPr="0069461D">
              <w:rPr>
                <w:color w:val="000000"/>
              </w:rPr>
              <w:t>0.90</w:t>
            </w:r>
          </w:p>
        </w:tc>
        <w:tc>
          <w:tcPr>
            <w:tcW w:w="1710" w:type="dxa"/>
            <w:noWrap/>
            <w:vAlign w:val="center"/>
            <w:hideMark/>
          </w:tcPr>
          <w:p w:rsidR="00C46C63" w:rsidRPr="0069461D" w:rsidRDefault="00467EBB" w:rsidP="006B6EDC">
            <w:pPr>
              <w:jc w:val="center"/>
              <w:rPr>
                <w:bCs/>
                <w:color w:val="000000"/>
              </w:rPr>
            </w:pPr>
            <w:r w:rsidRPr="0069461D">
              <w:rPr>
                <w:color w:val="000000"/>
              </w:rPr>
              <w:t>±</w:t>
            </w:r>
            <w:r w:rsidR="00C46C63" w:rsidRPr="0069461D">
              <w:rPr>
                <w:bCs/>
                <w:color w:val="000000"/>
              </w:rPr>
              <w:t>0.0900</w:t>
            </w:r>
          </w:p>
        </w:tc>
        <w:tc>
          <w:tcPr>
            <w:tcW w:w="1440" w:type="dxa"/>
            <w:noWrap/>
            <w:vAlign w:val="center"/>
            <w:hideMark/>
          </w:tcPr>
          <w:p w:rsidR="00C46C63" w:rsidRPr="0069461D" w:rsidRDefault="002A12F7" w:rsidP="006B6EDC">
            <w:pPr>
              <w:jc w:val="center"/>
              <w:rPr>
                <w:color w:val="000000"/>
              </w:rPr>
            </w:pPr>
            <w:r w:rsidRPr="0069461D">
              <w:rPr>
                <w:color w:val="000000"/>
              </w:rPr>
              <w:t>±</w:t>
            </w:r>
            <w:r w:rsidRPr="0069461D">
              <w:rPr>
                <w:bCs/>
                <w:color w:val="000000"/>
              </w:rPr>
              <w:t>0.1350</w:t>
            </w:r>
          </w:p>
        </w:tc>
        <w:tc>
          <w:tcPr>
            <w:tcW w:w="1800" w:type="dxa"/>
            <w:noWrap/>
            <w:vAlign w:val="center"/>
          </w:tcPr>
          <w:p w:rsidR="00C46C63" w:rsidRPr="0069461D" w:rsidRDefault="002A12F7" w:rsidP="006B6EDC">
            <w:pPr>
              <w:jc w:val="center"/>
              <w:rPr>
                <w:color w:val="000000"/>
              </w:rPr>
            </w:pPr>
            <w:r w:rsidRPr="0069461D">
              <w:rPr>
                <w:color w:val="000000"/>
              </w:rPr>
              <w:t>±</w:t>
            </w:r>
            <w:r w:rsidRPr="0069461D">
              <w:rPr>
                <w:bCs/>
                <w:color w:val="000000"/>
              </w:rPr>
              <w:t>0.1800</w:t>
            </w:r>
          </w:p>
        </w:tc>
      </w:tr>
      <w:tr w:rsidR="00F83B12" w:rsidTr="006B6EDC">
        <w:trPr>
          <w:jc w:val="center"/>
        </w:trPr>
        <w:tc>
          <w:tcPr>
            <w:tcW w:w="7668" w:type="dxa"/>
            <w:gridSpan w:val="4"/>
            <w:vAlign w:val="center"/>
          </w:tcPr>
          <w:p w:rsidR="00F563D5" w:rsidRPr="00884743" w:rsidRDefault="00F83B12" w:rsidP="0024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16"/>
                <w:szCs w:val="16"/>
              </w:rPr>
            </w:pPr>
            <w:r w:rsidRPr="00884743">
              <w:rPr>
                <w:color w:val="000000"/>
                <w:sz w:val="16"/>
                <w:szCs w:val="16"/>
                <w:vertAlign w:val="superscript"/>
              </w:rPr>
              <w:t>1</w:t>
            </w:r>
            <w:r w:rsidR="00702A29" w:rsidRPr="00884743">
              <w:rPr>
                <w:color w:val="000000"/>
                <w:sz w:val="16"/>
                <w:szCs w:val="16"/>
              </w:rPr>
              <w:t>M</w:t>
            </w:r>
            <w:r w:rsidR="0044574F" w:rsidRPr="00884743">
              <w:rPr>
                <w:color w:val="000000"/>
                <w:sz w:val="16"/>
                <w:szCs w:val="16"/>
              </w:rPr>
              <w:t xml:space="preserve">argin of error </w:t>
            </w:r>
            <w:r w:rsidR="00F24097" w:rsidRPr="00884743">
              <w:rPr>
                <w:color w:val="000000"/>
                <w:sz w:val="16"/>
                <w:szCs w:val="16"/>
              </w:rPr>
              <w:t xml:space="preserve">defined here </w:t>
            </w:r>
            <w:r w:rsidR="00702A29" w:rsidRPr="00884743">
              <w:rPr>
                <w:color w:val="000000"/>
                <w:sz w:val="16"/>
                <w:szCs w:val="16"/>
              </w:rPr>
              <w:t>as 10%, 15% and 20% of ρ rather than as absolute difference from ρ</w:t>
            </w:r>
            <w:r w:rsidR="002401DD" w:rsidRPr="00884743">
              <w:rPr>
                <w:color w:val="000000"/>
                <w:sz w:val="16"/>
                <w:szCs w:val="16"/>
              </w:rPr>
              <w:t>. (e</w:t>
            </w:r>
            <w:r w:rsidR="00702A29" w:rsidRPr="00884743">
              <w:rPr>
                <w:color w:val="000000"/>
                <w:sz w:val="16"/>
                <w:szCs w:val="16"/>
              </w:rPr>
              <w:t xml:space="preserve">.g., for ρ = 0.25, </w:t>
            </w:r>
            <w:r w:rsidR="00BE3CC2" w:rsidRPr="00884743">
              <w:rPr>
                <w:color w:val="000000"/>
                <w:sz w:val="16"/>
                <w:szCs w:val="16"/>
              </w:rPr>
              <w:t xml:space="preserve">a </w:t>
            </w:r>
            <w:r w:rsidR="00702A29" w:rsidRPr="00884743">
              <w:rPr>
                <w:color w:val="000000"/>
                <w:sz w:val="16"/>
                <w:szCs w:val="16"/>
              </w:rPr>
              <w:t xml:space="preserve">margin of error </w:t>
            </w:r>
            <w:r w:rsidR="00BE3CC2" w:rsidRPr="00884743">
              <w:rPr>
                <w:color w:val="000000"/>
                <w:sz w:val="16"/>
                <w:szCs w:val="16"/>
              </w:rPr>
              <w:t xml:space="preserve">of </w:t>
            </w:r>
            <w:r w:rsidR="00702A29" w:rsidRPr="00884743">
              <w:rPr>
                <w:color w:val="000000"/>
                <w:sz w:val="16"/>
                <w:szCs w:val="16"/>
              </w:rPr>
              <w:t>15</w:t>
            </w:r>
            <w:r w:rsidR="0044574F" w:rsidRPr="00884743">
              <w:rPr>
                <w:color w:val="000000"/>
                <w:sz w:val="16"/>
                <w:szCs w:val="16"/>
              </w:rPr>
              <w:t xml:space="preserve">% </w:t>
            </w:r>
            <w:r w:rsidR="00702A29" w:rsidRPr="00884743">
              <w:rPr>
                <w:color w:val="000000"/>
                <w:sz w:val="16"/>
                <w:szCs w:val="16"/>
              </w:rPr>
              <w:t>is not 0.25±0.15 but rather 0.2</w:t>
            </w:r>
            <w:r w:rsidR="0044574F" w:rsidRPr="00884743">
              <w:rPr>
                <w:color w:val="000000"/>
                <w:sz w:val="16"/>
                <w:szCs w:val="16"/>
              </w:rPr>
              <w:t>5±0.03</w:t>
            </w:r>
            <w:r w:rsidR="00702A29" w:rsidRPr="00884743">
              <w:rPr>
                <w:color w:val="000000"/>
                <w:sz w:val="16"/>
                <w:szCs w:val="16"/>
              </w:rPr>
              <w:t>75</w:t>
            </w:r>
            <w:r w:rsidR="0044574F" w:rsidRPr="00884743">
              <w:rPr>
                <w:color w:val="000000"/>
                <w:sz w:val="16"/>
                <w:szCs w:val="16"/>
              </w:rPr>
              <w:t>, where 0.03</w:t>
            </w:r>
            <w:r w:rsidR="00702A29" w:rsidRPr="00884743">
              <w:rPr>
                <w:color w:val="000000"/>
                <w:sz w:val="16"/>
                <w:szCs w:val="16"/>
              </w:rPr>
              <w:t>75</w:t>
            </w:r>
            <w:r w:rsidR="0044574F" w:rsidRPr="00884743">
              <w:rPr>
                <w:color w:val="000000"/>
                <w:sz w:val="16"/>
                <w:szCs w:val="16"/>
              </w:rPr>
              <w:t>=0.</w:t>
            </w:r>
            <w:r w:rsidR="00702A29" w:rsidRPr="00884743">
              <w:rPr>
                <w:color w:val="000000"/>
                <w:sz w:val="16"/>
                <w:szCs w:val="16"/>
              </w:rPr>
              <w:t>2</w:t>
            </w:r>
            <w:r w:rsidR="0044574F" w:rsidRPr="00884743">
              <w:rPr>
                <w:color w:val="000000"/>
                <w:sz w:val="16"/>
                <w:szCs w:val="16"/>
              </w:rPr>
              <w:t>5</w:t>
            </w:r>
            <w:r w:rsidR="00702A29" w:rsidRPr="00884743">
              <w:rPr>
                <w:color w:val="000000"/>
                <w:sz w:val="16"/>
                <w:szCs w:val="16"/>
              </w:rPr>
              <w:t>*0.15</w:t>
            </w:r>
            <w:r w:rsidR="002401DD" w:rsidRPr="00884743">
              <w:rPr>
                <w:color w:val="000000"/>
                <w:sz w:val="16"/>
                <w:szCs w:val="16"/>
              </w:rPr>
              <w:t>)</w:t>
            </w:r>
            <w:r w:rsidR="0044574F" w:rsidRPr="00884743">
              <w:rPr>
                <w:color w:val="000000"/>
                <w:sz w:val="16"/>
                <w:szCs w:val="16"/>
              </w:rPr>
              <w:t>.</w:t>
            </w:r>
          </w:p>
        </w:tc>
      </w:tr>
    </w:tbl>
    <w:p w:rsidR="00C46C63" w:rsidRDefault="00C46C63"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DB4AD5" w:rsidRPr="00A13DF4" w:rsidRDefault="00DB4AD5" w:rsidP="00DB4AD5">
      <w:pPr>
        <w:pStyle w:val="FootnoteText"/>
        <w:rPr>
          <w:rFonts w:ascii="Times New Roman" w:eastAsia="Times New Roman" w:hAnsi="Times New Roman" w:cs="Times New Roman"/>
          <w:color w:val="000000"/>
          <w:sz w:val="24"/>
          <w:szCs w:val="24"/>
        </w:rPr>
      </w:pPr>
      <w:r w:rsidRPr="00734EA2">
        <w:rPr>
          <w:rFonts w:ascii="Times New Roman" w:eastAsia="Times New Roman" w:hAnsi="Times New Roman" w:cs="Times New Roman"/>
          <w:color w:val="000000"/>
          <w:sz w:val="24"/>
          <w:szCs w:val="24"/>
        </w:rPr>
        <w:t xml:space="preserve">For purposes of </w:t>
      </w:r>
      <w:r>
        <w:rPr>
          <w:rFonts w:ascii="Times New Roman" w:eastAsia="Times New Roman" w:hAnsi="Times New Roman" w:cs="Times New Roman"/>
          <w:color w:val="000000"/>
          <w:sz w:val="24"/>
          <w:szCs w:val="24"/>
        </w:rPr>
        <w:t>interpreting responses to many of the categorical questions in the mail survey</w:t>
      </w:r>
      <w:r w:rsidRPr="00734EA2">
        <w:rPr>
          <w:rFonts w:ascii="Times New Roman" w:eastAsia="Times New Roman" w:hAnsi="Times New Roman" w:cs="Times New Roman"/>
          <w:color w:val="000000"/>
          <w:sz w:val="24"/>
          <w:szCs w:val="24"/>
        </w:rPr>
        <w:t>, it will be important to distinguish salmon anglers from non-salmon anglers.  Based on results from the CDFW creel survey indicating that 36% of fishing trips on the Sacramento River system are targeted at salmon, it is assumed that about 3</w:t>
      </w:r>
      <w:r>
        <w:rPr>
          <w:rFonts w:ascii="Times New Roman" w:eastAsia="Times New Roman" w:hAnsi="Times New Roman" w:cs="Times New Roman"/>
          <w:color w:val="000000"/>
          <w:sz w:val="24"/>
          <w:szCs w:val="24"/>
        </w:rPr>
        <w:t xml:space="preserve">6% (540) of the 1,500 mail surveys will be completed by </w:t>
      </w:r>
      <w:r w:rsidRPr="00734EA2">
        <w:rPr>
          <w:rFonts w:ascii="Times New Roman" w:eastAsia="Times New Roman" w:hAnsi="Times New Roman" w:cs="Times New Roman"/>
          <w:color w:val="000000"/>
          <w:sz w:val="24"/>
          <w:szCs w:val="24"/>
        </w:rPr>
        <w:t>sa</w:t>
      </w:r>
      <w:r>
        <w:rPr>
          <w:rFonts w:ascii="Times New Roman" w:eastAsia="Times New Roman" w:hAnsi="Times New Roman" w:cs="Times New Roman"/>
          <w:color w:val="000000"/>
          <w:sz w:val="24"/>
          <w:szCs w:val="24"/>
        </w:rPr>
        <w:t xml:space="preserve">lmon anglers and 64% (960) by </w:t>
      </w:r>
      <w:r w:rsidRPr="00734EA2">
        <w:rPr>
          <w:rFonts w:ascii="Times New Roman" w:eastAsia="Times New Roman" w:hAnsi="Times New Roman" w:cs="Times New Roman"/>
          <w:color w:val="000000"/>
          <w:sz w:val="24"/>
          <w:szCs w:val="24"/>
        </w:rPr>
        <w:t>non-salmon anglers</w:t>
      </w:r>
      <w:r>
        <w:rPr>
          <w:rFonts w:ascii="Times New Roman" w:eastAsia="Times New Roman" w:hAnsi="Times New Roman" w:cs="Times New Roman"/>
          <w:color w:val="000000"/>
          <w:sz w:val="24"/>
          <w:szCs w:val="24"/>
        </w:rPr>
        <w:t xml:space="preserve">.  </w:t>
      </w:r>
      <w:r w:rsidRPr="00EB7BB2">
        <w:rPr>
          <w:rFonts w:ascii="Times New Roman" w:eastAsia="Times New Roman" w:hAnsi="Times New Roman" w:cs="Times New Roman"/>
          <w:color w:val="000000"/>
          <w:sz w:val="24"/>
          <w:szCs w:val="24"/>
        </w:rPr>
        <w:t xml:space="preserve">Figure B-1 </w:t>
      </w:r>
      <w:r>
        <w:rPr>
          <w:rFonts w:ascii="Times New Roman" w:eastAsia="Times New Roman" w:hAnsi="Times New Roman" w:cs="Times New Roman"/>
          <w:color w:val="000000"/>
          <w:sz w:val="24"/>
          <w:szCs w:val="24"/>
        </w:rPr>
        <w:t xml:space="preserve">depicts the number of salmon and non-salmon anglers expected to respond to the mail survey and the </w:t>
      </w:r>
      <w:r w:rsidRPr="00EB7BB2">
        <w:rPr>
          <w:rFonts w:ascii="Times New Roman" w:eastAsia="Times New Roman" w:hAnsi="Times New Roman" w:cs="Times New Roman"/>
          <w:color w:val="000000"/>
          <w:sz w:val="24"/>
          <w:szCs w:val="24"/>
        </w:rPr>
        <w:t>sample sizes</w:t>
      </w:r>
      <w:r w:rsidR="007A0521">
        <w:rPr>
          <w:rFonts w:ascii="Times New Roman" w:eastAsia="Times New Roman" w:hAnsi="Times New Roman" w:cs="Times New Roman"/>
          <w:color w:val="000000"/>
          <w:sz w:val="24"/>
          <w:szCs w:val="24"/>
        </w:rPr>
        <w:t xml:space="preserve"> needed to estimate </w:t>
      </w:r>
      <w:r>
        <w:rPr>
          <w:rFonts w:ascii="Times New Roman" w:eastAsia="Times New Roman" w:hAnsi="Times New Roman" w:cs="Times New Roman"/>
          <w:color w:val="000000"/>
          <w:sz w:val="24"/>
          <w:szCs w:val="24"/>
        </w:rPr>
        <w:t xml:space="preserve">proportions </w:t>
      </w:r>
      <w:r w:rsidRPr="00EB7BB2">
        <w:rPr>
          <w:rFonts w:ascii="Times New Roman" w:eastAsia="Times New Roman" w:hAnsi="Times New Roman" w:cs="Times New Roman"/>
          <w:color w:val="000000"/>
          <w:sz w:val="24"/>
          <w:szCs w:val="24"/>
        </w:rPr>
        <w:t>in the range 0.10 ≤ ρ ≤ 0.9</w:t>
      </w:r>
      <w:r>
        <w:rPr>
          <w:rFonts w:ascii="Times New Roman" w:eastAsia="Times New Roman" w:hAnsi="Times New Roman" w:cs="Times New Roman"/>
          <w:color w:val="000000"/>
          <w:sz w:val="24"/>
          <w:szCs w:val="24"/>
        </w:rPr>
        <w:t xml:space="preserve">0 </w:t>
      </w:r>
      <w:r w:rsidR="000A1EF2">
        <w:rPr>
          <w:rFonts w:ascii="Times New Roman" w:eastAsia="Times New Roman" w:hAnsi="Times New Roman" w:cs="Times New Roman"/>
          <w:color w:val="000000"/>
          <w:sz w:val="24"/>
          <w:szCs w:val="24"/>
        </w:rPr>
        <w:t xml:space="preserve">with </w:t>
      </w:r>
      <w:r w:rsidR="006538D7">
        <w:rPr>
          <w:rFonts w:ascii="Times New Roman" w:eastAsia="Times New Roman" w:hAnsi="Times New Roman" w:cs="Times New Roman"/>
          <w:color w:val="000000"/>
          <w:sz w:val="24"/>
          <w:szCs w:val="24"/>
        </w:rPr>
        <w:t xml:space="preserve">margins of </w:t>
      </w:r>
      <w:r>
        <w:rPr>
          <w:rFonts w:ascii="Times New Roman" w:eastAsia="Times New Roman" w:hAnsi="Times New Roman" w:cs="Times New Roman"/>
          <w:color w:val="000000"/>
          <w:sz w:val="24"/>
          <w:szCs w:val="24"/>
        </w:rPr>
        <w:t xml:space="preserve">error </w:t>
      </w:r>
      <w:r w:rsidRPr="00EB7BB2">
        <w:rPr>
          <w:rFonts w:ascii="Times New Roman" w:eastAsia="Times New Roman" w:hAnsi="Times New Roman" w:cs="Times New Roman"/>
          <w:color w:val="000000"/>
          <w:sz w:val="24"/>
          <w:szCs w:val="24"/>
        </w:rPr>
        <w:t xml:space="preserve">±10%, ±15% </w:t>
      </w:r>
      <w:r w:rsidRPr="00215EC5">
        <w:rPr>
          <w:rFonts w:ascii="Times New Roman" w:eastAsia="Times New Roman" w:hAnsi="Times New Roman" w:cs="Times New Roman"/>
          <w:color w:val="000000"/>
          <w:sz w:val="24"/>
          <w:szCs w:val="24"/>
        </w:rPr>
        <w:t>and ±20%</w:t>
      </w:r>
      <w:r w:rsidR="007A0521">
        <w:rPr>
          <w:rFonts w:ascii="Times New Roman" w:eastAsia="Times New Roman" w:hAnsi="Times New Roman" w:cs="Times New Roman"/>
          <w:color w:val="000000"/>
          <w:sz w:val="24"/>
          <w:szCs w:val="24"/>
        </w:rPr>
        <w:t xml:space="preserve"> at a 95% confidence level</w:t>
      </w:r>
      <w:r w:rsidRPr="00EB7BB2">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rPr>
        <w:footnoteReference w:id="1"/>
      </w:r>
      <w:r w:rsidRPr="00EB7BB2">
        <w:rPr>
          <w:rFonts w:ascii="Times New Roman" w:eastAsia="Times New Roman" w:hAnsi="Times New Roman" w:cs="Times New Roman"/>
          <w:color w:val="000000"/>
          <w:sz w:val="24"/>
          <w:szCs w:val="24"/>
        </w:rPr>
        <w:t xml:space="preserve">  </w:t>
      </w:r>
    </w:p>
    <w:p w:rsidR="00FF0215" w:rsidRDefault="00FF0215" w:rsidP="0044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130797" w:rsidRDefault="00C46C63" w:rsidP="001B7271">
      <w:pPr>
        <w:pStyle w:val="FootnoteText"/>
        <w:rPr>
          <w:rFonts w:ascii="Times New Roman" w:eastAsia="Times New Roman" w:hAnsi="Times New Roman" w:cs="Times New Roman"/>
          <w:color w:val="000000"/>
          <w:sz w:val="24"/>
          <w:szCs w:val="24"/>
        </w:rPr>
      </w:pPr>
      <w:r>
        <w:rPr>
          <w:noProof/>
        </w:rPr>
        <w:lastRenderedPageBreak/>
        <w:drawing>
          <wp:inline distT="0" distB="0" distL="0" distR="0" wp14:anchorId="7F966C36" wp14:editId="48C251A5">
            <wp:extent cx="5943600" cy="4301490"/>
            <wp:effectExtent l="0" t="0" r="19050"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6561" w:rsidRPr="002401DD" w:rsidRDefault="00756BAB" w:rsidP="001B7271">
      <w:pPr>
        <w:pStyle w:val="FootnoteText"/>
        <w:rPr>
          <w:rFonts w:ascii="Times New Roman" w:hAnsi="Times New Roman" w:cs="Times New Roman"/>
          <w:color w:val="000000"/>
          <w:sz w:val="16"/>
          <w:szCs w:val="16"/>
        </w:rPr>
      </w:pPr>
      <w:r w:rsidRPr="002401DD">
        <w:rPr>
          <w:rFonts w:ascii="Times New Roman" w:eastAsia="Times New Roman" w:hAnsi="Times New Roman" w:cs="Times New Roman"/>
          <w:b/>
          <w:color w:val="000000"/>
          <w:sz w:val="16"/>
          <w:szCs w:val="16"/>
        </w:rPr>
        <w:t xml:space="preserve">Figure </w:t>
      </w:r>
      <w:r w:rsidR="0082702F" w:rsidRPr="002401DD">
        <w:rPr>
          <w:rFonts w:ascii="Times New Roman" w:eastAsia="Times New Roman" w:hAnsi="Times New Roman" w:cs="Times New Roman"/>
          <w:b/>
          <w:color w:val="000000"/>
          <w:sz w:val="16"/>
          <w:szCs w:val="16"/>
        </w:rPr>
        <w:t>B-</w:t>
      </w:r>
      <w:r w:rsidRPr="002401DD">
        <w:rPr>
          <w:rFonts w:ascii="Times New Roman" w:eastAsia="Times New Roman" w:hAnsi="Times New Roman" w:cs="Times New Roman"/>
          <w:b/>
          <w:color w:val="000000"/>
          <w:sz w:val="16"/>
          <w:szCs w:val="16"/>
        </w:rPr>
        <w:t>1.</w:t>
      </w:r>
      <w:r w:rsidR="006F066B" w:rsidRPr="002401DD">
        <w:rPr>
          <w:rFonts w:ascii="Times New Roman" w:eastAsia="Times New Roman" w:hAnsi="Times New Roman" w:cs="Times New Roman"/>
          <w:color w:val="000000"/>
          <w:sz w:val="16"/>
          <w:szCs w:val="16"/>
        </w:rPr>
        <w:t xml:space="preserve">  Sample size</w:t>
      </w:r>
      <w:r w:rsidR="00F62EF6" w:rsidRPr="002401DD">
        <w:rPr>
          <w:rFonts w:ascii="Times New Roman" w:eastAsia="Times New Roman" w:hAnsi="Times New Roman" w:cs="Times New Roman"/>
          <w:color w:val="000000"/>
          <w:sz w:val="16"/>
          <w:szCs w:val="16"/>
        </w:rPr>
        <w:t>s</w:t>
      </w:r>
      <w:r w:rsidR="006F066B" w:rsidRPr="002401DD">
        <w:rPr>
          <w:rFonts w:ascii="Times New Roman" w:eastAsia="Times New Roman" w:hAnsi="Times New Roman" w:cs="Times New Roman"/>
          <w:color w:val="000000"/>
          <w:sz w:val="16"/>
          <w:szCs w:val="16"/>
        </w:rPr>
        <w:t xml:space="preserve"> needed to es</w:t>
      </w:r>
      <w:r w:rsidR="00F62EF6" w:rsidRPr="002401DD">
        <w:rPr>
          <w:rFonts w:ascii="Times New Roman" w:eastAsia="Times New Roman" w:hAnsi="Times New Roman" w:cs="Times New Roman"/>
          <w:color w:val="000000"/>
          <w:sz w:val="16"/>
          <w:szCs w:val="16"/>
        </w:rPr>
        <w:t xml:space="preserve">timate proportions </w:t>
      </w:r>
      <w:r w:rsidR="007B0903" w:rsidRPr="002401DD">
        <w:rPr>
          <w:rFonts w:ascii="Times New Roman" w:hAnsi="Times New Roman" w:cs="Times New Roman"/>
          <w:color w:val="000000"/>
          <w:sz w:val="16"/>
          <w:szCs w:val="16"/>
        </w:rPr>
        <w:t>0.10</w:t>
      </w:r>
      <w:r w:rsidR="006323D8" w:rsidRPr="002401DD">
        <w:rPr>
          <w:rFonts w:ascii="Times New Roman" w:hAnsi="Times New Roman" w:cs="Times New Roman"/>
          <w:color w:val="000000"/>
          <w:sz w:val="16"/>
          <w:szCs w:val="16"/>
        </w:rPr>
        <w:t xml:space="preserve"> </w:t>
      </w:r>
      <w:r w:rsidR="007B0903" w:rsidRPr="002401DD">
        <w:rPr>
          <w:rFonts w:ascii="Times New Roman" w:hAnsi="Times New Roman" w:cs="Times New Roman"/>
          <w:color w:val="000000"/>
          <w:sz w:val="16"/>
          <w:szCs w:val="16"/>
        </w:rPr>
        <w:t>≤</w:t>
      </w:r>
      <w:r w:rsidR="006323D8" w:rsidRPr="002401DD">
        <w:rPr>
          <w:rFonts w:ascii="Times New Roman" w:hAnsi="Times New Roman" w:cs="Times New Roman"/>
          <w:color w:val="000000"/>
          <w:sz w:val="16"/>
          <w:szCs w:val="16"/>
        </w:rPr>
        <w:t xml:space="preserve"> </w:t>
      </w:r>
      <w:r w:rsidR="009060DE" w:rsidRPr="002401DD">
        <w:rPr>
          <w:rFonts w:ascii="Times New Roman" w:hAnsi="Times New Roman" w:cs="Times New Roman"/>
          <w:color w:val="000000"/>
          <w:sz w:val="16"/>
          <w:szCs w:val="16"/>
        </w:rPr>
        <w:t xml:space="preserve">ρ </w:t>
      </w:r>
      <w:r w:rsidR="007B0903" w:rsidRPr="002401DD">
        <w:rPr>
          <w:rFonts w:ascii="Times New Roman" w:hAnsi="Times New Roman" w:cs="Times New Roman"/>
          <w:color w:val="000000"/>
          <w:sz w:val="16"/>
          <w:szCs w:val="16"/>
        </w:rPr>
        <w:t>≤</w:t>
      </w:r>
      <w:r w:rsidR="006323D8" w:rsidRPr="002401DD">
        <w:rPr>
          <w:rFonts w:ascii="Times New Roman" w:hAnsi="Times New Roman" w:cs="Times New Roman"/>
          <w:color w:val="000000"/>
          <w:sz w:val="16"/>
          <w:szCs w:val="16"/>
        </w:rPr>
        <w:t xml:space="preserve"> </w:t>
      </w:r>
      <w:r w:rsidR="007B0903" w:rsidRPr="002401DD">
        <w:rPr>
          <w:rFonts w:ascii="Times New Roman" w:hAnsi="Times New Roman" w:cs="Times New Roman"/>
          <w:color w:val="000000"/>
          <w:sz w:val="16"/>
          <w:szCs w:val="16"/>
        </w:rPr>
        <w:t xml:space="preserve">0.90 </w:t>
      </w:r>
      <w:r w:rsidR="00CE1CD1" w:rsidRPr="002401DD">
        <w:rPr>
          <w:rFonts w:ascii="Times New Roman" w:hAnsi="Times New Roman" w:cs="Times New Roman"/>
          <w:color w:val="000000"/>
          <w:sz w:val="16"/>
          <w:szCs w:val="16"/>
        </w:rPr>
        <w:t xml:space="preserve">with 95% confidence </w:t>
      </w:r>
      <w:r w:rsidR="00A8709B" w:rsidRPr="002401DD">
        <w:rPr>
          <w:rFonts w:ascii="Times New Roman" w:eastAsia="Times New Roman" w:hAnsi="Times New Roman" w:cs="Times New Roman"/>
          <w:color w:val="000000"/>
          <w:sz w:val="16"/>
          <w:szCs w:val="16"/>
        </w:rPr>
        <w:t xml:space="preserve">when margin of error is </w:t>
      </w:r>
      <w:r w:rsidR="006F066B" w:rsidRPr="002401DD">
        <w:rPr>
          <w:rFonts w:ascii="Times New Roman" w:hAnsi="Times New Roman" w:cs="Times New Roman"/>
          <w:color w:val="000000"/>
          <w:sz w:val="16"/>
          <w:szCs w:val="16"/>
        </w:rPr>
        <w:t>±</w:t>
      </w:r>
      <w:r w:rsidR="00534EA2" w:rsidRPr="002401DD">
        <w:rPr>
          <w:rFonts w:ascii="Times New Roman" w:hAnsi="Times New Roman" w:cs="Times New Roman"/>
          <w:color w:val="000000"/>
          <w:sz w:val="16"/>
          <w:szCs w:val="16"/>
        </w:rPr>
        <w:t>10%</w:t>
      </w:r>
      <w:r w:rsidR="006F066B" w:rsidRPr="002401DD">
        <w:rPr>
          <w:rFonts w:ascii="Times New Roman" w:hAnsi="Times New Roman" w:cs="Times New Roman"/>
          <w:color w:val="000000"/>
          <w:sz w:val="16"/>
          <w:szCs w:val="16"/>
        </w:rPr>
        <w:t>, ±</w:t>
      </w:r>
      <w:r w:rsidR="00534EA2" w:rsidRPr="002401DD">
        <w:rPr>
          <w:rFonts w:ascii="Times New Roman" w:hAnsi="Times New Roman" w:cs="Times New Roman"/>
          <w:color w:val="000000"/>
          <w:sz w:val="16"/>
          <w:szCs w:val="16"/>
        </w:rPr>
        <w:t>15%</w:t>
      </w:r>
      <w:r w:rsidR="00130797" w:rsidRPr="002401DD">
        <w:rPr>
          <w:rFonts w:ascii="Times New Roman" w:hAnsi="Times New Roman" w:cs="Times New Roman"/>
          <w:color w:val="000000"/>
          <w:sz w:val="16"/>
          <w:szCs w:val="16"/>
        </w:rPr>
        <w:t xml:space="preserve"> </w:t>
      </w:r>
      <w:r w:rsidR="004E7180" w:rsidRPr="002401DD">
        <w:rPr>
          <w:rFonts w:ascii="Times New Roman" w:hAnsi="Times New Roman" w:cs="Times New Roman"/>
          <w:color w:val="000000"/>
          <w:sz w:val="16"/>
          <w:szCs w:val="16"/>
        </w:rPr>
        <w:t xml:space="preserve">or </w:t>
      </w:r>
      <w:r w:rsidR="006F066B" w:rsidRPr="002401DD">
        <w:rPr>
          <w:rFonts w:ascii="Times New Roman" w:hAnsi="Times New Roman" w:cs="Times New Roman"/>
          <w:color w:val="000000"/>
          <w:sz w:val="16"/>
          <w:szCs w:val="16"/>
        </w:rPr>
        <w:t>±</w:t>
      </w:r>
      <w:r w:rsidR="00534EA2" w:rsidRPr="002401DD">
        <w:rPr>
          <w:rFonts w:ascii="Times New Roman" w:hAnsi="Times New Roman" w:cs="Times New Roman"/>
          <w:color w:val="000000"/>
          <w:sz w:val="16"/>
          <w:szCs w:val="16"/>
        </w:rPr>
        <w:t>20%</w:t>
      </w:r>
      <w:r w:rsidR="00F62EF6" w:rsidRPr="002401DD">
        <w:rPr>
          <w:rFonts w:ascii="Times New Roman" w:hAnsi="Times New Roman" w:cs="Times New Roman"/>
          <w:color w:val="000000"/>
          <w:sz w:val="16"/>
          <w:szCs w:val="16"/>
        </w:rPr>
        <w:t>.</w:t>
      </w:r>
      <w:r w:rsidR="006323D8" w:rsidRPr="002401DD">
        <w:rPr>
          <w:rFonts w:ascii="Times New Roman" w:hAnsi="Times New Roman" w:cs="Times New Roman"/>
          <w:color w:val="000000"/>
          <w:sz w:val="16"/>
          <w:szCs w:val="16"/>
        </w:rPr>
        <w:t xml:space="preserve"> </w:t>
      </w:r>
    </w:p>
    <w:p w:rsidR="00F24097" w:rsidRDefault="00F24097" w:rsidP="00495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u w:val="single"/>
        </w:rPr>
      </w:pPr>
    </w:p>
    <w:p w:rsidR="00836561" w:rsidRPr="00EB377D" w:rsidRDefault="00F24097" w:rsidP="00495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color w:val="000000"/>
          <w:sz w:val="24"/>
          <w:szCs w:val="24"/>
        </w:rPr>
      </w:pPr>
      <w:r w:rsidRPr="00F24097">
        <w:rPr>
          <w:rFonts w:ascii="Times New Roman" w:eastAsia="Times New Roman" w:hAnsi="Times New Roman" w:cs="Times New Roman"/>
          <w:color w:val="000000"/>
          <w:sz w:val="24"/>
          <w:szCs w:val="24"/>
        </w:rPr>
        <w:t>F</w:t>
      </w:r>
      <w:r w:rsidR="00133571">
        <w:rPr>
          <w:rFonts w:ascii="Times New Roman" w:eastAsia="Times New Roman" w:hAnsi="Times New Roman" w:cs="Times New Roman"/>
          <w:color w:val="000000"/>
          <w:sz w:val="24"/>
          <w:szCs w:val="24"/>
        </w:rPr>
        <w:t xml:space="preserve">or salmon anglers </w:t>
      </w:r>
      <w:r w:rsidR="00402BAB">
        <w:rPr>
          <w:rFonts w:ascii="Times New Roman" w:eastAsia="Times New Roman" w:hAnsi="Times New Roman" w:cs="Times New Roman"/>
          <w:color w:val="000000"/>
          <w:sz w:val="24"/>
          <w:szCs w:val="24"/>
        </w:rPr>
        <w:t xml:space="preserve">(n=540), </w:t>
      </w:r>
      <w:r w:rsidR="00495C8A" w:rsidRPr="00215EC5">
        <w:rPr>
          <w:rFonts w:ascii="Times New Roman" w:hAnsi="Times New Roman" w:cs="Times New Roman"/>
          <w:color w:val="000000"/>
          <w:sz w:val="24"/>
          <w:szCs w:val="24"/>
        </w:rPr>
        <w:t xml:space="preserve">ρ </w:t>
      </w:r>
      <w:r w:rsidR="00E13ED4">
        <w:rPr>
          <w:rFonts w:ascii="Times New Roman" w:hAnsi="Times New Roman" w:cs="Times New Roman"/>
          <w:color w:val="000000"/>
          <w:sz w:val="24"/>
          <w:szCs w:val="24"/>
        </w:rPr>
        <w:t xml:space="preserve">≥ </w:t>
      </w:r>
      <w:r w:rsidR="00495C8A" w:rsidRPr="00215EC5">
        <w:rPr>
          <w:rFonts w:ascii="Times New Roman" w:hAnsi="Times New Roman" w:cs="Times New Roman"/>
          <w:color w:val="000000"/>
          <w:sz w:val="24"/>
          <w:szCs w:val="24"/>
        </w:rPr>
        <w:t>0.40</w:t>
      </w:r>
      <w:r w:rsidR="00495C8A">
        <w:rPr>
          <w:rFonts w:ascii="Times New Roman" w:hAnsi="Times New Roman" w:cs="Times New Roman"/>
          <w:color w:val="000000"/>
          <w:sz w:val="24"/>
          <w:szCs w:val="24"/>
        </w:rPr>
        <w:t xml:space="preserve"> can be estimated with </w:t>
      </w:r>
      <w:r w:rsidR="00215EC5" w:rsidRPr="00215EC5">
        <w:rPr>
          <w:rFonts w:ascii="Times New Roman" w:hAnsi="Times New Roman" w:cs="Times New Roman"/>
          <w:color w:val="000000"/>
          <w:sz w:val="24"/>
          <w:szCs w:val="24"/>
        </w:rPr>
        <w:t xml:space="preserve">±10% precision, </w:t>
      </w:r>
      <w:r w:rsidR="00495C8A" w:rsidRPr="00215EC5">
        <w:rPr>
          <w:rFonts w:ascii="Times New Roman" w:hAnsi="Times New Roman" w:cs="Times New Roman"/>
          <w:color w:val="000000"/>
          <w:sz w:val="24"/>
          <w:szCs w:val="24"/>
        </w:rPr>
        <w:t xml:space="preserve">ρ </w:t>
      </w:r>
      <w:r w:rsidR="00E13ED4">
        <w:rPr>
          <w:rFonts w:ascii="Times New Roman" w:hAnsi="Times New Roman" w:cs="Times New Roman"/>
          <w:color w:val="000000"/>
          <w:sz w:val="24"/>
          <w:szCs w:val="24"/>
        </w:rPr>
        <w:t>≥</w:t>
      </w:r>
      <w:r w:rsidR="00495C8A" w:rsidRPr="00215EC5">
        <w:rPr>
          <w:rFonts w:ascii="Times New Roman" w:hAnsi="Times New Roman" w:cs="Times New Roman"/>
          <w:color w:val="000000"/>
          <w:sz w:val="24"/>
          <w:szCs w:val="24"/>
        </w:rPr>
        <w:t xml:space="preserve"> 0.25</w:t>
      </w:r>
      <w:r w:rsidR="00495C8A">
        <w:rPr>
          <w:rFonts w:ascii="Times New Roman" w:hAnsi="Times New Roman" w:cs="Times New Roman"/>
          <w:color w:val="000000"/>
          <w:sz w:val="24"/>
          <w:szCs w:val="24"/>
        </w:rPr>
        <w:t xml:space="preserve"> with </w:t>
      </w:r>
      <w:r w:rsidR="00C911E9">
        <w:rPr>
          <w:rFonts w:ascii="Times New Roman" w:hAnsi="Times New Roman" w:cs="Times New Roman"/>
          <w:color w:val="000000"/>
          <w:sz w:val="24"/>
          <w:szCs w:val="24"/>
        </w:rPr>
        <w:t>±15% precision</w:t>
      </w:r>
      <w:r w:rsidR="00215EC5" w:rsidRPr="00215EC5">
        <w:rPr>
          <w:rFonts w:ascii="Times New Roman" w:hAnsi="Times New Roman" w:cs="Times New Roman"/>
          <w:color w:val="000000"/>
          <w:sz w:val="24"/>
          <w:szCs w:val="24"/>
        </w:rPr>
        <w:t xml:space="preserve">, and </w:t>
      </w:r>
      <w:r w:rsidR="00E13ED4">
        <w:rPr>
          <w:rFonts w:ascii="Times New Roman" w:hAnsi="Times New Roman" w:cs="Times New Roman"/>
          <w:color w:val="000000"/>
          <w:sz w:val="24"/>
          <w:szCs w:val="24"/>
        </w:rPr>
        <w:t>ρ ≥</w:t>
      </w:r>
      <w:r w:rsidR="00495C8A" w:rsidRPr="00215EC5">
        <w:rPr>
          <w:rFonts w:ascii="Times New Roman" w:hAnsi="Times New Roman" w:cs="Times New Roman"/>
          <w:color w:val="000000"/>
          <w:sz w:val="24"/>
          <w:szCs w:val="24"/>
        </w:rPr>
        <w:t xml:space="preserve"> 0.1</w:t>
      </w:r>
      <w:r w:rsidR="00E13ED4">
        <w:rPr>
          <w:rFonts w:ascii="Times New Roman" w:hAnsi="Times New Roman" w:cs="Times New Roman"/>
          <w:color w:val="000000"/>
          <w:sz w:val="24"/>
          <w:szCs w:val="24"/>
        </w:rPr>
        <w:t>5</w:t>
      </w:r>
      <w:r w:rsidR="00495C8A">
        <w:rPr>
          <w:rFonts w:ascii="Times New Roman" w:hAnsi="Times New Roman" w:cs="Times New Roman"/>
          <w:color w:val="000000"/>
          <w:sz w:val="24"/>
          <w:szCs w:val="24"/>
        </w:rPr>
        <w:t xml:space="preserve"> with </w:t>
      </w:r>
      <w:r w:rsidR="00F61399">
        <w:rPr>
          <w:rFonts w:ascii="Times New Roman" w:hAnsi="Times New Roman" w:cs="Times New Roman"/>
          <w:color w:val="000000"/>
          <w:sz w:val="24"/>
          <w:szCs w:val="24"/>
        </w:rPr>
        <w:t>±20% precision</w:t>
      </w:r>
      <w:r w:rsidR="00402BAB">
        <w:rPr>
          <w:rFonts w:ascii="Times New Roman" w:hAnsi="Times New Roman" w:cs="Times New Roman"/>
          <w:color w:val="000000"/>
          <w:sz w:val="24"/>
          <w:szCs w:val="24"/>
        </w:rPr>
        <w:t>.  For non-salmon anglers (</w:t>
      </w:r>
      <w:r w:rsidR="00215EC5" w:rsidRPr="00215EC5">
        <w:rPr>
          <w:rFonts w:ascii="Times New Roman" w:hAnsi="Times New Roman" w:cs="Times New Roman"/>
          <w:color w:val="000000"/>
          <w:sz w:val="24"/>
          <w:szCs w:val="24"/>
        </w:rPr>
        <w:t>n=960</w:t>
      </w:r>
      <w:r w:rsidR="00402BAB">
        <w:rPr>
          <w:rFonts w:ascii="Times New Roman" w:hAnsi="Times New Roman" w:cs="Times New Roman"/>
          <w:color w:val="000000"/>
          <w:sz w:val="24"/>
          <w:szCs w:val="24"/>
        </w:rPr>
        <w:t>),</w:t>
      </w:r>
      <w:r w:rsidR="00495C8A">
        <w:rPr>
          <w:rFonts w:ascii="Times New Roman" w:hAnsi="Times New Roman" w:cs="Times New Roman"/>
          <w:color w:val="000000"/>
          <w:sz w:val="24"/>
          <w:szCs w:val="24"/>
        </w:rPr>
        <w:t xml:space="preserve"> </w:t>
      </w:r>
      <w:r w:rsidR="00E13ED4">
        <w:rPr>
          <w:rFonts w:ascii="Times New Roman" w:hAnsi="Times New Roman" w:cs="Times New Roman"/>
          <w:color w:val="000000"/>
          <w:sz w:val="24"/>
          <w:szCs w:val="24"/>
        </w:rPr>
        <w:t>ρ ≥ 0.30</w:t>
      </w:r>
      <w:r w:rsidR="00495C8A">
        <w:rPr>
          <w:rFonts w:ascii="Times New Roman" w:hAnsi="Times New Roman" w:cs="Times New Roman"/>
          <w:color w:val="000000"/>
          <w:sz w:val="24"/>
          <w:szCs w:val="24"/>
        </w:rPr>
        <w:t xml:space="preserve"> can be estimated with </w:t>
      </w:r>
      <w:r w:rsidR="00495C8A" w:rsidRPr="00215EC5">
        <w:rPr>
          <w:rFonts w:ascii="Times New Roman" w:hAnsi="Times New Roman" w:cs="Times New Roman"/>
          <w:color w:val="000000"/>
          <w:sz w:val="24"/>
          <w:szCs w:val="24"/>
        </w:rPr>
        <w:t>±10% precision</w:t>
      </w:r>
      <w:r w:rsidR="00215EC5" w:rsidRPr="00215EC5">
        <w:rPr>
          <w:rFonts w:ascii="Times New Roman" w:hAnsi="Times New Roman" w:cs="Times New Roman"/>
          <w:color w:val="000000"/>
          <w:sz w:val="24"/>
          <w:szCs w:val="24"/>
        </w:rPr>
        <w:t xml:space="preserve">, </w:t>
      </w:r>
      <w:r w:rsidR="00E13ED4">
        <w:rPr>
          <w:rFonts w:ascii="Times New Roman" w:hAnsi="Times New Roman" w:cs="Times New Roman"/>
          <w:color w:val="000000"/>
          <w:sz w:val="24"/>
          <w:szCs w:val="24"/>
        </w:rPr>
        <w:t>ρ ≥</w:t>
      </w:r>
      <w:r w:rsidR="00495C8A" w:rsidRPr="00215EC5">
        <w:rPr>
          <w:rFonts w:ascii="Times New Roman" w:hAnsi="Times New Roman" w:cs="Times New Roman"/>
          <w:color w:val="000000"/>
          <w:sz w:val="24"/>
          <w:szCs w:val="24"/>
        </w:rPr>
        <w:t xml:space="preserve"> 0.15</w:t>
      </w:r>
      <w:r w:rsidR="00495C8A">
        <w:rPr>
          <w:rFonts w:ascii="Times New Roman" w:hAnsi="Times New Roman" w:cs="Times New Roman"/>
          <w:color w:val="000000"/>
          <w:sz w:val="24"/>
          <w:szCs w:val="24"/>
        </w:rPr>
        <w:t xml:space="preserve"> with </w:t>
      </w:r>
      <w:r w:rsidR="00215EC5" w:rsidRPr="00215EC5">
        <w:rPr>
          <w:rFonts w:ascii="Times New Roman" w:hAnsi="Times New Roman" w:cs="Times New Roman"/>
          <w:color w:val="000000"/>
          <w:sz w:val="24"/>
          <w:szCs w:val="24"/>
        </w:rPr>
        <w:t xml:space="preserve">±15% </w:t>
      </w:r>
      <w:r w:rsidR="00495C8A">
        <w:rPr>
          <w:rFonts w:ascii="Times New Roman" w:hAnsi="Times New Roman" w:cs="Times New Roman"/>
          <w:color w:val="000000"/>
          <w:sz w:val="24"/>
          <w:szCs w:val="24"/>
        </w:rPr>
        <w:t>precision</w:t>
      </w:r>
      <w:r w:rsidR="00215EC5" w:rsidRPr="00215EC5">
        <w:rPr>
          <w:rFonts w:ascii="Times New Roman" w:hAnsi="Times New Roman" w:cs="Times New Roman"/>
          <w:color w:val="000000"/>
          <w:sz w:val="24"/>
          <w:szCs w:val="24"/>
        </w:rPr>
        <w:t xml:space="preserve">, and </w:t>
      </w:r>
      <w:r w:rsidR="00E13ED4">
        <w:rPr>
          <w:rFonts w:ascii="Times New Roman" w:hAnsi="Times New Roman" w:cs="Times New Roman"/>
          <w:color w:val="000000"/>
          <w:sz w:val="24"/>
          <w:szCs w:val="24"/>
        </w:rPr>
        <w:t>ρ ≥</w:t>
      </w:r>
      <w:r w:rsidR="00495C8A" w:rsidRPr="00215EC5">
        <w:rPr>
          <w:rFonts w:ascii="Times New Roman" w:hAnsi="Times New Roman" w:cs="Times New Roman"/>
          <w:color w:val="000000"/>
          <w:sz w:val="24"/>
          <w:szCs w:val="24"/>
        </w:rPr>
        <w:t xml:space="preserve"> 0.10</w:t>
      </w:r>
      <w:r w:rsidR="00495C8A">
        <w:rPr>
          <w:rFonts w:ascii="Times New Roman" w:hAnsi="Times New Roman" w:cs="Times New Roman"/>
          <w:color w:val="000000"/>
          <w:sz w:val="24"/>
          <w:szCs w:val="24"/>
        </w:rPr>
        <w:t xml:space="preserve"> with ±20% precision</w:t>
      </w:r>
      <w:r w:rsidR="00215EC5" w:rsidRPr="00215EC5">
        <w:rPr>
          <w:rFonts w:ascii="Times New Roman" w:hAnsi="Times New Roman" w:cs="Times New Roman"/>
          <w:color w:val="000000"/>
          <w:sz w:val="24"/>
          <w:szCs w:val="24"/>
        </w:rPr>
        <w:t xml:space="preserve">.  </w:t>
      </w:r>
      <w:r w:rsidR="00B401F5">
        <w:rPr>
          <w:rFonts w:ascii="Times New Roman" w:hAnsi="Times New Roman" w:cs="Times New Roman"/>
          <w:color w:val="000000"/>
          <w:sz w:val="24"/>
          <w:szCs w:val="24"/>
        </w:rPr>
        <w:t xml:space="preserve">Thus an overall sample size of 1,500 completed surveys is expected to yield responses to categorical variables </w:t>
      </w:r>
      <w:r w:rsidR="00F61399">
        <w:rPr>
          <w:rFonts w:ascii="Times New Roman" w:hAnsi="Times New Roman" w:cs="Times New Roman"/>
          <w:color w:val="000000"/>
          <w:sz w:val="24"/>
          <w:szCs w:val="24"/>
        </w:rPr>
        <w:t xml:space="preserve">by salmon and non-salmon anglers </w:t>
      </w:r>
      <w:r w:rsidR="00B401F5">
        <w:rPr>
          <w:rFonts w:ascii="Times New Roman" w:hAnsi="Times New Roman" w:cs="Times New Roman"/>
          <w:color w:val="000000"/>
          <w:sz w:val="24"/>
          <w:szCs w:val="24"/>
        </w:rPr>
        <w:t xml:space="preserve">that </w:t>
      </w:r>
      <w:r w:rsidR="009423BE">
        <w:rPr>
          <w:rFonts w:ascii="Times New Roman" w:hAnsi="Times New Roman" w:cs="Times New Roman"/>
          <w:color w:val="000000"/>
          <w:sz w:val="24"/>
          <w:szCs w:val="24"/>
        </w:rPr>
        <w:t>can be estimated wit</w:t>
      </w:r>
      <w:r w:rsidR="00783A33">
        <w:rPr>
          <w:rFonts w:ascii="Times New Roman" w:hAnsi="Times New Roman" w:cs="Times New Roman"/>
          <w:color w:val="000000"/>
          <w:sz w:val="24"/>
          <w:szCs w:val="24"/>
        </w:rPr>
        <w:t>hin acceptable margins of error</w:t>
      </w:r>
      <w:r w:rsidR="00B47B64">
        <w:rPr>
          <w:rFonts w:ascii="Times New Roman" w:hAnsi="Times New Roman" w:cs="Times New Roman"/>
          <w:color w:val="000000"/>
          <w:sz w:val="24"/>
          <w:szCs w:val="24"/>
        </w:rPr>
        <w:t xml:space="preserve"> </w:t>
      </w:r>
      <w:r w:rsidR="006825CF" w:rsidRPr="00215EC5">
        <w:rPr>
          <w:rFonts w:ascii="Times New Roman" w:hAnsi="Times New Roman" w:cs="Times New Roman"/>
          <w:color w:val="000000"/>
          <w:sz w:val="24"/>
          <w:szCs w:val="24"/>
        </w:rPr>
        <w:t xml:space="preserve">±10% </w:t>
      </w:r>
      <w:r w:rsidR="009423BE">
        <w:rPr>
          <w:rFonts w:ascii="Times New Roman" w:hAnsi="Times New Roman" w:cs="Times New Roman"/>
          <w:color w:val="000000"/>
          <w:sz w:val="24"/>
          <w:szCs w:val="24"/>
        </w:rPr>
        <w:t>t</w:t>
      </w:r>
      <w:r w:rsidR="006825CF">
        <w:rPr>
          <w:rFonts w:ascii="Times New Roman" w:hAnsi="Times New Roman" w:cs="Times New Roman"/>
          <w:color w:val="000000"/>
          <w:sz w:val="24"/>
          <w:szCs w:val="24"/>
        </w:rPr>
        <w:t>o</w:t>
      </w:r>
      <w:r w:rsidR="009423BE">
        <w:rPr>
          <w:rFonts w:ascii="Times New Roman" w:hAnsi="Times New Roman" w:cs="Times New Roman"/>
          <w:color w:val="000000"/>
          <w:sz w:val="24"/>
          <w:szCs w:val="24"/>
        </w:rPr>
        <w:t xml:space="preserve"> </w:t>
      </w:r>
      <w:r w:rsidR="00783A33">
        <w:rPr>
          <w:rFonts w:ascii="Times New Roman" w:hAnsi="Times New Roman" w:cs="Times New Roman"/>
          <w:color w:val="000000"/>
          <w:sz w:val="24"/>
          <w:szCs w:val="24"/>
        </w:rPr>
        <w:t>±20%</w:t>
      </w:r>
      <w:r w:rsidR="00495C8A">
        <w:rPr>
          <w:rFonts w:ascii="Times New Roman" w:hAnsi="Times New Roman" w:cs="Times New Roman"/>
          <w:color w:val="000000"/>
          <w:sz w:val="24"/>
          <w:szCs w:val="24"/>
        </w:rPr>
        <w:t>.</w:t>
      </w:r>
    </w:p>
    <w:p w:rsidR="00634EA7" w:rsidRDefault="00634EA7" w:rsidP="0026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B63627" w:rsidRPr="0069461D" w:rsidRDefault="006B6EDC" w:rsidP="006B6EDC">
      <w:pPr>
        <w:contextualSpacing/>
        <w:rPr>
          <w:rFonts w:ascii="Times New Roman" w:hAnsi="Times New Roman" w:cs="Times New Roman"/>
          <w:b/>
          <w:color w:val="000000"/>
          <w:sz w:val="24"/>
          <w:szCs w:val="24"/>
          <w:u w:val="single"/>
        </w:rPr>
      </w:pPr>
      <w:r w:rsidRPr="0069461D">
        <w:rPr>
          <w:rFonts w:ascii="Times New Roman" w:hAnsi="Times New Roman" w:cs="Times New Roman"/>
          <w:b/>
          <w:color w:val="000000"/>
          <w:sz w:val="24"/>
          <w:szCs w:val="24"/>
        </w:rPr>
        <w:t>2.</w:t>
      </w:r>
      <w:r w:rsidRPr="00884743">
        <w:rPr>
          <w:rFonts w:ascii="Times New Roman" w:hAnsi="Times New Roman" w:cs="Times New Roman"/>
          <w:b/>
          <w:color w:val="000000"/>
          <w:sz w:val="24"/>
          <w:szCs w:val="24"/>
        </w:rPr>
        <w:t xml:space="preserve"> </w:t>
      </w:r>
      <w:r w:rsidR="00B63627" w:rsidRPr="0069461D">
        <w:rPr>
          <w:rFonts w:ascii="Times New Roman" w:hAnsi="Times New Roman" w:cs="Times New Roman"/>
          <w:b/>
          <w:color w:val="000000"/>
          <w:sz w:val="24"/>
          <w:szCs w:val="24"/>
          <w:u w:val="single"/>
        </w:rPr>
        <w:t>Trip expenditures</w:t>
      </w:r>
      <w:r w:rsidR="0069461D">
        <w:rPr>
          <w:rFonts w:ascii="Times New Roman" w:hAnsi="Times New Roman" w:cs="Times New Roman"/>
          <w:b/>
          <w:color w:val="000000"/>
          <w:sz w:val="24"/>
          <w:szCs w:val="24"/>
          <w:u w:val="single"/>
        </w:rPr>
        <w:t>.</w:t>
      </w:r>
    </w:p>
    <w:p w:rsidR="00884743" w:rsidRDefault="00884743" w:rsidP="00554303">
      <w:pPr>
        <w:spacing w:line="240" w:lineRule="auto"/>
        <w:contextualSpacing/>
        <w:rPr>
          <w:rFonts w:ascii="Times New Roman" w:hAnsi="Times New Roman" w:cs="Times New Roman"/>
          <w:color w:val="000000"/>
          <w:sz w:val="24"/>
          <w:szCs w:val="24"/>
        </w:rPr>
      </w:pPr>
    </w:p>
    <w:p w:rsidR="007F7696" w:rsidRDefault="00583014" w:rsidP="00554303">
      <w:pPr>
        <w:spacing w:line="240" w:lineRule="auto"/>
        <w:contextualSpacing/>
        <w:rPr>
          <w:rFonts w:ascii="Times New Roman" w:hAnsi="Times New Roman" w:cs="Times New Roman"/>
          <w:color w:val="000000"/>
          <w:sz w:val="24"/>
          <w:szCs w:val="24"/>
        </w:rPr>
      </w:pPr>
      <w:r w:rsidRPr="00583014">
        <w:rPr>
          <w:rFonts w:ascii="Times New Roman" w:hAnsi="Times New Roman" w:cs="Times New Roman"/>
          <w:color w:val="000000"/>
          <w:sz w:val="24"/>
          <w:szCs w:val="24"/>
        </w:rPr>
        <w:t>For purposes of this survey, a margin of error of</w:t>
      </w:r>
      <w:r w:rsidR="00825C86">
        <w:rPr>
          <w:rFonts w:ascii="Times New Roman" w:hAnsi="Times New Roman" w:cs="Times New Roman"/>
          <w:color w:val="000000"/>
          <w:sz w:val="24"/>
          <w:szCs w:val="24"/>
        </w:rPr>
        <w:t xml:space="preserve"> </w:t>
      </w:r>
      <w:r w:rsidRPr="00583014">
        <w:rPr>
          <w:rFonts w:ascii="Times New Roman" w:eastAsia="Times New Roman" w:hAnsi="Times New Roman" w:cs="Times New Roman"/>
          <w:color w:val="000000"/>
          <w:sz w:val="24"/>
          <w:szCs w:val="24"/>
        </w:rPr>
        <w:t>±10%</w:t>
      </w:r>
      <w:r>
        <w:rPr>
          <w:rFonts w:ascii="Times New Roman" w:hAnsi="Times New Roman" w:cs="Times New Roman"/>
          <w:color w:val="000000"/>
          <w:sz w:val="24"/>
          <w:szCs w:val="24"/>
        </w:rPr>
        <w:t xml:space="preserve"> </w:t>
      </w:r>
      <w:r w:rsidRPr="00583014">
        <w:rPr>
          <w:rFonts w:ascii="Times New Roman" w:hAnsi="Times New Roman" w:cs="Times New Roman"/>
          <w:color w:val="000000"/>
          <w:sz w:val="24"/>
          <w:szCs w:val="24"/>
        </w:rPr>
        <w:t xml:space="preserve">was deemed acceptable for estimating </w:t>
      </w:r>
      <w:r w:rsidR="00863BF2">
        <w:rPr>
          <w:rFonts w:ascii="Times New Roman" w:hAnsi="Times New Roman" w:cs="Times New Roman"/>
          <w:color w:val="000000"/>
          <w:sz w:val="24"/>
          <w:szCs w:val="24"/>
        </w:rPr>
        <w:t>mean expenditures per angler day</w:t>
      </w:r>
      <w:r>
        <w:rPr>
          <w:rFonts w:ascii="Times New Roman" w:hAnsi="Times New Roman" w:cs="Times New Roman"/>
          <w:color w:val="000000"/>
          <w:sz w:val="24"/>
          <w:szCs w:val="24"/>
        </w:rPr>
        <w:t xml:space="preserve">.  </w:t>
      </w:r>
      <w:r w:rsidR="00EF0525">
        <w:rPr>
          <w:rFonts w:ascii="Times New Roman" w:hAnsi="Times New Roman" w:cs="Times New Roman"/>
          <w:color w:val="000000"/>
          <w:sz w:val="24"/>
          <w:szCs w:val="24"/>
        </w:rPr>
        <w:t xml:space="preserve">Table B-2 provides summary statistics </w:t>
      </w:r>
      <w:r w:rsidR="00330124">
        <w:rPr>
          <w:rFonts w:ascii="Times New Roman" w:hAnsi="Times New Roman" w:cs="Times New Roman"/>
          <w:color w:val="000000"/>
          <w:sz w:val="24"/>
          <w:szCs w:val="24"/>
        </w:rPr>
        <w:t xml:space="preserve">on expenditures per angler day, estimated from trip data for the Sacramento River collected in </w:t>
      </w:r>
      <w:r w:rsidR="00E1630D">
        <w:rPr>
          <w:rFonts w:ascii="Times New Roman" w:hAnsi="Times New Roman" w:cs="Times New Roman"/>
          <w:color w:val="000000"/>
          <w:sz w:val="24"/>
          <w:szCs w:val="24"/>
        </w:rPr>
        <w:t>NOAA Fisheries’</w:t>
      </w:r>
      <w:r w:rsidR="00662865">
        <w:rPr>
          <w:rFonts w:ascii="Times New Roman" w:hAnsi="Times New Roman" w:cs="Times New Roman"/>
          <w:color w:val="000000"/>
          <w:sz w:val="24"/>
          <w:szCs w:val="24"/>
        </w:rPr>
        <w:t xml:space="preserve"> 2004 Salmon/Steelh</w:t>
      </w:r>
      <w:r w:rsidR="00330124">
        <w:rPr>
          <w:rFonts w:ascii="Times New Roman" w:hAnsi="Times New Roman" w:cs="Times New Roman"/>
          <w:color w:val="000000"/>
          <w:sz w:val="24"/>
          <w:szCs w:val="24"/>
        </w:rPr>
        <w:t>ead Angler Survey</w:t>
      </w:r>
      <w:r w:rsidR="0069461D">
        <w:rPr>
          <w:rFonts w:ascii="Times New Roman" w:hAnsi="Times New Roman" w:cs="Times New Roman"/>
          <w:color w:val="000000"/>
          <w:sz w:val="24"/>
          <w:szCs w:val="24"/>
        </w:rPr>
        <w:t>.</w:t>
      </w:r>
    </w:p>
    <w:p w:rsidR="0069461D" w:rsidRPr="00554303" w:rsidRDefault="0069461D" w:rsidP="00554303">
      <w:pPr>
        <w:spacing w:line="240" w:lineRule="auto"/>
        <w:contextualSpacing/>
        <w:rPr>
          <w:rFonts w:ascii="Times New Roman" w:hAnsi="Times New Roman" w:cs="Times New Roman"/>
          <w:color w:val="000000"/>
          <w:sz w:val="24"/>
          <w:szCs w:val="24"/>
        </w:rPr>
      </w:pPr>
    </w:p>
    <w:tbl>
      <w:tblPr>
        <w:tblStyle w:val="TableGrid"/>
        <w:tblW w:w="0" w:type="auto"/>
        <w:jc w:val="center"/>
        <w:tblLayout w:type="fixed"/>
        <w:tblLook w:val="04A0" w:firstRow="1" w:lastRow="0" w:firstColumn="1" w:lastColumn="0" w:noHBand="0" w:noVBand="1"/>
      </w:tblPr>
      <w:tblGrid>
        <w:gridCol w:w="2160"/>
        <w:gridCol w:w="2520"/>
        <w:gridCol w:w="1890"/>
      </w:tblGrid>
      <w:tr w:rsidR="00AE591B" w:rsidTr="006B6EDC">
        <w:trPr>
          <w:jc w:val="center"/>
        </w:trPr>
        <w:tc>
          <w:tcPr>
            <w:tcW w:w="6570" w:type="dxa"/>
            <w:gridSpan w:val="3"/>
            <w:shd w:val="clear" w:color="auto" w:fill="D9D9D9" w:themeFill="background1" w:themeFillShade="D9"/>
            <w:vAlign w:val="center"/>
          </w:tcPr>
          <w:p w:rsidR="00AE591B" w:rsidRPr="0069461D" w:rsidRDefault="002401DD" w:rsidP="006946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Pr>
                <w:color w:val="000000"/>
              </w:rPr>
              <w:t>Table B-3</w:t>
            </w:r>
            <w:r w:rsidR="00AE591B" w:rsidRPr="0069461D">
              <w:rPr>
                <w:color w:val="000000"/>
              </w:rPr>
              <w:t>.  Expenditures per angler day for fishing trips on the Sacramento River</w:t>
            </w:r>
            <w:r w:rsidR="00AE591B" w:rsidRPr="0069461D">
              <w:rPr>
                <w:color w:val="000000"/>
                <w:vertAlign w:val="superscript"/>
              </w:rPr>
              <w:t>1</w:t>
            </w:r>
          </w:p>
        </w:tc>
      </w:tr>
      <w:tr w:rsidR="00AE591B" w:rsidTr="006B6EDC">
        <w:trPr>
          <w:jc w:val="center"/>
        </w:trPr>
        <w:tc>
          <w:tcPr>
            <w:tcW w:w="2160" w:type="dxa"/>
            <w:vAlign w:val="center"/>
          </w:tcPr>
          <w:p w:rsidR="00AE591B" w:rsidRPr="0069461D" w:rsidRDefault="00AE591B" w:rsidP="006946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69461D">
              <w:rPr>
                <w:i/>
                <w:color w:val="000000"/>
              </w:rPr>
              <w:t>Mean</w:t>
            </w:r>
          </w:p>
        </w:tc>
        <w:tc>
          <w:tcPr>
            <w:tcW w:w="2520" w:type="dxa"/>
            <w:vAlign w:val="center"/>
          </w:tcPr>
          <w:p w:rsidR="00AE591B" w:rsidRPr="0069461D" w:rsidRDefault="00AE591B" w:rsidP="006946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69461D">
              <w:rPr>
                <w:i/>
                <w:color w:val="000000"/>
              </w:rPr>
              <w:t>Standard deviation</w:t>
            </w:r>
          </w:p>
        </w:tc>
        <w:tc>
          <w:tcPr>
            <w:tcW w:w="1890" w:type="dxa"/>
            <w:vAlign w:val="center"/>
          </w:tcPr>
          <w:p w:rsidR="00AE591B" w:rsidRPr="0069461D" w:rsidRDefault="00825C86" w:rsidP="006946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69461D">
              <w:rPr>
                <w:i/>
                <w:color w:val="000000"/>
              </w:rPr>
              <w:t>n</w:t>
            </w:r>
          </w:p>
        </w:tc>
      </w:tr>
      <w:tr w:rsidR="00AE591B" w:rsidTr="006B6EDC">
        <w:trPr>
          <w:jc w:val="center"/>
        </w:trPr>
        <w:tc>
          <w:tcPr>
            <w:tcW w:w="2160" w:type="dxa"/>
            <w:vAlign w:val="center"/>
          </w:tcPr>
          <w:p w:rsidR="00AE591B" w:rsidRPr="0069461D" w:rsidRDefault="00AE591B" w:rsidP="006946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9461D">
              <w:rPr>
                <w:color w:val="000000"/>
              </w:rPr>
              <w:t>73.98</w:t>
            </w:r>
          </w:p>
        </w:tc>
        <w:tc>
          <w:tcPr>
            <w:tcW w:w="2520" w:type="dxa"/>
            <w:vAlign w:val="center"/>
          </w:tcPr>
          <w:p w:rsidR="00AE591B" w:rsidRPr="0069461D" w:rsidRDefault="00AE591B" w:rsidP="006946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9461D">
              <w:rPr>
                <w:color w:val="000000"/>
              </w:rPr>
              <w:t>113.37</w:t>
            </w:r>
          </w:p>
        </w:tc>
        <w:tc>
          <w:tcPr>
            <w:tcW w:w="1890" w:type="dxa"/>
            <w:vAlign w:val="center"/>
          </w:tcPr>
          <w:p w:rsidR="00AE591B" w:rsidRPr="0069461D" w:rsidRDefault="00AE591B" w:rsidP="006946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9461D">
              <w:rPr>
                <w:color w:val="000000"/>
              </w:rPr>
              <w:t>290</w:t>
            </w:r>
          </w:p>
        </w:tc>
      </w:tr>
      <w:tr w:rsidR="00AE591B" w:rsidTr="006B6EDC">
        <w:trPr>
          <w:jc w:val="center"/>
        </w:trPr>
        <w:tc>
          <w:tcPr>
            <w:tcW w:w="6570" w:type="dxa"/>
            <w:gridSpan w:val="3"/>
            <w:vAlign w:val="center"/>
          </w:tcPr>
          <w:p w:rsidR="00AE591B" w:rsidRPr="0069461D" w:rsidRDefault="00AE591B" w:rsidP="0069461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69461D">
              <w:rPr>
                <w:color w:val="000000"/>
                <w:vertAlign w:val="superscript"/>
              </w:rPr>
              <w:t>1</w:t>
            </w:r>
            <w:r w:rsidRPr="0069461D">
              <w:rPr>
                <w:color w:val="000000"/>
              </w:rPr>
              <w:t xml:space="preserve"> Source:  </w:t>
            </w:r>
            <w:r w:rsidR="00E1630D" w:rsidRPr="0069461D">
              <w:rPr>
                <w:color w:val="000000"/>
              </w:rPr>
              <w:t>NOAA Fisheries’</w:t>
            </w:r>
            <w:r w:rsidRPr="0069461D">
              <w:rPr>
                <w:color w:val="000000"/>
              </w:rPr>
              <w:t xml:space="preserve"> 2004 salmon/steelhead angler survey</w:t>
            </w:r>
          </w:p>
        </w:tc>
      </w:tr>
    </w:tbl>
    <w:p w:rsidR="0069461D" w:rsidRDefault="0069461D" w:rsidP="000D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color w:val="000000"/>
          <w:sz w:val="24"/>
          <w:szCs w:val="24"/>
        </w:rPr>
      </w:pPr>
    </w:p>
    <w:p w:rsidR="00877E8C" w:rsidRDefault="00863BF2" w:rsidP="000D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Assuming that the statistics </w:t>
      </w:r>
      <w:r w:rsidR="00F957C2">
        <w:rPr>
          <w:rFonts w:ascii="Times New Roman" w:hAnsi="Times New Roman" w:cs="Times New Roman"/>
          <w:color w:val="000000"/>
          <w:sz w:val="24"/>
          <w:szCs w:val="24"/>
        </w:rPr>
        <w:t xml:space="preserve">in </w:t>
      </w:r>
      <w:r w:rsidR="00316E45">
        <w:rPr>
          <w:rFonts w:ascii="Times New Roman" w:hAnsi="Times New Roman" w:cs="Times New Roman"/>
          <w:color w:val="000000"/>
          <w:sz w:val="24"/>
          <w:szCs w:val="24"/>
        </w:rPr>
        <w:t xml:space="preserve">Table </w:t>
      </w:r>
      <w:r w:rsidR="009D49C1">
        <w:rPr>
          <w:rFonts w:ascii="Times New Roman" w:hAnsi="Times New Roman" w:cs="Times New Roman"/>
          <w:color w:val="000000"/>
          <w:sz w:val="24"/>
          <w:szCs w:val="24"/>
        </w:rPr>
        <w:t>B-</w:t>
      </w:r>
      <w:r w:rsidR="00316E45">
        <w:rPr>
          <w:rFonts w:ascii="Times New Roman" w:hAnsi="Times New Roman" w:cs="Times New Roman"/>
          <w:color w:val="000000"/>
          <w:sz w:val="24"/>
          <w:szCs w:val="24"/>
        </w:rPr>
        <w:t>2</w:t>
      </w:r>
      <w:r w:rsidR="00F62E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are relevant to the </w:t>
      </w:r>
      <w:r w:rsidR="00316E45">
        <w:rPr>
          <w:rFonts w:ascii="Times New Roman" w:hAnsi="Times New Roman" w:cs="Times New Roman"/>
          <w:color w:val="000000"/>
          <w:sz w:val="24"/>
          <w:szCs w:val="24"/>
        </w:rPr>
        <w:t>proposed survey</w:t>
      </w:r>
      <w:r w:rsidR="00B63627">
        <w:rPr>
          <w:rFonts w:ascii="Times New Roman" w:hAnsi="Times New Roman" w:cs="Times New Roman"/>
          <w:color w:val="000000"/>
          <w:sz w:val="24"/>
          <w:szCs w:val="24"/>
        </w:rPr>
        <w:t xml:space="preserve">, </w:t>
      </w:r>
      <w:r w:rsidR="00F957C2">
        <w:rPr>
          <w:rFonts w:ascii="Times New Roman" w:hAnsi="Times New Roman" w:cs="Times New Roman"/>
          <w:color w:val="000000"/>
          <w:sz w:val="24"/>
          <w:szCs w:val="24"/>
        </w:rPr>
        <w:t xml:space="preserve">a sample size of n=939 is expected to be adequate for estimating mean expenditures per angler day </w:t>
      </w:r>
      <w:r w:rsidR="00444A49">
        <w:rPr>
          <w:rFonts w:ascii="Times New Roman" w:hAnsi="Times New Roman" w:cs="Times New Roman"/>
          <w:color w:val="000000"/>
          <w:sz w:val="24"/>
          <w:szCs w:val="24"/>
        </w:rPr>
        <w:t>with</w:t>
      </w:r>
      <w:r w:rsidR="007A0521">
        <w:rPr>
          <w:rFonts w:ascii="Times New Roman" w:hAnsi="Times New Roman" w:cs="Times New Roman"/>
          <w:color w:val="000000"/>
          <w:sz w:val="24"/>
          <w:szCs w:val="24"/>
        </w:rPr>
        <w:t xml:space="preserve"> </w:t>
      </w:r>
      <w:r w:rsidR="00444A49">
        <w:rPr>
          <w:rFonts w:ascii="Times New Roman" w:hAnsi="Times New Roman" w:cs="Times New Roman"/>
          <w:color w:val="000000"/>
          <w:sz w:val="24"/>
          <w:szCs w:val="24"/>
        </w:rPr>
        <w:t>a</w:t>
      </w:r>
      <w:r w:rsidR="007A0521">
        <w:rPr>
          <w:rFonts w:ascii="Times New Roman" w:hAnsi="Times New Roman" w:cs="Times New Roman"/>
          <w:color w:val="000000"/>
          <w:sz w:val="24"/>
          <w:szCs w:val="24"/>
        </w:rPr>
        <w:t xml:space="preserve"> </w:t>
      </w:r>
      <w:r w:rsidR="007A0521" w:rsidRPr="00A67EE4">
        <w:rPr>
          <w:color w:val="000000"/>
          <w:sz w:val="24"/>
          <w:szCs w:val="24"/>
        </w:rPr>
        <w:t>±</w:t>
      </w:r>
      <w:r w:rsidR="00BE671B" w:rsidRPr="00634EA7">
        <w:rPr>
          <w:rFonts w:ascii="Times New Roman" w:eastAsia="Times New Roman" w:hAnsi="Times New Roman" w:cs="Times New Roman"/>
          <w:color w:val="000000"/>
          <w:sz w:val="24"/>
          <w:szCs w:val="24"/>
        </w:rPr>
        <w:t>10% margin of error</w:t>
      </w:r>
      <w:r w:rsidR="00BE671B">
        <w:rPr>
          <w:rFonts w:ascii="Times New Roman" w:eastAsia="Times New Roman" w:hAnsi="Times New Roman" w:cs="Times New Roman"/>
          <w:color w:val="000000"/>
          <w:sz w:val="24"/>
          <w:szCs w:val="24"/>
        </w:rPr>
        <w:t xml:space="preserve"> </w:t>
      </w:r>
      <w:r w:rsidR="00444A49">
        <w:rPr>
          <w:rFonts w:ascii="Times New Roman" w:hAnsi="Times New Roman" w:cs="Times New Roman"/>
          <w:color w:val="000000"/>
          <w:sz w:val="24"/>
          <w:szCs w:val="24"/>
        </w:rPr>
        <w:t xml:space="preserve">at a </w:t>
      </w:r>
      <w:r w:rsidR="00F957C2">
        <w:rPr>
          <w:rFonts w:ascii="Times New Roman" w:hAnsi="Times New Roman" w:cs="Times New Roman"/>
          <w:color w:val="000000"/>
          <w:sz w:val="24"/>
          <w:szCs w:val="24"/>
        </w:rPr>
        <w:t>95% confidence</w:t>
      </w:r>
      <w:r w:rsidR="00444A49">
        <w:rPr>
          <w:rFonts w:ascii="Times New Roman" w:hAnsi="Times New Roman" w:cs="Times New Roman"/>
          <w:color w:val="000000"/>
          <w:sz w:val="24"/>
          <w:szCs w:val="24"/>
        </w:rPr>
        <w:t xml:space="preserve"> level</w:t>
      </w:r>
      <w:r w:rsidR="00AE591B">
        <w:rPr>
          <w:rFonts w:ascii="Times New Roman" w:hAnsi="Times New Roman" w:cs="Times New Roman"/>
          <w:color w:val="000000"/>
          <w:sz w:val="24"/>
          <w:szCs w:val="24"/>
        </w:rPr>
        <w:t xml:space="preserve">.  </w:t>
      </w:r>
      <w:r w:rsidR="00AE591B" w:rsidRPr="00AE591B">
        <w:rPr>
          <w:rFonts w:ascii="Times New Roman" w:hAnsi="Times New Roman" w:cs="Times New Roman"/>
          <w:color w:val="000000"/>
          <w:sz w:val="24"/>
          <w:szCs w:val="24"/>
        </w:rPr>
        <w:t>Thus the sample size of n=1500 is expected to be more than adequate for estimating mean trip expenditures at the desired level of precision.</w:t>
      </w:r>
    </w:p>
    <w:p w:rsidR="00AE591B" w:rsidRPr="0069461D" w:rsidRDefault="00AE591B" w:rsidP="000D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tbl>
      <w:tblPr>
        <w:tblStyle w:val="TableGrid"/>
        <w:tblW w:w="0" w:type="auto"/>
        <w:jc w:val="center"/>
        <w:tblLayout w:type="fixed"/>
        <w:tblLook w:val="04A0" w:firstRow="1" w:lastRow="0" w:firstColumn="1" w:lastColumn="0" w:noHBand="0" w:noVBand="1"/>
      </w:tblPr>
      <w:tblGrid>
        <w:gridCol w:w="2610"/>
        <w:gridCol w:w="1800"/>
        <w:gridCol w:w="2790"/>
      </w:tblGrid>
      <w:tr w:rsidR="00AE591B" w:rsidRPr="0069461D" w:rsidTr="0069461D">
        <w:trPr>
          <w:jc w:val="center"/>
        </w:trPr>
        <w:tc>
          <w:tcPr>
            <w:tcW w:w="7200" w:type="dxa"/>
            <w:gridSpan w:val="3"/>
            <w:shd w:val="clear" w:color="auto" w:fill="D9D9D9" w:themeFill="background1" w:themeFillShade="D9"/>
            <w:vAlign w:val="center"/>
          </w:tcPr>
          <w:p w:rsidR="00AE591B" w:rsidRPr="0069461D" w:rsidRDefault="002401DD" w:rsidP="0069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Pr>
                <w:color w:val="000000"/>
              </w:rPr>
              <w:t>Table B-4</w:t>
            </w:r>
            <w:r w:rsidR="00AE591B" w:rsidRPr="0069461D">
              <w:rPr>
                <w:color w:val="000000"/>
              </w:rPr>
              <w:t>.  Sample size needed to estimate expenditures per angler day</w:t>
            </w:r>
          </w:p>
        </w:tc>
      </w:tr>
      <w:tr w:rsidR="00AE591B" w:rsidTr="006B6EDC">
        <w:trPr>
          <w:jc w:val="center"/>
        </w:trPr>
        <w:tc>
          <w:tcPr>
            <w:tcW w:w="2610" w:type="dxa"/>
            <w:vAlign w:val="center"/>
          </w:tcPr>
          <w:p w:rsidR="00AE591B" w:rsidRPr="0069461D" w:rsidRDefault="00AE591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69461D">
              <w:rPr>
                <w:i/>
                <w:color w:val="000000"/>
              </w:rPr>
              <w:t>Confidence level</w:t>
            </w:r>
          </w:p>
        </w:tc>
        <w:tc>
          <w:tcPr>
            <w:tcW w:w="1800" w:type="dxa"/>
            <w:vAlign w:val="center"/>
          </w:tcPr>
          <w:p w:rsidR="00AE591B" w:rsidRPr="0069461D" w:rsidRDefault="00AE591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69461D">
              <w:rPr>
                <w:i/>
                <w:color w:val="000000"/>
              </w:rPr>
              <w:t>Tolerable error</w:t>
            </w:r>
          </w:p>
        </w:tc>
        <w:tc>
          <w:tcPr>
            <w:tcW w:w="2790" w:type="dxa"/>
            <w:vAlign w:val="center"/>
          </w:tcPr>
          <w:p w:rsidR="00AE591B" w:rsidRPr="0069461D" w:rsidRDefault="00AE591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
                <w:color w:val="000000"/>
              </w:rPr>
            </w:pPr>
            <w:r w:rsidRPr="0069461D">
              <w:rPr>
                <w:i/>
                <w:color w:val="000000"/>
              </w:rPr>
              <w:t>Required n</w:t>
            </w:r>
            <w:r w:rsidRPr="0069461D">
              <w:rPr>
                <w:i/>
                <w:color w:val="000000"/>
                <w:vertAlign w:val="superscript"/>
              </w:rPr>
              <w:t>1</w:t>
            </w:r>
          </w:p>
        </w:tc>
      </w:tr>
      <w:tr w:rsidR="00AE591B" w:rsidRPr="009C3150" w:rsidTr="006B6EDC">
        <w:trPr>
          <w:jc w:val="center"/>
        </w:trPr>
        <w:tc>
          <w:tcPr>
            <w:tcW w:w="2610" w:type="dxa"/>
            <w:vAlign w:val="center"/>
          </w:tcPr>
          <w:p w:rsidR="00AE591B" w:rsidRPr="0069461D" w:rsidRDefault="00AE591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9461D">
              <w:rPr>
                <w:color w:val="000000"/>
              </w:rPr>
              <w:t>95%</w:t>
            </w:r>
          </w:p>
        </w:tc>
        <w:tc>
          <w:tcPr>
            <w:tcW w:w="1800" w:type="dxa"/>
            <w:vAlign w:val="center"/>
          </w:tcPr>
          <w:p w:rsidR="00AE591B" w:rsidRPr="0069461D" w:rsidRDefault="00AE591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9461D">
              <w:rPr>
                <w:color w:val="000000"/>
              </w:rPr>
              <w:t>±</w:t>
            </w:r>
            <w:r w:rsidR="00863BF2" w:rsidRPr="0069461D">
              <w:rPr>
                <w:color w:val="000000"/>
              </w:rPr>
              <w:t>10% (±</w:t>
            </w:r>
            <w:r w:rsidRPr="0069461D">
              <w:rPr>
                <w:color w:val="000000"/>
              </w:rPr>
              <w:t>7.4</w:t>
            </w:r>
            <w:r w:rsidR="00863BF2" w:rsidRPr="0069461D">
              <w:rPr>
                <w:color w:val="000000"/>
              </w:rPr>
              <w:t>)</w:t>
            </w:r>
          </w:p>
        </w:tc>
        <w:tc>
          <w:tcPr>
            <w:tcW w:w="2790" w:type="dxa"/>
            <w:vAlign w:val="center"/>
          </w:tcPr>
          <w:p w:rsidR="00AE591B" w:rsidRPr="0069461D" w:rsidRDefault="00AE591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9461D">
              <w:rPr>
                <w:color w:val="000000"/>
              </w:rPr>
              <w:t>939</w:t>
            </w:r>
          </w:p>
        </w:tc>
      </w:tr>
      <w:tr w:rsidR="00AE591B" w:rsidRPr="009C3150" w:rsidTr="006B6EDC">
        <w:trPr>
          <w:jc w:val="center"/>
        </w:trPr>
        <w:tc>
          <w:tcPr>
            <w:tcW w:w="7200" w:type="dxa"/>
            <w:gridSpan w:val="3"/>
            <w:vAlign w:val="center"/>
          </w:tcPr>
          <w:p w:rsidR="00AE591B" w:rsidRPr="0069461D" w:rsidRDefault="00AE591B" w:rsidP="006B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9461D">
              <w:rPr>
                <w:color w:val="000000"/>
                <w:vertAlign w:val="superscript"/>
              </w:rPr>
              <w:t>1</w:t>
            </w:r>
            <w:r w:rsidRPr="0069461D">
              <w:rPr>
                <w:color w:val="000000"/>
              </w:rPr>
              <w:t>Required n = 4*StandardDeviation</w:t>
            </w:r>
            <w:r w:rsidRPr="0069461D">
              <w:rPr>
                <w:color w:val="000000"/>
                <w:vertAlign w:val="superscript"/>
              </w:rPr>
              <w:t>2</w:t>
            </w:r>
            <w:r w:rsidRPr="0069461D">
              <w:rPr>
                <w:color w:val="000000"/>
              </w:rPr>
              <w:t>/(Tolerable error</w:t>
            </w:r>
            <w:r w:rsidRPr="0069461D">
              <w:rPr>
                <w:color w:val="000000"/>
                <w:vertAlign w:val="superscript"/>
              </w:rPr>
              <w:t>2</w:t>
            </w:r>
            <w:r w:rsidRPr="0069461D">
              <w:rPr>
                <w:color w:val="000000"/>
              </w:rPr>
              <w:t>)</w:t>
            </w:r>
          </w:p>
        </w:tc>
      </w:tr>
    </w:tbl>
    <w:p w:rsidR="00C433CC" w:rsidRPr="00316E45" w:rsidRDefault="00C433CC" w:rsidP="0034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9212C0" w:rsidRPr="00E07611" w:rsidRDefault="009212C0" w:rsidP="003450F1">
      <w:pPr>
        <w:shd w:val="clear" w:color="auto" w:fill="FFFFFF"/>
        <w:spacing w:after="0" w:line="240" w:lineRule="auto"/>
        <w:contextualSpacing/>
        <w:rPr>
          <w:rFonts w:ascii="Times New Roman" w:eastAsia="Times New Roman" w:hAnsi="Times New Roman" w:cs="Times New Roman"/>
          <w:color w:val="000000"/>
          <w:sz w:val="24"/>
          <w:szCs w:val="24"/>
        </w:rPr>
      </w:pPr>
      <w:r w:rsidRPr="00571C74">
        <w:rPr>
          <w:rFonts w:ascii="Times New Roman" w:eastAsia="Times New Roman" w:hAnsi="Times New Roman" w:cs="Times New Roman"/>
          <w:b/>
          <w:bCs/>
          <w:color w:val="000000"/>
          <w:sz w:val="24"/>
          <w:szCs w:val="24"/>
        </w:rPr>
        <w:t>3. Describe the methods used to maximize response rates and to deal with nonresponse.</w:t>
      </w:r>
      <w:r w:rsidR="006B6EDC">
        <w:rPr>
          <w:rFonts w:ascii="Times New Roman" w:eastAsia="Times New Roman" w:hAnsi="Times New Roman" w:cs="Times New Roman"/>
          <w:b/>
          <w:bCs/>
          <w:color w:val="000000"/>
          <w:sz w:val="24"/>
          <w:szCs w:val="24"/>
        </w:rPr>
        <w:t xml:space="preserve"> </w:t>
      </w:r>
      <w:r w:rsidRPr="00571C74">
        <w:rPr>
          <w:rFonts w:ascii="Times New Roman" w:eastAsia="Times New Roman" w:hAnsi="Times New Roman" w:cs="Times New Roman"/>
          <w:b/>
          <w:bCs/>
          <w:color w:val="000000"/>
          <w:sz w:val="24"/>
          <w:szCs w:val="24"/>
        </w:rPr>
        <w:t xml:space="preserve"> The accuracy and reliability of the information collected must be shown to be adequate for the intended uses. </w:t>
      </w:r>
      <w:r w:rsidR="006B6EDC">
        <w:rPr>
          <w:rFonts w:ascii="Times New Roman" w:eastAsia="Times New Roman" w:hAnsi="Times New Roman" w:cs="Times New Roman"/>
          <w:b/>
          <w:bCs/>
          <w:color w:val="000000"/>
          <w:sz w:val="24"/>
          <w:szCs w:val="24"/>
        </w:rPr>
        <w:t xml:space="preserve"> </w:t>
      </w:r>
      <w:r w:rsidRPr="00571C74">
        <w:rPr>
          <w:rFonts w:ascii="Times New Roman" w:eastAsia="Times New Roman" w:hAnsi="Times New Roman" w:cs="Times New Roman"/>
          <w:b/>
          <w:bCs/>
          <w:color w:val="000000"/>
          <w:sz w:val="24"/>
          <w:szCs w:val="24"/>
        </w:rPr>
        <w:t>For collections based on sampling, a special justification must be provided if they will not yield "reliable" data that can be generalized to the universe studied.</w:t>
      </w:r>
    </w:p>
    <w:p w:rsidR="00571C74"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i/>
          <w:color w:val="000000"/>
          <w:sz w:val="24"/>
          <w:szCs w:val="24"/>
        </w:rPr>
      </w:pPr>
    </w:p>
    <w:p w:rsidR="00571C74" w:rsidRPr="00E07611"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steps will be </w:t>
      </w:r>
      <w:r w:rsidRPr="00E07611">
        <w:rPr>
          <w:rFonts w:ascii="Times New Roman" w:eastAsia="Times New Roman" w:hAnsi="Times New Roman" w:cs="Times New Roman"/>
          <w:sz w:val="24"/>
          <w:szCs w:val="24"/>
        </w:rPr>
        <w:t xml:space="preserve">taken to maximize response rates and address nonresponse bias. </w:t>
      </w:r>
    </w:p>
    <w:p w:rsidR="00571C74"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highlight w:val="green"/>
        </w:rPr>
      </w:pPr>
    </w:p>
    <w:p w:rsidR="00571C74" w:rsidRPr="00E07611"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sidRPr="00B970E4">
        <w:rPr>
          <w:rFonts w:ascii="Times New Roman" w:eastAsia="Times New Roman" w:hAnsi="Times New Roman" w:cs="Times New Roman"/>
          <w:b/>
          <w:i/>
          <w:sz w:val="24"/>
          <w:szCs w:val="24"/>
        </w:rPr>
        <w:t>Maximizing response rates</w:t>
      </w:r>
    </w:p>
    <w:p w:rsidR="002A3A89" w:rsidRDefault="002A3A89" w:rsidP="003450F1">
      <w:pPr>
        <w:autoSpaceDE w:val="0"/>
        <w:autoSpaceDN w:val="0"/>
        <w:adjustRightInd w:val="0"/>
        <w:spacing w:after="0" w:line="240" w:lineRule="auto"/>
        <w:contextualSpacing/>
        <w:rPr>
          <w:rFonts w:ascii="Times New Roman" w:eastAsia="Times New Roman" w:hAnsi="Times New Roman" w:cs="Times New Roman"/>
          <w:sz w:val="24"/>
          <w:szCs w:val="24"/>
        </w:rPr>
      </w:pPr>
    </w:p>
    <w:p w:rsidR="00275A96" w:rsidRPr="00074749" w:rsidRDefault="00275A96" w:rsidP="007A0521">
      <w:pPr>
        <w:autoSpaceDE w:val="0"/>
        <w:autoSpaceDN w:val="0"/>
        <w:adjustRightInd w:val="0"/>
        <w:spacing w:after="0" w:line="240" w:lineRule="auto"/>
        <w:contextualSpacing/>
        <w:rPr>
          <w:rFonts w:ascii="Times New Roman" w:eastAsia="Times New Roman" w:hAnsi="Times New Roman" w:cs="Times New Roman"/>
          <w:b/>
          <w:i/>
          <w:sz w:val="24"/>
          <w:szCs w:val="24"/>
          <w:u w:val="single"/>
        </w:rPr>
      </w:pPr>
      <w:r w:rsidRPr="00074749">
        <w:rPr>
          <w:rFonts w:ascii="Times New Roman" w:eastAsia="Times New Roman" w:hAnsi="Times New Roman" w:cs="Times New Roman"/>
          <w:b/>
          <w:i/>
          <w:sz w:val="24"/>
          <w:szCs w:val="24"/>
          <w:u w:val="single"/>
        </w:rPr>
        <w:t>Telephone screener</w:t>
      </w:r>
    </w:p>
    <w:p w:rsidR="00275A96" w:rsidRDefault="00275A96" w:rsidP="007A0521">
      <w:pPr>
        <w:autoSpaceDE w:val="0"/>
        <w:autoSpaceDN w:val="0"/>
        <w:adjustRightInd w:val="0"/>
        <w:spacing w:after="0" w:line="240" w:lineRule="auto"/>
        <w:contextualSpacing/>
        <w:rPr>
          <w:rFonts w:ascii="Times New Roman" w:eastAsia="Times New Roman" w:hAnsi="Times New Roman" w:cs="Times New Roman"/>
          <w:sz w:val="24"/>
          <w:szCs w:val="24"/>
        </w:rPr>
      </w:pPr>
    </w:p>
    <w:p w:rsidR="00190571" w:rsidRDefault="00515B57" w:rsidP="007A0521">
      <w:p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increase telephone response rates, the survey contractor will make up to 4-6 attempts to </w:t>
      </w:r>
      <w:r w:rsidR="00190571">
        <w:rPr>
          <w:rFonts w:ascii="Times New Roman" w:eastAsia="Times New Roman" w:hAnsi="Times New Roman" w:cs="Times New Roman"/>
          <w:sz w:val="24"/>
          <w:szCs w:val="24"/>
        </w:rPr>
        <w:t xml:space="preserve">call </w:t>
      </w:r>
      <w:r>
        <w:rPr>
          <w:rFonts w:ascii="Times New Roman" w:eastAsia="Times New Roman" w:hAnsi="Times New Roman" w:cs="Times New Roman"/>
          <w:sz w:val="24"/>
          <w:szCs w:val="24"/>
        </w:rPr>
        <w:t>license holder</w:t>
      </w:r>
      <w:r w:rsidR="0019057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randomly selected from the sample frame</w:t>
      </w:r>
      <w:r w:rsidR="009D76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will vary the calls by time of day and day of week.  </w:t>
      </w:r>
      <w:r w:rsidR="00190571">
        <w:rPr>
          <w:rFonts w:ascii="Times New Roman" w:eastAsia="Times New Roman" w:hAnsi="Times New Roman" w:cs="Times New Roman"/>
          <w:sz w:val="24"/>
          <w:szCs w:val="24"/>
        </w:rPr>
        <w:t xml:space="preserve">Anglers who do not answer </w:t>
      </w:r>
      <w:r>
        <w:rPr>
          <w:rFonts w:ascii="Times New Roman" w:eastAsia="Times New Roman" w:hAnsi="Times New Roman" w:cs="Times New Roman"/>
          <w:sz w:val="24"/>
          <w:szCs w:val="24"/>
        </w:rPr>
        <w:t xml:space="preserve">their phone but </w:t>
      </w:r>
      <w:r w:rsidR="003A68C9">
        <w:rPr>
          <w:rFonts w:ascii="Times New Roman" w:eastAsia="Times New Roman" w:hAnsi="Times New Roman" w:cs="Times New Roman"/>
          <w:sz w:val="24"/>
          <w:szCs w:val="24"/>
        </w:rPr>
        <w:t xml:space="preserve">later </w:t>
      </w:r>
      <w:r w:rsidR="00190571">
        <w:rPr>
          <w:rFonts w:ascii="Times New Roman" w:eastAsia="Times New Roman" w:hAnsi="Times New Roman" w:cs="Times New Roman"/>
          <w:sz w:val="24"/>
          <w:szCs w:val="24"/>
        </w:rPr>
        <w:t xml:space="preserve">call the </w:t>
      </w:r>
      <w:r w:rsidR="00034F85">
        <w:rPr>
          <w:rFonts w:ascii="Times New Roman" w:eastAsia="Times New Roman" w:hAnsi="Times New Roman" w:cs="Times New Roman"/>
          <w:sz w:val="24"/>
          <w:szCs w:val="24"/>
        </w:rPr>
        <w:t xml:space="preserve">contractor’s </w:t>
      </w:r>
      <w:r w:rsidR="00190571">
        <w:rPr>
          <w:rFonts w:ascii="Times New Roman" w:eastAsia="Times New Roman" w:hAnsi="Times New Roman" w:cs="Times New Roman"/>
          <w:sz w:val="24"/>
          <w:szCs w:val="24"/>
        </w:rPr>
        <w:t xml:space="preserve">number that shows up on caller ID will hear a recorded message indicating the purpose of the call.  By making </w:t>
      </w:r>
      <w:r w:rsidR="00D952FF">
        <w:rPr>
          <w:rFonts w:ascii="Times New Roman" w:eastAsia="Times New Roman" w:hAnsi="Times New Roman" w:cs="Times New Roman"/>
          <w:sz w:val="24"/>
          <w:szCs w:val="24"/>
        </w:rPr>
        <w:t xml:space="preserve">them </w:t>
      </w:r>
      <w:r w:rsidR="00190571">
        <w:rPr>
          <w:rFonts w:ascii="Times New Roman" w:eastAsia="Times New Roman" w:hAnsi="Times New Roman" w:cs="Times New Roman"/>
          <w:sz w:val="24"/>
          <w:szCs w:val="24"/>
        </w:rPr>
        <w:t xml:space="preserve">aware that </w:t>
      </w:r>
      <w:r w:rsidR="00D952FF">
        <w:rPr>
          <w:rFonts w:ascii="Times New Roman" w:eastAsia="Times New Roman" w:hAnsi="Times New Roman" w:cs="Times New Roman"/>
          <w:sz w:val="24"/>
          <w:szCs w:val="24"/>
        </w:rPr>
        <w:t xml:space="preserve">the </w:t>
      </w:r>
      <w:r w:rsidR="00190571">
        <w:rPr>
          <w:rFonts w:ascii="Times New Roman" w:eastAsia="Times New Roman" w:hAnsi="Times New Roman" w:cs="Times New Roman"/>
          <w:sz w:val="24"/>
          <w:szCs w:val="24"/>
        </w:rPr>
        <w:t>call</w:t>
      </w:r>
      <w:r w:rsidR="00D952FF">
        <w:rPr>
          <w:rFonts w:ascii="Times New Roman" w:eastAsia="Times New Roman" w:hAnsi="Times New Roman" w:cs="Times New Roman"/>
          <w:sz w:val="24"/>
          <w:szCs w:val="24"/>
        </w:rPr>
        <w:t xml:space="preserve"> was </w:t>
      </w:r>
      <w:r w:rsidR="00190571">
        <w:rPr>
          <w:rFonts w:ascii="Times New Roman" w:eastAsia="Times New Roman" w:hAnsi="Times New Roman" w:cs="Times New Roman"/>
          <w:sz w:val="24"/>
          <w:szCs w:val="24"/>
        </w:rPr>
        <w:t xml:space="preserve">not for marketing purposes, </w:t>
      </w:r>
      <w:r w:rsidR="00D952FF">
        <w:rPr>
          <w:rFonts w:ascii="Times New Roman" w:eastAsia="Times New Roman" w:hAnsi="Times New Roman" w:cs="Times New Roman"/>
          <w:sz w:val="24"/>
          <w:szCs w:val="24"/>
        </w:rPr>
        <w:t>angle</w:t>
      </w:r>
      <w:r w:rsidR="00ED1C01">
        <w:rPr>
          <w:rFonts w:ascii="Times New Roman" w:eastAsia="Times New Roman" w:hAnsi="Times New Roman" w:cs="Times New Roman"/>
          <w:sz w:val="24"/>
          <w:szCs w:val="24"/>
        </w:rPr>
        <w:t>r</w:t>
      </w:r>
      <w:r w:rsidR="00D952FF">
        <w:rPr>
          <w:rFonts w:ascii="Times New Roman" w:eastAsia="Times New Roman" w:hAnsi="Times New Roman" w:cs="Times New Roman"/>
          <w:sz w:val="24"/>
          <w:szCs w:val="24"/>
        </w:rPr>
        <w:t xml:space="preserve">s </w:t>
      </w:r>
      <w:r w:rsidR="00190571">
        <w:rPr>
          <w:rFonts w:ascii="Times New Roman" w:eastAsia="Times New Roman" w:hAnsi="Times New Roman" w:cs="Times New Roman"/>
          <w:sz w:val="24"/>
          <w:szCs w:val="24"/>
        </w:rPr>
        <w:t>may be more receptive to picking up the phone the next time they get a call</w:t>
      </w:r>
      <w:r w:rsidR="00D952FF">
        <w:rPr>
          <w:rFonts w:ascii="Times New Roman" w:eastAsia="Times New Roman" w:hAnsi="Times New Roman" w:cs="Times New Roman"/>
          <w:sz w:val="24"/>
          <w:szCs w:val="24"/>
        </w:rPr>
        <w:t xml:space="preserve"> from this number</w:t>
      </w:r>
      <w:r w:rsidR="00875B3B">
        <w:rPr>
          <w:rFonts w:ascii="Times New Roman" w:eastAsia="Times New Roman" w:hAnsi="Times New Roman" w:cs="Times New Roman"/>
          <w:sz w:val="24"/>
          <w:szCs w:val="24"/>
        </w:rPr>
        <w:t xml:space="preserve">.  </w:t>
      </w:r>
      <w:r w:rsidR="00E56D7A">
        <w:rPr>
          <w:rFonts w:ascii="Times New Roman" w:eastAsia="Times New Roman" w:hAnsi="Times New Roman" w:cs="Times New Roman"/>
          <w:sz w:val="24"/>
          <w:szCs w:val="24"/>
        </w:rPr>
        <w:t>Also, t</w:t>
      </w:r>
      <w:r w:rsidR="00ED1C01">
        <w:rPr>
          <w:rFonts w:ascii="Times New Roman" w:eastAsia="Times New Roman" w:hAnsi="Times New Roman" w:cs="Times New Roman"/>
          <w:sz w:val="24"/>
          <w:szCs w:val="24"/>
        </w:rPr>
        <w:t xml:space="preserve">elephone screeners employed by the survey contractor have </w:t>
      </w:r>
      <w:r w:rsidR="00875B3B">
        <w:rPr>
          <w:rFonts w:ascii="Times New Roman" w:eastAsia="Times New Roman" w:hAnsi="Times New Roman" w:cs="Times New Roman"/>
          <w:sz w:val="24"/>
          <w:szCs w:val="24"/>
        </w:rPr>
        <w:t xml:space="preserve">an average </w:t>
      </w:r>
      <w:r w:rsidR="00ED1C01">
        <w:rPr>
          <w:rFonts w:ascii="Times New Roman" w:eastAsia="Times New Roman" w:hAnsi="Times New Roman" w:cs="Times New Roman"/>
          <w:sz w:val="24"/>
          <w:szCs w:val="24"/>
        </w:rPr>
        <w:t>2-5 years of experience with angler surveys, so</w:t>
      </w:r>
      <w:r w:rsidR="00875B3B">
        <w:rPr>
          <w:rFonts w:ascii="Times New Roman" w:eastAsia="Times New Roman" w:hAnsi="Times New Roman" w:cs="Times New Roman"/>
          <w:sz w:val="24"/>
          <w:szCs w:val="24"/>
        </w:rPr>
        <w:t xml:space="preserve"> are well versed in engaging anglers and soliciting their cooperation.</w:t>
      </w:r>
      <w:r w:rsidR="00ED1C01">
        <w:rPr>
          <w:rFonts w:ascii="Times New Roman" w:eastAsia="Times New Roman" w:hAnsi="Times New Roman" w:cs="Times New Roman"/>
          <w:sz w:val="24"/>
          <w:szCs w:val="24"/>
        </w:rPr>
        <w:t xml:space="preserve"> </w:t>
      </w:r>
    </w:p>
    <w:p w:rsidR="00275A96" w:rsidRDefault="00275A96" w:rsidP="007A0521">
      <w:pPr>
        <w:autoSpaceDE w:val="0"/>
        <w:autoSpaceDN w:val="0"/>
        <w:adjustRightInd w:val="0"/>
        <w:spacing w:after="0" w:line="240" w:lineRule="auto"/>
        <w:contextualSpacing/>
        <w:rPr>
          <w:rFonts w:ascii="Times New Roman" w:eastAsia="Times New Roman" w:hAnsi="Times New Roman" w:cs="Times New Roman"/>
          <w:sz w:val="24"/>
          <w:szCs w:val="24"/>
        </w:rPr>
      </w:pPr>
    </w:p>
    <w:p w:rsidR="00275A96" w:rsidRPr="00074749" w:rsidRDefault="00275A96" w:rsidP="007A0521">
      <w:pPr>
        <w:autoSpaceDE w:val="0"/>
        <w:autoSpaceDN w:val="0"/>
        <w:adjustRightInd w:val="0"/>
        <w:spacing w:after="0" w:line="240" w:lineRule="auto"/>
        <w:contextualSpacing/>
        <w:rPr>
          <w:rFonts w:ascii="Times New Roman" w:eastAsia="Times New Roman" w:hAnsi="Times New Roman" w:cs="Times New Roman"/>
          <w:b/>
          <w:i/>
          <w:sz w:val="24"/>
          <w:szCs w:val="24"/>
          <w:u w:val="single"/>
        </w:rPr>
      </w:pPr>
      <w:r w:rsidRPr="00074749">
        <w:rPr>
          <w:rFonts w:ascii="Times New Roman" w:eastAsia="Times New Roman" w:hAnsi="Times New Roman" w:cs="Times New Roman"/>
          <w:b/>
          <w:i/>
          <w:sz w:val="24"/>
          <w:szCs w:val="24"/>
          <w:u w:val="single"/>
        </w:rPr>
        <w:t>Mail survey</w:t>
      </w:r>
    </w:p>
    <w:p w:rsidR="00275A96" w:rsidRDefault="00275A96" w:rsidP="007A0521">
      <w:pPr>
        <w:autoSpaceDE w:val="0"/>
        <w:autoSpaceDN w:val="0"/>
        <w:adjustRightInd w:val="0"/>
        <w:spacing w:after="0" w:line="240" w:lineRule="auto"/>
        <w:contextualSpacing/>
        <w:rPr>
          <w:rFonts w:ascii="Times New Roman" w:eastAsia="Times New Roman" w:hAnsi="Times New Roman" w:cs="Times New Roman"/>
          <w:sz w:val="24"/>
          <w:szCs w:val="24"/>
        </w:rPr>
      </w:pPr>
    </w:p>
    <w:p w:rsidR="007A0521" w:rsidRDefault="00571C74" w:rsidP="007A0521">
      <w:pPr>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Developing an appealing and understandable survey instrument is imp</w:t>
      </w:r>
      <w:r>
        <w:rPr>
          <w:rFonts w:ascii="Times New Roman" w:eastAsia="Times New Roman" w:hAnsi="Times New Roman" w:cs="Times New Roman"/>
          <w:sz w:val="24"/>
          <w:szCs w:val="24"/>
        </w:rPr>
        <w:t>ortant for</w:t>
      </w:r>
      <w:r w:rsidRPr="00E07611">
        <w:rPr>
          <w:rFonts w:ascii="Times New Roman" w:eastAsia="Times New Roman" w:hAnsi="Times New Roman" w:cs="Times New Roman"/>
          <w:sz w:val="24"/>
          <w:szCs w:val="24"/>
        </w:rPr>
        <w:t xml:space="preserve"> achiev</w:t>
      </w:r>
      <w:r>
        <w:rPr>
          <w:rFonts w:ascii="Times New Roman" w:eastAsia="Times New Roman" w:hAnsi="Times New Roman" w:cs="Times New Roman"/>
          <w:sz w:val="24"/>
          <w:szCs w:val="24"/>
        </w:rPr>
        <w:t>ing</w:t>
      </w:r>
      <w:r w:rsidRPr="00E07611">
        <w:rPr>
          <w:rFonts w:ascii="Times New Roman" w:eastAsia="Times New Roman" w:hAnsi="Times New Roman" w:cs="Times New Roman"/>
          <w:sz w:val="24"/>
          <w:szCs w:val="24"/>
        </w:rPr>
        <w:t xml:space="preserve"> high response rates</w:t>
      </w:r>
      <w:r>
        <w:rPr>
          <w:rFonts w:ascii="Times New Roman" w:eastAsia="Times New Roman" w:hAnsi="Times New Roman" w:cs="Times New Roman"/>
          <w:sz w:val="24"/>
          <w:szCs w:val="24"/>
        </w:rPr>
        <w:t xml:space="preserve">. </w:t>
      </w:r>
      <w:r w:rsidR="006B6EDC">
        <w:rPr>
          <w:rFonts w:ascii="Times New Roman" w:eastAsia="Times New Roman" w:hAnsi="Times New Roman" w:cs="Times New Roman"/>
          <w:sz w:val="24"/>
          <w:szCs w:val="24"/>
        </w:rPr>
        <w:t xml:space="preserve"> </w:t>
      </w:r>
      <w:r w:rsidR="00E544F1">
        <w:rPr>
          <w:rFonts w:ascii="Times New Roman" w:eastAsia="Times New Roman" w:hAnsi="Times New Roman" w:cs="Times New Roman"/>
          <w:sz w:val="24"/>
          <w:szCs w:val="24"/>
        </w:rPr>
        <w:t>NOAA Fisheries</w:t>
      </w:r>
      <w:r w:rsidR="007A0521">
        <w:rPr>
          <w:rFonts w:ascii="Times New Roman" w:eastAsia="Times New Roman" w:hAnsi="Times New Roman" w:cs="Times New Roman"/>
          <w:sz w:val="24"/>
          <w:szCs w:val="24"/>
        </w:rPr>
        <w:t xml:space="preserve"> economists with survey expertise</w:t>
      </w:r>
      <w:r w:rsidR="008A2BEF">
        <w:rPr>
          <w:rFonts w:ascii="Times New Roman" w:eastAsia="Times New Roman" w:hAnsi="Times New Roman" w:cs="Times New Roman"/>
          <w:sz w:val="24"/>
          <w:szCs w:val="24"/>
        </w:rPr>
        <w:t xml:space="preserve"> and </w:t>
      </w:r>
      <w:r w:rsidR="007A0521">
        <w:rPr>
          <w:rFonts w:ascii="Times New Roman" w:eastAsia="Times New Roman" w:hAnsi="Times New Roman" w:cs="Times New Roman"/>
          <w:sz w:val="24"/>
          <w:szCs w:val="24"/>
        </w:rPr>
        <w:t>the survey contractor</w:t>
      </w:r>
      <w:r w:rsidR="008A2BEF">
        <w:rPr>
          <w:rFonts w:ascii="Times New Roman" w:eastAsia="Times New Roman" w:hAnsi="Times New Roman" w:cs="Times New Roman"/>
          <w:sz w:val="24"/>
          <w:szCs w:val="24"/>
        </w:rPr>
        <w:t xml:space="preserve"> </w:t>
      </w:r>
      <w:r w:rsidR="007A0521">
        <w:rPr>
          <w:rFonts w:ascii="Times New Roman" w:eastAsia="Times New Roman" w:hAnsi="Times New Roman" w:cs="Times New Roman"/>
          <w:sz w:val="24"/>
          <w:szCs w:val="24"/>
        </w:rPr>
        <w:t xml:space="preserve">were consulted extensively regarding the format and wording of the survey.  </w:t>
      </w:r>
      <w:r w:rsidR="008A2BEF">
        <w:rPr>
          <w:rFonts w:ascii="Times New Roman" w:eastAsia="Times New Roman" w:hAnsi="Times New Roman" w:cs="Times New Roman"/>
          <w:sz w:val="24"/>
          <w:szCs w:val="24"/>
        </w:rPr>
        <w:t>Biologists and managers</w:t>
      </w:r>
      <w:r w:rsidR="007A0521">
        <w:rPr>
          <w:rFonts w:ascii="Times New Roman" w:eastAsia="Times New Roman" w:hAnsi="Times New Roman" w:cs="Times New Roman"/>
          <w:sz w:val="24"/>
          <w:szCs w:val="24"/>
        </w:rPr>
        <w:t xml:space="preserve"> from CDFW and </w:t>
      </w:r>
      <w:r w:rsidR="00E544F1">
        <w:rPr>
          <w:rFonts w:ascii="Times New Roman" w:eastAsia="Times New Roman" w:hAnsi="Times New Roman" w:cs="Times New Roman"/>
          <w:sz w:val="24"/>
          <w:szCs w:val="24"/>
        </w:rPr>
        <w:t>NOAA Fisheries</w:t>
      </w:r>
      <w:r w:rsidR="007A0521">
        <w:rPr>
          <w:rFonts w:ascii="Times New Roman" w:eastAsia="Times New Roman" w:hAnsi="Times New Roman" w:cs="Times New Roman"/>
          <w:sz w:val="24"/>
          <w:szCs w:val="24"/>
        </w:rPr>
        <w:t xml:space="preserve"> with expertise on Central Valley fisheries and/or salmon habitat restoration (including fish</w:t>
      </w:r>
      <w:r w:rsidR="008A2BEF">
        <w:rPr>
          <w:rFonts w:ascii="Times New Roman" w:eastAsia="Times New Roman" w:hAnsi="Times New Roman" w:cs="Times New Roman"/>
          <w:sz w:val="24"/>
          <w:szCs w:val="24"/>
        </w:rPr>
        <w:t xml:space="preserve"> passage) </w:t>
      </w:r>
      <w:r w:rsidR="007A0521">
        <w:rPr>
          <w:rFonts w:ascii="Times New Roman" w:eastAsia="Times New Roman" w:hAnsi="Times New Roman" w:cs="Times New Roman"/>
          <w:sz w:val="24"/>
          <w:szCs w:val="24"/>
        </w:rPr>
        <w:t xml:space="preserve">were also consulted.  </w:t>
      </w:r>
      <w:r w:rsidR="008A2BEF">
        <w:rPr>
          <w:rFonts w:ascii="Times New Roman" w:eastAsia="Times New Roman" w:hAnsi="Times New Roman" w:cs="Times New Roman"/>
          <w:sz w:val="24"/>
          <w:szCs w:val="24"/>
        </w:rPr>
        <w:t xml:space="preserve">A GIS analyst produced multiple iterations of the map to improve clarity.  </w:t>
      </w:r>
      <w:r w:rsidR="007A0521">
        <w:rPr>
          <w:rFonts w:ascii="Times New Roman" w:eastAsia="Times New Roman" w:hAnsi="Times New Roman" w:cs="Times New Roman"/>
          <w:sz w:val="24"/>
          <w:szCs w:val="24"/>
        </w:rPr>
        <w:t>Four f</w:t>
      </w:r>
      <w:r w:rsidRPr="00E07611">
        <w:rPr>
          <w:rFonts w:ascii="Times New Roman" w:eastAsia="Times New Roman" w:hAnsi="Times New Roman" w:cs="Times New Roman"/>
          <w:sz w:val="24"/>
          <w:szCs w:val="24"/>
        </w:rPr>
        <w:t xml:space="preserve">ocus groups were conducted </w:t>
      </w:r>
      <w:r w:rsidR="007939C7">
        <w:rPr>
          <w:rFonts w:ascii="Times New Roman" w:eastAsia="Times New Roman" w:hAnsi="Times New Roman" w:cs="Times New Roman"/>
          <w:sz w:val="24"/>
          <w:szCs w:val="24"/>
        </w:rPr>
        <w:t xml:space="preserve">in </w:t>
      </w:r>
      <w:r w:rsidR="0080129C">
        <w:rPr>
          <w:rFonts w:ascii="Times New Roman" w:eastAsia="Times New Roman" w:hAnsi="Times New Roman" w:cs="Times New Roman"/>
          <w:sz w:val="24"/>
          <w:szCs w:val="24"/>
        </w:rPr>
        <w:t xml:space="preserve">Sacramento </w:t>
      </w:r>
      <w:r w:rsidR="008A2BEF">
        <w:rPr>
          <w:rFonts w:ascii="Times New Roman" w:eastAsia="Times New Roman" w:hAnsi="Times New Roman" w:cs="Times New Roman"/>
          <w:sz w:val="24"/>
          <w:szCs w:val="24"/>
        </w:rPr>
        <w:t xml:space="preserve">to ensure </w:t>
      </w:r>
      <w:r w:rsidRPr="00E07611">
        <w:rPr>
          <w:rFonts w:ascii="Times New Roman" w:eastAsia="Times New Roman" w:hAnsi="Times New Roman" w:cs="Times New Roman"/>
          <w:sz w:val="24"/>
          <w:szCs w:val="24"/>
        </w:rPr>
        <w:t xml:space="preserve">that key concepts and terms were </w:t>
      </w:r>
      <w:r>
        <w:rPr>
          <w:rFonts w:ascii="Times New Roman" w:eastAsia="Times New Roman" w:hAnsi="Times New Roman" w:cs="Times New Roman"/>
          <w:sz w:val="24"/>
          <w:szCs w:val="24"/>
        </w:rPr>
        <w:t xml:space="preserve">correctly used and </w:t>
      </w:r>
      <w:r w:rsidRPr="00E07611">
        <w:rPr>
          <w:rFonts w:ascii="Times New Roman" w:eastAsia="Times New Roman" w:hAnsi="Times New Roman" w:cs="Times New Roman"/>
          <w:sz w:val="24"/>
          <w:szCs w:val="24"/>
        </w:rPr>
        <w:t>understood</w:t>
      </w:r>
      <w:r>
        <w:rPr>
          <w:rFonts w:ascii="Times New Roman" w:eastAsia="Times New Roman" w:hAnsi="Times New Roman" w:cs="Times New Roman"/>
          <w:sz w:val="24"/>
          <w:szCs w:val="24"/>
        </w:rPr>
        <w:t xml:space="preserve">, </w:t>
      </w:r>
      <w:r w:rsidRPr="00E07611">
        <w:rPr>
          <w:rFonts w:ascii="Times New Roman" w:eastAsia="Times New Roman" w:hAnsi="Times New Roman" w:cs="Times New Roman"/>
          <w:sz w:val="24"/>
          <w:szCs w:val="24"/>
        </w:rPr>
        <w:t>and for ev</w:t>
      </w:r>
      <w:r>
        <w:rPr>
          <w:rFonts w:ascii="Times New Roman" w:eastAsia="Times New Roman" w:hAnsi="Times New Roman" w:cs="Times New Roman"/>
          <w:sz w:val="24"/>
          <w:szCs w:val="24"/>
        </w:rPr>
        <w:t xml:space="preserve">aluating the overall design, </w:t>
      </w:r>
      <w:r w:rsidRPr="00E07611">
        <w:rPr>
          <w:rFonts w:ascii="Times New Roman" w:eastAsia="Times New Roman" w:hAnsi="Times New Roman" w:cs="Times New Roman"/>
          <w:sz w:val="24"/>
          <w:szCs w:val="24"/>
        </w:rPr>
        <w:t>format</w:t>
      </w:r>
      <w:r>
        <w:rPr>
          <w:rFonts w:ascii="Times New Roman" w:eastAsia="Times New Roman" w:hAnsi="Times New Roman" w:cs="Times New Roman"/>
          <w:sz w:val="24"/>
          <w:szCs w:val="24"/>
        </w:rPr>
        <w:t>, and length</w:t>
      </w:r>
      <w:r w:rsidR="008A2BEF">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questionnaire</w:t>
      </w:r>
      <w:r w:rsidR="008A2BEF">
        <w:rPr>
          <w:rFonts w:ascii="Times New Roman" w:eastAsia="Times New Roman" w:hAnsi="Times New Roman" w:cs="Times New Roman"/>
          <w:sz w:val="24"/>
          <w:szCs w:val="24"/>
        </w:rPr>
        <w:t xml:space="preserve">. </w:t>
      </w:r>
      <w:r w:rsidR="006B6EDC">
        <w:rPr>
          <w:rFonts w:ascii="Times New Roman" w:eastAsia="Times New Roman" w:hAnsi="Times New Roman" w:cs="Times New Roman"/>
          <w:sz w:val="24"/>
          <w:szCs w:val="24"/>
        </w:rPr>
        <w:t xml:space="preserve"> </w:t>
      </w:r>
      <w:r w:rsidR="007A0521">
        <w:rPr>
          <w:rFonts w:ascii="Times New Roman" w:eastAsia="Times New Roman" w:hAnsi="Times New Roman" w:cs="Times New Roman"/>
          <w:sz w:val="24"/>
          <w:szCs w:val="24"/>
        </w:rPr>
        <w:t>A</w:t>
      </w:r>
      <w:r w:rsidR="007A0521" w:rsidRPr="007A0521">
        <w:rPr>
          <w:rFonts w:ascii="Times New Roman" w:eastAsia="Times New Roman" w:hAnsi="Times New Roman" w:cs="Times New Roman"/>
          <w:sz w:val="24"/>
          <w:szCs w:val="24"/>
        </w:rPr>
        <w:t xml:space="preserve"> </w:t>
      </w:r>
      <w:r w:rsidR="007A0521">
        <w:rPr>
          <w:rFonts w:ascii="Times New Roman" w:eastAsia="Times New Roman" w:hAnsi="Times New Roman" w:cs="Times New Roman"/>
          <w:sz w:val="24"/>
          <w:szCs w:val="24"/>
        </w:rPr>
        <w:t>self-addressed, stamped envelope</w:t>
      </w:r>
      <w:r w:rsidR="008A2BEF">
        <w:rPr>
          <w:rFonts w:ascii="Times New Roman" w:eastAsia="Times New Roman" w:hAnsi="Times New Roman" w:cs="Times New Roman"/>
          <w:sz w:val="24"/>
          <w:szCs w:val="24"/>
        </w:rPr>
        <w:t xml:space="preserve"> will accompany the questionnaire, to encourage response.</w:t>
      </w:r>
    </w:p>
    <w:p w:rsidR="002401DD" w:rsidRDefault="002401DD" w:rsidP="007A0521">
      <w:pPr>
        <w:autoSpaceDE w:val="0"/>
        <w:autoSpaceDN w:val="0"/>
        <w:adjustRightInd w:val="0"/>
        <w:spacing w:after="0" w:line="240" w:lineRule="auto"/>
        <w:contextualSpacing/>
        <w:rPr>
          <w:rFonts w:ascii="Times New Roman" w:eastAsia="Times New Roman" w:hAnsi="Times New Roman" w:cs="Times New Roman"/>
          <w:sz w:val="24"/>
          <w:szCs w:val="24"/>
        </w:rPr>
      </w:pPr>
    </w:p>
    <w:p w:rsidR="00571C74" w:rsidRDefault="00571C74" w:rsidP="00FC6A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 xml:space="preserve">The implementation protocol that will be employed </w:t>
      </w:r>
      <w:r w:rsidR="00275A96">
        <w:rPr>
          <w:rFonts w:ascii="Times New Roman" w:eastAsia="Times New Roman" w:hAnsi="Times New Roman" w:cs="Times New Roman"/>
          <w:sz w:val="24"/>
          <w:szCs w:val="24"/>
        </w:rPr>
        <w:t xml:space="preserve">for the mail survey </w:t>
      </w:r>
      <w:r>
        <w:rPr>
          <w:rFonts w:ascii="Times New Roman" w:eastAsia="Times New Roman" w:hAnsi="Times New Roman" w:cs="Times New Roman"/>
          <w:sz w:val="24"/>
          <w:szCs w:val="24"/>
        </w:rPr>
        <w:t xml:space="preserve">is </w:t>
      </w:r>
      <w:r w:rsidRPr="00E07611">
        <w:rPr>
          <w:rFonts w:ascii="Times New Roman" w:eastAsia="Times New Roman" w:hAnsi="Times New Roman" w:cs="Times New Roman"/>
          <w:sz w:val="24"/>
          <w:szCs w:val="24"/>
        </w:rPr>
        <w:t>based on methods suggested by Dillman</w:t>
      </w:r>
      <w:r w:rsidR="006B6EDC">
        <w:rPr>
          <w:rFonts w:ascii="Times New Roman" w:eastAsia="Times New Roman" w:hAnsi="Times New Roman" w:cs="Times New Roman"/>
          <w:sz w:val="24"/>
          <w:szCs w:val="24"/>
        </w:rPr>
        <w:t>,</w:t>
      </w:r>
      <w:r w:rsidRPr="00E07611">
        <w:rPr>
          <w:rFonts w:ascii="Times New Roman" w:eastAsia="Times New Roman" w:hAnsi="Times New Roman" w:cs="Times New Roman"/>
          <w:sz w:val="24"/>
          <w:szCs w:val="24"/>
        </w:rPr>
        <w:t xml:space="preserve"> et al. (2009)</w:t>
      </w:r>
      <w:r w:rsidR="004F736B">
        <w:rPr>
          <w:rFonts w:ascii="Times New Roman" w:eastAsia="Times New Roman" w:hAnsi="Times New Roman" w:cs="Times New Roman"/>
          <w:sz w:val="24"/>
          <w:szCs w:val="24"/>
        </w:rPr>
        <w:t>,</w:t>
      </w:r>
      <w:r w:rsidR="005057C2">
        <w:rPr>
          <w:rFonts w:ascii="Times New Roman" w:eastAsia="Times New Roman" w:hAnsi="Times New Roman" w:cs="Times New Roman"/>
          <w:sz w:val="24"/>
          <w:szCs w:val="24"/>
        </w:rPr>
        <w:t xml:space="preserve"> as </w:t>
      </w:r>
      <w:r w:rsidR="00275A96">
        <w:rPr>
          <w:rFonts w:ascii="Times New Roman" w:eastAsia="Times New Roman" w:hAnsi="Times New Roman" w:cs="Times New Roman"/>
          <w:sz w:val="24"/>
          <w:szCs w:val="24"/>
        </w:rPr>
        <w:t xml:space="preserve">summarized in </w:t>
      </w:r>
      <w:r w:rsidR="006E1F61">
        <w:rPr>
          <w:rFonts w:ascii="Times New Roman" w:eastAsia="Times New Roman" w:hAnsi="Times New Roman" w:cs="Times New Roman"/>
          <w:sz w:val="24"/>
          <w:szCs w:val="24"/>
        </w:rPr>
        <w:t xml:space="preserve">Table B-4. </w:t>
      </w:r>
      <w:r w:rsidR="00275A96">
        <w:rPr>
          <w:rFonts w:ascii="Times New Roman" w:eastAsia="Times New Roman" w:hAnsi="Times New Roman" w:cs="Times New Roman"/>
          <w:sz w:val="24"/>
          <w:szCs w:val="24"/>
        </w:rPr>
        <w:t>Steps 1-3</w:t>
      </w:r>
      <w:r w:rsidR="006E1F61">
        <w:rPr>
          <w:rFonts w:ascii="Times New Roman" w:eastAsia="Times New Roman" w:hAnsi="Times New Roman" w:cs="Times New Roman"/>
          <w:sz w:val="24"/>
          <w:szCs w:val="24"/>
        </w:rPr>
        <w:t xml:space="preserve"> will apply to anglers who respond to the fir</w:t>
      </w:r>
      <w:r w:rsidR="00275A96">
        <w:rPr>
          <w:rFonts w:ascii="Times New Roman" w:eastAsia="Times New Roman" w:hAnsi="Times New Roman" w:cs="Times New Roman"/>
          <w:sz w:val="24"/>
          <w:szCs w:val="24"/>
        </w:rPr>
        <w:t>st survey mailing, and steps 1-5</w:t>
      </w:r>
      <w:r w:rsidR="006E1F61">
        <w:rPr>
          <w:rFonts w:ascii="Times New Roman" w:eastAsia="Times New Roman" w:hAnsi="Times New Roman" w:cs="Times New Roman"/>
          <w:sz w:val="24"/>
          <w:szCs w:val="24"/>
        </w:rPr>
        <w:t xml:space="preserve"> will apply to all other anglers (including those who </w:t>
      </w:r>
      <w:r w:rsidR="00E1793D">
        <w:rPr>
          <w:rFonts w:ascii="Times New Roman" w:eastAsia="Times New Roman" w:hAnsi="Times New Roman" w:cs="Times New Roman"/>
          <w:sz w:val="24"/>
          <w:szCs w:val="24"/>
        </w:rPr>
        <w:t xml:space="preserve">subsequently </w:t>
      </w:r>
      <w:r w:rsidR="006E1F61">
        <w:rPr>
          <w:rFonts w:ascii="Times New Roman" w:eastAsia="Times New Roman" w:hAnsi="Times New Roman" w:cs="Times New Roman"/>
          <w:sz w:val="24"/>
          <w:szCs w:val="24"/>
        </w:rPr>
        <w:t>respond to the second mailing</w:t>
      </w:r>
      <w:r w:rsidR="00E1793D">
        <w:rPr>
          <w:rFonts w:ascii="Times New Roman" w:eastAsia="Times New Roman" w:hAnsi="Times New Roman" w:cs="Times New Roman"/>
          <w:sz w:val="24"/>
          <w:szCs w:val="24"/>
        </w:rPr>
        <w:t xml:space="preserve"> or do </w:t>
      </w:r>
      <w:r w:rsidR="00275A96">
        <w:rPr>
          <w:rFonts w:ascii="Times New Roman" w:eastAsia="Times New Roman" w:hAnsi="Times New Roman" w:cs="Times New Roman"/>
          <w:sz w:val="24"/>
          <w:szCs w:val="24"/>
        </w:rPr>
        <w:t>not respond at all</w:t>
      </w:r>
      <w:r w:rsidR="006E1F61">
        <w:rPr>
          <w:rFonts w:ascii="Times New Roman" w:eastAsia="Times New Roman" w:hAnsi="Times New Roman" w:cs="Times New Roman"/>
          <w:sz w:val="24"/>
          <w:szCs w:val="24"/>
        </w:rPr>
        <w:t xml:space="preserve">).  </w:t>
      </w:r>
      <w:r w:rsidR="00D17A36">
        <w:rPr>
          <w:rFonts w:ascii="Times New Roman" w:eastAsia="Times New Roman" w:hAnsi="Times New Roman" w:cs="Times New Roman"/>
          <w:sz w:val="24"/>
          <w:szCs w:val="24"/>
        </w:rPr>
        <w:t xml:space="preserve">Based on the </w:t>
      </w:r>
      <w:r w:rsidR="00D17A36">
        <w:rPr>
          <w:rFonts w:ascii="Times New Roman" w:eastAsia="Times New Roman" w:hAnsi="Times New Roman" w:cs="Times New Roman"/>
          <w:sz w:val="24"/>
          <w:szCs w:val="24"/>
        </w:rPr>
        <w:lastRenderedPageBreak/>
        <w:t xml:space="preserve">NOAA Fisheries </w:t>
      </w:r>
      <w:r w:rsidR="00D17A36" w:rsidRPr="00D17A36">
        <w:rPr>
          <w:rFonts w:ascii="Times New Roman" w:eastAsia="Times New Roman" w:hAnsi="Times New Roman" w:cs="Times New Roman"/>
          <w:sz w:val="24"/>
          <w:szCs w:val="24"/>
        </w:rPr>
        <w:t>contractor’s prior experience with saltwater angler surveys involving random telephone int</w:t>
      </w:r>
      <w:r w:rsidR="00D17A36">
        <w:rPr>
          <w:rFonts w:ascii="Times New Roman" w:eastAsia="Times New Roman" w:hAnsi="Times New Roman" w:cs="Times New Roman"/>
          <w:sz w:val="24"/>
          <w:szCs w:val="24"/>
        </w:rPr>
        <w:t>erviews with a mail follow-up</w:t>
      </w:r>
      <w:r w:rsidR="00522777">
        <w:rPr>
          <w:rFonts w:ascii="Times New Roman" w:eastAsia="Times New Roman" w:hAnsi="Times New Roman" w:cs="Times New Roman"/>
          <w:sz w:val="24"/>
          <w:szCs w:val="24"/>
        </w:rPr>
        <w:t>, about 70</w:t>
      </w:r>
      <w:r w:rsidR="00D17A36">
        <w:rPr>
          <w:rFonts w:ascii="Times New Roman" w:eastAsia="Times New Roman" w:hAnsi="Times New Roman" w:cs="Times New Roman"/>
          <w:sz w:val="24"/>
          <w:szCs w:val="24"/>
        </w:rPr>
        <w:t>% of</w:t>
      </w:r>
      <w:r w:rsidR="00480040">
        <w:rPr>
          <w:rFonts w:ascii="Times New Roman" w:eastAsia="Times New Roman" w:hAnsi="Times New Roman" w:cs="Times New Roman"/>
          <w:sz w:val="24"/>
          <w:szCs w:val="24"/>
        </w:rPr>
        <w:t xml:space="preserve"> anglers </w:t>
      </w:r>
      <w:r w:rsidR="00522777">
        <w:rPr>
          <w:rFonts w:ascii="Times New Roman" w:eastAsia="Times New Roman" w:hAnsi="Times New Roman" w:cs="Times New Roman"/>
          <w:sz w:val="24"/>
          <w:szCs w:val="24"/>
        </w:rPr>
        <w:t xml:space="preserve">who respond to </w:t>
      </w:r>
      <w:r w:rsidR="004F736B">
        <w:rPr>
          <w:rFonts w:ascii="Times New Roman" w:eastAsia="Times New Roman" w:hAnsi="Times New Roman" w:cs="Times New Roman"/>
          <w:sz w:val="24"/>
          <w:szCs w:val="24"/>
        </w:rPr>
        <w:t xml:space="preserve">the </w:t>
      </w:r>
      <w:r w:rsidR="00D17A36">
        <w:rPr>
          <w:rFonts w:ascii="Times New Roman" w:eastAsia="Times New Roman" w:hAnsi="Times New Roman" w:cs="Times New Roman"/>
          <w:sz w:val="24"/>
          <w:szCs w:val="24"/>
        </w:rPr>
        <w:t>mail survey</w:t>
      </w:r>
      <w:r w:rsidR="00A40F81">
        <w:rPr>
          <w:rFonts w:ascii="Times New Roman" w:eastAsia="Times New Roman" w:hAnsi="Times New Roman" w:cs="Times New Roman"/>
          <w:sz w:val="24"/>
          <w:szCs w:val="24"/>
        </w:rPr>
        <w:t xml:space="preserve"> are </w:t>
      </w:r>
      <w:r w:rsidR="004F736B">
        <w:rPr>
          <w:rFonts w:ascii="Times New Roman" w:eastAsia="Times New Roman" w:hAnsi="Times New Roman" w:cs="Times New Roman"/>
          <w:sz w:val="24"/>
          <w:szCs w:val="24"/>
        </w:rPr>
        <w:t xml:space="preserve">expected to </w:t>
      </w:r>
      <w:r w:rsidR="00522777">
        <w:rPr>
          <w:rFonts w:ascii="Times New Roman" w:eastAsia="Times New Roman" w:hAnsi="Times New Roman" w:cs="Times New Roman"/>
          <w:sz w:val="24"/>
          <w:szCs w:val="24"/>
        </w:rPr>
        <w:t xml:space="preserve">do so after the first </w:t>
      </w:r>
      <w:r w:rsidR="00D17A36">
        <w:rPr>
          <w:rFonts w:ascii="Times New Roman" w:eastAsia="Times New Roman" w:hAnsi="Times New Roman" w:cs="Times New Roman"/>
          <w:sz w:val="24"/>
          <w:szCs w:val="24"/>
        </w:rPr>
        <w:t>mailing.</w:t>
      </w:r>
      <w:r w:rsidR="006E1F61">
        <w:rPr>
          <w:rFonts w:ascii="Times New Roman" w:eastAsia="Times New Roman" w:hAnsi="Times New Roman" w:cs="Times New Roman"/>
          <w:sz w:val="24"/>
          <w:szCs w:val="24"/>
        </w:rPr>
        <w:t xml:space="preserve"> </w:t>
      </w:r>
      <w:r w:rsidRPr="00E07611">
        <w:rPr>
          <w:rFonts w:ascii="Times New Roman" w:eastAsia="Times New Roman" w:hAnsi="Times New Roman" w:cs="Times New Roman"/>
          <w:sz w:val="24"/>
          <w:szCs w:val="24"/>
        </w:rPr>
        <w:t xml:space="preserve"> </w:t>
      </w:r>
    </w:p>
    <w:p w:rsidR="005E1082" w:rsidRPr="005E1082" w:rsidRDefault="005E1082" w:rsidP="002401DD">
      <w:pPr>
        <w:widowControl w:val="0"/>
        <w:tabs>
          <w:tab w:val="left" w:pos="-27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6768"/>
        <w:gridCol w:w="1560"/>
        <w:gridCol w:w="1248"/>
      </w:tblGrid>
      <w:tr w:rsidR="00EB6DBB" w:rsidTr="002401DD">
        <w:trPr>
          <w:jc w:val="center"/>
        </w:trPr>
        <w:tc>
          <w:tcPr>
            <w:tcW w:w="9576" w:type="dxa"/>
            <w:gridSpan w:val="3"/>
            <w:shd w:val="clear" w:color="auto" w:fill="D9D9D9" w:themeFill="background1" w:themeFillShade="D9"/>
            <w:vAlign w:val="center"/>
          </w:tcPr>
          <w:p w:rsidR="00EB6DBB" w:rsidRPr="002401DD" w:rsidRDefault="002401DD"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pPr>
            <w:r w:rsidRPr="002401DD">
              <w:t>Table B-5</w:t>
            </w:r>
            <w:r w:rsidR="00EB6DBB" w:rsidRPr="002401DD">
              <w:t xml:space="preserve">.  </w:t>
            </w:r>
            <w:r w:rsidR="00703E2D" w:rsidRPr="002401DD">
              <w:t xml:space="preserve">Steps of </w:t>
            </w:r>
            <w:r w:rsidR="005057C2" w:rsidRPr="002401DD">
              <w:t>mail survey protocol</w:t>
            </w:r>
            <w:r w:rsidR="00206710" w:rsidRPr="002401DD">
              <w:t xml:space="preserve"> </w:t>
            </w:r>
            <w:r w:rsidR="00AE5368" w:rsidRPr="002401DD">
              <w:t>and applicability to anglers who respond to the first survey mailing and other potential respondents</w:t>
            </w:r>
          </w:p>
        </w:tc>
      </w:tr>
      <w:tr w:rsidR="00EB6DBB" w:rsidTr="002401DD">
        <w:trPr>
          <w:jc w:val="center"/>
        </w:trPr>
        <w:tc>
          <w:tcPr>
            <w:tcW w:w="6768" w:type="dxa"/>
            <w:vAlign w:val="center"/>
          </w:tcPr>
          <w:p w:rsidR="003C3882" w:rsidRPr="002401DD" w:rsidRDefault="00C114F0"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i/>
              </w:rPr>
            </w:pPr>
            <w:r w:rsidRPr="002401DD">
              <w:rPr>
                <w:i/>
              </w:rPr>
              <w:t>Steps of mail survey protocol</w:t>
            </w:r>
          </w:p>
        </w:tc>
        <w:tc>
          <w:tcPr>
            <w:tcW w:w="1560"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i/>
              </w:rPr>
            </w:pPr>
            <w:r w:rsidRPr="002401DD">
              <w:rPr>
                <w:i/>
              </w:rPr>
              <w:t>Anglers who respond</w:t>
            </w:r>
            <w:r w:rsidR="00EB6DBB" w:rsidRPr="002401DD">
              <w:rPr>
                <w:i/>
              </w:rPr>
              <w:t xml:space="preserve"> to first survey mailing</w:t>
            </w:r>
          </w:p>
        </w:tc>
        <w:tc>
          <w:tcPr>
            <w:tcW w:w="1248" w:type="dxa"/>
            <w:vAlign w:val="center"/>
          </w:tcPr>
          <w:p w:rsidR="003C3882" w:rsidRPr="002401DD" w:rsidRDefault="005734D6"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i/>
              </w:rPr>
            </w:pPr>
            <w:r w:rsidRPr="002401DD">
              <w:rPr>
                <w:i/>
              </w:rPr>
              <w:t>O</w:t>
            </w:r>
            <w:r w:rsidR="006E1F61" w:rsidRPr="002401DD">
              <w:rPr>
                <w:i/>
              </w:rPr>
              <w:t>ther</w:t>
            </w:r>
            <w:r w:rsidR="006B6EDC" w:rsidRPr="002401DD">
              <w:rPr>
                <w:i/>
              </w:rPr>
              <w:t xml:space="preserve"> </w:t>
            </w:r>
            <w:r w:rsidR="00C114F0" w:rsidRPr="002401DD">
              <w:rPr>
                <w:i/>
              </w:rPr>
              <w:t>potential respondents</w:t>
            </w:r>
            <w:r w:rsidR="00AE5368" w:rsidRPr="002401DD">
              <w:rPr>
                <w:i/>
                <w:vertAlign w:val="superscript"/>
              </w:rPr>
              <w:t>1</w:t>
            </w:r>
          </w:p>
        </w:tc>
      </w:tr>
      <w:tr w:rsidR="00EB6DBB" w:rsidTr="002401DD">
        <w:trPr>
          <w:jc w:val="center"/>
        </w:trPr>
        <w:tc>
          <w:tcPr>
            <w:tcW w:w="6768" w:type="dxa"/>
            <w:vAlign w:val="center"/>
          </w:tcPr>
          <w:p w:rsidR="003C3882" w:rsidRPr="002401DD" w:rsidRDefault="00275A96"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pPr>
            <w:r w:rsidRPr="002401DD">
              <w:t>1</w:t>
            </w:r>
            <w:r w:rsidR="003C3882" w:rsidRPr="002401DD">
              <w:t xml:space="preserve">. Once selected through a telephone screener, an </w:t>
            </w:r>
            <w:r w:rsidR="003C3882" w:rsidRPr="002401DD">
              <w:rPr>
                <w:i/>
              </w:rPr>
              <w:t>advance notice letter</w:t>
            </w:r>
            <w:r w:rsidR="003C3882" w:rsidRPr="002401DD">
              <w:t xml:space="preserve"> will be mailed to notify respondents that a survey will be sent to them in the next few days. This letter will identify the survey as a NOAA Fisheries-sponsored </w:t>
            </w:r>
            <w:proofErr w:type="gramStart"/>
            <w:r w:rsidR="003C3882" w:rsidRPr="002401DD">
              <w:t>study,</w:t>
            </w:r>
            <w:proofErr w:type="gramEnd"/>
            <w:r w:rsidR="003C3882" w:rsidRPr="002401DD">
              <w:t xml:space="preserve"> will emphasize the voluntary nature of the survey and the importance of their participation.</w:t>
            </w:r>
          </w:p>
        </w:tc>
        <w:tc>
          <w:tcPr>
            <w:tcW w:w="1560"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r w:rsidRPr="002401DD">
              <w:t>X</w:t>
            </w:r>
          </w:p>
        </w:tc>
        <w:tc>
          <w:tcPr>
            <w:tcW w:w="1248"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r w:rsidRPr="002401DD">
              <w:t>X</w:t>
            </w:r>
          </w:p>
        </w:tc>
      </w:tr>
      <w:tr w:rsidR="00EB6DBB" w:rsidTr="002401DD">
        <w:trPr>
          <w:jc w:val="center"/>
        </w:trPr>
        <w:tc>
          <w:tcPr>
            <w:tcW w:w="6768" w:type="dxa"/>
            <w:vAlign w:val="center"/>
          </w:tcPr>
          <w:p w:rsidR="003C3882" w:rsidRPr="002401DD" w:rsidRDefault="00275A96"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pPr>
            <w:r w:rsidRPr="002401DD">
              <w:t>2</w:t>
            </w:r>
            <w:r w:rsidR="003C3882" w:rsidRPr="002401DD">
              <w:t xml:space="preserve">. A few days following the advance notice letter, the </w:t>
            </w:r>
            <w:r w:rsidR="003C3882" w:rsidRPr="002401DD">
              <w:rPr>
                <w:i/>
              </w:rPr>
              <w:t xml:space="preserve">survey questionnaire </w:t>
            </w:r>
            <w:r w:rsidR="003C3882" w:rsidRPr="002401DD">
              <w:t>will be mailed to respondents. The survey will include an introductory letter that will explain the purpose of the survey, the sponsor, that participation is voluntary, and the importance of their participation. Surveys will be self-administered.</w:t>
            </w:r>
          </w:p>
        </w:tc>
        <w:tc>
          <w:tcPr>
            <w:tcW w:w="1560"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r w:rsidRPr="002401DD">
              <w:t>X</w:t>
            </w:r>
          </w:p>
        </w:tc>
        <w:tc>
          <w:tcPr>
            <w:tcW w:w="1248"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r w:rsidRPr="002401DD">
              <w:t>X</w:t>
            </w:r>
          </w:p>
        </w:tc>
      </w:tr>
      <w:tr w:rsidR="00EB6DBB" w:rsidTr="002401DD">
        <w:trPr>
          <w:jc w:val="center"/>
        </w:trPr>
        <w:tc>
          <w:tcPr>
            <w:tcW w:w="6768" w:type="dxa"/>
            <w:vAlign w:val="center"/>
          </w:tcPr>
          <w:p w:rsidR="003C3882" w:rsidRPr="002401DD" w:rsidRDefault="00275A96"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pPr>
            <w:r w:rsidRPr="002401DD">
              <w:t>3</w:t>
            </w:r>
            <w:r w:rsidR="003C3882" w:rsidRPr="002401DD">
              <w:t xml:space="preserve">. A </w:t>
            </w:r>
            <w:r w:rsidR="003C3882" w:rsidRPr="002401DD">
              <w:rPr>
                <w:i/>
              </w:rPr>
              <w:t>thank you postcard</w:t>
            </w:r>
            <w:r w:rsidR="003C3882" w:rsidRPr="002401DD">
              <w:t xml:space="preserve"> will be mailed one week after the survey questionnaire.  This postcard will thank respondents who have completed the survey and urge respondents who have completed but not yet mailed it to please do so soon.</w:t>
            </w:r>
          </w:p>
        </w:tc>
        <w:tc>
          <w:tcPr>
            <w:tcW w:w="1560"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r w:rsidRPr="002401DD">
              <w:t>X</w:t>
            </w:r>
          </w:p>
        </w:tc>
        <w:tc>
          <w:tcPr>
            <w:tcW w:w="1248"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r w:rsidRPr="002401DD">
              <w:t>X</w:t>
            </w:r>
          </w:p>
        </w:tc>
      </w:tr>
      <w:tr w:rsidR="00EB6DBB" w:rsidTr="002401DD">
        <w:trPr>
          <w:jc w:val="center"/>
        </w:trPr>
        <w:tc>
          <w:tcPr>
            <w:tcW w:w="6768" w:type="dxa"/>
            <w:vAlign w:val="center"/>
          </w:tcPr>
          <w:p w:rsidR="003C3882" w:rsidRPr="002401DD" w:rsidRDefault="00275A96"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pPr>
            <w:r w:rsidRPr="002401DD">
              <w:t>4</w:t>
            </w:r>
            <w:r w:rsidR="003C3882" w:rsidRPr="002401DD">
              <w:t xml:space="preserve">. A </w:t>
            </w:r>
            <w:r w:rsidR="003C3882" w:rsidRPr="002401DD">
              <w:rPr>
                <w:i/>
              </w:rPr>
              <w:t>replacement survey</w:t>
            </w:r>
            <w:r w:rsidR="003C3882" w:rsidRPr="002401DD">
              <w:t xml:space="preserve"> will be mailed to non-respondents 3 to 4 weeks after the initial survey was mailed. This mailing will indicate that the initial survey was not received and wil</w:t>
            </w:r>
            <w:r w:rsidR="00703E2D" w:rsidRPr="002401DD">
              <w:t xml:space="preserve">l urge the respondent to please </w:t>
            </w:r>
            <w:r w:rsidR="003C3882" w:rsidRPr="002401DD">
              <w:t>complete the replacement.</w:t>
            </w:r>
          </w:p>
        </w:tc>
        <w:tc>
          <w:tcPr>
            <w:tcW w:w="1560"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p>
        </w:tc>
        <w:tc>
          <w:tcPr>
            <w:tcW w:w="1248"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r w:rsidRPr="002401DD">
              <w:t>X</w:t>
            </w:r>
          </w:p>
        </w:tc>
      </w:tr>
      <w:tr w:rsidR="00EB6DBB" w:rsidTr="002401DD">
        <w:trPr>
          <w:jc w:val="center"/>
        </w:trPr>
        <w:tc>
          <w:tcPr>
            <w:tcW w:w="6768" w:type="dxa"/>
            <w:vAlign w:val="center"/>
          </w:tcPr>
          <w:p w:rsidR="003C3882" w:rsidRPr="002401DD" w:rsidRDefault="00275A96" w:rsidP="006B6E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2401DD">
              <w:t>5</w:t>
            </w:r>
            <w:r w:rsidR="003C3882" w:rsidRPr="002401DD">
              <w:t>.</w:t>
            </w:r>
            <w:r w:rsidR="00A71ECB" w:rsidRPr="002401DD">
              <w:t xml:space="preserve"> </w:t>
            </w:r>
            <w:r w:rsidR="003C3882" w:rsidRPr="002401DD">
              <w:t xml:space="preserve">A </w:t>
            </w:r>
            <w:r w:rsidR="003C3882" w:rsidRPr="002401DD">
              <w:rPr>
                <w:i/>
              </w:rPr>
              <w:t>final postcard</w:t>
            </w:r>
            <w:r w:rsidR="003C3882" w:rsidRPr="002401DD">
              <w:t xml:space="preserve"> will be mailed approximately 2 to 4 weeks after the replacement survey mailing. Similar to the thank you postcard above, it will thank respondents who have completed the survey, and urge those who have not to please do so and mail it in soon.</w:t>
            </w:r>
          </w:p>
        </w:tc>
        <w:tc>
          <w:tcPr>
            <w:tcW w:w="1560"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p>
        </w:tc>
        <w:tc>
          <w:tcPr>
            <w:tcW w:w="1248" w:type="dxa"/>
            <w:vAlign w:val="center"/>
          </w:tcPr>
          <w:p w:rsidR="003C3882" w:rsidRPr="002401DD" w:rsidRDefault="003C3882"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pPr>
            <w:r w:rsidRPr="002401DD">
              <w:t>X</w:t>
            </w:r>
          </w:p>
        </w:tc>
      </w:tr>
      <w:tr w:rsidR="00AE5368" w:rsidRPr="002401DD" w:rsidTr="002401DD">
        <w:trPr>
          <w:jc w:val="center"/>
        </w:trPr>
        <w:tc>
          <w:tcPr>
            <w:tcW w:w="9576" w:type="dxa"/>
            <w:gridSpan w:val="3"/>
            <w:vAlign w:val="center"/>
          </w:tcPr>
          <w:p w:rsidR="00AE5368" w:rsidRPr="002401DD" w:rsidRDefault="002401DD" w:rsidP="006B6E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sz w:val="16"/>
                <w:szCs w:val="16"/>
              </w:rPr>
            </w:pPr>
            <w:r w:rsidRPr="002401DD">
              <w:rPr>
                <w:sz w:val="16"/>
                <w:szCs w:val="16"/>
                <w:vertAlign w:val="superscript"/>
              </w:rPr>
              <w:t>1</w:t>
            </w:r>
            <w:r w:rsidR="00AE5368" w:rsidRPr="002401DD">
              <w:rPr>
                <w:sz w:val="16"/>
                <w:szCs w:val="16"/>
              </w:rPr>
              <w:t>Includes anglers who respond to the second mailing and anglers who do not respond at all to the survey.</w:t>
            </w:r>
          </w:p>
        </w:tc>
      </w:tr>
    </w:tbl>
    <w:p w:rsidR="003C3882" w:rsidRDefault="003C3882" w:rsidP="005E108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D77FA1" w:rsidRDefault="00123DA7" w:rsidP="005E108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E1082">
        <w:rPr>
          <w:rFonts w:ascii="Times New Roman" w:eastAsia="Times New Roman" w:hAnsi="Times New Roman" w:cs="Times New Roman"/>
          <w:sz w:val="24"/>
          <w:szCs w:val="24"/>
        </w:rPr>
        <w:t xml:space="preserve">ll </w:t>
      </w:r>
      <w:r w:rsidR="00D77FA1">
        <w:rPr>
          <w:rFonts w:ascii="Times New Roman" w:eastAsia="Times New Roman" w:hAnsi="Times New Roman" w:cs="Times New Roman"/>
          <w:sz w:val="24"/>
          <w:szCs w:val="24"/>
        </w:rPr>
        <w:t xml:space="preserve">of the letters and postcards that will </w:t>
      </w:r>
      <w:r w:rsidR="006B6EDC">
        <w:rPr>
          <w:rFonts w:ascii="Times New Roman" w:eastAsia="Times New Roman" w:hAnsi="Times New Roman" w:cs="Times New Roman"/>
          <w:sz w:val="24"/>
          <w:szCs w:val="24"/>
        </w:rPr>
        <w:t xml:space="preserve">be </w:t>
      </w:r>
      <w:r w:rsidR="00D77FA1">
        <w:rPr>
          <w:rFonts w:ascii="Times New Roman" w:eastAsia="Times New Roman" w:hAnsi="Times New Roman" w:cs="Times New Roman"/>
          <w:sz w:val="24"/>
          <w:szCs w:val="24"/>
        </w:rPr>
        <w:t>sent as part of the Dillman method outlined above</w:t>
      </w:r>
      <w:r>
        <w:rPr>
          <w:rFonts w:ascii="Times New Roman" w:eastAsia="Times New Roman" w:hAnsi="Times New Roman" w:cs="Times New Roman"/>
          <w:sz w:val="24"/>
          <w:szCs w:val="24"/>
        </w:rPr>
        <w:t xml:space="preserve"> are included in this submission.</w:t>
      </w:r>
    </w:p>
    <w:p w:rsidR="005E1082" w:rsidRPr="00802B05" w:rsidRDefault="005E1082" w:rsidP="005E108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571C74" w:rsidRPr="00884743"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u w:val="single"/>
        </w:rPr>
      </w:pPr>
      <w:r w:rsidRPr="00884743">
        <w:rPr>
          <w:rFonts w:ascii="Times New Roman" w:eastAsia="Times New Roman" w:hAnsi="Times New Roman" w:cs="Times New Roman"/>
          <w:b/>
          <w:i/>
          <w:sz w:val="24"/>
          <w:szCs w:val="24"/>
          <w:u w:val="single"/>
        </w:rPr>
        <w:t>Nonresponse bias</w:t>
      </w:r>
    </w:p>
    <w:p w:rsidR="00302F81" w:rsidRDefault="00302F81" w:rsidP="006934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hAnsi="Times New Roman" w:cs="Times New Roman"/>
          <w:sz w:val="24"/>
          <w:szCs w:val="24"/>
        </w:rPr>
      </w:pPr>
    </w:p>
    <w:p w:rsidR="0069348F" w:rsidRPr="00EE0C77" w:rsidRDefault="0069348F" w:rsidP="006934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9650D9">
        <w:rPr>
          <w:rFonts w:ascii="Times New Roman" w:hAnsi="Times New Roman" w:cs="Times New Roman"/>
          <w:sz w:val="24"/>
          <w:szCs w:val="24"/>
        </w:rPr>
        <w:t>telephone screener</w:t>
      </w:r>
      <w:r>
        <w:rPr>
          <w:rFonts w:ascii="Times New Roman" w:hAnsi="Times New Roman" w:cs="Times New Roman"/>
          <w:sz w:val="24"/>
          <w:szCs w:val="24"/>
        </w:rPr>
        <w:t xml:space="preserve"> will include a question regarding angler avidity (number of days fished on the Sacramento River </w:t>
      </w:r>
      <w:r w:rsidR="00DA7E05">
        <w:rPr>
          <w:rFonts w:ascii="Times New Roman" w:hAnsi="Times New Roman" w:cs="Times New Roman"/>
          <w:sz w:val="24"/>
          <w:szCs w:val="24"/>
        </w:rPr>
        <w:t xml:space="preserve">system </w:t>
      </w:r>
      <w:r>
        <w:rPr>
          <w:rFonts w:ascii="Times New Roman" w:hAnsi="Times New Roman" w:cs="Times New Roman"/>
          <w:sz w:val="24"/>
          <w:szCs w:val="24"/>
        </w:rPr>
        <w:t>in the past 12 months)</w:t>
      </w:r>
      <w:r w:rsidR="009650D9">
        <w:rPr>
          <w:rFonts w:ascii="Times New Roman" w:hAnsi="Times New Roman" w:cs="Times New Roman"/>
          <w:sz w:val="24"/>
          <w:szCs w:val="24"/>
        </w:rPr>
        <w:t xml:space="preserve">.  </w:t>
      </w:r>
      <w:r>
        <w:rPr>
          <w:rFonts w:ascii="Times New Roman" w:eastAsia="Times New Roman" w:hAnsi="Times New Roman" w:cs="Times New Roman"/>
          <w:sz w:val="24"/>
          <w:szCs w:val="24"/>
        </w:rPr>
        <w:t>If avidity differs significantly between telephone survey respondents and the subset of telephone respondents who complete the mail survey, mail survey responses will be weighted as needed to correct for non-response bias.</w:t>
      </w:r>
      <w:r>
        <w:t xml:space="preserve">   </w:t>
      </w:r>
      <w:r>
        <w:rPr>
          <w:rFonts w:ascii="Times New Roman" w:hAnsi="Times New Roman" w:cs="Times New Roman"/>
          <w:sz w:val="24"/>
          <w:szCs w:val="24"/>
        </w:rPr>
        <w:t xml:space="preserve">This is based on the expectation that more avid anglers will be </w:t>
      </w:r>
      <w:r w:rsidRPr="00EE0C77">
        <w:rPr>
          <w:rFonts w:ascii="Times New Roman" w:hAnsi="Times New Roman" w:cs="Times New Roman"/>
          <w:sz w:val="24"/>
          <w:szCs w:val="24"/>
        </w:rPr>
        <w:t>more likely to return</w:t>
      </w:r>
      <w:r>
        <w:rPr>
          <w:rFonts w:ascii="Times New Roman" w:hAnsi="Times New Roman" w:cs="Times New Roman"/>
          <w:sz w:val="24"/>
          <w:szCs w:val="24"/>
        </w:rPr>
        <w:t xml:space="preserve"> the mail survey than less avid anglers</w:t>
      </w:r>
      <w:r w:rsidRPr="00EE0C77">
        <w:rPr>
          <w:rFonts w:ascii="Times New Roman" w:hAnsi="Times New Roman" w:cs="Times New Roman"/>
          <w:sz w:val="24"/>
          <w:szCs w:val="24"/>
        </w:rPr>
        <w:t xml:space="preserve">.  </w:t>
      </w:r>
    </w:p>
    <w:p w:rsidR="002C3138" w:rsidRDefault="002C3138" w:rsidP="003450F1">
      <w:pPr>
        <w:shd w:val="clear" w:color="auto" w:fill="FFFFFF"/>
        <w:spacing w:after="0" w:line="240" w:lineRule="auto"/>
        <w:contextualSpacing/>
        <w:rPr>
          <w:rFonts w:ascii="Times New Roman" w:eastAsia="Times New Roman" w:hAnsi="Times New Roman" w:cs="Times New Roman"/>
          <w:b/>
          <w:bCs/>
          <w:color w:val="000000"/>
          <w:sz w:val="24"/>
          <w:szCs w:val="24"/>
        </w:rPr>
      </w:pPr>
    </w:p>
    <w:p w:rsidR="009212C0" w:rsidRPr="00E07611" w:rsidRDefault="006B6EDC" w:rsidP="003450F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sidR="009212C0" w:rsidRPr="0019024B">
        <w:rPr>
          <w:rFonts w:ascii="Times New Roman" w:eastAsia="Times New Roman" w:hAnsi="Times New Roman" w:cs="Times New Roman"/>
          <w:b/>
          <w:bCs/>
          <w:color w:val="000000"/>
          <w:sz w:val="24"/>
          <w:szCs w:val="24"/>
        </w:rPr>
        <w:t xml:space="preserve"> Describe any tests of procedure</w:t>
      </w:r>
      <w:r>
        <w:rPr>
          <w:rFonts w:ascii="Times New Roman" w:eastAsia="Times New Roman" w:hAnsi="Times New Roman" w:cs="Times New Roman"/>
          <w:b/>
          <w:bCs/>
          <w:color w:val="000000"/>
          <w:sz w:val="24"/>
          <w:szCs w:val="24"/>
        </w:rPr>
        <w:t xml:space="preserve">s or methods to be undertaken.  </w:t>
      </w:r>
      <w:r w:rsidR="009212C0" w:rsidRPr="0019024B">
        <w:rPr>
          <w:rFonts w:ascii="Times New Roman" w:eastAsia="Times New Roman" w:hAnsi="Times New Roman" w:cs="Times New Roman"/>
          <w:b/>
          <w:bCs/>
          <w:color w:val="000000"/>
          <w:sz w:val="24"/>
          <w:szCs w:val="24"/>
        </w:rPr>
        <w:t>Tests are encouraged as effective means to refine collections, but if ten or more test respondents are involved OMB must give prior approval under the Paperwork Reduction Act.</w:t>
      </w:r>
    </w:p>
    <w:p w:rsidR="000A50B9" w:rsidRDefault="000A50B9"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5371C5" w:rsidRDefault="007C068B"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 xml:space="preserve">As indicated </w:t>
      </w:r>
      <w:r w:rsidR="00B61465">
        <w:rPr>
          <w:rFonts w:ascii="Times New Roman" w:eastAsia="Times New Roman" w:hAnsi="Times New Roman" w:cs="Times New Roman"/>
          <w:sz w:val="24"/>
          <w:szCs w:val="24"/>
        </w:rPr>
        <w:t>above</w:t>
      </w:r>
      <w:r w:rsidRPr="00B61465">
        <w:rPr>
          <w:rFonts w:ascii="Times New Roman" w:eastAsia="Times New Roman" w:hAnsi="Times New Roman" w:cs="Times New Roman"/>
          <w:sz w:val="24"/>
          <w:szCs w:val="24"/>
        </w:rPr>
        <w:t>,</w:t>
      </w:r>
      <w:r w:rsidRPr="00E07611">
        <w:rPr>
          <w:rFonts w:ascii="Times New Roman" w:eastAsia="Times New Roman" w:hAnsi="Times New Roman" w:cs="Times New Roman"/>
          <w:sz w:val="24"/>
          <w:szCs w:val="24"/>
        </w:rPr>
        <w:t xml:space="preserve"> focus groups were conducted </w:t>
      </w:r>
      <w:r w:rsidR="00C22C67">
        <w:rPr>
          <w:rFonts w:ascii="Times New Roman" w:eastAsia="Times New Roman" w:hAnsi="Times New Roman" w:cs="Times New Roman"/>
          <w:sz w:val="24"/>
          <w:szCs w:val="24"/>
        </w:rPr>
        <w:t>to improve the desi</w:t>
      </w:r>
      <w:r w:rsidR="00302F81">
        <w:rPr>
          <w:rFonts w:ascii="Times New Roman" w:eastAsia="Times New Roman" w:hAnsi="Times New Roman" w:cs="Times New Roman"/>
          <w:sz w:val="24"/>
          <w:szCs w:val="24"/>
        </w:rPr>
        <w:t>gn of the survey instrument</w:t>
      </w:r>
      <w:r w:rsidRPr="00E07611">
        <w:rPr>
          <w:rFonts w:ascii="Times New Roman" w:eastAsia="Times New Roman" w:hAnsi="Times New Roman" w:cs="Times New Roman"/>
          <w:sz w:val="24"/>
          <w:szCs w:val="24"/>
        </w:rPr>
        <w:t>. The material covered in each focus group varied, depending on feedback received</w:t>
      </w:r>
      <w:r w:rsidR="00C22C67">
        <w:rPr>
          <w:rFonts w:ascii="Times New Roman" w:eastAsia="Times New Roman" w:hAnsi="Times New Roman" w:cs="Times New Roman"/>
          <w:sz w:val="24"/>
          <w:szCs w:val="24"/>
        </w:rPr>
        <w:t xml:space="preserve"> from </w:t>
      </w:r>
      <w:r w:rsidR="00F43867">
        <w:rPr>
          <w:rFonts w:ascii="Times New Roman" w:eastAsia="Times New Roman" w:hAnsi="Times New Roman" w:cs="Times New Roman"/>
          <w:sz w:val="24"/>
          <w:szCs w:val="24"/>
        </w:rPr>
        <w:t>the previous</w:t>
      </w:r>
      <w:r w:rsidR="00C22C67">
        <w:rPr>
          <w:rFonts w:ascii="Times New Roman" w:eastAsia="Times New Roman" w:hAnsi="Times New Roman" w:cs="Times New Roman"/>
          <w:sz w:val="24"/>
          <w:szCs w:val="24"/>
        </w:rPr>
        <w:t xml:space="preserve"> group</w:t>
      </w:r>
      <w:r w:rsidRPr="00E07611">
        <w:rPr>
          <w:rFonts w:ascii="Times New Roman" w:eastAsia="Times New Roman" w:hAnsi="Times New Roman" w:cs="Times New Roman"/>
          <w:sz w:val="24"/>
          <w:szCs w:val="24"/>
        </w:rPr>
        <w:t>. No more than nine members of the g</w:t>
      </w:r>
      <w:r w:rsidR="00C22C67">
        <w:rPr>
          <w:rFonts w:ascii="Times New Roman" w:eastAsia="Times New Roman" w:hAnsi="Times New Roman" w:cs="Times New Roman"/>
          <w:sz w:val="24"/>
          <w:szCs w:val="24"/>
        </w:rPr>
        <w:t xml:space="preserve">eneral public were included in </w:t>
      </w:r>
    </w:p>
    <w:p w:rsidR="005371C5" w:rsidRDefault="005371C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068B" w:rsidRPr="00E07611" w:rsidRDefault="00C22C67"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each</w:t>
      </w:r>
      <w:proofErr w:type="gramEnd"/>
      <w:r>
        <w:rPr>
          <w:rFonts w:ascii="Times New Roman" w:eastAsia="Times New Roman" w:hAnsi="Times New Roman" w:cs="Times New Roman"/>
          <w:sz w:val="24"/>
          <w:szCs w:val="24"/>
        </w:rPr>
        <w:t xml:space="preserve"> </w:t>
      </w:r>
      <w:r w:rsidR="007C068B" w:rsidRPr="00E07611">
        <w:rPr>
          <w:rFonts w:ascii="Times New Roman" w:eastAsia="Times New Roman" w:hAnsi="Times New Roman" w:cs="Times New Roman"/>
          <w:sz w:val="24"/>
          <w:szCs w:val="24"/>
        </w:rPr>
        <w:t>focus group.</w:t>
      </w:r>
      <w:r w:rsidR="00862D2B">
        <w:rPr>
          <w:rFonts w:ascii="Times New Roman" w:eastAsia="Times New Roman" w:hAnsi="Times New Roman" w:cs="Times New Roman"/>
          <w:sz w:val="24"/>
          <w:szCs w:val="24"/>
        </w:rPr>
        <w:t xml:space="preserve"> A summary of t</w:t>
      </w:r>
      <w:r w:rsidR="00302F81">
        <w:rPr>
          <w:rFonts w:ascii="Times New Roman" w:eastAsia="Times New Roman" w:hAnsi="Times New Roman" w:cs="Times New Roman"/>
          <w:sz w:val="24"/>
          <w:szCs w:val="24"/>
        </w:rPr>
        <w:t xml:space="preserve">he notes taken from the </w:t>
      </w:r>
      <w:r w:rsidR="00862D2B">
        <w:rPr>
          <w:rFonts w:ascii="Times New Roman" w:eastAsia="Times New Roman" w:hAnsi="Times New Roman" w:cs="Times New Roman"/>
          <w:sz w:val="24"/>
          <w:szCs w:val="24"/>
        </w:rPr>
        <w:t>focus group</w:t>
      </w:r>
      <w:r w:rsidR="00123DA7">
        <w:rPr>
          <w:rFonts w:ascii="Times New Roman" w:eastAsia="Times New Roman" w:hAnsi="Times New Roman" w:cs="Times New Roman"/>
          <w:sz w:val="24"/>
          <w:szCs w:val="24"/>
        </w:rPr>
        <w:t>s is included in this submission.</w:t>
      </w:r>
    </w:p>
    <w:p w:rsidR="00C22C67" w:rsidRDefault="00C22C67" w:rsidP="003450F1">
      <w:pPr>
        <w:shd w:val="clear" w:color="auto" w:fill="FFFFFF"/>
        <w:spacing w:after="0" w:line="240" w:lineRule="auto"/>
        <w:contextualSpacing/>
        <w:rPr>
          <w:rFonts w:ascii="Times New Roman" w:eastAsia="Times New Roman" w:hAnsi="Times New Roman" w:cs="Times New Roman"/>
          <w:b/>
          <w:bCs/>
          <w:color w:val="000000"/>
          <w:sz w:val="24"/>
          <w:szCs w:val="24"/>
        </w:rPr>
      </w:pPr>
    </w:p>
    <w:p w:rsidR="009212C0" w:rsidRPr="00E07611" w:rsidRDefault="006B6EDC" w:rsidP="003450F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5. </w:t>
      </w:r>
      <w:r w:rsidR="009212C0" w:rsidRPr="00E07611">
        <w:rPr>
          <w:rFonts w:ascii="Times New Roman" w:eastAsia="Times New Roman" w:hAnsi="Times New Roman" w:cs="Times New Roman"/>
          <w:b/>
          <w:bCs/>
          <w:color w:val="000000"/>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0A50B9" w:rsidRDefault="000A50B9"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rsidR="002C3138"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E07611">
        <w:rPr>
          <w:rFonts w:ascii="Times New Roman" w:eastAsia="Times New Roman" w:hAnsi="Times New Roman" w:cs="Times New Roman"/>
          <w:i/>
          <w:sz w:val="24"/>
          <w:szCs w:val="24"/>
        </w:rPr>
        <w:t>The following individuals were consulted on the statistical aspects of the design</w:t>
      </w:r>
      <w:r>
        <w:rPr>
          <w:rFonts w:ascii="Times New Roman" w:eastAsia="Times New Roman" w:hAnsi="Times New Roman" w:cs="Times New Roman"/>
          <w:i/>
          <w:sz w:val="24"/>
          <w:szCs w:val="24"/>
        </w:rPr>
        <w:t xml:space="preserve"> and will be responsible for analyzing the data collected</w:t>
      </w:r>
      <w:r w:rsidRPr="00E07611">
        <w:rPr>
          <w:rFonts w:ascii="Times New Roman" w:eastAsia="Times New Roman" w:hAnsi="Times New Roman" w:cs="Times New Roman"/>
          <w:i/>
          <w:sz w:val="24"/>
          <w:szCs w:val="24"/>
        </w:rPr>
        <w:t>:</w:t>
      </w:r>
    </w:p>
    <w:p w:rsidR="00BC1407" w:rsidRPr="00E07611" w:rsidRDefault="00BC1407"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Cindy Thomson</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Economist</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NOAA Fisheries</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Southwest Fisheries Science Center</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831-420-3911</w:t>
      </w:r>
    </w:p>
    <w:p w:rsidR="002C3138" w:rsidRPr="00E07611" w:rsidRDefault="00AF62BD"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hyperlink r:id="rId10" w:history="1">
        <w:r w:rsidR="002C3138" w:rsidRPr="00E07611">
          <w:rPr>
            <w:rFonts w:ascii="Times New Roman" w:eastAsia="Times New Roman" w:hAnsi="Times New Roman" w:cs="Times New Roman"/>
            <w:color w:val="0000FF"/>
            <w:sz w:val="24"/>
            <w:szCs w:val="24"/>
            <w:u w:val="single"/>
          </w:rPr>
          <w:t>Cindy.Thomson@noaa.gov</w:t>
        </w:r>
      </w:hyperlink>
    </w:p>
    <w:p w:rsidR="00455FCA" w:rsidRDefault="00455FCA" w:rsidP="00455F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55FCA" w:rsidRPr="00E07611" w:rsidRDefault="00455FCA" w:rsidP="00455F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 xml:space="preserve">Rosemary </w:t>
      </w:r>
      <w:proofErr w:type="spellStart"/>
      <w:r w:rsidRPr="00E07611">
        <w:rPr>
          <w:rFonts w:ascii="Times New Roman" w:eastAsia="Times New Roman" w:hAnsi="Times New Roman" w:cs="Times New Roman"/>
          <w:sz w:val="24"/>
          <w:szCs w:val="24"/>
        </w:rPr>
        <w:t>Kosaka</w:t>
      </w:r>
      <w:proofErr w:type="spellEnd"/>
    </w:p>
    <w:p w:rsidR="00455FCA" w:rsidRPr="00E07611" w:rsidRDefault="00455FCA" w:rsidP="00455F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Economist</w:t>
      </w:r>
    </w:p>
    <w:p w:rsidR="00455FCA" w:rsidRPr="00E07611" w:rsidRDefault="00455FCA" w:rsidP="00455F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NOAA Fisheries</w:t>
      </w:r>
    </w:p>
    <w:p w:rsidR="00455FCA" w:rsidRPr="00E07611" w:rsidRDefault="00455FCA" w:rsidP="00455F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Southwest Fisheries Science Center</w:t>
      </w:r>
    </w:p>
    <w:p w:rsidR="00455FCA" w:rsidRPr="00E07611" w:rsidRDefault="00455FCA" w:rsidP="00455F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831-420-3988</w:t>
      </w:r>
    </w:p>
    <w:p w:rsidR="00455FCA" w:rsidRPr="00E07611" w:rsidRDefault="00AF62BD" w:rsidP="00455F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hyperlink r:id="rId11" w:history="1">
        <w:r w:rsidR="00455FCA" w:rsidRPr="00E07611">
          <w:rPr>
            <w:rFonts w:ascii="Times New Roman" w:eastAsia="Times New Roman" w:hAnsi="Times New Roman" w:cs="Times New Roman"/>
            <w:color w:val="0000FF"/>
            <w:sz w:val="24"/>
            <w:szCs w:val="24"/>
            <w:u w:val="single"/>
          </w:rPr>
          <w:t>Rosemary.Kosaka@noaa.gov</w:t>
        </w:r>
      </w:hyperlink>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2C3138"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E07611">
        <w:rPr>
          <w:rFonts w:ascii="Times New Roman" w:eastAsia="Times New Roman" w:hAnsi="Times New Roman" w:cs="Times New Roman"/>
          <w:i/>
          <w:sz w:val="24"/>
          <w:szCs w:val="24"/>
        </w:rPr>
        <w:t>The followi</w:t>
      </w:r>
      <w:r w:rsidR="00E468DB">
        <w:rPr>
          <w:rFonts w:ascii="Times New Roman" w:eastAsia="Times New Roman" w:hAnsi="Times New Roman" w:cs="Times New Roman"/>
          <w:i/>
          <w:sz w:val="24"/>
          <w:szCs w:val="24"/>
        </w:rPr>
        <w:t xml:space="preserve">ng contractor will be </w:t>
      </w:r>
      <w:r w:rsidRPr="00E07611">
        <w:rPr>
          <w:rFonts w:ascii="Times New Roman" w:eastAsia="Times New Roman" w:hAnsi="Times New Roman" w:cs="Times New Roman"/>
          <w:i/>
          <w:sz w:val="24"/>
          <w:szCs w:val="24"/>
        </w:rPr>
        <w:t>responsible for data collection:</w:t>
      </w:r>
    </w:p>
    <w:p w:rsidR="00BC1407" w:rsidRPr="00E07611" w:rsidRDefault="00BC1407"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rsidR="001B5C76" w:rsidRDefault="001B5C76"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Ernie Brazier</w:t>
      </w:r>
    </w:p>
    <w:p w:rsidR="00F32BBF" w:rsidRDefault="00F32BBF"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CIC Research, Inc.</w:t>
      </w:r>
    </w:p>
    <w:p w:rsidR="001B5C76" w:rsidRDefault="001B5C76"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8361 Vickers St., Suite 200</w:t>
      </w:r>
    </w:p>
    <w:p w:rsidR="00F32BBF" w:rsidRDefault="00F32BBF"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San Diego, CA</w:t>
      </w:r>
      <w:r w:rsidR="001B5C76">
        <w:rPr>
          <w:rFonts w:ascii="Times New Roman" w:eastAsia="Times New Roman" w:hAnsi="Times New Roman" w:cs="Times New Roman"/>
          <w:sz w:val="24"/>
          <w:szCs w:val="24"/>
        </w:rPr>
        <w:t xml:space="preserve">  92111</w:t>
      </w:r>
    </w:p>
    <w:p w:rsidR="00F32BBF" w:rsidRDefault="001B5C76"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858-637-4000</w:t>
      </w:r>
    </w:p>
    <w:p w:rsidR="001B5C76" w:rsidRDefault="00AF62BD"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hyperlink r:id="rId12" w:history="1">
        <w:r w:rsidR="001B5C76" w:rsidRPr="000D6949">
          <w:rPr>
            <w:rStyle w:val="Hyperlink"/>
            <w:rFonts w:ascii="Times New Roman" w:eastAsia="Times New Roman" w:hAnsi="Times New Roman" w:cs="Times New Roman"/>
            <w:sz w:val="24"/>
            <w:szCs w:val="24"/>
          </w:rPr>
          <w:t>ebrazier@cicresearch.com</w:t>
        </w:r>
      </w:hyperlink>
    </w:p>
    <w:p w:rsidR="00D67DDD" w:rsidRDefault="00D67DDD"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1B5C76" w:rsidRPr="00E07611" w:rsidRDefault="001B5C76"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E86CEB" w:rsidRPr="00E07611" w:rsidRDefault="00076A1A" w:rsidP="003450F1">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rsidR="006E2E59" w:rsidRDefault="006E2E59"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8B1A55" w:rsidRPr="00E07611" w:rsidRDefault="00E86CEB" w:rsidP="003450F1">
      <w:pPr>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Dillman, D.A., S</w:t>
      </w:r>
      <w:r w:rsidR="00076A1A">
        <w:rPr>
          <w:rFonts w:ascii="Times New Roman" w:eastAsia="Times New Roman" w:hAnsi="Times New Roman" w:cs="Times New Roman"/>
          <w:sz w:val="24"/>
          <w:szCs w:val="24"/>
        </w:rPr>
        <w:t>myth, J.D., and Christian</w:t>
      </w:r>
      <w:r w:rsidR="000576DC">
        <w:rPr>
          <w:rFonts w:ascii="Times New Roman" w:eastAsia="Times New Roman" w:hAnsi="Times New Roman" w:cs="Times New Roman"/>
          <w:sz w:val="24"/>
          <w:szCs w:val="24"/>
        </w:rPr>
        <w:t>, L.M.,</w:t>
      </w:r>
      <w:r w:rsidR="00076A1A">
        <w:rPr>
          <w:rFonts w:ascii="Times New Roman" w:eastAsia="Times New Roman" w:hAnsi="Times New Roman" w:cs="Times New Roman"/>
          <w:sz w:val="24"/>
          <w:szCs w:val="24"/>
        </w:rPr>
        <w:t xml:space="preserve"> </w:t>
      </w:r>
      <w:r w:rsidRPr="00E07611">
        <w:rPr>
          <w:rFonts w:ascii="Times New Roman" w:eastAsia="Times New Roman" w:hAnsi="Times New Roman" w:cs="Times New Roman"/>
          <w:sz w:val="24"/>
          <w:szCs w:val="24"/>
        </w:rPr>
        <w:t>2009</w:t>
      </w:r>
      <w:r w:rsidRPr="00E07611">
        <w:rPr>
          <w:rFonts w:ascii="Times New Roman" w:eastAsia="Times New Roman" w:hAnsi="Times New Roman" w:cs="Times New Roman"/>
          <w:i/>
          <w:sz w:val="24"/>
          <w:szCs w:val="24"/>
        </w:rPr>
        <w:t xml:space="preserve">. </w:t>
      </w:r>
      <w:r w:rsidR="00076A1A">
        <w:rPr>
          <w:rFonts w:ascii="Times New Roman" w:eastAsia="Times New Roman" w:hAnsi="Times New Roman" w:cs="Times New Roman"/>
          <w:i/>
          <w:sz w:val="24"/>
          <w:szCs w:val="24"/>
        </w:rPr>
        <w:t xml:space="preserve"> </w:t>
      </w:r>
      <w:r w:rsidRPr="00E07611">
        <w:rPr>
          <w:rFonts w:ascii="Times New Roman" w:eastAsia="Times New Roman" w:hAnsi="Times New Roman" w:cs="Times New Roman"/>
          <w:i/>
          <w:sz w:val="24"/>
          <w:szCs w:val="24"/>
        </w:rPr>
        <w:t>Internet, Mail, and Mixed-Mode Surveys: The Tailored Design Method,</w:t>
      </w:r>
      <w:r w:rsidRPr="00E07611">
        <w:rPr>
          <w:rFonts w:ascii="Times New Roman" w:eastAsia="Times New Roman" w:hAnsi="Times New Roman" w:cs="Times New Roman"/>
          <w:sz w:val="24"/>
          <w:szCs w:val="24"/>
        </w:rPr>
        <w:t xml:space="preserve"> third edition. </w:t>
      </w:r>
      <w:r w:rsidR="00076A1A">
        <w:rPr>
          <w:rFonts w:ascii="Times New Roman" w:eastAsia="Times New Roman" w:hAnsi="Times New Roman" w:cs="Times New Roman"/>
          <w:sz w:val="24"/>
          <w:szCs w:val="24"/>
        </w:rPr>
        <w:t xml:space="preserve"> </w:t>
      </w:r>
      <w:r w:rsidRPr="00E07611">
        <w:rPr>
          <w:rFonts w:ascii="Times New Roman" w:eastAsia="Times New Roman" w:hAnsi="Times New Roman" w:cs="Times New Roman"/>
          <w:sz w:val="24"/>
          <w:szCs w:val="24"/>
        </w:rPr>
        <w:t>John Wiley &amp; Sons, Inc.: Hoboken, New Jersey, 499 p.</w:t>
      </w:r>
      <w:r w:rsidR="00703E2D" w:rsidRPr="00E07611" w:rsidDel="00703E2D">
        <w:rPr>
          <w:rFonts w:ascii="Times New Roman" w:eastAsia="Times New Roman" w:hAnsi="Times New Roman" w:cs="Times New Roman"/>
          <w:sz w:val="24"/>
          <w:szCs w:val="24"/>
        </w:rPr>
        <w:t xml:space="preserve"> </w:t>
      </w:r>
      <w:bookmarkStart w:id="0" w:name="_GoBack"/>
      <w:bookmarkEnd w:id="0"/>
    </w:p>
    <w:sectPr w:rsidR="008B1A55" w:rsidRPr="00E07611" w:rsidSect="006E2E5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2BD" w:rsidRDefault="00AF62BD" w:rsidP="00A80C9C">
      <w:pPr>
        <w:spacing w:after="0" w:line="240" w:lineRule="auto"/>
      </w:pPr>
      <w:r>
        <w:separator/>
      </w:r>
    </w:p>
  </w:endnote>
  <w:endnote w:type="continuationSeparator" w:id="0">
    <w:p w:rsidR="00AF62BD" w:rsidRDefault="00AF62BD" w:rsidP="00A8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450777"/>
      <w:docPartObj>
        <w:docPartGallery w:val="Page Numbers (Bottom of Page)"/>
        <w:docPartUnique/>
      </w:docPartObj>
    </w:sdtPr>
    <w:sdtEndPr>
      <w:rPr>
        <w:noProof/>
      </w:rPr>
    </w:sdtEndPr>
    <w:sdtContent>
      <w:p w:rsidR="006B6EDC" w:rsidRDefault="006B6EDC">
        <w:pPr>
          <w:pStyle w:val="Footer"/>
          <w:jc w:val="center"/>
        </w:pPr>
        <w:r>
          <w:fldChar w:fldCharType="begin"/>
        </w:r>
        <w:r>
          <w:instrText xml:space="preserve"> PAGE   \* MERGEFORMAT </w:instrText>
        </w:r>
        <w:r>
          <w:fldChar w:fldCharType="separate"/>
        </w:r>
        <w:r w:rsidR="00CF031C">
          <w:rPr>
            <w:noProof/>
          </w:rPr>
          <w:t>9</w:t>
        </w:r>
        <w:r>
          <w:rPr>
            <w:noProof/>
          </w:rPr>
          <w:fldChar w:fldCharType="end"/>
        </w:r>
      </w:p>
    </w:sdtContent>
  </w:sdt>
  <w:p w:rsidR="008470FE" w:rsidRDefault="00847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2BD" w:rsidRDefault="00AF62BD" w:rsidP="00A80C9C">
      <w:pPr>
        <w:spacing w:after="0" w:line="240" w:lineRule="auto"/>
      </w:pPr>
      <w:r>
        <w:separator/>
      </w:r>
    </w:p>
  </w:footnote>
  <w:footnote w:type="continuationSeparator" w:id="0">
    <w:p w:rsidR="00AF62BD" w:rsidRDefault="00AF62BD" w:rsidP="00A80C9C">
      <w:pPr>
        <w:spacing w:after="0" w:line="240" w:lineRule="auto"/>
      </w:pPr>
      <w:r>
        <w:continuationSeparator/>
      </w:r>
    </w:p>
  </w:footnote>
  <w:footnote w:id="1">
    <w:p w:rsidR="00DB4AD5" w:rsidRPr="0069461D" w:rsidRDefault="00DB4AD5" w:rsidP="00DB4AD5">
      <w:pPr>
        <w:pStyle w:val="FootnoteText"/>
        <w:rPr>
          <w:sz w:val="16"/>
          <w:szCs w:val="16"/>
        </w:rPr>
      </w:pPr>
      <w:r w:rsidRPr="0069461D">
        <w:rPr>
          <w:rStyle w:val="FootnoteReference"/>
          <w:sz w:val="16"/>
          <w:szCs w:val="16"/>
        </w:rPr>
        <w:footnoteRef/>
      </w:r>
      <w:r w:rsidRPr="0069461D">
        <w:rPr>
          <w:sz w:val="16"/>
          <w:szCs w:val="16"/>
        </w:rPr>
        <w:t xml:space="preserve"> </w:t>
      </w:r>
      <w:r w:rsidRPr="0069461D">
        <w:rPr>
          <w:rFonts w:ascii="Times New Roman" w:hAnsi="Times New Roman" w:cs="Times New Roman"/>
          <w:sz w:val="16"/>
          <w:szCs w:val="16"/>
        </w:rPr>
        <w:t>Sample sizes calculated as n = (1.96/m)</w:t>
      </w:r>
      <w:r w:rsidRPr="0069461D">
        <w:rPr>
          <w:rFonts w:ascii="Times New Roman" w:hAnsi="Times New Roman" w:cs="Times New Roman"/>
          <w:sz w:val="16"/>
          <w:szCs w:val="16"/>
          <w:vertAlign w:val="superscript"/>
        </w:rPr>
        <w:t>2</w:t>
      </w:r>
      <w:r w:rsidRPr="0069461D">
        <w:rPr>
          <w:rFonts w:ascii="Times New Roman" w:hAnsi="Times New Roman" w:cs="Times New Roman"/>
          <w:sz w:val="16"/>
          <w:szCs w:val="16"/>
        </w:rPr>
        <w:t>*</w:t>
      </w:r>
      <w:r w:rsidRPr="0069461D">
        <w:rPr>
          <w:color w:val="000000"/>
          <w:sz w:val="16"/>
          <w:szCs w:val="16"/>
        </w:rPr>
        <w:t>ρ</w:t>
      </w:r>
      <w:r w:rsidRPr="0069461D">
        <w:rPr>
          <w:rFonts w:ascii="Times New Roman" w:hAnsi="Times New Roman" w:cs="Times New Roman"/>
          <w:sz w:val="16"/>
          <w:szCs w:val="16"/>
        </w:rPr>
        <w:t xml:space="preserve">*(1- </w:t>
      </w:r>
      <w:r w:rsidRPr="0069461D">
        <w:rPr>
          <w:color w:val="000000"/>
          <w:sz w:val="16"/>
          <w:szCs w:val="16"/>
        </w:rPr>
        <w:t>ρ</w:t>
      </w:r>
      <w:r w:rsidRPr="0069461D">
        <w:rPr>
          <w:rFonts w:ascii="Times New Roman" w:hAnsi="Times New Roman" w:cs="Times New Roman"/>
          <w:sz w:val="16"/>
          <w:szCs w:val="16"/>
        </w:rPr>
        <w:t xml:space="preserve">), where m pertains to the </w:t>
      </w:r>
      <w:r w:rsidRPr="0069461D">
        <w:rPr>
          <w:rFonts w:ascii="Times New Roman" w:eastAsia="Times New Roman" w:hAnsi="Times New Roman" w:cs="Times New Roman"/>
          <w:color w:val="000000"/>
          <w:sz w:val="16"/>
          <w:szCs w:val="16"/>
        </w:rPr>
        <w:t>±</w:t>
      </w:r>
      <w:r w:rsidRPr="0069461D">
        <w:rPr>
          <w:rFonts w:ascii="Times New Roman" w:hAnsi="Times New Roman" w:cs="Times New Roman"/>
          <w:sz w:val="16"/>
          <w:szCs w:val="16"/>
        </w:rPr>
        <w:t xml:space="preserve">10%, </w:t>
      </w:r>
      <w:r w:rsidRPr="0069461D">
        <w:rPr>
          <w:rFonts w:ascii="Times New Roman" w:eastAsia="Times New Roman" w:hAnsi="Times New Roman" w:cs="Times New Roman"/>
          <w:color w:val="000000"/>
          <w:sz w:val="16"/>
          <w:szCs w:val="16"/>
        </w:rPr>
        <w:t>±</w:t>
      </w:r>
      <w:r w:rsidRPr="0069461D">
        <w:rPr>
          <w:rFonts w:ascii="Times New Roman" w:hAnsi="Times New Roman" w:cs="Times New Roman"/>
          <w:sz w:val="16"/>
          <w:szCs w:val="16"/>
        </w:rPr>
        <w:t xml:space="preserve">15% and </w:t>
      </w:r>
      <w:r w:rsidRPr="0069461D">
        <w:rPr>
          <w:rFonts w:ascii="Times New Roman" w:eastAsia="Times New Roman" w:hAnsi="Times New Roman" w:cs="Times New Roman"/>
          <w:color w:val="000000"/>
          <w:sz w:val="16"/>
          <w:szCs w:val="16"/>
        </w:rPr>
        <w:t>±</w:t>
      </w:r>
      <w:r w:rsidRPr="0069461D">
        <w:rPr>
          <w:rFonts w:ascii="Times New Roman" w:hAnsi="Times New Roman" w:cs="Times New Roman"/>
          <w:sz w:val="16"/>
          <w:szCs w:val="16"/>
        </w:rPr>
        <w:t xml:space="preserve">20% margins of error shown in Table B-2 for </w:t>
      </w:r>
      <w:r w:rsidRPr="0069461D">
        <w:rPr>
          <w:rFonts w:ascii="Times New Roman" w:eastAsia="Times New Roman" w:hAnsi="Times New Roman" w:cs="Times New Roman"/>
          <w:color w:val="000000"/>
          <w:sz w:val="16"/>
          <w:szCs w:val="16"/>
        </w:rPr>
        <w:t>0.10 ≤ ρ ≤ 0.90</w:t>
      </w:r>
      <w:r w:rsidRPr="0069461D">
        <w:rPr>
          <w:rFonts w:ascii="Times New Roman" w:hAnsi="Times New Roman" w:cs="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43B4"/>
    <w:multiLevelType w:val="hybridMultilevel"/>
    <w:tmpl w:val="41E6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3746F"/>
    <w:multiLevelType w:val="hybridMultilevel"/>
    <w:tmpl w:val="36061286"/>
    <w:lvl w:ilvl="0" w:tplc="8358394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C779F"/>
    <w:multiLevelType w:val="hybridMultilevel"/>
    <w:tmpl w:val="A2D6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00598"/>
    <w:multiLevelType w:val="hybridMultilevel"/>
    <w:tmpl w:val="8EEEC1B0"/>
    <w:lvl w:ilvl="0" w:tplc="D59E8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67777"/>
    <w:multiLevelType w:val="hybridMultilevel"/>
    <w:tmpl w:val="D45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0F0155"/>
    <w:multiLevelType w:val="hybridMultilevel"/>
    <w:tmpl w:val="9AE23678"/>
    <w:lvl w:ilvl="0" w:tplc="1F7056C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C7C56"/>
    <w:multiLevelType w:val="hybridMultilevel"/>
    <w:tmpl w:val="A3A4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46163"/>
    <w:multiLevelType w:val="hybridMultilevel"/>
    <w:tmpl w:val="F32A4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1D76AC"/>
    <w:multiLevelType w:val="hybridMultilevel"/>
    <w:tmpl w:val="02FE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0D4CEA"/>
    <w:multiLevelType w:val="hybridMultilevel"/>
    <w:tmpl w:val="CDD0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B66A35"/>
    <w:multiLevelType w:val="hybridMultilevel"/>
    <w:tmpl w:val="6174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D610DE"/>
    <w:multiLevelType w:val="hybridMultilevel"/>
    <w:tmpl w:val="AC78219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758E14CD"/>
    <w:multiLevelType w:val="hybridMultilevel"/>
    <w:tmpl w:val="FE604010"/>
    <w:lvl w:ilvl="0" w:tplc="1F7056C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A846BA4"/>
    <w:multiLevelType w:val="hybridMultilevel"/>
    <w:tmpl w:val="D190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12"/>
  </w:num>
  <w:num w:numId="5">
    <w:abstractNumId w:val="5"/>
  </w:num>
  <w:num w:numId="6">
    <w:abstractNumId w:val="0"/>
  </w:num>
  <w:num w:numId="7">
    <w:abstractNumId w:val="2"/>
  </w:num>
  <w:num w:numId="8">
    <w:abstractNumId w:val="4"/>
  </w:num>
  <w:num w:numId="9">
    <w:abstractNumId w:val="6"/>
  </w:num>
  <w:num w:numId="10">
    <w:abstractNumId w:val="13"/>
  </w:num>
  <w:num w:numId="11">
    <w:abstractNumId w:val="9"/>
  </w:num>
  <w:num w:numId="12">
    <w:abstractNumId w:val="7"/>
  </w:num>
  <w:num w:numId="13">
    <w:abstractNumId w:val="11"/>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EB"/>
    <w:rsid w:val="00003016"/>
    <w:rsid w:val="0000321B"/>
    <w:rsid w:val="00004922"/>
    <w:rsid w:val="00005767"/>
    <w:rsid w:val="00010399"/>
    <w:rsid w:val="00021566"/>
    <w:rsid w:val="000220A5"/>
    <w:rsid w:val="00022552"/>
    <w:rsid w:val="00023187"/>
    <w:rsid w:val="0002354D"/>
    <w:rsid w:val="00024702"/>
    <w:rsid w:val="00024893"/>
    <w:rsid w:val="0002495C"/>
    <w:rsid w:val="00034F85"/>
    <w:rsid w:val="0003728D"/>
    <w:rsid w:val="00037297"/>
    <w:rsid w:val="00040099"/>
    <w:rsid w:val="000415EC"/>
    <w:rsid w:val="00041A8F"/>
    <w:rsid w:val="00042363"/>
    <w:rsid w:val="000428A3"/>
    <w:rsid w:val="00044CF0"/>
    <w:rsid w:val="00046757"/>
    <w:rsid w:val="00051CC0"/>
    <w:rsid w:val="00052A1C"/>
    <w:rsid w:val="00052C62"/>
    <w:rsid w:val="000552E8"/>
    <w:rsid w:val="00055E7F"/>
    <w:rsid w:val="00056FF6"/>
    <w:rsid w:val="000576DC"/>
    <w:rsid w:val="00062D26"/>
    <w:rsid w:val="0006419C"/>
    <w:rsid w:val="000658BA"/>
    <w:rsid w:val="000666BB"/>
    <w:rsid w:val="00070EC8"/>
    <w:rsid w:val="00074749"/>
    <w:rsid w:val="00075AF4"/>
    <w:rsid w:val="00076A1A"/>
    <w:rsid w:val="000830F9"/>
    <w:rsid w:val="00083CD9"/>
    <w:rsid w:val="00083D2E"/>
    <w:rsid w:val="00090416"/>
    <w:rsid w:val="000907FE"/>
    <w:rsid w:val="00090B94"/>
    <w:rsid w:val="00095FB9"/>
    <w:rsid w:val="000972C7"/>
    <w:rsid w:val="00097E7A"/>
    <w:rsid w:val="000A0314"/>
    <w:rsid w:val="000A1EF2"/>
    <w:rsid w:val="000A2B41"/>
    <w:rsid w:val="000A4368"/>
    <w:rsid w:val="000A50B9"/>
    <w:rsid w:val="000A5848"/>
    <w:rsid w:val="000A5C38"/>
    <w:rsid w:val="000A60DC"/>
    <w:rsid w:val="000B2097"/>
    <w:rsid w:val="000B43F6"/>
    <w:rsid w:val="000B455E"/>
    <w:rsid w:val="000B61B2"/>
    <w:rsid w:val="000B635E"/>
    <w:rsid w:val="000B6B43"/>
    <w:rsid w:val="000C2F88"/>
    <w:rsid w:val="000C3F89"/>
    <w:rsid w:val="000D4C7E"/>
    <w:rsid w:val="000D5EBA"/>
    <w:rsid w:val="000D6966"/>
    <w:rsid w:val="000E056B"/>
    <w:rsid w:val="000E0668"/>
    <w:rsid w:val="000E59F5"/>
    <w:rsid w:val="000E7900"/>
    <w:rsid w:val="000F4AB7"/>
    <w:rsid w:val="000F53E2"/>
    <w:rsid w:val="001000B4"/>
    <w:rsid w:val="00100DED"/>
    <w:rsid w:val="0010688B"/>
    <w:rsid w:val="001069B9"/>
    <w:rsid w:val="00111DC0"/>
    <w:rsid w:val="001140D3"/>
    <w:rsid w:val="0011516A"/>
    <w:rsid w:val="0011567F"/>
    <w:rsid w:val="00120AFD"/>
    <w:rsid w:val="00123DA7"/>
    <w:rsid w:val="00130797"/>
    <w:rsid w:val="00133571"/>
    <w:rsid w:val="00140A62"/>
    <w:rsid w:val="001432EC"/>
    <w:rsid w:val="001443C3"/>
    <w:rsid w:val="00152917"/>
    <w:rsid w:val="0015574E"/>
    <w:rsid w:val="00157A59"/>
    <w:rsid w:val="00160AE4"/>
    <w:rsid w:val="00162B5B"/>
    <w:rsid w:val="00163AA5"/>
    <w:rsid w:val="001729A4"/>
    <w:rsid w:val="00173A62"/>
    <w:rsid w:val="00174B53"/>
    <w:rsid w:val="001844FE"/>
    <w:rsid w:val="00185E9A"/>
    <w:rsid w:val="0018615E"/>
    <w:rsid w:val="001871B1"/>
    <w:rsid w:val="001876D7"/>
    <w:rsid w:val="0019018A"/>
    <w:rsid w:val="0019024B"/>
    <w:rsid w:val="00190571"/>
    <w:rsid w:val="00190A88"/>
    <w:rsid w:val="00194FB6"/>
    <w:rsid w:val="0019537F"/>
    <w:rsid w:val="00196CAA"/>
    <w:rsid w:val="001A0CC7"/>
    <w:rsid w:val="001B1284"/>
    <w:rsid w:val="001B4332"/>
    <w:rsid w:val="001B5C76"/>
    <w:rsid w:val="001B6398"/>
    <w:rsid w:val="001B7271"/>
    <w:rsid w:val="001B733B"/>
    <w:rsid w:val="001C1AF2"/>
    <w:rsid w:val="001C4176"/>
    <w:rsid w:val="001C4992"/>
    <w:rsid w:val="001C4DC7"/>
    <w:rsid w:val="001D17A8"/>
    <w:rsid w:val="001D2509"/>
    <w:rsid w:val="001D32BD"/>
    <w:rsid w:val="001D7A4F"/>
    <w:rsid w:val="001D7C2F"/>
    <w:rsid w:val="001E00D8"/>
    <w:rsid w:val="001E0CB4"/>
    <w:rsid w:val="001E1F55"/>
    <w:rsid w:val="001E2C22"/>
    <w:rsid w:val="001E5614"/>
    <w:rsid w:val="001E5647"/>
    <w:rsid w:val="001E6705"/>
    <w:rsid w:val="001E6C65"/>
    <w:rsid w:val="001F1E8A"/>
    <w:rsid w:val="001F7CBB"/>
    <w:rsid w:val="0020099B"/>
    <w:rsid w:val="002009D2"/>
    <w:rsid w:val="002023DE"/>
    <w:rsid w:val="0020348F"/>
    <w:rsid w:val="002063A5"/>
    <w:rsid w:val="00206710"/>
    <w:rsid w:val="00207F3E"/>
    <w:rsid w:val="00210C31"/>
    <w:rsid w:val="0021118E"/>
    <w:rsid w:val="0021281F"/>
    <w:rsid w:val="00212C79"/>
    <w:rsid w:val="002139F0"/>
    <w:rsid w:val="00214F8B"/>
    <w:rsid w:val="00215EC5"/>
    <w:rsid w:val="002168F9"/>
    <w:rsid w:val="002237E6"/>
    <w:rsid w:val="00230CFE"/>
    <w:rsid w:val="00232170"/>
    <w:rsid w:val="002343EF"/>
    <w:rsid w:val="00236813"/>
    <w:rsid w:val="00236A2B"/>
    <w:rsid w:val="002401DD"/>
    <w:rsid w:val="00241DF4"/>
    <w:rsid w:val="00242B58"/>
    <w:rsid w:val="002479DE"/>
    <w:rsid w:val="00253A0A"/>
    <w:rsid w:val="00260351"/>
    <w:rsid w:val="00262D3E"/>
    <w:rsid w:val="00265F90"/>
    <w:rsid w:val="0026752C"/>
    <w:rsid w:val="00270279"/>
    <w:rsid w:val="00270C1B"/>
    <w:rsid w:val="00271D9B"/>
    <w:rsid w:val="00275A96"/>
    <w:rsid w:val="00276E2F"/>
    <w:rsid w:val="002770E3"/>
    <w:rsid w:val="00277CDC"/>
    <w:rsid w:val="002843CA"/>
    <w:rsid w:val="00292800"/>
    <w:rsid w:val="00295015"/>
    <w:rsid w:val="002A12F7"/>
    <w:rsid w:val="002A2F5D"/>
    <w:rsid w:val="002A3A89"/>
    <w:rsid w:val="002A3D21"/>
    <w:rsid w:val="002A69E7"/>
    <w:rsid w:val="002B0FD3"/>
    <w:rsid w:val="002B44F0"/>
    <w:rsid w:val="002B58B6"/>
    <w:rsid w:val="002B7479"/>
    <w:rsid w:val="002C016F"/>
    <w:rsid w:val="002C245A"/>
    <w:rsid w:val="002C2BC4"/>
    <w:rsid w:val="002C3138"/>
    <w:rsid w:val="002C5574"/>
    <w:rsid w:val="002C5CC3"/>
    <w:rsid w:val="002C61C9"/>
    <w:rsid w:val="002D156F"/>
    <w:rsid w:val="002D1D98"/>
    <w:rsid w:val="002D48E3"/>
    <w:rsid w:val="002D7675"/>
    <w:rsid w:val="002D7843"/>
    <w:rsid w:val="002E0F8B"/>
    <w:rsid w:val="002E14B4"/>
    <w:rsid w:val="002E59CC"/>
    <w:rsid w:val="002F20F0"/>
    <w:rsid w:val="002F4286"/>
    <w:rsid w:val="002F6154"/>
    <w:rsid w:val="003025DC"/>
    <w:rsid w:val="00302F81"/>
    <w:rsid w:val="00302FF8"/>
    <w:rsid w:val="0030327F"/>
    <w:rsid w:val="003033B8"/>
    <w:rsid w:val="0031287E"/>
    <w:rsid w:val="00316E45"/>
    <w:rsid w:val="00320272"/>
    <w:rsid w:val="003204AF"/>
    <w:rsid w:val="0032146C"/>
    <w:rsid w:val="00323C41"/>
    <w:rsid w:val="00323F9D"/>
    <w:rsid w:val="0032587A"/>
    <w:rsid w:val="00327908"/>
    <w:rsid w:val="00330124"/>
    <w:rsid w:val="00332778"/>
    <w:rsid w:val="003356E2"/>
    <w:rsid w:val="00341C1E"/>
    <w:rsid w:val="0034283B"/>
    <w:rsid w:val="00343820"/>
    <w:rsid w:val="003442CD"/>
    <w:rsid w:val="003450F1"/>
    <w:rsid w:val="00345C7A"/>
    <w:rsid w:val="00346955"/>
    <w:rsid w:val="00351414"/>
    <w:rsid w:val="00357C35"/>
    <w:rsid w:val="00357C65"/>
    <w:rsid w:val="003625C2"/>
    <w:rsid w:val="003645D6"/>
    <w:rsid w:val="0036568D"/>
    <w:rsid w:val="003656EB"/>
    <w:rsid w:val="00375181"/>
    <w:rsid w:val="003776D2"/>
    <w:rsid w:val="00382559"/>
    <w:rsid w:val="003827AD"/>
    <w:rsid w:val="0038287E"/>
    <w:rsid w:val="00385559"/>
    <w:rsid w:val="00390F06"/>
    <w:rsid w:val="003917E9"/>
    <w:rsid w:val="00393D88"/>
    <w:rsid w:val="003944C4"/>
    <w:rsid w:val="00397237"/>
    <w:rsid w:val="00397504"/>
    <w:rsid w:val="003A1D90"/>
    <w:rsid w:val="003A2B40"/>
    <w:rsid w:val="003A68C9"/>
    <w:rsid w:val="003A6A70"/>
    <w:rsid w:val="003A766A"/>
    <w:rsid w:val="003A7981"/>
    <w:rsid w:val="003B1689"/>
    <w:rsid w:val="003B1C47"/>
    <w:rsid w:val="003B3892"/>
    <w:rsid w:val="003B5B07"/>
    <w:rsid w:val="003C1471"/>
    <w:rsid w:val="003C1DE7"/>
    <w:rsid w:val="003C3882"/>
    <w:rsid w:val="003C4463"/>
    <w:rsid w:val="003C48EB"/>
    <w:rsid w:val="003D6106"/>
    <w:rsid w:val="003D6BC0"/>
    <w:rsid w:val="003D6C57"/>
    <w:rsid w:val="003D7C7D"/>
    <w:rsid w:val="003E6D74"/>
    <w:rsid w:val="003E7823"/>
    <w:rsid w:val="003E7E5E"/>
    <w:rsid w:val="003F21E3"/>
    <w:rsid w:val="003F5C06"/>
    <w:rsid w:val="003F6DAE"/>
    <w:rsid w:val="003F7EEF"/>
    <w:rsid w:val="00402BAB"/>
    <w:rsid w:val="00404454"/>
    <w:rsid w:val="00404EFC"/>
    <w:rsid w:val="0040637C"/>
    <w:rsid w:val="0040730B"/>
    <w:rsid w:val="00410446"/>
    <w:rsid w:val="00412133"/>
    <w:rsid w:val="00412351"/>
    <w:rsid w:val="00413C03"/>
    <w:rsid w:val="0041623F"/>
    <w:rsid w:val="004203F3"/>
    <w:rsid w:val="004212E3"/>
    <w:rsid w:val="0042279F"/>
    <w:rsid w:val="0042300E"/>
    <w:rsid w:val="00424861"/>
    <w:rsid w:val="0042639E"/>
    <w:rsid w:val="00430BB1"/>
    <w:rsid w:val="004317B9"/>
    <w:rsid w:val="004356BF"/>
    <w:rsid w:val="0043648F"/>
    <w:rsid w:val="004369E6"/>
    <w:rsid w:val="00441736"/>
    <w:rsid w:val="00442CD6"/>
    <w:rsid w:val="00444A49"/>
    <w:rsid w:val="00444DFB"/>
    <w:rsid w:val="00445096"/>
    <w:rsid w:val="0044574F"/>
    <w:rsid w:val="004463A2"/>
    <w:rsid w:val="0045002B"/>
    <w:rsid w:val="00452A12"/>
    <w:rsid w:val="00453C90"/>
    <w:rsid w:val="00453E21"/>
    <w:rsid w:val="00455DE1"/>
    <w:rsid w:val="00455FCA"/>
    <w:rsid w:val="00460010"/>
    <w:rsid w:val="0046248A"/>
    <w:rsid w:val="0046427F"/>
    <w:rsid w:val="00467EBB"/>
    <w:rsid w:val="0047050C"/>
    <w:rsid w:val="00471F4C"/>
    <w:rsid w:val="00471FF0"/>
    <w:rsid w:val="00472F6C"/>
    <w:rsid w:val="00474FF0"/>
    <w:rsid w:val="0047584C"/>
    <w:rsid w:val="0047595A"/>
    <w:rsid w:val="00476E07"/>
    <w:rsid w:val="00477F8D"/>
    <w:rsid w:val="00480040"/>
    <w:rsid w:val="00481AF4"/>
    <w:rsid w:val="00481CB7"/>
    <w:rsid w:val="004864A7"/>
    <w:rsid w:val="00494748"/>
    <w:rsid w:val="00494B2A"/>
    <w:rsid w:val="00495C8A"/>
    <w:rsid w:val="00495FA5"/>
    <w:rsid w:val="0049650D"/>
    <w:rsid w:val="004969A9"/>
    <w:rsid w:val="00496DF6"/>
    <w:rsid w:val="004A029A"/>
    <w:rsid w:val="004A1F2E"/>
    <w:rsid w:val="004A34A3"/>
    <w:rsid w:val="004A48AD"/>
    <w:rsid w:val="004A57E6"/>
    <w:rsid w:val="004B0551"/>
    <w:rsid w:val="004B189B"/>
    <w:rsid w:val="004B6DF7"/>
    <w:rsid w:val="004B7505"/>
    <w:rsid w:val="004C02EF"/>
    <w:rsid w:val="004C33F3"/>
    <w:rsid w:val="004C3F31"/>
    <w:rsid w:val="004C5C0C"/>
    <w:rsid w:val="004C6BB0"/>
    <w:rsid w:val="004D1887"/>
    <w:rsid w:val="004D23FE"/>
    <w:rsid w:val="004D411A"/>
    <w:rsid w:val="004D5D03"/>
    <w:rsid w:val="004D697F"/>
    <w:rsid w:val="004D6DA0"/>
    <w:rsid w:val="004E05F1"/>
    <w:rsid w:val="004E0EDC"/>
    <w:rsid w:val="004E3259"/>
    <w:rsid w:val="004E3485"/>
    <w:rsid w:val="004E6F4C"/>
    <w:rsid w:val="004E7180"/>
    <w:rsid w:val="004F00C5"/>
    <w:rsid w:val="004F24F4"/>
    <w:rsid w:val="004F2643"/>
    <w:rsid w:val="004F3044"/>
    <w:rsid w:val="004F5504"/>
    <w:rsid w:val="004F59F6"/>
    <w:rsid w:val="004F736B"/>
    <w:rsid w:val="00504F0A"/>
    <w:rsid w:val="005057C2"/>
    <w:rsid w:val="005100E5"/>
    <w:rsid w:val="0051515C"/>
    <w:rsid w:val="00515495"/>
    <w:rsid w:val="00515B57"/>
    <w:rsid w:val="00515C0A"/>
    <w:rsid w:val="00516B4E"/>
    <w:rsid w:val="00517E2D"/>
    <w:rsid w:val="00520304"/>
    <w:rsid w:val="005211D9"/>
    <w:rsid w:val="00521583"/>
    <w:rsid w:val="00522777"/>
    <w:rsid w:val="00522F5F"/>
    <w:rsid w:val="00524AAE"/>
    <w:rsid w:val="00530613"/>
    <w:rsid w:val="0053141C"/>
    <w:rsid w:val="00531AB7"/>
    <w:rsid w:val="00531C74"/>
    <w:rsid w:val="00532EAE"/>
    <w:rsid w:val="00534EA2"/>
    <w:rsid w:val="005371C5"/>
    <w:rsid w:val="00541B8F"/>
    <w:rsid w:val="00541E52"/>
    <w:rsid w:val="005446EE"/>
    <w:rsid w:val="00546787"/>
    <w:rsid w:val="005479C6"/>
    <w:rsid w:val="00550BC6"/>
    <w:rsid w:val="00551921"/>
    <w:rsid w:val="00553377"/>
    <w:rsid w:val="00553494"/>
    <w:rsid w:val="005542C0"/>
    <w:rsid w:val="00554303"/>
    <w:rsid w:val="0055490E"/>
    <w:rsid w:val="00556076"/>
    <w:rsid w:val="00557D49"/>
    <w:rsid w:val="00562247"/>
    <w:rsid w:val="00562698"/>
    <w:rsid w:val="00562B71"/>
    <w:rsid w:val="005659CA"/>
    <w:rsid w:val="00565AC4"/>
    <w:rsid w:val="00566570"/>
    <w:rsid w:val="00567A47"/>
    <w:rsid w:val="00571C74"/>
    <w:rsid w:val="0057305F"/>
    <w:rsid w:val="005734D6"/>
    <w:rsid w:val="00576362"/>
    <w:rsid w:val="0057782F"/>
    <w:rsid w:val="005809B8"/>
    <w:rsid w:val="00581C2D"/>
    <w:rsid w:val="005829DE"/>
    <w:rsid w:val="00582AA6"/>
    <w:rsid w:val="00583014"/>
    <w:rsid w:val="005834C8"/>
    <w:rsid w:val="0058397A"/>
    <w:rsid w:val="005841B0"/>
    <w:rsid w:val="00590A5D"/>
    <w:rsid w:val="005949AC"/>
    <w:rsid w:val="005951CF"/>
    <w:rsid w:val="005962FA"/>
    <w:rsid w:val="0059787D"/>
    <w:rsid w:val="005A36E5"/>
    <w:rsid w:val="005A4A48"/>
    <w:rsid w:val="005A4ADB"/>
    <w:rsid w:val="005A62AB"/>
    <w:rsid w:val="005A673E"/>
    <w:rsid w:val="005A77D7"/>
    <w:rsid w:val="005B15FF"/>
    <w:rsid w:val="005B39C3"/>
    <w:rsid w:val="005B5E97"/>
    <w:rsid w:val="005C134B"/>
    <w:rsid w:val="005C19D9"/>
    <w:rsid w:val="005C19FB"/>
    <w:rsid w:val="005D032B"/>
    <w:rsid w:val="005D18A6"/>
    <w:rsid w:val="005D5274"/>
    <w:rsid w:val="005D61D9"/>
    <w:rsid w:val="005E0060"/>
    <w:rsid w:val="005E1082"/>
    <w:rsid w:val="005E16AC"/>
    <w:rsid w:val="005E32EC"/>
    <w:rsid w:val="005E5363"/>
    <w:rsid w:val="005E5DBF"/>
    <w:rsid w:val="005E64FA"/>
    <w:rsid w:val="005E7DAC"/>
    <w:rsid w:val="005F35A1"/>
    <w:rsid w:val="005F49FD"/>
    <w:rsid w:val="005F6D97"/>
    <w:rsid w:val="00602769"/>
    <w:rsid w:val="00604789"/>
    <w:rsid w:val="00604A6D"/>
    <w:rsid w:val="00604DF1"/>
    <w:rsid w:val="00611B71"/>
    <w:rsid w:val="00612E9E"/>
    <w:rsid w:val="00614826"/>
    <w:rsid w:val="00614FA0"/>
    <w:rsid w:val="00615C2F"/>
    <w:rsid w:val="00620729"/>
    <w:rsid w:val="006229A9"/>
    <w:rsid w:val="00622EB0"/>
    <w:rsid w:val="0062447D"/>
    <w:rsid w:val="006265BA"/>
    <w:rsid w:val="006323D8"/>
    <w:rsid w:val="0063402D"/>
    <w:rsid w:val="0063437B"/>
    <w:rsid w:val="00634B0B"/>
    <w:rsid w:val="00634EA7"/>
    <w:rsid w:val="00636342"/>
    <w:rsid w:val="006372B4"/>
    <w:rsid w:val="0064145C"/>
    <w:rsid w:val="00641D9C"/>
    <w:rsid w:val="00641FE9"/>
    <w:rsid w:val="00645DF4"/>
    <w:rsid w:val="00645E44"/>
    <w:rsid w:val="00646710"/>
    <w:rsid w:val="00646A5F"/>
    <w:rsid w:val="00650B2D"/>
    <w:rsid w:val="006538D7"/>
    <w:rsid w:val="0065468D"/>
    <w:rsid w:val="00656047"/>
    <w:rsid w:val="00657C26"/>
    <w:rsid w:val="00662741"/>
    <w:rsid w:val="00662865"/>
    <w:rsid w:val="00663C49"/>
    <w:rsid w:val="0066545C"/>
    <w:rsid w:val="00666E78"/>
    <w:rsid w:val="00671C0D"/>
    <w:rsid w:val="00674C84"/>
    <w:rsid w:val="006805C5"/>
    <w:rsid w:val="0068218B"/>
    <w:rsid w:val="00682272"/>
    <w:rsid w:val="006825CF"/>
    <w:rsid w:val="00685582"/>
    <w:rsid w:val="0069032C"/>
    <w:rsid w:val="0069335B"/>
    <w:rsid w:val="00693398"/>
    <w:rsid w:val="0069348F"/>
    <w:rsid w:val="0069461D"/>
    <w:rsid w:val="00694732"/>
    <w:rsid w:val="00695023"/>
    <w:rsid w:val="006A03C6"/>
    <w:rsid w:val="006A1EE8"/>
    <w:rsid w:val="006A5965"/>
    <w:rsid w:val="006A73BC"/>
    <w:rsid w:val="006B09A9"/>
    <w:rsid w:val="006B41F5"/>
    <w:rsid w:val="006B4909"/>
    <w:rsid w:val="006B529A"/>
    <w:rsid w:val="006B5C73"/>
    <w:rsid w:val="006B605E"/>
    <w:rsid w:val="006B61B9"/>
    <w:rsid w:val="006B6EDC"/>
    <w:rsid w:val="006C07A8"/>
    <w:rsid w:val="006C0D07"/>
    <w:rsid w:val="006C60A9"/>
    <w:rsid w:val="006C7013"/>
    <w:rsid w:val="006D787A"/>
    <w:rsid w:val="006E0590"/>
    <w:rsid w:val="006E05AF"/>
    <w:rsid w:val="006E1AF3"/>
    <w:rsid w:val="006E1F61"/>
    <w:rsid w:val="006E2E59"/>
    <w:rsid w:val="006E5617"/>
    <w:rsid w:val="006E73BD"/>
    <w:rsid w:val="006F066B"/>
    <w:rsid w:val="006F1DC5"/>
    <w:rsid w:val="006F287A"/>
    <w:rsid w:val="006F5057"/>
    <w:rsid w:val="006F65C9"/>
    <w:rsid w:val="00700899"/>
    <w:rsid w:val="00701B0F"/>
    <w:rsid w:val="00701B57"/>
    <w:rsid w:val="00702055"/>
    <w:rsid w:val="00702341"/>
    <w:rsid w:val="00702A29"/>
    <w:rsid w:val="00703E2D"/>
    <w:rsid w:val="00704DBF"/>
    <w:rsid w:val="00705538"/>
    <w:rsid w:val="00705889"/>
    <w:rsid w:val="007066C6"/>
    <w:rsid w:val="007075FF"/>
    <w:rsid w:val="007124CD"/>
    <w:rsid w:val="00713FA5"/>
    <w:rsid w:val="0071732F"/>
    <w:rsid w:val="0072044C"/>
    <w:rsid w:val="00720601"/>
    <w:rsid w:val="00721F0E"/>
    <w:rsid w:val="00724324"/>
    <w:rsid w:val="007251FB"/>
    <w:rsid w:val="00730025"/>
    <w:rsid w:val="00731F61"/>
    <w:rsid w:val="007331C9"/>
    <w:rsid w:val="0073477A"/>
    <w:rsid w:val="00734EA2"/>
    <w:rsid w:val="007351B2"/>
    <w:rsid w:val="007365C1"/>
    <w:rsid w:val="00737268"/>
    <w:rsid w:val="007375EC"/>
    <w:rsid w:val="00742051"/>
    <w:rsid w:val="00743B45"/>
    <w:rsid w:val="0074484A"/>
    <w:rsid w:val="00751AB5"/>
    <w:rsid w:val="00752FAA"/>
    <w:rsid w:val="007567A2"/>
    <w:rsid w:val="00756BAB"/>
    <w:rsid w:val="00757465"/>
    <w:rsid w:val="00760A84"/>
    <w:rsid w:val="00761D6B"/>
    <w:rsid w:val="007636EE"/>
    <w:rsid w:val="0076555E"/>
    <w:rsid w:val="00766302"/>
    <w:rsid w:val="00766352"/>
    <w:rsid w:val="007676CD"/>
    <w:rsid w:val="007705CE"/>
    <w:rsid w:val="0077130D"/>
    <w:rsid w:val="007714AB"/>
    <w:rsid w:val="00772348"/>
    <w:rsid w:val="0077426C"/>
    <w:rsid w:val="007828E7"/>
    <w:rsid w:val="0078315D"/>
    <w:rsid w:val="00783A33"/>
    <w:rsid w:val="007939C7"/>
    <w:rsid w:val="00793A62"/>
    <w:rsid w:val="00793F31"/>
    <w:rsid w:val="00794185"/>
    <w:rsid w:val="00797B4E"/>
    <w:rsid w:val="007A0521"/>
    <w:rsid w:val="007A082A"/>
    <w:rsid w:val="007A09EC"/>
    <w:rsid w:val="007A1513"/>
    <w:rsid w:val="007A39F3"/>
    <w:rsid w:val="007A699B"/>
    <w:rsid w:val="007A6F92"/>
    <w:rsid w:val="007A7053"/>
    <w:rsid w:val="007A730D"/>
    <w:rsid w:val="007B0903"/>
    <w:rsid w:val="007B6E92"/>
    <w:rsid w:val="007B78CC"/>
    <w:rsid w:val="007C068B"/>
    <w:rsid w:val="007C0F1C"/>
    <w:rsid w:val="007C2AB3"/>
    <w:rsid w:val="007C4517"/>
    <w:rsid w:val="007C4963"/>
    <w:rsid w:val="007C5C45"/>
    <w:rsid w:val="007C7378"/>
    <w:rsid w:val="007D0271"/>
    <w:rsid w:val="007D0C48"/>
    <w:rsid w:val="007D6A0D"/>
    <w:rsid w:val="007E4A01"/>
    <w:rsid w:val="007E6868"/>
    <w:rsid w:val="007E77AF"/>
    <w:rsid w:val="007F211D"/>
    <w:rsid w:val="007F287D"/>
    <w:rsid w:val="007F46F3"/>
    <w:rsid w:val="007F6E2A"/>
    <w:rsid w:val="007F759B"/>
    <w:rsid w:val="007F7696"/>
    <w:rsid w:val="007F77A4"/>
    <w:rsid w:val="0080129C"/>
    <w:rsid w:val="00802B05"/>
    <w:rsid w:val="008038A3"/>
    <w:rsid w:val="00804DBD"/>
    <w:rsid w:val="00805BD5"/>
    <w:rsid w:val="0080740B"/>
    <w:rsid w:val="00810FFC"/>
    <w:rsid w:val="00814AC8"/>
    <w:rsid w:val="008178C7"/>
    <w:rsid w:val="00824279"/>
    <w:rsid w:val="00825C86"/>
    <w:rsid w:val="0082702F"/>
    <w:rsid w:val="0083296D"/>
    <w:rsid w:val="008352F2"/>
    <w:rsid w:val="00836561"/>
    <w:rsid w:val="00843BE3"/>
    <w:rsid w:val="00843C23"/>
    <w:rsid w:val="0084470F"/>
    <w:rsid w:val="00844A58"/>
    <w:rsid w:val="008470FE"/>
    <w:rsid w:val="00847888"/>
    <w:rsid w:val="00850A79"/>
    <w:rsid w:val="00851535"/>
    <w:rsid w:val="00851B4A"/>
    <w:rsid w:val="00851F39"/>
    <w:rsid w:val="008530AC"/>
    <w:rsid w:val="00854FBA"/>
    <w:rsid w:val="00860031"/>
    <w:rsid w:val="00862D2B"/>
    <w:rsid w:val="00863BF2"/>
    <w:rsid w:val="00865C8F"/>
    <w:rsid w:val="00867400"/>
    <w:rsid w:val="0086756A"/>
    <w:rsid w:val="008677F6"/>
    <w:rsid w:val="008719AA"/>
    <w:rsid w:val="008720E8"/>
    <w:rsid w:val="00873182"/>
    <w:rsid w:val="00875B3B"/>
    <w:rsid w:val="00876746"/>
    <w:rsid w:val="00877E8C"/>
    <w:rsid w:val="00881973"/>
    <w:rsid w:val="00883953"/>
    <w:rsid w:val="00883E6B"/>
    <w:rsid w:val="00884743"/>
    <w:rsid w:val="00885306"/>
    <w:rsid w:val="00887738"/>
    <w:rsid w:val="00891FB8"/>
    <w:rsid w:val="00892682"/>
    <w:rsid w:val="00894587"/>
    <w:rsid w:val="00895965"/>
    <w:rsid w:val="00895F40"/>
    <w:rsid w:val="008A0733"/>
    <w:rsid w:val="008A2BEF"/>
    <w:rsid w:val="008A3922"/>
    <w:rsid w:val="008A626D"/>
    <w:rsid w:val="008A7EEA"/>
    <w:rsid w:val="008B1A55"/>
    <w:rsid w:val="008B614C"/>
    <w:rsid w:val="008C24C1"/>
    <w:rsid w:val="008C4794"/>
    <w:rsid w:val="008C482A"/>
    <w:rsid w:val="008C5473"/>
    <w:rsid w:val="008D0362"/>
    <w:rsid w:val="008D1CE4"/>
    <w:rsid w:val="008D2738"/>
    <w:rsid w:val="008D32AD"/>
    <w:rsid w:val="008D60CE"/>
    <w:rsid w:val="008D7582"/>
    <w:rsid w:val="008E10E0"/>
    <w:rsid w:val="008E28D2"/>
    <w:rsid w:val="008E2D2C"/>
    <w:rsid w:val="008E395F"/>
    <w:rsid w:val="008E4543"/>
    <w:rsid w:val="008E59A5"/>
    <w:rsid w:val="008E628A"/>
    <w:rsid w:val="008F11F7"/>
    <w:rsid w:val="008F2C68"/>
    <w:rsid w:val="008F4FCA"/>
    <w:rsid w:val="008F5A98"/>
    <w:rsid w:val="008F648F"/>
    <w:rsid w:val="008F6547"/>
    <w:rsid w:val="008F6C8F"/>
    <w:rsid w:val="008F7106"/>
    <w:rsid w:val="008F7786"/>
    <w:rsid w:val="00902A4F"/>
    <w:rsid w:val="00902FC2"/>
    <w:rsid w:val="00903501"/>
    <w:rsid w:val="009045B0"/>
    <w:rsid w:val="00904CA0"/>
    <w:rsid w:val="009060DE"/>
    <w:rsid w:val="009076A5"/>
    <w:rsid w:val="009104BE"/>
    <w:rsid w:val="00911A61"/>
    <w:rsid w:val="0091282E"/>
    <w:rsid w:val="009128C6"/>
    <w:rsid w:val="0091674C"/>
    <w:rsid w:val="00916E8B"/>
    <w:rsid w:val="00920B80"/>
    <w:rsid w:val="00920C15"/>
    <w:rsid w:val="009212C0"/>
    <w:rsid w:val="0092282D"/>
    <w:rsid w:val="00930793"/>
    <w:rsid w:val="00931BA7"/>
    <w:rsid w:val="00932C58"/>
    <w:rsid w:val="0093544E"/>
    <w:rsid w:val="00935602"/>
    <w:rsid w:val="009372A9"/>
    <w:rsid w:val="00937737"/>
    <w:rsid w:val="009423BE"/>
    <w:rsid w:val="00946B7B"/>
    <w:rsid w:val="0095014C"/>
    <w:rsid w:val="00950AAA"/>
    <w:rsid w:val="0095176A"/>
    <w:rsid w:val="00952948"/>
    <w:rsid w:val="009533AC"/>
    <w:rsid w:val="00955287"/>
    <w:rsid w:val="00955647"/>
    <w:rsid w:val="00956F7F"/>
    <w:rsid w:val="00957236"/>
    <w:rsid w:val="00957E43"/>
    <w:rsid w:val="009605A8"/>
    <w:rsid w:val="00960793"/>
    <w:rsid w:val="00962889"/>
    <w:rsid w:val="00963239"/>
    <w:rsid w:val="00963C58"/>
    <w:rsid w:val="009650D9"/>
    <w:rsid w:val="0096516F"/>
    <w:rsid w:val="009660D2"/>
    <w:rsid w:val="0096673A"/>
    <w:rsid w:val="009672C8"/>
    <w:rsid w:val="00967F2C"/>
    <w:rsid w:val="00970185"/>
    <w:rsid w:val="009706FF"/>
    <w:rsid w:val="00973123"/>
    <w:rsid w:val="0097364F"/>
    <w:rsid w:val="00973EEB"/>
    <w:rsid w:val="00976485"/>
    <w:rsid w:val="00976C5D"/>
    <w:rsid w:val="00985734"/>
    <w:rsid w:val="00992B1F"/>
    <w:rsid w:val="00993E3C"/>
    <w:rsid w:val="009A1043"/>
    <w:rsid w:val="009A23D0"/>
    <w:rsid w:val="009A334B"/>
    <w:rsid w:val="009A337B"/>
    <w:rsid w:val="009A4246"/>
    <w:rsid w:val="009A5828"/>
    <w:rsid w:val="009A5EF4"/>
    <w:rsid w:val="009A6C41"/>
    <w:rsid w:val="009A7D4A"/>
    <w:rsid w:val="009B257D"/>
    <w:rsid w:val="009B2DDF"/>
    <w:rsid w:val="009B47EC"/>
    <w:rsid w:val="009B4D03"/>
    <w:rsid w:val="009B6E79"/>
    <w:rsid w:val="009C3150"/>
    <w:rsid w:val="009C4F4B"/>
    <w:rsid w:val="009D2AF6"/>
    <w:rsid w:val="009D377B"/>
    <w:rsid w:val="009D49C1"/>
    <w:rsid w:val="009D4B58"/>
    <w:rsid w:val="009D75E0"/>
    <w:rsid w:val="009D76B4"/>
    <w:rsid w:val="009E11E9"/>
    <w:rsid w:val="009E22EF"/>
    <w:rsid w:val="009E2754"/>
    <w:rsid w:val="009E4D5E"/>
    <w:rsid w:val="009E6211"/>
    <w:rsid w:val="009E64E8"/>
    <w:rsid w:val="009F081B"/>
    <w:rsid w:val="009F140E"/>
    <w:rsid w:val="009F292E"/>
    <w:rsid w:val="009F404D"/>
    <w:rsid w:val="00A00F27"/>
    <w:rsid w:val="00A01509"/>
    <w:rsid w:val="00A01A02"/>
    <w:rsid w:val="00A02D6E"/>
    <w:rsid w:val="00A030B8"/>
    <w:rsid w:val="00A10938"/>
    <w:rsid w:val="00A10FE3"/>
    <w:rsid w:val="00A113F5"/>
    <w:rsid w:val="00A13DF4"/>
    <w:rsid w:val="00A22D54"/>
    <w:rsid w:val="00A25FD9"/>
    <w:rsid w:val="00A26EE0"/>
    <w:rsid w:val="00A2763F"/>
    <w:rsid w:val="00A300D0"/>
    <w:rsid w:val="00A302CF"/>
    <w:rsid w:val="00A310AF"/>
    <w:rsid w:val="00A31C6D"/>
    <w:rsid w:val="00A31FF2"/>
    <w:rsid w:val="00A33F6C"/>
    <w:rsid w:val="00A34470"/>
    <w:rsid w:val="00A344BB"/>
    <w:rsid w:val="00A40F81"/>
    <w:rsid w:val="00A41E49"/>
    <w:rsid w:val="00A43241"/>
    <w:rsid w:val="00A46E2E"/>
    <w:rsid w:val="00A5410A"/>
    <w:rsid w:val="00A54207"/>
    <w:rsid w:val="00A5538C"/>
    <w:rsid w:val="00A624F7"/>
    <w:rsid w:val="00A62747"/>
    <w:rsid w:val="00A6515F"/>
    <w:rsid w:val="00A65A9A"/>
    <w:rsid w:val="00A67EE4"/>
    <w:rsid w:val="00A67F77"/>
    <w:rsid w:val="00A70C93"/>
    <w:rsid w:val="00A71ECB"/>
    <w:rsid w:val="00A73E80"/>
    <w:rsid w:val="00A7688B"/>
    <w:rsid w:val="00A802DA"/>
    <w:rsid w:val="00A80C9C"/>
    <w:rsid w:val="00A810FA"/>
    <w:rsid w:val="00A81B1F"/>
    <w:rsid w:val="00A83315"/>
    <w:rsid w:val="00A8709B"/>
    <w:rsid w:val="00A90749"/>
    <w:rsid w:val="00A93091"/>
    <w:rsid w:val="00A94AD6"/>
    <w:rsid w:val="00A95E99"/>
    <w:rsid w:val="00AA165F"/>
    <w:rsid w:val="00AA5FA0"/>
    <w:rsid w:val="00AB0B6A"/>
    <w:rsid w:val="00AB1C52"/>
    <w:rsid w:val="00AC4902"/>
    <w:rsid w:val="00AC563D"/>
    <w:rsid w:val="00AD35BF"/>
    <w:rsid w:val="00AD49B4"/>
    <w:rsid w:val="00AE07C8"/>
    <w:rsid w:val="00AE27D3"/>
    <w:rsid w:val="00AE377D"/>
    <w:rsid w:val="00AE4A37"/>
    <w:rsid w:val="00AE5368"/>
    <w:rsid w:val="00AE591B"/>
    <w:rsid w:val="00AE6C47"/>
    <w:rsid w:val="00AE7135"/>
    <w:rsid w:val="00AF260C"/>
    <w:rsid w:val="00AF62BD"/>
    <w:rsid w:val="00AF726C"/>
    <w:rsid w:val="00AF731C"/>
    <w:rsid w:val="00AF7C6E"/>
    <w:rsid w:val="00B008F6"/>
    <w:rsid w:val="00B03800"/>
    <w:rsid w:val="00B03C67"/>
    <w:rsid w:val="00B131A2"/>
    <w:rsid w:val="00B1457C"/>
    <w:rsid w:val="00B16125"/>
    <w:rsid w:val="00B2158D"/>
    <w:rsid w:val="00B215C8"/>
    <w:rsid w:val="00B22394"/>
    <w:rsid w:val="00B224C7"/>
    <w:rsid w:val="00B262A8"/>
    <w:rsid w:val="00B2798D"/>
    <w:rsid w:val="00B33C9F"/>
    <w:rsid w:val="00B34F5E"/>
    <w:rsid w:val="00B35ACE"/>
    <w:rsid w:val="00B363E6"/>
    <w:rsid w:val="00B367B5"/>
    <w:rsid w:val="00B36F9A"/>
    <w:rsid w:val="00B3742E"/>
    <w:rsid w:val="00B37D13"/>
    <w:rsid w:val="00B401F5"/>
    <w:rsid w:val="00B43A72"/>
    <w:rsid w:val="00B44A84"/>
    <w:rsid w:val="00B45894"/>
    <w:rsid w:val="00B46957"/>
    <w:rsid w:val="00B46E25"/>
    <w:rsid w:val="00B46F55"/>
    <w:rsid w:val="00B47B64"/>
    <w:rsid w:val="00B50B30"/>
    <w:rsid w:val="00B526B9"/>
    <w:rsid w:val="00B53355"/>
    <w:rsid w:val="00B5452A"/>
    <w:rsid w:val="00B56647"/>
    <w:rsid w:val="00B569C0"/>
    <w:rsid w:val="00B56BD9"/>
    <w:rsid w:val="00B57432"/>
    <w:rsid w:val="00B57495"/>
    <w:rsid w:val="00B57C6B"/>
    <w:rsid w:val="00B61465"/>
    <w:rsid w:val="00B614A7"/>
    <w:rsid w:val="00B63627"/>
    <w:rsid w:val="00B63E9D"/>
    <w:rsid w:val="00B64370"/>
    <w:rsid w:val="00B64A84"/>
    <w:rsid w:val="00B66969"/>
    <w:rsid w:val="00B70A1B"/>
    <w:rsid w:val="00B70B04"/>
    <w:rsid w:val="00B70EEA"/>
    <w:rsid w:val="00B71049"/>
    <w:rsid w:val="00B72705"/>
    <w:rsid w:val="00B7313F"/>
    <w:rsid w:val="00B74679"/>
    <w:rsid w:val="00B7756B"/>
    <w:rsid w:val="00B77EDB"/>
    <w:rsid w:val="00B80193"/>
    <w:rsid w:val="00B84B45"/>
    <w:rsid w:val="00B8736B"/>
    <w:rsid w:val="00B875E4"/>
    <w:rsid w:val="00B901C5"/>
    <w:rsid w:val="00B91728"/>
    <w:rsid w:val="00B94DF9"/>
    <w:rsid w:val="00B970E4"/>
    <w:rsid w:val="00BA32D6"/>
    <w:rsid w:val="00BA550C"/>
    <w:rsid w:val="00BB039B"/>
    <w:rsid w:val="00BB225C"/>
    <w:rsid w:val="00BB38F6"/>
    <w:rsid w:val="00BC1407"/>
    <w:rsid w:val="00BC4A99"/>
    <w:rsid w:val="00BC6A6B"/>
    <w:rsid w:val="00BD15CB"/>
    <w:rsid w:val="00BD1AED"/>
    <w:rsid w:val="00BE1C5C"/>
    <w:rsid w:val="00BE26FB"/>
    <w:rsid w:val="00BE3A4A"/>
    <w:rsid w:val="00BE3CC2"/>
    <w:rsid w:val="00BE48FD"/>
    <w:rsid w:val="00BE671B"/>
    <w:rsid w:val="00BF43D5"/>
    <w:rsid w:val="00BF6A8C"/>
    <w:rsid w:val="00C02FE2"/>
    <w:rsid w:val="00C032B7"/>
    <w:rsid w:val="00C06532"/>
    <w:rsid w:val="00C114F0"/>
    <w:rsid w:val="00C12AD4"/>
    <w:rsid w:val="00C139E8"/>
    <w:rsid w:val="00C13B45"/>
    <w:rsid w:val="00C1695D"/>
    <w:rsid w:val="00C16F86"/>
    <w:rsid w:val="00C1741B"/>
    <w:rsid w:val="00C20208"/>
    <w:rsid w:val="00C20F3A"/>
    <w:rsid w:val="00C2231B"/>
    <w:rsid w:val="00C22C67"/>
    <w:rsid w:val="00C2363D"/>
    <w:rsid w:val="00C25687"/>
    <w:rsid w:val="00C32C92"/>
    <w:rsid w:val="00C331A4"/>
    <w:rsid w:val="00C357EE"/>
    <w:rsid w:val="00C35CA1"/>
    <w:rsid w:val="00C36D2C"/>
    <w:rsid w:val="00C433CC"/>
    <w:rsid w:val="00C43986"/>
    <w:rsid w:val="00C46C63"/>
    <w:rsid w:val="00C53464"/>
    <w:rsid w:val="00C55E4B"/>
    <w:rsid w:val="00C57D77"/>
    <w:rsid w:val="00C604DA"/>
    <w:rsid w:val="00C60DF3"/>
    <w:rsid w:val="00C60E9E"/>
    <w:rsid w:val="00C61213"/>
    <w:rsid w:val="00C62440"/>
    <w:rsid w:val="00C64AE1"/>
    <w:rsid w:val="00C6511F"/>
    <w:rsid w:val="00C65ABA"/>
    <w:rsid w:val="00C676B8"/>
    <w:rsid w:val="00C714E0"/>
    <w:rsid w:val="00C71780"/>
    <w:rsid w:val="00C75454"/>
    <w:rsid w:val="00C75A23"/>
    <w:rsid w:val="00C77681"/>
    <w:rsid w:val="00C8034C"/>
    <w:rsid w:val="00C858E9"/>
    <w:rsid w:val="00C911E9"/>
    <w:rsid w:val="00C93920"/>
    <w:rsid w:val="00C9411F"/>
    <w:rsid w:val="00C94B18"/>
    <w:rsid w:val="00C965BB"/>
    <w:rsid w:val="00CA1DEA"/>
    <w:rsid w:val="00CA2307"/>
    <w:rsid w:val="00CA3CF7"/>
    <w:rsid w:val="00CA5236"/>
    <w:rsid w:val="00CA6680"/>
    <w:rsid w:val="00CA7021"/>
    <w:rsid w:val="00CA7D24"/>
    <w:rsid w:val="00CB46FA"/>
    <w:rsid w:val="00CB69B4"/>
    <w:rsid w:val="00CC187D"/>
    <w:rsid w:val="00CC643D"/>
    <w:rsid w:val="00CC6E29"/>
    <w:rsid w:val="00CC7697"/>
    <w:rsid w:val="00CC7A64"/>
    <w:rsid w:val="00CD173C"/>
    <w:rsid w:val="00CD36FF"/>
    <w:rsid w:val="00CD7076"/>
    <w:rsid w:val="00CD7F0E"/>
    <w:rsid w:val="00CE1CD1"/>
    <w:rsid w:val="00CE25E1"/>
    <w:rsid w:val="00CE2DB4"/>
    <w:rsid w:val="00CE3478"/>
    <w:rsid w:val="00CE3969"/>
    <w:rsid w:val="00CE4835"/>
    <w:rsid w:val="00CE5AB9"/>
    <w:rsid w:val="00CE6194"/>
    <w:rsid w:val="00CE6C33"/>
    <w:rsid w:val="00CF031C"/>
    <w:rsid w:val="00CF37D2"/>
    <w:rsid w:val="00CF5217"/>
    <w:rsid w:val="00CF55DF"/>
    <w:rsid w:val="00D0050E"/>
    <w:rsid w:val="00D00947"/>
    <w:rsid w:val="00D025A9"/>
    <w:rsid w:val="00D02B6B"/>
    <w:rsid w:val="00D058D1"/>
    <w:rsid w:val="00D070A6"/>
    <w:rsid w:val="00D07DF3"/>
    <w:rsid w:val="00D1084E"/>
    <w:rsid w:val="00D11A9C"/>
    <w:rsid w:val="00D12B73"/>
    <w:rsid w:val="00D140A0"/>
    <w:rsid w:val="00D15768"/>
    <w:rsid w:val="00D17A36"/>
    <w:rsid w:val="00D21345"/>
    <w:rsid w:val="00D258ED"/>
    <w:rsid w:val="00D26761"/>
    <w:rsid w:val="00D3060B"/>
    <w:rsid w:val="00D335FC"/>
    <w:rsid w:val="00D33693"/>
    <w:rsid w:val="00D340A1"/>
    <w:rsid w:val="00D3721A"/>
    <w:rsid w:val="00D40FFD"/>
    <w:rsid w:val="00D43149"/>
    <w:rsid w:val="00D446F1"/>
    <w:rsid w:val="00D44EF3"/>
    <w:rsid w:val="00D45950"/>
    <w:rsid w:val="00D50173"/>
    <w:rsid w:val="00D507AC"/>
    <w:rsid w:val="00D57027"/>
    <w:rsid w:val="00D62025"/>
    <w:rsid w:val="00D65C94"/>
    <w:rsid w:val="00D65FE8"/>
    <w:rsid w:val="00D660E3"/>
    <w:rsid w:val="00D6730C"/>
    <w:rsid w:val="00D67DDD"/>
    <w:rsid w:val="00D754AA"/>
    <w:rsid w:val="00D7623F"/>
    <w:rsid w:val="00D77FA1"/>
    <w:rsid w:val="00D83993"/>
    <w:rsid w:val="00D86A06"/>
    <w:rsid w:val="00D8753A"/>
    <w:rsid w:val="00D90209"/>
    <w:rsid w:val="00D941DD"/>
    <w:rsid w:val="00D94F26"/>
    <w:rsid w:val="00D952FF"/>
    <w:rsid w:val="00D962D5"/>
    <w:rsid w:val="00DA233A"/>
    <w:rsid w:val="00DA2B0A"/>
    <w:rsid w:val="00DA41F2"/>
    <w:rsid w:val="00DA7E05"/>
    <w:rsid w:val="00DA7FE2"/>
    <w:rsid w:val="00DB009E"/>
    <w:rsid w:val="00DB0DDF"/>
    <w:rsid w:val="00DB14F6"/>
    <w:rsid w:val="00DB16F2"/>
    <w:rsid w:val="00DB406C"/>
    <w:rsid w:val="00DB4AD5"/>
    <w:rsid w:val="00DB5FD6"/>
    <w:rsid w:val="00DC0DDB"/>
    <w:rsid w:val="00DC0FFC"/>
    <w:rsid w:val="00DC47A6"/>
    <w:rsid w:val="00DC5FA3"/>
    <w:rsid w:val="00DC615E"/>
    <w:rsid w:val="00DC69B5"/>
    <w:rsid w:val="00DC7B8B"/>
    <w:rsid w:val="00DD3AD8"/>
    <w:rsid w:val="00DD5573"/>
    <w:rsid w:val="00DD65C0"/>
    <w:rsid w:val="00DD682B"/>
    <w:rsid w:val="00DE2420"/>
    <w:rsid w:val="00DE253D"/>
    <w:rsid w:val="00DE2E48"/>
    <w:rsid w:val="00DE37D1"/>
    <w:rsid w:val="00DF1D6D"/>
    <w:rsid w:val="00DF6C97"/>
    <w:rsid w:val="00DF7635"/>
    <w:rsid w:val="00E00882"/>
    <w:rsid w:val="00E01D89"/>
    <w:rsid w:val="00E05AFF"/>
    <w:rsid w:val="00E07611"/>
    <w:rsid w:val="00E134A6"/>
    <w:rsid w:val="00E13ED4"/>
    <w:rsid w:val="00E15735"/>
    <w:rsid w:val="00E1630D"/>
    <w:rsid w:val="00E1793D"/>
    <w:rsid w:val="00E23DC5"/>
    <w:rsid w:val="00E23F00"/>
    <w:rsid w:val="00E24F34"/>
    <w:rsid w:val="00E2671C"/>
    <w:rsid w:val="00E331C6"/>
    <w:rsid w:val="00E33A5D"/>
    <w:rsid w:val="00E34BF7"/>
    <w:rsid w:val="00E35CD9"/>
    <w:rsid w:val="00E41C6A"/>
    <w:rsid w:val="00E44860"/>
    <w:rsid w:val="00E449B4"/>
    <w:rsid w:val="00E44A4C"/>
    <w:rsid w:val="00E468DB"/>
    <w:rsid w:val="00E477E6"/>
    <w:rsid w:val="00E47880"/>
    <w:rsid w:val="00E50A38"/>
    <w:rsid w:val="00E51E93"/>
    <w:rsid w:val="00E53C56"/>
    <w:rsid w:val="00E544F1"/>
    <w:rsid w:val="00E5551E"/>
    <w:rsid w:val="00E56D7A"/>
    <w:rsid w:val="00E57AB1"/>
    <w:rsid w:val="00E608DF"/>
    <w:rsid w:val="00E60AB8"/>
    <w:rsid w:val="00E60C92"/>
    <w:rsid w:val="00E6511A"/>
    <w:rsid w:val="00E67703"/>
    <w:rsid w:val="00E70CE4"/>
    <w:rsid w:val="00E71D51"/>
    <w:rsid w:val="00E73687"/>
    <w:rsid w:val="00E74C79"/>
    <w:rsid w:val="00E81935"/>
    <w:rsid w:val="00E81D47"/>
    <w:rsid w:val="00E81D89"/>
    <w:rsid w:val="00E836C3"/>
    <w:rsid w:val="00E83EB8"/>
    <w:rsid w:val="00E83F8A"/>
    <w:rsid w:val="00E86CEB"/>
    <w:rsid w:val="00E95270"/>
    <w:rsid w:val="00E97363"/>
    <w:rsid w:val="00E97DA8"/>
    <w:rsid w:val="00EA0B8D"/>
    <w:rsid w:val="00EA0EAA"/>
    <w:rsid w:val="00EA1589"/>
    <w:rsid w:val="00EA234F"/>
    <w:rsid w:val="00EA3A82"/>
    <w:rsid w:val="00EB333F"/>
    <w:rsid w:val="00EB377D"/>
    <w:rsid w:val="00EB4778"/>
    <w:rsid w:val="00EB6DBB"/>
    <w:rsid w:val="00EB7BB2"/>
    <w:rsid w:val="00EC41CF"/>
    <w:rsid w:val="00EC46AA"/>
    <w:rsid w:val="00EC62A0"/>
    <w:rsid w:val="00EC6500"/>
    <w:rsid w:val="00ED1C01"/>
    <w:rsid w:val="00ED3136"/>
    <w:rsid w:val="00ED3FE3"/>
    <w:rsid w:val="00ED46BB"/>
    <w:rsid w:val="00ED4F00"/>
    <w:rsid w:val="00ED60D8"/>
    <w:rsid w:val="00ED6754"/>
    <w:rsid w:val="00EE0C77"/>
    <w:rsid w:val="00EE1DEA"/>
    <w:rsid w:val="00EE3111"/>
    <w:rsid w:val="00EE3C2C"/>
    <w:rsid w:val="00EF0525"/>
    <w:rsid w:val="00EF0F4A"/>
    <w:rsid w:val="00EF2E4B"/>
    <w:rsid w:val="00EF3A75"/>
    <w:rsid w:val="00F0068B"/>
    <w:rsid w:val="00F0167C"/>
    <w:rsid w:val="00F01EE0"/>
    <w:rsid w:val="00F02AB0"/>
    <w:rsid w:val="00F03ED1"/>
    <w:rsid w:val="00F04487"/>
    <w:rsid w:val="00F1081C"/>
    <w:rsid w:val="00F11475"/>
    <w:rsid w:val="00F11642"/>
    <w:rsid w:val="00F1235F"/>
    <w:rsid w:val="00F13D61"/>
    <w:rsid w:val="00F21734"/>
    <w:rsid w:val="00F228D4"/>
    <w:rsid w:val="00F22D93"/>
    <w:rsid w:val="00F238B5"/>
    <w:rsid w:val="00F24097"/>
    <w:rsid w:val="00F25BCD"/>
    <w:rsid w:val="00F31584"/>
    <w:rsid w:val="00F32BBF"/>
    <w:rsid w:val="00F3758D"/>
    <w:rsid w:val="00F37855"/>
    <w:rsid w:val="00F40D1B"/>
    <w:rsid w:val="00F419B9"/>
    <w:rsid w:val="00F43867"/>
    <w:rsid w:val="00F46131"/>
    <w:rsid w:val="00F4718F"/>
    <w:rsid w:val="00F506F4"/>
    <w:rsid w:val="00F5084F"/>
    <w:rsid w:val="00F50D18"/>
    <w:rsid w:val="00F5170D"/>
    <w:rsid w:val="00F563D5"/>
    <w:rsid w:val="00F56901"/>
    <w:rsid w:val="00F604AC"/>
    <w:rsid w:val="00F61399"/>
    <w:rsid w:val="00F62EF6"/>
    <w:rsid w:val="00F645FB"/>
    <w:rsid w:val="00F664D6"/>
    <w:rsid w:val="00F703C9"/>
    <w:rsid w:val="00F7227A"/>
    <w:rsid w:val="00F75E7F"/>
    <w:rsid w:val="00F76E0F"/>
    <w:rsid w:val="00F8260B"/>
    <w:rsid w:val="00F82FA0"/>
    <w:rsid w:val="00F83386"/>
    <w:rsid w:val="00F83B12"/>
    <w:rsid w:val="00F865E7"/>
    <w:rsid w:val="00F86BBE"/>
    <w:rsid w:val="00F8761D"/>
    <w:rsid w:val="00F909D4"/>
    <w:rsid w:val="00F9571C"/>
    <w:rsid w:val="00F957C2"/>
    <w:rsid w:val="00FA0E6E"/>
    <w:rsid w:val="00FA1470"/>
    <w:rsid w:val="00FA1DF6"/>
    <w:rsid w:val="00FA2A0B"/>
    <w:rsid w:val="00FA3B7D"/>
    <w:rsid w:val="00FA4695"/>
    <w:rsid w:val="00FA4883"/>
    <w:rsid w:val="00FA7747"/>
    <w:rsid w:val="00FB3725"/>
    <w:rsid w:val="00FB454D"/>
    <w:rsid w:val="00FB7BA7"/>
    <w:rsid w:val="00FC060B"/>
    <w:rsid w:val="00FC0C76"/>
    <w:rsid w:val="00FC2776"/>
    <w:rsid w:val="00FC2CDD"/>
    <w:rsid w:val="00FC3477"/>
    <w:rsid w:val="00FC6AF8"/>
    <w:rsid w:val="00FC7C33"/>
    <w:rsid w:val="00FD077E"/>
    <w:rsid w:val="00FD1D41"/>
    <w:rsid w:val="00FD51B7"/>
    <w:rsid w:val="00FD5442"/>
    <w:rsid w:val="00FD56E6"/>
    <w:rsid w:val="00FE4C92"/>
    <w:rsid w:val="00FE51A8"/>
    <w:rsid w:val="00FE6297"/>
    <w:rsid w:val="00FF0215"/>
    <w:rsid w:val="00FF1ECB"/>
    <w:rsid w:val="00FF216C"/>
    <w:rsid w:val="00FF2A3C"/>
    <w:rsid w:val="00FF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86CEB"/>
    <w:pPr>
      <w:keepNext/>
      <w:widowControl w:val="0"/>
      <w:spacing w:after="0" w:line="240" w:lineRule="auto"/>
      <w:outlineLvl w:val="0"/>
    </w:pPr>
    <w:rPr>
      <w:rFonts w:ascii="Times New Roman" w:eastAsia="Times New Roman" w:hAnsi="Times New Roman"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CEB"/>
    <w:rPr>
      <w:rFonts w:ascii="Times New Roman" w:eastAsia="Times New Roman" w:hAnsi="Times New Roman" w:cs="Times New Roman"/>
      <w:snapToGrid w:val="0"/>
      <w:sz w:val="24"/>
      <w:szCs w:val="20"/>
      <w:u w:val="single"/>
    </w:rPr>
  </w:style>
  <w:style w:type="numbering" w:customStyle="1" w:styleId="NoList1">
    <w:name w:val="No List1"/>
    <w:next w:val="NoList"/>
    <w:semiHidden/>
    <w:unhideWhenUsed/>
    <w:rsid w:val="00E86CEB"/>
  </w:style>
  <w:style w:type="paragraph" w:customStyle="1" w:styleId="1AutoList1">
    <w:name w:val="1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86CEB"/>
    <w:rPr>
      <w:rFonts w:ascii="Times New Roman" w:eastAsia="Times New Roman" w:hAnsi="Times New Roman" w:cs="Times New Roman"/>
      <w:sz w:val="20"/>
      <w:szCs w:val="20"/>
    </w:rPr>
  </w:style>
  <w:style w:type="character" w:styleId="PageNumber">
    <w:name w:val="page number"/>
    <w:basedOn w:val="DefaultParagraphFont"/>
    <w:rsid w:val="00E86CEB"/>
  </w:style>
  <w:style w:type="paragraph" w:styleId="Header">
    <w:name w:val="header"/>
    <w:basedOn w:val="Normal"/>
    <w:link w:val="HeaderChar"/>
    <w:uiPriority w:val="99"/>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86CEB"/>
    <w:rPr>
      <w:rFonts w:ascii="Times New Roman" w:eastAsia="Times New Roman" w:hAnsi="Times New Roman" w:cs="Times New Roman"/>
      <w:sz w:val="20"/>
      <w:szCs w:val="20"/>
    </w:rPr>
  </w:style>
  <w:style w:type="character" w:styleId="Hyperlink">
    <w:name w:val="Hyperlink"/>
    <w:uiPriority w:val="99"/>
    <w:unhideWhenUsed/>
    <w:rsid w:val="00E86CEB"/>
    <w:rPr>
      <w:color w:val="0000FF"/>
      <w:u w:val="single"/>
    </w:rPr>
  </w:style>
  <w:style w:type="character" w:styleId="IntenseEmphasis">
    <w:name w:val="Intense Emphasis"/>
    <w:uiPriority w:val="21"/>
    <w:qFormat/>
    <w:rsid w:val="00E86CEB"/>
    <w:rPr>
      <w:b/>
      <w:bCs/>
      <w:i/>
      <w:iCs/>
      <w:color w:val="4F81BD"/>
    </w:rPr>
  </w:style>
  <w:style w:type="table" w:styleId="TableGrid">
    <w:name w:val="Table Grid"/>
    <w:basedOn w:val="TableNormal"/>
    <w:uiPriority w:val="59"/>
    <w:rsid w:val="00E86CE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E86C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86CEB"/>
    <w:p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86CEB"/>
    <w:rPr>
      <w:rFonts w:ascii="Times New Roman" w:eastAsia="Times New Roman" w:hAnsi="Times New Roman" w:cs="Times New Roman"/>
      <w:sz w:val="24"/>
      <w:szCs w:val="20"/>
    </w:rPr>
  </w:style>
  <w:style w:type="paragraph" w:styleId="BalloonText">
    <w:name w:val="Balloon Text"/>
    <w:basedOn w:val="Normal"/>
    <w:link w:val="BalloonTextChar"/>
    <w:rsid w:val="00E86CE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86CEB"/>
    <w:rPr>
      <w:rFonts w:ascii="Tahoma" w:eastAsia="Times New Roman" w:hAnsi="Tahoma" w:cs="Tahoma"/>
      <w:sz w:val="16"/>
      <w:szCs w:val="16"/>
    </w:rPr>
  </w:style>
  <w:style w:type="character" w:styleId="CommentReference">
    <w:name w:val="annotation reference"/>
    <w:rsid w:val="00E86CEB"/>
    <w:rPr>
      <w:sz w:val="16"/>
      <w:szCs w:val="16"/>
    </w:rPr>
  </w:style>
  <w:style w:type="paragraph" w:styleId="CommentText">
    <w:name w:val="annotation text"/>
    <w:basedOn w:val="Normal"/>
    <w:link w:val="CommentTextChar"/>
    <w:rsid w:val="00E86CE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86C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86CEB"/>
    <w:rPr>
      <w:b/>
      <w:bCs/>
    </w:rPr>
  </w:style>
  <w:style w:type="character" w:customStyle="1" w:styleId="CommentSubjectChar">
    <w:name w:val="Comment Subject Char"/>
    <w:basedOn w:val="CommentTextChar"/>
    <w:link w:val="CommentSubject"/>
    <w:rsid w:val="00E86CEB"/>
    <w:rPr>
      <w:rFonts w:ascii="Times New Roman" w:eastAsia="Times New Roman" w:hAnsi="Times New Roman" w:cs="Times New Roman"/>
      <w:b/>
      <w:bCs/>
      <w:sz w:val="20"/>
      <w:szCs w:val="20"/>
    </w:rPr>
  </w:style>
  <w:style w:type="paragraph" w:styleId="Revision">
    <w:name w:val="Revision"/>
    <w:hidden/>
    <w:uiPriority w:val="99"/>
    <w:semiHidden/>
    <w:rsid w:val="00E86CEB"/>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86CEB"/>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6CEB"/>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8C5473"/>
    <w:pPr>
      <w:spacing w:after="0" w:line="240" w:lineRule="auto"/>
    </w:pPr>
    <w:rPr>
      <w:sz w:val="20"/>
      <w:szCs w:val="20"/>
    </w:rPr>
  </w:style>
  <w:style w:type="character" w:customStyle="1" w:styleId="FootnoteTextChar">
    <w:name w:val="Footnote Text Char"/>
    <w:basedOn w:val="DefaultParagraphFont"/>
    <w:link w:val="FootnoteText"/>
    <w:uiPriority w:val="99"/>
    <w:rsid w:val="008C5473"/>
    <w:rPr>
      <w:sz w:val="20"/>
      <w:szCs w:val="20"/>
    </w:rPr>
  </w:style>
  <w:style w:type="character" w:styleId="FootnoteReference">
    <w:name w:val="footnote reference"/>
    <w:basedOn w:val="DefaultParagraphFont"/>
    <w:uiPriority w:val="99"/>
    <w:semiHidden/>
    <w:unhideWhenUsed/>
    <w:rsid w:val="008C54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86CEB"/>
    <w:pPr>
      <w:keepNext/>
      <w:widowControl w:val="0"/>
      <w:spacing w:after="0" w:line="240" w:lineRule="auto"/>
      <w:outlineLvl w:val="0"/>
    </w:pPr>
    <w:rPr>
      <w:rFonts w:ascii="Times New Roman" w:eastAsia="Times New Roman" w:hAnsi="Times New Roman"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CEB"/>
    <w:rPr>
      <w:rFonts w:ascii="Times New Roman" w:eastAsia="Times New Roman" w:hAnsi="Times New Roman" w:cs="Times New Roman"/>
      <w:snapToGrid w:val="0"/>
      <w:sz w:val="24"/>
      <w:szCs w:val="20"/>
      <w:u w:val="single"/>
    </w:rPr>
  </w:style>
  <w:style w:type="numbering" w:customStyle="1" w:styleId="NoList1">
    <w:name w:val="No List1"/>
    <w:next w:val="NoList"/>
    <w:semiHidden/>
    <w:unhideWhenUsed/>
    <w:rsid w:val="00E86CEB"/>
  </w:style>
  <w:style w:type="paragraph" w:customStyle="1" w:styleId="1AutoList1">
    <w:name w:val="1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86CEB"/>
    <w:rPr>
      <w:rFonts w:ascii="Times New Roman" w:eastAsia="Times New Roman" w:hAnsi="Times New Roman" w:cs="Times New Roman"/>
      <w:sz w:val="20"/>
      <w:szCs w:val="20"/>
    </w:rPr>
  </w:style>
  <w:style w:type="character" w:styleId="PageNumber">
    <w:name w:val="page number"/>
    <w:basedOn w:val="DefaultParagraphFont"/>
    <w:rsid w:val="00E86CEB"/>
  </w:style>
  <w:style w:type="paragraph" w:styleId="Header">
    <w:name w:val="header"/>
    <w:basedOn w:val="Normal"/>
    <w:link w:val="HeaderChar"/>
    <w:uiPriority w:val="99"/>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86CEB"/>
    <w:rPr>
      <w:rFonts w:ascii="Times New Roman" w:eastAsia="Times New Roman" w:hAnsi="Times New Roman" w:cs="Times New Roman"/>
      <w:sz w:val="20"/>
      <w:szCs w:val="20"/>
    </w:rPr>
  </w:style>
  <w:style w:type="character" w:styleId="Hyperlink">
    <w:name w:val="Hyperlink"/>
    <w:uiPriority w:val="99"/>
    <w:unhideWhenUsed/>
    <w:rsid w:val="00E86CEB"/>
    <w:rPr>
      <w:color w:val="0000FF"/>
      <w:u w:val="single"/>
    </w:rPr>
  </w:style>
  <w:style w:type="character" w:styleId="IntenseEmphasis">
    <w:name w:val="Intense Emphasis"/>
    <w:uiPriority w:val="21"/>
    <w:qFormat/>
    <w:rsid w:val="00E86CEB"/>
    <w:rPr>
      <w:b/>
      <w:bCs/>
      <w:i/>
      <w:iCs/>
      <w:color w:val="4F81BD"/>
    </w:rPr>
  </w:style>
  <w:style w:type="table" w:styleId="TableGrid">
    <w:name w:val="Table Grid"/>
    <w:basedOn w:val="TableNormal"/>
    <w:uiPriority w:val="59"/>
    <w:rsid w:val="00E86CE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E86C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86CEB"/>
    <w:p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86CEB"/>
    <w:rPr>
      <w:rFonts w:ascii="Times New Roman" w:eastAsia="Times New Roman" w:hAnsi="Times New Roman" w:cs="Times New Roman"/>
      <w:sz w:val="24"/>
      <w:szCs w:val="20"/>
    </w:rPr>
  </w:style>
  <w:style w:type="paragraph" w:styleId="BalloonText">
    <w:name w:val="Balloon Text"/>
    <w:basedOn w:val="Normal"/>
    <w:link w:val="BalloonTextChar"/>
    <w:rsid w:val="00E86CE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86CEB"/>
    <w:rPr>
      <w:rFonts w:ascii="Tahoma" w:eastAsia="Times New Roman" w:hAnsi="Tahoma" w:cs="Tahoma"/>
      <w:sz w:val="16"/>
      <w:szCs w:val="16"/>
    </w:rPr>
  </w:style>
  <w:style w:type="character" w:styleId="CommentReference">
    <w:name w:val="annotation reference"/>
    <w:rsid w:val="00E86CEB"/>
    <w:rPr>
      <w:sz w:val="16"/>
      <w:szCs w:val="16"/>
    </w:rPr>
  </w:style>
  <w:style w:type="paragraph" w:styleId="CommentText">
    <w:name w:val="annotation text"/>
    <w:basedOn w:val="Normal"/>
    <w:link w:val="CommentTextChar"/>
    <w:rsid w:val="00E86CE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86C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86CEB"/>
    <w:rPr>
      <w:b/>
      <w:bCs/>
    </w:rPr>
  </w:style>
  <w:style w:type="character" w:customStyle="1" w:styleId="CommentSubjectChar">
    <w:name w:val="Comment Subject Char"/>
    <w:basedOn w:val="CommentTextChar"/>
    <w:link w:val="CommentSubject"/>
    <w:rsid w:val="00E86CEB"/>
    <w:rPr>
      <w:rFonts w:ascii="Times New Roman" w:eastAsia="Times New Roman" w:hAnsi="Times New Roman" w:cs="Times New Roman"/>
      <w:b/>
      <w:bCs/>
      <w:sz w:val="20"/>
      <w:szCs w:val="20"/>
    </w:rPr>
  </w:style>
  <w:style w:type="paragraph" w:styleId="Revision">
    <w:name w:val="Revision"/>
    <w:hidden/>
    <w:uiPriority w:val="99"/>
    <w:semiHidden/>
    <w:rsid w:val="00E86CEB"/>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86CEB"/>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6CEB"/>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8C5473"/>
    <w:pPr>
      <w:spacing w:after="0" w:line="240" w:lineRule="auto"/>
    </w:pPr>
    <w:rPr>
      <w:sz w:val="20"/>
      <w:szCs w:val="20"/>
    </w:rPr>
  </w:style>
  <w:style w:type="character" w:customStyle="1" w:styleId="FootnoteTextChar">
    <w:name w:val="Footnote Text Char"/>
    <w:basedOn w:val="DefaultParagraphFont"/>
    <w:link w:val="FootnoteText"/>
    <w:uiPriority w:val="99"/>
    <w:rsid w:val="008C5473"/>
    <w:rPr>
      <w:sz w:val="20"/>
      <w:szCs w:val="20"/>
    </w:rPr>
  </w:style>
  <w:style w:type="character" w:styleId="FootnoteReference">
    <w:name w:val="footnote reference"/>
    <w:basedOn w:val="DefaultParagraphFont"/>
    <w:uiPriority w:val="99"/>
    <w:semiHidden/>
    <w:unhideWhenUsed/>
    <w:rsid w:val="008C5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89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brazier@cicresea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emary.Kosaka@noa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indy.Thomson@noaa.gov"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cindy.thomson\Documents\user_data\CentralValley_Recr\OMB\PowerAnalysis-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PowerAnalysis_prop!$B$21</c:f>
              <c:strCache>
                <c:ptCount val="1"/>
                <c:pt idx="0">
                  <c:v>±10% </c:v>
                </c:pt>
              </c:strCache>
            </c:strRef>
          </c:tx>
          <c:spPr>
            <a:ln w="15875">
              <a:solidFill>
                <a:schemeClr val="tx1"/>
              </a:solidFill>
            </a:ln>
          </c:spPr>
          <c:marker>
            <c:symbol val="square"/>
            <c:size val="4"/>
            <c:spPr>
              <a:solidFill>
                <a:schemeClr val="tx1"/>
              </a:solidFill>
              <a:ln>
                <a:solidFill>
                  <a:schemeClr val="tx1"/>
                </a:solidFill>
              </a:ln>
            </c:spPr>
          </c:marker>
          <c:xVal>
            <c:numRef>
              <c:f>PowerAnalysis_prop!$A$22:$A$38</c:f>
              <c:numCache>
                <c:formatCode>0.00</c:formatCode>
                <c:ptCount val="17"/>
                <c:pt idx="0">
                  <c:v>0.1</c:v>
                </c:pt>
                <c:pt idx="1">
                  <c:v>0.15</c:v>
                </c:pt>
                <c:pt idx="2">
                  <c:v>0.2</c:v>
                </c:pt>
                <c:pt idx="3">
                  <c:v>0.25</c:v>
                </c:pt>
                <c:pt idx="4">
                  <c:v>0.3</c:v>
                </c:pt>
                <c:pt idx="5">
                  <c:v>0.35</c:v>
                </c:pt>
                <c:pt idx="6">
                  <c:v>0.4</c:v>
                </c:pt>
                <c:pt idx="7">
                  <c:v>0.45</c:v>
                </c:pt>
                <c:pt idx="8">
                  <c:v>0.5</c:v>
                </c:pt>
                <c:pt idx="9">
                  <c:v>0.55000000000000004</c:v>
                </c:pt>
                <c:pt idx="10">
                  <c:v>0.6</c:v>
                </c:pt>
                <c:pt idx="11">
                  <c:v>0.65</c:v>
                </c:pt>
                <c:pt idx="12">
                  <c:v>0.7</c:v>
                </c:pt>
                <c:pt idx="13">
                  <c:v>0.75</c:v>
                </c:pt>
                <c:pt idx="14">
                  <c:v>0.8</c:v>
                </c:pt>
                <c:pt idx="15">
                  <c:v>0.85</c:v>
                </c:pt>
                <c:pt idx="16">
                  <c:v>0.9</c:v>
                </c:pt>
              </c:numCache>
            </c:numRef>
          </c:xVal>
          <c:yVal>
            <c:numRef>
              <c:f>PowerAnalysis_prop!$B$22:$B$38</c:f>
              <c:numCache>
                <c:formatCode>0</c:formatCode>
                <c:ptCount val="17"/>
                <c:pt idx="0">
                  <c:v>3457.4399999999987</c:v>
                </c:pt>
                <c:pt idx="1">
                  <c:v>2176.9066666666663</c:v>
                </c:pt>
                <c:pt idx="2">
                  <c:v>1536.6399999999994</c:v>
                </c:pt>
                <c:pt idx="3">
                  <c:v>1152.4799999999998</c:v>
                </c:pt>
                <c:pt idx="4">
                  <c:v>896.37333333333311</c:v>
                </c:pt>
                <c:pt idx="5">
                  <c:v>713.44000000000017</c:v>
                </c:pt>
                <c:pt idx="6">
                  <c:v>576.23999999999978</c:v>
                </c:pt>
                <c:pt idx="7">
                  <c:v>469.52888888888879</c:v>
                </c:pt>
                <c:pt idx="8">
                  <c:v>384.15999999999991</c:v>
                </c:pt>
                <c:pt idx="9">
                  <c:v>314.31272727272722</c:v>
                </c:pt>
                <c:pt idx="10">
                  <c:v>256.10666666666663</c:v>
                </c:pt>
                <c:pt idx="11">
                  <c:v>206.85538461538459</c:v>
                </c:pt>
                <c:pt idx="12">
                  <c:v>164.64000000000004</c:v>
                </c:pt>
                <c:pt idx="13">
                  <c:v>128.05333333333328</c:v>
                </c:pt>
                <c:pt idx="14">
                  <c:v>96.039999999999935</c:v>
                </c:pt>
                <c:pt idx="15">
                  <c:v>67.792941176470578</c:v>
                </c:pt>
                <c:pt idx="16">
                  <c:v>42.684444444444424</c:v>
                </c:pt>
              </c:numCache>
            </c:numRef>
          </c:yVal>
          <c:smooth val="0"/>
        </c:ser>
        <c:ser>
          <c:idx val="1"/>
          <c:order val="1"/>
          <c:tx>
            <c:strRef>
              <c:f>PowerAnalysis_prop!$C$21</c:f>
              <c:strCache>
                <c:ptCount val="1"/>
                <c:pt idx="0">
                  <c:v>±15%</c:v>
                </c:pt>
              </c:strCache>
            </c:strRef>
          </c:tx>
          <c:spPr>
            <a:ln w="15875">
              <a:solidFill>
                <a:schemeClr val="tx1"/>
              </a:solidFill>
            </a:ln>
          </c:spPr>
          <c:marker>
            <c:symbol val="circle"/>
            <c:size val="4"/>
            <c:spPr>
              <a:solidFill>
                <a:schemeClr val="tx1"/>
              </a:solidFill>
              <a:ln>
                <a:solidFill>
                  <a:schemeClr val="tx1"/>
                </a:solidFill>
              </a:ln>
            </c:spPr>
          </c:marker>
          <c:xVal>
            <c:numRef>
              <c:f>PowerAnalysis_prop!$A$22:$A$38</c:f>
              <c:numCache>
                <c:formatCode>0.00</c:formatCode>
                <c:ptCount val="17"/>
                <c:pt idx="0">
                  <c:v>0.1</c:v>
                </c:pt>
                <c:pt idx="1">
                  <c:v>0.15</c:v>
                </c:pt>
                <c:pt idx="2">
                  <c:v>0.2</c:v>
                </c:pt>
                <c:pt idx="3">
                  <c:v>0.25</c:v>
                </c:pt>
                <c:pt idx="4">
                  <c:v>0.3</c:v>
                </c:pt>
                <c:pt idx="5">
                  <c:v>0.35</c:v>
                </c:pt>
                <c:pt idx="6">
                  <c:v>0.4</c:v>
                </c:pt>
                <c:pt idx="7">
                  <c:v>0.45</c:v>
                </c:pt>
                <c:pt idx="8">
                  <c:v>0.5</c:v>
                </c:pt>
                <c:pt idx="9">
                  <c:v>0.55000000000000004</c:v>
                </c:pt>
                <c:pt idx="10">
                  <c:v>0.6</c:v>
                </c:pt>
                <c:pt idx="11">
                  <c:v>0.65</c:v>
                </c:pt>
                <c:pt idx="12">
                  <c:v>0.7</c:v>
                </c:pt>
                <c:pt idx="13">
                  <c:v>0.75</c:v>
                </c:pt>
                <c:pt idx="14">
                  <c:v>0.8</c:v>
                </c:pt>
                <c:pt idx="15">
                  <c:v>0.85</c:v>
                </c:pt>
                <c:pt idx="16">
                  <c:v>0.9</c:v>
                </c:pt>
              </c:numCache>
            </c:numRef>
          </c:xVal>
          <c:yVal>
            <c:numRef>
              <c:f>PowerAnalysis_prop!$C$22:$C$38</c:f>
              <c:numCache>
                <c:formatCode>0</c:formatCode>
                <c:ptCount val="17"/>
                <c:pt idx="0">
                  <c:v>1536.6399999999999</c:v>
                </c:pt>
                <c:pt idx="1">
                  <c:v>967.51407407407407</c:v>
                </c:pt>
                <c:pt idx="2">
                  <c:v>682.951111111111</c:v>
                </c:pt>
                <c:pt idx="3">
                  <c:v>512.21333333333337</c:v>
                </c:pt>
                <c:pt idx="4">
                  <c:v>398.3881481481481</c:v>
                </c:pt>
                <c:pt idx="5">
                  <c:v>317.0844444444445</c:v>
                </c:pt>
                <c:pt idx="6">
                  <c:v>256.10666666666663</c:v>
                </c:pt>
                <c:pt idx="7">
                  <c:v>208.67950617283952</c:v>
                </c:pt>
                <c:pt idx="8">
                  <c:v>170.73777777777778</c:v>
                </c:pt>
                <c:pt idx="9">
                  <c:v>139.69454545454545</c:v>
                </c:pt>
                <c:pt idx="10">
                  <c:v>113.82518518518519</c:v>
                </c:pt>
                <c:pt idx="11">
                  <c:v>91.935726495726499</c:v>
                </c:pt>
                <c:pt idx="12">
                  <c:v>73.17333333333336</c:v>
                </c:pt>
                <c:pt idx="13">
                  <c:v>56.912592592592603</c:v>
                </c:pt>
                <c:pt idx="14">
                  <c:v>42.684444444444431</c:v>
                </c:pt>
                <c:pt idx="15">
                  <c:v>30.130196078431368</c:v>
                </c:pt>
              </c:numCache>
            </c:numRef>
          </c:yVal>
          <c:smooth val="0"/>
        </c:ser>
        <c:ser>
          <c:idx val="2"/>
          <c:order val="2"/>
          <c:tx>
            <c:strRef>
              <c:f>PowerAnalysis_prop!$D$21</c:f>
              <c:strCache>
                <c:ptCount val="1"/>
                <c:pt idx="0">
                  <c:v>±20%</c:v>
                </c:pt>
              </c:strCache>
            </c:strRef>
          </c:tx>
          <c:spPr>
            <a:ln w="15875">
              <a:solidFill>
                <a:schemeClr val="tx1"/>
              </a:solidFill>
            </a:ln>
          </c:spPr>
          <c:marker>
            <c:symbol val="triangle"/>
            <c:size val="4"/>
            <c:spPr>
              <a:solidFill>
                <a:schemeClr val="tx1"/>
              </a:solidFill>
              <a:ln>
                <a:solidFill>
                  <a:schemeClr val="tx1"/>
                </a:solidFill>
              </a:ln>
            </c:spPr>
          </c:marker>
          <c:xVal>
            <c:numRef>
              <c:f>PowerAnalysis_prop!$A$22:$A$38</c:f>
              <c:numCache>
                <c:formatCode>0.00</c:formatCode>
                <c:ptCount val="17"/>
                <c:pt idx="0">
                  <c:v>0.1</c:v>
                </c:pt>
                <c:pt idx="1">
                  <c:v>0.15</c:v>
                </c:pt>
                <c:pt idx="2">
                  <c:v>0.2</c:v>
                </c:pt>
                <c:pt idx="3">
                  <c:v>0.25</c:v>
                </c:pt>
                <c:pt idx="4">
                  <c:v>0.3</c:v>
                </c:pt>
                <c:pt idx="5">
                  <c:v>0.35</c:v>
                </c:pt>
                <c:pt idx="6">
                  <c:v>0.4</c:v>
                </c:pt>
                <c:pt idx="7">
                  <c:v>0.45</c:v>
                </c:pt>
                <c:pt idx="8">
                  <c:v>0.5</c:v>
                </c:pt>
                <c:pt idx="9">
                  <c:v>0.55000000000000004</c:v>
                </c:pt>
                <c:pt idx="10">
                  <c:v>0.6</c:v>
                </c:pt>
                <c:pt idx="11">
                  <c:v>0.65</c:v>
                </c:pt>
                <c:pt idx="12">
                  <c:v>0.7</c:v>
                </c:pt>
                <c:pt idx="13">
                  <c:v>0.75</c:v>
                </c:pt>
                <c:pt idx="14">
                  <c:v>0.8</c:v>
                </c:pt>
                <c:pt idx="15">
                  <c:v>0.85</c:v>
                </c:pt>
                <c:pt idx="16">
                  <c:v>0.9</c:v>
                </c:pt>
              </c:numCache>
            </c:numRef>
          </c:xVal>
          <c:yVal>
            <c:numRef>
              <c:f>PowerAnalysis_prop!$D$22:$D$38</c:f>
              <c:numCache>
                <c:formatCode>0</c:formatCode>
                <c:ptCount val="17"/>
                <c:pt idx="0">
                  <c:v>864.35999999999967</c:v>
                </c:pt>
                <c:pt idx="1">
                  <c:v>544.22666666666657</c:v>
                </c:pt>
                <c:pt idx="2">
                  <c:v>384.15999999999985</c:v>
                </c:pt>
                <c:pt idx="3">
                  <c:v>288.11999999999995</c:v>
                </c:pt>
                <c:pt idx="4">
                  <c:v>224.09333333333328</c:v>
                </c:pt>
                <c:pt idx="5">
                  <c:v>178.36000000000004</c:v>
                </c:pt>
                <c:pt idx="6">
                  <c:v>144.05999999999995</c:v>
                </c:pt>
                <c:pt idx="7">
                  <c:v>117.3822222222222</c:v>
                </c:pt>
                <c:pt idx="8">
                  <c:v>96.039999999999978</c:v>
                </c:pt>
                <c:pt idx="9">
                  <c:v>78.578181818181804</c:v>
                </c:pt>
                <c:pt idx="10">
                  <c:v>64.026666666666657</c:v>
                </c:pt>
                <c:pt idx="11">
                  <c:v>51.713846153846148</c:v>
                </c:pt>
                <c:pt idx="12">
                  <c:v>41.160000000000011</c:v>
                </c:pt>
                <c:pt idx="13">
                  <c:v>32.013333333333321</c:v>
                </c:pt>
                <c:pt idx="14">
                  <c:v>24.009999999999984</c:v>
                </c:pt>
              </c:numCache>
            </c:numRef>
          </c:yVal>
          <c:smooth val="0"/>
        </c:ser>
        <c:ser>
          <c:idx val="3"/>
          <c:order val="3"/>
          <c:tx>
            <c:strRef>
              <c:f>PowerAnalysis_prop!$E$21</c:f>
              <c:strCache>
                <c:ptCount val="1"/>
                <c:pt idx="0">
                  <c:v>#SalmonAnglers</c:v>
                </c:pt>
              </c:strCache>
            </c:strRef>
          </c:tx>
          <c:spPr>
            <a:ln>
              <a:solidFill>
                <a:srgbClr val="FF0000"/>
              </a:solidFill>
              <a:prstDash val="lgDash"/>
            </a:ln>
          </c:spPr>
          <c:marker>
            <c:symbol val="none"/>
          </c:marker>
          <c:xVal>
            <c:numRef>
              <c:f>PowerAnalysis_prop!$A$22:$A$38</c:f>
              <c:numCache>
                <c:formatCode>0.00</c:formatCode>
                <c:ptCount val="17"/>
                <c:pt idx="0">
                  <c:v>0.1</c:v>
                </c:pt>
                <c:pt idx="1">
                  <c:v>0.15</c:v>
                </c:pt>
                <c:pt idx="2">
                  <c:v>0.2</c:v>
                </c:pt>
                <c:pt idx="3">
                  <c:v>0.25</c:v>
                </c:pt>
                <c:pt idx="4">
                  <c:v>0.3</c:v>
                </c:pt>
                <c:pt idx="5">
                  <c:v>0.35</c:v>
                </c:pt>
                <c:pt idx="6">
                  <c:v>0.4</c:v>
                </c:pt>
                <c:pt idx="7">
                  <c:v>0.45</c:v>
                </c:pt>
                <c:pt idx="8">
                  <c:v>0.5</c:v>
                </c:pt>
                <c:pt idx="9">
                  <c:v>0.55000000000000004</c:v>
                </c:pt>
                <c:pt idx="10">
                  <c:v>0.6</c:v>
                </c:pt>
                <c:pt idx="11">
                  <c:v>0.65</c:v>
                </c:pt>
                <c:pt idx="12">
                  <c:v>0.7</c:v>
                </c:pt>
                <c:pt idx="13">
                  <c:v>0.75</c:v>
                </c:pt>
                <c:pt idx="14">
                  <c:v>0.8</c:v>
                </c:pt>
                <c:pt idx="15">
                  <c:v>0.85</c:v>
                </c:pt>
                <c:pt idx="16">
                  <c:v>0.9</c:v>
                </c:pt>
              </c:numCache>
            </c:numRef>
          </c:xVal>
          <c:yVal>
            <c:numRef>
              <c:f>PowerAnalysis_prop!$E$22:$E$38</c:f>
              <c:numCache>
                <c:formatCode>0</c:formatCode>
                <c:ptCount val="17"/>
                <c:pt idx="0">
                  <c:v>540</c:v>
                </c:pt>
                <c:pt idx="1">
                  <c:v>540</c:v>
                </c:pt>
                <c:pt idx="2">
                  <c:v>540</c:v>
                </c:pt>
                <c:pt idx="3">
                  <c:v>540</c:v>
                </c:pt>
                <c:pt idx="4">
                  <c:v>540</c:v>
                </c:pt>
                <c:pt idx="5">
                  <c:v>540</c:v>
                </c:pt>
                <c:pt idx="6">
                  <c:v>540</c:v>
                </c:pt>
                <c:pt idx="7">
                  <c:v>540</c:v>
                </c:pt>
                <c:pt idx="8">
                  <c:v>540</c:v>
                </c:pt>
                <c:pt idx="9">
                  <c:v>540</c:v>
                </c:pt>
                <c:pt idx="10">
                  <c:v>540</c:v>
                </c:pt>
                <c:pt idx="11">
                  <c:v>540</c:v>
                </c:pt>
                <c:pt idx="12">
                  <c:v>540</c:v>
                </c:pt>
                <c:pt idx="13">
                  <c:v>540</c:v>
                </c:pt>
                <c:pt idx="14">
                  <c:v>540</c:v>
                </c:pt>
                <c:pt idx="15">
                  <c:v>540</c:v>
                </c:pt>
                <c:pt idx="16">
                  <c:v>540</c:v>
                </c:pt>
              </c:numCache>
            </c:numRef>
          </c:yVal>
          <c:smooth val="0"/>
        </c:ser>
        <c:ser>
          <c:idx val="4"/>
          <c:order val="4"/>
          <c:tx>
            <c:strRef>
              <c:f>PowerAnalysis_prop!$F$21</c:f>
              <c:strCache>
                <c:ptCount val="1"/>
                <c:pt idx="0">
                  <c:v>#Non-SalmonAnglers</c:v>
                </c:pt>
              </c:strCache>
            </c:strRef>
          </c:tx>
          <c:spPr>
            <a:ln w="22225">
              <a:solidFill>
                <a:srgbClr val="FF0000"/>
              </a:solidFill>
            </a:ln>
          </c:spPr>
          <c:marker>
            <c:symbol val="none"/>
          </c:marker>
          <c:xVal>
            <c:numRef>
              <c:f>PowerAnalysis_prop!$A$22:$A$38</c:f>
              <c:numCache>
                <c:formatCode>0.00</c:formatCode>
                <c:ptCount val="17"/>
                <c:pt idx="0">
                  <c:v>0.1</c:v>
                </c:pt>
                <c:pt idx="1">
                  <c:v>0.15</c:v>
                </c:pt>
                <c:pt idx="2">
                  <c:v>0.2</c:v>
                </c:pt>
                <c:pt idx="3">
                  <c:v>0.25</c:v>
                </c:pt>
                <c:pt idx="4">
                  <c:v>0.3</c:v>
                </c:pt>
                <c:pt idx="5">
                  <c:v>0.35</c:v>
                </c:pt>
                <c:pt idx="6">
                  <c:v>0.4</c:v>
                </c:pt>
                <c:pt idx="7">
                  <c:v>0.45</c:v>
                </c:pt>
                <c:pt idx="8">
                  <c:v>0.5</c:v>
                </c:pt>
                <c:pt idx="9">
                  <c:v>0.55000000000000004</c:v>
                </c:pt>
                <c:pt idx="10">
                  <c:v>0.6</c:v>
                </c:pt>
                <c:pt idx="11">
                  <c:v>0.65</c:v>
                </c:pt>
                <c:pt idx="12">
                  <c:v>0.7</c:v>
                </c:pt>
                <c:pt idx="13">
                  <c:v>0.75</c:v>
                </c:pt>
                <c:pt idx="14">
                  <c:v>0.8</c:v>
                </c:pt>
                <c:pt idx="15">
                  <c:v>0.85</c:v>
                </c:pt>
                <c:pt idx="16">
                  <c:v>0.9</c:v>
                </c:pt>
              </c:numCache>
            </c:numRef>
          </c:xVal>
          <c:yVal>
            <c:numRef>
              <c:f>PowerAnalysis_prop!$F$22:$F$38</c:f>
              <c:numCache>
                <c:formatCode>General</c:formatCode>
                <c:ptCount val="17"/>
                <c:pt idx="0" formatCode="0">
                  <c:v>960</c:v>
                </c:pt>
                <c:pt idx="1">
                  <c:v>960</c:v>
                </c:pt>
                <c:pt idx="2">
                  <c:v>960</c:v>
                </c:pt>
                <c:pt idx="3">
                  <c:v>960</c:v>
                </c:pt>
                <c:pt idx="4">
                  <c:v>960</c:v>
                </c:pt>
                <c:pt idx="5">
                  <c:v>960</c:v>
                </c:pt>
                <c:pt idx="6">
                  <c:v>960</c:v>
                </c:pt>
                <c:pt idx="7">
                  <c:v>960</c:v>
                </c:pt>
                <c:pt idx="8">
                  <c:v>960</c:v>
                </c:pt>
                <c:pt idx="9">
                  <c:v>960</c:v>
                </c:pt>
                <c:pt idx="10">
                  <c:v>960</c:v>
                </c:pt>
                <c:pt idx="11">
                  <c:v>960</c:v>
                </c:pt>
                <c:pt idx="12">
                  <c:v>960</c:v>
                </c:pt>
                <c:pt idx="13">
                  <c:v>960</c:v>
                </c:pt>
                <c:pt idx="14">
                  <c:v>960</c:v>
                </c:pt>
                <c:pt idx="15">
                  <c:v>960</c:v>
                </c:pt>
                <c:pt idx="16">
                  <c:v>960</c:v>
                </c:pt>
              </c:numCache>
            </c:numRef>
          </c:yVal>
          <c:smooth val="0"/>
        </c:ser>
        <c:dLbls>
          <c:showLegendKey val="0"/>
          <c:showVal val="0"/>
          <c:showCatName val="0"/>
          <c:showSerName val="0"/>
          <c:showPercent val="0"/>
          <c:showBubbleSize val="0"/>
        </c:dLbls>
        <c:axId val="130909696"/>
        <c:axId val="130911616"/>
      </c:scatterChart>
      <c:valAx>
        <c:axId val="130909696"/>
        <c:scaling>
          <c:orientation val="minMax"/>
          <c:max val="0.9"/>
          <c:min val="0.1"/>
        </c:scaling>
        <c:delete val="0"/>
        <c:axPos val="b"/>
        <c:title>
          <c:tx>
            <c:rich>
              <a:bodyPr/>
              <a:lstStyle/>
              <a:p>
                <a:pPr>
                  <a:defRPr sz="1100" b="0" i="0" baseline="0"/>
                </a:pPr>
                <a:r>
                  <a:rPr lang="en-US" sz="1100" b="0" i="0" baseline="0"/>
                  <a:t>Proportion p</a:t>
                </a:r>
              </a:p>
            </c:rich>
          </c:tx>
          <c:overlay val="0"/>
        </c:title>
        <c:numFmt formatCode="0.00" sourceLinked="1"/>
        <c:majorTickMark val="out"/>
        <c:minorTickMark val="none"/>
        <c:tickLblPos val="nextTo"/>
        <c:crossAx val="130911616"/>
        <c:crosses val="autoZero"/>
        <c:crossBetween val="midCat"/>
        <c:majorUnit val="5.000000000000001E-2"/>
      </c:valAx>
      <c:valAx>
        <c:axId val="130911616"/>
        <c:scaling>
          <c:orientation val="minMax"/>
        </c:scaling>
        <c:delete val="0"/>
        <c:axPos val="l"/>
        <c:majorGridlines/>
        <c:title>
          <c:tx>
            <c:rich>
              <a:bodyPr rot="-5400000" vert="horz"/>
              <a:lstStyle/>
              <a:p>
                <a:pPr>
                  <a:defRPr sz="1100" b="0" i="0" baseline="0"/>
                </a:pPr>
                <a:endParaRPr lang="en-US" sz="1100" b="0" i="0" baseline="0"/>
              </a:p>
              <a:p>
                <a:pPr>
                  <a:defRPr sz="1100" b="0" i="0" baseline="0"/>
                </a:pPr>
                <a:r>
                  <a:rPr lang="en-US" sz="1100" b="0" i="0" baseline="0"/>
                  <a:t>Sample Size n</a:t>
                </a:r>
              </a:p>
            </c:rich>
          </c:tx>
          <c:overlay val="0"/>
        </c:title>
        <c:numFmt formatCode="0" sourceLinked="1"/>
        <c:majorTickMark val="out"/>
        <c:minorTickMark val="none"/>
        <c:tickLblPos val="nextTo"/>
        <c:crossAx val="130909696"/>
        <c:crosses val="autoZero"/>
        <c:crossBetween val="midCat"/>
      </c:valAx>
    </c:plotArea>
    <c:legend>
      <c:legendPos val="t"/>
      <c:overlay val="0"/>
      <c:txPr>
        <a:bodyPr/>
        <a:lstStyle/>
        <a:p>
          <a:pPr>
            <a:defRPr sz="1000" baseline="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C625-43A6-4189-A82A-1C4056CE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9</Pages>
  <Words>3213</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Sarah Brabson</cp:lastModifiedBy>
  <cp:revision>69</cp:revision>
  <cp:lastPrinted>2014-11-13T16:27:00Z</cp:lastPrinted>
  <dcterms:created xsi:type="dcterms:W3CDTF">2015-01-16T21:03:00Z</dcterms:created>
  <dcterms:modified xsi:type="dcterms:W3CDTF">2015-01-21T18:49:00Z</dcterms:modified>
</cp:coreProperties>
</file>