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FB5E0" w14:textId="4091EC3E" w:rsidR="007D4BE8" w:rsidRPr="00667564" w:rsidRDefault="00304B92" w:rsidP="00C837D5">
      <w:pPr>
        <w:tabs>
          <w:tab w:val="left" w:pos="1080"/>
        </w:tabs>
        <w:spacing w:line="276" w:lineRule="auto"/>
        <w:rPr>
          <w:rFonts w:asciiTheme="minorHAnsi" w:hAnsiTheme="minorHAnsi"/>
          <w:sz w:val="22"/>
        </w:rPr>
      </w:pPr>
      <w:r w:rsidRPr="00667564">
        <w:rPr>
          <w:rFonts w:asciiTheme="minorHAnsi" w:hAnsiTheme="minorHAnsi"/>
          <w:b/>
          <w:bCs/>
          <w:sz w:val="22"/>
        </w:rPr>
        <w:t>To</w:t>
      </w:r>
      <w:r w:rsidR="007D4BE8" w:rsidRPr="00667564">
        <w:rPr>
          <w:rFonts w:asciiTheme="minorHAnsi" w:hAnsiTheme="minorHAnsi"/>
          <w:b/>
          <w:bCs/>
          <w:sz w:val="22"/>
        </w:rPr>
        <w:t>:</w:t>
      </w:r>
      <w:r w:rsidR="007D4BE8" w:rsidRPr="00667564">
        <w:rPr>
          <w:rFonts w:asciiTheme="minorHAnsi" w:hAnsiTheme="minorHAnsi"/>
          <w:sz w:val="22"/>
        </w:rPr>
        <w:t xml:space="preserve"> </w:t>
      </w:r>
      <w:r w:rsidR="007D4BE8" w:rsidRPr="00667564">
        <w:rPr>
          <w:rFonts w:asciiTheme="minorHAnsi" w:hAnsiTheme="minorHAnsi"/>
          <w:sz w:val="22"/>
        </w:rPr>
        <w:tab/>
      </w:r>
      <w:r w:rsidR="00977585">
        <w:rPr>
          <w:rFonts w:asciiTheme="minorHAnsi" w:hAnsiTheme="minorHAnsi"/>
          <w:bCs/>
          <w:sz w:val="22"/>
        </w:rPr>
        <w:t>Matia Johnson</w:t>
      </w:r>
    </w:p>
    <w:p w14:paraId="44D13F52" w14:textId="2B5DFDC3" w:rsidR="00E514BE" w:rsidRPr="00667564" w:rsidRDefault="00E514BE" w:rsidP="00C837D5">
      <w:pPr>
        <w:spacing w:line="276" w:lineRule="auto"/>
        <w:ind w:left="360" w:firstLine="720"/>
        <w:rPr>
          <w:rFonts w:asciiTheme="minorHAnsi" w:hAnsiTheme="minorHAnsi"/>
          <w:sz w:val="22"/>
        </w:rPr>
      </w:pPr>
      <w:r w:rsidRPr="00667564">
        <w:rPr>
          <w:rFonts w:asciiTheme="minorHAnsi" w:hAnsiTheme="minorHAnsi"/>
          <w:sz w:val="22"/>
        </w:rPr>
        <w:t>Center for Tobacco Products</w:t>
      </w:r>
      <w:r w:rsidR="00746A12">
        <w:rPr>
          <w:rFonts w:asciiTheme="minorHAnsi" w:hAnsiTheme="minorHAnsi"/>
          <w:sz w:val="22"/>
        </w:rPr>
        <w:t xml:space="preserve"> (CTP)</w:t>
      </w:r>
    </w:p>
    <w:p w14:paraId="2A770AD3" w14:textId="77777777" w:rsidR="00262FBC" w:rsidRPr="00667564" w:rsidRDefault="00304B92" w:rsidP="00FB05EC">
      <w:pPr>
        <w:spacing w:line="276" w:lineRule="auto"/>
        <w:ind w:left="360" w:firstLine="720"/>
        <w:rPr>
          <w:rFonts w:asciiTheme="minorHAnsi" w:hAnsiTheme="minorHAnsi"/>
          <w:sz w:val="22"/>
        </w:rPr>
      </w:pPr>
      <w:r w:rsidRPr="00667564">
        <w:rPr>
          <w:rFonts w:asciiTheme="minorHAnsi" w:hAnsiTheme="minorHAnsi"/>
          <w:sz w:val="22"/>
        </w:rPr>
        <w:t>U.S. F</w:t>
      </w:r>
      <w:bookmarkStart w:id="0" w:name="_GoBack"/>
      <w:bookmarkEnd w:id="0"/>
      <w:r w:rsidRPr="00667564">
        <w:rPr>
          <w:rFonts w:asciiTheme="minorHAnsi" w:hAnsiTheme="minorHAnsi"/>
          <w:sz w:val="22"/>
        </w:rPr>
        <w:t>ood and Drug Administration</w:t>
      </w:r>
    </w:p>
    <w:p w14:paraId="33E718EB" w14:textId="77777777" w:rsidR="007D4BE8" w:rsidRPr="00667564" w:rsidRDefault="00304B92" w:rsidP="00C837D5">
      <w:pPr>
        <w:tabs>
          <w:tab w:val="left" w:pos="1080"/>
        </w:tabs>
        <w:spacing w:line="276" w:lineRule="auto"/>
        <w:rPr>
          <w:rFonts w:asciiTheme="minorHAnsi" w:hAnsiTheme="minorHAnsi"/>
          <w:sz w:val="22"/>
        </w:rPr>
      </w:pPr>
      <w:r w:rsidRPr="00667564">
        <w:rPr>
          <w:rFonts w:asciiTheme="minorHAnsi" w:hAnsiTheme="minorHAnsi"/>
          <w:b/>
          <w:bCs/>
          <w:sz w:val="22"/>
        </w:rPr>
        <w:t>From</w:t>
      </w:r>
      <w:r w:rsidR="007D4BE8" w:rsidRPr="00667564">
        <w:rPr>
          <w:rFonts w:asciiTheme="minorHAnsi" w:hAnsiTheme="minorHAnsi"/>
          <w:b/>
          <w:bCs/>
          <w:sz w:val="22"/>
        </w:rPr>
        <w:t>:</w:t>
      </w:r>
      <w:r w:rsidR="007D4BE8" w:rsidRPr="00667564">
        <w:rPr>
          <w:rFonts w:asciiTheme="minorHAnsi" w:hAnsiTheme="minorHAnsi"/>
          <w:sz w:val="22"/>
        </w:rPr>
        <w:t xml:space="preserve"> </w:t>
      </w:r>
      <w:r w:rsidR="007D4BE8" w:rsidRPr="00667564">
        <w:rPr>
          <w:rFonts w:asciiTheme="minorHAnsi" w:hAnsiTheme="minorHAnsi"/>
          <w:sz w:val="22"/>
        </w:rPr>
        <w:tab/>
      </w:r>
      <w:r w:rsidR="008271CB" w:rsidRPr="00667564">
        <w:rPr>
          <w:rFonts w:asciiTheme="minorHAnsi" w:hAnsiTheme="minorHAnsi"/>
          <w:sz w:val="22"/>
        </w:rPr>
        <w:t>RTI Project Team</w:t>
      </w:r>
    </w:p>
    <w:p w14:paraId="43B3C829" w14:textId="35F225A4" w:rsidR="007D4BE8" w:rsidRPr="00667564" w:rsidRDefault="00304B92" w:rsidP="00C837D5">
      <w:pPr>
        <w:tabs>
          <w:tab w:val="left" w:pos="1080"/>
        </w:tabs>
        <w:spacing w:line="276" w:lineRule="auto"/>
        <w:rPr>
          <w:rFonts w:asciiTheme="minorHAnsi" w:hAnsiTheme="minorHAnsi"/>
          <w:sz w:val="22"/>
        </w:rPr>
      </w:pPr>
      <w:r w:rsidRPr="00667564">
        <w:rPr>
          <w:rFonts w:asciiTheme="minorHAnsi" w:hAnsiTheme="minorHAnsi"/>
          <w:b/>
          <w:bCs/>
          <w:sz w:val="22"/>
        </w:rPr>
        <w:t>Date</w:t>
      </w:r>
      <w:r w:rsidR="007D4BE8" w:rsidRPr="00667564">
        <w:rPr>
          <w:rFonts w:asciiTheme="minorHAnsi" w:hAnsiTheme="minorHAnsi"/>
          <w:b/>
          <w:bCs/>
          <w:sz w:val="22"/>
        </w:rPr>
        <w:t xml:space="preserve">: </w:t>
      </w:r>
      <w:r w:rsidR="007D4BE8" w:rsidRPr="00667564">
        <w:rPr>
          <w:rFonts w:asciiTheme="minorHAnsi" w:hAnsiTheme="minorHAnsi"/>
          <w:b/>
          <w:bCs/>
          <w:sz w:val="22"/>
        </w:rPr>
        <w:tab/>
      </w:r>
      <w:r w:rsidR="00991367">
        <w:rPr>
          <w:rFonts w:asciiTheme="minorHAnsi" w:hAnsiTheme="minorHAnsi"/>
          <w:sz w:val="22"/>
        </w:rPr>
        <w:t>November 30, 2016</w:t>
      </w:r>
    </w:p>
    <w:p w14:paraId="6312B019" w14:textId="0A27B296" w:rsidR="007D4BE8" w:rsidRPr="00667564" w:rsidRDefault="00304B92" w:rsidP="00C837D5">
      <w:pPr>
        <w:tabs>
          <w:tab w:val="left" w:pos="1080"/>
        </w:tabs>
        <w:spacing w:line="276" w:lineRule="auto"/>
        <w:ind w:left="1080" w:hanging="1080"/>
        <w:rPr>
          <w:rFonts w:asciiTheme="minorHAnsi" w:hAnsiTheme="minorHAnsi"/>
          <w:sz w:val="22"/>
        </w:rPr>
      </w:pPr>
      <w:r w:rsidRPr="00667564">
        <w:rPr>
          <w:rFonts w:asciiTheme="minorHAnsi" w:hAnsiTheme="minorHAnsi"/>
          <w:b/>
          <w:bCs/>
          <w:sz w:val="22"/>
        </w:rPr>
        <w:t>Subject:</w:t>
      </w:r>
      <w:r w:rsidR="007D4BE8" w:rsidRPr="00667564">
        <w:rPr>
          <w:rFonts w:asciiTheme="minorHAnsi" w:hAnsiTheme="minorHAnsi"/>
          <w:sz w:val="22"/>
        </w:rPr>
        <w:t xml:space="preserve"> </w:t>
      </w:r>
      <w:r w:rsidR="007D4BE8" w:rsidRPr="00667564">
        <w:rPr>
          <w:rFonts w:asciiTheme="minorHAnsi" w:hAnsiTheme="minorHAnsi"/>
          <w:sz w:val="22"/>
        </w:rPr>
        <w:tab/>
      </w:r>
      <w:r w:rsidR="00977585">
        <w:rPr>
          <w:rFonts w:asciiTheme="minorHAnsi" w:hAnsiTheme="minorHAnsi"/>
          <w:sz w:val="22"/>
        </w:rPr>
        <w:t>HPHC2 Facility and Recruitment Plan</w:t>
      </w:r>
    </w:p>
    <w:p w14:paraId="14841D1F" w14:textId="77777777" w:rsidR="00746A12" w:rsidRDefault="00746A12" w:rsidP="00746A12">
      <w:pPr>
        <w:spacing w:line="276" w:lineRule="auto"/>
        <w:rPr>
          <w:rFonts w:asciiTheme="minorHAnsi" w:eastAsia="Calibri" w:hAnsiTheme="minorHAnsi"/>
          <w:sz w:val="22"/>
        </w:rPr>
      </w:pPr>
    </w:p>
    <w:p w14:paraId="220F026C" w14:textId="259AC6AB" w:rsidR="001E27E0" w:rsidRPr="00746A12" w:rsidRDefault="00977585" w:rsidP="001E27E0">
      <w:pPr>
        <w:spacing w:line="276" w:lineRule="auto"/>
        <w:rPr>
          <w:rFonts w:asciiTheme="minorHAnsi" w:eastAsia="Calibri" w:hAnsiTheme="minorHAnsi"/>
          <w:sz w:val="22"/>
        </w:rPr>
      </w:pPr>
      <w:r w:rsidRPr="00977585">
        <w:rPr>
          <w:rFonts w:asciiTheme="minorHAnsi" w:eastAsia="Calibri" w:hAnsiTheme="minorHAnsi"/>
          <w:sz w:val="22"/>
        </w:rPr>
        <w:t>FDA’s Center for Tobacco Products (CTP)</w:t>
      </w:r>
      <w:r>
        <w:rPr>
          <w:rFonts w:asciiTheme="minorHAnsi" w:eastAsia="Calibri" w:hAnsiTheme="minorHAnsi"/>
          <w:sz w:val="22"/>
        </w:rPr>
        <w:t xml:space="preserve"> and RTI International (RTI) are conducting</w:t>
      </w:r>
      <w:r w:rsidRPr="00977585">
        <w:rPr>
          <w:rFonts w:asciiTheme="minorHAnsi" w:eastAsia="Calibri" w:hAnsiTheme="minorHAnsi"/>
          <w:sz w:val="22"/>
        </w:rPr>
        <w:t xml:space="preserve"> a study that builds on prior research to gain insight on consumer comprehension of information about harmful and po</w:t>
      </w:r>
      <w:r>
        <w:rPr>
          <w:rFonts w:asciiTheme="minorHAnsi" w:eastAsia="Calibri" w:hAnsiTheme="minorHAnsi"/>
          <w:sz w:val="22"/>
        </w:rPr>
        <w:t>tentially harmful constituents (</w:t>
      </w:r>
      <w:r w:rsidRPr="00977585">
        <w:rPr>
          <w:rFonts w:asciiTheme="minorHAnsi" w:eastAsia="Calibri" w:hAnsiTheme="minorHAnsi"/>
          <w:sz w:val="22"/>
        </w:rPr>
        <w:t>HPHCs</w:t>
      </w:r>
      <w:r>
        <w:rPr>
          <w:rFonts w:asciiTheme="minorHAnsi" w:eastAsia="Calibri" w:hAnsiTheme="minorHAnsi"/>
          <w:sz w:val="22"/>
        </w:rPr>
        <w:t>)</w:t>
      </w:r>
      <w:r w:rsidRPr="00977585">
        <w:rPr>
          <w:rFonts w:asciiTheme="minorHAnsi" w:eastAsia="Calibri" w:hAnsiTheme="minorHAnsi"/>
          <w:sz w:val="22"/>
        </w:rPr>
        <w:t xml:space="preserve"> in tobacco products and tobacco smoke, which are chemicals or chemical compounds in a tobacco product or tobacco smoke that cause, or could cause, harm. Examples of HPHCs include toxicants, carcinogens, and addictive chemicals and chemical compounds. To assist FDA-CTP and complete this research, RTI International will conduct a series of </w:t>
      </w:r>
      <w:r w:rsidR="00991367">
        <w:rPr>
          <w:rFonts w:asciiTheme="minorHAnsi" w:eastAsia="Calibri" w:hAnsiTheme="minorHAnsi"/>
          <w:sz w:val="22"/>
        </w:rPr>
        <w:t xml:space="preserve">50 </w:t>
      </w:r>
      <w:r w:rsidRPr="00977585">
        <w:rPr>
          <w:rFonts w:asciiTheme="minorHAnsi" w:eastAsia="Calibri" w:hAnsiTheme="minorHAnsi"/>
          <w:sz w:val="22"/>
        </w:rPr>
        <w:t xml:space="preserve">individual in-depth interviews (IDIs) </w:t>
      </w:r>
      <w:r>
        <w:rPr>
          <w:rFonts w:asciiTheme="minorHAnsi" w:eastAsia="Calibri" w:hAnsiTheme="minorHAnsi"/>
          <w:sz w:val="22"/>
        </w:rPr>
        <w:t xml:space="preserve">with adults and youth </w:t>
      </w:r>
      <w:r w:rsidRPr="00977585">
        <w:rPr>
          <w:rFonts w:asciiTheme="minorHAnsi" w:eastAsia="Calibri" w:hAnsiTheme="minorHAnsi"/>
          <w:sz w:val="22"/>
        </w:rPr>
        <w:t>to gather information about different ways of presenting HPHC information</w:t>
      </w:r>
      <w:r w:rsidR="00565226">
        <w:rPr>
          <w:rFonts w:asciiTheme="minorHAnsi" w:eastAsia="Calibri" w:hAnsiTheme="minorHAnsi"/>
          <w:sz w:val="22"/>
        </w:rPr>
        <w:t xml:space="preserve"> by brand and by quantity in each brand and subbrand in a format that is understandable and not misleading to a lay person.</w:t>
      </w:r>
      <w:r w:rsidRPr="00977585">
        <w:rPr>
          <w:rFonts w:asciiTheme="minorHAnsi" w:eastAsia="Calibri" w:hAnsiTheme="minorHAnsi"/>
          <w:sz w:val="22"/>
        </w:rPr>
        <w:t xml:space="preserve"> </w:t>
      </w:r>
    </w:p>
    <w:p w14:paraId="15AD3B4F" w14:textId="4F22C255" w:rsidR="007D4BE8" w:rsidRPr="005B7213" w:rsidRDefault="00DA52F4" w:rsidP="00C837D5">
      <w:pPr>
        <w:pStyle w:val="Heading1"/>
        <w:spacing w:line="276" w:lineRule="auto"/>
        <w:rPr>
          <w:rFonts w:asciiTheme="minorHAnsi" w:hAnsiTheme="minorHAnsi"/>
          <w:sz w:val="22"/>
          <w:szCs w:val="22"/>
        </w:rPr>
      </w:pPr>
      <w:r>
        <w:rPr>
          <w:rFonts w:asciiTheme="minorHAnsi" w:hAnsiTheme="minorHAnsi"/>
          <w:sz w:val="22"/>
          <w:szCs w:val="22"/>
        </w:rPr>
        <w:t>Segmentation</w:t>
      </w:r>
    </w:p>
    <w:p w14:paraId="275826D3" w14:textId="3A59C777" w:rsidR="004365E8" w:rsidRDefault="005D7F12" w:rsidP="00F940C8">
      <w:pPr>
        <w:spacing w:line="276" w:lineRule="auto"/>
        <w:rPr>
          <w:rFonts w:asciiTheme="minorHAnsi" w:hAnsiTheme="minorHAnsi"/>
          <w:sz w:val="22"/>
        </w:rPr>
      </w:pPr>
      <w:r w:rsidRPr="005D7F12">
        <w:rPr>
          <w:rFonts w:asciiTheme="minorHAnsi" w:hAnsiTheme="minorHAnsi"/>
          <w:sz w:val="22"/>
        </w:rPr>
        <w:t>Interviews will be held w</w:t>
      </w:r>
      <w:r>
        <w:rPr>
          <w:rFonts w:asciiTheme="minorHAnsi" w:hAnsiTheme="minorHAnsi"/>
          <w:sz w:val="22"/>
        </w:rPr>
        <w:t>ith adults (18+ years old) and youth (14-17 years old). Adults will be segmented by use of tobacco products: cigarette users, smokeless users, and former users</w:t>
      </w:r>
      <w:r w:rsidR="004365E8">
        <w:rPr>
          <w:rFonts w:asciiTheme="minorHAnsi" w:hAnsiTheme="minorHAnsi"/>
          <w:sz w:val="22"/>
        </w:rPr>
        <w:t>. Youth will be segmented by use of tobacco products: cigarette or smokeless users and susceptible to use.</w:t>
      </w:r>
      <w:r>
        <w:rPr>
          <w:rFonts w:asciiTheme="minorHAnsi" w:hAnsiTheme="minorHAnsi"/>
          <w:sz w:val="22"/>
        </w:rPr>
        <w:t xml:space="preserve"> </w:t>
      </w:r>
      <w:r w:rsidR="005B7213" w:rsidRPr="00444BB0">
        <w:rPr>
          <w:rFonts w:asciiTheme="minorHAnsi" w:hAnsiTheme="minorHAnsi"/>
          <w:b/>
          <w:sz w:val="22"/>
        </w:rPr>
        <w:t>Table 1</w:t>
      </w:r>
      <w:r w:rsidR="005B7213" w:rsidRPr="005B7213">
        <w:rPr>
          <w:rFonts w:asciiTheme="minorHAnsi" w:hAnsiTheme="minorHAnsi"/>
          <w:sz w:val="22"/>
        </w:rPr>
        <w:t xml:space="preserve"> show</w:t>
      </w:r>
      <w:r w:rsidR="004365E8">
        <w:rPr>
          <w:rFonts w:asciiTheme="minorHAnsi" w:hAnsiTheme="minorHAnsi"/>
          <w:sz w:val="22"/>
        </w:rPr>
        <w:t>s the distribution of IDIs by segment and by location.</w:t>
      </w:r>
    </w:p>
    <w:p w14:paraId="4A0AE279" w14:textId="77777777" w:rsidR="00444BB0" w:rsidRDefault="00444BB0" w:rsidP="00444BB0">
      <w:pPr>
        <w:pStyle w:val="TableTitle"/>
        <w:rPr>
          <w:rFonts w:asciiTheme="minorHAnsi" w:hAnsiTheme="minorHAnsi"/>
          <w:sz w:val="22"/>
          <w:szCs w:val="22"/>
        </w:rPr>
      </w:pPr>
      <w:bookmarkStart w:id="1" w:name="_Toc389479542"/>
      <w:r w:rsidRPr="005C71F5">
        <w:rPr>
          <w:rFonts w:asciiTheme="minorHAnsi" w:hAnsiTheme="minorHAnsi"/>
          <w:sz w:val="22"/>
          <w:szCs w:val="22"/>
        </w:rPr>
        <w:t>Table 1.</w:t>
      </w:r>
      <w:r w:rsidRPr="005C71F5">
        <w:rPr>
          <w:rFonts w:asciiTheme="minorHAnsi" w:hAnsiTheme="minorHAnsi"/>
          <w:sz w:val="22"/>
          <w:szCs w:val="22"/>
        </w:rPr>
        <w:tab/>
      </w:r>
      <w:bookmarkEnd w:id="1"/>
      <w:r w:rsidRPr="005C71F5">
        <w:rPr>
          <w:rFonts w:asciiTheme="minorHAnsi" w:hAnsiTheme="minorHAnsi"/>
          <w:sz w:val="22"/>
          <w:szCs w:val="22"/>
        </w:rPr>
        <w:t>Segmentation of IDIs</w:t>
      </w:r>
    </w:p>
    <w:tbl>
      <w:tblPr>
        <w:tblStyle w:val="TableGrid"/>
        <w:tblW w:w="0" w:type="auto"/>
        <w:tblLook w:val="04A0" w:firstRow="1" w:lastRow="0" w:firstColumn="1" w:lastColumn="0" w:noHBand="0" w:noVBand="1"/>
      </w:tblPr>
      <w:tblGrid>
        <w:gridCol w:w="1998"/>
        <w:gridCol w:w="1825"/>
        <w:gridCol w:w="1825"/>
        <w:gridCol w:w="1825"/>
        <w:gridCol w:w="1826"/>
      </w:tblGrid>
      <w:tr w:rsidR="00991367" w:rsidRPr="0057283C" w14:paraId="414556A7" w14:textId="77777777" w:rsidTr="00731303">
        <w:tc>
          <w:tcPr>
            <w:tcW w:w="1998" w:type="dxa"/>
          </w:tcPr>
          <w:p w14:paraId="26A4E4DF" w14:textId="77777777" w:rsidR="00991367" w:rsidRPr="0057283C" w:rsidRDefault="00991367" w:rsidP="00731303">
            <w:pPr>
              <w:jc w:val="center"/>
              <w:rPr>
                <w:rFonts w:asciiTheme="minorHAnsi" w:hAnsiTheme="minorHAnsi"/>
                <w:b/>
              </w:rPr>
            </w:pPr>
          </w:p>
        </w:tc>
        <w:tc>
          <w:tcPr>
            <w:tcW w:w="1825" w:type="dxa"/>
          </w:tcPr>
          <w:p w14:paraId="1EED1601" w14:textId="77777777" w:rsidR="00991367" w:rsidRPr="0057283C" w:rsidRDefault="00991367" w:rsidP="00731303">
            <w:pPr>
              <w:jc w:val="center"/>
              <w:rPr>
                <w:rFonts w:asciiTheme="minorHAnsi" w:hAnsiTheme="minorHAnsi"/>
                <w:b/>
              </w:rPr>
            </w:pPr>
            <w:r w:rsidRPr="0057283C">
              <w:rPr>
                <w:rFonts w:asciiTheme="minorHAnsi" w:hAnsiTheme="minorHAnsi"/>
                <w:b/>
              </w:rPr>
              <w:t xml:space="preserve">Pensacola, FL </w:t>
            </w:r>
          </w:p>
        </w:tc>
        <w:tc>
          <w:tcPr>
            <w:tcW w:w="1825" w:type="dxa"/>
          </w:tcPr>
          <w:p w14:paraId="0871F9C9" w14:textId="77777777" w:rsidR="00991367" w:rsidRPr="0057283C" w:rsidRDefault="00991367" w:rsidP="00731303">
            <w:pPr>
              <w:jc w:val="center"/>
              <w:rPr>
                <w:rFonts w:asciiTheme="minorHAnsi" w:hAnsiTheme="minorHAnsi"/>
                <w:b/>
              </w:rPr>
            </w:pPr>
            <w:r w:rsidRPr="0057283C">
              <w:rPr>
                <w:rFonts w:asciiTheme="minorHAnsi" w:hAnsiTheme="minorHAnsi"/>
                <w:b/>
              </w:rPr>
              <w:t>Birmingham, AL</w:t>
            </w:r>
          </w:p>
        </w:tc>
        <w:tc>
          <w:tcPr>
            <w:tcW w:w="1825" w:type="dxa"/>
          </w:tcPr>
          <w:p w14:paraId="17884A32" w14:textId="77777777" w:rsidR="00991367" w:rsidRPr="0057283C" w:rsidRDefault="00991367" w:rsidP="00731303">
            <w:pPr>
              <w:jc w:val="center"/>
              <w:rPr>
                <w:rFonts w:asciiTheme="minorHAnsi" w:hAnsiTheme="minorHAnsi"/>
                <w:b/>
              </w:rPr>
            </w:pPr>
            <w:r w:rsidRPr="0057283C">
              <w:rPr>
                <w:rFonts w:asciiTheme="minorHAnsi" w:hAnsiTheme="minorHAnsi"/>
                <w:b/>
              </w:rPr>
              <w:t>San Diego</w:t>
            </w:r>
          </w:p>
        </w:tc>
        <w:tc>
          <w:tcPr>
            <w:tcW w:w="1826" w:type="dxa"/>
            <w:shd w:val="clear" w:color="auto" w:fill="EEECE1" w:themeFill="background2"/>
          </w:tcPr>
          <w:p w14:paraId="62932027" w14:textId="77777777" w:rsidR="00991367" w:rsidRPr="0057283C" w:rsidRDefault="00991367" w:rsidP="00731303">
            <w:pPr>
              <w:jc w:val="center"/>
              <w:rPr>
                <w:rFonts w:asciiTheme="minorHAnsi" w:hAnsiTheme="minorHAnsi"/>
                <w:b/>
              </w:rPr>
            </w:pPr>
            <w:r w:rsidRPr="0057283C">
              <w:rPr>
                <w:rFonts w:asciiTheme="minorHAnsi" w:hAnsiTheme="minorHAnsi"/>
                <w:b/>
              </w:rPr>
              <w:t>Total</w:t>
            </w:r>
          </w:p>
        </w:tc>
      </w:tr>
      <w:tr w:rsidR="00991367" w:rsidRPr="0057283C" w14:paraId="604A3404" w14:textId="77777777" w:rsidTr="00731303">
        <w:tc>
          <w:tcPr>
            <w:tcW w:w="1998" w:type="dxa"/>
          </w:tcPr>
          <w:p w14:paraId="1C1A2062" w14:textId="77777777" w:rsidR="00991367" w:rsidRPr="0057283C" w:rsidRDefault="00991367" w:rsidP="00731303">
            <w:pPr>
              <w:rPr>
                <w:rFonts w:asciiTheme="minorHAnsi" w:hAnsiTheme="minorHAnsi"/>
              </w:rPr>
            </w:pPr>
            <w:r w:rsidRPr="0057283C">
              <w:rPr>
                <w:rFonts w:asciiTheme="minorHAnsi" w:hAnsiTheme="minorHAnsi"/>
              </w:rPr>
              <w:t>Adult cigarette users</w:t>
            </w:r>
          </w:p>
        </w:tc>
        <w:tc>
          <w:tcPr>
            <w:tcW w:w="1825" w:type="dxa"/>
          </w:tcPr>
          <w:p w14:paraId="31590FAB" w14:textId="77777777" w:rsidR="00991367" w:rsidRPr="0057283C" w:rsidRDefault="00991367" w:rsidP="00731303">
            <w:pPr>
              <w:jc w:val="center"/>
              <w:rPr>
                <w:rFonts w:asciiTheme="minorHAnsi" w:hAnsiTheme="minorHAnsi"/>
              </w:rPr>
            </w:pPr>
            <w:r w:rsidRPr="0057283C">
              <w:rPr>
                <w:rFonts w:asciiTheme="minorHAnsi" w:hAnsiTheme="minorHAnsi"/>
              </w:rPr>
              <w:t xml:space="preserve"> 3</w:t>
            </w:r>
          </w:p>
        </w:tc>
        <w:tc>
          <w:tcPr>
            <w:tcW w:w="1825" w:type="dxa"/>
          </w:tcPr>
          <w:p w14:paraId="40BAD236"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5" w:type="dxa"/>
          </w:tcPr>
          <w:p w14:paraId="5A1F3935" w14:textId="77777777" w:rsidR="00991367" w:rsidRPr="0057283C" w:rsidRDefault="00991367" w:rsidP="00731303">
            <w:pPr>
              <w:jc w:val="center"/>
              <w:rPr>
                <w:rFonts w:asciiTheme="minorHAnsi" w:hAnsiTheme="minorHAnsi"/>
              </w:rPr>
            </w:pPr>
            <w:r w:rsidRPr="0057283C">
              <w:rPr>
                <w:rFonts w:asciiTheme="minorHAnsi" w:hAnsiTheme="minorHAnsi"/>
              </w:rPr>
              <w:t>4</w:t>
            </w:r>
          </w:p>
        </w:tc>
        <w:tc>
          <w:tcPr>
            <w:tcW w:w="1826" w:type="dxa"/>
            <w:shd w:val="clear" w:color="auto" w:fill="EEECE1" w:themeFill="background2"/>
          </w:tcPr>
          <w:p w14:paraId="7AE28D0D" w14:textId="77777777" w:rsidR="00991367" w:rsidRPr="0057283C" w:rsidRDefault="00991367" w:rsidP="00731303">
            <w:pPr>
              <w:jc w:val="center"/>
              <w:rPr>
                <w:rFonts w:asciiTheme="minorHAnsi" w:hAnsiTheme="minorHAnsi"/>
                <w:b/>
              </w:rPr>
            </w:pPr>
            <w:r w:rsidRPr="0057283C">
              <w:rPr>
                <w:rFonts w:asciiTheme="minorHAnsi" w:hAnsiTheme="minorHAnsi"/>
                <w:b/>
              </w:rPr>
              <w:t>10</w:t>
            </w:r>
          </w:p>
        </w:tc>
      </w:tr>
      <w:tr w:rsidR="00991367" w:rsidRPr="0057283C" w14:paraId="3A0A35FB" w14:textId="77777777" w:rsidTr="00731303">
        <w:tc>
          <w:tcPr>
            <w:tcW w:w="1998" w:type="dxa"/>
          </w:tcPr>
          <w:p w14:paraId="19BA66E1" w14:textId="77777777" w:rsidR="00991367" w:rsidRPr="0057283C" w:rsidRDefault="00991367" w:rsidP="00731303">
            <w:pPr>
              <w:rPr>
                <w:rFonts w:asciiTheme="minorHAnsi" w:hAnsiTheme="minorHAnsi"/>
              </w:rPr>
            </w:pPr>
            <w:r w:rsidRPr="0057283C">
              <w:rPr>
                <w:rFonts w:asciiTheme="minorHAnsi" w:hAnsiTheme="minorHAnsi"/>
              </w:rPr>
              <w:t>Adult smokeless users</w:t>
            </w:r>
          </w:p>
        </w:tc>
        <w:tc>
          <w:tcPr>
            <w:tcW w:w="1825" w:type="dxa"/>
          </w:tcPr>
          <w:p w14:paraId="1F098F05"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5" w:type="dxa"/>
          </w:tcPr>
          <w:p w14:paraId="4CC07F05"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5" w:type="dxa"/>
          </w:tcPr>
          <w:p w14:paraId="0FD5B23E" w14:textId="77777777" w:rsidR="00991367" w:rsidRPr="0057283C" w:rsidRDefault="00991367" w:rsidP="00731303">
            <w:pPr>
              <w:jc w:val="center"/>
              <w:rPr>
                <w:rFonts w:asciiTheme="minorHAnsi" w:hAnsiTheme="minorHAnsi"/>
              </w:rPr>
            </w:pPr>
            <w:r w:rsidRPr="0057283C">
              <w:rPr>
                <w:rFonts w:asciiTheme="minorHAnsi" w:hAnsiTheme="minorHAnsi"/>
              </w:rPr>
              <w:t>4</w:t>
            </w:r>
          </w:p>
        </w:tc>
        <w:tc>
          <w:tcPr>
            <w:tcW w:w="1826" w:type="dxa"/>
            <w:shd w:val="clear" w:color="auto" w:fill="EEECE1" w:themeFill="background2"/>
          </w:tcPr>
          <w:p w14:paraId="1423BCAF" w14:textId="77777777" w:rsidR="00991367" w:rsidRPr="0057283C" w:rsidRDefault="00991367" w:rsidP="00731303">
            <w:pPr>
              <w:jc w:val="center"/>
              <w:rPr>
                <w:rFonts w:asciiTheme="minorHAnsi" w:hAnsiTheme="minorHAnsi"/>
                <w:b/>
              </w:rPr>
            </w:pPr>
            <w:r w:rsidRPr="0057283C">
              <w:rPr>
                <w:rFonts w:asciiTheme="minorHAnsi" w:hAnsiTheme="minorHAnsi"/>
                <w:b/>
              </w:rPr>
              <w:t>10</w:t>
            </w:r>
          </w:p>
        </w:tc>
      </w:tr>
      <w:tr w:rsidR="00991367" w:rsidRPr="0057283C" w14:paraId="6E9B6441" w14:textId="77777777" w:rsidTr="00731303">
        <w:tc>
          <w:tcPr>
            <w:tcW w:w="1998" w:type="dxa"/>
          </w:tcPr>
          <w:p w14:paraId="34C59EB3" w14:textId="77777777" w:rsidR="00991367" w:rsidRPr="0057283C" w:rsidRDefault="00991367" w:rsidP="00731303">
            <w:pPr>
              <w:rPr>
                <w:rFonts w:asciiTheme="minorHAnsi" w:hAnsiTheme="minorHAnsi"/>
              </w:rPr>
            </w:pPr>
            <w:r w:rsidRPr="0057283C">
              <w:rPr>
                <w:rFonts w:asciiTheme="minorHAnsi" w:hAnsiTheme="minorHAnsi"/>
              </w:rPr>
              <w:t>Adult former users</w:t>
            </w:r>
          </w:p>
        </w:tc>
        <w:tc>
          <w:tcPr>
            <w:tcW w:w="1825" w:type="dxa"/>
          </w:tcPr>
          <w:p w14:paraId="1C65FB91" w14:textId="77777777" w:rsidR="00991367" w:rsidRPr="0057283C" w:rsidRDefault="00991367" w:rsidP="00731303">
            <w:pPr>
              <w:jc w:val="center"/>
              <w:rPr>
                <w:rFonts w:asciiTheme="minorHAnsi" w:hAnsiTheme="minorHAnsi"/>
              </w:rPr>
            </w:pPr>
            <w:r w:rsidRPr="0057283C">
              <w:rPr>
                <w:rFonts w:asciiTheme="minorHAnsi" w:hAnsiTheme="minorHAnsi"/>
              </w:rPr>
              <w:t>4</w:t>
            </w:r>
          </w:p>
        </w:tc>
        <w:tc>
          <w:tcPr>
            <w:tcW w:w="1825" w:type="dxa"/>
          </w:tcPr>
          <w:p w14:paraId="0F70A88B"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5" w:type="dxa"/>
          </w:tcPr>
          <w:p w14:paraId="6FFE9F2E"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6" w:type="dxa"/>
            <w:shd w:val="clear" w:color="auto" w:fill="EEECE1" w:themeFill="background2"/>
          </w:tcPr>
          <w:p w14:paraId="162D9AE1" w14:textId="77777777" w:rsidR="00991367" w:rsidRPr="0057283C" w:rsidRDefault="00991367" w:rsidP="00731303">
            <w:pPr>
              <w:jc w:val="center"/>
              <w:rPr>
                <w:rFonts w:asciiTheme="minorHAnsi" w:hAnsiTheme="minorHAnsi"/>
                <w:b/>
              </w:rPr>
            </w:pPr>
            <w:r w:rsidRPr="0057283C">
              <w:rPr>
                <w:rFonts w:asciiTheme="minorHAnsi" w:hAnsiTheme="minorHAnsi"/>
                <w:b/>
              </w:rPr>
              <w:t>10</w:t>
            </w:r>
          </w:p>
        </w:tc>
      </w:tr>
      <w:tr w:rsidR="00991367" w:rsidRPr="0057283C" w14:paraId="047D14CB" w14:textId="77777777" w:rsidTr="00731303">
        <w:trPr>
          <w:trHeight w:val="917"/>
        </w:trPr>
        <w:tc>
          <w:tcPr>
            <w:tcW w:w="1998" w:type="dxa"/>
          </w:tcPr>
          <w:p w14:paraId="5A620C7F" w14:textId="77777777" w:rsidR="00991367" w:rsidRPr="0057283C" w:rsidRDefault="00991367" w:rsidP="00731303">
            <w:pPr>
              <w:rPr>
                <w:rFonts w:asciiTheme="minorHAnsi" w:hAnsiTheme="minorHAnsi"/>
              </w:rPr>
            </w:pPr>
            <w:r w:rsidRPr="0057283C">
              <w:rPr>
                <w:rFonts w:asciiTheme="minorHAnsi" w:hAnsiTheme="minorHAnsi"/>
              </w:rPr>
              <w:t>Youth users (smokeless and/or cigarette)</w:t>
            </w:r>
          </w:p>
        </w:tc>
        <w:tc>
          <w:tcPr>
            <w:tcW w:w="1825" w:type="dxa"/>
          </w:tcPr>
          <w:p w14:paraId="7E8639C7"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5" w:type="dxa"/>
          </w:tcPr>
          <w:p w14:paraId="7E6378BB"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5" w:type="dxa"/>
          </w:tcPr>
          <w:p w14:paraId="491B9E6F" w14:textId="77777777" w:rsidR="00991367" w:rsidRPr="0057283C" w:rsidRDefault="00991367" w:rsidP="00731303">
            <w:pPr>
              <w:jc w:val="center"/>
              <w:rPr>
                <w:rFonts w:asciiTheme="minorHAnsi" w:hAnsiTheme="minorHAnsi"/>
              </w:rPr>
            </w:pPr>
            <w:r w:rsidRPr="0057283C">
              <w:rPr>
                <w:rFonts w:asciiTheme="minorHAnsi" w:hAnsiTheme="minorHAnsi"/>
              </w:rPr>
              <w:t xml:space="preserve">4 </w:t>
            </w:r>
          </w:p>
        </w:tc>
        <w:tc>
          <w:tcPr>
            <w:tcW w:w="1826" w:type="dxa"/>
            <w:shd w:val="clear" w:color="auto" w:fill="EEECE1" w:themeFill="background2"/>
          </w:tcPr>
          <w:p w14:paraId="4399F5F2" w14:textId="77777777" w:rsidR="00991367" w:rsidRPr="0057283C" w:rsidRDefault="00991367" w:rsidP="00731303">
            <w:pPr>
              <w:jc w:val="center"/>
              <w:rPr>
                <w:rFonts w:asciiTheme="minorHAnsi" w:hAnsiTheme="minorHAnsi"/>
                <w:b/>
              </w:rPr>
            </w:pPr>
            <w:r w:rsidRPr="0057283C">
              <w:rPr>
                <w:rFonts w:asciiTheme="minorHAnsi" w:hAnsiTheme="minorHAnsi"/>
                <w:b/>
              </w:rPr>
              <w:t>10</w:t>
            </w:r>
          </w:p>
        </w:tc>
      </w:tr>
      <w:tr w:rsidR="00991367" w:rsidRPr="0057283C" w14:paraId="1985048E" w14:textId="77777777" w:rsidTr="00731303">
        <w:tc>
          <w:tcPr>
            <w:tcW w:w="1998" w:type="dxa"/>
          </w:tcPr>
          <w:p w14:paraId="4D9354FC" w14:textId="77777777" w:rsidR="00991367" w:rsidRPr="0057283C" w:rsidRDefault="00991367" w:rsidP="00731303">
            <w:pPr>
              <w:rPr>
                <w:rFonts w:asciiTheme="minorHAnsi" w:hAnsiTheme="minorHAnsi"/>
              </w:rPr>
            </w:pPr>
            <w:r w:rsidRPr="0057283C">
              <w:rPr>
                <w:rFonts w:asciiTheme="minorHAnsi" w:hAnsiTheme="minorHAnsi"/>
              </w:rPr>
              <w:t>Youth susceptible</w:t>
            </w:r>
          </w:p>
        </w:tc>
        <w:tc>
          <w:tcPr>
            <w:tcW w:w="1825" w:type="dxa"/>
          </w:tcPr>
          <w:p w14:paraId="28302BF4"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5" w:type="dxa"/>
          </w:tcPr>
          <w:p w14:paraId="5B12F267" w14:textId="77777777" w:rsidR="00991367" w:rsidRPr="0057283C" w:rsidRDefault="00991367" w:rsidP="00731303">
            <w:pPr>
              <w:jc w:val="center"/>
              <w:rPr>
                <w:rFonts w:asciiTheme="minorHAnsi" w:hAnsiTheme="minorHAnsi"/>
              </w:rPr>
            </w:pPr>
            <w:r w:rsidRPr="0057283C">
              <w:rPr>
                <w:rFonts w:asciiTheme="minorHAnsi" w:hAnsiTheme="minorHAnsi"/>
              </w:rPr>
              <w:t>4</w:t>
            </w:r>
          </w:p>
        </w:tc>
        <w:tc>
          <w:tcPr>
            <w:tcW w:w="1825" w:type="dxa"/>
          </w:tcPr>
          <w:p w14:paraId="00EA2D31" w14:textId="77777777" w:rsidR="00991367" w:rsidRPr="0057283C" w:rsidRDefault="00991367" w:rsidP="00731303">
            <w:pPr>
              <w:jc w:val="center"/>
              <w:rPr>
                <w:rFonts w:asciiTheme="minorHAnsi" w:hAnsiTheme="minorHAnsi"/>
              </w:rPr>
            </w:pPr>
            <w:r w:rsidRPr="0057283C">
              <w:rPr>
                <w:rFonts w:asciiTheme="minorHAnsi" w:hAnsiTheme="minorHAnsi"/>
              </w:rPr>
              <w:t>3</w:t>
            </w:r>
          </w:p>
        </w:tc>
        <w:tc>
          <w:tcPr>
            <w:tcW w:w="1826" w:type="dxa"/>
            <w:shd w:val="clear" w:color="auto" w:fill="EEECE1" w:themeFill="background2"/>
          </w:tcPr>
          <w:p w14:paraId="32D46720" w14:textId="77777777" w:rsidR="00991367" w:rsidRPr="0057283C" w:rsidRDefault="00991367" w:rsidP="00731303">
            <w:pPr>
              <w:jc w:val="center"/>
              <w:rPr>
                <w:rFonts w:asciiTheme="minorHAnsi" w:hAnsiTheme="minorHAnsi"/>
                <w:b/>
              </w:rPr>
            </w:pPr>
            <w:r w:rsidRPr="0057283C">
              <w:rPr>
                <w:rFonts w:asciiTheme="minorHAnsi" w:hAnsiTheme="minorHAnsi"/>
                <w:b/>
              </w:rPr>
              <w:t>10</w:t>
            </w:r>
          </w:p>
        </w:tc>
      </w:tr>
      <w:tr w:rsidR="00991367" w:rsidRPr="0057283C" w14:paraId="57964E64" w14:textId="77777777" w:rsidTr="00731303">
        <w:tc>
          <w:tcPr>
            <w:tcW w:w="1998" w:type="dxa"/>
            <w:shd w:val="clear" w:color="auto" w:fill="EEECE1" w:themeFill="background2"/>
          </w:tcPr>
          <w:p w14:paraId="1F0C76F8" w14:textId="77777777" w:rsidR="00991367" w:rsidRPr="0057283C" w:rsidRDefault="00991367" w:rsidP="00731303">
            <w:pPr>
              <w:rPr>
                <w:rFonts w:asciiTheme="minorHAnsi" w:hAnsiTheme="minorHAnsi"/>
                <w:b/>
              </w:rPr>
            </w:pPr>
            <w:r w:rsidRPr="0057283C">
              <w:rPr>
                <w:rFonts w:asciiTheme="minorHAnsi" w:hAnsiTheme="minorHAnsi"/>
                <w:b/>
              </w:rPr>
              <w:t>Total</w:t>
            </w:r>
          </w:p>
        </w:tc>
        <w:tc>
          <w:tcPr>
            <w:tcW w:w="1825" w:type="dxa"/>
            <w:shd w:val="clear" w:color="auto" w:fill="EEECE1" w:themeFill="background2"/>
          </w:tcPr>
          <w:p w14:paraId="3C3CCCD7" w14:textId="77777777" w:rsidR="00991367" w:rsidRPr="0057283C" w:rsidRDefault="00991367" w:rsidP="00731303">
            <w:pPr>
              <w:jc w:val="center"/>
              <w:rPr>
                <w:rFonts w:asciiTheme="minorHAnsi" w:hAnsiTheme="minorHAnsi"/>
                <w:b/>
              </w:rPr>
            </w:pPr>
            <w:r w:rsidRPr="0057283C">
              <w:rPr>
                <w:rFonts w:asciiTheme="minorHAnsi" w:hAnsiTheme="minorHAnsi"/>
                <w:b/>
              </w:rPr>
              <w:t>16</w:t>
            </w:r>
          </w:p>
        </w:tc>
        <w:tc>
          <w:tcPr>
            <w:tcW w:w="1825" w:type="dxa"/>
            <w:shd w:val="clear" w:color="auto" w:fill="EEECE1" w:themeFill="background2"/>
          </w:tcPr>
          <w:p w14:paraId="038B33E8" w14:textId="77777777" w:rsidR="00991367" w:rsidRPr="0057283C" w:rsidRDefault="00991367" w:rsidP="00731303">
            <w:pPr>
              <w:jc w:val="center"/>
              <w:rPr>
                <w:rFonts w:asciiTheme="minorHAnsi" w:hAnsiTheme="minorHAnsi"/>
                <w:b/>
              </w:rPr>
            </w:pPr>
            <w:r w:rsidRPr="0057283C">
              <w:rPr>
                <w:rFonts w:asciiTheme="minorHAnsi" w:hAnsiTheme="minorHAnsi"/>
                <w:b/>
              </w:rPr>
              <w:t>16</w:t>
            </w:r>
          </w:p>
        </w:tc>
        <w:tc>
          <w:tcPr>
            <w:tcW w:w="1825" w:type="dxa"/>
            <w:shd w:val="clear" w:color="auto" w:fill="EEECE1" w:themeFill="background2"/>
          </w:tcPr>
          <w:p w14:paraId="0E52F458" w14:textId="77777777" w:rsidR="00991367" w:rsidRPr="0057283C" w:rsidRDefault="00991367" w:rsidP="00731303">
            <w:pPr>
              <w:jc w:val="center"/>
              <w:rPr>
                <w:rFonts w:asciiTheme="minorHAnsi" w:hAnsiTheme="minorHAnsi"/>
                <w:b/>
              </w:rPr>
            </w:pPr>
            <w:r w:rsidRPr="0057283C">
              <w:rPr>
                <w:rFonts w:asciiTheme="minorHAnsi" w:hAnsiTheme="minorHAnsi"/>
                <w:b/>
              </w:rPr>
              <w:t>18</w:t>
            </w:r>
          </w:p>
        </w:tc>
        <w:tc>
          <w:tcPr>
            <w:tcW w:w="1826" w:type="dxa"/>
            <w:shd w:val="clear" w:color="auto" w:fill="EEECE1" w:themeFill="background2"/>
          </w:tcPr>
          <w:p w14:paraId="1F749C21" w14:textId="77777777" w:rsidR="00991367" w:rsidRPr="0057283C" w:rsidRDefault="00991367" w:rsidP="00731303">
            <w:pPr>
              <w:jc w:val="center"/>
              <w:rPr>
                <w:rFonts w:asciiTheme="minorHAnsi" w:hAnsiTheme="minorHAnsi"/>
                <w:b/>
              </w:rPr>
            </w:pPr>
            <w:r w:rsidRPr="0057283C">
              <w:rPr>
                <w:rFonts w:asciiTheme="minorHAnsi" w:hAnsiTheme="minorHAnsi"/>
                <w:b/>
              </w:rPr>
              <w:t>50</w:t>
            </w:r>
          </w:p>
        </w:tc>
      </w:tr>
    </w:tbl>
    <w:p w14:paraId="1E9F0DB5" w14:textId="77777777" w:rsidR="00444BB0" w:rsidRPr="005C71F5" w:rsidRDefault="00444BB0" w:rsidP="00444BB0">
      <w:pPr>
        <w:tabs>
          <w:tab w:val="left" w:pos="820"/>
        </w:tabs>
        <w:spacing w:before="23" w:line="244" w:lineRule="auto"/>
        <w:ind w:left="360" w:right="731" w:hanging="360"/>
        <w:rPr>
          <w:rFonts w:asciiTheme="minorHAnsi" w:hAnsiTheme="minorHAnsi"/>
          <w:sz w:val="22"/>
        </w:rPr>
      </w:pPr>
    </w:p>
    <w:p w14:paraId="2145FEB8" w14:textId="77777777" w:rsidR="00444BB0" w:rsidRDefault="00444BB0" w:rsidP="00444BB0">
      <w:pPr>
        <w:rPr>
          <w:rFonts w:asciiTheme="minorHAnsi" w:hAnsiTheme="minorHAnsi"/>
          <w:sz w:val="22"/>
        </w:rPr>
      </w:pPr>
    </w:p>
    <w:p w14:paraId="0FCECCF4" w14:textId="50A8DB6A" w:rsidR="00444BB0" w:rsidRPr="004445D4" w:rsidRDefault="00444BB0" w:rsidP="004445D4">
      <w:pPr>
        <w:spacing w:line="276" w:lineRule="auto"/>
        <w:rPr>
          <w:rFonts w:asciiTheme="minorHAnsi" w:hAnsiTheme="minorHAnsi"/>
          <w:sz w:val="22"/>
        </w:rPr>
      </w:pPr>
      <w:r w:rsidRPr="004445D4">
        <w:rPr>
          <w:rFonts w:asciiTheme="minorHAnsi" w:hAnsiTheme="minorHAnsi"/>
          <w:sz w:val="22"/>
        </w:rPr>
        <w:lastRenderedPageBreak/>
        <w:t>Interviews will be conducted in 3 locations (</w:t>
      </w:r>
      <w:r w:rsidR="00991367">
        <w:rPr>
          <w:rFonts w:asciiTheme="minorHAnsi" w:hAnsiTheme="minorHAnsi"/>
          <w:sz w:val="22"/>
        </w:rPr>
        <w:t>Pensacola, FL, Birmingham, AL,</w:t>
      </w:r>
      <w:r w:rsidRPr="004445D4">
        <w:rPr>
          <w:rFonts w:asciiTheme="minorHAnsi" w:hAnsiTheme="minorHAnsi"/>
          <w:sz w:val="22"/>
        </w:rPr>
        <w:t xml:space="preserve"> and San Diego, CA</w:t>
      </w:r>
      <w:r w:rsidR="00991367">
        <w:rPr>
          <w:rFonts w:asciiTheme="minorHAnsi" w:hAnsiTheme="minorHAnsi"/>
          <w:sz w:val="22"/>
        </w:rPr>
        <w:t>).</w:t>
      </w:r>
      <w:r w:rsidRPr="004445D4">
        <w:rPr>
          <w:rFonts w:asciiTheme="minorHAnsi" w:hAnsiTheme="minorHAnsi"/>
          <w:sz w:val="22"/>
        </w:rPr>
        <w:t xml:space="preserve"> Locations were chosen to maximize geographic distribution while ensuring that research would be conducted in markets with high rates of tobacco use. In choosing these locations, CTP and RTI considered rates of tobacco use, availability of suitable recruitment and market research facilities, and previous studies with specific facilities. </w:t>
      </w:r>
    </w:p>
    <w:p w14:paraId="14BBDB4F" w14:textId="05D9168E" w:rsidR="00DA52F4" w:rsidRPr="004445D4" w:rsidRDefault="00DA52F4" w:rsidP="004445D4">
      <w:pPr>
        <w:pStyle w:val="Heading1"/>
        <w:spacing w:line="276" w:lineRule="auto"/>
        <w:rPr>
          <w:rFonts w:asciiTheme="minorHAnsi" w:hAnsiTheme="minorHAnsi"/>
          <w:sz w:val="22"/>
          <w:szCs w:val="22"/>
        </w:rPr>
      </w:pPr>
      <w:r w:rsidRPr="004445D4">
        <w:rPr>
          <w:rFonts w:asciiTheme="minorHAnsi" w:hAnsiTheme="minorHAnsi"/>
          <w:sz w:val="22"/>
          <w:szCs w:val="22"/>
        </w:rPr>
        <w:t>Facilities</w:t>
      </w:r>
    </w:p>
    <w:p w14:paraId="2E1342D0" w14:textId="2061306F" w:rsidR="005C71F5" w:rsidRDefault="005C71F5" w:rsidP="004445D4">
      <w:pPr>
        <w:spacing w:line="276" w:lineRule="auto"/>
        <w:rPr>
          <w:rFonts w:asciiTheme="minorHAnsi" w:hAnsiTheme="minorHAnsi"/>
          <w:sz w:val="22"/>
        </w:rPr>
      </w:pPr>
      <w:r w:rsidRPr="004445D4">
        <w:rPr>
          <w:rFonts w:asciiTheme="minorHAnsi" w:hAnsiTheme="minorHAnsi"/>
          <w:sz w:val="22"/>
        </w:rPr>
        <w:t xml:space="preserve">RTI has contacted facilities in each of the proposed locations. RTI solicited bids from facilities in the identified cities by detailing the services required (number of interviews and screening criteria). </w:t>
      </w:r>
      <w:r w:rsidR="004C746E" w:rsidRPr="004C746E">
        <w:rPr>
          <w:rFonts w:asciiTheme="minorHAnsi" w:hAnsiTheme="minorHAnsi"/>
          <w:b/>
          <w:sz w:val="22"/>
        </w:rPr>
        <w:t>Table 2</w:t>
      </w:r>
      <w:r w:rsidR="004C746E">
        <w:rPr>
          <w:rFonts w:asciiTheme="minorHAnsi" w:hAnsiTheme="minorHAnsi"/>
          <w:sz w:val="22"/>
        </w:rPr>
        <w:t xml:space="preserve"> shows identified facilities in each city.  </w:t>
      </w:r>
    </w:p>
    <w:p w14:paraId="768BA409" w14:textId="77777777" w:rsidR="004C746E" w:rsidRDefault="004C746E" w:rsidP="004445D4">
      <w:pPr>
        <w:spacing w:line="276" w:lineRule="auto"/>
        <w:rPr>
          <w:rFonts w:asciiTheme="minorHAnsi" w:hAnsiTheme="minorHAnsi"/>
          <w:sz w:val="22"/>
        </w:rPr>
      </w:pPr>
    </w:p>
    <w:p w14:paraId="0CEE0D17" w14:textId="52EA0341" w:rsidR="004C746E" w:rsidRPr="004C746E" w:rsidRDefault="004C746E" w:rsidP="004445D4">
      <w:pPr>
        <w:spacing w:line="276" w:lineRule="auto"/>
        <w:rPr>
          <w:rFonts w:asciiTheme="minorHAnsi" w:hAnsiTheme="minorHAnsi"/>
          <w:b/>
          <w:sz w:val="22"/>
        </w:rPr>
      </w:pPr>
      <w:r w:rsidRPr="004C746E">
        <w:rPr>
          <w:rFonts w:asciiTheme="minorHAnsi" w:hAnsiTheme="minorHAnsi"/>
          <w:b/>
          <w:sz w:val="22"/>
        </w:rPr>
        <w:t>Table 2.</w:t>
      </w:r>
      <w:r w:rsidRPr="004C746E">
        <w:rPr>
          <w:rFonts w:asciiTheme="minorHAnsi" w:hAnsiTheme="minorHAnsi"/>
          <w:b/>
          <w:sz w:val="22"/>
        </w:rPr>
        <w:tab/>
      </w:r>
      <w:r w:rsidRPr="004C746E">
        <w:rPr>
          <w:rFonts w:asciiTheme="minorHAnsi" w:hAnsiTheme="minorHAnsi"/>
          <w:b/>
          <w:sz w:val="22"/>
        </w:rPr>
        <w:tab/>
        <w:t>Facilities by City</w:t>
      </w:r>
    </w:p>
    <w:tbl>
      <w:tblPr>
        <w:tblStyle w:val="TableGrid"/>
        <w:tblW w:w="0" w:type="auto"/>
        <w:tblLook w:val="04A0" w:firstRow="1" w:lastRow="0" w:firstColumn="1" w:lastColumn="0" w:noHBand="0" w:noVBand="1"/>
      </w:tblPr>
      <w:tblGrid>
        <w:gridCol w:w="3116"/>
        <w:gridCol w:w="3117"/>
      </w:tblGrid>
      <w:tr w:rsidR="004C746E" w14:paraId="2FF1FE9A" w14:textId="77777777" w:rsidTr="0009662A">
        <w:tc>
          <w:tcPr>
            <w:tcW w:w="3116" w:type="dxa"/>
            <w:shd w:val="clear" w:color="auto" w:fill="D9D9D9" w:themeFill="background1" w:themeFillShade="D9"/>
          </w:tcPr>
          <w:p w14:paraId="3A23297E" w14:textId="2BA25E95" w:rsidR="004C746E" w:rsidRPr="004C746E" w:rsidRDefault="004C746E" w:rsidP="004C746E">
            <w:pPr>
              <w:spacing w:line="276" w:lineRule="auto"/>
              <w:jc w:val="center"/>
              <w:rPr>
                <w:rFonts w:asciiTheme="minorHAnsi" w:hAnsiTheme="minorHAnsi"/>
                <w:b/>
                <w:sz w:val="22"/>
              </w:rPr>
            </w:pPr>
            <w:r w:rsidRPr="004C746E">
              <w:rPr>
                <w:rFonts w:asciiTheme="minorHAnsi" w:hAnsiTheme="minorHAnsi"/>
                <w:b/>
                <w:sz w:val="22"/>
              </w:rPr>
              <w:t>City</w:t>
            </w:r>
          </w:p>
        </w:tc>
        <w:tc>
          <w:tcPr>
            <w:tcW w:w="3117" w:type="dxa"/>
            <w:shd w:val="clear" w:color="auto" w:fill="D9D9D9" w:themeFill="background1" w:themeFillShade="D9"/>
          </w:tcPr>
          <w:p w14:paraId="71FB89AF" w14:textId="0F134270" w:rsidR="004C746E" w:rsidRPr="004C746E" w:rsidRDefault="004C746E" w:rsidP="004C746E">
            <w:pPr>
              <w:spacing w:line="276" w:lineRule="auto"/>
              <w:jc w:val="center"/>
              <w:rPr>
                <w:rFonts w:asciiTheme="minorHAnsi" w:hAnsiTheme="minorHAnsi"/>
                <w:b/>
                <w:sz w:val="22"/>
              </w:rPr>
            </w:pPr>
            <w:r w:rsidRPr="004C746E">
              <w:rPr>
                <w:rFonts w:asciiTheme="minorHAnsi" w:hAnsiTheme="minorHAnsi"/>
                <w:b/>
                <w:sz w:val="22"/>
              </w:rPr>
              <w:t>Facility</w:t>
            </w:r>
          </w:p>
        </w:tc>
      </w:tr>
      <w:tr w:rsidR="004C746E" w14:paraId="2EAB7830" w14:textId="77777777" w:rsidTr="004C746E">
        <w:tc>
          <w:tcPr>
            <w:tcW w:w="3116" w:type="dxa"/>
          </w:tcPr>
          <w:p w14:paraId="71C1289E" w14:textId="4B8BC9B2" w:rsidR="004C746E" w:rsidRDefault="004B47B1" w:rsidP="004C746E">
            <w:pPr>
              <w:spacing w:line="276" w:lineRule="auto"/>
              <w:rPr>
                <w:rFonts w:asciiTheme="minorHAnsi" w:hAnsiTheme="minorHAnsi"/>
                <w:sz w:val="22"/>
              </w:rPr>
            </w:pPr>
            <w:r>
              <w:rPr>
                <w:rFonts w:asciiTheme="minorHAnsi" w:hAnsiTheme="minorHAnsi"/>
                <w:sz w:val="22"/>
              </w:rPr>
              <w:t xml:space="preserve"> Pensacola, FL</w:t>
            </w:r>
          </w:p>
        </w:tc>
        <w:tc>
          <w:tcPr>
            <w:tcW w:w="3117" w:type="dxa"/>
          </w:tcPr>
          <w:p w14:paraId="1A402AF7" w14:textId="4CC5946B" w:rsidR="004C746E" w:rsidRDefault="004B47B1" w:rsidP="003274FD">
            <w:pPr>
              <w:spacing w:line="276" w:lineRule="auto"/>
              <w:rPr>
                <w:rFonts w:asciiTheme="minorHAnsi" w:hAnsiTheme="minorHAnsi"/>
                <w:sz w:val="22"/>
              </w:rPr>
            </w:pPr>
            <w:r>
              <w:rPr>
                <w:rStyle w:val="Hyperlink"/>
                <w:rFonts w:asciiTheme="minorHAnsi" w:hAnsiTheme="minorHAnsi"/>
                <w:sz w:val="22"/>
              </w:rPr>
              <w:t xml:space="preserve"> </w:t>
            </w:r>
            <w:hyperlink r:id="rId9" w:history="1">
              <w:r w:rsidRPr="004B47B1">
                <w:rPr>
                  <w:rStyle w:val="Hyperlink"/>
                  <w:rFonts w:asciiTheme="minorHAnsi" w:hAnsiTheme="minorHAnsi"/>
                  <w:sz w:val="22"/>
                </w:rPr>
                <w:t>Graham and Associates</w:t>
              </w:r>
            </w:hyperlink>
            <w:r>
              <w:rPr>
                <w:rStyle w:val="Hyperlink"/>
                <w:rFonts w:asciiTheme="minorHAnsi" w:hAnsiTheme="minorHAnsi"/>
                <w:sz w:val="22"/>
              </w:rPr>
              <w:t xml:space="preserve"> will recruit and </w:t>
            </w:r>
            <w:r w:rsidR="003274FD">
              <w:rPr>
                <w:rStyle w:val="Hyperlink"/>
                <w:rFonts w:asciiTheme="minorHAnsi" w:hAnsiTheme="minorHAnsi"/>
                <w:sz w:val="22"/>
              </w:rPr>
              <w:t xml:space="preserve">host </w:t>
            </w:r>
            <w:r>
              <w:rPr>
                <w:rStyle w:val="Hyperlink"/>
                <w:rFonts w:asciiTheme="minorHAnsi" w:hAnsiTheme="minorHAnsi"/>
                <w:sz w:val="22"/>
              </w:rPr>
              <w:t>interviews in a hotel</w:t>
            </w:r>
            <w:r w:rsidR="003274FD">
              <w:rPr>
                <w:rStyle w:val="Hyperlink"/>
                <w:rFonts w:asciiTheme="minorHAnsi" w:hAnsiTheme="minorHAnsi"/>
                <w:sz w:val="22"/>
              </w:rPr>
              <w:t>.</w:t>
            </w:r>
          </w:p>
        </w:tc>
      </w:tr>
      <w:tr w:rsidR="004C746E" w14:paraId="7B8B2842" w14:textId="77777777" w:rsidTr="004C746E">
        <w:tc>
          <w:tcPr>
            <w:tcW w:w="3116" w:type="dxa"/>
          </w:tcPr>
          <w:p w14:paraId="032E84B6" w14:textId="52DBB625" w:rsidR="004C746E" w:rsidRDefault="004B47B1" w:rsidP="004C746E">
            <w:pPr>
              <w:spacing w:line="276" w:lineRule="auto"/>
              <w:rPr>
                <w:rFonts w:asciiTheme="minorHAnsi" w:hAnsiTheme="minorHAnsi"/>
                <w:sz w:val="22"/>
              </w:rPr>
            </w:pPr>
            <w:r>
              <w:rPr>
                <w:rFonts w:asciiTheme="minorHAnsi" w:hAnsiTheme="minorHAnsi"/>
                <w:sz w:val="22"/>
              </w:rPr>
              <w:t>Birmingham, AL</w:t>
            </w:r>
          </w:p>
        </w:tc>
        <w:tc>
          <w:tcPr>
            <w:tcW w:w="3117" w:type="dxa"/>
          </w:tcPr>
          <w:p w14:paraId="2AA5E13B" w14:textId="51E78B26" w:rsidR="004C746E" w:rsidRDefault="00C6160E" w:rsidP="004C746E">
            <w:pPr>
              <w:spacing w:line="276" w:lineRule="auto"/>
              <w:rPr>
                <w:rFonts w:asciiTheme="minorHAnsi" w:hAnsiTheme="minorHAnsi"/>
                <w:sz w:val="22"/>
              </w:rPr>
            </w:pPr>
            <w:hyperlink r:id="rId10" w:history="1">
              <w:r w:rsidR="004B47B1" w:rsidRPr="004B47B1">
                <w:rPr>
                  <w:rStyle w:val="Hyperlink"/>
                  <w:rFonts w:asciiTheme="minorHAnsi" w:hAnsiTheme="minorHAnsi"/>
                  <w:sz w:val="22"/>
                </w:rPr>
                <w:t>Graham and Associates</w:t>
              </w:r>
            </w:hyperlink>
          </w:p>
        </w:tc>
      </w:tr>
      <w:tr w:rsidR="004C746E" w14:paraId="0C336B27" w14:textId="77777777" w:rsidTr="004C746E">
        <w:tc>
          <w:tcPr>
            <w:tcW w:w="3116" w:type="dxa"/>
          </w:tcPr>
          <w:p w14:paraId="2A04BAFD" w14:textId="5B59373C" w:rsidR="004C746E" w:rsidRDefault="004C746E" w:rsidP="004C746E">
            <w:pPr>
              <w:spacing w:line="276" w:lineRule="auto"/>
              <w:rPr>
                <w:rFonts w:asciiTheme="minorHAnsi" w:hAnsiTheme="minorHAnsi"/>
                <w:sz w:val="22"/>
              </w:rPr>
            </w:pPr>
            <w:r>
              <w:rPr>
                <w:rFonts w:asciiTheme="minorHAnsi" w:hAnsiTheme="minorHAnsi"/>
                <w:sz w:val="22"/>
              </w:rPr>
              <w:t>San Diego, CA</w:t>
            </w:r>
          </w:p>
        </w:tc>
        <w:tc>
          <w:tcPr>
            <w:tcW w:w="3117" w:type="dxa"/>
          </w:tcPr>
          <w:p w14:paraId="12864651" w14:textId="3C030811" w:rsidR="004C746E" w:rsidRDefault="00C6160E" w:rsidP="004C746E">
            <w:pPr>
              <w:spacing w:line="276" w:lineRule="auto"/>
              <w:rPr>
                <w:rFonts w:asciiTheme="minorHAnsi" w:hAnsiTheme="minorHAnsi"/>
                <w:sz w:val="22"/>
              </w:rPr>
            </w:pPr>
            <w:hyperlink r:id="rId11" w:history="1">
              <w:r w:rsidR="004C746E" w:rsidRPr="004C746E">
                <w:rPr>
                  <w:rStyle w:val="Hyperlink"/>
                  <w:rFonts w:asciiTheme="minorHAnsi" w:hAnsiTheme="minorHAnsi"/>
                  <w:sz w:val="22"/>
                </w:rPr>
                <w:t>Taylor Research</w:t>
              </w:r>
              <w:r w:rsidR="004C746E" w:rsidRPr="004C746E">
                <w:rPr>
                  <w:rStyle w:val="Hyperlink"/>
                  <w:rFonts w:asciiTheme="minorHAnsi" w:hAnsiTheme="minorHAnsi"/>
                  <w:sz w:val="22"/>
                </w:rPr>
                <w:tab/>
              </w:r>
            </w:hyperlink>
          </w:p>
        </w:tc>
      </w:tr>
    </w:tbl>
    <w:p w14:paraId="1CDF1003" w14:textId="77777777" w:rsidR="005C71F5" w:rsidRPr="004445D4" w:rsidRDefault="005C71F5" w:rsidP="004445D4">
      <w:pPr>
        <w:spacing w:line="276" w:lineRule="auto"/>
        <w:rPr>
          <w:rFonts w:asciiTheme="minorHAnsi" w:hAnsiTheme="minorHAnsi"/>
          <w:sz w:val="22"/>
        </w:rPr>
      </w:pPr>
    </w:p>
    <w:p w14:paraId="0B9FF86C" w14:textId="0219BF83" w:rsidR="005C71F5" w:rsidRPr="004445D4" w:rsidRDefault="005C71F5" w:rsidP="00F940C8">
      <w:pPr>
        <w:spacing w:line="276" w:lineRule="auto"/>
        <w:rPr>
          <w:rFonts w:asciiTheme="minorHAnsi" w:hAnsiTheme="minorHAnsi"/>
          <w:sz w:val="22"/>
        </w:rPr>
      </w:pPr>
      <w:r w:rsidRPr="004445D4">
        <w:rPr>
          <w:rFonts w:asciiTheme="minorHAnsi" w:hAnsiTheme="minorHAnsi"/>
          <w:sz w:val="22"/>
        </w:rPr>
        <w:t xml:space="preserve">All facilities will have the following amenities: availability of Focus Vision or other suitable videostreaming capabilities, audio recording capabilities, climate controlled observation room, </w:t>
      </w:r>
      <w:r w:rsidR="0009662A">
        <w:rPr>
          <w:rFonts w:asciiTheme="minorHAnsi" w:hAnsiTheme="minorHAnsi"/>
          <w:sz w:val="22"/>
        </w:rPr>
        <w:t xml:space="preserve">and </w:t>
      </w:r>
      <w:r w:rsidRPr="004445D4">
        <w:rPr>
          <w:rFonts w:asciiTheme="minorHAnsi" w:hAnsiTheme="minorHAnsi"/>
          <w:sz w:val="22"/>
        </w:rPr>
        <w:t>stated ability and willingness to recruit the desired numbers a</w:t>
      </w:r>
      <w:r w:rsidR="0009662A">
        <w:rPr>
          <w:rFonts w:asciiTheme="minorHAnsi" w:hAnsiTheme="minorHAnsi"/>
          <w:sz w:val="22"/>
        </w:rPr>
        <w:t>nd segments of participants.</w:t>
      </w:r>
      <w:r w:rsidR="004B47B1">
        <w:rPr>
          <w:rFonts w:asciiTheme="minorHAnsi" w:hAnsiTheme="minorHAnsi"/>
          <w:sz w:val="22"/>
        </w:rPr>
        <w:t xml:space="preserve"> In Pensacola, there will be no videostreaming available, but there will be an observation room and audio recording.</w:t>
      </w:r>
    </w:p>
    <w:p w14:paraId="26BA9828" w14:textId="4AD21008" w:rsidR="00DA52F4" w:rsidRPr="004445D4" w:rsidRDefault="00DA52F4" w:rsidP="00F940C8">
      <w:pPr>
        <w:pStyle w:val="Heading1"/>
        <w:spacing w:line="276" w:lineRule="auto"/>
        <w:rPr>
          <w:rFonts w:asciiTheme="minorHAnsi" w:hAnsiTheme="minorHAnsi"/>
          <w:sz w:val="22"/>
          <w:szCs w:val="22"/>
        </w:rPr>
      </w:pPr>
      <w:r w:rsidRPr="004445D4">
        <w:rPr>
          <w:rFonts w:asciiTheme="minorHAnsi" w:hAnsiTheme="minorHAnsi"/>
          <w:sz w:val="22"/>
          <w:szCs w:val="22"/>
        </w:rPr>
        <w:t>Recruitment Procedures</w:t>
      </w:r>
    </w:p>
    <w:p w14:paraId="540C3C31" w14:textId="3AD20540" w:rsidR="004445D4" w:rsidRDefault="004445D4" w:rsidP="00F940C8">
      <w:pPr>
        <w:spacing w:line="276" w:lineRule="auto"/>
        <w:rPr>
          <w:rFonts w:asciiTheme="minorHAnsi" w:hAnsiTheme="minorHAnsi"/>
          <w:sz w:val="22"/>
        </w:rPr>
      </w:pPr>
      <w:r w:rsidRPr="004445D4">
        <w:rPr>
          <w:rFonts w:asciiTheme="minorHAnsi" w:hAnsiTheme="minorHAnsi"/>
          <w:sz w:val="22"/>
        </w:rPr>
        <w:t>After all OMB, FDA RIHSC, and RTI IRB</w:t>
      </w:r>
      <w:r>
        <w:rPr>
          <w:rFonts w:asciiTheme="minorHAnsi" w:hAnsiTheme="minorHAnsi"/>
          <w:sz w:val="22"/>
        </w:rPr>
        <w:t xml:space="preserve"> approvals</w:t>
      </w:r>
      <w:r w:rsidR="000B15AA">
        <w:rPr>
          <w:rFonts w:asciiTheme="minorHAnsi" w:hAnsiTheme="minorHAnsi"/>
          <w:sz w:val="22"/>
        </w:rPr>
        <w:t xml:space="preserve"> have been received, RTI will </w:t>
      </w:r>
      <w:r>
        <w:rPr>
          <w:rFonts w:asciiTheme="minorHAnsi" w:hAnsiTheme="minorHAnsi"/>
          <w:sz w:val="22"/>
        </w:rPr>
        <w:t>contact the</w:t>
      </w:r>
      <w:r w:rsidR="000B15AA">
        <w:rPr>
          <w:rFonts w:asciiTheme="minorHAnsi" w:hAnsiTheme="minorHAnsi"/>
          <w:sz w:val="22"/>
        </w:rPr>
        <w:t xml:space="preserve"> selected</w:t>
      </w:r>
      <w:r>
        <w:rPr>
          <w:rFonts w:asciiTheme="minorHAnsi" w:hAnsiTheme="minorHAnsi"/>
          <w:sz w:val="22"/>
        </w:rPr>
        <w:t xml:space="preserve"> facilities, </w:t>
      </w:r>
      <w:r w:rsidR="000B15AA">
        <w:rPr>
          <w:rFonts w:asciiTheme="minorHAnsi" w:hAnsiTheme="minorHAnsi"/>
          <w:sz w:val="22"/>
        </w:rPr>
        <w:t xml:space="preserve">confirm pricing or </w:t>
      </w:r>
      <w:r>
        <w:rPr>
          <w:rFonts w:asciiTheme="minorHAnsi" w:hAnsiTheme="minorHAnsi"/>
          <w:sz w:val="22"/>
        </w:rPr>
        <w:t>obtain updated quotes (if needed), and schedule interviews. Interviews will be conducted in the morning, afternoon, and evening and will be scheduled in consultation with facilities to ensure the highest show rates possible. RTI will schedule at least 15 minutes between interviews and will schedule breaks for lunch and dinner.</w:t>
      </w:r>
    </w:p>
    <w:p w14:paraId="1E1C05FF" w14:textId="6A770161" w:rsidR="000B15AA" w:rsidRDefault="008259B7" w:rsidP="00F940C8">
      <w:pPr>
        <w:spacing w:line="276" w:lineRule="auto"/>
        <w:rPr>
          <w:rFonts w:asciiTheme="minorHAnsi" w:hAnsiTheme="minorHAnsi"/>
          <w:sz w:val="22"/>
        </w:rPr>
      </w:pPr>
      <w:r>
        <w:rPr>
          <w:rFonts w:asciiTheme="minorHAnsi" w:hAnsiTheme="minorHAnsi"/>
          <w:sz w:val="22"/>
        </w:rPr>
        <w:t xml:space="preserve">Facilities will recruit participants using the approved screener and will </w:t>
      </w:r>
      <w:r w:rsidR="00F11D59">
        <w:rPr>
          <w:rFonts w:asciiTheme="minorHAnsi" w:hAnsiTheme="minorHAnsi"/>
          <w:sz w:val="22"/>
        </w:rPr>
        <w:t>identify</w:t>
      </w:r>
      <w:r>
        <w:rPr>
          <w:rFonts w:asciiTheme="minorHAnsi" w:hAnsiTheme="minorHAnsi"/>
          <w:sz w:val="22"/>
        </w:rPr>
        <w:t xml:space="preserve"> potential </w:t>
      </w:r>
      <w:r w:rsidR="00F11D59">
        <w:rPr>
          <w:rFonts w:asciiTheme="minorHAnsi" w:hAnsiTheme="minorHAnsi"/>
          <w:sz w:val="22"/>
        </w:rPr>
        <w:t>interviewees</w:t>
      </w:r>
      <w:r>
        <w:rPr>
          <w:rFonts w:asciiTheme="minorHAnsi" w:hAnsiTheme="minorHAnsi"/>
          <w:sz w:val="22"/>
        </w:rPr>
        <w:t xml:space="preserve"> from their participant databases. Adult participants will be contacted based on their previous stated interest in research. Youth participants will be contacted through their parents, who will be members of the facility databases. Facilities will conduct screening using </w:t>
      </w:r>
      <w:r w:rsidR="00F11D59">
        <w:rPr>
          <w:rFonts w:asciiTheme="minorHAnsi" w:hAnsiTheme="minorHAnsi"/>
          <w:sz w:val="22"/>
        </w:rPr>
        <w:t>a</w:t>
      </w:r>
      <w:r>
        <w:rPr>
          <w:rFonts w:asciiTheme="minorHAnsi" w:hAnsiTheme="minorHAnsi"/>
          <w:sz w:val="22"/>
        </w:rPr>
        <w:t xml:space="preserve"> </w:t>
      </w:r>
      <w:r w:rsidR="00F11D59">
        <w:rPr>
          <w:rFonts w:asciiTheme="minorHAnsi" w:hAnsiTheme="minorHAnsi"/>
          <w:sz w:val="22"/>
        </w:rPr>
        <w:t xml:space="preserve">screener </w:t>
      </w:r>
      <w:r>
        <w:rPr>
          <w:rFonts w:asciiTheme="minorHAnsi" w:hAnsiTheme="minorHAnsi"/>
          <w:sz w:val="22"/>
        </w:rPr>
        <w:t>supplied</w:t>
      </w:r>
      <w:r w:rsidR="00F11D59">
        <w:rPr>
          <w:rFonts w:asciiTheme="minorHAnsi" w:hAnsiTheme="minorHAnsi"/>
          <w:sz w:val="22"/>
        </w:rPr>
        <w:t xml:space="preserve"> by RTI</w:t>
      </w:r>
      <w:r>
        <w:rPr>
          <w:rFonts w:asciiTheme="minorHAnsi" w:hAnsiTheme="minorHAnsi"/>
          <w:sz w:val="22"/>
        </w:rPr>
        <w:t xml:space="preserve">. </w:t>
      </w:r>
      <w:r w:rsidR="000B15AA" w:rsidRPr="000B15AA">
        <w:rPr>
          <w:rFonts w:asciiTheme="minorHAnsi" w:hAnsiTheme="minorHAnsi"/>
          <w:sz w:val="22"/>
        </w:rPr>
        <w:t>To the extent possible</w:t>
      </w:r>
      <w:r w:rsidR="000B15AA">
        <w:rPr>
          <w:rFonts w:asciiTheme="minorHAnsi" w:hAnsiTheme="minorHAnsi"/>
          <w:sz w:val="22"/>
        </w:rPr>
        <w:t>,</w:t>
      </w:r>
      <w:r w:rsidR="000B15AA" w:rsidRPr="000B15AA">
        <w:rPr>
          <w:rFonts w:asciiTheme="minorHAnsi" w:hAnsiTheme="minorHAnsi"/>
          <w:sz w:val="22"/>
        </w:rPr>
        <w:t xml:space="preserve"> facilities will recruit a diverse sample in terms of race, age, and educational attainment. </w:t>
      </w:r>
    </w:p>
    <w:p w14:paraId="323E1AD9" w14:textId="341EBE09" w:rsidR="00F65264" w:rsidRDefault="008259B7" w:rsidP="00F940C8">
      <w:pPr>
        <w:spacing w:line="276" w:lineRule="auto"/>
        <w:rPr>
          <w:rFonts w:asciiTheme="minorHAnsi" w:hAnsiTheme="minorHAnsi"/>
          <w:sz w:val="22"/>
        </w:rPr>
      </w:pPr>
      <w:r>
        <w:rPr>
          <w:rFonts w:asciiTheme="minorHAnsi" w:hAnsiTheme="minorHAnsi"/>
          <w:sz w:val="22"/>
        </w:rPr>
        <w:t xml:space="preserve">When a participant qualifies, the facility will schedule the participant. Facilities will schedule extra participants (number will depend on location and segment) to help ensure that the target number of </w:t>
      </w:r>
      <w:r>
        <w:rPr>
          <w:rFonts w:asciiTheme="minorHAnsi" w:hAnsiTheme="minorHAnsi"/>
          <w:sz w:val="22"/>
        </w:rPr>
        <w:lastRenderedPageBreak/>
        <w:t xml:space="preserve">interviews in each location and segment is reached. </w:t>
      </w:r>
      <w:r w:rsidR="00F65264">
        <w:rPr>
          <w:rFonts w:asciiTheme="minorHAnsi" w:hAnsiTheme="minorHAnsi"/>
          <w:sz w:val="22"/>
        </w:rPr>
        <w:t xml:space="preserve"> RTI will monitor recruitment daily. Should questions or concerns emerge, RTI will communicate with CTP to resolve issues quickly. </w:t>
      </w:r>
    </w:p>
    <w:p w14:paraId="4A372D90" w14:textId="77777777" w:rsidR="008259B7" w:rsidRDefault="008259B7" w:rsidP="00F940C8">
      <w:pPr>
        <w:spacing w:line="276" w:lineRule="auto"/>
        <w:rPr>
          <w:rFonts w:asciiTheme="minorHAnsi" w:hAnsiTheme="minorHAnsi"/>
          <w:sz w:val="22"/>
        </w:rPr>
      </w:pPr>
    </w:p>
    <w:p w14:paraId="3D9C4C3D" w14:textId="3E787FFC" w:rsidR="004445D4" w:rsidRDefault="00F11D59" w:rsidP="00F940C8">
      <w:pPr>
        <w:spacing w:line="276" w:lineRule="auto"/>
        <w:rPr>
          <w:rFonts w:asciiTheme="minorHAnsi" w:hAnsiTheme="minorHAnsi"/>
          <w:sz w:val="22"/>
        </w:rPr>
      </w:pPr>
      <w:r>
        <w:rPr>
          <w:rFonts w:asciiTheme="minorHAnsi" w:hAnsiTheme="minorHAnsi"/>
          <w:sz w:val="22"/>
        </w:rPr>
        <w:t>Facilities will co</w:t>
      </w:r>
      <w:r w:rsidR="008259B7">
        <w:rPr>
          <w:rFonts w:asciiTheme="minorHAnsi" w:hAnsiTheme="minorHAnsi"/>
          <w:sz w:val="22"/>
        </w:rPr>
        <w:t>ntact participants with reminders 24 hours before their sch</w:t>
      </w:r>
      <w:r>
        <w:rPr>
          <w:rFonts w:asciiTheme="minorHAnsi" w:hAnsiTheme="minorHAnsi"/>
          <w:sz w:val="22"/>
        </w:rPr>
        <w:t xml:space="preserve">eduled interview. During this </w:t>
      </w:r>
      <w:r w:rsidR="008259B7">
        <w:rPr>
          <w:rFonts w:asciiTheme="minorHAnsi" w:hAnsiTheme="minorHAnsi"/>
          <w:sz w:val="22"/>
        </w:rPr>
        <w:t>contact, if a participant indicates that they can no longer participate, the facilities will attempt to schedule an alternate participant.</w:t>
      </w:r>
    </w:p>
    <w:p w14:paraId="245CB0F5" w14:textId="77777777" w:rsidR="005A6530" w:rsidRDefault="005A6530" w:rsidP="00F940C8">
      <w:pPr>
        <w:spacing w:line="276" w:lineRule="auto"/>
        <w:rPr>
          <w:rFonts w:asciiTheme="minorHAnsi" w:hAnsiTheme="minorHAnsi"/>
          <w:sz w:val="22"/>
        </w:rPr>
      </w:pPr>
    </w:p>
    <w:p w14:paraId="12FD6A5E" w14:textId="45975862" w:rsidR="005A6530" w:rsidRPr="004445D4" w:rsidRDefault="005A6530" w:rsidP="00F940C8">
      <w:pPr>
        <w:spacing w:line="276" w:lineRule="auto"/>
        <w:rPr>
          <w:rFonts w:asciiTheme="minorHAnsi" w:hAnsiTheme="minorHAnsi"/>
          <w:sz w:val="22"/>
        </w:rPr>
      </w:pPr>
      <w:r>
        <w:rPr>
          <w:rFonts w:asciiTheme="minorHAnsi" w:hAnsiTheme="minorHAnsi"/>
          <w:sz w:val="22"/>
        </w:rPr>
        <w:t>RTI will provide regular updates on recruitment to CTP and will provide a participant grid for each day of research no later than 24 hours beforehand. Up-to-date grids will be available in hard copy format at each of the facilities at the beginning of each day of research.</w:t>
      </w:r>
    </w:p>
    <w:sectPr w:rsidR="005A6530" w:rsidRPr="004445D4" w:rsidSect="007569F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160" w:right="1440" w:bottom="1440" w:left="1440" w:header="720"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0ACA5" w14:textId="77777777" w:rsidR="00217A02" w:rsidRDefault="00217A02" w:rsidP="007569F1">
      <w:r>
        <w:separator/>
      </w:r>
    </w:p>
  </w:endnote>
  <w:endnote w:type="continuationSeparator" w:id="0">
    <w:p w14:paraId="4308C01A" w14:textId="77777777" w:rsidR="00217A02" w:rsidRDefault="00217A02" w:rsidP="0075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CFD6" w14:textId="77777777" w:rsidR="003E2242" w:rsidRDefault="003E2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6C813" w14:textId="77777777" w:rsidR="00C756C2" w:rsidRDefault="00C756C2">
    <w:pPr>
      <w:spacing w:line="240" w:lineRule="exact"/>
    </w:pPr>
  </w:p>
  <w:p w14:paraId="4C966814" w14:textId="77777777" w:rsidR="00C756C2" w:rsidRDefault="00C756C2">
    <w:r>
      <w:rPr>
        <w:noProof/>
      </w:rPr>
      <w:drawing>
        <wp:inline distT="0" distB="0" distL="0" distR="0" wp14:anchorId="64877A1A" wp14:editId="3C641CAD">
          <wp:extent cx="2317750" cy="223520"/>
          <wp:effectExtent l="19050" t="0" r="6350" b="0"/>
          <wp:docPr id="8" name="Picture 8" descr="memo template bw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template bw bottom"/>
                  <pic:cNvPicPr>
                    <a:picLocks noChangeAspect="1" noChangeArrowheads="1"/>
                  </pic:cNvPicPr>
                </pic:nvPicPr>
                <pic:blipFill>
                  <a:blip r:embed="rId1"/>
                  <a:srcRect/>
                  <a:stretch>
                    <a:fillRect/>
                  </a:stretch>
                </pic:blipFill>
                <pic:spPr bwMode="auto">
                  <a:xfrm>
                    <a:off x="0" y="0"/>
                    <a:ext cx="2317750" cy="223520"/>
                  </a:xfrm>
                  <a:prstGeom prst="rect">
                    <a:avLst/>
                  </a:prstGeom>
                  <a:noFill/>
                  <a:ln w="9525">
                    <a:noFill/>
                    <a:miter lim="800000"/>
                    <a:headEnd/>
                    <a:tailEnd/>
                  </a:ln>
                </pic:spPr>
              </pic:pic>
            </a:graphicData>
          </a:graphic>
        </wp:inline>
      </w:drawing>
    </w:r>
  </w:p>
  <w:p w14:paraId="4123A5AD" w14:textId="77777777" w:rsidR="00C756C2" w:rsidRDefault="00C756C2" w:rsidP="00580C0E">
    <w:pPr>
      <w:tabs>
        <w:tab w:val="left" w:pos="760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043F" w14:textId="77777777" w:rsidR="00C756C2" w:rsidRDefault="00C756C2">
    <w:pPr>
      <w:spacing w:line="240" w:lineRule="exact"/>
    </w:pPr>
  </w:p>
  <w:p w14:paraId="715FE04A" w14:textId="77777777" w:rsidR="00C756C2" w:rsidRPr="008D4151" w:rsidRDefault="00C756C2" w:rsidP="00411C99">
    <w:pPr>
      <w:tabs>
        <w:tab w:val="right" w:pos="9540"/>
      </w:tabs>
      <w:rPr>
        <w:i/>
      </w:rPr>
    </w:pPr>
    <w:r>
      <w:rPr>
        <w:noProof/>
      </w:rPr>
      <w:drawing>
        <wp:inline distT="0" distB="0" distL="0" distR="0" wp14:anchorId="521D38D8" wp14:editId="461AAA62">
          <wp:extent cx="2317750" cy="223520"/>
          <wp:effectExtent l="19050" t="0" r="6350" b="0"/>
          <wp:docPr id="10" name="Picture 10" descr="memo template bw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 template bw bottom"/>
                  <pic:cNvPicPr>
                    <a:picLocks noChangeAspect="1" noChangeArrowheads="1"/>
                  </pic:cNvPicPr>
                </pic:nvPicPr>
                <pic:blipFill>
                  <a:blip r:embed="rId1"/>
                  <a:srcRect/>
                  <a:stretch>
                    <a:fillRect/>
                  </a:stretch>
                </pic:blipFill>
                <pic:spPr bwMode="auto">
                  <a:xfrm>
                    <a:off x="0" y="0"/>
                    <a:ext cx="2317750" cy="223520"/>
                  </a:xfrm>
                  <a:prstGeom prst="rect">
                    <a:avLst/>
                  </a:prstGeom>
                  <a:noFill/>
                  <a:ln w="9525">
                    <a:noFill/>
                    <a:miter lim="800000"/>
                    <a:headEnd/>
                    <a:tailEnd/>
                  </a:ln>
                </pic:spPr>
              </pic:pic>
            </a:graphicData>
          </a:graphic>
        </wp:inline>
      </w:drawing>
    </w:r>
    <w:r>
      <w:tab/>
    </w:r>
    <w:r w:rsidRPr="008D4151">
      <w:rPr>
        <w:rFonts w:ascii="Verdana" w:hAnsi="Verdana"/>
        <w:i/>
        <w:sz w:val="14"/>
        <w:szCs w:val="14"/>
      </w:rPr>
      <w:t>RTI International is a trade name of Research Triangle Institute</w:t>
    </w:r>
  </w:p>
  <w:p w14:paraId="062C7D62" w14:textId="77777777" w:rsidR="00C756C2" w:rsidRDefault="00C756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43765" w14:textId="77777777" w:rsidR="00217A02" w:rsidRDefault="00217A02" w:rsidP="007569F1">
      <w:r>
        <w:separator/>
      </w:r>
    </w:p>
  </w:footnote>
  <w:footnote w:type="continuationSeparator" w:id="0">
    <w:p w14:paraId="0F5133A0" w14:textId="77777777" w:rsidR="00217A02" w:rsidRDefault="00217A02" w:rsidP="0075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F14C" w14:textId="77777777" w:rsidR="003E2242" w:rsidRDefault="003E2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7F3C8" w14:textId="75F7950D" w:rsidR="003661B9" w:rsidRPr="00606A27" w:rsidRDefault="00977585" w:rsidP="0018060B">
    <w:pPr>
      <w:tabs>
        <w:tab w:val="left" w:pos="1080"/>
      </w:tabs>
      <w:rPr>
        <w:rFonts w:asciiTheme="minorHAnsi" w:hAnsiTheme="minorHAnsi"/>
        <w:sz w:val="22"/>
      </w:rPr>
    </w:pPr>
    <w:r>
      <w:rPr>
        <w:rFonts w:asciiTheme="minorHAnsi" w:hAnsiTheme="minorHAnsi"/>
        <w:sz w:val="22"/>
      </w:rPr>
      <w:t>HPHC</w:t>
    </w:r>
    <w:r w:rsidR="002B6899">
      <w:rPr>
        <w:rFonts w:asciiTheme="minorHAnsi" w:hAnsiTheme="minorHAnsi"/>
        <w:sz w:val="22"/>
      </w:rPr>
      <w:t>2</w:t>
    </w:r>
    <w:r>
      <w:rPr>
        <w:rFonts w:asciiTheme="minorHAnsi" w:hAnsiTheme="minorHAnsi"/>
        <w:sz w:val="22"/>
      </w:rPr>
      <w:t xml:space="preserve"> Facility and Recruitment Plan</w:t>
    </w:r>
  </w:p>
  <w:p w14:paraId="556003B1" w14:textId="78DF173C" w:rsidR="00C756C2" w:rsidRPr="00606A27" w:rsidRDefault="00EB6FE9" w:rsidP="0018060B">
    <w:pPr>
      <w:tabs>
        <w:tab w:val="left" w:pos="1080"/>
      </w:tabs>
      <w:rPr>
        <w:rFonts w:asciiTheme="minorHAnsi" w:hAnsiTheme="minorHAnsi"/>
        <w:sz w:val="22"/>
      </w:rPr>
    </w:pPr>
    <w:r>
      <w:rPr>
        <w:rFonts w:asciiTheme="minorHAnsi" w:hAnsiTheme="minorHAnsi"/>
        <w:sz w:val="22"/>
      </w:rPr>
      <w:t>November 30</w:t>
    </w:r>
    <w:r w:rsidR="00955C1B" w:rsidRPr="00606A27">
      <w:rPr>
        <w:rFonts w:asciiTheme="minorHAnsi" w:hAnsiTheme="minorHAnsi"/>
        <w:sz w:val="22"/>
      </w:rPr>
      <w:t>, 2016</w:t>
    </w:r>
  </w:p>
  <w:p w14:paraId="5F7A7471" w14:textId="77777777" w:rsidR="00C756C2" w:rsidRPr="00606A27" w:rsidRDefault="00C756C2" w:rsidP="0018060B">
    <w:pPr>
      <w:rPr>
        <w:rFonts w:asciiTheme="minorHAnsi" w:hAnsiTheme="minorHAnsi"/>
        <w:sz w:val="22"/>
      </w:rPr>
    </w:pPr>
    <w:r w:rsidRPr="00606A27">
      <w:rPr>
        <w:rFonts w:asciiTheme="minorHAnsi" w:hAnsiTheme="minorHAnsi"/>
        <w:sz w:val="22"/>
      </w:rPr>
      <w:t xml:space="preserve">Page </w:t>
    </w:r>
    <w:r w:rsidRPr="00606A27">
      <w:rPr>
        <w:rFonts w:asciiTheme="minorHAnsi" w:hAnsiTheme="minorHAnsi"/>
        <w:sz w:val="22"/>
      </w:rPr>
      <w:fldChar w:fldCharType="begin"/>
    </w:r>
    <w:r w:rsidRPr="00606A27">
      <w:rPr>
        <w:rFonts w:asciiTheme="minorHAnsi" w:hAnsiTheme="minorHAnsi"/>
        <w:sz w:val="22"/>
      </w:rPr>
      <w:instrText xml:space="preserve"> PAGE </w:instrText>
    </w:r>
    <w:r w:rsidRPr="00606A27">
      <w:rPr>
        <w:rFonts w:asciiTheme="minorHAnsi" w:hAnsiTheme="minorHAnsi"/>
        <w:sz w:val="22"/>
      </w:rPr>
      <w:fldChar w:fldCharType="separate"/>
    </w:r>
    <w:r w:rsidR="00C6160E">
      <w:rPr>
        <w:rFonts w:asciiTheme="minorHAnsi" w:hAnsiTheme="minorHAnsi"/>
        <w:noProof/>
        <w:sz w:val="22"/>
      </w:rPr>
      <w:t>3</w:t>
    </w:r>
    <w:r w:rsidRPr="00606A27">
      <w:rPr>
        <w:rFonts w:asciiTheme="minorHAnsi" w:hAnsiTheme="minorHAnsi"/>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B3567" w14:textId="77777777" w:rsidR="00C756C2" w:rsidRDefault="00C756C2" w:rsidP="00411C99">
    <w:pPr>
      <w:ind w:left="-180"/>
    </w:pPr>
    <w:r>
      <w:rPr>
        <w:noProof/>
      </w:rPr>
      <w:drawing>
        <wp:inline distT="0" distB="0" distL="0" distR="0" wp14:anchorId="67ACDB88" wp14:editId="6D6EE392">
          <wp:extent cx="2689860" cy="616585"/>
          <wp:effectExtent l="19050" t="0" r="0" b="0"/>
          <wp:docPr id="9" name="Picture 9" descr="memo template bw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 template bw top"/>
                  <pic:cNvPicPr>
                    <a:picLocks noChangeAspect="1" noChangeArrowheads="1"/>
                  </pic:cNvPicPr>
                </pic:nvPicPr>
                <pic:blipFill>
                  <a:blip r:embed="rId1"/>
                  <a:srcRect/>
                  <a:stretch>
                    <a:fillRect/>
                  </a:stretch>
                </pic:blipFill>
                <pic:spPr bwMode="auto">
                  <a:xfrm>
                    <a:off x="0" y="0"/>
                    <a:ext cx="2689860" cy="6165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17A"/>
    <w:multiLevelType w:val="hybridMultilevel"/>
    <w:tmpl w:val="881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75D3A"/>
    <w:multiLevelType w:val="hybridMultilevel"/>
    <w:tmpl w:val="A234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60AEE"/>
    <w:multiLevelType w:val="hybridMultilevel"/>
    <w:tmpl w:val="D61C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272C8"/>
    <w:multiLevelType w:val="hybridMultilevel"/>
    <w:tmpl w:val="671C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07BC8"/>
    <w:multiLevelType w:val="hybridMultilevel"/>
    <w:tmpl w:val="E63E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D3B36"/>
    <w:multiLevelType w:val="hybridMultilevel"/>
    <w:tmpl w:val="1FD4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E57F8"/>
    <w:multiLevelType w:val="hybridMultilevel"/>
    <w:tmpl w:val="2AC2B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C668B5"/>
    <w:multiLevelType w:val="hybridMultilevel"/>
    <w:tmpl w:val="698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217ACD"/>
    <w:multiLevelType w:val="hybridMultilevel"/>
    <w:tmpl w:val="A59A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E45B9"/>
    <w:multiLevelType w:val="hybridMultilevel"/>
    <w:tmpl w:val="B928D398"/>
    <w:lvl w:ilvl="0" w:tplc="E65616D4">
      <w:start w:val="1"/>
      <w:numFmt w:val="upperLetter"/>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BD7E25"/>
    <w:multiLevelType w:val="hybridMultilevel"/>
    <w:tmpl w:val="F4D65EE0"/>
    <w:lvl w:ilvl="0" w:tplc="D3B0BE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A0FC7"/>
    <w:multiLevelType w:val="hybridMultilevel"/>
    <w:tmpl w:val="76CE4D92"/>
    <w:lvl w:ilvl="0" w:tplc="A86258C0">
      <w:start w:val="1"/>
      <w:numFmt w:val="bullet"/>
      <w:pStyle w:val="bullets"/>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2041FAC"/>
    <w:multiLevelType w:val="hybridMultilevel"/>
    <w:tmpl w:val="65CA6D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71F0A81"/>
    <w:multiLevelType w:val="hybridMultilevel"/>
    <w:tmpl w:val="87F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3708B"/>
    <w:multiLevelType w:val="hybridMultilevel"/>
    <w:tmpl w:val="F4D65EE0"/>
    <w:lvl w:ilvl="0" w:tplc="D3B0BE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522CBC"/>
    <w:multiLevelType w:val="hybridMultilevel"/>
    <w:tmpl w:val="B20E7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4DB7BF6"/>
    <w:multiLevelType w:val="hybridMultilevel"/>
    <w:tmpl w:val="5A3AF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6E7086"/>
    <w:multiLevelType w:val="hybridMultilevel"/>
    <w:tmpl w:val="16484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5D2576"/>
    <w:multiLevelType w:val="hybridMultilevel"/>
    <w:tmpl w:val="66AA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A43AEC"/>
    <w:multiLevelType w:val="hybridMultilevel"/>
    <w:tmpl w:val="F4D65EE0"/>
    <w:lvl w:ilvl="0" w:tplc="D3B0BE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C92466"/>
    <w:multiLevelType w:val="hybridMultilevel"/>
    <w:tmpl w:val="0FF48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D41CE3"/>
    <w:multiLevelType w:val="hybridMultilevel"/>
    <w:tmpl w:val="2D86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D59EC"/>
    <w:multiLevelType w:val="hybridMultilevel"/>
    <w:tmpl w:val="DCC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9F287A"/>
    <w:multiLevelType w:val="hybridMultilevel"/>
    <w:tmpl w:val="B928D398"/>
    <w:lvl w:ilvl="0" w:tplc="E65616D4">
      <w:start w:val="1"/>
      <w:numFmt w:val="upp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94803"/>
    <w:multiLevelType w:val="hybridMultilevel"/>
    <w:tmpl w:val="AC4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13B25"/>
    <w:multiLevelType w:val="hybridMultilevel"/>
    <w:tmpl w:val="B0703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AB7FC0"/>
    <w:multiLevelType w:val="hybridMultilevel"/>
    <w:tmpl w:val="FC2C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523645"/>
    <w:multiLevelType w:val="hybridMultilevel"/>
    <w:tmpl w:val="E2A0D7D4"/>
    <w:lvl w:ilvl="0" w:tplc="69E63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F24E17"/>
    <w:multiLevelType w:val="hybridMultilevel"/>
    <w:tmpl w:val="1310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4E0A7A"/>
    <w:multiLevelType w:val="hybridMultilevel"/>
    <w:tmpl w:val="3E2C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2478E"/>
    <w:multiLevelType w:val="hybridMultilevel"/>
    <w:tmpl w:val="C2C4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406DBE"/>
    <w:multiLevelType w:val="hybridMultilevel"/>
    <w:tmpl w:val="F4D65EE0"/>
    <w:lvl w:ilvl="0" w:tplc="D3B0BE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61042B"/>
    <w:multiLevelType w:val="hybridMultilevel"/>
    <w:tmpl w:val="5E6CEA3C"/>
    <w:lvl w:ilvl="0" w:tplc="C44633DC">
      <w:start w:val="1"/>
      <w:numFmt w:val="upp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94942A8"/>
    <w:multiLevelType w:val="hybridMultilevel"/>
    <w:tmpl w:val="CDA25B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1"/>
  </w:num>
  <w:num w:numId="2">
    <w:abstractNumId w:val="13"/>
  </w:num>
  <w:num w:numId="3">
    <w:abstractNumId w:val="21"/>
  </w:num>
  <w:num w:numId="4">
    <w:abstractNumId w:val="3"/>
  </w:num>
  <w:num w:numId="5">
    <w:abstractNumId w:val="2"/>
  </w:num>
  <w:num w:numId="6">
    <w:abstractNumId w:val="1"/>
  </w:num>
  <w:num w:numId="7">
    <w:abstractNumId w:val="5"/>
  </w:num>
  <w:num w:numId="8">
    <w:abstractNumId w:val="8"/>
  </w:num>
  <w:num w:numId="9">
    <w:abstractNumId w:val="26"/>
  </w:num>
  <w:num w:numId="10">
    <w:abstractNumId w:val="4"/>
  </w:num>
  <w:num w:numId="11">
    <w:abstractNumId w:val="33"/>
  </w:num>
  <w:num w:numId="12">
    <w:abstractNumId w:val="29"/>
  </w:num>
  <w:num w:numId="13">
    <w:abstractNumId w:val="12"/>
  </w:num>
  <w:num w:numId="14">
    <w:abstractNumId w:val="24"/>
  </w:num>
  <w:num w:numId="15">
    <w:abstractNumId w:val="0"/>
  </w:num>
  <w:num w:numId="16">
    <w:abstractNumId w:val="20"/>
  </w:num>
  <w:num w:numId="17">
    <w:abstractNumId w:val="6"/>
  </w:num>
  <w:num w:numId="18">
    <w:abstractNumId w:val="19"/>
  </w:num>
  <w:num w:numId="19">
    <w:abstractNumId w:val="10"/>
  </w:num>
  <w:num w:numId="20">
    <w:abstractNumId w:val="31"/>
  </w:num>
  <w:num w:numId="21">
    <w:abstractNumId w:val="32"/>
  </w:num>
  <w:num w:numId="22">
    <w:abstractNumId w:val="9"/>
  </w:num>
  <w:num w:numId="23">
    <w:abstractNumId w:val="23"/>
  </w:num>
  <w:num w:numId="24">
    <w:abstractNumId w:val="14"/>
  </w:num>
  <w:num w:numId="25">
    <w:abstractNumId w:val="17"/>
  </w:num>
  <w:num w:numId="26">
    <w:abstractNumId w:val="18"/>
  </w:num>
  <w:num w:numId="27">
    <w:abstractNumId w:val="28"/>
  </w:num>
  <w:num w:numId="28">
    <w:abstractNumId w:val="22"/>
  </w:num>
  <w:num w:numId="29">
    <w:abstractNumId w:val="15"/>
  </w:num>
  <w:num w:numId="30">
    <w:abstractNumId w:val="27"/>
  </w:num>
  <w:num w:numId="31">
    <w:abstractNumId w:val="16"/>
  </w:num>
  <w:num w:numId="32">
    <w:abstractNumId w:val="25"/>
  </w:num>
  <w:num w:numId="33">
    <w:abstractNumId w:val="7"/>
  </w:num>
  <w:num w:numId="34">
    <w:abstractNumId w:val="3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Jennifer">
    <w15:presenceInfo w15:providerId="AD" w15:userId="S-1-5-21-2101533902-423532799-1776743176-3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E8"/>
    <w:rsid w:val="00012948"/>
    <w:rsid w:val="00015F35"/>
    <w:rsid w:val="000207F9"/>
    <w:rsid w:val="0002126B"/>
    <w:rsid w:val="00032ADE"/>
    <w:rsid w:val="00036025"/>
    <w:rsid w:val="0004599C"/>
    <w:rsid w:val="00053FEE"/>
    <w:rsid w:val="0005671A"/>
    <w:rsid w:val="000615C9"/>
    <w:rsid w:val="000634E4"/>
    <w:rsid w:val="00063835"/>
    <w:rsid w:val="00065A40"/>
    <w:rsid w:val="000673B5"/>
    <w:rsid w:val="00070EAF"/>
    <w:rsid w:val="00073A20"/>
    <w:rsid w:val="00073D58"/>
    <w:rsid w:val="0009118A"/>
    <w:rsid w:val="00091B77"/>
    <w:rsid w:val="00091F63"/>
    <w:rsid w:val="0009662A"/>
    <w:rsid w:val="000A3B27"/>
    <w:rsid w:val="000B15AA"/>
    <w:rsid w:val="000B4A24"/>
    <w:rsid w:val="000B668E"/>
    <w:rsid w:val="000B7F27"/>
    <w:rsid w:val="000C09CE"/>
    <w:rsid w:val="000C2674"/>
    <w:rsid w:val="000E264E"/>
    <w:rsid w:val="000F13BF"/>
    <w:rsid w:val="000F2EB7"/>
    <w:rsid w:val="00100BFD"/>
    <w:rsid w:val="001034C4"/>
    <w:rsid w:val="00106B9A"/>
    <w:rsid w:val="0011104D"/>
    <w:rsid w:val="0011550C"/>
    <w:rsid w:val="00121162"/>
    <w:rsid w:val="00122356"/>
    <w:rsid w:val="00126837"/>
    <w:rsid w:val="00131450"/>
    <w:rsid w:val="0013455A"/>
    <w:rsid w:val="00136F1E"/>
    <w:rsid w:val="00143E49"/>
    <w:rsid w:val="00145D52"/>
    <w:rsid w:val="0015648F"/>
    <w:rsid w:val="00163E70"/>
    <w:rsid w:val="001665CA"/>
    <w:rsid w:val="001767AB"/>
    <w:rsid w:val="00177620"/>
    <w:rsid w:val="0018060B"/>
    <w:rsid w:val="00183D11"/>
    <w:rsid w:val="001861E4"/>
    <w:rsid w:val="001864E1"/>
    <w:rsid w:val="0019434C"/>
    <w:rsid w:val="001A4198"/>
    <w:rsid w:val="001A5EA5"/>
    <w:rsid w:val="001A6AC9"/>
    <w:rsid w:val="001C1199"/>
    <w:rsid w:val="001C6646"/>
    <w:rsid w:val="001D0134"/>
    <w:rsid w:val="001D1E76"/>
    <w:rsid w:val="001D38B7"/>
    <w:rsid w:val="001D5401"/>
    <w:rsid w:val="001E1DB3"/>
    <w:rsid w:val="001E27E0"/>
    <w:rsid w:val="001F6E5B"/>
    <w:rsid w:val="00204A29"/>
    <w:rsid w:val="00216DFE"/>
    <w:rsid w:val="00217A02"/>
    <w:rsid w:val="00230BDA"/>
    <w:rsid w:val="002319B7"/>
    <w:rsid w:val="0025593A"/>
    <w:rsid w:val="00261C07"/>
    <w:rsid w:val="00261EB1"/>
    <w:rsid w:val="00262FBC"/>
    <w:rsid w:val="00273674"/>
    <w:rsid w:val="00274ADC"/>
    <w:rsid w:val="00274EC8"/>
    <w:rsid w:val="00277E2F"/>
    <w:rsid w:val="00287CF1"/>
    <w:rsid w:val="002911D9"/>
    <w:rsid w:val="002A7376"/>
    <w:rsid w:val="002B3C13"/>
    <w:rsid w:val="002B607B"/>
    <w:rsid w:val="002B6899"/>
    <w:rsid w:val="002E0F56"/>
    <w:rsid w:val="0030368B"/>
    <w:rsid w:val="00303E8D"/>
    <w:rsid w:val="00304435"/>
    <w:rsid w:val="00304B92"/>
    <w:rsid w:val="00306039"/>
    <w:rsid w:val="003274FD"/>
    <w:rsid w:val="00327DC8"/>
    <w:rsid w:val="00330A67"/>
    <w:rsid w:val="003366C7"/>
    <w:rsid w:val="00354936"/>
    <w:rsid w:val="003551E8"/>
    <w:rsid w:val="00356C9C"/>
    <w:rsid w:val="00360D48"/>
    <w:rsid w:val="00363843"/>
    <w:rsid w:val="003661B9"/>
    <w:rsid w:val="0037129D"/>
    <w:rsid w:val="00380B21"/>
    <w:rsid w:val="00380F72"/>
    <w:rsid w:val="00382B13"/>
    <w:rsid w:val="00384698"/>
    <w:rsid w:val="00390846"/>
    <w:rsid w:val="00391430"/>
    <w:rsid w:val="003916B6"/>
    <w:rsid w:val="003A1C73"/>
    <w:rsid w:val="003A4ED3"/>
    <w:rsid w:val="003B78E8"/>
    <w:rsid w:val="003C335C"/>
    <w:rsid w:val="003C5CFE"/>
    <w:rsid w:val="003C7691"/>
    <w:rsid w:val="003E2242"/>
    <w:rsid w:val="003F0C7E"/>
    <w:rsid w:val="00405D73"/>
    <w:rsid w:val="00405FC9"/>
    <w:rsid w:val="00407209"/>
    <w:rsid w:val="004104AE"/>
    <w:rsid w:val="00411C99"/>
    <w:rsid w:val="00412DA6"/>
    <w:rsid w:val="004146D4"/>
    <w:rsid w:val="00420ABE"/>
    <w:rsid w:val="00421E58"/>
    <w:rsid w:val="00424B9E"/>
    <w:rsid w:val="004365E8"/>
    <w:rsid w:val="0044027C"/>
    <w:rsid w:val="004445D4"/>
    <w:rsid w:val="004447E3"/>
    <w:rsid w:val="00444BB0"/>
    <w:rsid w:val="00446F75"/>
    <w:rsid w:val="0046509E"/>
    <w:rsid w:val="00473535"/>
    <w:rsid w:val="00476826"/>
    <w:rsid w:val="004A754E"/>
    <w:rsid w:val="004B3126"/>
    <w:rsid w:val="004B47B1"/>
    <w:rsid w:val="004C061B"/>
    <w:rsid w:val="004C53CB"/>
    <w:rsid w:val="004C6C55"/>
    <w:rsid w:val="004C746E"/>
    <w:rsid w:val="004D0C17"/>
    <w:rsid w:val="004D7455"/>
    <w:rsid w:val="004E694B"/>
    <w:rsid w:val="005066C8"/>
    <w:rsid w:val="00510F18"/>
    <w:rsid w:val="00514573"/>
    <w:rsid w:val="00514D12"/>
    <w:rsid w:val="005267BC"/>
    <w:rsid w:val="00531A1C"/>
    <w:rsid w:val="005367E6"/>
    <w:rsid w:val="005402C5"/>
    <w:rsid w:val="00541E00"/>
    <w:rsid w:val="00552527"/>
    <w:rsid w:val="00565226"/>
    <w:rsid w:val="005655D6"/>
    <w:rsid w:val="005661D3"/>
    <w:rsid w:val="005668BA"/>
    <w:rsid w:val="005677F1"/>
    <w:rsid w:val="00571012"/>
    <w:rsid w:val="0057283C"/>
    <w:rsid w:val="00572A6A"/>
    <w:rsid w:val="005740F7"/>
    <w:rsid w:val="005802F5"/>
    <w:rsid w:val="00580C0E"/>
    <w:rsid w:val="00584E27"/>
    <w:rsid w:val="005A03DF"/>
    <w:rsid w:val="005A1DE9"/>
    <w:rsid w:val="005A21CF"/>
    <w:rsid w:val="005A30D1"/>
    <w:rsid w:val="005A6530"/>
    <w:rsid w:val="005B0C14"/>
    <w:rsid w:val="005B2F42"/>
    <w:rsid w:val="005B4536"/>
    <w:rsid w:val="005B7213"/>
    <w:rsid w:val="005C3657"/>
    <w:rsid w:val="005C71F5"/>
    <w:rsid w:val="005C7EAD"/>
    <w:rsid w:val="005D6C16"/>
    <w:rsid w:val="005D7F12"/>
    <w:rsid w:val="005E08D1"/>
    <w:rsid w:val="005E528D"/>
    <w:rsid w:val="005F3DC0"/>
    <w:rsid w:val="00601532"/>
    <w:rsid w:val="0060353B"/>
    <w:rsid w:val="00606A27"/>
    <w:rsid w:val="006247F7"/>
    <w:rsid w:val="006359C5"/>
    <w:rsid w:val="00636D23"/>
    <w:rsid w:val="00641CA3"/>
    <w:rsid w:val="006471D5"/>
    <w:rsid w:val="006527A3"/>
    <w:rsid w:val="006550BA"/>
    <w:rsid w:val="00660B9D"/>
    <w:rsid w:val="00667564"/>
    <w:rsid w:val="00670F9A"/>
    <w:rsid w:val="006713AD"/>
    <w:rsid w:val="00671ADC"/>
    <w:rsid w:val="00680B1B"/>
    <w:rsid w:val="006A2F07"/>
    <w:rsid w:val="006B3EA4"/>
    <w:rsid w:val="006C6EEA"/>
    <w:rsid w:val="006C71D4"/>
    <w:rsid w:val="006D17C4"/>
    <w:rsid w:val="006D7136"/>
    <w:rsid w:val="006E25B8"/>
    <w:rsid w:val="006F4F68"/>
    <w:rsid w:val="006F5BEC"/>
    <w:rsid w:val="00701D5C"/>
    <w:rsid w:val="0070518C"/>
    <w:rsid w:val="00734E13"/>
    <w:rsid w:val="00742C32"/>
    <w:rsid w:val="00744283"/>
    <w:rsid w:val="00746A12"/>
    <w:rsid w:val="007569F1"/>
    <w:rsid w:val="0076645A"/>
    <w:rsid w:val="00772291"/>
    <w:rsid w:val="007919CC"/>
    <w:rsid w:val="00796E43"/>
    <w:rsid w:val="007B6F6B"/>
    <w:rsid w:val="007B724A"/>
    <w:rsid w:val="007C3288"/>
    <w:rsid w:val="007D4BE8"/>
    <w:rsid w:val="007E2F6F"/>
    <w:rsid w:val="007E5E1A"/>
    <w:rsid w:val="007F500E"/>
    <w:rsid w:val="007F7949"/>
    <w:rsid w:val="00800D06"/>
    <w:rsid w:val="0081297B"/>
    <w:rsid w:val="00812A07"/>
    <w:rsid w:val="008205EA"/>
    <w:rsid w:val="00820BDB"/>
    <w:rsid w:val="008234C6"/>
    <w:rsid w:val="008259B7"/>
    <w:rsid w:val="008271CB"/>
    <w:rsid w:val="00830BBF"/>
    <w:rsid w:val="00831828"/>
    <w:rsid w:val="00842759"/>
    <w:rsid w:val="00844AFC"/>
    <w:rsid w:val="00851188"/>
    <w:rsid w:val="008521A9"/>
    <w:rsid w:val="00852762"/>
    <w:rsid w:val="00852A8B"/>
    <w:rsid w:val="008547B3"/>
    <w:rsid w:val="00861814"/>
    <w:rsid w:val="00861F37"/>
    <w:rsid w:val="00864250"/>
    <w:rsid w:val="008714FB"/>
    <w:rsid w:val="008751F6"/>
    <w:rsid w:val="00883BCE"/>
    <w:rsid w:val="008844B0"/>
    <w:rsid w:val="008913FE"/>
    <w:rsid w:val="008A2608"/>
    <w:rsid w:val="008A33BE"/>
    <w:rsid w:val="008B50E6"/>
    <w:rsid w:val="008C5790"/>
    <w:rsid w:val="008C598A"/>
    <w:rsid w:val="008C6169"/>
    <w:rsid w:val="008C6A3B"/>
    <w:rsid w:val="008D65AA"/>
    <w:rsid w:val="008E7382"/>
    <w:rsid w:val="008F0CB6"/>
    <w:rsid w:val="0090047A"/>
    <w:rsid w:val="00900FC7"/>
    <w:rsid w:val="0090517E"/>
    <w:rsid w:val="00912491"/>
    <w:rsid w:val="0091707B"/>
    <w:rsid w:val="00921D57"/>
    <w:rsid w:val="0092489C"/>
    <w:rsid w:val="00927F15"/>
    <w:rsid w:val="00937FFB"/>
    <w:rsid w:val="00951A1B"/>
    <w:rsid w:val="00952C9A"/>
    <w:rsid w:val="00953A4E"/>
    <w:rsid w:val="00955308"/>
    <w:rsid w:val="00955C1B"/>
    <w:rsid w:val="00956A75"/>
    <w:rsid w:val="00957647"/>
    <w:rsid w:val="0096007F"/>
    <w:rsid w:val="009723F5"/>
    <w:rsid w:val="00974CC6"/>
    <w:rsid w:val="00977585"/>
    <w:rsid w:val="0098288D"/>
    <w:rsid w:val="00991367"/>
    <w:rsid w:val="00992746"/>
    <w:rsid w:val="009A0E1A"/>
    <w:rsid w:val="009A218E"/>
    <w:rsid w:val="009B1674"/>
    <w:rsid w:val="009B6325"/>
    <w:rsid w:val="009B6CCB"/>
    <w:rsid w:val="009D6CFE"/>
    <w:rsid w:val="009D6D9F"/>
    <w:rsid w:val="009D6ECF"/>
    <w:rsid w:val="00A00552"/>
    <w:rsid w:val="00A02B4B"/>
    <w:rsid w:val="00A033E5"/>
    <w:rsid w:val="00A33219"/>
    <w:rsid w:val="00A37217"/>
    <w:rsid w:val="00A42373"/>
    <w:rsid w:val="00A449A4"/>
    <w:rsid w:val="00A47F76"/>
    <w:rsid w:val="00A5359C"/>
    <w:rsid w:val="00A913C6"/>
    <w:rsid w:val="00A97F7F"/>
    <w:rsid w:val="00AA3983"/>
    <w:rsid w:val="00AA3E7A"/>
    <w:rsid w:val="00AA6CF4"/>
    <w:rsid w:val="00AB4C79"/>
    <w:rsid w:val="00AC167B"/>
    <w:rsid w:val="00AC19FA"/>
    <w:rsid w:val="00AC36EA"/>
    <w:rsid w:val="00AC390D"/>
    <w:rsid w:val="00AD0C77"/>
    <w:rsid w:val="00AD25CA"/>
    <w:rsid w:val="00AD6151"/>
    <w:rsid w:val="00AE0813"/>
    <w:rsid w:val="00AE57AF"/>
    <w:rsid w:val="00AF16F9"/>
    <w:rsid w:val="00AF7CC4"/>
    <w:rsid w:val="00B02E89"/>
    <w:rsid w:val="00B033C0"/>
    <w:rsid w:val="00B064D3"/>
    <w:rsid w:val="00B14430"/>
    <w:rsid w:val="00B17404"/>
    <w:rsid w:val="00B204E3"/>
    <w:rsid w:val="00B20DA3"/>
    <w:rsid w:val="00B22025"/>
    <w:rsid w:val="00B279B6"/>
    <w:rsid w:val="00B30623"/>
    <w:rsid w:val="00B45369"/>
    <w:rsid w:val="00B47081"/>
    <w:rsid w:val="00B52601"/>
    <w:rsid w:val="00B57A39"/>
    <w:rsid w:val="00B65D28"/>
    <w:rsid w:val="00B66915"/>
    <w:rsid w:val="00B80445"/>
    <w:rsid w:val="00B81967"/>
    <w:rsid w:val="00B81F58"/>
    <w:rsid w:val="00B84FD3"/>
    <w:rsid w:val="00B915F9"/>
    <w:rsid w:val="00B91A05"/>
    <w:rsid w:val="00BA1A9C"/>
    <w:rsid w:val="00BB58B1"/>
    <w:rsid w:val="00BC790D"/>
    <w:rsid w:val="00BD01CF"/>
    <w:rsid w:val="00BD2BAB"/>
    <w:rsid w:val="00BD4CF3"/>
    <w:rsid w:val="00BE602D"/>
    <w:rsid w:val="00BE69F4"/>
    <w:rsid w:val="00BF004C"/>
    <w:rsid w:val="00C10FC8"/>
    <w:rsid w:val="00C14448"/>
    <w:rsid w:val="00C14ECD"/>
    <w:rsid w:val="00C16287"/>
    <w:rsid w:val="00C2112F"/>
    <w:rsid w:val="00C27C0D"/>
    <w:rsid w:val="00C31A24"/>
    <w:rsid w:val="00C325A9"/>
    <w:rsid w:val="00C3464B"/>
    <w:rsid w:val="00C60773"/>
    <w:rsid w:val="00C6160E"/>
    <w:rsid w:val="00C62095"/>
    <w:rsid w:val="00C62CFB"/>
    <w:rsid w:val="00C63776"/>
    <w:rsid w:val="00C736FF"/>
    <w:rsid w:val="00C756C2"/>
    <w:rsid w:val="00C837D5"/>
    <w:rsid w:val="00C860D0"/>
    <w:rsid w:val="00C87887"/>
    <w:rsid w:val="00C94A61"/>
    <w:rsid w:val="00C9752E"/>
    <w:rsid w:val="00CA1203"/>
    <w:rsid w:val="00CA3E5F"/>
    <w:rsid w:val="00CA4B1D"/>
    <w:rsid w:val="00CB2C55"/>
    <w:rsid w:val="00CD5908"/>
    <w:rsid w:val="00CD6823"/>
    <w:rsid w:val="00CE6E3B"/>
    <w:rsid w:val="00CF4471"/>
    <w:rsid w:val="00CF5ADC"/>
    <w:rsid w:val="00CF6DCC"/>
    <w:rsid w:val="00D03F69"/>
    <w:rsid w:val="00D13A42"/>
    <w:rsid w:val="00D13D7B"/>
    <w:rsid w:val="00D1673B"/>
    <w:rsid w:val="00D251A1"/>
    <w:rsid w:val="00D25E25"/>
    <w:rsid w:val="00D27FA7"/>
    <w:rsid w:val="00D31003"/>
    <w:rsid w:val="00D3280B"/>
    <w:rsid w:val="00D37861"/>
    <w:rsid w:val="00D4013E"/>
    <w:rsid w:val="00D5622C"/>
    <w:rsid w:val="00D61D08"/>
    <w:rsid w:val="00D670E3"/>
    <w:rsid w:val="00D831FA"/>
    <w:rsid w:val="00D8359B"/>
    <w:rsid w:val="00D8457E"/>
    <w:rsid w:val="00D87229"/>
    <w:rsid w:val="00D9061E"/>
    <w:rsid w:val="00DA4161"/>
    <w:rsid w:val="00DA42EB"/>
    <w:rsid w:val="00DA52F4"/>
    <w:rsid w:val="00DB10EF"/>
    <w:rsid w:val="00DB1BFA"/>
    <w:rsid w:val="00DB59E1"/>
    <w:rsid w:val="00DB6B1B"/>
    <w:rsid w:val="00DC17D1"/>
    <w:rsid w:val="00DC4918"/>
    <w:rsid w:val="00DC524C"/>
    <w:rsid w:val="00DC7A26"/>
    <w:rsid w:val="00DD1AC0"/>
    <w:rsid w:val="00DD552F"/>
    <w:rsid w:val="00DD5BFB"/>
    <w:rsid w:val="00DF323F"/>
    <w:rsid w:val="00E11724"/>
    <w:rsid w:val="00E2108F"/>
    <w:rsid w:val="00E22D76"/>
    <w:rsid w:val="00E27A5C"/>
    <w:rsid w:val="00E45A5E"/>
    <w:rsid w:val="00E514BE"/>
    <w:rsid w:val="00E53ACC"/>
    <w:rsid w:val="00E610BA"/>
    <w:rsid w:val="00E65D50"/>
    <w:rsid w:val="00E6661C"/>
    <w:rsid w:val="00E66B39"/>
    <w:rsid w:val="00E76102"/>
    <w:rsid w:val="00E9378A"/>
    <w:rsid w:val="00E9651A"/>
    <w:rsid w:val="00E96FC3"/>
    <w:rsid w:val="00EA46DD"/>
    <w:rsid w:val="00EA6CFD"/>
    <w:rsid w:val="00EA7A98"/>
    <w:rsid w:val="00EB13CC"/>
    <w:rsid w:val="00EB6FE9"/>
    <w:rsid w:val="00EC09EB"/>
    <w:rsid w:val="00EC4AF3"/>
    <w:rsid w:val="00EC52B0"/>
    <w:rsid w:val="00ED0599"/>
    <w:rsid w:val="00ED7278"/>
    <w:rsid w:val="00EF01DD"/>
    <w:rsid w:val="00F11D59"/>
    <w:rsid w:val="00F268AE"/>
    <w:rsid w:val="00F37039"/>
    <w:rsid w:val="00F51997"/>
    <w:rsid w:val="00F52527"/>
    <w:rsid w:val="00F65264"/>
    <w:rsid w:val="00F705C6"/>
    <w:rsid w:val="00F7262A"/>
    <w:rsid w:val="00F80F35"/>
    <w:rsid w:val="00F8278A"/>
    <w:rsid w:val="00F862AE"/>
    <w:rsid w:val="00F92744"/>
    <w:rsid w:val="00F9282A"/>
    <w:rsid w:val="00F940C8"/>
    <w:rsid w:val="00FA1D46"/>
    <w:rsid w:val="00FB05EC"/>
    <w:rsid w:val="00FB5ED8"/>
    <w:rsid w:val="00FC4112"/>
    <w:rsid w:val="00FC4C96"/>
    <w:rsid w:val="00FC5D2E"/>
    <w:rsid w:val="00FD4903"/>
    <w:rsid w:val="00FF0CA6"/>
    <w:rsid w:val="00FF18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CB"/>
    <w:pPr>
      <w:spacing w:after="0" w:line="240" w:lineRule="auto"/>
    </w:pPr>
    <w:rPr>
      <w:sz w:val="24"/>
    </w:rPr>
  </w:style>
  <w:style w:type="paragraph" w:styleId="Heading1">
    <w:name w:val="heading 1"/>
    <w:basedOn w:val="Normal"/>
    <w:next w:val="Normal"/>
    <w:link w:val="Heading1Char"/>
    <w:uiPriority w:val="9"/>
    <w:qFormat/>
    <w:rsid w:val="008271CB"/>
    <w:pPr>
      <w:keepNext/>
      <w:keepLines/>
      <w:spacing w:before="240" w:after="240"/>
      <w:outlineLvl w:val="0"/>
    </w:pPr>
    <w:rPr>
      <w:rFonts w:eastAsiaTheme="majorEastAsia"/>
      <w:b/>
      <w:bCs/>
      <w:szCs w:val="28"/>
    </w:rPr>
  </w:style>
  <w:style w:type="paragraph" w:styleId="Heading2">
    <w:name w:val="heading 2"/>
    <w:basedOn w:val="Normal"/>
    <w:next w:val="Normal"/>
    <w:link w:val="Heading2Char"/>
    <w:uiPriority w:val="9"/>
    <w:unhideWhenUsed/>
    <w:qFormat/>
    <w:rsid w:val="005A21CF"/>
    <w:pPr>
      <w:keepNext/>
      <w:keepLines/>
      <w:spacing w:before="240" w:after="120"/>
      <w:outlineLvl w:val="1"/>
    </w:pPr>
    <w:rPr>
      <w:rFonts w:eastAsiaTheme="majorEastAsia" w:cstheme="majorBidi"/>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7D4BE8"/>
    <w:rPr>
      <w:szCs w:val="20"/>
    </w:rPr>
  </w:style>
  <w:style w:type="character" w:customStyle="1" w:styleId="FooterChar">
    <w:name w:val="Footer Char"/>
    <w:basedOn w:val="DefaultParagraphFont"/>
    <w:link w:val="Footer"/>
    <w:rsid w:val="007D4BE8"/>
    <w:rPr>
      <w:rFonts w:eastAsia="Times New Roman"/>
      <w:sz w:val="24"/>
      <w:szCs w:val="20"/>
    </w:rPr>
  </w:style>
  <w:style w:type="paragraph" w:customStyle="1" w:styleId="BodyText1">
    <w:name w:val="Body Text1"/>
    <w:aliases w:val="bt"/>
    <w:basedOn w:val="Normal"/>
    <w:rsid w:val="008271CB"/>
    <w:pPr>
      <w:spacing w:after="160" w:line="360" w:lineRule="auto"/>
    </w:pPr>
  </w:style>
  <w:style w:type="paragraph" w:customStyle="1" w:styleId="bullets">
    <w:name w:val="bullets"/>
    <w:basedOn w:val="Normal"/>
    <w:rsid w:val="005A21CF"/>
    <w:pPr>
      <w:numPr>
        <w:numId w:val="1"/>
      </w:numPr>
      <w:spacing w:after="120" w:line="360" w:lineRule="auto"/>
      <w:ind w:left="360"/>
    </w:pPr>
  </w:style>
  <w:style w:type="character" w:styleId="CommentReference">
    <w:name w:val="annotation reference"/>
    <w:basedOn w:val="DefaultParagraphFont"/>
    <w:uiPriority w:val="99"/>
    <w:semiHidden/>
    <w:unhideWhenUsed/>
    <w:rsid w:val="007D4BE8"/>
    <w:rPr>
      <w:sz w:val="16"/>
      <w:szCs w:val="16"/>
    </w:rPr>
  </w:style>
  <w:style w:type="paragraph" w:styleId="CommentText">
    <w:name w:val="annotation text"/>
    <w:basedOn w:val="Normal"/>
    <w:link w:val="CommentTextChar"/>
    <w:uiPriority w:val="99"/>
    <w:semiHidden/>
    <w:unhideWhenUsed/>
    <w:rsid w:val="007D4BE8"/>
    <w:rPr>
      <w:sz w:val="20"/>
      <w:szCs w:val="20"/>
    </w:rPr>
  </w:style>
  <w:style w:type="character" w:customStyle="1" w:styleId="CommentTextChar">
    <w:name w:val="Comment Text Char"/>
    <w:basedOn w:val="DefaultParagraphFont"/>
    <w:link w:val="CommentText"/>
    <w:uiPriority w:val="99"/>
    <w:semiHidden/>
    <w:rsid w:val="007D4BE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D4BE8"/>
    <w:rPr>
      <w:b/>
      <w:bCs/>
    </w:rPr>
  </w:style>
  <w:style w:type="character" w:customStyle="1" w:styleId="CommentSubjectChar">
    <w:name w:val="Comment Subject Char"/>
    <w:basedOn w:val="CommentTextChar"/>
    <w:link w:val="CommentSubject"/>
    <w:uiPriority w:val="99"/>
    <w:semiHidden/>
    <w:rsid w:val="007D4BE8"/>
    <w:rPr>
      <w:rFonts w:eastAsia="Times New Roman"/>
      <w:b/>
      <w:bCs/>
      <w:sz w:val="20"/>
      <w:szCs w:val="20"/>
    </w:rPr>
  </w:style>
  <w:style w:type="paragraph" w:styleId="BalloonText">
    <w:name w:val="Balloon Text"/>
    <w:basedOn w:val="Normal"/>
    <w:link w:val="BalloonTextChar"/>
    <w:uiPriority w:val="99"/>
    <w:semiHidden/>
    <w:unhideWhenUsed/>
    <w:rsid w:val="007D4BE8"/>
    <w:rPr>
      <w:rFonts w:ascii="Tahoma" w:hAnsi="Tahoma" w:cs="Tahoma"/>
      <w:sz w:val="16"/>
      <w:szCs w:val="16"/>
    </w:rPr>
  </w:style>
  <w:style w:type="character" w:customStyle="1" w:styleId="BalloonTextChar">
    <w:name w:val="Balloon Text Char"/>
    <w:basedOn w:val="DefaultParagraphFont"/>
    <w:link w:val="BalloonText"/>
    <w:uiPriority w:val="99"/>
    <w:semiHidden/>
    <w:rsid w:val="007D4BE8"/>
    <w:rPr>
      <w:rFonts w:ascii="Tahoma" w:eastAsia="Times New Roman" w:hAnsi="Tahoma" w:cs="Tahoma"/>
      <w:sz w:val="16"/>
      <w:szCs w:val="16"/>
    </w:rPr>
  </w:style>
  <w:style w:type="paragraph" w:styleId="Header">
    <w:name w:val="header"/>
    <w:basedOn w:val="Normal"/>
    <w:link w:val="HeaderChar"/>
    <w:unhideWhenUsed/>
    <w:rsid w:val="00EC52B0"/>
    <w:pPr>
      <w:tabs>
        <w:tab w:val="center" w:pos="4680"/>
        <w:tab w:val="right" w:pos="9360"/>
      </w:tabs>
    </w:pPr>
  </w:style>
  <w:style w:type="character" w:customStyle="1" w:styleId="HeaderChar">
    <w:name w:val="Header Char"/>
    <w:basedOn w:val="DefaultParagraphFont"/>
    <w:link w:val="Header"/>
    <w:rsid w:val="00EC52B0"/>
    <w:rPr>
      <w:rFonts w:eastAsia="Times New Roman"/>
      <w:sz w:val="24"/>
      <w:szCs w:val="22"/>
    </w:rPr>
  </w:style>
  <w:style w:type="paragraph" w:styleId="ListParagraph">
    <w:name w:val="List Paragraph"/>
    <w:basedOn w:val="Normal"/>
    <w:uiPriority w:val="34"/>
    <w:qFormat/>
    <w:rsid w:val="00AD25CA"/>
    <w:pPr>
      <w:ind w:left="720"/>
      <w:contextualSpacing/>
    </w:pPr>
  </w:style>
  <w:style w:type="table" w:styleId="TableGrid">
    <w:name w:val="Table Grid"/>
    <w:basedOn w:val="TableNormal"/>
    <w:uiPriority w:val="39"/>
    <w:rsid w:val="008E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1CB"/>
    <w:rPr>
      <w:rFonts w:eastAsiaTheme="majorEastAsia"/>
      <w:b/>
      <w:bCs/>
      <w:szCs w:val="28"/>
    </w:rPr>
  </w:style>
  <w:style w:type="paragraph" w:styleId="Caption">
    <w:name w:val="caption"/>
    <w:basedOn w:val="Normal"/>
    <w:next w:val="Normal"/>
    <w:uiPriority w:val="35"/>
    <w:unhideWhenUsed/>
    <w:qFormat/>
    <w:rsid w:val="005A21CF"/>
    <w:pPr>
      <w:keepNext/>
      <w:spacing w:before="240" w:after="120"/>
    </w:pPr>
    <w:rPr>
      <w:b/>
      <w:bCs/>
      <w:szCs w:val="18"/>
    </w:rPr>
  </w:style>
  <w:style w:type="character" w:customStyle="1" w:styleId="Heading2Char">
    <w:name w:val="Heading 2 Char"/>
    <w:basedOn w:val="DefaultParagraphFont"/>
    <w:link w:val="Heading2"/>
    <w:uiPriority w:val="9"/>
    <w:rsid w:val="005A21CF"/>
    <w:rPr>
      <w:rFonts w:eastAsiaTheme="majorEastAsia" w:cstheme="majorBidi"/>
      <w:b/>
      <w:bCs/>
      <w:i/>
      <w:sz w:val="24"/>
      <w:szCs w:val="26"/>
      <w:u w:val="single"/>
    </w:rPr>
  </w:style>
  <w:style w:type="paragraph" w:customStyle="1" w:styleId="TextBox">
    <w:name w:val="Text Box"/>
    <w:basedOn w:val="Normal"/>
    <w:qFormat/>
    <w:rsid w:val="008271CB"/>
    <w:pPr>
      <w:pBdr>
        <w:top w:val="single" w:sz="8" w:space="4" w:color="auto"/>
        <w:left w:val="single" w:sz="8" w:space="4" w:color="auto"/>
        <w:bottom w:val="single" w:sz="8" w:space="4" w:color="auto"/>
        <w:right w:val="single" w:sz="8" w:space="4" w:color="auto"/>
      </w:pBdr>
      <w:spacing w:after="160" w:line="300" w:lineRule="exact"/>
      <w:ind w:left="547" w:right="360"/>
    </w:pPr>
  </w:style>
  <w:style w:type="paragraph" w:styleId="FootnoteText">
    <w:name w:val="footnote text"/>
    <w:basedOn w:val="Normal"/>
    <w:link w:val="FootnoteTextChar"/>
    <w:uiPriority w:val="99"/>
    <w:semiHidden/>
    <w:unhideWhenUsed/>
    <w:rsid w:val="00143E49"/>
    <w:rPr>
      <w:sz w:val="20"/>
      <w:szCs w:val="20"/>
    </w:rPr>
  </w:style>
  <w:style w:type="character" w:customStyle="1" w:styleId="FootnoteTextChar">
    <w:name w:val="Footnote Text Char"/>
    <w:basedOn w:val="DefaultParagraphFont"/>
    <w:link w:val="FootnoteText"/>
    <w:uiPriority w:val="99"/>
    <w:semiHidden/>
    <w:rsid w:val="00143E49"/>
    <w:rPr>
      <w:sz w:val="20"/>
      <w:szCs w:val="20"/>
    </w:rPr>
  </w:style>
  <w:style w:type="character" w:styleId="FootnoteReference">
    <w:name w:val="footnote reference"/>
    <w:basedOn w:val="DefaultParagraphFont"/>
    <w:uiPriority w:val="99"/>
    <w:semiHidden/>
    <w:unhideWhenUsed/>
    <w:rsid w:val="00143E49"/>
    <w:rPr>
      <w:vertAlign w:val="superscript"/>
    </w:rPr>
  </w:style>
  <w:style w:type="paragraph" w:styleId="NoSpacing">
    <w:name w:val="No Spacing"/>
    <w:uiPriority w:val="1"/>
    <w:qFormat/>
    <w:rsid w:val="00412DA6"/>
    <w:pPr>
      <w:spacing w:after="0" w:line="240" w:lineRule="auto"/>
    </w:pPr>
    <w:rPr>
      <w:rFonts w:ascii="Calibri" w:eastAsia="Calibri" w:hAnsi="Calibri"/>
    </w:rPr>
  </w:style>
  <w:style w:type="paragraph" w:customStyle="1" w:styleId="TableHeaders">
    <w:name w:val="Table Headers"/>
    <w:qFormat/>
    <w:rsid w:val="00606A27"/>
    <w:pPr>
      <w:spacing w:before="80" w:after="80" w:line="240" w:lineRule="auto"/>
      <w:jc w:val="center"/>
    </w:pPr>
    <w:rPr>
      <w:rFonts w:ascii="Verdana" w:eastAsia="Times New Roman" w:hAnsi="Verdana"/>
      <w:b/>
      <w:sz w:val="18"/>
      <w:szCs w:val="20"/>
    </w:rPr>
  </w:style>
  <w:style w:type="paragraph" w:customStyle="1" w:styleId="TableTextIndent1">
    <w:name w:val="Table Text Indent1"/>
    <w:basedOn w:val="Normal"/>
    <w:qFormat/>
    <w:rsid w:val="00606A27"/>
    <w:pPr>
      <w:spacing w:before="60" w:after="60"/>
      <w:ind w:left="245"/>
    </w:pPr>
    <w:rPr>
      <w:rFonts w:ascii="Verdana" w:eastAsia="MS Mincho" w:hAnsi="Verdana"/>
      <w:sz w:val="18"/>
      <w:szCs w:val="20"/>
    </w:rPr>
  </w:style>
  <w:style w:type="paragraph" w:customStyle="1" w:styleId="TableText">
    <w:name w:val="Table Text"/>
    <w:basedOn w:val="Normal"/>
    <w:qFormat/>
    <w:rsid w:val="00606A27"/>
    <w:pPr>
      <w:spacing w:before="60" w:after="60"/>
    </w:pPr>
    <w:rPr>
      <w:rFonts w:ascii="Verdana" w:eastAsia="MS Mincho" w:hAnsi="Verdana"/>
      <w:sz w:val="18"/>
      <w:szCs w:val="20"/>
    </w:rPr>
  </w:style>
  <w:style w:type="paragraph" w:customStyle="1" w:styleId="TableTitle">
    <w:name w:val="Table Title"/>
    <w:basedOn w:val="Normal"/>
    <w:rsid w:val="00606A27"/>
    <w:pPr>
      <w:keepNext/>
      <w:keepLines/>
      <w:spacing w:before="320" w:after="120"/>
      <w:ind w:left="1440" w:hanging="1440"/>
    </w:pPr>
    <w:rPr>
      <w:rFonts w:ascii="Verdana" w:eastAsia="MS Mincho" w:hAnsi="Verdana"/>
      <w:b/>
      <w:sz w:val="20"/>
      <w:szCs w:val="20"/>
    </w:rPr>
  </w:style>
  <w:style w:type="character" w:styleId="Hyperlink">
    <w:name w:val="Hyperlink"/>
    <w:basedOn w:val="DefaultParagraphFont"/>
    <w:uiPriority w:val="99"/>
    <w:unhideWhenUsed/>
    <w:rsid w:val="004C746E"/>
    <w:rPr>
      <w:color w:val="0000FF" w:themeColor="hyperlink"/>
      <w:u w:val="single"/>
    </w:rPr>
  </w:style>
  <w:style w:type="character" w:styleId="FollowedHyperlink">
    <w:name w:val="FollowedHyperlink"/>
    <w:basedOn w:val="DefaultParagraphFont"/>
    <w:uiPriority w:val="99"/>
    <w:semiHidden/>
    <w:unhideWhenUsed/>
    <w:rsid w:val="004C74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CB"/>
    <w:pPr>
      <w:spacing w:after="0" w:line="240" w:lineRule="auto"/>
    </w:pPr>
    <w:rPr>
      <w:sz w:val="24"/>
    </w:rPr>
  </w:style>
  <w:style w:type="paragraph" w:styleId="Heading1">
    <w:name w:val="heading 1"/>
    <w:basedOn w:val="Normal"/>
    <w:next w:val="Normal"/>
    <w:link w:val="Heading1Char"/>
    <w:uiPriority w:val="9"/>
    <w:qFormat/>
    <w:rsid w:val="008271CB"/>
    <w:pPr>
      <w:keepNext/>
      <w:keepLines/>
      <w:spacing w:before="240" w:after="240"/>
      <w:outlineLvl w:val="0"/>
    </w:pPr>
    <w:rPr>
      <w:rFonts w:eastAsiaTheme="majorEastAsia"/>
      <w:b/>
      <w:bCs/>
      <w:szCs w:val="28"/>
    </w:rPr>
  </w:style>
  <w:style w:type="paragraph" w:styleId="Heading2">
    <w:name w:val="heading 2"/>
    <w:basedOn w:val="Normal"/>
    <w:next w:val="Normal"/>
    <w:link w:val="Heading2Char"/>
    <w:uiPriority w:val="9"/>
    <w:unhideWhenUsed/>
    <w:qFormat/>
    <w:rsid w:val="005A21CF"/>
    <w:pPr>
      <w:keepNext/>
      <w:keepLines/>
      <w:spacing w:before="240" w:after="120"/>
      <w:outlineLvl w:val="1"/>
    </w:pPr>
    <w:rPr>
      <w:rFonts w:eastAsiaTheme="majorEastAsia" w:cstheme="majorBidi"/>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7D4BE8"/>
    <w:rPr>
      <w:szCs w:val="20"/>
    </w:rPr>
  </w:style>
  <w:style w:type="character" w:customStyle="1" w:styleId="FooterChar">
    <w:name w:val="Footer Char"/>
    <w:basedOn w:val="DefaultParagraphFont"/>
    <w:link w:val="Footer"/>
    <w:rsid w:val="007D4BE8"/>
    <w:rPr>
      <w:rFonts w:eastAsia="Times New Roman"/>
      <w:sz w:val="24"/>
      <w:szCs w:val="20"/>
    </w:rPr>
  </w:style>
  <w:style w:type="paragraph" w:customStyle="1" w:styleId="BodyText1">
    <w:name w:val="Body Text1"/>
    <w:aliases w:val="bt"/>
    <w:basedOn w:val="Normal"/>
    <w:rsid w:val="008271CB"/>
    <w:pPr>
      <w:spacing w:after="160" w:line="360" w:lineRule="auto"/>
    </w:pPr>
  </w:style>
  <w:style w:type="paragraph" w:customStyle="1" w:styleId="bullets">
    <w:name w:val="bullets"/>
    <w:basedOn w:val="Normal"/>
    <w:rsid w:val="005A21CF"/>
    <w:pPr>
      <w:numPr>
        <w:numId w:val="1"/>
      </w:numPr>
      <w:spacing w:after="120" w:line="360" w:lineRule="auto"/>
      <w:ind w:left="360"/>
    </w:pPr>
  </w:style>
  <w:style w:type="character" w:styleId="CommentReference">
    <w:name w:val="annotation reference"/>
    <w:basedOn w:val="DefaultParagraphFont"/>
    <w:uiPriority w:val="99"/>
    <w:semiHidden/>
    <w:unhideWhenUsed/>
    <w:rsid w:val="007D4BE8"/>
    <w:rPr>
      <w:sz w:val="16"/>
      <w:szCs w:val="16"/>
    </w:rPr>
  </w:style>
  <w:style w:type="paragraph" w:styleId="CommentText">
    <w:name w:val="annotation text"/>
    <w:basedOn w:val="Normal"/>
    <w:link w:val="CommentTextChar"/>
    <w:uiPriority w:val="99"/>
    <w:semiHidden/>
    <w:unhideWhenUsed/>
    <w:rsid w:val="007D4BE8"/>
    <w:rPr>
      <w:sz w:val="20"/>
      <w:szCs w:val="20"/>
    </w:rPr>
  </w:style>
  <w:style w:type="character" w:customStyle="1" w:styleId="CommentTextChar">
    <w:name w:val="Comment Text Char"/>
    <w:basedOn w:val="DefaultParagraphFont"/>
    <w:link w:val="CommentText"/>
    <w:uiPriority w:val="99"/>
    <w:semiHidden/>
    <w:rsid w:val="007D4BE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D4BE8"/>
    <w:rPr>
      <w:b/>
      <w:bCs/>
    </w:rPr>
  </w:style>
  <w:style w:type="character" w:customStyle="1" w:styleId="CommentSubjectChar">
    <w:name w:val="Comment Subject Char"/>
    <w:basedOn w:val="CommentTextChar"/>
    <w:link w:val="CommentSubject"/>
    <w:uiPriority w:val="99"/>
    <w:semiHidden/>
    <w:rsid w:val="007D4BE8"/>
    <w:rPr>
      <w:rFonts w:eastAsia="Times New Roman"/>
      <w:b/>
      <w:bCs/>
      <w:sz w:val="20"/>
      <w:szCs w:val="20"/>
    </w:rPr>
  </w:style>
  <w:style w:type="paragraph" w:styleId="BalloonText">
    <w:name w:val="Balloon Text"/>
    <w:basedOn w:val="Normal"/>
    <w:link w:val="BalloonTextChar"/>
    <w:uiPriority w:val="99"/>
    <w:semiHidden/>
    <w:unhideWhenUsed/>
    <w:rsid w:val="007D4BE8"/>
    <w:rPr>
      <w:rFonts w:ascii="Tahoma" w:hAnsi="Tahoma" w:cs="Tahoma"/>
      <w:sz w:val="16"/>
      <w:szCs w:val="16"/>
    </w:rPr>
  </w:style>
  <w:style w:type="character" w:customStyle="1" w:styleId="BalloonTextChar">
    <w:name w:val="Balloon Text Char"/>
    <w:basedOn w:val="DefaultParagraphFont"/>
    <w:link w:val="BalloonText"/>
    <w:uiPriority w:val="99"/>
    <w:semiHidden/>
    <w:rsid w:val="007D4BE8"/>
    <w:rPr>
      <w:rFonts w:ascii="Tahoma" w:eastAsia="Times New Roman" w:hAnsi="Tahoma" w:cs="Tahoma"/>
      <w:sz w:val="16"/>
      <w:szCs w:val="16"/>
    </w:rPr>
  </w:style>
  <w:style w:type="paragraph" w:styleId="Header">
    <w:name w:val="header"/>
    <w:basedOn w:val="Normal"/>
    <w:link w:val="HeaderChar"/>
    <w:unhideWhenUsed/>
    <w:rsid w:val="00EC52B0"/>
    <w:pPr>
      <w:tabs>
        <w:tab w:val="center" w:pos="4680"/>
        <w:tab w:val="right" w:pos="9360"/>
      </w:tabs>
    </w:pPr>
  </w:style>
  <w:style w:type="character" w:customStyle="1" w:styleId="HeaderChar">
    <w:name w:val="Header Char"/>
    <w:basedOn w:val="DefaultParagraphFont"/>
    <w:link w:val="Header"/>
    <w:rsid w:val="00EC52B0"/>
    <w:rPr>
      <w:rFonts w:eastAsia="Times New Roman"/>
      <w:sz w:val="24"/>
      <w:szCs w:val="22"/>
    </w:rPr>
  </w:style>
  <w:style w:type="paragraph" w:styleId="ListParagraph">
    <w:name w:val="List Paragraph"/>
    <w:basedOn w:val="Normal"/>
    <w:uiPriority w:val="34"/>
    <w:qFormat/>
    <w:rsid w:val="00AD25CA"/>
    <w:pPr>
      <w:ind w:left="720"/>
      <w:contextualSpacing/>
    </w:pPr>
  </w:style>
  <w:style w:type="table" w:styleId="TableGrid">
    <w:name w:val="Table Grid"/>
    <w:basedOn w:val="TableNormal"/>
    <w:uiPriority w:val="39"/>
    <w:rsid w:val="008E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1CB"/>
    <w:rPr>
      <w:rFonts w:eastAsiaTheme="majorEastAsia"/>
      <w:b/>
      <w:bCs/>
      <w:szCs w:val="28"/>
    </w:rPr>
  </w:style>
  <w:style w:type="paragraph" w:styleId="Caption">
    <w:name w:val="caption"/>
    <w:basedOn w:val="Normal"/>
    <w:next w:val="Normal"/>
    <w:uiPriority w:val="35"/>
    <w:unhideWhenUsed/>
    <w:qFormat/>
    <w:rsid w:val="005A21CF"/>
    <w:pPr>
      <w:keepNext/>
      <w:spacing w:before="240" w:after="120"/>
    </w:pPr>
    <w:rPr>
      <w:b/>
      <w:bCs/>
      <w:szCs w:val="18"/>
    </w:rPr>
  </w:style>
  <w:style w:type="character" w:customStyle="1" w:styleId="Heading2Char">
    <w:name w:val="Heading 2 Char"/>
    <w:basedOn w:val="DefaultParagraphFont"/>
    <w:link w:val="Heading2"/>
    <w:uiPriority w:val="9"/>
    <w:rsid w:val="005A21CF"/>
    <w:rPr>
      <w:rFonts w:eastAsiaTheme="majorEastAsia" w:cstheme="majorBidi"/>
      <w:b/>
      <w:bCs/>
      <w:i/>
      <w:sz w:val="24"/>
      <w:szCs w:val="26"/>
      <w:u w:val="single"/>
    </w:rPr>
  </w:style>
  <w:style w:type="paragraph" w:customStyle="1" w:styleId="TextBox">
    <w:name w:val="Text Box"/>
    <w:basedOn w:val="Normal"/>
    <w:qFormat/>
    <w:rsid w:val="008271CB"/>
    <w:pPr>
      <w:pBdr>
        <w:top w:val="single" w:sz="8" w:space="4" w:color="auto"/>
        <w:left w:val="single" w:sz="8" w:space="4" w:color="auto"/>
        <w:bottom w:val="single" w:sz="8" w:space="4" w:color="auto"/>
        <w:right w:val="single" w:sz="8" w:space="4" w:color="auto"/>
      </w:pBdr>
      <w:spacing w:after="160" w:line="300" w:lineRule="exact"/>
      <w:ind w:left="547" w:right="360"/>
    </w:pPr>
  </w:style>
  <w:style w:type="paragraph" w:styleId="FootnoteText">
    <w:name w:val="footnote text"/>
    <w:basedOn w:val="Normal"/>
    <w:link w:val="FootnoteTextChar"/>
    <w:uiPriority w:val="99"/>
    <w:semiHidden/>
    <w:unhideWhenUsed/>
    <w:rsid w:val="00143E49"/>
    <w:rPr>
      <w:sz w:val="20"/>
      <w:szCs w:val="20"/>
    </w:rPr>
  </w:style>
  <w:style w:type="character" w:customStyle="1" w:styleId="FootnoteTextChar">
    <w:name w:val="Footnote Text Char"/>
    <w:basedOn w:val="DefaultParagraphFont"/>
    <w:link w:val="FootnoteText"/>
    <w:uiPriority w:val="99"/>
    <w:semiHidden/>
    <w:rsid w:val="00143E49"/>
    <w:rPr>
      <w:sz w:val="20"/>
      <w:szCs w:val="20"/>
    </w:rPr>
  </w:style>
  <w:style w:type="character" w:styleId="FootnoteReference">
    <w:name w:val="footnote reference"/>
    <w:basedOn w:val="DefaultParagraphFont"/>
    <w:uiPriority w:val="99"/>
    <w:semiHidden/>
    <w:unhideWhenUsed/>
    <w:rsid w:val="00143E49"/>
    <w:rPr>
      <w:vertAlign w:val="superscript"/>
    </w:rPr>
  </w:style>
  <w:style w:type="paragraph" w:styleId="NoSpacing">
    <w:name w:val="No Spacing"/>
    <w:uiPriority w:val="1"/>
    <w:qFormat/>
    <w:rsid w:val="00412DA6"/>
    <w:pPr>
      <w:spacing w:after="0" w:line="240" w:lineRule="auto"/>
    </w:pPr>
    <w:rPr>
      <w:rFonts w:ascii="Calibri" w:eastAsia="Calibri" w:hAnsi="Calibri"/>
    </w:rPr>
  </w:style>
  <w:style w:type="paragraph" w:customStyle="1" w:styleId="TableHeaders">
    <w:name w:val="Table Headers"/>
    <w:qFormat/>
    <w:rsid w:val="00606A27"/>
    <w:pPr>
      <w:spacing w:before="80" w:after="80" w:line="240" w:lineRule="auto"/>
      <w:jc w:val="center"/>
    </w:pPr>
    <w:rPr>
      <w:rFonts w:ascii="Verdana" w:eastAsia="Times New Roman" w:hAnsi="Verdana"/>
      <w:b/>
      <w:sz w:val="18"/>
      <w:szCs w:val="20"/>
    </w:rPr>
  </w:style>
  <w:style w:type="paragraph" w:customStyle="1" w:styleId="TableTextIndent1">
    <w:name w:val="Table Text Indent1"/>
    <w:basedOn w:val="Normal"/>
    <w:qFormat/>
    <w:rsid w:val="00606A27"/>
    <w:pPr>
      <w:spacing w:before="60" w:after="60"/>
      <w:ind w:left="245"/>
    </w:pPr>
    <w:rPr>
      <w:rFonts w:ascii="Verdana" w:eastAsia="MS Mincho" w:hAnsi="Verdana"/>
      <w:sz w:val="18"/>
      <w:szCs w:val="20"/>
    </w:rPr>
  </w:style>
  <w:style w:type="paragraph" w:customStyle="1" w:styleId="TableText">
    <w:name w:val="Table Text"/>
    <w:basedOn w:val="Normal"/>
    <w:qFormat/>
    <w:rsid w:val="00606A27"/>
    <w:pPr>
      <w:spacing w:before="60" w:after="60"/>
    </w:pPr>
    <w:rPr>
      <w:rFonts w:ascii="Verdana" w:eastAsia="MS Mincho" w:hAnsi="Verdana"/>
      <w:sz w:val="18"/>
      <w:szCs w:val="20"/>
    </w:rPr>
  </w:style>
  <w:style w:type="paragraph" w:customStyle="1" w:styleId="TableTitle">
    <w:name w:val="Table Title"/>
    <w:basedOn w:val="Normal"/>
    <w:rsid w:val="00606A27"/>
    <w:pPr>
      <w:keepNext/>
      <w:keepLines/>
      <w:spacing w:before="320" w:after="120"/>
      <w:ind w:left="1440" w:hanging="1440"/>
    </w:pPr>
    <w:rPr>
      <w:rFonts w:ascii="Verdana" w:eastAsia="MS Mincho" w:hAnsi="Verdana"/>
      <w:b/>
      <w:sz w:val="20"/>
      <w:szCs w:val="20"/>
    </w:rPr>
  </w:style>
  <w:style w:type="character" w:styleId="Hyperlink">
    <w:name w:val="Hyperlink"/>
    <w:basedOn w:val="DefaultParagraphFont"/>
    <w:uiPriority w:val="99"/>
    <w:unhideWhenUsed/>
    <w:rsid w:val="004C746E"/>
    <w:rPr>
      <w:color w:val="0000FF" w:themeColor="hyperlink"/>
      <w:u w:val="single"/>
    </w:rPr>
  </w:style>
  <w:style w:type="character" w:styleId="FollowedHyperlink">
    <w:name w:val="FollowedHyperlink"/>
    <w:basedOn w:val="DefaultParagraphFont"/>
    <w:uiPriority w:val="99"/>
    <w:semiHidden/>
    <w:unhideWhenUsed/>
    <w:rsid w:val="004C74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ylorresearch.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grahammktres.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rahammktres.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9FC2-359D-4925-9B2B-453AFA62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cheminger</dc:creator>
  <cp:lastModifiedBy>Sanford, Amber</cp:lastModifiedBy>
  <cp:revision>2</cp:revision>
  <cp:lastPrinted>2013-07-18T14:26:00Z</cp:lastPrinted>
  <dcterms:created xsi:type="dcterms:W3CDTF">2016-12-08T16:21:00Z</dcterms:created>
  <dcterms:modified xsi:type="dcterms:W3CDTF">2016-12-08T16:21:00Z</dcterms:modified>
</cp:coreProperties>
</file>