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7C3FD" w14:textId="77777777" w:rsidR="003F1C7A" w:rsidRDefault="00364051" w:rsidP="00243BAE">
      <w:pPr>
        <w:pStyle w:val="Heading2"/>
        <w:tabs>
          <w:tab w:val="left" w:pos="900"/>
        </w:tabs>
        <w:ind w:right="-180"/>
        <w:rPr>
          <w:sz w:val="28"/>
        </w:rPr>
      </w:pPr>
      <w:bookmarkStart w:id="0" w:name="_GoBack"/>
      <w:bookmarkEnd w:id="0"/>
      <w:r>
        <w:rPr>
          <w:sz w:val="28"/>
        </w:rPr>
        <w:t>FDA</w:t>
      </w:r>
      <w:r w:rsidR="00243BAE">
        <w:rPr>
          <w:sz w:val="28"/>
        </w:rPr>
        <w:t xml:space="preserve"> </w:t>
      </w:r>
      <w:r w:rsidR="003F1C7A">
        <w:rPr>
          <w:sz w:val="28"/>
        </w:rPr>
        <w:t>DOCUMENTATION FOR THE GENERIC CLEARANCE</w:t>
      </w:r>
    </w:p>
    <w:p w14:paraId="63868252" w14:textId="77777777" w:rsidR="003F1C7A" w:rsidRDefault="003F1C7A">
      <w:pPr>
        <w:jc w:val="center"/>
      </w:pPr>
      <w:r>
        <w:rPr>
          <w:b/>
          <w:sz w:val="28"/>
        </w:rPr>
        <w:t xml:space="preserve">OF </w:t>
      </w:r>
      <w:r w:rsidR="00F12AEE">
        <w:rPr>
          <w:b/>
          <w:sz w:val="28"/>
        </w:rPr>
        <w:t>FOCUS GROUPS</w:t>
      </w:r>
    </w:p>
    <w:p w14:paraId="3A427395" w14:textId="35090239" w:rsidR="003F1C7A" w:rsidRDefault="009D79DF">
      <w:r w:rsidRPr="009404FA">
        <w:rPr>
          <w:noProof/>
          <w:sz w:val="18"/>
          <w:szCs w:val="18"/>
        </w:rPr>
        <mc:AlternateContent>
          <mc:Choice Requires="wps">
            <w:drawing>
              <wp:anchor distT="0" distB="0" distL="114300" distR="114300" simplePos="0" relativeHeight="251657728" behindDoc="0" locked="0" layoutInCell="1" allowOverlap="1" wp14:anchorId="57224565" wp14:editId="36A6B8B6">
                <wp:simplePos x="0" y="0"/>
                <wp:positionH relativeFrom="column">
                  <wp:posOffset>-114300</wp:posOffset>
                </wp:positionH>
                <wp:positionV relativeFrom="paragraph">
                  <wp:posOffset>48260</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D7EEE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EJqeUARAgAA&#10;KQQAAA4AAAAAAAAAAAAAAAAALgIAAGRycy9lMm9Eb2MueG1sUEsBAi0AFAAGAAgAAAAhAA+YJOLZ&#10;AAAABwEAAA8AAAAAAAAAAAAAAAAAawQAAGRycy9kb3ducmV2LnhtbFBLBQYAAAAABAAEAPMAAABx&#10;BQAAAAA=&#10;" strokeweight="1.5pt"/>
            </w:pict>
          </mc:Fallback>
        </mc:AlternateContent>
      </w:r>
    </w:p>
    <w:p w14:paraId="2258F545" w14:textId="77777777" w:rsidR="0060053A" w:rsidRDefault="003F1C7A" w:rsidP="0060053A">
      <w:pPr>
        <w:spacing w:before="120"/>
      </w:pPr>
      <w:r>
        <w:rPr>
          <w:b/>
        </w:rPr>
        <w:t>TITLE OF INFORMATION COLLECTION</w:t>
      </w:r>
      <w:r w:rsidR="0015552B">
        <w:rPr>
          <w:b/>
        </w:rPr>
        <w:t xml:space="preserve">: </w:t>
      </w:r>
    </w:p>
    <w:p w14:paraId="49C61F3F" w14:textId="72B778A2" w:rsidR="003F1C7A" w:rsidRDefault="00B33E5E" w:rsidP="00B354FF">
      <w:pPr>
        <w:spacing w:before="120"/>
      </w:pPr>
      <w:r w:rsidRPr="00B33E5E">
        <w:t xml:space="preserve">Qualitative Study on </w:t>
      </w:r>
      <w:r w:rsidR="00F5124D">
        <w:t>Acute Nicotine Toxicity Warnings for E-Liquids</w:t>
      </w:r>
      <w:r w:rsidRPr="00B33E5E">
        <w:t xml:space="preserve">: Knowledge, Beliefs, </w:t>
      </w:r>
      <w:r>
        <w:t>and Perceptions</w:t>
      </w:r>
      <w:r w:rsidRPr="00B33E5E">
        <w:t xml:space="preserve"> </w:t>
      </w:r>
    </w:p>
    <w:p w14:paraId="039BCFFF" w14:textId="74A761E5" w:rsidR="0007079F" w:rsidRPr="005E4981" w:rsidRDefault="0007079F" w:rsidP="00B354FF">
      <w:pPr>
        <w:spacing w:before="120"/>
      </w:pPr>
      <w:r>
        <w:t>OMB</w:t>
      </w:r>
      <w:r w:rsidRPr="00335DEB">
        <w:t xml:space="preserve"> Control Number </w:t>
      </w:r>
      <w:r>
        <w:t>0910-0796</w:t>
      </w:r>
    </w:p>
    <w:p w14:paraId="50A9A328" w14:textId="77777777" w:rsidR="003F1C7A" w:rsidRDefault="003F1C7A"/>
    <w:p w14:paraId="16E50542" w14:textId="77777777" w:rsidR="003F1C7A" w:rsidRDefault="003F1C7A">
      <w:pPr>
        <w:spacing w:after="120"/>
      </w:pPr>
      <w:r>
        <w:rPr>
          <w:b/>
        </w:rPr>
        <w:t>DESCRIPTION OF THIS SPECIFIC COLLECTION</w:t>
      </w:r>
      <w:r>
        <w:t xml:space="preserve"> </w:t>
      </w:r>
    </w:p>
    <w:p w14:paraId="6B0772A4" w14:textId="77777777" w:rsidR="003F1C7A" w:rsidRDefault="0049419A" w:rsidP="00F12AEE">
      <w:pPr>
        <w:numPr>
          <w:ilvl w:val="0"/>
          <w:numId w:val="15"/>
        </w:numPr>
        <w:tabs>
          <w:tab w:val="num" w:pos="720"/>
        </w:tabs>
        <w:ind w:left="360" w:firstLine="0"/>
      </w:pPr>
      <w:r>
        <w:rPr>
          <w:b/>
        </w:rPr>
        <w:t>Statement of n</w:t>
      </w:r>
      <w:r w:rsidR="00F12AEE">
        <w:rPr>
          <w:b/>
        </w:rPr>
        <w:t>eed</w:t>
      </w:r>
      <w:r w:rsidR="0015552B">
        <w:rPr>
          <w:b/>
        </w:rPr>
        <w:t xml:space="preserve">: </w:t>
      </w:r>
    </w:p>
    <w:p w14:paraId="17C5EA3A" w14:textId="00705FF7" w:rsidR="00980E24" w:rsidRDefault="00757F1E" w:rsidP="00B33E5E">
      <w:pPr>
        <w:spacing w:before="120"/>
      </w:pPr>
      <w:r>
        <w:t xml:space="preserve">The Food and Drug Administration (FDA), Center for Tobacco Products (CTP), is seeking OMB approval under the generic clearance </w:t>
      </w:r>
      <w:r w:rsidRPr="005D22B2">
        <w:t>0910-0</w:t>
      </w:r>
      <w:r w:rsidR="00890E74" w:rsidRPr="005D22B2">
        <w:t>796</w:t>
      </w:r>
      <w:r>
        <w:t xml:space="preserve"> to conduct exploratory focus groups, “</w:t>
      </w:r>
      <w:r w:rsidR="00B33E5E" w:rsidRPr="00B33E5E">
        <w:t>Qualitative Stud</w:t>
      </w:r>
      <w:r w:rsidR="00B33E5E" w:rsidRPr="00F5124D">
        <w:t xml:space="preserve">y on </w:t>
      </w:r>
      <w:r w:rsidR="002D4174" w:rsidRPr="002D4174">
        <w:t>Acute Nicotine Toxicity Warnings for E-Liquids</w:t>
      </w:r>
      <w:r w:rsidR="00B33E5E" w:rsidRPr="00B33E5E">
        <w:t xml:space="preserve">: Knowledge, Beliefs, </w:t>
      </w:r>
      <w:r w:rsidR="00B33E5E">
        <w:t>and Perceptions</w:t>
      </w:r>
      <w:r w:rsidRPr="00DE35A3">
        <w:t xml:space="preserve">,” to </w:t>
      </w:r>
      <w:r w:rsidR="003B6C86">
        <w:t>assess</w:t>
      </w:r>
      <w:r w:rsidR="00980E24">
        <w:t xml:space="preserve"> consumer reactions to </w:t>
      </w:r>
      <w:r w:rsidR="00B33E5E">
        <w:t xml:space="preserve">draft </w:t>
      </w:r>
      <w:r w:rsidR="00D22A9B">
        <w:t>a</w:t>
      </w:r>
      <w:r w:rsidR="00233E55">
        <w:t xml:space="preserve">cute </w:t>
      </w:r>
      <w:r w:rsidR="00D22A9B">
        <w:t>n</w:t>
      </w:r>
      <w:r w:rsidR="00233E55">
        <w:t xml:space="preserve">icotine </w:t>
      </w:r>
      <w:r w:rsidR="00D22A9B">
        <w:t>t</w:t>
      </w:r>
      <w:r w:rsidR="00233E55">
        <w:t xml:space="preserve">oxicity </w:t>
      </w:r>
      <w:r w:rsidR="00D22A9B">
        <w:t>w</w:t>
      </w:r>
      <w:r w:rsidR="00233E55">
        <w:t xml:space="preserve">arnings for </w:t>
      </w:r>
      <w:r w:rsidR="00D22A9B">
        <w:t>e</w:t>
      </w:r>
      <w:r w:rsidR="00233E55">
        <w:t>-</w:t>
      </w:r>
      <w:r w:rsidR="00D22A9B">
        <w:t>l</w:t>
      </w:r>
      <w:r w:rsidR="00233E55">
        <w:t>iquids</w:t>
      </w:r>
      <w:r w:rsidR="00980E24">
        <w:t xml:space="preserve">.  To achieve this objective, a series of focus groups will be conducted with a wide-ranging sample of the population that covers various ages, races, and levels of educational attainment.  The data collected during these focus groups will help finalize </w:t>
      </w:r>
      <w:r w:rsidR="001D6E63">
        <w:t xml:space="preserve">warnings </w:t>
      </w:r>
      <w:r w:rsidR="00CC6E71">
        <w:t xml:space="preserve">that will be </w:t>
      </w:r>
      <w:r w:rsidR="00980E24">
        <w:t>test</w:t>
      </w:r>
      <w:r w:rsidR="00CC6E71">
        <w:t>ed</w:t>
      </w:r>
      <w:r w:rsidR="00980E24">
        <w:t xml:space="preserve"> in future stud</w:t>
      </w:r>
      <w:r w:rsidR="005A7B82">
        <w:t>ies</w:t>
      </w:r>
      <w:r w:rsidR="00980E24">
        <w:t>.  The focus groups will be designed to answer the following questions:</w:t>
      </w:r>
    </w:p>
    <w:p w14:paraId="4BF328A7" w14:textId="77777777" w:rsidR="00F46723" w:rsidRDefault="00F46723" w:rsidP="00B33E5E">
      <w:pPr>
        <w:spacing w:before="120"/>
      </w:pPr>
    </w:p>
    <w:p w14:paraId="605A69DE" w14:textId="77777777" w:rsidR="003B6C86" w:rsidRDefault="003B6C86" w:rsidP="003B6C86">
      <w:pPr>
        <w:pStyle w:val="ListParagraph"/>
        <w:numPr>
          <w:ilvl w:val="0"/>
          <w:numId w:val="28"/>
        </w:numPr>
      </w:pPr>
      <w:r w:rsidRPr="003B6C86">
        <w:t>What do adults and youth know about acute toxicity due to exposure to</w:t>
      </w:r>
      <w:r>
        <w:t xml:space="preserve"> nicotine-containing</w:t>
      </w:r>
      <w:r w:rsidRPr="003B6C86">
        <w:t xml:space="preserve"> e-liquids? </w:t>
      </w:r>
    </w:p>
    <w:p w14:paraId="0F9CAF54" w14:textId="7094FB0E" w:rsidR="003B6C86" w:rsidRDefault="003B6C86" w:rsidP="003B6C86">
      <w:pPr>
        <w:pStyle w:val="ListParagraph"/>
        <w:numPr>
          <w:ilvl w:val="0"/>
          <w:numId w:val="28"/>
        </w:numPr>
      </w:pPr>
      <w:r w:rsidRPr="003B6C86">
        <w:t xml:space="preserve">What are the best ways to present information about acute toxicity </w:t>
      </w:r>
      <w:r w:rsidR="001D6E63">
        <w:t>due to</w:t>
      </w:r>
      <w:r w:rsidRPr="003B6C86">
        <w:t xml:space="preserve"> exposure to </w:t>
      </w:r>
      <w:r>
        <w:t xml:space="preserve">nicotine-containing </w:t>
      </w:r>
      <w:r w:rsidRPr="003B6C86">
        <w:t>e-liquids to consumers</w:t>
      </w:r>
      <w:r w:rsidR="005D22B2">
        <w:t xml:space="preserve"> on </w:t>
      </w:r>
      <w:r w:rsidR="008F773C">
        <w:t>electronic nicotine delivery system (</w:t>
      </w:r>
      <w:r w:rsidR="005D22B2">
        <w:t>ENDS</w:t>
      </w:r>
      <w:r w:rsidR="008F773C">
        <w:t>)</w:t>
      </w:r>
      <w:r w:rsidR="005D22B2">
        <w:t xml:space="preserve"> product packaging</w:t>
      </w:r>
      <w:r w:rsidRPr="003B6C86">
        <w:t xml:space="preserve">? </w:t>
      </w:r>
    </w:p>
    <w:p w14:paraId="28420730" w14:textId="57C05DAB" w:rsidR="00B77024" w:rsidRDefault="003B6C86" w:rsidP="003B6C86">
      <w:pPr>
        <w:pStyle w:val="ListParagraph"/>
        <w:numPr>
          <w:ilvl w:val="0"/>
          <w:numId w:val="28"/>
        </w:numPr>
      </w:pPr>
      <w:r w:rsidRPr="003B6C86">
        <w:t xml:space="preserve">What are consumer reactions to draft </w:t>
      </w:r>
      <w:r w:rsidR="001D6E63">
        <w:t>acute nicotine toxicity warnings for e-liquids</w:t>
      </w:r>
      <w:r w:rsidRPr="003B6C86">
        <w:t>?</w:t>
      </w:r>
    </w:p>
    <w:p w14:paraId="6D33424D" w14:textId="09D6480F" w:rsidR="003B6C86" w:rsidRDefault="003B6C86" w:rsidP="003B6C86">
      <w:pPr>
        <w:pStyle w:val="ListParagraph"/>
        <w:numPr>
          <w:ilvl w:val="0"/>
          <w:numId w:val="28"/>
        </w:numPr>
        <w:contextualSpacing/>
      </w:pPr>
      <w:r>
        <w:t xml:space="preserve">What information do people take away from the draft </w:t>
      </w:r>
      <w:r w:rsidR="00D22A9B">
        <w:t>acute nicotine toxicity warnings for e-liquids</w:t>
      </w:r>
      <w:r>
        <w:t>? Are they learning any new information?</w:t>
      </w:r>
    </w:p>
    <w:p w14:paraId="69D1A1A4" w14:textId="7C97203E" w:rsidR="0019719F" w:rsidRDefault="0019719F" w:rsidP="0019719F">
      <w:pPr>
        <w:pStyle w:val="ListParagraph"/>
        <w:numPr>
          <w:ilvl w:val="0"/>
          <w:numId w:val="28"/>
        </w:numPr>
      </w:pPr>
      <w:r>
        <w:t xml:space="preserve">Do consumers find icons/symbols helpful in understanding the </w:t>
      </w:r>
      <w:r w:rsidR="00D22A9B">
        <w:t>acute nicotine toxicity warnings for e-liquids</w:t>
      </w:r>
      <w:r>
        <w:t xml:space="preserve"> (with and without textual warning statements)?</w:t>
      </w:r>
    </w:p>
    <w:p w14:paraId="27045B67" w14:textId="4CBCDE96" w:rsidR="003B6C86" w:rsidRDefault="0019719F" w:rsidP="00F46723">
      <w:pPr>
        <w:pStyle w:val="ListParagraph"/>
        <w:numPr>
          <w:ilvl w:val="0"/>
          <w:numId w:val="28"/>
        </w:numPr>
      </w:pPr>
      <w:r>
        <w:t>Do consumer</w:t>
      </w:r>
      <w:r w:rsidR="005A7B82">
        <w:t>s</w:t>
      </w:r>
      <w:r>
        <w:t xml:space="preserve"> believe that the use of colors in the </w:t>
      </w:r>
      <w:r w:rsidR="00D22A9B">
        <w:t>acute nicotine toxicity warnings for e-liquids</w:t>
      </w:r>
      <w:r>
        <w:t xml:space="preserve"> would help to increase the label's visibility? </w:t>
      </w:r>
    </w:p>
    <w:p w14:paraId="789461AD" w14:textId="5BC7D36C" w:rsidR="003B6C86" w:rsidRDefault="003B6C86" w:rsidP="00F46723"/>
    <w:p w14:paraId="1D7FE5EF" w14:textId="567F8B0D" w:rsidR="00CD14A2" w:rsidRDefault="00F46723" w:rsidP="005F218A">
      <w:r>
        <w:t xml:space="preserve">Section 906(d)(1) of the FD&amp;C Act provide FDA the authority to include restrictions on the access to, and the advertising and promotion of, the tobacco product, if FDA determines such restrictions would be appropriate for the protection of the public health. In order to meet the requirements under the Act, FDA is conducting consumer research to provide information and data needed to help guide the development of activities directed at the consumer. FDA’s Center for Tobacco Products (CTP) will conduct a qualitative study to gain insight </w:t>
      </w:r>
      <w:r w:rsidR="008A66D9">
        <w:t xml:space="preserve">into </w:t>
      </w:r>
      <w:r>
        <w:t xml:space="preserve">consumer knowledge and perceptions surrounding risk of acute toxicity </w:t>
      </w:r>
      <w:r w:rsidR="00302E26">
        <w:t>from</w:t>
      </w:r>
      <w:r>
        <w:t xml:space="preserve"> nicotine exposure in electronic nicotine delivery systems (ENDS). In addition, consumers will be asked to view</w:t>
      </w:r>
      <w:r w:rsidR="008A66D9">
        <w:t xml:space="preserve"> and react to</w:t>
      </w:r>
      <w:r>
        <w:t xml:space="preserve"> </w:t>
      </w:r>
      <w:r w:rsidR="008A66D9">
        <w:t xml:space="preserve">draft </w:t>
      </w:r>
      <w:r w:rsidR="0004182A">
        <w:t xml:space="preserve">acute nicotine toxicity warnings </w:t>
      </w:r>
      <w:r w:rsidR="00F5124D">
        <w:t xml:space="preserve">for </w:t>
      </w:r>
      <w:r w:rsidR="0004182A">
        <w:t>e</w:t>
      </w:r>
      <w:r w:rsidR="00F5124D">
        <w:t>-</w:t>
      </w:r>
      <w:r w:rsidR="0004182A">
        <w:t>liquids</w:t>
      </w:r>
      <w:r>
        <w:t xml:space="preserve">. </w:t>
      </w:r>
      <w:r w:rsidR="008A66D9">
        <w:t xml:space="preserve">Information gathered from this </w:t>
      </w:r>
      <w:r>
        <w:t>study will be used to improve the study stimuli (i.e., warning statements, icons/symbols, and formats) for a future quantitative study.</w:t>
      </w:r>
    </w:p>
    <w:p w14:paraId="7EEFD45E" w14:textId="77777777" w:rsidR="00890E74" w:rsidRPr="00DE35A3" w:rsidRDefault="00890E74" w:rsidP="00757F1E">
      <w:pPr>
        <w:ind w:left="720"/>
      </w:pPr>
    </w:p>
    <w:p w14:paraId="51B31062" w14:textId="77777777" w:rsidR="00757F1E" w:rsidRPr="00DE35A3" w:rsidRDefault="00757F1E" w:rsidP="00757F1E">
      <w:pPr>
        <w:numPr>
          <w:ilvl w:val="0"/>
          <w:numId w:val="15"/>
        </w:numPr>
        <w:tabs>
          <w:tab w:val="num" w:pos="720"/>
        </w:tabs>
        <w:ind w:left="720"/>
      </w:pPr>
      <w:r w:rsidRPr="00DE35A3">
        <w:rPr>
          <w:b/>
        </w:rPr>
        <w:t xml:space="preserve">Intended use of information: </w:t>
      </w:r>
    </w:p>
    <w:p w14:paraId="5D8871B7" w14:textId="77777777" w:rsidR="00980E24" w:rsidRDefault="00980E24" w:rsidP="003C0A2D">
      <w:pPr>
        <w:ind w:left="720"/>
      </w:pPr>
    </w:p>
    <w:p w14:paraId="567F6BD2" w14:textId="03492732" w:rsidR="00B75067" w:rsidRDefault="00B75067" w:rsidP="00B75067">
      <w:r>
        <w:lastRenderedPageBreak/>
        <w:t xml:space="preserve">The study is intended to </w:t>
      </w:r>
      <w:r w:rsidR="009450D1">
        <w:t>assess</w:t>
      </w:r>
      <w:r>
        <w:t xml:space="preserve"> consumer reactions to </w:t>
      </w:r>
      <w:r w:rsidR="009450D1">
        <w:t xml:space="preserve">draft </w:t>
      </w:r>
      <w:r w:rsidR="0004182A">
        <w:t xml:space="preserve">acute nicotine toxicity warnings </w:t>
      </w:r>
      <w:r w:rsidR="00F5124D">
        <w:t xml:space="preserve">for </w:t>
      </w:r>
      <w:r w:rsidR="0004182A">
        <w:t>e</w:t>
      </w:r>
      <w:r w:rsidR="00F5124D">
        <w:t>-</w:t>
      </w:r>
      <w:r w:rsidR="0004182A">
        <w:t>liquids</w:t>
      </w:r>
      <w:r>
        <w:t xml:space="preserve">. </w:t>
      </w:r>
      <w:r w:rsidR="00877802">
        <w:t>Study findings</w:t>
      </w:r>
      <w:r>
        <w:t xml:space="preserve"> will be used to refine </w:t>
      </w:r>
      <w:r w:rsidR="009450D1">
        <w:t xml:space="preserve">the </w:t>
      </w:r>
      <w:r w:rsidR="00F572CD">
        <w:t xml:space="preserve">draft </w:t>
      </w:r>
      <w:r w:rsidR="009450D1">
        <w:t xml:space="preserve">warnings to </w:t>
      </w:r>
      <w:r w:rsidR="00F572CD">
        <w:t xml:space="preserve">most </w:t>
      </w:r>
      <w:r w:rsidR="009450D1">
        <w:t>effectively communicate the risk of acute toxicity</w:t>
      </w:r>
      <w:r w:rsidR="00302E26">
        <w:t xml:space="preserve"> from</w:t>
      </w:r>
      <w:r w:rsidR="009450D1">
        <w:t xml:space="preserve"> exposure to nicotine-containing e-liquids in ENDS and what to do in case of accidental contact</w:t>
      </w:r>
      <w:r w:rsidR="0070494D">
        <w:t>.</w:t>
      </w:r>
    </w:p>
    <w:p w14:paraId="7158382B" w14:textId="77777777" w:rsidR="00B75067" w:rsidRDefault="00B75067" w:rsidP="00B75067"/>
    <w:p w14:paraId="606FC480" w14:textId="77777777" w:rsidR="00B75067" w:rsidRDefault="00B75067" w:rsidP="00B75067">
      <w:r>
        <w:t xml:space="preserve">As with all qualitative research, results from this focus group study are not generalizable. As such, FDA will not use findings from this study to inform policy. </w:t>
      </w:r>
    </w:p>
    <w:p w14:paraId="60C7C653" w14:textId="2DF33E9A" w:rsidR="00B75067" w:rsidRDefault="00B75067" w:rsidP="00AC5D8A"/>
    <w:p w14:paraId="6B103DC2" w14:textId="77777777" w:rsidR="005247FE" w:rsidRPr="00C9767F" w:rsidRDefault="005247FE" w:rsidP="00486996">
      <w:pPr>
        <w:pStyle w:val="Level1"/>
        <w:widowControl/>
        <w:numPr>
          <w:ilvl w:val="0"/>
          <w:numId w:val="0"/>
        </w:numPr>
        <w:tabs>
          <w:tab w:val="left" w:pos="-1440"/>
        </w:tabs>
        <w:ind w:left="720"/>
        <w:rPr>
          <w:sz w:val="24"/>
        </w:rPr>
      </w:pPr>
    </w:p>
    <w:p w14:paraId="691E32FC" w14:textId="77777777" w:rsidR="003F1C7A" w:rsidRPr="003C0A2D" w:rsidRDefault="0049419A" w:rsidP="00F12AEE">
      <w:pPr>
        <w:numPr>
          <w:ilvl w:val="0"/>
          <w:numId w:val="15"/>
        </w:numPr>
        <w:tabs>
          <w:tab w:val="num" w:pos="720"/>
        </w:tabs>
        <w:ind w:left="720"/>
      </w:pPr>
      <w:r>
        <w:rPr>
          <w:b/>
        </w:rPr>
        <w:t>Description of r</w:t>
      </w:r>
      <w:r w:rsidR="00F12AEE">
        <w:rPr>
          <w:b/>
        </w:rPr>
        <w:t>espondents</w:t>
      </w:r>
      <w:r w:rsidR="0015552B">
        <w:rPr>
          <w:b/>
        </w:rPr>
        <w:t xml:space="preserve">: </w:t>
      </w:r>
    </w:p>
    <w:p w14:paraId="4696E2F6" w14:textId="77777777" w:rsidR="0074355C" w:rsidRDefault="0074355C" w:rsidP="003C0A2D">
      <w:pPr>
        <w:ind w:left="720"/>
      </w:pPr>
    </w:p>
    <w:p w14:paraId="258DC30C" w14:textId="77777777" w:rsidR="0074355C" w:rsidRPr="003C0A2D" w:rsidRDefault="0074355C" w:rsidP="005F218A">
      <w:pPr>
        <w:pStyle w:val="ListParagraph"/>
        <w:ind w:left="0"/>
        <w:rPr>
          <w:u w:val="single"/>
        </w:rPr>
      </w:pPr>
      <w:r w:rsidRPr="003C0A2D">
        <w:rPr>
          <w:u w:val="single"/>
        </w:rPr>
        <w:t xml:space="preserve">Respondent Characteristics and </w:t>
      </w:r>
      <w:r>
        <w:rPr>
          <w:u w:val="single"/>
        </w:rPr>
        <w:t xml:space="preserve">Group </w:t>
      </w:r>
      <w:r w:rsidRPr="003C0A2D">
        <w:rPr>
          <w:u w:val="single"/>
        </w:rPr>
        <w:t>Segmentation</w:t>
      </w:r>
    </w:p>
    <w:p w14:paraId="4A80685E" w14:textId="635AADEB" w:rsidR="0074355C" w:rsidRDefault="00486996" w:rsidP="005F218A">
      <w:pPr>
        <w:pStyle w:val="ListParagraph"/>
        <w:ind w:left="0"/>
      </w:pPr>
      <w:r>
        <w:t>R</w:t>
      </w:r>
      <w:r w:rsidR="00A504FD">
        <w:t>espondent</w:t>
      </w:r>
      <w:r>
        <w:t>s</w:t>
      </w:r>
      <w:r w:rsidR="00A504FD">
        <w:t xml:space="preserve"> will participate in one of </w:t>
      </w:r>
      <w:r w:rsidR="00A1064F">
        <w:t>12</w:t>
      </w:r>
      <w:r w:rsidR="00A504FD" w:rsidRPr="00B60176">
        <w:t xml:space="preserve"> </w:t>
      </w:r>
      <w:r w:rsidR="00A504FD">
        <w:t xml:space="preserve">focus groups. </w:t>
      </w:r>
      <w:r w:rsidR="005A7B82">
        <w:t>F</w:t>
      </w:r>
      <w:r w:rsidR="00A504FD">
        <w:t>ocus groups</w:t>
      </w:r>
      <w:r w:rsidR="00D57298">
        <w:t xml:space="preserve"> </w:t>
      </w:r>
      <w:r w:rsidR="00A504FD">
        <w:t xml:space="preserve">will be conducted in </w:t>
      </w:r>
      <w:r w:rsidR="009668A4">
        <w:t>two locati</w:t>
      </w:r>
      <w:r w:rsidR="009668A4" w:rsidRPr="005A0BCD">
        <w:t>ons, tentatively planned for</w:t>
      </w:r>
      <w:r w:rsidR="008F773C">
        <w:t xml:space="preserve"> the following cities</w:t>
      </w:r>
      <w:r w:rsidR="009D465B">
        <w:t xml:space="preserve">: </w:t>
      </w:r>
      <w:r w:rsidR="009668A4" w:rsidRPr="009668A4">
        <w:t>Pensacola, Florida and Birmingham, Alabama</w:t>
      </w:r>
      <w:r w:rsidR="005C7F3C">
        <w:t>.  These locat</w:t>
      </w:r>
      <w:r w:rsidR="009668A4">
        <w:t>ions were chosen for</w:t>
      </w:r>
      <w:r w:rsidR="009D465B">
        <w:t xml:space="preserve"> racial/ethnic diversity and rates of adult and </w:t>
      </w:r>
      <w:r w:rsidR="009668A4">
        <w:t>youth ENDS use</w:t>
      </w:r>
      <w:r w:rsidR="00061515">
        <w:t xml:space="preserve">. </w:t>
      </w:r>
      <w:r w:rsidR="00BB7250">
        <w:t xml:space="preserve">Each group will include a mix of ages, </w:t>
      </w:r>
      <w:r w:rsidR="009668A4">
        <w:t xml:space="preserve">sex, </w:t>
      </w:r>
      <w:r w:rsidR="00BB7250">
        <w:t xml:space="preserve">races/ethnicities, </w:t>
      </w:r>
      <w:r w:rsidR="009668A4">
        <w:t xml:space="preserve">and </w:t>
      </w:r>
      <w:r w:rsidR="00BB7250">
        <w:t>education levels</w:t>
      </w:r>
      <w:r w:rsidR="009668A4">
        <w:t>.</w:t>
      </w:r>
    </w:p>
    <w:p w14:paraId="3B30C327" w14:textId="1FB99D6E" w:rsidR="0074355C" w:rsidRDefault="009668A4" w:rsidP="00BB7250">
      <w:pPr>
        <w:pStyle w:val="ListParagraph"/>
      </w:pPr>
      <w:r>
        <w:t xml:space="preserve"> </w:t>
      </w:r>
    </w:p>
    <w:p w14:paraId="58BB8350" w14:textId="525F966F" w:rsidR="0091772A" w:rsidRDefault="004419D9" w:rsidP="005F218A">
      <w:pPr>
        <w:pStyle w:val="ListParagraph"/>
        <w:ind w:left="0"/>
      </w:pPr>
      <w:r>
        <w:t>Because this study is exploratory, it is important to capture a full range of res</w:t>
      </w:r>
      <w:r w:rsidR="009D465B">
        <w:t>ponses from a variety of people</w:t>
      </w:r>
      <w:r w:rsidR="0091772A">
        <w:t>. Recruitment characteristics include</w:t>
      </w:r>
      <w:r w:rsidR="007D4D26">
        <w:t xml:space="preserve"> respondent</w:t>
      </w:r>
      <w:r w:rsidR="0091772A">
        <w:t>:</w:t>
      </w:r>
      <w:r w:rsidR="00F81083">
        <w:t xml:space="preserve"> age</w:t>
      </w:r>
      <w:r w:rsidR="0091772A">
        <w:t xml:space="preserve"> (</w:t>
      </w:r>
      <w:r w:rsidR="002747B7">
        <w:t>youth</w:t>
      </w:r>
      <w:r w:rsidR="0091772A">
        <w:t>, young adult</w:t>
      </w:r>
      <w:r w:rsidR="00F81083">
        <w:t>,</w:t>
      </w:r>
      <w:r w:rsidR="0091772A">
        <w:t xml:space="preserve"> </w:t>
      </w:r>
      <w:r w:rsidR="003F7815">
        <w:t xml:space="preserve">and </w:t>
      </w:r>
      <w:r w:rsidR="0091772A">
        <w:t>adult)</w:t>
      </w:r>
      <w:r w:rsidR="00F81083">
        <w:t xml:space="preserve"> </w:t>
      </w:r>
      <w:r w:rsidR="009D465B">
        <w:t xml:space="preserve">and </w:t>
      </w:r>
      <w:r w:rsidR="009668A4">
        <w:t>ENDS d</w:t>
      </w:r>
      <w:r w:rsidR="00302E26">
        <w:t>evice type</w:t>
      </w:r>
      <w:r w:rsidR="00F572CD">
        <w:t xml:space="preserve">: “open” ENDS devices that </w:t>
      </w:r>
      <w:r w:rsidR="009668A4">
        <w:t>require users to refill a tank with e-liquid</w:t>
      </w:r>
      <w:r w:rsidR="00F572CD">
        <w:t>; and “closed” ENDS devices that require</w:t>
      </w:r>
      <w:r w:rsidR="009668A4">
        <w:t xml:space="preserve"> users </w:t>
      </w:r>
      <w:r w:rsidR="003E4D70">
        <w:t xml:space="preserve">to replace </w:t>
      </w:r>
      <w:r w:rsidR="009668A4">
        <w:t>prefilled and sealed e-liquid car</w:t>
      </w:r>
      <w:r w:rsidR="003E4D70">
        <w:t>tridges</w:t>
      </w:r>
      <w:r w:rsidR="00F81083">
        <w:t xml:space="preserve">. </w:t>
      </w:r>
      <w:r w:rsidR="00BB7250">
        <w:t>As is standard in focus group studies</w:t>
      </w:r>
      <w:r w:rsidR="0091772A">
        <w:rPr>
          <w:rStyle w:val="FootnoteReference"/>
        </w:rPr>
        <w:footnoteReference w:id="1"/>
      </w:r>
      <w:r w:rsidR="00BB7250">
        <w:t xml:space="preserve">, groups will be segmented to achieve </w:t>
      </w:r>
      <w:r w:rsidR="00F81083">
        <w:t>relative homogeneity</w:t>
      </w:r>
      <w:r w:rsidR="00BB7250">
        <w:t xml:space="preserve"> within groups.</w:t>
      </w:r>
      <w:r w:rsidR="00F81083">
        <w:t xml:space="preserve"> Respondents are grouped together based on common characteristics (age and </w:t>
      </w:r>
      <w:r w:rsidR="007D4D26">
        <w:t>ENDS device type</w:t>
      </w:r>
      <w:r w:rsidR="00F81083">
        <w:t xml:space="preserve">) to maximize compatibility and facilitate group discussions. </w:t>
      </w:r>
      <w:r w:rsidR="0091772A">
        <w:t>Groups will be segmented as follows:</w:t>
      </w:r>
    </w:p>
    <w:p w14:paraId="2CA96D3B" w14:textId="77777777" w:rsidR="006F6EA7" w:rsidRDefault="006F6EA7" w:rsidP="00BB7250">
      <w:pPr>
        <w:pStyle w:val="ListParagraph"/>
      </w:pPr>
    </w:p>
    <w:p w14:paraId="7AD029C0" w14:textId="6432E58F" w:rsidR="0091772A" w:rsidRDefault="002747B7" w:rsidP="005F218A">
      <w:pPr>
        <w:pStyle w:val="ListParagraph"/>
        <w:ind w:left="0"/>
      </w:pPr>
      <w:r>
        <w:rPr>
          <w:u w:val="single"/>
        </w:rPr>
        <w:t>Youth</w:t>
      </w:r>
      <w:r w:rsidR="0091772A" w:rsidRPr="003C0A2D">
        <w:rPr>
          <w:u w:val="single"/>
        </w:rPr>
        <w:t>:</w:t>
      </w:r>
      <w:r w:rsidR="0091772A" w:rsidRPr="0091772A">
        <w:t xml:space="preserve"> </w:t>
      </w:r>
      <w:r>
        <w:t>Four</w:t>
      </w:r>
      <w:r w:rsidR="009D465B" w:rsidRPr="009D465B">
        <w:t xml:space="preserve"> groups will be conducted exclusively with </w:t>
      </w:r>
      <w:r>
        <w:t>youth (ages 14</w:t>
      </w:r>
      <w:r w:rsidR="009D465B" w:rsidRPr="009D465B">
        <w:t>-17</w:t>
      </w:r>
      <w:r>
        <w:t xml:space="preserve"> years</w:t>
      </w:r>
      <w:r w:rsidR="009D465B" w:rsidRPr="009D465B">
        <w:t>)</w:t>
      </w:r>
      <w:r w:rsidR="003F5539">
        <w:t xml:space="preserve"> who have used any kind of ENDS device type (open or closed) in the last 60 days</w:t>
      </w:r>
      <w:r w:rsidR="009D465B" w:rsidRPr="009D465B">
        <w:t xml:space="preserve">.  </w:t>
      </w:r>
    </w:p>
    <w:p w14:paraId="1EDEA93B" w14:textId="77777777" w:rsidR="0091772A" w:rsidRPr="003C0A2D" w:rsidRDefault="0091772A" w:rsidP="009D465B">
      <w:pPr>
        <w:pStyle w:val="ListParagraph"/>
        <w:ind w:left="0"/>
        <w:rPr>
          <w:u w:val="single"/>
        </w:rPr>
      </w:pPr>
    </w:p>
    <w:p w14:paraId="5F0F0749" w14:textId="12C4CE21" w:rsidR="006F6EA7" w:rsidRDefault="0091772A" w:rsidP="005F218A">
      <w:pPr>
        <w:pStyle w:val="ListParagraph"/>
        <w:ind w:left="0"/>
      </w:pPr>
      <w:r w:rsidRPr="003C0A2D">
        <w:rPr>
          <w:u w:val="single"/>
        </w:rPr>
        <w:t>Adults:</w:t>
      </w:r>
      <w:r w:rsidR="006F6EA7" w:rsidRPr="006F6EA7">
        <w:t xml:space="preserve"> </w:t>
      </w:r>
      <w:r w:rsidR="003F5539">
        <w:t>Eight</w:t>
      </w:r>
      <w:r w:rsidR="009D465B" w:rsidRPr="009D465B">
        <w:t xml:space="preserve"> groups will be conducted with adults (≥18 years old) who are </w:t>
      </w:r>
      <w:r w:rsidR="003F5539">
        <w:t xml:space="preserve">current ENDS users (defined </w:t>
      </w:r>
      <w:r w:rsidR="00F572CD">
        <w:t xml:space="preserve">as </w:t>
      </w:r>
      <w:r w:rsidR="003F5539">
        <w:t xml:space="preserve">use of ENDS every day or some days). </w:t>
      </w:r>
    </w:p>
    <w:p w14:paraId="5E9766F7" w14:textId="77777777" w:rsidR="005F218A" w:rsidRDefault="005F218A" w:rsidP="005F218A">
      <w:pPr>
        <w:pStyle w:val="ListParagraph"/>
        <w:ind w:left="0"/>
        <w:rPr>
          <w:u w:val="single"/>
        </w:rPr>
      </w:pPr>
    </w:p>
    <w:p w14:paraId="7155FDB3" w14:textId="77777777" w:rsidR="00BB7250" w:rsidRDefault="00F81083" w:rsidP="005F218A">
      <w:pPr>
        <w:pStyle w:val="ListParagraph"/>
        <w:ind w:left="0"/>
      </w:pPr>
      <w:r>
        <w:t xml:space="preserve">While there will be differences in the characteristics of the groups, this study is not designed to examine differences between the groups. </w:t>
      </w:r>
      <w:r w:rsidR="0074355C">
        <w:t>Rather, t</w:t>
      </w:r>
      <w:r w:rsidR="0091772A">
        <w:t xml:space="preserve">he analysis will identify major themes across groups. </w:t>
      </w:r>
    </w:p>
    <w:p w14:paraId="0AF2B26B" w14:textId="77777777" w:rsidR="005F218A" w:rsidRDefault="005F218A" w:rsidP="005F218A">
      <w:pPr>
        <w:pStyle w:val="ListParagraph"/>
        <w:ind w:left="0"/>
      </w:pPr>
    </w:p>
    <w:p w14:paraId="1BB3660D" w14:textId="77777777" w:rsidR="00F511BC" w:rsidRPr="003C0A2D" w:rsidRDefault="0074355C" w:rsidP="005F218A">
      <w:pPr>
        <w:pStyle w:val="ListParagraph"/>
        <w:ind w:left="0"/>
        <w:rPr>
          <w:u w:val="single"/>
        </w:rPr>
      </w:pPr>
      <w:r w:rsidRPr="003C0A2D">
        <w:rPr>
          <w:u w:val="single"/>
        </w:rPr>
        <w:t>Recruitment</w:t>
      </w:r>
    </w:p>
    <w:p w14:paraId="4C5EB685" w14:textId="2B5E0A99" w:rsidR="00A83D63" w:rsidRDefault="005A7B82" w:rsidP="005F218A">
      <w:r>
        <w:t xml:space="preserve">For each group, </w:t>
      </w:r>
      <w:r w:rsidR="003F5539">
        <w:t>14</w:t>
      </w:r>
      <w:r w:rsidR="007952A7">
        <w:t xml:space="preserve"> individuals </w:t>
      </w:r>
      <w:r>
        <w:t>will be recruited</w:t>
      </w:r>
      <w:r w:rsidR="007952A7">
        <w:t xml:space="preserve">, with the expectation of </w:t>
      </w:r>
      <w:r w:rsidR="005247FE">
        <w:t xml:space="preserve">having </w:t>
      </w:r>
      <w:r w:rsidR="003F5539">
        <w:t>10 to 12</w:t>
      </w:r>
      <w:r w:rsidR="007952A7">
        <w:t xml:space="preserve"> participants per group.</w:t>
      </w:r>
      <w:r w:rsidR="00DF5C29">
        <w:t xml:space="preserve"> </w:t>
      </w:r>
      <w:r w:rsidR="00A95296">
        <w:t>To be eligible to p</w:t>
      </w:r>
      <w:r w:rsidR="00A95296" w:rsidRPr="00A95296">
        <w:t>articipat</w:t>
      </w:r>
      <w:r w:rsidR="00A95296">
        <w:t>e, respondents</w:t>
      </w:r>
      <w:r w:rsidR="00A95296" w:rsidRPr="00A95296">
        <w:t xml:space="preserve"> must be able to </w:t>
      </w:r>
      <w:r w:rsidR="0033132B">
        <w:t>understand</w:t>
      </w:r>
      <w:r w:rsidR="00A95296" w:rsidRPr="00A95296">
        <w:t xml:space="preserve"> and speak English</w:t>
      </w:r>
      <w:r w:rsidR="00641802">
        <w:t xml:space="preserve"> and must be comfortable </w:t>
      </w:r>
      <w:r w:rsidR="00641802" w:rsidRPr="00641802">
        <w:t xml:space="preserve">talking in a group of people </w:t>
      </w:r>
      <w:r w:rsidR="00641802">
        <w:t>of a similar age</w:t>
      </w:r>
      <w:r w:rsidR="00A95296" w:rsidRPr="00A95296">
        <w:t>.</w:t>
      </w:r>
      <w:bookmarkStart w:id="1" w:name="OLE_LINK1"/>
      <w:r w:rsidR="00A95296">
        <w:t xml:space="preserve"> Respondents </w:t>
      </w:r>
      <w:r w:rsidR="00A95296" w:rsidRPr="00A95296">
        <w:t xml:space="preserve">cannot have participated in a focus group </w:t>
      </w:r>
      <w:r w:rsidR="00B75067">
        <w:t>or a similar study in the past six</w:t>
      </w:r>
      <w:r w:rsidR="00A95296" w:rsidRPr="00A95296">
        <w:t xml:space="preserve"> months. </w:t>
      </w:r>
      <w:bookmarkEnd w:id="1"/>
      <w:r w:rsidR="00A95296">
        <w:t xml:space="preserve">Additionally, no </w:t>
      </w:r>
      <w:r w:rsidR="007C51ED">
        <w:t>adult participant</w:t>
      </w:r>
      <w:r w:rsidR="00A95296" w:rsidRPr="00A95296">
        <w:t xml:space="preserve"> will </w:t>
      </w:r>
      <w:r w:rsidR="00A95296">
        <w:t>be included to participate if he/she</w:t>
      </w:r>
      <w:r w:rsidR="00A95296" w:rsidRPr="00A95296">
        <w:t xml:space="preserve"> or a household member ever lobbied on behalf of the tobacco industry or</w:t>
      </w:r>
      <w:r w:rsidR="00A95296" w:rsidRPr="00141AC0">
        <w:t xml:space="preserve"> </w:t>
      </w:r>
      <w:r w:rsidR="00A95296" w:rsidRPr="00A95296">
        <w:t>personally</w:t>
      </w:r>
      <w:r w:rsidR="005247FE">
        <w:rPr>
          <w:b/>
          <w:bCs/>
        </w:rPr>
        <w:t xml:space="preserve"> </w:t>
      </w:r>
      <w:r w:rsidR="00A95296" w:rsidRPr="00A95296">
        <w:rPr>
          <w:bCs/>
        </w:rPr>
        <w:t>represented or worked on behalf of</w:t>
      </w:r>
      <w:r w:rsidR="005247FE">
        <w:rPr>
          <w:bCs/>
        </w:rPr>
        <w:t xml:space="preserve"> </w:t>
      </w:r>
      <w:r w:rsidR="00A95296" w:rsidRPr="00A95296">
        <w:rPr>
          <w:bCs/>
        </w:rPr>
        <w:t>a tobacco company in connection with a tobacco</w:t>
      </w:r>
      <w:r w:rsidR="005247FE">
        <w:rPr>
          <w:bCs/>
        </w:rPr>
        <w:t xml:space="preserve"> </w:t>
      </w:r>
      <w:r w:rsidR="00A95296" w:rsidRPr="00A95296">
        <w:rPr>
          <w:bCs/>
        </w:rPr>
        <w:t>lawsuit</w:t>
      </w:r>
      <w:r w:rsidR="00A95296" w:rsidRPr="00A95296">
        <w:t>.</w:t>
      </w:r>
      <w:r w:rsidR="00A95296">
        <w:t xml:space="preserve"> No </w:t>
      </w:r>
      <w:r w:rsidR="007C51ED">
        <w:t>participant</w:t>
      </w:r>
      <w:r w:rsidR="00A95296" w:rsidRPr="00A95296">
        <w:t xml:space="preserve"> will </w:t>
      </w:r>
      <w:r w:rsidR="00A95296">
        <w:t>be included to participate if he/she</w:t>
      </w:r>
      <w:r w:rsidR="00A95296" w:rsidRPr="00A95296">
        <w:t xml:space="preserve"> or a household member worked in the past 5 years for any of the following</w:t>
      </w:r>
      <w:r w:rsidR="00A95296">
        <w:t xml:space="preserve"> entities</w:t>
      </w:r>
      <w:r w:rsidR="00A95296" w:rsidRPr="00A95296">
        <w:t>:</w:t>
      </w:r>
      <w:r w:rsidR="00A83D63">
        <w:t xml:space="preserve"> </w:t>
      </w:r>
    </w:p>
    <w:p w14:paraId="688CF630" w14:textId="33B94A1E" w:rsidR="00A83D63" w:rsidRDefault="00A95296" w:rsidP="00A83D63">
      <w:pPr>
        <w:pStyle w:val="ListParagraph"/>
        <w:numPr>
          <w:ilvl w:val="0"/>
          <w:numId w:val="23"/>
        </w:numPr>
      </w:pPr>
      <w:r w:rsidRPr="00A95296">
        <w:lastRenderedPageBreak/>
        <w:t xml:space="preserve">a tobacco or </w:t>
      </w:r>
      <w:r w:rsidR="005A0BCD">
        <w:t>e-</w:t>
      </w:r>
      <w:r w:rsidRPr="00A95296">
        <w:t>cigarette company</w:t>
      </w:r>
      <w:r>
        <w:t>;</w:t>
      </w:r>
      <w:r w:rsidRPr="00A95296">
        <w:t xml:space="preserve"> </w:t>
      </w:r>
    </w:p>
    <w:p w14:paraId="02CD8288" w14:textId="77777777" w:rsidR="00A83D63" w:rsidRDefault="00A95296" w:rsidP="00A83D63">
      <w:pPr>
        <w:pStyle w:val="ListParagraph"/>
        <w:numPr>
          <w:ilvl w:val="0"/>
          <w:numId w:val="23"/>
        </w:numPr>
      </w:pPr>
      <w:r w:rsidRPr="00A95296">
        <w:t>a public health or community</w:t>
      </w:r>
      <w:r w:rsidRPr="00A95296">
        <w:rPr>
          <w:color w:val="000080"/>
        </w:rPr>
        <w:t xml:space="preserve"> </w:t>
      </w:r>
      <w:r w:rsidRPr="00A95296">
        <w:t>organization involved in communicating the dangers of smoking or the benefits of quitting</w:t>
      </w:r>
      <w:r>
        <w:t>;</w:t>
      </w:r>
      <w:r w:rsidRPr="00A95296">
        <w:t xml:space="preserve"> </w:t>
      </w:r>
    </w:p>
    <w:p w14:paraId="21154EE2" w14:textId="77777777" w:rsidR="00A83D63" w:rsidRDefault="00A95296" w:rsidP="00A83D63">
      <w:pPr>
        <w:pStyle w:val="ListParagraph"/>
        <w:numPr>
          <w:ilvl w:val="0"/>
          <w:numId w:val="23"/>
        </w:numPr>
        <w:rPr>
          <w:b/>
          <w:i/>
        </w:rPr>
      </w:pPr>
      <w:r w:rsidRPr="00A95296">
        <w:t>a marketing, advertising</w:t>
      </w:r>
      <w:r w:rsidR="005247FE">
        <w:t>,</w:t>
      </w:r>
      <w:r w:rsidRPr="00A95296">
        <w:t xml:space="preserve"> or public relations agency</w:t>
      </w:r>
      <w:r w:rsidRPr="00A95296">
        <w:rPr>
          <w:i/>
          <w:iCs/>
        </w:rPr>
        <w:t xml:space="preserve"> </w:t>
      </w:r>
      <w:r w:rsidRPr="00A95296">
        <w:t>or department</w:t>
      </w:r>
      <w:r>
        <w:t>;</w:t>
      </w:r>
      <w:r w:rsidR="00A83D63">
        <w:rPr>
          <w:b/>
          <w:i/>
        </w:rPr>
        <w:t xml:space="preserve"> </w:t>
      </w:r>
    </w:p>
    <w:p w14:paraId="498005C7" w14:textId="77777777" w:rsidR="00A83D63" w:rsidRDefault="00A95296" w:rsidP="00A83D63">
      <w:pPr>
        <w:pStyle w:val="ListParagraph"/>
        <w:numPr>
          <w:ilvl w:val="0"/>
          <w:numId w:val="23"/>
        </w:numPr>
      </w:pPr>
      <w:r w:rsidRPr="00A95296">
        <w:t>U.S. Food and Drug Administration (FDA)</w:t>
      </w:r>
      <w:r>
        <w:t>;</w:t>
      </w:r>
      <w:r w:rsidR="00A83D63">
        <w:t xml:space="preserve"> </w:t>
      </w:r>
    </w:p>
    <w:p w14:paraId="4F6A6D52" w14:textId="77777777" w:rsidR="00A83D63" w:rsidRDefault="00A95296" w:rsidP="00C464EC">
      <w:pPr>
        <w:pStyle w:val="ListParagraph"/>
        <w:numPr>
          <w:ilvl w:val="0"/>
          <w:numId w:val="23"/>
        </w:numPr>
      </w:pPr>
      <w:r w:rsidRPr="00A95296">
        <w:t>National Institutes of Health (NIH)</w:t>
      </w:r>
      <w:r w:rsidR="00A83D63">
        <w:t>;</w:t>
      </w:r>
      <w:r w:rsidR="00A83D63" w:rsidRPr="00A83D63">
        <w:t xml:space="preserve"> </w:t>
      </w:r>
    </w:p>
    <w:p w14:paraId="40F0CE50" w14:textId="77777777" w:rsidR="00A95296" w:rsidRPr="00C464EC" w:rsidRDefault="00A83D63" w:rsidP="00A83D63">
      <w:pPr>
        <w:pStyle w:val="ListParagraph"/>
        <w:numPr>
          <w:ilvl w:val="0"/>
          <w:numId w:val="23"/>
        </w:numPr>
        <w:rPr>
          <w:b/>
          <w:i/>
        </w:rPr>
      </w:pPr>
      <w:r w:rsidRPr="00F4036A">
        <w:rPr>
          <w:bCs/>
          <w:iCs/>
        </w:rPr>
        <w:t>Centers for Disease Control and Prevention (CDC)</w:t>
      </w:r>
      <w:r w:rsidR="00C464EC">
        <w:rPr>
          <w:bCs/>
          <w:iCs/>
        </w:rPr>
        <w:t>;</w:t>
      </w:r>
    </w:p>
    <w:p w14:paraId="71279FA3" w14:textId="77777777" w:rsidR="00C464EC" w:rsidRPr="00C464EC" w:rsidRDefault="00C464EC" w:rsidP="00C464EC">
      <w:pPr>
        <w:pStyle w:val="Question"/>
        <w:numPr>
          <w:ilvl w:val="0"/>
          <w:numId w:val="23"/>
        </w:numPr>
        <w:tabs>
          <w:tab w:val="left" w:pos="540"/>
          <w:tab w:val="left" w:pos="1080"/>
        </w:tabs>
        <w:spacing w:before="0" w:after="0"/>
        <w:outlineLvl w:val="3"/>
        <w:rPr>
          <w:rFonts w:ascii="Times New Roman" w:hAnsi="Times New Roman"/>
          <w:color w:val="222222"/>
          <w:sz w:val="24"/>
          <w:szCs w:val="24"/>
        </w:rPr>
      </w:pPr>
      <w:r w:rsidRPr="00C464EC">
        <w:rPr>
          <w:rFonts w:ascii="Times New Roman" w:hAnsi="Times New Roman"/>
          <w:bCs/>
          <w:iCs/>
          <w:sz w:val="24"/>
          <w:szCs w:val="24"/>
        </w:rPr>
        <w:t>Substance Abuse and Mental Health Services Administration (SAMHSA)</w:t>
      </w:r>
      <w:r>
        <w:rPr>
          <w:rFonts w:ascii="Times New Roman" w:hAnsi="Times New Roman"/>
          <w:bCs/>
          <w:iCs/>
          <w:sz w:val="24"/>
          <w:szCs w:val="24"/>
        </w:rPr>
        <w:t>;</w:t>
      </w:r>
      <w:r>
        <w:t xml:space="preserve">  </w:t>
      </w:r>
    </w:p>
    <w:p w14:paraId="1824227C" w14:textId="77777777" w:rsidR="00C464EC" w:rsidRPr="00CF07B8" w:rsidRDefault="00C464EC" w:rsidP="00C464EC">
      <w:pPr>
        <w:pStyle w:val="Question"/>
        <w:numPr>
          <w:ilvl w:val="0"/>
          <w:numId w:val="23"/>
        </w:numPr>
        <w:tabs>
          <w:tab w:val="left" w:pos="540"/>
          <w:tab w:val="left" w:pos="1080"/>
        </w:tabs>
        <w:spacing w:before="0" w:after="0"/>
        <w:outlineLvl w:val="3"/>
        <w:rPr>
          <w:rFonts w:ascii="Times New Roman" w:hAnsi="Times New Roman"/>
          <w:sz w:val="24"/>
          <w:szCs w:val="24"/>
        </w:rPr>
      </w:pPr>
      <w:r w:rsidRPr="00CF07B8">
        <w:rPr>
          <w:rFonts w:ascii="Times New Roman" w:hAnsi="Times New Roman"/>
          <w:sz w:val="24"/>
          <w:szCs w:val="24"/>
        </w:rPr>
        <w:t>Centers for Medicare &amp; Medicaid Services (CMS).</w:t>
      </w:r>
    </w:p>
    <w:p w14:paraId="3D4BA2AC" w14:textId="77777777" w:rsidR="00E215FA" w:rsidRDefault="00E215FA" w:rsidP="00F12AEE">
      <w:pPr>
        <w:ind w:left="720"/>
      </w:pPr>
    </w:p>
    <w:p w14:paraId="19AC8018" w14:textId="77777777" w:rsidR="003F1C7A" w:rsidRPr="007952A7" w:rsidRDefault="003F1C7A" w:rsidP="00F12AEE">
      <w:pPr>
        <w:numPr>
          <w:ilvl w:val="0"/>
          <w:numId w:val="15"/>
        </w:numPr>
        <w:tabs>
          <w:tab w:val="num" w:pos="720"/>
        </w:tabs>
        <w:ind w:left="720"/>
      </w:pPr>
      <w:r w:rsidRPr="00E26798">
        <w:rPr>
          <w:b/>
        </w:rPr>
        <w:t xml:space="preserve">Date(s) </w:t>
      </w:r>
      <w:r w:rsidR="009404FA">
        <w:rPr>
          <w:b/>
        </w:rPr>
        <w:t xml:space="preserve">to be conducted </w:t>
      </w:r>
      <w:r w:rsidRPr="00E26798">
        <w:rPr>
          <w:b/>
        </w:rPr>
        <w:t>and location(s)</w:t>
      </w:r>
      <w:r w:rsidR="0015552B">
        <w:rPr>
          <w:b/>
        </w:rPr>
        <w:t xml:space="preserve">: </w:t>
      </w:r>
    </w:p>
    <w:p w14:paraId="09BAE9DF" w14:textId="3F6CB80E" w:rsidR="00190AA2" w:rsidRDefault="005A0BCD" w:rsidP="005F218A">
      <w:r>
        <w:t>Recruitment for focus groups will begin</w:t>
      </w:r>
      <w:r w:rsidR="002930F5">
        <w:t xml:space="preserve"> </w:t>
      </w:r>
      <w:r w:rsidR="00963C9E">
        <w:t>in April-May 2018</w:t>
      </w:r>
      <w:r w:rsidR="005F6949">
        <w:t xml:space="preserve">. </w:t>
      </w:r>
      <w:r w:rsidR="008C1E0D">
        <w:t xml:space="preserve">The focus groups will be </w:t>
      </w:r>
      <w:r w:rsidR="00DA5D50" w:rsidRPr="00233E55">
        <w:t xml:space="preserve">tentatively </w:t>
      </w:r>
      <w:r w:rsidR="008C1E0D" w:rsidRPr="00233E55">
        <w:t>conducted in</w:t>
      </w:r>
      <w:r w:rsidR="00302E26" w:rsidRPr="00233E55">
        <w:t xml:space="preserve"> two locations:</w:t>
      </w:r>
      <w:r w:rsidR="008C1E0D" w:rsidRPr="00233E55">
        <w:t xml:space="preserve"> </w:t>
      </w:r>
      <w:r w:rsidR="00DA5D50" w:rsidRPr="00233E55">
        <w:t>Pensacola, Florida and Birmingham, Alabama</w:t>
      </w:r>
    </w:p>
    <w:p w14:paraId="62AAB89F" w14:textId="77777777" w:rsidR="008077F2" w:rsidRDefault="008077F2" w:rsidP="008077F2">
      <w:pPr>
        <w:ind w:left="720"/>
      </w:pPr>
    </w:p>
    <w:p w14:paraId="4A7996D5" w14:textId="77777777" w:rsidR="00E26798" w:rsidRPr="007952A7" w:rsidRDefault="00140A0D" w:rsidP="00F12AEE">
      <w:pPr>
        <w:numPr>
          <w:ilvl w:val="0"/>
          <w:numId w:val="15"/>
        </w:numPr>
        <w:tabs>
          <w:tab w:val="num" w:pos="720"/>
        </w:tabs>
        <w:ind w:left="720"/>
      </w:pPr>
      <w:r>
        <w:rPr>
          <w:b/>
        </w:rPr>
        <w:t>How the Information is being collected</w:t>
      </w:r>
      <w:r w:rsidR="0049419A">
        <w:rPr>
          <w:b/>
        </w:rPr>
        <w:t>:</w:t>
      </w:r>
    </w:p>
    <w:p w14:paraId="359C58E0" w14:textId="5CE0EA3D" w:rsidR="00C9767F" w:rsidRDefault="00C9767F" w:rsidP="005F218A">
      <w:r>
        <w:t xml:space="preserve">Focus groups </w:t>
      </w:r>
      <w:r w:rsidRPr="00562AB0">
        <w:t>are used to obtain insights into target audience perceptions, beliefs, and attitudes in the early stages of the communication process (i.e., in concept, str</w:t>
      </w:r>
      <w:r>
        <w:t>ategy</w:t>
      </w:r>
      <w:r w:rsidR="005247FE">
        <w:t>,</w:t>
      </w:r>
      <w:r>
        <w:t xml:space="preserve"> and materials development</w:t>
      </w:r>
      <w:r w:rsidRPr="00562AB0">
        <w:t>)</w:t>
      </w:r>
      <w:r w:rsidR="00486996">
        <w:t xml:space="preserve"> and to inform the development of quantitative research</w:t>
      </w:r>
      <w:r>
        <w:t xml:space="preserve">. </w:t>
      </w:r>
      <w:r w:rsidRPr="00562AB0">
        <w:t xml:space="preserve">Focus groups are usually composed of 8 </w:t>
      </w:r>
      <w:r w:rsidR="005247FE">
        <w:t>to</w:t>
      </w:r>
      <w:r w:rsidR="005247FE" w:rsidRPr="00562AB0">
        <w:t xml:space="preserve"> </w:t>
      </w:r>
      <w:r w:rsidR="009A47E7">
        <w:t>12</w:t>
      </w:r>
      <w:r w:rsidRPr="00562AB0">
        <w:t xml:space="preserve"> people who have characteristics similar to the target audience</w:t>
      </w:r>
      <w:r w:rsidR="005247FE">
        <w:t xml:space="preserve">. </w:t>
      </w:r>
      <w:r w:rsidRPr="00562AB0">
        <w:t xml:space="preserve">The groups are conducted by a professional moderator who keeps the session on track while allowing respondents to talk openly and spontaneously. The moderator uses a loosely structured discussion </w:t>
      </w:r>
      <w:r w:rsidR="00B75067">
        <w:t>guide</w:t>
      </w:r>
      <w:r w:rsidRPr="00562AB0">
        <w:t>, which allows him/her to change direction as the discussion unfolds and new topics emerge. Focus groups are valuable in exploring consumer reactions to message concepts before additional resources are put into development.</w:t>
      </w:r>
    </w:p>
    <w:p w14:paraId="4A0A47A4" w14:textId="77777777" w:rsidR="00C9767F" w:rsidRDefault="00C9767F" w:rsidP="00067F38">
      <w:pPr>
        <w:pStyle w:val="Level1"/>
        <w:widowControl/>
        <w:numPr>
          <w:ilvl w:val="0"/>
          <w:numId w:val="0"/>
        </w:numPr>
        <w:tabs>
          <w:tab w:val="left" w:pos="-1440"/>
        </w:tabs>
        <w:ind w:left="720"/>
        <w:rPr>
          <w:sz w:val="24"/>
        </w:rPr>
      </w:pPr>
    </w:p>
    <w:p w14:paraId="076B363F" w14:textId="6B8BC4E2" w:rsidR="005F218A" w:rsidRDefault="00C9767F" w:rsidP="005F218A">
      <w:pPr>
        <w:pStyle w:val="Level1"/>
        <w:widowControl/>
        <w:numPr>
          <w:ilvl w:val="0"/>
          <w:numId w:val="0"/>
        </w:numPr>
        <w:tabs>
          <w:tab w:val="left" w:pos="-1440"/>
        </w:tabs>
        <w:ind w:left="720" w:hanging="720"/>
        <w:rPr>
          <w:sz w:val="24"/>
        </w:rPr>
      </w:pPr>
      <w:r>
        <w:rPr>
          <w:sz w:val="24"/>
        </w:rPr>
        <w:t>For this study, e</w:t>
      </w:r>
      <w:r w:rsidR="00662609" w:rsidRPr="00067F38">
        <w:rPr>
          <w:sz w:val="24"/>
        </w:rPr>
        <w:t xml:space="preserve">ach </w:t>
      </w:r>
      <w:r w:rsidR="009A47E7">
        <w:rPr>
          <w:sz w:val="24"/>
        </w:rPr>
        <w:t>6</w:t>
      </w:r>
      <w:r w:rsidR="00277D25">
        <w:rPr>
          <w:sz w:val="24"/>
        </w:rPr>
        <w:t xml:space="preserve">0-minute </w:t>
      </w:r>
      <w:r w:rsidR="00662609" w:rsidRPr="00067F38">
        <w:rPr>
          <w:sz w:val="24"/>
        </w:rPr>
        <w:t xml:space="preserve">focus group will be conducted at a local </w:t>
      </w:r>
      <w:r w:rsidR="00486996" w:rsidRPr="00067F38">
        <w:rPr>
          <w:sz w:val="24"/>
        </w:rPr>
        <w:t xml:space="preserve">marketing </w:t>
      </w:r>
      <w:r w:rsidR="005F218A">
        <w:rPr>
          <w:sz w:val="24"/>
        </w:rPr>
        <w:t>research firm.</w:t>
      </w:r>
    </w:p>
    <w:p w14:paraId="370CD64B" w14:textId="48DDC468" w:rsidR="005F218A" w:rsidRDefault="00662609" w:rsidP="005F218A">
      <w:pPr>
        <w:pStyle w:val="Level1"/>
        <w:widowControl/>
        <w:numPr>
          <w:ilvl w:val="0"/>
          <w:numId w:val="0"/>
        </w:numPr>
        <w:tabs>
          <w:tab w:val="left" w:pos="-1440"/>
        </w:tabs>
        <w:ind w:left="720" w:hanging="720"/>
        <w:rPr>
          <w:sz w:val="24"/>
        </w:rPr>
      </w:pPr>
      <w:r w:rsidRPr="00067F38">
        <w:rPr>
          <w:sz w:val="24"/>
        </w:rPr>
        <w:t xml:space="preserve">With respondent consent, each group will be </w:t>
      </w:r>
      <w:r w:rsidR="00CE6AFD">
        <w:rPr>
          <w:sz w:val="24"/>
        </w:rPr>
        <w:t xml:space="preserve">digitally </w:t>
      </w:r>
      <w:r w:rsidR="00851E64">
        <w:rPr>
          <w:sz w:val="24"/>
        </w:rPr>
        <w:t>audio-</w:t>
      </w:r>
      <w:r w:rsidRPr="00067F38">
        <w:rPr>
          <w:sz w:val="24"/>
        </w:rPr>
        <w:t>recorded</w:t>
      </w:r>
      <w:r w:rsidR="00CE6AFD">
        <w:rPr>
          <w:sz w:val="24"/>
        </w:rPr>
        <w:t xml:space="preserve">. Focus groups </w:t>
      </w:r>
      <w:r w:rsidR="004619C1">
        <w:rPr>
          <w:sz w:val="24"/>
        </w:rPr>
        <w:t>may</w:t>
      </w:r>
      <w:r w:rsidR="00CE6AFD">
        <w:rPr>
          <w:sz w:val="24"/>
        </w:rPr>
        <w:t xml:space="preserve"> be</w:t>
      </w:r>
    </w:p>
    <w:p w14:paraId="0285D90F" w14:textId="77777777" w:rsidR="005F218A" w:rsidRDefault="00662609" w:rsidP="00991D00">
      <w:pPr>
        <w:pStyle w:val="Level1"/>
        <w:widowControl/>
        <w:numPr>
          <w:ilvl w:val="0"/>
          <w:numId w:val="0"/>
        </w:numPr>
        <w:tabs>
          <w:tab w:val="left" w:pos="-1440"/>
        </w:tabs>
        <w:rPr>
          <w:sz w:val="24"/>
        </w:rPr>
      </w:pPr>
      <w:r w:rsidRPr="00067F38">
        <w:rPr>
          <w:sz w:val="24"/>
        </w:rPr>
        <w:t>monitored by FDA</w:t>
      </w:r>
      <w:r w:rsidR="00851E64">
        <w:rPr>
          <w:sz w:val="24"/>
        </w:rPr>
        <w:t xml:space="preserve"> representatives from</w:t>
      </w:r>
      <w:r w:rsidRPr="00067F38">
        <w:rPr>
          <w:sz w:val="24"/>
        </w:rPr>
        <w:t xml:space="preserve"> behind a </w:t>
      </w:r>
      <w:r w:rsidR="00CE6AFD">
        <w:rPr>
          <w:sz w:val="24"/>
        </w:rPr>
        <w:t>one</w:t>
      </w:r>
      <w:r w:rsidRPr="00067F38">
        <w:rPr>
          <w:sz w:val="24"/>
        </w:rPr>
        <w:t xml:space="preserve">-way mirror. </w:t>
      </w:r>
      <w:r w:rsidR="004619C1">
        <w:rPr>
          <w:sz w:val="24"/>
        </w:rPr>
        <w:t>F</w:t>
      </w:r>
      <w:r w:rsidR="00425D9B">
        <w:rPr>
          <w:sz w:val="24"/>
        </w:rPr>
        <w:t xml:space="preserve">ocus groups will </w:t>
      </w:r>
      <w:r w:rsidR="004619C1">
        <w:rPr>
          <w:sz w:val="24"/>
        </w:rPr>
        <w:t xml:space="preserve">also </w:t>
      </w:r>
      <w:r w:rsidR="005F218A">
        <w:rPr>
          <w:sz w:val="24"/>
        </w:rPr>
        <w:t>be</w:t>
      </w:r>
    </w:p>
    <w:p w14:paraId="63E4D7CF" w14:textId="77777777" w:rsidR="005F218A" w:rsidRDefault="00425D9B" w:rsidP="00991D00">
      <w:pPr>
        <w:pStyle w:val="Level1"/>
        <w:widowControl/>
        <w:numPr>
          <w:ilvl w:val="0"/>
          <w:numId w:val="0"/>
        </w:numPr>
        <w:tabs>
          <w:tab w:val="left" w:pos="-1440"/>
        </w:tabs>
        <w:rPr>
          <w:sz w:val="24"/>
        </w:rPr>
      </w:pPr>
      <w:r>
        <w:rPr>
          <w:sz w:val="24"/>
        </w:rPr>
        <w:t xml:space="preserve">video-streamed such that FDA representatives can view them via a live webcast.  </w:t>
      </w:r>
      <w:r w:rsidR="005F218A">
        <w:rPr>
          <w:sz w:val="24"/>
        </w:rPr>
        <w:t>Using a</w:t>
      </w:r>
    </w:p>
    <w:p w14:paraId="28D22E84" w14:textId="2DCED4F5" w:rsidR="00562AB0" w:rsidRPr="00C9767F" w:rsidRDefault="003E4031" w:rsidP="00724B05">
      <w:pPr>
        <w:pStyle w:val="Level1"/>
        <w:widowControl/>
        <w:numPr>
          <w:ilvl w:val="0"/>
          <w:numId w:val="0"/>
        </w:numPr>
        <w:tabs>
          <w:tab w:val="left" w:pos="-1440"/>
        </w:tabs>
        <w:rPr>
          <w:sz w:val="24"/>
        </w:rPr>
      </w:pPr>
      <w:r>
        <w:rPr>
          <w:sz w:val="24"/>
        </w:rPr>
        <w:t>semi-</w:t>
      </w:r>
      <w:r w:rsidR="00C76226" w:rsidRPr="00067F38">
        <w:rPr>
          <w:sz w:val="24"/>
        </w:rPr>
        <w:t>structured moderator guide, a</w:t>
      </w:r>
      <w:r w:rsidR="00662609" w:rsidRPr="00067F38">
        <w:rPr>
          <w:sz w:val="24"/>
        </w:rPr>
        <w:t xml:space="preserve"> professional moderator will lead each group through a discussion</w:t>
      </w:r>
      <w:r>
        <w:rPr>
          <w:sz w:val="24"/>
        </w:rPr>
        <w:t xml:space="preserve"> </w:t>
      </w:r>
      <w:r w:rsidR="002C5A0C">
        <w:rPr>
          <w:sz w:val="24"/>
        </w:rPr>
        <w:t xml:space="preserve">about </w:t>
      </w:r>
      <w:r w:rsidR="004619C1">
        <w:rPr>
          <w:sz w:val="24"/>
        </w:rPr>
        <w:t xml:space="preserve">participants’ reactions to </w:t>
      </w:r>
      <w:r w:rsidR="00724B05" w:rsidRPr="003E4031">
        <w:rPr>
          <w:sz w:val="24"/>
        </w:rPr>
        <w:t xml:space="preserve">draft </w:t>
      </w:r>
      <w:r w:rsidR="00853DD4">
        <w:rPr>
          <w:sz w:val="24"/>
        </w:rPr>
        <w:t>a</w:t>
      </w:r>
      <w:r w:rsidR="00853DD4" w:rsidRPr="00F5124D">
        <w:rPr>
          <w:sz w:val="24"/>
        </w:rPr>
        <w:t xml:space="preserve">cute </w:t>
      </w:r>
      <w:r w:rsidR="00853DD4">
        <w:rPr>
          <w:sz w:val="24"/>
        </w:rPr>
        <w:t>n</w:t>
      </w:r>
      <w:r w:rsidR="00853DD4" w:rsidRPr="00F5124D">
        <w:rPr>
          <w:sz w:val="24"/>
        </w:rPr>
        <w:t xml:space="preserve">icotine </w:t>
      </w:r>
      <w:r w:rsidR="00853DD4">
        <w:rPr>
          <w:sz w:val="24"/>
        </w:rPr>
        <w:t>t</w:t>
      </w:r>
      <w:r w:rsidR="00853DD4" w:rsidRPr="00F5124D">
        <w:rPr>
          <w:sz w:val="24"/>
        </w:rPr>
        <w:t xml:space="preserve">oxicity </w:t>
      </w:r>
      <w:r w:rsidR="00853DD4">
        <w:rPr>
          <w:sz w:val="24"/>
        </w:rPr>
        <w:t>w</w:t>
      </w:r>
      <w:r w:rsidR="00853DD4" w:rsidRPr="00F5124D">
        <w:rPr>
          <w:sz w:val="24"/>
        </w:rPr>
        <w:t xml:space="preserve">arnings </w:t>
      </w:r>
      <w:r w:rsidR="00F5124D" w:rsidRPr="00F5124D">
        <w:rPr>
          <w:sz w:val="24"/>
        </w:rPr>
        <w:t xml:space="preserve">for </w:t>
      </w:r>
      <w:r w:rsidR="00853DD4">
        <w:rPr>
          <w:sz w:val="24"/>
        </w:rPr>
        <w:t>e</w:t>
      </w:r>
      <w:r w:rsidR="00F5124D" w:rsidRPr="00F5124D">
        <w:rPr>
          <w:sz w:val="24"/>
        </w:rPr>
        <w:t>-</w:t>
      </w:r>
      <w:r w:rsidR="00853DD4">
        <w:rPr>
          <w:sz w:val="24"/>
        </w:rPr>
        <w:t>l</w:t>
      </w:r>
      <w:r w:rsidR="00853DD4" w:rsidRPr="00F5124D">
        <w:rPr>
          <w:sz w:val="24"/>
        </w:rPr>
        <w:t>iquids</w:t>
      </w:r>
      <w:r w:rsidR="00A6202B">
        <w:rPr>
          <w:sz w:val="24"/>
        </w:rPr>
        <w:t>.</w:t>
      </w:r>
      <w:r w:rsidR="00075F13">
        <w:rPr>
          <w:sz w:val="24"/>
        </w:rPr>
        <w:t xml:space="preserve"> </w:t>
      </w:r>
    </w:p>
    <w:p w14:paraId="224F38D9" w14:textId="77777777" w:rsidR="00562AB0" w:rsidRPr="00562AB0" w:rsidRDefault="00562AB0" w:rsidP="00F12AEE">
      <w:pPr>
        <w:ind w:left="720"/>
      </w:pPr>
    </w:p>
    <w:p w14:paraId="5444ADD4" w14:textId="77777777" w:rsidR="003F1C7A" w:rsidRPr="00C66C31" w:rsidRDefault="003F1C7A" w:rsidP="00F12AEE">
      <w:pPr>
        <w:numPr>
          <w:ilvl w:val="0"/>
          <w:numId w:val="15"/>
        </w:numPr>
        <w:tabs>
          <w:tab w:val="num" w:pos="720"/>
        </w:tabs>
        <w:ind w:left="720"/>
      </w:pPr>
      <w:r w:rsidRPr="00E26798">
        <w:rPr>
          <w:b/>
        </w:rPr>
        <w:t>Number of focus groups</w:t>
      </w:r>
      <w:r w:rsidR="0049419A">
        <w:rPr>
          <w:b/>
        </w:rPr>
        <w:t>:</w:t>
      </w:r>
    </w:p>
    <w:p w14:paraId="69CD856A" w14:textId="170F8F12" w:rsidR="007A4331" w:rsidRDefault="00C66C31" w:rsidP="005F218A">
      <w:r>
        <w:t xml:space="preserve">There will be </w:t>
      </w:r>
      <w:r w:rsidR="009A47E7">
        <w:t>12</w:t>
      </w:r>
      <w:r>
        <w:t xml:space="preserve"> focus groups</w:t>
      </w:r>
      <w:r w:rsidR="00061515">
        <w:t xml:space="preserve"> representing a diverse population.</w:t>
      </w:r>
    </w:p>
    <w:p w14:paraId="0C8426D3" w14:textId="77777777" w:rsidR="0049419A" w:rsidRDefault="0049419A" w:rsidP="00F12AEE">
      <w:pPr>
        <w:ind w:left="720"/>
      </w:pPr>
    </w:p>
    <w:p w14:paraId="44D23508" w14:textId="77777777" w:rsidR="00660862" w:rsidRPr="0050483F" w:rsidRDefault="0049419A" w:rsidP="00CF07B8">
      <w:pPr>
        <w:numPr>
          <w:ilvl w:val="0"/>
          <w:numId w:val="15"/>
        </w:numPr>
        <w:tabs>
          <w:tab w:val="num" w:pos="720"/>
        </w:tabs>
        <w:ind w:left="720"/>
        <w:rPr>
          <w:b/>
        </w:rPr>
      </w:pPr>
      <w:r w:rsidRPr="0050483F">
        <w:rPr>
          <w:b/>
        </w:rPr>
        <w:t>Amount and justification for any proposed incentive:</w:t>
      </w:r>
      <w:r w:rsidR="003F1C7A" w:rsidRPr="0050483F">
        <w:t xml:space="preserve"> </w:t>
      </w:r>
    </w:p>
    <w:p w14:paraId="1371B067" w14:textId="49DFF5C1" w:rsidR="00233E55" w:rsidRDefault="00233E55" w:rsidP="00233E55">
      <w:r>
        <w:t xml:space="preserve">To ensure a high show rate, and to ensure that the data collected will be of a sufficiently high quality of data to allow FDA to have confidence in the findings to properly inform its efforts to continue development of </w:t>
      </w:r>
      <w:r w:rsidR="00853DD4">
        <w:t>draft a</w:t>
      </w:r>
      <w:r w:rsidRPr="0029690B">
        <w:t xml:space="preserve">cute </w:t>
      </w:r>
      <w:r w:rsidR="00853DD4">
        <w:t>n</w:t>
      </w:r>
      <w:r w:rsidRPr="0029690B">
        <w:t xml:space="preserve">icotine </w:t>
      </w:r>
      <w:r w:rsidR="00853DD4">
        <w:t>t</w:t>
      </w:r>
      <w:r>
        <w:t xml:space="preserve">oxicity </w:t>
      </w:r>
      <w:r w:rsidR="00853DD4">
        <w:t>w</w:t>
      </w:r>
      <w:r>
        <w:t xml:space="preserve">arnings for </w:t>
      </w:r>
      <w:r w:rsidR="00853DD4">
        <w:t>e</w:t>
      </w:r>
      <w:r>
        <w:t>-</w:t>
      </w:r>
      <w:r w:rsidR="00853DD4">
        <w:t>l</w:t>
      </w:r>
      <w:r>
        <w:t>iquids displayed on ENDS products, t</w:t>
      </w:r>
      <w:r w:rsidRPr="006372A2">
        <w:t>he amount of the proposed incentive is $</w:t>
      </w:r>
      <w:r>
        <w:t>40</w:t>
      </w:r>
      <w:r w:rsidRPr="006372A2">
        <w:t xml:space="preserve"> for adults</w:t>
      </w:r>
      <w:r>
        <w:t>,</w:t>
      </w:r>
      <w:r w:rsidRPr="006372A2">
        <w:t xml:space="preserve"> $</w:t>
      </w:r>
      <w:r>
        <w:t>25</w:t>
      </w:r>
      <w:r w:rsidRPr="006372A2">
        <w:t xml:space="preserve"> for adolescents, plu</w:t>
      </w:r>
      <w:r>
        <w:t>s $15 for their parent/guardian</w:t>
      </w:r>
      <w:r w:rsidRPr="006372A2">
        <w:t>.</w:t>
      </w:r>
    </w:p>
    <w:p w14:paraId="7142317E" w14:textId="2FE3BF76" w:rsidR="00233E55" w:rsidRDefault="00233E55" w:rsidP="005F218A">
      <w:pPr>
        <w:pStyle w:val="ListParagraph"/>
        <w:ind w:left="0"/>
      </w:pPr>
    </w:p>
    <w:p w14:paraId="4F495F94" w14:textId="25596346" w:rsidR="00660862" w:rsidRDefault="00660862" w:rsidP="005F218A">
      <w:pPr>
        <w:pStyle w:val="ListParagraph"/>
        <w:ind w:left="0"/>
      </w:pPr>
      <w:r>
        <w:t>Potential participants have competing demands for their time, so incentives are used to encourage participation in focus groups. Incentives must be high enough to cover travel costs, time, and to provide enough incentive to attend the focus group rather than another activity. Focus group studies run by industry offer incentives at much higher levels than those typically allowed by government studies, establishing a market rate that makes recruitment more difficult.  Additionally, incentives typically are higher for harder-to-recruit populations.</w:t>
      </w:r>
      <w:r>
        <w:rPr>
          <w:rStyle w:val="FootnoteReference"/>
        </w:rPr>
        <w:footnoteReference w:id="2"/>
      </w:r>
      <w:r>
        <w:t xml:space="preserve">   </w:t>
      </w:r>
    </w:p>
    <w:p w14:paraId="3F3B264E" w14:textId="453B72DC" w:rsidR="00991D00" w:rsidRDefault="00991D00" w:rsidP="00991D00"/>
    <w:p w14:paraId="5B394871" w14:textId="754F9DDC" w:rsidR="006372A2" w:rsidRDefault="006372A2" w:rsidP="00991D00">
      <w:r w:rsidRPr="006372A2">
        <w:t xml:space="preserve">Adults who use </w:t>
      </w:r>
      <w:r w:rsidR="009A47E7">
        <w:t>ENDS</w:t>
      </w:r>
      <w:r w:rsidRPr="006372A2">
        <w:t xml:space="preserve"> products are a difficult-to-reach population given the low prevalence of </w:t>
      </w:r>
      <w:r w:rsidR="00BC30A0">
        <w:t xml:space="preserve">current </w:t>
      </w:r>
      <w:r w:rsidR="009A47E7">
        <w:t>ENDS</w:t>
      </w:r>
      <w:r w:rsidRPr="006372A2">
        <w:t xml:space="preserve"> use </w:t>
      </w:r>
      <w:r w:rsidR="00BC30A0">
        <w:t xml:space="preserve">(5.5%) </w:t>
      </w:r>
      <w:r w:rsidRPr="006372A2">
        <w:t>in the general population</w:t>
      </w:r>
      <w:r w:rsidR="0072321A">
        <w:t>.</w:t>
      </w:r>
      <w:r w:rsidR="0072321A">
        <w:rPr>
          <w:rStyle w:val="FootnoteReference"/>
        </w:rPr>
        <w:footnoteReference w:id="3"/>
      </w:r>
      <w:r w:rsidR="0072321A">
        <w:t xml:space="preserve"> </w:t>
      </w:r>
      <w:r w:rsidRPr="006372A2">
        <w:t xml:space="preserve">Similarly, </w:t>
      </w:r>
      <w:r w:rsidR="009A47E7">
        <w:t>youth</w:t>
      </w:r>
      <w:r w:rsidRPr="006372A2">
        <w:t xml:space="preserve"> who use</w:t>
      </w:r>
      <w:r w:rsidR="009A47E7">
        <w:t xml:space="preserve"> </w:t>
      </w:r>
      <w:r w:rsidR="005A0001">
        <w:t xml:space="preserve">ENDS </w:t>
      </w:r>
      <w:r w:rsidRPr="006372A2">
        <w:t xml:space="preserve">are also a minority of the </w:t>
      </w:r>
      <w:r w:rsidR="00991D00">
        <w:t xml:space="preserve">overall </w:t>
      </w:r>
      <w:r w:rsidRPr="006372A2">
        <w:t>population.</w:t>
      </w:r>
      <w:r>
        <w:t xml:space="preserve"> Additionally, participation in focus groups requires substantial commitment and investment of time on the part of the participant, in that they must make a commitment to attend the discussion at a certain time on a specific date. Participation also requires participants to travel to a designated location, with the average commute in the United States metropolitan areas estimated at about 25.1 minutes</w:t>
      </w:r>
      <w:r w:rsidR="00990625">
        <w:t>,</w:t>
      </w:r>
      <w:r w:rsidR="00145997">
        <w:rPr>
          <w:rStyle w:val="FootnoteReference"/>
        </w:rPr>
        <w:footnoteReference w:id="4"/>
      </w:r>
      <w:r>
        <w:t xml:space="preserve"> and may also require that the participant obtain child care for a fee. Thus, incentives have long been considered a standard practice in conducting qualitative research such as focus groups. </w:t>
      </w:r>
    </w:p>
    <w:p w14:paraId="3F9CFA2E" w14:textId="77777777" w:rsidR="006372A2" w:rsidRDefault="006372A2" w:rsidP="006372A2">
      <w:pPr>
        <w:pStyle w:val="ListParagraph"/>
      </w:pPr>
    </w:p>
    <w:p w14:paraId="0B8EAD84" w14:textId="77777777" w:rsidR="002A1F7E" w:rsidRDefault="006372A2" w:rsidP="005F218A">
      <w:pPr>
        <w:pStyle w:val="ListParagraph"/>
        <w:ind w:left="0"/>
      </w:pPr>
      <w:r w:rsidRPr="00991D00">
        <w:t xml:space="preserve">The proposed incentive amounts are in line with </w:t>
      </w:r>
      <w:r w:rsidR="00991D00" w:rsidRPr="00991D00">
        <w:t>other federal information collections</w:t>
      </w:r>
      <w:r w:rsidR="002A1F7E">
        <w:t xml:space="preserve"> that use similar methods:</w:t>
      </w:r>
      <w:r w:rsidR="00991D00" w:rsidRPr="00991D00">
        <w:t xml:space="preserve"> </w:t>
      </w:r>
    </w:p>
    <w:p w14:paraId="2C5E2A9F" w14:textId="3FFD0B27" w:rsidR="00F13D2D" w:rsidRDefault="00F13D2D" w:rsidP="00F13D2D">
      <w:pPr>
        <w:pStyle w:val="ListParagraph"/>
        <w:numPr>
          <w:ilvl w:val="0"/>
          <w:numId w:val="30"/>
        </w:numPr>
      </w:pPr>
      <w:r w:rsidRPr="002A1F7E">
        <w:t xml:space="preserve">OMB No. 0651-0080:  </w:t>
      </w:r>
      <w:r w:rsidRPr="00F13D2D">
        <w:t>Clearance for the Collection of Qualitative Feedback</w:t>
      </w:r>
      <w:r w:rsidR="00E9400F">
        <w:t>; DOC/PTO</w:t>
      </w:r>
    </w:p>
    <w:p w14:paraId="3395CE69" w14:textId="27880F3E" w:rsidR="00F13D2D" w:rsidRDefault="00F13D2D" w:rsidP="00F13D2D">
      <w:pPr>
        <w:pStyle w:val="ListParagraph"/>
        <w:numPr>
          <w:ilvl w:val="0"/>
          <w:numId w:val="30"/>
        </w:numPr>
      </w:pPr>
      <w:r w:rsidRPr="002A1F7E">
        <w:t xml:space="preserve">OMB No. 2010-0042:  </w:t>
      </w:r>
      <w:r w:rsidRPr="00F13D2D">
        <w:t>Generic Clearance for the Collection of Qualitative Feedback on Agency Service Delivery</w:t>
      </w:r>
      <w:r w:rsidR="00C6458B">
        <w:t>; EPA/OP</w:t>
      </w:r>
    </w:p>
    <w:p w14:paraId="7A7F2139" w14:textId="2307B839" w:rsidR="00F13D2D" w:rsidRDefault="00F13D2D" w:rsidP="00F13D2D">
      <w:pPr>
        <w:pStyle w:val="ListParagraph"/>
        <w:numPr>
          <w:ilvl w:val="0"/>
          <w:numId w:val="30"/>
        </w:numPr>
      </w:pPr>
      <w:r>
        <w:t xml:space="preserve">OMB No. </w:t>
      </w:r>
      <w:r w:rsidRPr="002A1F7E">
        <w:t>3064-0198</w:t>
      </w:r>
      <w:r>
        <w:t xml:space="preserve">: </w:t>
      </w:r>
      <w:r w:rsidRPr="00F13D2D">
        <w:t>Information Collection for Qualitative Research</w:t>
      </w:r>
      <w:r w:rsidR="00C6458B">
        <w:t>; FDIC</w:t>
      </w:r>
    </w:p>
    <w:p w14:paraId="16D82460" w14:textId="05276F2E" w:rsidR="008E51B1" w:rsidRDefault="008E51B1" w:rsidP="008E51B1">
      <w:pPr>
        <w:pStyle w:val="ListParagraph"/>
        <w:numPr>
          <w:ilvl w:val="0"/>
          <w:numId w:val="30"/>
        </w:numPr>
      </w:pPr>
      <w:r>
        <w:t>OMB No. 0925-0648: Generic Clearance for the Collection of Qualitative Feedback on Agency Service Delivery; NIH</w:t>
      </w:r>
    </w:p>
    <w:p w14:paraId="1E3B1409" w14:textId="30B3267C" w:rsidR="008E51B1" w:rsidRDefault="008E51B1" w:rsidP="008E51B1">
      <w:pPr>
        <w:pStyle w:val="ListParagraph"/>
        <w:numPr>
          <w:ilvl w:val="0"/>
          <w:numId w:val="30"/>
        </w:numPr>
      </w:pPr>
      <w:r>
        <w:t>OMB No. 0970-0401: Fast Track Generic Clearance for Collection of Qualitative Feedback on Agency Service Delivery; HHS/ACF</w:t>
      </w:r>
    </w:p>
    <w:p w14:paraId="6C658DB9" w14:textId="6D328C50" w:rsidR="002A1F7E" w:rsidRDefault="002A1F7E" w:rsidP="00A019CF"/>
    <w:p w14:paraId="04369C78" w14:textId="1F9D30CB" w:rsidR="006372A2" w:rsidRDefault="006372A2" w:rsidP="002A1F7E">
      <w:pPr>
        <w:pStyle w:val="ListParagraph"/>
        <w:ind w:left="0"/>
      </w:pPr>
      <w:r w:rsidRPr="00991D00">
        <w:t>These standards also exist to provide fair compensation for costs incurr</w:t>
      </w:r>
      <w:r>
        <w:t xml:space="preserve">ed by participants while attending groups (i.e., travel and child care expenses). In addition to covering reasonable costs of participation, payment to participants is necessary to ensure that a sufficient number of respondents from the target populations participate in the study. </w:t>
      </w:r>
      <w:r w:rsidR="009D79DF">
        <w:t xml:space="preserve">Incentives </w:t>
      </w:r>
      <w:r>
        <w:t>to participants must encourage potential participants to agree to allocate their time to the focus group discussion and maintain that commitment on the day of the research</w:t>
      </w:r>
      <w:r w:rsidR="00991D00">
        <w:t xml:space="preserve"> ensuring high-quality data</w:t>
      </w:r>
      <w:r>
        <w:t xml:space="preserve">. </w:t>
      </w:r>
    </w:p>
    <w:p w14:paraId="3E1D4E55" w14:textId="77777777" w:rsidR="006372A2" w:rsidRDefault="006372A2" w:rsidP="006372A2">
      <w:pPr>
        <w:pStyle w:val="ListParagraph"/>
      </w:pPr>
    </w:p>
    <w:p w14:paraId="0552E933" w14:textId="7B87DBB3" w:rsidR="006372A2" w:rsidRDefault="006372A2" w:rsidP="005F218A">
      <w:pPr>
        <w:pStyle w:val="ListParagraph"/>
        <w:ind w:left="0"/>
      </w:pPr>
      <w:r>
        <w:t xml:space="preserve">Offering no incentive or a smaller incentive could potentially exclude sections of the population who cannot attend the groups, either due to the cost of child care and/or travel or the cost of missing work. Excluding sections of the population would limit the </w:t>
      </w:r>
      <w:r w:rsidR="00991D00">
        <w:t xml:space="preserve">quality of the </w:t>
      </w:r>
      <w:r>
        <w:t xml:space="preserve">information that would be gained through the focus group discussion and potentially bias the information needed to address the research questions of interest, thus negatively impacting data quality. </w:t>
      </w:r>
      <w:r w:rsidR="00990625" w:rsidRPr="00990625">
        <w:t xml:space="preserve">An insufficient incentive level </w:t>
      </w:r>
      <w:r w:rsidR="00990625">
        <w:t xml:space="preserve">also </w:t>
      </w:r>
      <w:r w:rsidR="00990625" w:rsidRPr="00990625">
        <w:t>increases recruitment difficulty (thereby reducing cost efficiency) and increases the likelihood that recruits who do agree to participate in groups, will end up not showing up for the discussion.  Low participation may result in inadequate data collection, or, in the worst cases, cancellation of groups and loss of costs associated with facility rentals, recruitment, travel costs, an</w:t>
      </w:r>
      <w:r w:rsidR="00990625">
        <w:t xml:space="preserve">d moderator and observer time. </w:t>
      </w:r>
      <w:r w:rsidR="00990625" w:rsidRPr="00990625">
        <w:t xml:space="preserve">Given FDA’s need to understand consumer reactions to </w:t>
      </w:r>
      <w:r w:rsidR="00F13418">
        <w:t xml:space="preserve">draft </w:t>
      </w:r>
      <w:r w:rsidR="00853DD4">
        <w:t>acute nicotine toxicity warnings for e-liquids</w:t>
      </w:r>
      <w:r w:rsidR="00853DD4" w:rsidRPr="00990625">
        <w:t xml:space="preserve"> </w:t>
      </w:r>
      <w:r w:rsidR="00990625" w:rsidRPr="00990625">
        <w:t xml:space="preserve">among varied populations, it is critical to this data collection that we provide adequate incentives to encourage participation among the limited number of eligible adult and </w:t>
      </w:r>
      <w:r w:rsidR="009A47E7">
        <w:t>youth</w:t>
      </w:r>
      <w:r w:rsidR="00990625" w:rsidRPr="00990625">
        <w:t xml:space="preserve"> </w:t>
      </w:r>
      <w:r w:rsidR="009A47E7">
        <w:t>ENDS</w:t>
      </w:r>
      <w:r w:rsidR="00990625" w:rsidRPr="00990625">
        <w:t xml:space="preserve"> users. Thus, to obtain the sample of participants required by our study, while also minimizing </w:t>
      </w:r>
      <w:r w:rsidR="00567A09">
        <w:t xml:space="preserve">selection biases </w:t>
      </w:r>
      <w:r w:rsidR="00990625" w:rsidRPr="00990625">
        <w:t>and balancing recruitment expenses, it is critical we offer a sufficient level of incentive.</w:t>
      </w:r>
    </w:p>
    <w:p w14:paraId="58C90698" w14:textId="77777777" w:rsidR="006372A2" w:rsidRDefault="006372A2" w:rsidP="006372A2">
      <w:pPr>
        <w:pStyle w:val="ListParagraph"/>
      </w:pPr>
    </w:p>
    <w:p w14:paraId="330ED07C" w14:textId="75C0CFAC" w:rsidR="00500B12" w:rsidRDefault="006372A2" w:rsidP="005F218A">
      <w:pPr>
        <w:pStyle w:val="ListParagraph"/>
        <w:ind w:left="0"/>
      </w:pPr>
      <w:r>
        <w:t>We anticipate that without the cash incentive, we would need to screen more people to achieve the desired cooperation rate</w:t>
      </w:r>
      <w:r w:rsidR="00991D00">
        <w:t xml:space="preserve"> and among those that agree to participate the quality of information collected would be lower</w:t>
      </w:r>
      <w:r>
        <w:t xml:space="preserve">. The current estimated burden for the participant screening </w:t>
      </w:r>
      <w:r w:rsidRPr="00453A8B">
        <w:t xml:space="preserve">is </w:t>
      </w:r>
      <w:r w:rsidR="00453A8B" w:rsidRPr="00453A8B">
        <w:t>216</w:t>
      </w:r>
      <w:r w:rsidR="00453A8B">
        <w:t xml:space="preserve"> </w:t>
      </w:r>
      <w:r w:rsidRPr="00453A8B">
        <w:t>hours.</w:t>
      </w:r>
      <w:r>
        <w:t xml:space="preserve"> Without the incentive, we expect the burden to be approximately </w:t>
      </w:r>
      <w:r w:rsidR="00453A8B" w:rsidRPr="00453A8B">
        <w:t>302</w:t>
      </w:r>
      <w:r w:rsidRPr="00453A8B">
        <w:t xml:space="preserve"> hour</w:t>
      </w:r>
      <w:r>
        <w:t>s, an increase of approximately 40%. The cost to respondents and the federal government would increase accordingly.</w:t>
      </w:r>
    </w:p>
    <w:p w14:paraId="5A60E1AA" w14:textId="77777777" w:rsidR="00660862" w:rsidRDefault="00660862" w:rsidP="00660862">
      <w:pPr>
        <w:pStyle w:val="ListParagraph"/>
      </w:pPr>
    </w:p>
    <w:p w14:paraId="51BE0E93" w14:textId="77777777" w:rsidR="002E5034" w:rsidRDefault="002E5034" w:rsidP="00F12AEE">
      <w:pPr>
        <w:pStyle w:val="ListParagraph"/>
      </w:pPr>
    </w:p>
    <w:p w14:paraId="0341F2C0" w14:textId="77777777" w:rsidR="00140A0D" w:rsidRDefault="00140A0D" w:rsidP="00140A0D">
      <w:pPr>
        <w:numPr>
          <w:ilvl w:val="0"/>
          <w:numId w:val="15"/>
        </w:numPr>
        <w:tabs>
          <w:tab w:val="num" w:pos="720"/>
          <w:tab w:val="num" w:pos="900"/>
        </w:tabs>
        <w:ind w:left="720"/>
        <w:rPr>
          <w:b/>
        </w:rPr>
      </w:pPr>
      <w:r>
        <w:rPr>
          <w:b/>
        </w:rPr>
        <w:t>Questions of a Sensitive Nature:</w:t>
      </w:r>
    </w:p>
    <w:p w14:paraId="140A5EF5" w14:textId="260462AE" w:rsidR="00E31F4F" w:rsidRDefault="00E31F4F" w:rsidP="005F218A">
      <w:r>
        <w:t xml:space="preserve">Some studies require the inclusion of people who match selected characteristics of the target audience that FDA is trying to reach. This </w:t>
      </w:r>
      <w:r w:rsidR="00963C9E">
        <w:t>will</w:t>
      </w:r>
      <w:r>
        <w:t xml:space="preserve"> require asking a question about race/ethnicity</w:t>
      </w:r>
      <w:r w:rsidR="00552E1A">
        <w:t xml:space="preserve"> </w:t>
      </w:r>
      <w:r w:rsidR="00963C9E">
        <w:t xml:space="preserve"> </w:t>
      </w:r>
      <w:r w:rsidR="00552E1A">
        <w:t xml:space="preserve">and </w:t>
      </w:r>
      <w:r>
        <w:t xml:space="preserve">education </w:t>
      </w:r>
      <w:r w:rsidR="00552E1A">
        <w:t xml:space="preserve">level on </w:t>
      </w:r>
      <w:r>
        <w:t xml:space="preserve">the initial screening questionnaire used for recruiting. Potential participants are informed </w:t>
      </w:r>
      <w:r w:rsidR="005247FE">
        <w:t xml:space="preserve">that </w:t>
      </w:r>
      <w:r w:rsidR="0083389E">
        <w:t>these questions are asked to ensure</w:t>
      </w:r>
      <w:r>
        <w:t xml:space="preserve"> that FDA speaks with the kinds of people for whom its messages are intended</w:t>
      </w:r>
      <w:r w:rsidR="005247FE">
        <w:t xml:space="preserve">. </w:t>
      </w:r>
      <w:r>
        <w:t>Again, respondents are assured that the information</w:t>
      </w:r>
      <w:r w:rsidR="0083389E">
        <w:t xml:space="preserve"> they provide</w:t>
      </w:r>
      <w:r>
        <w:t xml:space="preserve"> is voluntary and will be treated as private </w:t>
      </w:r>
      <w:r w:rsidR="0096613B">
        <w:t>to the extent allowable by law</w:t>
      </w:r>
      <w:r>
        <w:t xml:space="preserve">. </w:t>
      </w:r>
      <w:r w:rsidR="00F75707">
        <w:t>All information on race/ethnicity will comply fully with the standards of OMB Statistical Policy Directive No. 15, October 1997 (</w:t>
      </w:r>
      <w:r w:rsidR="00F75707" w:rsidRPr="007D4E49">
        <w:t>62 FR 58782</w:t>
      </w:r>
      <w:r w:rsidR="00F75707">
        <w:t>).</w:t>
      </w:r>
    </w:p>
    <w:p w14:paraId="6CE9A11D" w14:textId="77777777" w:rsidR="00E31F4F" w:rsidRDefault="00E31F4F" w:rsidP="00E31F4F">
      <w:pPr>
        <w:ind w:left="720"/>
      </w:pPr>
    </w:p>
    <w:p w14:paraId="59D6CAA6" w14:textId="17E0BDBC" w:rsidR="00E31F4F" w:rsidRDefault="007747CB" w:rsidP="005F218A">
      <w:r>
        <w:t xml:space="preserve">In this study, participants will be asked </w:t>
      </w:r>
      <w:r w:rsidR="00AC205C">
        <w:t xml:space="preserve">what </w:t>
      </w:r>
      <w:r w:rsidR="00853DD4">
        <w:t>a</w:t>
      </w:r>
      <w:r w:rsidR="00853DD4" w:rsidRPr="00F5124D">
        <w:t xml:space="preserve">cute </w:t>
      </w:r>
      <w:r w:rsidR="00853DD4">
        <w:t>n</w:t>
      </w:r>
      <w:r w:rsidR="00853DD4" w:rsidRPr="00F5124D">
        <w:t xml:space="preserve">icotine </w:t>
      </w:r>
      <w:r w:rsidR="00853DD4">
        <w:t>t</w:t>
      </w:r>
      <w:r w:rsidR="00853DD4" w:rsidRPr="00F5124D">
        <w:t xml:space="preserve">oxicity </w:t>
      </w:r>
      <w:r w:rsidR="00853DD4">
        <w:t>w</w:t>
      </w:r>
      <w:r w:rsidR="00853DD4" w:rsidRPr="00F5124D">
        <w:t xml:space="preserve">arnings </w:t>
      </w:r>
      <w:r w:rsidR="00F5124D" w:rsidRPr="00F5124D">
        <w:t xml:space="preserve">for </w:t>
      </w:r>
      <w:r w:rsidR="00853DD4">
        <w:t>e</w:t>
      </w:r>
      <w:r w:rsidR="00F5124D" w:rsidRPr="00F5124D">
        <w:t>-</w:t>
      </w:r>
      <w:r w:rsidR="00853DD4">
        <w:t>l</w:t>
      </w:r>
      <w:r w:rsidR="00F5124D" w:rsidRPr="00F5124D">
        <w:t xml:space="preserve">iquids </w:t>
      </w:r>
      <w:r w:rsidR="00AC205C" w:rsidRPr="00AC205C">
        <w:t xml:space="preserve">teach </w:t>
      </w:r>
      <w:r w:rsidR="00AC205C">
        <w:t>them</w:t>
      </w:r>
      <w:r w:rsidR="00AC205C" w:rsidRPr="00AC205C">
        <w:t xml:space="preserve"> about the </w:t>
      </w:r>
      <w:r w:rsidR="009A47E7">
        <w:t xml:space="preserve">risks of acute toxicity </w:t>
      </w:r>
      <w:r w:rsidR="00567A09">
        <w:t>from</w:t>
      </w:r>
      <w:r w:rsidR="009A47E7">
        <w:t xml:space="preserve"> exposure to nicotine-containing e-liquids in ENDS products</w:t>
      </w:r>
      <w:r w:rsidR="00CF6AB1">
        <w:t xml:space="preserve">; </w:t>
      </w:r>
      <w:r w:rsidR="00AC205C">
        <w:t>however</w:t>
      </w:r>
      <w:r w:rsidR="00CF6AB1">
        <w:t>,</w:t>
      </w:r>
      <w:r w:rsidR="00AC205C">
        <w:t xml:space="preserve"> the questions could potentially provoke responses of a personal nature</w:t>
      </w:r>
      <w:r>
        <w:t xml:space="preserve">. </w:t>
      </w:r>
      <w:r w:rsidRPr="007747CB">
        <w:t xml:space="preserve"> </w:t>
      </w:r>
      <w:r w:rsidR="00D96CD1">
        <w:t>P</w:t>
      </w:r>
      <w:r w:rsidR="00E31F4F">
        <w:t>articipants are informed prior to actual participation a</w:t>
      </w:r>
      <w:r w:rsidR="0083389E">
        <w:t>bout the nature of the activity</w:t>
      </w:r>
      <w:r w:rsidR="00E31F4F">
        <w:t>.</w:t>
      </w:r>
      <w:r w:rsidR="0083389E">
        <w:t xml:space="preserve"> Additionally, th</w:t>
      </w:r>
      <w:r w:rsidR="00E31F4F">
        <w:t xml:space="preserve">e moderator makes it clear </w:t>
      </w:r>
      <w:r w:rsidR="0083389E">
        <w:t xml:space="preserve">at the beginning of each group </w:t>
      </w:r>
      <w:r w:rsidR="00E31F4F">
        <w:t xml:space="preserve">that </w:t>
      </w:r>
      <w:r w:rsidR="0083389E">
        <w:t>respondents</w:t>
      </w:r>
      <w:r w:rsidR="00E31F4F">
        <w:t xml:space="preserve"> do not have to respond to any question that makes them uncomfortable.</w:t>
      </w:r>
    </w:p>
    <w:p w14:paraId="2029188D" w14:textId="77777777" w:rsidR="00E31F4F" w:rsidRDefault="00E31F4F" w:rsidP="00E31F4F">
      <w:pPr>
        <w:ind w:left="720"/>
      </w:pPr>
    </w:p>
    <w:p w14:paraId="639F8F52" w14:textId="77777777" w:rsidR="00E31F4F" w:rsidRPr="00E31F4F" w:rsidRDefault="00E31F4F" w:rsidP="005F218A">
      <w:r>
        <w:t xml:space="preserve">Raw data from data collections that include sensitive information (for example, screening questionnaires and audio </w:t>
      </w:r>
      <w:r w:rsidR="0033132B">
        <w:t>recordings</w:t>
      </w:r>
      <w:r>
        <w:t>) are not retained once the data have been extracted and aggregated</w:t>
      </w:r>
      <w:r w:rsidR="005247FE">
        <w:t xml:space="preserve">. </w:t>
      </w:r>
      <w:r>
        <w:t>The information never becomes part of a system of records containing permanent identifiers that can be used for retrieval.</w:t>
      </w:r>
    </w:p>
    <w:p w14:paraId="7B4A1C2B" w14:textId="77777777" w:rsidR="00140A0D" w:rsidRDefault="00140A0D" w:rsidP="00140A0D">
      <w:pPr>
        <w:pStyle w:val="ListParagraph"/>
      </w:pPr>
    </w:p>
    <w:p w14:paraId="6527A697" w14:textId="77777777" w:rsidR="00140A0D" w:rsidRDefault="00140A0D" w:rsidP="00140A0D">
      <w:pPr>
        <w:numPr>
          <w:ilvl w:val="0"/>
          <w:numId w:val="15"/>
        </w:numPr>
        <w:tabs>
          <w:tab w:val="num" w:pos="720"/>
          <w:tab w:val="num" w:pos="900"/>
        </w:tabs>
        <w:ind w:left="720"/>
        <w:rPr>
          <w:b/>
        </w:rPr>
      </w:pPr>
      <w:r>
        <w:rPr>
          <w:b/>
        </w:rPr>
        <w:t>Description of Statistical Methods (</w:t>
      </w:r>
      <w:r w:rsidR="00552E1A">
        <w:rPr>
          <w:b/>
        </w:rPr>
        <w:t>i.e.,</w:t>
      </w:r>
      <w:r w:rsidR="00E971FC">
        <w:rPr>
          <w:b/>
        </w:rPr>
        <w:t xml:space="preserve"> </w:t>
      </w:r>
      <w:r>
        <w:rPr>
          <w:b/>
        </w:rPr>
        <w:t>Sample Size &amp; Method of Selection):</w:t>
      </w:r>
    </w:p>
    <w:p w14:paraId="3D2ECA32" w14:textId="77777777" w:rsidR="0090768C" w:rsidRDefault="0090768C" w:rsidP="005F218A">
      <w:pPr>
        <w:pStyle w:val="ListParagraph"/>
        <w:ind w:left="0"/>
      </w:pPr>
      <w:r>
        <w:t xml:space="preserve">In general, </w:t>
      </w:r>
      <w:r w:rsidR="00552E1A">
        <w:t xml:space="preserve">focus group research </w:t>
      </w:r>
      <w:r>
        <w:t xml:space="preserve">relies on qualitative methods and is not intended to yield results that </w:t>
      </w:r>
      <w:r w:rsidR="00226DF3">
        <w:t xml:space="preserve">are statistically projectable. </w:t>
      </w:r>
      <w:r w:rsidR="00BF5F7B">
        <w:t xml:space="preserve"> </w:t>
      </w:r>
      <w:r w:rsidR="00CC2B2F">
        <w:t>Q</w:t>
      </w:r>
      <w:r>
        <w:t xml:space="preserve">uota sampling </w:t>
      </w:r>
      <w:r w:rsidR="00CC2B2F">
        <w:t>will be</w:t>
      </w:r>
      <w:r>
        <w:t xml:space="preserve"> used to select a convenience sample of individuals who meet certain qualifications that reflect characteristics typical of the target audience</w:t>
      </w:r>
      <w:r w:rsidR="005247FE">
        <w:t xml:space="preserve">. </w:t>
      </w:r>
      <w:r>
        <w:t xml:space="preserve">Response rate is not applicable to quota sampling because this type of sampling results in a nonprobability sample </w:t>
      </w:r>
      <w:r w:rsidR="0015552B">
        <w:t xml:space="preserve">that </w:t>
      </w:r>
      <w:r>
        <w:t>is not representative of the population.</w:t>
      </w:r>
      <w:r w:rsidR="00226DF3">
        <w:t xml:space="preserve"> </w:t>
      </w:r>
      <w:r w:rsidR="00CC2B2F">
        <w:t>For this focus group</w:t>
      </w:r>
      <w:r w:rsidR="00226DF3">
        <w:t xml:space="preserve"> study</w:t>
      </w:r>
      <w:r w:rsidR="00CC2B2F">
        <w:t xml:space="preserve">, </w:t>
      </w:r>
      <w:r>
        <w:t xml:space="preserve">all respondents </w:t>
      </w:r>
      <w:r w:rsidR="00CC2B2F">
        <w:t>will be</w:t>
      </w:r>
      <w:r>
        <w:t xml:space="preserve"> initially contacted by telephone</w:t>
      </w:r>
      <w:r w:rsidR="00CC2B2F">
        <w:t>,</w:t>
      </w:r>
      <w:r>
        <w:t xml:space="preserve"> </w:t>
      </w:r>
      <w:r w:rsidR="00CC2B2F">
        <w:t xml:space="preserve">and some </w:t>
      </w:r>
      <w:r>
        <w:t xml:space="preserve">overrecruiting </w:t>
      </w:r>
      <w:r w:rsidR="00CC2B2F">
        <w:t>may be</w:t>
      </w:r>
      <w:r>
        <w:t xml:space="preserve"> done to compensate for nonrespondents</w:t>
      </w:r>
      <w:r w:rsidR="00226DF3">
        <w:t xml:space="preserve"> (</w:t>
      </w:r>
      <w:r w:rsidR="00545931">
        <w:t>i.e.</w:t>
      </w:r>
      <w:r w:rsidR="00226DF3">
        <w:t>, no shows)</w:t>
      </w:r>
      <w:r>
        <w:t>.</w:t>
      </w:r>
    </w:p>
    <w:p w14:paraId="470FA3C0" w14:textId="77777777" w:rsidR="00140A0D" w:rsidRDefault="00140A0D" w:rsidP="00F12AEE">
      <w:pPr>
        <w:pStyle w:val="ListParagraph"/>
      </w:pPr>
    </w:p>
    <w:p w14:paraId="3E09D072" w14:textId="77777777" w:rsidR="003F1C7A" w:rsidRDefault="003F1C7A">
      <w:pPr>
        <w:rPr>
          <w:i/>
        </w:rPr>
      </w:pPr>
      <w:r>
        <w:rPr>
          <w:b/>
        </w:rPr>
        <w:t>BURDEN HOUR COMPUTATION</w:t>
      </w:r>
      <w:r>
        <w:t xml:space="preserve"> </w:t>
      </w:r>
      <w:r w:rsidR="00A24BA7">
        <w:rPr>
          <w:i/>
        </w:rPr>
        <w:t>(Number of respond</w:t>
      </w:r>
      <w:r>
        <w:rPr>
          <w:i/>
        </w:rPr>
        <w:t>e</w:t>
      </w:r>
      <w:r w:rsidR="00A24BA7">
        <w:rPr>
          <w:i/>
        </w:rPr>
        <w:t>nt</w:t>
      </w:r>
      <w:r>
        <w:rPr>
          <w:i/>
        </w:rPr>
        <w:t>s</w:t>
      </w:r>
      <w:r w:rsidR="0049419A">
        <w:rPr>
          <w:i/>
        </w:rPr>
        <w:t xml:space="preserve"> </w:t>
      </w:r>
      <w:r w:rsidR="00A24BA7">
        <w:rPr>
          <w:i/>
        </w:rPr>
        <w:t>X</w:t>
      </w:r>
      <w:r>
        <w:rPr>
          <w:i/>
        </w:rPr>
        <w:t xml:space="preserve"> estimated response or </w:t>
      </w:r>
      <w:r w:rsidR="00A24BA7">
        <w:rPr>
          <w:i/>
        </w:rPr>
        <w:t>participation time in minutes/60</w:t>
      </w:r>
      <w:r>
        <w:rPr>
          <w:i/>
        </w:rPr>
        <w:t xml:space="preserve"> = annual burden hours):</w:t>
      </w:r>
    </w:p>
    <w:p w14:paraId="198E7B22" w14:textId="77777777" w:rsidR="003F1C7A" w:rsidRDefault="003F1C7A">
      <w:pPr>
        <w:keepNext/>
        <w:keepLines/>
        <w:rPr>
          <w:b/>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1529"/>
        <w:gridCol w:w="1832"/>
        <w:gridCol w:w="1777"/>
      </w:tblGrid>
      <w:tr w:rsidR="003F1C7A" w14:paraId="6971FD19" w14:textId="77777777" w:rsidTr="00A369C7">
        <w:trPr>
          <w:trHeight w:val="274"/>
          <w:jc w:val="center"/>
        </w:trPr>
        <w:tc>
          <w:tcPr>
            <w:tcW w:w="4437" w:type="dxa"/>
            <w:shd w:val="clear" w:color="auto" w:fill="E0E0E0"/>
            <w:vAlign w:val="bottom"/>
          </w:tcPr>
          <w:p w14:paraId="0A169967" w14:textId="77777777" w:rsidR="003F1C7A" w:rsidRDefault="00696B03">
            <w:pPr>
              <w:jc w:val="center"/>
              <w:rPr>
                <w:b/>
              </w:rPr>
            </w:pPr>
            <w:r>
              <w:rPr>
                <w:b/>
              </w:rPr>
              <w:t>Type/</w:t>
            </w:r>
            <w:r w:rsidR="003F1C7A">
              <w:rPr>
                <w:b/>
              </w:rPr>
              <w:t>Category of Respondent</w:t>
            </w:r>
          </w:p>
        </w:tc>
        <w:tc>
          <w:tcPr>
            <w:tcW w:w="1529" w:type="dxa"/>
            <w:shd w:val="clear" w:color="auto" w:fill="E0E0E0"/>
          </w:tcPr>
          <w:p w14:paraId="2007B3ED" w14:textId="77777777" w:rsidR="003F1C7A" w:rsidRDefault="003F1C7A" w:rsidP="00696B03">
            <w:pPr>
              <w:jc w:val="center"/>
              <w:rPr>
                <w:b/>
              </w:rPr>
            </w:pPr>
            <w:r>
              <w:rPr>
                <w:b/>
              </w:rPr>
              <w:t>No. of Respondent</w:t>
            </w:r>
            <w:r w:rsidR="00696B03">
              <w:rPr>
                <w:b/>
              </w:rPr>
              <w:t>s</w:t>
            </w:r>
          </w:p>
        </w:tc>
        <w:tc>
          <w:tcPr>
            <w:tcW w:w="1832" w:type="dxa"/>
            <w:shd w:val="clear" w:color="auto" w:fill="E0E0E0"/>
          </w:tcPr>
          <w:p w14:paraId="628E44B7" w14:textId="77777777" w:rsidR="003F1C7A" w:rsidRDefault="003F1C7A">
            <w:pPr>
              <w:jc w:val="center"/>
              <w:rPr>
                <w:b/>
              </w:rPr>
            </w:pPr>
            <w:r>
              <w:rPr>
                <w:b/>
              </w:rPr>
              <w:t>Participation Time</w:t>
            </w:r>
            <w:r w:rsidR="00696B03">
              <w:rPr>
                <w:b/>
              </w:rPr>
              <w:t xml:space="preserve"> (minutes)</w:t>
            </w:r>
          </w:p>
        </w:tc>
        <w:tc>
          <w:tcPr>
            <w:tcW w:w="1777" w:type="dxa"/>
            <w:shd w:val="clear" w:color="auto" w:fill="E0E0E0"/>
            <w:vAlign w:val="bottom"/>
          </w:tcPr>
          <w:p w14:paraId="06EF1479" w14:textId="77777777" w:rsidR="003F1C7A" w:rsidRDefault="003F1C7A">
            <w:pPr>
              <w:jc w:val="center"/>
              <w:rPr>
                <w:b/>
              </w:rPr>
            </w:pPr>
            <w:r>
              <w:rPr>
                <w:b/>
              </w:rPr>
              <w:t>Burden</w:t>
            </w:r>
          </w:p>
          <w:p w14:paraId="1CF12054" w14:textId="670288DC" w:rsidR="00696B03" w:rsidRDefault="00696B03" w:rsidP="00D53F23">
            <w:pPr>
              <w:jc w:val="center"/>
              <w:rPr>
                <w:b/>
              </w:rPr>
            </w:pPr>
            <w:r>
              <w:rPr>
                <w:b/>
              </w:rPr>
              <w:t>(</w:t>
            </w:r>
            <w:r w:rsidR="00C31F3A">
              <w:rPr>
                <w:b/>
              </w:rPr>
              <w:t>hours</w:t>
            </w:r>
            <w:r>
              <w:rPr>
                <w:b/>
              </w:rPr>
              <w:t>)</w:t>
            </w:r>
          </w:p>
        </w:tc>
      </w:tr>
      <w:tr w:rsidR="00790D35" w14:paraId="4A28C272" w14:textId="77777777" w:rsidTr="00A369C7">
        <w:trPr>
          <w:trHeight w:val="274"/>
          <w:jc w:val="center"/>
        </w:trPr>
        <w:tc>
          <w:tcPr>
            <w:tcW w:w="4437" w:type="dxa"/>
            <w:shd w:val="clear" w:color="auto" w:fill="E0E0E0"/>
            <w:vAlign w:val="bottom"/>
          </w:tcPr>
          <w:p w14:paraId="550785F7" w14:textId="77777777" w:rsidR="00790D35" w:rsidRDefault="00790D35">
            <w:pPr>
              <w:jc w:val="center"/>
              <w:rPr>
                <w:b/>
              </w:rPr>
            </w:pPr>
          </w:p>
        </w:tc>
        <w:tc>
          <w:tcPr>
            <w:tcW w:w="1529" w:type="dxa"/>
            <w:shd w:val="clear" w:color="auto" w:fill="E0E0E0"/>
          </w:tcPr>
          <w:p w14:paraId="1CAB456D" w14:textId="77777777" w:rsidR="00790D35" w:rsidRDefault="00790D35" w:rsidP="00696B03">
            <w:pPr>
              <w:jc w:val="center"/>
              <w:rPr>
                <w:b/>
              </w:rPr>
            </w:pPr>
          </w:p>
        </w:tc>
        <w:tc>
          <w:tcPr>
            <w:tcW w:w="1832" w:type="dxa"/>
            <w:shd w:val="clear" w:color="auto" w:fill="E0E0E0"/>
          </w:tcPr>
          <w:p w14:paraId="71932144" w14:textId="77777777" w:rsidR="00790D35" w:rsidRDefault="00790D35">
            <w:pPr>
              <w:jc w:val="center"/>
              <w:rPr>
                <w:b/>
              </w:rPr>
            </w:pPr>
          </w:p>
        </w:tc>
        <w:tc>
          <w:tcPr>
            <w:tcW w:w="1777" w:type="dxa"/>
            <w:shd w:val="clear" w:color="auto" w:fill="E0E0E0"/>
            <w:vAlign w:val="bottom"/>
          </w:tcPr>
          <w:p w14:paraId="34701029" w14:textId="77777777" w:rsidR="00790D35" w:rsidRDefault="00790D35">
            <w:pPr>
              <w:jc w:val="center"/>
              <w:rPr>
                <w:b/>
              </w:rPr>
            </w:pPr>
          </w:p>
        </w:tc>
      </w:tr>
      <w:tr w:rsidR="00307F43" w14:paraId="7028DF45" w14:textId="77777777" w:rsidTr="00AE5CA3">
        <w:trPr>
          <w:trHeight w:val="274"/>
          <w:jc w:val="center"/>
        </w:trPr>
        <w:tc>
          <w:tcPr>
            <w:tcW w:w="4437" w:type="dxa"/>
            <w:shd w:val="clear" w:color="auto" w:fill="F2F2F2"/>
          </w:tcPr>
          <w:p w14:paraId="18B8692E" w14:textId="4BE10D9D" w:rsidR="00A95CBC" w:rsidRDefault="00235077" w:rsidP="00AE5CA3">
            <w:pPr>
              <w:ind w:left="270"/>
              <w:rPr>
                <w:b/>
              </w:rPr>
            </w:pPr>
            <w:r>
              <w:rPr>
                <w:b/>
              </w:rPr>
              <w:t>Youth</w:t>
            </w:r>
            <w:r w:rsidR="00307F43">
              <w:rPr>
                <w:b/>
              </w:rPr>
              <w:t xml:space="preserve"> (1</w:t>
            </w:r>
            <w:r w:rsidR="000672FF">
              <w:rPr>
                <w:b/>
              </w:rPr>
              <w:t>4</w:t>
            </w:r>
            <w:r w:rsidR="00307F43">
              <w:rPr>
                <w:b/>
              </w:rPr>
              <w:t>-17 years old)</w:t>
            </w:r>
            <w:r w:rsidR="00307F43" w:rsidRPr="00AE5CA3">
              <w:rPr>
                <w:b/>
              </w:rPr>
              <w:t xml:space="preserve">: </w:t>
            </w:r>
          </w:p>
          <w:p w14:paraId="75A7D469" w14:textId="2376D54B" w:rsidR="00307F43" w:rsidRPr="00AE5CA3" w:rsidRDefault="00246F95" w:rsidP="00AE5CA3">
            <w:pPr>
              <w:ind w:left="270"/>
              <w:rPr>
                <w:b/>
              </w:rPr>
            </w:pPr>
            <w:r>
              <w:rPr>
                <w:b/>
              </w:rPr>
              <w:t>4</w:t>
            </w:r>
            <w:r w:rsidR="00307F43" w:rsidRPr="00AE5CA3">
              <w:rPr>
                <w:b/>
              </w:rPr>
              <w:t xml:space="preserve"> groups </w:t>
            </w:r>
            <w:r w:rsidR="007110CC">
              <w:rPr>
                <w:b/>
              </w:rPr>
              <w:t>with</w:t>
            </w:r>
            <w:r w:rsidR="00307F43" w:rsidRPr="00AE5CA3">
              <w:rPr>
                <w:b/>
              </w:rPr>
              <w:t xml:space="preserve"> 12</w:t>
            </w:r>
            <w:r w:rsidR="00307F43">
              <w:rPr>
                <w:b/>
              </w:rPr>
              <w:t xml:space="preserve"> participants</w:t>
            </w:r>
            <w:r w:rsidR="007110CC">
              <w:rPr>
                <w:b/>
              </w:rPr>
              <w:t xml:space="preserve"> per group</w:t>
            </w:r>
          </w:p>
        </w:tc>
        <w:tc>
          <w:tcPr>
            <w:tcW w:w="1529" w:type="dxa"/>
            <w:shd w:val="clear" w:color="auto" w:fill="F2F2F2"/>
          </w:tcPr>
          <w:p w14:paraId="428CC405" w14:textId="77777777" w:rsidR="00307F43" w:rsidRPr="00AE5CA3" w:rsidRDefault="00307F43" w:rsidP="00D44395">
            <w:pPr>
              <w:jc w:val="center"/>
              <w:rPr>
                <w:b/>
              </w:rPr>
            </w:pPr>
          </w:p>
        </w:tc>
        <w:tc>
          <w:tcPr>
            <w:tcW w:w="1832" w:type="dxa"/>
            <w:shd w:val="clear" w:color="auto" w:fill="F2F2F2"/>
          </w:tcPr>
          <w:p w14:paraId="2D48C1AB" w14:textId="77777777" w:rsidR="00307F43" w:rsidRPr="00AE5CA3" w:rsidRDefault="00307F43">
            <w:pPr>
              <w:jc w:val="center"/>
              <w:rPr>
                <w:b/>
              </w:rPr>
            </w:pPr>
          </w:p>
        </w:tc>
        <w:tc>
          <w:tcPr>
            <w:tcW w:w="1777" w:type="dxa"/>
            <w:shd w:val="clear" w:color="auto" w:fill="F2F2F2"/>
          </w:tcPr>
          <w:p w14:paraId="5B3A8C65" w14:textId="77777777" w:rsidR="00307F43" w:rsidRPr="00AE5CA3" w:rsidRDefault="00307F43" w:rsidP="00256767">
            <w:pPr>
              <w:jc w:val="center"/>
              <w:rPr>
                <w:b/>
              </w:rPr>
            </w:pPr>
          </w:p>
        </w:tc>
      </w:tr>
      <w:tr w:rsidR="00D53F23" w14:paraId="48DA3A88" w14:textId="77777777" w:rsidTr="00A369C7">
        <w:trPr>
          <w:trHeight w:val="274"/>
          <w:jc w:val="center"/>
        </w:trPr>
        <w:tc>
          <w:tcPr>
            <w:tcW w:w="4437" w:type="dxa"/>
          </w:tcPr>
          <w:p w14:paraId="6B0A5F70" w14:textId="77777777" w:rsidR="00D53F23" w:rsidRPr="007747CB" w:rsidRDefault="00AA311F" w:rsidP="00307F43">
            <w:pPr>
              <w:ind w:left="720"/>
            </w:pPr>
            <w:r>
              <w:t xml:space="preserve">Initial Screener </w:t>
            </w:r>
          </w:p>
        </w:tc>
        <w:tc>
          <w:tcPr>
            <w:tcW w:w="1529" w:type="dxa"/>
          </w:tcPr>
          <w:p w14:paraId="07FC31D2" w14:textId="6A2C0D21" w:rsidR="00D53F23" w:rsidRPr="00DF62AD" w:rsidRDefault="00517C66" w:rsidP="00D44395">
            <w:pPr>
              <w:jc w:val="center"/>
            </w:pPr>
            <w:r w:rsidRPr="00DF62AD">
              <w:t>720</w:t>
            </w:r>
          </w:p>
        </w:tc>
        <w:tc>
          <w:tcPr>
            <w:tcW w:w="1832" w:type="dxa"/>
          </w:tcPr>
          <w:p w14:paraId="710FE894" w14:textId="77777777" w:rsidR="00D53F23" w:rsidRDefault="00D53F23">
            <w:pPr>
              <w:jc w:val="center"/>
            </w:pPr>
            <w:r>
              <w:t>6</w:t>
            </w:r>
          </w:p>
        </w:tc>
        <w:tc>
          <w:tcPr>
            <w:tcW w:w="1777" w:type="dxa"/>
          </w:tcPr>
          <w:p w14:paraId="0A5A64D0" w14:textId="3D69DF4E" w:rsidR="00D53F23" w:rsidRDefault="00517C66" w:rsidP="00256767">
            <w:pPr>
              <w:jc w:val="center"/>
            </w:pPr>
            <w:r>
              <w:t>72</w:t>
            </w:r>
          </w:p>
        </w:tc>
      </w:tr>
      <w:tr w:rsidR="00B2105A" w14:paraId="7DDFF9AA" w14:textId="77777777" w:rsidTr="00A369C7">
        <w:trPr>
          <w:trHeight w:val="274"/>
          <w:jc w:val="center"/>
        </w:trPr>
        <w:tc>
          <w:tcPr>
            <w:tcW w:w="4437" w:type="dxa"/>
          </w:tcPr>
          <w:p w14:paraId="77044B5E" w14:textId="77777777" w:rsidR="00B2105A" w:rsidRDefault="00EF5E26" w:rsidP="00307F43">
            <w:pPr>
              <w:ind w:left="720"/>
            </w:pPr>
            <w:r>
              <w:t>Parent</w:t>
            </w:r>
            <w:r w:rsidR="00B2105A">
              <w:t xml:space="preserve"> </w:t>
            </w:r>
            <w:r w:rsidR="00B24183">
              <w:t>Permission</w:t>
            </w:r>
            <w:r w:rsidR="00AA311F">
              <w:t xml:space="preserve"> </w:t>
            </w:r>
            <w:r>
              <w:t>Form</w:t>
            </w:r>
          </w:p>
        </w:tc>
        <w:tc>
          <w:tcPr>
            <w:tcW w:w="1529" w:type="dxa"/>
          </w:tcPr>
          <w:p w14:paraId="7ACC5ECA" w14:textId="7249C896" w:rsidR="00B2105A" w:rsidRPr="00DF62AD" w:rsidRDefault="00246F95" w:rsidP="00D44395">
            <w:pPr>
              <w:jc w:val="center"/>
            </w:pPr>
            <w:r w:rsidRPr="00DF62AD">
              <w:t>48</w:t>
            </w:r>
          </w:p>
        </w:tc>
        <w:tc>
          <w:tcPr>
            <w:tcW w:w="1832" w:type="dxa"/>
          </w:tcPr>
          <w:p w14:paraId="0D5D5F27" w14:textId="77777777" w:rsidR="00B2105A" w:rsidRDefault="00B230B2">
            <w:pPr>
              <w:jc w:val="center"/>
            </w:pPr>
            <w:r>
              <w:t>10</w:t>
            </w:r>
          </w:p>
        </w:tc>
        <w:tc>
          <w:tcPr>
            <w:tcW w:w="1777" w:type="dxa"/>
          </w:tcPr>
          <w:p w14:paraId="521800B5" w14:textId="2F9A19B7" w:rsidR="00B2105A" w:rsidRDefault="00246F95" w:rsidP="00256767">
            <w:pPr>
              <w:jc w:val="center"/>
            </w:pPr>
            <w:r>
              <w:t>8</w:t>
            </w:r>
          </w:p>
        </w:tc>
      </w:tr>
      <w:tr w:rsidR="00B2105A" w14:paraId="6A0439D5" w14:textId="77777777" w:rsidTr="00A369C7">
        <w:trPr>
          <w:trHeight w:val="274"/>
          <w:jc w:val="center"/>
        </w:trPr>
        <w:tc>
          <w:tcPr>
            <w:tcW w:w="4437" w:type="dxa"/>
          </w:tcPr>
          <w:p w14:paraId="1479EDC4" w14:textId="77777777" w:rsidR="00B2105A" w:rsidRDefault="00307F43" w:rsidP="00790D35">
            <w:pPr>
              <w:ind w:left="720"/>
            </w:pPr>
            <w:r>
              <w:t>Adolescent Assent</w:t>
            </w:r>
            <w:r w:rsidR="00EF5E26">
              <w:t xml:space="preserve"> Form</w:t>
            </w:r>
          </w:p>
        </w:tc>
        <w:tc>
          <w:tcPr>
            <w:tcW w:w="1529" w:type="dxa"/>
          </w:tcPr>
          <w:p w14:paraId="24A3272F" w14:textId="50F14ECB" w:rsidR="00B2105A" w:rsidRDefault="00246F95" w:rsidP="00D44395">
            <w:pPr>
              <w:jc w:val="center"/>
            </w:pPr>
            <w:r>
              <w:t>48</w:t>
            </w:r>
          </w:p>
        </w:tc>
        <w:tc>
          <w:tcPr>
            <w:tcW w:w="1832" w:type="dxa"/>
          </w:tcPr>
          <w:p w14:paraId="22230BA5" w14:textId="77777777" w:rsidR="00B2105A" w:rsidRDefault="00B230B2">
            <w:pPr>
              <w:jc w:val="center"/>
            </w:pPr>
            <w:r>
              <w:t>10</w:t>
            </w:r>
          </w:p>
        </w:tc>
        <w:tc>
          <w:tcPr>
            <w:tcW w:w="1777" w:type="dxa"/>
          </w:tcPr>
          <w:p w14:paraId="35827D0D" w14:textId="3E82CB1C" w:rsidR="00B2105A" w:rsidRDefault="00246F95" w:rsidP="00256767">
            <w:pPr>
              <w:jc w:val="center"/>
            </w:pPr>
            <w:r>
              <w:t>8</w:t>
            </w:r>
          </w:p>
        </w:tc>
      </w:tr>
      <w:tr w:rsidR="00D53F23" w14:paraId="313C47FD" w14:textId="77777777" w:rsidTr="00A369C7">
        <w:trPr>
          <w:trHeight w:val="274"/>
          <w:jc w:val="center"/>
        </w:trPr>
        <w:tc>
          <w:tcPr>
            <w:tcW w:w="4437" w:type="dxa"/>
          </w:tcPr>
          <w:p w14:paraId="3F2B7F9D" w14:textId="77777777" w:rsidR="00D53F23" w:rsidRPr="007747CB" w:rsidRDefault="00B2105A" w:rsidP="00307F43">
            <w:pPr>
              <w:ind w:left="720"/>
            </w:pPr>
            <w:r>
              <w:t>Focus group discussion</w:t>
            </w:r>
          </w:p>
        </w:tc>
        <w:tc>
          <w:tcPr>
            <w:tcW w:w="1529" w:type="dxa"/>
          </w:tcPr>
          <w:p w14:paraId="02CB7EB5" w14:textId="74DD6875" w:rsidR="00D53F23" w:rsidRDefault="00246F95" w:rsidP="00490CD4">
            <w:pPr>
              <w:jc w:val="center"/>
            </w:pPr>
            <w:r>
              <w:t>48</w:t>
            </w:r>
          </w:p>
        </w:tc>
        <w:tc>
          <w:tcPr>
            <w:tcW w:w="1832" w:type="dxa"/>
          </w:tcPr>
          <w:p w14:paraId="53C8A2F8" w14:textId="7F0CC707" w:rsidR="00D53F23" w:rsidRDefault="00246F95" w:rsidP="00490CD4">
            <w:pPr>
              <w:jc w:val="center"/>
            </w:pPr>
            <w:r>
              <w:t>60</w:t>
            </w:r>
          </w:p>
        </w:tc>
        <w:tc>
          <w:tcPr>
            <w:tcW w:w="1777" w:type="dxa"/>
          </w:tcPr>
          <w:p w14:paraId="5320ED4B" w14:textId="3CA1A5CC" w:rsidR="00D53F23" w:rsidRDefault="00246F95" w:rsidP="00490CD4">
            <w:pPr>
              <w:jc w:val="center"/>
            </w:pPr>
            <w:r>
              <w:t>48</w:t>
            </w:r>
          </w:p>
        </w:tc>
      </w:tr>
      <w:tr w:rsidR="00307F43" w14:paraId="21C60087" w14:textId="77777777" w:rsidTr="00AE5CA3">
        <w:trPr>
          <w:trHeight w:val="274"/>
          <w:jc w:val="center"/>
        </w:trPr>
        <w:tc>
          <w:tcPr>
            <w:tcW w:w="4437" w:type="dxa"/>
            <w:shd w:val="clear" w:color="auto" w:fill="F2F2F2"/>
          </w:tcPr>
          <w:p w14:paraId="70A28468" w14:textId="747BE614" w:rsidR="00307F43" w:rsidRPr="00AE5CA3" w:rsidRDefault="00307F43" w:rsidP="00AE5CA3">
            <w:pPr>
              <w:ind w:left="270"/>
              <w:rPr>
                <w:b/>
              </w:rPr>
            </w:pPr>
            <w:r w:rsidRPr="00AE5CA3">
              <w:rPr>
                <w:b/>
              </w:rPr>
              <w:t>Adults (≥</w:t>
            </w:r>
            <w:r w:rsidR="00B230B2">
              <w:rPr>
                <w:b/>
              </w:rPr>
              <w:t>18</w:t>
            </w:r>
            <w:r w:rsidRPr="00AE5CA3">
              <w:rPr>
                <w:b/>
              </w:rPr>
              <w:t xml:space="preserve"> years old): </w:t>
            </w:r>
            <w:r w:rsidR="00246F95">
              <w:rPr>
                <w:b/>
              </w:rPr>
              <w:t>8</w:t>
            </w:r>
            <w:r w:rsidRPr="00AE5CA3">
              <w:rPr>
                <w:b/>
              </w:rPr>
              <w:t xml:space="preserve"> groups</w:t>
            </w:r>
            <w:r w:rsidR="007110CC">
              <w:rPr>
                <w:b/>
              </w:rPr>
              <w:t xml:space="preserve"> with</w:t>
            </w:r>
            <w:r w:rsidRPr="00AE5CA3">
              <w:rPr>
                <w:b/>
              </w:rPr>
              <w:t xml:space="preserve"> 12</w:t>
            </w:r>
            <w:r>
              <w:rPr>
                <w:b/>
              </w:rPr>
              <w:t xml:space="preserve"> participants </w:t>
            </w:r>
            <w:r w:rsidR="007110CC">
              <w:rPr>
                <w:b/>
              </w:rPr>
              <w:t>per group</w:t>
            </w:r>
          </w:p>
        </w:tc>
        <w:tc>
          <w:tcPr>
            <w:tcW w:w="1529" w:type="dxa"/>
            <w:shd w:val="clear" w:color="auto" w:fill="F2F2F2"/>
          </w:tcPr>
          <w:p w14:paraId="25BE7F45" w14:textId="77777777" w:rsidR="00307F43" w:rsidRPr="00AE5CA3" w:rsidRDefault="00307F43" w:rsidP="00411149">
            <w:pPr>
              <w:jc w:val="center"/>
              <w:rPr>
                <w:b/>
              </w:rPr>
            </w:pPr>
          </w:p>
        </w:tc>
        <w:tc>
          <w:tcPr>
            <w:tcW w:w="1832" w:type="dxa"/>
            <w:shd w:val="clear" w:color="auto" w:fill="F2F2F2"/>
          </w:tcPr>
          <w:p w14:paraId="18254CB7" w14:textId="77777777" w:rsidR="00307F43" w:rsidRPr="00AE5CA3" w:rsidRDefault="00307F43">
            <w:pPr>
              <w:jc w:val="center"/>
              <w:rPr>
                <w:b/>
              </w:rPr>
            </w:pPr>
          </w:p>
        </w:tc>
        <w:tc>
          <w:tcPr>
            <w:tcW w:w="1777" w:type="dxa"/>
            <w:shd w:val="clear" w:color="auto" w:fill="F2F2F2"/>
          </w:tcPr>
          <w:p w14:paraId="69FCC95E" w14:textId="77777777" w:rsidR="00307F43" w:rsidRPr="00AE5CA3" w:rsidRDefault="00307F43">
            <w:pPr>
              <w:jc w:val="center"/>
              <w:rPr>
                <w:b/>
              </w:rPr>
            </w:pPr>
          </w:p>
        </w:tc>
      </w:tr>
      <w:tr w:rsidR="00D53F23" w14:paraId="5003CEE5" w14:textId="77777777" w:rsidTr="00A369C7">
        <w:trPr>
          <w:trHeight w:val="274"/>
          <w:jc w:val="center"/>
        </w:trPr>
        <w:tc>
          <w:tcPr>
            <w:tcW w:w="4437" w:type="dxa"/>
          </w:tcPr>
          <w:p w14:paraId="440F0BAA" w14:textId="77777777" w:rsidR="00D53F23" w:rsidRPr="007747CB" w:rsidRDefault="00D53F23" w:rsidP="00307F43">
            <w:pPr>
              <w:ind w:left="720"/>
            </w:pPr>
            <w:r>
              <w:t>Initial Screener</w:t>
            </w:r>
          </w:p>
        </w:tc>
        <w:tc>
          <w:tcPr>
            <w:tcW w:w="1529" w:type="dxa"/>
          </w:tcPr>
          <w:p w14:paraId="103F63AF" w14:textId="24682F08" w:rsidR="00D53F23" w:rsidRDefault="00517C66" w:rsidP="00411149">
            <w:pPr>
              <w:jc w:val="center"/>
            </w:pPr>
            <w:r>
              <w:t>1440</w:t>
            </w:r>
          </w:p>
        </w:tc>
        <w:tc>
          <w:tcPr>
            <w:tcW w:w="1832" w:type="dxa"/>
          </w:tcPr>
          <w:p w14:paraId="6ADFEBC4" w14:textId="77777777" w:rsidR="00D53F23" w:rsidRDefault="00D53F23">
            <w:pPr>
              <w:jc w:val="center"/>
            </w:pPr>
            <w:r>
              <w:t>6</w:t>
            </w:r>
          </w:p>
        </w:tc>
        <w:tc>
          <w:tcPr>
            <w:tcW w:w="1777" w:type="dxa"/>
          </w:tcPr>
          <w:p w14:paraId="2B64AB13" w14:textId="1EE1BCFC" w:rsidR="00D53F23" w:rsidRDefault="00517C66">
            <w:pPr>
              <w:jc w:val="center"/>
            </w:pPr>
            <w:r>
              <w:t>144</w:t>
            </w:r>
          </w:p>
        </w:tc>
      </w:tr>
      <w:tr w:rsidR="00813415" w14:paraId="4CE2BB75" w14:textId="77777777" w:rsidTr="00A369C7">
        <w:trPr>
          <w:trHeight w:val="274"/>
          <w:jc w:val="center"/>
        </w:trPr>
        <w:tc>
          <w:tcPr>
            <w:tcW w:w="4437" w:type="dxa"/>
          </w:tcPr>
          <w:p w14:paraId="3D24FC9C" w14:textId="77777777" w:rsidR="00813415" w:rsidRDefault="00EF5E26" w:rsidP="00307F43">
            <w:pPr>
              <w:ind w:left="720"/>
            </w:pPr>
            <w:r>
              <w:t xml:space="preserve">Adult </w:t>
            </w:r>
            <w:r w:rsidR="00813415">
              <w:t xml:space="preserve">Consent </w:t>
            </w:r>
            <w:r>
              <w:t>Form</w:t>
            </w:r>
          </w:p>
        </w:tc>
        <w:tc>
          <w:tcPr>
            <w:tcW w:w="1529" w:type="dxa"/>
          </w:tcPr>
          <w:p w14:paraId="4EFBC935" w14:textId="703CBF94" w:rsidR="00813415" w:rsidRPr="00B230B2" w:rsidRDefault="00246F95" w:rsidP="00411149">
            <w:pPr>
              <w:jc w:val="center"/>
            </w:pPr>
            <w:r>
              <w:t>96</w:t>
            </w:r>
          </w:p>
        </w:tc>
        <w:tc>
          <w:tcPr>
            <w:tcW w:w="1832" w:type="dxa"/>
          </w:tcPr>
          <w:p w14:paraId="2C62DC9C" w14:textId="77777777" w:rsidR="00813415" w:rsidRDefault="00B230B2">
            <w:pPr>
              <w:jc w:val="center"/>
            </w:pPr>
            <w:r>
              <w:t>10</w:t>
            </w:r>
          </w:p>
        </w:tc>
        <w:tc>
          <w:tcPr>
            <w:tcW w:w="1777" w:type="dxa"/>
          </w:tcPr>
          <w:p w14:paraId="67B604CB" w14:textId="1D2293C4" w:rsidR="00813415" w:rsidRDefault="00246F95">
            <w:pPr>
              <w:jc w:val="center"/>
            </w:pPr>
            <w:r>
              <w:t>16</w:t>
            </w:r>
          </w:p>
        </w:tc>
      </w:tr>
      <w:tr w:rsidR="00D53F23" w14:paraId="5CB5CBC1" w14:textId="77777777" w:rsidTr="00A369C7">
        <w:trPr>
          <w:trHeight w:val="274"/>
          <w:jc w:val="center"/>
        </w:trPr>
        <w:tc>
          <w:tcPr>
            <w:tcW w:w="4437" w:type="dxa"/>
          </w:tcPr>
          <w:p w14:paraId="313E5DEF" w14:textId="77777777" w:rsidR="00B2105A" w:rsidRDefault="00813415" w:rsidP="00790D35">
            <w:pPr>
              <w:ind w:left="720"/>
            </w:pPr>
            <w:r>
              <w:t xml:space="preserve">Focus group discussion - </w:t>
            </w:r>
          </w:p>
          <w:p w14:paraId="40A658EA" w14:textId="77777777" w:rsidR="00D53F23" w:rsidRPr="007747CB" w:rsidRDefault="00D53F23" w:rsidP="00307F43">
            <w:pPr>
              <w:ind w:left="720"/>
            </w:pPr>
            <w:r>
              <w:t xml:space="preserve">Adults </w:t>
            </w:r>
          </w:p>
        </w:tc>
        <w:tc>
          <w:tcPr>
            <w:tcW w:w="1529" w:type="dxa"/>
          </w:tcPr>
          <w:p w14:paraId="48ADE099" w14:textId="3FAC508C" w:rsidR="00D53F23" w:rsidRDefault="00246F95" w:rsidP="00411149">
            <w:pPr>
              <w:jc w:val="center"/>
            </w:pPr>
            <w:r>
              <w:t>96</w:t>
            </w:r>
          </w:p>
        </w:tc>
        <w:tc>
          <w:tcPr>
            <w:tcW w:w="1832" w:type="dxa"/>
          </w:tcPr>
          <w:p w14:paraId="518E3462" w14:textId="3929B795" w:rsidR="00D53F23" w:rsidRDefault="00246F95">
            <w:pPr>
              <w:jc w:val="center"/>
            </w:pPr>
            <w:r>
              <w:t>60</w:t>
            </w:r>
          </w:p>
        </w:tc>
        <w:tc>
          <w:tcPr>
            <w:tcW w:w="1777" w:type="dxa"/>
          </w:tcPr>
          <w:p w14:paraId="577C7588" w14:textId="0FD8E297" w:rsidR="00D53F23" w:rsidRDefault="00246F95">
            <w:pPr>
              <w:jc w:val="center"/>
            </w:pPr>
            <w:r>
              <w:t>96</w:t>
            </w:r>
          </w:p>
        </w:tc>
      </w:tr>
      <w:tr w:rsidR="00C360A2" w14:paraId="47B2D1D0" w14:textId="77777777" w:rsidTr="00A369C7">
        <w:trPr>
          <w:trHeight w:val="274"/>
          <w:jc w:val="center"/>
        </w:trPr>
        <w:tc>
          <w:tcPr>
            <w:tcW w:w="4437" w:type="dxa"/>
          </w:tcPr>
          <w:p w14:paraId="0B4CAAF0" w14:textId="03BE1E7D" w:rsidR="00C360A2" w:rsidRDefault="00C360A2" w:rsidP="00C360A2">
            <w:pPr>
              <w:ind w:left="720"/>
            </w:pPr>
            <w:r>
              <w:t xml:space="preserve">         Total Screened</w:t>
            </w:r>
          </w:p>
        </w:tc>
        <w:tc>
          <w:tcPr>
            <w:tcW w:w="1529" w:type="dxa"/>
          </w:tcPr>
          <w:p w14:paraId="17466F37" w14:textId="1A4C6CD6" w:rsidR="00C360A2" w:rsidRDefault="00C360A2" w:rsidP="00411149">
            <w:pPr>
              <w:jc w:val="center"/>
            </w:pPr>
            <w:r>
              <w:t>2,160</w:t>
            </w:r>
          </w:p>
        </w:tc>
        <w:tc>
          <w:tcPr>
            <w:tcW w:w="1832" w:type="dxa"/>
          </w:tcPr>
          <w:p w14:paraId="04254309" w14:textId="77777777" w:rsidR="00C360A2" w:rsidRDefault="00C360A2">
            <w:pPr>
              <w:jc w:val="center"/>
            </w:pPr>
          </w:p>
        </w:tc>
        <w:tc>
          <w:tcPr>
            <w:tcW w:w="1777" w:type="dxa"/>
          </w:tcPr>
          <w:p w14:paraId="248970A3" w14:textId="77777777" w:rsidR="00C360A2" w:rsidRDefault="00C360A2">
            <w:pPr>
              <w:jc w:val="center"/>
            </w:pPr>
          </w:p>
        </w:tc>
      </w:tr>
      <w:tr w:rsidR="00D53F23" w14:paraId="245B98F7" w14:textId="77777777" w:rsidTr="00A369C7">
        <w:trPr>
          <w:trHeight w:val="274"/>
          <w:jc w:val="center"/>
        </w:trPr>
        <w:tc>
          <w:tcPr>
            <w:tcW w:w="4437" w:type="dxa"/>
          </w:tcPr>
          <w:p w14:paraId="455693CA" w14:textId="7515D477" w:rsidR="00D53F23" w:rsidRDefault="00D53F23" w:rsidP="00C360A2">
            <w:pPr>
              <w:jc w:val="center"/>
            </w:pPr>
            <w:r>
              <w:t>Total</w:t>
            </w:r>
            <w:r w:rsidR="00C360A2">
              <w:t xml:space="preserve"> Participants</w:t>
            </w:r>
          </w:p>
        </w:tc>
        <w:tc>
          <w:tcPr>
            <w:tcW w:w="1529" w:type="dxa"/>
          </w:tcPr>
          <w:p w14:paraId="25707CB5" w14:textId="7BEA635D" w:rsidR="00D53F23" w:rsidRPr="00531E36" w:rsidRDefault="00246F95" w:rsidP="00411149">
            <w:pPr>
              <w:jc w:val="center"/>
            </w:pPr>
            <w:r w:rsidRPr="00531E36">
              <w:t>144</w:t>
            </w:r>
          </w:p>
        </w:tc>
        <w:tc>
          <w:tcPr>
            <w:tcW w:w="1832" w:type="dxa"/>
          </w:tcPr>
          <w:p w14:paraId="676CFACD" w14:textId="77777777" w:rsidR="00D53F23" w:rsidRDefault="00D53F23">
            <w:pPr>
              <w:jc w:val="center"/>
            </w:pPr>
          </w:p>
        </w:tc>
        <w:tc>
          <w:tcPr>
            <w:tcW w:w="1777" w:type="dxa"/>
          </w:tcPr>
          <w:p w14:paraId="5ADE7C83" w14:textId="0F98F557" w:rsidR="00D53F23" w:rsidRPr="00531E36" w:rsidRDefault="00BA76A0" w:rsidP="00A369C7">
            <w:pPr>
              <w:jc w:val="center"/>
            </w:pPr>
            <w:r w:rsidRPr="00531E36">
              <w:t>392</w:t>
            </w:r>
          </w:p>
        </w:tc>
      </w:tr>
      <w:tr w:rsidR="00C360A2" w14:paraId="6202CEF7" w14:textId="77777777" w:rsidTr="00A369C7">
        <w:trPr>
          <w:trHeight w:val="274"/>
          <w:jc w:val="center"/>
        </w:trPr>
        <w:tc>
          <w:tcPr>
            <w:tcW w:w="4437" w:type="dxa"/>
          </w:tcPr>
          <w:p w14:paraId="143F9871" w14:textId="3848DD98" w:rsidR="00C360A2" w:rsidRDefault="00531E36">
            <w:pPr>
              <w:jc w:val="center"/>
            </w:pPr>
            <w:r>
              <w:t>Total</w:t>
            </w:r>
          </w:p>
        </w:tc>
        <w:tc>
          <w:tcPr>
            <w:tcW w:w="1529" w:type="dxa"/>
          </w:tcPr>
          <w:p w14:paraId="66C7E8D6" w14:textId="4A0DB5FE" w:rsidR="00C360A2" w:rsidRDefault="00531E36" w:rsidP="00411149">
            <w:pPr>
              <w:jc w:val="center"/>
              <w:rPr>
                <w:b/>
              </w:rPr>
            </w:pPr>
            <w:r>
              <w:rPr>
                <w:b/>
              </w:rPr>
              <w:t>2,304</w:t>
            </w:r>
          </w:p>
        </w:tc>
        <w:tc>
          <w:tcPr>
            <w:tcW w:w="1832" w:type="dxa"/>
          </w:tcPr>
          <w:p w14:paraId="1E3C4604" w14:textId="77777777" w:rsidR="00C360A2" w:rsidRDefault="00C360A2">
            <w:pPr>
              <w:jc w:val="center"/>
            </w:pPr>
          </w:p>
        </w:tc>
        <w:tc>
          <w:tcPr>
            <w:tcW w:w="1777" w:type="dxa"/>
          </w:tcPr>
          <w:p w14:paraId="0956CCFE" w14:textId="68458C17" w:rsidR="00C360A2" w:rsidRDefault="00531E36" w:rsidP="00A369C7">
            <w:pPr>
              <w:jc w:val="center"/>
              <w:rPr>
                <w:b/>
              </w:rPr>
            </w:pPr>
            <w:r>
              <w:rPr>
                <w:b/>
              </w:rPr>
              <w:t>392</w:t>
            </w:r>
          </w:p>
        </w:tc>
      </w:tr>
    </w:tbl>
    <w:p w14:paraId="264FFE00" w14:textId="77777777" w:rsidR="003F1C7A" w:rsidRDefault="003F1C7A"/>
    <w:p w14:paraId="65D005B0" w14:textId="390F3A9C" w:rsidR="003F1C7A" w:rsidRDefault="003F1C7A" w:rsidP="00CF07B8">
      <w:r>
        <w:rPr>
          <w:b/>
        </w:rPr>
        <w:t>REQUESTED APPROVAL DATE</w:t>
      </w:r>
      <w:r w:rsidR="0015552B">
        <w:rPr>
          <w:b/>
        </w:rPr>
        <w:t xml:space="preserve">: </w:t>
      </w:r>
      <w:r w:rsidR="009E6C24">
        <w:t>February 1</w:t>
      </w:r>
      <w:r w:rsidR="00FB733F">
        <w:t>, 2018</w:t>
      </w:r>
    </w:p>
    <w:p w14:paraId="787719E9" w14:textId="77777777" w:rsidR="0090768C" w:rsidRDefault="0090768C">
      <w:pPr>
        <w:rPr>
          <w:b/>
        </w:rPr>
      </w:pPr>
    </w:p>
    <w:p w14:paraId="0C29EBD8" w14:textId="77777777" w:rsidR="0090768C" w:rsidRDefault="00140A0D" w:rsidP="00140A0D">
      <w:pPr>
        <w:rPr>
          <w:b/>
        </w:rPr>
      </w:pPr>
      <w:r>
        <w:rPr>
          <w:b/>
        </w:rPr>
        <w:t>NAME OF PRA ANALYST &amp; PROGRAM CONTACT</w:t>
      </w:r>
      <w:r w:rsidR="0015552B">
        <w:rPr>
          <w:b/>
        </w:rPr>
        <w:t xml:space="preserve">: </w:t>
      </w:r>
      <w:r>
        <w:rPr>
          <w:b/>
        </w:rPr>
        <w:t xml:space="preserve"> </w:t>
      </w:r>
    </w:p>
    <w:p w14:paraId="3F497C09" w14:textId="2611240C" w:rsidR="0090768C" w:rsidRDefault="0090768C" w:rsidP="00546BA6">
      <w:r>
        <w:t>PRA Analyst</w:t>
      </w:r>
      <w:r>
        <w:tab/>
      </w:r>
      <w:r>
        <w:tab/>
      </w:r>
      <w:r>
        <w:tab/>
      </w:r>
      <w:r w:rsidR="00757B59">
        <w:t>Amber Sanford</w:t>
      </w:r>
    </w:p>
    <w:p w14:paraId="01283273" w14:textId="7AA0A3A4" w:rsidR="00DB07F2" w:rsidRDefault="00DB07F2" w:rsidP="00DB07F2">
      <w:pPr>
        <w:ind w:left="2160" w:firstLine="720"/>
      </w:pPr>
      <w:r w:rsidRPr="00DB07F2">
        <w:t>301-796-</w:t>
      </w:r>
      <w:r w:rsidR="00757B59">
        <w:t>8867</w:t>
      </w:r>
    </w:p>
    <w:p w14:paraId="7E241CB2" w14:textId="09C0E4E8" w:rsidR="00DB07F2" w:rsidRDefault="00757B59" w:rsidP="00DB07F2">
      <w:pPr>
        <w:ind w:left="2160" w:firstLine="720"/>
      </w:pPr>
      <w:r>
        <w:t>Amber</w:t>
      </w:r>
      <w:r w:rsidR="00DB07F2" w:rsidRPr="00DB07F2">
        <w:t>.</w:t>
      </w:r>
      <w:r>
        <w:t>Sanford</w:t>
      </w:r>
      <w:r w:rsidR="00DB07F2" w:rsidRPr="00DB07F2">
        <w:t>@fda.hhs.gov</w:t>
      </w:r>
    </w:p>
    <w:p w14:paraId="4A6DDE56" w14:textId="77777777" w:rsidR="00443010" w:rsidRDefault="00443010" w:rsidP="0090768C">
      <w:pPr>
        <w:ind w:left="3600" w:firstLine="720"/>
      </w:pPr>
    </w:p>
    <w:p w14:paraId="73F7706A" w14:textId="3573B75A" w:rsidR="0090768C" w:rsidRDefault="0090768C" w:rsidP="004D223D">
      <w:r>
        <w:t>Program Contact</w:t>
      </w:r>
      <w:r w:rsidR="002930F5">
        <w:t>s</w:t>
      </w:r>
      <w:r>
        <w:tab/>
      </w:r>
      <w:r>
        <w:tab/>
      </w:r>
      <w:r w:rsidR="00FB733F">
        <w:t>Anh Zarndt</w:t>
      </w:r>
    </w:p>
    <w:p w14:paraId="76A09747" w14:textId="442CA141" w:rsidR="0090768C" w:rsidRDefault="0090768C" w:rsidP="004D223D">
      <w:r>
        <w:tab/>
      </w:r>
      <w:r>
        <w:tab/>
      </w:r>
      <w:r>
        <w:tab/>
      </w:r>
      <w:r>
        <w:tab/>
      </w:r>
      <w:r w:rsidR="00793471">
        <w:t>240-402-5875</w:t>
      </w:r>
    </w:p>
    <w:p w14:paraId="749FF594" w14:textId="19E593E3" w:rsidR="002930F5" w:rsidRDefault="00EF2080" w:rsidP="00EF2080">
      <w:pPr>
        <w:ind w:left="1440"/>
      </w:pPr>
      <w:r>
        <w:tab/>
      </w:r>
      <w:r>
        <w:tab/>
      </w:r>
      <w:hyperlink r:id="rId9" w:history="1">
        <w:r w:rsidR="002930F5" w:rsidRPr="00D752C6">
          <w:rPr>
            <w:rStyle w:val="Hyperlink"/>
          </w:rPr>
          <w:t>Anh.Zarndt@fda.hhs.gov</w:t>
        </w:r>
      </w:hyperlink>
    </w:p>
    <w:p w14:paraId="6E3F8580" w14:textId="77777777" w:rsidR="002930F5" w:rsidRDefault="002930F5" w:rsidP="00EF2080">
      <w:pPr>
        <w:ind w:left="1440"/>
      </w:pPr>
    </w:p>
    <w:p w14:paraId="7120E4E8" w14:textId="57236043" w:rsidR="002930F5" w:rsidRDefault="002930F5" w:rsidP="00EF2080">
      <w:pPr>
        <w:ind w:left="1440"/>
      </w:pPr>
      <w:r>
        <w:tab/>
      </w:r>
      <w:r>
        <w:tab/>
        <w:t>David Portnoy</w:t>
      </w:r>
    </w:p>
    <w:p w14:paraId="0330C502" w14:textId="7D9689B9" w:rsidR="00306E14" w:rsidRDefault="00306E14" w:rsidP="00EF2080">
      <w:pPr>
        <w:ind w:left="1440"/>
      </w:pPr>
      <w:r>
        <w:tab/>
      </w:r>
      <w:r>
        <w:tab/>
        <w:t>301-796-</w:t>
      </w:r>
      <w:r w:rsidRPr="002930F5">
        <w:t>9298</w:t>
      </w:r>
    </w:p>
    <w:p w14:paraId="7AD3041C" w14:textId="15CAD3BD" w:rsidR="002930F5" w:rsidRDefault="002930F5" w:rsidP="00EF2080">
      <w:pPr>
        <w:ind w:left="1440"/>
      </w:pPr>
      <w:r>
        <w:tab/>
      </w:r>
      <w:r>
        <w:tab/>
      </w:r>
      <w:hyperlink r:id="rId10" w:history="1">
        <w:r w:rsidRPr="00D752C6">
          <w:rPr>
            <w:rStyle w:val="Hyperlink"/>
          </w:rPr>
          <w:t>David.Portnoy@fda.hhs.gov</w:t>
        </w:r>
      </w:hyperlink>
    </w:p>
    <w:p w14:paraId="09D879E7" w14:textId="182ED162" w:rsidR="00EF2080" w:rsidRDefault="002930F5" w:rsidP="00EF2080">
      <w:pPr>
        <w:ind w:left="1440"/>
        <w:rPr>
          <w:b/>
        </w:rPr>
      </w:pPr>
      <w:r>
        <w:tab/>
      </w:r>
      <w:r>
        <w:tab/>
      </w:r>
      <w:r w:rsidR="00EF2080">
        <w:br/>
      </w:r>
    </w:p>
    <w:p w14:paraId="50C9572D" w14:textId="77777777" w:rsidR="003F1C7A" w:rsidRPr="00E215FA" w:rsidRDefault="00140A0D" w:rsidP="00546BA6">
      <w:r>
        <w:rPr>
          <w:b/>
        </w:rPr>
        <w:t>FDA CENTER</w:t>
      </w:r>
      <w:r w:rsidR="0015552B">
        <w:rPr>
          <w:b/>
        </w:rPr>
        <w:t xml:space="preserve">: </w:t>
      </w:r>
      <w:r w:rsidR="0090768C">
        <w:t>Center for Tobacco Products (FDA/CTP)</w:t>
      </w:r>
    </w:p>
    <w:sectPr w:rsidR="003F1C7A" w:rsidRPr="00E215FA">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FD685" w14:textId="77777777" w:rsidR="0017630C" w:rsidRDefault="0017630C">
      <w:r>
        <w:separator/>
      </w:r>
    </w:p>
    <w:p w14:paraId="3D157A78" w14:textId="77777777" w:rsidR="0017630C" w:rsidRDefault="0017630C"/>
  </w:endnote>
  <w:endnote w:type="continuationSeparator" w:id="0">
    <w:p w14:paraId="5CB5E356" w14:textId="77777777" w:rsidR="0017630C" w:rsidRDefault="0017630C">
      <w:r>
        <w:continuationSeparator/>
      </w:r>
    </w:p>
    <w:p w14:paraId="48DF3AD3" w14:textId="77777777" w:rsidR="0017630C" w:rsidRDefault="00176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TUR">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92F13" w14:textId="3F812A65" w:rsidR="000D35CC" w:rsidRDefault="000D35CC">
    <w:pPr>
      <w:pStyle w:val="Footer"/>
    </w:pPr>
  </w:p>
  <w:p w14:paraId="6197E578" w14:textId="77777777" w:rsidR="000E7DB9" w:rsidRDefault="000E7D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4C693" w14:textId="77777777" w:rsidR="0017630C" w:rsidRDefault="0017630C">
      <w:r>
        <w:separator/>
      </w:r>
    </w:p>
    <w:p w14:paraId="6FD2ADF8" w14:textId="77777777" w:rsidR="0017630C" w:rsidRDefault="0017630C"/>
  </w:footnote>
  <w:footnote w:type="continuationSeparator" w:id="0">
    <w:p w14:paraId="587C633F" w14:textId="77777777" w:rsidR="0017630C" w:rsidRDefault="0017630C">
      <w:r>
        <w:continuationSeparator/>
      </w:r>
    </w:p>
    <w:p w14:paraId="36F85D87" w14:textId="77777777" w:rsidR="0017630C" w:rsidRDefault="0017630C"/>
  </w:footnote>
  <w:footnote w:id="1">
    <w:p w14:paraId="42A19C23" w14:textId="77777777" w:rsidR="0091772A" w:rsidRPr="004A2C14" w:rsidRDefault="0091772A">
      <w:pPr>
        <w:pStyle w:val="FootnoteText"/>
        <w:rPr>
          <w:sz w:val="16"/>
          <w:szCs w:val="16"/>
        </w:rPr>
      </w:pPr>
      <w:r w:rsidRPr="004A2C14">
        <w:rPr>
          <w:rStyle w:val="FootnoteReference"/>
          <w:sz w:val="16"/>
          <w:szCs w:val="16"/>
        </w:rPr>
        <w:footnoteRef/>
      </w:r>
      <w:r w:rsidRPr="004A2C14">
        <w:rPr>
          <w:sz w:val="16"/>
          <w:szCs w:val="16"/>
        </w:rPr>
        <w:t xml:space="preserve"> Stewart, D.W., Shamdansani, R.N., &amp; Rook, D.W. (2007). </w:t>
      </w:r>
      <w:r w:rsidRPr="004A2C14">
        <w:rPr>
          <w:i/>
          <w:sz w:val="16"/>
          <w:szCs w:val="16"/>
        </w:rPr>
        <w:t>Focus groups: Theory and practice.</w:t>
      </w:r>
      <w:r w:rsidRPr="004A2C14">
        <w:rPr>
          <w:sz w:val="16"/>
          <w:szCs w:val="16"/>
        </w:rPr>
        <w:t xml:space="preserve"> Thousand Oaks: Sage Publications.</w:t>
      </w:r>
    </w:p>
  </w:footnote>
  <w:footnote w:id="2">
    <w:p w14:paraId="27203891" w14:textId="50848C2B" w:rsidR="00660862" w:rsidRPr="00660862" w:rsidRDefault="00660862" w:rsidP="00660862">
      <w:pPr>
        <w:rPr>
          <w:sz w:val="20"/>
          <w:szCs w:val="20"/>
        </w:rPr>
      </w:pPr>
      <w:r w:rsidRPr="007954F4">
        <w:rPr>
          <w:rStyle w:val="FootnoteReference"/>
          <w:sz w:val="20"/>
          <w:szCs w:val="20"/>
        </w:rPr>
        <w:footnoteRef/>
      </w:r>
      <w:r w:rsidRPr="007954F4">
        <w:rPr>
          <w:sz w:val="20"/>
          <w:szCs w:val="20"/>
        </w:rPr>
        <w:t xml:space="preserve"> Stewart, D.W., Shamdasani, P.N., Rook, D.W. (2007). </w:t>
      </w:r>
      <w:r w:rsidRPr="007954F4">
        <w:rPr>
          <w:i/>
          <w:sz w:val="20"/>
          <w:szCs w:val="20"/>
        </w:rPr>
        <w:t>Focus Groups: Theory and Practice</w:t>
      </w:r>
      <w:r>
        <w:rPr>
          <w:sz w:val="20"/>
          <w:szCs w:val="20"/>
        </w:rPr>
        <w:t xml:space="preserve">. </w:t>
      </w:r>
      <w:r w:rsidRPr="007954F4">
        <w:rPr>
          <w:sz w:val="20"/>
          <w:szCs w:val="20"/>
        </w:rPr>
        <w:t xml:space="preserve">Thousand Oaks, CA: </w:t>
      </w:r>
      <w:r>
        <w:rPr>
          <w:sz w:val="20"/>
          <w:szCs w:val="20"/>
        </w:rPr>
        <w:t>Sage Publications.</w:t>
      </w:r>
    </w:p>
  </w:footnote>
  <w:footnote w:id="3">
    <w:p w14:paraId="45F41464" w14:textId="71A52F66" w:rsidR="0072321A" w:rsidRDefault="0072321A">
      <w:pPr>
        <w:pStyle w:val="FootnoteText"/>
      </w:pPr>
      <w:r>
        <w:rPr>
          <w:rStyle w:val="FootnoteReference"/>
        </w:rPr>
        <w:footnoteRef/>
      </w:r>
      <w:r>
        <w:t xml:space="preserve"> Coleman, B.N., Rostron, B., Johnson, S.E., et al. (2017). Electronic cigarette use among US adults in the Population Assessment of Tobacco and Health (PATH). </w:t>
      </w:r>
      <w:r w:rsidRPr="0072321A">
        <w:rPr>
          <w:i/>
        </w:rPr>
        <w:t>Tobacco Control, 26,</w:t>
      </w:r>
      <w:r>
        <w:t xml:space="preserve"> e117-e16.</w:t>
      </w:r>
    </w:p>
  </w:footnote>
  <w:footnote w:id="4">
    <w:p w14:paraId="1A26E4E0" w14:textId="77777777" w:rsidR="00145997" w:rsidRDefault="00145997">
      <w:pPr>
        <w:pStyle w:val="FootnoteText"/>
      </w:pPr>
      <w:r>
        <w:rPr>
          <w:rStyle w:val="FootnoteReference"/>
        </w:rPr>
        <w:footnoteRef/>
      </w:r>
      <w:r>
        <w:t xml:space="preserve"> </w:t>
      </w:r>
      <w:r w:rsidRPr="00145997">
        <w:t xml:space="preserve">McKenzie, B., &amp; Rapino, M. (2011). </w:t>
      </w:r>
      <w:r w:rsidRPr="00145997">
        <w:rPr>
          <w:i/>
        </w:rPr>
        <w:t>Commuting in the United States: 2009. Supplemental Table C. Mean travel time to work by means of transportation and selected characteristics</w:t>
      </w:r>
      <w:r w:rsidRPr="00145997">
        <w:t>: 2009. Washington, DC: U.S. Census Bureau.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2">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AB285F"/>
    <w:multiLevelType w:val="hybridMultilevel"/>
    <w:tmpl w:val="34365704"/>
    <w:lvl w:ilvl="0" w:tplc="4308D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866829"/>
    <w:multiLevelType w:val="hybridMultilevel"/>
    <w:tmpl w:val="8F5AD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31C5320"/>
    <w:multiLevelType w:val="hybridMultilevel"/>
    <w:tmpl w:val="77C06E58"/>
    <w:lvl w:ilvl="0" w:tplc="59F2FF6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3">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52B6680"/>
    <w:multiLevelType w:val="hybridMultilevel"/>
    <w:tmpl w:val="0896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0A0657"/>
    <w:multiLevelType w:val="hybridMultilevel"/>
    <w:tmpl w:val="494433CE"/>
    <w:lvl w:ilvl="0" w:tplc="8C749F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BA069C"/>
    <w:multiLevelType w:val="hybridMultilevel"/>
    <w:tmpl w:val="A15C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A26EC8"/>
    <w:multiLevelType w:val="hybridMultilevel"/>
    <w:tmpl w:val="7F926D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F4220B"/>
    <w:multiLevelType w:val="hybridMultilevel"/>
    <w:tmpl w:val="5CA24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5EA098E"/>
    <w:multiLevelType w:val="hybridMultilevel"/>
    <w:tmpl w:val="573E5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nsid w:val="6C0D07D9"/>
    <w:multiLevelType w:val="hybridMultilevel"/>
    <w:tmpl w:val="C13A60A6"/>
    <w:lvl w:ilvl="0" w:tplc="0409000F">
      <w:start w:val="1"/>
      <w:numFmt w:val="decimal"/>
      <w:lvlText w:val="%1."/>
      <w:lvlJc w:val="left"/>
      <w:pPr>
        <w:tabs>
          <w:tab w:val="num" w:pos="936"/>
        </w:tabs>
        <w:ind w:left="936" w:hanging="360"/>
      </w:pPr>
    </w:lvl>
    <w:lvl w:ilvl="1" w:tplc="04090019">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6">
    <w:nsid w:val="70611400"/>
    <w:multiLevelType w:val="hybridMultilevel"/>
    <w:tmpl w:val="98520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8"/>
  </w:num>
  <w:num w:numId="3">
    <w:abstractNumId w:val="27"/>
  </w:num>
  <w:num w:numId="4">
    <w:abstractNumId w:val="29"/>
  </w:num>
  <w:num w:numId="5">
    <w:abstractNumId w:val="7"/>
  </w:num>
  <w:num w:numId="6">
    <w:abstractNumId w:val="3"/>
  </w:num>
  <w:num w:numId="7">
    <w:abstractNumId w:val="16"/>
  </w:num>
  <w:num w:numId="8">
    <w:abstractNumId w:val="24"/>
  </w:num>
  <w:num w:numId="9">
    <w:abstractNumId w:val="17"/>
  </w:num>
  <w:num w:numId="10">
    <w:abstractNumId w:val="4"/>
  </w:num>
  <w:num w:numId="11">
    <w:abstractNumId w:val="9"/>
  </w:num>
  <w:num w:numId="12">
    <w:abstractNumId w:val="11"/>
  </w:num>
  <w:num w:numId="13">
    <w:abstractNumId w:val="2"/>
  </w:num>
  <w:num w:numId="14">
    <w:abstractNumId w:val="13"/>
  </w:num>
  <w:num w:numId="15">
    <w:abstractNumId w:val="25"/>
  </w:num>
  <w:num w:numId="16">
    <w:abstractNumId w:val="22"/>
  </w:num>
  <w:num w:numId="17">
    <w:abstractNumId w:val="1"/>
  </w:num>
  <w:num w:numId="18">
    <w:abstractNumId w:val="12"/>
  </w:num>
  <w:num w:numId="19">
    <w:abstractNumId w:val="10"/>
  </w:num>
  <w:num w:numId="20">
    <w:abstractNumId w:val="26"/>
  </w:num>
  <w:num w:numId="21">
    <w:abstractNumId w:val="6"/>
  </w:num>
  <w:num w:numId="2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21"/>
  </w:num>
  <w:num w:numId="24">
    <w:abstractNumId w:val="20"/>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8"/>
  </w:num>
  <w:num w:numId="28">
    <w:abstractNumId w:val="5"/>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117B6"/>
    <w:rsid w:val="00021E14"/>
    <w:rsid w:val="00025EF2"/>
    <w:rsid w:val="000325FD"/>
    <w:rsid w:val="00035B5C"/>
    <w:rsid w:val="000368E3"/>
    <w:rsid w:val="000410F2"/>
    <w:rsid w:val="0004182A"/>
    <w:rsid w:val="00061515"/>
    <w:rsid w:val="000672FF"/>
    <w:rsid w:val="00067F38"/>
    <w:rsid w:val="0007079F"/>
    <w:rsid w:val="00075F13"/>
    <w:rsid w:val="00082E17"/>
    <w:rsid w:val="00095152"/>
    <w:rsid w:val="00096360"/>
    <w:rsid w:val="000A225F"/>
    <w:rsid w:val="000A2FFA"/>
    <w:rsid w:val="000A525C"/>
    <w:rsid w:val="000A67DA"/>
    <w:rsid w:val="000B161A"/>
    <w:rsid w:val="000C386B"/>
    <w:rsid w:val="000D35CC"/>
    <w:rsid w:val="000D6242"/>
    <w:rsid w:val="000E7DB9"/>
    <w:rsid w:val="000F06C8"/>
    <w:rsid w:val="000F1CDA"/>
    <w:rsid w:val="000F39D1"/>
    <w:rsid w:val="0011045B"/>
    <w:rsid w:val="00112B5F"/>
    <w:rsid w:val="001249F2"/>
    <w:rsid w:val="00126D06"/>
    <w:rsid w:val="00126D8F"/>
    <w:rsid w:val="00132EF8"/>
    <w:rsid w:val="00140343"/>
    <w:rsid w:val="00140A0D"/>
    <w:rsid w:val="001413AC"/>
    <w:rsid w:val="00141AC0"/>
    <w:rsid w:val="00145997"/>
    <w:rsid w:val="0015552B"/>
    <w:rsid w:val="001627E8"/>
    <w:rsid w:val="00172A6E"/>
    <w:rsid w:val="0017630C"/>
    <w:rsid w:val="00181FB8"/>
    <w:rsid w:val="0018242F"/>
    <w:rsid w:val="00183D3B"/>
    <w:rsid w:val="00187BC0"/>
    <w:rsid w:val="00190AA2"/>
    <w:rsid w:val="0019719F"/>
    <w:rsid w:val="001A68F4"/>
    <w:rsid w:val="001B62BA"/>
    <w:rsid w:val="001C0117"/>
    <w:rsid w:val="001D19B4"/>
    <w:rsid w:val="001D6E63"/>
    <w:rsid w:val="001E1A53"/>
    <w:rsid w:val="001E460A"/>
    <w:rsid w:val="001E4919"/>
    <w:rsid w:val="001F05A6"/>
    <w:rsid w:val="001F09C0"/>
    <w:rsid w:val="001F2BE8"/>
    <w:rsid w:val="001F4032"/>
    <w:rsid w:val="001F4EDD"/>
    <w:rsid w:val="0020737E"/>
    <w:rsid w:val="00212C75"/>
    <w:rsid w:val="002165E5"/>
    <w:rsid w:val="00224A23"/>
    <w:rsid w:val="00226DF3"/>
    <w:rsid w:val="00233E55"/>
    <w:rsid w:val="00234CD2"/>
    <w:rsid w:val="00235077"/>
    <w:rsid w:val="00243BAE"/>
    <w:rsid w:val="00246F95"/>
    <w:rsid w:val="0025593A"/>
    <w:rsid w:val="00255A62"/>
    <w:rsid w:val="00255B16"/>
    <w:rsid w:val="00256767"/>
    <w:rsid w:val="002657BC"/>
    <w:rsid w:val="00271764"/>
    <w:rsid w:val="002747B7"/>
    <w:rsid w:val="00277BF1"/>
    <w:rsid w:val="00277D25"/>
    <w:rsid w:val="00281CFF"/>
    <w:rsid w:val="002845FB"/>
    <w:rsid w:val="00286FAE"/>
    <w:rsid w:val="002930F5"/>
    <w:rsid w:val="0029690B"/>
    <w:rsid w:val="002A1F7E"/>
    <w:rsid w:val="002A4881"/>
    <w:rsid w:val="002C5A0C"/>
    <w:rsid w:val="002D1992"/>
    <w:rsid w:val="002D4174"/>
    <w:rsid w:val="002D49A6"/>
    <w:rsid w:val="002E5034"/>
    <w:rsid w:val="002F1157"/>
    <w:rsid w:val="002F1919"/>
    <w:rsid w:val="002F4DF7"/>
    <w:rsid w:val="00302E26"/>
    <w:rsid w:val="00305E4A"/>
    <w:rsid w:val="00306E14"/>
    <w:rsid w:val="00307F43"/>
    <w:rsid w:val="00321964"/>
    <w:rsid w:val="0033132B"/>
    <w:rsid w:val="00335DEB"/>
    <w:rsid w:val="00342D10"/>
    <w:rsid w:val="00344175"/>
    <w:rsid w:val="00350C25"/>
    <w:rsid w:val="00363168"/>
    <w:rsid w:val="00364051"/>
    <w:rsid w:val="00384517"/>
    <w:rsid w:val="0039712D"/>
    <w:rsid w:val="003B3B36"/>
    <w:rsid w:val="003B6C86"/>
    <w:rsid w:val="003B7D05"/>
    <w:rsid w:val="003C0A2D"/>
    <w:rsid w:val="003C18B7"/>
    <w:rsid w:val="003D2A57"/>
    <w:rsid w:val="003E13B7"/>
    <w:rsid w:val="003E4031"/>
    <w:rsid w:val="003E4D70"/>
    <w:rsid w:val="003F1C7A"/>
    <w:rsid w:val="003F3B99"/>
    <w:rsid w:val="003F4584"/>
    <w:rsid w:val="003F5539"/>
    <w:rsid w:val="003F5989"/>
    <w:rsid w:val="003F7815"/>
    <w:rsid w:val="00400A58"/>
    <w:rsid w:val="00411149"/>
    <w:rsid w:val="00417CE7"/>
    <w:rsid w:val="00425D9B"/>
    <w:rsid w:val="004419D9"/>
    <w:rsid w:val="004419FF"/>
    <w:rsid w:val="00443010"/>
    <w:rsid w:val="00443A20"/>
    <w:rsid w:val="00453A8B"/>
    <w:rsid w:val="00454376"/>
    <w:rsid w:val="00454E8F"/>
    <w:rsid w:val="004619C1"/>
    <w:rsid w:val="00463B4D"/>
    <w:rsid w:val="00465B4E"/>
    <w:rsid w:val="00467E1B"/>
    <w:rsid w:val="0047163F"/>
    <w:rsid w:val="0048136F"/>
    <w:rsid w:val="00486996"/>
    <w:rsid w:val="00490CD4"/>
    <w:rsid w:val="0049419A"/>
    <w:rsid w:val="004A2255"/>
    <w:rsid w:val="004A2C14"/>
    <w:rsid w:val="004B2A4A"/>
    <w:rsid w:val="004B6575"/>
    <w:rsid w:val="004B694D"/>
    <w:rsid w:val="004C4DF2"/>
    <w:rsid w:val="004C7EEB"/>
    <w:rsid w:val="004D223D"/>
    <w:rsid w:val="004F1F39"/>
    <w:rsid w:val="004F6409"/>
    <w:rsid w:val="00500B12"/>
    <w:rsid w:val="0050483F"/>
    <w:rsid w:val="00510119"/>
    <w:rsid w:val="00517C66"/>
    <w:rsid w:val="005247FE"/>
    <w:rsid w:val="00531E36"/>
    <w:rsid w:val="00545931"/>
    <w:rsid w:val="00546BA6"/>
    <w:rsid w:val="00551D92"/>
    <w:rsid w:val="00552E1A"/>
    <w:rsid w:val="00562AB0"/>
    <w:rsid w:val="00563E8D"/>
    <w:rsid w:val="00565897"/>
    <w:rsid w:val="0056793C"/>
    <w:rsid w:val="00567A09"/>
    <w:rsid w:val="00570D2C"/>
    <w:rsid w:val="00573205"/>
    <w:rsid w:val="005A0001"/>
    <w:rsid w:val="005A0566"/>
    <w:rsid w:val="005A0BCD"/>
    <w:rsid w:val="005A18A4"/>
    <w:rsid w:val="005A3EF5"/>
    <w:rsid w:val="005A7B82"/>
    <w:rsid w:val="005C7F3C"/>
    <w:rsid w:val="005D22B2"/>
    <w:rsid w:val="005E23BA"/>
    <w:rsid w:val="005E4981"/>
    <w:rsid w:val="005F218A"/>
    <w:rsid w:val="005F6949"/>
    <w:rsid w:val="0060053A"/>
    <w:rsid w:val="00604FE0"/>
    <w:rsid w:val="00607C4E"/>
    <w:rsid w:val="00631D0D"/>
    <w:rsid w:val="006326FC"/>
    <w:rsid w:val="006372A2"/>
    <w:rsid w:val="00641802"/>
    <w:rsid w:val="006454FA"/>
    <w:rsid w:val="00647048"/>
    <w:rsid w:val="006556D7"/>
    <w:rsid w:val="00660862"/>
    <w:rsid w:val="00662609"/>
    <w:rsid w:val="00664F22"/>
    <w:rsid w:val="006650B2"/>
    <w:rsid w:val="00677131"/>
    <w:rsid w:val="00681169"/>
    <w:rsid w:val="00681793"/>
    <w:rsid w:val="00681DB9"/>
    <w:rsid w:val="00684BB1"/>
    <w:rsid w:val="00685922"/>
    <w:rsid w:val="006904D7"/>
    <w:rsid w:val="00696B03"/>
    <w:rsid w:val="006970B6"/>
    <w:rsid w:val="006A3DDA"/>
    <w:rsid w:val="006D3B31"/>
    <w:rsid w:val="006D3CCF"/>
    <w:rsid w:val="006E6F15"/>
    <w:rsid w:val="006F1A9E"/>
    <w:rsid w:val="006F444E"/>
    <w:rsid w:val="006F50F7"/>
    <w:rsid w:val="006F6EA7"/>
    <w:rsid w:val="0070494D"/>
    <w:rsid w:val="00706AB5"/>
    <w:rsid w:val="007110CC"/>
    <w:rsid w:val="00712C19"/>
    <w:rsid w:val="00713963"/>
    <w:rsid w:val="00715162"/>
    <w:rsid w:val="0072321A"/>
    <w:rsid w:val="00724B05"/>
    <w:rsid w:val="00727F54"/>
    <w:rsid w:val="00742536"/>
    <w:rsid w:val="0074355C"/>
    <w:rsid w:val="0074463A"/>
    <w:rsid w:val="00744F5B"/>
    <w:rsid w:val="00757B59"/>
    <w:rsid w:val="00757F1E"/>
    <w:rsid w:val="007614FD"/>
    <w:rsid w:val="007747CB"/>
    <w:rsid w:val="00785305"/>
    <w:rsid w:val="00790D35"/>
    <w:rsid w:val="00793471"/>
    <w:rsid w:val="00794E16"/>
    <w:rsid w:val="007952A7"/>
    <w:rsid w:val="007A4331"/>
    <w:rsid w:val="007B045B"/>
    <w:rsid w:val="007B2A47"/>
    <w:rsid w:val="007B37FF"/>
    <w:rsid w:val="007C51ED"/>
    <w:rsid w:val="007C5A41"/>
    <w:rsid w:val="007C7281"/>
    <w:rsid w:val="007D4D26"/>
    <w:rsid w:val="007D4E49"/>
    <w:rsid w:val="007F0F8D"/>
    <w:rsid w:val="008077F2"/>
    <w:rsid w:val="00813415"/>
    <w:rsid w:val="00816354"/>
    <w:rsid w:val="0083389E"/>
    <w:rsid w:val="00834CE2"/>
    <w:rsid w:val="008501EB"/>
    <w:rsid w:val="00851E64"/>
    <w:rsid w:val="00853DD4"/>
    <w:rsid w:val="008601B8"/>
    <w:rsid w:val="008736D5"/>
    <w:rsid w:val="00874034"/>
    <w:rsid w:val="008762A6"/>
    <w:rsid w:val="00877802"/>
    <w:rsid w:val="00882AE4"/>
    <w:rsid w:val="008863D0"/>
    <w:rsid w:val="00890E74"/>
    <w:rsid w:val="00891A92"/>
    <w:rsid w:val="00894F96"/>
    <w:rsid w:val="008A66D9"/>
    <w:rsid w:val="008B3FE1"/>
    <w:rsid w:val="008C1E0D"/>
    <w:rsid w:val="008C7C1C"/>
    <w:rsid w:val="008D7FCA"/>
    <w:rsid w:val="008E51B1"/>
    <w:rsid w:val="008E5B13"/>
    <w:rsid w:val="008E6145"/>
    <w:rsid w:val="008F04C5"/>
    <w:rsid w:val="008F2AD1"/>
    <w:rsid w:val="008F2E36"/>
    <w:rsid w:val="008F5969"/>
    <w:rsid w:val="008F6E91"/>
    <w:rsid w:val="008F773C"/>
    <w:rsid w:val="00901050"/>
    <w:rsid w:val="009056D4"/>
    <w:rsid w:val="0090768C"/>
    <w:rsid w:val="0091772A"/>
    <w:rsid w:val="009224D7"/>
    <w:rsid w:val="009404FA"/>
    <w:rsid w:val="009450D1"/>
    <w:rsid w:val="0094642F"/>
    <w:rsid w:val="009501A0"/>
    <w:rsid w:val="00951BC3"/>
    <w:rsid w:val="0095231B"/>
    <w:rsid w:val="009549F1"/>
    <w:rsid w:val="00963C9E"/>
    <w:rsid w:val="0096613B"/>
    <w:rsid w:val="009668A4"/>
    <w:rsid w:val="00980E24"/>
    <w:rsid w:val="00990625"/>
    <w:rsid w:val="00991D00"/>
    <w:rsid w:val="009A47E7"/>
    <w:rsid w:val="009A6691"/>
    <w:rsid w:val="009B00BD"/>
    <w:rsid w:val="009C5078"/>
    <w:rsid w:val="009C5DD4"/>
    <w:rsid w:val="009D465B"/>
    <w:rsid w:val="009D79DF"/>
    <w:rsid w:val="009E3317"/>
    <w:rsid w:val="009E6C24"/>
    <w:rsid w:val="00A019CF"/>
    <w:rsid w:val="00A037AF"/>
    <w:rsid w:val="00A1064F"/>
    <w:rsid w:val="00A24BA7"/>
    <w:rsid w:val="00A25FA7"/>
    <w:rsid w:val="00A26BA5"/>
    <w:rsid w:val="00A27F0B"/>
    <w:rsid w:val="00A316C1"/>
    <w:rsid w:val="00A369C7"/>
    <w:rsid w:val="00A44BF9"/>
    <w:rsid w:val="00A47B7F"/>
    <w:rsid w:val="00A504FD"/>
    <w:rsid w:val="00A6202B"/>
    <w:rsid w:val="00A64342"/>
    <w:rsid w:val="00A661D0"/>
    <w:rsid w:val="00A75648"/>
    <w:rsid w:val="00A82DCC"/>
    <w:rsid w:val="00A83D63"/>
    <w:rsid w:val="00A95296"/>
    <w:rsid w:val="00A95CBC"/>
    <w:rsid w:val="00AA311F"/>
    <w:rsid w:val="00AA7B99"/>
    <w:rsid w:val="00AC0BF3"/>
    <w:rsid w:val="00AC205C"/>
    <w:rsid w:val="00AC3D0C"/>
    <w:rsid w:val="00AC5D8A"/>
    <w:rsid w:val="00AE0095"/>
    <w:rsid w:val="00AE5CA3"/>
    <w:rsid w:val="00AE7015"/>
    <w:rsid w:val="00AF0457"/>
    <w:rsid w:val="00B15A6C"/>
    <w:rsid w:val="00B2105A"/>
    <w:rsid w:val="00B230B2"/>
    <w:rsid w:val="00B24183"/>
    <w:rsid w:val="00B2690B"/>
    <w:rsid w:val="00B26954"/>
    <w:rsid w:val="00B33E5E"/>
    <w:rsid w:val="00B354FF"/>
    <w:rsid w:val="00B37E34"/>
    <w:rsid w:val="00B53BC4"/>
    <w:rsid w:val="00B708E3"/>
    <w:rsid w:val="00B71691"/>
    <w:rsid w:val="00B73EE1"/>
    <w:rsid w:val="00B75067"/>
    <w:rsid w:val="00B77024"/>
    <w:rsid w:val="00B859B1"/>
    <w:rsid w:val="00B97AA4"/>
    <w:rsid w:val="00BA08EC"/>
    <w:rsid w:val="00BA3EEB"/>
    <w:rsid w:val="00BA76A0"/>
    <w:rsid w:val="00BB7250"/>
    <w:rsid w:val="00BC30A0"/>
    <w:rsid w:val="00BF07F1"/>
    <w:rsid w:val="00BF5F7B"/>
    <w:rsid w:val="00C015E3"/>
    <w:rsid w:val="00C067D5"/>
    <w:rsid w:val="00C10817"/>
    <w:rsid w:val="00C205D6"/>
    <w:rsid w:val="00C26A7D"/>
    <w:rsid w:val="00C3060D"/>
    <w:rsid w:val="00C31F3A"/>
    <w:rsid w:val="00C360A2"/>
    <w:rsid w:val="00C464EC"/>
    <w:rsid w:val="00C6458B"/>
    <w:rsid w:val="00C66C31"/>
    <w:rsid w:val="00C76226"/>
    <w:rsid w:val="00C919CC"/>
    <w:rsid w:val="00C95359"/>
    <w:rsid w:val="00C9767F"/>
    <w:rsid w:val="00CA101B"/>
    <w:rsid w:val="00CC2B2F"/>
    <w:rsid w:val="00CC59F1"/>
    <w:rsid w:val="00CC6E71"/>
    <w:rsid w:val="00CC7678"/>
    <w:rsid w:val="00CD14A2"/>
    <w:rsid w:val="00CE57C2"/>
    <w:rsid w:val="00CE6AFD"/>
    <w:rsid w:val="00CF0774"/>
    <w:rsid w:val="00CF07B8"/>
    <w:rsid w:val="00CF10F4"/>
    <w:rsid w:val="00CF6AB1"/>
    <w:rsid w:val="00D11BA2"/>
    <w:rsid w:val="00D1270E"/>
    <w:rsid w:val="00D22A9B"/>
    <w:rsid w:val="00D24370"/>
    <w:rsid w:val="00D3072A"/>
    <w:rsid w:val="00D340AB"/>
    <w:rsid w:val="00D42049"/>
    <w:rsid w:val="00D42DD9"/>
    <w:rsid w:val="00D44395"/>
    <w:rsid w:val="00D509ED"/>
    <w:rsid w:val="00D53F23"/>
    <w:rsid w:val="00D542D4"/>
    <w:rsid w:val="00D5595D"/>
    <w:rsid w:val="00D57298"/>
    <w:rsid w:val="00D84F07"/>
    <w:rsid w:val="00D944E0"/>
    <w:rsid w:val="00D96CD1"/>
    <w:rsid w:val="00D97AF1"/>
    <w:rsid w:val="00DA5D50"/>
    <w:rsid w:val="00DB07F2"/>
    <w:rsid w:val="00DB0ABC"/>
    <w:rsid w:val="00DB106A"/>
    <w:rsid w:val="00DB125D"/>
    <w:rsid w:val="00DC0196"/>
    <w:rsid w:val="00DC76EE"/>
    <w:rsid w:val="00DD6106"/>
    <w:rsid w:val="00DE6DC9"/>
    <w:rsid w:val="00DF2C1C"/>
    <w:rsid w:val="00DF5C29"/>
    <w:rsid w:val="00DF62AD"/>
    <w:rsid w:val="00E023C8"/>
    <w:rsid w:val="00E02F36"/>
    <w:rsid w:val="00E056C0"/>
    <w:rsid w:val="00E12037"/>
    <w:rsid w:val="00E215FA"/>
    <w:rsid w:val="00E26798"/>
    <w:rsid w:val="00E31F4F"/>
    <w:rsid w:val="00E33791"/>
    <w:rsid w:val="00E45463"/>
    <w:rsid w:val="00E45BA0"/>
    <w:rsid w:val="00E5127F"/>
    <w:rsid w:val="00E56333"/>
    <w:rsid w:val="00E629FF"/>
    <w:rsid w:val="00E67FA5"/>
    <w:rsid w:val="00E71F09"/>
    <w:rsid w:val="00E82769"/>
    <w:rsid w:val="00E93C74"/>
    <w:rsid w:val="00E9400F"/>
    <w:rsid w:val="00E94CE5"/>
    <w:rsid w:val="00E971FC"/>
    <w:rsid w:val="00EA0586"/>
    <w:rsid w:val="00EA2E80"/>
    <w:rsid w:val="00EA3001"/>
    <w:rsid w:val="00EC0D3C"/>
    <w:rsid w:val="00EC5873"/>
    <w:rsid w:val="00EC64D1"/>
    <w:rsid w:val="00ED041E"/>
    <w:rsid w:val="00ED652F"/>
    <w:rsid w:val="00EE7334"/>
    <w:rsid w:val="00EF2080"/>
    <w:rsid w:val="00EF2DC9"/>
    <w:rsid w:val="00EF5E26"/>
    <w:rsid w:val="00F12AEE"/>
    <w:rsid w:val="00F13418"/>
    <w:rsid w:val="00F13D2D"/>
    <w:rsid w:val="00F1723B"/>
    <w:rsid w:val="00F202E4"/>
    <w:rsid w:val="00F322E6"/>
    <w:rsid w:val="00F36D70"/>
    <w:rsid w:val="00F3704A"/>
    <w:rsid w:val="00F4188B"/>
    <w:rsid w:val="00F42864"/>
    <w:rsid w:val="00F46723"/>
    <w:rsid w:val="00F511BC"/>
    <w:rsid w:val="00F5124D"/>
    <w:rsid w:val="00F53E84"/>
    <w:rsid w:val="00F572CD"/>
    <w:rsid w:val="00F75707"/>
    <w:rsid w:val="00F757B1"/>
    <w:rsid w:val="00F81083"/>
    <w:rsid w:val="00F97D85"/>
    <w:rsid w:val="00FA0DBE"/>
    <w:rsid w:val="00FB733F"/>
    <w:rsid w:val="00FD31D2"/>
    <w:rsid w:val="00FD634A"/>
    <w:rsid w:val="00FE4A75"/>
    <w:rsid w:val="00FE5F11"/>
    <w:rsid w:val="00FE6B04"/>
    <w:rsid w:val="00FE7221"/>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60F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Emphasis">
    <w:name w:val="Emphasis"/>
    <w:qFormat/>
    <w:rsid w:val="006D3CCF"/>
    <w:rPr>
      <w:i/>
      <w:iCs/>
    </w:rPr>
  </w:style>
  <w:style w:type="paragraph" w:customStyle="1" w:styleId="Question">
    <w:name w:val="Question"/>
    <w:basedOn w:val="Normal"/>
    <w:rsid w:val="00A95296"/>
    <w:pPr>
      <w:keepNext/>
      <w:keepLines/>
      <w:spacing w:before="240" w:after="120"/>
      <w:ind w:left="547" w:hanging="547"/>
    </w:pPr>
    <w:rPr>
      <w:rFonts w:ascii="Verdana" w:hAnsi="Verdana"/>
      <w:sz w:val="22"/>
      <w:szCs w:val="22"/>
    </w:rPr>
  </w:style>
  <w:style w:type="paragraph" w:customStyle="1" w:styleId="Level1">
    <w:name w:val="Level 1"/>
    <w:basedOn w:val="Normal"/>
    <w:rsid w:val="00067F38"/>
    <w:pPr>
      <w:widowControl w:val="0"/>
      <w:numPr>
        <w:numId w:val="22"/>
      </w:numPr>
      <w:autoSpaceDE w:val="0"/>
      <w:autoSpaceDN w:val="0"/>
      <w:adjustRightInd w:val="0"/>
      <w:ind w:left="720" w:hanging="720"/>
      <w:outlineLvl w:val="0"/>
    </w:pPr>
    <w:rPr>
      <w:sz w:val="20"/>
    </w:rPr>
  </w:style>
  <w:style w:type="character" w:styleId="CommentReference">
    <w:name w:val="annotation reference"/>
    <w:uiPriority w:val="99"/>
    <w:semiHidden/>
    <w:unhideWhenUsed/>
    <w:rsid w:val="005247FE"/>
    <w:rPr>
      <w:sz w:val="16"/>
      <w:szCs w:val="16"/>
    </w:rPr>
  </w:style>
  <w:style w:type="paragraph" w:styleId="CommentText">
    <w:name w:val="annotation text"/>
    <w:basedOn w:val="Normal"/>
    <w:link w:val="CommentTextChar"/>
    <w:uiPriority w:val="99"/>
    <w:semiHidden/>
    <w:unhideWhenUsed/>
    <w:rsid w:val="005247FE"/>
    <w:rPr>
      <w:sz w:val="20"/>
      <w:szCs w:val="20"/>
    </w:rPr>
  </w:style>
  <w:style w:type="character" w:customStyle="1" w:styleId="CommentTextChar">
    <w:name w:val="Comment Text Char"/>
    <w:basedOn w:val="DefaultParagraphFont"/>
    <w:link w:val="CommentText"/>
    <w:uiPriority w:val="99"/>
    <w:semiHidden/>
    <w:rsid w:val="005247FE"/>
  </w:style>
  <w:style w:type="paragraph" w:styleId="CommentSubject">
    <w:name w:val="annotation subject"/>
    <w:basedOn w:val="CommentText"/>
    <w:next w:val="CommentText"/>
    <w:link w:val="CommentSubjectChar"/>
    <w:uiPriority w:val="99"/>
    <w:semiHidden/>
    <w:unhideWhenUsed/>
    <w:rsid w:val="005247FE"/>
    <w:rPr>
      <w:b/>
      <w:bCs/>
    </w:rPr>
  </w:style>
  <w:style w:type="character" w:customStyle="1" w:styleId="CommentSubjectChar">
    <w:name w:val="Comment Subject Char"/>
    <w:link w:val="CommentSubject"/>
    <w:uiPriority w:val="99"/>
    <w:semiHidden/>
    <w:rsid w:val="005247FE"/>
    <w:rPr>
      <w:b/>
      <w:bCs/>
    </w:rPr>
  </w:style>
  <w:style w:type="table" w:styleId="TableGrid">
    <w:name w:val="Table Grid"/>
    <w:basedOn w:val="TableNormal"/>
    <w:uiPriority w:val="59"/>
    <w:rsid w:val="0068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43010"/>
    <w:rPr>
      <w:sz w:val="20"/>
      <w:szCs w:val="20"/>
    </w:rPr>
  </w:style>
  <w:style w:type="character" w:customStyle="1" w:styleId="FootnoteTextChar">
    <w:name w:val="Footnote Text Char"/>
    <w:basedOn w:val="DefaultParagraphFont"/>
    <w:link w:val="FootnoteText"/>
    <w:uiPriority w:val="99"/>
    <w:semiHidden/>
    <w:rsid w:val="00443010"/>
  </w:style>
  <w:style w:type="character" w:styleId="FootnoteReference">
    <w:name w:val="footnote reference"/>
    <w:uiPriority w:val="99"/>
    <w:semiHidden/>
    <w:unhideWhenUsed/>
    <w:rsid w:val="00443010"/>
    <w:rPr>
      <w:vertAlign w:val="superscript"/>
    </w:rPr>
  </w:style>
  <w:style w:type="table" w:customStyle="1" w:styleId="TableGrid1">
    <w:name w:val="Table Grid1"/>
    <w:basedOn w:val="TableNormal"/>
    <w:next w:val="TableGrid"/>
    <w:uiPriority w:val="59"/>
    <w:rsid w:val="00641802"/>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01A0"/>
    <w:rPr>
      <w:sz w:val="24"/>
      <w:szCs w:val="24"/>
    </w:rPr>
  </w:style>
  <w:style w:type="character" w:customStyle="1" w:styleId="UnresolvedMention">
    <w:name w:val="Unresolved Mention"/>
    <w:uiPriority w:val="99"/>
    <w:semiHidden/>
    <w:unhideWhenUsed/>
    <w:rsid w:val="00EF2080"/>
    <w:rPr>
      <w:color w:val="808080"/>
      <w:shd w:val="clear" w:color="auto" w:fill="E6E6E6"/>
    </w:rPr>
  </w:style>
  <w:style w:type="character" w:customStyle="1" w:styleId="FooterChar">
    <w:name w:val="Footer Char"/>
    <w:basedOn w:val="DefaultParagraphFont"/>
    <w:link w:val="Footer"/>
    <w:uiPriority w:val="99"/>
    <w:rsid w:val="000D35CC"/>
    <w:rPr>
      <w:sz w:val="24"/>
      <w:szCs w:val="24"/>
    </w:rPr>
  </w:style>
  <w:style w:type="character" w:styleId="FollowedHyperlink">
    <w:name w:val="FollowedHyperlink"/>
    <w:basedOn w:val="DefaultParagraphFont"/>
    <w:uiPriority w:val="99"/>
    <w:semiHidden/>
    <w:unhideWhenUsed/>
    <w:rsid w:val="005D22B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Emphasis">
    <w:name w:val="Emphasis"/>
    <w:qFormat/>
    <w:rsid w:val="006D3CCF"/>
    <w:rPr>
      <w:i/>
      <w:iCs/>
    </w:rPr>
  </w:style>
  <w:style w:type="paragraph" w:customStyle="1" w:styleId="Question">
    <w:name w:val="Question"/>
    <w:basedOn w:val="Normal"/>
    <w:rsid w:val="00A95296"/>
    <w:pPr>
      <w:keepNext/>
      <w:keepLines/>
      <w:spacing w:before="240" w:after="120"/>
      <w:ind w:left="547" w:hanging="547"/>
    </w:pPr>
    <w:rPr>
      <w:rFonts w:ascii="Verdana" w:hAnsi="Verdana"/>
      <w:sz w:val="22"/>
      <w:szCs w:val="22"/>
    </w:rPr>
  </w:style>
  <w:style w:type="paragraph" w:customStyle="1" w:styleId="Level1">
    <w:name w:val="Level 1"/>
    <w:basedOn w:val="Normal"/>
    <w:rsid w:val="00067F38"/>
    <w:pPr>
      <w:widowControl w:val="0"/>
      <w:numPr>
        <w:numId w:val="22"/>
      </w:numPr>
      <w:autoSpaceDE w:val="0"/>
      <w:autoSpaceDN w:val="0"/>
      <w:adjustRightInd w:val="0"/>
      <w:ind w:left="720" w:hanging="720"/>
      <w:outlineLvl w:val="0"/>
    </w:pPr>
    <w:rPr>
      <w:sz w:val="20"/>
    </w:rPr>
  </w:style>
  <w:style w:type="character" w:styleId="CommentReference">
    <w:name w:val="annotation reference"/>
    <w:uiPriority w:val="99"/>
    <w:semiHidden/>
    <w:unhideWhenUsed/>
    <w:rsid w:val="005247FE"/>
    <w:rPr>
      <w:sz w:val="16"/>
      <w:szCs w:val="16"/>
    </w:rPr>
  </w:style>
  <w:style w:type="paragraph" w:styleId="CommentText">
    <w:name w:val="annotation text"/>
    <w:basedOn w:val="Normal"/>
    <w:link w:val="CommentTextChar"/>
    <w:uiPriority w:val="99"/>
    <w:semiHidden/>
    <w:unhideWhenUsed/>
    <w:rsid w:val="005247FE"/>
    <w:rPr>
      <w:sz w:val="20"/>
      <w:szCs w:val="20"/>
    </w:rPr>
  </w:style>
  <w:style w:type="character" w:customStyle="1" w:styleId="CommentTextChar">
    <w:name w:val="Comment Text Char"/>
    <w:basedOn w:val="DefaultParagraphFont"/>
    <w:link w:val="CommentText"/>
    <w:uiPriority w:val="99"/>
    <w:semiHidden/>
    <w:rsid w:val="005247FE"/>
  </w:style>
  <w:style w:type="paragraph" w:styleId="CommentSubject">
    <w:name w:val="annotation subject"/>
    <w:basedOn w:val="CommentText"/>
    <w:next w:val="CommentText"/>
    <w:link w:val="CommentSubjectChar"/>
    <w:uiPriority w:val="99"/>
    <w:semiHidden/>
    <w:unhideWhenUsed/>
    <w:rsid w:val="005247FE"/>
    <w:rPr>
      <w:b/>
      <w:bCs/>
    </w:rPr>
  </w:style>
  <w:style w:type="character" w:customStyle="1" w:styleId="CommentSubjectChar">
    <w:name w:val="Comment Subject Char"/>
    <w:link w:val="CommentSubject"/>
    <w:uiPriority w:val="99"/>
    <w:semiHidden/>
    <w:rsid w:val="005247FE"/>
    <w:rPr>
      <w:b/>
      <w:bCs/>
    </w:rPr>
  </w:style>
  <w:style w:type="table" w:styleId="TableGrid">
    <w:name w:val="Table Grid"/>
    <w:basedOn w:val="TableNormal"/>
    <w:uiPriority w:val="59"/>
    <w:rsid w:val="0068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43010"/>
    <w:rPr>
      <w:sz w:val="20"/>
      <w:szCs w:val="20"/>
    </w:rPr>
  </w:style>
  <w:style w:type="character" w:customStyle="1" w:styleId="FootnoteTextChar">
    <w:name w:val="Footnote Text Char"/>
    <w:basedOn w:val="DefaultParagraphFont"/>
    <w:link w:val="FootnoteText"/>
    <w:uiPriority w:val="99"/>
    <w:semiHidden/>
    <w:rsid w:val="00443010"/>
  </w:style>
  <w:style w:type="character" w:styleId="FootnoteReference">
    <w:name w:val="footnote reference"/>
    <w:uiPriority w:val="99"/>
    <w:semiHidden/>
    <w:unhideWhenUsed/>
    <w:rsid w:val="00443010"/>
    <w:rPr>
      <w:vertAlign w:val="superscript"/>
    </w:rPr>
  </w:style>
  <w:style w:type="table" w:customStyle="1" w:styleId="TableGrid1">
    <w:name w:val="Table Grid1"/>
    <w:basedOn w:val="TableNormal"/>
    <w:next w:val="TableGrid"/>
    <w:uiPriority w:val="59"/>
    <w:rsid w:val="00641802"/>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01A0"/>
    <w:rPr>
      <w:sz w:val="24"/>
      <w:szCs w:val="24"/>
    </w:rPr>
  </w:style>
  <w:style w:type="character" w:customStyle="1" w:styleId="UnresolvedMention">
    <w:name w:val="Unresolved Mention"/>
    <w:uiPriority w:val="99"/>
    <w:semiHidden/>
    <w:unhideWhenUsed/>
    <w:rsid w:val="00EF2080"/>
    <w:rPr>
      <w:color w:val="808080"/>
      <w:shd w:val="clear" w:color="auto" w:fill="E6E6E6"/>
    </w:rPr>
  </w:style>
  <w:style w:type="character" w:customStyle="1" w:styleId="FooterChar">
    <w:name w:val="Footer Char"/>
    <w:basedOn w:val="DefaultParagraphFont"/>
    <w:link w:val="Footer"/>
    <w:uiPriority w:val="99"/>
    <w:rsid w:val="000D35CC"/>
    <w:rPr>
      <w:sz w:val="24"/>
      <w:szCs w:val="24"/>
    </w:rPr>
  </w:style>
  <w:style w:type="character" w:styleId="FollowedHyperlink">
    <w:name w:val="FollowedHyperlink"/>
    <w:basedOn w:val="DefaultParagraphFont"/>
    <w:uiPriority w:val="99"/>
    <w:semiHidden/>
    <w:unhideWhenUsed/>
    <w:rsid w:val="005D2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860122865">
      <w:bodyDiv w:val="1"/>
      <w:marLeft w:val="0"/>
      <w:marRight w:val="0"/>
      <w:marTop w:val="0"/>
      <w:marBottom w:val="0"/>
      <w:divBdr>
        <w:top w:val="none" w:sz="0" w:space="0" w:color="auto"/>
        <w:left w:val="none" w:sz="0" w:space="0" w:color="auto"/>
        <w:bottom w:val="none" w:sz="0" w:space="0" w:color="auto"/>
        <w:right w:val="none" w:sz="0" w:space="0" w:color="auto"/>
      </w:divBdr>
    </w:div>
    <w:div w:id="892080756">
      <w:bodyDiv w:val="1"/>
      <w:marLeft w:val="0"/>
      <w:marRight w:val="0"/>
      <w:marTop w:val="0"/>
      <w:marBottom w:val="0"/>
      <w:divBdr>
        <w:top w:val="none" w:sz="0" w:space="0" w:color="auto"/>
        <w:left w:val="none" w:sz="0" w:space="0" w:color="auto"/>
        <w:bottom w:val="none" w:sz="0" w:space="0" w:color="auto"/>
        <w:right w:val="none" w:sz="0" w:space="0" w:color="auto"/>
      </w:divBdr>
    </w:div>
    <w:div w:id="1498685825">
      <w:bodyDiv w:val="1"/>
      <w:marLeft w:val="0"/>
      <w:marRight w:val="0"/>
      <w:marTop w:val="0"/>
      <w:marBottom w:val="0"/>
      <w:divBdr>
        <w:top w:val="none" w:sz="0" w:space="0" w:color="auto"/>
        <w:left w:val="none" w:sz="0" w:space="0" w:color="auto"/>
        <w:bottom w:val="none" w:sz="0" w:space="0" w:color="auto"/>
        <w:right w:val="none" w:sz="0" w:space="0" w:color="auto"/>
      </w:divBdr>
    </w:div>
    <w:div w:id="2032413836">
      <w:bodyDiv w:val="1"/>
      <w:marLeft w:val="0"/>
      <w:marRight w:val="0"/>
      <w:marTop w:val="0"/>
      <w:marBottom w:val="0"/>
      <w:divBdr>
        <w:top w:val="none" w:sz="0" w:space="0" w:color="auto"/>
        <w:left w:val="none" w:sz="0" w:space="0" w:color="auto"/>
        <w:bottom w:val="none" w:sz="0" w:space="0" w:color="auto"/>
        <w:right w:val="none" w:sz="0" w:space="0" w:color="auto"/>
      </w:divBdr>
    </w:div>
    <w:div w:id="211833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avid.Portnoy@fda.hhs.gov" TargetMode="External"/><Relationship Id="rId4" Type="http://schemas.microsoft.com/office/2007/relationships/stylesWithEffects" Target="stylesWithEffects.xml"/><Relationship Id="rId9" Type="http://schemas.openxmlformats.org/officeDocument/2006/relationships/hyperlink" Target="mailto:Anh.Zarndt@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BC86B-F766-4E5E-8AB1-CC4911B9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Anh Nguyen Zarndt</dc:creator>
  <cp:keywords>MERC OMB MEP</cp:keywords>
  <cp:lastModifiedBy>SYSTEM</cp:lastModifiedBy>
  <cp:revision>2</cp:revision>
  <cp:lastPrinted>2017-12-19T18:33:00Z</cp:lastPrinted>
  <dcterms:created xsi:type="dcterms:W3CDTF">2018-01-12T00:39:00Z</dcterms:created>
  <dcterms:modified xsi:type="dcterms:W3CDTF">2018-01-12T00:39:00Z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