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2F" w:rsidRDefault="00FC22B2" w:rsidP="00FC22B2">
      <w:pPr>
        <w:spacing w:after="0" w:line="240" w:lineRule="auto"/>
        <w:jc w:val="center"/>
        <w:rPr>
          <w:rFonts w:ascii="Times New Roman" w:hAnsi="Times New Roman"/>
          <w:b/>
          <w:sz w:val="24"/>
          <w:szCs w:val="24"/>
        </w:rPr>
      </w:pPr>
      <w:r w:rsidRPr="00FC22B2">
        <w:rPr>
          <w:rFonts w:ascii="Times New Roman" w:hAnsi="Times New Roman"/>
          <w:b/>
          <w:sz w:val="24"/>
          <w:szCs w:val="24"/>
        </w:rPr>
        <w:t xml:space="preserve">General Market Campaign: Wave 3 Online Quantitative Study of Reactions to Rough-Cut </w:t>
      </w:r>
      <w:bookmarkStart w:id="0" w:name="_GoBack"/>
      <w:bookmarkEnd w:id="0"/>
      <w:r w:rsidRPr="00FC22B2">
        <w:rPr>
          <w:rFonts w:ascii="Times New Roman" w:hAnsi="Times New Roman"/>
          <w:b/>
          <w:sz w:val="24"/>
          <w:szCs w:val="24"/>
        </w:rPr>
        <w:t>Advertising Designed to Prevent Youth Tobacco</w:t>
      </w:r>
      <w:r w:rsidR="001D20C4">
        <w:rPr>
          <w:rFonts w:ascii="Times New Roman" w:hAnsi="Times New Roman"/>
          <w:b/>
          <w:sz w:val="24"/>
          <w:szCs w:val="24"/>
        </w:rPr>
        <w:t xml:space="preserve"> Use</w:t>
      </w:r>
    </w:p>
    <w:p w:rsidR="00FC22B2" w:rsidRDefault="00FC22B2" w:rsidP="00FC22B2">
      <w:pPr>
        <w:spacing w:after="0" w:line="240" w:lineRule="auto"/>
        <w:jc w:val="center"/>
        <w:rPr>
          <w:rFonts w:ascii="Times New Roman" w:hAnsi="Times New Roman"/>
          <w:b/>
          <w:sz w:val="24"/>
          <w:szCs w:val="24"/>
        </w:rPr>
      </w:pPr>
    </w:p>
    <w:p w:rsidR="00FC22B2" w:rsidRDefault="00FC22B2" w:rsidP="00FC22B2">
      <w:pPr>
        <w:spacing w:after="0" w:line="240" w:lineRule="auto"/>
        <w:jc w:val="center"/>
        <w:rPr>
          <w:rFonts w:ascii="Times New Roman" w:hAnsi="Times New Roman"/>
          <w:b/>
          <w:sz w:val="24"/>
          <w:szCs w:val="24"/>
        </w:rPr>
      </w:pPr>
      <w:r>
        <w:rPr>
          <w:rFonts w:ascii="Times New Roman" w:hAnsi="Times New Roman"/>
          <w:b/>
          <w:sz w:val="24"/>
          <w:szCs w:val="24"/>
        </w:rPr>
        <w:t>0910-0810</w:t>
      </w:r>
    </w:p>
    <w:p w:rsidR="00FC22B2" w:rsidRDefault="00FC22B2" w:rsidP="00FC22B2">
      <w:pPr>
        <w:spacing w:after="0" w:line="240" w:lineRule="auto"/>
        <w:jc w:val="center"/>
        <w:rPr>
          <w:rFonts w:ascii="Times New Roman" w:hAnsi="Times New Roman"/>
          <w:b/>
          <w:sz w:val="24"/>
          <w:szCs w:val="24"/>
        </w:rPr>
      </w:pPr>
    </w:p>
    <w:p w:rsidR="00FC22B2" w:rsidRPr="00E306F0" w:rsidRDefault="009D5752" w:rsidP="00FC22B2">
      <w:pPr>
        <w:spacing w:after="0" w:line="240" w:lineRule="auto"/>
        <w:jc w:val="center"/>
        <w:rPr>
          <w:rFonts w:ascii="Times New Roman" w:hAnsi="Times New Roman"/>
          <w:color w:val="000000"/>
          <w:sz w:val="24"/>
          <w:szCs w:val="24"/>
        </w:rPr>
      </w:pPr>
      <w:r>
        <w:rPr>
          <w:rFonts w:ascii="Times New Roman" w:hAnsi="Times New Roman"/>
          <w:b/>
          <w:sz w:val="24"/>
          <w:szCs w:val="24"/>
        </w:rPr>
        <w:t xml:space="preserve">Supporting Statement: </w:t>
      </w:r>
      <w:r w:rsidRPr="00FC22B2">
        <w:rPr>
          <w:rFonts w:ascii="Times New Roman" w:hAnsi="Times New Roman"/>
          <w:b/>
          <w:sz w:val="24"/>
          <w:szCs w:val="24"/>
        </w:rPr>
        <w:t>Part</w:t>
      </w:r>
      <w:r>
        <w:rPr>
          <w:rFonts w:ascii="Times New Roman" w:hAnsi="Times New Roman"/>
          <w:b/>
          <w:sz w:val="24"/>
          <w:szCs w:val="24"/>
        </w:rPr>
        <w:t xml:space="preserve"> B</w:t>
      </w:r>
    </w:p>
    <w:p w:rsidR="00447CB7" w:rsidRPr="00E306F0" w:rsidRDefault="00FC22B2" w:rsidP="00447CB7">
      <w:p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b/>
          <w:sz w:val="24"/>
          <w:szCs w:val="24"/>
        </w:rPr>
        <w:t xml:space="preserve">B. </w:t>
      </w:r>
      <w:r w:rsidRPr="00E306F0">
        <w:rPr>
          <w:rFonts w:ascii="Times New Roman" w:eastAsia="Times New Roman" w:hAnsi="Times New Roman"/>
          <w:b/>
          <w:sz w:val="24"/>
          <w:szCs w:val="24"/>
        </w:rPr>
        <w:t>STATISTICAL METHODS</w:t>
      </w:r>
    </w:p>
    <w:p w:rsidR="00120E99" w:rsidRDefault="00447CB7" w:rsidP="00290F27">
      <w:pPr>
        <w:numPr>
          <w:ilvl w:val="0"/>
          <w:numId w:val="2"/>
        </w:numPr>
        <w:spacing w:after="0" w:line="240" w:lineRule="auto"/>
        <w:rPr>
          <w:rFonts w:ascii="Times New Roman" w:eastAsia="Times New Roman" w:hAnsi="Times New Roman"/>
          <w:b/>
          <w:sz w:val="24"/>
          <w:szCs w:val="24"/>
          <w:u w:val="single"/>
        </w:rPr>
      </w:pPr>
      <w:r w:rsidRPr="00FC22B2">
        <w:rPr>
          <w:rFonts w:ascii="Times New Roman" w:eastAsia="Times New Roman" w:hAnsi="Times New Roman"/>
          <w:b/>
          <w:sz w:val="24"/>
          <w:szCs w:val="24"/>
          <w:u w:val="single"/>
        </w:rPr>
        <w:t>Respondent Universe and Sampling Methods</w:t>
      </w:r>
    </w:p>
    <w:p w:rsidR="00FC22B2" w:rsidRDefault="00FC22B2" w:rsidP="00FC22B2">
      <w:pPr>
        <w:spacing w:after="0" w:line="240" w:lineRule="auto"/>
        <w:ind w:left="720"/>
        <w:rPr>
          <w:rFonts w:ascii="Times New Roman" w:eastAsia="Times New Roman" w:hAnsi="Times New Roman"/>
          <w:b/>
          <w:sz w:val="24"/>
          <w:szCs w:val="24"/>
          <w:u w:val="single"/>
        </w:rPr>
      </w:pPr>
    </w:p>
    <w:p w:rsidR="00FC22B2" w:rsidRDefault="00FC22B2" w:rsidP="00FC22B2">
      <w:pPr>
        <w:spacing w:after="0" w:line="240" w:lineRule="auto"/>
        <w:ind w:left="720"/>
        <w:rPr>
          <w:rFonts w:ascii="Times New Roman" w:eastAsia="Times New Roman" w:hAnsi="Times New Roman"/>
          <w:b/>
          <w:sz w:val="24"/>
          <w:szCs w:val="24"/>
          <w:u w:val="single"/>
        </w:rPr>
      </w:pPr>
      <w:r w:rsidRPr="00E306F0">
        <w:rPr>
          <w:rFonts w:ascii="Times New Roman" w:eastAsia="Times New Roman" w:hAnsi="Times New Roman"/>
          <w:sz w:val="24"/>
          <w:szCs w:val="24"/>
        </w:rPr>
        <w:t xml:space="preserve">The one-time actual burden figures are listed in Part A.   </w:t>
      </w:r>
    </w:p>
    <w:p w:rsidR="00FC22B2" w:rsidRPr="00FC22B2" w:rsidRDefault="00FC22B2" w:rsidP="00FC22B2">
      <w:pPr>
        <w:spacing w:after="0" w:line="240" w:lineRule="auto"/>
        <w:ind w:left="720"/>
        <w:rPr>
          <w:rFonts w:ascii="Times New Roman" w:eastAsia="Times New Roman" w:hAnsi="Times New Roman"/>
          <w:b/>
          <w:sz w:val="24"/>
          <w:szCs w:val="24"/>
          <w:u w:val="single"/>
        </w:rPr>
      </w:pPr>
    </w:p>
    <w:p w:rsidR="004B4371" w:rsidRPr="00E306F0" w:rsidRDefault="004B4371" w:rsidP="001F59BC">
      <w:pPr>
        <w:spacing w:after="0" w:line="240" w:lineRule="auto"/>
        <w:ind w:left="720"/>
        <w:rPr>
          <w:rFonts w:ascii="Times New Roman" w:eastAsia="Times New Roman" w:hAnsi="Times New Roman"/>
          <w:sz w:val="24"/>
          <w:szCs w:val="24"/>
          <w:highlight w:val="yellow"/>
        </w:rPr>
      </w:pPr>
      <w:r w:rsidRPr="00E306F0">
        <w:rPr>
          <w:rFonts w:ascii="Times New Roman" w:eastAsia="Times New Roman" w:hAnsi="Times New Roman"/>
          <w:sz w:val="24"/>
          <w:szCs w:val="24"/>
        </w:rPr>
        <w:t xml:space="preserve">The primary outcome of this study </w:t>
      </w:r>
      <w:r w:rsidR="001F59BC" w:rsidRPr="00E306F0">
        <w:rPr>
          <w:rFonts w:ascii="Times New Roman" w:eastAsia="Times New Roman" w:hAnsi="Times New Roman"/>
          <w:sz w:val="24"/>
          <w:szCs w:val="24"/>
        </w:rPr>
        <w:t>will</w:t>
      </w:r>
      <w:r w:rsidRPr="00E306F0">
        <w:rPr>
          <w:rFonts w:ascii="Times New Roman" w:eastAsia="Times New Roman" w:hAnsi="Times New Roman"/>
          <w:sz w:val="24"/>
          <w:szCs w:val="24"/>
        </w:rPr>
        <w:t xml:space="preserve"> be based on a </w:t>
      </w:r>
      <w:r w:rsidR="001F59BC" w:rsidRPr="00E306F0">
        <w:rPr>
          <w:rFonts w:ascii="Times New Roman" w:eastAsia="Times New Roman" w:hAnsi="Times New Roman"/>
          <w:sz w:val="24"/>
          <w:szCs w:val="24"/>
        </w:rPr>
        <w:t>n</w:t>
      </w:r>
      <w:r w:rsidR="00156EA0" w:rsidRPr="00E306F0">
        <w:rPr>
          <w:rFonts w:ascii="Times New Roman" w:eastAsia="Times New Roman" w:hAnsi="Times New Roman"/>
          <w:sz w:val="24"/>
          <w:szCs w:val="24"/>
        </w:rPr>
        <w:t>on-random sample of 1,292</w:t>
      </w:r>
      <w:r w:rsidR="00856358" w:rsidRPr="00E306F0">
        <w:rPr>
          <w:rFonts w:ascii="Times New Roman" w:eastAsia="Times New Roman" w:hAnsi="Times New Roman"/>
          <w:sz w:val="24"/>
          <w:szCs w:val="24"/>
        </w:rPr>
        <w:t xml:space="preserve"> youth ages 13</w:t>
      </w:r>
      <w:r w:rsidR="001F59BC" w:rsidRPr="00E306F0">
        <w:rPr>
          <w:rFonts w:ascii="Times New Roman" w:eastAsia="Times New Roman" w:hAnsi="Times New Roman"/>
          <w:sz w:val="24"/>
          <w:szCs w:val="24"/>
        </w:rPr>
        <w:t xml:space="preserve">-17, who are cigarette experimenters or at-risk non-triers. </w:t>
      </w:r>
      <w:r w:rsidRPr="00E306F0">
        <w:rPr>
          <w:rFonts w:ascii="Times New Roman" w:eastAsia="Times New Roman" w:hAnsi="Times New Roman"/>
          <w:sz w:val="24"/>
          <w:szCs w:val="24"/>
        </w:rPr>
        <w:t xml:space="preserve">The </w:t>
      </w:r>
      <w:r w:rsidR="001F59BC" w:rsidRPr="00E306F0">
        <w:rPr>
          <w:rFonts w:ascii="Times New Roman" w:eastAsia="Times New Roman" w:hAnsi="Times New Roman"/>
          <w:sz w:val="24"/>
          <w:szCs w:val="24"/>
        </w:rPr>
        <w:t>study</w:t>
      </w:r>
      <w:r w:rsidRPr="00E306F0">
        <w:rPr>
          <w:rFonts w:ascii="Times New Roman" w:eastAsia="Times New Roman" w:hAnsi="Times New Roman"/>
          <w:sz w:val="24"/>
          <w:szCs w:val="24"/>
        </w:rPr>
        <w:t xml:space="preserve"> is a cross-sectional design</w:t>
      </w:r>
      <w:r w:rsidR="001F59BC" w:rsidRPr="00E306F0">
        <w:rPr>
          <w:rFonts w:ascii="Times New Roman" w:eastAsia="Times New Roman" w:hAnsi="Times New Roman"/>
          <w:sz w:val="24"/>
          <w:szCs w:val="24"/>
        </w:rPr>
        <w:t xml:space="preserve">, and participants will be recruited in-person from </w:t>
      </w:r>
      <w:r w:rsidR="00156EA0" w:rsidRPr="00E306F0">
        <w:rPr>
          <w:rFonts w:ascii="Times New Roman" w:eastAsia="Times New Roman" w:hAnsi="Times New Roman"/>
          <w:sz w:val="24"/>
          <w:szCs w:val="24"/>
        </w:rPr>
        <w:t>malls across the US</w:t>
      </w:r>
      <w:r w:rsidR="001F59BC" w:rsidRPr="00E306F0">
        <w:rPr>
          <w:rFonts w:ascii="Times New Roman" w:eastAsia="Times New Roman" w:hAnsi="Times New Roman"/>
          <w:sz w:val="24"/>
          <w:szCs w:val="24"/>
        </w:rPr>
        <w:t xml:space="preserve">. </w:t>
      </w:r>
      <w:r w:rsidR="00210289" w:rsidRPr="00E306F0">
        <w:rPr>
          <w:rFonts w:ascii="Times New Roman" w:eastAsia="Times New Roman" w:hAnsi="Times New Roman"/>
          <w:sz w:val="24"/>
          <w:szCs w:val="24"/>
        </w:rPr>
        <w:t xml:space="preserve">The screening criteria </w:t>
      </w:r>
      <w:r w:rsidR="00847CBF" w:rsidRPr="00E306F0">
        <w:rPr>
          <w:rFonts w:ascii="Times New Roman" w:eastAsia="Times New Roman" w:hAnsi="Times New Roman"/>
          <w:sz w:val="24"/>
          <w:szCs w:val="24"/>
        </w:rPr>
        <w:t>are</w:t>
      </w:r>
      <w:r w:rsidR="00210289" w:rsidRPr="00E306F0">
        <w:rPr>
          <w:rFonts w:ascii="Times New Roman" w:eastAsia="Times New Roman" w:hAnsi="Times New Roman"/>
          <w:sz w:val="24"/>
          <w:szCs w:val="24"/>
        </w:rPr>
        <w:t xml:space="preserve"> based on age, smoking status, </w:t>
      </w:r>
      <w:r w:rsidR="00156EA0" w:rsidRPr="00E306F0">
        <w:rPr>
          <w:rFonts w:ascii="Times New Roman" w:eastAsia="Times New Roman" w:hAnsi="Times New Roman"/>
          <w:sz w:val="24"/>
          <w:szCs w:val="24"/>
        </w:rPr>
        <w:t xml:space="preserve">and </w:t>
      </w:r>
      <w:r w:rsidR="00507AC0" w:rsidRPr="00E306F0">
        <w:rPr>
          <w:rFonts w:ascii="Times New Roman" w:eastAsia="Times New Roman" w:hAnsi="Times New Roman"/>
          <w:sz w:val="24"/>
          <w:szCs w:val="24"/>
        </w:rPr>
        <w:t xml:space="preserve">intention to </w:t>
      </w:r>
      <w:r w:rsidR="00210289" w:rsidRPr="00E306F0">
        <w:rPr>
          <w:rFonts w:ascii="Times New Roman" w:eastAsia="Times New Roman" w:hAnsi="Times New Roman"/>
          <w:sz w:val="24"/>
          <w:szCs w:val="24"/>
        </w:rPr>
        <w:t>smok</w:t>
      </w:r>
      <w:r w:rsidR="00507AC0" w:rsidRPr="00E306F0">
        <w:rPr>
          <w:rFonts w:ascii="Times New Roman" w:eastAsia="Times New Roman" w:hAnsi="Times New Roman"/>
          <w:sz w:val="24"/>
          <w:szCs w:val="24"/>
        </w:rPr>
        <w:t>e</w:t>
      </w:r>
      <w:r w:rsidR="00210289" w:rsidRPr="00E306F0">
        <w:rPr>
          <w:rFonts w:ascii="Times New Roman" w:eastAsia="Times New Roman" w:hAnsi="Times New Roman"/>
          <w:sz w:val="24"/>
          <w:szCs w:val="24"/>
        </w:rPr>
        <w:t xml:space="preserve"> in the future.</w:t>
      </w:r>
      <w:r w:rsidR="00120E99" w:rsidRPr="00E306F0">
        <w:rPr>
          <w:rFonts w:ascii="Times New Roman" w:eastAsia="Times New Roman" w:hAnsi="Times New Roman"/>
          <w:sz w:val="24"/>
          <w:szCs w:val="24"/>
        </w:rPr>
        <w:t xml:space="preserve"> </w:t>
      </w:r>
      <w:r w:rsidR="009934B5" w:rsidRPr="00E306F0">
        <w:rPr>
          <w:rFonts w:ascii="Times New Roman" w:hAnsi="Times New Roman"/>
          <w:sz w:val="24"/>
          <w:szCs w:val="24"/>
        </w:rPr>
        <w:t xml:space="preserve">As this study is considered part of formative research for campaign development and planning, these methods are not </w:t>
      </w:r>
      <w:r w:rsidR="00156EA0" w:rsidRPr="00E306F0">
        <w:rPr>
          <w:rFonts w:ascii="Times New Roman" w:hAnsi="Times New Roman"/>
          <w:sz w:val="24"/>
          <w:szCs w:val="24"/>
        </w:rPr>
        <w:t>intended to generate nationally-</w:t>
      </w:r>
      <w:r w:rsidR="009934B5" w:rsidRPr="00E306F0">
        <w:rPr>
          <w:rFonts w:ascii="Times New Roman" w:hAnsi="Times New Roman"/>
          <w:sz w:val="24"/>
          <w:szCs w:val="24"/>
        </w:rPr>
        <w:t xml:space="preserve">representative samples or precise estimates of population parameters. The sample drawn here is designed primarily to provide information on the perceived effectiveness of </w:t>
      </w:r>
      <w:r w:rsidR="00156EA0" w:rsidRPr="00E306F0">
        <w:rPr>
          <w:rFonts w:ascii="Times New Roman" w:hAnsi="Times New Roman"/>
          <w:sz w:val="24"/>
          <w:szCs w:val="24"/>
        </w:rPr>
        <w:t xml:space="preserve">four advertisements for </w:t>
      </w:r>
      <w:r w:rsidR="00290F27" w:rsidRPr="00E306F0">
        <w:rPr>
          <w:rFonts w:ascii="Times New Roman" w:hAnsi="Times New Roman"/>
          <w:sz w:val="24"/>
          <w:szCs w:val="24"/>
        </w:rPr>
        <w:t xml:space="preserve">a third wave of </w:t>
      </w:r>
      <w:r w:rsidR="00156EA0" w:rsidRPr="00E306F0">
        <w:rPr>
          <w:rFonts w:ascii="Times New Roman" w:hAnsi="Times New Roman"/>
          <w:sz w:val="24"/>
          <w:szCs w:val="24"/>
        </w:rPr>
        <w:t xml:space="preserve">FDA’s </w:t>
      </w:r>
      <w:r w:rsidR="00156EA0" w:rsidRPr="00E306F0">
        <w:rPr>
          <w:rFonts w:ascii="Times New Roman" w:hAnsi="Times New Roman"/>
          <w:i/>
          <w:sz w:val="24"/>
          <w:szCs w:val="24"/>
        </w:rPr>
        <w:t xml:space="preserve">The Real Cost </w:t>
      </w:r>
      <w:r w:rsidR="00156EA0" w:rsidRPr="00E306F0">
        <w:rPr>
          <w:rFonts w:ascii="Times New Roman" w:hAnsi="Times New Roman"/>
          <w:sz w:val="24"/>
          <w:szCs w:val="24"/>
        </w:rPr>
        <w:t xml:space="preserve">(TRC) campaign </w:t>
      </w:r>
      <w:r w:rsidR="00120E99" w:rsidRPr="00E306F0">
        <w:rPr>
          <w:rFonts w:ascii="Times New Roman" w:hAnsi="Times New Roman"/>
          <w:sz w:val="24"/>
          <w:szCs w:val="24"/>
        </w:rPr>
        <w:t>and to identify any potential unintended consequences of viewing the ads</w:t>
      </w:r>
      <w:r w:rsidR="009934B5" w:rsidRPr="00E306F0">
        <w:rPr>
          <w:rFonts w:ascii="Times New Roman" w:hAnsi="Times New Roman"/>
          <w:sz w:val="24"/>
          <w:szCs w:val="24"/>
        </w:rPr>
        <w:t>.</w:t>
      </w:r>
    </w:p>
    <w:p w:rsidR="00447CB7" w:rsidRPr="00E306F0" w:rsidRDefault="00447CB7" w:rsidP="00120E99">
      <w:pPr>
        <w:spacing w:after="0" w:line="240" w:lineRule="auto"/>
        <w:ind w:left="720"/>
        <w:contextualSpacing/>
        <w:rPr>
          <w:rFonts w:ascii="Times New Roman" w:eastAsia="Times New Roman" w:hAnsi="Times New Roman"/>
          <w:sz w:val="24"/>
          <w:szCs w:val="24"/>
        </w:rPr>
      </w:pPr>
    </w:p>
    <w:p w:rsidR="00120E99" w:rsidRPr="00E306F0" w:rsidRDefault="00210289" w:rsidP="00120E99">
      <w:pPr>
        <w:spacing w:after="0" w:line="240" w:lineRule="auto"/>
        <w:ind w:left="720"/>
        <w:contextualSpacing/>
        <w:rPr>
          <w:rFonts w:ascii="Times New Roman" w:eastAsia="Times New Roman" w:hAnsi="Times New Roman"/>
          <w:sz w:val="24"/>
          <w:szCs w:val="24"/>
          <w:u w:val="single"/>
        </w:rPr>
      </w:pPr>
      <w:r w:rsidRPr="00E306F0">
        <w:rPr>
          <w:rFonts w:ascii="Times New Roman" w:eastAsia="Times New Roman" w:hAnsi="Times New Roman"/>
          <w:sz w:val="24"/>
          <w:szCs w:val="24"/>
          <w:u w:val="single"/>
        </w:rPr>
        <w:t>Sampling Methods</w:t>
      </w:r>
    </w:p>
    <w:p w:rsidR="001F59BC" w:rsidRDefault="001F59BC" w:rsidP="00290F27">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This study will utilize </w:t>
      </w:r>
      <w:r w:rsidR="00156EA0" w:rsidRPr="00E306F0">
        <w:rPr>
          <w:rFonts w:ascii="Times New Roman" w:eastAsia="Times New Roman" w:hAnsi="Times New Roman"/>
          <w:sz w:val="24"/>
          <w:szCs w:val="24"/>
        </w:rPr>
        <w:t>recruit and screen potential participants via mall intercepts across the United States. Recruiters will partner with 30-50 mall facilities across the nation to recruit a diverse population of potential study participants from all racial/ethnic and socio-economic backgrounds. All participants will be recruited through in-mall intercepts.  Eligible participants will be required to self-identify as having experimented with cigarettes or be at risk of experimenting with cigarettes in the future</w:t>
      </w:r>
      <w:r w:rsidR="00290F27" w:rsidRPr="00E306F0">
        <w:rPr>
          <w:rFonts w:ascii="Times New Roman" w:eastAsia="Times New Roman" w:hAnsi="Times New Roman"/>
          <w:sz w:val="24"/>
          <w:szCs w:val="24"/>
        </w:rPr>
        <w:t xml:space="preserve"> via the </w:t>
      </w:r>
      <w:r w:rsidR="00FC22B2">
        <w:rPr>
          <w:rFonts w:ascii="Times New Roman" w:eastAsia="Times New Roman" w:hAnsi="Times New Roman"/>
          <w:sz w:val="24"/>
          <w:szCs w:val="24"/>
        </w:rPr>
        <w:t>s</w:t>
      </w:r>
      <w:r w:rsidR="00290F27" w:rsidRPr="00E306F0">
        <w:rPr>
          <w:rFonts w:ascii="Times New Roman" w:eastAsia="Times New Roman" w:hAnsi="Times New Roman"/>
          <w:sz w:val="24"/>
          <w:szCs w:val="24"/>
        </w:rPr>
        <w:t>creener form (Attachment C)</w:t>
      </w:r>
      <w:r w:rsidR="00156EA0" w:rsidRPr="00E306F0">
        <w:rPr>
          <w:rFonts w:ascii="Times New Roman" w:eastAsia="Times New Roman" w:hAnsi="Times New Roman"/>
          <w:sz w:val="24"/>
          <w:szCs w:val="24"/>
        </w:rPr>
        <w:t xml:space="preserve">. </w:t>
      </w:r>
      <w:r w:rsidR="00C06BAE" w:rsidRPr="00C06BAE">
        <w:rPr>
          <w:rFonts w:ascii="Times New Roman" w:eastAsia="Times New Roman" w:hAnsi="Times New Roman"/>
          <w:sz w:val="24"/>
          <w:szCs w:val="24"/>
        </w:rPr>
        <w:t>Only participants aged 13-17 will be included in the study.  If they have participated in a research study in within the past 6 months, they will be excluded.  Participants who indicate that a member of their immediate family or a close friend works for the tobacco industry will be ex</w:t>
      </w:r>
      <w:r w:rsidR="00C06BAE">
        <w:rPr>
          <w:rFonts w:ascii="Times New Roman" w:eastAsia="Times New Roman" w:hAnsi="Times New Roman"/>
          <w:sz w:val="24"/>
          <w:szCs w:val="24"/>
        </w:rPr>
        <w:t>cluded from the study.  Other d</w:t>
      </w:r>
      <w:r w:rsidR="00156EA0" w:rsidRPr="00E306F0">
        <w:rPr>
          <w:rFonts w:ascii="Times New Roman" w:eastAsia="Times New Roman" w:hAnsi="Times New Roman"/>
          <w:sz w:val="24"/>
          <w:szCs w:val="24"/>
        </w:rPr>
        <w:t xml:space="preserve">emographic questions contained in the screener (e.g., race/ethnicity and education) will not be used as inclusion/exclusion criteria, but </w:t>
      </w:r>
      <w:r w:rsidR="00290F27" w:rsidRPr="00E306F0">
        <w:rPr>
          <w:rFonts w:ascii="Times New Roman" w:eastAsia="Times New Roman" w:hAnsi="Times New Roman"/>
          <w:sz w:val="24"/>
          <w:szCs w:val="24"/>
        </w:rPr>
        <w:t xml:space="preserve">these data </w:t>
      </w:r>
      <w:r w:rsidR="00156EA0" w:rsidRPr="00E306F0">
        <w:rPr>
          <w:rFonts w:ascii="Times New Roman" w:eastAsia="Times New Roman" w:hAnsi="Times New Roman"/>
          <w:sz w:val="24"/>
          <w:szCs w:val="24"/>
        </w:rPr>
        <w:t>will be included in the final data set for data analysis purposes. Participants will not be stratified by race/ethnicity or other demographic characteristics, but demographic questions will be used to ensure that enrollment includes a diverse population of youth. Researchers will not inform ineligible individuals that they are being excluded as a result of anything related to their demographic profile or tobacco use behavior.</w:t>
      </w:r>
      <w:r w:rsidR="00290F27" w:rsidRPr="00E306F0">
        <w:rPr>
          <w:rFonts w:ascii="Times New Roman" w:eastAsia="Times New Roman" w:hAnsi="Times New Roman"/>
          <w:sz w:val="24"/>
          <w:szCs w:val="24"/>
        </w:rPr>
        <w:t xml:space="preserve"> </w:t>
      </w:r>
      <w:r w:rsidRPr="00E306F0">
        <w:rPr>
          <w:rFonts w:ascii="Times New Roman" w:eastAsia="Times New Roman" w:hAnsi="Times New Roman"/>
          <w:sz w:val="24"/>
          <w:szCs w:val="24"/>
        </w:rPr>
        <w:t xml:space="preserve">Researchers will never turn away youth who ask to </w:t>
      </w:r>
      <w:r w:rsidR="00691575" w:rsidRPr="00E306F0">
        <w:rPr>
          <w:rFonts w:ascii="Times New Roman" w:eastAsia="Times New Roman" w:hAnsi="Times New Roman"/>
          <w:sz w:val="24"/>
          <w:szCs w:val="24"/>
        </w:rPr>
        <w:t>complete</w:t>
      </w:r>
      <w:r w:rsidR="001D62E4">
        <w:rPr>
          <w:rFonts w:ascii="Times New Roman" w:eastAsia="Times New Roman" w:hAnsi="Times New Roman"/>
          <w:sz w:val="24"/>
          <w:szCs w:val="24"/>
        </w:rPr>
        <w:t xml:space="preserve"> a s</w:t>
      </w:r>
      <w:r w:rsidRPr="00E306F0">
        <w:rPr>
          <w:rFonts w:ascii="Times New Roman" w:eastAsia="Times New Roman" w:hAnsi="Times New Roman"/>
          <w:sz w:val="24"/>
          <w:szCs w:val="24"/>
        </w:rPr>
        <w:t xml:space="preserve">creener. </w:t>
      </w:r>
    </w:p>
    <w:p w:rsidR="00C06BAE" w:rsidRDefault="00C06BAE" w:rsidP="00290F27">
      <w:pPr>
        <w:spacing w:after="0" w:line="240" w:lineRule="auto"/>
        <w:ind w:left="720"/>
        <w:rPr>
          <w:rFonts w:ascii="Times New Roman" w:eastAsia="Times New Roman" w:hAnsi="Times New Roman"/>
          <w:sz w:val="24"/>
          <w:szCs w:val="24"/>
        </w:rPr>
      </w:pPr>
    </w:p>
    <w:p w:rsidR="00C06BAE" w:rsidRPr="00C06BAE" w:rsidRDefault="00C06BAE" w:rsidP="00C06BA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Times New Roman" w:hAnsi="Times New Roman"/>
          <w:sz w:val="24"/>
          <w:szCs w:val="24"/>
        </w:rPr>
      </w:pPr>
      <w:r w:rsidRPr="00C06BAE">
        <w:rPr>
          <w:rFonts w:ascii="Times New Roman" w:hAnsi="Times New Roman"/>
          <w:sz w:val="24"/>
          <w:szCs w:val="24"/>
        </w:rPr>
        <w:t>Specific cigarette use status inclusion and exclusion criteria are:</w:t>
      </w:r>
    </w:p>
    <w:p w:rsidR="00C06BAE" w:rsidRDefault="00C06BAE" w:rsidP="00C06BAE">
      <w:pPr>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pPr>
    </w:p>
    <w:p w:rsidR="00C06BAE" w:rsidRDefault="00C06BAE" w:rsidP="00C06BAE">
      <w:pPr>
        <w:pStyle w:val="ListParagraph"/>
        <w:widowControl w:val="0"/>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lastRenderedPageBreak/>
        <w:t>Youth who indicate in the Screener that they satisfy the criteria of an “experimenter” – that is, have smoked at least one puff of a cigarette but have smoked no more than 99 cigarettes in their lifetime – will qualify for study participation.</w:t>
      </w:r>
    </w:p>
    <w:p w:rsidR="00C06BAE" w:rsidRDefault="00C06BAE" w:rsidP="00C06BAE">
      <w:pPr>
        <w:pStyle w:val="ListParagraph"/>
        <w:widowControl w:val="0"/>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Youth who indicate in the Screener that they satisfy the criteria of an “at-risk non-trier” – that is, they have never used cigarettes in their lifetime, not even one puff of a cigarette, but answered with an affirmative response to any of the susceptibility questions (i.e., did not answer "definitely not" to all questions) – will qualify for study participation.</w:t>
      </w:r>
    </w:p>
    <w:p w:rsidR="00C06BAE" w:rsidRDefault="00C06BAE" w:rsidP="00C06BAE">
      <w:pPr>
        <w:pStyle w:val="ListParagraph"/>
        <w:widowControl w:val="0"/>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Youth who respond that they have never used cigarettes, not even taken a puff of a cigarette, and respond "definitely not" to all questions assessing susceptibility to future smoking will be defined as "non-at-risk non-trier" and be excluded from participation.  </w:t>
      </w:r>
    </w:p>
    <w:p w:rsidR="00C06BAE" w:rsidRDefault="00C06BAE" w:rsidP="00C06BAE">
      <w:pPr>
        <w:pStyle w:val="ListParagraph"/>
        <w:widowControl w:val="0"/>
        <w:numPr>
          <w:ilvl w:val="0"/>
          <w:numId w:val="22"/>
        </w:num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 xml:space="preserve">Youth who respond that they have smoked more than 99 cigarettes in their lifetime will be designated as established users because they have crossed the threshold of experimenter and will be excluded from participation.  </w:t>
      </w:r>
    </w:p>
    <w:p w:rsidR="00290F27" w:rsidRPr="00E306F0" w:rsidRDefault="00290F27" w:rsidP="00C06BAE">
      <w:pPr>
        <w:spacing w:after="0" w:line="240" w:lineRule="auto"/>
        <w:rPr>
          <w:rFonts w:ascii="Times New Roman" w:eastAsia="Times New Roman" w:hAnsi="Times New Roman"/>
          <w:sz w:val="24"/>
          <w:szCs w:val="24"/>
        </w:rPr>
      </w:pPr>
    </w:p>
    <w:p w:rsidR="00C06BAE" w:rsidRDefault="00290F27" w:rsidP="00290F27">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During the screening process, potential participants will be asked for personal information including their email address, their parent or guardian’s email address, and sensitive questions about their cigarette use behavior.  This information will be used to determine eligibility, and to contact potential participants and/or their parents or guardians to provide parental opt-out, administer the incentive, and to administer the survey.  </w:t>
      </w:r>
    </w:p>
    <w:p w:rsidR="00C06BAE" w:rsidRDefault="00C06BAE" w:rsidP="00290F27">
      <w:pPr>
        <w:spacing w:after="0" w:line="240" w:lineRule="auto"/>
        <w:ind w:left="720"/>
        <w:rPr>
          <w:rFonts w:ascii="Times New Roman" w:eastAsia="Times New Roman" w:hAnsi="Times New Roman"/>
          <w:sz w:val="24"/>
          <w:szCs w:val="24"/>
        </w:rPr>
      </w:pPr>
    </w:p>
    <w:p w:rsidR="00290F27" w:rsidRDefault="00290F27" w:rsidP="00290F27">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Participants will receive </w:t>
      </w:r>
      <w:r w:rsidR="001D62E4">
        <w:rPr>
          <w:rFonts w:ascii="Times New Roman" w:eastAsia="Times New Roman" w:hAnsi="Times New Roman"/>
          <w:sz w:val="24"/>
          <w:szCs w:val="24"/>
        </w:rPr>
        <w:t>a youth</w:t>
      </w:r>
      <w:r w:rsidRPr="00E306F0">
        <w:rPr>
          <w:rFonts w:ascii="Times New Roman" w:eastAsia="Times New Roman" w:hAnsi="Times New Roman"/>
          <w:sz w:val="24"/>
          <w:szCs w:val="24"/>
        </w:rPr>
        <w:t xml:space="preserve"> assent form, which they will need to complete before enrollment in the study; they will also provide an email address for a parent or guardian.  Using the email provided by the participant, parents or guardians will be emailed a blank copy of the youth assent form and a copy of the parental opt-out form, which includes instructions for how to un-enroll their child from the study.  Parents or guardians will have 24 hours to </w:t>
      </w:r>
      <w:proofErr w:type="gramStart"/>
      <w:r w:rsidRPr="00E306F0">
        <w:rPr>
          <w:rFonts w:ascii="Times New Roman" w:eastAsia="Times New Roman" w:hAnsi="Times New Roman"/>
          <w:sz w:val="24"/>
          <w:szCs w:val="24"/>
        </w:rPr>
        <w:t>opt</w:t>
      </w:r>
      <w:proofErr w:type="gramEnd"/>
      <w:r w:rsidRPr="00E306F0">
        <w:rPr>
          <w:rFonts w:ascii="Times New Roman" w:eastAsia="Times New Roman" w:hAnsi="Times New Roman"/>
          <w:sz w:val="24"/>
          <w:szCs w:val="24"/>
        </w:rPr>
        <w:t xml:space="preserve"> their child out of the study either via telephone or email before their child is emailed a link to the study.  A reminder email will be sent after 12 hours; additionally, if the opt-out email “bounces back,” indicating that the email is invalid, the youth will not be allowed to participate in this study.  If a parent or guardian contacts the study team within 24 hours of screening to opt their child out of the study, the child will be removed from the list of potential participants. If no opt-out is indicated, eligible participants will be emailed a link to the study 24 hours after completing the screener. The email will contain a link that will take the participant directly to the study for completion; survey links are unique and can only be used one time. Qualified participants who do not complete the study within the 48 hours will receive a second email reminding them about the study that also contains a link to the study.</w:t>
      </w:r>
      <w:r w:rsidR="00C06BAE">
        <w:rPr>
          <w:rFonts w:ascii="Times New Roman" w:eastAsia="Times New Roman" w:hAnsi="Times New Roman"/>
          <w:sz w:val="24"/>
          <w:szCs w:val="24"/>
        </w:rPr>
        <w:t xml:space="preserve"> </w:t>
      </w:r>
      <w:r w:rsidR="00C06BAE" w:rsidRPr="00C06BAE">
        <w:rPr>
          <w:rFonts w:ascii="Times New Roman" w:eastAsia="Times New Roman" w:hAnsi="Times New Roman"/>
          <w:sz w:val="24"/>
          <w:szCs w:val="24"/>
        </w:rPr>
        <w:t>Attachment F includes the scripts for these emails.</w:t>
      </w:r>
    </w:p>
    <w:p w:rsidR="00C06BAE" w:rsidRDefault="00C06BAE" w:rsidP="00290F27">
      <w:pPr>
        <w:spacing w:after="0" w:line="240" w:lineRule="auto"/>
        <w:ind w:left="720"/>
        <w:rPr>
          <w:rFonts w:ascii="Times New Roman" w:eastAsia="Times New Roman" w:hAnsi="Times New Roman"/>
          <w:sz w:val="24"/>
          <w:szCs w:val="24"/>
        </w:rPr>
      </w:pPr>
    </w:p>
    <w:p w:rsidR="00C06BAE" w:rsidRPr="00C06BAE" w:rsidRDefault="00C06BAE" w:rsidP="00C06BAE">
      <w:pPr>
        <w:spacing w:after="0" w:line="240" w:lineRule="auto"/>
        <w:ind w:left="720"/>
        <w:rPr>
          <w:rFonts w:ascii="Times New Roman" w:eastAsia="Times New Roman" w:hAnsi="Times New Roman"/>
          <w:sz w:val="24"/>
          <w:szCs w:val="24"/>
        </w:rPr>
      </w:pPr>
      <w:r w:rsidRPr="00C06BAE">
        <w:rPr>
          <w:rFonts w:ascii="Times New Roman" w:eastAsia="Times New Roman" w:hAnsi="Times New Roman"/>
          <w:sz w:val="24"/>
          <w:szCs w:val="24"/>
        </w:rPr>
        <w:t xml:space="preserve">Parental opt-out methodology has been used by CTP for the past 3 years on several IRB and OMB approved studies. We queried IRB about this approach and they did raise any issues of ethics with this approach. Given that this study only includes 13-17 years old youth, we only use opt-out for participants who are 13 years old or older. We have </w:t>
      </w:r>
      <w:r w:rsidRPr="00C06BAE">
        <w:rPr>
          <w:rFonts w:ascii="Times New Roman" w:eastAsia="Times New Roman" w:hAnsi="Times New Roman"/>
          <w:sz w:val="24"/>
          <w:szCs w:val="24"/>
        </w:rPr>
        <w:lastRenderedPageBreak/>
        <w:t>examined and have seen similar proportions of parental permissions in cases where parental consent is required, and where we use the 24-hour opt out. Furthermore, we have seen parents of 13-17 year old year old youth opt their children out of studies, indicating the waiting period works. Over the past three years, we have not received any complaints from participants, parents,</w:t>
      </w:r>
      <w:r>
        <w:rPr>
          <w:rFonts w:ascii="Times New Roman" w:eastAsia="Times New Roman" w:hAnsi="Times New Roman"/>
          <w:sz w:val="24"/>
          <w:szCs w:val="24"/>
        </w:rPr>
        <w:t xml:space="preserve"> or IRB administrators about </w:t>
      </w:r>
      <w:r w:rsidRPr="00C06BAE">
        <w:rPr>
          <w:rFonts w:ascii="Times New Roman" w:eastAsia="Times New Roman" w:hAnsi="Times New Roman"/>
          <w:sz w:val="24"/>
          <w:szCs w:val="24"/>
        </w:rPr>
        <w:t>using an opt-out approach.</w:t>
      </w:r>
    </w:p>
    <w:p w:rsidR="00C06BAE" w:rsidRPr="00C06BAE" w:rsidRDefault="00C06BAE" w:rsidP="00C06BAE">
      <w:pPr>
        <w:spacing w:after="0" w:line="240" w:lineRule="auto"/>
        <w:ind w:left="720"/>
        <w:rPr>
          <w:rFonts w:ascii="Times New Roman" w:eastAsia="Times New Roman" w:hAnsi="Times New Roman"/>
          <w:sz w:val="24"/>
          <w:szCs w:val="24"/>
        </w:rPr>
      </w:pPr>
    </w:p>
    <w:p w:rsidR="00C06BAE" w:rsidRPr="00C06BAE" w:rsidRDefault="00C06BAE" w:rsidP="00C06BAE">
      <w:pPr>
        <w:spacing w:after="0" w:line="240" w:lineRule="auto"/>
        <w:ind w:left="720"/>
        <w:rPr>
          <w:rFonts w:ascii="Times New Roman" w:eastAsia="Times New Roman" w:hAnsi="Times New Roman"/>
          <w:sz w:val="24"/>
          <w:szCs w:val="24"/>
        </w:rPr>
      </w:pPr>
      <w:r w:rsidRPr="00C06BAE">
        <w:rPr>
          <w:rFonts w:ascii="Times New Roman" w:eastAsia="Times New Roman" w:hAnsi="Times New Roman"/>
          <w:sz w:val="24"/>
          <w:szCs w:val="24"/>
        </w:rPr>
        <w:t xml:space="preserve">Further, due to the target population of this study, traditional written parental consent procedures would screen out the very subjects most appropriate for the aims of this study. Many youth who smoke or are at-risk for smoking are unlikely to seek out parental consent or have parents who provide written consent for their children’s participation in prevention programs, making the evaluations of such programs problematic (Levine, 1995; </w:t>
      </w:r>
      <w:proofErr w:type="spellStart"/>
      <w:r w:rsidRPr="00C06BAE">
        <w:rPr>
          <w:rFonts w:ascii="Times New Roman" w:eastAsia="Times New Roman" w:hAnsi="Times New Roman"/>
          <w:sz w:val="24"/>
          <w:szCs w:val="24"/>
        </w:rPr>
        <w:t>Pokorny</w:t>
      </w:r>
      <w:proofErr w:type="spellEnd"/>
      <w:r w:rsidRPr="00C06BAE">
        <w:rPr>
          <w:rFonts w:ascii="Times New Roman" w:eastAsia="Times New Roman" w:hAnsi="Times New Roman"/>
          <w:sz w:val="24"/>
          <w:szCs w:val="24"/>
        </w:rPr>
        <w:t xml:space="preserve"> et al., 2001; Unger et al., 2004; Severson and </w:t>
      </w:r>
      <w:proofErr w:type="spellStart"/>
      <w:r w:rsidRPr="00C06BAE">
        <w:rPr>
          <w:rFonts w:ascii="Times New Roman" w:eastAsia="Times New Roman" w:hAnsi="Times New Roman"/>
          <w:sz w:val="24"/>
          <w:szCs w:val="24"/>
        </w:rPr>
        <w:t>Ary</w:t>
      </w:r>
      <w:proofErr w:type="spellEnd"/>
      <w:r w:rsidRPr="00C06BAE">
        <w:rPr>
          <w:rFonts w:ascii="Times New Roman" w:eastAsia="Times New Roman" w:hAnsi="Times New Roman"/>
          <w:sz w:val="24"/>
          <w:szCs w:val="24"/>
        </w:rPr>
        <w:t xml:space="preserve">, 1983). Demonstrating this point, there is consistent evidence of quantifiable differences in the characteristics of youth who participate in smoking cessation research when traditional written consent is required compared to waived parental consent, including participant demographics and smoking </w:t>
      </w:r>
      <w:proofErr w:type="gramStart"/>
      <w:r w:rsidRPr="00C06BAE">
        <w:rPr>
          <w:rFonts w:ascii="Times New Roman" w:eastAsia="Times New Roman" w:hAnsi="Times New Roman"/>
          <w:sz w:val="24"/>
          <w:szCs w:val="24"/>
        </w:rPr>
        <w:t>history.</w:t>
      </w:r>
      <w:proofErr w:type="gramEnd"/>
      <w:r w:rsidRPr="00C06BAE">
        <w:rPr>
          <w:rFonts w:ascii="Times New Roman" w:eastAsia="Times New Roman" w:hAnsi="Times New Roman"/>
          <w:sz w:val="24"/>
          <w:szCs w:val="24"/>
        </w:rPr>
        <w:t xml:space="preserve"> For instance, Kearney et al. (1983) found that explicit written consent procedure produced a sample that was approximately half the size of the eligible population and over-represented White students while under-representing Blacks and Asian Americans. </w:t>
      </w:r>
      <w:proofErr w:type="spellStart"/>
      <w:r w:rsidRPr="00C06BAE">
        <w:rPr>
          <w:rFonts w:ascii="Times New Roman" w:eastAsia="Times New Roman" w:hAnsi="Times New Roman"/>
          <w:sz w:val="24"/>
          <w:szCs w:val="24"/>
        </w:rPr>
        <w:t>Anderman</w:t>
      </w:r>
      <w:proofErr w:type="spellEnd"/>
      <w:r w:rsidRPr="00C06BAE">
        <w:rPr>
          <w:rFonts w:ascii="Times New Roman" w:eastAsia="Times New Roman" w:hAnsi="Times New Roman"/>
          <w:sz w:val="24"/>
          <w:szCs w:val="24"/>
        </w:rPr>
        <w:t xml:space="preserve"> et al. (1995) found differences between 9th- and 12th-grade students with and without written parental consent for a sensitive health survey. Participants with written consent were more likely to be White, live in two-parent households, and have a grade point average of “B” or above. Cigarette smoking was also less prevalent in the written consent group. Severson and </w:t>
      </w:r>
      <w:proofErr w:type="spellStart"/>
      <w:r w:rsidRPr="00C06BAE">
        <w:rPr>
          <w:rFonts w:ascii="Times New Roman" w:eastAsia="Times New Roman" w:hAnsi="Times New Roman"/>
          <w:sz w:val="24"/>
          <w:szCs w:val="24"/>
        </w:rPr>
        <w:t>Ary</w:t>
      </w:r>
      <w:proofErr w:type="spellEnd"/>
      <w:r w:rsidRPr="00C06BAE">
        <w:rPr>
          <w:rFonts w:ascii="Times New Roman" w:eastAsia="Times New Roman" w:hAnsi="Times New Roman"/>
          <w:sz w:val="24"/>
          <w:szCs w:val="24"/>
        </w:rPr>
        <w:t xml:space="preserve"> (1983) found that youth participants who gained consent were more likely to be nonsmokers compared to those non-consent participants.</w:t>
      </w:r>
    </w:p>
    <w:p w:rsidR="00C06BAE" w:rsidRPr="00C06BAE" w:rsidRDefault="00C06BAE" w:rsidP="00C06BAE">
      <w:pPr>
        <w:spacing w:after="0" w:line="240" w:lineRule="auto"/>
        <w:ind w:left="720"/>
        <w:rPr>
          <w:rFonts w:ascii="Times New Roman" w:eastAsia="Times New Roman" w:hAnsi="Times New Roman"/>
          <w:sz w:val="24"/>
          <w:szCs w:val="24"/>
        </w:rPr>
      </w:pPr>
    </w:p>
    <w:p w:rsidR="00C06BAE" w:rsidRPr="00E306F0" w:rsidRDefault="00C06BAE" w:rsidP="00C06BAE">
      <w:pPr>
        <w:spacing w:after="0" w:line="240" w:lineRule="auto"/>
        <w:ind w:left="720"/>
        <w:rPr>
          <w:rFonts w:ascii="Times New Roman" w:eastAsia="Times New Roman" w:hAnsi="Times New Roman"/>
          <w:sz w:val="24"/>
          <w:szCs w:val="24"/>
        </w:rPr>
      </w:pPr>
      <w:r w:rsidRPr="00C06BAE">
        <w:rPr>
          <w:rFonts w:ascii="Times New Roman" w:eastAsia="Times New Roman" w:hAnsi="Times New Roman"/>
          <w:sz w:val="24"/>
          <w:szCs w:val="24"/>
        </w:rPr>
        <w:t>Because obtaining written consent for at-risk youth will result in a sample with different characteristics than the target group, a 24-hour parental opt-out approach is being requested for participants (and has already received approval from IRB).</w:t>
      </w:r>
    </w:p>
    <w:p w:rsidR="001F59BC" w:rsidRPr="00E306F0" w:rsidRDefault="001F59BC" w:rsidP="00290F27">
      <w:pPr>
        <w:spacing w:after="0" w:line="240" w:lineRule="auto"/>
        <w:rPr>
          <w:rFonts w:ascii="Times New Roman" w:eastAsia="Times New Roman" w:hAnsi="Times New Roman"/>
          <w:sz w:val="24"/>
          <w:szCs w:val="24"/>
        </w:rPr>
      </w:pPr>
    </w:p>
    <w:p w:rsidR="002B7184" w:rsidRPr="00E306F0" w:rsidRDefault="002B7184" w:rsidP="00210289">
      <w:pPr>
        <w:spacing w:after="0" w:line="240" w:lineRule="auto"/>
        <w:ind w:left="720"/>
        <w:rPr>
          <w:rFonts w:ascii="Times New Roman" w:eastAsia="Times New Roman" w:hAnsi="Times New Roman"/>
          <w:sz w:val="24"/>
          <w:szCs w:val="24"/>
          <w:u w:val="single"/>
        </w:rPr>
      </w:pPr>
      <w:r w:rsidRPr="00E306F0">
        <w:rPr>
          <w:rFonts w:ascii="Times New Roman" w:eastAsia="Times New Roman" w:hAnsi="Times New Roman"/>
          <w:sz w:val="24"/>
          <w:szCs w:val="24"/>
          <w:u w:val="single"/>
        </w:rPr>
        <w:t>Sample Size</w:t>
      </w:r>
    </w:p>
    <w:p w:rsidR="00263A8A" w:rsidRPr="00E306F0" w:rsidRDefault="00290F27" w:rsidP="00AB39C0">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To determine the total sample size needed for this study, an a priori power analysis was conducted that included a single advertisement exposure group and a single non-advertisement viewing group.  This sample size was determined to account for testing a total of four advertisements.  With four advertisement groups and one control group in this study, there will be five groups.  Assuming a two-tailed test, a small effect size (Cohen’s d = 0.20) and an alpha of 0.05, the required sample size for both phases of this study to achieve a power of 0.80, which is generally considered adequate in social science research, is N=1,230 (246 participants in each of the five groups).  Because study enrollment will be occurring simultaneously in multiple malls and geographical locations, it is possible that over-enrollment will occur.  Accordingly, a five percent buffer (n=62) will be incorporated into the anticipated N, so that final enrollment numbers will fall between N=1,230 (to achieve adequate power) and a maximum of N=1,292. Based on prior waves of copy testing for </w:t>
      </w:r>
      <w:r w:rsidRPr="00E306F0">
        <w:rPr>
          <w:rFonts w:ascii="Times New Roman" w:eastAsia="Times New Roman" w:hAnsi="Times New Roman"/>
          <w:i/>
          <w:sz w:val="24"/>
          <w:szCs w:val="24"/>
        </w:rPr>
        <w:t>The Real Cost</w:t>
      </w:r>
      <w:r w:rsidRPr="00E306F0">
        <w:rPr>
          <w:rFonts w:ascii="Times New Roman" w:eastAsia="Times New Roman" w:hAnsi="Times New Roman"/>
          <w:sz w:val="24"/>
          <w:szCs w:val="24"/>
        </w:rPr>
        <w:t xml:space="preserve"> campaign, it is anticipated that roughly three youth will need to be screened for every one study </w:t>
      </w:r>
      <w:r w:rsidR="00EC11AB" w:rsidRPr="00E306F0">
        <w:rPr>
          <w:rFonts w:ascii="Times New Roman" w:eastAsia="Times New Roman" w:hAnsi="Times New Roman"/>
          <w:sz w:val="24"/>
          <w:szCs w:val="24"/>
        </w:rPr>
        <w:t>participant.  Thus, it is estimated that 3,876 potential respondents will need to be screened for this study.</w:t>
      </w:r>
      <w:bookmarkStart w:id="1" w:name="_Toc361824173"/>
    </w:p>
    <w:p w:rsidR="00C9529E" w:rsidRPr="00E306F0" w:rsidRDefault="00C9529E" w:rsidP="00C9529E">
      <w:pPr>
        <w:spacing w:after="0" w:line="240" w:lineRule="auto"/>
        <w:rPr>
          <w:rFonts w:ascii="Times New Roman" w:eastAsia="Times New Roman" w:hAnsi="Times New Roman"/>
          <w:sz w:val="24"/>
          <w:szCs w:val="24"/>
        </w:rPr>
      </w:pPr>
    </w:p>
    <w:bookmarkEnd w:id="1"/>
    <w:p w:rsidR="00447CB7" w:rsidRPr="00FC22B2" w:rsidRDefault="00447CB7" w:rsidP="00C9529E">
      <w:pPr>
        <w:numPr>
          <w:ilvl w:val="0"/>
          <w:numId w:val="2"/>
        </w:numPr>
        <w:spacing w:after="0" w:line="240" w:lineRule="auto"/>
        <w:rPr>
          <w:rFonts w:ascii="Times New Roman" w:eastAsia="Times New Roman" w:hAnsi="Times New Roman"/>
          <w:b/>
          <w:sz w:val="24"/>
          <w:szCs w:val="24"/>
          <w:u w:val="single"/>
        </w:rPr>
      </w:pPr>
      <w:r w:rsidRPr="00FC22B2">
        <w:rPr>
          <w:rFonts w:ascii="Times New Roman" w:eastAsia="Times New Roman" w:hAnsi="Times New Roman"/>
          <w:b/>
          <w:sz w:val="24"/>
          <w:szCs w:val="24"/>
          <w:u w:val="single"/>
        </w:rPr>
        <w:t>Procedures for the Collection of Information</w:t>
      </w:r>
    </w:p>
    <w:p w:rsidR="00C9529E" w:rsidRPr="00E306F0" w:rsidRDefault="00C9529E" w:rsidP="00C9529E">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Qualified participants will be randomly assigned to either view an advertisement or not view an advertisement and will complete the </w:t>
      </w:r>
      <w:r w:rsidR="00FC22B2">
        <w:rPr>
          <w:rFonts w:ascii="Times New Roman" w:eastAsia="Times New Roman" w:hAnsi="Times New Roman"/>
          <w:sz w:val="24"/>
          <w:szCs w:val="24"/>
        </w:rPr>
        <w:t>q</w:t>
      </w:r>
      <w:r w:rsidRPr="00E306F0">
        <w:rPr>
          <w:rFonts w:ascii="Times New Roman" w:eastAsia="Times New Roman" w:hAnsi="Times New Roman"/>
          <w:sz w:val="24"/>
          <w:szCs w:val="24"/>
        </w:rPr>
        <w:t>uestionnaire form (Attachment D).  Participants selected to view an advertisement will first be provided with a set of questions about their exposure to tobacco use and their own cigarette use. Following these questions, participants will view an advertisement and will then be prompted to complete a questionnaire designed to assess whether the advertisement provides an understandable and engaging message about the harms of cigarette use. Advertisements will average 30 seconds in length.  Participants in the ad-viewing group will be randomly assigned to view one of a total of four advertisements being assessed in this study.</w:t>
      </w:r>
    </w:p>
    <w:p w:rsidR="00C9529E" w:rsidRPr="00E306F0" w:rsidRDefault="00C9529E" w:rsidP="00C9529E">
      <w:pPr>
        <w:spacing w:after="0" w:line="240" w:lineRule="auto"/>
        <w:ind w:left="720"/>
        <w:rPr>
          <w:rFonts w:ascii="Times New Roman" w:eastAsia="Times New Roman" w:hAnsi="Times New Roman"/>
          <w:sz w:val="24"/>
          <w:szCs w:val="24"/>
        </w:rPr>
      </w:pPr>
    </w:p>
    <w:p w:rsidR="00C9529E" w:rsidRPr="00E306F0" w:rsidRDefault="00C9529E" w:rsidP="00C9529E">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Following completion of the advertisement questionnaire, participants will be provided with general questions about their attitudes and beliefs about the harms of cigarette use as well as additional demographic questions. The questions targeting general attitudes and beliefs about the harms of cigarette use will be used to assess potential unintended consequences.</w:t>
      </w:r>
    </w:p>
    <w:p w:rsidR="00C9529E" w:rsidRPr="00E306F0" w:rsidRDefault="00C9529E" w:rsidP="00C9529E">
      <w:pPr>
        <w:spacing w:after="0" w:line="240" w:lineRule="auto"/>
        <w:ind w:left="720"/>
        <w:rPr>
          <w:rFonts w:ascii="Times New Roman" w:eastAsia="Times New Roman" w:hAnsi="Times New Roman"/>
          <w:sz w:val="24"/>
          <w:szCs w:val="24"/>
        </w:rPr>
      </w:pPr>
    </w:p>
    <w:p w:rsidR="00C9529E" w:rsidRPr="00E306F0" w:rsidRDefault="00C9529E" w:rsidP="00C9529E">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Participants selected not to view any advertisements will only be provided with questions about their exposure to tobacco use and their own cigarette use and about their attitudes and beliefs around the harms of cigarette use, followed by additional demographic questions. Participants who do not view any advertisements are being included to measure for unintended consequences.</w:t>
      </w:r>
    </w:p>
    <w:p w:rsidR="00C9529E" w:rsidRPr="00E306F0" w:rsidRDefault="00C9529E" w:rsidP="00C9529E">
      <w:pPr>
        <w:spacing w:after="0" w:line="240" w:lineRule="auto"/>
        <w:ind w:left="720"/>
        <w:rPr>
          <w:rFonts w:ascii="Times New Roman" w:eastAsia="Times New Roman" w:hAnsi="Times New Roman"/>
          <w:sz w:val="24"/>
          <w:szCs w:val="24"/>
        </w:rPr>
      </w:pPr>
    </w:p>
    <w:p w:rsidR="00120E99" w:rsidRDefault="00C9529E" w:rsidP="00C9529E">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All of the above-mentioned research activities will be conducted on a password-protected website.  Table </w:t>
      </w:r>
      <w:r w:rsidR="00FC22B2">
        <w:rPr>
          <w:rFonts w:ascii="Times New Roman" w:eastAsia="Times New Roman" w:hAnsi="Times New Roman"/>
          <w:sz w:val="24"/>
          <w:szCs w:val="24"/>
        </w:rPr>
        <w:t>5</w:t>
      </w:r>
      <w:r w:rsidR="00120E99" w:rsidRPr="00E306F0">
        <w:rPr>
          <w:rFonts w:ascii="Times New Roman" w:eastAsia="Times New Roman" w:hAnsi="Times New Roman"/>
          <w:sz w:val="24"/>
          <w:szCs w:val="24"/>
        </w:rPr>
        <w:t xml:space="preserve"> indicates the varia</w:t>
      </w:r>
      <w:r w:rsidR="001D62E4">
        <w:rPr>
          <w:rFonts w:ascii="Times New Roman" w:eastAsia="Times New Roman" w:hAnsi="Times New Roman"/>
          <w:sz w:val="24"/>
          <w:szCs w:val="24"/>
        </w:rPr>
        <w:t>bles to be assessed during the q</w:t>
      </w:r>
      <w:r w:rsidR="00120E99" w:rsidRPr="00E306F0">
        <w:rPr>
          <w:rFonts w:ascii="Times New Roman" w:eastAsia="Times New Roman" w:hAnsi="Times New Roman"/>
          <w:sz w:val="24"/>
          <w:szCs w:val="24"/>
        </w:rPr>
        <w:t>uestionnaire and the participant groups that wil</w:t>
      </w:r>
      <w:r w:rsidR="003925A6" w:rsidRPr="00E306F0">
        <w:rPr>
          <w:rFonts w:ascii="Times New Roman" w:eastAsia="Times New Roman" w:hAnsi="Times New Roman"/>
          <w:sz w:val="24"/>
          <w:szCs w:val="24"/>
        </w:rPr>
        <w:t>l be exposed to these survey items.</w:t>
      </w:r>
    </w:p>
    <w:p w:rsidR="00C06BAE" w:rsidRDefault="00C06BAE" w:rsidP="00C9529E">
      <w:pPr>
        <w:spacing w:after="0" w:line="240" w:lineRule="auto"/>
        <w:ind w:left="720"/>
        <w:rPr>
          <w:rFonts w:ascii="Times New Roman" w:eastAsia="Times New Roman" w:hAnsi="Times New Roman"/>
          <w:sz w:val="24"/>
          <w:szCs w:val="24"/>
        </w:rPr>
      </w:pPr>
    </w:p>
    <w:p w:rsidR="003925A6" w:rsidRPr="00E306F0" w:rsidRDefault="003925A6" w:rsidP="00120E99">
      <w:pPr>
        <w:spacing w:after="0" w:line="240" w:lineRule="auto"/>
        <w:ind w:left="720"/>
        <w:rPr>
          <w:rFonts w:ascii="Times New Roman" w:eastAsia="Times New Roman" w:hAnsi="Times New Roman"/>
          <w:sz w:val="24"/>
          <w:szCs w:val="24"/>
        </w:rPr>
      </w:pPr>
    </w:p>
    <w:p w:rsidR="004624AB" w:rsidRDefault="004624AB">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br w:type="page"/>
      </w:r>
    </w:p>
    <w:p w:rsidR="003925A6" w:rsidRDefault="00C9529E" w:rsidP="00FC22B2">
      <w:pPr>
        <w:spacing w:after="0" w:line="240" w:lineRule="auto"/>
        <w:ind w:left="1440"/>
        <w:rPr>
          <w:rFonts w:ascii="Times New Roman" w:eastAsia="Times New Roman" w:hAnsi="Times New Roman"/>
          <w:b/>
          <w:sz w:val="24"/>
          <w:szCs w:val="24"/>
        </w:rPr>
      </w:pPr>
      <w:proofErr w:type="gramStart"/>
      <w:r w:rsidRPr="00E306F0">
        <w:rPr>
          <w:rFonts w:ascii="Times New Roman" w:eastAsia="Times New Roman" w:hAnsi="Times New Roman"/>
          <w:b/>
          <w:sz w:val="24"/>
          <w:szCs w:val="24"/>
        </w:rPr>
        <w:lastRenderedPageBreak/>
        <w:t xml:space="preserve">Table </w:t>
      </w:r>
      <w:r w:rsidR="00FC22B2">
        <w:rPr>
          <w:rFonts w:ascii="Times New Roman" w:eastAsia="Times New Roman" w:hAnsi="Times New Roman"/>
          <w:b/>
          <w:sz w:val="24"/>
          <w:szCs w:val="24"/>
        </w:rPr>
        <w:t>5</w:t>
      </w:r>
      <w:r w:rsidR="00311C58" w:rsidRPr="00E306F0">
        <w:rPr>
          <w:rFonts w:ascii="Times New Roman" w:eastAsia="Times New Roman" w:hAnsi="Times New Roman"/>
          <w:b/>
          <w:sz w:val="24"/>
          <w:szCs w:val="24"/>
        </w:rPr>
        <w:t>.</w:t>
      </w:r>
      <w:proofErr w:type="gramEnd"/>
      <w:r w:rsidR="003925A6" w:rsidRPr="00E306F0">
        <w:rPr>
          <w:rFonts w:ascii="Times New Roman" w:eastAsia="Times New Roman" w:hAnsi="Times New Roman"/>
          <w:b/>
          <w:sz w:val="24"/>
          <w:szCs w:val="24"/>
        </w:rPr>
        <w:t xml:space="preserve"> Structure of the Copy Testing Process and Questionnaire</w:t>
      </w:r>
    </w:p>
    <w:p w:rsidR="00052D82" w:rsidRDefault="00052D82" w:rsidP="003925A6">
      <w:pPr>
        <w:spacing w:after="0" w:line="240" w:lineRule="auto"/>
        <w:ind w:left="720"/>
        <w:rPr>
          <w:rFonts w:ascii="Times New Roman" w:eastAsia="Times New Roman" w:hAnsi="Times New Roman"/>
          <w:b/>
          <w:sz w:val="24"/>
          <w:szCs w:val="24"/>
        </w:rPr>
      </w:pPr>
    </w:p>
    <w:tbl>
      <w:tblPr>
        <w:tblpPr w:leftFromText="180" w:rightFromText="180" w:vertAnchor="text" w:horzAnchor="margin" w:tblpXSpec="right" w:tblpY="-70"/>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511"/>
        <w:gridCol w:w="1531"/>
        <w:gridCol w:w="1510"/>
      </w:tblGrid>
      <w:tr w:rsidR="00052D82" w:rsidRPr="00E306F0" w:rsidTr="00052D82">
        <w:tc>
          <w:tcPr>
            <w:tcW w:w="1286" w:type="pct"/>
            <w:shd w:val="clear" w:color="auto" w:fill="BFBFBF"/>
          </w:tcPr>
          <w:p w:rsidR="00052D82" w:rsidRPr="00E306F0" w:rsidRDefault="00052D82" w:rsidP="00052D82">
            <w:pPr>
              <w:spacing w:after="0" w:line="240" w:lineRule="auto"/>
              <w:jc w:val="center"/>
              <w:rPr>
                <w:rFonts w:ascii="Times New Roman" w:eastAsia="Times New Roman" w:hAnsi="Times New Roman"/>
                <w:b/>
                <w:sz w:val="24"/>
                <w:szCs w:val="24"/>
              </w:rPr>
            </w:pPr>
            <w:r w:rsidRPr="00E306F0">
              <w:rPr>
                <w:rFonts w:ascii="Times New Roman" w:eastAsia="Times New Roman" w:hAnsi="Times New Roman"/>
                <w:b/>
                <w:sz w:val="24"/>
                <w:szCs w:val="24"/>
              </w:rPr>
              <w:t>Action or Variable</w:t>
            </w:r>
          </w:p>
        </w:tc>
        <w:tc>
          <w:tcPr>
            <w:tcW w:w="1990" w:type="pct"/>
            <w:shd w:val="clear" w:color="auto" w:fill="BFBFBF"/>
          </w:tcPr>
          <w:p w:rsidR="00052D82" w:rsidRPr="00E306F0" w:rsidRDefault="00052D82" w:rsidP="00052D82">
            <w:pPr>
              <w:spacing w:after="0" w:line="240" w:lineRule="auto"/>
              <w:jc w:val="center"/>
              <w:rPr>
                <w:rFonts w:ascii="Times New Roman" w:eastAsia="Times New Roman" w:hAnsi="Times New Roman"/>
                <w:b/>
                <w:sz w:val="24"/>
                <w:szCs w:val="24"/>
              </w:rPr>
            </w:pPr>
            <w:r w:rsidRPr="00E306F0">
              <w:rPr>
                <w:rFonts w:ascii="Times New Roman" w:eastAsia="Times New Roman" w:hAnsi="Times New Roman"/>
                <w:b/>
                <w:sz w:val="24"/>
                <w:szCs w:val="24"/>
              </w:rPr>
              <w:t>Description</w:t>
            </w:r>
          </w:p>
        </w:tc>
        <w:tc>
          <w:tcPr>
            <w:tcW w:w="868" w:type="pct"/>
            <w:shd w:val="clear" w:color="auto" w:fill="BFBFBF"/>
          </w:tcPr>
          <w:p w:rsidR="00052D82" w:rsidRPr="00E306F0" w:rsidRDefault="00052D82" w:rsidP="00052D82">
            <w:pPr>
              <w:spacing w:after="0" w:line="240" w:lineRule="auto"/>
              <w:jc w:val="center"/>
              <w:rPr>
                <w:rFonts w:ascii="Times New Roman" w:eastAsia="Times New Roman" w:hAnsi="Times New Roman"/>
                <w:b/>
                <w:sz w:val="24"/>
                <w:szCs w:val="24"/>
              </w:rPr>
            </w:pPr>
            <w:r w:rsidRPr="00E306F0">
              <w:rPr>
                <w:rFonts w:ascii="Times New Roman" w:eastAsia="Times New Roman" w:hAnsi="Times New Roman"/>
                <w:b/>
                <w:sz w:val="24"/>
                <w:szCs w:val="24"/>
              </w:rPr>
              <w:t>Presented to Ad-Viewing Participants</w:t>
            </w:r>
          </w:p>
        </w:tc>
        <w:tc>
          <w:tcPr>
            <w:tcW w:w="857" w:type="pct"/>
            <w:shd w:val="clear" w:color="auto" w:fill="BFBFBF"/>
          </w:tcPr>
          <w:p w:rsidR="00052D82" w:rsidRPr="00E306F0" w:rsidRDefault="00052D82" w:rsidP="00052D82">
            <w:pPr>
              <w:spacing w:after="0" w:line="240" w:lineRule="auto"/>
              <w:jc w:val="center"/>
              <w:rPr>
                <w:rFonts w:ascii="Times New Roman" w:eastAsia="Times New Roman" w:hAnsi="Times New Roman"/>
                <w:b/>
                <w:sz w:val="24"/>
                <w:szCs w:val="24"/>
              </w:rPr>
            </w:pPr>
            <w:r w:rsidRPr="00E306F0">
              <w:rPr>
                <w:rFonts w:ascii="Times New Roman" w:eastAsia="Times New Roman" w:hAnsi="Times New Roman"/>
                <w:b/>
                <w:sz w:val="24"/>
                <w:szCs w:val="24"/>
              </w:rPr>
              <w:t>Presented to Control Participants</w:t>
            </w:r>
          </w:p>
        </w:tc>
      </w:tr>
      <w:tr w:rsidR="00052D82" w:rsidRPr="00E306F0" w:rsidTr="00052D82">
        <w:tc>
          <w:tcPr>
            <w:tcW w:w="1286"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Ad exposure</w:t>
            </w:r>
          </w:p>
        </w:tc>
        <w:tc>
          <w:tcPr>
            <w:tcW w:w="1990"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Each of the ad-viewing participants will view an advertisement.</w:t>
            </w:r>
          </w:p>
        </w:tc>
        <w:tc>
          <w:tcPr>
            <w:tcW w:w="868"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c>
          <w:tcPr>
            <w:tcW w:w="857"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p>
        </w:tc>
      </w:tr>
      <w:tr w:rsidR="00052D82" w:rsidRPr="00E306F0" w:rsidTr="00052D82">
        <w:tc>
          <w:tcPr>
            <w:tcW w:w="1286"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Tobacco use and peer tobacco use</w:t>
            </w:r>
          </w:p>
        </w:tc>
        <w:tc>
          <w:tcPr>
            <w:tcW w:w="1990"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All participants will respond to items on household tobacco use, peer cigarette use, and participant cigarette use.</w:t>
            </w:r>
          </w:p>
        </w:tc>
        <w:tc>
          <w:tcPr>
            <w:tcW w:w="868"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c>
          <w:tcPr>
            <w:tcW w:w="857"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r>
      <w:tr w:rsidR="00052D82" w:rsidRPr="00E306F0" w:rsidTr="00052D82">
        <w:tc>
          <w:tcPr>
            <w:tcW w:w="1286"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Perceived ad effectiveness</w:t>
            </w:r>
          </w:p>
        </w:tc>
        <w:tc>
          <w:tcPr>
            <w:tcW w:w="1990"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Ad-viewing participants will respond to items that assess perceived ad effectiveness, presented immediately following the ad.</w:t>
            </w:r>
          </w:p>
        </w:tc>
        <w:tc>
          <w:tcPr>
            <w:tcW w:w="868"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c>
          <w:tcPr>
            <w:tcW w:w="857"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p>
        </w:tc>
      </w:tr>
      <w:tr w:rsidR="00052D82" w:rsidRPr="00E306F0" w:rsidTr="00052D82">
        <w:tc>
          <w:tcPr>
            <w:tcW w:w="1286"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Tobacco-related knowledge, attitude, and beliefs</w:t>
            </w:r>
          </w:p>
        </w:tc>
        <w:tc>
          <w:tcPr>
            <w:tcW w:w="1990" w:type="pct"/>
            <w:shd w:val="clear" w:color="auto" w:fill="auto"/>
            <w:vAlign w:val="center"/>
          </w:tcPr>
          <w:p w:rsidR="00052D82" w:rsidRPr="00E306F0" w:rsidRDefault="00052D82" w:rsidP="00052D82">
            <w:pPr>
              <w:spacing w:after="0" w:line="240" w:lineRule="auto"/>
              <w:rPr>
                <w:rFonts w:ascii="Times New Roman" w:eastAsia="Times New Roman" w:hAnsi="Times New Roman"/>
                <w:sz w:val="24"/>
                <w:szCs w:val="24"/>
              </w:rPr>
            </w:pPr>
            <w:r w:rsidRPr="00E306F0">
              <w:rPr>
                <w:rFonts w:ascii="Times New Roman" w:eastAsia="Times New Roman" w:hAnsi="Times New Roman"/>
                <w:sz w:val="24"/>
                <w:szCs w:val="24"/>
              </w:rPr>
              <w:t>All participants will respond to items that assess knowledge, attitudes, and beliefs about tobacco.</w:t>
            </w:r>
          </w:p>
        </w:tc>
        <w:tc>
          <w:tcPr>
            <w:tcW w:w="868"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c>
          <w:tcPr>
            <w:tcW w:w="857" w:type="pct"/>
            <w:shd w:val="clear" w:color="auto" w:fill="auto"/>
            <w:vAlign w:val="center"/>
          </w:tcPr>
          <w:p w:rsidR="00052D82" w:rsidRPr="00E306F0" w:rsidRDefault="00052D82" w:rsidP="00052D82">
            <w:pPr>
              <w:spacing w:after="0" w:line="240" w:lineRule="auto"/>
              <w:jc w:val="center"/>
              <w:rPr>
                <w:rFonts w:ascii="Times New Roman" w:eastAsia="Times New Roman" w:hAnsi="Times New Roman"/>
                <w:sz w:val="24"/>
                <w:szCs w:val="24"/>
              </w:rPr>
            </w:pPr>
            <w:r w:rsidRPr="00E306F0">
              <w:rPr>
                <w:rFonts w:ascii="Times New Roman" w:eastAsia="Times New Roman" w:hAnsi="Times New Roman"/>
                <w:sz w:val="24"/>
                <w:szCs w:val="24"/>
              </w:rPr>
              <w:t>X</w:t>
            </w:r>
          </w:p>
        </w:tc>
      </w:tr>
    </w:tbl>
    <w:p w:rsidR="00052D82" w:rsidRPr="00E306F0" w:rsidRDefault="00052D82" w:rsidP="003925A6">
      <w:pPr>
        <w:spacing w:after="0" w:line="240" w:lineRule="auto"/>
        <w:ind w:left="720"/>
        <w:rPr>
          <w:rFonts w:ascii="Times New Roman" w:eastAsia="Times New Roman" w:hAnsi="Times New Roman"/>
          <w:b/>
          <w:sz w:val="24"/>
          <w:szCs w:val="24"/>
        </w:rPr>
      </w:pPr>
    </w:p>
    <w:p w:rsidR="00C9529E" w:rsidRPr="00E306F0" w:rsidRDefault="00C9529E" w:rsidP="003925A6">
      <w:pPr>
        <w:spacing w:after="0" w:line="240" w:lineRule="auto"/>
        <w:ind w:left="720"/>
        <w:rPr>
          <w:rFonts w:ascii="Times New Roman" w:eastAsia="Times New Roman" w:hAnsi="Times New Roman"/>
          <w:b/>
          <w:sz w:val="24"/>
          <w:szCs w:val="24"/>
        </w:rPr>
      </w:pPr>
    </w:p>
    <w:p w:rsidR="003925A6" w:rsidRPr="00E306F0" w:rsidRDefault="003925A6" w:rsidP="00120E99">
      <w:pPr>
        <w:spacing w:after="0" w:line="240" w:lineRule="auto"/>
        <w:ind w:left="720"/>
        <w:rPr>
          <w:rFonts w:ascii="Times New Roman" w:eastAsia="Times New Roman" w:hAnsi="Times New Roman"/>
          <w:sz w:val="24"/>
          <w:szCs w:val="24"/>
        </w:rPr>
      </w:pPr>
    </w:p>
    <w:p w:rsidR="003925A6" w:rsidRPr="00E306F0" w:rsidRDefault="003925A6"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C9529E" w:rsidRPr="00E306F0" w:rsidRDefault="00C9529E" w:rsidP="00120E99">
      <w:pPr>
        <w:spacing w:after="0" w:line="240" w:lineRule="auto"/>
        <w:ind w:left="720"/>
        <w:rPr>
          <w:rFonts w:ascii="Times New Roman" w:eastAsia="Times New Roman" w:hAnsi="Times New Roman"/>
          <w:sz w:val="24"/>
          <w:szCs w:val="24"/>
          <w:highlight w:val="yellow"/>
        </w:rPr>
      </w:pPr>
    </w:p>
    <w:p w:rsidR="00052D82" w:rsidRDefault="00052D82" w:rsidP="00052D82">
      <w:pPr>
        <w:spacing w:after="0" w:line="240" w:lineRule="auto"/>
        <w:ind w:left="720"/>
        <w:rPr>
          <w:rFonts w:ascii="Times New Roman" w:eastAsia="Times New Roman" w:hAnsi="Times New Roman"/>
          <w:sz w:val="24"/>
          <w:szCs w:val="24"/>
          <w:u w:val="single"/>
        </w:rPr>
      </w:pPr>
    </w:p>
    <w:p w:rsidR="00052D82" w:rsidRDefault="00052D82" w:rsidP="00052D82">
      <w:pPr>
        <w:spacing w:after="0" w:line="240" w:lineRule="auto"/>
        <w:ind w:left="720"/>
        <w:rPr>
          <w:rFonts w:ascii="Times New Roman" w:eastAsia="Times New Roman" w:hAnsi="Times New Roman"/>
          <w:sz w:val="24"/>
          <w:szCs w:val="24"/>
          <w:u w:val="single"/>
        </w:rPr>
      </w:pPr>
    </w:p>
    <w:p w:rsidR="00052D82" w:rsidRDefault="00052D82" w:rsidP="00052D82">
      <w:pPr>
        <w:spacing w:after="0" w:line="240" w:lineRule="auto"/>
        <w:ind w:left="720"/>
        <w:rPr>
          <w:rFonts w:ascii="Times New Roman" w:eastAsia="Times New Roman" w:hAnsi="Times New Roman"/>
          <w:sz w:val="24"/>
          <w:szCs w:val="24"/>
          <w:u w:val="single"/>
        </w:rPr>
      </w:pPr>
    </w:p>
    <w:p w:rsidR="00D83669" w:rsidRDefault="00D83669" w:rsidP="00D83669">
      <w:pPr>
        <w:pStyle w:val="bodytextpsg"/>
        <w:autoSpaceDE w:val="0"/>
        <w:autoSpaceDN w:val="0"/>
        <w:adjustRightInd w:val="0"/>
        <w:ind w:left="720" w:firstLine="0"/>
        <w:rPr>
          <w:b/>
          <w:i/>
          <w:sz w:val="24"/>
        </w:rPr>
      </w:pPr>
      <w:r>
        <w:rPr>
          <w:b/>
          <w:i/>
          <w:sz w:val="24"/>
        </w:rPr>
        <w:t>Unusual Problems Requiring Specialized Sampling Procedures</w:t>
      </w:r>
    </w:p>
    <w:p w:rsidR="00D83669" w:rsidRDefault="00D83669" w:rsidP="00D83669">
      <w:pPr>
        <w:autoSpaceDE w:val="0"/>
        <w:autoSpaceDN w:val="0"/>
        <w:adjustRightInd w:val="0"/>
        <w:spacing w:line="480" w:lineRule="auto"/>
        <w:ind w:left="720"/>
        <w:rPr>
          <w:rFonts w:ascii="Times New Roman" w:hAnsi="Times New Roman"/>
          <w:sz w:val="24"/>
          <w:szCs w:val="24"/>
        </w:rPr>
      </w:pPr>
      <w:r>
        <w:rPr>
          <w:rFonts w:ascii="Times New Roman" w:hAnsi="Times New Roman"/>
          <w:sz w:val="24"/>
          <w:szCs w:val="24"/>
        </w:rPr>
        <w:t>No specialized sampling procedures are involved.</w:t>
      </w:r>
    </w:p>
    <w:p w:rsidR="00D83669" w:rsidRDefault="00D83669" w:rsidP="00D83669">
      <w:pPr>
        <w:autoSpaceDE w:val="0"/>
        <w:autoSpaceDN w:val="0"/>
        <w:adjustRightInd w:val="0"/>
        <w:spacing w:before="120" w:after="120"/>
        <w:ind w:left="720"/>
        <w:rPr>
          <w:rFonts w:ascii="Times New Roman" w:hAnsi="Times New Roman"/>
          <w:b/>
          <w:i/>
          <w:sz w:val="24"/>
        </w:rPr>
      </w:pPr>
      <w:r>
        <w:rPr>
          <w:rFonts w:ascii="Times New Roman" w:hAnsi="Times New Roman"/>
          <w:b/>
          <w:i/>
          <w:sz w:val="24"/>
        </w:rPr>
        <w:t>Use of Periodic Data Collection Cycles to Reduce Burden</w:t>
      </w:r>
    </w:p>
    <w:p w:rsidR="00D83669" w:rsidRDefault="00D83669" w:rsidP="00D83669">
      <w:pPr>
        <w:autoSpaceDE w:val="0"/>
        <w:autoSpaceDN w:val="0"/>
        <w:adjustRightInd w:val="0"/>
        <w:spacing w:line="480" w:lineRule="auto"/>
        <w:ind w:left="720"/>
        <w:rPr>
          <w:rFonts w:ascii="Times New Roman" w:hAnsi="Times New Roman"/>
          <w:sz w:val="24"/>
          <w:szCs w:val="24"/>
        </w:rPr>
      </w:pPr>
      <w:r>
        <w:rPr>
          <w:rFonts w:ascii="Times New Roman" w:hAnsi="Times New Roman"/>
          <w:sz w:val="24"/>
          <w:szCs w:val="24"/>
        </w:rPr>
        <w:t>This is a one-time survey data collection effort.</w:t>
      </w:r>
    </w:p>
    <w:p w:rsidR="000158E9" w:rsidRPr="009D5752" w:rsidRDefault="00447CB7" w:rsidP="000158E9">
      <w:pPr>
        <w:numPr>
          <w:ilvl w:val="0"/>
          <w:numId w:val="2"/>
        </w:numPr>
        <w:spacing w:after="0" w:line="240" w:lineRule="auto"/>
        <w:rPr>
          <w:rFonts w:ascii="Times New Roman" w:eastAsia="Times New Roman" w:hAnsi="Times New Roman"/>
          <w:sz w:val="24"/>
          <w:szCs w:val="24"/>
        </w:rPr>
      </w:pPr>
      <w:r w:rsidRPr="009D5752">
        <w:rPr>
          <w:rFonts w:ascii="Times New Roman" w:eastAsia="Times New Roman" w:hAnsi="Times New Roman"/>
          <w:b/>
          <w:sz w:val="24"/>
          <w:szCs w:val="24"/>
          <w:u w:val="single"/>
        </w:rPr>
        <w:t xml:space="preserve">Methods to Maximize Response Rates </w:t>
      </w:r>
    </w:p>
    <w:p w:rsidR="009D5752" w:rsidRPr="009D5752" w:rsidRDefault="009D5752" w:rsidP="009D5752">
      <w:pPr>
        <w:spacing w:after="0" w:line="240" w:lineRule="auto"/>
        <w:ind w:left="720"/>
        <w:rPr>
          <w:rFonts w:ascii="Times New Roman" w:eastAsia="Times New Roman" w:hAnsi="Times New Roman"/>
          <w:sz w:val="24"/>
          <w:szCs w:val="24"/>
        </w:rPr>
      </w:pPr>
    </w:p>
    <w:p w:rsidR="000A6309" w:rsidRPr="00E306F0" w:rsidRDefault="000A6309" w:rsidP="000A6309">
      <w:pPr>
        <w:spacing w:after="0" w:line="240" w:lineRule="auto"/>
        <w:ind w:left="720"/>
        <w:rPr>
          <w:rFonts w:ascii="Times New Roman" w:eastAsia="Times New Roman" w:hAnsi="Times New Roman"/>
          <w:sz w:val="24"/>
          <w:szCs w:val="24"/>
          <w:u w:val="single"/>
        </w:rPr>
      </w:pPr>
      <w:r w:rsidRPr="00E306F0">
        <w:rPr>
          <w:rFonts w:ascii="Times New Roman" w:eastAsia="Times New Roman" w:hAnsi="Times New Roman"/>
          <w:sz w:val="24"/>
          <w:szCs w:val="24"/>
          <w:u w:val="single"/>
        </w:rPr>
        <w:t>General Methods to Reduce Non-Response &amp; Drop-Off</w:t>
      </w:r>
    </w:p>
    <w:p w:rsidR="000158E9" w:rsidRPr="00E306F0" w:rsidRDefault="000158E9" w:rsidP="000158E9">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Several features of this study have been designed to maximize participant response rate and Questionnaire completion. </w:t>
      </w:r>
    </w:p>
    <w:p w:rsidR="00F24031" w:rsidRPr="00E306F0" w:rsidRDefault="00F24031" w:rsidP="000158E9">
      <w:pPr>
        <w:spacing w:after="0" w:line="240" w:lineRule="auto"/>
        <w:ind w:left="720"/>
        <w:rPr>
          <w:rFonts w:ascii="Times New Roman" w:eastAsia="Times New Roman" w:hAnsi="Times New Roman"/>
          <w:sz w:val="24"/>
          <w:szCs w:val="24"/>
        </w:rPr>
      </w:pPr>
    </w:p>
    <w:p w:rsidR="00E2467D" w:rsidRPr="00E306F0" w:rsidRDefault="00F24031" w:rsidP="00575919">
      <w:pPr>
        <w:numPr>
          <w:ilvl w:val="0"/>
          <w:numId w:val="16"/>
        </w:numPr>
        <w:spacing w:after="0" w:line="240" w:lineRule="auto"/>
        <w:rPr>
          <w:rFonts w:ascii="Times New Roman" w:eastAsia="Times New Roman" w:hAnsi="Times New Roman"/>
          <w:sz w:val="24"/>
          <w:szCs w:val="24"/>
        </w:rPr>
      </w:pPr>
      <w:r w:rsidRPr="00E306F0">
        <w:rPr>
          <w:rFonts w:ascii="Times New Roman" w:eastAsia="Times New Roman" w:hAnsi="Times New Roman"/>
          <w:i/>
          <w:sz w:val="24"/>
          <w:szCs w:val="24"/>
        </w:rPr>
        <w:t>Incentives</w:t>
      </w:r>
      <w:r w:rsidRPr="00E306F0">
        <w:rPr>
          <w:rFonts w:ascii="Times New Roman" w:eastAsia="Times New Roman" w:hAnsi="Times New Roman"/>
          <w:sz w:val="24"/>
          <w:szCs w:val="24"/>
        </w:rPr>
        <w:t xml:space="preserve">: As participants often have competing demands for their time, incentives are used to encourage participation in research. Numerous empirical studies have shown that incentives can significantly increase response rates in cross-sectional surveys and reduce attrition in longitudinal surveys (e.g., Abreu &amp; Winters, 1999; </w:t>
      </w:r>
      <w:proofErr w:type="spellStart"/>
      <w:r w:rsidRPr="00E306F0">
        <w:rPr>
          <w:rFonts w:ascii="Times New Roman" w:eastAsia="Times New Roman" w:hAnsi="Times New Roman"/>
          <w:sz w:val="24"/>
          <w:szCs w:val="24"/>
        </w:rPr>
        <w:t>Castiglioni</w:t>
      </w:r>
      <w:proofErr w:type="spellEnd"/>
      <w:r w:rsidRPr="00E306F0">
        <w:rPr>
          <w:rFonts w:ascii="Times New Roman" w:eastAsia="Times New Roman" w:hAnsi="Times New Roman"/>
          <w:sz w:val="24"/>
          <w:szCs w:val="24"/>
        </w:rPr>
        <w:t xml:space="preserve">, </w:t>
      </w:r>
      <w:proofErr w:type="spellStart"/>
      <w:r w:rsidRPr="00E306F0">
        <w:rPr>
          <w:rFonts w:ascii="Times New Roman" w:eastAsia="Times New Roman" w:hAnsi="Times New Roman"/>
          <w:sz w:val="24"/>
          <w:szCs w:val="24"/>
        </w:rPr>
        <w:t>Pforr</w:t>
      </w:r>
      <w:proofErr w:type="spellEnd"/>
      <w:r w:rsidRPr="00E306F0">
        <w:rPr>
          <w:rFonts w:ascii="Times New Roman" w:eastAsia="Times New Roman" w:hAnsi="Times New Roman"/>
          <w:sz w:val="24"/>
          <w:szCs w:val="24"/>
        </w:rPr>
        <w:t xml:space="preserve">, &amp; Krieger, 2008; </w:t>
      </w:r>
      <w:proofErr w:type="spellStart"/>
      <w:r w:rsidRPr="00E306F0">
        <w:rPr>
          <w:rFonts w:ascii="Times New Roman" w:eastAsia="Times New Roman" w:hAnsi="Times New Roman"/>
          <w:sz w:val="24"/>
          <w:szCs w:val="24"/>
        </w:rPr>
        <w:t>Jäckle</w:t>
      </w:r>
      <w:proofErr w:type="spellEnd"/>
      <w:r w:rsidRPr="00E306F0">
        <w:rPr>
          <w:rFonts w:ascii="Times New Roman" w:eastAsia="Times New Roman" w:hAnsi="Times New Roman"/>
          <w:sz w:val="24"/>
          <w:szCs w:val="24"/>
        </w:rPr>
        <w:t xml:space="preserve"> &amp; Lynn, 2008; </w:t>
      </w:r>
      <w:proofErr w:type="spellStart"/>
      <w:r w:rsidRPr="00E306F0">
        <w:rPr>
          <w:rFonts w:ascii="Times New Roman" w:eastAsia="Times New Roman" w:hAnsi="Times New Roman"/>
          <w:sz w:val="24"/>
          <w:szCs w:val="24"/>
        </w:rPr>
        <w:t>Shettle</w:t>
      </w:r>
      <w:proofErr w:type="spellEnd"/>
      <w:r w:rsidRPr="00E306F0">
        <w:rPr>
          <w:rFonts w:ascii="Times New Roman" w:eastAsia="Times New Roman" w:hAnsi="Times New Roman"/>
          <w:sz w:val="24"/>
          <w:szCs w:val="24"/>
        </w:rPr>
        <w:t xml:space="preserve"> &amp; </w:t>
      </w:r>
      <w:r w:rsidR="00E2467D" w:rsidRPr="00E306F0">
        <w:rPr>
          <w:rFonts w:ascii="Times New Roman" w:eastAsia="Times New Roman" w:hAnsi="Times New Roman"/>
          <w:sz w:val="24"/>
          <w:szCs w:val="24"/>
        </w:rPr>
        <w:t>Mooney, 1999; Singer, 2002). This study will use incentives totaling $20</w:t>
      </w:r>
      <w:r w:rsidRPr="00E306F0">
        <w:rPr>
          <w:rFonts w:ascii="Times New Roman" w:eastAsia="Times New Roman" w:hAnsi="Times New Roman"/>
          <w:sz w:val="24"/>
          <w:szCs w:val="24"/>
        </w:rPr>
        <w:t xml:space="preserve"> per participant to provide enough motivation for them to participate in the study rather than another activity. </w:t>
      </w:r>
      <w:r w:rsidR="00575919" w:rsidRPr="00575919">
        <w:t xml:space="preserve"> </w:t>
      </w:r>
      <w:r w:rsidR="00575919" w:rsidRPr="00575919">
        <w:rPr>
          <w:rFonts w:ascii="Times New Roman" w:eastAsia="Times New Roman" w:hAnsi="Times New Roman"/>
          <w:sz w:val="24"/>
          <w:szCs w:val="24"/>
        </w:rPr>
        <w:t xml:space="preserve">If a participant does not take the survey, they do not get the incentive.  In accordance with IRB requirements, if participants begin the </w:t>
      </w:r>
      <w:r w:rsidR="00575919" w:rsidRPr="00575919">
        <w:rPr>
          <w:rFonts w:ascii="Times New Roman" w:eastAsia="Times New Roman" w:hAnsi="Times New Roman"/>
          <w:sz w:val="24"/>
          <w:szCs w:val="24"/>
        </w:rPr>
        <w:lastRenderedPageBreak/>
        <w:t>study, then have to leave for personal reasons or because they became uncomfortable then they will receive the incentive.</w:t>
      </w:r>
    </w:p>
    <w:p w:rsidR="00E2467D" w:rsidRPr="00E306F0" w:rsidRDefault="00E2467D" w:rsidP="00E2467D">
      <w:pPr>
        <w:spacing w:after="0" w:line="240" w:lineRule="auto"/>
        <w:ind w:left="1080"/>
        <w:rPr>
          <w:rFonts w:ascii="Times New Roman" w:eastAsia="Times New Roman" w:hAnsi="Times New Roman"/>
          <w:sz w:val="24"/>
          <w:szCs w:val="24"/>
        </w:rPr>
      </w:pPr>
    </w:p>
    <w:p w:rsidR="00F24031" w:rsidRPr="00E306F0" w:rsidRDefault="00F24031" w:rsidP="00E2467D">
      <w:pPr>
        <w:numPr>
          <w:ilvl w:val="0"/>
          <w:numId w:val="16"/>
        </w:numPr>
        <w:spacing w:after="0" w:line="240" w:lineRule="auto"/>
        <w:ind w:left="1080"/>
        <w:rPr>
          <w:rFonts w:ascii="Times New Roman" w:eastAsia="Times New Roman" w:hAnsi="Times New Roman"/>
          <w:sz w:val="24"/>
          <w:szCs w:val="24"/>
        </w:rPr>
      </w:pPr>
      <w:r w:rsidRPr="00E306F0">
        <w:rPr>
          <w:rFonts w:ascii="Times New Roman" w:eastAsia="Times New Roman" w:hAnsi="Times New Roman"/>
          <w:i/>
          <w:sz w:val="24"/>
          <w:szCs w:val="24"/>
        </w:rPr>
        <w:t>Reminders</w:t>
      </w:r>
      <w:r w:rsidRPr="00E306F0">
        <w:rPr>
          <w:rFonts w:ascii="Times New Roman" w:eastAsia="Times New Roman" w:hAnsi="Times New Roman"/>
          <w:sz w:val="24"/>
          <w:szCs w:val="24"/>
        </w:rPr>
        <w:t xml:space="preserve">: </w:t>
      </w:r>
      <w:r w:rsidR="00E2467D" w:rsidRPr="00E306F0">
        <w:rPr>
          <w:rFonts w:ascii="Times New Roman" w:eastAsia="Times New Roman" w:hAnsi="Times New Roman"/>
          <w:sz w:val="24"/>
          <w:szCs w:val="24"/>
        </w:rPr>
        <w:t xml:space="preserve">Qualified participants who do not complete the study within the 48 hours of being emailed the study link will receive a second email reminding them about the study. </w:t>
      </w:r>
      <w:r w:rsidR="00CB6B6C" w:rsidRPr="00E306F0">
        <w:rPr>
          <w:rFonts w:ascii="Times New Roman" w:eastAsia="Times New Roman" w:hAnsi="Times New Roman"/>
          <w:sz w:val="24"/>
          <w:szCs w:val="24"/>
        </w:rPr>
        <w:t xml:space="preserve">These reminder messages will </w:t>
      </w:r>
      <w:r w:rsidR="00E2467D" w:rsidRPr="00E306F0">
        <w:rPr>
          <w:rFonts w:ascii="Times New Roman" w:eastAsia="Times New Roman" w:hAnsi="Times New Roman"/>
          <w:sz w:val="24"/>
          <w:szCs w:val="24"/>
        </w:rPr>
        <w:t>also include the</w:t>
      </w:r>
      <w:r w:rsidR="00CB6B6C" w:rsidRPr="00E306F0">
        <w:rPr>
          <w:rFonts w:ascii="Times New Roman" w:eastAsia="Times New Roman" w:hAnsi="Times New Roman"/>
          <w:sz w:val="24"/>
          <w:szCs w:val="24"/>
        </w:rPr>
        <w:t xml:space="preserve"> unique link to the survey, to enabl</w:t>
      </w:r>
      <w:r w:rsidR="001D62E4">
        <w:rPr>
          <w:rFonts w:ascii="Times New Roman" w:eastAsia="Times New Roman" w:hAnsi="Times New Roman"/>
          <w:sz w:val="24"/>
          <w:szCs w:val="24"/>
        </w:rPr>
        <w:t>e youth to easily complete the q</w:t>
      </w:r>
      <w:r w:rsidR="00CB6B6C" w:rsidRPr="00E306F0">
        <w:rPr>
          <w:rFonts w:ascii="Times New Roman" w:eastAsia="Times New Roman" w:hAnsi="Times New Roman"/>
          <w:sz w:val="24"/>
          <w:szCs w:val="24"/>
        </w:rPr>
        <w:t>uestionnaire. These reminders are intended to decrease non-response by ensuring youth have the necessa</w:t>
      </w:r>
      <w:r w:rsidR="001D62E4">
        <w:rPr>
          <w:rFonts w:ascii="Times New Roman" w:eastAsia="Times New Roman" w:hAnsi="Times New Roman"/>
          <w:sz w:val="24"/>
          <w:szCs w:val="24"/>
        </w:rPr>
        <w:t>ry information to complete the q</w:t>
      </w:r>
      <w:r w:rsidR="00CB6B6C" w:rsidRPr="00E306F0">
        <w:rPr>
          <w:rFonts w:ascii="Times New Roman" w:eastAsia="Times New Roman" w:hAnsi="Times New Roman"/>
          <w:sz w:val="24"/>
          <w:szCs w:val="24"/>
        </w:rPr>
        <w:t>uestionnaire, and by encouraging youth who do not initially comp</w:t>
      </w:r>
      <w:r w:rsidR="001D62E4">
        <w:rPr>
          <w:rFonts w:ascii="Times New Roman" w:eastAsia="Times New Roman" w:hAnsi="Times New Roman"/>
          <w:sz w:val="24"/>
          <w:szCs w:val="24"/>
        </w:rPr>
        <w:t>lete the q</w:t>
      </w:r>
      <w:r w:rsidR="00CB6B6C" w:rsidRPr="00E306F0">
        <w:rPr>
          <w:rFonts w:ascii="Times New Roman" w:eastAsia="Times New Roman" w:hAnsi="Times New Roman"/>
          <w:sz w:val="24"/>
          <w:szCs w:val="24"/>
        </w:rPr>
        <w:t>uestionnaire to complete it before the conclusion of data collection.</w:t>
      </w:r>
    </w:p>
    <w:p w:rsidR="00CB6B6C" w:rsidRPr="00E306F0" w:rsidRDefault="00CB6B6C" w:rsidP="00CB6B6C">
      <w:pPr>
        <w:spacing w:after="0" w:line="240" w:lineRule="auto"/>
        <w:rPr>
          <w:rFonts w:ascii="Times New Roman" w:eastAsia="Times New Roman" w:hAnsi="Times New Roman"/>
          <w:sz w:val="24"/>
          <w:szCs w:val="24"/>
        </w:rPr>
      </w:pPr>
    </w:p>
    <w:p w:rsidR="00322666" w:rsidRPr="00E306F0" w:rsidRDefault="00CB6B6C" w:rsidP="005E4E69">
      <w:pPr>
        <w:numPr>
          <w:ilvl w:val="0"/>
          <w:numId w:val="16"/>
        </w:numPr>
        <w:spacing w:after="0" w:line="240" w:lineRule="auto"/>
        <w:ind w:left="1080"/>
        <w:rPr>
          <w:rFonts w:ascii="Times New Roman" w:eastAsia="Times New Roman" w:hAnsi="Times New Roman"/>
          <w:sz w:val="24"/>
          <w:szCs w:val="24"/>
          <w:lang w:bidi="en-US"/>
        </w:rPr>
      </w:pPr>
      <w:r w:rsidRPr="00E306F0">
        <w:rPr>
          <w:rFonts w:ascii="Times New Roman" w:eastAsia="Times New Roman" w:hAnsi="Times New Roman"/>
          <w:i/>
          <w:sz w:val="24"/>
          <w:szCs w:val="24"/>
        </w:rPr>
        <w:t xml:space="preserve">Parental Opt-Out: </w:t>
      </w:r>
      <w:r w:rsidRPr="00E306F0">
        <w:rPr>
          <w:rFonts w:ascii="Times New Roman" w:eastAsia="Times New Roman" w:hAnsi="Times New Roman"/>
          <w:sz w:val="24"/>
          <w:szCs w:val="24"/>
        </w:rPr>
        <w:t xml:space="preserve">A parental opt-out approach will be utilized. </w:t>
      </w:r>
      <w:r w:rsidRPr="00E306F0">
        <w:rPr>
          <w:rFonts w:ascii="Times New Roman" w:eastAsia="Times New Roman" w:hAnsi="Times New Roman"/>
          <w:sz w:val="24"/>
          <w:szCs w:val="24"/>
          <w:lang w:bidi="en-US"/>
        </w:rPr>
        <w:t xml:space="preserve">Due to the target population of this study, traditional written parental consent procedures would discourage participation among the very subjects most appropriate for the aims of this study. Many youth who smoke or are at-risk for smoking are unlikely to seek out parental consent or have parents who provide written consent for their children’s participation in prevention programs (Levine, 1995; </w:t>
      </w:r>
      <w:proofErr w:type="spellStart"/>
      <w:r w:rsidRPr="00E306F0">
        <w:rPr>
          <w:rFonts w:ascii="Times New Roman" w:eastAsia="Times New Roman" w:hAnsi="Times New Roman"/>
          <w:sz w:val="24"/>
          <w:szCs w:val="24"/>
          <w:lang w:bidi="en-US"/>
        </w:rPr>
        <w:t>Pokorny</w:t>
      </w:r>
      <w:proofErr w:type="spellEnd"/>
      <w:r w:rsidRPr="00E306F0">
        <w:rPr>
          <w:rFonts w:ascii="Times New Roman" w:eastAsia="Times New Roman" w:hAnsi="Times New Roman"/>
          <w:sz w:val="24"/>
          <w:szCs w:val="24"/>
          <w:lang w:bidi="en-US"/>
        </w:rPr>
        <w:t xml:space="preserve"> et al., 2001; Unger et al., 2004; Severson and </w:t>
      </w:r>
      <w:proofErr w:type="spellStart"/>
      <w:r w:rsidRPr="00E306F0">
        <w:rPr>
          <w:rFonts w:ascii="Times New Roman" w:eastAsia="Times New Roman" w:hAnsi="Times New Roman"/>
          <w:sz w:val="24"/>
          <w:szCs w:val="24"/>
          <w:lang w:bidi="en-US"/>
        </w:rPr>
        <w:t>Ary</w:t>
      </w:r>
      <w:proofErr w:type="spellEnd"/>
      <w:r w:rsidRPr="00E306F0">
        <w:rPr>
          <w:rFonts w:ascii="Times New Roman" w:eastAsia="Times New Roman" w:hAnsi="Times New Roman"/>
          <w:sz w:val="24"/>
          <w:szCs w:val="24"/>
          <w:lang w:bidi="en-US"/>
        </w:rPr>
        <w:t>, 1983). Demonstrating this point, there is consistent evidence of quantifiable differences in the characteristics of youth who participate in smoking cessation research when traditional written consent is required compared to waived parental consent, including participant demographics and smoking history</w:t>
      </w:r>
      <w:r w:rsidR="001C0296" w:rsidRPr="00E306F0">
        <w:rPr>
          <w:rFonts w:ascii="Times New Roman" w:eastAsia="Times New Roman" w:hAnsi="Times New Roman"/>
          <w:sz w:val="24"/>
          <w:szCs w:val="24"/>
          <w:lang w:bidi="en-US"/>
        </w:rPr>
        <w:t xml:space="preserve"> (</w:t>
      </w:r>
      <w:r w:rsidR="001C0296" w:rsidRPr="00E306F0">
        <w:rPr>
          <w:rFonts w:ascii="Times New Roman" w:eastAsia="Times New Roman" w:hAnsi="Times New Roman"/>
          <w:sz w:val="24"/>
          <w:szCs w:val="24"/>
        </w:rPr>
        <w:t xml:space="preserve">Kearney et al., </w:t>
      </w:r>
      <w:r w:rsidRPr="00E306F0">
        <w:rPr>
          <w:rFonts w:ascii="Times New Roman" w:eastAsia="Times New Roman" w:hAnsi="Times New Roman"/>
          <w:sz w:val="24"/>
          <w:szCs w:val="24"/>
        </w:rPr>
        <w:t>1983</w:t>
      </w:r>
      <w:r w:rsidR="001C0296" w:rsidRPr="00E306F0">
        <w:rPr>
          <w:rFonts w:ascii="Times New Roman" w:eastAsia="Times New Roman" w:hAnsi="Times New Roman"/>
          <w:sz w:val="24"/>
          <w:szCs w:val="24"/>
        </w:rPr>
        <w:t xml:space="preserve">; </w:t>
      </w:r>
      <w:proofErr w:type="spellStart"/>
      <w:r w:rsidR="001C0296" w:rsidRPr="00E306F0">
        <w:rPr>
          <w:rFonts w:ascii="Times New Roman" w:eastAsia="Times New Roman" w:hAnsi="Times New Roman"/>
          <w:sz w:val="24"/>
          <w:szCs w:val="24"/>
        </w:rPr>
        <w:t>Anderman</w:t>
      </w:r>
      <w:proofErr w:type="spellEnd"/>
      <w:r w:rsidR="001C0296" w:rsidRPr="00E306F0">
        <w:rPr>
          <w:rFonts w:ascii="Times New Roman" w:eastAsia="Times New Roman" w:hAnsi="Times New Roman"/>
          <w:sz w:val="24"/>
          <w:szCs w:val="24"/>
        </w:rPr>
        <w:t xml:space="preserve"> et al., </w:t>
      </w:r>
      <w:r w:rsidRPr="00E306F0">
        <w:rPr>
          <w:rFonts w:ascii="Times New Roman" w:eastAsia="Times New Roman" w:hAnsi="Times New Roman"/>
          <w:sz w:val="24"/>
          <w:szCs w:val="24"/>
        </w:rPr>
        <w:t>1995</w:t>
      </w:r>
      <w:r w:rsidR="001C0296" w:rsidRPr="00E306F0">
        <w:rPr>
          <w:rFonts w:ascii="Times New Roman" w:eastAsia="Times New Roman" w:hAnsi="Times New Roman"/>
          <w:sz w:val="24"/>
          <w:szCs w:val="24"/>
        </w:rPr>
        <w:t xml:space="preserve">; </w:t>
      </w:r>
      <w:r w:rsidRPr="00E306F0">
        <w:rPr>
          <w:rFonts w:ascii="Times New Roman" w:eastAsia="Times New Roman" w:hAnsi="Times New Roman"/>
          <w:sz w:val="24"/>
          <w:szCs w:val="24"/>
        </w:rPr>
        <w:t xml:space="preserve">Severson and </w:t>
      </w:r>
      <w:proofErr w:type="spellStart"/>
      <w:r w:rsidRPr="00E306F0">
        <w:rPr>
          <w:rFonts w:ascii="Times New Roman" w:eastAsia="Times New Roman" w:hAnsi="Times New Roman"/>
          <w:sz w:val="24"/>
          <w:szCs w:val="24"/>
        </w:rPr>
        <w:t>Ary</w:t>
      </w:r>
      <w:proofErr w:type="spellEnd"/>
      <w:r w:rsidR="001C0296" w:rsidRPr="00E306F0">
        <w:rPr>
          <w:rFonts w:ascii="Times New Roman" w:eastAsia="Times New Roman" w:hAnsi="Times New Roman"/>
          <w:sz w:val="24"/>
          <w:szCs w:val="24"/>
        </w:rPr>
        <w:t>,</w:t>
      </w:r>
      <w:r w:rsidRPr="00E306F0">
        <w:rPr>
          <w:rFonts w:ascii="Times New Roman" w:eastAsia="Times New Roman" w:hAnsi="Times New Roman"/>
          <w:sz w:val="24"/>
          <w:szCs w:val="24"/>
        </w:rPr>
        <w:t xml:space="preserve"> 1983</w:t>
      </w:r>
      <w:r w:rsidR="001C0296" w:rsidRPr="00E306F0">
        <w:rPr>
          <w:rFonts w:ascii="Times New Roman" w:eastAsia="Times New Roman" w:hAnsi="Times New Roman"/>
          <w:sz w:val="24"/>
          <w:szCs w:val="24"/>
        </w:rPr>
        <w:t>)</w:t>
      </w:r>
      <w:proofErr w:type="gramStart"/>
      <w:r w:rsidRPr="00E306F0">
        <w:rPr>
          <w:rFonts w:ascii="Times New Roman" w:eastAsia="Times New Roman" w:hAnsi="Times New Roman"/>
          <w:sz w:val="24"/>
          <w:szCs w:val="24"/>
        </w:rPr>
        <w:t>.</w:t>
      </w:r>
      <w:proofErr w:type="gramEnd"/>
      <w:r w:rsidRPr="00E306F0">
        <w:rPr>
          <w:rFonts w:ascii="Times New Roman" w:eastAsia="Times New Roman" w:hAnsi="Times New Roman"/>
          <w:sz w:val="24"/>
          <w:szCs w:val="24"/>
        </w:rPr>
        <w:t xml:space="preserve"> Utilizing a parental opt-out approach will remove a barrier that might discourage the target audience </w:t>
      </w:r>
      <w:r w:rsidR="001D62E4">
        <w:rPr>
          <w:rFonts w:ascii="Times New Roman" w:eastAsia="Times New Roman" w:hAnsi="Times New Roman"/>
          <w:sz w:val="24"/>
          <w:szCs w:val="24"/>
        </w:rPr>
        <w:t>from returning to complete the q</w:t>
      </w:r>
      <w:r w:rsidRPr="00E306F0">
        <w:rPr>
          <w:rFonts w:ascii="Times New Roman" w:eastAsia="Times New Roman" w:hAnsi="Times New Roman"/>
          <w:sz w:val="24"/>
          <w:szCs w:val="24"/>
        </w:rPr>
        <w:t>uestionnaire, thereby reducing non-response.</w:t>
      </w:r>
      <w:r w:rsidR="005E4E69">
        <w:rPr>
          <w:rFonts w:ascii="Times New Roman" w:eastAsia="Times New Roman" w:hAnsi="Times New Roman"/>
          <w:sz w:val="24"/>
          <w:szCs w:val="24"/>
        </w:rPr>
        <w:t xml:space="preserve"> </w:t>
      </w:r>
      <w:r w:rsidR="005E4E69" w:rsidRPr="005E4E69">
        <w:rPr>
          <w:rFonts w:ascii="Times New Roman" w:eastAsia="Times New Roman" w:hAnsi="Times New Roman"/>
          <w:sz w:val="24"/>
          <w:szCs w:val="24"/>
        </w:rPr>
        <w:t xml:space="preserve">Parental opt-out methodology has been used by CTP for the past 3 years on several IRB and OMB approved studies. We queried IRB about this approach and they did raise any issues of ethics with this approach. Given that this study only includes 13-17 years old youth, we only use opt-out for participants who are 13 years old or older. We have examined and have seen similar proportions of parental permissions in cases where parental consent is required, and where we use the 24-hour opt out. Furthermore, we have seen parents of 13-17 year old year old youth opt their children out of studies, indicating the waiting period works. Over the past three years, we have not received any complaints from participants, parents, or IRB administrators </w:t>
      </w:r>
      <w:r w:rsidR="005E4E69">
        <w:rPr>
          <w:rFonts w:ascii="Times New Roman" w:eastAsia="Times New Roman" w:hAnsi="Times New Roman"/>
          <w:sz w:val="24"/>
          <w:szCs w:val="24"/>
        </w:rPr>
        <w:t xml:space="preserve">about using an opt-out </w:t>
      </w:r>
      <w:r w:rsidR="005E4E69" w:rsidRPr="005E4E69">
        <w:rPr>
          <w:rFonts w:ascii="Times New Roman" w:eastAsia="Times New Roman" w:hAnsi="Times New Roman"/>
          <w:sz w:val="24"/>
          <w:szCs w:val="24"/>
        </w:rPr>
        <w:t>approach.</w:t>
      </w:r>
    </w:p>
    <w:p w:rsidR="00322666" w:rsidRPr="00E306F0" w:rsidRDefault="00322666" w:rsidP="00322666">
      <w:pPr>
        <w:spacing w:after="0" w:line="240" w:lineRule="auto"/>
        <w:ind w:left="1080"/>
        <w:rPr>
          <w:rFonts w:ascii="Times New Roman" w:eastAsia="Times New Roman" w:hAnsi="Times New Roman"/>
          <w:sz w:val="24"/>
          <w:szCs w:val="24"/>
          <w:lang w:bidi="en-US"/>
        </w:rPr>
      </w:pPr>
    </w:p>
    <w:p w:rsidR="00BC78AA" w:rsidRPr="00E306F0" w:rsidRDefault="00F22EA2" w:rsidP="00322666">
      <w:pPr>
        <w:numPr>
          <w:ilvl w:val="0"/>
          <w:numId w:val="16"/>
        </w:numPr>
        <w:spacing w:after="0" w:line="240" w:lineRule="auto"/>
        <w:ind w:left="1080"/>
        <w:rPr>
          <w:rFonts w:ascii="Times New Roman" w:eastAsia="Times New Roman" w:hAnsi="Times New Roman"/>
          <w:sz w:val="24"/>
          <w:szCs w:val="24"/>
          <w:lang w:bidi="en-US"/>
        </w:rPr>
      </w:pPr>
      <w:r w:rsidRPr="00E306F0">
        <w:rPr>
          <w:rFonts w:ascii="Times New Roman" w:eastAsia="Times New Roman" w:hAnsi="Times New Roman"/>
          <w:i/>
          <w:sz w:val="24"/>
          <w:szCs w:val="24"/>
        </w:rPr>
        <w:t>Online Completion:</w:t>
      </w:r>
      <w:r w:rsidRPr="00E306F0">
        <w:rPr>
          <w:rFonts w:ascii="Times New Roman" w:eastAsia="Times New Roman" w:hAnsi="Times New Roman"/>
          <w:sz w:val="24"/>
          <w:szCs w:val="24"/>
        </w:rPr>
        <w:t xml:space="preserve"> </w:t>
      </w:r>
      <w:r w:rsidR="00322666" w:rsidRPr="00E306F0">
        <w:rPr>
          <w:rFonts w:ascii="Times New Roman" w:eastAsia="Times New Roman" w:hAnsi="Times New Roman"/>
          <w:sz w:val="24"/>
          <w:szCs w:val="24"/>
        </w:rPr>
        <w:t>Participants</w:t>
      </w:r>
      <w:r w:rsidR="00941B73" w:rsidRPr="00E306F0">
        <w:rPr>
          <w:rFonts w:ascii="Times New Roman" w:eastAsia="Times New Roman" w:hAnsi="Times New Roman"/>
          <w:sz w:val="24"/>
          <w:szCs w:val="24"/>
        </w:rPr>
        <w:t xml:space="preserve"> will be </w:t>
      </w:r>
      <w:r w:rsidR="001D62E4">
        <w:rPr>
          <w:rFonts w:ascii="Times New Roman" w:eastAsia="Times New Roman" w:hAnsi="Times New Roman"/>
          <w:sz w:val="24"/>
          <w:szCs w:val="24"/>
        </w:rPr>
        <w:t>emailed a link to complete the q</w:t>
      </w:r>
      <w:r w:rsidR="00941B73" w:rsidRPr="00E306F0">
        <w:rPr>
          <w:rFonts w:ascii="Times New Roman" w:eastAsia="Times New Roman" w:hAnsi="Times New Roman"/>
          <w:sz w:val="24"/>
          <w:szCs w:val="24"/>
        </w:rPr>
        <w:t xml:space="preserve">uestionnaire online on their own device. </w:t>
      </w:r>
      <w:r w:rsidR="001D62E4">
        <w:rPr>
          <w:rFonts w:ascii="Times New Roman" w:eastAsia="Times New Roman" w:hAnsi="Times New Roman"/>
          <w:sz w:val="24"/>
          <w:szCs w:val="24"/>
        </w:rPr>
        <w:t>Because youth can complete the q</w:t>
      </w:r>
      <w:r w:rsidR="00322666" w:rsidRPr="00E306F0">
        <w:rPr>
          <w:rFonts w:ascii="Times New Roman" w:eastAsia="Times New Roman" w:hAnsi="Times New Roman"/>
          <w:sz w:val="24"/>
          <w:szCs w:val="24"/>
        </w:rPr>
        <w:t xml:space="preserve">uestionnaire on </w:t>
      </w:r>
      <w:proofErr w:type="gramStart"/>
      <w:r w:rsidR="00322666" w:rsidRPr="00E306F0">
        <w:rPr>
          <w:rFonts w:ascii="Times New Roman" w:eastAsia="Times New Roman" w:hAnsi="Times New Roman"/>
          <w:sz w:val="24"/>
          <w:szCs w:val="24"/>
        </w:rPr>
        <w:t>their own</w:t>
      </w:r>
      <w:proofErr w:type="gramEnd"/>
      <w:r w:rsidR="00322666" w:rsidRPr="00E306F0">
        <w:rPr>
          <w:rFonts w:ascii="Times New Roman" w:eastAsia="Times New Roman" w:hAnsi="Times New Roman"/>
          <w:sz w:val="24"/>
          <w:szCs w:val="24"/>
        </w:rPr>
        <w:t xml:space="preserve"> time and on their own devices, study participation will more convenient and youth will be more apt to complete the survey.  This will also decrease time and costs related to recruitment.  This technology also permits participants to complete the instruments in privacy. Providing the participant with a methodology that improves privacy makes reporting of potentially embarrassing or stigmatizing behaviors (e.g., tobacco use) less threatening and enhances response validity and response rates.</w:t>
      </w:r>
    </w:p>
    <w:p w:rsidR="003C01C4" w:rsidRDefault="003C01C4">
      <w:pPr>
        <w:spacing w:after="0" w:line="240" w:lineRule="auto"/>
        <w:rPr>
          <w:rFonts w:ascii="Times New Roman" w:eastAsia="Times New Roman" w:hAnsi="Times New Roman"/>
          <w:b/>
          <w:sz w:val="24"/>
          <w:szCs w:val="24"/>
          <w:u w:val="single"/>
        </w:rPr>
      </w:pPr>
      <w:r>
        <w:rPr>
          <w:rFonts w:ascii="Times New Roman" w:eastAsia="Times New Roman" w:hAnsi="Times New Roman"/>
          <w:b/>
          <w:sz w:val="24"/>
          <w:szCs w:val="24"/>
          <w:u w:val="single"/>
        </w:rPr>
        <w:br w:type="page"/>
      </w:r>
    </w:p>
    <w:p w:rsidR="00447CB7" w:rsidRPr="009D5752" w:rsidRDefault="00447CB7" w:rsidP="00447CB7">
      <w:pPr>
        <w:numPr>
          <w:ilvl w:val="0"/>
          <w:numId w:val="2"/>
        </w:numPr>
        <w:spacing w:before="100" w:beforeAutospacing="1" w:after="100" w:afterAutospacing="1" w:line="240" w:lineRule="auto"/>
        <w:rPr>
          <w:rFonts w:ascii="Times New Roman" w:eastAsia="Times New Roman" w:hAnsi="Times New Roman"/>
          <w:b/>
          <w:sz w:val="24"/>
          <w:szCs w:val="24"/>
          <w:u w:val="single"/>
        </w:rPr>
      </w:pPr>
      <w:r w:rsidRPr="009D5752">
        <w:rPr>
          <w:rFonts w:ascii="Times New Roman" w:eastAsia="Times New Roman" w:hAnsi="Times New Roman"/>
          <w:b/>
          <w:sz w:val="24"/>
          <w:szCs w:val="24"/>
          <w:u w:val="single"/>
        </w:rPr>
        <w:lastRenderedPageBreak/>
        <w:t>Test of Procedures or Methods</w:t>
      </w:r>
    </w:p>
    <w:p w:rsidR="002E054D" w:rsidRPr="00E306F0" w:rsidRDefault="00B3500A" w:rsidP="000D42CA">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T</w:t>
      </w:r>
      <w:r w:rsidR="00447CB7" w:rsidRPr="00E306F0">
        <w:rPr>
          <w:rFonts w:ascii="Times New Roman" w:eastAsia="Times New Roman" w:hAnsi="Times New Roman"/>
          <w:sz w:val="24"/>
          <w:szCs w:val="24"/>
        </w:rPr>
        <w:t xml:space="preserve">he </w:t>
      </w:r>
      <w:r w:rsidR="00AD5EB5" w:rsidRPr="00E306F0">
        <w:rPr>
          <w:rFonts w:ascii="Times New Roman" w:eastAsia="Times New Roman" w:hAnsi="Times New Roman"/>
          <w:sz w:val="24"/>
          <w:szCs w:val="24"/>
        </w:rPr>
        <w:t>campaign</w:t>
      </w:r>
      <w:r w:rsidR="00D53653" w:rsidRPr="00E306F0">
        <w:rPr>
          <w:rFonts w:ascii="Times New Roman" w:eastAsia="Times New Roman" w:hAnsi="Times New Roman"/>
          <w:sz w:val="24"/>
          <w:szCs w:val="24"/>
        </w:rPr>
        <w:t xml:space="preserve"> contractor, FCB, and their subcontractor, Marketing Workshop, </w:t>
      </w:r>
      <w:r w:rsidR="00447CB7" w:rsidRPr="00E306F0">
        <w:rPr>
          <w:rFonts w:ascii="Times New Roman" w:eastAsia="Times New Roman" w:hAnsi="Times New Roman"/>
          <w:sz w:val="24"/>
          <w:szCs w:val="24"/>
        </w:rPr>
        <w:t xml:space="preserve">will conduct rigorous internal testing of the </w:t>
      </w:r>
      <w:r w:rsidR="00AD5EB5" w:rsidRPr="00E306F0">
        <w:rPr>
          <w:rFonts w:ascii="Times New Roman" w:eastAsia="Times New Roman" w:hAnsi="Times New Roman"/>
          <w:sz w:val="24"/>
          <w:szCs w:val="24"/>
        </w:rPr>
        <w:t>electronic</w:t>
      </w:r>
      <w:r w:rsidR="00447CB7" w:rsidRPr="00E306F0">
        <w:rPr>
          <w:rFonts w:ascii="Times New Roman" w:eastAsia="Times New Roman" w:hAnsi="Times New Roman"/>
          <w:sz w:val="24"/>
          <w:szCs w:val="24"/>
        </w:rPr>
        <w:t xml:space="preserve"> survey instrument</w:t>
      </w:r>
      <w:r w:rsidR="00AD5EB5" w:rsidRPr="00E306F0">
        <w:rPr>
          <w:rFonts w:ascii="Times New Roman" w:eastAsia="Times New Roman" w:hAnsi="Times New Roman"/>
          <w:sz w:val="24"/>
          <w:szCs w:val="24"/>
        </w:rPr>
        <w:t>s</w:t>
      </w:r>
      <w:r w:rsidR="00447CB7" w:rsidRPr="00E306F0">
        <w:rPr>
          <w:rFonts w:ascii="Times New Roman" w:eastAsia="Times New Roman" w:hAnsi="Times New Roman"/>
          <w:sz w:val="24"/>
          <w:szCs w:val="24"/>
        </w:rPr>
        <w:t xml:space="preserve"> prior to </w:t>
      </w:r>
      <w:r w:rsidR="00AD5EB5" w:rsidRPr="00E306F0">
        <w:rPr>
          <w:rFonts w:ascii="Times New Roman" w:eastAsia="Times New Roman" w:hAnsi="Times New Roman"/>
          <w:sz w:val="24"/>
          <w:szCs w:val="24"/>
        </w:rPr>
        <w:t>their</w:t>
      </w:r>
      <w:r w:rsidR="00447CB7" w:rsidRPr="00E306F0">
        <w:rPr>
          <w:rFonts w:ascii="Times New Roman" w:eastAsia="Times New Roman" w:hAnsi="Times New Roman"/>
          <w:sz w:val="24"/>
          <w:szCs w:val="24"/>
        </w:rPr>
        <w:t xml:space="preserve"> fielding. </w:t>
      </w:r>
      <w:r w:rsidR="00AD5EB5" w:rsidRPr="00E306F0">
        <w:rPr>
          <w:rFonts w:ascii="Times New Roman" w:eastAsia="Times New Roman" w:hAnsi="Times New Roman"/>
          <w:sz w:val="24"/>
          <w:szCs w:val="24"/>
        </w:rPr>
        <w:t>Trained researchers</w:t>
      </w:r>
      <w:r w:rsidR="00447CB7" w:rsidRPr="00E306F0">
        <w:rPr>
          <w:rFonts w:ascii="Times New Roman" w:eastAsia="Times New Roman" w:hAnsi="Times New Roman"/>
          <w:sz w:val="24"/>
          <w:szCs w:val="24"/>
        </w:rPr>
        <w:t xml:space="preserve"> will review the </w:t>
      </w:r>
      <w:r w:rsidR="001D62E4">
        <w:rPr>
          <w:rFonts w:ascii="Times New Roman" w:eastAsia="Times New Roman" w:hAnsi="Times New Roman"/>
          <w:sz w:val="24"/>
          <w:szCs w:val="24"/>
        </w:rPr>
        <w:t>screeners and q</w:t>
      </w:r>
      <w:r w:rsidR="00AD5EB5" w:rsidRPr="00E306F0">
        <w:rPr>
          <w:rFonts w:ascii="Times New Roman" w:eastAsia="Times New Roman" w:hAnsi="Times New Roman"/>
          <w:sz w:val="24"/>
          <w:szCs w:val="24"/>
        </w:rPr>
        <w:t>uestionnaire</w:t>
      </w:r>
      <w:r w:rsidR="00447CB7" w:rsidRPr="00E306F0">
        <w:rPr>
          <w:rFonts w:ascii="Times New Roman" w:eastAsia="Times New Roman" w:hAnsi="Times New Roman"/>
          <w:sz w:val="24"/>
          <w:szCs w:val="24"/>
        </w:rPr>
        <w:t xml:space="preserve"> to verify that instrument skip patterns are functioning properly, delivery of campaign media materials is working properly, and that all survey questions are worded correctly and are in accordance with the instrument approved by OMB.</w:t>
      </w:r>
    </w:p>
    <w:p w:rsidR="00447CB7" w:rsidRPr="009D5752" w:rsidRDefault="003A4C1E" w:rsidP="00447CB7">
      <w:pPr>
        <w:numPr>
          <w:ilvl w:val="0"/>
          <w:numId w:val="2"/>
        </w:numPr>
        <w:spacing w:before="100" w:beforeAutospacing="1" w:after="100" w:afterAutospacing="1" w:line="240" w:lineRule="auto"/>
        <w:rPr>
          <w:rFonts w:ascii="Times New Roman" w:eastAsia="Times New Roman" w:hAnsi="Times New Roman"/>
          <w:b/>
          <w:sz w:val="24"/>
          <w:szCs w:val="24"/>
          <w:u w:val="single"/>
        </w:rPr>
      </w:pPr>
      <w:r w:rsidRPr="009D5752">
        <w:rPr>
          <w:rFonts w:ascii="Times New Roman" w:eastAsia="Times New Roman" w:hAnsi="Times New Roman"/>
          <w:b/>
          <w:sz w:val="24"/>
          <w:szCs w:val="24"/>
          <w:u w:val="single"/>
        </w:rPr>
        <w:t>In</w:t>
      </w:r>
      <w:r w:rsidR="00447CB7" w:rsidRPr="009D5752">
        <w:rPr>
          <w:rFonts w:ascii="Times New Roman" w:eastAsia="Times New Roman" w:hAnsi="Times New Roman"/>
          <w:b/>
          <w:sz w:val="24"/>
          <w:szCs w:val="24"/>
          <w:u w:val="single"/>
        </w:rPr>
        <w:t xml:space="preserve">dividuals Consulted </w:t>
      </w:r>
      <w:r w:rsidR="009D5752" w:rsidRPr="009D5752">
        <w:rPr>
          <w:rFonts w:ascii="Times New Roman" w:eastAsia="Times New Roman" w:hAnsi="Times New Roman"/>
          <w:b/>
          <w:sz w:val="24"/>
          <w:szCs w:val="24"/>
          <w:u w:val="single"/>
        </w:rPr>
        <w:t>in Statistical Consultation and Information Collection</w:t>
      </w:r>
    </w:p>
    <w:p w:rsidR="00275AEE" w:rsidRPr="00E306F0" w:rsidRDefault="00275AEE" w:rsidP="00275AEE">
      <w:pPr>
        <w:spacing w:before="100" w:beforeAutospacing="1" w:after="100" w:afterAutospacing="1"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The following individuals inside the agency have been consulted on the design of the copy testing plan, survey development, or intra-agency coordination of information collection efforts: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Tesfa Alexander</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Office of Health Communication &amp; Education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Center for Tobacco Products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Food and Drug Administration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10903 New Hampshire Avenue</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Silver Spring, MD 20993-0002</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w:t>
      </w:r>
      <w:r w:rsidRPr="00E306F0">
        <w:rPr>
          <w:rFonts w:ascii="Times New Roman" w:eastAsia="Times New Roman" w:hAnsi="Times New Roman"/>
          <w:sz w:val="24"/>
          <w:szCs w:val="24"/>
        </w:rPr>
        <w:tab/>
        <w:t>301-796-9335</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E-mail:</w:t>
      </w:r>
      <w:r w:rsidRPr="00E306F0">
        <w:rPr>
          <w:rFonts w:ascii="Times New Roman" w:eastAsia="Times New Roman" w:hAnsi="Times New Roman"/>
          <w:sz w:val="24"/>
          <w:szCs w:val="24"/>
        </w:rPr>
        <w:tab/>
        <w:t xml:space="preserve"> </w:t>
      </w:r>
      <w:hyperlink r:id="rId9" w:history="1">
        <w:r w:rsidRPr="00E306F0">
          <w:rPr>
            <w:rStyle w:val="Hyperlink"/>
            <w:rFonts w:ascii="Times New Roman" w:eastAsia="Times New Roman" w:hAnsi="Times New Roman"/>
            <w:sz w:val="24"/>
            <w:szCs w:val="24"/>
          </w:rPr>
          <w:t>Tesfa.Alexander@fda.hhs.gov</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Gem Benoza</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Office of Health Communication &amp; Education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Center for Tobacco Products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Food and Drug Administration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10903 New Hampshire Avenue</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Silver Spring, MD 20993</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w:t>
      </w:r>
      <w:r w:rsidRPr="00E306F0">
        <w:rPr>
          <w:rFonts w:ascii="Times New Roman" w:eastAsia="Times New Roman" w:hAnsi="Times New Roman"/>
          <w:sz w:val="24"/>
          <w:szCs w:val="24"/>
        </w:rPr>
        <w:tab/>
        <w:t>240-402-0088</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E-mail:</w:t>
      </w:r>
      <w:r w:rsidRPr="00E306F0">
        <w:rPr>
          <w:rFonts w:ascii="Times New Roman" w:eastAsia="Times New Roman" w:hAnsi="Times New Roman"/>
          <w:sz w:val="24"/>
          <w:szCs w:val="24"/>
        </w:rPr>
        <w:tab/>
        <w:t xml:space="preserve"> </w:t>
      </w:r>
      <w:hyperlink r:id="rId10" w:history="1">
        <w:r w:rsidRPr="00E306F0">
          <w:rPr>
            <w:rStyle w:val="Hyperlink"/>
            <w:rFonts w:ascii="Times New Roman" w:eastAsia="Times New Roman" w:hAnsi="Times New Roman"/>
            <w:sz w:val="24"/>
            <w:szCs w:val="24"/>
          </w:rPr>
          <w:t>Maria.Benoza@fda.hhs.gov</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Michael Murray</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Office of Health Communication &amp; Education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Center for Tobacco Products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Food and Drug Administration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10903 New Hampshire Avenue</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Silver Spring, MD 20993</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w:t>
      </w:r>
      <w:r w:rsidRPr="00E306F0">
        <w:rPr>
          <w:rFonts w:ascii="Times New Roman" w:eastAsia="Times New Roman" w:hAnsi="Times New Roman"/>
          <w:sz w:val="24"/>
          <w:szCs w:val="24"/>
        </w:rPr>
        <w:tab/>
        <w:t xml:space="preserve">301-796-4234 </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E-mail:</w:t>
      </w:r>
      <w:r w:rsidRPr="00E306F0">
        <w:rPr>
          <w:rFonts w:ascii="Times New Roman" w:eastAsia="Times New Roman" w:hAnsi="Times New Roman"/>
          <w:sz w:val="24"/>
          <w:szCs w:val="24"/>
        </w:rPr>
        <w:tab/>
        <w:t xml:space="preserve"> </w:t>
      </w:r>
      <w:hyperlink r:id="rId11" w:history="1">
        <w:r w:rsidRPr="00E306F0">
          <w:rPr>
            <w:rStyle w:val="Hyperlink"/>
            <w:rFonts w:ascii="Times New Roman" w:eastAsia="Times New Roman" w:hAnsi="Times New Roman"/>
            <w:sz w:val="24"/>
            <w:szCs w:val="24"/>
          </w:rPr>
          <w:t>Michael.Murray@fda.hhs.gov</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D83669" w:rsidRDefault="00D83669">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lastRenderedPageBreak/>
        <w:t>Matthew Walker</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Office of Health Communication &amp; Education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Center for Tobacco Products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Food and Drug Administration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10903 New Hampshire Avenue</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Silver Spring, MD 20993</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w:t>
      </w:r>
      <w:r w:rsidRPr="00E306F0">
        <w:rPr>
          <w:rFonts w:ascii="Times New Roman" w:eastAsia="Times New Roman" w:hAnsi="Times New Roman"/>
          <w:sz w:val="24"/>
          <w:szCs w:val="24"/>
        </w:rPr>
        <w:tab/>
        <w:t>240-402-3824</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E-mail:</w:t>
      </w:r>
      <w:r w:rsidRPr="00E306F0">
        <w:rPr>
          <w:rFonts w:ascii="Times New Roman" w:eastAsia="Times New Roman" w:hAnsi="Times New Roman"/>
          <w:sz w:val="24"/>
          <w:szCs w:val="24"/>
        </w:rPr>
        <w:tab/>
        <w:t xml:space="preserve"> </w:t>
      </w:r>
      <w:hyperlink r:id="rId12" w:history="1">
        <w:r w:rsidRPr="00E306F0">
          <w:rPr>
            <w:rStyle w:val="Hyperlink"/>
            <w:rFonts w:ascii="Times New Roman" w:eastAsia="Times New Roman" w:hAnsi="Times New Roman"/>
            <w:sz w:val="24"/>
            <w:szCs w:val="24"/>
          </w:rPr>
          <w:t>Matthew.Walker@fda.hhs.gov</w:t>
        </w:r>
      </w:hyperlink>
      <w:r w:rsidRPr="00E306F0">
        <w:rPr>
          <w:rFonts w:ascii="Times New Roman" w:eastAsia="Times New Roman" w:hAnsi="Times New Roman"/>
          <w:sz w:val="24"/>
          <w:szCs w:val="24"/>
        </w:rPr>
        <w:t xml:space="preserve">  </w:t>
      </w:r>
    </w:p>
    <w:p w:rsidR="001D62E4" w:rsidRDefault="001D62E4"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The following individuals outside of the agency have been consulted on questionnaire development.</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Dimas Adiwiyoto</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Account Director</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FCB</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100 West 33rd Street</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New York, NY 10001</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 212-885-3283</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Email: </w:t>
      </w:r>
      <w:hyperlink r:id="rId13" w:history="1">
        <w:r w:rsidRPr="00E306F0">
          <w:rPr>
            <w:rStyle w:val="Hyperlink"/>
            <w:rFonts w:ascii="Times New Roman" w:eastAsia="Times New Roman" w:hAnsi="Times New Roman"/>
            <w:sz w:val="24"/>
            <w:szCs w:val="24"/>
          </w:rPr>
          <w:t>Dimas.Adiwiyoto@fcb.com</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David Cortés</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Senior Strategic Planner</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FCB</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100 West 33rd Street</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New York, NY 10001</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 212-885-3743</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Email: </w:t>
      </w:r>
      <w:hyperlink r:id="rId14" w:history="1">
        <w:r w:rsidRPr="00E306F0">
          <w:rPr>
            <w:rStyle w:val="Hyperlink"/>
            <w:rFonts w:ascii="Times New Roman" w:eastAsia="Times New Roman" w:hAnsi="Times New Roman"/>
            <w:sz w:val="24"/>
            <w:szCs w:val="24"/>
          </w:rPr>
          <w:t>David.Cortes@fcb.com</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Mark Hall</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Senior Strategic Planner</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FCB</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100 West 33rd Street</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New York, NY 10001</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 212-885-3372</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Email: </w:t>
      </w:r>
      <w:hyperlink r:id="rId15" w:history="1">
        <w:r w:rsidRPr="00E306F0">
          <w:rPr>
            <w:rStyle w:val="Hyperlink"/>
            <w:rFonts w:ascii="Times New Roman" w:eastAsia="Times New Roman" w:hAnsi="Times New Roman"/>
            <w:sz w:val="24"/>
            <w:szCs w:val="24"/>
          </w:rPr>
          <w:t>Mark.W.Hall@fcb.com</w:t>
        </w:r>
      </w:hyperlink>
      <w:r w:rsidRPr="00E306F0">
        <w:rPr>
          <w:rFonts w:ascii="Times New Roman" w:eastAsia="Times New Roman" w:hAnsi="Times New Roman"/>
          <w:sz w:val="24"/>
          <w:szCs w:val="24"/>
        </w:rPr>
        <w:t xml:space="preserve"> </w:t>
      </w:r>
    </w:p>
    <w:p w:rsidR="00275AEE" w:rsidRPr="00E306F0" w:rsidRDefault="00275AEE" w:rsidP="00D478F8">
      <w:pPr>
        <w:spacing w:after="0" w:line="240" w:lineRule="auto"/>
        <w:ind w:left="720"/>
        <w:rPr>
          <w:rFonts w:ascii="Times New Roman" w:eastAsia="Times New Roman" w:hAnsi="Times New Roman"/>
          <w:sz w:val="24"/>
          <w:szCs w:val="24"/>
        </w:rPr>
      </w:pP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Xiaoquan Zhao</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Department of Communication</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George Mason University</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Robinson Hall A, Room 307B</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4400 University Drive, 3D6</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Fairfax, VA 22030</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Phone: 703-993-4008</w:t>
      </w:r>
    </w:p>
    <w:p w:rsidR="00275AEE" w:rsidRPr="00E306F0" w:rsidRDefault="00275AEE" w:rsidP="00D478F8">
      <w:pPr>
        <w:spacing w:after="0" w:line="240" w:lineRule="auto"/>
        <w:ind w:left="720"/>
        <w:rPr>
          <w:rFonts w:ascii="Times New Roman" w:eastAsia="Times New Roman" w:hAnsi="Times New Roman"/>
          <w:sz w:val="24"/>
          <w:szCs w:val="24"/>
        </w:rPr>
      </w:pPr>
      <w:r w:rsidRPr="00E306F0">
        <w:rPr>
          <w:rFonts w:ascii="Times New Roman" w:eastAsia="Times New Roman" w:hAnsi="Times New Roman"/>
          <w:sz w:val="24"/>
          <w:szCs w:val="24"/>
        </w:rPr>
        <w:t xml:space="preserve">E-mail: </w:t>
      </w:r>
      <w:hyperlink r:id="rId16" w:history="1">
        <w:r w:rsidRPr="00E306F0">
          <w:rPr>
            <w:rStyle w:val="Hyperlink"/>
            <w:rFonts w:ascii="Times New Roman" w:eastAsia="Times New Roman" w:hAnsi="Times New Roman"/>
            <w:sz w:val="24"/>
            <w:szCs w:val="24"/>
          </w:rPr>
          <w:t>xzhao3@gmu.edu</w:t>
        </w:r>
      </w:hyperlink>
      <w:r w:rsidRPr="00E306F0">
        <w:rPr>
          <w:rFonts w:ascii="Times New Roman" w:eastAsia="Times New Roman" w:hAnsi="Times New Roman"/>
          <w:sz w:val="24"/>
          <w:szCs w:val="24"/>
        </w:rPr>
        <w:t xml:space="preserve"> </w:t>
      </w:r>
    </w:p>
    <w:p w:rsidR="00447CB7" w:rsidRPr="00E306F0" w:rsidRDefault="009F142A" w:rsidP="00B3500A">
      <w:pPr>
        <w:spacing w:after="0" w:line="240" w:lineRule="auto"/>
        <w:rPr>
          <w:rFonts w:ascii="Times New Roman" w:eastAsia="Times New Roman" w:hAnsi="Times New Roman"/>
          <w:b/>
          <w:sz w:val="24"/>
          <w:szCs w:val="24"/>
        </w:rPr>
      </w:pPr>
      <w:r w:rsidRPr="00E306F0">
        <w:rPr>
          <w:rFonts w:ascii="Times New Roman" w:eastAsia="Times New Roman" w:hAnsi="Times New Roman"/>
          <w:b/>
          <w:sz w:val="24"/>
          <w:szCs w:val="24"/>
          <w:highlight w:val="yellow"/>
        </w:rPr>
        <w:br w:type="page"/>
      </w:r>
      <w:r w:rsidRPr="00E306F0">
        <w:rPr>
          <w:rFonts w:ascii="Times New Roman" w:eastAsia="Times New Roman" w:hAnsi="Times New Roman"/>
          <w:b/>
          <w:sz w:val="24"/>
          <w:szCs w:val="24"/>
        </w:rPr>
        <w:lastRenderedPageBreak/>
        <w:t>References</w:t>
      </w:r>
    </w:p>
    <w:p w:rsidR="00275AEE" w:rsidRPr="00E306F0" w:rsidRDefault="00275AEE" w:rsidP="00B3500A">
      <w:pPr>
        <w:spacing w:after="0" w:line="240" w:lineRule="auto"/>
        <w:rPr>
          <w:rFonts w:ascii="Times New Roman" w:eastAsia="Times New Roman" w:hAnsi="Times New Roman"/>
          <w:b/>
          <w:sz w:val="24"/>
          <w:szCs w:val="24"/>
        </w:rPr>
      </w:pPr>
    </w:p>
    <w:p w:rsidR="005E72DC" w:rsidRPr="00E306F0" w:rsidRDefault="005E72DC" w:rsidP="00275AEE">
      <w:pPr>
        <w:spacing w:line="240" w:lineRule="auto"/>
        <w:ind w:left="720" w:hanging="720"/>
        <w:rPr>
          <w:rFonts w:ascii="Times New Roman" w:eastAsia="Times New Roman" w:hAnsi="Times New Roman"/>
          <w:sz w:val="24"/>
          <w:szCs w:val="24"/>
        </w:rPr>
      </w:pPr>
      <w:r w:rsidRPr="00E306F0">
        <w:rPr>
          <w:rFonts w:ascii="Times New Roman" w:hAnsi="Times New Roman"/>
          <w:color w:val="222222"/>
          <w:sz w:val="24"/>
          <w:szCs w:val="24"/>
          <w:shd w:val="clear" w:color="auto" w:fill="FFFFFF"/>
        </w:rPr>
        <w:t xml:space="preserve">Abreu, D. A., &amp; </w:t>
      </w:r>
      <w:proofErr w:type="gramStart"/>
      <w:r w:rsidRPr="00E306F0">
        <w:rPr>
          <w:rFonts w:ascii="Times New Roman" w:hAnsi="Times New Roman"/>
          <w:color w:val="222222"/>
          <w:sz w:val="24"/>
          <w:szCs w:val="24"/>
          <w:shd w:val="clear" w:color="auto" w:fill="FFFFFF"/>
        </w:rPr>
        <w:t>Winters</w:t>
      </w:r>
      <w:proofErr w:type="gramEnd"/>
      <w:r w:rsidRPr="00E306F0">
        <w:rPr>
          <w:rFonts w:ascii="Times New Roman" w:hAnsi="Times New Roman"/>
          <w:color w:val="222222"/>
          <w:sz w:val="24"/>
          <w:szCs w:val="24"/>
          <w:shd w:val="clear" w:color="auto" w:fill="FFFFFF"/>
        </w:rPr>
        <w:t xml:space="preserve">, F. (1999). </w:t>
      </w:r>
      <w:proofErr w:type="gramStart"/>
      <w:r w:rsidRPr="00E306F0">
        <w:rPr>
          <w:rFonts w:ascii="Times New Roman" w:hAnsi="Times New Roman"/>
          <w:color w:val="222222"/>
          <w:sz w:val="24"/>
          <w:szCs w:val="24"/>
          <w:shd w:val="clear" w:color="auto" w:fill="FFFFFF"/>
        </w:rPr>
        <w:t>Using monetary incentives to reduce attrition in the survey of income and program participation.</w:t>
      </w:r>
      <w:proofErr w:type="gramEnd"/>
      <w:r w:rsidRPr="00E306F0">
        <w:rPr>
          <w:rFonts w:ascii="Times New Roman" w:hAnsi="Times New Roman"/>
          <w:color w:val="222222"/>
          <w:sz w:val="24"/>
          <w:szCs w:val="24"/>
          <w:shd w:val="clear" w:color="auto" w:fill="FFFFFF"/>
        </w:rPr>
        <w:t xml:space="preserve"> </w:t>
      </w:r>
      <w:proofErr w:type="gramStart"/>
      <w:r w:rsidRPr="00E306F0">
        <w:rPr>
          <w:rFonts w:ascii="Times New Roman" w:hAnsi="Times New Roman"/>
          <w:color w:val="222222"/>
          <w:sz w:val="24"/>
          <w:szCs w:val="24"/>
          <w:shd w:val="clear" w:color="auto" w:fill="FFFFFF"/>
        </w:rPr>
        <w:t>In</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i/>
          <w:iCs/>
          <w:color w:val="222222"/>
          <w:sz w:val="24"/>
          <w:szCs w:val="24"/>
          <w:shd w:val="clear" w:color="auto" w:fill="FFFFFF"/>
        </w:rPr>
        <w:t>Proceedings of the Survey Research Methods Section</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color w:val="222222"/>
          <w:sz w:val="24"/>
          <w:szCs w:val="24"/>
          <w:shd w:val="clear" w:color="auto" w:fill="FFFFFF"/>
        </w:rPr>
        <w:t>(pp. 533-538).</w:t>
      </w:r>
      <w:proofErr w:type="gramEnd"/>
    </w:p>
    <w:p w:rsidR="00941B73" w:rsidRPr="00E306F0" w:rsidRDefault="00941B73" w:rsidP="00275AEE">
      <w:pPr>
        <w:spacing w:line="240" w:lineRule="auto"/>
        <w:ind w:left="720" w:hanging="720"/>
        <w:rPr>
          <w:rFonts w:ascii="Times New Roman" w:hAnsi="Times New Roman"/>
          <w:sz w:val="24"/>
          <w:szCs w:val="24"/>
        </w:rPr>
      </w:pPr>
      <w:proofErr w:type="spellStart"/>
      <w:r w:rsidRPr="00E306F0">
        <w:rPr>
          <w:rFonts w:ascii="Times New Roman" w:hAnsi="Times New Roman"/>
          <w:sz w:val="24"/>
          <w:szCs w:val="24"/>
        </w:rPr>
        <w:t>Anderman</w:t>
      </w:r>
      <w:proofErr w:type="spellEnd"/>
      <w:r w:rsidRPr="00E306F0">
        <w:rPr>
          <w:rFonts w:ascii="Times New Roman" w:hAnsi="Times New Roman"/>
          <w:sz w:val="24"/>
          <w:szCs w:val="24"/>
        </w:rPr>
        <w:t xml:space="preserve">, C., Cheadle, A., Curry, S., </w:t>
      </w:r>
      <w:proofErr w:type="spellStart"/>
      <w:r w:rsidRPr="00E306F0">
        <w:rPr>
          <w:rFonts w:ascii="Times New Roman" w:hAnsi="Times New Roman"/>
          <w:sz w:val="24"/>
          <w:szCs w:val="24"/>
        </w:rPr>
        <w:t>Diehr</w:t>
      </w:r>
      <w:proofErr w:type="spellEnd"/>
      <w:r w:rsidRPr="00E306F0">
        <w:rPr>
          <w:rFonts w:ascii="Times New Roman" w:hAnsi="Times New Roman"/>
          <w:sz w:val="24"/>
          <w:szCs w:val="24"/>
        </w:rPr>
        <w:t xml:space="preserve">, P., Shultz, L., &amp; Wagner, E. (1995). Selection bias related to parental consent in </w:t>
      </w:r>
      <w:proofErr w:type="spellStart"/>
      <w:r w:rsidRPr="00E306F0">
        <w:rPr>
          <w:rFonts w:ascii="Times New Roman" w:hAnsi="Times New Roman"/>
          <w:sz w:val="24"/>
          <w:szCs w:val="24"/>
        </w:rPr>
        <w:t>schoolbased</w:t>
      </w:r>
      <w:proofErr w:type="spellEnd"/>
      <w:r w:rsidRPr="00E306F0">
        <w:rPr>
          <w:rFonts w:ascii="Times New Roman" w:hAnsi="Times New Roman"/>
          <w:sz w:val="24"/>
          <w:szCs w:val="24"/>
        </w:rPr>
        <w:t xml:space="preserve"> survey research. </w:t>
      </w:r>
      <w:r w:rsidRPr="00E306F0">
        <w:rPr>
          <w:rFonts w:ascii="Times New Roman" w:hAnsi="Times New Roman"/>
          <w:i/>
          <w:sz w:val="24"/>
          <w:szCs w:val="24"/>
        </w:rPr>
        <w:t>Evaluation Review, 19</w:t>
      </w:r>
      <w:r w:rsidRPr="00E306F0">
        <w:rPr>
          <w:rFonts w:ascii="Times New Roman" w:hAnsi="Times New Roman"/>
          <w:sz w:val="24"/>
          <w:szCs w:val="24"/>
        </w:rPr>
        <w:t>, 663–674.</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r w:rsidRPr="00E306F0">
        <w:rPr>
          <w:rFonts w:ascii="Times New Roman" w:hAnsi="Times New Roman"/>
          <w:sz w:val="24"/>
          <w:szCs w:val="24"/>
        </w:rPr>
        <w:t xml:space="preserve">Asch, D. A., Christakis, N. A., &amp; </w:t>
      </w:r>
      <w:proofErr w:type="spellStart"/>
      <w:r w:rsidRPr="00E306F0">
        <w:rPr>
          <w:rFonts w:ascii="Times New Roman" w:hAnsi="Times New Roman"/>
          <w:sz w:val="24"/>
          <w:szCs w:val="24"/>
        </w:rPr>
        <w:t>Ubel</w:t>
      </w:r>
      <w:proofErr w:type="spellEnd"/>
      <w:r w:rsidRPr="00E306F0">
        <w:rPr>
          <w:rFonts w:ascii="Times New Roman" w:hAnsi="Times New Roman"/>
          <w:sz w:val="24"/>
          <w:szCs w:val="24"/>
        </w:rPr>
        <w:t xml:space="preserve">, P. A. (1998). </w:t>
      </w:r>
      <w:proofErr w:type="gramStart"/>
      <w:r w:rsidRPr="00E306F0">
        <w:rPr>
          <w:rFonts w:ascii="Times New Roman" w:hAnsi="Times New Roman"/>
          <w:sz w:val="24"/>
          <w:szCs w:val="24"/>
        </w:rPr>
        <w:t>Conducting physician mail surveys on a limited budget: a randomized trial comparing $2 bill versus $5 bill incentives.</w:t>
      </w:r>
      <w:proofErr w:type="gramEnd"/>
      <w:r w:rsidRPr="00E306F0">
        <w:rPr>
          <w:rFonts w:ascii="Times New Roman" w:hAnsi="Times New Roman"/>
          <w:sz w:val="24"/>
          <w:szCs w:val="24"/>
        </w:rPr>
        <w:t xml:space="preserve"> </w:t>
      </w:r>
      <w:r w:rsidRPr="00E306F0">
        <w:rPr>
          <w:rFonts w:ascii="Times New Roman" w:hAnsi="Times New Roman"/>
          <w:i/>
          <w:iCs/>
          <w:sz w:val="24"/>
          <w:szCs w:val="24"/>
        </w:rPr>
        <w:t>Medical Care</w:t>
      </w:r>
      <w:r w:rsidRPr="00E306F0">
        <w:rPr>
          <w:rFonts w:ascii="Times New Roman" w:hAnsi="Times New Roman"/>
          <w:sz w:val="24"/>
          <w:szCs w:val="24"/>
        </w:rPr>
        <w:t xml:space="preserve">, </w:t>
      </w:r>
      <w:r w:rsidRPr="00E306F0">
        <w:rPr>
          <w:rFonts w:ascii="Times New Roman" w:hAnsi="Times New Roman"/>
          <w:i/>
          <w:iCs/>
          <w:sz w:val="24"/>
          <w:szCs w:val="24"/>
        </w:rPr>
        <w:t>36</w:t>
      </w:r>
      <w:r w:rsidRPr="00E306F0">
        <w:rPr>
          <w:rFonts w:ascii="Times New Roman" w:hAnsi="Times New Roman"/>
          <w:sz w:val="24"/>
          <w:szCs w:val="24"/>
        </w:rPr>
        <w:t>(1), 95-99.</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Beebe, T. J., </w:t>
      </w:r>
      <w:proofErr w:type="spellStart"/>
      <w:r w:rsidRPr="00E306F0">
        <w:rPr>
          <w:rFonts w:ascii="Times New Roman" w:hAnsi="Times New Roman"/>
          <w:sz w:val="24"/>
          <w:szCs w:val="24"/>
        </w:rPr>
        <w:t>Davern</w:t>
      </w:r>
      <w:proofErr w:type="spellEnd"/>
      <w:r w:rsidRPr="00E306F0">
        <w:rPr>
          <w:rFonts w:ascii="Times New Roman" w:hAnsi="Times New Roman"/>
          <w:sz w:val="24"/>
          <w:szCs w:val="24"/>
        </w:rPr>
        <w:t xml:space="preserve">, M. E., </w:t>
      </w:r>
      <w:proofErr w:type="spellStart"/>
      <w:r w:rsidRPr="00E306F0">
        <w:rPr>
          <w:rFonts w:ascii="Times New Roman" w:hAnsi="Times New Roman"/>
          <w:sz w:val="24"/>
          <w:szCs w:val="24"/>
        </w:rPr>
        <w:t>McAlpine</w:t>
      </w:r>
      <w:proofErr w:type="spellEnd"/>
      <w:r w:rsidRPr="00E306F0">
        <w:rPr>
          <w:rFonts w:ascii="Times New Roman" w:hAnsi="Times New Roman"/>
          <w:sz w:val="24"/>
          <w:szCs w:val="24"/>
        </w:rPr>
        <w:t>, D. D., Call, K. T., &amp; Rockwood, T. H. (2005).</w:t>
      </w:r>
      <w:proofErr w:type="gramEnd"/>
      <w:r w:rsidRPr="00E306F0">
        <w:rPr>
          <w:rFonts w:ascii="Times New Roman" w:hAnsi="Times New Roman"/>
          <w:sz w:val="24"/>
          <w:szCs w:val="24"/>
        </w:rPr>
        <w:t xml:space="preserve"> Increasing response rates in a survey of Medicaid enrollees: the effect of a pre-paid monetary incentive and mixed modes (mail and telephone). </w:t>
      </w:r>
      <w:r w:rsidRPr="00E306F0">
        <w:rPr>
          <w:rFonts w:ascii="Times New Roman" w:hAnsi="Times New Roman"/>
          <w:i/>
          <w:iCs/>
          <w:sz w:val="24"/>
          <w:szCs w:val="24"/>
        </w:rPr>
        <w:t>Medical Care</w:t>
      </w:r>
      <w:r w:rsidRPr="00E306F0">
        <w:rPr>
          <w:rFonts w:ascii="Times New Roman" w:hAnsi="Times New Roman"/>
          <w:sz w:val="24"/>
          <w:szCs w:val="24"/>
        </w:rPr>
        <w:t xml:space="preserve">, </w:t>
      </w:r>
      <w:r w:rsidRPr="00E306F0">
        <w:rPr>
          <w:rFonts w:ascii="Times New Roman" w:hAnsi="Times New Roman"/>
          <w:i/>
          <w:iCs/>
          <w:sz w:val="24"/>
          <w:szCs w:val="24"/>
        </w:rPr>
        <w:t>43</w:t>
      </w:r>
      <w:r w:rsidRPr="00E306F0">
        <w:rPr>
          <w:rFonts w:ascii="Times New Roman" w:hAnsi="Times New Roman"/>
          <w:sz w:val="24"/>
          <w:szCs w:val="24"/>
        </w:rPr>
        <w:t>(4), 411-414.</w:t>
      </w:r>
    </w:p>
    <w:p w:rsidR="005E72DC" w:rsidRPr="00E306F0" w:rsidRDefault="005E72DC" w:rsidP="00275AEE">
      <w:pPr>
        <w:spacing w:line="240" w:lineRule="auto"/>
        <w:ind w:left="720" w:hanging="720"/>
        <w:rPr>
          <w:rFonts w:ascii="Times New Roman" w:hAnsi="Times New Roman"/>
          <w:color w:val="222222"/>
          <w:sz w:val="24"/>
          <w:szCs w:val="24"/>
          <w:shd w:val="clear" w:color="auto" w:fill="FFFFFF"/>
        </w:rPr>
      </w:pPr>
      <w:proofErr w:type="spellStart"/>
      <w:proofErr w:type="gramStart"/>
      <w:r w:rsidRPr="00E306F0">
        <w:rPr>
          <w:rFonts w:ascii="Times New Roman" w:hAnsi="Times New Roman"/>
          <w:color w:val="222222"/>
          <w:sz w:val="24"/>
          <w:szCs w:val="24"/>
          <w:shd w:val="clear" w:color="auto" w:fill="FFFFFF"/>
        </w:rPr>
        <w:t>Castiglioni</w:t>
      </w:r>
      <w:proofErr w:type="spellEnd"/>
      <w:r w:rsidRPr="00E306F0">
        <w:rPr>
          <w:rFonts w:ascii="Times New Roman" w:hAnsi="Times New Roman"/>
          <w:color w:val="222222"/>
          <w:sz w:val="24"/>
          <w:szCs w:val="24"/>
          <w:shd w:val="clear" w:color="auto" w:fill="FFFFFF"/>
        </w:rPr>
        <w:t xml:space="preserve">, L., </w:t>
      </w:r>
      <w:proofErr w:type="spellStart"/>
      <w:r w:rsidRPr="00E306F0">
        <w:rPr>
          <w:rFonts w:ascii="Times New Roman" w:hAnsi="Times New Roman"/>
          <w:color w:val="222222"/>
          <w:sz w:val="24"/>
          <w:szCs w:val="24"/>
          <w:shd w:val="clear" w:color="auto" w:fill="FFFFFF"/>
        </w:rPr>
        <w:t>Pforr</w:t>
      </w:r>
      <w:proofErr w:type="spellEnd"/>
      <w:r w:rsidRPr="00E306F0">
        <w:rPr>
          <w:rFonts w:ascii="Times New Roman" w:hAnsi="Times New Roman"/>
          <w:color w:val="222222"/>
          <w:sz w:val="24"/>
          <w:szCs w:val="24"/>
          <w:shd w:val="clear" w:color="auto" w:fill="FFFFFF"/>
        </w:rPr>
        <w:t>, K., &amp; Krieger, U. (2008, December).</w:t>
      </w:r>
      <w:proofErr w:type="gramEnd"/>
      <w:r w:rsidRPr="00E306F0">
        <w:rPr>
          <w:rFonts w:ascii="Times New Roman" w:hAnsi="Times New Roman"/>
          <w:color w:val="222222"/>
          <w:sz w:val="24"/>
          <w:szCs w:val="24"/>
          <w:shd w:val="clear" w:color="auto" w:fill="FFFFFF"/>
        </w:rPr>
        <w:t xml:space="preserve"> The effect of incentives on response rates and panel attrition: Results of a controlled experiment. </w:t>
      </w:r>
      <w:proofErr w:type="gramStart"/>
      <w:r w:rsidRPr="00E306F0">
        <w:rPr>
          <w:rFonts w:ascii="Times New Roman" w:hAnsi="Times New Roman"/>
          <w:color w:val="222222"/>
          <w:sz w:val="24"/>
          <w:szCs w:val="24"/>
          <w:shd w:val="clear" w:color="auto" w:fill="FFFFFF"/>
        </w:rPr>
        <w:t>In</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i/>
          <w:iCs/>
          <w:color w:val="222222"/>
          <w:sz w:val="24"/>
          <w:szCs w:val="24"/>
          <w:shd w:val="clear" w:color="auto" w:fill="FFFFFF"/>
        </w:rPr>
        <w:t>Survey Research Methods</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color w:val="222222"/>
          <w:sz w:val="24"/>
          <w:szCs w:val="24"/>
          <w:shd w:val="clear" w:color="auto" w:fill="FFFFFF"/>
        </w:rPr>
        <w:t>(Vol. 2, No. 3, pp. 151-158).</w:t>
      </w:r>
      <w:proofErr w:type="gramEnd"/>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Coughlin, S. S., </w:t>
      </w:r>
      <w:proofErr w:type="spellStart"/>
      <w:r w:rsidRPr="00E306F0">
        <w:rPr>
          <w:rFonts w:ascii="Times New Roman" w:hAnsi="Times New Roman"/>
          <w:sz w:val="24"/>
          <w:szCs w:val="24"/>
        </w:rPr>
        <w:t>Aliaga</w:t>
      </w:r>
      <w:proofErr w:type="spellEnd"/>
      <w:r w:rsidRPr="00E306F0">
        <w:rPr>
          <w:rFonts w:ascii="Times New Roman" w:hAnsi="Times New Roman"/>
          <w:sz w:val="24"/>
          <w:szCs w:val="24"/>
        </w:rPr>
        <w:t xml:space="preserve">, P., Barth, S., Eber, S., </w:t>
      </w:r>
      <w:proofErr w:type="spellStart"/>
      <w:r w:rsidRPr="00E306F0">
        <w:rPr>
          <w:rFonts w:ascii="Times New Roman" w:hAnsi="Times New Roman"/>
          <w:sz w:val="24"/>
          <w:szCs w:val="24"/>
        </w:rPr>
        <w:t>Maillard</w:t>
      </w:r>
      <w:proofErr w:type="spellEnd"/>
      <w:r w:rsidRPr="00E306F0">
        <w:rPr>
          <w:rFonts w:ascii="Times New Roman" w:hAnsi="Times New Roman"/>
          <w:sz w:val="24"/>
          <w:szCs w:val="24"/>
        </w:rPr>
        <w:t>, J., Mahan, C., &amp; Williams, M. (2013).</w:t>
      </w:r>
      <w:proofErr w:type="gramEnd"/>
      <w:r w:rsidRPr="00E306F0">
        <w:rPr>
          <w:rFonts w:ascii="Times New Roman" w:hAnsi="Times New Roman"/>
          <w:sz w:val="24"/>
          <w:szCs w:val="24"/>
        </w:rPr>
        <w:t xml:space="preserve"> The effectiveness of a monetary incentive on response rates in a survey of recent US veterans. </w:t>
      </w:r>
      <w:proofErr w:type="gramStart"/>
      <w:r w:rsidRPr="00E306F0">
        <w:rPr>
          <w:rFonts w:ascii="Times New Roman" w:hAnsi="Times New Roman"/>
          <w:i/>
          <w:iCs/>
          <w:sz w:val="24"/>
          <w:szCs w:val="24"/>
        </w:rPr>
        <w:t>Survey Practice</w:t>
      </w:r>
      <w:r w:rsidRPr="00E306F0">
        <w:rPr>
          <w:rFonts w:ascii="Times New Roman" w:hAnsi="Times New Roman"/>
          <w:sz w:val="24"/>
          <w:szCs w:val="24"/>
        </w:rPr>
        <w:t xml:space="preserve">, </w:t>
      </w:r>
      <w:r w:rsidRPr="00E306F0">
        <w:rPr>
          <w:rFonts w:ascii="Times New Roman" w:hAnsi="Times New Roman"/>
          <w:i/>
          <w:iCs/>
          <w:sz w:val="24"/>
          <w:szCs w:val="24"/>
        </w:rPr>
        <w:t>4</w:t>
      </w:r>
      <w:r w:rsidRPr="00E306F0">
        <w:rPr>
          <w:rFonts w:ascii="Times New Roman" w:hAnsi="Times New Roman"/>
          <w:sz w:val="24"/>
          <w:szCs w:val="24"/>
        </w:rPr>
        <w:t>(1).</w:t>
      </w:r>
      <w:proofErr w:type="gramEnd"/>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spellStart"/>
      <w:proofErr w:type="gramStart"/>
      <w:r w:rsidRPr="00E306F0">
        <w:rPr>
          <w:rFonts w:ascii="Times New Roman" w:hAnsi="Times New Roman"/>
          <w:sz w:val="24"/>
          <w:szCs w:val="24"/>
        </w:rPr>
        <w:t>Dirmaier</w:t>
      </w:r>
      <w:proofErr w:type="spellEnd"/>
      <w:r w:rsidRPr="00E306F0">
        <w:rPr>
          <w:rFonts w:ascii="Times New Roman" w:hAnsi="Times New Roman"/>
          <w:sz w:val="24"/>
          <w:szCs w:val="24"/>
        </w:rPr>
        <w:t xml:space="preserve">, J., </w:t>
      </w:r>
      <w:proofErr w:type="spellStart"/>
      <w:r w:rsidRPr="00E306F0">
        <w:rPr>
          <w:rFonts w:ascii="Times New Roman" w:hAnsi="Times New Roman"/>
          <w:sz w:val="24"/>
          <w:szCs w:val="24"/>
        </w:rPr>
        <w:t>Harfst</w:t>
      </w:r>
      <w:proofErr w:type="spellEnd"/>
      <w:r w:rsidRPr="00E306F0">
        <w:rPr>
          <w:rFonts w:ascii="Times New Roman" w:hAnsi="Times New Roman"/>
          <w:sz w:val="24"/>
          <w:szCs w:val="24"/>
        </w:rPr>
        <w:t>, T., Koch, U., &amp; Schulz, H. (2007).</w:t>
      </w:r>
      <w:proofErr w:type="gramEnd"/>
      <w:r w:rsidRPr="00E306F0">
        <w:rPr>
          <w:rFonts w:ascii="Times New Roman" w:hAnsi="Times New Roman"/>
          <w:sz w:val="24"/>
          <w:szCs w:val="24"/>
        </w:rPr>
        <w:t xml:space="preserve"> Incentives increased return rates but did not influence partial nonresponse or treatment outcome in a randomized trial. </w:t>
      </w:r>
      <w:r w:rsidRPr="00E306F0">
        <w:rPr>
          <w:rFonts w:ascii="Times New Roman" w:hAnsi="Times New Roman"/>
          <w:i/>
          <w:sz w:val="24"/>
          <w:szCs w:val="24"/>
        </w:rPr>
        <w:t>Journal of Clinical Epidemiology, 60</w:t>
      </w:r>
      <w:r w:rsidRPr="00E306F0">
        <w:rPr>
          <w:rFonts w:ascii="Times New Roman" w:hAnsi="Times New Roman"/>
          <w:sz w:val="24"/>
          <w:szCs w:val="24"/>
        </w:rPr>
        <w:t xml:space="preserve">(12), 1263-1270. </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spellStart"/>
      <w:proofErr w:type="gramStart"/>
      <w:r w:rsidRPr="00E306F0">
        <w:rPr>
          <w:rFonts w:ascii="Times New Roman" w:hAnsi="Times New Roman"/>
          <w:sz w:val="24"/>
          <w:szCs w:val="24"/>
        </w:rPr>
        <w:t>Dykema</w:t>
      </w:r>
      <w:proofErr w:type="spellEnd"/>
      <w:r w:rsidRPr="00E306F0">
        <w:rPr>
          <w:rFonts w:ascii="Times New Roman" w:hAnsi="Times New Roman"/>
          <w:sz w:val="24"/>
          <w:szCs w:val="24"/>
        </w:rPr>
        <w:t xml:space="preserve">, J., Stevenson, J., </w:t>
      </w:r>
      <w:proofErr w:type="spellStart"/>
      <w:r w:rsidRPr="00E306F0">
        <w:rPr>
          <w:rFonts w:ascii="Times New Roman" w:hAnsi="Times New Roman"/>
          <w:sz w:val="24"/>
          <w:szCs w:val="24"/>
        </w:rPr>
        <w:t>Kniss</w:t>
      </w:r>
      <w:proofErr w:type="spellEnd"/>
      <w:r w:rsidRPr="00E306F0">
        <w:rPr>
          <w:rFonts w:ascii="Times New Roman" w:hAnsi="Times New Roman"/>
          <w:sz w:val="24"/>
          <w:szCs w:val="24"/>
        </w:rPr>
        <w:t xml:space="preserve">, C., </w:t>
      </w:r>
      <w:proofErr w:type="spellStart"/>
      <w:r w:rsidRPr="00E306F0">
        <w:rPr>
          <w:rFonts w:ascii="Times New Roman" w:hAnsi="Times New Roman"/>
          <w:sz w:val="24"/>
          <w:szCs w:val="24"/>
        </w:rPr>
        <w:t>Kvale</w:t>
      </w:r>
      <w:proofErr w:type="spellEnd"/>
      <w:r w:rsidRPr="00E306F0">
        <w:rPr>
          <w:rFonts w:ascii="Times New Roman" w:hAnsi="Times New Roman"/>
          <w:sz w:val="24"/>
          <w:szCs w:val="24"/>
        </w:rPr>
        <w:t xml:space="preserve">, K., Gonzalez, K., &amp; </w:t>
      </w:r>
      <w:proofErr w:type="spellStart"/>
      <w:r w:rsidRPr="00E306F0">
        <w:rPr>
          <w:rFonts w:ascii="Times New Roman" w:hAnsi="Times New Roman"/>
          <w:sz w:val="24"/>
          <w:szCs w:val="24"/>
        </w:rPr>
        <w:t>Cautley</w:t>
      </w:r>
      <w:proofErr w:type="spellEnd"/>
      <w:r w:rsidRPr="00E306F0">
        <w:rPr>
          <w:rFonts w:ascii="Times New Roman" w:hAnsi="Times New Roman"/>
          <w:sz w:val="24"/>
          <w:szCs w:val="24"/>
        </w:rPr>
        <w:t>, E. (2012).</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Use of monetary and nonmonetary incentives to increase response rates among African Americans in the Wisconsin Pregnancy Risk Assessment Monitoring System.</w:t>
      </w:r>
      <w:proofErr w:type="gramEnd"/>
      <w:r w:rsidRPr="00E306F0">
        <w:rPr>
          <w:rFonts w:ascii="Times New Roman" w:hAnsi="Times New Roman"/>
          <w:sz w:val="24"/>
          <w:szCs w:val="24"/>
        </w:rPr>
        <w:t xml:space="preserve"> </w:t>
      </w:r>
      <w:r w:rsidRPr="00E306F0">
        <w:rPr>
          <w:rFonts w:ascii="Times New Roman" w:hAnsi="Times New Roman"/>
          <w:i/>
          <w:sz w:val="24"/>
          <w:szCs w:val="24"/>
        </w:rPr>
        <w:t>Maternal and Child Health Journal, 16</w:t>
      </w:r>
      <w:r w:rsidRPr="00E306F0">
        <w:rPr>
          <w:rFonts w:ascii="Times New Roman" w:hAnsi="Times New Roman"/>
          <w:sz w:val="24"/>
          <w:szCs w:val="24"/>
        </w:rPr>
        <w:t>(4), 785-791.</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Gajic, A., Cameron, D., &amp; Hurley, J. (2012).</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The cost-effectiveness of cash versus lottery incentives for a web-based, stated-preference community survey.</w:t>
      </w:r>
      <w:proofErr w:type="gramEnd"/>
      <w:r w:rsidRPr="00E306F0">
        <w:rPr>
          <w:rFonts w:ascii="Times New Roman" w:hAnsi="Times New Roman"/>
          <w:sz w:val="24"/>
          <w:szCs w:val="24"/>
        </w:rPr>
        <w:t xml:space="preserve"> </w:t>
      </w:r>
      <w:r w:rsidRPr="00E306F0">
        <w:rPr>
          <w:rFonts w:ascii="Times New Roman" w:hAnsi="Times New Roman"/>
          <w:i/>
          <w:sz w:val="24"/>
          <w:szCs w:val="24"/>
        </w:rPr>
        <w:t>The European Journal of Health Economics, 13</w:t>
      </w:r>
      <w:r w:rsidRPr="00E306F0">
        <w:rPr>
          <w:rFonts w:ascii="Times New Roman" w:hAnsi="Times New Roman"/>
          <w:sz w:val="24"/>
          <w:szCs w:val="24"/>
        </w:rPr>
        <w:t>(6), 789-799.</w:t>
      </w:r>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Graham, A. L., Milner, P., Saul, J. E., &amp; Pfaff, L. (2008).</w:t>
      </w:r>
      <w:proofErr w:type="gramEnd"/>
      <w:r w:rsidRPr="00E306F0">
        <w:rPr>
          <w:rFonts w:ascii="Times New Roman" w:hAnsi="Times New Roman"/>
          <w:sz w:val="24"/>
          <w:szCs w:val="24"/>
        </w:rPr>
        <w:t xml:space="preserve"> Online advertising as a public health and recruitment tool: comparison of different media campaigns to increase demand for smoking cessation interventions. </w:t>
      </w:r>
      <w:proofErr w:type="gramStart"/>
      <w:r w:rsidRPr="00E306F0">
        <w:rPr>
          <w:rFonts w:ascii="Times New Roman" w:hAnsi="Times New Roman"/>
          <w:i/>
          <w:sz w:val="24"/>
          <w:szCs w:val="24"/>
        </w:rPr>
        <w:t>Journal of Medical Internet Research, 10</w:t>
      </w:r>
      <w:r w:rsidRPr="00E306F0">
        <w:rPr>
          <w:rFonts w:ascii="Times New Roman" w:hAnsi="Times New Roman"/>
          <w:sz w:val="24"/>
          <w:szCs w:val="24"/>
        </w:rPr>
        <w:t>(5), e50.</w:t>
      </w:r>
      <w:proofErr w:type="gramEnd"/>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Han, D., </w:t>
      </w:r>
      <w:proofErr w:type="spellStart"/>
      <w:r w:rsidRPr="00E306F0">
        <w:rPr>
          <w:rFonts w:ascii="Times New Roman" w:hAnsi="Times New Roman"/>
          <w:sz w:val="24"/>
          <w:szCs w:val="24"/>
        </w:rPr>
        <w:t>Montaquila</w:t>
      </w:r>
      <w:proofErr w:type="spellEnd"/>
      <w:r w:rsidRPr="00E306F0">
        <w:rPr>
          <w:rFonts w:ascii="Times New Roman" w:hAnsi="Times New Roman"/>
          <w:sz w:val="24"/>
          <w:szCs w:val="24"/>
        </w:rPr>
        <w:t>, J. M., &amp; Brick, J. M. (2012).</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An Evaluation of Incentive Experiments in a Two-Phase Address-Based Sample Mail Survey.</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 xml:space="preserve">In </w:t>
      </w:r>
      <w:r w:rsidRPr="00E306F0">
        <w:rPr>
          <w:rFonts w:ascii="Times New Roman" w:hAnsi="Times New Roman"/>
          <w:i/>
          <w:iCs/>
          <w:sz w:val="24"/>
          <w:szCs w:val="24"/>
        </w:rPr>
        <w:t>Proceedings of the Survey Research Methods Section of the American Statistical Association</w:t>
      </w:r>
      <w:r w:rsidRPr="00E306F0">
        <w:rPr>
          <w:rFonts w:ascii="Times New Roman" w:hAnsi="Times New Roman"/>
          <w:sz w:val="24"/>
          <w:szCs w:val="24"/>
        </w:rPr>
        <w:t>.</w:t>
      </w:r>
      <w:proofErr w:type="gramEnd"/>
    </w:p>
    <w:p w:rsidR="005E72DC" w:rsidRPr="00E306F0" w:rsidRDefault="005E72DC" w:rsidP="00275AEE">
      <w:pPr>
        <w:spacing w:line="240" w:lineRule="auto"/>
        <w:ind w:left="720" w:hanging="720"/>
        <w:rPr>
          <w:rFonts w:ascii="Times New Roman" w:hAnsi="Times New Roman"/>
          <w:color w:val="222222"/>
          <w:sz w:val="24"/>
          <w:szCs w:val="24"/>
          <w:shd w:val="clear" w:color="auto" w:fill="FFFFFF"/>
        </w:rPr>
      </w:pPr>
      <w:proofErr w:type="spellStart"/>
      <w:proofErr w:type="gramStart"/>
      <w:r w:rsidRPr="00E306F0">
        <w:rPr>
          <w:rFonts w:ascii="Times New Roman" w:hAnsi="Times New Roman"/>
          <w:color w:val="222222"/>
          <w:sz w:val="24"/>
          <w:szCs w:val="24"/>
          <w:shd w:val="clear" w:color="auto" w:fill="FFFFFF"/>
        </w:rPr>
        <w:lastRenderedPageBreak/>
        <w:t>Jäckle</w:t>
      </w:r>
      <w:proofErr w:type="spellEnd"/>
      <w:r w:rsidRPr="00E306F0">
        <w:rPr>
          <w:rFonts w:ascii="Times New Roman" w:hAnsi="Times New Roman"/>
          <w:color w:val="222222"/>
          <w:sz w:val="24"/>
          <w:szCs w:val="24"/>
          <w:shd w:val="clear" w:color="auto" w:fill="FFFFFF"/>
        </w:rPr>
        <w:t>, A., &amp; Lynn, P. (2008).</w:t>
      </w:r>
      <w:proofErr w:type="gram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Offre</w:t>
      </w:r>
      <w:proofErr w:type="spellEnd"/>
      <w:r w:rsidRPr="00E306F0">
        <w:rPr>
          <w:rFonts w:ascii="Times New Roman" w:hAnsi="Times New Roman"/>
          <w:color w:val="222222"/>
          <w:sz w:val="24"/>
          <w:szCs w:val="24"/>
          <w:shd w:val="clear" w:color="auto" w:fill="FFFFFF"/>
        </w:rPr>
        <w:t xml:space="preserve"> de primes </w:t>
      </w:r>
      <w:proofErr w:type="spellStart"/>
      <w:r w:rsidRPr="00E306F0">
        <w:rPr>
          <w:rFonts w:ascii="Times New Roman" w:hAnsi="Times New Roman"/>
          <w:color w:val="222222"/>
          <w:sz w:val="24"/>
          <w:szCs w:val="24"/>
          <w:shd w:val="clear" w:color="auto" w:fill="FFFFFF"/>
        </w:rPr>
        <w:t>d’encouragement</w:t>
      </w:r>
      <w:proofErr w:type="spellEnd"/>
      <w:r w:rsidRPr="00E306F0">
        <w:rPr>
          <w:rFonts w:ascii="Times New Roman" w:hAnsi="Times New Roman"/>
          <w:color w:val="222222"/>
          <w:sz w:val="24"/>
          <w:szCs w:val="24"/>
          <w:shd w:val="clear" w:color="auto" w:fill="FFFFFF"/>
        </w:rPr>
        <w:t xml:space="preserve"> aux </w:t>
      </w:r>
      <w:proofErr w:type="spellStart"/>
      <w:r w:rsidRPr="00E306F0">
        <w:rPr>
          <w:rFonts w:ascii="Times New Roman" w:hAnsi="Times New Roman"/>
          <w:color w:val="222222"/>
          <w:sz w:val="24"/>
          <w:szCs w:val="24"/>
          <w:shd w:val="clear" w:color="auto" w:fill="FFFFFF"/>
        </w:rPr>
        <w:t>répondants</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dans</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une</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enquête</w:t>
      </w:r>
      <w:proofErr w:type="spellEnd"/>
      <w:r w:rsidRPr="00E306F0">
        <w:rPr>
          <w:rFonts w:ascii="Times New Roman" w:hAnsi="Times New Roman"/>
          <w:color w:val="222222"/>
          <w:sz w:val="24"/>
          <w:szCs w:val="24"/>
          <w:shd w:val="clear" w:color="auto" w:fill="FFFFFF"/>
        </w:rPr>
        <w:t xml:space="preserve"> par panel </w:t>
      </w:r>
      <w:proofErr w:type="spellStart"/>
      <w:r w:rsidRPr="00E306F0">
        <w:rPr>
          <w:rFonts w:ascii="Times New Roman" w:hAnsi="Times New Roman"/>
          <w:color w:val="222222"/>
          <w:sz w:val="24"/>
          <w:szCs w:val="24"/>
          <w:shd w:val="clear" w:color="auto" w:fill="FFFFFF"/>
        </w:rPr>
        <w:t>multimodes</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effets</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cumulatifs</w:t>
      </w:r>
      <w:proofErr w:type="spellEnd"/>
      <w:r w:rsidRPr="00E306F0">
        <w:rPr>
          <w:rFonts w:ascii="Times New Roman" w:hAnsi="Times New Roman"/>
          <w:color w:val="222222"/>
          <w:sz w:val="24"/>
          <w:szCs w:val="24"/>
          <w:shd w:val="clear" w:color="auto" w:fill="FFFFFF"/>
        </w:rPr>
        <w:t xml:space="preserve"> </w:t>
      </w:r>
      <w:proofErr w:type="spellStart"/>
      <w:r w:rsidRPr="00E306F0">
        <w:rPr>
          <w:rFonts w:ascii="Times New Roman" w:hAnsi="Times New Roman"/>
          <w:color w:val="222222"/>
          <w:sz w:val="24"/>
          <w:szCs w:val="24"/>
          <w:shd w:val="clear" w:color="auto" w:fill="FFFFFF"/>
        </w:rPr>
        <w:t>sur</w:t>
      </w:r>
      <w:proofErr w:type="spellEnd"/>
      <w:r w:rsidRPr="00E306F0">
        <w:rPr>
          <w:rFonts w:ascii="Times New Roman" w:hAnsi="Times New Roman"/>
          <w:color w:val="222222"/>
          <w:sz w:val="24"/>
          <w:szCs w:val="24"/>
          <w:shd w:val="clear" w:color="auto" w:fill="FFFFFF"/>
        </w:rPr>
        <w:t xml:space="preserve"> la non-</w:t>
      </w:r>
      <w:proofErr w:type="spellStart"/>
      <w:r w:rsidRPr="00E306F0">
        <w:rPr>
          <w:rFonts w:ascii="Times New Roman" w:hAnsi="Times New Roman"/>
          <w:color w:val="222222"/>
          <w:sz w:val="24"/>
          <w:szCs w:val="24"/>
          <w:shd w:val="clear" w:color="auto" w:fill="FFFFFF"/>
        </w:rPr>
        <w:t>réponse</w:t>
      </w:r>
      <w:proofErr w:type="spellEnd"/>
      <w:r w:rsidRPr="00E306F0">
        <w:rPr>
          <w:rFonts w:ascii="Times New Roman" w:hAnsi="Times New Roman"/>
          <w:color w:val="222222"/>
          <w:sz w:val="24"/>
          <w:szCs w:val="24"/>
          <w:shd w:val="clear" w:color="auto" w:fill="FFFFFF"/>
        </w:rPr>
        <w:t xml:space="preserve"> </w:t>
      </w:r>
      <w:proofErr w:type="gramStart"/>
      <w:r w:rsidRPr="00E306F0">
        <w:rPr>
          <w:rFonts w:ascii="Times New Roman" w:hAnsi="Times New Roman"/>
          <w:color w:val="222222"/>
          <w:sz w:val="24"/>
          <w:szCs w:val="24"/>
          <w:shd w:val="clear" w:color="auto" w:fill="FFFFFF"/>
        </w:rPr>
        <w:t>et</w:t>
      </w:r>
      <w:proofErr w:type="gramEnd"/>
      <w:r w:rsidRPr="00E306F0">
        <w:rPr>
          <w:rFonts w:ascii="Times New Roman" w:hAnsi="Times New Roman"/>
          <w:color w:val="222222"/>
          <w:sz w:val="24"/>
          <w:szCs w:val="24"/>
          <w:shd w:val="clear" w:color="auto" w:fill="FFFFFF"/>
        </w:rPr>
        <w:t xml:space="preserve"> le </w:t>
      </w:r>
      <w:proofErr w:type="spellStart"/>
      <w:r w:rsidRPr="00E306F0">
        <w:rPr>
          <w:rFonts w:ascii="Times New Roman" w:hAnsi="Times New Roman"/>
          <w:color w:val="222222"/>
          <w:sz w:val="24"/>
          <w:szCs w:val="24"/>
          <w:shd w:val="clear" w:color="auto" w:fill="FFFFFF"/>
        </w:rPr>
        <w:t>biais</w:t>
      </w:r>
      <w:proofErr w:type="spellEnd"/>
      <w:r w:rsidRPr="00E306F0">
        <w:rPr>
          <w:rFonts w:ascii="Times New Roman" w:hAnsi="Times New Roman"/>
          <w:color w:val="222222"/>
          <w:sz w:val="24"/>
          <w:szCs w:val="24"/>
          <w:shd w:val="clear" w:color="auto" w:fill="FFFFFF"/>
        </w:rPr>
        <w:t>.</w:t>
      </w:r>
      <w:r w:rsidRPr="00E306F0">
        <w:rPr>
          <w:rStyle w:val="apple-converted-space"/>
          <w:rFonts w:ascii="Times New Roman" w:hAnsi="Times New Roman"/>
          <w:color w:val="222222"/>
          <w:sz w:val="24"/>
          <w:szCs w:val="24"/>
          <w:shd w:val="clear" w:color="auto" w:fill="FFFFFF"/>
        </w:rPr>
        <w:t> </w:t>
      </w:r>
      <w:proofErr w:type="gramStart"/>
      <w:r w:rsidRPr="00E306F0">
        <w:rPr>
          <w:rFonts w:ascii="Times New Roman" w:hAnsi="Times New Roman"/>
          <w:i/>
          <w:iCs/>
          <w:color w:val="222222"/>
          <w:sz w:val="24"/>
          <w:szCs w:val="24"/>
          <w:shd w:val="clear" w:color="auto" w:fill="FFFFFF"/>
        </w:rPr>
        <w:t xml:space="preserve">Techniques </w:t>
      </w:r>
      <w:proofErr w:type="spellStart"/>
      <w:r w:rsidRPr="00E306F0">
        <w:rPr>
          <w:rFonts w:ascii="Times New Roman" w:hAnsi="Times New Roman"/>
          <w:i/>
          <w:iCs/>
          <w:color w:val="222222"/>
          <w:sz w:val="24"/>
          <w:szCs w:val="24"/>
          <w:shd w:val="clear" w:color="auto" w:fill="FFFFFF"/>
        </w:rPr>
        <w:t>d’enquête</w:t>
      </w:r>
      <w:proofErr w:type="spellEnd"/>
      <w:r w:rsidRPr="00E306F0">
        <w:rPr>
          <w:rFonts w:ascii="Times New Roman" w:hAnsi="Times New Roman"/>
          <w:color w:val="222222"/>
          <w:sz w:val="24"/>
          <w:szCs w:val="24"/>
          <w:shd w:val="clear" w:color="auto" w:fill="FFFFFF"/>
        </w:rPr>
        <w:t>,</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i/>
          <w:iCs/>
          <w:color w:val="222222"/>
          <w:sz w:val="24"/>
          <w:szCs w:val="24"/>
          <w:shd w:val="clear" w:color="auto" w:fill="FFFFFF"/>
        </w:rPr>
        <w:t>34</w:t>
      </w:r>
      <w:r w:rsidRPr="00E306F0">
        <w:rPr>
          <w:rFonts w:ascii="Times New Roman" w:hAnsi="Times New Roman"/>
          <w:color w:val="222222"/>
          <w:sz w:val="24"/>
          <w:szCs w:val="24"/>
          <w:shd w:val="clear" w:color="auto" w:fill="FFFFFF"/>
        </w:rPr>
        <w:t>(1), 115-130.</w:t>
      </w:r>
      <w:proofErr w:type="gramEnd"/>
    </w:p>
    <w:p w:rsidR="00941B73" w:rsidRPr="00E306F0" w:rsidRDefault="00941B73" w:rsidP="00275AEE">
      <w:pPr>
        <w:spacing w:line="240" w:lineRule="auto"/>
        <w:ind w:left="720" w:hanging="720"/>
        <w:rPr>
          <w:rFonts w:ascii="Times New Roman" w:hAnsi="Times New Roman"/>
          <w:color w:val="222222"/>
          <w:sz w:val="24"/>
          <w:szCs w:val="24"/>
          <w:shd w:val="clear" w:color="auto" w:fill="FFFFFF"/>
        </w:rPr>
      </w:pPr>
      <w:proofErr w:type="gramStart"/>
      <w:r w:rsidRPr="00E306F0">
        <w:rPr>
          <w:rFonts w:ascii="Times New Roman" w:hAnsi="Times New Roman"/>
          <w:sz w:val="24"/>
          <w:szCs w:val="24"/>
        </w:rPr>
        <w:t xml:space="preserve">Kearney, K.A., Hopkins, R.H., </w:t>
      </w:r>
      <w:proofErr w:type="spellStart"/>
      <w:r w:rsidRPr="00E306F0">
        <w:rPr>
          <w:rFonts w:ascii="Times New Roman" w:hAnsi="Times New Roman"/>
          <w:sz w:val="24"/>
          <w:szCs w:val="24"/>
        </w:rPr>
        <w:t>Mauss</w:t>
      </w:r>
      <w:proofErr w:type="spellEnd"/>
      <w:r w:rsidRPr="00E306F0">
        <w:rPr>
          <w:rFonts w:ascii="Times New Roman" w:hAnsi="Times New Roman"/>
          <w:sz w:val="24"/>
          <w:szCs w:val="24"/>
        </w:rPr>
        <w:t xml:space="preserve">, A.L., &amp; </w:t>
      </w:r>
      <w:proofErr w:type="spellStart"/>
      <w:r w:rsidRPr="00E306F0">
        <w:rPr>
          <w:rFonts w:ascii="Times New Roman" w:hAnsi="Times New Roman"/>
          <w:sz w:val="24"/>
          <w:szCs w:val="24"/>
        </w:rPr>
        <w:t>Weisheit</w:t>
      </w:r>
      <w:proofErr w:type="spellEnd"/>
      <w:r w:rsidRPr="00E306F0">
        <w:rPr>
          <w:rFonts w:ascii="Times New Roman" w:hAnsi="Times New Roman"/>
          <w:sz w:val="24"/>
          <w:szCs w:val="24"/>
        </w:rPr>
        <w:t>, R.A. (1983).</w:t>
      </w:r>
      <w:proofErr w:type="gramEnd"/>
      <w:r w:rsidRPr="00E306F0">
        <w:rPr>
          <w:rFonts w:ascii="Times New Roman" w:hAnsi="Times New Roman"/>
          <w:sz w:val="24"/>
          <w:szCs w:val="24"/>
        </w:rPr>
        <w:t xml:space="preserve"> Sample bias resulting from a requirement for written parental consent. </w:t>
      </w:r>
      <w:proofErr w:type="gramStart"/>
      <w:r w:rsidRPr="00E306F0">
        <w:rPr>
          <w:rFonts w:ascii="Times New Roman" w:hAnsi="Times New Roman"/>
          <w:i/>
          <w:sz w:val="24"/>
          <w:szCs w:val="24"/>
        </w:rPr>
        <w:t>Public Opinion Quarterly, 47</w:t>
      </w:r>
      <w:r w:rsidRPr="00E306F0">
        <w:rPr>
          <w:rFonts w:ascii="Times New Roman" w:hAnsi="Times New Roman"/>
          <w:sz w:val="24"/>
          <w:szCs w:val="24"/>
        </w:rPr>
        <w:t>, 96102.</w:t>
      </w:r>
      <w:proofErr w:type="gramEnd"/>
    </w:p>
    <w:p w:rsidR="00941B73" w:rsidRPr="00E306F0" w:rsidRDefault="00941B73" w:rsidP="00275AEE">
      <w:pPr>
        <w:spacing w:line="240" w:lineRule="auto"/>
        <w:ind w:left="720" w:hanging="720"/>
        <w:rPr>
          <w:rFonts w:ascii="Times New Roman" w:hAnsi="Times New Roman"/>
          <w:sz w:val="24"/>
          <w:szCs w:val="24"/>
        </w:rPr>
      </w:pPr>
      <w:proofErr w:type="gramStart"/>
      <w:r w:rsidRPr="00E306F0">
        <w:rPr>
          <w:rFonts w:ascii="Times New Roman" w:hAnsi="Times New Roman"/>
          <w:sz w:val="24"/>
          <w:szCs w:val="24"/>
        </w:rPr>
        <w:t>Lane, T.S., Armin, J., &amp; Gordon, J. S. (2015).</w:t>
      </w:r>
      <w:proofErr w:type="gramEnd"/>
      <w:r w:rsidRPr="00E306F0">
        <w:rPr>
          <w:rFonts w:ascii="Times New Roman" w:hAnsi="Times New Roman"/>
          <w:sz w:val="24"/>
          <w:szCs w:val="24"/>
        </w:rPr>
        <w:t xml:space="preserve"> Online recruitment methods for web-based and mobile health studies: A review of the literature. </w:t>
      </w:r>
      <w:proofErr w:type="gramStart"/>
      <w:r w:rsidRPr="00E306F0">
        <w:rPr>
          <w:rFonts w:ascii="Times New Roman" w:hAnsi="Times New Roman"/>
          <w:i/>
          <w:sz w:val="24"/>
          <w:szCs w:val="24"/>
        </w:rPr>
        <w:t>Journal of Medical Internet Research, 17</w:t>
      </w:r>
      <w:r w:rsidRPr="00E306F0">
        <w:rPr>
          <w:rFonts w:ascii="Times New Roman" w:hAnsi="Times New Roman"/>
          <w:sz w:val="24"/>
          <w:szCs w:val="24"/>
        </w:rPr>
        <w:t>(7), e183.</w:t>
      </w:r>
      <w:proofErr w:type="gramEnd"/>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r w:rsidRPr="00E306F0">
        <w:rPr>
          <w:rFonts w:ascii="Times New Roman" w:hAnsi="Times New Roman"/>
          <w:sz w:val="24"/>
          <w:szCs w:val="24"/>
        </w:rPr>
        <w:t xml:space="preserve">Levine, R.J. (1995) Adolescents as research subjects without permission of their parents or guardians: Ethical considerations. </w:t>
      </w:r>
      <w:r w:rsidRPr="00E306F0">
        <w:rPr>
          <w:rFonts w:ascii="Times New Roman" w:hAnsi="Times New Roman"/>
          <w:i/>
          <w:sz w:val="24"/>
          <w:szCs w:val="24"/>
        </w:rPr>
        <w:t>Journal of Adolescent Health, 17</w:t>
      </w:r>
      <w:r w:rsidRPr="00E306F0">
        <w:rPr>
          <w:rFonts w:ascii="Times New Roman" w:hAnsi="Times New Roman"/>
          <w:sz w:val="24"/>
          <w:szCs w:val="24"/>
        </w:rPr>
        <w:t xml:space="preserve">(5), 289-297.  </w:t>
      </w:r>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Messer, B. L., &amp; </w:t>
      </w:r>
      <w:proofErr w:type="spellStart"/>
      <w:r w:rsidRPr="00E306F0">
        <w:rPr>
          <w:rFonts w:ascii="Times New Roman" w:hAnsi="Times New Roman"/>
          <w:sz w:val="24"/>
          <w:szCs w:val="24"/>
        </w:rPr>
        <w:t>Dillman</w:t>
      </w:r>
      <w:proofErr w:type="spellEnd"/>
      <w:r w:rsidRPr="00E306F0">
        <w:rPr>
          <w:rFonts w:ascii="Times New Roman" w:hAnsi="Times New Roman"/>
          <w:sz w:val="24"/>
          <w:szCs w:val="24"/>
        </w:rPr>
        <w:t>, D. A. (2011).</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Surveying the general public over the internet using address-based sampling and mail contact procedures.</w:t>
      </w:r>
      <w:proofErr w:type="gramEnd"/>
      <w:r w:rsidRPr="00E306F0">
        <w:rPr>
          <w:rFonts w:ascii="Times New Roman" w:hAnsi="Times New Roman"/>
          <w:sz w:val="24"/>
          <w:szCs w:val="24"/>
        </w:rPr>
        <w:t xml:space="preserve"> </w:t>
      </w:r>
      <w:r w:rsidRPr="00E306F0">
        <w:rPr>
          <w:rFonts w:ascii="Times New Roman" w:hAnsi="Times New Roman"/>
          <w:i/>
          <w:iCs/>
          <w:sz w:val="24"/>
          <w:szCs w:val="24"/>
        </w:rPr>
        <w:t>Public Opinion Quarterly</w:t>
      </w:r>
      <w:r w:rsidRPr="00E306F0">
        <w:rPr>
          <w:rFonts w:ascii="Times New Roman" w:hAnsi="Times New Roman"/>
          <w:sz w:val="24"/>
          <w:szCs w:val="24"/>
        </w:rPr>
        <w:t xml:space="preserve">, </w:t>
      </w:r>
      <w:r w:rsidRPr="00E306F0">
        <w:rPr>
          <w:rFonts w:ascii="Times New Roman" w:hAnsi="Times New Roman"/>
          <w:i/>
          <w:iCs/>
          <w:sz w:val="24"/>
          <w:szCs w:val="24"/>
        </w:rPr>
        <w:t>75</w:t>
      </w:r>
      <w:r w:rsidRPr="00E306F0">
        <w:rPr>
          <w:rFonts w:ascii="Times New Roman" w:hAnsi="Times New Roman"/>
          <w:sz w:val="24"/>
          <w:szCs w:val="24"/>
        </w:rPr>
        <w:t>(3), 429-457.</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spellStart"/>
      <w:proofErr w:type="gramStart"/>
      <w:r w:rsidRPr="00E306F0">
        <w:rPr>
          <w:rFonts w:ascii="Times New Roman" w:hAnsi="Times New Roman"/>
          <w:sz w:val="24"/>
          <w:szCs w:val="24"/>
        </w:rPr>
        <w:t>Montaquila</w:t>
      </w:r>
      <w:proofErr w:type="spellEnd"/>
      <w:r w:rsidRPr="00E306F0">
        <w:rPr>
          <w:rFonts w:ascii="Times New Roman" w:hAnsi="Times New Roman"/>
          <w:sz w:val="24"/>
          <w:szCs w:val="24"/>
        </w:rPr>
        <w:t>, J. M., Brick, J. M., Williams, D., Kim, K., &amp; Han, D. (2013).</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A study of two-phase mail survey data collection methods.</w:t>
      </w:r>
      <w:proofErr w:type="gramEnd"/>
      <w:r w:rsidRPr="00E306F0">
        <w:rPr>
          <w:rFonts w:ascii="Times New Roman" w:hAnsi="Times New Roman"/>
          <w:sz w:val="24"/>
          <w:szCs w:val="24"/>
        </w:rPr>
        <w:t xml:space="preserve"> </w:t>
      </w:r>
      <w:r w:rsidRPr="00E306F0">
        <w:rPr>
          <w:rFonts w:ascii="Times New Roman" w:hAnsi="Times New Roman"/>
          <w:i/>
          <w:iCs/>
          <w:sz w:val="24"/>
          <w:szCs w:val="24"/>
        </w:rPr>
        <w:t>Journal of Survey Statistics and Methodology</w:t>
      </w:r>
      <w:r w:rsidRPr="00E306F0">
        <w:rPr>
          <w:rFonts w:ascii="Times New Roman" w:hAnsi="Times New Roman"/>
          <w:sz w:val="24"/>
          <w:szCs w:val="24"/>
        </w:rPr>
        <w:t xml:space="preserve">, </w:t>
      </w:r>
      <w:r w:rsidRPr="00E306F0">
        <w:rPr>
          <w:rFonts w:ascii="Times New Roman" w:hAnsi="Times New Roman"/>
          <w:i/>
          <w:iCs/>
          <w:sz w:val="24"/>
          <w:szCs w:val="24"/>
        </w:rPr>
        <w:t>1</w:t>
      </w:r>
      <w:r w:rsidRPr="00E306F0">
        <w:rPr>
          <w:rFonts w:ascii="Times New Roman" w:hAnsi="Times New Roman"/>
          <w:sz w:val="24"/>
          <w:szCs w:val="24"/>
        </w:rPr>
        <w:t>(1), 66-87.</w:t>
      </w:r>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Pew Research Center.</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 xml:space="preserve">(2015). </w:t>
      </w:r>
      <w:r w:rsidRPr="00E306F0">
        <w:rPr>
          <w:rFonts w:ascii="Times New Roman" w:hAnsi="Times New Roman"/>
          <w:i/>
          <w:sz w:val="24"/>
          <w:szCs w:val="24"/>
        </w:rPr>
        <w:t>Teens, Social Media &amp; Technology Overview 2015</w:t>
      </w:r>
      <w:r w:rsidRPr="00E306F0">
        <w:rPr>
          <w:rFonts w:ascii="Times New Roman" w:hAnsi="Times New Roman"/>
          <w:sz w:val="24"/>
          <w:szCs w:val="24"/>
        </w:rPr>
        <w:t>.</w:t>
      </w:r>
      <w:proofErr w:type="gramEnd"/>
      <w:r w:rsidRPr="00E306F0">
        <w:rPr>
          <w:rFonts w:ascii="Times New Roman" w:hAnsi="Times New Roman"/>
          <w:sz w:val="24"/>
          <w:szCs w:val="24"/>
        </w:rPr>
        <w:t xml:space="preserve"> Washington, DC: Pew Research Center.</w:t>
      </w:r>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spellStart"/>
      <w:proofErr w:type="gramStart"/>
      <w:r w:rsidRPr="00E306F0">
        <w:rPr>
          <w:rFonts w:ascii="Times New Roman" w:hAnsi="Times New Roman"/>
          <w:sz w:val="24"/>
          <w:szCs w:val="24"/>
        </w:rPr>
        <w:t>Pokorny</w:t>
      </w:r>
      <w:proofErr w:type="spellEnd"/>
      <w:r w:rsidRPr="00E306F0">
        <w:rPr>
          <w:rFonts w:ascii="Times New Roman" w:hAnsi="Times New Roman"/>
          <w:sz w:val="24"/>
          <w:szCs w:val="24"/>
        </w:rPr>
        <w:t xml:space="preserve">, S. B., Jason, L. A., </w:t>
      </w:r>
      <w:proofErr w:type="spellStart"/>
      <w:r w:rsidRPr="00E306F0">
        <w:rPr>
          <w:rFonts w:ascii="Times New Roman" w:hAnsi="Times New Roman"/>
          <w:sz w:val="24"/>
          <w:szCs w:val="24"/>
        </w:rPr>
        <w:t>Schoeny</w:t>
      </w:r>
      <w:proofErr w:type="spellEnd"/>
      <w:r w:rsidRPr="00E306F0">
        <w:rPr>
          <w:rFonts w:ascii="Times New Roman" w:hAnsi="Times New Roman"/>
          <w:sz w:val="24"/>
          <w:szCs w:val="24"/>
        </w:rPr>
        <w:t>, M. E., Townsend, S. M., &amp; Curie, C. J. (2001).</w:t>
      </w:r>
      <w:proofErr w:type="gramEnd"/>
      <w:r w:rsidRPr="00E306F0">
        <w:rPr>
          <w:rFonts w:ascii="Times New Roman" w:hAnsi="Times New Roman"/>
          <w:sz w:val="24"/>
          <w:szCs w:val="24"/>
        </w:rPr>
        <w:t xml:space="preserve"> Do participation rates change when active consent procedures replace passive </w:t>
      </w:r>
      <w:proofErr w:type="gramStart"/>
      <w:r w:rsidRPr="00E306F0">
        <w:rPr>
          <w:rFonts w:ascii="Times New Roman" w:hAnsi="Times New Roman"/>
          <w:sz w:val="24"/>
          <w:szCs w:val="24"/>
        </w:rPr>
        <w:t>consent.</w:t>
      </w:r>
      <w:proofErr w:type="gramEnd"/>
      <w:r w:rsidRPr="00E306F0">
        <w:rPr>
          <w:rFonts w:ascii="Times New Roman" w:hAnsi="Times New Roman"/>
          <w:sz w:val="24"/>
          <w:szCs w:val="24"/>
        </w:rPr>
        <w:t xml:space="preserve"> Evaluation Review, 25(5), 567-580. </w:t>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r w:rsidRPr="00E306F0">
        <w:rPr>
          <w:rFonts w:ascii="Times New Roman" w:hAnsi="Times New Roman"/>
          <w:sz w:val="24"/>
          <w:szCs w:val="24"/>
        </w:rPr>
        <w:t xml:space="preserve">Racial and Ethnic Approaches to Community Health </w:t>
      </w:r>
      <w:proofErr w:type="gramStart"/>
      <w:r w:rsidRPr="00E306F0">
        <w:rPr>
          <w:rFonts w:ascii="Times New Roman" w:hAnsi="Times New Roman"/>
          <w:sz w:val="24"/>
          <w:szCs w:val="24"/>
        </w:rPr>
        <w:t>Across</w:t>
      </w:r>
      <w:proofErr w:type="gramEnd"/>
      <w:r w:rsidRPr="00E306F0">
        <w:rPr>
          <w:rFonts w:ascii="Times New Roman" w:hAnsi="Times New Roman"/>
          <w:sz w:val="24"/>
          <w:szCs w:val="24"/>
        </w:rPr>
        <w:t xml:space="preserve"> the U.S. (REACH U.S.) </w:t>
      </w:r>
      <w:proofErr w:type="gramStart"/>
      <w:r w:rsidRPr="00E306F0">
        <w:rPr>
          <w:rFonts w:ascii="Times New Roman" w:hAnsi="Times New Roman"/>
          <w:sz w:val="24"/>
          <w:szCs w:val="24"/>
        </w:rPr>
        <w:t>Evaluation.</w:t>
      </w:r>
      <w:proofErr w:type="gramEnd"/>
      <w:r w:rsidRPr="00E306F0">
        <w:rPr>
          <w:rFonts w:ascii="Times New Roman" w:hAnsi="Times New Roman"/>
          <w:sz w:val="24"/>
          <w:szCs w:val="24"/>
        </w:rPr>
        <w:t xml:space="preserve"> OMB CONTROL NUMBER: 0920-0805 Report on Incentive Experiments </w:t>
      </w:r>
      <w:hyperlink r:id="rId17" w:history="1">
        <w:r w:rsidRPr="00E306F0">
          <w:rPr>
            <w:rFonts w:ascii="Times New Roman" w:hAnsi="Times New Roman"/>
            <w:sz w:val="24"/>
            <w:szCs w:val="24"/>
          </w:rPr>
          <w:t>www.reginfo.gov/public/do/DownloadDocument?objectID=30165501</w:t>
        </w:r>
      </w:hyperlink>
      <w:r w:rsidRPr="00E306F0">
        <w:rPr>
          <w:rFonts w:ascii="Times New Roman" w:hAnsi="Times New Roman"/>
          <w:sz w:val="24"/>
          <w:szCs w:val="24"/>
        </w:rPr>
        <w:t>.</w:t>
      </w:r>
      <w:r w:rsidRPr="00E306F0">
        <w:rPr>
          <w:rFonts w:ascii="Times New Roman" w:hAnsi="Times New Roman"/>
          <w:iCs/>
          <w:sz w:val="24"/>
          <w:szCs w:val="24"/>
        </w:rPr>
        <w:t xml:space="preserve"> </w:t>
      </w:r>
      <w:proofErr w:type="gramStart"/>
      <w:r w:rsidRPr="00E306F0">
        <w:rPr>
          <w:rFonts w:ascii="Times New Roman" w:hAnsi="Times New Roman"/>
          <w:sz w:val="24"/>
          <w:szCs w:val="24"/>
        </w:rPr>
        <w:t>Accessed on February 1, 2016.</w:t>
      </w:r>
      <w:proofErr w:type="gramEnd"/>
      <w:r w:rsidRPr="00E306F0">
        <w:rPr>
          <w:rFonts w:ascii="Times New Roman" w:hAnsi="Times New Roman"/>
          <w:iCs/>
          <w:sz w:val="24"/>
          <w:szCs w:val="24"/>
        </w:rPr>
        <w:t xml:space="preserve"> </w:t>
      </w:r>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Severson, H.H., &amp; </w:t>
      </w:r>
      <w:proofErr w:type="spellStart"/>
      <w:r w:rsidRPr="00E306F0">
        <w:rPr>
          <w:rFonts w:ascii="Times New Roman" w:hAnsi="Times New Roman"/>
          <w:sz w:val="24"/>
          <w:szCs w:val="24"/>
        </w:rPr>
        <w:t>Ary</w:t>
      </w:r>
      <w:proofErr w:type="spellEnd"/>
      <w:r w:rsidRPr="00E306F0">
        <w:rPr>
          <w:rFonts w:ascii="Times New Roman" w:hAnsi="Times New Roman"/>
          <w:sz w:val="24"/>
          <w:szCs w:val="24"/>
        </w:rPr>
        <w:t>, D.V. (1983).</w:t>
      </w:r>
      <w:proofErr w:type="gramEnd"/>
      <w:r w:rsidRPr="00E306F0">
        <w:rPr>
          <w:rFonts w:ascii="Times New Roman" w:hAnsi="Times New Roman"/>
          <w:sz w:val="24"/>
          <w:szCs w:val="24"/>
        </w:rPr>
        <w:t xml:space="preserve"> </w:t>
      </w:r>
      <w:proofErr w:type="gramStart"/>
      <w:r w:rsidRPr="00E306F0">
        <w:rPr>
          <w:rFonts w:ascii="Times New Roman" w:hAnsi="Times New Roman"/>
          <w:sz w:val="24"/>
          <w:szCs w:val="24"/>
        </w:rPr>
        <w:t>Sampling bias due to consent procedures with adolescents.</w:t>
      </w:r>
      <w:proofErr w:type="gramEnd"/>
      <w:r w:rsidRPr="00E306F0">
        <w:rPr>
          <w:rFonts w:ascii="Times New Roman" w:hAnsi="Times New Roman"/>
          <w:sz w:val="24"/>
          <w:szCs w:val="24"/>
        </w:rPr>
        <w:t xml:space="preserve"> </w:t>
      </w:r>
      <w:r w:rsidRPr="00E306F0">
        <w:rPr>
          <w:rFonts w:ascii="Times New Roman" w:hAnsi="Times New Roman"/>
          <w:i/>
          <w:sz w:val="24"/>
          <w:szCs w:val="24"/>
        </w:rPr>
        <w:t>Addictive Behaviors, 8</w:t>
      </w:r>
      <w:r w:rsidRPr="00E306F0">
        <w:rPr>
          <w:rFonts w:ascii="Times New Roman" w:hAnsi="Times New Roman"/>
          <w:sz w:val="24"/>
          <w:szCs w:val="24"/>
        </w:rPr>
        <w:t>(4), 433–437.</w:t>
      </w:r>
    </w:p>
    <w:p w:rsidR="005E72DC" w:rsidRPr="00E306F0" w:rsidRDefault="005E72DC" w:rsidP="00275AEE">
      <w:pPr>
        <w:spacing w:line="240" w:lineRule="auto"/>
        <w:ind w:left="720" w:hanging="720"/>
        <w:rPr>
          <w:rFonts w:ascii="Times New Roman" w:hAnsi="Times New Roman"/>
          <w:color w:val="222222"/>
          <w:sz w:val="24"/>
          <w:szCs w:val="24"/>
          <w:shd w:val="clear" w:color="auto" w:fill="FFFFFF"/>
        </w:rPr>
      </w:pPr>
      <w:r w:rsidRPr="00E306F0">
        <w:rPr>
          <w:rFonts w:ascii="Times New Roman" w:hAnsi="Times New Roman"/>
          <w:color w:val="222222"/>
          <w:sz w:val="24"/>
          <w:szCs w:val="24"/>
          <w:shd w:val="clear" w:color="auto" w:fill="FFFFFF"/>
        </w:rPr>
        <w:t xml:space="preserve">Singer, E. (2002). </w:t>
      </w:r>
      <w:proofErr w:type="gramStart"/>
      <w:r w:rsidRPr="00E306F0">
        <w:rPr>
          <w:rFonts w:ascii="Times New Roman" w:hAnsi="Times New Roman"/>
          <w:color w:val="222222"/>
          <w:sz w:val="24"/>
          <w:szCs w:val="24"/>
          <w:shd w:val="clear" w:color="auto" w:fill="FFFFFF"/>
        </w:rPr>
        <w:t>The use of incentives to reduce nonresponse in household surveys.</w:t>
      </w:r>
      <w:proofErr w:type="gramEnd"/>
      <w:r w:rsidRPr="00E306F0">
        <w:rPr>
          <w:rStyle w:val="apple-converted-space"/>
          <w:rFonts w:ascii="Times New Roman" w:hAnsi="Times New Roman"/>
          <w:color w:val="222222"/>
          <w:sz w:val="24"/>
          <w:szCs w:val="24"/>
          <w:shd w:val="clear" w:color="auto" w:fill="FFFFFF"/>
        </w:rPr>
        <w:t> </w:t>
      </w:r>
      <w:proofErr w:type="gramStart"/>
      <w:r w:rsidRPr="00E306F0">
        <w:rPr>
          <w:rFonts w:ascii="Times New Roman" w:hAnsi="Times New Roman"/>
          <w:i/>
          <w:iCs/>
          <w:color w:val="222222"/>
          <w:sz w:val="24"/>
          <w:szCs w:val="24"/>
          <w:shd w:val="clear" w:color="auto" w:fill="FFFFFF"/>
        </w:rPr>
        <w:t>Survey nonresponse</w:t>
      </w:r>
      <w:r w:rsidRPr="00E306F0">
        <w:rPr>
          <w:rFonts w:ascii="Times New Roman" w:hAnsi="Times New Roman"/>
          <w:color w:val="222222"/>
          <w:sz w:val="24"/>
          <w:szCs w:val="24"/>
          <w:shd w:val="clear" w:color="auto" w:fill="FFFFFF"/>
        </w:rPr>
        <w:t>,</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i/>
          <w:iCs/>
          <w:color w:val="222222"/>
          <w:sz w:val="24"/>
          <w:szCs w:val="24"/>
          <w:shd w:val="clear" w:color="auto" w:fill="FFFFFF"/>
        </w:rPr>
        <w:t>51</w:t>
      </w:r>
      <w:r w:rsidRPr="00E306F0">
        <w:rPr>
          <w:rFonts w:ascii="Times New Roman" w:hAnsi="Times New Roman"/>
          <w:color w:val="222222"/>
          <w:sz w:val="24"/>
          <w:szCs w:val="24"/>
          <w:shd w:val="clear" w:color="auto" w:fill="FFFFFF"/>
        </w:rPr>
        <w:t>, 163-177.</w:t>
      </w:r>
      <w:proofErr w:type="gramEnd"/>
    </w:p>
    <w:p w:rsidR="005E72DC" w:rsidRPr="00E306F0" w:rsidRDefault="005E72DC" w:rsidP="00275AEE">
      <w:pPr>
        <w:spacing w:line="240" w:lineRule="auto"/>
        <w:ind w:left="720" w:hanging="720"/>
        <w:rPr>
          <w:rFonts w:ascii="Times New Roman" w:hAnsi="Times New Roman"/>
          <w:color w:val="222222"/>
          <w:sz w:val="24"/>
          <w:szCs w:val="24"/>
          <w:shd w:val="clear" w:color="auto" w:fill="FFFFFF"/>
        </w:rPr>
      </w:pPr>
      <w:proofErr w:type="spellStart"/>
      <w:proofErr w:type="gramStart"/>
      <w:r w:rsidRPr="00E306F0">
        <w:rPr>
          <w:rFonts w:ascii="Times New Roman" w:hAnsi="Times New Roman"/>
          <w:color w:val="222222"/>
          <w:sz w:val="24"/>
          <w:szCs w:val="24"/>
          <w:shd w:val="clear" w:color="auto" w:fill="FFFFFF"/>
        </w:rPr>
        <w:t>Shettle</w:t>
      </w:r>
      <w:proofErr w:type="spellEnd"/>
      <w:r w:rsidRPr="00E306F0">
        <w:rPr>
          <w:rFonts w:ascii="Times New Roman" w:hAnsi="Times New Roman"/>
          <w:color w:val="222222"/>
          <w:sz w:val="24"/>
          <w:szCs w:val="24"/>
          <w:shd w:val="clear" w:color="auto" w:fill="FFFFFF"/>
        </w:rPr>
        <w:t>, C., &amp; Mooney, G. (1999).</w:t>
      </w:r>
      <w:proofErr w:type="gramEnd"/>
      <w:r w:rsidRPr="00E306F0">
        <w:rPr>
          <w:rFonts w:ascii="Times New Roman" w:hAnsi="Times New Roman"/>
          <w:color w:val="222222"/>
          <w:sz w:val="24"/>
          <w:szCs w:val="24"/>
          <w:shd w:val="clear" w:color="auto" w:fill="FFFFFF"/>
        </w:rPr>
        <w:t xml:space="preserve"> </w:t>
      </w:r>
      <w:proofErr w:type="gramStart"/>
      <w:r w:rsidRPr="00E306F0">
        <w:rPr>
          <w:rFonts w:ascii="Times New Roman" w:hAnsi="Times New Roman"/>
          <w:color w:val="222222"/>
          <w:sz w:val="24"/>
          <w:szCs w:val="24"/>
          <w:shd w:val="clear" w:color="auto" w:fill="FFFFFF"/>
        </w:rPr>
        <w:t>Monetary incentives in US government surveys.</w:t>
      </w:r>
      <w:proofErr w:type="gramEnd"/>
      <w:r w:rsidRPr="00E306F0">
        <w:rPr>
          <w:rStyle w:val="apple-converted-space"/>
          <w:rFonts w:ascii="Times New Roman" w:hAnsi="Times New Roman"/>
          <w:color w:val="222222"/>
          <w:sz w:val="24"/>
          <w:szCs w:val="24"/>
          <w:shd w:val="clear" w:color="auto" w:fill="FFFFFF"/>
        </w:rPr>
        <w:t> </w:t>
      </w:r>
      <w:proofErr w:type="gramStart"/>
      <w:r w:rsidRPr="00E306F0">
        <w:rPr>
          <w:rFonts w:ascii="Times New Roman" w:hAnsi="Times New Roman"/>
          <w:i/>
          <w:iCs/>
          <w:color w:val="222222"/>
          <w:sz w:val="24"/>
          <w:szCs w:val="24"/>
          <w:shd w:val="clear" w:color="auto" w:fill="FFFFFF"/>
        </w:rPr>
        <w:t>Journal of Official Statistics</w:t>
      </w:r>
      <w:r w:rsidRPr="00E306F0">
        <w:rPr>
          <w:rFonts w:ascii="Times New Roman" w:hAnsi="Times New Roman"/>
          <w:color w:val="222222"/>
          <w:sz w:val="24"/>
          <w:szCs w:val="24"/>
          <w:shd w:val="clear" w:color="auto" w:fill="FFFFFF"/>
        </w:rPr>
        <w:t>,</w:t>
      </w:r>
      <w:r w:rsidRPr="00E306F0">
        <w:rPr>
          <w:rStyle w:val="apple-converted-space"/>
          <w:rFonts w:ascii="Times New Roman" w:hAnsi="Times New Roman"/>
          <w:color w:val="222222"/>
          <w:sz w:val="24"/>
          <w:szCs w:val="24"/>
          <w:shd w:val="clear" w:color="auto" w:fill="FFFFFF"/>
        </w:rPr>
        <w:t> </w:t>
      </w:r>
      <w:r w:rsidRPr="00E306F0">
        <w:rPr>
          <w:rFonts w:ascii="Times New Roman" w:hAnsi="Times New Roman"/>
          <w:i/>
          <w:iCs/>
          <w:color w:val="222222"/>
          <w:sz w:val="24"/>
          <w:szCs w:val="24"/>
          <w:shd w:val="clear" w:color="auto" w:fill="FFFFFF"/>
        </w:rPr>
        <w:t>15</w:t>
      </w:r>
      <w:r w:rsidRPr="00E306F0">
        <w:rPr>
          <w:rFonts w:ascii="Times New Roman" w:hAnsi="Times New Roman"/>
          <w:color w:val="222222"/>
          <w:sz w:val="24"/>
          <w:szCs w:val="24"/>
          <w:shd w:val="clear" w:color="auto" w:fill="FFFFFF"/>
        </w:rPr>
        <w:t>(2), 231.</w:t>
      </w:r>
      <w:proofErr w:type="gramEnd"/>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i/>
          <w:iCs/>
          <w:sz w:val="24"/>
          <w:szCs w:val="24"/>
        </w:rPr>
      </w:pPr>
      <w:proofErr w:type="gramStart"/>
      <w:r w:rsidRPr="00E306F0">
        <w:rPr>
          <w:rFonts w:ascii="Times New Roman" w:hAnsi="Times New Roman"/>
          <w:sz w:val="24"/>
          <w:szCs w:val="24"/>
        </w:rPr>
        <w:t xml:space="preserve">Stevenson, J., </w:t>
      </w:r>
      <w:proofErr w:type="spellStart"/>
      <w:r w:rsidRPr="00E306F0">
        <w:rPr>
          <w:rFonts w:ascii="Times New Roman" w:hAnsi="Times New Roman"/>
          <w:sz w:val="24"/>
          <w:szCs w:val="24"/>
        </w:rPr>
        <w:t>Dykema</w:t>
      </w:r>
      <w:proofErr w:type="spellEnd"/>
      <w:r w:rsidRPr="00E306F0">
        <w:rPr>
          <w:rFonts w:ascii="Times New Roman" w:hAnsi="Times New Roman"/>
          <w:sz w:val="24"/>
          <w:szCs w:val="24"/>
        </w:rPr>
        <w:t xml:space="preserve">, J., </w:t>
      </w:r>
      <w:proofErr w:type="spellStart"/>
      <w:r w:rsidRPr="00E306F0">
        <w:rPr>
          <w:rFonts w:ascii="Times New Roman" w:hAnsi="Times New Roman"/>
          <w:sz w:val="24"/>
          <w:szCs w:val="24"/>
        </w:rPr>
        <w:t>Kniss</w:t>
      </w:r>
      <w:proofErr w:type="spellEnd"/>
      <w:r w:rsidRPr="00E306F0">
        <w:rPr>
          <w:rFonts w:ascii="Times New Roman" w:hAnsi="Times New Roman"/>
          <w:sz w:val="24"/>
          <w:szCs w:val="24"/>
        </w:rPr>
        <w:t xml:space="preserve">, C., Black, P., &amp; </w:t>
      </w:r>
      <w:proofErr w:type="spellStart"/>
      <w:r w:rsidRPr="00E306F0">
        <w:rPr>
          <w:rFonts w:ascii="Times New Roman" w:hAnsi="Times New Roman"/>
          <w:sz w:val="24"/>
          <w:szCs w:val="24"/>
        </w:rPr>
        <w:t>Moberg</w:t>
      </w:r>
      <w:proofErr w:type="spellEnd"/>
      <w:r w:rsidRPr="00E306F0">
        <w:rPr>
          <w:rFonts w:ascii="Times New Roman" w:hAnsi="Times New Roman"/>
          <w:sz w:val="24"/>
          <w:szCs w:val="24"/>
        </w:rPr>
        <w:t>, D. P. (2011).</w:t>
      </w:r>
      <w:proofErr w:type="gramEnd"/>
      <w:r w:rsidRPr="00E306F0">
        <w:rPr>
          <w:rFonts w:ascii="Times New Roman" w:hAnsi="Times New Roman"/>
          <w:sz w:val="24"/>
          <w:szCs w:val="24"/>
        </w:rPr>
        <w:t xml:space="preserve"> Effects of mode and incentives on response rates, costs and response quality in a mixed mode survey of alcohol use among young adults. </w:t>
      </w:r>
      <w:proofErr w:type="gramStart"/>
      <w:r w:rsidRPr="00E306F0">
        <w:rPr>
          <w:rFonts w:ascii="Times New Roman" w:hAnsi="Times New Roman"/>
          <w:sz w:val="24"/>
          <w:szCs w:val="24"/>
        </w:rPr>
        <w:t xml:space="preserve">In </w:t>
      </w:r>
      <w:r w:rsidRPr="00E306F0">
        <w:rPr>
          <w:rFonts w:ascii="Times New Roman" w:hAnsi="Times New Roman"/>
          <w:i/>
          <w:iCs/>
          <w:sz w:val="24"/>
          <w:szCs w:val="24"/>
        </w:rPr>
        <w:t>annual meeting of the American Association for Public Opinion Research, May, Phoenix, AZ.</w:t>
      </w:r>
      <w:proofErr w:type="gramEnd"/>
    </w:p>
    <w:p w:rsidR="00D83669" w:rsidRDefault="00D83669">
      <w:pPr>
        <w:spacing w:after="0" w:line="240" w:lineRule="auto"/>
        <w:rPr>
          <w:rFonts w:ascii="Times New Roman" w:hAnsi="Times New Roman"/>
          <w:sz w:val="24"/>
          <w:szCs w:val="24"/>
        </w:rPr>
      </w:pPr>
      <w:r>
        <w:rPr>
          <w:rFonts w:ascii="Times New Roman" w:hAnsi="Times New Roman"/>
          <w:sz w:val="24"/>
          <w:szCs w:val="24"/>
        </w:rPr>
        <w:br w:type="page"/>
      </w:r>
    </w:p>
    <w:p w:rsidR="00FF653D" w:rsidRPr="00E306F0" w:rsidRDefault="00FF653D"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lastRenderedPageBreak/>
        <w:t xml:space="preserve">Ulrich, C.M., </w:t>
      </w:r>
      <w:proofErr w:type="spellStart"/>
      <w:r w:rsidRPr="00E306F0">
        <w:rPr>
          <w:rFonts w:ascii="Times New Roman" w:hAnsi="Times New Roman"/>
          <w:sz w:val="24"/>
          <w:szCs w:val="24"/>
        </w:rPr>
        <w:t>Danis</w:t>
      </w:r>
      <w:proofErr w:type="spellEnd"/>
      <w:r w:rsidRPr="00E306F0">
        <w:rPr>
          <w:rFonts w:ascii="Times New Roman" w:hAnsi="Times New Roman"/>
          <w:sz w:val="24"/>
          <w:szCs w:val="24"/>
        </w:rPr>
        <w:t xml:space="preserve">, M., </w:t>
      </w:r>
      <w:proofErr w:type="spellStart"/>
      <w:r w:rsidRPr="00E306F0">
        <w:rPr>
          <w:rFonts w:ascii="Times New Roman" w:hAnsi="Times New Roman"/>
          <w:sz w:val="24"/>
          <w:szCs w:val="24"/>
        </w:rPr>
        <w:t>Koziol</w:t>
      </w:r>
      <w:proofErr w:type="spellEnd"/>
      <w:r w:rsidRPr="00E306F0">
        <w:rPr>
          <w:rFonts w:ascii="Times New Roman" w:hAnsi="Times New Roman"/>
          <w:sz w:val="24"/>
          <w:szCs w:val="24"/>
        </w:rPr>
        <w:t>, D., Garrett-Mayer, E., Hubbard, R., &amp; Grady, C. (2005).</w:t>
      </w:r>
      <w:proofErr w:type="gramEnd"/>
      <w:r w:rsidRPr="00E306F0">
        <w:rPr>
          <w:rFonts w:ascii="Times New Roman" w:hAnsi="Times New Roman"/>
          <w:sz w:val="24"/>
          <w:szCs w:val="24"/>
        </w:rPr>
        <w:t xml:space="preserve"> Does it pay to pay? </w:t>
      </w:r>
      <w:proofErr w:type="gramStart"/>
      <w:r w:rsidRPr="00E306F0">
        <w:rPr>
          <w:rFonts w:ascii="Times New Roman" w:hAnsi="Times New Roman"/>
          <w:sz w:val="24"/>
          <w:szCs w:val="24"/>
        </w:rPr>
        <w:t xml:space="preserve">A randomized trial of prepaid financial incentives and lottery incentives in surveys of </w:t>
      </w:r>
      <w:proofErr w:type="spellStart"/>
      <w:r w:rsidRPr="00E306F0">
        <w:rPr>
          <w:rFonts w:ascii="Times New Roman" w:hAnsi="Times New Roman"/>
          <w:sz w:val="24"/>
          <w:szCs w:val="24"/>
        </w:rPr>
        <w:t>nonphysician</w:t>
      </w:r>
      <w:proofErr w:type="spellEnd"/>
      <w:r w:rsidRPr="00E306F0">
        <w:rPr>
          <w:rFonts w:ascii="Times New Roman" w:hAnsi="Times New Roman"/>
          <w:sz w:val="24"/>
          <w:szCs w:val="24"/>
        </w:rPr>
        <w:t xml:space="preserve"> healthcare professionals.</w:t>
      </w:r>
      <w:proofErr w:type="gramEnd"/>
      <w:r w:rsidRPr="00E306F0">
        <w:rPr>
          <w:rFonts w:ascii="Times New Roman" w:hAnsi="Times New Roman"/>
          <w:sz w:val="24"/>
          <w:szCs w:val="24"/>
        </w:rPr>
        <w:t xml:space="preserve"> </w:t>
      </w:r>
      <w:proofErr w:type="gramStart"/>
      <w:r w:rsidRPr="00E306F0">
        <w:rPr>
          <w:rFonts w:ascii="Times New Roman" w:hAnsi="Times New Roman"/>
          <w:i/>
          <w:sz w:val="24"/>
          <w:szCs w:val="24"/>
        </w:rPr>
        <w:t>Nursing Research, 54</w:t>
      </w:r>
      <w:r w:rsidRPr="00E306F0">
        <w:rPr>
          <w:rFonts w:ascii="Times New Roman" w:hAnsi="Times New Roman"/>
          <w:sz w:val="24"/>
          <w:szCs w:val="24"/>
        </w:rPr>
        <w:t>(3), 178-183.</w:t>
      </w:r>
      <w:proofErr w:type="gramEnd"/>
    </w:p>
    <w:p w:rsidR="00941B73" w:rsidRPr="00E306F0" w:rsidRDefault="00941B73" w:rsidP="00275AEE">
      <w:pPr>
        <w:widowControl w:val="0"/>
        <w:autoSpaceDE w:val="0"/>
        <w:autoSpaceDN w:val="0"/>
        <w:adjustRightInd w:val="0"/>
        <w:spacing w:after="240" w:line="240" w:lineRule="auto"/>
        <w:ind w:left="720" w:hanging="720"/>
        <w:rPr>
          <w:rFonts w:ascii="Times New Roman" w:hAnsi="Times New Roman"/>
          <w:sz w:val="24"/>
          <w:szCs w:val="24"/>
        </w:rPr>
      </w:pPr>
      <w:proofErr w:type="gramStart"/>
      <w:r w:rsidRPr="00E306F0">
        <w:rPr>
          <w:rFonts w:ascii="Times New Roman" w:hAnsi="Times New Roman"/>
          <w:sz w:val="24"/>
          <w:szCs w:val="24"/>
        </w:rPr>
        <w:t xml:space="preserve">Unger, J.B., Gallaher, P., Palmer, P.H., </w:t>
      </w:r>
      <w:proofErr w:type="spellStart"/>
      <w:r w:rsidRPr="00E306F0">
        <w:rPr>
          <w:rFonts w:ascii="Times New Roman" w:hAnsi="Times New Roman"/>
          <w:sz w:val="24"/>
          <w:szCs w:val="24"/>
        </w:rPr>
        <w:t>Baezconde-Garbanati</w:t>
      </w:r>
      <w:proofErr w:type="spellEnd"/>
      <w:r w:rsidRPr="00E306F0">
        <w:rPr>
          <w:rFonts w:ascii="Times New Roman" w:hAnsi="Times New Roman"/>
          <w:sz w:val="24"/>
          <w:szCs w:val="24"/>
        </w:rPr>
        <w:t>, L., Trinidad, T.R., Cen, S., &amp; Johnson, C.A. (2004).</w:t>
      </w:r>
      <w:proofErr w:type="gramEnd"/>
      <w:r w:rsidRPr="00E306F0">
        <w:rPr>
          <w:rFonts w:ascii="Times New Roman" w:hAnsi="Times New Roman"/>
          <w:sz w:val="24"/>
          <w:szCs w:val="24"/>
        </w:rPr>
        <w:t xml:space="preserve"> No news is bad news: Characteristics of adolescents who provide neither parental consent nor refusal for participation in school-based survey research. </w:t>
      </w:r>
      <w:r w:rsidRPr="00E306F0">
        <w:rPr>
          <w:rFonts w:ascii="Times New Roman" w:hAnsi="Times New Roman"/>
          <w:i/>
          <w:iCs/>
          <w:sz w:val="24"/>
          <w:szCs w:val="24"/>
        </w:rPr>
        <w:t>Evaluation Review</w:t>
      </w:r>
      <w:r w:rsidRPr="00E306F0">
        <w:rPr>
          <w:rFonts w:ascii="Times New Roman" w:hAnsi="Times New Roman"/>
          <w:i/>
          <w:sz w:val="24"/>
          <w:szCs w:val="24"/>
        </w:rPr>
        <w:t xml:space="preserve">, </w:t>
      </w:r>
      <w:r w:rsidRPr="00E306F0">
        <w:rPr>
          <w:rFonts w:ascii="Times New Roman" w:hAnsi="Times New Roman"/>
          <w:i/>
          <w:iCs/>
          <w:sz w:val="24"/>
          <w:szCs w:val="24"/>
        </w:rPr>
        <w:t>28</w:t>
      </w:r>
      <w:r w:rsidRPr="00E306F0">
        <w:rPr>
          <w:rFonts w:ascii="Times New Roman" w:hAnsi="Times New Roman"/>
          <w:sz w:val="24"/>
          <w:szCs w:val="24"/>
        </w:rPr>
        <w:t xml:space="preserve">(1), 52-63. </w:t>
      </w:r>
    </w:p>
    <w:p w:rsidR="00FF653D" w:rsidRPr="00E306F0" w:rsidRDefault="00FF653D" w:rsidP="00275AEE">
      <w:pPr>
        <w:spacing w:after="240" w:line="240" w:lineRule="auto"/>
        <w:ind w:left="720" w:hanging="720"/>
        <w:jc w:val="both"/>
        <w:rPr>
          <w:rFonts w:ascii="Times New Roman" w:hAnsi="Times New Roman"/>
          <w:i/>
          <w:sz w:val="24"/>
          <w:szCs w:val="24"/>
        </w:rPr>
      </w:pPr>
      <w:proofErr w:type="spellStart"/>
      <w:proofErr w:type="gramStart"/>
      <w:r w:rsidRPr="00E306F0">
        <w:rPr>
          <w:rFonts w:ascii="Times New Roman" w:hAnsi="Times New Roman"/>
          <w:sz w:val="24"/>
          <w:szCs w:val="24"/>
        </w:rPr>
        <w:t>Warriner</w:t>
      </w:r>
      <w:proofErr w:type="spellEnd"/>
      <w:r w:rsidRPr="00E306F0">
        <w:rPr>
          <w:rFonts w:ascii="Times New Roman" w:hAnsi="Times New Roman"/>
          <w:sz w:val="24"/>
          <w:szCs w:val="24"/>
        </w:rPr>
        <w:t xml:space="preserve">, Keith, John </w:t>
      </w:r>
      <w:proofErr w:type="spellStart"/>
      <w:r w:rsidRPr="00E306F0">
        <w:rPr>
          <w:rFonts w:ascii="Times New Roman" w:hAnsi="Times New Roman"/>
          <w:sz w:val="24"/>
          <w:szCs w:val="24"/>
        </w:rPr>
        <w:t>Goyder</w:t>
      </w:r>
      <w:proofErr w:type="spellEnd"/>
      <w:r w:rsidRPr="00E306F0">
        <w:rPr>
          <w:rFonts w:ascii="Times New Roman" w:hAnsi="Times New Roman"/>
          <w:sz w:val="24"/>
          <w:szCs w:val="24"/>
        </w:rPr>
        <w:t xml:space="preserve">, Heidi </w:t>
      </w:r>
      <w:proofErr w:type="spellStart"/>
      <w:r w:rsidRPr="00E306F0">
        <w:rPr>
          <w:rFonts w:ascii="Times New Roman" w:hAnsi="Times New Roman"/>
          <w:sz w:val="24"/>
          <w:szCs w:val="24"/>
        </w:rPr>
        <w:t>Gjertsen</w:t>
      </w:r>
      <w:proofErr w:type="spellEnd"/>
      <w:r w:rsidRPr="00E306F0">
        <w:rPr>
          <w:rFonts w:ascii="Times New Roman" w:hAnsi="Times New Roman"/>
          <w:sz w:val="24"/>
          <w:szCs w:val="24"/>
        </w:rPr>
        <w:t xml:space="preserve">, Paula </w:t>
      </w:r>
      <w:proofErr w:type="spellStart"/>
      <w:r w:rsidRPr="00E306F0">
        <w:rPr>
          <w:rFonts w:ascii="Times New Roman" w:hAnsi="Times New Roman"/>
          <w:sz w:val="24"/>
          <w:szCs w:val="24"/>
        </w:rPr>
        <w:t>Hohner</w:t>
      </w:r>
      <w:proofErr w:type="spellEnd"/>
      <w:r w:rsidRPr="00E306F0">
        <w:rPr>
          <w:rFonts w:ascii="Times New Roman" w:hAnsi="Times New Roman"/>
          <w:sz w:val="24"/>
          <w:szCs w:val="24"/>
        </w:rPr>
        <w:t xml:space="preserve">, and Kathleen </w:t>
      </w:r>
      <w:proofErr w:type="spellStart"/>
      <w:r w:rsidRPr="00E306F0">
        <w:rPr>
          <w:rFonts w:ascii="Times New Roman" w:hAnsi="Times New Roman"/>
          <w:sz w:val="24"/>
          <w:szCs w:val="24"/>
        </w:rPr>
        <w:t>McSpurren</w:t>
      </w:r>
      <w:proofErr w:type="spellEnd"/>
      <w:r w:rsidRPr="00E306F0">
        <w:rPr>
          <w:rFonts w:ascii="Times New Roman" w:hAnsi="Times New Roman"/>
          <w:sz w:val="24"/>
          <w:szCs w:val="24"/>
        </w:rPr>
        <w:t>.</w:t>
      </w:r>
      <w:proofErr w:type="gramEnd"/>
      <w:r w:rsidRPr="00E306F0">
        <w:rPr>
          <w:rFonts w:ascii="Times New Roman" w:hAnsi="Times New Roman"/>
          <w:sz w:val="24"/>
          <w:szCs w:val="24"/>
        </w:rPr>
        <w:t xml:space="preserve"> 1996. “Charities, No, Lotteries, No, Cash, Yes: Main Effects and Interactions in a Canadian </w:t>
      </w:r>
      <w:r w:rsidRPr="00E306F0">
        <w:rPr>
          <w:rFonts w:ascii="Times New Roman" w:hAnsi="Times New Roman"/>
          <w:bCs/>
          <w:sz w:val="24"/>
          <w:szCs w:val="24"/>
        </w:rPr>
        <w:t>Incentives</w:t>
      </w:r>
      <w:r w:rsidRPr="00E306F0">
        <w:rPr>
          <w:rFonts w:ascii="Times New Roman" w:hAnsi="Times New Roman"/>
          <w:sz w:val="24"/>
          <w:szCs w:val="24"/>
        </w:rPr>
        <w:t xml:space="preserve"> Experiment.” </w:t>
      </w:r>
      <w:r w:rsidRPr="00E306F0">
        <w:rPr>
          <w:rFonts w:ascii="Times New Roman" w:hAnsi="Times New Roman"/>
          <w:i/>
          <w:sz w:val="24"/>
          <w:szCs w:val="24"/>
        </w:rPr>
        <w:t xml:space="preserve">Paper presented at the Survey Non-Response Session of the Fourth International Social Science Methodology Conference, University of Essex, </w:t>
      </w:r>
      <w:proofErr w:type="gramStart"/>
      <w:r w:rsidRPr="00E306F0">
        <w:rPr>
          <w:rFonts w:ascii="Times New Roman" w:hAnsi="Times New Roman"/>
          <w:i/>
          <w:sz w:val="24"/>
          <w:szCs w:val="24"/>
        </w:rPr>
        <w:t>Institute</w:t>
      </w:r>
      <w:proofErr w:type="gramEnd"/>
      <w:r w:rsidRPr="00E306F0">
        <w:rPr>
          <w:rFonts w:ascii="Times New Roman" w:hAnsi="Times New Roman"/>
          <w:i/>
          <w:sz w:val="24"/>
          <w:szCs w:val="24"/>
        </w:rPr>
        <w:t xml:space="preserve"> for the Social Sciences, Colchester, UK.</w:t>
      </w:r>
    </w:p>
    <w:p w:rsidR="000158E9" w:rsidRPr="00E306F0" w:rsidRDefault="000158E9">
      <w:pPr>
        <w:rPr>
          <w:rFonts w:ascii="Times New Roman" w:hAnsi="Times New Roman"/>
          <w:sz w:val="24"/>
          <w:szCs w:val="24"/>
        </w:rPr>
      </w:pPr>
    </w:p>
    <w:sectPr w:rsidR="000158E9" w:rsidRPr="00E306F0" w:rsidSect="009D5752">
      <w:footerReference w:type="even" r:id="rId18"/>
      <w:footerReference w:type="default" r:id="rId19"/>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2A" w:rsidRDefault="00F0252A">
      <w:pPr>
        <w:spacing w:after="0" w:line="240" w:lineRule="auto"/>
      </w:pPr>
      <w:r>
        <w:separator/>
      </w:r>
    </w:p>
  </w:endnote>
  <w:endnote w:type="continuationSeparator" w:id="0">
    <w:p w:rsidR="00F0252A" w:rsidRDefault="00F02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C58" w:rsidRDefault="00311C58" w:rsidP="00E805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11C58" w:rsidRDefault="00311C58">
    <w:pPr>
      <w:pStyle w:val="Footer"/>
    </w:pPr>
  </w:p>
  <w:p w:rsidR="00311C58" w:rsidRDefault="00311C58" w:rsidP="00E805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007577"/>
      <w:docPartObj>
        <w:docPartGallery w:val="Page Numbers (Bottom of Page)"/>
        <w:docPartUnique/>
      </w:docPartObj>
    </w:sdtPr>
    <w:sdtEndPr/>
    <w:sdtContent>
      <w:sdt>
        <w:sdtPr>
          <w:id w:val="-1669238322"/>
          <w:docPartObj>
            <w:docPartGallery w:val="Page Numbers (Top of Page)"/>
            <w:docPartUnique/>
          </w:docPartObj>
        </w:sdtPr>
        <w:sdtEndPr/>
        <w:sdtContent>
          <w:p w:rsidR="009D5752" w:rsidRDefault="009D5752">
            <w:pPr>
              <w:pStyle w:val="Footer"/>
              <w:jc w:val="center"/>
            </w:pPr>
            <w:r w:rsidRPr="009D5752">
              <w:rPr>
                <w:sz w:val="20"/>
                <w:szCs w:val="20"/>
              </w:rPr>
              <w:t xml:space="preserve">Page </w:t>
            </w:r>
            <w:r w:rsidRPr="009D5752">
              <w:rPr>
                <w:b/>
                <w:bCs/>
                <w:sz w:val="20"/>
                <w:szCs w:val="20"/>
              </w:rPr>
              <w:fldChar w:fldCharType="begin"/>
            </w:r>
            <w:r w:rsidRPr="009D5752">
              <w:rPr>
                <w:b/>
                <w:bCs/>
                <w:sz w:val="20"/>
                <w:szCs w:val="20"/>
              </w:rPr>
              <w:instrText xml:space="preserve"> PAGE </w:instrText>
            </w:r>
            <w:r w:rsidRPr="009D5752">
              <w:rPr>
                <w:b/>
                <w:bCs/>
                <w:sz w:val="20"/>
                <w:szCs w:val="20"/>
              </w:rPr>
              <w:fldChar w:fldCharType="separate"/>
            </w:r>
            <w:r w:rsidR="00193201">
              <w:rPr>
                <w:b/>
                <w:bCs/>
                <w:noProof/>
                <w:sz w:val="20"/>
                <w:szCs w:val="20"/>
              </w:rPr>
              <w:t>1</w:t>
            </w:r>
            <w:r w:rsidRPr="009D5752">
              <w:rPr>
                <w:b/>
                <w:bCs/>
                <w:sz w:val="20"/>
                <w:szCs w:val="20"/>
              </w:rPr>
              <w:fldChar w:fldCharType="end"/>
            </w:r>
            <w:r w:rsidRPr="009D5752">
              <w:rPr>
                <w:sz w:val="20"/>
                <w:szCs w:val="20"/>
              </w:rPr>
              <w:t xml:space="preserve"> of </w:t>
            </w:r>
            <w:r w:rsidRPr="009D5752">
              <w:rPr>
                <w:b/>
                <w:bCs/>
                <w:sz w:val="20"/>
                <w:szCs w:val="20"/>
              </w:rPr>
              <w:fldChar w:fldCharType="begin"/>
            </w:r>
            <w:r w:rsidRPr="009D5752">
              <w:rPr>
                <w:b/>
                <w:bCs/>
                <w:sz w:val="20"/>
                <w:szCs w:val="20"/>
              </w:rPr>
              <w:instrText xml:space="preserve"> NUMPAGES  </w:instrText>
            </w:r>
            <w:r w:rsidRPr="009D5752">
              <w:rPr>
                <w:b/>
                <w:bCs/>
                <w:sz w:val="20"/>
                <w:szCs w:val="20"/>
              </w:rPr>
              <w:fldChar w:fldCharType="separate"/>
            </w:r>
            <w:r w:rsidR="00193201">
              <w:rPr>
                <w:b/>
                <w:bCs/>
                <w:noProof/>
                <w:sz w:val="20"/>
                <w:szCs w:val="20"/>
              </w:rPr>
              <w:t>11</w:t>
            </w:r>
            <w:r w:rsidRPr="009D5752">
              <w:rPr>
                <w:b/>
                <w:bCs/>
                <w:sz w:val="20"/>
                <w:szCs w:val="20"/>
              </w:rPr>
              <w:fldChar w:fldCharType="end"/>
            </w:r>
          </w:p>
        </w:sdtContent>
      </w:sdt>
    </w:sdtContent>
  </w:sdt>
  <w:p w:rsidR="00311C58" w:rsidRDefault="00311C58" w:rsidP="00E805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2A" w:rsidRDefault="00F0252A">
      <w:pPr>
        <w:spacing w:after="0" w:line="240" w:lineRule="auto"/>
      </w:pPr>
      <w:r>
        <w:separator/>
      </w:r>
    </w:p>
  </w:footnote>
  <w:footnote w:type="continuationSeparator" w:id="0">
    <w:p w:rsidR="00F0252A" w:rsidRDefault="00F02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1C0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435097"/>
    <w:multiLevelType w:val="hybridMultilevel"/>
    <w:tmpl w:val="6FBCEF50"/>
    <w:lvl w:ilvl="0" w:tplc="8E4EDA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42748"/>
    <w:multiLevelType w:val="hybridMultilevel"/>
    <w:tmpl w:val="78B8C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2E4934"/>
    <w:multiLevelType w:val="hybridMultilevel"/>
    <w:tmpl w:val="405EB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31AB2EEE"/>
    <w:multiLevelType w:val="hybridMultilevel"/>
    <w:tmpl w:val="57167380"/>
    <w:lvl w:ilvl="0" w:tplc="A2E0F8BA">
      <w:numFmt w:val="bullet"/>
      <w:lvlText w:val="•"/>
      <w:lvlJc w:val="left"/>
      <w:pPr>
        <w:ind w:left="1440" w:firstLine="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0288E"/>
    <w:multiLevelType w:val="hybridMultilevel"/>
    <w:tmpl w:val="174402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7D85EA5"/>
    <w:multiLevelType w:val="hybridMultilevel"/>
    <w:tmpl w:val="5232DE46"/>
    <w:lvl w:ilvl="0" w:tplc="8E4EDADA">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A97385B"/>
    <w:multiLevelType w:val="multilevel"/>
    <w:tmpl w:val="B60ECB3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A16463"/>
    <w:multiLevelType w:val="hybridMultilevel"/>
    <w:tmpl w:val="C9CC0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261022"/>
    <w:multiLevelType w:val="hybridMultilevel"/>
    <w:tmpl w:val="C3BEE1E4"/>
    <w:lvl w:ilvl="0" w:tplc="A2E0F8BA">
      <w:numFmt w:val="bullet"/>
      <w:lvlText w:val="•"/>
      <w:lvlJc w:val="left"/>
      <w:pPr>
        <w:ind w:left="720" w:firstLine="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FB9068C"/>
    <w:multiLevelType w:val="hybridMultilevel"/>
    <w:tmpl w:val="BB8C8D4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62DA0B12"/>
    <w:multiLevelType w:val="hybridMultilevel"/>
    <w:tmpl w:val="C3A4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4C10E29"/>
    <w:multiLevelType w:val="hybridMultilevel"/>
    <w:tmpl w:val="CA965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7B677E3"/>
    <w:multiLevelType w:val="hybridMultilevel"/>
    <w:tmpl w:val="477AA7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8E573B"/>
    <w:multiLevelType w:val="hybridMultilevel"/>
    <w:tmpl w:val="8F88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AB37A7"/>
    <w:multiLevelType w:val="hybridMultilevel"/>
    <w:tmpl w:val="94389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635108"/>
    <w:multiLevelType w:val="hybridMultilevel"/>
    <w:tmpl w:val="DCFAE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2"/>
  </w:num>
  <w:num w:numId="5">
    <w:abstractNumId w:val="11"/>
  </w:num>
  <w:num w:numId="6">
    <w:abstractNumId w:val="5"/>
  </w:num>
  <w:num w:numId="7">
    <w:abstractNumId w:val="7"/>
  </w:num>
  <w:num w:numId="8">
    <w:abstractNumId w:val="14"/>
  </w:num>
  <w:num w:numId="9">
    <w:abstractNumId w:val="4"/>
  </w:num>
  <w:num w:numId="10">
    <w:abstractNumId w:val="3"/>
  </w:num>
  <w:num w:numId="11">
    <w:abstractNumId w:val="12"/>
  </w:num>
  <w:num w:numId="12">
    <w:abstractNumId w:val="1"/>
  </w:num>
  <w:num w:numId="13">
    <w:abstractNumId w:val="8"/>
  </w:num>
  <w:num w:numId="14">
    <w:abstractNumId w:val="16"/>
  </w:num>
  <w:num w:numId="15">
    <w:abstractNumId w:val="18"/>
  </w:num>
  <w:num w:numId="16">
    <w:abstractNumId w:val="10"/>
  </w:num>
  <w:num w:numId="17">
    <w:abstractNumId w:val="13"/>
  </w:num>
  <w:num w:numId="18">
    <w:abstractNumId w:val="17"/>
  </w:num>
  <w:num w:numId="19">
    <w:abstractNumId w:val="4"/>
  </w:num>
  <w:num w:numId="20">
    <w:abstractNumId w:val="14"/>
  </w:num>
  <w:num w:numId="21">
    <w:abstractNumId w:val="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CB7"/>
    <w:rsid w:val="00001A0F"/>
    <w:rsid w:val="00004C99"/>
    <w:rsid w:val="000107E9"/>
    <w:rsid w:val="0001548B"/>
    <w:rsid w:val="000158E9"/>
    <w:rsid w:val="00016C9C"/>
    <w:rsid w:val="00052D82"/>
    <w:rsid w:val="00055199"/>
    <w:rsid w:val="0006071D"/>
    <w:rsid w:val="00072997"/>
    <w:rsid w:val="000779F0"/>
    <w:rsid w:val="000A19E9"/>
    <w:rsid w:val="000A6309"/>
    <w:rsid w:val="000C11B7"/>
    <w:rsid w:val="000C52EE"/>
    <w:rsid w:val="000D0963"/>
    <w:rsid w:val="000D42CA"/>
    <w:rsid w:val="00107209"/>
    <w:rsid w:val="0011163C"/>
    <w:rsid w:val="00115465"/>
    <w:rsid w:val="00120E99"/>
    <w:rsid w:val="00127712"/>
    <w:rsid w:val="00133100"/>
    <w:rsid w:val="00144724"/>
    <w:rsid w:val="00147560"/>
    <w:rsid w:val="00151A5F"/>
    <w:rsid w:val="00153B7E"/>
    <w:rsid w:val="00156EA0"/>
    <w:rsid w:val="001571C5"/>
    <w:rsid w:val="00163887"/>
    <w:rsid w:val="00193201"/>
    <w:rsid w:val="001B1A2C"/>
    <w:rsid w:val="001C0296"/>
    <w:rsid w:val="001D20C4"/>
    <w:rsid w:val="001D5837"/>
    <w:rsid w:val="001D62E4"/>
    <w:rsid w:val="001F59BC"/>
    <w:rsid w:val="00210289"/>
    <w:rsid w:val="00263A8A"/>
    <w:rsid w:val="00275AEE"/>
    <w:rsid w:val="00290F27"/>
    <w:rsid w:val="002B414D"/>
    <w:rsid w:val="002B7184"/>
    <w:rsid w:val="002D041A"/>
    <w:rsid w:val="002D07FE"/>
    <w:rsid w:val="002D664F"/>
    <w:rsid w:val="002E054D"/>
    <w:rsid w:val="002F44B7"/>
    <w:rsid w:val="00304DF0"/>
    <w:rsid w:val="00311C58"/>
    <w:rsid w:val="003126F4"/>
    <w:rsid w:val="00322666"/>
    <w:rsid w:val="00332207"/>
    <w:rsid w:val="003507FC"/>
    <w:rsid w:val="003925A6"/>
    <w:rsid w:val="003A4C1E"/>
    <w:rsid w:val="003B5B58"/>
    <w:rsid w:val="003B70ED"/>
    <w:rsid w:val="003B7FF4"/>
    <w:rsid w:val="003C01C4"/>
    <w:rsid w:val="003F04F4"/>
    <w:rsid w:val="003F0F41"/>
    <w:rsid w:val="0040343D"/>
    <w:rsid w:val="00404E14"/>
    <w:rsid w:val="00447CB7"/>
    <w:rsid w:val="004624AB"/>
    <w:rsid w:val="004A70F4"/>
    <w:rsid w:val="004B4371"/>
    <w:rsid w:val="004C5D32"/>
    <w:rsid w:val="004F2309"/>
    <w:rsid w:val="005039F3"/>
    <w:rsid w:val="00507AC0"/>
    <w:rsid w:val="005135BF"/>
    <w:rsid w:val="005146A9"/>
    <w:rsid w:val="00527D2F"/>
    <w:rsid w:val="0053320C"/>
    <w:rsid w:val="00545382"/>
    <w:rsid w:val="00571844"/>
    <w:rsid w:val="00575919"/>
    <w:rsid w:val="005763D2"/>
    <w:rsid w:val="005775ED"/>
    <w:rsid w:val="00585ADD"/>
    <w:rsid w:val="005916F6"/>
    <w:rsid w:val="00592A22"/>
    <w:rsid w:val="005A0D4A"/>
    <w:rsid w:val="005A40EF"/>
    <w:rsid w:val="005B28FE"/>
    <w:rsid w:val="005C6D78"/>
    <w:rsid w:val="005E3D7F"/>
    <w:rsid w:val="005E4E69"/>
    <w:rsid w:val="005E72DC"/>
    <w:rsid w:val="006242C7"/>
    <w:rsid w:val="00637DBE"/>
    <w:rsid w:val="00642978"/>
    <w:rsid w:val="0065664F"/>
    <w:rsid w:val="0067311F"/>
    <w:rsid w:val="00676387"/>
    <w:rsid w:val="00680901"/>
    <w:rsid w:val="00691575"/>
    <w:rsid w:val="006B3A0C"/>
    <w:rsid w:val="006C2D29"/>
    <w:rsid w:val="006F700F"/>
    <w:rsid w:val="00726167"/>
    <w:rsid w:val="00743F59"/>
    <w:rsid w:val="00747E3C"/>
    <w:rsid w:val="00761D50"/>
    <w:rsid w:val="00784B84"/>
    <w:rsid w:val="00795053"/>
    <w:rsid w:val="00797260"/>
    <w:rsid w:val="00797F6C"/>
    <w:rsid w:val="007A4435"/>
    <w:rsid w:val="007F03EE"/>
    <w:rsid w:val="00830F0A"/>
    <w:rsid w:val="00832059"/>
    <w:rsid w:val="00837048"/>
    <w:rsid w:val="00847CBF"/>
    <w:rsid w:val="00856358"/>
    <w:rsid w:val="00861046"/>
    <w:rsid w:val="00865A60"/>
    <w:rsid w:val="008A422B"/>
    <w:rsid w:val="008B6864"/>
    <w:rsid w:val="008E59CF"/>
    <w:rsid w:val="008F2A03"/>
    <w:rsid w:val="008F585B"/>
    <w:rsid w:val="009264B9"/>
    <w:rsid w:val="00941B73"/>
    <w:rsid w:val="0094333B"/>
    <w:rsid w:val="00954498"/>
    <w:rsid w:val="009934B5"/>
    <w:rsid w:val="009A1C10"/>
    <w:rsid w:val="009D5752"/>
    <w:rsid w:val="009E159B"/>
    <w:rsid w:val="009E17B3"/>
    <w:rsid w:val="009F142A"/>
    <w:rsid w:val="009F69AB"/>
    <w:rsid w:val="00A06891"/>
    <w:rsid w:val="00A074EC"/>
    <w:rsid w:val="00A12AAA"/>
    <w:rsid w:val="00A8080E"/>
    <w:rsid w:val="00A9580C"/>
    <w:rsid w:val="00AA6DDC"/>
    <w:rsid w:val="00AB39C0"/>
    <w:rsid w:val="00AB5649"/>
    <w:rsid w:val="00AD36A7"/>
    <w:rsid w:val="00AD5EB5"/>
    <w:rsid w:val="00AD64AC"/>
    <w:rsid w:val="00AE00C0"/>
    <w:rsid w:val="00B0353E"/>
    <w:rsid w:val="00B16E99"/>
    <w:rsid w:val="00B245E1"/>
    <w:rsid w:val="00B3500A"/>
    <w:rsid w:val="00B45E67"/>
    <w:rsid w:val="00B559F7"/>
    <w:rsid w:val="00B75085"/>
    <w:rsid w:val="00BA0C7D"/>
    <w:rsid w:val="00BA7052"/>
    <w:rsid w:val="00BB30BE"/>
    <w:rsid w:val="00BC4417"/>
    <w:rsid w:val="00BC78AA"/>
    <w:rsid w:val="00BC7D49"/>
    <w:rsid w:val="00BF0018"/>
    <w:rsid w:val="00BF071E"/>
    <w:rsid w:val="00C06BAE"/>
    <w:rsid w:val="00C171A1"/>
    <w:rsid w:val="00C300CC"/>
    <w:rsid w:val="00C30C3D"/>
    <w:rsid w:val="00C81F55"/>
    <w:rsid w:val="00C8253C"/>
    <w:rsid w:val="00C83B26"/>
    <w:rsid w:val="00C910B7"/>
    <w:rsid w:val="00C9529E"/>
    <w:rsid w:val="00CA2D24"/>
    <w:rsid w:val="00CB137F"/>
    <w:rsid w:val="00CB6B6C"/>
    <w:rsid w:val="00CC0F95"/>
    <w:rsid w:val="00CE26A4"/>
    <w:rsid w:val="00CE5B5E"/>
    <w:rsid w:val="00D2384E"/>
    <w:rsid w:val="00D23DBA"/>
    <w:rsid w:val="00D34B81"/>
    <w:rsid w:val="00D36547"/>
    <w:rsid w:val="00D409E0"/>
    <w:rsid w:val="00D4193D"/>
    <w:rsid w:val="00D478F8"/>
    <w:rsid w:val="00D503F7"/>
    <w:rsid w:val="00D526A0"/>
    <w:rsid w:val="00D53653"/>
    <w:rsid w:val="00D62C57"/>
    <w:rsid w:val="00D83669"/>
    <w:rsid w:val="00DA595B"/>
    <w:rsid w:val="00DA7886"/>
    <w:rsid w:val="00DB4F51"/>
    <w:rsid w:val="00DB523B"/>
    <w:rsid w:val="00DD6FFB"/>
    <w:rsid w:val="00E04D26"/>
    <w:rsid w:val="00E2467D"/>
    <w:rsid w:val="00E306F0"/>
    <w:rsid w:val="00E3519D"/>
    <w:rsid w:val="00E47774"/>
    <w:rsid w:val="00E53035"/>
    <w:rsid w:val="00E5675C"/>
    <w:rsid w:val="00E66978"/>
    <w:rsid w:val="00E66AC0"/>
    <w:rsid w:val="00E776CE"/>
    <w:rsid w:val="00E8050D"/>
    <w:rsid w:val="00E83866"/>
    <w:rsid w:val="00E965A6"/>
    <w:rsid w:val="00EA5DC1"/>
    <w:rsid w:val="00EB1A09"/>
    <w:rsid w:val="00EC11AB"/>
    <w:rsid w:val="00ED733A"/>
    <w:rsid w:val="00F0252A"/>
    <w:rsid w:val="00F05E09"/>
    <w:rsid w:val="00F22EA2"/>
    <w:rsid w:val="00F24031"/>
    <w:rsid w:val="00F437F6"/>
    <w:rsid w:val="00F51F50"/>
    <w:rsid w:val="00F70D5A"/>
    <w:rsid w:val="00F740E5"/>
    <w:rsid w:val="00F85CDC"/>
    <w:rsid w:val="00F873E4"/>
    <w:rsid w:val="00F90B8D"/>
    <w:rsid w:val="00FB4FF6"/>
    <w:rsid w:val="00FC0284"/>
    <w:rsid w:val="00FC22B2"/>
    <w:rsid w:val="00FC2BAC"/>
    <w:rsid w:val="00FE35B2"/>
    <w:rsid w:val="00FF21E3"/>
    <w:rsid w:val="00FF2311"/>
    <w:rsid w:val="00FF65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unhideWhenUsed/>
    <w:rsid w:val="00FC0284"/>
    <w:rPr>
      <w:sz w:val="16"/>
      <w:szCs w:val="16"/>
    </w:rPr>
  </w:style>
  <w:style w:type="paragraph" w:styleId="CommentText">
    <w:name w:val="annotation text"/>
    <w:basedOn w:val="Normal"/>
    <w:link w:val="CommentTextChar"/>
    <w:uiPriority w:val="99"/>
    <w:unhideWhenUsed/>
    <w:rsid w:val="00FC0284"/>
    <w:rPr>
      <w:sz w:val="20"/>
      <w:szCs w:val="20"/>
    </w:rPr>
  </w:style>
  <w:style w:type="character" w:customStyle="1" w:styleId="CommentTextChar">
    <w:name w:val="Comment Text Char"/>
    <w:basedOn w:val="DefaultParagraphFont"/>
    <w:link w:val="CommentText"/>
    <w:uiPriority w:val="99"/>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character" w:styleId="Hyperlink">
    <w:name w:val="Hyperlink"/>
    <w:uiPriority w:val="99"/>
    <w:unhideWhenUsed/>
    <w:rsid w:val="00B45E67"/>
    <w:rPr>
      <w:color w:val="0563C1"/>
      <w:u w:val="single"/>
    </w:rPr>
  </w:style>
  <w:style w:type="character" w:customStyle="1" w:styleId="value">
    <w:name w:val="value"/>
    <w:rsid w:val="0067311F"/>
  </w:style>
  <w:style w:type="table" w:styleId="TableGrid">
    <w:name w:val="Table Grid"/>
    <w:basedOn w:val="TableNormal"/>
    <w:rsid w:val="00F90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90B8D"/>
    <w:pPr>
      <w:spacing w:after="0" w:line="240" w:lineRule="auto"/>
      <w:ind w:left="720"/>
      <w:contextualSpacing/>
    </w:pPr>
    <w:rPr>
      <w:rFonts w:ascii="Times New Roman" w:hAnsi="Times New Roman" w:cs="Arial"/>
      <w:sz w:val="24"/>
    </w:rPr>
  </w:style>
  <w:style w:type="character" w:customStyle="1" w:styleId="apple-converted-space">
    <w:name w:val="apple-converted-space"/>
    <w:rsid w:val="005E72DC"/>
  </w:style>
  <w:style w:type="paragraph" w:styleId="ListParagraph">
    <w:name w:val="List Paragraph"/>
    <w:basedOn w:val="Normal"/>
    <w:uiPriority w:val="34"/>
    <w:qFormat/>
    <w:rsid w:val="00545382"/>
    <w:pPr>
      <w:spacing w:after="0" w:line="240" w:lineRule="auto"/>
      <w:ind w:left="720"/>
      <w:contextualSpacing/>
    </w:pPr>
    <w:rPr>
      <w:rFonts w:ascii="Times New Roman" w:hAnsi="Times New Roman" w:cs="Arial"/>
      <w:sz w:val="24"/>
    </w:rPr>
  </w:style>
  <w:style w:type="character" w:customStyle="1" w:styleId="bodytextpsgChar">
    <w:name w:val="body text_psg Char"/>
    <w:link w:val="bodytextpsg"/>
    <w:locked/>
    <w:rsid w:val="00D83669"/>
    <w:rPr>
      <w:rFonts w:ascii="Times New Roman" w:eastAsia="Times New Roman" w:hAnsi="Times New Roman"/>
      <w:sz w:val="22"/>
    </w:rPr>
  </w:style>
  <w:style w:type="paragraph" w:customStyle="1" w:styleId="bodytextpsg">
    <w:name w:val="body text_psg"/>
    <w:basedOn w:val="Normal"/>
    <w:link w:val="bodytextpsgChar"/>
    <w:rsid w:val="00D83669"/>
    <w:pPr>
      <w:spacing w:before="120" w:after="120" w:line="240" w:lineRule="auto"/>
      <w:ind w:firstLine="720"/>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7CB7"/>
    <w:pPr>
      <w:tabs>
        <w:tab w:val="center" w:pos="4680"/>
        <w:tab w:val="right" w:pos="9360"/>
      </w:tabs>
    </w:pPr>
  </w:style>
  <w:style w:type="character" w:customStyle="1" w:styleId="FooterChar">
    <w:name w:val="Footer Char"/>
    <w:link w:val="Footer"/>
    <w:uiPriority w:val="99"/>
    <w:rsid w:val="00447CB7"/>
    <w:rPr>
      <w:sz w:val="22"/>
      <w:szCs w:val="22"/>
    </w:rPr>
  </w:style>
  <w:style w:type="paragraph" w:styleId="Header">
    <w:name w:val="header"/>
    <w:basedOn w:val="Normal"/>
    <w:link w:val="HeaderChar"/>
    <w:uiPriority w:val="99"/>
    <w:unhideWhenUsed/>
    <w:rsid w:val="00447CB7"/>
    <w:pPr>
      <w:tabs>
        <w:tab w:val="center" w:pos="4680"/>
        <w:tab w:val="right" w:pos="9360"/>
      </w:tabs>
    </w:pPr>
  </w:style>
  <w:style w:type="character" w:customStyle="1" w:styleId="HeaderChar">
    <w:name w:val="Header Char"/>
    <w:link w:val="Header"/>
    <w:uiPriority w:val="99"/>
    <w:rsid w:val="00447CB7"/>
    <w:rPr>
      <w:sz w:val="22"/>
      <w:szCs w:val="22"/>
    </w:rPr>
  </w:style>
  <w:style w:type="character" w:styleId="PageNumber">
    <w:name w:val="page number"/>
    <w:rsid w:val="00447CB7"/>
  </w:style>
  <w:style w:type="paragraph" w:styleId="BalloonText">
    <w:name w:val="Balloon Text"/>
    <w:basedOn w:val="Normal"/>
    <w:link w:val="BalloonTextChar"/>
    <w:uiPriority w:val="99"/>
    <w:semiHidden/>
    <w:unhideWhenUsed/>
    <w:rsid w:val="007261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6167"/>
    <w:rPr>
      <w:rFonts w:ascii="Tahoma" w:hAnsi="Tahoma" w:cs="Tahoma"/>
      <w:sz w:val="16"/>
      <w:szCs w:val="16"/>
    </w:rPr>
  </w:style>
  <w:style w:type="character" w:styleId="CommentReference">
    <w:name w:val="annotation reference"/>
    <w:uiPriority w:val="99"/>
    <w:unhideWhenUsed/>
    <w:rsid w:val="00FC0284"/>
    <w:rPr>
      <w:sz w:val="16"/>
      <w:szCs w:val="16"/>
    </w:rPr>
  </w:style>
  <w:style w:type="paragraph" w:styleId="CommentText">
    <w:name w:val="annotation text"/>
    <w:basedOn w:val="Normal"/>
    <w:link w:val="CommentTextChar"/>
    <w:uiPriority w:val="99"/>
    <w:unhideWhenUsed/>
    <w:rsid w:val="00FC0284"/>
    <w:rPr>
      <w:sz w:val="20"/>
      <w:szCs w:val="20"/>
    </w:rPr>
  </w:style>
  <w:style w:type="character" w:customStyle="1" w:styleId="CommentTextChar">
    <w:name w:val="Comment Text Char"/>
    <w:basedOn w:val="DefaultParagraphFont"/>
    <w:link w:val="CommentText"/>
    <w:uiPriority w:val="99"/>
    <w:rsid w:val="00FC0284"/>
  </w:style>
  <w:style w:type="paragraph" w:styleId="CommentSubject">
    <w:name w:val="annotation subject"/>
    <w:basedOn w:val="CommentText"/>
    <w:next w:val="CommentText"/>
    <w:link w:val="CommentSubjectChar"/>
    <w:uiPriority w:val="99"/>
    <w:semiHidden/>
    <w:unhideWhenUsed/>
    <w:rsid w:val="00FC0284"/>
    <w:rPr>
      <w:b/>
      <w:bCs/>
    </w:rPr>
  </w:style>
  <w:style w:type="character" w:customStyle="1" w:styleId="CommentSubjectChar">
    <w:name w:val="Comment Subject Char"/>
    <w:link w:val="CommentSubject"/>
    <w:uiPriority w:val="99"/>
    <w:semiHidden/>
    <w:rsid w:val="00FC0284"/>
    <w:rPr>
      <w:b/>
      <w:bCs/>
    </w:rPr>
  </w:style>
  <w:style w:type="character" w:styleId="Hyperlink">
    <w:name w:val="Hyperlink"/>
    <w:uiPriority w:val="99"/>
    <w:unhideWhenUsed/>
    <w:rsid w:val="00B45E67"/>
    <w:rPr>
      <w:color w:val="0563C1"/>
      <w:u w:val="single"/>
    </w:rPr>
  </w:style>
  <w:style w:type="character" w:customStyle="1" w:styleId="value">
    <w:name w:val="value"/>
    <w:rsid w:val="0067311F"/>
  </w:style>
  <w:style w:type="table" w:styleId="TableGrid">
    <w:name w:val="Table Grid"/>
    <w:basedOn w:val="TableNormal"/>
    <w:rsid w:val="00F90B8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F90B8D"/>
    <w:pPr>
      <w:spacing w:after="0" w:line="240" w:lineRule="auto"/>
      <w:ind w:left="720"/>
      <w:contextualSpacing/>
    </w:pPr>
    <w:rPr>
      <w:rFonts w:ascii="Times New Roman" w:hAnsi="Times New Roman" w:cs="Arial"/>
      <w:sz w:val="24"/>
    </w:rPr>
  </w:style>
  <w:style w:type="character" w:customStyle="1" w:styleId="apple-converted-space">
    <w:name w:val="apple-converted-space"/>
    <w:rsid w:val="005E72DC"/>
  </w:style>
  <w:style w:type="paragraph" w:styleId="ListParagraph">
    <w:name w:val="List Paragraph"/>
    <w:basedOn w:val="Normal"/>
    <w:uiPriority w:val="34"/>
    <w:qFormat/>
    <w:rsid w:val="00545382"/>
    <w:pPr>
      <w:spacing w:after="0" w:line="240" w:lineRule="auto"/>
      <w:ind w:left="720"/>
      <w:contextualSpacing/>
    </w:pPr>
    <w:rPr>
      <w:rFonts w:ascii="Times New Roman" w:hAnsi="Times New Roman" w:cs="Arial"/>
      <w:sz w:val="24"/>
    </w:rPr>
  </w:style>
  <w:style w:type="character" w:customStyle="1" w:styleId="bodytextpsgChar">
    <w:name w:val="body text_psg Char"/>
    <w:link w:val="bodytextpsg"/>
    <w:locked/>
    <w:rsid w:val="00D83669"/>
    <w:rPr>
      <w:rFonts w:ascii="Times New Roman" w:eastAsia="Times New Roman" w:hAnsi="Times New Roman"/>
      <w:sz w:val="22"/>
    </w:rPr>
  </w:style>
  <w:style w:type="paragraph" w:customStyle="1" w:styleId="bodytextpsg">
    <w:name w:val="body text_psg"/>
    <w:basedOn w:val="Normal"/>
    <w:link w:val="bodytextpsgChar"/>
    <w:rsid w:val="00D83669"/>
    <w:pPr>
      <w:spacing w:before="120" w:after="120" w:line="240" w:lineRule="auto"/>
      <w:ind w:firstLine="72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186">
      <w:bodyDiv w:val="1"/>
      <w:marLeft w:val="0"/>
      <w:marRight w:val="0"/>
      <w:marTop w:val="0"/>
      <w:marBottom w:val="0"/>
      <w:divBdr>
        <w:top w:val="none" w:sz="0" w:space="0" w:color="auto"/>
        <w:left w:val="none" w:sz="0" w:space="0" w:color="auto"/>
        <w:bottom w:val="none" w:sz="0" w:space="0" w:color="auto"/>
        <w:right w:val="none" w:sz="0" w:space="0" w:color="auto"/>
      </w:divBdr>
    </w:div>
    <w:div w:id="301227610">
      <w:bodyDiv w:val="1"/>
      <w:marLeft w:val="0"/>
      <w:marRight w:val="0"/>
      <w:marTop w:val="0"/>
      <w:marBottom w:val="0"/>
      <w:divBdr>
        <w:top w:val="none" w:sz="0" w:space="0" w:color="auto"/>
        <w:left w:val="none" w:sz="0" w:space="0" w:color="auto"/>
        <w:bottom w:val="none" w:sz="0" w:space="0" w:color="auto"/>
        <w:right w:val="none" w:sz="0" w:space="0" w:color="auto"/>
      </w:divBdr>
    </w:div>
    <w:div w:id="333462883">
      <w:bodyDiv w:val="1"/>
      <w:marLeft w:val="0"/>
      <w:marRight w:val="0"/>
      <w:marTop w:val="0"/>
      <w:marBottom w:val="0"/>
      <w:divBdr>
        <w:top w:val="none" w:sz="0" w:space="0" w:color="auto"/>
        <w:left w:val="none" w:sz="0" w:space="0" w:color="auto"/>
        <w:bottom w:val="none" w:sz="0" w:space="0" w:color="auto"/>
        <w:right w:val="none" w:sz="0" w:space="0" w:color="auto"/>
      </w:divBdr>
    </w:div>
    <w:div w:id="478115276">
      <w:bodyDiv w:val="1"/>
      <w:marLeft w:val="0"/>
      <w:marRight w:val="0"/>
      <w:marTop w:val="0"/>
      <w:marBottom w:val="0"/>
      <w:divBdr>
        <w:top w:val="none" w:sz="0" w:space="0" w:color="auto"/>
        <w:left w:val="none" w:sz="0" w:space="0" w:color="auto"/>
        <w:bottom w:val="none" w:sz="0" w:space="0" w:color="auto"/>
        <w:right w:val="none" w:sz="0" w:space="0" w:color="auto"/>
      </w:divBdr>
    </w:div>
    <w:div w:id="905991438">
      <w:bodyDiv w:val="1"/>
      <w:marLeft w:val="0"/>
      <w:marRight w:val="0"/>
      <w:marTop w:val="0"/>
      <w:marBottom w:val="0"/>
      <w:divBdr>
        <w:top w:val="none" w:sz="0" w:space="0" w:color="auto"/>
        <w:left w:val="none" w:sz="0" w:space="0" w:color="auto"/>
        <w:bottom w:val="none" w:sz="0" w:space="0" w:color="auto"/>
        <w:right w:val="none" w:sz="0" w:space="0" w:color="auto"/>
      </w:divBdr>
    </w:div>
    <w:div w:id="1382749590">
      <w:bodyDiv w:val="1"/>
      <w:marLeft w:val="0"/>
      <w:marRight w:val="0"/>
      <w:marTop w:val="0"/>
      <w:marBottom w:val="0"/>
      <w:divBdr>
        <w:top w:val="none" w:sz="0" w:space="0" w:color="auto"/>
        <w:left w:val="none" w:sz="0" w:space="0" w:color="auto"/>
        <w:bottom w:val="none" w:sz="0" w:space="0" w:color="auto"/>
        <w:right w:val="none" w:sz="0" w:space="0" w:color="auto"/>
      </w:divBdr>
    </w:div>
    <w:div w:id="1502433807">
      <w:bodyDiv w:val="1"/>
      <w:marLeft w:val="0"/>
      <w:marRight w:val="0"/>
      <w:marTop w:val="0"/>
      <w:marBottom w:val="0"/>
      <w:divBdr>
        <w:top w:val="none" w:sz="0" w:space="0" w:color="auto"/>
        <w:left w:val="none" w:sz="0" w:space="0" w:color="auto"/>
        <w:bottom w:val="none" w:sz="0" w:space="0" w:color="auto"/>
        <w:right w:val="none" w:sz="0" w:space="0" w:color="auto"/>
      </w:divBdr>
    </w:div>
    <w:div w:id="1681467262">
      <w:bodyDiv w:val="1"/>
      <w:marLeft w:val="0"/>
      <w:marRight w:val="0"/>
      <w:marTop w:val="0"/>
      <w:marBottom w:val="0"/>
      <w:divBdr>
        <w:top w:val="none" w:sz="0" w:space="0" w:color="auto"/>
        <w:left w:val="none" w:sz="0" w:space="0" w:color="auto"/>
        <w:bottom w:val="none" w:sz="0" w:space="0" w:color="auto"/>
        <w:right w:val="none" w:sz="0" w:space="0" w:color="auto"/>
      </w:divBdr>
    </w:div>
    <w:div w:id="1780097721">
      <w:bodyDiv w:val="1"/>
      <w:marLeft w:val="0"/>
      <w:marRight w:val="0"/>
      <w:marTop w:val="0"/>
      <w:marBottom w:val="0"/>
      <w:divBdr>
        <w:top w:val="none" w:sz="0" w:space="0" w:color="auto"/>
        <w:left w:val="none" w:sz="0" w:space="0" w:color="auto"/>
        <w:bottom w:val="none" w:sz="0" w:space="0" w:color="auto"/>
        <w:right w:val="none" w:sz="0" w:space="0" w:color="auto"/>
      </w:divBdr>
    </w:div>
    <w:div w:id="2039813523">
      <w:bodyDiv w:val="1"/>
      <w:marLeft w:val="0"/>
      <w:marRight w:val="0"/>
      <w:marTop w:val="0"/>
      <w:marBottom w:val="0"/>
      <w:divBdr>
        <w:top w:val="none" w:sz="0" w:space="0" w:color="auto"/>
        <w:left w:val="none" w:sz="0" w:space="0" w:color="auto"/>
        <w:bottom w:val="none" w:sz="0" w:space="0" w:color="auto"/>
        <w:right w:val="none" w:sz="0" w:space="0" w:color="auto"/>
      </w:divBdr>
    </w:div>
    <w:div w:id="20698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mas.Adiwiyoto@fcb.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tthew.Walker@fda.hhs.gov" TargetMode="External"/><Relationship Id="rId17" Type="http://schemas.openxmlformats.org/officeDocument/2006/relationships/hyperlink" Target="http://www.reginfo.gov/public/do/DownloadDocument?objectID=30165501" TargetMode="External"/><Relationship Id="rId2" Type="http://schemas.openxmlformats.org/officeDocument/2006/relationships/numbering" Target="numbering.xml"/><Relationship Id="rId16" Type="http://schemas.openxmlformats.org/officeDocument/2006/relationships/hyperlink" Target="mailto:xzhao3@gm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chael.Murray@fda.hhs.gov" TargetMode="External"/><Relationship Id="rId5" Type="http://schemas.openxmlformats.org/officeDocument/2006/relationships/settings" Target="settings.xml"/><Relationship Id="rId15" Type="http://schemas.openxmlformats.org/officeDocument/2006/relationships/hyperlink" Target="mailto:Mark.W.Hall@fcb.com" TargetMode="External"/><Relationship Id="rId10" Type="http://schemas.openxmlformats.org/officeDocument/2006/relationships/hyperlink" Target="mailto:Maria.Benoza@fda.hhs.go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Tesfa.Alexander@fda.hhs.gov" TargetMode="External"/><Relationship Id="rId14" Type="http://schemas.openxmlformats.org/officeDocument/2006/relationships/hyperlink" Target="mailto:David.Cortes@fc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BDCE0-0C54-4151-B3BC-E3DD2ADCD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3762</Words>
  <Characters>21450</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25162</CharactersWithSpaces>
  <SharedDoc>false</SharedDoc>
  <HLinks>
    <vt:vector size="78" baseType="variant">
      <vt:variant>
        <vt:i4>2097236</vt:i4>
      </vt:variant>
      <vt:variant>
        <vt:i4>33</vt:i4>
      </vt:variant>
      <vt:variant>
        <vt:i4>0</vt:i4>
      </vt:variant>
      <vt:variant>
        <vt:i4>5</vt:i4>
      </vt:variant>
      <vt:variant>
        <vt:lpwstr>http://www.reginfo.gov/public/do/DownloadDocument?objectID=30165501</vt:lpwstr>
      </vt:variant>
      <vt:variant>
        <vt:lpwstr/>
      </vt:variant>
      <vt:variant>
        <vt:i4>7798826</vt:i4>
      </vt:variant>
      <vt:variant>
        <vt:i4>30</vt:i4>
      </vt:variant>
      <vt:variant>
        <vt:i4>0</vt:i4>
      </vt:variant>
      <vt:variant>
        <vt:i4>5</vt:i4>
      </vt:variant>
      <vt:variant>
        <vt:lpwstr>mailto:mayo@rescuescg.com</vt:lpwstr>
      </vt:variant>
      <vt:variant>
        <vt:lpwstr/>
      </vt:variant>
      <vt:variant>
        <vt:i4>8323092</vt:i4>
      </vt:variant>
      <vt:variant>
        <vt:i4>27</vt:i4>
      </vt:variant>
      <vt:variant>
        <vt:i4>0</vt:i4>
      </vt:variant>
      <vt:variant>
        <vt:i4>5</vt:i4>
      </vt:variant>
      <vt:variant>
        <vt:lpwstr>file://localhost/tel/619.231.7555%20x%20120</vt:lpwstr>
      </vt:variant>
      <vt:variant>
        <vt:lpwstr/>
      </vt:variant>
      <vt:variant>
        <vt:i4>2031676</vt:i4>
      </vt:variant>
      <vt:variant>
        <vt:i4>24</vt:i4>
      </vt:variant>
      <vt:variant>
        <vt:i4>0</vt:i4>
      </vt:variant>
      <vt:variant>
        <vt:i4>5</vt:i4>
      </vt:variant>
      <vt:variant>
        <vt:lpwstr>mailto:carolyn@rescuescg.com</vt:lpwstr>
      </vt:variant>
      <vt:variant>
        <vt:lpwstr/>
      </vt:variant>
      <vt:variant>
        <vt:i4>6881316</vt:i4>
      </vt:variant>
      <vt:variant>
        <vt:i4>21</vt:i4>
      </vt:variant>
      <vt:variant>
        <vt:i4>0</vt:i4>
      </vt:variant>
      <vt:variant>
        <vt:i4>5</vt:i4>
      </vt:variant>
      <vt:variant>
        <vt:lpwstr>mailto:dana@rescuescg.com</vt:lpwstr>
      </vt:variant>
      <vt:variant>
        <vt:lpwstr/>
      </vt:variant>
      <vt:variant>
        <vt:i4>5177455</vt:i4>
      </vt:variant>
      <vt:variant>
        <vt:i4>18</vt:i4>
      </vt:variant>
      <vt:variant>
        <vt:i4>0</vt:i4>
      </vt:variant>
      <vt:variant>
        <vt:i4>5</vt:i4>
      </vt:variant>
      <vt:variant>
        <vt:lpwstr>mailto:Xiaoquan.Zhao@fda.hhs.gov</vt:lpwstr>
      </vt:variant>
      <vt:variant>
        <vt:lpwstr/>
      </vt:variant>
      <vt:variant>
        <vt:i4>6946890</vt:i4>
      </vt:variant>
      <vt:variant>
        <vt:i4>15</vt:i4>
      </vt:variant>
      <vt:variant>
        <vt:i4>0</vt:i4>
      </vt:variant>
      <vt:variant>
        <vt:i4>5</vt:i4>
      </vt:variant>
      <vt:variant>
        <vt:lpwstr>mailto:Chauentta.Jones@fda.hhs.gov</vt:lpwstr>
      </vt:variant>
      <vt:variant>
        <vt:lpwstr/>
      </vt:variant>
      <vt:variant>
        <vt:i4>2490397</vt:i4>
      </vt:variant>
      <vt:variant>
        <vt:i4>12</vt:i4>
      </vt:variant>
      <vt:variant>
        <vt:i4>0</vt:i4>
      </vt:variant>
      <vt:variant>
        <vt:i4>5</vt:i4>
      </vt:variant>
      <vt:variant>
        <vt:lpwstr>mailto:Atanaska.Dineva@fda.hhs.gov</vt:lpwstr>
      </vt:variant>
      <vt:variant>
        <vt:lpwstr/>
      </vt:variant>
      <vt:variant>
        <vt:i4>655431</vt:i4>
      </vt:variant>
      <vt:variant>
        <vt:i4>9</vt:i4>
      </vt:variant>
      <vt:variant>
        <vt:i4>0</vt:i4>
      </vt:variant>
      <vt:variant>
        <vt:i4>5</vt:i4>
      </vt:variant>
      <vt:variant>
        <vt:lpwstr>mailto:Leah.Hoffman@fda.hhs.gov</vt:lpwstr>
      </vt:variant>
      <vt:variant>
        <vt:lpwstr/>
      </vt:variant>
      <vt:variant>
        <vt:i4>3735649</vt:i4>
      </vt:variant>
      <vt:variant>
        <vt:i4>6</vt:i4>
      </vt:variant>
      <vt:variant>
        <vt:i4>0</vt:i4>
      </vt:variant>
      <vt:variant>
        <vt:i4>5</vt:i4>
      </vt:variant>
      <vt:variant>
        <vt:lpwstr>mailto:Matthew.Walker@fda.hhs.gov</vt:lpwstr>
      </vt:variant>
      <vt:variant>
        <vt:lpwstr/>
      </vt:variant>
      <vt:variant>
        <vt:i4>4784138</vt:i4>
      </vt:variant>
      <vt:variant>
        <vt:i4>3</vt:i4>
      </vt:variant>
      <vt:variant>
        <vt:i4>0</vt:i4>
      </vt:variant>
      <vt:variant>
        <vt:i4>5</vt:i4>
      </vt:variant>
      <vt:variant>
        <vt:lpwstr>mailto:Maria.Benoza@fda.hhs.gov</vt:lpwstr>
      </vt:variant>
      <vt:variant>
        <vt:lpwstr/>
      </vt:variant>
      <vt:variant>
        <vt:i4>7995483</vt:i4>
      </vt:variant>
      <vt:variant>
        <vt:i4>0</vt:i4>
      </vt:variant>
      <vt:variant>
        <vt:i4>0</vt:i4>
      </vt:variant>
      <vt:variant>
        <vt:i4>5</vt:i4>
      </vt:variant>
      <vt:variant>
        <vt:lpwstr>mailto:Tesfa.Alexander@fda.hhs.gov</vt:lpwstr>
      </vt:variant>
      <vt:variant>
        <vt:lpwstr/>
      </vt:variant>
      <vt:variant>
        <vt:i4>3866646</vt:i4>
      </vt:variant>
      <vt:variant>
        <vt:i4>-1</vt:i4>
      </vt:variant>
      <vt:variant>
        <vt:i4>1051</vt:i4>
      </vt:variant>
      <vt:variant>
        <vt:i4>1</vt:i4>
      </vt:variant>
      <vt:variant>
        <vt:lpwstr>Screen Shot 2016-02-25 at 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2016-06-23T15:37:00Z</dcterms:created>
  <dcterms:modified xsi:type="dcterms:W3CDTF">2016-06-23T15:37:00Z</dcterms:modified>
</cp:coreProperties>
</file>