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4A44" w14:textId="77777777" w:rsidR="002C7ED9" w:rsidRPr="002C7ED9" w:rsidRDefault="002C7ED9" w:rsidP="002C7ED9">
      <w:pPr>
        <w:spacing w:before="80" w:line="240" w:lineRule="auto"/>
        <w:outlineLvl w:val="0"/>
        <w:rPr>
          <w:rFonts w:ascii="Arial" w:eastAsia="Times New Roman" w:hAnsi="Arial" w:cs="Arial"/>
          <w:b/>
          <w:bCs/>
          <w:color w:val="335577"/>
          <w:kern w:val="36"/>
          <w:sz w:val="28"/>
          <w:szCs w:val="28"/>
        </w:rPr>
      </w:pPr>
      <w:r w:rsidRPr="002C7ED9">
        <w:rPr>
          <w:rFonts w:ascii="Arial" w:eastAsia="Times New Roman" w:hAnsi="Arial" w:cs="Arial"/>
          <w:b/>
          <w:bCs/>
          <w:color w:val="335577"/>
          <w:kern w:val="36"/>
          <w:sz w:val="28"/>
          <w:szCs w:val="28"/>
        </w:rPr>
        <w:t>Liver Recipient Explant Pathology Record Field Descriptions</w:t>
      </w:r>
    </w:p>
    <w:p w14:paraId="36CCEF51"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color w:val="000000"/>
          <w:sz w:val="20"/>
          <w:szCs w:val="20"/>
        </w:rPr>
        <w:t>The Liver Recipient Explant Pathology records are generated and available immediately after a transplant event is reported in Waitlist</w:t>
      </w:r>
      <w:r w:rsidRPr="002C7ED9">
        <w:rPr>
          <w:rFonts w:ascii="Arial" w:eastAsia="Times New Roman" w:hAnsi="Arial" w:cs="Arial"/>
          <w:color w:val="000000"/>
          <w:sz w:val="12"/>
          <w:szCs w:val="12"/>
          <w:vertAlign w:val="superscript"/>
        </w:rPr>
        <w:t>SM</w:t>
      </w:r>
      <w:r w:rsidRPr="002C7ED9">
        <w:rPr>
          <w:rFonts w:ascii="Arial" w:eastAsia="Times New Roman" w:hAnsi="Arial" w:cs="Arial"/>
          <w:color w:val="000000"/>
          <w:sz w:val="20"/>
          <w:szCs w:val="20"/>
        </w:rPr>
        <w:t>. The liver explant record is completed by the transplant center performing the transplant.</w:t>
      </w:r>
    </w:p>
    <w:p w14:paraId="6F05BD61" w14:textId="606B050C"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color w:val="000000"/>
          <w:sz w:val="20"/>
          <w:szCs w:val="20"/>
        </w:rPr>
        <w:t xml:space="preserve">The liver explant record must be completed within 60 days from the record generation date. See </w:t>
      </w:r>
      <w:hyperlink r:id="rId8" w:tgtFrame="_blank" w:history="1">
        <w:r w:rsidRPr="002C7ED9">
          <w:rPr>
            <w:rStyle w:val="Hyperlink"/>
            <w:rFonts w:ascii="Arial" w:eastAsia="Times New Roman" w:hAnsi="Arial" w:cs="Arial"/>
            <w:sz w:val="20"/>
            <w:szCs w:val="20"/>
          </w:rPr>
          <w:t>OPTN Policy</w:t>
        </w:r>
      </w:hyperlink>
      <w:bookmarkStart w:id="0" w:name="_GoBack"/>
      <w:bookmarkEnd w:id="0"/>
      <w:r>
        <w:rPr>
          <w:rFonts w:ascii="Arial" w:eastAsia="Times New Roman" w:hAnsi="Arial" w:cs="Arial"/>
          <w:color w:val="000000"/>
          <w:sz w:val="20"/>
          <w:szCs w:val="20"/>
        </w:rPr>
        <w:t xml:space="preserve"> </w:t>
      </w:r>
      <w:r w:rsidRPr="002C7ED9">
        <w:rPr>
          <w:rFonts w:ascii="Arial" w:eastAsia="Times New Roman" w:hAnsi="Arial" w:cs="Arial"/>
          <w:color w:val="000000"/>
          <w:sz w:val="20"/>
          <w:szCs w:val="20"/>
        </w:rPr>
        <w:t>for additional information. Use the search feature to locate specific policy information on Data Submission Requirements.</w:t>
      </w:r>
    </w:p>
    <w:p w14:paraId="4A3F32F7" w14:textId="77777777" w:rsidR="002C7ED9" w:rsidRPr="002C7ED9" w:rsidRDefault="002C7ED9" w:rsidP="002C7ED9">
      <w:pPr>
        <w:pBdr>
          <w:top w:val="single" w:sz="6" w:space="4" w:color="auto"/>
          <w:left w:val="single" w:sz="6" w:space="4" w:color="auto"/>
          <w:bottom w:val="single" w:sz="6" w:space="4" w:color="auto"/>
          <w:right w:val="single" w:sz="6" w:space="4" w:color="auto"/>
        </w:pBdr>
        <w:shd w:val="clear" w:color="auto" w:fill="D4DBDF"/>
        <w:spacing w:before="80" w:after="80" w:line="240" w:lineRule="auto"/>
        <w:ind w:right="160"/>
        <w:rPr>
          <w:rFonts w:ascii="Arial" w:eastAsia="Times New Roman" w:hAnsi="Arial" w:cs="Arial"/>
          <w:b/>
          <w:bCs/>
          <w:color w:val="000000"/>
          <w:sz w:val="20"/>
          <w:szCs w:val="20"/>
        </w:rPr>
      </w:pPr>
      <w:r w:rsidRPr="002C7ED9">
        <w:rPr>
          <w:rFonts w:ascii="Arial" w:eastAsia="Times New Roman" w:hAnsi="Arial" w:cs="Arial"/>
          <w:b/>
          <w:bCs/>
          <w:color w:val="000000"/>
          <w:sz w:val="20"/>
          <w:szCs w:val="20"/>
          <w:shd w:val="clear" w:color="auto" w:fill="D4DBDF"/>
        </w:rPr>
        <w:t>Provider Information</w:t>
      </w:r>
    </w:p>
    <w:p w14:paraId="759309F7"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Recipient Center</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transplant center reported in Waitlist displays. Verify that the center information is the hospital where the transplant operation was performed. The Provider Number is the 6-character Medicare identification number of the hospital. This is followed by the Center Code and Center Name. If the information is incorrect, contact the Help Desk at (800) 978-4334.</w:t>
      </w:r>
    </w:p>
    <w:p w14:paraId="24F23993" w14:textId="77777777" w:rsidR="002C7ED9" w:rsidRPr="002C7ED9" w:rsidRDefault="002C7ED9" w:rsidP="002C7ED9">
      <w:pPr>
        <w:pBdr>
          <w:top w:val="single" w:sz="6" w:space="4" w:color="auto"/>
          <w:left w:val="single" w:sz="6" w:space="4" w:color="auto"/>
          <w:bottom w:val="single" w:sz="6" w:space="4" w:color="auto"/>
          <w:right w:val="single" w:sz="6" w:space="4" w:color="auto"/>
        </w:pBdr>
        <w:shd w:val="clear" w:color="auto" w:fill="D4DBDF"/>
        <w:spacing w:before="80" w:after="80" w:line="240" w:lineRule="auto"/>
        <w:ind w:right="160"/>
        <w:rPr>
          <w:rFonts w:ascii="Arial" w:eastAsia="Times New Roman" w:hAnsi="Arial" w:cs="Arial"/>
          <w:b/>
          <w:bCs/>
          <w:color w:val="000000"/>
          <w:sz w:val="20"/>
          <w:szCs w:val="20"/>
        </w:rPr>
      </w:pPr>
      <w:r w:rsidRPr="002C7ED9">
        <w:rPr>
          <w:rFonts w:ascii="Arial" w:eastAsia="Times New Roman" w:hAnsi="Arial" w:cs="Arial"/>
          <w:b/>
          <w:bCs/>
          <w:color w:val="000000"/>
          <w:sz w:val="20"/>
          <w:szCs w:val="20"/>
          <w:shd w:val="clear" w:color="auto" w:fill="D4DBDF"/>
        </w:rPr>
        <w:t>Recipient Information</w:t>
      </w:r>
    </w:p>
    <w:p w14:paraId="7B978528"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Recipient Name</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name reported in Waitlist displays. Verify the last name, first name and middle initial of the transplant recipient is correct. If the information is incorrect, corrections may be made on the recipient's Transplant Recipient Registration (TRR) record.</w:t>
      </w:r>
    </w:p>
    <w:p w14:paraId="7EDC37AE"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DOB</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date of birth reported in Waitlist displays. Verify the date is the recipient's date of birth. If the information is incorrect, corrections may be made on the recipient's TRR record.</w:t>
      </w:r>
    </w:p>
    <w:p w14:paraId="6150FAA1"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Transplant Date</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date of the transplant reported in Waitlist displays.</w:t>
      </w:r>
    </w:p>
    <w:p w14:paraId="7AABEC65"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i/>
          <w:iCs/>
          <w:color w:val="FF0000"/>
          <w:sz w:val="20"/>
          <w:szCs w:val="20"/>
        </w:rPr>
        <w:t>Note:</w:t>
      </w:r>
      <w:r w:rsidRPr="002C7ED9">
        <w:rPr>
          <w:rFonts w:ascii="Arial" w:eastAsia="Times New Roman" w:hAnsi="Arial" w:cs="Arial"/>
          <w:color w:val="000000"/>
          <w:sz w:val="20"/>
          <w:szCs w:val="20"/>
        </w:rPr>
        <w:t xml:space="preserve">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 The transplant date is indicated immediately after a transplant event is reported through the recipient feedback process in Waitlist and in the case of a living donor transplant, where a recipient was added through the donor feedback process in TIEDI</w:t>
      </w:r>
      <w:r w:rsidRPr="002C7ED9">
        <w:rPr>
          <w:rFonts w:ascii="Arial" w:eastAsia="Times New Roman" w:hAnsi="Arial" w:cs="Arial"/>
          <w:color w:val="000000"/>
          <w:sz w:val="16"/>
          <w:szCs w:val="16"/>
          <w:vertAlign w:val="superscript"/>
        </w:rPr>
        <w:t>®</w:t>
      </w:r>
      <w:r w:rsidRPr="002C7ED9">
        <w:rPr>
          <w:rFonts w:ascii="Arial" w:eastAsia="Times New Roman" w:hAnsi="Arial" w:cs="Arial"/>
          <w:color w:val="000000"/>
          <w:sz w:val="20"/>
          <w:szCs w:val="20"/>
        </w:rPr>
        <w:t>.</w:t>
      </w:r>
    </w:p>
    <w:p w14:paraId="3098CCD6"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Gender</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gender reported in Waitlist displays. Verify the recipient's gender is correct. If the information is incorrect, corrections may be made on the recipient's TRR record.</w:t>
      </w:r>
    </w:p>
    <w:p w14:paraId="70F7082E"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SSN</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The SSN reported in Waitlist displays. Verify the recipient's Social Security number is correct. If the information is incorrect, contact the Help Desk at 1-800-978-4334.</w:t>
      </w:r>
    </w:p>
    <w:p w14:paraId="5001AFC4" w14:textId="77777777" w:rsidR="002C7ED9" w:rsidRPr="002C7ED9" w:rsidRDefault="002C7ED9" w:rsidP="002C7ED9">
      <w:pPr>
        <w:pBdr>
          <w:top w:val="single" w:sz="6" w:space="4" w:color="auto"/>
          <w:left w:val="single" w:sz="6" w:space="4" w:color="auto"/>
          <w:bottom w:val="single" w:sz="6" w:space="4" w:color="auto"/>
          <w:right w:val="single" w:sz="6" w:space="4" w:color="auto"/>
        </w:pBdr>
        <w:shd w:val="clear" w:color="auto" w:fill="D4DBDF"/>
        <w:spacing w:before="80" w:after="80" w:line="240" w:lineRule="auto"/>
        <w:ind w:right="160"/>
        <w:rPr>
          <w:rFonts w:ascii="Arial" w:eastAsia="Times New Roman" w:hAnsi="Arial" w:cs="Arial"/>
          <w:b/>
          <w:bCs/>
          <w:color w:val="000000"/>
          <w:sz w:val="20"/>
          <w:szCs w:val="20"/>
        </w:rPr>
      </w:pPr>
      <w:r w:rsidRPr="002C7ED9">
        <w:rPr>
          <w:rFonts w:ascii="Arial" w:eastAsia="Times New Roman" w:hAnsi="Arial" w:cs="Arial"/>
          <w:b/>
          <w:bCs/>
          <w:color w:val="000000"/>
          <w:sz w:val="20"/>
          <w:szCs w:val="20"/>
          <w:shd w:val="clear" w:color="auto" w:fill="D4DBDF"/>
        </w:rPr>
        <w:t>Clinical Information</w:t>
      </w:r>
    </w:p>
    <w:p w14:paraId="6BC0D123"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Was evidence of HCC (viable or non-viable tumor) found in the explant</w:t>
      </w:r>
      <w:r w:rsidRPr="002C7ED9">
        <w:rPr>
          <w:rFonts w:ascii="Arial" w:eastAsia="Times New Roman" w:hAnsi="Arial" w:cs="Arial"/>
          <w:b/>
          <w:bCs/>
          <w:color w:val="000000"/>
          <w:sz w:val="20"/>
          <w:szCs w:val="20"/>
        </w:rPr>
        <w:t>?</w:t>
      </w:r>
      <w:r w:rsidRPr="002C7ED9">
        <w:rPr>
          <w:rFonts w:ascii="Arial" w:eastAsia="Times New Roman" w:hAnsi="Arial" w:cs="Arial"/>
          <w:color w:val="000000"/>
          <w:sz w:val="20"/>
          <w:szCs w:val="20"/>
        </w:rPr>
        <w:t xml:space="preserve"> If there was any evidence of hepatocellular carcinoma (HCC), click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and complete the following questions. If there </w:t>
      </w:r>
      <w:r w:rsidRPr="002C7ED9">
        <w:rPr>
          <w:rFonts w:ascii="Arial" w:eastAsia="Times New Roman" w:hAnsi="Arial" w:cs="Arial"/>
          <w:b/>
          <w:bCs/>
          <w:color w:val="FF0000"/>
          <w:sz w:val="20"/>
          <w:szCs w:val="20"/>
        </w:rPr>
        <w:t>is not</w:t>
      </w:r>
      <w:r w:rsidRPr="002C7ED9">
        <w:rPr>
          <w:rFonts w:ascii="Arial" w:eastAsia="Times New Roman" w:hAnsi="Arial" w:cs="Arial"/>
          <w:color w:val="000000"/>
          <w:sz w:val="20"/>
          <w:szCs w:val="20"/>
        </w:rPr>
        <w:t xml:space="preserve"> any evidence, click </w:t>
      </w:r>
      <w:r w:rsidRPr="002C7ED9">
        <w:rPr>
          <w:rFonts w:ascii="Arial" w:eastAsia="Times New Roman" w:hAnsi="Arial" w:cs="Arial"/>
          <w:b/>
          <w:bCs/>
          <w:color w:val="000000"/>
          <w:sz w:val="20"/>
          <w:szCs w:val="20"/>
        </w:rPr>
        <w:t>No</w:t>
      </w:r>
      <w:r w:rsidRPr="002C7ED9">
        <w:rPr>
          <w:rFonts w:ascii="Arial" w:eastAsia="Times New Roman" w:hAnsi="Arial" w:cs="Arial"/>
          <w:color w:val="000000"/>
          <w:sz w:val="20"/>
          <w:szCs w:val="20"/>
        </w:rPr>
        <w:t xml:space="preserve"> and answer the </w:t>
      </w:r>
      <w:r w:rsidRPr="002C7ED9">
        <w:rPr>
          <w:rFonts w:ascii="Arial" w:eastAsia="Times New Roman" w:hAnsi="Arial" w:cs="Arial"/>
          <w:b/>
          <w:bCs/>
          <w:color w:val="000000"/>
          <w:sz w:val="20"/>
          <w:szCs w:val="20"/>
        </w:rPr>
        <w:t>Pre-transplant treatment for HCC</w:t>
      </w:r>
      <w:r w:rsidRPr="002C7ED9">
        <w:rPr>
          <w:rFonts w:ascii="Arial" w:eastAsia="Times New Roman" w:hAnsi="Arial" w:cs="Arial"/>
          <w:color w:val="000000"/>
          <w:sz w:val="20"/>
          <w:szCs w:val="20"/>
        </w:rPr>
        <w:t xml:space="preserve"> question only.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w:t>
      </w:r>
    </w:p>
    <w:p w14:paraId="5F240ADF"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i/>
          <w:iCs/>
          <w:color w:val="FF0000"/>
          <w:sz w:val="20"/>
          <w:szCs w:val="20"/>
        </w:rPr>
        <w:t>Note:</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No</w:t>
      </w:r>
      <w:r w:rsidRPr="002C7ED9">
        <w:rPr>
          <w:rFonts w:ascii="Arial" w:eastAsia="Times New Roman" w:hAnsi="Arial" w:cs="Arial"/>
          <w:color w:val="000000"/>
          <w:sz w:val="20"/>
          <w:szCs w:val="20"/>
        </w:rPr>
        <w:t xml:space="preserve"> is clicked, a message displays containing the following information: If the candidate's explant pathology report does not show evidence of HCC, the transplant center must submit documentation and/or imaging studies used to support the HCC diagnosis at the time of listing.  You may submit documentation by fax to (804) 782-4680, Attention: RRB Admin Supervisor, or by e-mail to </w:t>
      </w:r>
      <w:hyperlink r:id="rId9" w:history="1">
        <w:r w:rsidRPr="002C7ED9">
          <w:rPr>
            <w:rFonts w:ascii="Arial" w:eastAsia="Times New Roman" w:hAnsi="Arial" w:cs="Arial"/>
            <w:color w:val="0000FF"/>
            <w:sz w:val="20"/>
            <w:szCs w:val="20"/>
            <w:u w:val="single"/>
          </w:rPr>
          <w:t>LiverPolicy@unos.org</w:t>
        </w:r>
      </w:hyperlink>
      <w:r w:rsidRPr="002C7ED9">
        <w:rPr>
          <w:rFonts w:ascii="Arial" w:eastAsia="Times New Roman" w:hAnsi="Arial" w:cs="Arial"/>
          <w:color w:val="000000"/>
          <w:sz w:val="20"/>
          <w:szCs w:val="20"/>
        </w:rPr>
        <w:t>.</w:t>
      </w:r>
    </w:p>
    <w:p w14:paraId="04C2013B"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list, click the appropriate option.</w:t>
      </w:r>
    </w:p>
    <w:p w14:paraId="21B5DD59"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1, 2, 3, 4, 5, &gt;5, Infiltrative (a large HCC lesion without distinct margins diffusely involving the liver parenchyma)</w:t>
      </w:r>
    </w:p>
    <w:p w14:paraId="58F9598D" w14:textId="77777777" w:rsidR="002C7ED9" w:rsidRPr="002C7ED9" w:rsidRDefault="002C7ED9" w:rsidP="002C7ED9">
      <w:pPr>
        <w:spacing w:before="80" w:after="80" w:line="240" w:lineRule="auto"/>
        <w:ind w:left="1260" w:right="160" w:hanging="540"/>
        <w:rPr>
          <w:rFonts w:ascii="Arial" w:eastAsia="Times New Roman" w:hAnsi="Arial" w:cs="Arial"/>
          <w:color w:val="000000"/>
          <w:sz w:val="20"/>
          <w:szCs w:val="20"/>
        </w:rPr>
      </w:pPr>
      <w:r w:rsidRPr="002C7ED9">
        <w:rPr>
          <w:rFonts w:ascii="Arial" w:eastAsia="Times New Roman" w:hAnsi="Arial" w:cs="Arial"/>
          <w:b/>
          <w:bCs/>
          <w:i/>
          <w:iCs/>
          <w:color w:val="FF0000"/>
          <w:sz w:val="20"/>
          <w:szCs w:val="20"/>
        </w:rPr>
        <w:t>Note:</w:t>
      </w:r>
      <w:r w:rsidRPr="002C7ED9">
        <w:rPr>
          <w:rFonts w:ascii="Arial" w:eastAsia="Times New Roman" w:hAnsi="Arial" w:cs="Arial"/>
          <w:color w:val="000000"/>
          <w:sz w:val="20"/>
          <w:szCs w:val="20"/>
        </w:rPr>
        <w:t xml:space="preserve"> If the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w:t>
      </w:r>
      <w:r w:rsidRPr="002C7ED9">
        <w:rPr>
          <w:rFonts w:ascii="Arial" w:eastAsia="Times New Roman" w:hAnsi="Arial" w:cs="Arial"/>
          <w:b/>
          <w:bCs/>
          <w:color w:val="000000"/>
          <w:sz w:val="20"/>
          <w:szCs w:val="20"/>
        </w:rPr>
        <w:t>&gt; 5</w:t>
      </w:r>
      <w:r w:rsidRPr="002C7ED9">
        <w:rPr>
          <w:rFonts w:ascii="Arial" w:eastAsia="Times New Roman" w:hAnsi="Arial" w:cs="Arial"/>
          <w:color w:val="000000"/>
          <w:sz w:val="20"/>
          <w:szCs w:val="20"/>
        </w:rPr>
        <w:t>, you are required to enter tumor size, location or tumor necrosis for the 5 largest tumors.</w:t>
      </w:r>
    </w:p>
    <w:p w14:paraId="70ED553B" w14:textId="77777777" w:rsidR="002C7ED9" w:rsidRPr="002C7ED9" w:rsidRDefault="002C7ED9" w:rsidP="002C7ED9">
      <w:pPr>
        <w:spacing w:before="80" w:after="80" w:line="240" w:lineRule="auto"/>
        <w:ind w:left="1260" w:right="160" w:hanging="540"/>
        <w:rPr>
          <w:rFonts w:ascii="Arial" w:eastAsia="Times New Roman" w:hAnsi="Arial" w:cs="Arial"/>
          <w:color w:val="000000"/>
          <w:sz w:val="20"/>
          <w:szCs w:val="20"/>
        </w:rPr>
      </w:pPr>
      <w:r w:rsidRPr="002C7ED9">
        <w:rPr>
          <w:rFonts w:ascii="Arial" w:eastAsia="Times New Roman" w:hAnsi="Arial" w:cs="Arial"/>
          <w:b/>
          <w:bCs/>
          <w:i/>
          <w:iCs/>
          <w:color w:val="FF0000"/>
          <w:sz w:val="20"/>
          <w:szCs w:val="20"/>
        </w:rPr>
        <w:lastRenderedPageBreak/>
        <w:t>Note:</w:t>
      </w:r>
      <w:r w:rsidRPr="002C7ED9">
        <w:rPr>
          <w:rFonts w:ascii="Arial" w:eastAsia="Times New Roman" w:hAnsi="Arial" w:cs="Arial"/>
          <w:color w:val="000000"/>
          <w:sz w:val="20"/>
          <w:szCs w:val="20"/>
        </w:rPr>
        <w:t xml:space="preserve"> If the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w:t>
      </w:r>
      <w:r w:rsidRPr="002C7ED9">
        <w:rPr>
          <w:rFonts w:ascii="Arial" w:eastAsia="Times New Roman" w:hAnsi="Arial" w:cs="Arial"/>
          <w:b/>
          <w:bCs/>
          <w:color w:val="000000"/>
          <w:sz w:val="20"/>
          <w:szCs w:val="20"/>
        </w:rPr>
        <w:t>Infiltrative</w:t>
      </w:r>
      <w:r w:rsidRPr="002C7ED9">
        <w:rPr>
          <w:rFonts w:ascii="Arial" w:eastAsia="Times New Roman" w:hAnsi="Arial" w:cs="Arial"/>
          <w:color w:val="000000"/>
          <w:sz w:val="20"/>
          <w:szCs w:val="20"/>
        </w:rPr>
        <w:t xml:space="preserve">, you </w:t>
      </w:r>
      <w:r w:rsidRPr="002C7ED9">
        <w:rPr>
          <w:rFonts w:ascii="Arial" w:eastAsia="Times New Roman" w:hAnsi="Arial" w:cs="Arial"/>
          <w:b/>
          <w:bCs/>
          <w:color w:val="000000"/>
          <w:sz w:val="20"/>
          <w:szCs w:val="20"/>
        </w:rPr>
        <w:t>are not</w:t>
      </w:r>
      <w:r w:rsidRPr="002C7ED9">
        <w:rPr>
          <w:rFonts w:ascii="Arial" w:eastAsia="Times New Roman" w:hAnsi="Arial" w:cs="Arial"/>
          <w:color w:val="000000"/>
          <w:sz w:val="20"/>
          <w:szCs w:val="20"/>
        </w:rPr>
        <w:t xml:space="preserve"> required to enter tumor size, location or tumor necrosis.</w:t>
      </w:r>
    </w:p>
    <w:p w14:paraId="5BEB9E8F"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Tumor:</w:t>
      </w:r>
      <w:r w:rsidRPr="002C7ED9">
        <w:rPr>
          <w:rFonts w:ascii="Arial" w:eastAsia="Times New Roman" w:hAnsi="Arial" w:cs="Arial"/>
          <w:color w:val="000000"/>
          <w:sz w:val="20"/>
          <w:szCs w:val="20"/>
        </w:rPr>
        <w:t xml:space="preserve"> For each tumor, complete the following fields.</w:t>
      </w:r>
    </w:p>
    <w:p w14:paraId="792EC3F7" w14:textId="77777777" w:rsidR="002C7ED9" w:rsidRPr="002C7ED9" w:rsidRDefault="002C7ED9" w:rsidP="002C7ED9">
      <w:pPr>
        <w:spacing w:before="80" w:after="80" w:line="240" w:lineRule="auto"/>
        <w:ind w:left="108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Size:</w:t>
      </w:r>
      <w:r w:rsidRPr="002C7ED9">
        <w:rPr>
          <w:rFonts w:ascii="Arial" w:eastAsia="Times New Roman" w:hAnsi="Arial" w:cs="Arial"/>
          <w:color w:val="000000"/>
          <w:sz w:val="20"/>
          <w:szCs w:val="20"/>
        </w:rPr>
        <w:t xml:space="preserve"> Enter the size of the tumor in centimeters (cm).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 The largest dimension of each tumor must be reported (e.g., 3.2 cm x 5.1 cm must be reported as 5.1 cm).</w:t>
      </w:r>
    </w:p>
    <w:p w14:paraId="1220C9C7" w14:textId="77777777" w:rsidR="002C7ED9" w:rsidRPr="002C7ED9" w:rsidRDefault="002C7ED9" w:rsidP="002C7ED9">
      <w:pPr>
        <w:spacing w:before="80" w:after="80" w:line="240" w:lineRule="auto"/>
        <w:ind w:left="1440" w:right="160"/>
        <w:rPr>
          <w:rFonts w:ascii="Arial" w:eastAsia="Times New Roman" w:hAnsi="Arial" w:cs="Arial"/>
          <w:color w:val="000000"/>
          <w:sz w:val="20"/>
          <w:szCs w:val="20"/>
        </w:rPr>
      </w:pPr>
      <w:r w:rsidRPr="002C7ED9">
        <w:rPr>
          <w:rFonts w:ascii="Arial" w:eastAsia="Times New Roman" w:hAnsi="Arial" w:cs="Arial"/>
          <w:color w:val="000000"/>
          <w:sz w:val="20"/>
          <w:szCs w:val="20"/>
        </w:rPr>
        <w:t>Range: 0.01 to 99.99</w:t>
      </w:r>
    </w:p>
    <w:p w14:paraId="0EE99244" w14:textId="77777777" w:rsidR="002C7ED9" w:rsidRPr="002C7ED9" w:rsidRDefault="002C7ED9" w:rsidP="002C7ED9">
      <w:pPr>
        <w:spacing w:before="80" w:after="80" w:line="240" w:lineRule="auto"/>
        <w:ind w:left="108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Location:</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Location</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w:t>
      </w:r>
    </w:p>
    <w:p w14:paraId="319CEC4F" w14:textId="77777777" w:rsidR="002C7ED9" w:rsidRPr="002C7ED9" w:rsidRDefault="002C7ED9" w:rsidP="002C7ED9">
      <w:pPr>
        <w:spacing w:before="80" w:after="80" w:line="240" w:lineRule="auto"/>
        <w:ind w:left="144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Right Lobe, Left Lobe</w:t>
      </w:r>
    </w:p>
    <w:p w14:paraId="6C224F9D" w14:textId="77777777" w:rsidR="002C7ED9" w:rsidRPr="002C7ED9" w:rsidRDefault="002C7ED9" w:rsidP="002C7ED9">
      <w:pPr>
        <w:spacing w:before="80" w:after="80" w:line="240" w:lineRule="auto"/>
        <w:ind w:left="108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Tumor Necrosis:</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Tumor Necrosis</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w:t>
      </w:r>
    </w:p>
    <w:p w14:paraId="7B552DB9" w14:textId="77777777" w:rsidR="002C7ED9" w:rsidRPr="002C7ED9" w:rsidRDefault="002C7ED9" w:rsidP="002C7ED9">
      <w:pPr>
        <w:spacing w:before="80" w:after="80" w:line="240" w:lineRule="auto"/>
        <w:ind w:left="144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None, Incomplete (any amount of viable tumor remains), Complete (no viable tumor remains)</w:t>
      </w:r>
    </w:p>
    <w:p w14:paraId="0DC7FD6F"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Worst Tumor Differentiation:</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Worst Tumor Differentiation</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w:t>
      </w:r>
    </w:p>
    <w:p w14:paraId="4C523C1A"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Well, Moderate, Poor, Complete Tumor Necrosis</w:t>
      </w:r>
    </w:p>
    <w:p w14:paraId="09D894CE"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Vascular Invasion:</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Vascular Invasion</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 This does not include bland thrombus.</w:t>
      </w:r>
    </w:p>
    <w:p w14:paraId="54D150C4"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None, Microvascular (vascular invasion seen only under microscopic inspection, synonymous with angiolymphatic or lymphovascular invasion), Macrovascular (any involvement of large vessels noted on gross pathological inspection)</w:t>
      </w:r>
    </w:p>
    <w:p w14:paraId="7D14564D"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Lymph Node Involvement:</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Lymph Node Involvement</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w:t>
      </w:r>
    </w:p>
    <w:p w14:paraId="103FC5C8"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Yes, No</w:t>
      </w:r>
    </w:p>
    <w:p w14:paraId="79933C3B"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Other Extrahepatic Spread:</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Other Extrahepatic Spread</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 This is separate from nodal involvement.</w:t>
      </w:r>
    </w:p>
    <w:p w14:paraId="207A9494"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Yes, No</w:t>
      </w:r>
    </w:p>
    <w:p w14:paraId="19A2B009" w14:textId="77777777" w:rsidR="002C7ED9" w:rsidRPr="002C7ED9" w:rsidRDefault="002C7ED9" w:rsidP="002C7ED9">
      <w:pPr>
        <w:spacing w:before="80" w:after="80" w:line="240" w:lineRule="auto"/>
        <w:ind w:left="360" w:right="160"/>
        <w:rPr>
          <w:rFonts w:ascii="Arial" w:eastAsia="Times New Roman" w:hAnsi="Arial" w:cs="Arial"/>
          <w:color w:val="000000"/>
          <w:sz w:val="20"/>
          <w:szCs w:val="20"/>
        </w:rPr>
      </w:pPr>
      <w:r w:rsidRPr="002C7ED9">
        <w:rPr>
          <w:rFonts w:ascii="Arial" w:eastAsia="Times New Roman" w:hAnsi="Arial" w:cs="Arial"/>
          <w:b/>
          <w:bCs/>
          <w:color w:val="000000"/>
          <w:sz w:val="20"/>
          <w:szCs w:val="20"/>
        </w:rPr>
        <w:t>Satellite Lesions:</w:t>
      </w:r>
      <w:r w:rsidRPr="002C7ED9">
        <w:rPr>
          <w:rFonts w:ascii="Arial" w:eastAsia="Times New Roman" w:hAnsi="Arial" w:cs="Arial"/>
          <w:color w:val="000000"/>
          <w:sz w:val="20"/>
          <w:szCs w:val="20"/>
        </w:rPr>
        <w:t xml:space="preserve"> If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was selected for </w:t>
      </w:r>
      <w:r w:rsidRPr="002C7ED9">
        <w:rPr>
          <w:rFonts w:ascii="Arial" w:eastAsia="Times New Roman" w:hAnsi="Arial" w:cs="Arial"/>
          <w:b/>
          <w:bCs/>
          <w:color w:val="000000"/>
          <w:sz w:val="20"/>
          <w:szCs w:val="20"/>
        </w:rPr>
        <w:t>Was evidence of HCC (viable or non-viable tumor) found in the explant</w:t>
      </w:r>
      <w:r w:rsidRPr="002C7ED9">
        <w:rPr>
          <w:rFonts w:ascii="Arial" w:eastAsia="Times New Roman" w:hAnsi="Arial" w:cs="Arial"/>
          <w:color w:val="000000"/>
          <w:sz w:val="20"/>
          <w:szCs w:val="20"/>
        </w:rPr>
        <w:t xml:space="preserve">, in the </w:t>
      </w:r>
      <w:r w:rsidRPr="002C7ED9">
        <w:rPr>
          <w:rFonts w:ascii="Arial" w:eastAsia="Times New Roman" w:hAnsi="Arial" w:cs="Arial"/>
          <w:b/>
          <w:bCs/>
          <w:color w:val="000000"/>
          <w:sz w:val="20"/>
          <w:szCs w:val="20"/>
        </w:rPr>
        <w:t>Satellite Lesions</w:t>
      </w:r>
      <w:r w:rsidRPr="002C7ED9">
        <w:rPr>
          <w:rFonts w:ascii="Arial" w:eastAsia="Times New Roman" w:hAnsi="Arial" w:cs="Arial"/>
          <w:color w:val="000000"/>
          <w:sz w:val="20"/>
          <w:szCs w:val="20"/>
        </w:rPr>
        <w:t xml:space="preserve"> list, click the appropriate option. If </w:t>
      </w:r>
      <w:r w:rsidRPr="002C7ED9">
        <w:rPr>
          <w:rFonts w:ascii="Arial" w:eastAsia="Times New Roman" w:hAnsi="Arial" w:cs="Arial"/>
          <w:b/>
          <w:bCs/>
          <w:color w:val="000000"/>
          <w:sz w:val="20"/>
          <w:szCs w:val="20"/>
        </w:rPr>
        <w:t>Number of Tumors</w:t>
      </w:r>
      <w:r w:rsidRPr="002C7ED9">
        <w:rPr>
          <w:rFonts w:ascii="Arial" w:eastAsia="Times New Roman" w:hAnsi="Arial" w:cs="Arial"/>
          <w:color w:val="000000"/>
          <w:sz w:val="20"/>
          <w:szCs w:val="20"/>
        </w:rPr>
        <w:t xml:space="preserve"> is 1 or more,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 Satellite lesions are defined as a tumor nodule which is &lt; 4 cm in diameter, &lt; 2 cm in proximity from the primary tumor, and &lt; 50% of the primary tumor’s diameter.</w:t>
      </w:r>
    </w:p>
    <w:p w14:paraId="1147FA93" w14:textId="77777777" w:rsidR="002C7ED9" w:rsidRPr="002C7ED9" w:rsidRDefault="002C7ED9" w:rsidP="002C7ED9">
      <w:pPr>
        <w:spacing w:before="80" w:after="80" w:line="240" w:lineRule="auto"/>
        <w:ind w:left="720" w:right="160"/>
        <w:rPr>
          <w:rFonts w:ascii="Arial" w:eastAsia="Times New Roman" w:hAnsi="Arial" w:cs="Arial"/>
          <w:color w:val="000000"/>
          <w:sz w:val="20"/>
          <w:szCs w:val="20"/>
        </w:rPr>
      </w:pPr>
      <w:r w:rsidRPr="002C7ED9">
        <w:rPr>
          <w:rFonts w:ascii="Arial" w:eastAsia="Times New Roman" w:hAnsi="Arial" w:cs="Arial"/>
          <w:color w:val="000000"/>
          <w:sz w:val="20"/>
          <w:szCs w:val="20"/>
        </w:rPr>
        <w:t>Options: Yes, No</w:t>
      </w:r>
    </w:p>
    <w:p w14:paraId="1164A0D0" w14:textId="77777777" w:rsidR="002C7ED9" w:rsidRPr="002C7ED9" w:rsidRDefault="002C7ED9" w:rsidP="002C7ED9">
      <w:pPr>
        <w:spacing w:before="80" w:after="80" w:line="240" w:lineRule="auto"/>
        <w:ind w:left="160" w:right="160"/>
        <w:rPr>
          <w:rFonts w:ascii="Arial" w:eastAsia="Times New Roman" w:hAnsi="Arial" w:cs="Arial"/>
          <w:color w:val="000000"/>
          <w:sz w:val="20"/>
          <w:szCs w:val="20"/>
        </w:rPr>
      </w:pPr>
      <w:r w:rsidRPr="002C7ED9">
        <w:rPr>
          <w:rFonts w:ascii="Arial" w:eastAsia="Times New Roman" w:hAnsi="Arial" w:cs="Arial"/>
          <w:b/>
          <w:bCs/>
          <w:color w:val="000000"/>
          <w:sz w:val="20"/>
          <w:szCs w:val="20"/>
          <w:u w:val="single"/>
        </w:rPr>
        <w:t>Pre-transplant treatment for HCC?</w:t>
      </w:r>
      <w:r w:rsidRPr="002C7ED9">
        <w:rPr>
          <w:rFonts w:ascii="Arial" w:eastAsia="Times New Roman" w:hAnsi="Arial" w:cs="Arial"/>
          <w:color w:val="000000"/>
          <w:sz w:val="20"/>
          <w:szCs w:val="20"/>
        </w:rPr>
        <w:t xml:space="preserve">: If the recipient received any pre-transplant treatment for HCC, click </w:t>
      </w:r>
      <w:r w:rsidRPr="002C7ED9">
        <w:rPr>
          <w:rFonts w:ascii="Arial" w:eastAsia="Times New Roman" w:hAnsi="Arial" w:cs="Arial"/>
          <w:b/>
          <w:bCs/>
          <w:color w:val="000000"/>
          <w:sz w:val="20"/>
          <w:szCs w:val="20"/>
        </w:rPr>
        <w:t>Yes</w:t>
      </w:r>
      <w:r w:rsidRPr="002C7ED9">
        <w:rPr>
          <w:rFonts w:ascii="Arial" w:eastAsia="Times New Roman" w:hAnsi="Arial" w:cs="Arial"/>
          <w:color w:val="000000"/>
          <w:sz w:val="20"/>
          <w:szCs w:val="20"/>
        </w:rPr>
        <w:t xml:space="preserve">. If the recipient </w:t>
      </w:r>
      <w:r w:rsidRPr="002C7ED9">
        <w:rPr>
          <w:rFonts w:ascii="Arial" w:eastAsia="Times New Roman" w:hAnsi="Arial" w:cs="Arial"/>
          <w:b/>
          <w:bCs/>
          <w:color w:val="000000"/>
          <w:sz w:val="20"/>
          <w:szCs w:val="20"/>
        </w:rPr>
        <w:t>did not</w:t>
      </w:r>
      <w:r w:rsidRPr="002C7ED9">
        <w:rPr>
          <w:rFonts w:ascii="Arial" w:eastAsia="Times New Roman" w:hAnsi="Arial" w:cs="Arial"/>
          <w:color w:val="000000"/>
          <w:sz w:val="20"/>
          <w:szCs w:val="20"/>
        </w:rPr>
        <w:t xml:space="preserve"> receive any pre-transplant treatment for HCC, click </w:t>
      </w:r>
      <w:r w:rsidRPr="002C7ED9">
        <w:rPr>
          <w:rFonts w:ascii="Arial" w:eastAsia="Times New Roman" w:hAnsi="Arial" w:cs="Arial"/>
          <w:b/>
          <w:bCs/>
          <w:color w:val="000000"/>
          <w:sz w:val="20"/>
          <w:szCs w:val="20"/>
        </w:rPr>
        <w:t>No</w:t>
      </w:r>
      <w:r w:rsidRPr="002C7ED9">
        <w:rPr>
          <w:rFonts w:ascii="Arial" w:eastAsia="Times New Roman" w:hAnsi="Arial" w:cs="Arial"/>
          <w:color w:val="000000"/>
          <w:sz w:val="20"/>
          <w:szCs w:val="20"/>
        </w:rPr>
        <w:t xml:space="preserve">. This field is </w:t>
      </w:r>
      <w:r w:rsidRPr="002C7ED9">
        <w:rPr>
          <w:rFonts w:ascii="Arial" w:eastAsia="Times New Roman" w:hAnsi="Arial" w:cs="Arial"/>
          <w:b/>
          <w:bCs/>
          <w:color w:val="000000"/>
          <w:sz w:val="20"/>
          <w:szCs w:val="20"/>
        </w:rPr>
        <w:t>required</w:t>
      </w:r>
      <w:r w:rsidRPr="002C7ED9">
        <w:rPr>
          <w:rFonts w:ascii="Arial" w:eastAsia="Times New Roman" w:hAnsi="Arial" w:cs="Arial"/>
          <w:color w:val="000000"/>
          <w:sz w:val="20"/>
          <w:szCs w:val="20"/>
        </w:rPr>
        <w:t>.  Examples of loco-regional therapy include TACE (trans-arterial chemoembolization) RFA (radiofrequency ablation), and radiolabeled microsphere treatment.</w:t>
      </w:r>
    </w:p>
    <w:p w14:paraId="5C7A0302" w14:textId="77777777" w:rsidR="00A37799" w:rsidRDefault="00A37799" w:rsidP="002C7ED9"/>
    <w:sectPr w:rsidR="00A3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D9"/>
    <w:rsid w:val="002C7ED9"/>
    <w:rsid w:val="008C3A2F"/>
    <w:rsid w:val="00A3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5950"/>
  <w15:chartTrackingRefBased/>
  <w15:docId w15:val="{434BE972-43CE-4E3E-AE7D-6B698083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ED9"/>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D9"/>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unhideWhenUsed/>
    <w:rsid w:val="002C7ED9"/>
    <w:rPr>
      <w:color w:val="0000FF"/>
      <w:u w:val="single"/>
    </w:rPr>
  </w:style>
  <w:style w:type="paragraph" w:styleId="NormalWeb">
    <w:name w:val="Normal (Web)"/>
    <w:basedOn w:val="Normal"/>
    <w:uiPriority w:val="99"/>
    <w:semiHidden/>
    <w:unhideWhenUsed/>
    <w:rsid w:val="002C7ED9"/>
    <w:pPr>
      <w:spacing w:before="80" w:after="80" w:line="240" w:lineRule="auto"/>
      <w:ind w:left="160" w:right="160"/>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3C6BF13E-AFB4-406D-A9B5-6018BB81869F}"/>
</file>

<file path=customXml/itemProps2.xml><?xml version="1.0" encoding="utf-8"?>
<ds:datastoreItem xmlns:ds="http://schemas.openxmlformats.org/officeDocument/2006/customXml" ds:itemID="{DA9C6415-1B85-4FE1-A0CD-619CB407B8FF}"/>
</file>

<file path=customXml/itemProps3.xml><?xml version="1.0" encoding="utf-8"?>
<ds:datastoreItem xmlns:ds="http://schemas.openxmlformats.org/officeDocument/2006/customXml" ds:itemID="{EA04A71F-C6BB-4266-A65A-94E466F940C7}"/>
</file>

<file path=customXml/itemProps4.xml><?xml version="1.0" encoding="utf-8"?>
<ds:datastoreItem xmlns:ds="http://schemas.openxmlformats.org/officeDocument/2006/customXml" ds:itemID="{59295448-9CDF-4170-A643-5FE8CCF1DBD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5678</Characters>
  <Application>Microsoft Office Word</Application>
  <DocSecurity>0</DocSecurity>
  <Lines>47</Lines>
  <Paragraphs>13</Paragraphs>
  <ScaleCrop>false</ScaleCrop>
  <Company>UNOS</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2</cp:revision>
  <dcterms:created xsi:type="dcterms:W3CDTF">2014-07-31T18:56:00Z</dcterms:created>
  <dcterms:modified xsi:type="dcterms:W3CDTF">2014-10-16T17:23:00Z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19400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