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8254D" w14:textId="77777777" w:rsidR="00FA5484" w:rsidRDefault="00FA5484" w:rsidP="00FA5484">
      <w:pPr>
        <w:jc w:val="center"/>
      </w:pPr>
    </w:p>
    <w:p w14:paraId="582BA070" w14:textId="77777777" w:rsidR="00FA5484" w:rsidRDefault="00FA5484" w:rsidP="00FA5484">
      <w:pPr>
        <w:jc w:val="center"/>
      </w:pPr>
    </w:p>
    <w:p w14:paraId="1CB6BBA3" w14:textId="77777777" w:rsidR="00FA5484" w:rsidRDefault="00FA5484" w:rsidP="00FA5484">
      <w:pPr>
        <w:jc w:val="center"/>
      </w:pPr>
    </w:p>
    <w:p w14:paraId="2949129D" w14:textId="77777777" w:rsidR="00FA5484" w:rsidRDefault="00FA5484" w:rsidP="00FA5484">
      <w:pPr>
        <w:jc w:val="center"/>
      </w:pPr>
    </w:p>
    <w:p w14:paraId="735BE5ED" w14:textId="77777777" w:rsidR="00FA5484" w:rsidRDefault="00FA5484" w:rsidP="00FA5484">
      <w:pPr>
        <w:jc w:val="center"/>
      </w:pPr>
    </w:p>
    <w:p w14:paraId="746009F6" w14:textId="442063CF" w:rsidR="00C74549" w:rsidRDefault="00640BE7" w:rsidP="00C74549">
      <w:pPr>
        <w:jc w:val="center"/>
      </w:pPr>
      <w:r w:rsidRPr="00640BE7">
        <w:t>Surveillance of Health-Related Workplace Absenteeism</w:t>
      </w:r>
    </w:p>
    <w:p w14:paraId="29A1C46F" w14:textId="77777777" w:rsidR="00640BE7" w:rsidRDefault="00640BE7" w:rsidP="00C74549">
      <w:pPr>
        <w:jc w:val="center"/>
      </w:pPr>
    </w:p>
    <w:p w14:paraId="236B2498" w14:textId="77777777" w:rsidR="00C74549" w:rsidRDefault="00C74549" w:rsidP="00C74549">
      <w:pPr>
        <w:jc w:val="center"/>
      </w:pPr>
      <w:r>
        <w:t>Request for Office of Management and Budget Review and Approval for Federally Sponsored Information Collection</w:t>
      </w:r>
    </w:p>
    <w:p w14:paraId="6067A95E" w14:textId="77777777" w:rsidR="00C74549" w:rsidRDefault="00C74549" w:rsidP="00C74549">
      <w:pPr>
        <w:jc w:val="center"/>
      </w:pPr>
    </w:p>
    <w:p w14:paraId="03D9664D" w14:textId="77777777" w:rsidR="00C74549" w:rsidRDefault="00C74549" w:rsidP="00C74549">
      <w:pPr>
        <w:jc w:val="center"/>
      </w:pPr>
    </w:p>
    <w:p w14:paraId="463641B5" w14:textId="2CCCA6D1" w:rsidR="00C74549" w:rsidRDefault="00C74549" w:rsidP="00C74549">
      <w:pPr>
        <w:jc w:val="center"/>
      </w:pPr>
      <w:r>
        <w:t>Supporting Statement A</w:t>
      </w:r>
      <w:r w:rsidR="00B62741">
        <w:t>- Justification</w:t>
      </w:r>
    </w:p>
    <w:p w14:paraId="2A839D43" w14:textId="77777777" w:rsidR="00C74549" w:rsidRDefault="00C74549" w:rsidP="00C74549">
      <w:pPr>
        <w:jc w:val="center"/>
      </w:pPr>
    </w:p>
    <w:p w14:paraId="1634EB62" w14:textId="77777777" w:rsidR="00C74549" w:rsidRDefault="00C74549" w:rsidP="00C74549">
      <w:pPr>
        <w:jc w:val="center"/>
      </w:pPr>
    </w:p>
    <w:p w14:paraId="0736D27E" w14:textId="77777777" w:rsidR="00C74549" w:rsidRDefault="00C74549" w:rsidP="00C74549">
      <w:pPr>
        <w:jc w:val="center"/>
      </w:pPr>
      <w:r>
        <w:t>National Institute for Occupational Safety and Health (NIOSH)</w:t>
      </w:r>
    </w:p>
    <w:p w14:paraId="5D35CE9D" w14:textId="77777777" w:rsidR="00C74549" w:rsidRDefault="00C74549" w:rsidP="00C74549">
      <w:pPr>
        <w:jc w:val="center"/>
      </w:pPr>
    </w:p>
    <w:p w14:paraId="744448A1" w14:textId="77777777" w:rsidR="00C74549" w:rsidRDefault="00C74549" w:rsidP="00C74549">
      <w:pPr>
        <w:jc w:val="center"/>
      </w:pPr>
      <w:r>
        <w:t xml:space="preserve">Project Officer: </w:t>
      </w:r>
      <w:r w:rsidRPr="00C74549">
        <w:t xml:space="preserve">Sara E. </w:t>
      </w:r>
      <w:proofErr w:type="spellStart"/>
      <w:r w:rsidRPr="00C74549">
        <w:t>Luckhaupt</w:t>
      </w:r>
      <w:proofErr w:type="spellEnd"/>
    </w:p>
    <w:p w14:paraId="7AA34265" w14:textId="77777777" w:rsidR="00C74549" w:rsidRDefault="00C74549" w:rsidP="00C74549">
      <w:pPr>
        <w:jc w:val="center"/>
      </w:pPr>
      <w:r>
        <w:t xml:space="preserve">Phone: </w:t>
      </w:r>
      <w:r w:rsidRPr="00C74549">
        <w:t>513.841.4123</w:t>
      </w:r>
    </w:p>
    <w:p w14:paraId="64370AE9" w14:textId="77777777" w:rsidR="00C74549" w:rsidRDefault="00C74549" w:rsidP="00C74549">
      <w:pPr>
        <w:jc w:val="center"/>
      </w:pPr>
      <w:r>
        <w:t xml:space="preserve">E-mail: </w:t>
      </w:r>
      <w:proofErr w:type="spellStart"/>
      <w:r>
        <w:t>sl</w:t>
      </w:r>
      <w:r w:rsidRPr="00C74549">
        <w:t>uckhaupt</w:t>
      </w:r>
      <w:proofErr w:type="spellEnd"/>
      <w:r w:rsidRPr="00C74549">
        <w:t xml:space="preserve"> </w:t>
      </w:r>
      <w:r>
        <w:t>@cdc.gov</w:t>
      </w:r>
    </w:p>
    <w:p w14:paraId="2EAA6DFA" w14:textId="77777777" w:rsidR="00C74549" w:rsidRDefault="00C74549" w:rsidP="00C74549">
      <w:pPr>
        <w:jc w:val="center"/>
      </w:pPr>
    </w:p>
    <w:p w14:paraId="5B49E7C9" w14:textId="77777777" w:rsidR="00C74549" w:rsidRDefault="00C74549" w:rsidP="00C74549">
      <w:pPr>
        <w:jc w:val="center"/>
      </w:pPr>
    </w:p>
    <w:p w14:paraId="3D4DED4D" w14:textId="7A66C817" w:rsidR="00C74549" w:rsidRDefault="00C74549" w:rsidP="00C74549">
      <w:pPr>
        <w:jc w:val="center"/>
      </w:pPr>
      <w:r>
        <w:t xml:space="preserve">October </w:t>
      </w:r>
      <w:r w:rsidR="00B62741">
        <w:t>2</w:t>
      </w:r>
      <w:r w:rsidR="00C51FCE">
        <w:t>3</w:t>
      </w:r>
      <w:r>
        <w:t>, 2014</w:t>
      </w:r>
    </w:p>
    <w:p w14:paraId="7195704C" w14:textId="77777777" w:rsidR="00FA5484" w:rsidRDefault="00FA5484" w:rsidP="00FA5484">
      <w:pPr>
        <w:jc w:val="center"/>
      </w:pPr>
    </w:p>
    <w:p w14:paraId="0D01FED6" w14:textId="77777777" w:rsidR="00FA5484" w:rsidRDefault="00FA5484" w:rsidP="00FA5484">
      <w:pPr>
        <w:jc w:val="center"/>
      </w:pPr>
    </w:p>
    <w:p w14:paraId="209A0886" w14:textId="77777777" w:rsidR="00FA5484" w:rsidRDefault="00FA5484" w:rsidP="00FA5484">
      <w:pPr>
        <w:jc w:val="center"/>
      </w:pPr>
    </w:p>
    <w:p w14:paraId="5045B9AC" w14:textId="77777777" w:rsidR="00FA5484" w:rsidRDefault="00FA5484" w:rsidP="00FA5484">
      <w:pPr>
        <w:jc w:val="center"/>
      </w:pPr>
    </w:p>
    <w:p w14:paraId="1DF0CFC8" w14:textId="77777777" w:rsidR="00FA5484" w:rsidRDefault="00FA5484" w:rsidP="00FA5484">
      <w:pPr>
        <w:jc w:val="center"/>
      </w:pPr>
    </w:p>
    <w:p w14:paraId="3A5FEC65" w14:textId="77777777" w:rsidR="00FA5484" w:rsidRDefault="00FA5484" w:rsidP="00FA5484">
      <w:pPr>
        <w:jc w:val="center"/>
      </w:pPr>
    </w:p>
    <w:p w14:paraId="0CFCB623" w14:textId="77777777" w:rsidR="00FA5484" w:rsidRDefault="00FA5484" w:rsidP="00FA5484">
      <w:pPr>
        <w:jc w:val="center"/>
      </w:pPr>
    </w:p>
    <w:p w14:paraId="55E40F37" w14:textId="77777777" w:rsidR="00FA5484" w:rsidRDefault="00FA5484" w:rsidP="00FA5484">
      <w:pPr>
        <w:jc w:val="center"/>
      </w:pPr>
    </w:p>
    <w:p w14:paraId="29289B28" w14:textId="77777777" w:rsidR="00FA5484" w:rsidRDefault="00FA5484" w:rsidP="00FA5484">
      <w:pPr>
        <w:jc w:val="center"/>
      </w:pPr>
    </w:p>
    <w:p w14:paraId="15D50FC5" w14:textId="77777777" w:rsidR="00FA5484" w:rsidRDefault="00FA5484" w:rsidP="00FA5484">
      <w:pPr>
        <w:jc w:val="center"/>
      </w:pPr>
    </w:p>
    <w:p w14:paraId="29CAC1EC" w14:textId="77777777" w:rsidR="00FA5484" w:rsidRDefault="00FA5484" w:rsidP="00FA5484">
      <w:pPr>
        <w:jc w:val="center"/>
      </w:pPr>
    </w:p>
    <w:p w14:paraId="627E4DE7" w14:textId="77777777" w:rsidR="00FA5484" w:rsidRDefault="00FA5484" w:rsidP="00FA5484">
      <w:pPr>
        <w:jc w:val="center"/>
      </w:pPr>
    </w:p>
    <w:p w14:paraId="227F8896" w14:textId="77777777" w:rsidR="00FA5484" w:rsidRDefault="00FA5484" w:rsidP="00FA5484">
      <w:pPr>
        <w:jc w:val="center"/>
      </w:pPr>
    </w:p>
    <w:p w14:paraId="11A7AB07" w14:textId="77777777" w:rsidR="00FA5484" w:rsidRDefault="00FA5484" w:rsidP="00FA5484">
      <w:pPr>
        <w:jc w:val="center"/>
      </w:pPr>
    </w:p>
    <w:p w14:paraId="6858D86C" w14:textId="77777777" w:rsidR="00FA5484" w:rsidRDefault="00FA5484" w:rsidP="00FA5484">
      <w:pPr>
        <w:jc w:val="center"/>
      </w:pPr>
    </w:p>
    <w:p w14:paraId="33739FDF" w14:textId="77777777" w:rsidR="00FA5484" w:rsidRDefault="00FA5484" w:rsidP="00FA5484">
      <w:pPr>
        <w:jc w:val="center"/>
      </w:pPr>
    </w:p>
    <w:p w14:paraId="75C8F26B" w14:textId="77777777" w:rsidR="00FA5484" w:rsidRDefault="00FA5484" w:rsidP="00FA5484">
      <w:pPr>
        <w:jc w:val="center"/>
      </w:pPr>
    </w:p>
    <w:p w14:paraId="3908ECDB" w14:textId="77777777" w:rsidR="00FA5484" w:rsidRDefault="00FA5484" w:rsidP="00FA5484">
      <w:pPr>
        <w:jc w:val="center"/>
      </w:pPr>
    </w:p>
    <w:p w14:paraId="26735C4F" w14:textId="77777777" w:rsidR="00FA5484" w:rsidRDefault="00FA5484" w:rsidP="00FA5484">
      <w:pPr>
        <w:jc w:val="center"/>
      </w:pPr>
    </w:p>
    <w:p w14:paraId="32A918DE" w14:textId="77777777" w:rsidR="00FA5484" w:rsidRDefault="00FA5484" w:rsidP="00FA5484">
      <w:pPr>
        <w:jc w:val="center"/>
      </w:pPr>
    </w:p>
    <w:p w14:paraId="1C2BD225" w14:textId="77777777" w:rsidR="00FA5484" w:rsidRDefault="00FA5484" w:rsidP="00FA5484">
      <w:pPr>
        <w:jc w:val="center"/>
      </w:pPr>
    </w:p>
    <w:p w14:paraId="58299295" w14:textId="77777777" w:rsidR="00FA5484" w:rsidRDefault="00FA5484" w:rsidP="00FA5484">
      <w:pPr>
        <w:jc w:val="center"/>
      </w:pPr>
    </w:p>
    <w:p w14:paraId="4DE9405C" w14:textId="77777777" w:rsidR="00FA5484" w:rsidRDefault="00FA5484" w:rsidP="00FA5484">
      <w:pPr>
        <w:jc w:val="center"/>
      </w:pPr>
    </w:p>
    <w:p w14:paraId="0856E849" w14:textId="77777777" w:rsidR="00FA5484" w:rsidRDefault="00FA5484" w:rsidP="00FA5484">
      <w:pPr>
        <w:jc w:val="center"/>
      </w:pPr>
    </w:p>
    <w:p w14:paraId="0919EA5A" w14:textId="77777777" w:rsidR="00C74549" w:rsidRDefault="00C74549" w:rsidP="00FA5484">
      <w:pPr>
        <w:jc w:val="center"/>
      </w:pPr>
    </w:p>
    <w:p w14:paraId="42402A27" w14:textId="77777777" w:rsidR="00FA5484" w:rsidRDefault="00FA5484" w:rsidP="00FA5484"/>
    <w:p w14:paraId="329E017F" w14:textId="77777777" w:rsidR="00FA5484" w:rsidRPr="00FD470D" w:rsidRDefault="00FA5484" w:rsidP="00FA5484">
      <w:pPr>
        <w:rPr>
          <w:b/>
        </w:rPr>
      </w:pPr>
      <w:r w:rsidRPr="00FD470D">
        <w:rPr>
          <w:b/>
        </w:rPr>
        <w:lastRenderedPageBreak/>
        <w:t>Table of Contents</w:t>
      </w:r>
    </w:p>
    <w:p w14:paraId="72AC2B1E" w14:textId="77777777" w:rsidR="00FA5484" w:rsidRPr="00C33249" w:rsidRDefault="00FA5484" w:rsidP="00FA5484">
      <w:pPr>
        <w:pStyle w:val="ListParagraph"/>
        <w:numPr>
          <w:ilvl w:val="0"/>
          <w:numId w:val="1"/>
        </w:numPr>
      </w:pPr>
      <w:r w:rsidRPr="00C33249">
        <w:t>Circumstances Making the Collection of Information Necessary</w:t>
      </w:r>
    </w:p>
    <w:p w14:paraId="51FF10C3" w14:textId="77777777" w:rsidR="00FA5484" w:rsidRPr="00C33249" w:rsidRDefault="00FA5484" w:rsidP="00FA5484">
      <w:pPr>
        <w:pStyle w:val="ListParagraph"/>
        <w:numPr>
          <w:ilvl w:val="0"/>
          <w:numId w:val="1"/>
        </w:numPr>
      </w:pPr>
      <w:r w:rsidRPr="00C33249">
        <w:t>Purpose and Use of Information Collections</w:t>
      </w:r>
    </w:p>
    <w:p w14:paraId="4132F436" w14:textId="77777777" w:rsidR="00FA5484" w:rsidRPr="00C33249" w:rsidRDefault="00FA5484" w:rsidP="00FA5484">
      <w:pPr>
        <w:pStyle w:val="ListParagraph"/>
        <w:numPr>
          <w:ilvl w:val="0"/>
          <w:numId w:val="1"/>
        </w:numPr>
      </w:pPr>
      <w:r w:rsidRPr="00C33249">
        <w:t>Use of Improved Information Technology and Burden Reduction</w:t>
      </w:r>
    </w:p>
    <w:p w14:paraId="5ACFA09F" w14:textId="77777777" w:rsidR="00FA5484" w:rsidRPr="00C33249" w:rsidRDefault="00FA5484" w:rsidP="00FA5484">
      <w:pPr>
        <w:pStyle w:val="ListParagraph"/>
        <w:numPr>
          <w:ilvl w:val="0"/>
          <w:numId w:val="1"/>
        </w:numPr>
      </w:pPr>
      <w:r w:rsidRPr="00C33249">
        <w:t>Efforts to Identify Duplication and Use of Similar Information</w:t>
      </w:r>
    </w:p>
    <w:p w14:paraId="6A51C7E7" w14:textId="77777777" w:rsidR="00FA5484" w:rsidRPr="00C33249" w:rsidRDefault="00FA5484" w:rsidP="00FA5484">
      <w:pPr>
        <w:pStyle w:val="ListParagraph"/>
        <w:numPr>
          <w:ilvl w:val="0"/>
          <w:numId w:val="1"/>
        </w:numPr>
      </w:pPr>
      <w:r w:rsidRPr="00C33249">
        <w:t>Impact on Small Businesses or Other Small Entities</w:t>
      </w:r>
    </w:p>
    <w:p w14:paraId="5E6EE872" w14:textId="77777777" w:rsidR="00FA5484" w:rsidRPr="00C33249" w:rsidRDefault="00FA5484" w:rsidP="00FA5484">
      <w:pPr>
        <w:pStyle w:val="ListParagraph"/>
        <w:numPr>
          <w:ilvl w:val="0"/>
          <w:numId w:val="1"/>
        </w:numPr>
      </w:pPr>
      <w:r w:rsidRPr="00C33249">
        <w:t>Consequences of Collecting the Information Less Frequently</w:t>
      </w:r>
    </w:p>
    <w:p w14:paraId="5FD83D19" w14:textId="77777777" w:rsidR="00FA5484" w:rsidRPr="00C33249" w:rsidRDefault="00FA5484" w:rsidP="00FA5484">
      <w:pPr>
        <w:pStyle w:val="ListParagraph"/>
        <w:numPr>
          <w:ilvl w:val="0"/>
          <w:numId w:val="1"/>
        </w:numPr>
      </w:pPr>
      <w:r w:rsidRPr="00C33249">
        <w:t>Special Circumstances Relating to the Guidelines of 5 CFR 1320.0</w:t>
      </w:r>
    </w:p>
    <w:p w14:paraId="05ACC034" w14:textId="77777777" w:rsidR="00FA5484" w:rsidRPr="00C33249" w:rsidRDefault="00FA5484" w:rsidP="00FA5484">
      <w:pPr>
        <w:pStyle w:val="ListParagraph"/>
        <w:numPr>
          <w:ilvl w:val="0"/>
          <w:numId w:val="1"/>
        </w:numPr>
      </w:pPr>
      <w:r w:rsidRPr="00C33249">
        <w:t>Comments in Response to the Federal Register Notice and Efforts to Consult Outside the Agency</w:t>
      </w:r>
    </w:p>
    <w:p w14:paraId="4F562F61" w14:textId="77777777" w:rsidR="00FA5484" w:rsidRPr="00C33249" w:rsidRDefault="00FA5484" w:rsidP="00FA5484">
      <w:pPr>
        <w:pStyle w:val="ListParagraph"/>
        <w:numPr>
          <w:ilvl w:val="0"/>
          <w:numId w:val="1"/>
        </w:numPr>
      </w:pPr>
      <w:r w:rsidRPr="00C33249">
        <w:t>Explanation of Any Payment or Gift to Respondents</w:t>
      </w:r>
    </w:p>
    <w:p w14:paraId="386487B0" w14:textId="77777777" w:rsidR="00FA5484" w:rsidRPr="00C33249" w:rsidRDefault="00FA5484" w:rsidP="00FA5484">
      <w:pPr>
        <w:pStyle w:val="ListParagraph"/>
        <w:numPr>
          <w:ilvl w:val="0"/>
          <w:numId w:val="1"/>
        </w:numPr>
      </w:pPr>
      <w:r w:rsidRPr="00C33249">
        <w:t>Assurance of Confidentiality Provided to Respondents</w:t>
      </w:r>
    </w:p>
    <w:p w14:paraId="03B6308D" w14:textId="77777777" w:rsidR="00FA5484" w:rsidRPr="00C33249" w:rsidRDefault="00FA5484" w:rsidP="00FA5484">
      <w:pPr>
        <w:pStyle w:val="ListParagraph"/>
        <w:numPr>
          <w:ilvl w:val="0"/>
          <w:numId w:val="1"/>
        </w:numPr>
      </w:pPr>
      <w:r w:rsidRPr="00C33249">
        <w:t>Justification for Sensitive Questions</w:t>
      </w:r>
    </w:p>
    <w:p w14:paraId="7F713AE1" w14:textId="77777777" w:rsidR="00FA5484" w:rsidRPr="00C33249" w:rsidRDefault="00FA5484" w:rsidP="00FA5484">
      <w:pPr>
        <w:pStyle w:val="ListParagraph"/>
        <w:numPr>
          <w:ilvl w:val="0"/>
          <w:numId w:val="1"/>
        </w:numPr>
      </w:pPr>
      <w:r w:rsidRPr="00C33249">
        <w:t>Estimates of Annualized Burden Hours and Costs</w:t>
      </w:r>
    </w:p>
    <w:p w14:paraId="35ECC9A4" w14:textId="77777777" w:rsidR="00FA5484" w:rsidRPr="00C33249" w:rsidRDefault="00FA5484" w:rsidP="00FA5484">
      <w:pPr>
        <w:pStyle w:val="ListParagraph"/>
        <w:numPr>
          <w:ilvl w:val="0"/>
          <w:numId w:val="1"/>
        </w:numPr>
      </w:pPr>
      <w:r w:rsidRPr="00C33249">
        <w:t>Estimates of Other Total Annual Cost Burden to Respondents or Record Keepers</w:t>
      </w:r>
    </w:p>
    <w:p w14:paraId="580074D0" w14:textId="77777777" w:rsidR="00FA5484" w:rsidRPr="00C33249" w:rsidRDefault="00FA5484" w:rsidP="00FA5484">
      <w:pPr>
        <w:pStyle w:val="ListParagraph"/>
        <w:numPr>
          <w:ilvl w:val="0"/>
          <w:numId w:val="1"/>
        </w:numPr>
      </w:pPr>
      <w:r w:rsidRPr="00C33249">
        <w:t>Annualized Cost to the Government</w:t>
      </w:r>
    </w:p>
    <w:p w14:paraId="248E4068" w14:textId="77777777" w:rsidR="00FA5484" w:rsidRPr="00C33249" w:rsidRDefault="00FA5484" w:rsidP="00FA5484">
      <w:pPr>
        <w:pStyle w:val="ListParagraph"/>
        <w:numPr>
          <w:ilvl w:val="0"/>
          <w:numId w:val="1"/>
        </w:numPr>
      </w:pPr>
      <w:r w:rsidRPr="00C33249">
        <w:t>Explanation for Program Changes or Adjustments</w:t>
      </w:r>
    </w:p>
    <w:p w14:paraId="00499E64" w14:textId="77777777" w:rsidR="00FA5484" w:rsidRPr="00C33249" w:rsidRDefault="00FA5484" w:rsidP="00FA5484">
      <w:pPr>
        <w:pStyle w:val="ListParagraph"/>
        <w:numPr>
          <w:ilvl w:val="0"/>
          <w:numId w:val="1"/>
        </w:numPr>
      </w:pPr>
      <w:r w:rsidRPr="00C33249">
        <w:t>Plans for Tabulation and Publication and Project Time Schedule</w:t>
      </w:r>
    </w:p>
    <w:p w14:paraId="234E162E" w14:textId="77777777" w:rsidR="00FA5484" w:rsidRPr="00C33249" w:rsidRDefault="00FA5484" w:rsidP="00FA5484">
      <w:pPr>
        <w:pStyle w:val="ListParagraph"/>
        <w:numPr>
          <w:ilvl w:val="0"/>
          <w:numId w:val="1"/>
        </w:numPr>
      </w:pPr>
      <w:r w:rsidRPr="00C33249">
        <w:t>Reason(s) Display of OMB Expiration Date is Inappropriate</w:t>
      </w:r>
    </w:p>
    <w:p w14:paraId="05B5B0DE" w14:textId="77777777" w:rsidR="00FA5484" w:rsidRPr="00C33249" w:rsidRDefault="00FA5484" w:rsidP="00FA5484">
      <w:pPr>
        <w:pStyle w:val="ListParagraph"/>
        <w:numPr>
          <w:ilvl w:val="0"/>
          <w:numId w:val="1"/>
        </w:numPr>
      </w:pPr>
      <w:r w:rsidRPr="00C33249">
        <w:t>Exceptions to Certification for Paperwork Reduction Act Submissions</w:t>
      </w:r>
    </w:p>
    <w:p w14:paraId="264EE175" w14:textId="77777777" w:rsidR="00FA5484" w:rsidRDefault="00FA5484" w:rsidP="00FA5484"/>
    <w:p w14:paraId="3B2C10CF" w14:textId="77777777" w:rsidR="00FA5484" w:rsidRDefault="00FA5484" w:rsidP="00FA5484"/>
    <w:p w14:paraId="248D9DBB" w14:textId="77777777" w:rsidR="00FA5484" w:rsidRDefault="00FA5484" w:rsidP="00FA5484"/>
    <w:p w14:paraId="67E8E22D" w14:textId="77777777" w:rsidR="00FA5484" w:rsidRDefault="00FA5484" w:rsidP="00FA5484"/>
    <w:p w14:paraId="6C39D0FB" w14:textId="77777777" w:rsidR="00FA5484" w:rsidRDefault="00FA5484" w:rsidP="00FA5484"/>
    <w:p w14:paraId="011317F6" w14:textId="77777777" w:rsidR="00FA5484" w:rsidRDefault="00FA5484" w:rsidP="00FA5484"/>
    <w:p w14:paraId="548AE5B3" w14:textId="77777777" w:rsidR="00FA5484" w:rsidRDefault="00FA5484" w:rsidP="00FA5484"/>
    <w:p w14:paraId="6F9AD9BE" w14:textId="77777777" w:rsidR="00FA5484" w:rsidRDefault="00FA5484" w:rsidP="00FA5484"/>
    <w:p w14:paraId="22A051E6" w14:textId="77777777" w:rsidR="00FA5484" w:rsidRDefault="00FA5484" w:rsidP="00FA5484"/>
    <w:p w14:paraId="7B72B267" w14:textId="77777777" w:rsidR="00FA5484" w:rsidRDefault="00FA5484" w:rsidP="00FA5484"/>
    <w:p w14:paraId="7A330F0D" w14:textId="77777777" w:rsidR="00FA5484" w:rsidRDefault="00FA5484" w:rsidP="00FA5484"/>
    <w:p w14:paraId="13D56CD2" w14:textId="77777777" w:rsidR="00FA5484" w:rsidRDefault="00FA5484" w:rsidP="00FA5484"/>
    <w:p w14:paraId="7DBC7AF1" w14:textId="77777777" w:rsidR="00FA5484" w:rsidRDefault="00FA5484" w:rsidP="00FA5484"/>
    <w:p w14:paraId="42C57AC5" w14:textId="77777777" w:rsidR="00FA5484" w:rsidRDefault="00FA5484" w:rsidP="00FA5484"/>
    <w:p w14:paraId="2D039DED" w14:textId="77777777" w:rsidR="00FA5484" w:rsidRDefault="00FA5484" w:rsidP="00FA5484"/>
    <w:p w14:paraId="7ECE5613" w14:textId="77777777" w:rsidR="00FA5484" w:rsidRDefault="00FA5484" w:rsidP="00FA5484"/>
    <w:p w14:paraId="4CC913F5" w14:textId="77777777" w:rsidR="00FA5484" w:rsidRDefault="00FA5484" w:rsidP="00FA5484"/>
    <w:p w14:paraId="590F7DFC" w14:textId="77777777" w:rsidR="00FA5484" w:rsidRDefault="00FA5484" w:rsidP="00FA5484"/>
    <w:p w14:paraId="42612089" w14:textId="77777777" w:rsidR="00FA5484" w:rsidRDefault="00FA5484" w:rsidP="00FA5484"/>
    <w:p w14:paraId="232A0881" w14:textId="77777777" w:rsidR="00FA5484" w:rsidRDefault="00FA5484" w:rsidP="00FA5484"/>
    <w:p w14:paraId="1E950373" w14:textId="77777777" w:rsidR="00FA5484" w:rsidRDefault="00FA5484" w:rsidP="00FA5484"/>
    <w:p w14:paraId="55B20A4C" w14:textId="77777777" w:rsidR="00FA5484" w:rsidRDefault="00FA5484" w:rsidP="00FA5484"/>
    <w:p w14:paraId="2A41F64E" w14:textId="77777777" w:rsidR="00FA5484" w:rsidRDefault="00FA5484" w:rsidP="00FA5484"/>
    <w:p w14:paraId="3F92C901" w14:textId="77777777" w:rsidR="00FA5484" w:rsidRDefault="00FA5484" w:rsidP="00FA5484"/>
    <w:p w14:paraId="7D360DD1" w14:textId="77777777" w:rsidR="00FA5484" w:rsidRDefault="00FA5484" w:rsidP="00FA5484"/>
    <w:p w14:paraId="1DBCFEB1" w14:textId="77777777" w:rsidR="00FA5484" w:rsidRDefault="00FA5484" w:rsidP="00FA5484"/>
    <w:p w14:paraId="76839833" w14:textId="77777777" w:rsidR="00FA5484" w:rsidRDefault="00FA5484" w:rsidP="00FA5484"/>
    <w:p w14:paraId="3172DCCE" w14:textId="77777777" w:rsidR="00FA5484" w:rsidRDefault="00FA5484" w:rsidP="00FA5484"/>
    <w:p w14:paraId="1E8DA37A" w14:textId="77777777" w:rsidR="00FA5484" w:rsidRDefault="00FA5484" w:rsidP="00FA5484"/>
    <w:p w14:paraId="3AC55497" w14:textId="77777777" w:rsidR="00FA5484" w:rsidRDefault="00FA5484" w:rsidP="00FA5484"/>
    <w:p w14:paraId="6BE543E6" w14:textId="77777777" w:rsidR="00FA5484" w:rsidRDefault="00FA5484" w:rsidP="00FA5484">
      <w:pPr>
        <w:rPr>
          <w:b/>
        </w:rPr>
      </w:pPr>
      <w:r w:rsidRPr="00FD470D">
        <w:rPr>
          <w:b/>
        </w:rPr>
        <w:t>List of Attachments</w:t>
      </w:r>
    </w:p>
    <w:p w14:paraId="556AD068" w14:textId="77777777" w:rsidR="00FA5484" w:rsidRDefault="00FA5484" w:rsidP="00FA5484"/>
    <w:p w14:paraId="7DC9F760" w14:textId="77777777" w:rsidR="00FA5484" w:rsidRDefault="00FA5484" w:rsidP="00FA5484">
      <w:r>
        <w:t xml:space="preserve">Attachment A – </w:t>
      </w:r>
      <w:r w:rsidR="00D741CA" w:rsidRPr="00D741CA">
        <w:t>Occupational Safety and Health Act of 1970 Public Law 91-256</w:t>
      </w:r>
    </w:p>
    <w:p w14:paraId="482416A9" w14:textId="77777777" w:rsidR="00FA5484" w:rsidRDefault="00FA5484" w:rsidP="00FA5484">
      <w:r>
        <w:t>Attachment B – 60 Day Federal Register Notice</w:t>
      </w:r>
    </w:p>
    <w:p w14:paraId="2B8623BE" w14:textId="5B99956F" w:rsidR="00FA5484" w:rsidRPr="000A1AB4" w:rsidRDefault="00FA5484" w:rsidP="00FA5484">
      <w:r>
        <w:t xml:space="preserve">Attachment C </w:t>
      </w:r>
      <w:r w:rsidR="00C33249" w:rsidRPr="00C33249">
        <w:t>–</w:t>
      </w:r>
      <w:r w:rsidRPr="00E734AA">
        <w:rPr>
          <w:b/>
        </w:rPr>
        <w:t xml:space="preserve"> </w:t>
      </w:r>
      <w:r w:rsidR="004D0BE6" w:rsidRPr="004D0BE6">
        <w:t>Public Comments and Responses to the Federal Register Notice</w:t>
      </w:r>
    </w:p>
    <w:p w14:paraId="5415FB67" w14:textId="386F3F3A" w:rsidR="00FA5484" w:rsidRDefault="00FA5484" w:rsidP="00FA5484">
      <w:r>
        <w:t>Attachment D</w:t>
      </w:r>
      <w:r w:rsidR="00C33249">
        <w:t xml:space="preserve"> </w:t>
      </w:r>
      <w:r>
        <w:t>– Absenteeism Monitoring Template</w:t>
      </w:r>
    </w:p>
    <w:p w14:paraId="6A5A6DEA" w14:textId="1ED96419" w:rsidR="00FA5484" w:rsidRDefault="00FA5484" w:rsidP="00FA5484">
      <w:r>
        <w:t>Attachment E</w:t>
      </w:r>
      <w:r w:rsidR="00C33249">
        <w:t xml:space="preserve"> </w:t>
      </w:r>
      <w:r w:rsidRPr="00E734AA">
        <w:t>–</w:t>
      </w:r>
      <w:r>
        <w:t xml:space="preserve"> Invitational Email and Consent</w:t>
      </w:r>
    </w:p>
    <w:p w14:paraId="2A379F7F" w14:textId="14E1C643" w:rsidR="00FA5484" w:rsidRDefault="00FA5484" w:rsidP="00FA5484">
      <w:r>
        <w:t>Attachment F</w:t>
      </w:r>
      <w:r w:rsidR="00C33249">
        <w:t xml:space="preserve"> </w:t>
      </w:r>
      <w:r>
        <w:t>– Study Announcement</w:t>
      </w:r>
    </w:p>
    <w:p w14:paraId="32EE9DC9" w14:textId="347FAE24" w:rsidR="00FA5484" w:rsidRDefault="00FA5484" w:rsidP="00FA5484">
      <w:r>
        <w:t>Attachment G</w:t>
      </w:r>
      <w:r w:rsidR="00C33249">
        <w:t xml:space="preserve"> </w:t>
      </w:r>
      <w:r>
        <w:t>– IRB Non-research Determination</w:t>
      </w:r>
    </w:p>
    <w:p w14:paraId="0727E8E9" w14:textId="77777777" w:rsidR="00FA5484" w:rsidRDefault="00FA5484" w:rsidP="00FA5484"/>
    <w:p w14:paraId="211EF1A9" w14:textId="77777777" w:rsidR="00FA5484" w:rsidRDefault="00FA5484" w:rsidP="00FA5484"/>
    <w:p w14:paraId="3B29B105" w14:textId="77777777" w:rsidR="00FA5484" w:rsidRDefault="00FA5484" w:rsidP="00FA5484"/>
    <w:p w14:paraId="4978D160" w14:textId="77777777" w:rsidR="00FA5484" w:rsidRDefault="00FA5484" w:rsidP="00FA5484"/>
    <w:p w14:paraId="3B05316F" w14:textId="77777777" w:rsidR="00FA5484" w:rsidRDefault="00FA5484" w:rsidP="00FA5484"/>
    <w:p w14:paraId="514635D5" w14:textId="77777777" w:rsidR="00FA5484" w:rsidRDefault="00FA5484" w:rsidP="00FA5484"/>
    <w:p w14:paraId="0D8C034D" w14:textId="77777777" w:rsidR="00FA5484" w:rsidRDefault="00FA5484" w:rsidP="00FA5484"/>
    <w:p w14:paraId="4F67490F" w14:textId="77777777" w:rsidR="00FA5484" w:rsidRDefault="00FA5484" w:rsidP="00FA5484"/>
    <w:p w14:paraId="486AA51B" w14:textId="77777777" w:rsidR="00FA5484" w:rsidRDefault="00FA5484" w:rsidP="00FA5484"/>
    <w:p w14:paraId="3E4CE2C9" w14:textId="77777777" w:rsidR="00FA5484" w:rsidRDefault="00FA5484" w:rsidP="00FA5484"/>
    <w:p w14:paraId="26A51B07" w14:textId="77777777" w:rsidR="00FA5484" w:rsidRDefault="00FA5484" w:rsidP="00FA5484"/>
    <w:p w14:paraId="270AA580" w14:textId="77777777" w:rsidR="00FA5484" w:rsidRDefault="00FA5484" w:rsidP="00FA5484"/>
    <w:p w14:paraId="5E7BDDB0" w14:textId="77777777" w:rsidR="00FA5484" w:rsidRDefault="00FA5484" w:rsidP="00FA5484"/>
    <w:p w14:paraId="50F49FFF" w14:textId="77777777" w:rsidR="00FA5484" w:rsidRDefault="00FA5484" w:rsidP="00FA5484"/>
    <w:p w14:paraId="53AAEB87" w14:textId="77777777" w:rsidR="00FA5484" w:rsidRDefault="00FA5484" w:rsidP="00FA5484"/>
    <w:p w14:paraId="5F1A777A" w14:textId="77777777" w:rsidR="00FA5484" w:rsidRDefault="00FA5484" w:rsidP="00FA5484"/>
    <w:p w14:paraId="15667092" w14:textId="77777777" w:rsidR="00FA5484" w:rsidRDefault="00FA5484" w:rsidP="00FA5484"/>
    <w:p w14:paraId="15F93E13" w14:textId="77777777" w:rsidR="00FA5484" w:rsidRDefault="00FA5484" w:rsidP="00FA5484"/>
    <w:p w14:paraId="15CF18C0" w14:textId="77777777" w:rsidR="00FA5484" w:rsidRDefault="00FA5484" w:rsidP="00FA5484"/>
    <w:p w14:paraId="44F539EB" w14:textId="77777777" w:rsidR="00FA5484" w:rsidRDefault="00FA5484" w:rsidP="00FA5484"/>
    <w:p w14:paraId="0EBBC0BE" w14:textId="77777777" w:rsidR="00FA5484" w:rsidRDefault="00FA5484" w:rsidP="00FA5484"/>
    <w:p w14:paraId="53DE00BB" w14:textId="77777777" w:rsidR="00FA5484" w:rsidRDefault="00FA5484" w:rsidP="00FA5484"/>
    <w:p w14:paraId="06CED942" w14:textId="77777777" w:rsidR="00FA5484" w:rsidRDefault="00FA5484" w:rsidP="00FA5484"/>
    <w:p w14:paraId="48716BDA" w14:textId="77777777" w:rsidR="00FA5484" w:rsidRDefault="00FA5484" w:rsidP="00FA5484"/>
    <w:p w14:paraId="424370D9" w14:textId="77777777" w:rsidR="00FA5484" w:rsidRDefault="00FA5484" w:rsidP="00FA5484"/>
    <w:p w14:paraId="304D08D4" w14:textId="77777777" w:rsidR="00FA5484" w:rsidRDefault="00FA5484" w:rsidP="00FA5484"/>
    <w:p w14:paraId="1658783F" w14:textId="77777777" w:rsidR="00FA5484" w:rsidRDefault="00FA5484" w:rsidP="00FA5484"/>
    <w:p w14:paraId="5B09CA73" w14:textId="77777777" w:rsidR="00FA5484" w:rsidRDefault="00FA5484" w:rsidP="00FA5484"/>
    <w:p w14:paraId="21A87525" w14:textId="77777777" w:rsidR="00FA5484" w:rsidRDefault="00FA5484" w:rsidP="00FA5484"/>
    <w:p w14:paraId="56A2DE56" w14:textId="77777777" w:rsidR="00FA5484" w:rsidRDefault="00FA5484" w:rsidP="00FA5484"/>
    <w:p w14:paraId="41387789" w14:textId="77777777" w:rsidR="00C71DC7" w:rsidRDefault="00C71DC7">
      <w:r>
        <w:br w:type="page"/>
      </w:r>
    </w:p>
    <w:p w14:paraId="2E4EAAFF" w14:textId="77777777" w:rsidR="00FA5484" w:rsidRDefault="00FA5484" w:rsidP="00FA5484">
      <w:r>
        <w:lastRenderedPageBreak/>
        <w:t xml:space="preserve">The Centers for Disease Control and Prevention (CDC) requests OMB approval of a new absenteeism monitoring system in the workplace for the National Institute for Occupational Safety and Health (NIOSH) for a </w:t>
      </w:r>
      <w:r w:rsidR="00C71DC7">
        <w:t>3</w:t>
      </w:r>
      <w:r>
        <w:t xml:space="preserve"> year period.</w:t>
      </w:r>
    </w:p>
    <w:p w14:paraId="1B02C584" w14:textId="77777777" w:rsidR="00FA5484" w:rsidRDefault="00FA5484" w:rsidP="00FA5484"/>
    <w:p w14:paraId="54601A5D" w14:textId="77777777" w:rsidR="00FA5484" w:rsidRDefault="00FA5484" w:rsidP="00FA5484">
      <w:pPr>
        <w:jc w:val="center"/>
      </w:pPr>
      <w:r>
        <w:t>A. Justification</w:t>
      </w:r>
    </w:p>
    <w:p w14:paraId="05E05195" w14:textId="77777777" w:rsidR="00FA5484" w:rsidRDefault="00FA5484" w:rsidP="00FA5484"/>
    <w:p w14:paraId="09A674E8" w14:textId="77777777" w:rsidR="00FA5484" w:rsidRPr="00C83A56" w:rsidRDefault="00FA5484" w:rsidP="00FA5484">
      <w:pPr>
        <w:pStyle w:val="ListParagraph"/>
        <w:numPr>
          <w:ilvl w:val="0"/>
          <w:numId w:val="2"/>
        </w:numPr>
        <w:ind w:left="360"/>
        <w:rPr>
          <w:b/>
          <w:sz w:val="22"/>
          <w:szCs w:val="22"/>
        </w:rPr>
      </w:pPr>
      <w:r w:rsidRPr="00C83A56">
        <w:rPr>
          <w:b/>
          <w:sz w:val="22"/>
          <w:szCs w:val="22"/>
        </w:rPr>
        <w:t>Circumstances Making the Collection of Information Necessary</w:t>
      </w:r>
    </w:p>
    <w:p w14:paraId="51DFAF76" w14:textId="77777777" w:rsidR="00FA5484" w:rsidRPr="00C83A56" w:rsidRDefault="00FA5484" w:rsidP="00FA5484">
      <w:pPr>
        <w:rPr>
          <w:rFonts w:ascii="Times" w:hAnsi="Times"/>
          <w:sz w:val="22"/>
          <w:szCs w:val="22"/>
        </w:rPr>
      </w:pPr>
    </w:p>
    <w:p w14:paraId="0D5B3124" w14:textId="77777777" w:rsidR="00447B47" w:rsidRDefault="00447B47" w:rsidP="00447B47">
      <w:pPr>
        <w:rPr>
          <w:rFonts w:cs="Arial"/>
          <w:sz w:val="22"/>
          <w:szCs w:val="22"/>
        </w:rPr>
      </w:pPr>
      <w:r w:rsidRPr="00447B47">
        <w:rPr>
          <w:rFonts w:cs="Arial"/>
          <w:sz w:val="22"/>
          <w:szCs w:val="22"/>
        </w:rPr>
        <w:t xml:space="preserve">The Information Collection Request for </w:t>
      </w:r>
      <w:r w:rsidRPr="00447B47">
        <w:rPr>
          <w:rFonts w:cs="Arial"/>
          <w:i/>
          <w:sz w:val="22"/>
          <w:szCs w:val="22"/>
        </w:rPr>
        <w:t>Absenteeism Tracking System</w:t>
      </w:r>
      <w:r w:rsidRPr="00447B47">
        <w:rPr>
          <w:rFonts w:cs="Arial"/>
          <w:sz w:val="22"/>
          <w:szCs w:val="22"/>
        </w:rPr>
        <w:t xml:space="preserve"> is classified as </w:t>
      </w:r>
      <w:r w:rsidRPr="00447B47">
        <w:rPr>
          <w:rFonts w:cs="Arial"/>
          <w:b/>
          <w:bCs/>
          <w:sz w:val="22"/>
          <w:szCs w:val="22"/>
        </w:rPr>
        <w:t>New</w:t>
      </w:r>
      <w:r w:rsidRPr="00447B47">
        <w:rPr>
          <w:rFonts w:cs="Arial"/>
          <w:sz w:val="22"/>
          <w:szCs w:val="22"/>
        </w:rPr>
        <w:t>.</w:t>
      </w:r>
    </w:p>
    <w:p w14:paraId="7E78DB6F" w14:textId="77777777" w:rsidR="00447B47" w:rsidRDefault="00447B47" w:rsidP="00447B47">
      <w:pPr>
        <w:rPr>
          <w:rFonts w:cs="Arial"/>
          <w:sz w:val="22"/>
          <w:szCs w:val="22"/>
        </w:rPr>
      </w:pPr>
    </w:p>
    <w:p w14:paraId="7D873BB7" w14:textId="77777777" w:rsidR="00447B47" w:rsidRPr="00F04FC1" w:rsidRDefault="00447B47" w:rsidP="00447B47">
      <w:pPr>
        <w:rPr>
          <w:rFonts w:cs="Arial"/>
          <w:sz w:val="22"/>
          <w:szCs w:val="22"/>
          <w:u w:val="single"/>
        </w:rPr>
      </w:pPr>
      <w:r w:rsidRPr="00F04FC1">
        <w:rPr>
          <w:rFonts w:cs="Arial"/>
          <w:sz w:val="22"/>
          <w:szCs w:val="22"/>
          <w:u w:val="single"/>
        </w:rPr>
        <w:t>Background</w:t>
      </w:r>
    </w:p>
    <w:p w14:paraId="480AC834" w14:textId="77777777" w:rsidR="00FA5484" w:rsidRPr="00C83A56" w:rsidRDefault="00447B47" w:rsidP="00FA5484">
      <w:pPr>
        <w:rPr>
          <w:rFonts w:cs="Arial"/>
          <w:bCs/>
          <w:sz w:val="22"/>
          <w:szCs w:val="22"/>
        </w:rPr>
      </w:pPr>
      <w:r>
        <w:rPr>
          <w:rFonts w:cs="Arial"/>
          <w:sz w:val="22"/>
          <w:szCs w:val="22"/>
        </w:rPr>
        <w:t>NIOSH</w:t>
      </w:r>
      <w:r w:rsidRPr="00447B47">
        <w:rPr>
          <w:rFonts w:cs="Arial"/>
          <w:sz w:val="22"/>
          <w:szCs w:val="22"/>
        </w:rPr>
        <w:t xml:space="preserve"> has the responsibility under P.L. 91-596 Section 20 (Attachment </w:t>
      </w:r>
      <w:r w:rsidR="00F04FC1">
        <w:rPr>
          <w:rFonts w:cs="Arial"/>
          <w:sz w:val="22"/>
          <w:szCs w:val="22"/>
        </w:rPr>
        <w:t>A</w:t>
      </w:r>
      <w:r w:rsidRPr="00447B47">
        <w:rPr>
          <w:rFonts w:cs="Arial"/>
          <w:sz w:val="22"/>
          <w:szCs w:val="22"/>
        </w:rPr>
        <w:t xml:space="preserve">: Section 20(a)(1) Occupational Safety and Health Act of 1970) to conduct research relating to innovative methods, techniques, and approaches for dealing with occupational safety and health problems.  </w:t>
      </w:r>
      <w:r w:rsidR="00FA5484" w:rsidRPr="00C83A56">
        <w:rPr>
          <w:rFonts w:cs="Arial"/>
          <w:sz w:val="22"/>
          <w:szCs w:val="22"/>
        </w:rPr>
        <w:t xml:space="preserve">Although </w:t>
      </w:r>
      <w:r w:rsidR="00FA5484">
        <w:rPr>
          <w:rFonts w:cs="Arial"/>
          <w:sz w:val="22"/>
          <w:szCs w:val="22"/>
        </w:rPr>
        <w:t xml:space="preserve">public health surveillance </w:t>
      </w:r>
      <w:r w:rsidR="00FA5484" w:rsidRPr="00C83A56">
        <w:rPr>
          <w:rFonts w:cs="Arial"/>
          <w:sz w:val="22"/>
          <w:szCs w:val="22"/>
        </w:rPr>
        <w:t>systems are in place to monitor influenza-like illness</w:t>
      </w:r>
      <w:r w:rsidR="00FA5484">
        <w:rPr>
          <w:rFonts w:cs="Arial"/>
          <w:sz w:val="22"/>
          <w:szCs w:val="22"/>
        </w:rPr>
        <w:t>es</w:t>
      </w:r>
      <w:r w:rsidR="00FA5484" w:rsidRPr="00C83A56">
        <w:rPr>
          <w:rFonts w:cs="Arial"/>
          <w:sz w:val="22"/>
          <w:szCs w:val="22"/>
        </w:rPr>
        <w:t xml:space="preserve"> that result in doctor office visits, hospitalizations, and emergency room visits, there are no systems to detect illness on people who may not seek medical care.   One way to monitor these trends is to look at absenteeism rates in the workplace. </w:t>
      </w:r>
      <w:r w:rsidR="00FA5484" w:rsidRPr="00C83A56">
        <w:rPr>
          <w:rFonts w:cs="Arial"/>
          <w:bCs/>
          <w:sz w:val="22"/>
          <w:szCs w:val="22"/>
        </w:rPr>
        <w:t>Because detectable increases in absenteeism may precede signals from clinical or lab-based surveillance, monitoring absenteeism trends might provide an early indication of the occurrence of disease in the community.</w:t>
      </w:r>
      <w:r w:rsidR="00FA5484" w:rsidRPr="00C83A56">
        <w:rPr>
          <w:rFonts w:cs="Arial"/>
          <w:b/>
          <w:bCs/>
          <w:sz w:val="22"/>
          <w:szCs w:val="22"/>
        </w:rPr>
        <w:t xml:space="preserve"> </w:t>
      </w:r>
    </w:p>
    <w:p w14:paraId="60AF3BF2" w14:textId="77777777" w:rsidR="00FA5484" w:rsidRPr="00C83A56" w:rsidRDefault="00FA5484" w:rsidP="00FA5484">
      <w:pPr>
        <w:rPr>
          <w:rFonts w:cs="Arial"/>
          <w:sz w:val="22"/>
          <w:szCs w:val="22"/>
        </w:rPr>
      </w:pPr>
    </w:p>
    <w:p w14:paraId="3D9B9093" w14:textId="77777777" w:rsidR="00FA5484" w:rsidRPr="00C83A56" w:rsidRDefault="00FA5484" w:rsidP="00FA5484">
      <w:pPr>
        <w:rPr>
          <w:rFonts w:cs="Arial"/>
          <w:sz w:val="22"/>
          <w:szCs w:val="22"/>
        </w:rPr>
      </w:pPr>
      <w:r w:rsidRPr="00C83A56">
        <w:rPr>
          <w:rFonts w:cs="Arial"/>
          <w:bCs/>
          <w:sz w:val="22"/>
          <w:szCs w:val="22"/>
        </w:rPr>
        <w:t xml:space="preserve">Absenteeism surveillance can also provide an important measure of a pandemic’s impact on the community that does not rely on health care data. This is not only because medically-based surveillance may underestimate the occurrence of disease, but also because, by themselves, morbidity and mortality statistics do not fully reflect the disruption that an outbreak may cause to the social and economic life of the community. This is especially true in the case of </w:t>
      </w:r>
      <w:r>
        <w:rPr>
          <w:rFonts w:cs="Arial"/>
          <w:bCs/>
          <w:sz w:val="22"/>
          <w:szCs w:val="22"/>
        </w:rPr>
        <w:t xml:space="preserve">a </w:t>
      </w:r>
      <w:r w:rsidRPr="00C83A56">
        <w:rPr>
          <w:rFonts w:cs="Arial"/>
          <w:bCs/>
          <w:sz w:val="22"/>
          <w:szCs w:val="22"/>
        </w:rPr>
        <w:t>disease that makes people too sick to work but not sick enough to seek medical care.</w:t>
      </w:r>
      <w:r w:rsidRPr="00C83A56">
        <w:rPr>
          <w:rFonts w:cs="Arial"/>
          <w:sz w:val="22"/>
          <w:szCs w:val="22"/>
        </w:rPr>
        <w:t xml:space="preserve">  </w:t>
      </w:r>
      <w:r w:rsidRPr="00C83A56">
        <w:rPr>
          <w:rFonts w:cs="Arial"/>
          <w:bCs/>
          <w:sz w:val="22"/>
          <w:szCs w:val="22"/>
        </w:rPr>
        <w:t>Even though one of CDC’s primary control methods during the H1N1 pandemic had been to advise that all sick people stay home from school and work, CDC had no existing way of assessing how the pandemic was affecting the workplace.</w:t>
      </w:r>
      <w:r w:rsidRPr="00C83A56">
        <w:rPr>
          <w:rFonts w:cs="Arial"/>
          <w:sz w:val="22"/>
          <w:szCs w:val="22"/>
        </w:rPr>
        <w:t xml:space="preserve"> </w:t>
      </w:r>
      <w:r w:rsidRPr="00C83A56">
        <w:rPr>
          <w:sz w:val="22"/>
          <w:szCs w:val="22"/>
        </w:rPr>
        <w:t xml:space="preserve">Concern and uncertainty about its impact on businesses’ continuity of operations were expressed. </w:t>
      </w:r>
    </w:p>
    <w:p w14:paraId="14063331" w14:textId="77777777" w:rsidR="00FA5484" w:rsidRPr="00C83A56" w:rsidRDefault="00FA5484" w:rsidP="00FA5484">
      <w:pPr>
        <w:rPr>
          <w:sz w:val="22"/>
          <w:szCs w:val="22"/>
        </w:rPr>
      </w:pPr>
    </w:p>
    <w:p w14:paraId="4CE6A5D5" w14:textId="09A44289" w:rsidR="00FA5484" w:rsidRDefault="00FA5484" w:rsidP="00C71DC7">
      <w:pPr>
        <w:widowControl w:val="0"/>
        <w:autoSpaceDE w:val="0"/>
        <w:autoSpaceDN w:val="0"/>
        <w:adjustRightInd w:val="0"/>
        <w:rPr>
          <w:sz w:val="22"/>
          <w:szCs w:val="22"/>
        </w:rPr>
      </w:pPr>
      <w:r w:rsidRPr="00C83A56">
        <w:rPr>
          <w:sz w:val="22"/>
          <w:szCs w:val="22"/>
        </w:rPr>
        <w:t xml:space="preserve">In anticipation of a </w:t>
      </w:r>
      <w:r w:rsidR="002370A4">
        <w:rPr>
          <w:sz w:val="22"/>
          <w:szCs w:val="22"/>
        </w:rPr>
        <w:t>F</w:t>
      </w:r>
      <w:r w:rsidRPr="00C83A56">
        <w:rPr>
          <w:sz w:val="22"/>
          <w:szCs w:val="22"/>
        </w:rPr>
        <w:t xml:space="preserve">all 2009 pandemic, </w:t>
      </w:r>
      <w:r w:rsidR="008A77AE">
        <w:rPr>
          <w:sz w:val="22"/>
          <w:szCs w:val="22"/>
        </w:rPr>
        <w:t xml:space="preserve">the </w:t>
      </w:r>
      <w:r w:rsidR="008A77AE" w:rsidRPr="008A77AE">
        <w:rPr>
          <w:sz w:val="22"/>
          <w:szCs w:val="22"/>
        </w:rPr>
        <w:t>CDC Influenza Coordination Unit</w:t>
      </w:r>
      <w:r w:rsidRPr="00C83A56">
        <w:rPr>
          <w:sz w:val="22"/>
          <w:szCs w:val="22"/>
        </w:rPr>
        <w:t xml:space="preserve"> initiated a pilot project to access the feasibility of an enhanced absenteeism surveillance system in </w:t>
      </w:r>
      <w:r w:rsidR="00C71DC7" w:rsidRPr="00C71DC7">
        <w:rPr>
          <w:sz w:val="22"/>
          <w:szCs w:val="22"/>
        </w:rPr>
        <w:t>a co</w:t>
      </w:r>
      <w:r w:rsidR="00C71DC7">
        <w:rPr>
          <w:sz w:val="22"/>
          <w:szCs w:val="22"/>
        </w:rPr>
        <w:t xml:space="preserve">nvenience sample of 79 sentinel </w:t>
      </w:r>
      <w:r w:rsidR="00C71DC7" w:rsidRPr="00C71DC7">
        <w:rPr>
          <w:sz w:val="22"/>
          <w:szCs w:val="22"/>
        </w:rPr>
        <w:t>worksites repr</w:t>
      </w:r>
      <w:r w:rsidR="00C71DC7">
        <w:rPr>
          <w:sz w:val="22"/>
          <w:szCs w:val="22"/>
        </w:rPr>
        <w:t xml:space="preserve">esenting 16 different employers </w:t>
      </w:r>
      <w:r w:rsidRPr="00C83A56">
        <w:rPr>
          <w:sz w:val="22"/>
          <w:szCs w:val="22"/>
        </w:rPr>
        <w:t>across the United States. CDC partnered with the American College of Occupational and Environmental Medicine (ACOEM), which has access to a large network of affiliated medical directors and corporate health units that routinely compile absenteeism data. CDC’s objectives for this project were (1) to establish a system to track trends in workplace absenteeism in selected workplace settings; (2) to assess the impact of 2009 H1N1 on absenteeism in the workplace to plan assumptions for preparedness and continuity of operations; and (3) to contribute to CDC’s awareness of the health situation during the emergency response to the pandemic.</w:t>
      </w:r>
    </w:p>
    <w:p w14:paraId="4774BDB6" w14:textId="77777777" w:rsidR="00FA5484" w:rsidRDefault="00FA5484" w:rsidP="00FA5484">
      <w:pPr>
        <w:widowControl w:val="0"/>
        <w:autoSpaceDE w:val="0"/>
        <w:autoSpaceDN w:val="0"/>
        <w:adjustRightInd w:val="0"/>
        <w:rPr>
          <w:sz w:val="22"/>
          <w:szCs w:val="22"/>
        </w:rPr>
      </w:pPr>
    </w:p>
    <w:p w14:paraId="649EC715" w14:textId="77777777" w:rsidR="00FA5484" w:rsidRPr="00C83A56" w:rsidRDefault="00FA5484" w:rsidP="00FA5484">
      <w:pPr>
        <w:widowControl w:val="0"/>
        <w:autoSpaceDE w:val="0"/>
        <w:autoSpaceDN w:val="0"/>
        <w:adjustRightInd w:val="0"/>
        <w:rPr>
          <w:sz w:val="22"/>
          <w:szCs w:val="22"/>
        </w:rPr>
      </w:pPr>
      <w:r>
        <w:rPr>
          <w:sz w:val="22"/>
          <w:szCs w:val="22"/>
        </w:rPr>
        <w:t xml:space="preserve">The </w:t>
      </w:r>
      <w:r w:rsidRPr="00400534">
        <w:rPr>
          <w:sz w:val="22"/>
          <w:szCs w:val="22"/>
        </w:rPr>
        <w:t xml:space="preserve">pilot </w:t>
      </w:r>
      <w:r>
        <w:rPr>
          <w:sz w:val="22"/>
          <w:szCs w:val="22"/>
        </w:rPr>
        <w:t xml:space="preserve">project </w:t>
      </w:r>
      <w:r w:rsidRPr="00400534">
        <w:rPr>
          <w:sz w:val="22"/>
          <w:szCs w:val="22"/>
        </w:rPr>
        <w:t>was conducted without approval under the P</w:t>
      </w:r>
      <w:r>
        <w:rPr>
          <w:sz w:val="22"/>
          <w:szCs w:val="22"/>
        </w:rPr>
        <w:t xml:space="preserve">aperwork </w:t>
      </w:r>
      <w:r w:rsidRPr="00400534">
        <w:rPr>
          <w:sz w:val="22"/>
          <w:szCs w:val="22"/>
        </w:rPr>
        <w:t>R</w:t>
      </w:r>
      <w:r>
        <w:rPr>
          <w:sz w:val="22"/>
          <w:szCs w:val="22"/>
        </w:rPr>
        <w:t xml:space="preserve">eduction </w:t>
      </w:r>
      <w:r w:rsidRPr="00400534">
        <w:rPr>
          <w:sz w:val="22"/>
          <w:szCs w:val="22"/>
        </w:rPr>
        <w:t>A</w:t>
      </w:r>
      <w:r>
        <w:rPr>
          <w:sz w:val="22"/>
          <w:szCs w:val="22"/>
        </w:rPr>
        <w:t xml:space="preserve">ct. </w:t>
      </w:r>
      <w:r w:rsidRPr="00400534">
        <w:rPr>
          <w:sz w:val="22"/>
          <w:szCs w:val="22"/>
        </w:rPr>
        <w:t xml:space="preserve">The request for </w:t>
      </w:r>
      <w:r>
        <w:rPr>
          <w:sz w:val="22"/>
          <w:szCs w:val="22"/>
        </w:rPr>
        <w:t xml:space="preserve">ACOEM to institute </w:t>
      </w:r>
      <w:r w:rsidRPr="00400534">
        <w:rPr>
          <w:sz w:val="22"/>
          <w:szCs w:val="22"/>
        </w:rPr>
        <w:t xml:space="preserve">this passive surveillance was received in June 2009 with a request to be operational by the beginning of the 2009 flu season, late September 2009.  </w:t>
      </w:r>
      <w:r w:rsidR="008A77AE">
        <w:rPr>
          <w:sz w:val="22"/>
          <w:szCs w:val="22"/>
        </w:rPr>
        <w:t>Although the</w:t>
      </w:r>
      <w:r w:rsidR="00943990">
        <w:rPr>
          <w:sz w:val="22"/>
          <w:szCs w:val="22"/>
        </w:rPr>
        <w:t xml:space="preserve"> pilot project initiated by the CDC Influenza Coordination Unit</w:t>
      </w:r>
      <w:r w:rsidR="009B0005">
        <w:rPr>
          <w:sz w:val="22"/>
          <w:szCs w:val="22"/>
        </w:rPr>
        <w:t xml:space="preserve"> occurred as a result of a PRA violation</w:t>
      </w:r>
      <w:r w:rsidR="00943990">
        <w:rPr>
          <w:sz w:val="22"/>
          <w:szCs w:val="22"/>
        </w:rPr>
        <w:t>; the current proposal led by NIOSH</w:t>
      </w:r>
      <w:r w:rsidR="009B0005">
        <w:rPr>
          <w:sz w:val="22"/>
          <w:szCs w:val="22"/>
        </w:rPr>
        <w:t xml:space="preserve"> follows the agency requirement of the PRA and requests the review and approval of the data collection by OMB</w:t>
      </w:r>
      <w:r w:rsidR="002370A4">
        <w:rPr>
          <w:sz w:val="22"/>
          <w:szCs w:val="22"/>
        </w:rPr>
        <w:t>.</w:t>
      </w:r>
    </w:p>
    <w:p w14:paraId="3A4853E9" w14:textId="77777777" w:rsidR="00FA5484" w:rsidRPr="00C83A56" w:rsidRDefault="00FA5484" w:rsidP="00FA5484">
      <w:pPr>
        <w:pStyle w:val="Default"/>
        <w:rPr>
          <w:rFonts w:ascii="Calibri" w:hAnsi="Calibri"/>
          <w:sz w:val="22"/>
          <w:szCs w:val="22"/>
        </w:rPr>
      </w:pPr>
    </w:p>
    <w:p w14:paraId="03C7DEF9" w14:textId="77777777" w:rsidR="00FA5484" w:rsidRPr="00C83A56" w:rsidRDefault="00FA5484" w:rsidP="00FA5484">
      <w:pPr>
        <w:rPr>
          <w:sz w:val="22"/>
          <w:szCs w:val="22"/>
        </w:rPr>
      </w:pPr>
      <w:r w:rsidRPr="00C83A56">
        <w:rPr>
          <w:sz w:val="22"/>
          <w:szCs w:val="22"/>
        </w:rPr>
        <w:t xml:space="preserve">With </w:t>
      </w:r>
      <w:r>
        <w:rPr>
          <w:sz w:val="22"/>
          <w:szCs w:val="22"/>
        </w:rPr>
        <w:t xml:space="preserve">the emergence of a novel </w:t>
      </w:r>
      <w:r w:rsidRPr="00C83A56">
        <w:rPr>
          <w:sz w:val="22"/>
          <w:szCs w:val="22"/>
        </w:rPr>
        <w:t xml:space="preserve">H7N9 </w:t>
      </w:r>
      <w:r>
        <w:rPr>
          <w:sz w:val="22"/>
          <w:szCs w:val="22"/>
        </w:rPr>
        <w:t>influenza virus and a</w:t>
      </w:r>
      <w:r w:rsidRPr="00C83A56">
        <w:rPr>
          <w:sz w:val="22"/>
          <w:szCs w:val="22"/>
        </w:rPr>
        <w:t xml:space="preserve"> novel coronavirus </w:t>
      </w:r>
      <w:r>
        <w:rPr>
          <w:sz w:val="22"/>
          <w:szCs w:val="22"/>
        </w:rPr>
        <w:t>circulating in the Middle East (MERS-</w:t>
      </w:r>
      <w:proofErr w:type="spellStart"/>
      <w:r>
        <w:rPr>
          <w:sz w:val="22"/>
          <w:szCs w:val="22"/>
        </w:rPr>
        <w:t>CoV</w:t>
      </w:r>
      <w:proofErr w:type="spellEnd"/>
      <w:r>
        <w:rPr>
          <w:sz w:val="22"/>
          <w:szCs w:val="22"/>
        </w:rPr>
        <w:t xml:space="preserve">), as well as </w:t>
      </w:r>
      <w:r w:rsidRPr="00C83A56">
        <w:rPr>
          <w:sz w:val="22"/>
          <w:szCs w:val="22"/>
        </w:rPr>
        <w:t xml:space="preserve">the potential for </w:t>
      </w:r>
      <w:r>
        <w:rPr>
          <w:sz w:val="22"/>
          <w:szCs w:val="22"/>
        </w:rPr>
        <w:t xml:space="preserve">emergence of </w:t>
      </w:r>
      <w:r w:rsidRPr="00C83A56">
        <w:rPr>
          <w:sz w:val="22"/>
          <w:szCs w:val="22"/>
        </w:rPr>
        <w:t xml:space="preserve">other novel diseases, it is imperative that a </w:t>
      </w:r>
      <w:r>
        <w:rPr>
          <w:sz w:val="22"/>
          <w:szCs w:val="22"/>
        </w:rPr>
        <w:t xml:space="preserve">surveillance </w:t>
      </w:r>
      <w:r w:rsidRPr="00C83A56">
        <w:rPr>
          <w:sz w:val="22"/>
          <w:szCs w:val="22"/>
        </w:rPr>
        <w:t xml:space="preserve">system be in place to monitor the spread of these illnesses across all communities including in the workplace.  The system that was designed for the H1N1 program has been modified to allow for collection of </w:t>
      </w:r>
      <w:r>
        <w:rPr>
          <w:sz w:val="22"/>
          <w:szCs w:val="22"/>
        </w:rPr>
        <w:t xml:space="preserve">data on workplace </w:t>
      </w:r>
      <w:r w:rsidRPr="00C83A56">
        <w:rPr>
          <w:sz w:val="22"/>
          <w:szCs w:val="22"/>
        </w:rPr>
        <w:t xml:space="preserve">absenteeism in general and specific to influenza or any other disease that becomes widespread in the United States.  There is no a similar </w:t>
      </w:r>
      <w:r>
        <w:rPr>
          <w:sz w:val="22"/>
          <w:szCs w:val="22"/>
        </w:rPr>
        <w:t xml:space="preserve">existing </w:t>
      </w:r>
      <w:r w:rsidRPr="00C83A56">
        <w:rPr>
          <w:sz w:val="22"/>
          <w:szCs w:val="22"/>
        </w:rPr>
        <w:t>mechanism to accomplish this.</w:t>
      </w:r>
    </w:p>
    <w:p w14:paraId="25C1BB51" w14:textId="77777777" w:rsidR="00FA5484" w:rsidRPr="00C83A56" w:rsidRDefault="00FA5484" w:rsidP="00FA5484">
      <w:pPr>
        <w:rPr>
          <w:sz w:val="22"/>
          <w:szCs w:val="22"/>
        </w:rPr>
      </w:pPr>
    </w:p>
    <w:p w14:paraId="143BE97F" w14:textId="77777777" w:rsidR="00FA5484" w:rsidRPr="00C83A56" w:rsidRDefault="00FA5484" w:rsidP="00FA5484">
      <w:pPr>
        <w:rPr>
          <w:rFonts w:ascii="Times" w:hAnsi="Times"/>
          <w:sz w:val="22"/>
          <w:szCs w:val="22"/>
        </w:rPr>
      </w:pPr>
    </w:p>
    <w:p w14:paraId="59796329" w14:textId="77777777" w:rsidR="00FA5484" w:rsidRPr="00C83A56" w:rsidRDefault="00FA5484" w:rsidP="00FA5484">
      <w:pPr>
        <w:rPr>
          <w:b/>
          <w:sz w:val="22"/>
          <w:szCs w:val="22"/>
        </w:rPr>
      </w:pPr>
    </w:p>
    <w:p w14:paraId="20DDF450" w14:textId="77777777" w:rsidR="00FA5484" w:rsidRPr="00C83A56" w:rsidRDefault="00FA5484" w:rsidP="00FA5484">
      <w:pPr>
        <w:pStyle w:val="ListParagraph"/>
        <w:numPr>
          <w:ilvl w:val="0"/>
          <w:numId w:val="2"/>
        </w:numPr>
        <w:ind w:left="360"/>
        <w:rPr>
          <w:b/>
          <w:sz w:val="22"/>
          <w:szCs w:val="22"/>
        </w:rPr>
      </w:pPr>
      <w:r w:rsidRPr="00C83A56">
        <w:rPr>
          <w:b/>
          <w:sz w:val="22"/>
          <w:szCs w:val="22"/>
        </w:rPr>
        <w:t>Purpose and Use of Information Collection</w:t>
      </w:r>
    </w:p>
    <w:p w14:paraId="7DF2616C" w14:textId="77777777" w:rsidR="003608C4" w:rsidRDefault="003608C4" w:rsidP="00FA5484">
      <w:pPr>
        <w:autoSpaceDE w:val="0"/>
        <w:autoSpaceDN w:val="0"/>
        <w:adjustRightInd w:val="0"/>
        <w:rPr>
          <w:rFonts w:eastAsia="Calibri" w:cs="Calibri"/>
          <w:color w:val="000000"/>
          <w:sz w:val="22"/>
          <w:szCs w:val="22"/>
        </w:rPr>
      </w:pPr>
    </w:p>
    <w:p w14:paraId="56906D8F" w14:textId="77777777" w:rsidR="003608C4" w:rsidRDefault="003608C4" w:rsidP="00FA5484">
      <w:pPr>
        <w:autoSpaceDE w:val="0"/>
        <w:autoSpaceDN w:val="0"/>
        <w:adjustRightInd w:val="0"/>
        <w:rPr>
          <w:rFonts w:eastAsia="Calibri" w:cs="Calibri"/>
          <w:color w:val="000000"/>
          <w:sz w:val="22"/>
          <w:szCs w:val="22"/>
        </w:rPr>
      </w:pPr>
      <w:r w:rsidRPr="001A2701">
        <w:rPr>
          <w:rFonts w:eastAsia="Calibri" w:cs="Calibri"/>
          <w:color w:val="000000"/>
          <w:sz w:val="22"/>
          <w:szCs w:val="22"/>
        </w:rPr>
        <w:t>ACOEM will recruit employers to participate in this voluntary surveillance system.</w:t>
      </w:r>
      <w:r>
        <w:rPr>
          <w:rFonts w:eastAsia="Calibri" w:cs="Calibri"/>
          <w:color w:val="000000"/>
          <w:sz w:val="22"/>
          <w:szCs w:val="22"/>
        </w:rPr>
        <w:t xml:space="preserve">  Representatives from participating employers will enter basic daily absenteeism data into an Excel template (See Attachment D) and send updated spreadsheets to ACOEM as frequently as feasible (preferably weekly, but data will be accepted on a less frequent basis if weekly data transfers present an undue burden on some employers). </w:t>
      </w:r>
    </w:p>
    <w:p w14:paraId="7DC7F491" w14:textId="77777777" w:rsidR="003608C4" w:rsidRDefault="003608C4" w:rsidP="00FA5484">
      <w:pPr>
        <w:autoSpaceDE w:val="0"/>
        <w:autoSpaceDN w:val="0"/>
        <w:adjustRightInd w:val="0"/>
        <w:rPr>
          <w:rFonts w:eastAsia="Calibri" w:cs="Calibri"/>
          <w:color w:val="000000"/>
          <w:sz w:val="22"/>
          <w:szCs w:val="22"/>
        </w:rPr>
      </w:pPr>
    </w:p>
    <w:p w14:paraId="7AFE54E9" w14:textId="77777777" w:rsidR="003608C4" w:rsidRDefault="003608C4" w:rsidP="00FA5484">
      <w:pPr>
        <w:autoSpaceDE w:val="0"/>
        <w:autoSpaceDN w:val="0"/>
        <w:adjustRightInd w:val="0"/>
        <w:rPr>
          <w:rFonts w:eastAsia="Calibri" w:cs="Calibri"/>
          <w:color w:val="000000"/>
          <w:sz w:val="22"/>
          <w:szCs w:val="22"/>
        </w:rPr>
      </w:pPr>
      <w:r>
        <w:rPr>
          <w:rFonts w:eastAsia="Calibri" w:cs="Calibri"/>
          <w:color w:val="000000"/>
          <w:sz w:val="22"/>
          <w:szCs w:val="22"/>
        </w:rPr>
        <w:t xml:space="preserve"> ACOEM will review and aggregate the data and replace company names with unique IDs.  ACOEM will transfer de-identified datasets to NIOSH </w:t>
      </w:r>
      <w:r w:rsidR="00783466">
        <w:rPr>
          <w:rFonts w:eastAsia="Calibri" w:cs="Calibri"/>
          <w:color w:val="000000"/>
          <w:sz w:val="22"/>
          <w:szCs w:val="22"/>
        </w:rPr>
        <w:t>on a weekly basis.</w:t>
      </w:r>
    </w:p>
    <w:p w14:paraId="0A0C60C4" w14:textId="77777777" w:rsidR="00783466" w:rsidRDefault="00783466" w:rsidP="00FA5484">
      <w:pPr>
        <w:autoSpaceDE w:val="0"/>
        <w:autoSpaceDN w:val="0"/>
        <w:adjustRightInd w:val="0"/>
        <w:rPr>
          <w:rFonts w:eastAsia="Calibri" w:cs="Calibri"/>
          <w:color w:val="000000"/>
          <w:sz w:val="22"/>
          <w:szCs w:val="22"/>
        </w:rPr>
      </w:pPr>
    </w:p>
    <w:p w14:paraId="17E8E4E5" w14:textId="77777777" w:rsidR="00783466" w:rsidRDefault="00783466" w:rsidP="00FA5484">
      <w:pPr>
        <w:autoSpaceDE w:val="0"/>
        <w:autoSpaceDN w:val="0"/>
        <w:adjustRightInd w:val="0"/>
        <w:rPr>
          <w:rFonts w:eastAsia="Calibri" w:cs="Calibri"/>
          <w:color w:val="000000"/>
          <w:sz w:val="22"/>
          <w:szCs w:val="22"/>
        </w:rPr>
      </w:pPr>
      <w:r>
        <w:rPr>
          <w:rFonts w:eastAsia="Calibri" w:cs="Calibri"/>
          <w:color w:val="000000"/>
          <w:sz w:val="22"/>
          <w:szCs w:val="22"/>
        </w:rPr>
        <w:t xml:space="preserve">NIOSH will use the data to monitor trends in </w:t>
      </w:r>
      <w:r w:rsidRPr="00783466">
        <w:rPr>
          <w:rFonts w:eastAsia="Calibri" w:cs="Calibri"/>
          <w:color w:val="000000"/>
          <w:sz w:val="22"/>
          <w:szCs w:val="22"/>
        </w:rPr>
        <w:t xml:space="preserve">workplace absenteeism </w:t>
      </w:r>
      <w:r>
        <w:rPr>
          <w:rFonts w:eastAsia="Calibri" w:cs="Calibri"/>
          <w:color w:val="000000"/>
          <w:sz w:val="22"/>
          <w:szCs w:val="22"/>
        </w:rPr>
        <w:t>in order</w:t>
      </w:r>
      <w:r w:rsidRPr="00783466">
        <w:rPr>
          <w:rFonts w:eastAsia="Calibri" w:cs="Calibri"/>
          <w:color w:val="000000"/>
          <w:sz w:val="22"/>
          <w:szCs w:val="22"/>
        </w:rPr>
        <w:t xml:space="preserve"> to assess the impact of </w:t>
      </w:r>
      <w:r>
        <w:rPr>
          <w:rFonts w:eastAsia="Calibri" w:cs="Calibri"/>
          <w:color w:val="000000"/>
          <w:sz w:val="22"/>
          <w:szCs w:val="22"/>
        </w:rPr>
        <w:t xml:space="preserve">influenza and other infectious diseases of interest; </w:t>
      </w:r>
      <w:r w:rsidRPr="00783466">
        <w:rPr>
          <w:rFonts w:eastAsia="Calibri" w:cs="Calibri"/>
          <w:color w:val="000000"/>
          <w:sz w:val="22"/>
          <w:szCs w:val="22"/>
        </w:rPr>
        <w:t>to plan assumptions for preparednes</w:t>
      </w:r>
      <w:r>
        <w:rPr>
          <w:rFonts w:eastAsia="Calibri" w:cs="Calibri"/>
          <w:color w:val="000000"/>
          <w:sz w:val="22"/>
          <w:szCs w:val="22"/>
        </w:rPr>
        <w:t xml:space="preserve">s and continuity of operations; </w:t>
      </w:r>
      <w:r w:rsidRPr="00783466">
        <w:rPr>
          <w:rFonts w:eastAsia="Calibri" w:cs="Calibri"/>
          <w:color w:val="000000"/>
          <w:sz w:val="22"/>
          <w:szCs w:val="22"/>
        </w:rPr>
        <w:t xml:space="preserve">and to contribute to </w:t>
      </w:r>
      <w:r>
        <w:rPr>
          <w:rFonts w:eastAsia="Calibri" w:cs="Calibri"/>
          <w:color w:val="000000"/>
          <w:sz w:val="22"/>
          <w:szCs w:val="22"/>
        </w:rPr>
        <w:t>NIOSH/</w:t>
      </w:r>
      <w:r w:rsidRPr="00783466">
        <w:rPr>
          <w:rFonts w:eastAsia="Calibri" w:cs="Calibri"/>
          <w:color w:val="000000"/>
          <w:sz w:val="22"/>
          <w:szCs w:val="22"/>
        </w:rPr>
        <w:t xml:space="preserve">CDC’s </w:t>
      </w:r>
      <w:r>
        <w:rPr>
          <w:rFonts w:eastAsia="Calibri" w:cs="Calibri"/>
          <w:color w:val="000000"/>
          <w:sz w:val="22"/>
          <w:szCs w:val="22"/>
        </w:rPr>
        <w:t xml:space="preserve">situational </w:t>
      </w:r>
      <w:r w:rsidRPr="00783466">
        <w:rPr>
          <w:rFonts w:eastAsia="Calibri" w:cs="Calibri"/>
          <w:color w:val="000000"/>
          <w:sz w:val="22"/>
          <w:szCs w:val="22"/>
        </w:rPr>
        <w:t xml:space="preserve">awareness during </w:t>
      </w:r>
      <w:r>
        <w:rPr>
          <w:rFonts w:eastAsia="Calibri" w:cs="Calibri"/>
          <w:color w:val="000000"/>
          <w:sz w:val="22"/>
          <w:szCs w:val="22"/>
        </w:rPr>
        <w:t>emergency responses, including the impact of community interventions.</w:t>
      </w:r>
    </w:p>
    <w:p w14:paraId="5CA1E6AD" w14:textId="77777777" w:rsidR="003608C4" w:rsidRDefault="003608C4" w:rsidP="00FA5484">
      <w:pPr>
        <w:autoSpaceDE w:val="0"/>
        <w:autoSpaceDN w:val="0"/>
        <w:adjustRightInd w:val="0"/>
        <w:rPr>
          <w:rFonts w:eastAsia="Calibri" w:cs="Calibri"/>
          <w:color w:val="000000"/>
          <w:sz w:val="22"/>
          <w:szCs w:val="22"/>
        </w:rPr>
      </w:pPr>
    </w:p>
    <w:p w14:paraId="4A1B719C" w14:textId="77777777" w:rsidR="00FA5484" w:rsidRPr="00C83A56" w:rsidRDefault="00FA5484" w:rsidP="00FA5484">
      <w:pPr>
        <w:autoSpaceDE w:val="0"/>
        <w:autoSpaceDN w:val="0"/>
        <w:adjustRightInd w:val="0"/>
        <w:rPr>
          <w:rFonts w:eastAsia="Calibri" w:cs="Calibri"/>
          <w:color w:val="000000"/>
          <w:sz w:val="22"/>
          <w:szCs w:val="22"/>
        </w:rPr>
      </w:pPr>
      <w:r>
        <w:rPr>
          <w:rFonts w:eastAsia="Calibri" w:cs="Calibri"/>
          <w:color w:val="000000"/>
          <w:sz w:val="22"/>
          <w:szCs w:val="22"/>
        </w:rPr>
        <w:t>I</w:t>
      </w:r>
      <w:r w:rsidRPr="00C83A56">
        <w:rPr>
          <w:rFonts w:eastAsia="Calibri" w:cs="Calibri"/>
          <w:color w:val="000000"/>
          <w:sz w:val="22"/>
          <w:szCs w:val="22"/>
        </w:rPr>
        <w:t xml:space="preserve">t is extremely important to collect this information to be able to gauge the impact influenza and/or other novel disease may have on workplaces and ultimately the economy. </w:t>
      </w:r>
      <w:r w:rsidR="00783466">
        <w:rPr>
          <w:rFonts w:eastAsia="Calibri" w:cs="Calibri"/>
          <w:color w:val="000000"/>
          <w:sz w:val="22"/>
          <w:szCs w:val="22"/>
        </w:rPr>
        <w:t xml:space="preserve"> Without this surveillance system, there will continue to be a gap in the CDC’s influenza surveillance systems regarding the impact on people who are too sick to work but do not seek medical care. </w:t>
      </w:r>
    </w:p>
    <w:p w14:paraId="19E243B1" w14:textId="77777777" w:rsidR="00FA5484" w:rsidRPr="00C83A56" w:rsidRDefault="00FA5484" w:rsidP="00FA5484">
      <w:pPr>
        <w:pStyle w:val="ListParagraph"/>
        <w:autoSpaceDE w:val="0"/>
        <w:autoSpaceDN w:val="0"/>
        <w:adjustRightInd w:val="0"/>
        <w:rPr>
          <w:rFonts w:eastAsia="Calibri" w:cs="Calibri"/>
          <w:color w:val="000000"/>
          <w:sz w:val="22"/>
          <w:szCs w:val="22"/>
        </w:rPr>
      </w:pPr>
    </w:p>
    <w:p w14:paraId="184BA4DC" w14:textId="77777777" w:rsidR="00FA5484" w:rsidRPr="00C83A56" w:rsidRDefault="00FA5484" w:rsidP="00FA5484">
      <w:pPr>
        <w:rPr>
          <w:b/>
          <w:sz w:val="22"/>
          <w:szCs w:val="22"/>
        </w:rPr>
      </w:pPr>
    </w:p>
    <w:p w14:paraId="2900514F" w14:textId="77777777" w:rsidR="00FA5484" w:rsidRPr="00C83A56" w:rsidRDefault="00FA5484" w:rsidP="00FA5484">
      <w:pPr>
        <w:pStyle w:val="ListParagraph"/>
        <w:numPr>
          <w:ilvl w:val="0"/>
          <w:numId w:val="2"/>
        </w:numPr>
        <w:ind w:left="360"/>
        <w:rPr>
          <w:b/>
          <w:sz w:val="22"/>
          <w:szCs w:val="22"/>
        </w:rPr>
      </w:pPr>
      <w:r w:rsidRPr="00C83A56">
        <w:rPr>
          <w:b/>
          <w:sz w:val="22"/>
          <w:szCs w:val="22"/>
        </w:rPr>
        <w:t>Use of Improved Information Technology and Burden Reduction</w:t>
      </w:r>
    </w:p>
    <w:p w14:paraId="0C3BFED2" w14:textId="77777777" w:rsidR="00FA5484" w:rsidRPr="00C83A56" w:rsidRDefault="00FA5484" w:rsidP="00FA5484">
      <w:pPr>
        <w:rPr>
          <w:rFonts w:eastAsia="Calibri" w:cs="Calibri"/>
          <w:color w:val="000000"/>
          <w:sz w:val="22"/>
          <w:szCs w:val="22"/>
        </w:rPr>
      </w:pPr>
      <w:r w:rsidRPr="00C83A56">
        <w:rPr>
          <w:rFonts w:eastAsia="Calibri" w:cs="Calibri"/>
          <w:color w:val="000000"/>
          <w:sz w:val="22"/>
          <w:szCs w:val="22"/>
        </w:rPr>
        <w:t xml:space="preserve">All information collected will be via data collection instruments sent electronically. There will be no paper documents to complete.  </w:t>
      </w:r>
    </w:p>
    <w:p w14:paraId="12F32C3D" w14:textId="77777777" w:rsidR="00FA5484" w:rsidRDefault="00FA5484" w:rsidP="00FA5484">
      <w:pPr>
        <w:rPr>
          <w:rFonts w:eastAsia="Calibri" w:cs="Calibri"/>
          <w:color w:val="000000"/>
          <w:sz w:val="22"/>
          <w:szCs w:val="22"/>
        </w:rPr>
      </w:pPr>
    </w:p>
    <w:p w14:paraId="7EF8CA83" w14:textId="77777777" w:rsidR="00192783" w:rsidRPr="00C83A56" w:rsidRDefault="00192783" w:rsidP="00FA5484">
      <w:pPr>
        <w:rPr>
          <w:b/>
          <w:sz w:val="22"/>
          <w:szCs w:val="22"/>
        </w:rPr>
      </w:pPr>
    </w:p>
    <w:p w14:paraId="15F4E506" w14:textId="77777777" w:rsidR="00FA5484" w:rsidRPr="00C83A56" w:rsidRDefault="00FA5484" w:rsidP="00FA5484">
      <w:pPr>
        <w:pStyle w:val="ListParagraph"/>
        <w:numPr>
          <w:ilvl w:val="0"/>
          <w:numId w:val="2"/>
        </w:numPr>
        <w:ind w:left="360"/>
        <w:rPr>
          <w:b/>
          <w:sz w:val="22"/>
          <w:szCs w:val="22"/>
        </w:rPr>
      </w:pPr>
      <w:r w:rsidRPr="00C83A56">
        <w:rPr>
          <w:b/>
          <w:sz w:val="22"/>
          <w:szCs w:val="22"/>
        </w:rPr>
        <w:t>Efforts to Identify Duplication Use of Similar Information</w:t>
      </w:r>
    </w:p>
    <w:p w14:paraId="6F02C7E1" w14:textId="77777777" w:rsidR="00FA5484" w:rsidRPr="00C83A56" w:rsidRDefault="00FA5484" w:rsidP="00FA5484">
      <w:pPr>
        <w:rPr>
          <w:rFonts w:eastAsia="Calibri" w:cs="Calibri"/>
          <w:color w:val="000000"/>
          <w:sz w:val="22"/>
          <w:szCs w:val="22"/>
        </w:rPr>
      </w:pPr>
      <w:r>
        <w:rPr>
          <w:rFonts w:eastAsia="Calibri" w:cs="Calibri"/>
          <w:color w:val="000000"/>
          <w:sz w:val="22"/>
          <w:szCs w:val="22"/>
        </w:rPr>
        <w:t>T</w:t>
      </w:r>
      <w:r w:rsidRPr="00C83A56">
        <w:rPr>
          <w:rFonts w:eastAsia="Calibri" w:cs="Calibri"/>
          <w:color w:val="000000"/>
          <w:sz w:val="22"/>
          <w:szCs w:val="22"/>
        </w:rPr>
        <w:t>here are no comparable national data collection activities for absenteeism in the workplace.</w:t>
      </w:r>
    </w:p>
    <w:p w14:paraId="58BB057D" w14:textId="77777777" w:rsidR="00FA5484" w:rsidRDefault="00FA5484" w:rsidP="00FA5484">
      <w:pPr>
        <w:pStyle w:val="ListParagraph"/>
        <w:ind w:left="360"/>
        <w:rPr>
          <w:b/>
          <w:sz w:val="22"/>
          <w:szCs w:val="22"/>
        </w:rPr>
      </w:pPr>
    </w:p>
    <w:p w14:paraId="297DFD20" w14:textId="77777777" w:rsidR="00192783" w:rsidRPr="00C83A56" w:rsidRDefault="00192783" w:rsidP="00FA5484">
      <w:pPr>
        <w:pStyle w:val="ListParagraph"/>
        <w:ind w:left="360"/>
        <w:rPr>
          <w:b/>
          <w:sz w:val="22"/>
          <w:szCs w:val="22"/>
        </w:rPr>
      </w:pPr>
    </w:p>
    <w:p w14:paraId="19CE64E7" w14:textId="77777777" w:rsidR="00FA5484" w:rsidRPr="00C83A56" w:rsidRDefault="00FA5484" w:rsidP="00FA5484">
      <w:pPr>
        <w:pStyle w:val="ListParagraph"/>
        <w:numPr>
          <w:ilvl w:val="0"/>
          <w:numId w:val="2"/>
        </w:numPr>
        <w:ind w:left="360"/>
        <w:rPr>
          <w:b/>
          <w:sz w:val="22"/>
          <w:szCs w:val="22"/>
        </w:rPr>
      </w:pPr>
      <w:r w:rsidRPr="00C83A56">
        <w:rPr>
          <w:b/>
          <w:sz w:val="22"/>
          <w:szCs w:val="22"/>
        </w:rPr>
        <w:t>Impact on Small Businesses or Other Small Entities</w:t>
      </w:r>
    </w:p>
    <w:p w14:paraId="0344B93B" w14:textId="77777777" w:rsidR="00192783" w:rsidRDefault="003746DF" w:rsidP="00192783">
      <w:pPr>
        <w:rPr>
          <w:sz w:val="22"/>
          <w:szCs w:val="22"/>
        </w:rPr>
      </w:pPr>
      <w:r w:rsidRPr="00192783">
        <w:rPr>
          <w:sz w:val="22"/>
          <w:szCs w:val="22"/>
        </w:rPr>
        <w:t xml:space="preserve">Some small businesses may choose to voluntarily participate in this surveillance system.  It is designed to place as little burden on participating employers as possible. </w:t>
      </w:r>
      <w:r w:rsidR="00FA5484" w:rsidRPr="00192783">
        <w:rPr>
          <w:sz w:val="22"/>
          <w:szCs w:val="22"/>
        </w:rPr>
        <w:t>The data collection tool is prepopulated with company name, site location(s); NAICS code; number of employees by exempt and hourly.  Staff at the company only need to populate 3 fields daily and email the form back on a weekly, monthly or quarterly basis– whichever is most convenient.  The form has been designed to minimize the amount of time required of staff.</w:t>
      </w:r>
      <w:r w:rsidRPr="00192783">
        <w:rPr>
          <w:sz w:val="22"/>
          <w:szCs w:val="22"/>
        </w:rPr>
        <w:t xml:space="preserve"> </w:t>
      </w:r>
    </w:p>
    <w:p w14:paraId="2DE6813D" w14:textId="77777777" w:rsidR="00192783" w:rsidRDefault="00192783" w:rsidP="00192783">
      <w:pPr>
        <w:rPr>
          <w:b/>
          <w:sz w:val="22"/>
          <w:szCs w:val="22"/>
        </w:rPr>
      </w:pPr>
    </w:p>
    <w:p w14:paraId="61648013" w14:textId="77777777" w:rsidR="00192783" w:rsidRPr="00192783" w:rsidRDefault="00192783" w:rsidP="00192783">
      <w:pPr>
        <w:rPr>
          <w:b/>
          <w:sz w:val="22"/>
          <w:szCs w:val="22"/>
        </w:rPr>
      </w:pPr>
    </w:p>
    <w:p w14:paraId="2DAA644F" w14:textId="7E82C00E" w:rsidR="00FA5484" w:rsidRPr="00192783" w:rsidRDefault="00FA5484" w:rsidP="00192783">
      <w:pPr>
        <w:pStyle w:val="ListParagraph"/>
        <w:numPr>
          <w:ilvl w:val="0"/>
          <w:numId w:val="2"/>
        </w:numPr>
        <w:ind w:left="360"/>
        <w:rPr>
          <w:b/>
          <w:sz w:val="22"/>
          <w:szCs w:val="22"/>
        </w:rPr>
      </w:pPr>
      <w:r w:rsidRPr="00192783">
        <w:rPr>
          <w:b/>
          <w:sz w:val="22"/>
          <w:szCs w:val="22"/>
        </w:rPr>
        <w:t>Consequences of Collecting the Information Less Frequently</w:t>
      </w:r>
    </w:p>
    <w:p w14:paraId="7CD6E9EF" w14:textId="77777777" w:rsidR="00FA5484" w:rsidRDefault="00FA5484" w:rsidP="00FA5484">
      <w:pPr>
        <w:rPr>
          <w:sz w:val="22"/>
          <w:szCs w:val="22"/>
        </w:rPr>
      </w:pPr>
      <w:r w:rsidRPr="00C83A56">
        <w:rPr>
          <w:sz w:val="22"/>
          <w:szCs w:val="22"/>
        </w:rPr>
        <w:t xml:space="preserve">Absenteeism data is needed on a daily basis to accurately reflect the impact of flu on a company and also to determine if the flu is spreading within an entity.  While the company will compile information daily, they need only </w:t>
      </w:r>
      <w:r>
        <w:rPr>
          <w:sz w:val="22"/>
          <w:szCs w:val="22"/>
        </w:rPr>
        <w:t>submit the data to ACOEM</w:t>
      </w:r>
      <w:r w:rsidRPr="00C83A56">
        <w:rPr>
          <w:sz w:val="22"/>
          <w:szCs w:val="22"/>
        </w:rPr>
        <w:t xml:space="preserve"> on a weekly, or monthly basis.  </w:t>
      </w:r>
      <w:r w:rsidR="00FA7CAF">
        <w:rPr>
          <w:sz w:val="22"/>
          <w:szCs w:val="22"/>
        </w:rPr>
        <w:t xml:space="preserve">If submitting data monthly is too burdensome for any of the participating companies, ACOEM will accept data quarterly- as long as it includes </w:t>
      </w:r>
      <w:r w:rsidRPr="00C83A56">
        <w:rPr>
          <w:sz w:val="22"/>
          <w:szCs w:val="22"/>
        </w:rPr>
        <w:t>daily absenteeism counts.</w:t>
      </w:r>
      <w:r w:rsidR="00E37198">
        <w:rPr>
          <w:sz w:val="22"/>
          <w:szCs w:val="22"/>
        </w:rPr>
        <w:t xml:space="preserve"> There are no legal obstacles to reduce the burden.</w:t>
      </w:r>
    </w:p>
    <w:p w14:paraId="5BD981B7" w14:textId="77777777" w:rsidR="00E37198" w:rsidRPr="00C83A56" w:rsidRDefault="00E37198" w:rsidP="00FA5484">
      <w:pPr>
        <w:rPr>
          <w:sz w:val="22"/>
          <w:szCs w:val="22"/>
        </w:rPr>
      </w:pPr>
    </w:p>
    <w:p w14:paraId="4252281D" w14:textId="77777777" w:rsidR="00FA5484" w:rsidRPr="00C83A56" w:rsidRDefault="00FA5484" w:rsidP="00FA5484">
      <w:pPr>
        <w:rPr>
          <w:sz w:val="22"/>
          <w:szCs w:val="22"/>
        </w:rPr>
      </w:pPr>
    </w:p>
    <w:p w14:paraId="64D9CA2F" w14:textId="77777777" w:rsidR="00FA5484" w:rsidRPr="00C83A56" w:rsidRDefault="00FA5484" w:rsidP="00FA5484">
      <w:pPr>
        <w:pStyle w:val="ListParagraph"/>
        <w:numPr>
          <w:ilvl w:val="0"/>
          <w:numId w:val="2"/>
        </w:numPr>
        <w:ind w:left="360"/>
        <w:rPr>
          <w:b/>
          <w:sz w:val="22"/>
          <w:szCs w:val="22"/>
        </w:rPr>
      </w:pPr>
      <w:r w:rsidRPr="00C83A56">
        <w:rPr>
          <w:b/>
          <w:sz w:val="22"/>
          <w:szCs w:val="22"/>
        </w:rPr>
        <w:t>Special Circumstances Relation to the Guidelines of 5 CFR 1320.5</w:t>
      </w:r>
    </w:p>
    <w:p w14:paraId="122E4B43" w14:textId="77777777" w:rsidR="00FA5484" w:rsidRPr="00C83A56" w:rsidRDefault="00FA5484" w:rsidP="00FA5484">
      <w:pPr>
        <w:rPr>
          <w:rFonts w:cs="Calibri"/>
          <w:sz w:val="22"/>
          <w:szCs w:val="22"/>
        </w:rPr>
      </w:pPr>
    </w:p>
    <w:p w14:paraId="150A092F" w14:textId="77777777" w:rsidR="00FA5484" w:rsidRPr="003746DF" w:rsidRDefault="00FA5484" w:rsidP="00FA5484">
      <w:pPr>
        <w:rPr>
          <w:rFonts w:asciiTheme="minorHAnsi" w:hAnsiTheme="minorHAnsi" w:cs="Calibri"/>
          <w:sz w:val="22"/>
          <w:szCs w:val="22"/>
        </w:rPr>
      </w:pPr>
      <w:r w:rsidRPr="003746DF">
        <w:rPr>
          <w:rFonts w:asciiTheme="minorHAnsi" w:hAnsiTheme="minorHAnsi" w:cs="Calibri"/>
          <w:sz w:val="22"/>
          <w:szCs w:val="22"/>
        </w:rPr>
        <w:t>This request fully complies with the regulation 5 CFR 1320.5.</w:t>
      </w:r>
    </w:p>
    <w:p w14:paraId="3D0EFA42" w14:textId="77777777" w:rsidR="00FA5484" w:rsidRPr="003746DF" w:rsidRDefault="00FA5484" w:rsidP="00FA5484">
      <w:pPr>
        <w:rPr>
          <w:rFonts w:asciiTheme="minorHAnsi" w:hAnsiTheme="minorHAnsi"/>
          <w:b/>
          <w:sz w:val="22"/>
          <w:szCs w:val="22"/>
        </w:rPr>
      </w:pPr>
    </w:p>
    <w:p w14:paraId="02A399EF" w14:textId="77777777" w:rsidR="00FA5484" w:rsidRPr="00CC34F5" w:rsidRDefault="00FA5484" w:rsidP="00FA5484">
      <w:pPr>
        <w:pStyle w:val="ListParagraph"/>
        <w:numPr>
          <w:ilvl w:val="0"/>
          <w:numId w:val="2"/>
        </w:numPr>
        <w:ind w:left="360"/>
        <w:rPr>
          <w:rFonts w:asciiTheme="minorHAnsi" w:hAnsiTheme="minorHAnsi"/>
          <w:b/>
          <w:sz w:val="22"/>
          <w:szCs w:val="22"/>
        </w:rPr>
      </w:pPr>
      <w:r w:rsidRPr="003746DF">
        <w:rPr>
          <w:rFonts w:asciiTheme="minorHAnsi" w:hAnsiTheme="minorHAnsi"/>
          <w:b/>
          <w:sz w:val="22"/>
          <w:szCs w:val="22"/>
        </w:rPr>
        <w:lastRenderedPageBreak/>
        <w:t>Comments in Response to the Federal Register Notice and Efforts to Consult Outside Agency</w:t>
      </w:r>
    </w:p>
    <w:p w14:paraId="59552523" w14:textId="77777777" w:rsidR="00D83ECD" w:rsidRDefault="00D83ECD" w:rsidP="00E37198">
      <w:pPr>
        <w:tabs>
          <w:tab w:val="left" w:pos="360"/>
        </w:tabs>
        <w:rPr>
          <w:rFonts w:asciiTheme="minorHAnsi" w:hAnsiTheme="minorHAnsi"/>
          <w:sz w:val="22"/>
          <w:szCs w:val="22"/>
          <w:lang w:eastAsia="ja-JP"/>
        </w:rPr>
      </w:pPr>
    </w:p>
    <w:p w14:paraId="327E9C37" w14:textId="790775C5" w:rsidR="00E37198" w:rsidRPr="00CC34F5" w:rsidRDefault="00E37198" w:rsidP="00E37198">
      <w:pPr>
        <w:tabs>
          <w:tab w:val="left" w:pos="360"/>
        </w:tabs>
        <w:rPr>
          <w:rFonts w:asciiTheme="minorHAnsi" w:hAnsiTheme="minorHAnsi"/>
          <w:sz w:val="22"/>
          <w:szCs w:val="22"/>
          <w:lang w:eastAsia="ja-JP"/>
        </w:rPr>
      </w:pPr>
      <w:r w:rsidRPr="00CC34F5">
        <w:rPr>
          <w:rFonts w:asciiTheme="minorHAnsi" w:hAnsiTheme="minorHAnsi"/>
          <w:sz w:val="22"/>
          <w:szCs w:val="22"/>
          <w:lang w:eastAsia="ja-JP"/>
        </w:rPr>
        <w:t>A.  A 60-day Federal Register Notice was published in the Federal Register on</w:t>
      </w:r>
      <w:r w:rsidR="00CC34F5" w:rsidRPr="00CC34F5">
        <w:rPr>
          <w:rFonts w:asciiTheme="minorHAnsi" w:hAnsiTheme="minorHAnsi"/>
          <w:sz w:val="22"/>
          <w:szCs w:val="22"/>
          <w:lang w:eastAsia="ja-JP"/>
        </w:rPr>
        <w:t xml:space="preserve"> July 24</w:t>
      </w:r>
      <w:r w:rsidRPr="00CC34F5">
        <w:rPr>
          <w:rFonts w:asciiTheme="minorHAnsi" w:hAnsiTheme="minorHAnsi"/>
          <w:sz w:val="22"/>
          <w:szCs w:val="22"/>
          <w:lang w:eastAsia="ja-JP"/>
        </w:rPr>
        <w:t xml:space="preserve"> 2014, vol. </w:t>
      </w:r>
      <w:r w:rsidR="00CC34F5" w:rsidRPr="00CC34F5">
        <w:rPr>
          <w:rFonts w:asciiTheme="minorHAnsi" w:hAnsiTheme="minorHAnsi"/>
          <w:sz w:val="22"/>
          <w:szCs w:val="22"/>
          <w:lang w:eastAsia="ja-JP"/>
        </w:rPr>
        <w:t>79</w:t>
      </w:r>
      <w:r w:rsidRPr="00CC34F5">
        <w:rPr>
          <w:rFonts w:asciiTheme="minorHAnsi" w:hAnsiTheme="minorHAnsi"/>
          <w:sz w:val="22"/>
          <w:szCs w:val="22"/>
          <w:lang w:eastAsia="ja-JP"/>
        </w:rPr>
        <w:t xml:space="preserve">, No. </w:t>
      </w:r>
      <w:r w:rsidR="00CC34F5" w:rsidRPr="00CC34F5">
        <w:rPr>
          <w:rFonts w:asciiTheme="minorHAnsi" w:hAnsiTheme="minorHAnsi"/>
          <w:sz w:val="22"/>
          <w:szCs w:val="22"/>
          <w:lang w:eastAsia="ja-JP"/>
        </w:rPr>
        <w:t>142</w:t>
      </w:r>
      <w:r w:rsidRPr="00CC34F5">
        <w:rPr>
          <w:rFonts w:asciiTheme="minorHAnsi" w:hAnsiTheme="minorHAnsi"/>
          <w:sz w:val="22"/>
          <w:szCs w:val="22"/>
          <w:lang w:eastAsia="ja-JP"/>
        </w:rPr>
        <w:t xml:space="preserve">, pp. </w:t>
      </w:r>
      <w:r w:rsidR="00CC34F5" w:rsidRPr="00CC34F5">
        <w:rPr>
          <w:rFonts w:asciiTheme="minorHAnsi" w:hAnsiTheme="minorHAnsi"/>
          <w:sz w:val="22"/>
          <w:szCs w:val="22"/>
          <w:lang w:eastAsia="ja-JP"/>
        </w:rPr>
        <w:t>43054-43055</w:t>
      </w:r>
      <w:r w:rsidRPr="00CC34F5">
        <w:rPr>
          <w:rFonts w:asciiTheme="minorHAnsi" w:hAnsiTheme="minorHAnsi"/>
          <w:sz w:val="22"/>
          <w:szCs w:val="22"/>
          <w:lang w:eastAsia="ja-JP"/>
        </w:rPr>
        <w:t xml:space="preserve"> (Attachment </w:t>
      </w:r>
      <w:r w:rsidR="004D0BE6">
        <w:rPr>
          <w:rFonts w:asciiTheme="minorHAnsi" w:hAnsiTheme="minorHAnsi"/>
          <w:sz w:val="22"/>
          <w:szCs w:val="22"/>
          <w:lang w:eastAsia="ja-JP"/>
        </w:rPr>
        <w:t>B</w:t>
      </w:r>
      <w:r w:rsidRPr="00CC34F5">
        <w:rPr>
          <w:rFonts w:asciiTheme="minorHAnsi" w:hAnsiTheme="minorHAnsi"/>
          <w:sz w:val="22"/>
          <w:szCs w:val="22"/>
          <w:lang w:eastAsia="ja-JP"/>
        </w:rPr>
        <w:t xml:space="preserve">: Federal Register Notice).  One comment was received from the public (Attachment </w:t>
      </w:r>
      <w:r w:rsidR="004D0BE6">
        <w:rPr>
          <w:rFonts w:asciiTheme="minorHAnsi" w:hAnsiTheme="minorHAnsi"/>
          <w:sz w:val="22"/>
          <w:szCs w:val="22"/>
          <w:lang w:eastAsia="ja-JP"/>
        </w:rPr>
        <w:t>C</w:t>
      </w:r>
      <w:r w:rsidRPr="00CC34F5">
        <w:rPr>
          <w:rFonts w:asciiTheme="minorHAnsi" w:hAnsiTheme="minorHAnsi"/>
          <w:sz w:val="22"/>
          <w:szCs w:val="22"/>
          <w:lang w:eastAsia="ja-JP"/>
        </w:rPr>
        <w:t xml:space="preserve">: Public Comments and Responses to the Federal Register Notice).  </w:t>
      </w:r>
      <w:r w:rsidR="00CC34F5" w:rsidRPr="00CC34F5">
        <w:rPr>
          <w:rFonts w:asciiTheme="minorHAnsi" w:hAnsiTheme="minorHAnsi"/>
          <w:sz w:val="22"/>
          <w:szCs w:val="22"/>
          <w:lang w:eastAsia="ja-JP"/>
        </w:rPr>
        <w:t>The comment was acknowledged and the commenter was referred to the CDC website.</w:t>
      </w:r>
    </w:p>
    <w:p w14:paraId="3E3BB50F" w14:textId="77777777" w:rsidR="00CC34F5" w:rsidRDefault="00CC34F5" w:rsidP="00E37198">
      <w:pPr>
        <w:tabs>
          <w:tab w:val="left" w:pos="360"/>
        </w:tabs>
        <w:rPr>
          <w:rFonts w:ascii="Times New Roman" w:hAnsi="Times New Roman"/>
          <w:lang w:eastAsia="ja-JP"/>
        </w:rPr>
      </w:pPr>
    </w:p>
    <w:p w14:paraId="139DDA71" w14:textId="77777777" w:rsidR="00382789" w:rsidRPr="00382789" w:rsidRDefault="00382789" w:rsidP="00382789">
      <w:pPr>
        <w:autoSpaceDE w:val="0"/>
        <w:autoSpaceDN w:val="0"/>
        <w:adjustRightInd w:val="0"/>
        <w:rPr>
          <w:rFonts w:ascii="Times New Roman" w:eastAsia="Calibri" w:hAnsi="Times New Roman"/>
          <w:color w:val="000000"/>
        </w:rPr>
      </w:pPr>
    </w:p>
    <w:p w14:paraId="29D1DA4C" w14:textId="2E982436" w:rsidR="00382789" w:rsidRPr="00D83ECD" w:rsidRDefault="00D83ECD" w:rsidP="00382789">
      <w:pPr>
        <w:autoSpaceDE w:val="0"/>
        <w:autoSpaceDN w:val="0"/>
        <w:adjustRightInd w:val="0"/>
        <w:rPr>
          <w:rFonts w:asciiTheme="minorHAnsi" w:eastAsia="Calibri" w:hAnsiTheme="minorHAnsi" w:cs="AdvOT419e7ed1"/>
          <w:sz w:val="22"/>
          <w:szCs w:val="22"/>
        </w:rPr>
      </w:pPr>
      <w:r>
        <w:rPr>
          <w:rFonts w:asciiTheme="minorHAnsi" w:eastAsia="Calibri" w:hAnsiTheme="minorHAnsi"/>
          <w:color w:val="000000"/>
          <w:sz w:val="22"/>
          <w:szCs w:val="22"/>
        </w:rPr>
        <w:t xml:space="preserve">B. </w:t>
      </w:r>
      <w:r w:rsidR="00382789" w:rsidRPr="00D83ECD">
        <w:rPr>
          <w:rFonts w:asciiTheme="minorHAnsi" w:eastAsia="Calibri" w:hAnsiTheme="minorHAnsi"/>
          <w:color w:val="000000"/>
          <w:sz w:val="22"/>
          <w:szCs w:val="22"/>
        </w:rPr>
        <w:t xml:space="preserve">Leading up to and during the 2009 pilot project described in Section 1, NIOSH and ACOEM consulted with other parts of CDC and the Bureau of Labor Statistics (BLS) to assess the availability of the required data on workplace absenteeism from other sources.  One potential data source was identified:  the Current Population Survey (CPS) issued by the BLS. It was determined that absenteeism data collected monthly through the CPS were not </w:t>
      </w:r>
      <w:r w:rsidR="00382789" w:rsidRPr="00D83ECD">
        <w:rPr>
          <w:rFonts w:asciiTheme="minorHAnsi" w:eastAsia="Calibri" w:hAnsiTheme="minorHAnsi" w:cs="AdvOT419e7ed1"/>
          <w:sz w:val="22"/>
          <w:szCs w:val="22"/>
        </w:rPr>
        <w:t>timely enough to provide actionable information during a pandemic, and that the system lacked the flexibility to increase the frequency of data collection during an emergency.</w:t>
      </w:r>
    </w:p>
    <w:p w14:paraId="72B066C1" w14:textId="77777777" w:rsidR="00382789" w:rsidRPr="00D83ECD" w:rsidRDefault="00382789" w:rsidP="00382789">
      <w:pPr>
        <w:autoSpaceDE w:val="0"/>
        <w:autoSpaceDN w:val="0"/>
        <w:adjustRightInd w:val="0"/>
        <w:rPr>
          <w:rFonts w:asciiTheme="minorHAnsi" w:eastAsia="Calibri" w:hAnsiTheme="minorHAnsi"/>
          <w:color w:val="000000"/>
          <w:sz w:val="22"/>
          <w:szCs w:val="22"/>
        </w:rPr>
      </w:pPr>
    </w:p>
    <w:p w14:paraId="7462EF73" w14:textId="77777777" w:rsidR="00382789" w:rsidRPr="00C33249" w:rsidRDefault="00382789" w:rsidP="00382789">
      <w:pPr>
        <w:autoSpaceDE w:val="0"/>
        <w:autoSpaceDN w:val="0"/>
        <w:adjustRightInd w:val="0"/>
        <w:rPr>
          <w:rFonts w:asciiTheme="minorHAnsi" w:eastAsia="Calibri" w:hAnsiTheme="minorHAnsi"/>
          <w:color w:val="000000"/>
          <w:sz w:val="22"/>
          <w:szCs w:val="22"/>
        </w:rPr>
      </w:pPr>
      <w:r w:rsidRPr="00D83ECD">
        <w:rPr>
          <w:rFonts w:asciiTheme="minorHAnsi" w:eastAsia="Calibri" w:hAnsiTheme="minorHAnsi"/>
          <w:color w:val="000000"/>
          <w:sz w:val="22"/>
          <w:szCs w:val="22"/>
        </w:rPr>
        <w:t xml:space="preserve">ACOEM also consulted with several members who are </w:t>
      </w:r>
      <w:r w:rsidR="00D83ECD" w:rsidRPr="00D83ECD">
        <w:rPr>
          <w:rFonts w:asciiTheme="minorHAnsi" w:eastAsia="Calibri" w:hAnsiTheme="minorHAnsi"/>
          <w:color w:val="000000"/>
          <w:sz w:val="22"/>
          <w:szCs w:val="22"/>
        </w:rPr>
        <w:t>company medical directors- potential participants in the surveillance system- in 2013-2014. ACOEM</w:t>
      </w:r>
      <w:r w:rsidRPr="00D83ECD">
        <w:rPr>
          <w:rFonts w:asciiTheme="minorHAnsi" w:eastAsia="Calibri" w:hAnsiTheme="minorHAnsi"/>
          <w:color w:val="000000"/>
          <w:sz w:val="22"/>
          <w:szCs w:val="22"/>
        </w:rPr>
        <w:t xml:space="preserve"> obtain</w:t>
      </w:r>
      <w:r w:rsidR="00D83ECD" w:rsidRPr="00D83ECD">
        <w:rPr>
          <w:rFonts w:asciiTheme="minorHAnsi" w:eastAsia="Calibri" w:hAnsiTheme="minorHAnsi"/>
          <w:color w:val="000000"/>
          <w:sz w:val="22"/>
          <w:szCs w:val="22"/>
        </w:rPr>
        <w:t>ed</w:t>
      </w:r>
      <w:r w:rsidRPr="00D83ECD">
        <w:rPr>
          <w:rFonts w:asciiTheme="minorHAnsi" w:eastAsia="Calibri" w:hAnsiTheme="minorHAnsi"/>
          <w:color w:val="000000"/>
          <w:sz w:val="22"/>
          <w:szCs w:val="22"/>
        </w:rPr>
        <w:t xml:space="preserve"> their views on the availability of data, frequency of collection, the clarity of instructions and reporting format, and on the data elements to be reported. </w:t>
      </w:r>
      <w:r w:rsidR="00D83ECD" w:rsidRPr="00D83ECD">
        <w:rPr>
          <w:rFonts w:asciiTheme="minorHAnsi" w:eastAsia="Calibri" w:hAnsiTheme="minorHAnsi"/>
          <w:color w:val="000000"/>
          <w:sz w:val="22"/>
          <w:szCs w:val="22"/>
        </w:rPr>
        <w:t xml:space="preserve">Their concerns were addressed, and there was a consensus that the current reporting format will be acceptable to </w:t>
      </w:r>
      <w:r w:rsidR="00D83ECD" w:rsidRPr="00C33249">
        <w:rPr>
          <w:rFonts w:asciiTheme="minorHAnsi" w:eastAsia="Calibri" w:hAnsiTheme="minorHAnsi"/>
          <w:color w:val="000000"/>
          <w:sz w:val="22"/>
          <w:szCs w:val="22"/>
        </w:rPr>
        <w:t>voluntary participants.</w:t>
      </w:r>
    </w:p>
    <w:p w14:paraId="1288FA01" w14:textId="77777777" w:rsidR="00C00B94" w:rsidRPr="00C33249" w:rsidRDefault="00C00B94" w:rsidP="00382789">
      <w:pPr>
        <w:autoSpaceDE w:val="0"/>
        <w:autoSpaceDN w:val="0"/>
        <w:adjustRightInd w:val="0"/>
        <w:rPr>
          <w:rFonts w:asciiTheme="minorHAnsi" w:eastAsia="Calibri" w:hAnsiTheme="minorHAnsi"/>
          <w:color w:val="000000"/>
          <w:sz w:val="22"/>
          <w:szCs w:val="22"/>
        </w:rPr>
      </w:pPr>
    </w:p>
    <w:p w14:paraId="0AC4AD70" w14:textId="1DB1F340" w:rsidR="00C00B94" w:rsidRPr="00C33249" w:rsidRDefault="00C00B94" w:rsidP="00382789">
      <w:pPr>
        <w:autoSpaceDE w:val="0"/>
        <w:autoSpaceDN w:val="0"/>
        <w:adjustRightInd w:val="0"/>
        <w:rPr>
          <w:rFonts w:asciiTheme="minorHAnsi" w:eastAsia="Calibri" w:hAnsiTheme="minorHAnsi"/>
          <w:color w:val="000000"/>
          <w:sz w:val="22"/>
          <w:szCs w:val="22"/>
        </w:rPr>
      </w:pPr>
      <w:r w:rsidRPr="00C33249">
        <w:rPr>
          <w:rFonts w:asciiTheme="minorHAnsi" w:eastAsia="Calibri" w:hAnsiTheme="minorHAnsi"/>
          <w:color w:val="000000"/>
          <w:sz w:val="22"/>
          <w:szCs w:val="22"/>
        </w:rPr>
        <w:t>The ACOEM members who were consulted in the development of the original tool in 2009 were:</w:t>
      </w:r>
    </w:p>
    <w:p w14:paraId="363E4F9F" w14:textId="77777777" w:rsidR="00C00B94" w:rsidRPr="00C33249" w:rsidRDefault="00C00B94" w:rsidP="00382789">
      <w:pPr>
        <w:autoSpaceDE w:val="0"/>
        <w:autoSpaceDN w:val="0"/>
        <w:adjustRightInd w:val="0"/>
        <w:rPr>
          <w:rFonts w:asciiTheme="minorHAnsi" w:eastAsia="Calibri" w:hAnsiTheme="minorHAnsi"/>
          <w:color w:val="000000"/>
          <w:sz w:val="22"/>
          <w:szCs w:val="22"/>
        </w:rPr>
      </w:pPr>
      <w:r w:rsidRPr="00C33249">
        <w:rPr>
          <w:rFonts w:asciiTheme="minorHAnsi" w:eastAsia="Calibri" w:hAnsiTheme="minorHAnsi"/>
          <w:color w:val="000000"/>
          <w:sz w:val="22"/>
          <w:szCs w:val="22"/>
        </w:rPr>
        <w:tab/>
        <w:t>Robert McLellan, MD, MPH, FACOEM</w:t>
      </w:r>
    </w:p>
    <w:p w14:paraId="0F814781" w14:textId="77777777" w:rsidR="00C00B94" w:rsidRPr="00C33249" w:rsidRDefault="00C00B94" w:rsidP="00382789">
      <w:pPr>
        <w:autoSpaceDE w:val="0"/>
        <w:autoSpaceDN w:val="0"/>
        <w:adjustRightInd w:val="0"/>
        <w:rPr>
          <w:rFonts w:asciiTheme="minorHAnsi" w:eastAsia="Calibri" w:hAnsiTheme="minorHAnsi"/>
          <w:color w:val="000000"/>
          <w:sz w:val="22"/>
          <w:szCs w:val="22"/>
        </w:rPr>
      </w:pPr>
      <w:r w:rsidRPr="00C33249">
        <w:rPr>
          <w:rFonts w:asciiTheme="minorHAnsi" w:eastAsia="Calibri" w:hAnsiTheme="minorHAnsi"/>
          <w:color w:val="000000"/>
          <w:sz w:val="22"/>
          <w:szCs w:val="22"/>
        </w:rPr>
        <w:tab/>
        <w:t>Medical Director/Section Chief</w:t>
      </w:r>
    </w:p>
    <w:p w14:paraId="6DA0D0F0" w14:textId="77777777" w:rsidR="00C00B94" w:rsidRPr="00C33249" w:rsidRDefault="00C00B94" w:rsidP="00382789">
      <w:pPr>
        <w:autoSpaceDE w:val="0"/>
        <w:autoSpaceDN w:val="0"/>
        <w:adjustRightInd w:val="0"/>
        <w:rPr>
          <w:rFonts w:asciiTheme="minorHAnsi" w:eastAsia="Calibri" w:hAnsiTheme="minorHAnsi"/>
          <w:color w:val="000000"/>
          <w:sz w:val="22"/>
          <w:szCs w:val="22"/>
        </w:rPr>
      </w:pPr>
      <w:r w:rsidRPr="00C33249">
        <w:rPr>
          <w:rFonts w:asciiTheme="minorHAnsi" w:eastAsia="Calibri" w:hAnsiTheme="minorHAnsi"/>
          <w:color w:val="000000"/>
          <w:sz w:val="22"/>
          <w:szCs w:val="22"/>
        </w:rPr>
        <w:tab/>
        <w:t>Dartmouth Hitchcock Medical Center</w:t>
      </w:r>
    </w:p>
    <w:p w14:paraId="4D7C866A" w14:textId="77777777" w:rsidR="00C00B94" w:rsidRPr="00C33249" w:rsidRDefault="00C00B94" w:rsidP="00382789">
      <w:pPr>
        <w:autoSpaceDE w:val="0"/>
        <w:autoSpaceDN w:val="0"/>
        <w:adjustRightInd w:val="0"/>
        <w:rPr>
          <w:rFonts w:asciiTheme="minorHAnsi" w:eastAsia="Calibri" w:hAnsiTheme="minorHAnsi"/>
          <w:color w:val="000000"/>
          <w:sz w:val="22"/>
          <w:szCs w:val="22"/>
        </w:rPr>
      </w:pPr>
      <w:r w:rsidRPr="00C33249">
        <w:rPr>
          <w:rFonts w:asciiTheme="minorHAnsi" w:eastAsia="Calibri" w:hAnsiTheme="minorHAnsi"/>
          <w:color w:val="000000"/>
          <w:sz w:val="22"/>
          <w:szCs w:val="22"/>
        </w:rPr>
        <w:tab/>
        <w:t>Lebanon, NH 03756</w:t>
      </w:r>
    </w:p>
    <w:p w14:paraId="3D3D7AD5" w14:textId="77777777" w:rsidR="00C00B94" w:rsidRPr="00C33249" w:rsidRDefault="00C00B94" w:rsidP="00C33249">
      <w:pPr>
        <w:autoSpaceDE w:val="0"/>
        <w:autoSpaceDN w:val="0"/>
        <w:adjustRightInd w:val="0"/>
        <w:ind w:firstLine="720"/>
        <w:rPr>
          <w:rFonts w:asciiTheme="minorHAnsi" w:eastAsia="Calibri" w:hAnsiTheme="minorHAnsi"/>
          <w:color w:val="000000"/>
          <w:sz w:val="22"/>
          <w:szCs w:val="22"/>
        </w:rPr>
      </w:pPr>
      <w:r w:rsidRPr="00C33249">
        <w:rPr>
          <w:rFonts w:asciiTheme="minorHAnsi" w:eastAsia="Calibri" w:hAnsiTheme="minorHAnsi"/>
          <w:color w:val="000000"/>
          <w:sz w:val="22"/>
          <w:szCs w:val="22"/>
        </w:rPr>
        <w:t>603-653-3850</w:t>
      </w:r>
    </w:p>
    <w:p w14:paraId="7A9E0D8D" w14:textId="77777777" w:rsidR="00C00B94" w:rsidRPr="00C33249" w:rsidRDefault="00C00B94" w:rsidP="00C33249">
      <w:pPr>
        <w:autoSpaceDE w:val="0"/>
        <w:autoSpaceDN w:val="0"/>
        <w:adjustRightInd w:val="0"/>
        <w:ind w:firstLine="720"/>
        <w:rPr>
          <w:rFonts w:asciiTheme="minorHAnsi" w:eastAsia="Calibri" w:hAnsiTheme="minorHAnsi"/>
          <w:color w:val="000000"/>
          <w:sz w:val="22"/>
          <w:szCs w:val="22"/>
        </w:rPr>
      </w:pPr>
    </w:p>
    <w:p w14:paraId="1C7AC1B3" w14:textId="77777777" w:rsidR="00C00B94" w:rsidRPr="00C33249" w:rsidRDefault="00C00B94" w:rsidP="00C33249">
      <w:pPr>
        <w:autoSpaceDE w:val="0"/>
        <w:autoSpaceDN w:val="0"/>
        <w:adjustRightInd w:val="0"/>
        <w:ind w:firstLine="720"/>
        <w:rPr>
          <w:rFonts w:asciiTheme="minorHAnsi" w:eastAsia="Calibri" w:hAnsiTheme="minorHAnsi"/>
          <w:color w:val="000000"/>
          <w:sz w:val="22"/>
          <w:szCs w:val="22"/>
        </w:rPr>
      </w:pPr>
      <w:r w:rsidRPr="00C33249">
        <w:rPr>
          <w:rFonts w:asciiTheme="minorHAnsi" w:eastAsia="Calibri" w:hAnsiTheme="minorHAnsi"/>
          <w:color w:val="000000"/>
          <w:sz w:val="22"/>
          <w:szCs w:val="22"/>
        </w:rPr>
        <w:t>T. Warner Hudson, MD, MPH, FACOEM</w:t>
      </w:r>
    </w:p>
    <w:p w14:paraId="2C65C406" w14:textId="77777777" w:rsidR="00C00B94" w:rsidRPr="00C33249" w:rsidRDefault="00C00B94" w:rsidP="00C33249">
      <w:pPr>
        <w:autoSpaceDE w:val="0"/>
        <w:autoSpaceDN w:val="0"/>
        <w:adjustRightInd w:val="0"/>
        <w:ind w:firstLine="720"/>
        <w:rPr>
          <w:rFonts w:asciiTheme="minorHAnsi" w:eastAsia="Calibri" w:hAnsiTheme="minorHAnsi"/>
          <w:color w:val="000000"/>
          <w:sz w:val="22"/>
          <w:szCs w:val="22"/>
        </w:rPr>
      </w:pPr>
      <w:r w:rsidRPr="00C33249">
        <w:rPr>
          <w:rFonts w:asciiTheme="minorHAnsi" w:eastAsia="Calibri" w:hAnsiTheme="minorHAnsi"/>
          <w:color w:val="000000"/>
          <w:sz w:val="22"/>
          <w:szCs w:val="22"/>
        </w:rPr>
        <w:t>Medical Director, Occupational Health Facility</w:t>
      </w:r>
    </w:p>
    <w:p w14:paraId="571DE568" w14:textId="77777777" w:rsidR="00C00B94" w:rsidRPr="00C33249" w:rsidRDefault="00C00B94" w:rsidP="00C33249">
      <w:pPr>
        <w:autoSpaceDE w:val="0"/>
        <w:autoSpaceDN w:val="0"/>
        <w:adjustRightInd w:val="0"/>
        <w:ind w:firstLine="720"/>
        <w:rPr>
          <w:rFonts w:asciiTheme="minorHAnsi" w:eastAsia="Calibri" w:hAnsiTheme="minorHAnsi"/>
          <w:color w:val="000000"/>
          <w:sz w:val="22"/>
          <w:szCs w:val="22"/>
        </w:rPr>
      </w:pPr>
      <w:r w:rsidRPr="00C33249">
        <w:rPr>
          <w:rFonts w:asciiTheme="minorHAnsi" w:eastAsia="Calibri" w:hAnsiTheme="minorHAnsi"/>
          <w:color w:val="000000"/>
          <w:sz w:val="22"/>
          <w:szCs w:val="22"/>
        </w:rPr>
        <w:t>UCLA  Health System</w:t>
      </w:r>
    </w:p>
    <w:p w14:paraId="30F6AEB5" w14:textId="77777777" w:rsidR="00C00B94" w:rsidRPr="00C33249" w:rsidRDefault="00C00B94" w:rsidP="00C33249">
      <w:pPr>
        <w:autoSpaceDE w:val="0"/>
        <w:autoSpaceDN w:val="0"/>
        <w:adjustRightInd w:val="0"/>
        <w:ind w:firstLine="720"/>
        <w:rPr>
          <w:rFonts w:asciiTheme="minorHAnsi" w:eastAsia="Calibri" w:hAnsiTheme="minorHAnsi"/>
          <w:color w:val="000000"/>
          <w:sz w:val="22"/>
          <w:szCs w:val="22"/>
        </w:rPr>
      </w:pPr>
      <w:r w:rsidRPr="00C33249">
        <w:rPr>
          <w:rFonts w:asciiTheme="minorHAnsi" w:eastAsia="Calibri" w:hAnsiTheme="minorHAnsi"/>
          <w:color w:val="000000"/>
          <w:sz w:val="22"/>
          <w:szCs w:val="22"/>
        </w:rPr>
        <w:t>Los Angeles, CA</w:t>
      </w:r>
    </w:p>
    <w:p w14:paraId="02992D20" w14:textId="77777777" w:rsidR="00C00B94" w:rsidRPr="00D83ECD" w:rsidRDefault="00C00B94" w:rsidP="00C33249">
      <w:pPr>
        <w:autoSpaceDE w:val="0"/>
        <w:autoSpaceDN w:val="0"/>
        <w:adjustRightInd w:val="0"/>
        <w:ind w:firstLine="720"/>
        <w:rPr>
          <w:rFonts w:asciiTheme="minorHAnsi" w:eastAsia="Calibri" w:hAnsiTheme="minorHAnsi"/>
          <w:color w:val="000000"/>
          <w:sz w:val="22"/>
          <w:szCs w:val="22"/>
        </w:rPr>
      </w:pPr>
      <w:r w:rsidRPr="00C33249">
        <w:rPr>
          <w:rFonts w:asciiTheme="minorHAnsi" w:eastAsia="Calibri" w:hAnsiTheme="minorHAnsi"/>
          <w:color w:val="000000"/>
          <w:sz w:val="22"/>
          <w:szCs w:val="22"/>
        </w:rPr>
        <w:t>310-825-9246</w:t>
      </w:r>
    </w:p>
    <w:p w14:paraId="4964D028" w14:textId="77777777" w:rsidR="00D83ECD" w:rsidRPr="00D83ECD" w:rsidRDefault="00D83ECD" w:rsidP="00382789">
      <w:pPr>
        <w:autoSpaceDE w:val="0"/>
        <w:autoSpaceDN w:val="0"/>
        <w:adjustRightInd w:val="0"/>
        <w:rPr>
          <w:rFonts w:asciiTheme="minorHAnsi" w:eastAsia="Calibri" w:hAnsiTheme="minorHAnsi"/>
          <w:color w:val="000000"/>
          <w:sz w:val="22"/>
          <w:szCs w:val="22"/>
        </w:rPr>
      </w:pPr>
    </w:p>
    <w:p w14:paraId="3B927CD4" w14:textId="77777777" w:rsidR="00D83ECD" w:rsidRPr="00D83ECD" w:rsidRDefault="00D83ECD" w:rsidP="00382789">
      <w:pPr>
        <w:autoSpaceDE w:val="0"/>
        <w:autoSpaceDN w:val="0"/>
        <w:adjustRightInd w:val="0"/>
        <w:rPr>
          <w:rFonts w:asciiTheme="minorHAnsi" w:eastAsia="Calibri" w:hAnsiTheme="minorHAnsi"/>
          <w:color w:val="000000"/>
          <w:sz w:val="22"/>
          <w:szCs w:val="22"/>
        </w:rPr>
      </w:pPr>
      <w:r w:rsidRPr="00D83ECD">
        <w:rPr>
          <w:rFonts w:asciiTheme="minorHAnsi" w:eastAsia="Calibri" w:hAnsiTheme="minorHAnsi"/>
          <w:color w:val="000000"/>
          <w:sz w:val="22"/>
          <w:szCs w:val="22"/>
        </w:rPr>
        <w:t>An article describing the pilot project described in Section 1 was published in the journal Disaster Medicine and Public Health Preparedness in 2013. The authors did not receive any negative comments.</w:t>
      </w:r>
    </w:p>
    <w:p w14:paraId="7DCBA9E1" w14:textId="77777777" w:rsidR="00D83ECD" w:rsidRPr="00382789" w:rsidRDefault="00D83ECD" w:rsidP="00382789">
      <w:pPr>
        <w:autoSpaceDE w:val="0"/>
        <w:autoSpaceDN w:val="0"/>
        <w:adjustRightInd w:val="0"/>
        <w:rPr>
          <w:rFonts w:ascii="Times New Roman" w:eastAsia="Calibri" w:hAnsi="Times New Roman"/>
          <w:color w:val="000000"/>
          <w:sz w:val="22"/>
          <w:szCs w:val="22"/>
        </w:rPr>
      </w:pPr>
    </w:p>
    <w:p w14:paraId="1EB30152" w14:textId="77777777" w:rsidR="00AD4628" w:rsidRPr="00C83A56" w:rsidRDefault="00AD4628" w:rsidP="00FA5484">
      <w:pPr>
        <w:rPr>
          <w:sz w:val="22"/>
          <w:szCs w:val="22"/>
        </w:rPr>
      </w:pPr>
    </w:p>
    <w:p w14:paraId="5446771C" w14:textId="77777777" w:rsidR="00FA5484" w:rsidRPr="00C83A56" w:rsidRDefault="00FA5484" w:rsidP="00FA5484">
      <w:pPr>
        <w:rPr>
          <w:b/>
          <w:sz w:val="22"/>
          <w:szCs w:val="22"/>
        </w:rPr>
      </w:pPr>
    </w:p>
    <w:p w14:paraId="2E546296" w14:textId="77777777" w:rsidR="00FA5484" w:rsidRPr="00C83A56" w:rsidRDefault="00FA5484" w:rsidP="00FA5484">
      <w:pPr>
        <w:pStyle w:val="ListParagraph"/>
        <w:numPr>
          <w:ilvl w:val="0"/>
          <w:numId w:val="2"/>
        </w:numPr>
        <w:ind w:left="360"/>
        <w:rPr>
          <w:b/>
          <w:sz w:val="22"/>
          <w:szCs w:val="22"/>
        </w:rPr>
      </w:pPr>
      <w:r w:rsidRPr="00C83A56">
        <w:rPr>
          <w:b/>
          <w:sz w:val="22"/>
          <w:szCs w:val="22"/>
        </w:rPr>
        <w:t>Explanation of Any Payment or Gift to Respondents</w:t>
      </w:r>
    </w:p>
    <w:p w14:paraId="7656E02B" w14:textId="77777777" w:rsidR="00FA5484" w:rsidRPr="00C83A56" w:rsidRDefault="00FA5484" w:rsidP="00FA5484">
      <w:pPr>
        <w:autoSpaceDE w:val="0"/>
        <w:autoSpaceDN w:val="0"/>
        <w:adjustRightInd w:val="0"/>
        <w:rPr>
          <w:rFonts w:eastAsia="Calibri" w:cs="Calibri"/>
          <w:color w:val="000000"/>
          <w:sz w:val="22"/>
          <w:szCs w:val="22"/>
        </w:rPr>
      </w:pPr>
      <w:r w:rsidRPr="00C83A56">
        <w:rPr>
          <w:rFonts w:eastAsia="Calibri" w:cs="Calibri"/>
          <w:color w:val="000000"/>
          <w:sz w:val="22"/>
          <w:szCs w:val="22"/>
        </w:rPr>
        <w:t xml:space="preserve">Respondents will not receive any form of payment or gifts. </w:t>
      </w:r>
    </w:p>
    <w:p w14:paraId="7DE2BCFD" w14:textId="77777777" w:rsidR="00FA5484" w:rsidRDefault="00FA5484" w:rsidP="00FA5484">
      <w:pPr>
        <w:rPr>
          <w:b/>
          <w:sz w:val="22"/>
          <w:szCs w:val="22"/>
        </w:rPr>
      </w:pPr>
    </w:p>
    <w:p w14:paraId="679255BB" w14:textId="77777777" w:rsidR="00192783" w:rsidRPr="00C83A56" w:rsidRDefault="00192783" w:rsidP="00FA5484">
      <w:pPr>
        <w:rPr>
          <w:b/>
          <w:sz w:val="22"/>
          <w:szCs w:val="22"/>
        </w:rPr>
      </w:pPr>
    </w:p>
    <w:p w14:paraId="7E794159" w14:textId="77777777" w:rsidR="00FA5484" w:rsidRPr="00C83A56" w:rsidRDefault="00FA5484" w:rsidP="00FA5484">
      <w:pPr>
        <w:pStyle w:val="ListParagraph"/>
        <w:numPr>
          <w:ilvl w:val="0"/>
          <w:numId w:val="2"/>
        </w:numPr>
        <w:ind w:left="360"/>
        <w:rPr>
          <w:b/>
          <w:sz w:val="22"/>
          <w:szCs w:val="22"/>
        </w:rPr>
      </w:pPr>
      <w:r w:rsidRPr="00C83A56">
        <w:rPr>
          <w:b/>
          <w:sz w:val="22"/>
          <w:szCs w:val="22"/>
        </w:rPr>
        <w:t>Assurance of Confidentiality Provided to Respondents</w:t>
      </w:r>
    </w:p>
    <w:p w14:paraId="0CCCF4E3" w14:textId="77777777" w:rsidR="00D83ECD" w:rsidRDefault="00D83ECD" w:rsidP="00BB0C1A">
      <w:pPr>
        <w:widowControl w:val="0"/>
        <w:autoSpaceDE w:val="0"/>
        <w:autoSpaceDN w:val="0"/>
        <w:adjustRightInd w:val="0"/>
        <w:rPr>
          <w:rFonts w:cs="Calibri"/>
          <w:bCs/>
          <w:i/>
          <w:color w:val="000000"/>
          <w:sz w:val="22"/>
          <w:szCs w:val="22"/>
        </w:rPr>
      </w:pPr>
    </w:p>
    <w:p w14:paraId="2DDB5E31" w14:textId="77777777" w:rsidR="00BB0C1A" w:rsidRPr="00BB0C1A" w:rsidRDefault="00BB0C1A" w:rsidP="00BB0C1A">
      <w:pPr>
        <w:widowControl w:val="0"/>
        <w:autoSpaceDE w:val="0"/>
        <w:autoSpaceDN w:val="0"/>
        <w:adjustRightInd w:val="0"/>
        <w:rPr>
          <w:rFonts w:cs="Calibri"/>
          <w:bCs/>
          <w:i/>
          <w:color w:val="000000"/>
          <w:sz w:val="22"/>
          <w:szCs w:val="22"/>
        </w:rPr>
      </w:pPr>
      <w:r w:rsidRPr="00BB0C1A">
        <w:rPr>
          <w:rFonts w:cs="Calibri"/>
          <w:bCs/>
          <w:i/>
          <w:color w:val="000000"/>
          <w:sz w:val="22"/>
          <w:szCs w:val="22"/>
        </w:rPr>
        <w:t>Overview of the Data Collection System</w:t>
      </w:r>
    </w:p>
    <w:p w14:paraId="53B93A58" w14:textId="21641A3A" w:rsidR="00BB0C1A" w:rsidRPr="00BB0C1A" w:rsidRDefault="00BB0C1A" w:rsidP="00BB0C1A">
      <w:pPr>
        <w:rPr>
          <w:sz w:val="22"/>
          <w:szCs w:val="22"/>
        </w:rPr>
      </w:pPr>
      <w:r w:rsidRPr="00BB0C1A">
        <w:rPr>
          <w:sz w:val="22"/>
          <w:szCs w:val="22"/>
        </w:rPr>
        <w:t xml:space="preserve">Many private companies already collect absenteeism information.  A recent survey by ACOEM of its members demonstrated that 62% track absences by type (i.e., illness, personal time off and/or vacation). ACOEM will work with these companies to standardize, compile and integrate their absenteeism data into a national aggregated database to monitor absenteeism from flu/flu like symptoms as well as collect general absenteeism rates to have a baseline for comparison during influenza season. </w:t>
      </w:r>
    </w:p>
    <w:p w14:paraId="040012D2" w14:textId="77777777" w:rsidR="00BB0C1A" w:rsidRPr="00BB0C1A" w:rsidRDefault="00BB0C1A" w:rsidP="00BB0C1A">
      <w:pPr>
        <w:rPr>
          <w:rFonts w:ascii="Times" w:hAnsi="Times"/>
          <w:sz w:val="22"/>
          <w:szCs w:val="22"/>
        </w:rPr>
      </w:pPr>
    </w:p>
    <w:p w14:paraId="11DEB565" w14:textId="77777777" w:rsidR="00BB0C1A" w:rsidRPr="00104197" w:rsidRDefault="00BB0C1A" w:rsidP="00BB0C1A">
      <w:pPr>
        <w:ind w:firstLine="360"/>
        <w:rPr>
          <w:sz w:val="22"/>
          <w:szCs w:val="22"/>
        </w:rPr>
      </w:pPr>
      <w:r w:rsidRPr="00104197">
        <w:rPr>
          <w:sz w:val="22"/>
          <w:szCs w:val="22"/>
        </w:rPr>
        <w:lastRenderedPageBreak/>
        <w:t>Company Data Collection Steps:</w:t>
      </w:r>
    </w:p>
    <w:p w14:paraId="27E19286" w14:textId="77777777" w:rsidR="00BB0C1A" w:rsidRPr="00BB0C1A" w:rsidRDefault="00BB0C1A" w:rsidP="00BB0C1A">
      <w:pPr>
        <w:numPr>
          <w:ilvl w:val="0"/>
          <w:numId w:val="3"/>
        </w:numPr>
        <w:spacing w:after="200" w:line="276" w:lineRule="auto"/>
        <w:contextualSpacing/>
        <w:rPr>
          <w:sz w:val="22"/>
          <w:szCs w:val="22"/>
        </w:rPr>
      </w:pPr>
      <w:r w:rsidRPr="00BB0C1A">
        <w:rPr>
          <w:sz w:val="22"/>
          <w:szCs w:val="22"/>
        </w:rPr>
        <w:t>Companies identified for participation in data collection program</w:t>
      </w:r>
    </w:p>
    <w:p w14:paraId="13BEE650" w14:textId="77777777" w:rsidR="00BB0C1A" w:rsidRPr="00BB0C1A" w:rsidRDefault="00BB0C1A" w:rsidP="00BB0C1A">
      <w:pPr>
        <w:numPr>
          <w:ilvl w:val="0"/>
          <w:numId w:val="3"/>
        </w:numPr>
        <w:spacing w:after="200" w:line="276" w:lineRule="auto"/>
        <w:contextualSpacing/>
        <w:rPr>
          <w:sz w:val="22"/>
          <w:szCs w:val="22"/>
        </w:rPr>
      </w:pPr>
      <w:r w:rsidRPr="00BB0C1A">
        <w:rPr>
          <w:sz w:val="22"/>
          <w:szCs w:val="22"/>
        </w:rPr>
        <w:t>Contact information provided to ACOEM</w:t>
      </w:r>
    </w:p>
    <w:p w14:paraId="1D96576B" w14:textId="77777777" w:rsidR="00BB0C1A" w:rsidRPr="00BB0C1A" w:rsidRDefault="00BB0C1A" w:rsidP="00BB0C1A">
      <w:pPr>
        <w:numPr>
          <w:ilvl w:val="0"/>
          <w:numId w:val="3"/>
        </w:numPr>
        <w:spacing w:after="200" w:line="276" w:lineRule="auto"/>
        <w:contextualSpacing/>
        <w:rPr>
          <w:sz w:val="22"/>
          <w:szCs w:val="22"/>
        </w:rPr>
      </w:pPr>
      <w:r w:rsidRPr="00BB0C1A">
        <w:rPr>
          <w:sz w:val="22"/>
          <w:szCs w:val="22"/>
        </w:rPr>
        <w:t xml:space="preserve">Company contact provided with EXCEL data template and detailed instructions on how to complete the file. </w:t>
      </w:r>
    </w:p>
    <w:p w14:paraId="2BA45ADF" w14:textId="77777777" w:rsidR="00BB0C1A" w:rsidRPr="00BB0C1A" w:rsidRDefault="00BB0C1A" w:rsidP="00BB0C1A">
      <w:pPr>
        <w:numPr>
          <w:ilvl w:val="0"/>
          <w:numId w:val="3"/>
        </w:numPr>
        <w:spacing w:after="200" w:line="276" w:lineRule="auto"/>
        <w:contextualSpacing/>
        <w:rPr>
          <w:sz w:val="22"/>
          <w:szCs w:val="22"/>
        </w:rPr>
      </w:pPr>
      <w:r w:rsidRPr="00BB0C1A">
        <w:rPr>
          <w:sz w:val="22"/>
          <w:szCs w:val="22"/>
        </w:rPr>
        <w:t>Company completes EXCEL sheet and returns via email to ACOEM contact on a weekly, monthly or quarterly basis.</w:t>
      </w:r>
    </w:p>
    <w:p w14:paraId="5B3EDCED" w14:textId="77777777" w:rsidR="00BB0C1A" w:rsidRPr="00BB0C1A" w:rsidRDefault="00BB0C1A" w:rsidP="00BB0C1A">
      <w:pPr>
        <w:ind w:left="360"/>
        <w:rPr>
          <w:sz w:val="22"/>
          <w:szCs w:val="22"/>
        </w:rPr>
      </w:pPr>
      <w:r w:rsidRPr="00BB0C1A">
        <w:rPr>
          <w:sz w:val="22"/>
          <w:szCs w:val="22"/>
        </w:rPr>
        <w:t>Note:  Detailed instructions are currently being written and will be provided to Company contacts at beginning of process.</w:t>
      </w:r>
    </w:p>
    <w:p w14:paraId="15AE479E" w14:textId="77777777" w:rsidR="00BB0C1A" w:rsidRPr="00BB0C1A" w:rsidRDefault="00BB0C1A" w:rsidP="00BB0C1A">
      <w:pPr>
        <w:rPr>
          <w:b/>
          <w:sz w:val="22"/>
          <w:szCs w:val="22"/>
        </w:rPr>
      </w:pPr>
    </w:p>
    <w:p w14:paraId="59FE31DE" w14:textId="77777777" w:rsidR="00BB0C1A" w:rsidRPr="00104197" w:rsidRDefault="00BB0C1A" w:rsidP="00BB0C1A">
      <w:pPr>
        <w:ind w:firstLine="360"/>
        <w:rPr>
          <w:sz w:val="22"/>
          <w:szCs w:val="22"/>
        </w:rPr>
      </w:pPr>
      <w:r w:rsidRPr="00104197">
        <w:rPr>
          <w:sz w:val="22"/>
          <w:szCs w:val="22"/>
        </w:rPr>
        <w:t>ACOEM Data Process:</w:t>
      </w:r>
    </w:p>
    <w:p w14:paraId="07CBF7B4" w14:textId="77777777" w:rsidR="00BB0C1A" w:rsidRPr="00BB0C1A" w:rsidRDefault="00BB0C1A" w:rsidP="00BB0C1A">
      <w:pPr>
        <w:numPr>
          <w:ilvl w:val="0"/>
          <w:numId w:val="4"/>
        </w:numPr>
        <w:spacing w:after="200" w:line="276" w:lineRule="auto"/>
        <w:contextualSpacing/>
        <w:rPr>
          <w:sz w:val="22"/>
          <w:szCs w:val="22"/>
        </w:rPr>
      </w:pPr>
      <w:r w:rsidRPr="00BB0C1A">
        <w:rPr>
          <w:sz w:val="22"/>
          <w:szCs w:val="22"/>
        </w:rPr>
        <w:t>Assign companies identified for participation in data collection program with a unique ID and prepare EXCEL template for data collection</w:t>
      </w:r>
    </w:p>
    <w:p w14:paraId="36EA7701" w14:textId="77777777" w:rsidR="00BB0C1A" w:rsidRPr="00BB0C1A" w:rsidRDefault="00BB0C1A" w:rsidP="00BB0C1A">
      <w:pPr>
        <w:numPr>
          <w:ilvl w:val="0"/>
          <w:numId w:val="4"/>
        </w:numPr>
        <w:spacing w:after="200" w:line="276" w:lineRule="auto"/>
        <w:contextualSpacing/>
        <w:rPr>
          <w:sz w:val="22"/>
          <w:szCs w:val="22"/>
        </w:rPr>
      </w:pPr>
      <w:r w:rsidRPr="00BB0C1A">
        <w:rPr>
          <w:sz w:val="22"/>
          <w:szCs w:val="22"/>
        </w:rPr>
        <w:t>Provide EXCEL template to Company contact (Company ID, week, report number are prepopulated).</w:t>
      </w:r>
    </w:p>
    <w:p w14:paraId="5BE42732" w14:textId="77777777" w:rsidR="00BB0C1A" w:rsidRPr="00BB0C1A" w:rsidRDefault="00BB0C1A" w:rsidP="00BB0C1A">
      <w:pPr>
        <w:numPr>
          <w:ilvl w:val="0"/>
          <w:numId w:val="4"/>
        </w:numPr>
        <w:spacing w:after="200" w:line="276" w:lineRule="auto"/>
        <w:contextualSpacing/>
        <w:rPr>
          <w:sz w:val="22"/>
          <w:szCs w:val="22"/>
        </w:rPr>
      </w:pPr>
      <w:r w:rsidRPr="00BB0C1A">
        <w:rPr>
          <w:sz w:val="22"/>
          <w:szCs w:val="22"/>
        </w:rPr>
        <w:t>Collect EXCEL sheets from each company and file according to defined filing system</w:t>
      </w:r>
    </w:p>
    <w:p w14:paraId="5AC08E17" w14:textId="77777777" w:rsidR="00BB0C1A" w:rsidRPr="00BB0C1A" w:rsidRDefault="00BB0C1A" w:rsidP="00BB0C1A">
      <w:pPr>
        <w:numPr>
          <w:ilvl w:val="1"/>
          <w:numId w:val="4"/>
        </w:numPr>
        <w:spacing w:after="200" w:line="276" w:lineRule="auto"/>
        <w:contextualSpacing/>
        <w:rPr>
          <w:sz w:val="22"/>
          <w:szCs w:val="22"/>
        </w:rPr>
      </w:pPr>
      <w:r w:rsidRPr="00BB0C1A">
        <w:rPr>
          <w:sz w:val="22"/>
          <w:szCs w:val="22"/>
        </w:rPr>
        <w:t>Each company and specific site filed in a company folder</w:t>
      </w:r>
    </w:p>
    <w:p w14:paraId="2817FBE6" w14:textId="77777777" w:rsidR="00BB0C1A" w:rsidRPr="00BB0C1A" w:rsidRDefault="00BB0C1A" w:rsidP="00BB0C1A">
      <w:pPr>
        <w:numPr>
          <w:ilvl w:val="1"/>
          <w:numId w:val="4"/>
        </w:numPr>
        <w:spacing w:after="200" w:line="276" w:lineRule="auto"/>
        <w:contextualSpacing/>
        <w:rPr>
          <w:sz w:val="22"/>
          <w:szCs w:val="22"/>
        </w:rPr>
      </w:pPr>
      <w:r w:rsidRPr="00BB0C1A">
        <w:rPr>
          <w:sz w:val="22"/>
          <w:szCs w:val="22"/>
        </w:rPr>
        <w:t>Each week filed separately (at end of quarter – 12 separate files)</w:t>
      </w:r>
    </w:p>
    <w:p w14:paraId="3B275D7A" w14:textId="77777777" w:rsidR="00BB0C1A" w:rsidRPr="00BB0C1A" w:rsidRDefault="00BB0C1A" w:rsidP="00BB0C1A">
      <w:pPr>
        <w:numPr>
          <w:ilvl w:val="1"/>
          <w:numId w:val="4"/>
        </w:numPr>
        <w:spacing w:after="200" w:line="276" w:lineRule="auto"/>
        <w:contextualSpacing/>
        <w:rPr>
          <w:sz w:val="22"/>
          <w:szCs w:val="22"/>
        </w:rPr>
      </w:pPr>
      <w:r w:rsidRPr="00BB0C1A">
        <w:rPr>
          <w:sz w:val="22"/>
          <w:szCs w:val="22"/>
        </w:rPr>
        <w:t>Follow up with companies when EXCEL files are late</w:t>
      </w:r>
    </w:p>
    <w:p w14:paraId="7039F0A0" w14:textId="77777777" w:rsidR="00BB0C1A" w:rsidRPr="00BB0C1A" w:rsidRDefault="00BB0C1A" w:rsidP="00BB0C1A">
      <w:pPr>
        <w:numPr>
          <w:ilvl w:val="0"/>
          <w:numId w:val="4"/>
        </w:numPr>
        <w:spacing w:after="200" w:line="276" w:lineRule="auto"/>
        <w:contextualSpacing/>
        <w:rPr>
          <w:sz w:val="22"/>
          <w:szCs w:val="22"/>
        </w:rPr>
      </w:pPr>
      <w:r w:rsidRPr="00BB0C1A">
        <w:rPr>
          <w:sz w:val="22"/>
          <w:szCs w:val="22"/>
        </w:rPr>
        <w:t>Review data sheet for data completeness and identification of potential issues</w:t>
      </w:r>
    </w:p>
    <w:p w14:paraId="79D12C1F" w14:textId="77777777" w:rsidR="00BB0C1A" w:rsidRPr="00BB0C1A" w:rsidRDefault="00BB0C1A" w:rsidP="00BB0C1A">
      <w:pPr>
        <w:numPr>
          <w:ilvl w:val="0"/>
          <w:numId w:val="4"/>
        </w:numPr>
        <w:spacing w:after="200" w:line="276" w:lineRule="auto"/>
        <w:contextualSpacing/>
        <w:rPr>
          <w:sz w:val="22"/>
          <w:szCs w:val="22"/>
        </w:rPr>
      </w:pPr>
      <w:r w:rsidRPr="00BB0C1A">
        <w:rPr>
          <w:sz w:val="22"/>
          <w:szCs w:val="22"/>
        </w:rPr>
        <w:t xml:space="preserve">Import data into the ACCESS database </w:t>
      </w:r>
    </w:p>
    <w:p w14:paraId="6896A728" w14:textId="77777777" w:rsidR="00BB0C1A" w:rsidRPr="00BB0C1A" w:rsidRDefault="00BB0C1A" w:rsidP="00BB0C1A">
      <w:pPr>
        <w:numPr>
          <w:ilvl w:val="0"/>
          <w:numId w:val="4"/>
        </w:numPr>
        <w:spacing w:after="200" w:line="276" w:lineRule="auto"/>
        <w:contextualSpacing/>
        <w:rPr>
          <w:sz w:val="22"/>
          <w:szCs w:val="22"/>
        </w:rPr>
      </w:pPr>
      <w:r w:rsidRPr="00BB0C1A">
        <w:rPr>
          <w:sz w:val="22"/>
          <w:szCs w:val="22"/>
        </w:rPr>
        <w:t>Provide weekly, monthly and ad hoc reports to NIOSH</w:t>
      </w:r>
    </w:p>
    <w:p w14:paraId="76979A25" w14:textId="77777777" w:rsidR="00BB0C1A" w:rsidRPr="00BB0C1A" w:rsidRDefault="00BB0C1A" w:rsidP="00BB0C1A">
      <w:pPr>
        <w:rPr>
          <w:b/>
          <w:sz w:val="22"/>
          <w:szCs w:val="22"/>
        </w:rPr>
      </w:pPr>
    </w:p>
    <w:p w14:paraId="31017DDF" w14:textId="77777777" w:rsidR="00BB0C1A" w:rsidRPr="00CC34F5" w:rsidRDefault="00BB0C1A" w:rsidP="00BB0C1A">
      <w:pPr>
        <w:widowControl w:val="0"/>
        <w:autoSpaceDE w:val="0"/>
        <w:autoSpaceDN w:val="0"/>
        <w:adjustRightInd w:val="0"/>
        <w:rPr>
          <w:rFonts w:asciiTheme="minorHAnsi" w:hAnsiTheme="minorHAnsi" w:cs="Calibri"/>
          <w:i/>
          <w:color w:val="000000"/>
          <w:sz w:val="22"/>
          <w:szCs w:val="22"/>
        </w:rPr>
      </w:pPr>
      <w:r w:rsidRPr="00CC34F5">
        <w:rPr>
          <w:rFonts w:asciiTheme="minorHAnsi" w:hAnsiTheme="minorHAnsi" w:cs="Calibri"/>
          <w:i/>
          <w:color w:val="000000"/>
          <w:sz w:val="22"/>
          <w:szCs w:val="22"/>
        </w:rPr>
        <w:t>Information to be Collected</w:t>
      </w:r>
    </w:p>
    <w:p w14:paraId="21469461" w14:textId="77777777" w:rsidR="00BB0C1A" w:rsidRPr="00CC34F5" w:rsidRDefault="00BB0C1A" w:rsidP="00BB0C1A">
      <w:pPr>
        <w:widowControl w:val="0"/>
        <w:autoSpaceDE w:val="0"/>
        <w:autoSpaceDN w:val="0"/>
        <w:adjustRightInd w:val="0"/>
        <w:rPr>
          <w:rFonts w:asciiTheme="minorHAnsi" w:hAnsiTheme="minorHAnsi" w:cs="Calibri"/>
          <w:color w:val="000000"/>
          <w:sz w:val="22"/>
          <w:szCs w:val="22"/>
        </w:rPr>
      </w:pPr>
    </w:p>
    <w:p w14:paraId="2BB701D7" w14:textId="77777777" w:rsidR="00BB0C1A" w:rsidRPr="00CC34F5" w:rsidRDefault="00BB0C1A" w:rsidP="00BB0C1A">
      <w:pPr>
        <w:widowControl w:val="0"/>
        <w:autoSpaceDE w:val="0"/>
        <w:autoSpaceDN w:val="0"/>
        <w:adjustRightInd w:val="0"/>
        <w:rPr>
          <w:rFonts w:asciiTheme="minorHAnsi" w:hAnsiTheme="minorHAnsi"/>
          <w:color w:val="000000"/>
          <w:sz w:val="22"/>
          <w:szCs w:val="22"/>
        </w:rPr>
      </w:pPr>
      <w:r w:rsidRPr="00CC34F5">
        <w:rPr>
          <w:rFonts w:asciiTheme="minorHAnsi" w:hAnsiTheme="minorHAnsi"/>
          <w:color w:val="000000"/>
          <w:sz w:val="22"/>
          <w:szCs w:val="22"/>
        </w:rPr>
        <w:t xml:space="preserve">For each company, the number of worksites and location will be determined.  Then for each worksite included in the system, ACOEM will collect: </w:t>
      </w:r>
    </w:p>
    <w:p w14:paraId="26CE5C37" w14:textId="77777777" w:rsidR="00BB0C1A" w:rsidRPr="00CC34F5" w:rsidRDefault="00BB0C1A" w:rsidP="00BB0C1A">
      <w:pPr>
        <w:widowControl w:val="0"/>
        <w:numPr>
          <w:ilvl w:val="0"/>
          <w:numId w:val="5"/>
        </w:numPr>
        <w:autoSpaceDE w:val="0"/>
        <w:autoSpaceDN w:val="0"/>
        <w:adjustRightInd w:val="0"/>
        <w:spacing w:after="47"/>
        <w:contextualSpacing/>
        <w:rPr>
          <w:rFonts w:asciiTheme="minorHAnsi" w:hAnsiTheme="minorHAnsi"/>
          <w:color w:val="000000"/>
          <w:sz w:val="22"/>
          <w:szCs w:val="22"/>
        </w:rPr>
      </w:pPr>
      <w:r w:rsidRPr="00CC34F5">
        <w:rPr>
          <w:rFonts w:asciiTheme="minorHAnsi" w:hAnsiTheme="minorHAnsi"/>
          <w:color w:val="000000"/>
          <w:sz w:val="22"/>
          <w:szCs w:val="22"/>
        </w:rPr>
        <w:t xml:space="preserve">Geographic location of the worksite reporting and relationship to the business (Businesses will be coded as A, B, C, D, or E and sites coded numerically, so that sites of business A might be coded A1, A2, A3… and so on) </w:t>
      </w:r>
    </w:p>
    <w:p w14:paraId="55B46BEB" w14:textId="77777777" w:rsidR="00BB0C1A" w:rsidRPr="00CC34F5" w:rsidRDefault="00BB0C1A" w:rsidP="00BB0C1A">
      <w:pPr>
        <w:widowControl w:val="0"/>
        <w:numPr>
          <w:ilvl w:val="0"/>
          <w:numId w:val="5"/>
        </w:numPr>
        <w:autoSpaceDE w:val="0"/>
        <w:autoSpaceDN w:val="0"/>
        <w:adjustRightInd w:val="0"/>
        <w:spacing w:after="47"/>
        <w:contextualSpacing/>
        <w:rPr>
          <w:rFonts w:asciiTheme="minorHAnsi" w:hAnsiTheme="minorHAnsi"/>
          <w:color w:val="000000"/>
          <w:sz w:val="22"/>
          <w:szCs w:val="22"/>
        </w:rPr>
      </w:pPr>
      <w:r w:rsidRPr="00CC34F5">
        <w:rPr>
          <w:rFonts w:asciiTheme="minorHAnsi" w:hAnsiTheme="minorHAnsi"/>
          <w:color w:val="000000"/>
          <w:sz w:val="22"/>
          <w:szCs w:val="22"/>
        </w:rPr>
        <w:t xml:space="preserve">Total number of employees for the site </w:t>
      </w:r>
    </w:p>
    <w:p w14:paraId="059CEA38" w14:textId="77777777" w:rsidR="00BB0C1A" w:rsidRPr="00CC34F5" w:rsidRDefault="00BB0C1A" w:rsidP="00BB0C1A">
      <w:pPr>
        <w:widowControl w:val="0"/>
        <w:numPr>
          <w:ilvl w:val="0"/>
          <w:numId w:val="5"/>
        </w:numPr>
        <w:autoSpaceDE w:val="0"/>
        <w:autoSpaceDN w:val="0"/>
        <w:adjustRightInd w:val="0"/>
        <w:spacing w:after="47"/>
        <w:contextualSpacing/>
        <w:rPr>
          <w:rFonts w:asciiTheme="minorHAnsi" w:hAnsiTheme="minorHAnsi"/>
          <w:color w:val="000000"/>
          <w:sz w:val="22"/>
          <w:szCs w:val="22"/>
        </w:rPr>
      </w:pPr>
      <w:r w:rsidRPr="00CC34F5">
        <w:rPr>
          <w:rFonts w:asciiTheme="minorHAnsi" w:hAnsiTheme="minorHAnsi"/>
          <w:color w:val="000000"/>
          <w:sz w:val="22"/>
          <w:szCs w:val="22"/>
        </w:rPr>
        <w:t>Type and number of employees – i.e. hourly and exempt for each worksite</w:t>
      </w:r>
    </w:p>
    <w:p w14:paraId="6FD223A2" w14:textId="77777777" w:rsidR="00BB0C1A" w:rsidRPr="00CC34F5" w:rsidRDefault="00BB0C1A" w:rsidP="00BB0C1A">
      <w:pPr>
        <w:widowControl w:val="0"/>
        <w:numPr>
          <w:ilvl w:val="0"/>
          <w:numId w:val="5"/>
        </w:numPr>
        <w:autoSpaceDE w:val="0"/>
        <w:autoSpaceDN w:val="0"/>
        <w:adjustRightInd w:val="0"/>
        <w:spacing w:after="47"/>
        <w:contextualSpacing/>
        <w:rPr>
          <w:rFonts w:asciiTheme="minorHAnsi" w:hAnsiTheme="minorHAnsi"/>
          <w:color w:val="000000"/>
          <w:sz w:val="22"/>
          <w:szCs w:val="22"/>
        </w:rPr>
      </w:pPr>
      <w:r w:rsidRPr="00CC34F5">
        <w:rPr>
          <w:rFonts w:asciiTheme="minorHAnsi" w:hAnsiTheme="minorHAnsi"/>
          <w:color w:val="000000"/>
          <w:sz w:val="22"/>
          <w:szCs w:val="22"/>
        </w:rPr>
        <w:t>North American Industry Classification System (NAICS) Code (type of industry)</w:t>
      </w:r>
    </w:p>
    <w:p w14:paraId="6BADEE04" w14:textId="77777777" w:rsidR="00BB0C1A" w:rsidRPr="00CC34F5" w:rsidRDefault="00BB0C1A" w:rsidP="00BB0C1A">
      <w:pPr>
        <w:widowControl w:val="0"/>
        <w:numPr>
          <w:ilvl w:val="0"/>
          <w:numId w:val="5"/>
        </w:numPr>
        <w:autoSpaceDE w:val="0"/>
        <w:autoSpaceDN w:val="0"/>
        <w:adjustRightInd w:val="0"/>
        <w:spacing w:after="47"/>
        <w:contextualSpacing/>
        <w:rPr>
          <w:rFonts w:asciiTheme="minorHAnsi" w:hAnsiTheme="minorHAnsi"/>
          <w:color w:val="000000"/>
          <w:sz w:val="22"/>
          <w:szCs w:val="22"/>
        </w:rPr>
      </w:pPr>
      <w:r w:rsidRPr="00CC34F5">
        <w:rPr>
          <w:rFonts w:asciiTheme="minorHAnsi" w:hAnsiTheme="minorHAnsi"/>
          <w:color w:val="000000"/>
          <w:sz w:val="22"/>
          <w:szCs w:val="22"/>
        </w:rPr>
        <w:t xml:space="preserve">Type of sick and other leave benefits offered and the number of employees who are covered by each type of leave </w:t>
      </w:r>
    </w:p>
    <w:p w14:paraId="0A910C83" w14:textId="77777777" w:rsidR="00BB0C1A" w:rsidRPr="00CC34F5" w:rsidRDefault="00BB0C1A" w:rsidP="00BB0C1A">
      <w:pPr>
        <w:widowControl w:val="0"/>
        <w:numPr>
          <w:ilvl w:val="0"/>
          <w:numId w:val="5"/>
        </w:numPr>
        <w:autoSpaceDE w:val="0"/>
        <w:autoSpaceDN w:val="0"/>
        <w:adjustRightInd w:val="0"/>
        <w:contextualSpacing/>
        <w:rPr>
          <w:rFonts w:asciiTheme="minorHAnsi" w:hAnsiTheme="minorHAnsi"/>
          <w:color w:val="000000"/>
          <w:sz w:val="22"/>
          <w:szCs w:val="22"/>
        </w:rPr>
      </w:pPr>
      <w:r w:rsidRPr="00CC34F5">
        <w:rPr>
          <w:rFonts w:asciiTheme="minorHAnsi" w:hAnsiTheme="minorHAnsi"/>
          <w:color w:val="000000"/>
          <w:sz w:val="22"/>
          <w:szCs w:val="22"/>
        </w:rPr>
        <w:t xml:space="preserve">Historical absenteeism rate by week by each worksite </w:t>
      </w:r>
    </w:p>
    <w:p w14:paraId="7999B735" w14:textId="77777777" w:rsidR="00BB0C1A" w:rsidRPr="00CC34F5" w:rsidRDefault="00BB0C1A" w:rsidP="00BB0C1A">
      <w:pPr>
        <w:widowControl w:val="0"/>
        <w:numPr>
          <w:ilvl w:val="0"/>
          <w:numId w:val="5"/>
        </w:numPr>
        <w:autoSpaceDE w:val="0"/>
        <w:autoSpaceDN w:val="0"/>
        <w:adjustRightInd w:val="0"/>
        <w:spacing w:after="27"/>
        <w:ind w:left="1080"/>
        <w:contextualSpacing/>
        <w:rPr>
          <w:rFonts w:asciiTheme="minorHAnsi" w:hAnsiTheme="minorHAnsi"/>
          <w:color w:val="000000"/>
          <w:sz w:val="22"/>
          <w:szCs w:val="22"/>
        </w:rPr>
      </w:pPr>
      <w:r w:rsidRPr="00CC34F5">
        <w:rPr>
          <w:rFonts w:asciiTheme="minorHAnsi" w:hAnsiTheme="minorHAnsi"/>
          <w:color w:val="000000"/>
          <w:sz w:val="22"/>
          <w:szCs w:val="22"/>
        </w:rPr>
        <w:t xml:space="preserve">Prior 2 years if available </w:t>
      </w:r>
    </w:p>
    <w:p w14:paraId="1916603F" w14:textId="77777777" w:rsidR="00BB0C1A" w:rsidRPr="00CC34F5" w:rsidRDefault="00BB0C1A" w:rsidP="00BB0C1A">
      <w:pPr>
        <w:widowControl w:val="0"/>
        <w:numPr>
          <w:ilvl w:val="0"/>
          <w:numId w:val="5"/>
        </w:numPr>
        <w:autoSpaceDE w:val="0"/>
        <w:autoSpaceDN w:val="0"/>
        <w:adjustRightInd w:val="0"/>
        <w:ind w:left="1080"/>
        <w:contextualSpacing/>
        <w:rPr>
          <w:rFonts w:asciiTheme="minorHAnsi" w:hAnsiTheme="minorHAnsi"/>
          <w:color w:val="000000"/>
          <w:sz w:val="22"/>
          <w:szCs w:val="22"/>
        </w:rPr>
      </w:pPr>
      <w:r w:rsidRPr="00CC34F5">
        <w:rPr>
          <w:rFonts w:asciiTheme="minorHAnsi" w:hAnsiTheme="minorHAnsi"/>
          <w:color w:val="000000"/>
          <w:sz w:val="22"/>
          <w:szCs w:val="22"/>
        </w:rPr>
        <w:t>By flu/flu like symptoms if available</w:t>
      </w:r>
    </w:p>
    <w:p w14:paraId="0A770B42" w14:textId="77777777" w:rsidR="00BB0C1A" w:rsidRPr="00CC34F5" w:rsidRDefault="00BB0C1A" w:rsidP="00BB0C1A">
      <w:pPr>
        <w:widowControl w:val="0"/>
        <w:autoSpaceDE w:val="0"/>
        <w:autoSpaceDN w:val="0"/>
        <w:adjustRightInd w:val="0"/>
        <w:ind w:left="360"/>
        <w:rPr>
          <w:rFonts w:asciiTheme="minorHAnsi" w:hAnsiTheme="minorHAnsi" w:cs="Calibri"/>
          <w:color w:val="000000"/>
          <w:sz w:val="22"/>
          <w:szCs w:val="22"/>
        </w:rPr>
      </w:pPr>
    </w:p>
    <w:p w14:paraId="13F7A990" w14:textId="77777777" w:rsidR="00BB0C1A" w:rsidRPr="00BB0C1A" w:rsidRDefault="00BB0C1A" w:rsidP="00BB0C1A">
      <w:pPr>
        <w:widowControl w:val="0"/>
        <w:autoSpaceDE w:val="0"/>
        <w:autoSpaceDN w:val="0"/>
        <w:adjustRightInd w:val="0"/>
        <w:rPr>
          <w:rFonts w:cs="Calibri"/>
          <w:color w:val="000000"/>
          <w:sz w:val="22"/>
          <w:szCs w:val="22"/>
        </w:rPr>
      </w:pPr>
      <w:r w:rsidRPr="00BB0C1A">
        <w:rPr>
          <w:rFonts w:cs="Calibri"/>
          <w:color w:val="000000"/>
          <w:sz w:val="22"/>
          <w:szCs w:val="22"/>
        </w:rPr>
        <w:t>No individually identifiable information is being collected.</w:t>
      </w:r>
    </w:p>
    <w:p w14:paraId="1F30B0D6" w14:textId="77777777" w:rsidR="00BB0C1A" w:rsidRPr="00BB0C1A" w:rsidRDefault="00BB0C1A" w:rsidP="00BB0C1A">
      <w:pPr>
        <w:rPr>
          <w:b/>
          <w:sz w:val="22"/>
          <w:szCs w:val="22"/>
        </w:rPr>
      </w:pPr>
    </w:p>
    <w:p w14:paraId="29FCCC13" w14:textId="77777777" w:rsidR="00FA5484" w:rsidRDefault="00FA5484" w:rsidP="00FA5484">
      <w:pPr>
        <w:rPr>
          <w:sz w:val="22"/>
          <w:szCs w:val="22"/>
        </w:rPr>
      </w:pPr>
      <w:r w:rsidRPr="00C83A56">
        <w:rPr>
          <w:sz w:val="22"/>
          <w:szCs w:val="22"/>
        </w:rPr>
        <w:t xml:space="preserve">No form of </w:t>
      </w:r>
      <w:r>
        <w:rPr>
          <w:sz w:val="22"/>
          <w:szCs w:val="22"/>
        </w:rPr>
        <w:t xml:space="preserve">identifying information on employees </w:t>
      </w:r>
      <w:r w:rsidRPr="009714EE">
        <w:rPr>
          <w:sz w:val="22"/>
          <w:szCs w:val="22"/>
        </w:rPr>
        <w:t>(i.e., employee name, age, social security number</w:t>
      </w:r>
      <w:r>
        <w:rPr>
          <w:sz w:val="22"/>
          <w:szCs w:val="22"/>
        </w:rPr>
        <w:t xml:space="preserve">) will be collected.  All information will be compiled into a database and information submitted to NIOSH will be coded and analyzed in the aggregate.  The NIOSH IRB has determined that the </w:t>
      </w:r>
      <w:r w:rsidRPr="009714EE">
        <w:rPr>
          <w:sz w:val="22"/>
          <w:szCs w:val="22"/>
        </w:rPr>
        <w:t>activity is Human Subjects Non-Research and does not require IRB review</w:t>
      </w:r>
      <w:r>
        <w:rPr>
          <w:sz w:val="22"/>
          <w:szCs w:val="22"/>
        </w:rPr>
        <w:t xml:space="preserve"> (See Attachment G).</w:t>
      </w:r>
    </w:p>
    <w:p w14:paraId="622DAF92" w14:textId="77777777" w:rsidR="006C0F74" w:rsidRDefault="006C0F74" w:rsidP="00FA5484">
      <w:pPr>
        <w:rPr>
          <w:sz w:val="22"/>
          <w:szCs w:val="22"/>
        </w:rPr>
      </w:pPr>
    </w:p>
    <w:p w14:paraId="0DB55680" w14:textId="77777777" w:rsidR="006C0F74" w:rsidRDefault="006C0F74" w:rsidP="006C0F74">
      <w:pPr>
        <w:autoSpaceDE w:val="0"/>
        <w:autoSpaceDN w:val="0"/>
        <w:adjustRightInd w:val="0"/>
        <w:rPr>
          <w:rFonts w:eastAsia="Calibri" w:cs="Calibri"/>
          <w:color w:val="000000"/>
          <w:sz w:val="22"/>
          <w:szCs w:val="22"/>
        </w:rPr>
      </w:pPr>
      <w:r>
        <w:rPr>
          <w:rFonts w:eastAsia="Calibri" w:cs="Calibri"/>
          <w:color w:val="000000"/>
          <w:sz w:val="22"/>
          <w:szCs w:val="22"/>
        </w:rPr>
        <w:t>ACOEM will review and aggregate the data and replace company names with unique IDs.  ACOEM will transfer de-identified datasets to NIOSH on a weekly basis.</w:t>
      </w:r>
    </w:p>
    <w:p w14:paraId="00C4138B" w14:textId="77777777" w:rsidR="006C0F74" w:rsidRDefault="006C0F74" w:rsidP="006C0F74">
      <w:pPr>
        <w:autoSpaceDE w:val="0"/>
        <w:autoSpaceDN w:val="0"/>
        <w:adjustRightInd w:val="0"/>
        <w:rPr>
          <w:rFonts w:eastAsia="Calibri" w:cs="Calibri"/>
          <w:color w:val="000000"/>
          <w:sz w:val="22"/>
          <w:szCs w:val="22"/>
        </w:rPr>
      </w:pPr>
    </w:p>
    <w:p w14:paraId="7D2E60F5" w14:textId="6C3A01F0" w:rsidR="006C0F74" w:rsidRDefault="006C0F74" w:rsidP="006C0F74">
      <w:pPr>
        <w:autoSpaceDE w:val="0"/>
        <w:autoSpaceDN w:val="0"/>
        <w:adjustRightInd w:val="0"/>
        <w:rPr>
          <w:rFonts w:eastAsia="Calibri" w:cs="Calibri"/>
          <w:color w:val="000000"/>
          <w:sz w:val="22"/>
          <w:szCs w:val="22"/>
        </w:rPr>
      </w:pPr>
      <w:r>
        <w:rPr>
          <w:rFonts w:eastAsia="Calibri" w:cs="Calibri"/>
          <w:color w:val="000000"/>
          <w:sz w:val="22"/>
          <w:szCs w:val="22"/>
        </w:rPr>
        <w:lastRenderedPageBreak/>
        <w:t xml:space="preserve">NIOSH will use the data to monitor trends in </w:t>
      </w:r>
      <w:r w:rsidRPr="00783466">
        <w:rPr>
          <w:rFonts w:eastAsia="Calibri" w:cs="Calibri"/>
          <w:color w:val="000000"/>
          <w:sz w:val="22"/>
          <w:szCs w:val="22"/>
        </w:rPr>
        <w:t xml:space="preserve">workplace absenteeism </w:t>
      </w:r>
      <w:r>
        <w:rPr>
          <w:rFonts w:eastAsia="Calibri" w:cs="Calibri"/>
          <w:color w:val="000000"/>
          <w:sz w:val="22"/>
          <w:szCs w:val="22"/>
        </w:rPr>
        <w:t>in order</w:t>
      </w:r>
      <w:r w:rsidRPr="00783466">
        <w:rPr>
          <w:rFonts w:eastAsia="Calibri" w:cs="Calibri"/>
          <w:color w:val="000000"/>
          <w:sz w:val="22"/>
          <w:szCs w:val="22"/>
        </w:rPr>
        <w:t xml:space="preserve"> to assess the impact of </w:t>
      </w:r>
      <w:r>
        <w:rPr>
          <w:rFonts w:eastAsia="Calibri" w:cs="Calibri"/>
          <w:color w:val="000000"/>
          <w:sz w:val="22"/>
          <w:szCs w:val="22"/>
        </w:rPr>
        <w:t>influenza and other infectious diseases of interest</w:t>
      </w:r>
      <w:r w:rsidR="00B43E15">
        <w:rPr>
          <w:rFonts w:eastAsia="Calibri" w:cs="Calibri"/>
          <w:color w:val="000000"/>
          <w:sz w:val="22"/>
          <w:szCs w:val="22"/>
        </w:rPr>
        <w:t xml:space="preserve"> (SARs, MERs, Coronavirus)</w:t>
      </w:r>
      <w:r>
        <w:rPr>
          <w:rFonts w:eastAsia="Calibri" w:cs="Calibri"/>
          <w:color w:val="000000"/>
          <w:sz w:val="22"/>
          <w:szCs w:val="22"/>
        </w:rPr>
        <w:t xml:space="preserve">; </w:t>
      </w:r>
      <w:r w:rsidRPr="00783466">
        <w:rPr>
          <w:rFonts w:eastAsia="Calibri" w:cs="Calibri"/>
          <w:color w:val="000000"/>
          <w:sz w:val="22"/>
          <w:szCs w:val="22"/>
        </w:rPr>
        <w:t>to plan assumptions for preparednes</w:t>
      </w:r>
      <w:r>
        <w:rPr>
          <w:rFonts w:eastAsia="Calibri" w:cs="Calibri"/>
          <w:color w:val="000000"/>
          <w:sz w:val="22"/>
          <w:szCs w:val="22"/>
        </w:rPr>
        <w:t xml:space="preserve">s and continuity of operations; </w:t>
      </w:r>
      <w:r w:rsidRPr="00783466">
        <w:rPr>
          <w:rFonts w:eastAsia="Calibri" w:cs="Calibri"/>
          <w:color w:val="000000"/>
          <w:sz w:val="22"/>
          <w:szCs w:val="22"/>
        </w:rPr>
        <w:t xml:space="preserve">and to contribute to </w:t>
      </w:r>
      <w:r>
        <w:rPr>
          <w:rFonts w:eastAsia="Calibri" w:cs="Calibri"/>
          <w:color w:val="000000"/>
          <w:sz w:val="22"/>
          <w:szCs w:val="22"/>
        </w:rPr>
        <w:t>NIOSH/</w:t>
      </w:r>
      <w:r w:rsidRPr="00783466">
        <w:rPr>
          <w:rFonts w:eastAsia="Calibri" w:cs="Calibri"/>
          <w:color w:val="000000"/>
          <w:sz w:val="22"/>
          <w:szCs w:val="22"/>
        </w:rPr>
        <w:t xml:space="preserve">CDC’s </w:t>
      </w:r>
      <w:r>
        <w:rPr>
          <w:rFonts w:eastAsia="Calibri" w:cs="Calibri"/>
          <w:color w:val="000000"/>
          <w:sz w:val="22"/>
          <w:szCs w:val="22"/>
        </w:rPr>
        <w:t xml:space="preserve">situational </w:t>
      </w:r>
      <w:r w:rsidRPr="00783466">
        <w:rPr>
          <w:rFonts w:eastAsia="Calibri" w:cs="Calibri"/>
          <w:color w:val="000000"/>
          <w:sz w:val="22"/>
          <w:szCs w:val="22"/>
        </w:rPr>
        <w:t xml:space="preserve">awareness during </w:t>
      </w:r>
      <w:r>
        <w:rPr>
          <w:rFonts w:eastAsia="Calibri" w:cs="Calibri"/>
          <w:color w:val="000000"/>
          <w:sz w:val="22"/>
          <w:szCs w:val="22"/>
        </w:rPr>
        <w:t>emergency responses, including the impact of community interventions.</w:t>
      </w:r>
    </w:p>
    <w:p w14:paraId="774A9050" w14:textId="77777777" w:rsidR="006C0F74" w:rsidRDefault="006C0F74" w:rsidP="00FA5484">
      <w:pPr>
        <w:rPr>
          <w:sz w:val="22"/>
          <w:szCs w:val="22"/>
        </w:rPr>
      </w:pPr>
    </w:p>
    <w:p w14:paraId="028F3571" w14:textId="77777777" w:rsidR="007F00F7" w:rsidRPr="00C33249" w:rsidRDefault="007F00F7" w:rsidP="007F00F7">
      <w:pPr>
        <w:rPr>
          <w:sz w:val="22"/>
          <w:szCs w:val="22"/>
        </w:rPr>
      </w:pPr>
      <w:r>
        <w:rPr>
          <w:sz w:val="22"/>
          <w:szCs w:val="22"/>
        </w:rPr>
        <w:t>The</w:t>
      </w:r>
      <w:r w:rsidRPr="007F00F7">
        <w:rPr>
          <w:sz w:val="22"/>
          <w:szCs w:val="22"/>
        </w:rPr>
        <w:t xml:space="preserve"> proposed collection will </w:t>
      </w:r>
      <w:r>
        <w:rPr>
          <w:sz w:val="22"/>
          <w:szCs w:val="22"/>
        </w:rPr>
        <w:t xml:space="preserve">not </w:t>
      </w:r>
      <w:r w:rsidRPr="007F00F7">
        <w:rPr>
          <w:sz w:val="22"/>
          <w:szCs w:val="22"/>
        </w:rPr>
        <w:t xml:space="preserve">have </w:t>
      </w:r>
      <w:r>
        <w:rPr>
          <w:sz w:val="22"/>
          <w:szCs w:val="22"/>
        </w:rPr>
        <w:t xml:space="preserve">an impact </w:t>
      </w:r>
      <w:r w:rsidRPr="007F00F7">
        <w:rPr>
          <w:sz w:val="22"/>
          <w:szCs w:val="22"/>
        </w:rPr>
        <w:t xml:space="preserve">on </w:t>
      </w:r>
      <w:r>
        <w:rPr>
          <w:sz w:val="22"/>
          <w:szCs w:val="22"/>
        </w:rPr>
        <w:t>the privacy of either the participating employers</w:t>
      </w:r>
      <w:r w:rsidRPr="007F00F7">
        <w:rPr>
          <w:sz w:val="22"/>
          <w:szCs w:val="22"/>
        </w:rPr>
        <w:t xml:space="preserve"> </w:t>
      </w:r>
      <w:r>
        <w:rPr>
          <w:sz w:val="22"/>
          <w:szCs w:val="22"/>
        </w:rPr>
        <w:t xml:space="preserve">or the privacy of individual </w:t>
      </w:r>
      <w:r w:rsidRPr="00C33249">
        <w:rPr>
          <w:sz w:val="22"/>
          <w:szCs w:val="22"/>
        </w:rPr>
        <w:t>employees.</w:t>
      </w:r>
    </w:p>
    <w:p w14:paraId="4B01E493" w14:textId="77777777" w:rsidR="007F00F7" w:rsidRPr="00C33249" w:rsidRDefault="007F00F7" w:rsidP="007F00F7">
      <w:pPr>
        <w:rPr>
          <w:sz w:val="22"/>
          <w:szCs w:val="22"/>
        </w:rPr>
      </w:pPr>
    </w:p>
    <w:p w14:paraId="22AAC1E9" w14:textId="77777777" w:rsidR="007F00F7" w:rsidRPr="00C33249" w:rsidRDefault="007F00F7" w:rsidP="007F00F7">
      <w:pPr>
        <w:rPr>
          <w:sz w:val="22"/>
          <w:szCs w:val="22"/>
        </w:rPr>
      </w:pPr>
      <w:r w:rsidRPr="00C33249">
        <w:rPr>
          <w:sz w:val="22"/>
          <w:szCs w:val="22"/>
        </w:rPr>
        <w:t>Participating employers will be informed that providing the information is voluntary and that ACOEM will share aggregate de-identified data with NIOSH.</w:t>
      </w:r>
    </w:p>
    <w:p w14:paraId="0BDDBE58" w14:textId="77777777" w:rsidR="007F00F7" w:rsidRPr="00C33249" w:rsidRDefault="007F00F7" w:rsidP="007F00F7">
      <w:pPr>
        <w:rPr>
          <w:sz w:val="22"/>
          <w:szCs w:val="22"/>
        </w:rPr>
      </w:pPr>
    </w:p>
    <w:p w14:paraId="54DC005F" w14:textId="77777777" w:rsidR="007F00F7" w:rsidRDefault="007F00F7" w:rsidP="007F00F7">
      <w:pPr>
        <w:rPr>
          <w:sz w:val="22"/>
          <w:szCs w:val="22"/>
        </w:rPr>
      </w:pPr>
      <w:r w:rsidRPr="00C33249">
        <w:rPr>
          <w:sz w:val="22"/>
          <w:szCs w:val="22"/>
        </w:rPr>
        <w:t>Individual employees will not have opportunities to consent to sharing and submission of information on company absenteeism rates.</w:t>
      </w:r>
      <w:r w:rsidR="00C00B94" w:rsidRPr="00C33249">
        <w:rPr>
          <w:sz w:val="22"/>
          <w:szCs w:val="22"/>
        </w:rPr>
        <w:t xml:space="preserve">  All data is provided in the aggregate, individual employees are not identified.</w:t>
      </w:r>
    </w:p>
    <w:p w14:paraId="17072484" w14:textId="77777777" w:rsidR="007F00F7" w:rsidRPr="007F00F7" w:rsidRDefault="007F00F7" w:rsidP="007F00F7">
      <w:pPr>
        <w:rPr>
          <w:sz w:val="22"/>
          <w:szCs w:val="22"/>
        </w:rPr>
      </w:pPr>
    </w:p>
    <w:p w14:paraId="7F07B8DF" w14:textId="58E99D9D" w:rsidR="007F00F7" w:rsidRDefault="007F00F7" w:rsidP="007F00F7">
      <w:pPr>
        <w:rPr>
          <w:sz w:val="22"/>
          <w:szCs w:val="22"/>
        </w:rPr>
      </w:pPr>
      <w:r>
        <w:rPr>
          <w:sz w:val="22"/>
          <w:szCs w:val="22"/>
        </w:rPr>
        <w:t>At ACOEM, t</w:t>
      </w:r>
      <w:r w:rsidRPr="007F00F7">
        <w:rPr>
          <w:sz w:val="22"/>
          <w:szCs w:val="22"/>
        </w:rPr>
        <w:t>he information will be secured</w:t>
      </w:r>
      <w:r w:rsidR="00BB1345">
        <w:rPr>
          <w:sz w:val="22"/>
          <w:szCs w:val="22"/>
        </w:rPr>
        <w:t xml:space="preserve"> on ACOEM’s server.  Access to the folder will be limited to the project officer and director of IT and is password protected.  ACOEM’s network, server and workstations are protected behind a firewall.  Access to the ACOEM office building is through a secure </w:t>
      </w:r>
      <w:proofErr w:type="spellStart"/>
      <w:r w:rsidR="00BB1345">
        <w:rPr>
          <w:sz w:val="22"/>
          <w:szCs w:val="22"/>
        </w:rPr>
        <w:t>keyfob</w:t>
      </w:r>
      <w:proofErr w:type="spellEnd"/>
      <w:r w:rsidR="00BB1345">
        <w:rPr>
          <w:sz w:val="22"/>
          <w:szCs w:val="22"/>
        </w:rPr>
        <w:t xml:space="preserve"> entry system and a fob coded to ACOEM is required to access the office space.</w:t>
      </w:r>
    </w:p>
    <w:p w14:paraId="664C31AE" w14:textId="1550678E" w:rsidR="007F00F7" w:rsidRPr="00FA2C69" w:rsidRDefault="007F00F7" w:rsidP="007F00F7">
      <w:pPr>
        <w:rPr>
          <w:rFonts w:asciiTheme="minorHAnsi" w:hAnsiTheme="minorHAnsi"/>
          <w:sz w:val="22"/>
          <w:szCs w:val="22"/>
        </w:rPr>
      </w:pPr>
      <w:r>
        <w:rPr>
          <w:sz w:val="22"/>
          <w:szCs w:val="22"/>
        </w:rPr>
        <w:t xml:space="preserve">At NIOSH, </w:t>
      </w:r>
      <w:r w:rsidRPr="007F00F7">
        <w:rPr>
          <w:sz w:val="22"/>
          <w:szCs w:val="22"/>
        </w:rPr>
        <w:t xml:space="preserve">data </w:t>
      </w:r>
      <w:r>
        <w:rPr>
          <w:sz w:val="22"/>
          <w:szCs w:val="22"/>
        </w:rPr>
        <w:t xml:space="preserve">will be stored </w:t>
      </w:r>
      <w:r w:rsidRPr="007F00F7">
        <w:rPr>
          <w:sz w:val="22"/>
          <w:szCs w:val="22"/>
        </w:rPr>
        <w:t xml:space="preserve">in a folder on a secure server.  Access to that folder will be restricted to </w:t>
      </w:r>
      <w:r>
        <w:rPr>
          <w:sz w:val="22"/>
          <w:szCs w:val="22"/>
        </w:rPr>
        <w:t xml:space="preserve">key </w:t>
      </w:r>
      <w:r w:rsidRPr="007F00F7">
        <w:rPr>
          <w:sz w:val="22"/>
          <w:szCs w:val="22"/>
        </w:rPr>
        <w:t xml:space="preserve">NIOSH personnel </w:t>
      </w:r>
      <w:r>
        <w:rPr>
          <w:sz w:val="22"/>
          <w:szCs w:val="22"/>
        </w:rPr>
        <w:t>on the project team</w:t>
      </w:r>
      <w:r w:rsidRPr="007F00F7">
        <w:rPr>
          <w:sz w:val="22"/>
          <w:szCs w:val="22"/>
        </w:rPr>
        <w:t xml:space="preserve">.  All computers at NIOSH are secured.  To log on to a computer, a key card with an embedded </w:t>
      </w:r>
      <w:r w:rsidRPr="00FA2C69">
        <w:rPr>
          <w:rFonts w:asciiTheme="minorHAnsi" w:hAnsiTheme="minorHAnsi"/>
          <w:sz w:val="22"/>
          <w:szCs w:val="22"/>
        </w:rPr>
        <w:t>chip is needed, as well as, a Personal Identification Number (PIN).  Access to the NIOSH buildings are also secured by barbed wire fence, a single patrolled entrance gate that requires a key card for entry, and armed security personnel who patrol the grounds and building 24 hours/day.  A key card with an embedded chip is needed to open the single entrance gate and to open any door in the building that leads to the outside.</w:t>
      </w:r>
    </w:p>
    <w:p w14:paraId="141AC4FE" w14:textId="77777777" w:rsidR="007F00F7" w:rsidRPr="00FA2C69" w:rsidRDefault="007F00F7" w:rsidP="007F00F7">
      <w:pPr>
        <w:rPr>
          <w:rFonts w:asciiTheme="minorHAnsi" w:hAnsiTheme="minorHAnsi"/>
          <w:sz w:val="22"/>
          <w:szCs w:val="22"/>
        </w:rPr>
      </w:pPr>
    </w:p>
    <w:p w14:paraId="62040383" w14:textId="77777777" w:rsidR="007F00F7" w:rsidRPr="00FA2C69" w:rsidRDefault="007F00F7" w:rsidP="007F00F7">
      <w:pPr>
        <w:rPr>
          <w:rFonts w:asciiTheme="minorHAnsi" w:hAnsiTheme="minorHAnsi"/>
          <w:sz w:val="22"/>
          <w:szCs w:val="22"/>
        </w:rPr>
      </w:pPr>
      <w:r w:rsidRPr="00FA2C69">
        <w:rPr>
          <w:rFonts w:asciiTheme="minorHAnsi" w:hAnsiTheme="minorHAnsi"/>
          <w:sz w:val="22"/>
          <w:szCs w:val="22"/>
        </w:rPr>
        <w:t>A system of records is not being created under the Privacy Act.</w:t>
      </w:r>
    </w:p>
    <w:p w14:paraId="4F079E1E" w14:textId="77777777" w:rsidR="007F00F7" w:rsidRPr="00FA2C69" w:rsidRDefault="007F00F7" w:rsidP="007F00F7">
      <w:pPr>
        <w:rPr>
          <w:rFonts w:asciiTheme="minorHAnsi" w:hAnsiTheme="minorHAnsi"/>
          <w:sz w:val="22"/>
          <w:szCs w:val="22"/>
        </w:rPr>
      </w:pPr>
    </w:p>
    <w:p w14:paraId="7249C375" w14:textId="77777777" w:rsidR="00FA5484" w:rsidRPr="00FA2C69" w:rsidRDefault="00FA5484" w:rsidP="00FA5484">
      <w:pPr>
        <w:rPr>
          <w:rFonts w:asciiTheme="minorHAnsi" w:hAnsiTheme="minorHAnsi"/>
          <w:sz w:val="22"/>
          <w:szCs w:val="22"/>
        </w:rPr>
      </w:pPr>
    </w:p>
    <w:p w14:paraId="12DC4230" w14:textId="77777777" w:rsidR="00FA5484" w:rsidRPr="00FA2C69" w:rsidRDefault="00FA5484" w:rsidP="00FA5484">
      <w:pPr>
        <w:pStyle w:val="ListParagraph"/>
        <w:numPr>
          <w:ilvl w:val="0"/>
          <w:numId w:val="2"/>
        </w:numPr>
        <w:ind w:left="360"/>
        <w:rPr>
          <w:rFonts w:asciiTheme="minorHAnsi" w:hAnsiTheme="minorHAnsi"/>
          <w:b/>
          <w:sz w:val="22"/>
          <w:szCs w:val="22"/>
        </w:rPr>
      </w:pPr>
      <w:r w:rsidRPr="00FA2C69">
        <w:rPr>
          <w:rFonts w:asciiTheme="minorHAnsi" w:hAnsiTheme="minorHAnsi"/>
          <w:b/>
          <w:sz w:val="22"/>
          <w:szCs w:val="22"/>
        </w:rPr>
        <w:t>Justification for Sensitive Questions</w:t>
      </w:r>
    </w:p>
    <w:p w14:paraId="26E3E775" w14:textId="77777777" w:rsidR="00FA5484" w:rsidRPr="00FA2C69" w:rsidRDefault="00FA5484" w:rsidP="00FA5484">
      <w:pPr>
        <w:rPr>
          <w:rFonts w:asciiTheme="minorHAnsi" w:hAnsiTheme="minorHAnsi"/>
          <w:sz w:val="22"/>
          <w:szCs w:val="22"/>
        </w:rPr>
      </w:pPr>
      <w:r w:rsidRPr="00FA2C69">
        <w:rPr>
          <w:rFonts w:asciiTheme="minorHAnsi" w:hAnsiTheme="minorHAnsi"/>
          <w:sz w:val="22"/>
          <w:szCs w:val="22"/>
        </w:rPr>
        <w:t>There are no sensitive questions in the data collection instrument.</w:t>
      </w:r>
    </w:p>
    <w:p w14:paraId="103339F1" w14:textId="77777777" w:rsidR="00FA5484" w:rsidRDefault="00FA5484" w:rsidP="00FA5484">
      <w:pPr>
        <w:rPr>
          <w:rFonts w:asciiTheme="minorHAnsi" w:hAnsiTheme="minorHAnsi"/>
          <w:sz w:val="22"/>
          <w:szCs w:val="22"/>
        </w:rPr>
      </w:pPr>
    </w:p>
    <w:p w14:paraId="73EFD84C" w14:textId="77777777" w:rsidR="00192783" w:rsidRPr="00FA2C69" w:rsidRDefault="00192783" w:rsidP="00FA5484">
      <w:pPr>
        <w:rPr>
          <w:rFonts w:asciiTheme="minorHAnsi" w:hAnsiTheme="minorHAnsi"/>
          <w:sz w:val="22"/>
          <w:szCs w:val="22"/>
        </w:rPr>
      </w:pPr>
    </w:p>
    <w:p w14:paraId="18427C24" w14:textId="77777777" w:rsidR="00FA5484" w:rsidRDefault="00FA5484" w:rsidP="00FA5484">
      <w:pPr>
        <w:pStyle w:val="ListParagraph"/>
        <w:numPr>
          <w:ilvl w:val="0"/>
          <w:numId w:val="2"/>
        </w:numPr>
        <w:ind w:left="360"/>
        <w:rPr>
          <w:rFonts w:asciiTheme="minorHAnsi" w:hAnsiTheme="minorHAnsi"/>
          <w:b/>
          <w:sz w:val="22"/>
          <w:szCs w:val="22"/>
        </w:rPr>
      </w:pPr>
      <w:r w:rsidRPr="00FA2C69">
        <w:rPr>
          <w:rFonts w:asciiTheme="minorHAnsi" w:hAnsiTheme="minorHAnsi"/>
          <w:b/>
          <w:sz w:val="22"/>
          <w:szCs w:val="22"/>
        </w:rPr>
        <w:t>Estimates of Annualized Burden Hours and Costs</w:t>
      </w:r>
    </w:p>
    <w:p w14:paraId="65D5C950" w14:textId="77777777" w:rsidR="00FA2C69" w:rsidRPr="00FA2C69" w:rsidRDefault="00FA2C69" w:rsidP="00FA2C69">
      <w:pPr>
        <w:pStyle w:val="ListParagraph"/>
        <w:ind w:left="360"/>
        <w:rPr>
          <w:rFonts w:asciiTheme="minorHAnsi" w:hAnsiTheme="minorHAnsi"/>
          <w:b/>
          <w:sz w:val="22"/>
          <w:szCs w:val="22"/>
        </w:rPr>
      </w:pPr>
    </w:p>
    <w:p w14:paraId="253EACA4" w14:textId="114381C3" w:rsidR="00FA2C69" w:rsidRPr="00FA2C69" w:rsidRDefault="00FA2C69" w:rsidP="00FA2C69">
      <w:pPr>
        <w:pStyle w:val="HTMLPreformatted"/>
        <w:rPr>
          <w:rFonts w:asciiTheme="minorHAnsi" w:hAnsiTheme="minorHAnsi"/>
          <w:sz w:val="22"/>
          <w:szCs w:val="22"/>
        </w:rPr>
      </w:pPr>
      <w:r w:rsidRPr="00FA2C69">
        <w:rPr>
          <w:rFonts w:asciiTheme="minorHAnsi" w:hAnsiTheme="minorHAnsi"/>
          <w:sz w:val="22"/>
          <w:szCs w:val="22"/>
        </w:rPr>
        <w:t>The initial 16 respondents in the 2009/10 study will be asked to participate and an additional 12 companies have indicated an interest in participating in the data collection activity. The employee population among these 28 com</w:t>
      </w:r>
      <w:r>
        <w:rPr>
          <w:rFonts w:asciiTheme="minorHAnsi" w:hAnsiTheme="minorHAnsi"/>
          <w:sz w:val="22"/>
          <w:szCs w:val="22"/>
        </w:rPr>
        <w:t xml:space="preserve">panies is approximately 293,000. </w:t>
      </w:r>
      <w:r w:rsidRPr="00FA2C69">
        <w:rPr>
          <w:rFonts w:asciiTheme="minorHAnsi" w:hAnsiTheme="minorHAnsi"/>
          <w:sz w:val="22"/>
          <w:szCs w:val="22"/>
        </w:rPr>
        <w:t xml:space="preserve">The annualized estimated burden </w:t>
      </w:r>
      <w:r>
        <w:rPr>
          <w:rFonts w:asciiTheme="minorHAnsi" w:hAnsiTheme="minorHAnsi"/>
          <w:sz w:val="22"/>
          <w:szCs w:val="22"/>
        </w:rPr>
        <w:t xml:space="preserve">of time is 607 hours for the 28 </w:t>
      </w:r>
      <w:r w:rsidRPr="00FA2C69">
        <w:rPr>
          <w:rFonts w:asciiTheme="minorHAnsi" w:hAnsiTheme="minorHAnsi"/>
          <w:sz w:val="22"/>
          <w:szCs w:val="22"/>
        </w:rPr>
        <w:t>respondents in the study. Respondents will complete the form daily; no more than 5 minutes per day/per respondent. This results in an annualized burden of 607 hours per year.</w:t>
      </w:r>
    </w:p>
    <w:p w14:paraId="743D54EE" w14:textId="77777777" w:rsidR="00FA2C69" w:rsidRDefault="00FA2C69" w:rsidP="00FA2C69">
      <w:pPr>
        <w:pStyle w:val="ListParagraph"/>
        <w:ind w:left="360"/>
        <w:rPr>
          <w:b/>
          <w:sz w:val="22"/>
          <w:szCs w:val="22"/>
        </w:rPr>
      </w:pPr>
    </w:p>
    <w:p w14:paraId="49A11D49" w14:textId="77777777" w:rsidR="00FA5484" w:rsidRDefault="00FA5484" w:rsidP="00FA5484">
      <w:pPr>
        <w:rPr>
          <w:b/>
          <w:sz w:val="22"/>
          <w:szCs w:val="22"/>
        </w:rPr>
      </w:pPr>
    </w:p>
    <w:tbl>
      <w:tblPr>
        <w:tblStyle w:val="TableGrid"/>
        <w:tblW w:w="9559" w:type="dxa"/>
        <w:tblInd w:w="18" w:type="dxa"/>
        <w:tblLayout w:type="fixed"/>
        <w:tblLook w:val="04A0" w:firstRow="1" w:lastRow="0" w:firstColumn="1" w:lastColumn="0" w:noHBand="0" w:noVBand="1"/>
      </w:tblPr>
      <w:tblGrid>
        <w:gridCol w:w="1377"/>
        <w:gridCol w:w="1863"/>
        <w:gridCol w:w="1540"/>
        <w:gridCol w:w="1782"/>
        <w:gridCol w:w="1296"/>
        <w:gridCol w:w="1701"/>
      </w:tblGrid>
      <w:tr w:rsidR="00104197" w:rsidRPr="00FA2C69" w14:paraId="327F7984" w14:textId="77777777" w:rsidTr="00FA2C69">
        <w:trPr>
          <w:trHeight w:val="1045"/>
        </w:trPr>
        <w:tc>
          <w:tcPr>
            <w:tcW w:w="1377" w:type="dxa"/>
            <w:tcBorders>
              <w:top w:val="single" w:sz="4" w:space="0" w:color="auto"/>
              <w:left w:val="single" w:sz="4" w:space="0" w:color="auto"/>
              <w:bottom w:val="single" w:sz="4" w:space="0" w:color="auto"/>
              <w:right w:val="single" w:sz="4" w:space="0" w:color="auto"/>
            </w:tcBorders>
            <w:hideMark/>
          </w:tcPr>
          <w:p w14:paraId="44ED59CD"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Type of Respondent</w:t>
            </w:r>
          </w:p>
        </w:tc>
        <w:tc>
          <w:tcPr>
            <w:tcW w:w="1863" w:type="dxa"/>
            <w:tcBorders>
              <w:top w:val="single" w:sz="4" w:space="0" w:color="auto"/>
              <w:left w:val="single" w:sz="4" w:space="0" w:color="auto"/>
              <w:bottom w:val="single" w:sz="4" w:space="0" w:color="auto"/>
              <w:right w:val="single" w:sz="4" w:space="0" w:color="auto"/>
            </w:tcBorders>
            <w:hideMark/>
          </w:tcPr>
          <w:p w14:paraId="609AF6F8"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Form Name</w:t>
            </w:r>
          </w:p>
        </w:tc>
        <w:tc>
          <w:tcPr>
            <w:tcW w:w="1540" w:type="dxa"/>
            <w:tcBorders>
              <w:top w:val="single" w:sz="4" w:space="0" w:color="auto"/>
              <w:left w:val="single" w:sz="4" w:space="0" w:color="auto"/>
              <w:bottom w:val="single" w:sz="4" w:space="0" w:color="auto"/>
              <w:right w:val="single" w:sz="4" w:space="0" w:color="auto"/>
            </w:tcBorders>
            <w:hideMark/>
          </w:tcPr>
          <w:p w14:paraId="34017EB5"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No. of Respondents</w:t>
            </w:r>
          </w:p>
        </w:tc>
        <w:tc>
          <w:tcPr>
            <w:tcW w:w="1782" w:type="dxa"/>
            <w:tcBorders>
              <w:top w:val="single" w:sz="4" w:space="0" w:color="auto"/>
              <w:left w:val="single" w:sz="4" w:space="0" w:color="auto"/>
              <w:bottom w:val="single" w:sz="4" w:space="0" w:color="auto"/>
              <w:right w:val="single" w:sz="4" w:space="0" w:color="auto"/>
            </w:tcBorders>
            <w:hideMark/>
          </w:tcPr>
          <w:p w14:paraId="3866ADD6"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No. Responses per Respondent</w:t>
            </w:r>
          </w:p>
        </w:tc>
        <w:tc>
          <w:tcPr>
            <w:tcW w:w="1296" w:type="dxa"/>
            <w:tcBorders>
              <w:top w:val="single" w:sz="4" w:space="0" w:color="auto"/>
              <w:left w:val="single" w:sz="4" w:space="0" w:color="auto"/>
              <w:bottom w:val="single" w:sz="4" w:space="0" w:color="auto"/>
              <w:right w:val="single" w:sz="4" w:space="0" w:color="auto"/>
            </w:tcBorders>
            <w:hideMark/>
          </w:tcPr>
          <w:p w14:paraId="5627BA8A"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Average Burden per Response (in hours)</w:t>
            </w:r>
          </w:p>
        </w:tc>
        <w:tc>
          <w:tcPr>
            <w:tcW w:w="1701" w:type="dxa"/>
            <w:tcBorders>
              <w:top w:val="single" w:sz="4" w:space="0" w:color="auto"/>
              <w:left w:val="single" w:sz="4" w:space="0" w:color="auto"/>
              <w:bottom w:val="single" w:sz="4" w:space="0" w:color="auto"/>
              <w:right w:val="single" w:sz="4" w:space="0" w:color="auto"/>
            </w:tcBorders>
            <w:hideMark/>
          </w:tcPr>
          <w:p w14:paraId="4D2C2B21"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Total Burden Hours</w:t>
            </w:r>
          </w:p>
        </w:tc>
      </w:tr>
      <w:tr w:rsidR="00104197" w:rsidRPr="00FA2C69" w14:paraId="265BC1BA" w14:textId="77777777" w:rsidTr="00FA2C69">
        <w:trPr>
          <w:trHeight w:val="784"/>
        </w:trPr>
        <w:tc>
          <w:tcPr>
            <w:tcW w:w="1377" w:type="dxa"/>
            <w:tcBorders>
              <w:top w:val="single" w:sz="4" w:space="0" w:color="auto"/>
              <w:left w:val="single" w:sz="4" w:space="0" w:color="auto"/>
              <w:bottom w:val="single" w:sz="4" w:space="0" w:color="auto"/>
              <w:right w:val="single" w:sz="4" w:space="0" w:color="auto"/>
            </w:tcBorders>
            <w:hideMark/>
          </w:tcPr>
          <w:p w14:paraId="5F657F57"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Corporate Medical Director</w:t>
            </w:r>
          </w:p>
        </w:tc>
        <w:tc>
          <w:tcPr>
            <w:tcW w:w="1863" w:type="dxa"/>
            <w:tcBorders>
              <w:top w:val="single" w:sz="4" w:space="0" w:color="auto"/>
              <w:left w:val="single" w:sz="4" w:space="0" w:color="auto"/>
              <w:bottom w:val="single" w:sz="4" w:space="0" w:color="auto"/>
              <w:right w:val="single" w:sz="4" w:space="0" w:color="auto"/>
            </w:tcBorders>
            <w:hideMark/>
          </w:tcPr>
          <w:p w14:paraId="53D303E5"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Absenteeism Tracking Form</w:t>
            </w:r>
          </w:p>
        </w:tc>
        <w:tc>
          <w:tcPr>
            <w:tcW w:w="1540" w:type="dxa"/>
            <w:tcBorders>
              <w:top w:val="single" w:sz="4" w:space="0" w:color="auto"/>
              <w:left w:val="single" w:sz="4" w:space="0" w:color="auto"/>
              <w:bottom w:val="single" w:sz="4" w:space="0" w:color="auto"/>
              <w:right w:val="single" w:sz="4" w:space="0" w:color="auto"/>
            </w:tcBorders>
            <w:hideMark/>
          </w:tcPr>
          <w:p w14:paraId="6149597B"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28</w:t>
            </w:r>
          </w:p>
        </w:tc>
        <w:tc>
          <w:tcPr>
            <w:tcW w:w="1782" w:type="dxa"/>
            <w:tcBorders>
              <w:top w:val="single" w:sz="4" w:space="0" w:color="auto"/>
              <w:left w:val="single" w:sz="4" w:space="0" w:color="auto"/>
              <w:bottom w:val="single" w:sz="4" w:space="0" w:color="auto"/>
              <w:right w:val="single" w:sz="4" w:space="0" w:color="auto"/>
            </w:tcBorders>
            <w:hideMark/>
          </w:tcPr>
          <w:p w14:paraId="55FAB619" w14:textId="77777777" w:rsidR="00104197" w:rsidRPr="00FA2C69" w:rsidRDefault="00104197" w:rsidP="00104197">
            <w:pPr>
              <w:rPr>
                <w:rFonts w:asciiTheme="minorHAnsi" w:hAnsiTheme="minorHAnsi"/>
                <w:b/>
                <w:sz w:val="22"/>
                <w:szCs w:val="22"/>
              </w:rPr>
            </w:pPr>
            <w:r w:rsidRPr="00FA2C69">
              <w:rPr>
                <w:rFonts w:asciiTheme="minorHAnsi" w:hAnsiTheme="minorHAnsi"/>
                <w:b/>
                <w:sz w:val="22"/>
                <w:szCs w:val="22"/>
              </w:rPr>
              <w:t>260</w:t>
            </w:r>
          </w:p>
        </w:tc>
        <w:tc>
          <w:tcPr>
            <w:tcW w:w="1296" w:type="dxa"/>
            <w:tcBorders>
              <w:top w:val="single" w:sz="4" w:space="0" w:color="auto"/>
              <w:left w:val="single" w:sz="4" w:space="0" w:color="auto"/>
              <w:bottom w:val="single" w:sz="4" w:space="0" w:color="auto"/>
              <w:right w:val="single" w:sz="4" w:space="0" w:color="auto"/>
            </w:tcBorders>
            <w:hideMark/>
          </w:tcPr>
          <w:p w14:paraId="0E28C4F0" w14:textId="7960C948" w:rsidR="00104197" w:rsidRPr="00FA2C69" w:rsidRDefault="00FA2C69" w:rsidP="00104197">
            <w:pPr>
              <w:rPr>
                <w:rFonts w:asciiTheme="minorHAnsi" w:hAnsiTheme="minorHAnsi"/>
                <w:b/>
                <w:sz w:val="22"/>
                <w:szCs w:val="22"/>
              </w:rPr>
            </w:pPr>
            <w:r w:rsidRPr="00FA2C69">
              <w:rPr>
                <w:rFonts w:asciiTheme="minorHAnsi" w:hAnsiTheme="minorHAnsi"/>
                <w:b/>
                <w:sz w:val="22"/>
                <w:szCs w:val="22"/>
              </w:rPr>
              <w:t>5/60</w:t>
            </w:r>
          </w:p>
        </w:tc>
        <w:tc>
          <w:tcPr>
            <w:tcW w:w="1701" w:type="dxa"/>
            <w:tcBorders>
              <w:top w:val="single" w:sz="4" w:space="0" w:color="auto"/>
              <w:left w:val="single" w:sz="4" w:space="0" w:color="auto"/>
              <w:bottom w:val="single" w:sz="4" w:space="0" w:color="auto"/>
              <w:right w:val="single" w:sz="4" w:space="0" w:color="auto"/>
            </w:tcBorders>
            <w:hideMark/>
          </w:tcPr>
          <w:p w14:paraId="4D17D539" w14:textId="32013AE6" w:rsidR="00104197" w:rsidRPr="00FA2C69" w:rsidRDefault="00104197" w:rsidP="00FA2C69">
            <w:pPr>
              <w:rPr>
                <w:rFonts w:asciiTheme="minorHAnsi" w:hAnsiTheme="minorHAnsi"/>
                <w:b/>
                <w:sz w:val="22"/>
                <w:szCs w:val="22"/>
              </w:rPr>
            </w:pPr>
            <w:r w:rsidRPr="00FA2C69">
              <w:rPr>
                <w:rFonts w:asciiTheme="minorHAnsi" w:hAnsiTheme="minorHAnsi"/>
                <w:b/>
                <w:sz w:val="22"/>
                <w:szCs w:val="22"/>
              </w:rPr>
              <w:t>60</w:t>
            </w:r>
            <w:r w:rsidR="00FA2C69" w:rsidRPr="00FA2C69">
              <w:rPr>
                <w:rFonts w:asciiTheme="minorHAnsi" w:hAnsiTheme="minorHAnsi"/>
                <w:b/>
                <w:sz w:val="22"/>
                <w:szCs w:val="22"/>
              </w:rPr>
              <w:t>7</w:t>
            </w:r>
          </w:p>
        </w:tc>
      </w:tr>
    </w:tbl>
    <w:p w14:paraId="2923C421" w14:textId="77777777" w:rsidR="00FA5484" w:rsidRDefault="00FA5484" w:rsidP="00FA5484">
      <w:pPr>
        <w:rPr>
          <w:b/>
          <w:sz w:val="22"/>
          <w:szCs w:val="22"/>
        </w:rPr>
      </w:pPr>
    </w:p>
    <w:p w14:paraId="5C27EB5F" w14:textId="77777777" w:rsidR="00FA5484" w:rsidRDefault="00FA5484" w:rsidP="00FA5484">
      <w:pPr>
        <w:rPr>
          <w:b/>
          <w:sz w:val="22"/>
          <w:szCs w:val="22"/>
        </w:rPr>
      </w:pPr>
    </w:p>
    <w:p w14:paraId="027D7CFF" w14:textId="77777777" w:rsidR="00FA5484" w:rsidRPr="0086189D" w:rsidRDefault="00FA5484" w:rsidP="00FA5484">
      <w:pPr>
        <w:rPr>
          <w:rFonts w:cs="Calibri"/>
          <w:sz w:val="22"/>
          <w:szCs w:val="22"/>
        </w:rPr>
      </w:pPr>
      <w:r w:rsidRPr="0086189D">
        <w:rPr>
          <w:rFonts w:cs="Calibri"/>
          <w:sz w:val="22"/>
          <w:szCs w:val="22"/>
        </w:rPr>
        <w:t>B. The estimated total cost for</w:t>
      </w:r>
      <w:r>
        <w:rPr>
          <w:rFonts w:cs="Calibri"/>
          <w:sz w:val="22"/>
          <w:szCs w:val="22"/>
        </w:rPr>
        <w:t xml:space="preserve"> this information collection for 28 companies is estimated to be $15,166.50  </w:t>
      </w:r>
    </w:p>
    <w:p w14:paraId="2331022E" w14:textId="77777777" w:rsidR="00FA5484" w:rsidRPr="0086189D" w:rsidRDefault="00FA5484" w:rsidP="00FA5484">
      <w:pPr>
        <w:rPr>
          <w:rFonts w:cs="Calibri"/>
          <w:sz w:val="22"/>
          <w:szCs w:val="22"/>
        </w:rPr>
      </w:pPr>
    </w:p>
    <w:p w14:paraId="2A2D5364" w14:textId="77777777" w:rsidR="00FA5484" w:rsidRPr="0086189D" w:rsidRDefault="00FA5484" w:rsidP="00FA5484">
      <w:pPr>
        <w:rPr>
          <w:rFonts w:cs="Calibri"/>
          <w:sz w:val="22"/>
          <w:szCs w:val="22"/>
        </w:rPr>
      </w:pPr>
      <w:r w:rsidRPr="0086189D">
        <w:rPr>
          <w:rFonts w:cs="Calibri"/>
          <w:sz w:val="22"/>
          <w:szCs w:val="22"/>
        </w:rPr>
        <w:lastRenderedPageBreak/>
        <w:t>Estimated Annualized Burden Costs</w:t>
      </w:r>
    </w:p>
    <w:p w14:paraId="27E4E20B" w14:textId="77777777" w:rsidR="00FA5484" w:rsidRDefault="00FA5484" w:rsidP="00FA5484">
      <w:pPr>
        <w:rPr>
          <w:b/>
          <w:sz w:val="22"/>
          <w:szCs w:val="22"/>
        </w:rPr>
      </w:pPr>
    </w:p>
    <w:tbl>
      <w:tblPr>
        <w:tblW w:w="4490" w:type="pct"/>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2123"/>
        <w:gridCol w:w="1818"/>
        <w:gridCol w:w="2615"/>
      </w:tblGrid>
      <w:tr w:rsidR="00FA5484" w:rsidRPr="00FA5484" w14:paraId="13E564AE" w14:textId="77777777" w:rsidTr="00101C32">
        <w:trPr>
          <w:trHeight w:val="263"/>
        </w:trPr>
        <w:tc>
          <w:tcPr>
            <w:tcW w:w="1455" w:type="pct"/>
          </w:tcPr>
          <w:p w14:paraId="12C09B1D" w14:textId="77777777" w:rsidR="00FA5484" w:rsidRPr="00FA5484" w:rsidRDefault="00FA5484" w:rsidP="00101C32">
            <w:pPr>
              <w:autoSpaceDE w:val="0"/>
              <w:autoSpaceDN w:val="0"/>
              <w:adjustRightInd w:val="0"/>
              <w:rPr>
                <w:rFonts w:eastAsia="Calibri" w:cs="Calibri"/>
                <w:color w:val="000000"/>
                <w:sz w:val="22"/>
              </w:rPr>
            </w:pPr>
            <w:r w:rsidRPr="00FA5484">
              <w:rPr>
                <w:rFonts w:eastAsia="Calibri" w:cs="Calibri"/>
                <w:color w:val="000000"/>
                <w:sz w:val="22"/>
                <w:szCs w:val="22"/>
              </w:rPr>
              <w:t>Type of Respondent</w:t>
            </w:r>
          </w:p>
        </w:tc>
        <w:tc>
          <w:tcPr>
            <w:tcW w:w="1148" w:type="pct"/>
          </w:tcPr>
          <w:p w14:paraId="020B5638" w14:textId="77777777" w:rsidR="00FA5484" w:rsidRPr="00FA5484" w:rsidRDefault="00FA5484" w:rsidP="00101C32">
            <w:pPr>
              <w:autoSpaceDE w:val="0"/>
              <w:autoSpaceDN w:val="0"/>
              <w:adjustRightInd w:val="0"/>
              <w:rPr>
                <w:rFonts w:eastAsia="Calibri" w:cs="Calibri"/>
                <w:color w:val="000000"/>
                <w:sz w:val="22"/>
              </w:rPr>
            </w:pPr>
            <w:r w:rsidRPr="00FA5484">
              <w:rPr>
                <w:rFonts w:eastAsia="Calibri" w:cs="Calibri"/>
                <w:color w:val="000000"/>
                <w:sz w:val="22"/>
                <w:szCs w:val="22"/>
              </w:rPr>
              <w:t>Total Burden Hours</w:t>
            </w:r>
          </w:p>
        </w:tc>
        <w:tc>
          <w:tcPr>
            <w:tcW w:w="983" w:type="pct"/>
          </w:tcPr>
          <w:p w14:paraId="07F75C0B" w14:textId="77777777" w:rsidR="00FA5484" w:rsidRPr="00FA5484" w:rsidRDefault="00FA5484" w:rsidP="00101C32">
            <w:pPr>
              <w:autoSpaceDE w:val="0"/>
              <w:autoSpaceDN w:val="0"/>
              <w:adjustRightInd w:val="0"/>
              <w:rPr>
                <w:rFonts w:eastAsia="Calibri" w:cs="Calibri"/>
                <w:color w:val="000000"/>
                <w:sz w:val="22"/>
              </w:rPr>
            </w:pPr>
            <w:r w:rsidRPr="00FA5484">
              <w:rPr>
                <w:rFonts w:eastAsia="Calibri" w:cs="Calibri"/>
                <w:color w:val="000000"/>
                <w:sz w:val="22"/>
                <w:szCs w:val="22"/>
              </w:rPr>
              <w:t>Hourly Wage Rate</w:t>
            </w:r>
          </w:p>
        </w:tc>
        <w:tc>
          <w:tcPr>
            <w:tcW w:w="1414" w:type="pct"/>
          </w:tcPr>
          <w:p w14:paraId="3792C03B" w14:textId="77777777" w:rsidR="00FA5484" w:rsidRPr="00FA5484" w:rsidRDefault="00FA5484" w:rsidP="00101C32">
            <w:pPr>
              <w:autoSpaceDE w:val="0"/>
              <w:autoSpaceDN w:val="0"/>
              <w:adjustRightInd w:val="0"/>
              <w:rPr>
                <w:rFonts w:eastAsia="Calibri" w:cs="Calibri"/>
                <w:color w:val="000000"/>
                <w:sz w:val="22"/>
              </w:rPr>
            </w:pPr>
            <w:r w:rsidRPr="00FA5484">
              <w:rPr>
                <w:rFonts w:eastAsia="Calibri" w:cs="Calibri"/>
                <w:color w:val="000000"/>
                <w:sz w:val="22"/>
                <w:szCs w:val="22"/>
              </w:rPr>
              <w:t>Total Respondent Costs</w:t>
            </w:r>
          </w:p>
        </w:tc>
      </w:tr>
      <w:tr w:rsidR="00FA5484" w:rsidRPr="00FA5484" w14:paraId="3CE4397A" w14:textId="77777777" w:rsidTr="00101C32">
        <w:trPr>
          <w:trHeight w:val="278"/>
        </w:trPr>
        <w:tc>
          <w:tcPr>
            <w:tcW w:w="1455" w:type="pct"/>
          </w:tcPr>
          <w:p w14:paraId="625415D1" w14:textId="77777777" w:rsidR="00FA5484" w:rsidRPr="00FA5484" w:rsidRDefault="00FA5484" w:rsidP="00101C32">
            <w:pPr>
              <w:autoSpaceDE w:val="0"/>
              <w:autoSpaceDN w:val="0"/>
              <w:adjustRightInd w:val="0"/>
              <w:rPr>
                <w:rFonts w:eastAsia="Calibri" w:cs="Calibri"/>
                <w:color w:val="000000"/>
                <w:sz w:val="22"/>
              </w:rPr>
            </w:pPr>
            <w:r w:rsidRPr="00FA5484">
              <w:rPr>
                <w:rFonts w:eastAsia="Calibri" w:cs="Calibri"/>
                <w:color w:val="000000"/>
                <w:sz w:val="22"/>
                <w:szCs w:val="22"/>
              </w:rPr>
              <w:t>Company</w:t>
            </w:r>
          </w:p>
        </w:tc>
        <w:tc>
          <w:tcPr>
            <w:tcW w:w="1148" w:type="pct"/>
          </w:tcPr>
          <w:p w14:paraId="4ED5CC04" w14:textId="6207FC8F" w:rsidR="00FA5484" w:rsidRPr="00FA5484" w:rsidRDefault="00B643DB" w:rsidP="00101C32">
            <w:pPr>
              <w:autoSpaceDE w:val="0"/>
              <w:autoSpaceDN w:val="0"/>
              <w:adjustRightInd w:val="0"/>
              <w:rPr>
                <w:rFonts w:eastAsia="Calibri" w:cs="Calibri"/>
                <w:color w:val="000000"/>
                <w:sz w:val="22"/>
              </w:rPr>
            </w:pPr>
            <w:r>
              <w:rPr>
                <w:rFonts w:eastAsia="Calibri" w:cs="Calibri"/>
                <w:color w:val="000000"/>
                <w:sz w:val="22"/>
                <w:szCs w:val="22"/>
              </w:rPr>
              <w:t>607</w:t>
            </w:r>
          </w:p>
        </w:tc>
        <w:tc>
          <w:tcPr>
            <w:tcW w:w="983" w:type="pct"/>
          </w:tcPr>
          <w:p w14:paraId="7B008E2A" w14:textId="77777777" w:rsidR="00FA5484" w:rsidRPr="00FA5484" w:rsidRDefault="00FA5484" w:rsidP="00101C32">
            <w:pPr>
              <w:autoSpaceDE w:val="0"/>
              <w:autoSpaceDN w:val="0"/>
              <w:adjustRightInd w:val="0"/>
              <w:rPr>
                <w:rFonts w:eastAsia="Calibri" w:cs="Calibri"/>
                <w:color w:val="000000"/>
                <w:sz w:val="22"/>
              </w:rPr>
            </w:pPr>
            <w:r w:rsidRPr="00FA5484">
              <w:rPr>
                <w:rFonts w:eastAsia="Calibri" w:cs="Calibri"/>
                <w:color w:val="000000"/>
                <w:sz w:val="22"/>
                <w:szCs w:val="22"/>
              </w:rPr>
              <w:t>$25</w:t>
            </w:r>
          </w:p>
        </w:tc>
        <w:tc>
          <w:tcPr>
            <w:tcW w:w="1414" w:type="pct"/>
          </w:tcPr>
          <w:p w14:paraId="5F5AE3DB" w14:textId="710080F4" w:rsidR="00FA5484" w:rsidRPr="00FA5484" w:rsidRDefault="00FA5484" w:rsidP="00B643DB">
            <w:pPr>
              <w:autoSpaceDE w:val="0"/>
              <w:autoSpaceDN w:val="0"/>
              <w:adjustRightInd w:val="0"/>
              <w:rPr>
                <w:rFonts w:eastAsia="Calibri" w:cs="Calibri"/>
                <w:color w:val="000000"/>
                <w:sz w:val="22"/>
              </w:rPr>
            </w:pPr>
            <w:r w:rsidRPr="00FA5484">
              <w:rPr>
                <w:rFonts w:eastAsia="Calibri" w:cs="Calibri"/>
                <w:color w:val="000000"/>
                <w:sz w:val="22"/>
                <w:szCs w:val="22"/>
              </w:rPr>
              <w:t>$15,</w:t>
            </w:r>
            <w:r w:rsidR="00B643DB">
              <w:rPr>
                <w:rFonts w:eastAsia="Calibri" w:cs="Calibri"/>
                <w:color w:val="000000"/>
                <w:sz w:val="22"/>
                <w:szCs w:val="22"/>
              </w:rPr>
              <w:t>175</w:t>
            </w:r>
          </w:p>
        </w:tc>
      </w:tr>
    </w:tbl>
    <w:p w14:paraId="1A7DCCE6" w14:textId="77777777" w:rsidR="00FA5484" w:rsidRPr="00D116C2" w:rsidRDefault="00FA5484" w:rsidP="00FA5484">
      <w:pPr>
        <w:rPr>
          <w:b/>
          <w:sz w:val="22"/>
          <w:szCs w:val="22"/>
        </w:rPr>
      </w:pPr>
    </w:p>
    <w:p w14:paraId="672A4348" w14:textId="77777777" w:rsidR="00FA5484" w:rsidRDefault="00FA5484" w:rsidP="00FA5484">
      <w:pPr>
        <w:rPr>
          <w:sz w:val="22"/>
          <w:szCs w:val="22"/>
        </w:rPr>
      </w:pPr>
      <w:r>
        <w:rPr>
          <w:sz w:val="22"/>
          <w:szCs w:val="22"/>
        </w:rPr>
        <w:t>The value assigned for the hourly rate is for a mid-grade administrative assistant.</w:t>
      </w:r>
    </w:p>
    <w:p w14:paraId="5B64160B" w14:textId="77777777" w:rsidR="00FA5484" w:rsidRPr="00C83A56" w:rsidRDefault="00FA5484" w:rsidP="00FA5484">
      <w:pPr>
        <w:rPr>
          <w:sz w:val="22"/>
          <w:szCs w:val="22"/>
        </w:rPr>
      </w:pPr>
    </w:p>
    <w:p w14:paraId="29AE8BA0" w14:textId="77777777" w:rsidR="00FA5484" w:rsidRDefault="00FA5484" w:rsidP="00FA5484">
      <w:pPr>
        <w:pStyle w:val="ListParagraph"/>
        <w:numPr>
          <w:ilvl w:val="0"/>
          <w:numId w:val="2"/>
        </w:numPr>
        <w:ind w:left="360"/>
        <w:rPr>
          <w:b/>
          <w:sz w:val="22"/>
          <w:szCs w:val="22"/>
        </w:rPr>
      </w:pPr>
      <w:r w:rsidRPr="00C83A56">
        <w:rPr>
          <w:b/>
          <w:sz w:val="22"/>
          <w:szCs w:val="22"/>
        </w:rPr>
        <w:t>Estimates of Other Total Annual Cost Burden to Respondents or Record Keepers</w:t>
      </w:r>
    </w:p>
    <w:p w14:paraId="282F349F" w14:textId="77777777" w:rsidR="00FA5484" w:rsidRDefault="00FA5484" w:rsidP="00FA5484">
      <w:pPr>
        <w:rPr>
          <w:sz w:val="22"/>
          <w:szCs w:val="22"/>
        </w:rPr>
      </w:pPr>
      <w:r>
        <w:rPr>
          <w:sz w:val="22"/>
          <w:szCs w:val="22"/>
        </w:rPr>
        <w:t>No additional staff or other direct or indirect costs.</w:t>
      </w:r>
    </w:p>
    <w:p w14:paraId="360273C8" w14:textId="77777777" w:rsidR="00FA5484" w:rsidRPr="00444065" w:rsidRDefault="00FA5484" w:rsidP="00FA5484">
      <w:pPr>
        <w:rPr>
          <w:sz w:val="22"/>
          <w:szCs w:val="22"/>
        </w:rPr>
      </w:pPr>
    </w:p>
    <w:p w14:paraId="17208617" w14:textId="77777777" w:rsidR="00FA5484" w:rsidRDefault="00FA5484" w:rsidP="00FA5484">
      <w:pPr>
        <w:pStyle w:val="ListParagraph"/>
        <w:numPr>
          <w:ilvl w:val="0"/>
          <w:numId w:val="2"/>
        </w:numPr>
        <w:ind w:left="360"/>
        <w:rPr>
          <w:b/>
          <w:sz w:val="22"/>
          <w:szCs w:val="22"/>
        </w:rPr>
      </w:pPr>
      <w:r w:rsidRPr="00C83A56">
        <w:rPr>
          <w:b/>
          <w:sz w:val="22"/>
          <w:szCs w:val="22"/>
        </w:rPr>
        <w:t>Annualized Cost to the Government</w:t>
      </w:r>
    </w:p>
    <w:p w14:paraId="55C4F04E" w14:textId="2F9B80C6" w:rsidR="00FA5484" w:rsidRPr="005471DF" w:rsidRDefault="00FA5484" w:rsidP="00FA5484">
      <w:pPr>
        <w:rPr>
          <w:color w:val="FF0000"/>
          <w:sz w:val="22"/>
          <w:szCs w:val="22"/>
        </w:rPr>
      </w:pPr>
      <w:r>
        <w:rPr>
          <w:sz w:val="22"/>
          <w:szCs w:val="22"/>
        </w:rPr>
        <w:t xml:space="preserve">The data will be collected by ACOEM for 4 years </w:t>
      </w:r>
      <w:r w:rsidRPr="00B56814">
        <w:rPr>
          <w:sz w:val="22"/>
          <w:szCs w:val="22"/>
        </w:rPr>
        <w:t>(pending the availability of emergency preparedness and response funding)</w:t>
      </w:r>
      <w:r>
        <w:rPr>
          <w:sz w:val="22"/>
          <w:szCs w:val="22"/>
        </w:rPr>
        <w:t xml:space="preserve"> at an annual contract cost of $40,000 per year for a total cost of $160,000.  The expected time needed for CDC/NIOSH staff to review reports from ACOEM and analyze data is 2 hours per week for a total of 100 hours per year.  At a rate of $50/hour for an epidemiologist/analyst, the estimated cost is $5,000 per year ($20,000 over 4 years).</w:t>
      </w:r>
      <w:r w:rsidR="00FF6768">
        <w:rPr>
          <w:sz w:val="22"/>
          <w:szCs w:val="22"/>
        </w:rPr>
        <w:t xml:space="preserve"> The estimated annualized cost to the government is $45,000.00.</w:t>
      </w:r>
      <w:bookmarkStart w:id="0" w:name="_GoBack"/>
      <w:bookmarkEnd w:id="0"/>
    </w:p>
    <w:p w14:paraId="7F43B2E7" w14:textId="77777777" w:rsidR="00FA5484" w:rsidRPr="00C83A56" w:rsidRDefault="00FA5484" w:rsidP="00FA5484">
      <w:pPr>
        <w:pStyle w:val="ListParagraph"/>
        <w:ind w:left="360"/>
        <w:rPr>
          <w:b/>
          <w:sz w:val="22"/>
          <w:szCs w:val="22"/>
        </w:rPr>
      </w:pPr>
    </w:p>
    <w:p w14:paraId="63334E90" w14:textId="77777777" w:rsidR="00FA5484" w:rsidRDefault="00FA5484" w:rsidP="00FA5484">
      <w:pPr>
        <w:pStyle w:val="ListParagraph"/>
        <w:numPr>
          <w:ilvl w:val="0"/>
          <w:numId w:val="2"/>
        </w:numPr>
        <w:ind w:left="360"/>
        <w:rPr>
          <w:b/>
          <w:sz w:val="22"/>
          <w:szCs w:val="22"/>
        </w:rPr>
      </w:pPr>
      <w:r w:rsidRPr="00C83A56">
        <w:rPr>
          <w:b/>
          <w:sz w:val="22"/>
          <w:szCs w:val="22"/>
        </w:rPr>
        <w:t>Explanation for Program Changes or Adjustments</w:t>
      </w:r>
    </w:p>
    <w:p w14:paraId="4259D3E3" w14:textId="77777777" w:rsidR="00104197" w:rsidRDefault="00104197" w:rsidP="00FA5484">
      <w:pPr>
        <w:rPr>
          <w:sz w:val="22"/>
          <w:szCs w:val="22"/>
        </w:rPr>
      </w:pPr>
      <w:r w:rsidRPr="00104197">
        <w:rPr>
          <w:sz w:val="22"/>
          <w:szCs w:val="22"/>
        </w:rPr>
        <w:t>This is a new data collection</w:t>
      </w:r>
      <w:r>
        <w:rPr>
          <w:sz w:val="22"/>
          <w:szCs w:val="22"/>
        </w:rPr>
        <w:t>.</w:t>
      </w:r>
    </w:p>
    <w:p w14:paraId="0B2282AF" w14:textId="77777777" w:rsidR="00FA5484" w:rsidRPr="005471DF" w:rsidRDefault="00FA5484" w:rsidP="00FA5484">
      <w:pPr>
        <w:rPr>
          <w:sz w:val="22"/>
          <w:szCs w:val="22"/>
        </w:rPr>
      </w:pPr>
    </w:p>
    <w:p w14:paraId="45FC3789" w14:textId="77777777" w:rsidR="00FA5484" w:rsidRDefault="00FA5484" w:rsidP="00FA5484">
      <w:pPr>
        <w:pStyle w:val="ListParagraph"/>
        <w:numPr>
          <w:ilvl w:val="0"/>
          <w:numId w:val="2"/>
        </w:numPr>
        <w:ind w:left="360"/>
        <w:rPr>
          <w:b/>
          <w:sz w:val="22"/>
          <w:szCs w:val="22"/>
        </w:rPr>
      </w:pPr>
      <w:r w:rsidRPr="00C83A56">
        <w:rPr>
          <w:b/>
          <w:sz w:val="22"/>
          <w:szCs w:val="22"/>
        </w:rPr>
        <w:t>Plans for Tabulation and Publication and Project Time Schedule</w:t>
      </w:r>
    </w:p>
    <w:p w14:paraId="77EB52F1" w14:textId="4402C620" w:rsidR="007F00F7" w:rsidRDefault="007F00F7" w:rsidP="00FA5484">
      <w:pPr>
        <w:rPr>
          <w:sz w:val="22"/>
          <w:szCs w:val="22"/>
        </w:rPr>
      </w:pPr>
      <w:r>
        <w:rPr>
          <w:sz w:val="22"/>
          <w:szCs w:val="22"/>
        </w:rPr>
        <w:t xml:space="preserve">The data collection system will be </w:t>
      </w:r>
      <w:r w:rsidR="00370617">
        <w:rPr>
          <w:sz w:val="22"/>
          <w:szCs w:val="22"/>
        </w:rPr>
        <w:t xml:space="preserve">set up, employers will be enrolled, and the system will be populated with historical data within 6 months of the approval of data collection.  </w:t>
      </w:r>
      <w:r w:rsidR="00370617" w:rsidRPr="0006478C">
        <w:rPr>
          <w:sz w:val="22"/>
          <w:szCs w:val="22"/>
        </w:rPr>
        <w:t xml:space="preserve">Ongoing data collection will not begin until a pandemic or other public health emergency </w:t>
      </w:r>
      <w:r w:rsidR="00694805">
        <w:rPr>
          <w:sz w:val="22"/>
          <w:szCs w:val="22"/>
        </w:rPr>
        <w:t>(such as influenza,</w:t>
      </w:r>
      <w:r w:rsidR="00694805" w:rsidRPr="00694805">
        <w:t xml:space="preserve"> </w:t>
      </w:r>
      <w:r w:rsidR="00694805" w:rsidRPr="00694805">
        <w:rPr>
          <w:sz w:val="22"/>
          <w:szCs w:val="22"/>
        </w:rPr>
        <w:t xml:space="preserve">SARs, </w:t>
      </w:r>
      <w:proofErr w:type="spellStart"/>
      <w:r w:rsidR="00694805" w:rsidRPr="00694805">
        <w:rPr>
          <w:sz w:val="22"/>
          <w:szCs w:val="22"/>
        </w:rPr>
        <w:t>MERs,</w:t>
      </w:r>
      <w:r w:rsidR="00694805">
        <w:rPr>
          <w:sz w:val="22"/>
          <w:szCs w:val="22"/>
        </w:rPr>
        <w:t>or</w:t>
      </w:r>
      <w:proofErr w:type="spellEnd"/>
      <w:r w:rsidR="00694805" w:rsidRPr="00694805">
        <w:rPr>
          <w:sz w:val="22"/>
          <w:szCs w:val="22"/>
        </w:rPr>
        <w:t xml:space="preserve"> Coronavirus</w:t>
      </w:r>
      <w:r w:rsidR="00694805">
        <w:rPr>
          <w:sz w:val="22"/>
          <w:szCs w:val="22"/>
        </w:rPr>
        <w:t xml:space="preserve">) </w:t>
      </w:r>
      <w:r w:rsidR="00370617" w:rsidRPr="0006478C">
        <w:rPr>
          <w:sz w:val="22"/>
          <w:szCs w:val="22"/>
        </w:rPr>
        <w:t>occurs or until funding for routine data collection becomes available.</w:t>
      </w:r>
      <w:r w:rsidR="00370617">
        <w:rPr>
          <w:sz w:val="22"/>
          <w:szCs w:val="22"/>
        </w:rPr>
        <w:t xml:space="preserve"> Once ongoing data collection is implemented, data will be tabulated weekly and reports will be completed monthly or on an as needed basis.  The need to continue the system will be evaluated prior to the OMB expiration date.</w:t>
      </w:r>
    </w:p>
    <w:p w14:paraId="19D9CF08" w14:textId="77777777" w:rsidR="00370617" w:rsidRDefault="00370617" w:rsidP="00FA5484">
      <w:pPr>
        <w:rPr>
          <w:sz w:val="22"/>
          <w:szCs w:val="22"/>
        </w:rPr>
      </w:pPr>
    </w:p>
    <w:p w14:paraId="53E81389" w14:textId="77777777" w:rsidR="00FA5484" w:rsidRDefault="00FA5484" w:rsidP="00FA5484">
      <w:pPr>
        <w:rPr>
          <w:sz w:val="22"/>
          <w:szCs w:val="22"/>
        </w:rPr>
      </w:pPr>
      <w:r>
        <w:rPr>
          <w:sz w:val="22"/>
          <w:szCs w:val="22"/>
        </w:rPr>
        <w:t>Data analysis will be conducted over the life of the study on a weekly basis by ACOEM.  This information will be added to data collected by other non-ACOEM influenza collection systems to determine the impact of influenza on the economy.</w:t>
      </w:r>
      <w:r w:rsidR="007F00F7">
        <w:rPr>
          <w:sz w:val="22"/>
          <w:szCs w:val="22"/>
        </w:rPr>
        <w:t xml:space="preserve"> </w:t>
      </w:r>
    </w:p>
    <w:p w14:paraId="0942605D" w14:textId="77777777" w:rsidR="00FA5484" w:rsidRPr="005471DF" w:rsidRDefault="00FA5484" w:rsidP="00FA5484">
      <w:pPr>
        <w:rPr>
          <w:sz w:val="22"/>
          <w:szCs w:val="22"/>
        </w:rPr>
      </w:pPr>
    </w:p>
    <w:p w14:paraId="52779159" w14:textId="77777777" w:rsidR="00FA5484" w:rsidRDefault="00FA5484" w:rsidP="00FA5484">
      <w:pPr>
        <w:pStyle w:val="ListParagraph"/>
        <w:numPr>
          <w:ilvl w:val="0"/>
          <w:numId w:val="2"/>
        </w:numPr>
        <w:ind w:left="360"/>
        <w:rPr>
          <w:b/>
          <w:sz w:val="22"/>
          <w:szCs w:val="22"/>
        </w:rPr>
      </w:pPr>
      <w:r w:rsidRPr="00C83A56">
        <w:rPr>
          <w:b/>
          <w:sz w:val="22"/>
          <w:szCs w:val="22"/>
        </w:rPr>
        <w:t>Reason(s) Display of OMB Expiration Date is Inappropriate</w:t>
      </w:r>
    </w:p>
    <w:p w14:paraId="500FDAB3" w14:textId="77777777" w:rsidR="00FA5484" w:rsidRPr="005471DF" w:rsidRDefault="00FA5484" w:rsidP="00FA5484">
      <w:pPr>
        <w:rPr>
          <w:b/>
          <w:sz w:val="22"/>
          <w:szCs w:val="22"/>
        </w:rPr>
      </w:pPr>
      <w:r w:rsidRPr="005471DF">
        <w:rPr>
          <w:rFonts w:cs="Calibri"/>
          <w:sz w:val="22"/>
          <w:szCs w:val="22"/>
        </w:rPr>
        <w:t xml:space="preserve">Not applicable. The OMB expiration date will be displayed. </w:t>
      </w:r>
    </w:p>
    <w:p w14:paraId="0B45D6ED" w14:textId="77777777" w:rsidR="00FA5484" w:rsidRPr="005471DF" w:rsidRDefault="00FA5484" w:rsidP="00FA5484">
      <w:pPr>
        <w:rPr>
          <w:sz w:val="22"/>
          <w:szCs w:val="22"/>
        </w:rPr>
      </w:pPr>
    </w:p>
    <w:p w14:paraId="11530A08" w14:textId="77777777" w:rsidR="00FA5484" w:rsidRDefault="00FA5484" w:rsidP="00FA5484">
      <w:pPr>
        <w:pStyle w:val="ListParagraph"/>
        <w:numPr>
          <w:ilvl w:val="0"/>
          <w:numId w:val="2"/>
        </w:numPr>
        <w:ind w:left="360"/>
        <w:rPr>
          <w:b/>
          <w:sz w:val="22"/>
          <w:szCs w:val="22"/>
        </w:rPr>
      </w:pPr>
      <w:r w:rsidRPr="00C83A56">
        <w:rPr>
          <w:b/>
          <w:sz w:val="22"/>
          <w:szCs w:val="22"/>
        </w:rPr>
        <w:t>Exceptions to Certification for Paperwork Reduction Act Submissions</w:t>
      </w:r>
    </w:p>
    <w:p w14:paraId="39B496C5" w14:textId="77777777" w:rsidR="00FA5484" w:rsidRPr="005471DF" w:rsidRDefault="00FA5484" w:rsidP="00FA5484">
      <w:pPr>
        <w:rPr>
          <w:sz w:val="22"/>
          <w:szCs w:val="22"/>
        </w:rPr>
      </w:pPr>
      <w:r w:rsidRPr="0086189D">
        <w:rPr>
          <w:rFonts w:cs="Calibri"/>
          <w:sz w:val="22"/>
          <w:szCs w:val="22"/>
        </w:rPr>
        <w:t>There are no exceptions to the certification</w:t>
      </w:r>
    </w:p>
    <w:p w14:paraId="6008D071" w14:textId="77777777" w:rsidR="00FA5484" w:rsidRPr="00C83A56" w:rsidRDefault="00FA5484" w:rsidP="00FA5484">
      <w:pPr>
        <w:rPr>
          <w:b/>
          <w:sz w:val="22"/>
          <w:szCs w:val="22"/>
        </w:rPr>
      </w:pPr>
    </w:p>
    <w:p w14:paraId="4D3166D3" w14:textId="77777777" w:rsidR="00FA5484" w:rsidRPr="00C83A56" w:rsidRDefault="00FA5484" w:rsidP="00FA5484">
      <w:pPr>
        <w:rPr>
          <w:b/>
          <w:sz w:val="22"/>
          <w:szCs w:val="22"/>
        </w:rPr>
      </w:pPr>
    </w:p>
    <w:p w14:paraId="7B429C71" w14:textId="77777777" w:rsidR="00FA5484" w:rsidRPr="00C83A56" w:rsidRDefault="00FA5484" w:rsidP="00FA5484">
      <w:pPr>
        <w:rPr>
          <w:b/>
          <w:sz w:val="22"/>
          <w:szCs w:val="22"/>
        </w:rPr>
      </w:pPr>
    </w:p>
    <w:p w14:paraId="45789B8E" w14:textId="77777777" w:rsidR="00FA5484" w:rsidRPr="00C83A56" w:rsidRDefault="00FA5484" w:rsidP="00FA5484">
      <w:pPr>
        <w:rPr>
          <w:b/>
          <w:sz w:val="22"/>
          <w:szCs w:val="22"/>
        </w:rPr>
      </w:pPr>
    </w:p>
    <w:p w14:paraId="3EF45DD8" w14:textId="77777777" w:rsidR="00FA5484" w:rsidRDefault="00FA5484" w:rsidP="00FA5484">
      <w:pPr>
        <w:rPr>
          <w:b/>
          <w:sz w:val="22"/>
          <w:szCs w:val="22"/>
        </w:rPr>
      </w:pPr>
    </w:p>
    <w:p w14:paraId="3FC0F758" w14:textId="77777777" w:rsidR="00FA5484" w:rsidRDefault="00FA5484" w:rsidP="00FA5484">
      <w:pPr>
        <w:rPr>
          <w:b/>
          <w:sz w:val="22"/>
          <w:szCs w:val="22"/>
        </w:rPr>
      </w:pPr>
    </w:p>
    <w:p w14:paraId="68DDB692" w14:textId="77777777" w:rsidR="00FA5484" w:rsidRDefault="00FA5484" w:rsidP="00FA5484">
      <w:pPr>
        <w:rPr>
          <w:b/>
          <w:sz w:val="22"/>
          <w:szCs w:val="22"/>
        </w:rPr>
      </w:pPr>
    </w:p>
    <w:p w14:paraId="1CB1E372" w14:textId="77777777" w:rsidR="00FA5484" w:rsidRDefault="00FA5484" w:rsidP="00FA5484">
      <w:pPr>
        <w:rPr>
          <w:b/>
          <w:sz w:val="22"/>
          <w:szCs w:val="22"/>
        </w:rPr>
      </w:pPr>
    </w:p>
    <w:p w14:paraId="6F6F4F2C" w14:textId="77777777" w:rsidR="00FA5484" w:rsidRDefault="00FA5484" w:rsidP="00FA5484">
      <w:pPr>
        <w:rPr>
          <w:b/>
          <w:sz w:val="22"/>
          <w:szCs w:val="22"/>
        </w:rPr>
      </w:pPr>
    </w:p>
    <w:p w14:paraId="1C3D451F" w14:textId="77777777" w:rsidR="00FA5484" w:rsidRDefault="00FA5484" w:rsidP="00FA5484">
      <w:pPr>
        <w:rPr>
          <w:b/>
          <w:sz w:val="22"/>
          <w:szCs w:val="22"/>
        </w:rPr>
      </w:pPr>
    </w:p>
    <w:p w14:paraId="75916CBB" w14:textId="77777777" w:rsidR="00FA5484" w:rsidRDefault="00FA5484" w:rsidP="00FA5484">
      <w:pPr>
        <w:rPr>
          <w:b/>
          <w:sz w:val="22"/>
          <w:szCs w:val="22"/>
        </w:rPr>
      </w:pPr>
    </w:p>
    <w:p w14:paraId="67054428" w14:textId="77777777" w:rsidR="00FA5484" w:rsidRDefault="00FA5484" w:rsidP="00FA5484">
      <w:pPr>
        <w:rPr>
          <w:b/>
          <w:sz w:val="22"/>
          <w:szCs w:val="22"/>
        </w:rPr>
      </w:pPr>
    </w:p>
    <w:p w14:paraId="5014A70B" w14:textId="77777777" w:rsidR="00FA5484" w:rsidRDefault="00FA5484" w:rsidP="00FA5484">
      <w:pPr>
        <w:rPr>
          <w:b/>
          <w:sz w:val="22"/>
          <w:szCs w:val="22"/>
        </w:rPr>
      </w:pPr>
    </w:p>
    <w:p w14:paraId="43593C25" w14:textId="77777777" w:rsidR="00572418" w:rsidRDefault="00572418"/>
    <w:sectPr w:rsidR="00572418" w:rsidSect="00101C32">
      <w:footerReference w:type="even" r:id="rId9"/>
      <w:footerReference w:type="default" r:id="rId10"/>
      <w:pgSz w:w="12240" w:h="15840"/>
      <w:pgMar w:top="720" w:right="1080" w:bottom="72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A2CAB" w15:done="0"/>
  <w15:commentEx w15:paraId="70F0A191" w15:done="0"/>
  <w15:commentEx w15:paraId="5A7324D8" w15:done="0"/>
  <w15:commentEx w15:paraId="6F98B44A" w15:done="0"/>
  <w15:commentEx w15:paraId="50495F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67AD4" w14:textId="77777777" w:rsidR="00694805" w:rsidRDefault="00694805">
      <w:r>
        <w:separator/>
      </w:r>
    </w:p>
  </w:endnote>
  <w:endnote w:type="continuationSeparator" w:id="0">
    <w:p w14:paraId="3A6D72E6" w14:textId="77777777" w:rsidR="00694805" w:rsidRDefault="0069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vOT419e7ed1">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5A92" w14:textId="77777777" w:rsidR="00694805" w:rsidRDefault="00694805" w:rsidP="00101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560BE" w14:textId="77777777" w:rsidR="00694805" w:rsidRDefault="00694805" w:rsidP="00101C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9243F" w14:textId="77777777" w:rsidR="00694805" w:rsidRDefault="00694805" w:rsidP="00101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768">
      <w:rPr>
        <w:rStyle w:val="PageNumber"/>
        <w:noProof/>
      </w:rPr>
      <w:t>9</w:t>
    </w:r>
    <w:r>
      <w:rPr>
        <w:rStyle w:val="PageNumber"/>
      </w:rPr>
      <w:fldChar w:fldCharType="end"/>
    </w:r>
  </w:p>
  <w:p w14:paraId="56106325" w14:textId="77777777" w:rsidR="00694805" w:rsidRDefault="00694805" w:rsidP="00101C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034CC" w14:textId="77777777" w:rsidR="00694805" w:rsidRDefault="00694805">
      <w:r>
        <w:separator/>
      </w:r>
    </w:p>
  </w:footnote>
  <w:footnote w:type="continuationSeparator" w:id="0">
    <w:p w14:paraId="4DDD3461" w14:textId="77777777" w:rsidR="00694805" w:rsidRDefault="00694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6D66"/>
    <w:multiLevelType w:val="hybridMultilevel"/>
    <w:tmpl w:val="54F0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237E0"/>
    <w:multiLevelType w:val="hybridMultilevel"/>
    <w:tmpl w:val="3D763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76406"/>
    <w:multiLevelType w:val="hybridMultilevel"/>
    <w:tmpl w:val="5E0C7D82"/>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D713E"/>
    <w:multiLevelType w:val="hybridMultilevel"/>
    <w:tmpl w:val="4C223F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5BC709D"/>
    <w:multiLevelType w:val="hybridMultilevel"/>
    <w:tmpl w:val="4C223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is Konicki">
    <w15:presenceInfo w15:providerId="AD" w15:userId="S-1-5-21-4184939603-4092303948-1618894518-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84"/>
    <w:rsid w:val="00031D97"/>
    <w:rsid w:val="0006478C"/>
    <w:rsid w:val="00101C32"/>
    <w:rsid w:val="00104197"/>
    <w:rsid w:val="00192783"/>
    <w:rsid w:val="001A2701"/>
    <w:rsid w:val="00201F6B"/>
    <w:rsid w:val="0021202A"/>
    <w:rsid w:val="002370A4"/>
    <w:rsid w:val="00303487"/>
    <w:rsid w:val="003608C4"/>
    <w:rsid w:val="00370617"/>
    <w:rsid w:val="003746DF"/>
    <w:rsid w:val="00382789"/>
    <w:rsid w:val="00426709"/>
    <w:rsid w:val="00447B47"/>
    <w:rsid w:val="004D0BE6"/>
    <w:rsid w:val="004E272C"/>
    <w:rsid w:val="00516B74"/>
    <w:rsid w:val="00553780"/>
    <w:rsid w:val="00572418"/>
    <w:rsid w:val="00624E50"/>
    <w:rsid w:val="00640BE7"/>
    <w:rsid w:val="00694805"/>
    <w:rsid w:val="006C0F74"/>
    <w:rsid w:val="006E1EC0"/>
    <w:rsid w:val="00713006"/>
    <w:rsid w:val="00751884"/>
    <w:rsid w:val="00783466"/>
    <w:rsid w:val="007F00F7"/>
    <w:rsid w:val="00835402"/>
    <w:rsid w:val="008A77AE"/>
    <w:rsid w:val="00943990"/>
    <w:rsid w:val="009957F0"/>
    <w:rsid w:val="009B0005"/>
    <w:rsid w:val="00A65538"/>
    <w:rsid w:val="00AD4628"/>
    <w:rsid w:val="00B43E15"/>
    <w:rsid w:val="00B62741"/>
    <w:rsid w:val="00B643DB"/>
    <w:rsid w:val="00BB0C1A"/>
    <w:rsid w:val="00BB1345"/>
    <w:rsid w:val="00C00B94"/>
    <w:rsid w:val="00C33249"/>
    <w:rsid w:val="00C51FCE"/>
    <w:rsid w:val="00C64F85"/>
    <w:rsid w:val="00C71DC7"/>
    <w:rsid w:val="00C74549"/>
    <w:rsid w:val="00CC34F5"/>
    <w:rsid w:val="00CF31AC"/>
    <w:rsid w:val="00D01F8D"/>
    <w:rsid w:val="00D741CA"/>
    <w:rsid w:val="00D83ECD"/>
    <w:rsid w:val="00E37198"/>
    <w:rsid w:val="00F04FC1"/>
    <w:rsid w:val="00F504B6"/>
    <w:rsid w:val="00FA2C69"/>
    <w:rsid w:val="00FA5484"/>
    <w:rsid w:val="00FA7CAF"/>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8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484"/>
    <w:pPr>
      <w:ind w:left="720"/>
      <w:contextualSpacing/>
    </w:pPr>
  </w:style>
  <w:style w:type="paragraph" w:customStyle="1" w:styleId="Default">
    <w:name w:val="Default"/>
    <w:rsid w:val="00FA5484"/>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FA54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5484"/>
    <w:pPr>
      <w:tabs>
        <w:tab w:val="center" w:pos="4320"/>
        <w:tab w:val="right" w:pos="8640"/>
      </w:tabs>
    </w:pPr>
  </w:style>
  <w:style w:type="character" w:customStyle="1" w:styleId="FooterChar">
    <w:name w:val="Footer Char"/>
    <w:basedOn w:val="DefaultParagraphFont"/>
    <w:link w:val="Footer"/>
    <w:uiPriority w:val="99"/>
    <w:rsid w:val="00FA5484"/>
    <w:rPr>
      <w:rFonts w:eastAsia="Times New Roman"/>
      <w:sz w:val="24"/>
      <w:szCs w:val="24"/>
    </w:rPr>
  </w:style>
  <w:style w:type="character" w:styleId="PageNumber">
    <w:name w:val="page number"/>
    <w:basedOn w:val="DefaultParagraphFont"/>
    <w:uiPriority w:val="99"/>
    <w:semiHidden/>
    <w:unhideWhenUsed/>
    <w:rsid w:val="00FA5484"/>
  </w:style>
  <w:style w:type="character" w:styleId="CommentReference">
    <w:name w:val="annotation reference"/>
    <w:basedOn w:val="DefaultParagraphFont"/>
    <w:uiPriority w:val="99"/>
    <w:semiHidden/>
    <w:unhideWhenUsed/>
    <w:rsid w:val="00FA5484"/>
    <w:rPr>
      <w:sz w:val="16"/>
      <w:szCs w:val="16"/>
    </w:rPr>
  </w:style>
  <w:style w:type="paragraph" w:styleId="CommentText">
    <w:name w:val="annotation text"/>
    <w:basedOn w:val="Normal"/>
    <w:link w:val="CommentTextChar"/>
    <w:uiPriority w:val="99"/>
    <w:semiHidden/>
    <w:unhideWhenUsed/>
    <w:rsid w:val="00FA5484"/>
    <w:rPr>
      <w:sz w:val="20"/>
      <w:szCs w:val="20"/>
    </w:rPr>
  </w:style>
  <w:style w:type="character" w:customStyle="1" w:styleId="CommentTextChar">
    <w:name w:val="Comment Text Char"/>
    <w:basedOn w:val="DefaultParagraphFont"/>
    <w:link w:val="CommentText"/>
    <w:uiPriority w:val="99"/>
    <w:semiHidden/>
    <w:rsid w:val="00FA5484"/>
    <w:rPr>
      <w:rFonts w:eastAsia="Times New Roman"/>
      <w:sz w:val="20"/>
      <w:szCs w:val="20"/>
    </w:rPr>
  </w:style>
  <w:style w:type="paragraph" w:styleId="BalloonText">
    <w:name w:val="Balloon Text"/>
    <w:basedOn w:val="Normal"/>
    <w:link w:val="BalloonTextChar"/>
    <w:uiPriority w:val="99"/>
    <w:semiHidden/>
    <w:unhideWhenUsed/>
    <w:rsid w:val="00FA5484"/>
    <w:rPr>
      <w:rFonts w:ascii="Tahoma" w:hAnsi="Tahoma" w:cs="Tahoma"/>
      <w:sz w:val="16"/>
      <w:szCs w:val="16"/>
    </w:rPr>
  </w:style>
  <w:style w:type="character" w:customStyle="1" w:styleId="BalloonTextChar">
    <w:name w:val="Balloon Text Char"/>
    <w:basedOn w:val="DefaultParagraphFont"/>
    <w:link w:val="BalloonText"/>
    <w:uiPriority w:val="99"/>
    <w:semiHidden/>
    <w:rsid w:val="00FA548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A5484"/>
    <w:rPr>
      <w:b/>
      <w:bCs/>
    </w:rPr>
  </w:style>
  <w:style w:type="character" w:customStyle="1" w:styleId="CommentSubjectChar">
    <w:name w:val="Comment Subject Char"/>
    <w:basedOn w:val="CommentTextChar"/>
    <w:link w:val="CommentSubject"/>
    <w:uiPriority w:val="99"/>
    <w:semiHidden/>
    <w:rsid w:val="00FA5484"/>
    <w:rPr>
      <w:rFonts w:eastAsia="Times New Roman"/>
      <w:b/>
      <w:bCs/>
      <w:sz w:val="20"/>
      <w:szCs w:val="20"/>
    </w:rPr>
  </w:style>
  <w:style w:type="paragraph" w:styleId="HTMLPreformatted">
    <w:name w:val="HTML Preformatted"/>
    <w:basedOn w:val="Normal"/>
    <w:link w:val="HTMLPreformattedChar"/>
    <w:uiPriority w:val="99"/>
    <w:semiHidden/>
    <w:unhideWhenUsed/>
    <w:rsid w:val="00FA2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FA2C69"/>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8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484"/>
    <w:pPr>
      <w:ind w:left="720"/>
      <w:contextualSpacing/>
    </w:pPr>
  </w:style>
  <w:style w:type="paragraph" w:customStyle="1" w:styleId="Default">
    <w:name w:val="Default"/>
    <w:rsid w:val="00FA5484"/>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FA54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5484"/>
    <w:pPr>
      <w:tabs>
        <w:tab w:val="center" w:pos="4320"/>
        <w:tab w:val="right" w:pos="8640"/>
      </w:tabs>
    </w:pPr>
  </w:style>
  <w:style w:type="character" w:customStyle="1" w:styleId="FooterChar">
    <w:name w:val="Footer Char"/>
    <w:basedOn w:val="DefaultParagraphFont"/>
    <w:link w:val="Footer"/>
    <w:uiPriority w:val="99"/>
    <w:rsid w:val="00FA5484"/>
    <w:rPr>
      <w:rFonts w:eastAsia="Times New Roman"/>
      <w:sz w:val="24"/>
      <w:szCs w:val="24"/>
    </w:rPr>
  </w:style>
  <w:style w:type="character" w:styleId="PageNumber">
    <w:name w:val="page number"/>
    <w:basedOn w:val="DefaultParagraphFont"/>
    <w:uiPriority w:val="99"/>
    <w:semiHidden/>
    <w:unhideWhenUsed/>
    <w:rsid w:val="00FA5484"/>
  </w:style>
  <w:style w:type="character" w:styleId="CommentReference">
    <w:name w:val="annotation reference"/>
    <w:basedOn w:val="DefaultParagraphFont"/>
    <w:uiPriority w:val="99"/>
    <w:semiHidden/>
    <w:unhideWhenUsed/>
    <w:rsid w:val="00FA5484"/>
    <w:rPr>
      <w:sz w:val="16"/>
      <w:szCs w:val="16"/>
    </w:rPr>
  </w:style>
  <w:style w:type="paragraph" w:styleId="CommentText">
    <w:name w:val="annotation text"/>
    <w:basedOn w:val="Normal"/>
    <w:link w:val="CommentTextChar"/>
    <w:uiPriority w:val="99"/>
    <w:semiHidden/>
    <w:unhideWhenUsed/>
    <w:rsid w:val="00FA5484"/>
    <w:rPr>
      <w:sz w:val="20"/>
      <w:szCs w:val="20"/>
    </w:rPr>
  </w:style>
  <w:style w:type="character" w:customStyle="1" w:styleId="CommentTextChar">
    <w:name w:val="Comment Text Char"/>
    <w:basedOn w:val="DefaultParagraphFont"/>
    <w:link w:val="CommentText"/>
    <w:uiPriority w:val="99"/>
    <w:semiHidden/>
    <w:rsid w:val="00FA5484"/>
    <w:rPr>
      <w:rFonts w:eastAsia="Times New Roman"/>
      <w:sz w:val="20"/>
      <w:szCs w:val="20"/>
    </w:rPr>
  </w:style>
  <w:style w:type="paragraph" w:styleId="BalloonText">
    <w:name w:val="Balloon Text"/>
    <w:basedOn w:val="Normal"/>
    <w:link w:val="BalloonTextChar"/>
    <w:uiPriority w:val="99"/>
    <w:semiHidden/>
    <w:unhideWhenUsed/>
    <w:rsid w:val="00FA5484"/>
    <w:rPr>
      <w:rFonts w:ascii="Tahoma" w:hAnsi="Tahoma" w:cs="Tahoma"/>
      <w:sz w:val="16"/>
      <w:szCs w:val="16"/>
    </w:rPr>
  </w:style>
  <w:style w:type="character" w:customStyle="1" w:styleId="BalloonTextChar">
    <w:name w:val="Balloon Text Char"/>
    <w:basedOn w:val="DefaultParagraphFont"/>
    <w:link w:val="BalloonText"/>
    <w:uiPriority w:val="99"/>
    <w:semiHidden/>
    <w:rsid w:val="00FA548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A5484"/>
    <w:rPr>
      <w:b/>
      <w:bCs/>
    </w:rPr>
  </w:style>
  <w:style w:type="character" w:customStyle="1" w:styleId="CommentSubjectChar">
    <w:name w:val="Comment Subject Char"/>
    <w:basedOn w:val="CommentTextChar"/>
    <w:link w:val="CommentSubject"/>
    <w:uiPriority w:val="99"/>
    <w:semiHidden/>
    <w:rsid w:val="00FA5484"/>
    <w:rPr>
      <w:rFonts w:eastAsia="Times New Roman"/>
      <w:b/>
      <w:bCs/>
      <w:sz w:val="20"/>
      <w:szCs w:val="20"/>
    </w:rPr>
  </w:style>
  <w:style w:type="paragraph" w:styleId="HTMLPreformatted">
    <w:name w:val="HTML Preformatted"/>
    <w:basedOn w:val="Normal"/>
    <w:link w:val="HTMLPreformattedChar"/>
    <w:uiPriority w:val="99"/>
    <w:semiHidden/>
    <w:unhideWhenUsed/>
    <w:rsid w:val="00FA2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FA2C69"/>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92291">
      <w:bodyDiv w:val="1"/>
      <w:marLeft w:val="0"/>
      <w:marRight w:val="0"/>
      <w:marTop w:val="0"/>
      <w:marBottom w:val="0"/>
      <w:divBdr>
        <w:top w:val="none" w:sz="0" w:space="0" w:color="auto"/>
        <w:left w:val="none" w:sz="0" w:space="0" w:color="auto"/>
        <w:bottom w:val="none" w:sz="0" w:space="0" w:color="auto"/>
        <w:right w:val="none" w:sz="0" w:space="0" w:color="auto"/>
      </w:divBdr>
    </w:div>
    <w:div w:id="17964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571D2-C696-444F-90B1-60496931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ACOEM</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Marsh, Carol E. (CDC/OPHPR/OD)</cp:lastModifiedBy>
  <cp:revision>3</cp:revision>
  <cp:lastPrinted>2014-10-22T17:50:00Z</cp:lastPrinted>
  <dcterms:created xsi:type="dcterms:W3CDTF">2014-11-06T12:54:00Z</dcterms:created>
  <dcterms:modified xsi:type="dcterms:W3CDTF">2014-11-25T14:40:00Z</dcterms:modified>
</cp:coreProperties>
</file>