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F" w:rsidRDefault="00BF239F" w:rsidP="00BF239F">
      <w:pPr>
        <w:pStyle w:val="Heading2"/>
      </w:pPr>
      <w:bookmarkStart w:id="0" w:name="_Toc306802937"/>
      <w:bookmarkStart w:id="1" w:name="_GoBack"/>
      <w:bookmarkEnd w:id="1"/>
      <w:r>
        <w:t>Attachment 1. Authorizing Legislation</w:t>
      </w:r>
      <w:bookmarkEnd w:id="0"/>
    </w:p>
    <w:p w:rsidR="00BF239F" w:rsidRDefault="00BF239F" w:rsidP="00BF239F">
      <w:pPr>
        <w:spacing w:after="0" w:line="240" w:lineRule="auto"/>
        <w:rPr>
          <w:rFonts w:ascii="Times New Roman" w:hAnsi="Times New Roman"/>
          <w:sz w:val="24"/>
          <w:szCs w:val="24"/>
        </w:rPr>
      </w:pPr>
    </w:p>
    <w:p w:rsidR="00BF239F" w:rsidRDefault="00BF239F" w:rsidP="00BF239F">
      <w:pPr>
        <w:pStyle w:val="Heading3"/>
      </w:pPr>
      <w:bookmarkStart w:id="2" w:name="_Toc306802938"/>
      <w:r w:rsidRPr="00FE7FC3">
        <w:t>Attachment 1a. Department of Interior, Environment, and Related Agencies Appropriations Act, 2010 (Public Law 111-88)</w:t>
      </w:r>
      <w:bookmarkEnd w:id="2"/>
    </w:p>
    <w:p w:rsidR="00BF239F" w:rsidRPr="00083352" w:rsidRDefault="00BF239F" w:rsidP="00BF239F">
      <w:pPr>
        <w:spacing w:after="0" w:line="240" w:lineRule="auto"/>
        <w:rPr>
          <w:rFonts w:ascii="Times New Roman" w:hAnsi="Times New Roman"/>
          <w:sz w:val="24"/>
          <w:szCs w:val="24"/>
        </w:rPr>
      </w:pPr>
    </w:p>
    <w:p w:rsidR="00BF239F" w:rsidRPr="00DF3B1A" w:rsidRDefault="00BF239F" w:rsidP="00BF239F">
      <w:pPr>
        <w:pStyle w:val="HTMLPreformatted"/>
        <w:rPr>
          <w:rFonts w:ascii="Calibri" w:hAnsi="Calibri"/>
          <w:sz w:val="22"/>
          <w:szCs w:val="22"/>
        </w:rPr>
      </w:pPr>
      <w:r w:rsidRPr="00DF3B1A">
        <w:rPr>
          <w:rFonts w:ascii="Calibri" w:hAnsi="Calibri"/>
          <w:sz w:val="22"/>
          <w:szCs w:val="22"/>
        </w:rPr>
        <w:t>[[Page 123 STAT. 2934]]</w:t>
      </w:r>
    </w:p>
    <w:p w:rsidR="00BF239F" w:rsidRDefault="00BF239F" w:rsidP="00BF239F">
      <w:pPr>
        <w:autoSpaceDE w:val="0"/>
        <w:autoSpaceDN w:val="0"/>
        <w:adjustRightInd w:val="0"/>
        <w:spacing w:after="0" w:line="240" w:lineRule="auto"/>
        <w:jc w:val="center"/>
        <w:rPr>
          <w:rFonts w:ascii="Times New Roman" w:hAnsi="Times New Roman"/>
          <w:sz w:val="24"/>
          <w:szCs w:val="24"/>
        </w:rPr>
      </w:pP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Title II. </w:t>
      </w:r>
      <w:r w:rsidRPr="00083352">
        <w:rPr>
          <w:rFonts w:ascii="Times New Roman" w:hAnsi="Times New Roman"/>
          <w:sz w:val="24"/>
          <w:szCs w:val="24"/>
        </w:rPr>
        <w:t>ENVIRONMENTAL PROTECTION AGENCY</w:t>
      </w:r>
    </w:p>
    <w:p w:rsidR="00BF239F" w:rsidRPr="00083352" w:rsidRDefault="00BF239F" w:rsidP="00BF239F">
      <w:pPr>
        <w:autoSpaceDE w:val="0"/>
        <w:autoSpaceDN w:val="0"/>
        <w:adjustRightInd w:val="0"/>
        <w:spacing w:after="0" w:line="240" w:lineRule="auto"/>
        <w:rPr>
          <w:rFonts w:ascii="Times New Roman" w:hAnsi="Times New Roman"/>
          <w:sz w:val="24"/>
          <w:szCs w:val="24"/>
        </w:rPr>
      </w:pP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r w:rsidRPr="00083352">
        <w:rPr>
          <w:rFonts w:ascii="Times New Roman" w:hAnsi="Times New Roman"/>
          <w:sz w:val="24"/>
          <w:szCs w:val="24"/>
        </w:rPr>
        <w:t>ENVIRONMENTAL PROGRAMS AND MANAGEMENT</w:t>
      </w: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p>
    <w:p w:rsidR="00BF239F" w:rsidRPr="00083352" w:rsidRDefault="00BF239F" w:rsidP="00BF239F">
      <w:pPr>
        <w:autoSpaceDE w:val="0"/>
        <w:autoSpaceDN w:val="0"/>
        <w:adjustRightInd w:val="0"/>
        <w:spacing w:after="0" w:line="240" w:lineRule="auto"/>
        <w:rPr>
          <w:rFonts w:ascii="Times New Roman" w:hAnsi="Times New Roman"/>
          <w:sz w:val="24"/>
          <w:szCs w:val="24"/>
        </w:rPr>
      </w:pPr>
      <w:r w:rsidRPr="00083352">
        <w:rPr>
          <w:rFonts w:ascii="Times New Roman" w:hAnsi="Times New Roman"/>
          <w:sz w:val="24"/>
          <w:szCs w:val="24"/>
        </w:rPr>
        <w:t xml:space="preserve">For environmental programs and management, including necessary expenses, not otherwise provided for, for personnel and related costs and travel expenses; hire of passenger motor vehicles; hire, maintenance, and operation of aircraft; purchase of reprints; library memberships in societies or associations which issue publications to members only or at a price to members lower than to subscribers who are not members; administrative costs of the brownfields program under the Small Business Liability Relief and Brownfields Revitalization Act of 2002; and not to exceed $9,000 for official reception and representation expenses, $2,993,779,000, to remain available until September 30, 2011: </w:t>
      </w:r>
      <w:r w:rsidRPr="00083352">
        <w:rPr>
          <w:rFonts w:ascii="Times New Roman" w:hAnsi="Times New Roman"/>
          <w:i/>
          <w:iCs/>
          <w:sz w:val="24"/>
          <w:szCs w:val="24"/>
        </w:rPr>
        <w:t>Provided</w:t>
      </w:r>
      <w:r w:rsidRPr="00083352">
        <w:rPr>
          <w:rFonts w:ascii="Times New Roman" w:hAnsi="Times New Roman"/>
          <w:sz w:val="24"/>
          <w:szCs w:val="24"/>
        </w:rPr>
        <w:t>, That of the funds included under this heading, not less than $608,441,000 shall be for the Geographic Programs specified in the explanatory statement accompanying this Act.</w:t>
      </w:r>
    </w:p>
    <w:p w:rsidR="00BF239F" w:rsidRPr="00083352" w:rsidRDefault="00BF239F" w:rsidP="00BF239F">
      <w:pPr>
        <w:autoSpaceDE w:val="0"/>
        <w:autoSpaceDN w:val="0"/>
        <w:adjustRightInd w:val="0"/>
        <w:spacing w:after="0" w:line="240" w:lineRule="auto"/>
        <w:rPr>
          <w:rFonts w:ascii="Times New Roman" w:hAnsi="Times New Roman"/>
          <w:sz w:val="24"/>
          <w:szCs w:val="24"/>
        </w:rPr>
      </w:pPr>
    </w:p>
    <w:p w:rsidR="00BF239F" w:rsidRPr="00DF3B1A" w:rsidRDefault="00BF239F" w:rsidP="00BF239F">
      <w:pPr>
        <w:pStyle w:val="HTMLPreformatted"/>
        <w:rPr>
          <w:rFonts w:ascii="Calibri" w:hAnsi="Calibri"/>
          <w:sz w:val="22"/>
          <w:szCs w:val="22"/>
        </w:rPr>
      </w:pPr>
      <w:r w:rsidRPr="00DF3B1A">
        <w:rPr>
          <w:rFonts w:ascii="Calibri" w:hAnsi="Calibri"/>
          <w:sz w:val="22"/>
          <w:szCs w:val="22"/>
        </w:rPr>
        <w:t>[[Page 123 STAT. 2938]]</w:t>
      </w:r>
    </w:p>
    <w:p w:rsidR="00BF239F" w:rsidRDefault="00BF239F" w:rsidP="00BF239F">
      <w:pPr>
        <w:autoSpaceDE w:val="0"/>
        <w:autoSpaceDN w:val="0"/>
        <w:adjustRightInd w:val="0"/>
        <w:spacing w:after="0" w:line="240" w:lineRule="auto"/>
        <w:jc w:val="center"/>
        <w:rPr>
          <w:rFonts w:ascii="Times New Roman" w:hAnsi="Times New Roman"/>
          <w:sz w:val="24"/>
          <w:szCs w:val="24"/>
        </w:rPr>
      </w:pPr>
    </w:p>
    <w:p w:rsidR="00BF239F" w:rsidRPr="00083352" w:rsidRDefault="00BF239F" w:rsidP="00BF239F">
      <w:pPr>
        <w:autoSpaceDE w:val="0"/>
        <w:autoSpaceDN w:val="0"/>
        <w:adjustRightInd w:val="0"/>
        <w:spacing w:after="0" w:line="240" w:lineRule="auto"/>
        <w:jc w:val="center"/>
        <w:rPr>
          <w:rFonts w:ascii="Times New Roman" w:hAnsi="Times New Roman"/>
          <w:sz w:val="24"/>
          <w:szCs w:val="24"/>
        </w:rPr>
      </w:pPr>
      <w:r w:rsidRPr="00083352">
        <w:rPr>
          <w:rFonts w:ascii="Times New Roman" w:hAnsi="Times New Roman"/>
          <w:sz w:val="24"/>
          <w:szCs w:val="24"/>
        </w:rPr>
        <w:t>ADMINISTRATIVE PROVISIONS, ENVIRONMENTAL PROTECTION AGENCY</w:t>
      </w:r>
      <w:r>
        <w:rPr>
          <w:rFonts w:ascii="Times New Roman" w:hAnsi="Times New Roman"/>
          <w:sz w:val="24"/>
          <w:szCs w:val="24"/>
        </w:rPr>
        <w:t xml:space="preserve"> </w:t>
      </w:r>
      <w:r w:rsidRPr="00083352">
        <w:rPr>
          <w:rFonts w:ascii="Times New Roman" w:hAnsi="Times New Roman"/>
          <w:sz w:val="24"/>
          <w:szCs w:val="24"/>
        </w:rPr>
        <w:t>(INCLUDING TRANSFER AND RESCISSION OF FUNDS)</w:t>
      </w:r>
    </w:p>
    <w:p w:rsidR="00BF239F" w:rsidRDefault="00BF239F" w:rsidP="00BF239F">
      <w:pPr>
        <w:autoSpaceDE w:val="0"/>
        <w:autoSpaceDN w:val="0"/>
        <w:adjustRightInd w:val="0"/>
        <w:spacing w:after="0" w:line="240" w:lineRule="auto"/>
        <w:rPr>
          <w:rFonts w:ascii="Times New Roman" w:hAnsi="Times New Roman"/>
          <w:sz w:val="24"/>
          <w:szCs w:val="24"/>
        </w:rPr>
      </w:pPr>
    </w:p>
    <w:p w:rsidR="00BF239F" w:rsidRPr="00083352" w:rsidRDefault="00BF239F" w:rsidP="00BF239F">
      <w:pPr>
        <w:autoSpaceDE w:val="0"/>
        <w:autoSpaceDN w:val="0"/>
        <w:adjustRightInd w:val="0"/>
        <w:spacing w:after="0" w:line="240" w:lineRule="auto"/>
        <w:rPr>
          <w:rFonts w:ascii="Times New Roman" w:hAnsi="Times New Roman"/>
          <w:sz w:val="24"/>
          <w:szCs w:val="24"/>
        </w:rPr>
      </w:pPr>
      <w:r w:rsidRPr="00083352">
        <w:rPr>
          <w:rFonts w:ascii="Times New Roman" w:hAnsi="Times New Roman"/>
          <w:sz w:val="24"/>
          <w:szCs w:val="24"/>
        </w:rPr>
        <w:t>The Administrator is authorized to transfer up to $475,000,000</w:t>
      </w:r>
      <w:r>
        <w:rPr>
          <w:rFonts w:ascii="Times New Roman" w:hAnsi="Times New Roman"/>
          <w:sz w:val="24"/>
          <w:szCs w:val="24"/>
        </w:rPr>
        <w:t xml:space="preserve"> </w:t>
      </w:r>
      <w:r w:rsidRPr="00083352">
        <w:rPr>
          <w:rFonts w:ascii="Times New Roman" w:hAnsi="Times New Roman"/>
          <w:sz w:val="24"/>
          <w:szCs w:val="24"/>
        </w:rPr>
        <w:t>of the funds appropriated for the Great Lakes Initiative under</w:t>
      </w:r>
      <w:r>
        <w:rPr>
          <w:rFonts w:ascii="Times New Roman" w:hAnsi="Times New Roman"/>
          <w:sz w:val="24"/>
          <w:szCs w:val="24"/>
        </w:rPr>
        <w:t xml:space="preserve"> </w:t>
      </w:r>
      <w:r w:rsidRPr="00083352">
        <w:rPr>
          <w:rFonts w:ascii="Times New Roman" w:hAnsi="Times New Roman"/>
          <w:sz w:val="24"/>
          <w:szCs w:val="24"/>
        </w:rPr>
        <w:t>the heading ‘‘Environmental Programs and Management’’ to the</w:t>
      </w:r>
      <w:r>
        <w:rPr>
          <w:rFonts w:ascii="Times New Roman" w:hAnsi="Times New Roman"/>
          <w:sz w:val="24"/>
          <w:szCs w:val="24"/>
        </w:rPr>
        <w:t xml:space="preserve"> </w:t>
      </w:r>
      <w:r w:rsidRPr="00083352">
        <w:rPr>
          <w:rFonts w:ascii="Times New Roman" w:hAnsi="Times New Roman"/>
          <w:sz w:val="24"/>
          <w:szCs w:val="24"/>
        </w:rPr>
        <w:t>head of any Federal department or agency, with the concurrence</w:t>
      </w:r>
      <w:r>
        <w:rPr>
          <w:rFonts w:ascii="Times New Roman" w:hAnsi="Times New Roman"/>
          <w:sz w:val="24"/>
          <w:szCs w:val="24"/>
        </w:rPr>
        <w:t xml:space="preserve"> </w:t>
      </w:r>
      <w:r w:rsidRPr="00083352">
        <w:rPr>
          <w:rFonts w:ascii="Times New Roman" w:hAnsi="Times New Roman"/>
          <w:sz w:val="24"/>
          <w:szCs w:val="24"/>
        </w:rPr>
        <w:t>of such head, to carry out activities that would support the Great</w:t>
      </w:r>
      <w:r>
        <w:rPr>
          <w:rFonts w:ascii="Times New Roman" w:hAnsi="Times New Roman"/>
          <w:sz w:val="24"/>
          <w:szCs w:val="24"/>
        </w:rPr>
        <w:t xml:space="preserve"> </w:t>
      </w:r>
      <w:r w:rsidRPr="00083352">
        <w:rPr>
          <w:rFonts w:ascii="Times New Roman" w:hAnsi="Times New Roman"/>
          <w:sz w:val="24"/>
          <w:szCs w:val="24"/>
        </w:rPr>
        <w:t>Lakes Restoration Initiative and Great Lakes Water Quality Agreement</w:t>
      </w:r>
      <w:r>
        <w:rPr>
          <w:rFonts w:ascii="Times New Roman" w:hAnsi="Times New Roman"/>
          <w:sz w:val="24"/>
          <w:szCs w:val="24"/>
        </w:rPr>
        <w:t xml:space="preserve"> </w:t>
      </w:r>
      <w:r w:rsidRPr="00083352">
        <w:rPr>
          <w:rFonts w:ascii="Times New Roman" w:hAnsi="Times New Roman"/>
          <w:sz w:val="24"/>
          <w:szCs w:val="24"/>
        </w:rPr>
        <w:t>programs, projects, or activities; to enter into an interagency</w:t>
      </w:r>
      <w:r>
        <w:rPr>
          <w:rFonts w:ascii="Times New Roman" w:hAnsi="Times New Roman"/>
          <w:sz w:val="24"/>
          <w:szCs w:val="24"/>
        </w:rPr>
        <w:t xml:space="preserve"> </w:t>
      </w:r>
      <w:r w:rsidRPr="00083352">
        <w:rPr>
          <w:rFonts w:ascii="Times New Roman" w:hAnsi="Times New Roman"/>
          <w:sz w:val="24"/>
          <w:szCs w:val="24"/>
        </w:rPr>
        <w:t>agreement with the head of such Federal department or agency</w:t>
      </w:r>
      <w:r>
        <w:rPr>
          <w:rFonts w:ascii="Times New Roman" w:hAnsi="Times New Roman"/>
          <w:sz w:val="24"/>
          <w:szCs w:val="24"/>
        </w:rPr>
        <w:t xml:space="preserve"> </w:t>
      </w:r>
      <w:r w:rsidRPr="00083352">
        <w:rPr>
          <w:rFonts w:ascii="Times New Roman" w:hAnsi="Times New Roman"/>
          <w:sz w:val="24"/>
          <w:szCs w:val="24"/>
        </w:rPr>
        <w:t>to carry out these activities; and to make grants to governmental</w:t>
      </w:r>
      <w:r>
        <w:rPr>
          <w:rFonts w:ascii="Times New Roman" w:hAnsi="Times New Roman"/>
          <w:sz w:val="24"/>
          <w:szCs w:val="24"/>
        </w:rPr>
        <w:t xml:space="preserve"> </w:t>
      </w:r>
      <w:r w:rsidRPr="00083352">
        <w:rPr>
          <w:rFonts w:ascii="Times New Roman" w:hAnsi="Times New Roman"/>
          <w:sz w:val="24"/>
          <w:szCs w:val="24"/>
        </w:rPr>
        <w:t>entities, nonprofit organizations, institutions, and individuals for</w:t>
      </w:r>
      <w:r>
        <w:rPr>
          <w:rFonts w:ascii="Times New Roman" w:hAnsi="Times New Roman"/>
          <w:sz w:val="24"/>
          <w:szCs w:val="24"/>
        </w:rPr>
        <w:t xml:space="preserve"> </w:t>
      </w:r>
      <w:r w:rsidRPr="00083352">
        <w:rPr>
          <w:rFonts w:ascii="Times New Roman" w:hAnsi="Times New Roman"/>
          <w:sz w:val="24"/>
          <w:szCs w:val="24"/>
        </w:rPr>
        <w:t>planning, research, monitoring, outreach, and implementation in</w:t>
      </w:r>
      <w:r>
        <w:rPr>
          <w:rFonts w:ascii="Times New Roman" w:hAnsi="Times New Roman"/>
          <w:sz w:val="24"/>
          <w:szCs w:val="24"/>
        </w:rPr>
        <w:t xml:space="preserve"> </w:t>
      </w:r>
      <w:r w:rsidRPr="00083352">
        <w:rPr>
          <w:rFonts w:ascii="Times New Roman" w:hAnsi="Times New Roman"/>
          <w:sz w:val="24"/>
          <w:szCs w:val="24"/>
        </w:rPr>
        <w:t>furtherance of the Great Lakes Restoration Initiative and the Great</w:t>
      </w:r>
      <w:r>
        <w:rPr>
          <w:rFonts w:ascii="Times New Roman" w:hAnsi="Times New Roman"/>
          <w:sz w:val="24"/>
          <w:szCs w:val="24"/>
        </w:rPr>
        <w:t xml:space="preserve"> </w:t>
      </w:r>
      <w:r w:rsidRPr="00083352">
        <w:rPr>
          <w:rFonts w:ascii="Times New Roman" w:hAnsi="Times New Roman"/>
          <w:sz w:val="24"/>
          <w:szCs w:val="24"/>
        </w:rPr>
        <w:t>Lakes Water Quality Agreement.</w:t>
      </w:r>
    </w:p>
    <w:p w:rsidR="00BF239F" w:rsidRPr="006C3CFC" w:rsidRDefault="00BF239F" w:rsidP="00BF239F">
      <w:pPr>
        <w:autoSpaceDE w:val="0"/>
        <w:autoSpaceDN w:val="0"/>
        <w:adjustRightInd w:val="0"/>
        <w:spacing w:after="0" w:line="240" w:lineRule="auto"/>
        <w:rPr>
          <w:rFonts w:ascii="Times New Roman" w:hAnsi="Times New Roman"/>
          <w:sz w:val="24"/>
          <w:szCs w:val="24"/>
        </w:rPr>
      </w:pPr>
    </w:p>
    <w:p w:rsidR="00BF239F" w:rsidRDefault="00BF239F" w:rsidP="00BF239F">
      <w:pPr>
        <w:rPr>
          <w:rFonts w:ascii="Cambria" w:eastAsia="Times New Roman" w:hAnsi="Cambria"/>
          <w:b/>
          <w:bCs/>
          <w:color w:val="4F81BD"/>
        </w:rPr>
      </w:pPr>
      <w:r>
        <w:br w:type="page"/>
      </w:r>
    </w:p>
    <w:p w:rsidR="00BF239F" w:rsidRPr="000478F1" w:rsidRDefault="00BF239F" w:rsidP="00BF239F">
      <w:pPr>
        <w:pStyle w:val="Heading3"/>
      </w:pPr>
      <w:bookmarkStart w:id="3" w:name="_Toc306802939"/>
      <w:r w:rsidRPr="000478F1">
        <w:lastRenderedPageBreak/>
        <w:t>Attachment 1b. Comprehensive Environmental Response, Compensation and Liability Act of 1980</w:t>
      </w:r>
      <w:r>
        <w:t xml:space="preserve"> (CERCLA)</w:t>
      </w:r>
      <w:r w:rsidRPr="000478F1">
        <w:t xml:space="preserve"> and Superfund Amendments and Reauthorization Act of 1986 (SARA)</w:t>
      </w:r>
      <w:bookmarkEnd w:id="3"/>
      <w:r w:rsidRPr="000478F1">
        <w:t xml:space="preserve"> </w:t>
      </w:r>
    </w:p>
    <w:p w:rsidR="00BF239F" w:rsidRDefault="00BF239F" w:rsidP="00BF239F">
      <w:pPr>
        <w:spacing w:after="0"/>
      </w:pPr>
    </w:p>
    <w:p w:rsidR="00BF239F" w:rsidRDefault="00BF239F" w:rsidP="00BF239F">
      <w:pPr>
        <w:spacing w:after="0"/>
      </w:pPr>
      <w:r w:rsidRPr="00792A7D">
        <w:t>[42 U.S.C. 9604(i)(1)(E), (7), (9), (15) and 9626(a)</w:t>
      </w:r>
      <w:r>
        <w:t>]</w:t>
      </w:r>
    </w:p>
    <w:p w:rsidR="00BF239F" w:rsidRPr="00953239" w:rsidRDefault="00BF239F" w:rsidP="00BF239F">
      <w:pPr>
        <w:spacing w:after="0"/>
        <w:rPr>
          <w:b/>
        </w:rPr>
      </w:pPr>
    </w:p>
    <w:p w:rsidR="00BF239F" w:rsidRPr="0064495B"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64495B">
        <w:rPr>
          <w:rFonts w:ascii="Times New Roman" w:eastAsia="Times New Roman" w:hAnsi="Times New Roman"/>
          <w:b/>
          <w:sz w:val="24"/>
          <w:szCs w:val="24"/>
        </w:rPr>
        <w:t>Section</w:t>
      </w:r>
      <w:r>
        <w:rPr>
          <w:rFonts w:ascii="Times New Roman" w:eastAsia="Times New Roman" w:hAnsi="Times New Roman"/>
          <w:b/>
          <w:sz w:val="24"/>
          <w:szCs w:val="24"/>
        </w:rPr>
        <w:t xml:space="preserve"> 96</w:t>
      </w:r>
      <w:r w:rsidRPr="0064495B">
        <w:rPr>
          <w:rFonts w:ascii="Times New Roman" w:eastAsia="Times New Roman" w:hAnsi="Times New Roman"/>
          <w:b/>
          <w:sz w:val="24"/>
          <w:szCs w:val="24"/>
        </w:rPr>
        <w:t>04</w:t>
      </w:r>
      <w:r>
        <w:rPr>
          <w:rFonts w:ascii="Times New Roman" w:eastAsia="Times New Roman" w:hAnsi="Times New Roman"/>
          <w:b/>
          <w:sz w:val="24"/>
          <w:szCs w:val="24"/>
        </w:rPr>
        <w:t>.</w:t>
      </w:r>
      <w:r w:rsidRPr="0064495B">
        <w:rPr>
          <w:rFonts w:ascii="Times New Roman" w:eastAsia="Times New Roman" w:hAnsi="Times New Roman"/>
          <w:sz w:val="24"/>
          <w:szCs w:val="24"/>
        </w:rPr>
        <w:t xml:space="preserve"> </w:t>
      </w:r>
      <w:r>
        <w:rPr>
          <w:rFonts w:ascii="Times New Roman" w:eastAsia="Times New Roman" w:hAnsi="Times New Roman"/>
          <w:sz w:val="24"/>
          <w:szCs w:val="24"/>
        </w:rPr>
        <w:t xml:space="preserve">(i) </w:t>
      </w:r>
      <w:r w:rsidRPr="0064495B">
        <w:rPr>
          <w:rFonts w:ascii="Times New Roman" w:eastAsia="Times New Roman" w:hAnsi="Times New Roman"/>
          <w:sz w:val="24"/>
          <w:szCs w:val="24"/>
        </w:rPr>
        <w:t>Agency for Toxic Substances and Disease Registry; establishment,</w:t>
      </w:r>
      <w:r>
        <w:rPr>
          <w:rFonts w:ascii="Times New Roman" w:eastAsia="Times New Roman" w:hAnsi="Times New Roman"/>
          <w:sz w:val="24"/>
          <w:szCs w:val="24"/>
        </w:rPr>
        <w:t xml:space="preserve"> </w:t>
      </w:r>
      <w:r w:rsidRPr="0064495B">
        <w:rPr>
          <w:rFonts w:ascii="Times New Roman" w:eastAsia="Times New Roman" w:hAnsi="Times New Roman"/>
          <w:sz w:val="24"/>
          <w:szCs w:val="24"/>
        </w:rPr>
        <w:t>functions, etc.</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BF239F" w:rsidRPr="00C0039D" w:rsidRDefault="00BF239F" w:rsidP="00BF239F">
      <w:pPr>
        <w:pStyle w:val="Title"/>
        <w:numPr>
          <w:ilvl w:val="0"/>
          <w:numId w:val="1"/>
        </w:numPr>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auto"/>
          <w:sz w:val="24"/>
          <w:szCs w:val="24"/>
        </w:rPr>
      </w:pPr>
      <w:r w:rsidRPr="00C0039D">
        <w:rPr>
          <w:rFonts w:ascii="Times New Roman" w:hAnsi="Times New Roman"/>
          <w:color w:val="auto"/>
          <w:sz w:val="24"/>
          <w:szCs w:val="24"/>
        </w:rPr>
        <w:t>There is hereby established within the Public Health Service an agency, to be known as the Agency for Toxic Substances and Disease Registry, which shall report directly to the Surgeon General of the United States. The Administrator of said Agency shall, with the cooperation of the Administrator of the Environmental Protection Agency, the Commissioner of the Food and Drug Administration, the Directors of the National Institute of Medicine, National Institute of Environmental Health Sciences, National Institute of Occupational Safety and Health, Centers for Disease Control and Prevention, the Administrator of the Occupational Safety and Health Administration, the Administrator of the Social Security Administration, the Secretary of Transportation, and appropriate State and local health officials, effectuate and implement the health related authorities of this chapter. In addition, said Administrator shall—</w:t>
      </w:r>
    </w:p>
    <w:p w:rsidR="00BF239F" w:rsidRPr="00C0039D" w:rsidRDefault="00BF239F" w:rsidP="00BF239F">
      <w:pPr>
        <w:pStyle w:val="Title"/>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color w:val="auto"/>
          <w:sz w:val="24"/>
          <w:szCs w:val="24"/>
        </w:rPr>
      </w:pPr>
      <w:r w:rsidRPr="00C0039D">
        <w:rPr>
          <w:rFonts w:ascii="Times New Roman" w:hAnsi="Times New Roman"/>
          <w:color w:val="auto"/>
          <w:sz w:val="24"/>
          <w:szCs w:val="24"/>
        </w:rPr>
        <w:t>(E) either independently or as part of other health status survey, conduct periodic survey and screening programs to determine relationships between exposure to toxic substances and illness. In cases of public health emergencies, exposed persons shall be eligible for admission to hospitals and other facilities and services operated or provided by the Public Health Service.</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F239F" w:rsidRPr="0055138F" w:rsidRDefault="00BF239F" w:rsidP="00BF239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 xml:space="preserve">(7)  </w:t>
      </w:r>
      <w:r w:rsidRPr="0055138F">
        <w:rPr>
          <w:rFonts w:ascii="Times New Roman" w:hAnsi="Times New Roman"/>
          <w:sz w:val="24"/>
          <w:szCs w:val="24"/>
        </w:rPr>
        <w:t>(A) Whenever in the judgment of the Administrator of</w:t>
      </w:r>
      <w:r>
        <w:rPr>
          <w:rFonts w:ascii="Times New Roman" w:hAnsi="Times New Roman"/>
          <w:sz w:val="24"/>
          <w:szCs w:val="24"/>
        </w:rPr>
        <w:t xml:space="preserve"> ATSDR it is appropriate on the </w:t>
      </w:r>
      <w:r w:rsidRPr="0055138F">
        <w:rPr>
          <w:rFonts w:ascii="Times New Roman" w:hAnsi="Times New Roman"/>
          <w:sz w:val="24"/>
          <w:szCs w:val="24"/>
        </w:rPr>
        <w:t>basis of the results of a health assessment, the Administrator of ATSDR shall conduct a pilot study of health effects for selected groups of exposed individuals in order to determine the desirability of conducting full scale epidemiological or other health studies of the entire exposed population.</w:t>
      </w:r>
    </w:p>
    <w:p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ab/>
      </w:r>
      <w:r w:rsidRPr="0064495B">
        <w:rPr>
          <w:rFonts w:ascii="Times New Roman" w:hAnsi="Times New Roman"/>
          <w:sz w:val="24"/>
          <w:szCs w:val="24"/>
        </w:rPr>
        <w:t>(B) Whenever in the judgment of the Administrator of ATSDR it is appropriate on the basis of the results of such pilot study or other study or health assessment, the Administrator of ATSDR shall conduct such full scale epidemiological or other health studies as may be necessary to determine the health effects on the population exposed to hazardous substances from a release or threatened release. If a significant excess of disease in a population is identified, the letter of transmittal of such study shall include an assessment of other risk factors, other than a release, that may, in the judgment of the peer review group, be associated with such disease, if such risk factors were not taken into account in the design or conduct of the study.</w:t>
      </w:r>
    </w:p>
    <w:p w:rsidR="00BF239F" w:rsidRPr="006D3C53"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p>
    <w:p w:rsidR="00BF239F"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lastRenderedPageBreak/>
        <w:t>(9) Where the Administrator of ATSDR has determined that there is a significant increased risk of adverse health effects in humans from exposure to hazardous substances based on the results of a health assessment conducted under paragraph (6), an epidemiologic study conducted under paragraph (7), or an exposure registry that has been established under paragraph (8), and the Administrator of ATSDR has determined that such exposure is the result of a release from a facility, the Administrator of ATSDR shall initiate a health surveillance program for such population. This program shall include but not be limited to—</w:t>
      </w:r>
    </w:p>
    <w:p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(A) periodic medical testing where appropriate of population subgroups to screen for diseases for which the population or subgroup is at significant increased risk; and</w:t>
      </w:r>
    </w:p>
    <w:p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(B) a mechanism to refer for treatment those individuals within such population who are screened positive for such diseases.</w:t>
      </w:r>
    </w:p>
    <w:p w:rsidR="00BF239F" w:rsidRPr="0064495B" w:rsidRDefault="00BF239F" w:rsidP="00BF239F">
      <w:pPr>
        <w:autoSpaceDE w:val="0"/>
        <w:autoSpaceDN w:val="0"/>
        <w:adjustRightInd w:val="0"/>
        <w:spacing w:after="0" w:line="240" w:lineRule="auto"/>
        <w:rPr>
          <w:rFonts w:ascii="Times New Roman" w:hAnsi="Times New Roman"/>
          <w:sz w:val="24"/>
          <w:szCs w:val="24"/>
        </w:rPr>
      </w:pPr>
    </w:p>
    <w:p w:rsidR="00BF239F" w:rsidRPr="0064495B"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 xml:space="preserve">(15) The activities of the Administrator of ATSDR described in this </w:t>
      </w:r>
      <w:r>
        <w:rPr>
          <w:rFonts w:ascii="Times New Roman" w:hAnsi="Times New Roman"/>
          <w:sz w:val="24"/>
          <w:szCs w:val="24"/>
        </w:rPr>
        <w:t xml:space="preserve">subsection and section </w:t>
      </w:r>
      <w:r w:rsidRPr="0064495B">
        <w:rPr>
          <w:rFonts w:ascii="Times New Roman" w:hAnsi="Times New Roman"/>
          <w:sz w:val="24"/>
          <w:szCs w:val="24"/>
        </w:rPr>
        <w:t xml:space="preserve">9611(c)(4) of this title shall be carried out by the Administrator of ATSDR, either directly or through cooperative agreements with States (or political </w:t>
      </w:r>
      <w:r>
        <w:rPr>
          <w:rFonts w:ascii="Times New Roman" w:hAnsi="Times New Roman"/>
          <w:sz w:val="24"/>
          <w:szCs w:val="24"/>
        </w:rPr>
        <w:t xml:space="preserve">subdivisions thereof) which the </w:t>
      </w:r>
      <w:r w:rsidRPr="0064495B">
        <w:rPr>
          <w:rFonts w:ascii="Times New Roman" w:hAnsi="Times New Roman"/>
          <w:sz w:val="24"/>
          <w:szCs w:val="24"/>
        </w:rPr>
        <w:t>Administrator of ATSDR determines are capable of carrying out such activities. Such activities shall include provision of consultations on health information, the conduct of health assessments, including those required under section 3019(b) of the Solid Waste Disposal Act [42 U.S.C. 6939a(b)], health studies, registries, and health surveillance.</w:t>
      </w:r>
    </w:p>
    <w:p w:rsidR="00BF239F" w:rsidRPr="0064495B" w:rsidRDefault="00BF239F" w:rsidP="00BF239F">
      <w:pPr>
        <w:autoSpaceDE w:val="0"/>
        <w:autoSpaceDN w:val="0"/>
        <w:adjustRightInd w:val="0"/>
        <w:spacing w:after="0" w:line="240" w:lineRule="auto"/>
        <w:rPr>
          <w:rFonts w:ascii="Times New Roman" w:hAnsi="Times New Roman"/>
          <w:sz w:val="24"/>
          <w:szCs w:val="24"/>
        </w:rPr>
      </w:pPr>
    </w:p>
    <w:p w:rsidR="00BF239F" w:rsidRPr="0064495B" w:rsidRDefault="00BF239F" w:rsidP="00BF239F">
      <w:pPr>
        <w:autoSpaceDE w:val="0"/>
        <w:autoSpaceDN w:val="0"/>
        <w:adjustRightInd w:val="0"/>
        <w:spacing w:after="0" w:line="240" w:lineRule="auto"/>
        <w:rPr>
          <w:rFonts w:ascii="Times New Roman" w:hAnsi="Times New Roman"/>
          <w:b/>
          <w:bCs/>
          <w:sz w:val="24"/>
          <w:szCs w:val="24"/>
        </w:rPr>
      </w:pPr>
      <w:r>
        <w:rPr>
          <w:rFonts w:ascii="Times New Roman" w:eastAsia="Times New Roman" w:hAnsi="Times New Roman"/>
          <w:b/>
          <w:sz w:val="24"/>
          <w:szCs w:val="24"/>
        </w:rPr>
        <w:t xml:space="preserve">Section 9626. </w:t>
      </w:r>
      <w:r>
        <w:rPr>
          <w:rFonts w:ascii="Times New Roman" w:hAnsi="Times New Roman"/>
          <w:bCs/>
          <w:sz w:val="24"/>
          <w:szCs w:val="24"/>
        </w:rPr>
        <w:t>Indian Tribes</w:t>
      </w:r>
      <w:r w:rsidRPr="0055138F">
        <w:rPr>
          <w:rFonts w:ascii="Times New Roman" w:hAnsi="Times New Roman"/>
          <w:bCs/>
          <w:sz w:val="24"/>
          <w:szCs w:val="24"/>
        </w:rPr>
        <w:t>.</w:t>
      </w:r>
    </w:p>
    <w:p w:rsidR="00BF239F" w:rsidRDefault="00BF239F" w:rsidP="00BF239F">
      <w:pPr>
        <w:autoSpaceDE w:val="0"/>
        <w:autoSpaceDN w:val="0"/>
        <w:adjustRightInd w:val="0"/>
        <w:spacing w:after="0" w:line="240" w:lineRule="auto"/>
        <w:ind w:left="720"/>
        <w:rPr>
          <w:rFonts w:ascii="Times New Roman" w:hAnsi="Times New Roman"/>
          <w:sz w:val="24"/>
          <w:szCs w:val="24"/>
        </w:rPr>
      </w:pPr>
      <w:r w:rsidRPr="0064495B">
        <w:rPr>
          <w:rFonts w:ascii="Times New Roman" w:hAnsi="Times New Roman"/>
          <w:sz w:val="24"/>
          <w:szCs w:val="24"/>
        </w:rPr>
        <w:t>(</w:t>
      </w:r>
      <w:r>
        <w:rPr>
          <w:rFonts w:ascii="Times New Roman" w:hAnsi="Times New Roman"/>
          <w:sz w:val="24"/>
          <w:szCs w:val="24"/>
        </w:rPr>
        <w:t>A</w:t>
      </w:r>
      <w:r w:rsidRPr="0064495B">
        <w:rPr>
          <w:rFonts w:ascii="Times New Roman" w:hAnsi="Times New Roman"/>
          <w:sz w:val="24"/>
          <w:szCs w:val="24"/>
        </w:rPr>
        <w:t xml:space="preserve">) </w:t>
      </w:r>
      <w:r>
        <w:rPr>
          <w:rFonts w:ascii="Times New Roman" w:hAnsi="Times New Roman"/>
          <w:sz w:val="24"/>
          <w:szCs w:val="24"/>
        </w:rPr>
        <w:t>Treatment generally</w:t>
      </w:r>
      <w:r w:rsidRPr="0064495B">
        <w:rPr>
          <w:rFonts w:ascii="Times New Roman" w:hAnsi="Times New Roman"/>
          <w:sz w:val="24"/>
          <w:szCs w:val="24"/>
        </w:rPr>
        <w:t>.—The governing body of an Indian</w:t>
      </w:r>
      <w:r>
        <w:rPr>
          <w:rFonts w:ascii="Times New Roman" w:hAnsi="Times New Roman"/>
          <w:sz w:val="24"/>
          <w:szCs w:val="24"/>
        </w:rPr>
        <w:t xml:space="preserve"> </w:t>
      </w:r>
      <w:r w:rsidRPr="0064495B">
        <w:rPr>
          <w:rFonts w:ascii="Times New Roman" w:hAnsi="Times New Roman"/>
          <w:sz w:val="24"/>
          <w:szCs w:val="24"/>
        </w:rPr>
        <w:t>tribe shall be afforded substantially the same treatment as a State</w:t>
      </w:r>
      <w:r>
        <w:rPr>
          <w:rFonts w:ascii="Times New Roman" w:hAnsi="Times New Roman"/>
          <w:sz w:val="24"/>
          <w:szCs w:val="24"/>
        </w:rPr>
        <w:t xml:space="preserve"> </w:t>
      </w:r>
      <w:r w:rsidRPr="0064495B">
        <w:rPr>
          <w:rFonts w:ascii="Times New Roman" w:hAnsi="Times New Roman"/>
          <w:sz w:val="24"/>
          <w:szCs w:val="24"/>
        </w:rPr>
        <w:t>with respect to the provisions of section 103(a) (regarding notification</w:t>
      </w:r>
      <w:r>
        <w:rPr>
          <w:rFonts w:ascii="Times New Roman" w:hAnsi="Times New Roman"/>
          <w:sz w:val="24"/>
          <w:szCs w:val="24"/>
        </w:rPr>
        <w:t xml:space="preserve"> </w:t>
      </w:r>
      <w:r w:rsidRPr="0064495B">
        <w:rPr>
          <w:rFonts w:ascii="Times New Roman" w:hAnsi="Times New Roman"/>
          <w:sz w:val="24"/>
          <w:szCs w:val="24"/>
        </w:rPr>
        <w:t>of releases), section 104(c)(2) (regarding consultation on remedial</w:t>
      </w:r>
      <w:r>
        <w:rPr>
          <w:rFonts w:ascii="Times New Roman" w:hAnsi="Times New Roman"/>
          <w:sz w:val="24"/>
          <w:szCs w:val="24"/>
        </w:rPr>
        <w:t xml:space="preserve"> </w:t>
      </w:r>
      <w:r w:rsidRPr="0064495B">
        <w:rPr>
          <w:rFonts w:ascii="Times New Roman" w:hAnsi="Times New Roman"/>
          <w:sz w:val="24"/>
          <w:szCs w:val="24"/>
        </w:rPr>
        <w:t>actions), section 104(e) (regarding access to information), section</w:t>
      </w:r>
      <w:r>
        <w:rPr>
          <w:rFonts w:ascii="Times New Roman" w:hAnsi="Times New Roman"/>
          <w:sz w:val="24"/>
          <w:szCs w:val="24"/>
        </w:rPr>
        <w:t xml:space="preserve"> </w:t>
      </w:r>
      <w:r w:rsidRPr="0064495B">
        <w:rPr>
          <w:rFonts w:ascii="Times New Roman" w:hAnsi="Times New Roman"/>
          <w:sz w:val="24"/>
          <w:szCs w:val="24"/>
        </w:rPr>
        <w:t>104(i) (regarding health authorities) and section 105 (regarding</w:t>
      </w:r>
      <w:r>
        <w:rPr>
          <w:rFonts w:ascii="Times New Roman" w:hAnsi="Times New Roman"/>
          <w:sz w:val="24"/>
          <w:szCs w:val="24"/>
        </w:rPr>
        <w:t xml:space="preserve"> </w:t>
      </w:r>
      <w:r w:rsidRPr="0064495B">
        <w:rPr>
          <w:rFonts w:ascii="Times New Roman" w:hAnsi="Times New Roman"/>
          <w:sz w:val="24"/>
          <w:szCs w:val="24"/>
        </w:rPr>
        <w:t>roles and responsibilities under the national contingency plan</w:t>
      </w:r>
      <w:r>
        <w:rPr>
          <w:rFonts w:ascii="Times New Roman" w:hAnsi="Times New Roman"/>
          <w:sz w:val="24"/>
          <w:szCs w:val="24"/>
        </w:rPr>
        <w:t xml:space="preserve"> </w:t>
      </w:r>
      <w:r w:rsidRPr="0064495B">
        <w:rPr>
          <w:rFonts w:ascii="Times New Roman" w:hAnsi="Times New Roman"/>
          <w:sz w:val="24"/>
          <w:szCs w:val="24"/>
        </w:rPr>
        <w:t>and submittal of priorities for remedial action, but not including</w:t>
      </w:r>
      <w:r>
        <w:rPr>
          <w:rFonts w:ascii="Times New Roman" w:hAnsi="Times New Roman"/>
          <w:sz w:val="24"/>
          <w:szCs w:val="24"/>
        </w:rPr>
        <w:t xml:space="preserve"> </w:t>
      </w:r>
      <w:r w:rsidRPr="0064495B">
        <w:rPr>
          <w:rFonts w:ascii="Times New Roman" w:hAnsi="Times New Roman"/>
          <w:sz w:val="24"/>
          <w:szCs w:val="24"/>
        </w:rPr>
        <w:t>the provision regarding the inclusion of at least one facility per</w:t>
      </w:r>
      <w:r>
        <w:rPr>
          <w:rFonts w:ascii="Times New Roman" w:hAnsi="Times New Roman"/>
          <w:sz w:val="24"/>
          <w:szCs w:val="24"/>
        </w:rPr>
        <w:t xml:space="preserve"> </w:t>
      </w:r>
      <w:r w:rsidRPr="0064495B">
        <w:rPr>
          <w:rFonts w:ascii="Times New Roman" w:hAnsi="Times New Roman"/>
          <w:sz w:val="24"/>
          <w:szCs w:val="24"/>
        </w:rPr>
        <w:t>State on the National Priorities List).</w:t>
      </w:r>
      <w:bookmarkStart w:id="4" w:name="a"/>
      <w:bookmarkEnd w:id="4"/>
    </w:p>
    <w:p w:rsidR="00574E99" w:rsidRDefault="00574E99" w:rsidP="00BF239F"/>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856E9"/>
    <w:rsid w:val="001106B3"/>
    <w:rsid w:val="00574E99"/>
    <w:rsid w:val="00B94641"/>
    <w:rsid w:val="00BF239F"/>
    <w:rsid w:val="00E3077E"/>
    <w:rsid w:val="00FC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CDC User</cp:lastModifiedBy>
  <cp:revision>2</cp:revision>
  <dcterms:created xsi:type="dcterms:W3CDTF">2014-10-23T15:15:00Z</dcterms:created>
  <dcterms:modified xsi:type="dcterms:W3CDTF">2014-10-23T15:15:00Z</dcterms:modified>
</cp:coreProperties>
</file>