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72" w:rsidRDefault="003252B3" w:rsidP="00DE1BCF">
      <w:pPr>
        <w:pStyle w:val="Heading2"/>
        <w:spacing w:before="0"/>
      </w:pPr>
      <w:bookmarkStart w:id="0" w:name="_Toc306802964"/>
      <w:bookmarkStart w:id="1" w:name="_GoBack"/>
      <w:bookmarkEnd w:id="1"/>
      <w:proofErr w:type="gramStart"/>
      <w:r>
        <w:t xml:space="preserve">Attachment </w:t>
      </w:r>
      <w:r w:rsidR="003A7550">
        <w:t>9</w:t>
      </w:r>
      <w:r>
        <w:t>.</w:t>
      </w:r>
      <w:proofErr w:type="gramEnd"/>
      <w:r>
        <w:t xml:space="preserve"> </w:t>
      </w:r>
      <w:r w:rsidR="00BF3FC3">
        <w:t>Program Laboratory Policies and Procedures</w:t>
      </w:r>
    </w:p>
    <w:p w:rsidR="00E929F3" w:rsidRDefault="00E929F3" w:rsidP="00E929F3">
      <w:pPr>
        <w:spacing w:after="0" w:line="240" w:lineRule="auto"/>
        <w:rPr>
          <w:rFonts w:ascii="Times New Roman" w:hAnsi="Times New Roman"/>
          <w:sz w:val="24"/>
          <w:szCs w:val="24"/>
        </w:rPr>
      </w:pPr>
    </w:p>
    <w:p w:rsidR="00C222ED" w:rsidRPr="00C222ED" w:rsidRDefault="00C222ED" w:rsidP="00C222ED">
      <w:pPr>
        <w:rPr>
          <w:rFonts w:ascii="Times New Roman" w:hAnsi="Times New Roman"/>
          <w:sz w:val="24"/>
          <w:szCs w:val="24"/>
        </w:rPr>
      </w:pPr>
      <w:r w:rsidRPr="00C222ED">
        <w:rPr>
          <w:rFonts w:ascii="Times New Roman" w:hAnsi="Times New Roman"/>
          <w:sz w:val="24"/>
          <w:szCs w:val="24"/>
        </w:rPr>
        <w:t>All analyses will be performed by the New York State Department of Health Wadsworth Center laboratories (</w:t>
      </w:r>
      <w:hyperlink r:id="rId7" w:history="1">
        <w:r w:rsidRPr="00C222ED">
          <w:rPr>
            <w:rStyle w:val="Hyperlink"/>
            <w:rFonts w:ascii="Times New Roman" w:hAnsi="Times New Roman"/>
            <w:sz w:val="24"/>
            <w:szCs w:val="24"/>
          </w:rPr>
          <w:t>http://www.wadsworth.org/</w:t>
        </w:r>
      </w:hyperlink>
      <w:r w:rsidRPr="00C222ED">
        <w:rPr>
          <w:rFonts w:ascii="Times New Roman" w:hAnsi="Times New Roman"/>
          <w:sz w:val="24"/>
          <w:szCs w:val="24"/>
        </w:rPr>
        <w:t xml:space="preserve">). </w:t>
      </w:r>
    </w:p>
    <w:tbl>
      <w:tblPr>
        <w:tblStyle w:val="TableGrid"/>
        <w:tblW w:w="3904" w:type="dxa"/>
        <w:tblLayout w:type="fixed"/>
        <w:tblLook w:val="04A0" w:firstRow="1" w:lastRow="0" w:firstColumn="1" w:lastColumn="0" w:noHBand="0" w:noVBand="1"/>
      </w:tblPr>
      <w:tblGrid>
        <w:gridCol w:w="2083"/>
        <w:gridCol w:w="720"/>
        <w:gridCol w:w="1101"/>
      </w:tblGrid>
      <w:tr w:rsidR="0021241A" w:rsidTr="0021241A">
        <w:trPr>
          <w:gridAfter w:val="2"/>
          <w:wAfter w:w="1821" w:type="dxa"/>
          <w:trHeight w:val="269"/>
        </w:trPr>
        <w:tc>
          <w:tcPr>
            <w:tcW w:w="2083" w:type="dxa"/>
            <w:vMerge w:val="restart"/>
            <w:shd w:val="clear" w:color="auto" w:fill="DBE5F1" w:themeFill="accent1" w:themeFillTint="33"/>
            <w:vAlign w:val="center"/>
          </w:tcPr>
          <w:p w:rsidR="0021241A" w:rsidRPr="006912C9" w:rsidRDefault="0021241A" w:rsidP="008A4F33">
            <w:pPr>
              <w:spacing w:line="240" w:lineRule="auto"/>
              <w:jc w:val="center"/>
              <w:rPr>
                <w:b/>
              </w:rPr>
            </w:pPr>
            <w:r w:rsidRPr="000D2A98">
              <w:rPr>
                <w:b/>
              </w:rPr>
              <w:t>ANALYTES</w:t>
            </w:r>
          </w:p>
        </w:tc>
      </w:tr>
      <w:tr w:rsidR="0021241A" w:rsidTr="0021241A">
        <w:trPr>
          <w:gridAfter w:val="2"/>
          <w:wAfter w:w="1821" w:type="dxa"/>
          <w:trHeight w:val="269"/>
        </w:trPr>
        <w:tc>
          <w:tcPr>
            <w:tcW w:w="2083" w:type="dxa"/>
            <w:vMerge/>
            <w:shd w:val="clear" w:color="auto" w:fill="DBE5F1" w:themeFill="accent1" w:themeFillTint="33"/>
          </w:tcPr>
          <w:p w:rsidR="0021241A" w:rsidRPr="000D2A98" w:rsidRDefault="0021241A" w:rsidP="008A4F33">
            <w:pPr>
              <w:spacing w:line="240" w:lineRule="auto"/>
              <w:jc w:val="center"/>
              <w:rPr>
                <w:b/>
              </w:rPr>
            </w:pPr>
          </w:p>
        </w:tc>
      </w:tr>
      <w:tr w:rsidR="0021241A" w:rsidTr="0021241A">
        <w:tc>
          <w:tcPr>
            <w:tcW w:w="2083" w:type="dxa"/>
            <w:shd w:val="clear" w:color="auto" w:fill="DBE5F1" w:themeFill="accent1" w:themeFillTint="33"/>
          </w:tcPr>
          <w:p w:rsidR="0021241A" w:rsidRPr="000D2A98" w:rsidRDefault="0021241A" w:rsidP="00F00550">
            <w:pPr>
              <w:spacing w:line="240" w:lineRule="auto"/>
              <w:jc w:val="center"/>
            </w:pPr>
            <w:r w:rsidRPr="000D2A98">
              <w:t>Required Core</w:t>
            </w:r>
          </w:p>
        </w:tc>
        <w:tc>
          <w:tcPr>
            <w:tcW w:w="720" w:type="dxa"/>
            <w:tcBorders>
              <w:bottom w:val="single" w:sz="4" w:space="0" w:color="auto"/>
            </w:tcBorders>
            <w:shd w:val="clear" w:color="auto" w:fill="DBE5F1" w:themeFill="accent1" w:themeFillTint="33"/>
            <w:vAlign w:val="center"/>
          </w:tcPr>
          <w:p w:rsidR="0021241A" w:rsidRPr="000D2A98" w:rsidRDefault="0021241A" w:rsidP="008A4F33">
            <w:pPr>
              <w:spacing w:line="240" w:lineRule="auto"/>
              <w:jc w:val="center"/>
            </w:pPr>
            <w:r w:rsidRPr="000D2A98">
              <w:t>SOP</w:t>
            </w:r>
            <w:r>
              <w:t>#</w:t>
            </w:r>
          </w:p>
        </w:tc>
        <w:tc>
          <w:tcPr>
            <w:tcW w:w="1101" w:type="dxa"/>
            <w:tcBorders>
              <w:bottom w:val="single" w:sz="4" w:space="0" w:color="auto"/>
            </w:tcBorders>
            <w:shd w:val="clear" w:color="auto" w:fill="DBE5F1" w:themeFill="accent1" w:themeFillTint="33"/>
            <w:vAlign w:val="center"/>
          </w:tcPr>
          <w:p w:rsidR="0021241A" w:rsidRPr="000D2A98" w:rsidRDefault="0021241A" w:rsidP="008A4F33">
            <w:pPr>
              <w:spacing w:line="240" w:lineRule="auto"/>
              <w:jc w:val="center"/>
            </w:pPr>
            <w:r w:rsidRPr="000D2A98">
              <w:t>MATRIX</w:t>
            </w:r>
          </w:p>
        </w:tc>
      </w:tr>
      <w:tr w:rsidR="0021241A" w:rsidTr="0021241A">
        <w:tc>
          <w:tcPr>
            <w:tcW w:w="2083" w:type="dxa"/>
            <w:vAlign w:val="center"/>
          </w:tcPr>
          <w:p w:rsidR="0021241A" w:rsidRPr="008D4F4E" w:rsidRDefault="0021241A" w:rsidP="008A4F33">
            <w:pPr>
              <w:spacing w:line="240" w:lineRule="auto"/>
              <w:rPr>
                <w:vertAlign w:val="superscript"/>
              </w:rPr>
            </w:pPr>
            <w:r>
              <w:t>PCBs</w:t>
            </w:r>
            <w:r>
              <w:rPr>
                <w:vertAlign w:val="superscript"/>
              </w:rPr>
              <w:t>1</w:t>
            </w:r>
          </w:p>
        </w:tc>
        <w:tc>
          <w:tcPr>
            <w:tcW w:w="720" w:type="dxa"/>
            <w:tcBorders>
              <w:left w:val="nil"/>
              <w:right w:val="nil"/>
            </w:tcBorders>
            <w:vAlign w:val="center"/>
          </w:tcPr>
          <w:p w:rsidR="0021241A" w:rsidRDefault="0021241A" w:rsidP="008A4F33">
            <w:pPr>
              <w:spacing w:line="240" w:lineRule="auto"/>
              <w:jc w:val="center"/>
            </w:pPr>
            <w:r>
              <w:t>1</w:t>
            </w:r>
          </w:p>
        </w:tc>
        <w:tc>
          <w:tcPr>
            <w:tcW w:w="1101" w:type="dxa"/>
            <w:tcBorders>
              <w:left w:val="nil"/>
            </w:tcBorders>
            <w:vAlign w:val="center"/>
          </w:tcPr>
          <w:p w:rsidR="0021241A" w:rsidRDefault="0021241A" w:rsidP="008A4F33">
            <w:pPr>
              <w:spacing w:line="240" w:lineRule="auto"/>
              <w:jc w:val="center"/>
            </w:pPr>
            <w:r>
              <w:t>serum</w:t>
            </w:r>
          </w:p>
        </w:tc>
      </w:tr>
      <w:tr w:rsidR="0021241A" w:rsidTr="0021241A">
        <w:tc>
          <w:tcPr>
            <w:tcW w:w="2083" w:type="dxa"/>
            <w:vAlign w:val="center"/>
          </w:tcPr>
          <w:p w:rsidR="0021241A" w:rsidRPr="00FF1FE7" w:rsidRDefault="0021241A" w:rsidP="008A4F33">
            <w:pPr>
              <w:spacing w:line="240" w:lineRule="auto"/>
              <w:rPr>
                <w:vertAlign w:val="superscript"/>
              </w:rPr>
            </w:pPr>
            <w:r>
              <w:t>Mercury</w:t>
            </w:r>
            <w:r>
              <w:rPr>
                <w:vertAlign w:val="superscript"/>
              </w:rPr>
              <w:t>2</w:t>
            </w:r>
          </w:p>
        </w:tc>
        <w:tc>
          <w:tcPr>
            <w:tcW w:w="720" w:type="dxa"/>
            <w:tcBorders>
              <w:left w:val="nil"/>
              <w:right w:val="nil"/>
            </w:tcBorders>
            <w:vAlign w:val="center"/>
          </w:tcPr>
          <w:p w:rsidR="0021241A" w:rsidRDefault="0021241A" w:rsidP="008A4F33">
            <w:pPr>
              <w:spacing w:line="240" w:lineRule="auto"/>
              <w:jc w:val="center"/>
            </w:pPr>
            <w:r>
              <w:t>2</w:t>
            </w:r>
          </w:p>
        </w:tc>
        <w:tc>
          <w:tcPr>
            <w:tcW w:w="1101" w:type="dxa"/>
            <w:tcBorders>
              <w:left w:val="nil"/>
            </w:tcBorders>
            <w:vAlign w:val="center"/>
          </w:tcPr>
          <w:p w:rsidR="0021241A" w:rsidRDefault="0021241A" w:rsidP="008A4F33">
            <w:pPr>
              <w:spacing w:line="240" w:lineRule="auto"/>
              <w:jc w:val="center"/>
            </w:pPr>
            <w:r>
              <w:t>blood</w:t>
            </w:r>
          </w:p>
        </w:tc>
      </w:tr>
      <w:tr w:rsidR="0021241A" w:rsidTr="0021241A">
        <w:tc>
          <w:tcPr>
            <w:tcW w:w="2083" w:type="dxa"/>
            <w:vAlign w:val="center"/>
          </w:tcPr>
          <w:p w:rsidR="0021241A" w:rsidRDefault="0021241A" w:rsidP="008A4F33">
            <w:pPr>
              <w:spacing w:line="240" w:lineRule="auto"/>
            </w:pPr>
            <w:r>
              <w:t>Lead</w:t>
            </w:r>
          </w:p>
        </w:tc>
        <w:tc>
          <w:tcPr>
            <w:tcW w:w="720" w:type="dxa"/>
            <w:tcBorders>
              <w:left w:val="nil"/>
              <w:right w:val="nil"/>
            </w:tcBorders>
            <w:vAlign w:val="center"/>
          </w:tcPr>
          <w:p w:rsidR="0021241A" w:rsidRDefault="0021241A" w:rsidP="008A4F33">
            <w:pPr>
              <w:spacing w:line="240" w:lineRule="auto"/>
              <w:jc w:val="center"/>
            </w:pPr>
            <w:r>
              <w:t>2</w:t>
            </w:r>
          </w:p>
        </w:tc>
        <w:tc>
          <w:tcPr>
            <w:tcW w:w="1101" w:type="dxa"/>
            <w:tcBorders>
              <w:left w:val="nil"/>
            </w:tcBorders>
            <w:vAlign w:val="center"/>
          </w:tcPr>
          <w:p w:rsidR="0021241A" w:rsidRDefault="0021241A" w:rsidP="008A4F33">
            <w:pPr>
              <w:spacing w:line="240" w:lineRule="auto"/>
              <w:jc w:val="center"/>
            </w:pPr>
            <w:r>
              <w:t>blood</w:t>
            </w:r>
          </w:p>
        </w:tc>
      </w:tr>
      <w:tr w:rsidR="0021241A" w:rsidTr="0021241A">
        <w:tc>
          <w:tcPr>
            <w:tcW w:w="2083" w:type="dxa"/>
            <w:vAlign w:val="center"/>
          </w:tcPr>
          <w:p w:rsidR="0021241A" w:rsidRDefault="0021241A" w:rsidP="008A4F33">
            <w:pPr>
              <w:spacing w:line="240" w:lineRule="auto"/>
            </w:pPr>
            <w:r>
              <w:t>Mirex</w:t>
            </w:r>
          </w:p>
        </w:tc>
        <w:tc>
          <w:tcPr>
            <w:tcW w:w="720" w:type="dxa"/>
            <w:tcBorders>
              <w:left w:val="nil"/>
              <w:right w:val="nil"/>
            </w:tcBorders>
            <w:vAlign w:val="center"/>
          </w:tcPr>
          <w:p w:rsidR="0021241A" w:rsidRPr="00A77C0F" w:rsidRDefault="0021241A" w:rsidP="008A4F33">
            <w:pPr>
              <w:jc w:val="center"/>
            </w:pPr>
            <w:r>
              <w:t>3</w:t>
            </w:r>
          </w:p>
        </w:tc>
        <w:tc>
          <w:tcPr>
            <w:tcW w:w="1101" w:type="dxa"/>
            <w:tcBorders>
              <w:left w:val="nil"/>
            </w:tcBorders>
            <w:vAlign w:val="center"/>
          </w:tcPr>
          <w:p w:rsidR="0021241A" w:rsidRDefault="0021241A" w:rsidP="008A4F33">
            <w:pPr>
              <w:jc w:val="center"/>
            </w:pPr>
            <w:r w:rsidRPr="00A77C0F">
              <w:t>serum</w:t>
            </w:r>
          </w:p>
        </w:tc>
      </w:tr>
      <w:tr w:rsidR="0021241A" w:rsidTr="0021241A">
        <w:tc>
          <w:tcPr>
            <w:tcW w:w="2083" w:type="dxa"/>
            <w:vAlign w:val="center"/>
          </w:tcPr>
          <w:p w:rsidR="0021241A" w:rsidRDefault="0021241A" w:rsidP="008A4F33">
            <w:pPr>
              <w:spacing w:line="240" w:lineRule="auto"/>
            </w:pPr>
            <w:r>
              <w:t>Hexachlorobenzene</w:t>
            </w:r>
          </w:p>
        </w:tc>
        <w:tc>
          <w:tcPr>
            <w:tcW w:w="720" w:type="dxa"/>
            <w:tcBorders>
              <w:left w:val="nil"/>
              <w:right w:val="nil"/>
            </w:tcBorders>
            <w:vAlign w:val="center"/>
          </w:tcPr>
          <w:p w:rsidR="0021241A" w:rsidRPr="00A77C0F" w:rsidRDefault="0021241A" w:rsidP="008A4F33">
            <w:pPr>
              <w:jc w:val="center"/>
            </w:pPr>
            <w:r>
              <w:t>1</w:t>
            </w:r>
          </w:p>
        </w:tc>
        <w:tc>
          <w:tcPr>
            <w:tcW w:w="1101" w:type="dxa"/>
            <w:tcBorders>
              <w:left w:val="nil"/>
            </w:tcBorders>
            <w:vAlign w:val="center"/>
          </w:tcPr>
          <w:p w:rsidR="0021241A" w:rsidRDefault="0021241A" w:rsidP="008A4F33">
            <w:pPr>
              <w:jc w:val="center"/>
            </w:pPr>
            <w:r w:rsidRPr="00A77C0F">
              <w:t>serum</w:t>
            </w:r>
          </w:p>
        </w:tc>
      </w:tr>
      <w:tr w:rsidR="0021241A" w:rsidTr="0021241A">
        <w:tc>
          <w:tcPr>
            <w:tcW w:w="2083" w:type="dxa"/>
            <w:tcBorders>
              <w:bottom w:val="single" w:sz="4" w:space="0" w:color="auto"/>
            </w:tcBorders>
            <w:vAlign w:val="center"/>
          </w:tcPr>
          <w:p w:rsidR="0021241A" w:rsidRDefault="0021241A" w:rsidP="008A4F33">
            <w:pPr>
              <w:spacing w:line="240" w:lineRule="auto"/>
            </w:pPr>
            <w:r>
              <w:t>DDT and DDE</w:t>
            </w:r>
          </w:p>
        </w:tc>
        <w:tc>
          <w:tcPr>
            <w:tcW w:w="720" w:type="dxa"/>
            <w:tcBorders>
              <w:left w:val="nil"/>
              <w:bottom w:val="single" w:sz="4" w:space="0" w:color="auto"/>
              <w:right w:val="nil"/>
            </w:tcBorders>
            <w:vAlign w:val="center"/>
          </w:tcPr>
          <w:p w:rsidR="0021241A" w:rsidRPr="00A77C0F" w:rsidRDefault="0021241A" w:rsidP="008A4F33">
            <w:pPr>
              <w:jc w:val="center"/>
            </w:pPr>
            <w:r>
              <w:t>1</w:t>
            </w:r>
          </w:p>
        </w:tc>
        <w:tc>
          <w:tcPr>
            <w:tcW w:w="1101" w:type="dxa"/>
            <w:tcBorders>
              <w:left w:val="nil"/>
              <w:bottom w:val="single" w:sz="4" w:space="0" w:color="auto"/>
            </w:tcBorders>
            <w:vAlign w:val="center"/>
          </w:tcPr>
          <w:p w:rsidR="0021241A" w:rsidRDefault="0021241A" w:rsidP="008A4F33">
            <w:pPr>
              <w:jc w:val="center"/>
            </w:pPr>
            <w:r w:rsidRPr="00A77C0F">
              <w:t>serum</w:t>
            </w:r>
          </w:p>
        </w:tc>
      </w:tr>
      <w:tr w:rsidR="0021241A" w:rsidTr="0021241A">
        <w:tc>
          <w:tcPr>
            <w:tcW w:w="2083" w:type="dxa"/>
            <w:shd w:val="clear" w:color="auto" w:fill="DBE5F1" w:themeFill="accent1" w:themeFillTint="33"/>
          </w:tcPr>
          <w:p w:rsidR="0021241A" w:rsidRPr="000D2A98" w:rsidRDefault="0021241A" w:rsidP="008A4F33">
            <w:pPr>
              <w:spacing w:line="240" w:lineRule="auto"/>
              <w:jc w:val="center"/>
            </w:pPr>
            <w:r>
              <w:t>Optional State</w:t>
            </w:r>
          </w:p>
        </w:tc>
        <w:tc>
          <w:tcPr>
            <w:tcW w:w="720" w:type="dxa"/>
            <w:tcBorders>
              <w:left w:val="single" w:sz="4" w:space="0" w:color="auto"/>
              <w:bottom w:val="single" w:sz="4" w:space="0" w:color="auto"/>
              <w:right w:val="single" w:sz="4" w:space="0" w:color="auto"/>
            </w:tcBorders>
            <w:shd w:val="clear" w:color="auto" w:fill="DBE5F1" w:themeFill="accent1" w:themeFillTint="33"/>
            <w:vAlign w:val="center"/>
          </w:tcPr>
          <w:p w:rsidR="0021241A" w:rsidRPr="000D2A98" w:rsidRDefault="0021241A" w:rsidP="008A4F33">
            <w:pPr>
              <w:spacing w:line="240" w:lineRule="auto"/>
              <w:jc w:val="center"/>
            </w:pPr>
            <w:r w:rsidRPr="000D2A98">
              <w:t>SOP</w:t>
            </w:r>
            <w:r>
              <w:t>#</w:t>
            </w:r>
          </w:p>
        </w:tc>
        <w:tc>
          <w:tcPr>
            <w:tcW w:w="1101" w:type="dxa"/>
            <w:tcBorders>
              <w:left w:val="single" w:sz="4" w:space="0" w:color="auto"/>
              <w:bottom w:val="single" w:sz="4" w:space="0" w:color="auto"/>
            </w:tcBorders>
            <w:shd w:val="clear" w:color="auto" w:fill="DBE5F1" w:themeFill="accent1" w:themeFillTint="33"/>
            <w:vAlign w:val="center"/>
          </w:tcPr>
          <w:p w:rsidR="0021241A" w:rsidRPr="000D2A98" w:rsidRDefault="0021241A" w:rsidP="008A4F33">
            <w:pPr>
              <w:spacing w:line="240" w:lineRule="auto"/>
              <w:jc w:val="center"/>
            </w:pPr>
            <w:r w:rsidRPr="000D2A98">
              <w:t>MATRIX</w:t>
            </w:r>
          </w:p>
        </w:tc>
      </w:tr>
      <w:tr w:rsidR="0021241A" w:rsidRPr="000D2A98" w:rsidTr="0021241A">
        <w:tc>
          <w:tcPr>
            <w:tcW w:w="2083" w:type="dxa"/>
            <w:vAlign w:val="center"/>
          </w:tcPr>
          <w:p w:rsidR="0021241A" w:rsidRDefault="0021241A" w:rsidP="008A4F33">
            <w:pPr>
              <w:spacing w:line="240" w:lineRule="auto"/>
            </w:pPr>
            <w:r>
              <w:t>PBDEs</w:t>
            </w:r>
          </w:p>
        </w:tc>
        <w:tc>
          <w:tcPr>
            <w:tcW w:w="720" w:type="dxa"/>
            <w:tcBorders>
              <w:left w:val="nil"/>
              <w:bottom w:val="single" w:sz="4" w:space="0" w:color="auto"/>
              <w:right w:val="nil"/>
            </w:tcBorders>
            <w:vAlign w:val="center"/>
          </w:tcPr>
          <w:p w:rsidR="0021241A" w:rsidRPr="000D2A98" w:rsidRDefault="0021241A" w:rsidP="008A4F33">
            <w:pPr>
              <w:spacing w:line="240" w:lineRule="auto"/>
              <w:jc w:val="center"/>
            </w:pPr>
            <w:r>
              <w:t>1</w:t>
            </w:r>
          </w:p>
        </w:tc>
        <w:tc>
          <w:tcPr>
            <w:tcW w:w="1101" w:type="dxa"/>
            <w:tcBorders>
              <w:left w:val="nil"/>
              <w:bottom w:val="single" w:sz="4" w:space="0" w:color="auto"/>
            </w:tcBorders>
            <w:vAlign w:val="center"/>
          </w:tcPr>
          <w:p w:rsidR="0021241A" w:rsidRPr="000D2A98" w:rsidRDefault="0021241A" w:rsidP="008A4F33">
            <w:pPr>
              <w:spacing w:line="240" w:lineRule="auto"/>
              <w:jc w:val="center"/>
            </w:pPr>
            <w:r>
              <w:t>serum</w:t>
            </w:r>
          </w:p>
        </w:tc>
      </w:tr>
      <w:tr w:rsidR="0021241A" w:rsidTr="0021241A">
        <w:tc>
          <w:tcPr>
            <w:tcW w:w="2083" w:type="dxa"/>
            <w:vAlign w:val="center"/>
          </w:tcPr>
          <w:p w:rsidR="0021241A" w:rsidRDefault="0021241A" w:rsidP="008A4F33">
            <w:pPr>
              <w:spacing w:line="240" w:lineRule="auto"/>
            </w:pPr>
            <w:r>
              <w:t>Chlordane</w:t>
            </w:r>
          </w:p>
        </w:tc>
        <w:tc>
          <w:tcPr>
            <w:tcW w:w="720" w:type="dxa"/>
            <w:tcBorders>
              <w:left w:val="nil"/>
              <w:right w:val="nil"/>
            </w:tcBorders>
            <w:vAlign w:val="center"/>
          </w:tcPr>
          <w:p w:rsidR="0021241A" w:rsidRPr="000D2A98" w:rsidRDefault="0021241A" w:rsidP="008A4F33">
            <w:pPr>
              <w:spacing w:line="240" w:lineRule="auto"/>
              <w:jc w:val="center"/>
            </w:pPr>
            <w:r>
              <w:t>1</w:t>
            </w:r>
          </w:p>
        </w:tc>
        <w:tc>
          <w:tcPr>
            <w:tcW w:w="1101" w:type="dxa"/>
            <w:tcBorders>
              <w:left w:val="nil"/>
            </w:tcBorders>
            <w:vAlign w:val="center"/>
          </w:tcPr>
          <w:p w:rsidR="0021241A" w:rsidRPr="000D2A98" w:rsidRDefault="0021241A" w:rsidP="008A4F33">
            <w:pPr>
              <w:spacing w:line="240" w:lineRule="auto"/>
              <w:jc w:val="center"/>
            </w:pPr>
            <w:r>
              <w:t>serum</w:t>
            </w:r>
          </w:p>
        </w:tc>
      </w:tr>
      <w:tr w:rsidR="0021241A" w:rsidTr="0021241A">
        <w:tc>
          <w:tcPr>
            <w:tcW w:w="2083" w:type="dxa"/>
            <w:vAlign w:val="center"/>
          </w:tcPr>
          <w:p w:rsidR="0021241A" w:rsidRDefault="0021241A" w:rsidP="008A4F33">
            <w:pPr>
              <w:spacing w:line="240" w:lineRule="auto"/>
            </w:pPr>
            <w:r>
              <w:t>Oxychlordane and trans-nonachlor</w:t>
            </w:r>
          </w:p>
        </w:tc>
        <w:tc>
          <w:tcPr>
            <w:tcW w:w="720" w:type="dxa"/>
            <w:tcBorders>
              <w:left w:val="nil"/>
              <w:right w:val="nil"/>
            </w:tcBorders>
            <w:vAlign w:val="center"/>
          </w:tcPr>
          <w:p w:rsidR="0021241A" w:rsidRPr="000D2A98" w:rsidRDefault="0021241A" w:rsidP="008A4F33">
            <w:pPr>
              <w:spacing w:line="240" w:lineRule="auto"/>
              <w:jc w:val="center"/>
            </w:pPr>
            <w:r>
              <w:t>1</w:t>
            </w:r>
          </w:p>
        </w:tc>
        <w:tc>
          <w:tcPr>
            <w:tcW w:w="1101" w:type="dxa"/>
            <w:tcBorders>
              <w:left w:val="nil"/>
            </w:tcBorders>
            <w:vAlign w:val="center"/>
          </w:tcPr>
          <w:p w:rsidR="0021241A" w:rsidRPr="000D2A98" w:rsidRDefault="0021241A" w:rsidP="008A4F33">
            <w:pPr>
              <w:spacing w:line="240" w:lineRule="auto"/>
              <w:jc w:val="center"/>
            </w:pPr>
            <w:r>
              <w:t>serum</w:t>
            </w:r>
          </w:p>
        </w:tc>
      </w:tr>
      <w:tr w:rsidR="0021241A" w:rsidRPr="000D2A98" w:rsidTr="0021241A">
        <w:tc>
          <w:tcPr>
            <w:tcW w:w="2083" w:type="dxa"/>
            <w:vAlign w:val="center"/>
          </w:tcPr>
          <w:p w:rsidR="0021241A" w:rsidRDefault="0021241A" w:rsidP="008A4F33">
            <w:pPr>
              <w:spacing w:line="240" w:lineRule="auto"/>
            </w:pPr>
            <w:r>
              <w:t>Toxaphene</w:t>
            </w:r>
          </w:p>
        </w:tc>
        <w:tc>
          <w:tcPr>
            <w:tcW w:w="720" w:type="dxa"/>
            <w:tcBorders>
              <w:left w:val="nil"/>
              <w:right w:val="nil"/>
            </w:tcBorders>
            <w:vAlign w:val="center"/>
          </w:tcPr>
          <w:p w:rsidR="0021241A" w:rsidRPr="000D2A98" w:rsidRDefault="0021241A" w:rsidP="008A4F33">
            <w:pPr>
              <w:spacing w:line="240" w:lineRule="auto"/>
              <w:jc w:val="center"/>
            </w:pPr>
            <w:r>
              <w:t>1</w:t>
            </w:r>
          </w:p>
        </w:tc>
        <w:tc>
          <w:tcPr>
            <w:tcW w:w="1101" w:type="dxa"/>
            <w:tcBorders>
              <w:left w:val="nil"/>
            </w:tcBorders>
            <w:vAlign w:val="center"/>
          </w:tcPr>
          <w:p w:rsidR="0021241A" w:rsidRPr="000D2A98" w:rsidRDefault="0021241A" w:rsidP="008A4F33">
            <w:pPr>
              <w:spacing w:line="240" w:lineRule="auto"/>
              <w:jc w:val="center"/>
            </w:pPr>
            <w:r>
              <w:t>plasma</w:t>
            </w:r>
          </w:p>
        </w:tc>
      </w:tr>
      <w:tr w:rsidR="0021241A" w:rsidTr="0021241A">
        <w:tc>
          <w:tcPr>
            <w:tcW w:w="2083" w:type="dxa"/>
            <w:vAlign w:val="center"/>
          </w:tcPr>
          <w:p w:rsidR="0021241A" w:rsidRDefault="0021241A" w:rsidP="008A4F33">
            <w:pPr>
              <w:spacing w:line="240" w:lineRule="auto"/>
            </w:pPr>
            <w:r>
              <w:t>Mercury (inorganic)</w:t>
            </w:r>
          </w:p>
        </w:tc>
        <w:tc>
          <w:tcPr>
            <w:tcW w:w="720" w:type="dxa"/>
            <w:tcBorders>
              <w:left w:val="nil"/>
              <w:bottom w:val="single" w:sz="4" w:space="0" w:color="auto"/>
              <w:right w:val="nil"/>
            </w:tcBorders>
            <w:vAlign w:val="center"/>
          </w:tcPr>
          <w:p w:rsidR="0021241A" w:rsidRPr="000D2A98" w:rsidRDefault="0021241A" w:rsidP="008A4F33">
            <w:pPr>
              <w:spacing w:line="240" w:lineRule="auto"/>
              <w:jc w:val="center"/>
            </w:pPr>
            <w:r>
              <w:t>5</w:t>
            </w:r>
          </w:p>
        </w:tc>
        <w:tc>
          <w:tcPr>
            <w:tcW w:w="1101" w:type="dxa"/>
            <w:tcBorders>
              <w:left w:val="nil"/>
              <w:bottom w:val="single" w:sz="4" w:space="0" w:color="auto"/>
            </w:tcBorders>
            <w:vAlign w:val="center"/>
          </w:tcPr>
          <w:p w:rsidR="0021241A" w:rsidRPr="000D2A98" w:rsidRDefault="0021241A" w:rsidP="008A4F33">
            <w:pPr>
              <w:spacing w:line="240" w:lineRule="auto"/>
              <w:jc w:val="center"/>
            </w:pPr>
            <w:r>
              <w:t>urine</w:t>
            </w:r>
          </w:p>
        </w:tc>
      </w:tr>
      <w:tr w:rsidR="0021241A" w:rsidTr="0021241A">
        <w:tc>
          <w:tcPr>
            <w:tcW w:w="2083" w:type="dxa"/>
            <w:vAlign w:val="center"/>
          </w:tcPr>
          <w:p w:rsidR="0021241A" w:rsidRDefault="0021241A" w:rsidP="008A4F33">
            <w:pPr>
              <w:spacing w:line="240" w:lineRule="auto"/>
            </w:pPr>
            <w:r>
              <w:t>Cadmium</w:t>
            </w:r>
          </w:p>
        </w:tc>
        <w:tc>
          <w:tcPr>
            <w:tcW w:w="720" w:type="dxa"/>
            <w:tcBorders>
              <w:left w:val="nil"/>
              <w:bottom w:val="single" w:sz="4" w:space="0" w:color="auto"/>
              <w:right w:val="nil"/>
            </w:tcBorders>
            <w:vAlign w:val="center"/>
          </w:tcPr>
          <w:p w:rsidR="0021241A" w:rsidRPr="000D2A98" w:rsidRDefault="0021241A" w:rsidP="008A4F33">
            <w:pPr>
              <w:spacing w:line="240" w:lineRule="auto"/>
              <w:jc w:val="center"/>
            </w:pPr>
            <w:r>
              <w:t>2</w:t>
            </w:r>
          </w:p>
        </w:tc>
        <w:tc>
          <w:tcPr>
            <w:tcW w:w="1101" w:type="dxa"/>
            <w:tcBorders>
              <w:left w:val="nil"/>
              <w:bottom w:val="single" w:sz="4" w:space="0" w:color="auto"/>
            </w:tcBorders>
            <w:vAlign w:val="center"/>
          </w:tcPr>
          <w:p w:rsidR="0021241A" w:rsidRPr="000D2A98" w:rsidRDefault="0021241A" w:rsidP="008A4F33">
            <w:pPr>
              <w:spacing w:line="240" w:lineRule="auto"/>
              <w:jc w:val="center"/>
            </w:pPr>
            <w:r>
              <w:t>blood</w:t>
            </w:r>
          </w:p>
        </w:tc>
      </w:tr>
      <w:tr w:rsidR="0021241A" w:rsidTr="0021241A">
        <w:tc>
          <w:tcPr>
            <w:tcW w:w="2083" w:type="dxa"/>
            <w:vAlign w:val="center"/>
          </w:tcPr>
          <w:p w:rsidR="0021241A" w:rsidRDefault="0021241A" w:rsidP="008A4F33">
            <w:pPr>
              <w:spacing w:line="240" w:lineRule="auto"/>
            </w:pPr>
            <w:r>
              <w:t>PFCs</w:t>
            </w:r>
          </w:p>
        </w:tc>
        <w:tc>
          <w:tcPr>
            <w:tcW w:w="720" w:type="dxa"/>
            <w:tcBorders>
              <w:left w:val="nil"/>
              <w:bottom w:val="single" w:sz="4" w:space="0" w:color="auto"/>
              <w:right w:val="nil"/>
            </w:tcBorders>
            <w:vAlign w:val="center"/>
          </w:tcPr>
          <w:p w:rsidR="0021241A" w:rsidRPr="000D2A98" w:rsidRDefault="0021241A" w:rsidP="008A4F33">
            <w:pPr>
              <w:spacing w:line="240" w:lineRule="auto"/>
              <w:jc w:val="center"/>
            </w:pPr>
            <w:r>
              <w:t>F6</w:t>
            </w:r>
          </w:p>
        </w:tc>
        <w:tc>
          <w:tcPr>
            <w:tcW w:w="1101" w:type="dxa"/>
            <w:tcBorders>
              <w:left w:val="nil"/>
              <w:bottom w:val="single" w:sz="4" w:space="0" w:color="auto"/>
            </w:tcBorders>
            <w:vAlign w:val="center"/>
          </w:tcPr>
          <w:p w:rsidR="0021241A" w:rsidRPr="000D2A98" w:rsidRDefault="0021241A" w:rsidP="008A4F33">
            <w:pPr>
              <w:spacing w:line="240" w:lineRule="auto"/>
              <w:jc w:val="center"/>
            </w:pPr>
            <w:r>
              <w:t>serum</w:t>
            </w:r>
          </w:p>
        </w:tc>
      </w:tr>
      <w:tr w:rsidR="0021241A" w:rsidRPr="000D2A98" w:rsidTr="0021241A">
        <w:tc>
          <w:tcPr>
            <w:tcW w:w="2083" w:type="dxa"/>
            <w:vAlign w:val="center"/>
          </w:tcPr>
          <w:p w:rsidR="0021241A" w:rsidRDefault="0021241A" w:rsidP="008A4F33">
            <w:pPr>
              <w:spacing w:line="240" w:lineRule="auto"/>
            </w:pPr>
            <w:r>
              <w:t>Lipid Panel</w:t>
            </w:r>
          </w:p>
        </w:tc>
        <w:tc>
          <w:tcPr>
            <w:tcW w:w="720" w:type="dxa"/>
            <w:tcBorders>
              <w:left w:val="nil"/>
              <w:right w:val="nil"/>
            </w:tcBorders>
            <w:vAlign w:val="center"/>
          </w:tcPr>
          <w:p w:rsidR="0021241A" w:rsidRPr="000D2A98" w:rsidRDefault="0021241A" w:rsidP="008A4F33">
            <w:pPr>
              <w:spacing w:line="240" w:lineRule="auto"/>
              <w:jc w:val="center"/>
            </w:pPr>
            <w:r>
              <w:t>F7</w:t>
            </w:r>
          </w:p>
        </w:tc>
        <w:tc>
          <w:tcPr>
            <w:tcW w:w="1101" w:type="dxa"/>
            <w:tcBorders>
              <w:left w:val="nil"/>
            </w:tcBorders>
            <w:vAlign w:val="center"/>
          </w:tcPr>
          <w:p w:rsidR="0021241A" w:rsidRPr="000D2A98" w:rsidRDefault="0021241A" w:rsidP="008A4F33">
            <w:pPr>
              <w:spacing w:line="240" w:lineRule="auto"/>
              <w:jc w:val="center"/>
            </w:pPr>
            <w:r>
              <w:t>serum</w:t>
            </w:r>
          </w:p>
        </w:tc>
      </w:tr>
      <w:tr w:rsidR="0021241A" w:rsidRPr="000D2A98" w:rsidTr="0021241A">
        <w:tc>
          <w:tcPr>
            <w:tcW w:w="2083" w:type="dxa"/>
            <w:vAlign w:val="center"/>
          </w:tcPr>
          <w:p w:rsidR="0021241A" w:rsidRDefault="0021241A" w:rsidP="008A4F33">
            <w:pPr>
              <w:spacing w:line="240" w:lineRule="auto"/>
            </w:pPr>
            <w:r>
              <w:t>Creatinine</w:t>
            </w:r>
          </w:p>
        </w:tc>
        <w:tc>
          <w:tcPr>
            <w:tcW w:w="720" w:type="dxa"/>
            <w:tcBorders>
              <w:left w:val="nil"/>
              <w:right w:val="nil"/>
            </w:tcBorders>
            <w:vAlign w:val="center"/>
          </w:tcPr>
          <w:p w:rsidR="0021241A" w:rsidRPr="000D2A98" w:rsidRDefault="0021241A" w:rsidP="008A4F33">
            <w:pPr>
              <w:spacing w:line="240" w:lineRule="auto"/>
              <w:jc w:val="center"/>
            </w:pPr>
            <w:r>
              <w:t>F7</w:t>
            </w:r>
          </w:p>
        </w:tc>
        <w:tc>
          <w:tcPr>
            <w:tcW w:w="1101" w:type="dxa"/>
            <w:tcBorders>
              <w:left w:val="nil"/>
            </w:tcBorders>
            <w:vAlign w:val="center"/>
          </w:tcPr>
          <w:p w:rsidR="0021241A" w:rsidRPr="000D2A98" w:rsidRDefault="0021241A" w:rsidP="008A4F33">
            <w:pPr>
              <w:spacing w:line="240" w:lineRule="auto"/>
              <w:jc w:val="center"/>
            </w:pPr>
            <w:r>
              <w:t>urine</w:t>
            </w:r>
          </w:p>
        </w:tc>
      </w:tr>
    </w:tbl>
    <w:p w:rsidR="00F13FB9" w:rsidRDefault="005F791F" w:rsidP="005F791F">
      <w:pPr>
        <w:spacing w:after="0" w:line="240" w:lineRule="auto"/>
      </w:pPr>
      <w:r>
        <w:rPr>
          <w:vertAlign w:val="superscript"/>
        </w:rPr>
        <w:t xml:space="preserve">1 </w:t>
      </w:r>
      <w:r w:rsidR="00391C32">
        <w:t>Total PCBs including e</w:t>
      </w:r>
      <w:r>
        <w:t>ight required PCB congeners - 28, 52, 101,</w:t>
      </w:r>
      <w:r w:rsidR="00FF7AAA">
        <w:t xml:space="preserve"> </w:t>
      </w:r>
      <w:r w:rsidR="00363629">
        <w:t>105, 118, 138, 153, 180.</w:t>
      </w:r>
    </w:p>
    <w:p w:rsidR="0095614E" w:rsidRDefault="0004295A" w:rsidP="005F791F">
      <w:pPr>
        <w:spacing w:after="0" w:line="240" w:lineRule="auto"/>
      </w:pPr>
      <w:r>
        <w:rPr>
          <w:vertAlign w:val="superscript"/>
        </w:rPr>
        <w:t xml:space="preserve">2 </w:t>
      </w:r>
      <w:r w:rsidR="0095614E">
        <w:t>Blood mercury</w:t>
      </w:r>
      <w:r w:rsidR="00A2692D">
        <w:t xml:space="preserve"> – total; </w:t>
      </w:r>
      <w:r w:rsidR="0095614E">
        <w:t>plus inorganic urinary mercury</w:t>
      </w:r>
    </w:p>
    <w:p w:rsidR="00FF7AAA" w:rsidRDefault="00FF7AAA" w:rsidP="005F791F">
      <w:pPr>
        <w:pBdr>
          <w:bottom w:val="single" w:sz="12" w:space="1" w:color="auto"/>
        </w:pBdr>
        <w:spacing w:after="0" w:line="240" w:lineRule="auto"/>
      </w:pPr>
    </w:p>
    <w:p w:rsidR="008E6061" w:rsidRDefault="008E6061" w:rsidP="005F791F">
      <w:pPr>
        <w:spacing w:after="0" w:line="240" w:lineRule="auto"/>
      </w:pPr>
    </w:p>
    <w:bookmarkEnd w:id="0"/>
    <w:p w:rsidR="00574E99" w:rsidRDefault="00574E99" w:rsidP="003252B3"/>
    <w:p w:rsidR="008A2056" w:rsidRDefault="008A2056" w:rsidP="003252B3"/>
    <w:p w:rsidR="008A2056" w:rsidRDefault="008A2056" w:rsidP="003252B3"/>
    <w:p w:rsidR="008A2056" w:rsidRDefault="008A2056" w:rsidP="003252B3"/>
    <w:p w:rsidR="008A2056" w:rsidRDefault="008A2056" w:rsidP="003252B3"/>
    <w:p w:rsidR="008A2056" w:rsidRDefault="008A2056" w:rsidP="003252B3"/>
    <w:p w:rsidR="008A2056" w:rsidRDefault="008A2056" w:rsidP="003252B3"/>
    <w:p w:rsidR="008A2056" w:rsidRDefault="008A2056" w:rsidP="003252B3"/>
    <w:p w:rsidR="008A2056" w:rsidRDefault="008A2056" w:rsidP="003252B3"/>
    <w:p w:rsidR="00B33B49" w:rsidRPr="006912C9" w:rsidRDefault="00B33B49" w:rsidP="00B33B49">
      <w:pPr>
        <w:pStyle w:val="Heading3"/>
      </w:pPr>
      <w:proofErr w:type="gramStart"/>
      <w:r>
        <w:lastRenderedPageBreak/>
        <w:t xml:space="preserve">Attachment </w:t>
      </w:r>
      <w:r w:rsidR="003A7550">
        <w:t>9</w:t>
      </w:r>
      <w:r>
        <w:t>a.</w:t>
      </w:r>
      <w:proofErr w:type="gramEnd"/>
      <w:r>
        <w:t xml:space="preserve"> Chemical Analytes Justification</w:t>
      </w:r>
    </w:p>
    <w:p w:rsidR="00B33B49" w:rsidRDefault="00B33B49" w:rsidP="00B33B49">
      <w:pPr>
        <w:rPr>
          <w:rFonts w:asciiTheme="minorHAnsi" w:hAnsiTheme="minorHAnsi" w:cstheme="minorHAnsi"/>
          <w:color w:val="000000"/>
        </w:rPr>
      </w:pPr>
    </w:p>
    <w:p w:rsidR="00B33B49" w:rsidRPr="00B33B49" w:rsidRDefault="00B33B49" w:rsidP="00B33B49">
      <w:pPr>
        <w:jc w:val="center"/>
        <w:rPr>
          <w:rFonts w:asciiTheme="minorHAnsi" w:hAnsiTheme="minorHAnsi" w:cstheme="minorHAnsi"/>
          <w:b/>
          <w:color w:val="000000"/>
        </w:rPr>
      </w:pPr>
      <w:r>
        <w:rPr>
          <w:rFonts w:asciiTheme="minorHAnsi" w:hAnsiTheme="minorHAnsi" w:cstheme="minorHAnsi"/>
          <w:b/>
          <w:color w:val="000000"/>
        </w:rPr>
        <w:t>Great Lakes Biomonitoring Program</w:t>
      </w:r>
      <w:r w:rsidR="003A7550">
        <w:rPr>
          <w:rFonts w:asciiTheme="minorHAnsi" w:hAnsiTheme="minorHAnsi" w:cstheme="minorHAnsi"/>
          <w:b/>
          <w:color w:val="000000"/>
        </w:rPr>
        <w:t xml:space="preserve"> II</w:t>
      </w:r>
      <w:r>
        <w:rPr>
          <w:rFonts w:asciiTheme="minorHAnsi" w:hAnsiTheme="minorHAnsi" w:cstheme="minorHAnsi"/>
          <w:b/>
          <w:color w:val="000000"/>
        </w:rPr>
        <w:t xml:space="preserve"> Chemical </w:t>
      </w:r>
      <w:proofErr w:type="spellStart"/>
      <w:r>
        <w:rPr>
          <w:rFonts w:asciiTheme="minorHAnsi" w:hAnsiTheme="minorHAnsi" w:cstheme="minorHAnsi"/>
          <w:b/>
          <w:color w:val="000000"/>
        </w:rPr>
        <w:t>Analytes</w:t>
      </w:r>
      <w:proofErr w:type="spellEnd"/>
    </w:p>
    <w:p w:rsidR="00B33B49" w:rsidRPr="00B33B49" w:rsidRDefault="00B33B49" w:rsidP="00B33B49">
      <w:pPr>
        <w:spacing w:after="0"/>
        <w:rPr>
          <w:rFonts w:asciiTheme="minorHAnsi" w:hAnsiTheme="minorHAnsi" w:cstheme="minorHAnsi"/>
          <w:color w:val="000000"/>
        </w:rPr>
      </w:pPr>
      <w:r w:rsidRPr="00B33B49">
        <w:rPr>
          <w:rFonts w:asciiTheme="minorHAnsi" w:hAnsiTheme="minorHAnsi" w:cstheme="minorHAnsi"/>
          <w:color w:val="000000"/>
        </w:rPr>
        <w:t xml:space="preserve">Over the past century, careless practices have resulted in contamination of the Great Lakes ecosystem with countless chemical products and byproducts of modern life entering into the air, water, land, and biota, and even into people’s bodies.  Since the 1909 enactment of the Boundary Waters Treaty, the International Joint Commission (IJC) has helped the U.S. and Canadian governments manage the lake and river systems along the border.  An important expression of that commitment was the Great Lakes Water Quality Agreement (GLWQA), first signed in 1972.  The United States, in Annex 2 of the GLWQA, committed to cooperate with State Governments to ensure that remedial action plans are developed and implemented for all designated Areas of Concern (AOCs) in the Great Lakes Basin. </w:t>
      </w:r>
    </w:p>
    <w:p w:rsidR="00B33B49" w:rsidRPr="00B33B49" w:rsidRDefault="00B33B49" w:rsidP="00B33B49">
      <w:pPr>
        <w:spacing w:after="0"/>
        <w:rPr>
          <w:rFonts w:asciiTheme="minorHAnsi" w:hAnsiTheme="minorHAnsi" w:cstheme="minorHAnsi"/>
          <w:color w:val="000000"/>
        </w:rPr>
      </w:pP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color w:val="000000"/>
        </w:rPr>
        <w:t>The U.S. and Canadian governments identified AOCs, defined as ecologically degraded geographic areas within the Great Lakes Basin.  Currently, 30 Areas of Concern (AOCs) remain on the U.S. side of the Great Lakes Basin and span across eight states (Illinois, Indiana, New York, Ohio, Pennsylvania, Michigan, Minnesota and Wisconsin).  All of these AOCs are impacted by chemical contaminants from either local sources and/or</w:t>
      </w:r>
      <w:r w:rsidRPr="00B33B49">
        <w:rPr>
          <w:rFonts w:asciiTheme="minorHAnsi" w:hAnsiTheme="minorHAnsi" w:cstheme="minorHAnsi"/>
        </w:rPr>
        <w:t xml:space="preserve"> </w:t>
      </w:r>
      <w:r w:rsidRPr="00B33B49">
        <w:rPr>
          <w:rFonts w:asciiTheme="minorHAnsi" w:hAnsiTheme="minorHAnsi" w:cstheme="minorHAnsi"/>
          <w:color w:val="000000"/>
        </w:rPr>
        <w:t>remote sources of pollution.</w:t>
      </w:r>
      <w:r w:rsidRPr="00B33B49">
        <w:rPr>
          <w:rFonts w:asciiTheme="minorHAnsi" w:hAnsiTheme="minorHAnsi" w:cstheme="minorHAnsi"/>
        </w:rPr>
        <w:t xml:space="preserve"> </w:t>
      </w:r>
    </w:p>
    <w:p w:rsidR="00B33B49" w:rsidRPr="00B33B49" w:rsidRDefault="00B33B49" w:rsidP="00B33B49">
      <w:pPr>
        <w:spacing w:after="0"/>
        <w:rPr>
          <w:rFonts w:asciiTheme="minorHAnsi" w:hAnsiTheme="minorHAnsi" w:cstheme="minorHAnsi"/>
        </w:rPr>
      </w:pPr>
    </w:p>
    <w:p w:rsidR="00B33B49" w:rsidRPr="00B33B49" w:rsidRDefault="00B33B49" w:rsidP="00B33B49">
      <w:pPr>
        <w:pStyle w:val="Default"/>
        <w:spacing w:line="276" w:lineRule="auto"/>
        <w:rPr>
          <w:rFonts w:asciiTheme="minorHAnsi" w:hAnsiTheme="minorHAnsi" w:cstheme="minorHAnsi"/>
          <w:sz w:val="22"/>
          <w:szCs w:val="22"/>
        </w:rPr>
      </w:pPr>
      <w:r w:rsidRPr="00B33B49">
        <w:rPr>
          <w:rFonts w:asciiTheme="minorHAnsi" w:hAnsiTheme="minorHAnsi" w:cstheme="minorHAnsi"/>
          <w:sz w:val="22"/>
          <w:szCs w:val="22"/>
        </w:rPr>
        <w:t xml:space="preserve">The program objective is to use biomonitoring to provide a baseline assessment of the exposure of susceptible Great Lakes Basin populations to some of the 11 legacy contaminants identified by the IJC.  These legacy pollutants are persistent, bioaccumulative, and harmful to the ecosystem and human health.  The biomonitoring program will require assessments for some of the IJC legacy pollutants but will be flexible enough to allow states to also </w:t>
      </w:r>
      <w:proofErr w:type="spellStart"/>
      <w:r w:rsidRPr="00B33B49">
        <w:rPr>
          <w:rFonts w:asciiTheme="minorHAnsi" w:hAnsiTheme="minorHAnsi" w:cstheme="minorHAnsi"/>
          <w:sz w:val="22"/>
          <w:szCs w:val="22"/>
        </w:rPr>
        <w:t>biomonitor</w:t>
      </w:r>
      <w:proofErr w:type="spellEnd"/>
      <w:r w:rsidRPr="00B33B49">
        <w:rPr>
          <w:rFonts w:asciiTheme="minorHAnsi" w:hAnsiTheme="minorHAnsi" w:cstheme="minorHAnsi"/>
          <w:sz w:val="22"/>
          <w:szCs w:val="22"/>
        </w:rPr>
        <w:t xml:space="preserve"> for other contaminants of concern.  Emerging contaminants of concern such as polybrominated diphenyl ethers, that are widely used in fire retardants, and perfluorinated compounds that are used to make materials stain or stick resistant are examples of contaminants that may also be of interest.  </w:t>
      </w:r>
    </w:p>
    <w:p w:rsidR="00B33B49" w:rsidRPr="00B33B49" w:rsidRDefault="00B33B49" w:rsidP="00B33B49">
      <w:pPr>
        <w:pStyle w:val="Default"/>
        <w:spacing w:line="276" w:lineRule="auto"/>
        <w:rPr>
          <w:rFonts w:asciiTheme="minorHAnsi" w:hAnsiTheme="minorHAnsi" w:cstheme="minorHAnsi"/>
          <w:sz w:val="22"/>
          <w:szCs w:val="22"/>
        </w:rPr>
      </w:pPr>
    </w:p>
    <w:p w:rsidR="00B33B49" w:rsidRPr="00B33B49" w:rsidRDefault="003A7550" w:rsidP="00B33B49">
      <w:pPr>
        <w:pStyle w:val="Default"/>
        <w:spacing w:line="276" w:lineRule="auto"/>
        <w:rPr>
          <w:rFonts w:asciiTheme="minorHAnsi" w:hAnsiTheme="minorHAnsi" w:cstheme="minorHAnsi"/>
          <w:sz w:val="22"/>
          <w:szCs w:val="22"/>
        </w:rPr>
      </w:pPr>
      <w:r>
        <w:rPr>
          <w:rFonts w:asciiTheme="minorHAnsi" w:hAnsiTheme="minorHAnsi" w:cstheme="minorHAnsi"/>
          <w:sz w:val="22"/>
          <w:szCs w:val="22"/>
        </w:rPr>
        <w:t>The NYSDOH biomonitoring</w:t>
      </w:r>
      <w:r w:rsidR="00B33B49" w:rsidRPr="00B33B49">
        <w:rPr>
          <w:rFonts w:asciiTheme="minorHAnsi" w:hAnsiTheme="minorHAnsi" w:cstheme="minorHAnsi"/>
          <w:sz w:val="22"/>
          <w:szCs w:val="22"/>
        </w:rPr>
        <w:t xml:space="preserve"> program will include a core set of analytes (required) to be analyzed in blood and urine specimens.  The biomonitoring program is flexible and will allow </w:t>
      </w:r>
      <w:r>
        <w:rPr>
          <w:rFonts w:asciiTheme="minorHAnsi" w:hAnsiTheme="minorHAnsi" w:cstheme="minorHAnsi"/>
          <w:sz w:val="22"/>
          <w:szCs w:val="22"/>
        </w:rPr>
        <w:t>NYSDOH</w:t>
      </w:r>
      <w:r w:rsidR="00B33B49" w:rsidRPr="00B33B49">
        <w:rPr>
          <w:rFonts w:asciiTheme="minorHAnsi" w:hAnsiTheme="minorHAnsi" w:cstheme="minorHAnsi"/>
          <w:sz w:val="22"/>
          <w:szCs w:val="22"/>
        </w:rPr>
        <w:t xml:space="preserve"> to evaluate </w:t>
      </w:r>
      <w:proofErr w:type="spellStart"/>
      <w:r w:rsidR="00B33B49" w:rsidRPr="00B33B49">
        <w:rPr>
          <w:rFonts w:asciiTheme="minorHAnsi" w:hAnsiTheme="minorHAnsi" w:cstheme="minorHAnsi"/>
          <w:sz w:val="22"/>
          <w:szCs w:val="22"/>
        </w:rPr>
        <w:t>analytes</w:t>
      </w:r>
      <w:proofErr w:type="spellEnd"/>
      <w:r w:rsidR="00B33B49" w:rsidRPr="00B33B49">
        <w:rPr>
          <w:rFonts w:asciiTheme="minorHAnsi" w:hAnsiTheme="minorHAnsi" w:cstheme="minorHAnsi"/>
          <w:sz w:val="22"/>
          <w:szCs w:val="22"/>
        </w:rPr>
        <w:t xml:space="preserve"> that are of concern in </w:t>
      </w:r>
      <w:r>
        <w:rPr>
          <w:rFonts w:asciiTheme="minorHAnsi" w:hAnsiTheme="minorHAnsi" w:cstheme="minorHAnsi"/>
          <w:sz w:val="22"/>
          <w:szCs w:val="22"/>
        </w:rPr>
        <w:t>its</w:t>
      </w:r>
      <w:r w:rsidR="00B33B49" w:rsidRPr="00B33B49">
        <w:rPr>
          <w:rFonts w:asciiTheme="minorHAnsi" w:hAnsiTheme="minorHAnsi" w:cstheme="minorHAnsi"/>
          <w:sz w:val="22"/>
          <w:szCs w:val="22"/>
        </w:rPr>
        <w:t xml:space="preserve"> state (optional </w:t>
      </w:r>
      <w:proofErr w:type="spellStart"/>
      <w:r w:rsidR="00B33B49" w:rsidRPr="00B33B49">
        <w:rPr>
          <w:rFonts w:asciiTheme="minorHAnsi" w:hAnsiTheme="minorHAnsi" w:cstheme="minorHAnsi"/>
          <w:sz w:val="22"/>
          <w:szCs w:val="22"/>
        </w:rPr>
        <w:t>analytes</w:t>
      </w:r>
      <w:proofErr w:type="spellEnd"/>
      <w:r w:rsidR="00B33B49" w:rsidRPr="00B33B49">
        <w:rPr>
          <w:rFonts w:asciiTheme="minorHAnsi" w:hAnsiTheme="minorHAnsi" w:cstheme="minorHAnsi"/>
          <w:sz w:val="22"/>
          <w:szCs w:val="22"/>
        </w:rPr>
        <w:t xml:space="preserve">). The required analytes and a list of optional analytes are listed below. </w:t>
      </w:r>
    </w:p>
    <w:p w:rsidR="00B33B49" w:rsidRPr="00B33B49" w:rsidRDefault="00B33B49" w:rsidP="00B33B49">
      <w:pPr>
        <w:spacing w:after="0"/>
        <w:rPr>
          <w:rFonts w:asciiTheme="minorHAnsi" w:hAnsiTheme="minorHAnsi" w:cstheme="minorHAnsi"/>
        </w:rPr>
      </w:pP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b/>
          <w:u w:val="single"/>
        </w:rPr>
        <w:t>Required Analytes</w:t>
      </w:r>
      <w:r w:rsidRPr="00B33B49">
        <w:rPr>
          <w:rFonts w:asciiTheme="minorHAnsi" w:hAnsiTheme="minorHAnsi" w:cstheme="minorHAnsi"/>
        </w:rPr>
        <w:t>:  Hexachlorobenzene, Lead, Mercury, Mirex, pp-DDE, pp-DDT, PCBs 28, 52, 101, 105, 118, 138, 153, and 180</w:t>
      </w:r>
    </w:p>
    <w:p w:rsidR="00B33B49" w:rsidRPr="00B33B49" w:rsidRDefault="00B33B49" w:rsidP="00B33B49">
      <w:pPr>
        <w:spacing w:after="0"/>
        <w:rPr>
          <w:rFonts w:asciiTheme="minorHAnsi" w:hAnsiTheme="minorHAnsi" w:cstheme="minorHAnsi"/>
        </w:rPr>
      </w:pP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b/>
          <w:u w:val="single"/>
        </w:rPr>
        <w:t>Optional Analytes</w:t>
      </w:r>
      <w:r w:rsidRPr="00B33B49">
        <w:rPr>
          <w:rFonts w:asciiTheme="minorHAnsi" w:hAnsiTheme="minorHAnsi" w:cstheme="minorHAnsi"/>
        </w:rPr>
        <w:t>:  1-hydroxypyrene, Arsenic, Bisphenol A, Cadmium, Chlordane (and predominant metabolites – Oxychlordane and Trans-nonachlor), Dioxins/Furans/Co-planar PCBs, Lindane, Manganese, Perfluorinated chemicals (PFCs), Polybrominated biphenyls (PBBs), Polybrominated diphenyl ethers (PBDEs), Polychlorinated biphenyls PCBs (in addition to required), Selenium, Speciated Mercury, Triclosan, Toxaphene</w:t>
      </w: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rPr>
        <w:lastRenderedPageBreak/>
        <w:t xml:space="preserve">Below is a list of the optional analytes that will be measured along with justifications for analysis.  </w:t>
      </w:r>
    </w:p>
    <w:p w:rsidR="00B33B49" w:rsidRPr="00B33B49" w:rsidRDefault="00B33B49" w:rsidP="00B33B49">
      <w:pPr>
        <w:spacing w:after="0"/>
        <w:rPr>
          <w:rFonts w:asciiTheme="minorHAnsi" w:hAnsiTheme="minorHAnsi" w:cstheme="minorHAnsi"/>
        </w:rPr>
      </w:pP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b/>
          <w:u w:val="single"/>
        </w:rPr>
        <w:t>Toxaphene</w:t>
      </w:r>
      <w:r w:rsidRPr="00B33B49">
        <w:rPr>
          <w:rFonts w:asciiTheme="minorHAnsi" w:hAnsiTheme="minorHAnsi" w:cstheme="minorHAnsi"/>
        </w:rPr>
        <w:t xml:space="preserve">:  While not included in the required contaminant analysis list, toxaphene is one of the 11 critical pollutants identified by the IJC.  Xia et al. (2009) quantified individual </w:t>
      </w:r>
      <w:proofErr w:type="spellStart"/>
      <w:r w:rsidRPr="00B33B49">
        <w:rPr>
          <w:rFonts w:asciiTheme="minorHAnsi" w:hAnsiTheme="minorHAnsi" w:cstheme="minorHAnsi"/>
        </w:rPr>
        <w:t>toxaphene</w:t>
      </w:r>
      <w:proofErr w:type="spellEnd"/>
      <w:r w:rsidRPr="00B33B49">
        <w:rPr>
          <w:rFonts w:asciiTheme="minorHAnsi" w:hAnsiTheme="minorHAnsi" w:cstheme="minorHAnsi"/>
        </w:rPr>
        <w:t xml:space="preserve"> </w:t>
      </w:r>
      <w:proofErr w:type="spellStart"/>
      <w:r w:rsidRPr="00B33B49">
        <w:rPr>
          <w:rFonts w:asciiTheme="minorHAnsi" w:hAnsiTheme="minorHAnsi" w:cstheme="minorHAnsi"/>
        </w:rPr>
        <w:t>parlars</w:t>
      </w:r>
      <w:proofErr w:type="spellEnd"/>
      <w:r w:rsidRPr="00B33B49">
        <w:rPr>
          <w:rFonts w:asciiTheme="minorHAnsi" w:hAnsiTheme="minorHAnsi" w:cstheme="minorHAnsi"/>
        </w:rPr>
        <w:t xml:space="preserve"> that including those that persistent in human blood (Parlars 26, 50, 62). These </w:t>
      </w:r>
      <w:proofErr w:type="spellStart"/>
      <w:r w:rsidRPr="00B33B49">
        <w:rPr>
          <w:rFonts w:asciiTheme="minorHAnsi" w:hAnsiTheme="minorHAnsi" w:cstheme="minorHAnsi"/>
        </w:rPr>
        <w:t>parlars</w:t>
      </w:r>
      <w:proofErr w:type="spellEnd"/>
      <w:r w:rsidRPr="00B33B49">
        <w:rPr>
          <w:rFonts w:asciiTheme="minorHAnsi" w:hAnsiTheme="minorHAnsi" w:cstheme="minorHAnsi"/>
        </w:rPr>
        <w:t xml:space="preserve"> were quantified in Lake Huron lake trout (30 ppb weight weight) and in Lake Erie walleye (2 ppb wet weight).  The data demonstrate that toxaphene is present in fish from Lake Erie and Lake Huron. All state grantees will evaluate toxaphene as part of their program.  </w:t>
      </w:r>
    </w:p>
    <w:p w:rsidR="00B33B49" w:rsidRPr="00B33B49" w:rsidRDefault="00B33B49" w:rsidP="00B33B49">
      <w:pPr>
        <w:spacing w:after="0"/>
        <w:rPr>
          <w:rFonts w:asciiTheme="minorHAnsi" w:hAnsiTheme="minorHAnsi" w:cstheme="minorHAnsi"/>
        </w:rPr>
      </w:pPr>
    </w:p>
    <w:p w:rsidR="00B33B49" w:rsidRDefault="00B33B49" w:rsidP="00B33B49">
      <w:pPr>
        <w:spacing w:after="0"/>
        <w:rPr>
          <w:rFonts w:asciiTheme="minorHAnsi" w:hAnsiTheme="minorHAnsi" w:cstheme="minorHAnsi"/>
        </w:rPr>
      </w:pPr>
      <w:r w:rsidRPr="00B33B49">
        <w:rPr>
          <w:rFonts w:asciiTheme="minorHAnsi" w:hAnsiTheme="minorHAnsi" w:cstheme="minorHAnsi"/>
          <w:b/>
          <w:u w:val="single"/>
        </w:rPr>
        <w:t>Polycyclic aromatic hydrocarbons (PAHs)</w:t>
      </w:r>
      <w:r w:rsidRPr="00B33B49">
        <w:rPr>
          <w:rFonts w:asciiTheme="minorHAnsi" w:hAnsiTheme="minorHAnsi" w:cstheme="minorHAnsi"/>
        </w:rPr>
        <w:t xml:space="preserve">:  PAHs are included in the 11 legacy pollutants as identified by the IJC.  </w:t>
      </w:r>
      <w:r w:rsidR="007970ED">
        <w:rPr>
          <w:rFonts w:asciiTheme="minorHAnsi" w:hAnsiTheme="minorHAnsi" w:cstheme="minorHAnsi"/>
        </w:rPr>
        <w:t xml:space="preserve">New York has included PAHs as one of their optional analytes.  </w:t>
      </w:r>
    </w:p>
    <w:p w:rsidR="007970ED" w:rsidRPr="00B33B49" w:rsidRDefault="007970ED" w:rsidP="00B33B49">
      <w:pPr>
        <w:spacing w:after="0"/>
        <w:rPr>
          <w:rFonts w:asciiTheme="minorHAnsi" w:hAnsiTheme="minorHAnsi" w:cstheme="minorHAnsi"/>
        </w:rPr>
      </w:pP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b/>
          <w:u w:val="single"/>
        </w:rPr>
        <w:t>Polybrominated diphenyl ethers (PBDEs)</w:t>
      </w:r>
      <w:r w:rsidRPr="00B33B49">
        <w:rPr>
          <w:rFonts w:asciiTheme="minorHAnsi" w:hAnsiTheme="minorHAnsi" w:cstheme="minorHAnsi"/>
        </w:rPr>
        <w:t xml:space="preserve">:  PBDEs have been identified as an emerging chemical of concern in the Great Lakes Basin.  Lake Ontario, which contains several of New York State’s AOCs, has demonstrated some of the highest levels of PBDEs reported in the US Great Lakes.  New York State has included analysis of the predominant PBDE congeners on their optional analyte list.  </w:t>
      </w:r>
    </w:p>
    <w:p w:rsidR="00B33B49" w:rsidRPr="00B33B49" w:rsidRDefault="00B33B49" w:rsidP="00B33B49">
      <w:pPr>
        <w:spacing w:after="0"/>
        <w:rPr>
          <w:rFonts w:asciiTheme="minorHAnsi" w:hAnsiTheme="minorHAnsi" w:cstheme="minorHAnsi"/>
        </w:rPr>
      </w:pP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b/>
          <w:u w:val="single"/>
        </w:rPr>
        <w:t>Perfluorinated compounds (PFCs)</w:t>
      </w:r>
      <w:r w:rsidRPr="00B33B49">
        <w:rPr>
          <w:rFonts w:asciiTheme="minorHAnsi" w:hAnsiTheme="minorHAnsi" w:cstheme="minorHAnsi"/>
          <w:b/>
        </w:rPr>
        <w:t>:</w:t>
      </w:r>
      <w:r w:rsidRPr="00B33B49">
        <w:rPr>
          <w:rFonts w:asciiTheme="minorHAnsi" w:hAnsiTheme="minorHAnsi" w:cstheme="minorHAnsi"/>
        </w:rPr>
        <w:t xml:space="preserve">  PFCs have been identified as an emerging chemical of concern in the Great Lakes Basin.  PFCs have been measured in and known to accumulate in Great Lakes biota. PFCs were identified in fish from Lake Superior and Lake Ontario.  New York State ha</w:t>
      </w:r>
      <w:r w:rsidR="007970ED">
        <w:rPr>
          <w:rFonts w:asciiTheme="minorHAnsi" w:hAnsiTheme="minorHAnsi" w:cstheme="minorHAnsi"/>
        </w:rPr>
        <w:t>s</w:t>
      </w:r>
      <w:r w:rsidRPr="00B33B49">
        <w:rPr>
          <w:rFonts w:asciiTheme="minorHAnsi" w:hAnsiTheme="minorHAnsi" w:cstheme="minorHAnsi"/>
        </w:rPr>
        <w:t xml:space="preserve"> included PFC analysis on their optional analyte list.  </w:t>
      </w:r>
    </w:p>
    <w:p w:rsidR="00B33B49" w:rsidRPr="00B33B49" w:rsidRDefault="00B33B49" w:rsidP="00B33B49">
      <w:pPr>
        <w:spacing w:after="0"/>
        <w:rPr>
          <w:rFonts w:asciiTheme="minorHAnsi" w:hAnsiTheme="minorHAnsi" w:cstheme="minorHAnsi"/>
        </w:rPr>
      </w:pP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b/>
          <w:u w:val="single"/>
        </w:rPr>
        <w:t>Chlordane</w:t>
      </w:r>
      <w:r w:rsidRPr="00B33B49">
        <w:rPr>
          <w:rFonts w:asciiTheme="minorHAnsi" w:hAnsiTheme="minorHAnsi" w:cstheme="minorHAnsi"/>
        </w:rPr>
        <w:t>:  Chlordane is a known contaminant of specific AOCs in New York State</w:t>
      </w:r>
      <w:r w:rsidR="007970ED">
        <w:rPr>
          <w:rFonts w:asciiTheme="minorHAnsi" w:hAnsiTheme="minorHAnsi" w:cstheme="minorHAnsi"/>
        </w:rPr>
        <w:t xml:space="preserve"> and the Niagara River AOC</w:t>
      </w:r>
      <w:r w:rsidRPr="00B33B49">
        <w:rPr>
          <w:rFonts w:asciiTheme="minorHAnsi" w:hAnsiTheme="minorHAnsi" w:cstheme="minorHAnsi"/>
        </w:rPr>
        <w:t xml:space="preserve">.  </w:t>
      </w:r>
      <w:r w:rsidR="007970ED" w:rsidRPr="00B33B49">
        <w:rPr>
          <w:rFonts w:asciiTheme="minorHAnsi" w:hAnsiTheme="minorHAnsi" w:cstheme="minorHAnsi"/>
        </w:rPr>
        <w:t xml:space="preserve">New York State </w:t>
      </w:r>
      <w:r w:rsidRPr="00B33B49">
        <w:rPr>
          <w:rFonts w:asciiTheme="minorHAnsi" w:hAnsiTheme="minorHAnsi" w:cstheme="minorHAnsi"/>
        </w:rPr>
        <w:t>ha</w:t>
      </w:r>
      <w:r w:rsidR="007970ED">
        <w:rPr>
          <w:rFonts w:asciiTheme="minorHAnsi" w:hAnsiTheme="minorHAnsi" w:cstheme="minorHAnsi"/>
        </w:rPr>
        <w:t>s</w:t>
      </w:r>
      <w:r w:rsidRPr="00B33B49">
        <w:rPr>
          <w:rFonts w:asciiTheme="minorHAnsi" w:hAnsiTheme="minorHAnsi" w:cstheme="minorHAnsi"/>
        </w:rPr>
        <w:t xml:space="preserve"> included chlordane in their optional analyte.</w:t>
      </w:r>
    </w:p>
    <w:p w:rsidR="00B33B49" w:rsidRPr="00B33B49" w:rsidRDefault="00B33B49" w:rsidP="00B33B49">
      <w:pPr>
        <w:spacing w:after="0"/>
        <w:rPr>
          <w:rFonts w:asciiTheme="minorHAnsi" w:hAnsiTheme="minorHAnsi" w:cstheme="minorHAnsi"/>
        </w:rPr>
      </w:pP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b/>
          <w:u w:val="single"/>
        </w:rPr>
        <w:t>Lindane and polybrominated biphenyls (PBB)</w:t>
      </w:r>
      <w:r w:rsidRPr="00B33B49">
        <w:rPr>
          <w:rFonts w:asciiTheme="minorHAnsi" w:hAnsiTheme="minorHAnsi" w:cstheme="minorHAnsi"/>
        </w:rPr>
        <w:t>:  Lindane and PBBs are known contaminants in</w:t>
      </w:r>
      <w:r w:rsidR="007970ED">
        <w:rPr>
          <w:rFonts w:asciiTheme="minorHAnsi" w:hAnsiTheme="minorHAnsi" w:cstheme="minorHAnsi"/>
        </w:rPr>
        <w:t xml:space="preserve"> New York State</w:t>
      </w:r>
      <w:r w:rsidRPr="00B33B49">
        <w:rPr>
          <w:rFonts w:asciiTheme="minorHAnsi" w:hAnsiTheme="minorHAnsi" w:cstheme="minorHAnsi"/>
        </w:rPr>
        <w:t xml:space="preserve"> and are i</w:t>
      </w:r>
      <w:r w:rsidR="007970ED">
        <w:rPr>
          <w:rFonts w:asciiTheme="minorHAnsi" w:hAnsiTheme="minorHAnsi" w:cstheme="minorHAnsi"/>
        </w:rPr>
        <w:t>ncluded as optional analytes</w:t>
      </w:r>
      <w:r w:rsidRPr="00B33B49">
        <w:rPr>
          <w:rFonts w:asciiTheme="minorHAnsi" w:hAnsiTheme="minorHAnsi" w:cstheme="minorHAnsi"/>
        </w:rPr>
        <w:t xml:space="preserve">.  </w:t>
      </w:r>
    </w:p>
    <w:p w:rsidR="00B33B49" w:rsidRPr="00B33B49" w:rsidRDefault="00B33B49" w:rsidP="00B33B49">
      <w:pPr>
        <w:spacing w:after="0"/>
        <w:rPr>
          <w:rFonts w:asciiTheme="minorHAnsi" w:hAnsiTheme="minorHAnsi" w:cstheme="minorHAnsi"/>
        </w:rPr>
      </w:pPr>
    </w:p>
    <w:p w:rsidR="00B33B49" w:rsidRPr="00B33B49" w:rsidRDefault="00B33B49" w:rsidP="00B33B49">
      <w:pPr>
        <w:spacing w:after="0"/>
        <w:rPr>
          <w:rFonts w:asciiTheme="minorHAnsi" w:hAnsiTheme="minorHAnsi" w:cstheme="minorHAnsi"/>
        </w:rPr>
      </w:pPr>
      <w:r w:rsidRPr="00B33B49">
        <w:rPr>
          <w:rFonts w:asciiTheme="minorHAnsi" w:hAnsiTheme="minorHAnsi" w:cstheme="minorHAnsi"/>
          <w:b/>
          <w:u w:val="single"/>
        </w:rPr>
        <w:t>Cadmium</w:t>
      </w:r>
      <w:r w:rsidRPr="00B33B49">
        <w:rPr>
          <w:rFonts w:asciiTheme="minorHAnsi" w:hAnsiTheme="minorHAnsi" w:cstheme="minorHAnsi"/>
        </w:rPr>
        <w:t>:  Cadmium has been identified in different media in the Great L</w:t>
      </w:r>
      <w:r w:rsidR="007970ED">
        <w:rPr>
          <w:rFonts w:asciiTheme="minorHAnsi" w:hAnsiTheme="minorHAnsi" w:cstheme="minorHAnsi"/>
        </w:rPr>
        <w:t>akes basin and AOCs in New York</w:t>
      </w:r>
      <w:r w:rsidRPr="00B33B49">
        <w:rPr>
          <w:rFonts w:asciiTheme="minorHAnsi" w:hAnsiTheme="minorHAnsi" w:cstheme="minorHAnsi"/>
        </w:rPr>
        <w:t xml:space="preserve">.  The grantee will evaluate cadmium as part of their optional analyte list.  </w:t>
      </w:r>
    </w:p>
    <w:p w:rsidR="00B33B49" w:rsidRPr="00B33B49" w:rsidRDefault="00B33B49" w:rsidP="00B33B49">
      <w:pPr>
        <w:spacing w:after="0"/>
        <w:rPr>
          <w:rFonts w:asciiTheme="minorHAnsi" w:hAnsiTheme="minorHAnsi" w:cstheme="minorHAnsi"/>
        </w:rPr>
      </w:pPr>
    </w:p>
    <w:p w:rsidR="00B33B49" w:rsidRPr="00B33B49" w:rsidRDefault="00B33B49" w:rsidP="00B33B49">
      <w:pPr>
        <w:pStyle w:val="Default"/>
        <w:spacing w:line="276" w:lineRule="auto"/>
        <w:rPr>
          <w:rFonts w:asciiTheme="minorHAnsi" w:hAnsiTheme="minorHAnsi" w:cstheme="minorHAnsi"/>
          <w:sz w:val="22"/>
          <w:szCs w:val="22"/>
        </w:rPr>
      </w:pPr>
      <w:r w:rsidRPr="00B33B49">
        <w:rPr>
          <w:rFonts w:asciiTheme="minorHAnsi" w:hAnsiTheme="minorHAnsi" w:cstheme="minorHAnsi"/>
          <w:sz w:val="22"/>
          <w:szCs w:val="22"/>
        </w:rPr>
        <w:t xml:space="preserve">Some of the analytes that will be analyzed requires measurement of cholesterol, triglycerides and creatinine levels.  These measurements are needed for lipid and urine dilution adjustments.  </w:t>
      </w:r>
    </w:p>
    <w:p w:rsidR="00B33B49" w:rsidRPr="00B33B49" w:rsidRDefault="00B33B49" w:rsidP="00B33B49">
      <w:pPr>
        <w:spacing w:after="0"/>
        <w:rPr>
          <w:rFonts w:asciiTheme="minorHAnsi" w:hAnsiTheme="minorHAnsi" w:cstheme="minorHAnsi"/>
        </w:rPr>
      </w:pPr>
    </w:p>
    <w:p w:rsidR="00B33B49" w:rsidRPr="00B33B49" w:rsidRDefault="00B33B49" w:rsidP="00B33B49">
      <w:pPr>
        <w:spacing w:after="0"/>
        <w:rPr>
          <w:rFonts w:asciiTheme="minorHAnsi" w:hAnsiTheme="minorHAnsi" w:cstheme="minorHAnsi"/>
        </w:rPr>
      </w:pPr>
    </w:p>
    <w:p w:rsidR="00B33B49" w:rsidRDefault="00B33B49" w:rsidP="00B33B49">
      <w:pPr>
        <w:rPr>
          <w:rFonts w:asciiTheme="minorHAnsi" w:hAnsiTheme="minorHAnsi" w:cstheme="minorHAnsi"/>
        </w:rPr>
      </w:pPr>
    </w:p>
    <w:p w:rsidR="009E1051" w:rsidRPr="00B33B49" w:rsidRDefault="009E1051" w:rsidP="00B33B49">
      <w:pPr>
        <w:rPr>
          <w:rFonts w:asciiTheme="minorHAnsi" w:hAnsiTheme="minorHAnsi" w:cstheme="minorHAnsi"/>
        </w:rPr>
      </w:pPr>
    </w:p>
    <w:p w:rsidR="00412D50" w:rsidRDefault="00412D50" w:rsidP="00B64254">
      <w:pPr>
        <w:pStyle w:val="Heading3"/>
      </w:pPr>
    </w:p>
    <w:p w:rsidR="00B64254" w:rsidRPr="00B64254" w:rsidRDefault="006A303C" w:rsidP="00B64254">
      <w:pPr>
        <w:pStyle w:val="Heading3"/>
      </w:pPr>
      <w:proofErr w:type="gramStart"/>
      <w:r>
        <w:t xml:space="preserve">Attachment </w:t>
      </w:r>
      <w:r w:rsidR="003A7550">
        <w:t>9</w:t>
      </w:r>
      <w:r>
        <w:t>b.</w:t>
      </w:r>
      <w:proofErr w:type="gramEnd"/>
      <w:r>
        <w:t xml:space="preserve"> Biomonitoring of Great Lakes Populations </w:t>
      </w:r>
      <w:r w:rsidR="009E1051">
        <w:t xml:space="preserve">II </w:t>
      </w:r>
      <w:r w:rsidR="00C32C34">
        <w:t xml:space="preserve">General </w:t>
      </w:r>
      <w:r>
        <w:t xml:space="preserve">Laboratory </w:t>
      </w:r>
      <w:r w:rsidR="00C32C34">
        <w:t xml:space="preserve">and QA/QC </w:t>
      </w:r>
      <w:r>
        <w:t>Procedures</w:t>
      </w:r>
    </w:p>
    <w:p w:rsidR="00B64254" w:rsidRDefault="00B64254" w:rsidP="00B64254">
      <w:pPr>
        <w:autoSpaceDE w:val="0"/>
        <w:autoSpaceDN w:val="0"/>
        <w:adjustRightInd w:val="0"/>
        <w:spacing w:after="0" w:line="240" w:lineRule="auto"/>
        <w:jc w:val="center"/>
        <w:rPr>
          <w:rFonts w:ascii="Times New Roman" w:hAnsi="Times New Roman"/>
          <w:b/>
          <w:bCs/>
          <w:sz w:val="24"/>
          <w:szCs w:val="24"/>
        </w:rPr>
      </w:pPr>
    </w:p>
    <w:p w:rsidR="00B64254" w:rsidRDefault="00B64254" w:rsidP="00B6425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General</w:t>
      </w:r>
    </w:p>
    <w:p w:rsidR="00B64254" w:rsidRPr="00A80FBE" w:rsidRDefault="00B64254" w:rsidP="00B64254">
      <w:pPr>
        <w:autoSpaceDE w:val="0"/>
        <w:autoSpaceDN w:val="0"/>
        <w:adjustRightInd w:val="0"/>
        <w:spacing w:after="0" w:line="240" w:lineRule="auto"/>
        <w:rPr>
          <w:rFonts w:ascii="Times New Roman" w:hAnsi="Times New Roman"/>
          <w:b/>
          <w:bCs/>
          <w:sz w:val="16"/>
          <w:szCs w:val="16"/>
        </w:rPr>
      </w:pPr>
    </w:p>
    <w:p w:rsidR="00B64254" w:rsidRDefault="00B64254" w:rsidP="00B64254">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The state health department laborator</w:t>
      </w:r>
      <w:r w:rsidR="007970ED">
        <w:rPr>
          <w:rFonts w:ascii="Times New Roman" w:hAnsi="Times New Roman"/>
          <w:sz w:val="24"/>
          <w:szCs w:val="24"/>
        </w:rPr>
        <w:t>y</w:t>
      </w:r>
      <w:r>
        <w:rPr>
          <w:rFonts w:ascii="Times New Roman" w:hAnsi="Times New Roman"/>
          <w:sz w:val="24"/>
          <w:szCs w:val="24"/>
        </w:rPr>
        <w:t xml:space="preserve"> participate</w:t>
      </w:r>
      <w:r w:rsidR="007970ED">
        <w:rPr>
          <w:rFonts w:ascii="Times New Roman" w:hAnsi="Times New Roman"/>
          <w:sz w:val="24"/>
          <w:szCs w:val="24"/>
        </w:rPr>
        <w:t>s</w:t>
      </w:r>
      <w:r>
        <w:rPr>
          <w:rFonts w:ascii="Times New Roman" w:hAnsi="Times New Roman"/>
          <w:sz w:val="24"/>
          <w:szCs w:val="24"/>
        </w:rPr>
        <w:t xml:space="preserve"> in the </w:t>
      </w:r>
      <w:r w:rsidRPr="00D75B0E">
        <w:rPr>
          <w:rFonts w:ascii="Times New Roman" w:hAnsi="Times New Roman"/>
          <w:sz w:val="24"/>
          <w:szCs w:val="24"/>
        </w:rPr>
        <w:t>Centers</w:t>
      </w:r>
      <w:r>
        <w:rPr>
          <w:rFonts w:ascii="Times New Roman" w:hAnsi="Times New Roman"/>
          <w:sz w:val="24"/>
          <w:szCs w:val="24"/>
        </w:rPr>
        <w:t xml:space="preserve"> for Medicare and Medicaid Services (CMS) approved proficiency testing (PT) </w:t>
      </w:r>
      <w:r w:rsidRPr="00D75B0E">
        <w:rPr>
          <w:rFonts w:ascii="Times New Roman" w:hAnsi="Times New Roman"/>
          <w:sz w:val="24"/>
          <w:szCs w:val="24"/>
        </w:rPr>
        <w:t>program</w:t>
      </w:r>
      <w:r>
        <w:rPr>
          <w:rFonts w:ascii="Times New Roman" w:hAnsi="Times New Roman"/>
          <w:sz w:val="24"/>
          <w:szCs w:val="24"/>
        </w:rPr>
        <w:t xml:space="preserve"> for various test categories including routine chemistry and </w:t>
      </w:r>
      <w:r w:rsidR="00316336">
        <w:rPr>
          <w:rFonts w:ascii="Times New Roman" w:hAnsi="Times New Roman"/>
          <w:sz w:val="24"/>
          <w:szCs w:val="24"/>
        </w:rPr>
        <w:t>toxicology (See Attachment 7c</w:t>
      </w:r>
      <w:r w:rsidRPr="00B64254">
        <w:rPr>
          <w:rFonts w:ascii="Times New Roman" w:hAnsi="Times New Roman"/>
          <w:sz w:val="24"/>
          <w:szCs w:val="24"/>
        </w:rPr>
        <w:t>. CLIA certificates).</w:t>
      </w:r>
      <w:r>
        <w:rPr>
          <w:rFonts w:ascii="Times New Roman" w:hAnsi="Times New Roman"/>
          <w:sz w:val="24"/>
          <w:szCs w:val="24"/>
        </w:rPr>
        <w:t xml:space="preserve"> In addition, the state laboratories all participate in the Artic Monitoring and Assessment Program (AMAP) external PT program </w:t>
      </w:r>
      <w:r w:rsidRPr="00D75B0E">
        <w:rPr>
          <w:rFonts w:ascii="Times New Roman" w:hAnsi="Times New Roman"/>
          <w:sz w:val="24"/>
          <w:szCs w:val="24"/>
        </w:rPr>
        <w:t>to be sure on a</w:t>
      </w:r>
      <w:r>
        <w:rPr>
          <w:rFonts w:ascii="Times New Roman" w:hAnsi="Times New Roman"/>
          <w:b/>
          <w:bCs/>
          <w:sz w:val="24"/>
          <w:szCs w:val="24"/>
        </w:rPr>
        <w:t xml:space="preserve"> </w:t>
      </w:r>
      <w:r w:rsidRPr="00D75B0E">
        <w:rPr>
          <w:rFonts w:ascii="Times New Roman" w:hAnsi="Times New Roman"/>
          <w:sz w:val="24"/>
          <w:szCs w:val="24"/>
        </w:rPr>
        <w:t xml:space="preserve">periodic basis that accuracy and precision </w:t>
      </w:r>
      <w:r>
        <w:rPr>
          <w:rFonts w:ascii="Times New Roman" w:hAnsi="Times New Roman"/>
          <w:sz w:val="24"/>
          <w:szCs w:val="24"/>
        </w:rPr>
        <w:t xml:space="preserve">of their results </w:t>
      </w:r>
      <w:r w:rsidRPr="00D75B0E">
        <w:rPr>
          <w:rFonts w:ascii="Times New Roman" w:hAnsi="Times New Roman"/>
          <w:sz w:val="24"/>
          <w:szCs w:val="24"/>
        </w:rPr>
        <w:t>ar</w:t>
      </w:r>
      <w:r>
        <w:rPr>
          <w:rFonts w:ascii="Times New Roman" w:hAnsi="Times New Roman"/>
          <w:sz w:val="24"/>
          <w:szCs w:val="24"/>
        </w:rPr>
        <w:t xml:space="preserve">e within acceptable limits. </w:t>
      </w:r>
      <w:r w:rsidR="007970ED">
        <w:rPr>
          <w:rFonts w:ascii="Times New Roman" w:hAnsi="Times New Roman"/>
          <w:sz w:val="24"/>
          <w:szCs w:val="24"/>
        </w:rPr>
        <w:t>The</w:t>
      </w:r>
      <w:r>
        <w:rPr>
          <w:rFonts w:ascii="Times New Roman" w:hAnsi="Times New Roman"/>
          <w:sz w:val="24"/>
          <w:szCs w:val="24"/>
        </w:rPr>
        <w:t xml:space="preserve"> state laboratory submitted a copy of their recent external proficiency testing </w:t>
      </w:r>
      <w:r w:rsidR="000E3F90">
        <w:rPr>
          <w:rFonts w:ascii="Times New Roman" w:hAnsi="Times New Roman"/>
          <w:sz w:val="24"/>
          <w:szCs w:val="24"/>
        </w:rPr>
        <w:t>results (See Attachment 7d</w:t>
      </w:r>
      <w:r w:rsidRPr="00B64254">
        <w:rPr>
          <w:rFonts w:ascii="Times New Roman" w:hAnsi="Times New Roman"/>
          <w:sz w:val="24"/>
          <w:szCs w:val="24"/>
        </w:rPr>
        <w:t>. External Proficiency Test Reports).</w:t>
      </w:r>
      <w:r>
        <w:rPr>
          <w:rFonts w:ascii="Times New Roman" w:hAnsi="Times New Roman"/>
          <w:b/>
          <w:bCs/>
          <w:sz w:val="24"/>
          <w:szCs w:val="24"/>
        </w:rPr>
        <w:t xml:space="preserve"> </w:t>
      </w:r>
      <w:r>
        <w:rPr>
          <w:rFonts w:ascii="Times New Roman" w:hAnsi="Times New Roman"/>
          <w:bCs/>
          <w:sz w:val="24"/>
          <w:szCs w:val="24"/>
        </w:rPr>
        <w:t xml:space="preserve"> </w:t>
      </w:r>
    </w:p>
    <w:p w:rsidR="00B64254" w:rsidRPr="00A03DCE" w:rsidRDefault="00B64254" w:rsidP="00B64254">
      <w:pPr>
        <w:autoSpaceDE w:val="0"/>
        <w:autoSpaceDN w:val="0"/>
        <w:adjustRightInd w:val="0"/>
        <w:spacing w:after="0" w:line="240" w:lineRule="auto"/>
        <w:jc w:val="both"/>
        <w:rPr>
          <w:rFonts w:ascii="Times New Roman" w:hAnsi="Times New Roman"/>
          <w:bCs/>
          <w:sz w:val="16"/>
          <w:szCs w:val="16"/>
        </w:rPr>
      </w:pPr>
    </w:p>
    <w:p w:rsidR="00B64254" w:rsidRPr="004A16AA" w:rsidRDefault="00B64254" w:rsidP="00B642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A policy and procedures manual that will be used when conducting laboratory analysis was issued to all state grantees.  This document was adapted from The National Biomonitoring Program, Division of Laboratory Sciences (DLS), National Center for Environmental Health (NCEH), Centers for Disease Control and Prevention.  The document outlines the quality assurance (QA) and quality control (QC) procedures to be followed when analyzing</w:t>
      </w:r>
      <w:r w:rsidRPr="00141AC2">
        <w:rPr>
          <w:rFonts w:ascii="Times New Roman" w:hAnsi="Times New Roman"/>
          <w:bCs/>
          <w:sz w:val="24"/>
          <w:szCs w:val="24"/>
        </w:rPr>
        <w:t xml:space="preserve"> </w:t>
      </w:r>
      <w:r>
        <w:rPr>
          <w:rFonts w:ascii="Times New Roman" w:hAnsi="Times New Roman"/>
          <w:bCs/>
          <w:sz w:val="24"/>
          <w:szCs w:val="24"/>
        </w:rPr>
        <w:t xml:space="preserve">participant specimens in order to ensure the quality of the laboratory results. In addition, </w:t>
      </w:r>
      <w:r w:rsidR="007970ED">
        <w:rPr>
          <w:rFonts w:ascii="Times New Roman" w:hAnsi="Times New Roman"/>
          <w:bCs/>
          <w:sz w:val="24"/>
          <w:szCs w:val="24"/>
        </w:rPr>
        <w:t>the state laboratory</w:t>
      </w:r>
      <w:r>
        <w:rPr>
          <w:rFonts w:ascii="Times New Roman" w:hAnsi="Times New Roman"/>
          <w:bCs/>
          <w:sz w:val="24"/>
          <w:szCs w:val="24"/>
        </w:rPr>
        <w:t xml:space="preserve"> will submit QC charts on a periodic basis to ATSDR. Below is a summary of the laboratory guidelines that were provided to the </w:t>
      </w:r>
      <w:r w:rsidR="007970ED">
        <w:rPr>
          <w:rFonts w:ascii="Times New Roman" w:hAnsi="Times New Roman"/>
          <w:bCs/>
          <w:sz w:val="24"/>
          <w:szCs w:val="24"/>
        </w:rPr>
        <w:t>New York State</w:t>
      </w:r>
      <w:r>
        <w:rPr>
          <w:rFonts w:ascii="Times New Roman" w:hAnsi="Times New Roman"/>
          <w:bCs/>
          <w:sz w:val="24"/>
          <w:szCs w:val="24"/>
        </w:rPr>
        <w:t xml:space="preserve">.  </w:t>
      </w:r>
    </w:p>
    <w:p w:rsidR="00B64254" w:rsidRDefault="00B64254" w:rsidP="00B64254">
      <w:pPr>
        <w:autoSpaceDE w:val="0"/>
        <w:autoSpaceDN w:val="0"/>
        <w:adjustRightInd w:val="0"/>
        <w:spacing w:after="0" w:line="240" w:lineRule="auto"/>
        <w:jc w:val="both"/>
        <w:rPr>
          <w:rFonts w:ascii="Times New Roman" w:hAnsi="Times New Roman"/>
          <w:b/>
          <w:bCs/>
          <w:sz w:val="24"/>
          <w:szCs w:val="24"/>
          <w:u w:val="single"/>
        </w:rPr>
      </w:pPr>
    </w:p>
    <w:p w:rsidR="00B64254" w:rsidRPr="00B27D3C" w:rsidRDefault="00B64254" w:rsidP="00B642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Specimen Collection, Submission. Handling and Storage</w:t>
      </w:r>
    </w:p>
    <w:p w:rsidR="00B64254" w:rsidRPr="00A80FBE" w:rsidRDefault="00B64254" w:rsidP="00B64254">
      <w:pPr>
        <w:autoSpaceDE w:val="0"/>
        <w:autoSpaceDN w:val="0"/>
        <w:adjustRightInd w:val="0"/>
        <w:spacing w:after="0" w:line="240" w:lineRule="auto"/>
        <w:jc w:val="both"/>
        <w:rPr>
          <w:rFonts w:ascii="Times New Roman" w:hAnsi="Times New Roman"/>
          <w:b/>
          <w:bCs/>
          <w:sz w:val="16"/>
          <w:szCs w:val="16"/>
          <w:u w:val="single"/>
        </w:rPr>
      </w:pPr>
    </w:p>
    <w:p w:rsidR="00B64254" w:rsidRPr="00EF6555" w:rsidRDefault="00B64254" w:rsidP="00B642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goal of specimen submission, handling and storage is to optimize the accurate and reliable measurement of analytes of interest. </w:t>
      </w:r>
      <w:r>
        <w:rPr>
          <w:rFonts w:ascii="Times New Roman" w:hAnsi="Times New Roman"/>
          <w:bCs/>
          <w:sz w:val="24"/>
          <w:szCs w:val="24"/>
        </w:rPr>
        <w:t xml:space="preserve">The state laboratories will use standardized protocols for collecting, handling and storing of biological specimens (blood and urine).  The blood and urine collection protocols are specific for environmental contaminants and are utilized by the DLS. All blood samples will be drawn by qualified and trained </w:t>
      </w:r>
      <w:r>
        <w:rPr>
          <w:rStyle w:val="st1"/>
          <w:rFonts w:ascii="Times New Roman" w:hAnsi="Times New Roman"/>
          <w:color w:val="222222"/>
          <w:sz w:val="24"/>
          <w:szCs w:val="24"/>
        </w:rPr>
        <w:t>p</w:t>
      </w:r>
      <w:r w:rsidRPr="00C65DB9">
        <w:rPr>
          <w:rStyle w:val="st1"/>
          <w:rFonts w:ascii="Times New Roman" w:hAnsi="Times New Roman"/>
          <w:color w:val="222222"/>
          <w:sz w:val="24"/>
          <w:szCs w:val="24"/>
        </w:rPr>
        <w:t>hlebotomist</w:t>
      </w:r>
      <w:r>
        <w:rPr>
          <w:rStyle w:val="st1"/>
          <w:rFonts w:ascii="Times New Roman" w:hAnsi="Times New Roman"/>
          <w:color w:val="222222"/>
          <w:sz w:val="24"/>
          <w:szCs w:val="24"/>
        </w:rPr>
        <w:t>s</w:t>
      </w:r>
      <w:r>
        <w:rPr>
          <w:rFonts w:ascii="Times New Roman" w:hAnsi="Times New Roman"/>
          <w:bCs/>
          <w:sz w:val="24"/>
          <w:szCs w:val="24"/>
        </w:rPr>
        <w:t>.  Urine specimens will be collected in sterile urine cups. State laboratories will follow their existing chain of custody procedures for receipt of biological specimens.</w:t>
      </w:r>
    </w:p>
    <w:p w:rsidR="00B64254" w:rsidRDefault="00B64254" w:rsidP="00B64254">
      <w:pPr>
        <w:autoSpaceDE w:val="0"/>
        <w:autoSpaceDN w:val="0"/>
        <w:adjustRightInd w:val="0"/>
        <w:spacing w:after="0" w:line="240" w:lineRule="auto"/>
        <w:jc w:val="both"/>
        <w:rPr>
          <w:rFonts w:ascii="Times New Roman" w:hAnsi="Times New Roman"/>
          <w:b/>
          <w:bCs/>
          <w:sz w:val="24"/>
          <w:szCs w:val="24"/>
          <w:u w:val="single"/>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Identification of Specimen</w:t>
      </w:r>
    </w:p>
    <w:p w:rsidR="00B64254" w:rsidRPr="00A80FBE"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Personal identifiers (e.g., names) will not be included on test specimens. The state laboratories will use </w:t>
      </w:r>
      <w:r>
        <w:rPr>
          <w:rFonts w:ascii="Times New Roman" w:hAnsi="Times New Roman"/>
          <w:sz w:val="24"/>
          <w:szCs w:val="24"/>
        </w:rPr>
        <w:t>internal study</w:t>
      </w:r>
      <w:r w:rsidRPr="00D75B0E">
        <w:rPr>
          <w:rFonts w:ascii="Times New Roman" w:hAnsi="Times New Roman"/>
          <w:sz w:val="24"/>
          <w:szCs w:val="24"/>
        </w:rPr>
        <w:t xml:space="preserve"> ID numbers to identify and track individual samples. All labels on speci</w:t>
      </w:r>
      <w:r>
        <w:rPr>
          <w:rFonts w:ascii="Times New Roman" w:hAnsi="Times New Roman"/>
          <w:sz w:val="24"/>
          <w:szCs w:val="24"/>
        </w:rPr>
        <w:t>mens submitted for analysis will</w:t>
      </w:r>
      <w:r w:rsidRPr="00D75B0E">
        <w:rPr>
          <w:rFonts w:ascii="Times New Roman" w:hAnsi="Times New Roman"/>
          <w:sz w:val="24"/>
          <w:szCs w:val="24"/>
        </w:rPr>
        <w:t xml:space="preserve"> be printed in bar-code format with the </w:t>
      </w:r>
      <w:r>
        <w:rPr>
          <w:rFonts w:ascii="Times New Roman" w:hAnsi="Times New Roman"/>
          <w:sz w:val="24"/>
          <w:szCs w:val="24"/>
        </w:rPr>
        <w:t xml:space="preserve">appropriate study ID number. </w:t>
      </w:r>
      <w:r w:rsidRPr="00B202EF">
        <w:rPr>
          <w:rFonts w:ascii="Times New Roman" w:hAnsi="Times New Roman"/>
          <w:sz w:val="24"/>
          <w:szCs w:val="24"/>
        </w:rPr>
        <w:t xml:space="preserve">The master list linking the specimen ID </w:t>
      </w:r>
      <w:r>
        <w:rPr>
          <w:rFonts w:ascii="Times New Roman" w:hAnsi="Times New Roman"/>
          <w:sz w:val="24"/>
          <w:szCs w:val="24"/>
        </w:rPr>
        <w:t>number to the identifying information</w:t>
      </w:r>
      <w:r w:rsidRPr="00B202EF">
        <w:rPr>
          <w:rFonts w:ascii="Times New Roman" w:hAnsi="Times New Roman"/>
          <w:sz w:val="24"/>
          <w:szCs w:val="24"/>
        </w:rPr>
        <w:t xml:space="preserve"> will be maintained </w:t>
      </w:r>
      <w:r>
        <w:rPr>
          <w:rFonts w:ascii="Times New Roman" w:hAnsi="Times New Roman"/>
          <w:sz w:val="24"/>
          <w:szCs w:val="24"/>
        </w:rPr>
        <w:t xml:space="preserve">by </w:t>
      </w:r>
      <w:r w:rsidRPr="00B202EF">
        <w:rPr>
          <w:rFonts w:ascii="Times New Roman" w:hAnsi="Times New Roman"/>
          <w:sz w:val="24"/>
          <w:szCs w:val="24"/>
        </w:rPr>
        <w:t>the PI</w:t>
      </w:r>
      <w:r w:rsidR="00725B78">
        <w:rPr>
          <w:rFonts w:ascii="Times New Roman" w:hAnsi="Times New Roman"/>
          <w:sz w:val="24"/>
          <w:szCs w:val="24"/>
        </w:rPr>
        <w:t>s</w:t>
      </w:r>
      <w:r>
        <w:rPr>
          <w:rFonts w:ascii="Times New Roman" w:hAnsi="Times New Roman"/>
          <w:sz w:val="24"/>
          <w:szCs w:val="24"/>
        </w:rPr>
        <w:t xml:space="preserve"> at</w:t>
      </w:r>
      <w:r w:rsidR="00725B78">
        <w:rPr>
          <w:rFonts w:ascii="Times New Roman" w:hAnsi="Times New Roman"/>
          <w:sz w:val="24"/>
          <w:szCs w:val="24"/>
        </w:rPr>
        <w:t xml:space="preserve"> </w:t>
      </w:r>
      <w:r>
        <w:rPr>
          <w:rFonts w:ascii="Times New Roman" w:hAnsi="Times New Roman"/>
          <w:sz w:val="24"/>
          <w:szCs w:val="24"/>
        </w:rPr>
        <w:t xml:space="preserve">New York State Department of Health (NYSDOH) </w:t>
      </w:r>
      <w:r w:rsidRPr="00B202EF">
        <w:rPr>
          <w:rFonts w:ascii="Times New Roman" w:hAnsi="Times New Roman"/>
          <w:sz w:val="24"/>
          <w:szCs w:val="24"/>
        </w:rPr>
        <w:t>and will be destroyed at the end of the study period.</w:t>
      </w:r>
      <w:r>
        <w:rPr>
          <w:rFonts w:ascii="Times New Roman" w:hAnsi="Times New Roman"/>
          <w:sz w:val="24"/>
          <w:szCs w:val="24"/>
        </w:rPr>
        <w:t xml:space="preserve"> ATSDR will only receive de-identified data.</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4F6451" w:rsidRDefault="00B64254" w:rsidP="00B64254">
      <w:pPr>
        <w:autoSpaceDE w:val="0"/>
        <w:autoSpaceDN w:val="0"/>
        <w:adjustRightInd w:val="0"/>
        <w:spacing w:after="0" w:line="240" w:lineRule="auto"/>
        <w:jc w:val="both"/>
        <w:rPr>
          <w:rFonts w:ascii="Times New Roman" w:hAnsi="Times New Roman"/>
          <w:b/>
          <w:bCs/>
          <w:sz w:val="24"/>
          <w:szCs w:val="24"/>
        </w:rPr>
      </w:pPr>
      <w:r w:rsidRPr="004F6451">
        <w:rPr>
          <w:rFonts w:ascii="Times New Roman" w:hAnsi="Times New Roman"/>
          <w:b/>
          <w:bCs/>
          <w:sz w:val="24"/>
          <w:szCs w:val="24"/>
        </w:rPr>
        <w:t>Quality Control</w:t>
      </w:r>
      <w:r>
        <w:rPr>
          <w:rFonts w:ascii="Times New Roman" w:hAnsi="Times New Roman"/>
          <w:b/>
          <w:bCs/>
          <w:sz w:val="24"/>
          <w:szCs w:val="24"/>
        </w:rPr>
        <w:t xml:space="preserve"> (QC)</w:t>
      </w:r>
    </w:p>
    <w:p w:rsidR="00B64254" w:rsidRPr="005C5721"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In this context, quality control (QC) procedures are fo</w:t>
      </w:r>
      <w:r>
        <w:rPr>
          <w:rFonts w:ascii="Times New Roman" w:hAnsi="Times New Roman"/>
          <w:sz w:val="24"/>
          <w:szCs w:val="24"/>
        </w:rPr>
        <w:t xml:space="preserve">r monitoring and evaluating the </w:t>
      </w:r>
      <w:r w:rsidRPr="00D75B0E">
        <w:rPr>
          <w:rFonts w:ascii="Times New Roman" w:hAnsi="Times New Roman"/>
          <w:sz w:val="24"/>
          <w:szCs w:val="24"/>
        </w:rPr>
        <w:t>quality of the analytical testing process of each method to assure the accur</w:t>
      </w:r>
      <w:r>
        <w:rPr>
          <w:rFonts w:ascii="Times New Roman" w:hAnsi="Times New Roman"/>
          <w:sz w:val="24"/>
          <w:szCs w:val="24"/>
        </w:rPr>
        <w:t xml:space="preserve">acy and reliability of </w:t>
      </w:r>
      <w:r w:rsidRPr="00D75B0E">
        <w:rPr>
          <w:rFonts w:ascii="Times New Roman" w:hAnsi="Times New Roman"/>
          <w:sz w:val="24"/>
          <w:szCs w:val="24"/>
        </w:rPr>
        <w:t>the test results. Thu</w:t>
      </w:r>
      <w:r>
        <w:rPr>
          <w:rFonts w:ascii="Times New Roman" w:hAnsi="Times New Roman"/>
          <w:sz w:val="24"/>
          <w:szCs w:val="24"/>
        </w:rPr>
        <w:t>s, QC procedures referenced in this document</w:t>
      </w:r>
      <w:r w:rsidRPr="00D75B0E">
        <w:rPr>
          <w:rFonts w:ascii="Times New Roman" w:hAnsi="Times New Roman"/>
          <w:sz w:val="24"/>
          <w:szCs w:val="24"/>
        </w:rPr>
        <w:t xml:space="preserve"> refer to the analytical phase of testing </w:t>
      </w:r>
      <w:r w:rsidRPr="00D75B0E">
        <w:rPr>
          <w:rFonts w:ascii="Times New Roman" w:hAnsi="Times New Roman"/>
          <w:sz w:val="24"/>
          <w:szCs w:val="24"/>
        </w:rPr>
        <w:lastRenderedPageBreak/>
        <w:t xml:space="preserve">and do </w:t>
      </w:r>
      <w:r>
        <w:rPr>
          <w:rFonts w:ascii="Times New Roman" w:hAnsi="Times New Roman"/>
          <w:sz w:val="24"/>
          <w:szCs w:val="24"/>
        </w:rPr>
        <w:t xml:space="preserve">not </w:t>
      </w:r>
      <w:r w:rsidRPr="00D75B0E">
        <w:rPr>
          <w:rFonts w:ascii="Times New Roman" w:hAnsi="Times New Roman"/>
          <w:sz w:val="24"/>
          <w:szCs w:val="24"/>
        </w:rPr>
        <w:t>refer to the pre-analytic (e.g., collection) or post-analytic (data analysis) phases. QC as described below is viewed as one part of the overall QA process.</w:t>
      </w:r>
    </w:p>
    <w:p w:rsidR="00B64254" w:rsidRPr="00D75B0E"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4F6451"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4F6451">
        <w:rPr>
          <w:rFonts w:ascii="Times New Roman" w:hAnsi="Times New Roman"/>
          <w:b/>
          <w:bCs/>
          <w:sz w:val="24"/>
          <w:szCs w:val="24"/>
          <w:u w:val="single"/>
        </w:rPr>
        <w:t>Method Specific QC Procedures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Specific QC procedures are written for each analytical method that will be performed by each st</w:t>
      </w:r>
      <w:r>
        <w:rPr>
          <w:rFonts w:ascii="Times New Roman" w:hAnsi="Times New Roman"/>
          <w:sz w:val="24"/>
          <w:szCs w:val="24"/>
        </w:rPr>
        <w:t>ate grantee</w:t>
      </w:r>
      <w:r w:rsidRPr="00D75B0E">
        <w:rPr>
          <w:rFonts w:ascii="Times New Roman" w:hAnsi="Times New Roman"/>
          <w:sz w:val="24"/>
          <w:szCs w:val="24"/>
        </w:rPr>
        <w:t xml:space="preserve">. These procedures are described in the standard operating procedures </w:t>
      </w:r>
      <w:r>
        <w:rPr>
          <w:rFonts w:ascii="Times New Roman" w:hAnsi="Times New Roman"/>
          <w:sz w:val="24"/>
          <w:szCs w:val="24"/>
        </w:rPr>
        <w:t xml:space="preserve">(SOPs) </w:t>
      </w:r>
      <w:r w:rsidRPr="00D75B0E">
        <w:rPr>
          <w:rFonts w:ascii="Times New Roman" w:hAnsi="Times New Roman"/>
          <w:sz w:val="24"/>
          <w:szCs w:val="24"/>
        </w:rPr>
        <w:t xml:space="preserve">that were submitted by </w:t>
      </w:r>
      <w:r>
        <w:rPr>
          <w:rFonts w:ascii="Times New Roman" w:hAnsi="Times New Roman"/>
          <w:sz w:val="24"/>
          <w:szCs w:val="24"/>
        </w:rPr>
        <w:t>the laboratory supervisor (</w:t>
      </w:r>
      <w:r w:rsidR="0012415C" w:rsidRPr="0012415C">
        <w:rPr>
          <w:rFonts w:ascii="Times New Roman" w:hAnsi="Times New Roman"/>
          <w:sz w:val="24"/>
          <w:szCs w:val="24"/>
        </w:rPr>
        <w:t xml:space="preserve">See </w:t>
      </w:r>
      <w:r w:rsidR="0012415C">
        <w:rPr>
          <w:rFonts w:ascii="Times New Roman" w:hAnsi="Times New Roman"/>
          <w:sz w:val="24"/>
          <w:szCs w:val="24"/>
        </w:rPr>
        <w:t>Attachment 7e</w:t>
      </w:r>
      <w:r>
        <w:rPr>
          <w:rFonts w:ascii="Times New Roman" w:hAnsi="Times New Roman"/>
          <w:sz w:val="24"/>
          <w:szCs w:val="24"/>
        </w:rPr>
        <w:t xml:space="preserve">). </w:t>
      </w:r>
      <w:r w:rsidRPr="00D75B0E">
        <w:rPr>
          <w:rFonts w:ascii="Times New Roman" w:hAnsi="Times New Roman"/>
          <w:sz w:val="24"/>
          <w:szCs w:val="24"/>
        </w:rPr>
        <w:t>Some general aspects of QC procedures are described below.</w:t>
      </w:r>
    </w:p>
    <w:p w:rsidR="00B64254" w:rsidRPr="00D75B0E"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604A87"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604A87">
        <w:rPr>
          <w:rFonts w:ascii="Times New Roman" w:hAnsi="Times New Roman"/>
          <w:b/>
          <w:bCs/>
          <w:sz w:val="24"/>
          <w:szCs w:val="24"/>
          <w:u w:val="single"/>
        </w:rPr>
        <w:t>QC definitions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1) </w:t>
      </w:r>
      <w:r w:rsidRPr="00D75B0E">
        <w:rPr>
          <w:rFonts w:ascii="Times New Roman" w:hAnsi="Times New Roman"/>
          <w:b/>
          <w:bCs/>
          <w:sz w:val="24"/>
          <w:szCs w:val="24"/>
        </w:rPr>
        <w:t xml:space="preserve">Internal ("bench") quality control </w:t>
      </w:r>
      <w:r w:rsidRPr="00D75B0E">
        <w:rPr>
          <w:rFonts w:ascii="Times New Roman" w:hAnsi="Times New Roman"/>
          <w:sz w:val="24"/>
          <w:szCs w:val="24"/>
        </w:rPr>
        <w:t>- internal quality control (QC) is the evaluation of analytical performance that includes QC samples for which the analyst knows the expected measurement result. Internal quality control materials that are made by weighing or spiking (adding in) a known amount of analyte into the matrix qualify under CLIA as "calibration materials" and may be used in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"calibration verification". Internal QC materials may also evaluate particular aspects of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method performance, such as a "blank"(or zero concentration) internal QC material.</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2) </w:t>
      </w:r>
      <w:r w:rsidRPr="00D75B0E">
        <w:rPr>
          <w:rFonts w:ascii="Times New Roman" w:hAnsi="Times New Roman"/>
          <w:b/>
          <w:bCs/>
          <w:sz w:val="24"/>
          <w:szCs w:val="24"/>
        </w:rPr>
        <w:t xml:space="preserve">External ("blind") quality control </w:t>
      </w:r>
      <w:r w:rsidRPr="00D75B0E">
        <w:rPr>
          <w:rFonts w:ascii="Times New Roman" w:hAnsi="Times New Roman"/>
          <w:sz w:val="24"/>
          <w:szCs w:val="24"/>
        </w:rPr>
        <w:t xml:space="preserve">-external quality control is the evaluation of analytical performance that includes QC samples for which the analyst does </w:t>
      </w:r>
      <w:r w:rsidRPr="00D75B0E">
        <w:rPr>
          <w:rFonts w:ascii="Times New Roman" w:hAnsi="Times New Roman"/>
          <w:i/>
          <w:iCs/>
          <w:sz w:val="24"/>
          <w:szCs w:val="24"/>
        </w:rPr>
        <w:t xml:space="preserve">not </w:t>
      </w:r>
      <w:r w:rsidRPr="00D75B0E">
        <w:rPr>
          <w:rFonts w:ascii="Times New Roman" w:hAnsi="Times New Roman"/>
          <w:sz w:val="24"/>
          <w:szCs w:val="24"/>
        </w:rPr>
        <w:t>know the expected measurement result. The analyst is "blind" to the expected measurement result. A "blank" QC material is not an acceptable external ("blind") QC material, although it is an appropriate internal ("bench") QC material.</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Standards are acceptable external ("blind") QC specimens</w:t>
      </w:r>
      <w:r>
        <w:rPr>
          <w:rFonts w:ascii="Times New Roman" w:hAnsi="Times New Roman"/>
          <w:sz w:val="24"/>
          <w:szCs w:val="24"/>
        </w:rPr>
        <w:t xml:space="preserve"> providing the analyst does not </w:t>
      </w:r>
      <w:r w:rsidRPr="00D75B0E">
        <w:rPr>
          <w:rFonts w:ascii="Times New Roman" w:hAnsi="Times New Roman"/>
          <w:sz w:val="24"/>
          <w:szCs w:val="24"/>
        </w:rPr>
        <w:t>know the expected result for the standard.</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3) </w:t>
      </w:r>
      <w:r w:rsidRPr="00D75B0E">
        <w:rPr>
          <w:rFonts w:ascii="Times New Roman" w:hAnsi="Times New Roman"/>
          <w:b/>
          <w:bCs/>
          <w:sz w:val="24"/>
          <w:szCs w:val="24"/>
        </w:rPr>
        <w:t xml:space="preserve">Proficiency testing </w:t>
      </w:r>
      <w:r w:rsidRPr="00D75B0E">
        <w:rPr>
          <w:rFonts w:ascii="Times New Roman" w:hAnsi="Times New Roman"/>
          <w:sz w:val="24"/>
          <w:szCs w:val="24"/>
        </w:rPr>
        <w:t>- proficiency testing is one kind of external quality control in which the analytical performance of a method is evaluated using specimens provided on a periodic basis (usually every 3 or 6 months).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4) </w:t>
      </w:r>
      <w:r w:rsidRPr="00D75B0E">
        <w:rPr>
          <w:rFonts w:ascii="Times New Roman" w:hAnsi="Times New Roman"/>
          <w:b/>
          <w:bCs/>
          <w:sz w:val="24"/>
          <w:szCs w:val="24"/>
        </w:rPr>
        <w:t xml:space="preserve">Analytical run </w:t>
      </w:r>
      <w:r w:rsidRPr="00D75B0E">
        <w:rPr>
          <w:rFonts w:ascii="Times New Roman" w:hAnsi="Times New Roman"/>
          <w:sz w:val="24"/>
          <w:szCs w:val="24"/>
        </w:rPr>
        <w:t>(sometimes referred to just as a run) - a s</w:t>
      </w:r>
      <w:r>
        <w:rPr>
          <w:rFonts w:ascii="Times New Roman" w:hAnsi="Times New Roman"/>
          <w:sz w:val="24"/>
          <w:szCs w:val="24"/>
        </w:rPr>
        <w:t xml:space="preserve">et of samples that are analyzed </w:t>
      </w:r>
      <w:r w:rsidRPr="00D75B0E">
        <w:rPr>
          <w:rFonts w:ascii="Times New Roman" w:hAnsi="Times New Roman"/>
          <w:sz w:val="24"/>
          <w:szCs w:val="24"/>
        </w:rPr>
        <w:t>in a time period within which the measurement syst</w:t>
      </w:r>
      <w:r>
        <w:rPr>
          <w:rFonts w:ascii="Times New Roman" w:hAnsi="Times New Roman"/>
          <w:sz w:val="24"/>
          <w:szCs w:val="24"/>
        </w:rPr>
        <w:t xml:space="preserve">em is considered to have stable </w:t>
      </w:r>
      <w:r w:rsidRPr="00D75B0E">
        <w:rPr>
          <w:rFonts w:ascii="Times New Roman" w:hAnsi="Times New Roman"/>
          <w:sz w:val="24"/>
          <w:szCs w:val="24"/>
        </w:rPr>
        <w:t xml:space="preserve">accuracy and precision. The time period </w:t>
      </w:r>
      <w:r>
        <w:rPr>
          <w:rFonts w:ascii="Times New Roman" w:hAnsi="Times New Roman"/>
          <w:sz w:val="24"/>
          <w:szCs w:val="24"/>
        </w:rPr>
        <w:t xml:space="preserve">for a run may not exceed 24 hours. An </w:t>
      </w:r>
      <w:r w:rsidRPr="00D75B0E">
        <w:rPr>
          <w:rFonts w:ascii="Times New Roman" w:hAnsi="Times New Roman"/>
          <w:sz w:val="24"/>
          <w:szCs w:val="24"/>
        </w:rPr>
        <w:t xml:space="preserve">analytical run </w:t>
      </w:r>
      <w:r>
        <w:rPr>
          <w:rFonts w:ascii="Times New Roman" w:hAnsi="Times New Roman"/>
          <w:sz w:val="24"/>
          <w:szCs w:val="24"/>
        </w:rPr>
        <w:t xml:space="preserve">will </w:t>
      </w:r>
      <w:r w:rsidRPr="00D75B0E">
        <w:rPr>
          <w:rFonts w:ascii="Times New Roman" w:hAnsi="Times New Roman"/>
          <w:sz w:val="24"/>
          <w:szCs w:val="24"/>
        </w:rPr>
        <w:t xml:space="preserve">consist of both quality control specimens and participant </w:t>
      </w:r>
      <w:r>
        <w:rPr>
          <w:rFonts w:ascii="Times New Roman" w:hAnsi="Times New Roman"/>
          <w:sz w:val="24"/>
          <w:szCs w:val="24"/>
        </w:rPr>
        <w:t xml:space="preserve">specimens. When an </w:t>
      </w:r>
      <w:r w:rsidRPr="00D75B0E">
        <w:rPr>
          <w:rFonts w:ascii="Times New Roman" w:hAnsi="Times New Roman"/>
          <w:sz w:val="24"/>
          <w:szCs w:val="24"/>
        </w:rPr>
        <w:t>analysis requires multiple steps that may require periods longer than 24 hours (e.g.</w:t>
      </w:r>
      <w:r>
        <w:rPr>
          <w:rFonts w:ascii="Times New Roman" w:hAnsi="Times New Roman"/>
          <w:sz w:val="24"/>
          <w:szCs w:val="24"/>
        </w:rPr>
        <w:t xml:space="preserve"> </w:t>
      </w:r>
      <w:r w:rsidRPr="00D75B0E">
        <w:rPr>
          <w:rFonts w:ascii="Times New Roman" w:hAnsi="Times New Roman"/>
          <w:sz w:val="24"/>
          <w:szCs w:val="24"/>
        </w:rPr>
        <w:t>extensive sample preparation followed by gas chr</w:t>
      </w:r>
      <w:r>
        <w:rPr>
          <w:rFonts w:ascii="Times New Roman" w:hAnsi="Times New Roman"/>
          <w:sz w:val="24"/>
          <w:szCs w:val="24"/>
        </w:rPr>
        <w:t xml:space="preserve">omatography - mass spectrometry </w:t>
      </w:r>
      <w:r w:rsidRPr="00D75B0E">
        <w:rPr>
          <w:rFonts w:ascii="Times New Roman" w:hAnsi="Times New Roman"/>
          <w:sz w:val="24"/>
          <w:szCs w:val="24"/>
        </w:rPr>
        <w:t>analysis), the time period for analysis of a run on the analytical instrumentation (e.g., mass spectrometer) shall not exceed 24 hours.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bCs/>
          <w:sz w:val="24"/>
          <w:szCs w:val="24"/>
        </w:rPr>
        <w:t>5)</w:t>
      </w:r>
      <w:r w:rsidRPr="00D75B0E">
        <w:rPr>
          <w:rFonts w:ascii="Times New Roman" w:hAnsi="Times New Roman"/>
          <w:b/>
          <w:bCs/>
          <w:sz w:val="24"/>
          <w:szCs w:val="24"/>
        </w:rPr>
        <w:t xml:space="preserve"> Calibration </w:t>
      </w:r>
      <w:r w:rsidRPr="00D75B0E">
        <w:rPr>
          <w:rFonts w:ascii="Times New Roman" w:hAnsi="Times New Roman"/>
          <w:sz w:val="24"/>
          <w:szCs w:val="24"/>
        </w:rPr>
        <w:t>- defined by CLIA as "the process of testing and ad</w:t>
      </w:r>
      <w:r>
        <w:rPr>
          <w:rFonts w:ascii="Times New Roman" w:hAnsi="Times New Roman"/>
          <w:sz w:val="24"/>
          <w:szCs w:val="24"/>
        </w:rPr>
        <w:t xml:space="preserve">justing an instrument, kit </w:t>
      </w:r>
      <w:r w:rsidRPr="00D75B0E">
        <w:rPr>
          <w:rFonts w:ascii="Times New Roman" w:hAnsi="Times New Roman"/>
          <w:sz w:val="24"/>
          <w:szCs w:val="24"/>
        </w:rPr>
        <w:t>or test system to provide a known relationship betwe</w:t>
      </w:r>
      <w:r>
        <w:rPr>
          <w:rFonts w:ascii="Times New Roman" w:hAnsi="Times New Roman"/>
          <w:sz w:val="24"/>
          <w:szCs w:val="24"/>
        </w:rPr>
        <w:t xml:space="preserve">en the measurement response and </w:t>
      </w:r>
      <w:r w:rsidRPr="00D75B0E">
        <w:rPr>
          <w:rFonts w:ascii="Times New Roman" w:hAnsi="Times New Roman"/>
          <w:sz w:val="24"/>
          <w:szCs w:val="24"/>
        </w:rPr>
        <w:t>the value of the substance that is being measured by the test procedure."</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6) </w:t>
      </w:r>
      <w:r w:rsidRPr="00D75B0E">
        <w:rPr>
          <w:rFonts w:ascii="Times New Roman" w:hAnsi="Times New Roman"/>
          <w:b/>
          <w:bCs/>
          <w:sz w:val="24"/>
          <w:szCs w:val="24"/>
        </w:rPr>
        <w:t xml:space="preserve">Calibration material </w:t>
      </w:r>
      <w:r w:rsidRPr="00D75B0E">
        <w:rPr>
          <w:rFonts w:ascii="Times New Roman" w:hAnsi="Times New Roman"/>
          <w:sz w:val="24"/>
          <w:szCs w:val="24"/>
        </w:rPr>
        <w:t>- defined by CLIA as "a solution which has a k</w:t>
      </w:r>
      <w:r>
        <w:rPr>
          <w:rFonts w:ascii="Times New Roman" w:hAnsi="Times New Roman"/>
          <w:sz w:val="24"/>
          <w:szCs w:val="24"/>
        </w:rPr>
        <w:t xml:space="preserve">nown amount of </w:t>
      </w:r>
      <w:r w:rsidRPr="00D75B0E">
        <w:rPr>
          <w:rFonts w:ascii="Times New Roman" w:hAnsi="Times New Roman"/>
          <w:sz w:val="24"/>
          <w:szCs w:val="24"/>
        </w:rPr>
        <w:t>pure analyte weighed in, or has a value determined by repet</w:t>
      </w:r>
      <w:r>
        <w:rPr>
          <w:rFonts w:ascii="Times New Roman" w:hAnsi="Times New Roman"/>
          <w:sz w:val="24"/>
          <w:szCs w:val="24"/>
        </w:rPr>
        <w:t xml:space="preserve">itive testing using a reference </w:t>
      </w:r>
      <w:r w:rsidRPr="00D75B0E">
        <w:rPr>
          <w:rFonts w:ascii="Times New Roman" w:hAnsi="Times New Roman"/>
          <w:sz w:val="24"/>
          <w:szCs w:val="24"/>
        </w:rPr>
        <w:t>or definitive test method". Many standards are therefor</w:t>
      </w:r>
      <w:r>
        <w:rPr>
          <w:rFonts w:ascii="Times New Roman" w:hAnsi="Times New Roman"/>
          <w:sz w:val="24"/>
          <w:szCs w:val="24"/>
        </w:rPr>
        <w:t xml:space="preserve">e “calibration materials.” NIST </w:t>
      </w:r>
      <w:r w:rsidRPr="00D75B0E">
        <w:rPr>
          <w:rFonts w:ascii="Times New Roman" w:hAnsi="Times New Roman"/>
          <w:sz w:val="24"/>
          <w:szCs w:val="24"/>
        </w:rPr>
        <w:t>SRMs and other SRMs qualify as calibration materials.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7) </w:t>
      </w:r>
      <w:r w:rsidRPr="00D75B0E">
        <w:rPr>
          <w:rFonts w:ascii="Times New Roman" w:hAnsi="Times New Roman"/>
          <w:b/>
          <w:bCs/>
          <w:sz w:val="24"/>
          <w:szCs w:val="24"/>
        </w:rPr>
        <w:t xml:space="preserve">Calibration verification </w:t>
      </w:r>
      <w:r w:rsidRPr="00D75B0E">
        <w:rPr>
          <w:rFonts w:ascii="Times New Roman" w:hAnsi="Times New Roman"/>
          <w:sz w:val="24"/>
          <w:szCs w:val="24"/>
        </w:rPr>
        <w:t>- defined by CLIA as "the assay</w:t>
      </w:r>
      <w:r>
        <w:rPr>
          <w:rFonts w:ascii="Times New Roman" w:hAnsi="Times New Roman"/>
          <w:sz w:val="24"/>
          <w:szCs w:val="24"/>
        </w:rPr>
        <w:t xml:space="preserve">ing of calibration materials in </w:t>
      </w:r>
      <w:r w:rsidRPr="00D75B0E">
        <w:rPr>
          <w:rFonts w:ascii="Times New Roman" w:hAnsi="Times New Roman"/>
          <w:sz w:val="24"/>
          <w:szCs w:val="24"/>
        </w:rPr>
        <w:t>the same manner as patient (participant’s) samples to confirm that the cali</w:t>
      </w:r>
      <w:r>
        <w:rPr>
          <w:rFonts w:ascii="Times New Roman" w:hAnsi="Times New Roman"/>
          <w:sz w:val="24"/>
          <w:szCs w:val="24"/>
        </w:rPr>
        <w:t xml:space="preserve">bration of the instrument, kit, </w:t>
      </w:r>
      <w:r w:rsidRPr="00D75B0E">
        <w:rPr>
          <w:rFonts w:ascii="Times New Roman" w:hAnsi="Times New Roman"/>
          <w:sz w:val="24"/>
          <w:szCs w:val="24"/>
        </w:rPr>
        <w:t>or test system has remained stable throughout the laboratory's reportable range for patient (participant’s) test results</w:t>
      </w:r>
      <w:r>
        <w:rPr>
          <w:rFonts w:ascii="Times New Roman" w:hAnsi="Times New Roman"/>
          <w:sz w:val="24"/>
          <w:szCs w:val="24"/>
        </w:rPr>
        <w:t>.</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r w:rsidRPr="00213D98">
        <w:rPr>
          <w:rFonts w:ascii="Times New Roman" w:hAnsi="Times New Roman"/>
          <w:b/>
          <w:bCs/>
          <w:sz w:val="24"/>
          <w:szCs w:val="24"/>
        </w:rPr>
        <w:t>QC Requirements of Each Analytical Run and Choice of QC Concentrations</w:t>
      </w:r>
    </w:p>
    <w:p w:rsidR="00B64254" w:rsidRPr="00213D98"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Analysis of patient </w:t>
      </w:r>
      <w:r>
        <w:rPr>
          <w:rFonts w:ascii="Times New Roman" w:hAnsi="Times New Roman"/>
          <w:sz w:val="24"/>
          <w:szCs w:val="24"/>
        </w:rPr>
        <w:t xml:space="preserve">(participants) </w:t>
      </w:r>
      <w:r w:rsidRPr="00D75B0E">
        <w:rPr>
          <w:rFonts w:ascii="Times New Roman" w:hAnsi="Times New Roman"/>
          <w:sz w:val="24"/>
          <w:szCs w:val="24"/>
        </w:rPr>
        <w:t xml:space="preserve">samples is organized into analytical runs. </w:t>
      </w:r>
      <w:r>
        <w:rPr>
          <w:rFonts w:ascii="Times New Roman" w:hAnsi="Times New Roman"/>
          <w:sz w:val="24"/>
          <w:szCs w:val="24"/>
        </w:rPr>
        <w:t>W</w:t>
      </w:r>
      <w:r w:rsidRPr="00D75B0E">
        <w:rPr>
          <w:rFonts w:ascii="Times New Roman" w:hAnsi="Times New Roman"/>
          <w:sz w:val="24"/>
          <w:szCs w:val="24"/>
        </w:rPr>
        <w:t>hen analyzing participant specimens</w:t>
      </w:r>
      <w:r>
        <w:rPr>
          <w:rFonts w:ascii="Times New Roman" w:hAnsi="Times New Roman"/>
          <w:sz w:val="24"/>
          <w:szCs w:val="24"/>
        </w:rPr>
        <w:t xml:space="preserve">, </w:t>
      </w:r>
      <w:r w:rsidRPr="00D75B0E">
        <w:rPr>
          <w:rFonts w:ascii="Times New Roman" w:hAnsi="Times New Roman"/>
          <w:sz w:val="24"/>
          <w:szCs w:val="24"/>
        </w:rPr>
        <w:t>the</w:t>
      </w:r>
      <w:r>
        <w:rPr>
          <w:rFonts w:ascii="Times New Roman" w:hAnsi="Times New Roman"/>
          <w:sz w:val="24"/>
          <w:szCs w:val="24"/>
        </w:rPr>
        <w:t xml:space="preserve"> minimum QC </w:t>
      </w:r>
      <w:r w:rsidRPr="00D75B0E">
        <w:rPr>
          <w:rFonts w:ascii="Times New Roman" w:hAnsi="Times New Roman"/>
          <w:sz w:val="24"/>
          <w:szCs w:val="24"/>
        </w:rPr>
        <w:t>requirement</w:t>
      </w:r>
      <w:r>
        <w:rPr>
          <w:rFonts w:ascii="Times New Roman" w:hAnsi="Times New Roman"/>
          <w:sz w:val="24"/>
          <w:szCs w:val="24"/>
        </w:rPr>
        <w:t>s</w:t>
      </w:r>
      <w:r w:rsidRPr="00D75B0E">
        <w:rPr>
          <w:rFonts w:ascii="Times New Roman" w:hAnsi="Times New Roman"/>
          <w:sz w:val="24"/>
          <w:szCs w:val="24"/>
        </w:rPr>
        <w:t xml:space="preserve"> for an analytical run that is that the run must include at least two internal ("bench") QC specimens, one of which may be a blank QC specimen. Additional</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QC specimens may be added to meet the quality needs of a particular method.</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604A87" w:rsidRDefault="00B64254" w:rsidP="00B64254">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Overview of the Relationship between Internal QC, P</w:t>
      </w:r>
      <w:r w:rsidRPr="00604A87">
        <w:rPr>
          <w:rFonts w:ascii="Times New Roman" w:hAnsi="Times New Roman"/>
          <w:b/>
          <w:bCs/>
          <w:sz w:val="24"/>
          <w:szCs w:val="24"/>
          <w:u w:val="single"/>
        </w:rPr>
        <w:t>rof</w:t>
      </w:r>
      <w:r>
        <w:rPr>
          <w:rFonts w:ascii="Times New Roman" w:hAnsi="Times New Roman"/>
          <w:b/>
          <w:bCs/>
          <w:sz w:val="24"/>
          <w:szCs w:val="24"/>
          <w:u w:val="single"/>
        </w:rPr>
        <w:t>iciency Testing and E</w:t>
      </w:r>
      <w:r w:rsidRPr="00604A87">
        <w:rPr>
          <w:rFonts w:ascii="Times New Roman" w:hAnsi="Times New Roman"/>
          <w:b/>
          <w:bCs/>
          <w:sz w:val="24"/>
          <w:szCs w:val="24"/>
          <w:u w:val="single"/>
        </w:rPr>
        <w:t>xternal QC</w:t>
      </w:r>
    </w:p>
    <w:p w:rsidR="00B64254" w:rsidRDefault="00B64254" w:rsidP="00B64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Pr="00D75B0E">
        <w:rPr>
          <w:rFonts w:ascii="Times New Roman" w:hAnsi="Times New Roman"/>
          <w:sz w:val="24"/>
          <w:szCs w:val="24"/>
        </w:rPr>
        <w:t>o be sure each analytical run is in control</w:t>
      </w:r>
      <w:r>
        <w:rPr>
          <w:rFonts w:ascii="Times New Roman" w:hAnsi="Times New Roman"/>
          <w:bCs/>
          <w:sz w:val="24"/>
          <w:szCs w:val="24"/>
        </w:rPr>
        <w:t>, t</w:t>
      </w:r>
      <w:r w:rsidRPr="00D75B0E">
        <w:rPr>
          <w:rFonts w:ascii="Times New Roman" w:hAnsi="Times New Roman"/>
          <w:bCs/>
          <w:sz w:val="24"/>
          <w:szCs w:val="24"/>
        </w:rPr>
        <w:t>he</w:t>
      </w:r>
      <w:r w:rsidRPr="00D75B0E">
        <w:rPr>
          <w:rFonts w:ascii="Times New Roman" w:hAnsi="Times New Roman"/>
          <w:b/>
          <w:bCs/>
          <w:sz w:val="24"/>
          <w:szCs w:val="24"/>
        </w:rPr>
        <w:t xml:space="preserve"> </w:t>
      </w:r>
      <w:r w:rsidRPr="00D75B0E">
        <w:rPr>
          <w:rFonts w:ascii="Times New Roman" w:hAnsi="Times New Roman"/>
          <w:sz w:val="24"/>
          <w:szCs w:val="24"/>
        </w:rPr>
        <w:t>laboratory quality control programs include internal (“bench”) QC in each</w:t>
      </w:r>
      <w:r>
        <w:rPr>
          <w:rFonts w:ascii="Times New Roman" w:hAnsi="Times New Roman"/>
          <w:b/>
          <w:bCs/>
          <w:sz w:val="24"/>
          <w:szCs w:val="24"/>
        </w:rPr>
        <w:t xml:space="preserve"> </w:t>
      </w:r>
      <w:r w:rsidRPr="00D75B0E">
        <w:rPr>
          <w:rFonts w:ascii="Times New Roman" w:hAnsi="Times New Roman"/>
          <w:sz w:val="24"/>
          <w:szCs w:val="24"/>
        </w:rPr>
        <w:t xml:space="preserve">analytical run. </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604A87"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604A87">
        <w:rPr>
          <w:rFonts w:ascii="Times New Roman" w:hAnsi="Times New Roman"/>
          <w:b/>
          <w:bCs/>
          <w:sz w:val="24"/>
          <w:szCs w:val="24"/>
          <w:u w:val="single"/>
        </w:rPr>
        <w:t>Internal ("bench") QC</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The goal of internal QC is to provide a rapid feedback to</w:t>
      </w:r>
      <w:r>
        <w:rPr>
          <w:rFonts w:ascii="Times New Roman" w:hAnsi="Times New Roman"/>
          <w:sz w:val="24"/>
          <w:szCs w:val="24"/>
        </w:rPr>
        <w:t xml:space="preserve"> the analyst on the performance </w:t>
      </w:r>
      <w:r w:rsidRPr="00D75B0E">
        <w:rPr>
          <w:rFonts w:ascii="Times New Roman" w:hAnsi="Times New Roman"/>
          <w:sz w:val="24"/>
          <w:szCs w:val="24"/>
        </w:rPr>
        <w:t>of the measurement process to be sure analytical results and facto</w:t>
      </w:r>
      <w:r>
        <w:rPr>
          <w:rFonts w:ascii="Times New Roman" w:hAnsi="Times New Roman"/>
          <w:sz w:val="24"/>
          <w:szCs w:val="24"/>
        </w:rPr>
        <w:t xml:space="preserve">rs affecting analytical results </w:t>
      </w:r>
      <w:r w:rsidRPr="00D75B0E">
        <w:rPr>
          <w:rFonts w:ascii="Times New Roman" w:hAnsi="Times New Roman"/>
          <w:sz w:val="24"/>
          <w:szCs w:val="24"/>
        </w:rPr>
        <w:t>are within acceptable limits. At least two internal QC spe</w:t>
      </w:r>
      <w:r>
        <w:rPr>
          <w:rFonts w:ascii="Times New Roman" w:hAnsi="Times New Roman"/>
          <w:sz w:val="24"/>
          <w:szCs w:val="24"/>
        </w:rPr>
        <w:t xml:space="preserve">cimens must be included in each </w:t>
      </w:r>
      <w:r w:rsidRPr="00D75B0E">
        <w:rPr>
          <w:rFonts w:ascii="Times New Roman" w:hAnsi="Times New Roman"/>
          <w:sz w:val="24"/>
          <w:szCs w:val="24"/>
        </w:rPr>
        <w:t>analytical run, one of which may be a QC blank specimen. The Q</w:t>
      </w:r>
      <w:r>
        <w:rPr>
          <w:rFonts w:ascii="Times New Roman" w:hAnsi="Times New Roman"/>
          <w:sz w:val="24"/>
          <w:szCs w:val="24"/>
        </w:rPr>
        <w:t xml:space="preserve">C material used for an internal </w:t>
      </w:r>
      <w:r w:rsidRPr="00D75B0E">
        <w:rPr>
          <w:rFonts w:ascii="Times New Roman" w:hAnsi="Times New Roman"/>
          <w:sz w:val="24"/>
          <w:szCs w:val="24"/>
        </w:rPr>
        <w:t>QC specimen may be a CLIA calibration material (i.e., "a solut</w:t>
      </w:r>
      <w:r>
        <w:rPr>
          <w:rFonts w:ascii="Times New Roman" w:hAnsi="Times New Roman"/>
          <w:sz w:val="24"/>
          <w:szCs w:val="24"/>
        </w:rPr>
        <w:t xml:space="preserve">ion which has a known amount of </w:t>
      </w:r>
      <w:r w:rsidRPr="00D75B0E">
        <w:rPr>
          <w:rFonts w:ascii="Times New Roman" w:hAnsi="Times New Roman"/>
          <w:sz w:val="24"/>
          <w:szCs w:val="24"/>
        </w:rPr>
        <w:t>analyte weighed in or has a value determined by repetitive testing using a reference or definiti</w:t>
      </w:r>
      <w:r>
        <w:rPr>
          <w:rFonts w:ascii="Times New Roman" w:hAnsi="Times New Roman"/>
          <w:sz w:val="24"/>
          <w:szCs w:val="24"/>
        </w:rPr>
        <w:t xml:space="preserve">ve </w:t>
      </w:r>
      <w:r w:rsidRPr="00D75B0E">
        <w:rPr>
          <w:rFonts w:ascii="Times New Roman" w:hAnsi="Times New Roman"/>
          <w:sz w:val="24"/>
          <w:szCs w:val="24"/>
        </w:rPr>
        <w:t>test method"), or other material that has levels of the analyte</w:t>
      </w:r>
      <w:r>
        <w:rPr>
          <w:rFonts w:ascii="Times New Roman" w:hAnsi="Times New Roman"/>
          <w:sz w:val="24"/>
          <w:szCs w:val="24"/>
        </w:rPr>
        <w:t xml:space="preserve"> that are useful for monitoring </w:t>
      </w:r>
      <w:r w:rsidRPr="00D75B0E">
        <w:rPr>
          <w:rFonts w:ascii="Times New Roman" w:hAnsi="Times New Roman"/>
          <w:sz w:val="24"/>
          <w:szCs w:val="24"/>
        </w:rPr>
        <w:t>method performance.</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This QC specimen must be characterized by at least</w:t>
      </w:r>
      <w:r>
        <w:rPr>
          <w:rFonts w:ascii="Times New Roman" w:hAnsi="Times New Roman"/>
          <w:sz w:val="24"/>
          <w:szCs w:val="24"/>
        </w:rPr>
        <w:t xml:space="preserve"> twenty (20) analytical runs to </w:t>
      </w:r>
      <w:r w:rsidRPr="00D75B0E">
        <w:rPr>
          <w:rFonts w:ascii="Times New Roman" w:hAnsi="Times New Roman"/>
          <w:sz w:val="24"/>
          <w:szCs w:val="24"/>
        </w:rPr>
        <w:t>determine appropriate QC parameters before it is used in the</w:t>
      </w:r>
      <w:r>
        <w:rPr>
          <w:rFonts w:ascii="Times New Roman" w:hAnsi="Times New Roman"/>
          <w:sz w:val="24"/>
          <w:szCs w:val="24"/>
        </w:rPr>
        <w:t xml:space="preserve"> QC process. Results from these </w:t>
      </w:r>
      <w:r w:rsidRPr="00D75B0E">
        <w:rPr>
          <w:rFonts w:ascii="Times New Roman" w:hAnsi="Times New Roman"/>
          <w:sz w:val="24"/>
          <w:szCs w:val="24"/>
        </w:rPr>
        <w:t xml:space="preserve">twenty (20) runs are used to determine the concentration of </w:t>
      </w:r>
      <w:r>
        <w:rPr>
          <w:rFonts w:ascii="Times New Roman" w:hAnsi="Times New Roman"/>
          <w:sz w:val="24"/>
          <w:szCs w:val="24"/>
        </w:rPr>
        <w:t xml:space="preserve">the analyte of interest and the </w:t>
      </w:r>
      <w:r w:rsidRPr="00D75B0E">
        <w:rPr>
          <w:rFonts w:ascii="Times New Roman" w:hAnsi="Times New Roman"/>
          <w:sz w:val="24"/>
          <w:szCs w:val="24"/>
        </w:rPr>
        <w:t>precision of the laboratory method, which is r</w:t>
      </w:r>
      <w:r>
        <w:rPr>
          <w:rFonts w:ascii="Times New Roman" w:hAnsi="Times New Roman"/>
          <w:sz w:val="24"/>
          <w:szCs w:val="24"/>
        </w:rPr>
        <w:t xml:space="preserve">equired to establish QC limits. </w:t>
      </w:r>
      <w:r w:rsidRPr="00D75B0E">
        <w:rPr>
          <w:rFonts w:ascii="Times New Roman" w:hAnsi="Times New Roman"/>
          <w:sz w:val="24"/>
          <w:szCs w:val="24"/>
        </w:rPr>
        <w:t xml:space="preserve">Standard </w:t>
      </w:r>
      <w:proofErr w:type="spellStart"/>
      <w:r w:rsidRPr="00D75B0E">
        <w:rPr>
          <w:rFonts w:ascii="Times New Roman" w:hAnsi="Times New Roman"/>
          <w:sz w:val="24"/>
          <w:szCs w:val="24"/>
        </w:rPr>
        <w:t>Shewhart</w:t>
      </w:r>
      <w:proofErr w:type="spellEnd"/>
      <w:r w:rsidRPr="00D75B0E">
        <w:rPr>
          <w:rFonts w:ascii="Times New Roman" w:hAnsi="Times New Roman"/>
          <w:sz w:val="24"/>
          <w:szCs w:val="24"/>
        </w:rPr>
        <w:t xml:space="preserve"> QC charts are maintained for this i</w:t>
      </w:r>
      <w:r>
        <w:rPr>
          <w:rFonts w:ascii="Times New Roman" w:hAnsi="Times New Roman"/>
          <w:sz w:val="24"/>
          <w:szCs w:val="24"/>
        </w:rPr>
        <w:t xml:space="preserve">nternal QC specimen. A separate </w:t>
      </w:r>
      <w:r w:rsidRPr="00D75B0E">
        <w:rPr>
          <w:rFonts w:ascii="Times New Roman" w:hAnsi="Times New Roman"/>
          <w:sz w:val="24"/>
          <w:szCs w:val="24"/>
        </w:rPr>
        <w:t>QC chart is to be maintained for each QC material used for this</w:t>
      </w:r>
      <w:r>
        <w:rPr>
          <w:rFonts w:ascii="Times New Roman" w:hAnsi="Times New Roman"/>
          <w:sz w:val="24"/>
          <w:szCs w:val="24"/>
        </w:rPr>
        <w:t xml:space="preserve"> internal QC specimen. Standard </w:t>
      </w:r>
      <w:r w:rsidRPr="00D75B0E">
        <w:rPr>
          <w:rFonts w:ascii="Times New Roman" w:hAnsi="Times New Roman"/>
          <w:sz w:val="24"/>
          <w:szCs w:val="24"/>
        </w:rPr>
        <w:t xml:space="preserve">criteria for run rejection based on statistical probabilities are used to </w:t>
      </w:r>
      <w:r>
        <w:rPr>
          <w:rFonts w:ascii="Times New Roman" w:hAnsi="Times New Roman"/>
          <w:sz w:val="24"/>
          <w:szCs w:val="24"/>
        </w:rPr>
        <w:t xml:space="preserve">declare a run either in control </w:t>
      </w:r>
      <w:r w:rsidRPr="00D75B0E">
        <w:rPr>
          <w:rFonts w:ascii="Times New Roman" w:hAnsi="Times New Roman"/>
          <w:sz w:val="24"/>
          <w:szCs w:val="24"/>
        </w:rPr>
        <w:t>or out-of-control. QC abbreviations used in the rules are as follows: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Si = Standard deviation of individual results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Sm = Standard deviation of the run means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roofErr w:type="spellStart"/>
      <w:r w:rsidRPr="00D75B0E">
        <w:rPr>
          <w:rFonts w:ascii="Times New Roman" w:hAnsi="Times New Roman"/>
          <w:sz w:val="24"/>
          <w:szCs w:val="24"/>
        </w:rPr>
        <w:t>Sw</w:t>
      </w:r>
      <w:proofErr w:type="spellEnd"/>
      <w:r w:rsidRPr="00D75B0E">
        <w:rPr>
          <w:rFonts w:ascii="Times New Roman" w:hAnsi="Times New Roman"/>
          <w:sz w:val="24"/>
          <w:szCs w:val="24"/>
        </w:rPr>
        <w:t xml:space="preserve"> = Within-run standard deviation</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QC rules </w:t>
      </w:r>
      <w:r>
        <w:rPr>
          <w:rFonts w:ascii="Times New Roman" w:hAnsi="Times New Roman"/>
          <w:sz w:val="24"/>
          <w:szCs w:val="24"/>
        </w:rPr>
        <w:t xml:space="preserve">will </w:t>
      </w:r>
      <w:r w:rsidRPr="00D75B0E">
        <w:rPr>
          <w:rFonts w:ascii="Times New Roman" w:hAnsi="Times New Roman"/>
          <w:sz w:val="24"/>
          <w:szCs w:val="24"/>
        </w:rPr>
        <w:t xml:space="preserve">depend on the number of QC pools </w:t>
      </w:r>
      <w:r w:rsidRPr="00D75B0E">
        <w:rPr>
          <w:rFonts w:ascii="Times New Roman" w:hAnsi="Times New Roman"/>
          <w:i/>
          <w:iCs/>
          <w:sz w:val="24"/>
          <w:szCs w:val="24"/>
        </w:rPr>
        <w:t xml:space="preserve">per run </w:t>
      </w:r>
      <w:r w:rsidRPr="00D75B0E">
        <w:rPr>
          <w:rFonts w:ascii="Times New Roman" w:hAnsi="Times New Roman"/>
          <w:sz w:val="24"/>
          <w:szCs w:val="24"/>
        </w:rPr>
        <w:t xml:space="preserve">and the number of QC results </w:t>
      </w:r>
      <w:r w:rsidRPr="00D75B0E">
        <w:rPr>
          <w:rFonts w:ascii="Times New Roman" w:hAnsi="Times New Roman"/>
          <w:i/>
          <w:iCs/>
          <w:sz w:val="24"/>
          <w:szCs w:val="24"/>
        </w:rPr>
        <w:t>per pool</w:t>
      </w:r>
      <w:r w:rsidRPr="00D75B0E">
        <w:rPr>
          <w:rFonts w:ascii="Times New Roman" w:hAnsi="Times New Roman"/>
          <w:sz w:val="24"/>
          <w:szCs w:val="24"/>
        </w:rPr>
        <w: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The following sets of rules </w:t>
      </w:r>
      <w:r>
        <w:rPr>
          <w:rFonts w:ascii="Times New Roman" w:hAnsi="Times New Roman"/>
          <w:sz w:val="24"/>
          <w:szCs w:val="24"/>
        </w:rPr>
        <w:t xml:space="preserve">are provided a guidance to </w:t>
      </w:r>
      <w:r w:rsidRPr="00D75B0E">
        <w:rPr>
          <w:rFonts w:ascii="Times New Roman" w:hAnsi="Times New Roman"/>
          <w:sz w:val="24"/>
          <w:szCs w:val="24"/>
        </w:rPr>
        <w:t xml:space="preserve">accommodate the range from one QC pool </w:t>
      </w:r>
      <w:r w:rsidRPr="00D75B0E">
        <w:rPr>
          <w:rFonts w:ascii="Times New Roman" w:hAnsi="Times New Roman"/>
          <w:i/>
          <w:iCs/>
          <w:sz w:val="24"/>
          <w:szCs w:val="24"/>
        </w:rPr>
        <w:t xml:space="preserve">per run </w:t>
      </w:r>
      <w:r>
        <w:rPr>
          <w:rFonts w:ascii="Times New Roman" w:hAnsi="Times New Roman"/>
          <w:sz w:val="24"/>
          <w:szCs w:val="24"/>
        </w:rPr>
        <w:t xml:space="preserve">through three QC </w:t>
      </w:r>
      <w:r w:rsidRPr="00D75B0E">
        <w:rPr>
          <w:rFonts w:ascii="Times New Roman" w:hAnsi="Times New Roman"/>
          <w:sz w:val="24"/>
          <w:szCs w:val="24"/>
        </w:rPr>
        <w:t xml:space="preserve">pools </w:t>
      </w:r>
      <w:r w:rsidRPr="00D75B0E">
        <w:rPr>
          <w:rFonts w:ascii="Times New Roman" w:hAnsi="Times New Roman"/>
          <w:i/>
          <w:iCs/>
          <w:sz w:val="24"/>
          <w:szCs w:val="24"/>
        </w:rPr>
        <w:t>per run</w:t>
      </w:r>
      <w:r w:rsidRPr="00D75B0E">
        <w:rPr>
          <w:rFonts w:ascii="Times New Roman" w:hAnsi="Times New Roman"/>
          <w:sz w:val="24"/>
          <w:szCs w:val="24"/>
        </w:rPr>
        <w:t>. For each number of QC pools per run, the rules are</w:t>
      </w:r>
      <w:r>
        <w:rPr>
          <w:rFonts w:ascii="Times New Roman" w:hAnsi="Times New Roman"/>
          <w:sz w:val="24"/>
          <w:szCs w:val="24"/>
        </w:rPr>
        <w:t xml:space="preserve"> divided into categories of one </w:t>
      </w:r>
      <w:r w:rsidRPr="00D75B0E">
        <w:rPr>
          <w:rFonts w:ascii="Times New Roman" w:hAnsi="Times New Roman"/>
          <w:sz w:val="24"/>
          <w:szCs w:val="24"/>
        </w:rPr>
        <w:t xml:space="preserve">QC result </w:t>
      </w:r>
      <w:r w:rsidRPr="00D75B0E">
        <w:rPr>
          <w:rFonts w:ascii="Times New Roman" w:hAnsi="Times New Roman"/>
          <w:i/>
          <w:iCs/>
          <w:sz w:val="24"/>
          <w:szCs w:val="24"/>
        </w:rPr>
        <w:t xml:space="preserve">per pool </w:t>
      </w:r>
      <w:r w:rsidRPr="00D75B0E">
        <w:rPr>
          <w:rFonts w:ascii="Times New Roman" w:hAnsi="Times New Roman"/>
          <w:sz w:val="24"/>
          <w:szCs w:val="24"/>
        </w:rPr>
        <w:t xml:space="preserve">and two or more QC results </w:t>
      </w:r>
      <w:r w:rsidRPr="00D75B0E">
        <w:rPr>
          <w:rFonts w:ascii="Times New Roman" w:hAnsi="Times New Roman"/>
          <w:i/>
          <w:iCs/>
          <w:sz w:val="24"/>
          <w:szCs w:val="24"/>
        </w:rPr>
        <w:t>per pool</w:t>
      </w:r>
      <w:r w:rsidRPr="00D75B0E">
        <w:rPr>
          <w:rFonts w:ascii="Times New Roman" w:hAnsi="Times New Roman"/>
          <w:sz w:val="24"/>
          <w:szCs w:val="24"/>
        </w:rPr>
        <w: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326826" w:rsidRDefault="00B64254" w:rsidP="00B64254">
      <w:pPr>
        <w:autoSpaceDE w:val="0"/>
        <w:autoSpaceDN w:val="0"/>
        <w:adjustRightInd w:val="0"/>
        <w:spacing w:after="0" w:line="240" w:lineRule="auto"/>
        <w:jc w:val="both"/>
        <w:rPr>
          <w:rFonts w:ascii="Times New Roman" w:hAnsi="Times New Roman"/>
          <w:b/>
          <w:sz w:val="24"/>
          <w:szCs w:val="24"/>
        </w:rPr>
      </w:pPr>
      <w:r w:rsidRPr="00326826">
        <w:rPr>
          <w:rFonts w:ascii="Times New Roman" w:hAnsi="Times New Roman"/>
          <w:b/>
          <w:bCs/>
          <w:sz w:val="24"/>
          <w:szCs w:val="24"/>
        </w:rPr>
        <w:lastRenderedPageBreak/>
        <w:t xml:space="preserve">QC rules for: Analytical run with 1 QC pool per run </w:t>
      </w:r>
      <w:r w:rsidRPr="00326826">
        <w:rPr>
          <w:rFonts w:ascii="Times New Roman" w:hAnsi="Times New Roman"/>
          <w:b/>
          <w:sz w:val="24"/>
          <w:szCs w:val="24"/>
        </w:rPr>
        <w:t>(must also include a blank QC specimen)</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8C3327" w:rsidRDefault="00B64254" w:rsidP="00B64254">
      <w:pPr>
        <w:autoSpaceDE w:val="0"/>
        <w:autoSpaceDN w:val="0"/>
        <w:adjustRightInd w:val="0"/>
        <w:spacing w:after="0" w:line="240" w:lineRule="auto"/>
        <w:jc w:val="both"/>
        <w:rPr>
          <w:rFonts w:ascii="Times New Roman" w:hAnsi="Times New Roman"/>
          <w:b/>
          <w:bCs/>
          <w:i/>
          <w:iCs/>
          <w:sz w:val="24"/>
          <w:szCs w:val="24"/>
        </w:rPr>
      </w:pPr>
      <w:r w:rsidRPr="00326826">
        <w:rPr>
          <w:rFonts w:ascii="Times New Roman" w:hAnsi="Times New Roman"/>
          <w:b/>
          <w:bCs/>
          <w:sz w:val="24"/>
          <w:szCs w:val="24"/>
          <w:u w:val="single"/>
        </w:rPr>
        <w:t xml:space="preserve">One QC pool </w:t>
      </w:r>
      <w:r w:rsidRPr="00326826">
        <w:rPr>
          <w:rFonts w:ascii="Times New Roman" w:hAnsi="Times New Roman"/>
          <w:b/>
          <w:bCs/>
          <w:i/>
          <w:iCs/>
          <w:sz w:val="24"/>
          <w:szCs w:val="24"/>
          <w:u w:val="single"/>
        </w:rPr>
        <w:t xml:space="preserve">per run </w:t>
      </w:r>
      <w:r w:rsidRPr="00326826">
        <w:rPr>
          <w:rFonts w:ascii="Times New Roman" w:hAnsi="Times New Roman"/>
          <w:b/>
          <w:bCs/>
          <w:sz w:val="24"/>
          <w:szCs w:val="24"/>
          <w:u w:val="single"/>
        </w:rPr>
        <w:t xml:space="preserve">with one QC result </w:t>
      </w:r>
      <w:r w:rsidRPr="00326826">
        <w:rPr>
          <w:rFonts w:ascii="Times New Roman" w:hAnsi="Times New Roman"/>
          <w:b/>
          <w:bCs/>
          <w:i/>
          <w:iCs/>
          <w:sz w:val="24"/>
          <w:szCs w:val="24"/>
          <w:u w:val="single"/>
        </w:rPr>
        <w:t>per pool</w:t>
      </w:r>
      <w:r w:rsidRPr="008C3327">
        <w:rPr>
          <w:rFonts w:ascii="Times New Roman" w:hAnsi="Times New Roman"/>
          <w:b/>
          <w:bCs/>
          <w:i/>
          <w:iCs/>
          <w:sz w:val="24"/>
          <w:szCs w:val="24"/>
        </w:rPr>
        <w:t>:</w:t>
      </w:r>
    </w:p>
    <w:p w:rsidR="00B64254" w:rsidRPr="009443AC" w:rsidRDefault="00B64254" w:rsidP="00B64254">
      <w:pPr>
        <w:autoSpaceDE w:val="0"/>
        <w:autoSpaceDN w:val="0"/>
        <w:adjustRightInd w:val="0"/>
        <w:spacing w:after="0" w:line="240" w:lineRule="auto"/>
        <w:jc w:val="both"/>
        <w:rPr>
          <w:rFonts w:ascii="Times New Roman" w:hAnsi="Times New Roman"/>
          <w:b/>
          <w:bCs/>
          <w:i/>
          <w:iCs/>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QC run result is within 2Si limits, then accept the run.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QC run result is outside a 2Si limit - reject run if: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result is beyond the characterization mean +/- 4Si</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1 3S Rule - Run result is outside a 3Si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 2S Rule - Current and previous run results are outside the same 2Si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results are on same side of the characterization mean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e) R 4S Rule – The current and the previous run results differ by </w:t>
      </w:r>
      <w:r>
        <w:rPr>
          <w:rFonts w:ascii="Times New Roman" w:hAnsi="Times New Roman"/>
          <w:sz w:val="24"/>
          <w:szCs w:val="24"/>
        </w:rPr>
        <w:t xml:space="preserve">more than 4Si. Note: Since runs </w:t>
      </w:r>
      <w:r w:rsidRPr="00D75B0E">
        <w:rPr>
          <w:rFonts w:ascii="Times New Roman" w:hAnsi="Times New Roman"/>
          <w:sz w:val="24"/>
          <w:szCs w:val="24"/>
        </w:rPr>
        <w:t>have a single result per pool and only 1 pool, the R 4S rule is applied across runs only.</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326826" w:rsidRDefault="00B64254" w:rsidP="00B64254">
      <w:pPr>
        <w:autoSpaceDE w:val="0"/>
        <w:autoSpaceDN w:val="0"/>
        <w:adjustRightInd w:val="0"/>
        <w:spacing w:after="0" w:line="240" w:lineRule="auto"/>
        <w:jc w:val="both"/>
        <w:rPr>
          <w:rFonts w:ascii="Times New Roman" w:hAnsi="Times New Roman"/>
          <w:b/>
          <w:bCs/>
          <w:i/>
          <w:iCs/>
          <w:sz w:val="24"/>
          <w:szCs w:val="24"/>
          <w:u w:val="single"/>
        </w:rPr>
      </w:pPr>
      <w:r w:rsidRPr="00326826">
        <w:rPr>
          <w:rFonts w:ascii="Times New Roman" w:hAnsi="Times New Roman"/>
          <w:b/>
          <w:bCs/>
          <w:sz w:val="24"/>
          <w:szCs w:val="24"/>
          <w:u w:val="single"/>
        </w:rPr>
        <w:t xml:space="preserve">One QC pool </w:t>
      </w:r>
      <w:r w:rsidRPr="00326826">
        <w:rPr>
          <w:rFonts w:ascii="Times New Roman" w:hAnsi="Times New Roman"/>
          <w:b/>
          <w:bCs/>
          <w:i/>
          <w:iCs/>
          <w:sz w:val="24"/>
          <w:szCs w:val="24"/>
          <w:u w:val="single"/>
        </w:rPr>
        <w:t xml:space="preserve">per run </w:t>
      </w:r>
      <w:r w:rsidRPr="00326826">
        <w:rPr>
          <w:rFonts w:ascii="Times New Roman" w:hAnsi="Times New Roman"/>
          <w:b/>
          <w:bCs/>
          <w:sz w:val="24"/>
          <w:szCs w:val="24"/>
          <w:u w:val="single"/>
        </w:rPr>
        <w:t xml:space="preserve">with two or more QC results </w:t>
      </w:r>
      <w:r w:rsidRPr="00326826">
        <w:rPr>
          <w:rFonts w:ascii="Times New Roman" w:hAnsi="Times New Roman"/>
          <w:b/>
          <w:bCs/>
          <w:i/>
          <w:iCs/>
          <w:sz w:val="24"/>
          <w:szCs w:val="24"/>
          <w:u w:val="single"/>
        </w:rPr>
        <w:t>per pool</w:t>
      </w:r>
      <w:r w:rsidRPr="00326826">
        <w:rPr>
          <w:rFonts w:ascii="Times New Roman" w:hAnsi="Times New Roman"/>
          <w:b/>
          <w:bCs/>
          <w:i/>
          <w:iCs/>
          <w:sz w:val="24"/>
          <w:szCs w:val="24"/>
        </w:rPr>
        <w:t>:</w:t>
      </w:r>
    </w:p>
    <w:p w:rsidR="00B64254" w:rsidRPr="009443AC"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QC run mean is within 2Sm limits and individual results are within 2Si limits, then accept the run.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QC run mean is outside a 2Sm limit - reject run if: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mean is beyond the characterization mean +/- 4Sm</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mean is outside a 3Sm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 2S Rule – Current and previous run means are outside the same 2Sm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means are on same side of the characterization mean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If one of the two QC individual results is outside a 2Si limit - reject run if: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R 4S Rule – Within-run range for the current run and the prev</w:t>
      </w:r>
      <w:r>
        <w:rPr>
          <w:rFonts w:ascii="Times New Roman" w:hAnsi="Times New Roman"/>
          <w:sz w:val="24"/>
          <w:szCs w:val="24"/>
        </w:rPr>
        <w:t xml:space="preserve">ious run exceeds 4Sw (i.e., 95% </w:t>
      </w:r>
      <w:r w:rsidRPr="00D75B0E">
        <w:rPr>
          <w:rFonts w:ascii="Times New Roman" w:hAnsi="Times New Roman"/>
          <w:sz w:val="24"/>
          <w:szCs w:val="24"/>
        </w:rPr>
        <w:t>range limit)</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A03DCE" w:rsidRDefault="00B64254" w:rsidP="00B64254">
      <w:pPr>
        <w:autoSpaceDE w:val="0"/>
        <w:autoSpaceDN w:val="0"/>
        <w:adjustRightInd w:val="0"/>
        <w:spacing w:after="0" w:line="240" w:lineRule="auto"/>
        <w:jc w:val="both"/>
        <w:rPr>
          <w:rFonts w:ascii="Times New Roman" w:hAnsi="Times New Roman"/>
          <w:b/>
          <w:bCs/>
          <w:sz w:val="16"/>
          <w:szCs w:val="16"/>
          <w:u w:val="single"/>
        </w:rPr>
      </w:pPr>
    </w:p>
    <w:p w:rsidR="00B64254" w:rsidRPr="009443AC" w:rsidRDefault="00B64254" w:rsidP="00B64254">
      <w:pPr>
        <w:autoSpaceDE w:val="0"/>
        <w:autoSpaceDN w:val="0"/>
        <w:adjustRightInd w:val="0"/>
        <w:spacing w:after="0" w:line="240" w:lineRule="auto"/>
        <w:jc w:val="both"/>
        <w:rPr>
          <w:rFonts w:ascii="Times New Roman" w:hAnsi="Times New Roman"/>
          <w:b/>
          <w:bCs/>
          <w:sz w:val="24"/>
          <w:szCs w:val="24"/>
        </w:rPr>
      </w:pPr>
      <w:r w:rsidRPr="009443AC">
        <w:rPr>
          <w:rFonts w:ascii="Times New Roman" w:hAnsi="Times New Roman"/>
          <w:b/>
          <w:bCs/>
          <w:sz w:val="24"/>
          <w:szCs w:val="24"/>
        </w:rPr>
        <w:t>QC rules for: Analytical run with 2 QC pools per run</w:t>
      </w:r>
    </w:p>
    <w:p w:rsidR="00B64254" w:rsidRPr="00D75B0E"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9443AC" w:rsidRDefault="00B64254" w:rsidP="00B64254">
      <w:pPr>
        <w:autoSpaceDE w:val="0"/>
        <w:autoSpaceDN w:val="0"/>
        <w:adjustRightInd w:val="0"/>
        <w:spacing w:after="0" w:line="240" w:lineRule="auto"/>
        <w:jc w:val="both"/>
        <w:rPr>
          <w:rFonts w:ascii="Times New Roman" w:hAnsi="Times New Roman"/>
          <w:b/>
          <w:bCs/>
          <w:i/>
          <w:iCs/>
          <w:sz w:val="24"/>
          <w:szCs w:val="24"/>
          <w:u w:val="single"/>
        </w:rPr>
      </w:pPr>
      <w:r w:rsidRPr="009443AC">
        <w:rPr>
          <w:rFonts w:ascii="Times New Roman" w:hAnsi="Times New Roman"/>
          <w:b/>
          <w:bCs/>
          <w:sz w:val="24"/>
          <w:szCs w:val="24"/>
          <w:u w:val="single"/>
        </w:rPr>
        <w:t xml:space="preserve">Two QC pools </w:t>
      </w:r>
      <w:r w:rsidRPr="009443AC">
        <w:rPr>
          <w:rFonts w:ascii="Times New Roman" w:hAnsi="Times New Roman"/>
          <w:b/>
          <w:bCs/>
          <w:i/>
          <w:iCs/>
          <w:sz w:val="24"/>
          <w:szCs w:val="24"/>
          <w:u w:val="single"/>
        </w:rPr>
        <w:t xml:space="preserve">per run </w:t>
      </w:r>
      <w:r w:rsidRPr="009443AC">
        <w:rPr>
          <w:rFonts w:ascii="Times New Roman" w:hAnsi="Times New Roman"/>
          <w:b/>
          <w:bCs/>
          <w:sz w:val="24"/>
          <w:szCs w:val="24"/>
          <w:u w:val="single"/>
        </w:rPr>
        <w:t xml:space="preserve">with one QC result </w:t>
      </w:r>
      <w:r w:rsidRPr="009443AC">
        <w:rPr>
          <w:rFonts w:ascii="Times New Roman" w:hAnsi="Times New Roman"/>
          <w:b/>
          <w:bCs/>
          <w:i/>
          <w:iCs/>
          <w:sz w:val="24"/>
          <w:szCs w:val="24"/>
          <w:u w:val="single"/>
        </w:rPr>
        <w:t>per pool</w:t>
      </w:r>
    </w:p>
    <w:p w:rsidR="00B64254" w:rsidRPr="009443AC"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both QC run results are within 2Si limits, then accept the run.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1 of the 2 QC run results is outside a 2Si limit - reject run if: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result is beyond the characterization mean +/- 4Si</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result is outside a 3Si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2S Rule - Both run results are outside the same 2Si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results are on same side of the characterization mean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e) R 4S Rule – Two consecutive standardized run results differ by </w:t>
      </w:r>
      <w:r>
        <w:rPr>
          <w:rFonts w:ascii="Times New Roman" w:hAnsi="Times New Roman"/>
          <w:sz w:val="24"/>
          <w:szCs w:val="24"/>
        </w:rPr>
        <w:t xml:space="preserve">more than 4Si. Note: Since runs  </w:t>
      </w:r>
      <w:r w:rsidRPr="00D75B0E">
        <w:rPr>
          <w:rFonts w:ascii="Times New Roman" w:hAnsi="Times New Roman"/>
          <w:sz w:val="24"/>
          <w:szCs w:val="24"/>
        </w:rPr>
        <w:t xml:space="preserve">have a single result per pool for 2 pools, comparison of results for the </w:t>
      </w:r>
      <w:r>
        <w:rPr>
          <w:rFonts w:ascii="Times New Roman" w:hAnsi="Times New Roman"/>
          <w:sz w:val="24"/>
          <w:szCs w:val="24"/>
        </w:rPr>
        <w:t xml:space="preserve">R 4S rule will be with the </w:t>
      </w:r>
      <w:r w:rsidRPr="00D75B0E">
        <w:rPr>
          <w:rFonts w:ascii="Times New Roman" w:hAnsi="Times New Roman"/>
          <w:sz w:val="24"/>
          <w:szCs w:val="24"/>
        </w:rPr>
        <w:t>previous result within run or the last result of the previous run</w:t>
      </w:r>
      <w:r>
        <w:rPr>
          <w:rFonts w:ascii="Times New Roman" w:hAnsi="Times New Roman"/>
          <w:sz w:val="24"/>
          <w:szCs w:val="24"/>
        </w:rPr>
        <w:t xml:space="preserve">. Standardized results are used </w:t>
      </w:r>
      <w:r w:rsidRPr="00D75B0E">
        <w:rPr>
          <w:rFonts w:ascii="Times New Roman" w:hAnsi="Times New Roman"/>
          <w:sz w:val="24"/>
          <w:szCs w:val="24"/>
        </w:rPr>
        <w:t>because different pools have different means.</w:t>
      </w:r>
    </w:p>
    <w:p w:rsidR="00B64254" w:rsidRPr="009443AC"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Pr="00A03DCE"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Pr="009443AC" w:rsidRDefault="00B64254" w:rsidP="00B64254">
      <w:pPr>
        <w:autoSpaceDE w:val="0"/>
        <w:autoSpaceDN w:val="0"/>
        <w:adjustRightInd w:val="0"/>
        <w:spacing w:after="0" w:line="240" w:lineRule="auto"/>
        <w:jc w:val="both"/>
        <w:rPr>
          <w:rFonts w:ascii="Times New Roman" w:hAnsi="Times New Roman"/>
          <w:b/>
          <w:bCs/>
          <w:i/>
          <w:iCs/>
          <w:sz w:val="24"/>
          <w:szCs w:val="24"/>
          <w:u w:val="single"/>
        </w:rPr>
      </w:pPr>
      <w:r w:rsidRPr="009443AC">
        <w:rPr>
          <w:rFonts w:ascii="Times New Roman" w:hAnsi="Times New Roman"/>
          <w:b/>
          <w:bCs/>
          <w:sz w:val="24"/>
          <w:szCs w:val="24"/>
          <w:u w:val="single"/>
        </w:rPr>
        <w:t xml:space="preserve">Two QC pools </w:t>
      </w:r>
      <w:r w:rsidRPr="009443AC">
        <w:rPr>
          <w:rFonts w:ascii="Times New Roman" w:hAnsi="Times New Roman"/>
          <w:b/>
          <w:bCs/>
          <w:i/>
          <w:iCs/>
          <w:sz w:val="24"/>
          <w:szCs w:val="24"/>
          <w:u w:val="single"/>
        </w:rPr>
        <w:t xml:space="preserve">per run </w:t>
      </w:r>
      <w:r w:rsidRPr="009443AC">
        <w:rPr>
          <w:rFonts w:ascii="Times New Roman" w:hAnsi="Times New Roman"/>
          <w:b/>
          <w:bCs/>
          <w:sz w:val="24"/>
          <w:szCs w:val="24"/>
          <w:u w:val="single"/>
        </w:rPr>
        <w:t xml:space="preserve">with two or more QC results </w:t>
      </w:r>
      <w:r w:rsidRPr="009443AC">
        <w:rPr>
          <w:rFonts w:ascii="Times New Roman" w:hAnsi="Times New Roman"/>
          <w:b/>
          <w:bCs/>
          <w:i/>
          <w:iCs/>
          <w:sz w:val="24"/>
          <w:szCs w:val="24"/>
          <w:u w:val="single"/>
        </w:rPr>
        <w:t>per pool</w:t>
      </w:r>
    </w:p>
    <w:p w:rsidR="00B64254" w:rsidRPr="009443AC"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1) If both QC run means are within 2Sm limits and individual results are within 2Si limits, then accept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the run.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1 of the 2 QC run means is outside a 2Sm limit - reject run if: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mean is beyond the characterization mean +/- 4Sm</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mean is outside a 3Sm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2S Rule - Both run means are outside the same 2Sm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means are on same side of the characterization mean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If one of the 4 QC individual results is outside a 2Si limit - reject run if: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R 4S Rule – Within-run ranges for all pools in the same run exceed 4Sw (i.e., 95% range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Note: Since runs have multiple results per pool for 2 pools, the R 4S rule is applied within runs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only.</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9443AC" w:rsidRDefault="00B64254" w:rsidP="00B64254">
      <w:pPr>
        <w:autoSpaceDE w:val="0"/>
        <w:autoSpaceDN w:val="0"/>
        <w:adjustRightInd w:val="0"/>
        <w:spacing w:after="0" w:line="240" w:lineRule="auto"/>
        <w:jc w:val="both"/>
        <w:rPr>
          <w:rFonts w:ascii="Times New Roman" w:hAnsi="Times New Roman"/>
          <w:b/>
          <w:bCs/>
          <w:sz w:val="24"/>
          <w:szCs w:val="24"/>
        </w:rPr>
      </w:pPr>
      <w:r w:rsidRPr="009443AC">
        <w:rPr>
          <w:rFonts w:ascii="Times New Roman" w:hAnsi="Times New Roman"/>
          <w:b/>
          <w:bCs/>
          <w:sz w:val="24"/>
          <w:szCs w:val="24"/>
        </w:rPr>
        <w:t>QC rules for: Analytical run with 3 QC pools per run</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9443AC" w:rsidRDefault="00B64254" w:rsidP="00B64254">
      <w:pPr>
        <w:autoSpaceDE w:val="0"/>
        <w:autoSpaceDN w:val="0"/>
        <w:adjustRightInd w:val="0"/>
        <w:spacing w:after="0" w:line="240" w:lineRule="auto"/>
        <w:jc w:val="both"/>
        <w:rPr>
          <w:rFonts w:ascii="Times New Roman" w:hAnsi="Times New Roman"/>
          <w:b/>
          <w:bCs/>
          <w:i/>
          <w:iCs/>
          <w:sz w:val="24"/>
          <w:szCs w:val="24"/>
          <w:u w:val="single"/>
        </w:rPr>
      </w:pPr>
      <w:r w:rsidRPr="009443AC">
        <w:rPr>
          <w:rFonts w:ascii="Times New Roman" w:hAnsi="Times New Roman"/>
          <w:b/>
          <w:bCs/>
          <w:sz w:val="24"/>
          <w:szCs w:val="24"/>
          <w:u w:val="single"/>
        </w:rPr>
        <w:t xml:space="preserve">Three QC pools </w:t>
      </w:r>
      <w:r w:rsidRPr="009443AC">
        <w:rPr>
          <w:rFonts w:ascii="Times New Roman" w:hAnsi="Times New Roman"/>
          <w:b/>
          <w:bCs/>
          <w:i/>
          <w:iCs/>
          <w:sz w:val="24"/>
          <w:szCs w:val="24"/>
          <w:u w:val="single"/>
        </w:rPr>
        <w:t xml:space="preserve">per run </w:t>
      </w:r>
      <w:r w:rsidRPr="009443AC">
        <w:rPr>
          <w:rFonts w:ascii="Times New Roman" w:hAnsi="Times New Roman"/>
          <w:b/>
          <w:bCs/>
          <w:sz w:val="24"/>
          <w:szCs w:val="24"/>
          <w:u w:val="single"/>
        </w:rPr>
        <w:t xml:space="preserve">with one QC result </w:t>
      </w:r>
      <w:r w:rsidRPr="009443AC">
        <w:rPr>
          <w:rFonts w:ascii="Times New Roman" w:hAnsi="Times New Roman"/>
          <w:b/>
          <w:bCs/>
          <w:i/>
          <w:iCs/>
          <w:sz w:val="24"/>
          <w:szCs w:val="24"/>
          <w:u w:val="single"/>
        </w:rPr>
        <w:t>per pool</w:t>
      </w:r>
    </w:p>
    <w:p w:rsidR="00B64254" w:rsidRPr="009443AC"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all 3 QC run results are within 2Si limits, then accept the run.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1 of the 3 QC run results is outside a 2Si limit - reject run if: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result is beyond the characterization mean +/- 4Si</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result is outside a 3Si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2S Rule - 2 or more of the 3 run results are outside the same 2Si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results are on same side of the characterization mean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e) R 4S Rule – Two consecutive standardized run results differ by </w:t>
      </w:r>
      <w:r>
        <w:rPr>
          <w:rFonts w:ascii="Times New Roman" w:hAnsi="Times New Roman"/>
          <w:sz w:val="24"/>
          <w:szCs w:val="24"/>
        </w:rPr>
        <w:t xml:space="preserve">more than 4Si. Note: Since runs </w:t>
      </w:r>
      <w:r w:rsidRPr="00D75B0E">
        <w:rPr>
          <w:rFonts w:ascii="Times New Roman" w:hAnsi="Times New Roman"/>
          <w:sz w:val="24"/>
          <w:szCs w:val="24"/>
        </w:rPr>
        <w:t>have a single result per pool for 3 pools, comparison of results for</w:t>
      </w:r>
      <w:r>
        <w:rPr>
          <w:rFonts w:ascii="Times New Roman" w:hAnsi="Times New Roman"/>
          <w:sz w:val="24"/>
          <w:szCs w:val="24"/>
        </w:rPr>
        <w:t xml:space="preserve"> the R 4S rule will be with the previous </w:t>
      </w:r>
      <w:r w:rsidRPr="00D75B0E">
        <w:rPr>
          <w:rFonts w:ascii="Times New Roman" w:hAnsi="Times New Roman"/>
          <w:sz w:val="24"/>
          <w:szCs w:val="24"/>
        </w:rPr>
        <w:t>result within the current run or with the last result of</w:t>
      </w:r>
      <w:r>
        <w:rPr>
          <w:rFonts w:ascii="Times New Roman" w:hAnsi="Times New Roman"/>
          <w:sz w:val="24"/>
          <w:szCs w:val="24"/>
        </w:rPr>
        <w:t xml:space="preserve"> the previous run. Standardized </w:t>
      </w:r>
      <w:r w:rsidRPr="00D75B0E">
        <w:rPr>
          <w:rFonts w:ascii="Times New Roman" w:hAnsi="Times New Roman"/>
          <w:sz w:val="24"/>
          <w:szCs w:val="24"/>
        </w:rPr>
        <w:t>results are used because different pools have different means.</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9443AC" w:rsidRDefault="00B64254" w:rsidP="00B64254">
      <w:pPr>
        <w:autoSpaceDE w:val="0"/>
        <w:autoSpaceDN w:val="0"/>
        <w:adjustRightInd w:val="0"/>
        <w:spacing w:after="0" w:line="240" w:lineRule="auto"/>
        <w:jc w:val="both"/>
        <w:rPr>
          <w:rFonts w:ascii="Times New Roman" w:hAnsi="Times New Roman"/>
          <w:b/>
          <w:bCs/>
          <w:i/>
          <w:iCs/>
          <w:sz w:val="24"/>
          <w:szCs w:val="24"/>
          <w:u w:val="single"/>
        </w:rPr>
      </w:pPr>
      <w:r w:rsidRPr="009443AC">
        <w:rPr>
          <w:rFonts w:ascii="Times New Roman" w:hAnsi="Times New Roman"/>
          <w:b/>
          <w:bCs/>
          <w:sz w:val="24"/>
          <w:szCs w:val="24"/>
          <w:u w:val="single"/>
        </w:rPr>
        <w:t xml:space="preserve">Three QC pools </w:t>
      </w:r>
      <w:r w:rsidRPr="009443AC">
        <w:rPr>
          <w:rFonts w:ascii="Times New Roman" w:hAnsi="Times New Roman"/>
          <w:b/>
          <w:bCs/>
          <w:i/>
          <w:iCs/>
          <w:sz w:val="24"/>
          <w:szCs w:val="24"/>
          <w:u w:val="single"/>
        </w:rPr>
        <w:t xml:space="preserve">per run </w:t>
      </w:r>
      <w:r w:rsidRPr="009443AC">
        <w:rPr>
          <w:rFonts w:ascii="Times New Roman" w:hAnsi="Times New Roman"/>
          <w:b/>
          <w:bCs/>
          <w:sz w:val="24"/>
          <w:szCs w:val="24"/>
          <w:u w:val="single"/>
        </w:rPr>
        <w:t xml:space="preserve">with two or more QC results </w:t>
      </w:r>
      <w:r w:rsidRPr="009443AC">
        <w:rPr>
          <w:rFonts w:ascii="Times New Roman" w:hAnsi="Times New Roman"/>
          <w:b/>
          <w:bCs/>
          <w:i/>
          <w:iCs/>
          <w:sz w:val="24"/>
          <w:szCs w:val="24"/>
          <w:u w:val="single"/>
        </w:rPr>
        <w:t>per pool</w:t>
      </w:r>
    </w:p>
    <w:p w:rsidR="00B64254" w:rsidRPr="009443AC"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all 3 QC run means are within 2Sm limits and individual results are</w:t>
      </w:r>
      <w:r>
        <w:rPr>
          <w:rFonts w:ascii="Times New Roman" w:hAnsi="Times New Roman"/>
          <w:sz w:val="24"/>
          <w:szCs w:val="24"/>
        </w:rPr>
        <w:t xml:space="preserve"> within 2Si limits, then accept </w:t>
      </w:r>
      <w:r w:rsidRPr="00D75B0E">
        <w:rPr>
          <w:rFonts w:ascii="Times New Roman" w:hAnsi="Times New Roman"/>
          <w:sz w:val="24"/>
          <w:szCs w:val="24"/>
        </w:rPr>
        <w:t>the run.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1 of the 3 QC run means is outside a 2Sm limit - reject run if: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mean is beyond the characterization mean +/- 4Sm</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mean is outside a 3Sm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2S Rule - 2 or more of the 3 run means are outside the same 2Sm limit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means are on same side of the characterization mean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If one of the QC individual results is outside a 2Si limit - reject run if:</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 R 4S Rule - 2 or more of the within-run ranges in the same </w:t>
      </w:r>
      <w:r>
        <w:rPr>
          <w:rFonts w:ascii="Times New Roman" w:hAnsi="Times New Roman"/>
          <w:sz w:val="24"/>
          <w:szCs w:val="24"/>
        </w:rPr>
        <w:t xml:space="preserve">run exceed 4Sw (i.e., 95% range </w:t>
      </w:r>
      <w:r w:rsidRPr="00D75B0E">
        <w:rPr>
          <w:rFonts w:ascii="Times New Roman" w:hAnsi="Times New Roman"/>
          <w:sz w:val="24"/>
          <w:szCs w:val="24"/>
        </w:rPr>
        <w:t>limit). Note: Since runs have multiple results per pool for 3 pools, the R 4S rule</w:t>
      </w:r>
      <w:r>
        <w:rPr>
          <w:rFonts w:ascii="Times New Roman" w:hAnsi="Times New Roman"/>
          <w:sz w:val="24"/>
          <w:szCs w:val="24"/>
        </w:rPr>
        <w:t xml:space="preserve"> is applied within </w:t>
      </w:r>
      <w:r w:rsidRPr="00D75B0E">
        <w:rPr>
          <w:rFonts w:ascii="Times New Roman" w:hAnsi="Times New Roman"/>
          <w:sz w:val="24"/>
          <w:szCs w:val="24"/>
        </w:rPr>
        <w:t>runs only.</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No results for a g</w:t>
      </w:r>
      <w:r>
        <w:rPr>
          <w:rFonts w:ascii="Times New Roman" w:hAnsi="Times New Roman"/>
          <w:sz w:val="24"/>
          <w:szCs w:val="24"/>
        </w:rPr>
        <w:t xml:space="preserve">iven analyte are to be reported </w:t>
      </w:r>
      <w:r w:rsidRPr="00D75B0E">
        <w:rPr>
          <w:rFonts w:ascii="Times New Roman" w:hAnsi="Times New Roman"/>
          <w:sz w:val="24"/>
          <w:szCs w:val="24"/>
        </w:rPr>
        <w:t xml:space="preserve">from an analytical run that has been declared out-of-control </w:t>
      </w:r>
      <w:r>
        <w:rPr>
          <w:rFonts w:ascii="Times New Roman" w:hAnsi="Times New Roman"/>
          <w:sz w:val="24"/>
          <w:szCs w:val="24"/>
        </w:rPr>
        <w:t xml:space="preserve">for that analyte as assessed by internal ("bench") QC. </w:t>
      </w:r>
      <w:r w:rsidRPr="00D75B0E">
        <w:rPr>
          <w:rFonts w:ascii="Times New Roman" w:hAnsi="Times New Roman"/>
          <w:sz w:val="24"/>
          <w:szCs w:val="24"/>
        </w:rPr>
        <w:t>Other method-dependent quality criteria that apply to indiv</w:t>
      </w:r>
      <w:r>
        <w:rPr>
          <w:rFonts w:ascii="Times New Roman" w:hAnsi="Times New Roman"/>
          <w:sz w:val="24"/>
          <w:szCs w:val="24"/>
        </w:rPr>
        <w:t xml:space="preserve">idual specimens (e.g., quantity </w:t>
      </w:r>
      <w:r w:rsidRPr="00D75B0E">
        <w:rPr>
          <w:rFonts w:ascii="Times New Roman" w:hAnsi="Times New Roman"/>
          <w:sz w:val="24"/>
          <w:szCs w:val="24"/>
        </w:rPr>
        <w:t>not sufficient, inadequate quality of specimen, signal to noise ratio gre</w:t>
      </w:r>
      <w:r>
        <w:rPr>
          <w:rFonts w:ascii="Times New Roman" w:hAnsi="Times New Roman"/>
          <w:sz w:val="24"/>
          <w:szCs w:val="24"/>
        </w:rPr>
        <w:t xml:space="preserve">ater than 3.0 or post-extraction </w:t>
      </w:r>
      <w:r w:rsidRPr="00D75B0E">
        <w:rPr>
          <w:rFonts w:ascii="Times New Roman" w:hAnsi="Times New Roman"/>
          <w:sz w:val="24"/>
          <w:szCs w:val="24"/>
        </w:rPr>
        <w:t>or post-chromatography analyte recovery greater t</w:t>
      </w:r>
      <w:r>
        <w:rPr>
          <w:rFonts w:ascii="Times New Roman" w:hAnsi="Times New Roman"/>
          <w:sz w:val="24"/>
          <w:szCs w:val="24"/>
        </w:rPr>
        <w:t xml:space="preserve">han 60%) should also be used to </w:t>
      </w:r>
      <w:r w:rsidRPr="00D75B0E">
        <w:rPr>
          <w:rFonts w:ascii="Times New Roman" w:hAnsi="Times New Roman"/>
          <w:sz w:val="24"/>
          <w:szCs w:val="24"/>
        </w:rPr>
        <w:t>determine whether to accept or reject an analytical result. For each method, quality</w:t>
      </w:r>
      <w:r>
        <w:rPr>
          <w:rFonts w:ascii="Times New Roman" w:hAnsi="Times New Roman"/>
          <w:sz w:val="24"/>
          <w:szCs w:val="24"/>
        </w:rPr>
        <w:t xml:space="preserve"> </w:t>
      </w:r>
      <w:r w:rsidRPr="00D75B0E">
        <w:rPr>
          <w:rFonts w:ascii="Times New Roman" w:hAnsi="Times New Roman"/>
          <w:sz w:val="24"/>
          <w:szCs w:val="24"/>
        </w:rPr>
        <w:t>control results and remedial actions for out-of-control conditions are to be documented in a QC</w:t>
      </w:r>
      <w:r>
        <w:rPr>
          <w:rFonts w:ascii="Times New Roman" w:hAnsi="Times New Roman"/>
          <w:sz w:val="24"/>
          <w:szCs w:val="24"/>
        </w:rPr>
        <w:t xml:space="preserve"> </w:t>
      </w:r>
      <w:r w:rsidRPr="00D75B0E">
        <w:rPr>
          <w:rFonts w:ascii="Times New Roman" w:hAnsi="Times New Roman"/>
          <w:sz w:val="24"/>
          <w:szCs w:val="24"/>
        </w:rPr>
        <w:t>Manual.</w:t>
      </w:r>
    </w:p>
    <w:p w:rsidR="00B64254" w:rsidRDefault="00B64254" w:rsidP="00B64254">
      <w:pPr>
        <w:autoSpaceDE w:val="0"/>
        <w:autoSpaceDN w:val="0"/>
        <w:adjustRightInd w:val="0"/>
        <w:spacing w:after="0" w:line="240" w:lineRule="auto"/>
        <w:jc w:val="both"/>
        <w:rPr>
          <w:rFonts w:ascii="Times New Roman" w:hAnsi="Times New Roman"/>
          <w:b/>
          <w:bCs/>
          <w:sz w:val="24"/>
          <w:szCs w:val="24"/>
          <w:u w:val="single"/>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r w:rsidRPr="00031137">
        <w:rPr>
          <w:rFonts w:ascii="Times New Roman" w:hAnsi="Times New Roman"/>
          <w:b/>
          <w:bCs/>
          <w:sz w:val="24"/>
          <w:szCs w:val="24"/>
        </w:rPr>
        <w:t>Proficiency Testing</w:t>
      </w:r>
    </w:p>
    <w:p w:rsidR="00B64254" w:rsidRPr="00031137"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Proficiency testing (PT) evaluates the quality of the measurement process on a </w:t>
      </w:r>
      <w:r>
        <w:rPr>
          <w:rFonts w:ascii="Times New Roman" w:hAnsi="Times New Roman"/>
          <w:sz w:val="24"/>
          <w:szCs w:val="24"/>
        </w:rPr>
        <w:t xml:space="preserve">periodic basis, usually </w:t>
      </w:r>
      <w:r w:rsidRPr="00D75B0E">
        <w:rPr>
          <w:rFonts w:ascii="Times New Roman" w:hAnsi="Times New Roman"/>
          <w:sz w:val="24"/>
          <w:szCs w:val="24"/>
        </w:rPr>
        <w:t>quarterly or semi-annually. PT samples are to b</w:t>
      </w:r>
      <w:r>
        <w:rPr>
          <w:rFonts w:ascii="Times New Roman" w:hAnsi="Times New Roman"/>
          <w:sz w:val="24"/>
          <w:szCs w:val="24"/>
        </w:rPr>
        <w:t xml:space="preserve">e handled and analyzed the same as participant samples. </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1446F6" w:rsidRDefault="00B64254" w:rsidP="00B64254">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Calibration V</w:t>
      </w:r>
      <w:r w:rsidRPr="001446F6">
        <w:rPr>
          <w:rFonts w:ascii="Times New Roman" w:hAnsi="Times New Roman"/>
          <w:b/>
          <w:bCs/>
          <w:sz w:val="24"/>
          <w:szCs w:val="24"/>
          <w:u w:val="single"/>
        </w:rPr>
        <w:t>erification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Calibration verification is defined by CLIA as "the assay</w:t>
      </w:r>
      <w:r>
        <w:rPr>
          <w:rFonts w:ascii="Times New Roman" w:hAnsi="Times New Roman"/>
          <w:sz w:val="24"/>
          <w:szCs w:val="24"/>
        </w:rPr>
        <w:t>ing of calibration materials in the same manner as patient (participant)</w:t>
      </w:r>
      <w:r w:rsidRPr="00D75B0E">
        <w:rPr>
          <w:rFonts w:ascii="Times New Roman" w:hAnsi="Times New Roman"/>
          <w:sz w:val="24"/>
          <w:szCs w:val="24"/>
        </w:rPr>
        <w:t xml:space="preserve"> samples to confirm that the calibration </w:t>
      </w:r>
      <w:r>
        <w:rPr>
          <w:rFonts w:ascii="Times New Roman" w:hAnsi="Times New Roman"/>
          <w:sz w:val="24"/>
          <w:szCs w:val="24"/>
        </w:rPr>
        <w:t xml:space="preserve">of the instrument, kit, or test </w:t>
      </w:r>
      <w:r w:rsidRPr="00D75B0E">
        <w:rPr>
          <w:rFonts w:ascii="Times New Roman" w:hAnsi="Times New Roman"/>
          <w:sz w:val="24"/>
          <w:szCs w:val="24"/>
        </w:rPr>
        <w:t>system has remained stable throughout the laboratory's reportable r</w:t>
      </w:r>
      <w:r>
        <w:rPr>
          <w:rFonts w:ascii="Times New Roman" w:hAnsi="Times New Roman"/>
          <w:sz w:val="24"/>
          <w:szCs w:val="24"/>
        </w:rPr>
        <w:t xml:space="preserve">ange for patient test results". </w:t>
      </w:r>
      <w:r w:rsidRPr="00D75B0E">
        <w:rPr>
          <w:rFonts w:ascii="Times New Roman" w:hAnsi="Times New Roman"/>
          <w:sz w:val="24"/>
          <w:szCs w:val="24"/>
        </w:rPr>
        <w:t>Thus calibration verification is to assure that the accuracy of the</w:t>
      </w:r>
      <w:r>
        <w:rPr>
          <w:rFonts w:ascii="Times New Roman" w:hAnsi="Times New Roman"/>
          <w:sz w:val="24"/>
          <w:szCs w:val="24"/>
        </w:rPr>
        <w:t xml:space="preserve"> measurement process across the </w:t>
      </w:r>
      <w:r w:rsidRPr="00D75B0E">
        <w:rPr>
          <w:rFonts w:ascii="Times New Roman" w:hAnsi="Times New Roman"/>
          <w:sz w:val="24"/>
          <w:szCs w:val="24"/>
        </w:rPr>
        <w:t xml:space="preserve">reportable range is maintained over time. </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Pr="00D75B0E">
        <w:rPr>
          <w:rFonts w:ascii="Times New Roman" w:hAnsi="Times New Roman"/>
          <w:sz w:val="24"/>
          <w:szCs w:val="24"/>
        </w:rPr>
        <w:t>alibration verification is to be performed by analyzing calibrati</w:t>
      </w:r>
      <w:r>
        <w:rPr>
          <w:rFonts w:ascii="Times New Roman" w:hAnsi="Times New Roman"/>
          <w:sz w:val="24"/>
          <w:szCs w:val="24"/>
        </w:rPr>
        <w:t xml:space="preserve">on materials that represent the </w:t>
      </w:r>
      <w:r w:rsidRPr="00D75B0E">
        <w:rPr>
          <w:rFonts w:ascii="Times New Roman" w:hAnsi="Times New Roman"/>
          <w:sz w:val="24"/>
          <w:szCs w:val="24"/>
        </w:rPr>
        <w:t xml:space="preserve">lowest end, the middle portion and highest end of the reportable </w:t>
      </w:r>
      <w:r>
        <w:rPr>
          <w:rFonts w:ascii="Times New Roman" w:hAnsi="Times New Roman"/>
          <w:sz w:val="24"/>
          <w:szCs w:val="24"/>
        </w:rPr>
        <w:t xml:space="preserve">range. CLIA defines calibration </w:t>
      </w:r>
      <w:r w:rsidRPr="00D75B0E">
        <w:rPr>
          <w:rFonts w:ascii="Times New Roman" w:hAnsi="Times New Roman"/>
          <w:sz w:val="24"/>
          <w:szCs w:val="24"/>
        </w:rPr>
        <w:t>materials as "a solution which has a known amount of an</w:t>
      </w:r>
      <w:r>
        <w:rPr>
          <w:rFonts w:ascii="Times New Roman" w:hAnsi="Times New Roman"/>
          <w:sz w:val="24"/>
          <w:szCs w:val="24"/>
        </w:rPr>
        <w:t xml:space="preserve">alyte weighed in or has a value </w:t>
      </w:r>
      <w:r w:rsidRPr="00D75B0E">
        <w:rPr>
          <w:rFonts w:ascii="Times New Roman" w:hAnsi="Times New Roman"/>
          <w:sz w:val="24"/>
          <w:szCs w:val="24"/>
        </w:rPr>
        <w:t>determined by repetitive testing using a reference or defi</w:t>
      </w:r>
      <w:r>
        <w:rPr>
          <w:rFonts w:ascii="Times New Roman" w:hAnsi="Times New Roman"/>
          <w:sz w:val="24"/>
          <w:szCs w:val="24"/>
        </w:rPr>
        <w:t xml:space="preserve">nitive test method". Analytical </w:t>
      </w:r>
      <w:r w:rsidRPr="00D75B0E">
        <w:rPr>
          <w:rFonts w:ascii="Times New Roman" w:hAnsi="Times New Roman"/>
          <w:sz w:val="24"/>
          <w:szCs w:val="24"/>
        </w:rPr>
        <w:t>standards usually satisfy the CLIA definition of calibration mate</w:t>
      </w:r>
      <w:r>
        <w:rPr>
          <w:rFonts w:ascii="Times New Roman" w:hAnsi="Times New Roman"/>
          <w:sz w:val="24"/>
          <w:szCs w:val="24"/>
        </w:rPr>
        <w:t xml:space="preserve">rial. NIST standards qualify as </w:t>
      </w:r>
      <w:r w:rsidRPr="00D75B0E">
        <w:rPr>
          <w:rFonts w:ascii="Times New Roman" w:hAnsi="Times New Roman"/>
          <w:sz w:val="24"/>
          <w:szCs w:val="24"/>
        </w:rPr>
        <w:t>calibration materials.</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Pr="00D75B0E">
        <w:rPr>
          <w:rFonts w:ascii="Times New Roman" w:hAnsi="Times New Roman"/>
          <w:sz w:val="24"/>
          <w:szCs w:val="24"/>
        </w:rPr>
        <w:t>he low and high calibration materials must brac</w:t>
      </w:r>
      <w:r>
        <w:rPr>
          <w:rFonts w:ascii="Times New Roman" w:hAnsi="Times New Roman"/>
          <w:sz w:val="24"/>
          <w:szCs w:val="24"/>
        </w:rPr>
        <w:t xml:space="preserve">ket the reportable range; i.e., </w:t>
      </w:r>
      <w:r w:rsidRPr="00D75B0E">
        <w:rPr>
          <w:rFonts w:ascii="Times New Roman" w:hAnsi="Times New Roman"/>
          <w:sz w:val="24"/>
          <w:szCs w:val="24"/>
        </w:rPr>
        <w:t>results should not be reported as a numerical value unless th</w:t>
      </w:r>
      <w:r>
        <w:rPr>
          <w:rFonts w:ascii="Times New Roman" w:hAnsi="Times New Roman"/>
          <w:sz w:val="24"/>
          <w:szCs w:val="24"/>
        </w:rPr>
        <w:t xml:space="preserve">ey are between the low and high </w:t>
      </w:r>
      <w:r w:rsidRPr="00D75B0E">
        <w:rPr>
          <w:rFonts w:ascii="Times New Roman" w:hAnsi="Times New Roman"/>
          <w:sz w:val="24"/>
          <w:szCs w:val="24"/>
        </w:rPr>
        <w:t>upper end of the reportable range and the method permits sam</w:t>
      </w:r>
      <w:r>
        <w:rPr>
          <w:rFonts w:ascii="Times New Roman" w:hAnsi="Times New Roman"/>
          <w:sz w:val="24"/>
          <w:szCs w:val="24"/>
        </w:rPr>
        <w:t xml:space="preserve">ple dilution, the sample may be </w:t>
      </w:r>
      <w:r w:rsidRPr="00D75B0E">
        <w:rPr>
          <w:rFonts w:ascii="Times New Roman" w:hAnsi="Times New Roman"/>
          <w:sz w:val="24"/>
          <w:szCs w:val="24"/>
        </w:rPr>
        <w:t>diluted to bring it within the reporta</w:t>
      </w:r>
      <w:r>
        <w:rPr>
          <w:rFonts w:ascii="Times New Roman" w:hAnsi="Times New Roman"/>
          <w:sz w:val="24"/>
          <w:szCs w:val="24"/>
        </w:rPr>
        <w:t xml:space="preserve">ble range. If dilution was </w:t>
      </w:r>
      <w:r w:rsidRPr="00D75B0E">
        <w:rPr>
          <w:rFonts w:ascii="Times New Roman" w:hAnsi="Times New Roman"/>
          <w:sz w:val="24"/>
          <w:szCs w:val="24"/>
        </w:rPr>
        <w:t xml:space="preserve">necessary, the reported </w:t>
      </w:r>
      <w:r>
        <w:rPr>
          <w:rFonts w:ascii="Times New Roman" w:hAnsi="Times New Roman"/>
          <w:sz w:val="24"/>
          <w:szCs w:val="24"/>
        </w:rPr>
        <w:t xml:space="preserve">value </w:t>
      </w:r>
      <w:r w:rsidRPr="00D75B0E">
        <w:rPr>
          <w:rFonts w:ascii="Times New Roman" w:hAnsi="Times New Roman"/>
          <w:sz w:val="24"/>
          <w:szCs w:val="24"/>
        </w:rPr>
        <w:t>will exceed the upp</w:t>
      </w:r>
      <w:r>
        <w:rPr>
          <w:rFonts w:ascii="Times New Roman" w:hAnsi="Times New Roman"/>
          <w:sz w:val="24"/>
          <w:szCs w:val="24"/>
        </w:rPr>
        <w:t xml:space="preserve">er end of the reportable range. </w:t>
      </w:r>
      <w:r w:rsidRPr="00D75B0E">
        <w:rPr>
          <w:rFonts w:ascii="Times New Roman" w:hAnsi="Times New Roman"/>
          <w:sz w:val="24"/>
          <w:szCs w:val="24"/>
        </w:rPr>
        <w:t>The minimum frequency of calibration verification is onc</w:t>
      </w:r>
      <w:r>
        <w:rPr>
          <w:rFonts w:ascii="Times New Roman" w:hAnsi="Times New Roman"/>
          <w:sz w:val="24"/>
          <w:szCs w:val="24"/>
        </w:rPr>
        <w:t xml:space="preserve">e every six months. Calibration </w:t>
      </w:r>
      <w:r w:rsidRPr="00D75B0E">
        <w:rPr>
          <w:rFonts w:ascii="Times New Roman" w:hAnsi="Times New Roman"/>
          <w:sz w:val="24"/>
          <w:szCs w:val="24"/>
        </w:rPr>
        <w:t>verification will be performed after any change in the analytic</w:t>
      </w:r>
      <w:r>
        <w:rPr>
          <w:rFonts w:ascii="Times New Roman" w:hAnsi="Times New Roman"/>
          <w:sz w:val="24"/>
          <w:szCs w:val="24"/>
        </w:rPr>
        <w:t xml:space="preserve">al procedure which is likely to </w:t>
      </w:r>
      <w:r w:rsidRPr="00D75B0E">
        <w:rPr>
          <w:rFonts w:ascii="Times New Roman" w:hAnsi="Times New Roman"/>
          <w:sz w:val="24"/>
          <w:szCs w:val="24"/>
        </w:rPr>
        <w:t>make a non-trivial difference in sample results (e.g., complete c</w:t>
      </w:r>
      <w:r>
        <w:rPr>
          <w:rFonts w:ascii="Times New Roman" w:hAnsi="Times New Roman"/>
          <w:sz w:val="24"/>
          <w:szCs w:val="24"/>
        </w:rPr>
        <w:t xml:space="preserve">hange of reagents, change of GC </w:t>
      </w:r>
      <w:r w:rsidRPr="00D75B0E">
        <w:rPr>
          <w:rFonts w:ascii="Times New Roman" w:hAnsi="Times New Roman"/>
          <w:sz w:val="24"/>
          <w:szCs w:val="24"/>
        </w:rPr>
        <w:t>column). The process of calibration verification should take no more than three analytical runs.</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516780" w:rsidRDefault="00B64254" w:rsidP="00B64254">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Changing QC M</w:t>
      </w:r>
      <w:r w:rsidRPr="00516780">
        <w:rPr>
          <w:rFonts w:ascii="Times New Roman" w:hAnsi="Times New Roman"/>
          <w:b/>
          <w:bCs/>
          <w:sz w:val="24"/>
          <w:szCs w:val="24"/>
          <w:u w:val="single"/>
        </w:rPr>
        <w:t>aterials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When a QC material is changed, the new material mu</w:t>
      </w:r>
      <w:r>
        <w:rPr>
          <w:rFonts w:ascii="Times New Roman" w:hAnsi="Times New Roman"/>
          <w:sz w:val="24"/>
          <w:szCs w:val="24"/>
        </w:rPr>
        <w:t xml:space="preserve">st be re-evaluated as described </w:t>
      </w:r>
      <w:r w:rsidRPr="00D75B0E">
        <w:rPr>
          <w:rFonts w:ascii="Times New Roman" w:hAnsi="Times New Roman"/>
          <w:sz w:val="24"/>
          <w:szCs w:val="24"/>
        </w:rPr>
        <w:t>above for a new QC material in order to estimate the concentr</w:t>
      </w:r>
      <w:r>
        <w:rPr>
          <w:rFonts w:ascii="Times New Roman" w:hAnsi="Times New Roman"/>
          <w:sz w:val="24"/>
          <w:szCs w:val="24"/>
        </w:rPr>
        <w:t xml:space="preserve">ation of the target analyte and </w:t>
      </w:r>
      <w:r w:rsidRPr="00D75B0E">
        <w:rPr>
          <w:rFonts w:ascii="Times New Roman" w:hAnsi="Times New Roman"/>
          <w:sz w:val="24"/>
          <w:szCs w:val="24"/>
        </w:rPr>
        <w:t>appropriate QC limits. If the QC material is from a manufactur</w:t>
      </w:r>
      <w:r>
        <w:rPr>
          <w:rFonts w:ascii="Times New Roman" w:hAnsi="Times New Roman"/>
          <w:sz w:val="24"/>
          <w:szCs w:val="24"/>
        </w:rPr>
        <w:t xml:space="preserve">er (e.g., manufacturer-supplied </w:t>
      </w:r>
      <w:r w:rsidRPr="00D75B0E">
        <w:rPr>
          <w:rFonts w:ascii="Times New Roman" w:hAnsi="Times New Roman"/>
          <w:sz w:val="24"/>
          <w:szCs w:val="24"/>
        </w:rPr>
        <w:t>QC materials with RIA or EIA kits, or clinical analyzer</w:t>
      </w:r>
      <w:r>
        <w:rPr>
          <w:rFonts w:ascii="Times New Roman" w:hAnsi="Times New Roman"/>
          <w:sz w:val="24"/>
          <w:szCs w:val="24"/>
        </w:rPr>
        <w:t xml:space="preserve">s), then each new lot should be </w:t>
      </w:r>
      <w:r w:rsidRPr="00D75B0E">
        <w:rPr>
          <w:rFonts w:ascii="Times New Roman" w:hAnsi="Times New Roman"/>
          <w:sz w:val="24"/>
          <w:szCs w:val="24"/>
        </w:rPr>
        <w:t>considered a new QC material and should be characterized by the laboratory before it</w:t>
      </w:r>
      <w:r>
        <w:rPr>
          <w:rFonts w:ascii="Times New Roman" w:hAnsi="Times New Roman"/>
          <w:sz w:val="24"/>
          <w:szCs w:val="24"/>
        </w:rPr>
        <w:t>s use – even though</w:t>
      </w:r>
      <w:r w:rsidRPr="00D75B0E">
        <w:rPr>
          <w:rFonts w:ascii="Times New Roman" w:hAnsi="Times New Roman"/>
          <w:sz w:val="24"/>
          <w:szCs w:val="24"/>
        </w:rPr>
        <w:t xml:space="preserve"> the manufacturer’s stated target value may be very close</w:t>
      </w:r>
      <w:r>
        <w:rPr>
          <w:rFonts w:ascii="Times New Roman" w:hAnsi="Times New Roman"/>
          <w:sz w:val="24"/>
          <w:szCs w:val="24"/>
        </w:rPr>
        <w:t xml:space="preserve"> to that of the previous lot of </w:t>
      </w:r>
      <w:r w:rsidRPr="00D75B0E">
        <w:rPr>
          <w:rFonts w:ascii="Times New Roman" w:hAnsi="Times New Roman"/>
          <w:sz w:val="24"/>
          <w:szCs w:val="24"/>
        </w:rPr>
        <w:t xml:space="preserve">material. </w:t>
      </w:r>
      <w:r w:rsidRPr="00D75B0E">
        <w:rPr>
          <w:rFonts w:ascii="Times New Roman" w:hAnsi="Times New Roman"/>
          <w:sz w:val="24"/>
          <w:szCs w:val="24"/>
        </w:rPr>
        <w:lastRenderedPageBreak/>
        <w:t xml:space="preserve">Evaluation of new lots of materials should always be </w:t>
      </w:r>
      <w:r>
        <w:rPr>
          <w:rFonts w:ascii="Times New Roman" w:hAnsi="Times New Roman"/>
          <w:sz w:val="24"/>
          <w:szCs w:val="24"/>
        </w:rPr>
        <w:t xml:space="preserve">overlapped with use of previous </w:t>
      </w:r>
      <w:r w:rsidRPr="00D75B0E">
        <w:rPr>
          <w:rFonts w:ascii="Times New Roman" w:hAnsi="Times New Roman"/>
          <w:sz w:val="24"/>
          <w:szCs w:val="24"/>
        </w:rPr>
        <w:t>lots of materials.</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835C6F" w:rsidRDefault="00B64254" w:rsidP="00B64254">
      <w:pPr>
        <w:autoSpaceDE w:val="0"/>
        <w:autoSpaceDN w:val="0"/>
        <w:adjustRightInd w:val="0"/>
        <w:spacing w:after="0" w:line="240" w:lineRule="auto"/>
        <w:jc w:val="both"/>
        <w:rPr>
          <w:rFonts w:ascii="Times New Roman" w:hAnsi="Times New Roman"/>
          <w:b/>
          <w:bCs/>
          <w:sz w:val="24"/>
          <w:szCs w:val="24"/>
        </w:rPr>
      </w:pPr>
      <w:r w:rsidRPr="00835C6F">
        <w:rPr>
          <w:rFonts w:ascii="Times New Roman" w:hAnsi="Times New Roman"/>
          <w:b/>
          <w:bCs/>
          <w:sz w:val="24"/>
          <w:szCs w:val="24"/>
        </w:rPr>
        <w:t>Reference Materials used for Preparation of Calibrators and Quality Control Materials</w:t>
      </w:r>
    </w:p>
    <w:p w:rsidR="00B64254" w:rsidRPr="00835C6F" w:rsidRDefault="00B64254" w:rsidP="00B64254">
      <w:pPr>
        <w:autoSpaceDE w:val="0"/>
        <w:autoSpaceDN w:val="0"/>
        <w:adjustRightInd w:val="0"/>
        <w:spacing w:after="0" w:line="240" w:lineRule="auto"/>
        <w:jc w:val="both"/>
        <w:rPr>
          <w:rFonts w:ascii="Times New Roman" w:hAnsi="Times New Roman"/>
          <w:sz w:val="16"/>
          <w:szCs w:val="16"/>
        </w:rPr>
      </w:pPr>
    </w:p>
    <w:p w:rsidR="00B64254" w:rsidRPr="00EE06E3" w:rsidRDefault="00B64254" w:rsidP="00B64254">
      <w:pPr>
        <w:autoSpaceDE w:val="0"/>
        <w:autoSpaceDN w:val="0"/>
        <w:adjustRightInd w:val="0"/>
        <w:spacing w:after="0" w:line="240" w:lineRule="auto"/>
        <w:jc w:val="both"/>
        <w:rPr>
          <w:rFonts w:ascii="Times New Roman" w:hAnsi="Times New Roman"/>
          <w:b/>
          <w:bCs/>
          <w:sz w:val="24"/>
          <w:szCs w:val="24"/>
        </w:rPr>
      </w:pPr>
      <w:r w:rsidRPr="00D75B0E">
        <w:rPr>
          <w:rFonts w:ascii="Times New Roman" w:hAnsi="Times New Roman"/>
          <w:sz w:val="24"/>
          <w:szCs w:val="24"/>
        </w:rPr>
        <w:t xml:space="preserve">For all measurements, </w:t>
      </w:r>
      <w:r w:rsidRPr="00D75B0E">
        <w:rPr>
          <w:rFonts w:ascii="Times New Roman" w:hAnsi="Times New Roman"/>
          <w:b/>
          <w:bCs/>
          <w:sz w:val="24"/>
          <w:szCs w:val="24"/>
        </w:rPr>
        <w:t>best available reference mat</w:t>
      </w:r>
      <w:r>
        <w:rPr>
          <w:rFonts w:ascii="Times New Roman" w:hAnsi="Times New Roman"/>
          <w:b/>
          <w:bCs/>
          <w:sz w:val="24"/>
          <w:szCs w:val="24"/>
        </w:rPr>
        <w:t xml:space="preserve">erials should be used to assure </w:t>
      </w:r>
      <w:r w:rsidRPr="00D75B0E">
        <w:rPr>
          <w:rFonts w:ascii="Times New Roman" w:hAnsi="Times New Roman"/>
          <w:b/>
          <w:bCs/>
          <w:sz w:val="24"/>
          <w:szCs w:val="24"/>
        </w:rPr>
        <w:t>accuracy</w:t>
      </w:r>
      <w:r w:rsidRPr="00D75B0E">
        <w:rPr>
          <w:rFonts w:ascii="Times New Roman" w:hAnsi="Times New Roman"/>
          <w:sz w:val="24"/>
          <w:szCs w:val="24"/>
        </w:rPr>
        <w:t>. Reference materials available from NIST or other recognized national and</w:t>
      </w:r>
      <w:r>
        <w:rPr>
          <w:rFonts w:ascii="Times New Roman" w:hAnsi="Times New Roman"/>
          <w:b/>
          <w:bCs/>
          <w:sz w:val="24"/>
          <w:szCs w:val="24"/>
        </w:rPr>
        <w:t xml:space="preserve"> </w:t>
      </w:r>
      <w:r w:rsidRPr="00D75B0E">
        <w:rPr>
          <w:rFonts w:ascii="Times New Roman" w:hAnsi="Times New Roman"/>
          <w:sz w:val="24"/>
          <w:szCs w:val="24"/>
        </w:rPr>
        <w:t>international scientific organizations should be used if available. Concentrations of other</w:t>
      </w:r>
      <w:r>
        <w:rPr>
          <w:rFonts w:ascii="Times New Roman" w:hAnsi="Times New Roman"/>
          <w:b/>
          <w:bCs/>
          <w:sz w:val="24"/>
          <w:szCs w:val="24"/>
        </w:rPr>
        <w:t xml:space="preserve"> </w:t>
      </w:r>
      <w:r w:rsidRPr="00D75B0E">
        <w:rPr>
          <w:rFonts w:ascii="Times New Roman" w:hAnsi="Times New Roman"/>
          <w:sz w:val="24"/>
          <w:szCs w:val="24"/>
        </w:rPr>
        <w:t>materials that are to be used for calibrators or quality control materials should be checked against</w:t>
      </w:r>
      <w:r>
        <w:rPr>
          <w:rFonts w:ascii="Times New Roman" w:hAnsi="Times New Roman"/>
          <w:b/>
          <w:bCs/>
          <w:sz w:val="24"/>
          <w:szCs w:val="24"/>
        </w:rPr>
        <w:t xml:space="preserve"> </w:t>
      </w:r>
      <w:r w:rsidRPr="00D75B0E">
        <w:rPr>
          <w:rFonts w:ascii="Times New Roman" w:hAnsi="Times New Roman"/>
          <w:sz w:val="24"/>
          <w:szCs w:val="24"/>
        </w:rPr>
        <w:t>best available reference materials from NIST or other recognized national and international</w:t>
      </w:r>
      <w:r>
        <w:rPr>
          <w:rFonts w:ascii="Times New Roman" w:hAnsi="Times New Roman"/>
          <w:b/>
          <w:bCs/>
          <w:sz w:val="24"/>
          <w:szCs w:val="24"/>
        </w:rPr>
        <w:t xml:space="preserve"> </w:t>
      </w:r>
      <w:r w:rsidRPr="00D75B0E">
        <w:rPr>
          <w:rFonts w:ascii="Times New Roman" w:hAnsi="Times New Roman"/>
          <w:sz w:val="24"/>
          <w:szCs w:val="24"/>
        </w:rPr>
        <w:t>scientific organizations.</w:t>
      </w:r>
    </w:p>
    <w:p w:rsidR="00B64254" w:rsidRPr="00835C6F"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For many of the proposed analyses</w:t>
      </w:r>
      <w:r w:rsidRPr="00D75B0E">
        <w:rPr>
          <w:rFonts w:ascii="Times New Roman" w:hAnsi="Times New Roman"/>
          <w:sz w:val="24"/>
          <w:szCs w:val="24"/>
        </w:rPr>
        <w:t>, reference materials, includin</w:t>
      </w:r>
      <w:r>
        <w:rPr>
          <w:rFonts w:ascii="Times New Roman" w:hAnsi="Times New Roman"/>
          <w:sz w:val="24"/>
          <w:szCs w:val="24"/>
        </w:rPr>
        <w:t xml:space="preserve">g </w:t>
      </w:r>
      <w:proofErr w:type="spellStart"/>
      <w:r>
        <w:rPr>
          <w:rFonts w:ascii="Times New Roman" w:hAnsi="Times New Roman"/>
          <w:sz w:val="24"/>
          <w:szCs w:val="24"/>
        </w:rPr>
        <w:t>isotopically</w:t>
      </w:r>
      <w:proofErr w:type="spellEnd"/>
      <w:r>
        <w:rPr>
          <w:rFonts w:ascii="Times New Roman" w:hAnsi="Times New Roman"/>
          <w:sz w:val="24"/>
          <w:szCs w:val="24"/>
        </w:rPr>
        <w:t xml:space="preserve"> labeled internal </w:t>
      </w:r>
      <w:r w:rsidRPr="00D75B0E">
        <w:rPr>
          <w:rFonts w:ascii="Times New Roman" w:hAnsi="Times New Roman"/>
          <w:sz w:val="24"/>
          <w:szCs w:val="24"/>
        </w:rPr>
        <w:t>st</w:t>
      </w:r>
      <w:r>
        <w:rPr>
          <w:rFonts w:ascii="Times New Roman" w:hAnsi="Times New Roman"/>
          <w:sz w:val="24"/>
          <w:szCs w:val="24"/>
        </w:rPr>
        <w:t>andards, are synthesized</w:t>
      </w:r>
      <w:r w:rsidRPr="00D75B0E">
        <w:rPr>
          <w:rFonts w:ascii="Times New Roman" w:hAnsi="Times New Roman"/>
          <w:sz w:val="24"/>
          <w:szCs w:val="24"/>
        </w:rPr>
        <w:t xml:space="preserve"> by outside contractors and thes</w:t>
      </w:r>
      <w:r>
        <w:rPr>
          <w:rFonts w:ascii="Times New Roman" w:hAnsi="Times New Roman"/>
          <w:sz w:val="24"/>
          <w:szCs w:val="24"/>
        </w:rPr>
        <w:t xml:space="preserve">e materials are used to prepare </w:t>
      </w:r>
      <w:r w:rsidRPr="00D75B0E">
        <w:rPr>
          <w:rFonts w:ascii="Times New Roman" w:hAnsi="Times New Roman"/>
          <w:sz w:val="24"/>
          <w:szCs w:val="24"/>
        </w:rPr>
        <w:t>calibrators and quality control materials. For these custom</w:t>
      </w:r>
      <w:r>
        <w:rPr>
          <w:rFonts w:ascii="Times New Roman" w:hAnsi="Times New Roman"/>
          <w:sz w:val="24"/>
          <w:szCs w:val="24"/>
        </w:rPr>
        <w:t xml:space="preserve"> synthesized or custom prepared </w:t>
      </w:r>
      <w:r w:rsidRPr="00D75B0E">
        <w:rPr>
          <w:rFonts w:ascii="Times New Roman" w:hAnsi="Times New Roman"/>
          <w:sz w:val="24"/>
          <w:szCs w:val="24"/>
        </w:rPr>
        <w:t xml:space="preserve">reference materials, the following purity checks should be </w:t>
      </w:r>
      <w:r>
        <w:rPr>
          <w:rFonts w:ascii="Times New Roman" w:hAnsi="Times New Roman"/>
          <w:sz w:val="24"/>
          <w:szCs w:val="24"/>
        </w:rPr>
        <w:t>completed by either the outside contracting laboratory or by the state laboratory</w:t>
      </w:r>
      <w:r w:rsidRPr="00D75B0E">
        <w:rPr>
          <w:rFonts w:ascii="Times New Roman" w:hAnsi="Times New Roman"/>
          <w:sz w:val="24"/>
          <w:szCs w:val="24"/>
        </w:rPr>
        <w:t>. Documentation of these purity</w:t>
      </w:r>
      <w:r>
        <w:rPr>
          <w:rFonts w:ascii="Times New Roman" w:hAnsi="Times New Roman"/>
          <w:sz w:val="24"/>
          <w:szCs w:val="24"/>
        </w:rPr>
        <w:t xml:space="preserve"> checks is to be maintained for </w:t>
      </w:r>
      <w:r w:rsidRPr="00D75B0E">
        <w:rPr>
          <w:rFonts w:ascii="Times New Roman" w:hAnsi="Times New Roman"/>
          <w:sz w:val="24"/>
          <w:szCs w:val="24"/>
        </w:rPr>
        <w:t>each material.</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Pr="00EE06E3" w:rsidRDefault="00B64254" w:rsidP="00B64254">
      <w:pPr>
        <w:autoSpaceDE w:val="0"/>
        <w:autoSpaceDN w:val="0"/>
        <w:adjustRightInd w:val="0"/>
        <w:spacing w:after="0" w:line="240" w:lineRule="auto"/>
        <w:jc w:val="both"/>
        <w:rPr>
          <w:rFonts w:ascii="Times New Roman" w:hAnsi="Times New Roman"/>
          <w:sz w:val="24"/>
          <w:szCs w:val="24"/>
          <w:u w:val="single"/>
        </w:rPr>
      </w:pPr>
      <w:r w:rsidRPr="00EE06E3">
        <w:rPr>
          <w:rFonts w:ascii="Times New Roman" w:hAnsi="Times New Roman"/>
          <w:sz w:val="24"/>
          <w:szCs w:val="24"/>
          <w:u w:val="single"/>
        </w:rPr>
        <w:t xml:space="preserve">For small molecules (typically &lt; 1000 </w:t>
      </w:r>
      <w:proofErr w:type="spellStart"/>
      <w:r w:rsidRPr="00EE06E3">
        <w:rPr>
          <w:rFonts w:ascii="Times New Roman" w:hAnsi="Times New Roman"/>
          <w:sz w:val="24"/>
          <w:szCs w:val="24"/>
          <w:u w:val="single"/>
        </w:rPr>
        <w:t>daltons</w:t>
      </w:r>
      <w:proofErr w:type="spellEnd"/>
      <w:r w:rsidRPr="00EE06E3">
        <w:rPr>
          <w:rFonts w:ascii="Times New Roman" w:hAnsi="Times New Roman"/>
          <w:sz w:val="24"/>
          <w:szCs w:val="24"/>
          <w:u w:val="single"/>
        </w:rPr>
        <w:t>), required purity checks are:</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proton nuclear magnetic resonance (NMR) spectrum</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carbon-13 NMR spectrum</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mass spectrometry full scan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4) mass spectrometry selected ion monitoring scan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5) one of the following three quantitative assays:</w:t>
      </w:r>
    </w:p>
    <w:p w:rsidR="00B64254" w:rsidRPr="00D75B0E" w:rsidRDefault="00B64254" w:rsidP="00B64254">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a. elemental analysis</w:t>
      </w:r>
    </w:p>
    <w:p w:rsidR="00B64254" w:rsidRPr="00D75B0E" w:rsidRDefault="00B64254" w:rsidP="00B64254">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b. ultraviolet (UV) analysis with a reliable molar extinction coefficient</w:t>
      </w:r>
    </w:p>
    <w:p w:rsidR="00B64254" w:rsidRPr="00D75B0E" w:rsidRDefault="00B64254" w:rsidP="00B64254">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c. differential scanning calorimetry</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C6331A">
        <w:rPr>
          <w:rFonts w:ascii="Times New Roman" w:hAnsi="Times New Roman"/>
          <w:sz w:val="24"/>
          <w:szCs w:val="24"/>
          <w:u w:val="single"/>
        </w:rPr>
        <w:t>For elements and radionuclides, required purity checks are</w:t>
      </w:r>
      <w:r w:rsidRPr="00D75B0E">
        <w:rPr>
          <w:rFonts w:ascii="Times New Roman" w:hAnsi="Times New Roman"/>
          <w:sz w:val="24"/>
          <w:szCs w:val="24"/>
        </w:rPr>
        <w: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elemental analysis</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Default="00B64254" w:rsidP="00B64254">
      <w:pPr>
        <w:autoSpaceDE w:val="0"/>
        <w:autoSpaceDN w:val="0"/>
        <w:adjustRightInd w:val="0"/>
        <w:spacing w:after="0" w:line="240" w:lineRule="auto"/>
        <w:jc w:val="both"/>
        <w:rPr>
          <w:rFonts w:ascii="Times New Roman" w:hAnsi="Times New Roman"/>
          <w:sz w:val="24"/>
          <w:szCs w:val="24"/>
          <w:u w:val="single"/>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EE06E3">
        <w:rPr>
          <w:rFonts w:ascii="Times New Roman" w:hAnsi="Times New Roman"/>
          <w:sz w:val="24"/>
          <w:szCs w:val="24"/>
          <w:u w:val="single"/>
        </w:rPr>
        <w:t>For peptides, required purity checks are</w:t>
      </w:r>
      <w:r w:rsidRPr="00D75B0E">
        <w:rPr>
          <w:rFonts w:ascii="Times New Roman" w:hAnsi="Times New Roman"/>
          <w:sz w:val="24"/>
          <w:szCs w:val="24"/>
        </w:rPr>
        <w: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mass spectrometry full scan by MALDI TOF m</w:t>
      </w:r>
      <w:r>
        <w:rPr>
          <w:rFonts w:ascii="Times New Roman" w:hAnsi="Times New Roman"/>
          <w:sz w:val="24"/>
          <w:szCs w:val="24"/>
        </w:rPr>
        <w:t xml:space="preserve">ass spectrometry or LC-ESI mass </w:t>
      </w:r>
      <w:r w:rsidRPr="00D75B0E">
        <w:rPr>
          <w:rFonts w:ascii="Times New Roman" w:hAnsi="Times New Roman"/>
          <w:sz w:val="24"/>
          <w:szCs w:val="24"/>
        </w:rPr>
        <w:t>spectrometry</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isotope dilution amino acid analysis (AAA) using NIST certified amino acid standards</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Pr="00EE06E3" w:rsidRDefault="00B64254" w:rsidP="00B64254">
      <w:pPr>
        <w:autoSpaceDE w:val="0"/>
        <w:autoSpaceDN w:val="0"/>
        <w:adjustRightInd w:val="0"/>
        <w:spacing w:after="0" w:line="240" w:lineRule="auto"/>
        <w:jc w:val="both"/>
        <w:rPr>
          <w:rFonts w:ascii="Times New Roman" w:hAnsi="Times New Roman"/>
          <w:sz w:val="24"/>
          <w:szCs w:val="24"/>
          <w:u w:val="single"/>
        </w:rPr>
      </w:pPr>
      <w:r w:rsidRPr="00EE06E3">
        <w:rPr>
          <w:rFonts w:ascii="Times New Roman" w:hAnsi="Times New Roman"/>
          <w:sz w:val="24"/>
          <w:szCs w:val="24"/>
          <w:u w:val="single"/>
        </w:rPr>
        <w:t>For proteins, required purity checks are:</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D75B0E">
        <w:rPr>
          <w:rFonts w:ascii="Times New Roman" w:hAnsi="Times New Roman"/>
          <w:sz w:val="24"/>
          <w:szCs w:val="24"/>
        </w:rPr>
        <w:t>enzymatic digestion followed by peptide quantitati</w:t>
      </w:r>
      <w:r>
        <w:rPr>
          <w:rFonts w:ascii="Times New Roman" w:hAnsi="Times New Roman"/>
          <w:sz w:val="24"/>
          <w:szCs w:val="24"/>
        </w:rPr>
        <w:t xml:space="preserve">ve analysis by isotope dilution </w:t>
      </w:r>
      <w:r w:rsidRPr="00D75B0E">
        <w:rPr>
          <w:rFonts w:ascii="Times New Roman" w:hAnsi="Times New Roman"/>
          <w:sz w:val="24"/>
          <w:szCs w:val="24"/>
        </w:rPr>
        <w:t>LC/MS/MS. Digestion conditions should be used that a</w:t>
      </w:r>
      <w:r>
        <w:rPr>
          <w:rFonts w:ascii="Times New Roman" w:hAnsi="Times New Roman"/>
          <w:sz w:val="24"/>
          <w:szCs w:val="24"/>
        </w:rPr>
        <w:t xml:space="preserve">ssure completeness of enzymatic </w:t>
      </w:r>
      <w:r w:rsidRPr="00D75B0E">
        <w:rPr>
          <w:rFonts w:ascii="Times New Roman" w:hAnsi="Times New Roman"/>
          <w:sz w:val="24"/>
          <w:szCs w:val="24"/>
        </w:rPr>
        <w:t>digestion. To quantify peptides resulting from enzymatic diges</w:t>
      </w:r>
      <w:r>
        <w:rPr>
          <w:rFonts w:ascii="Times New Roman" w:hAnsi="Times New Roman"/>
          <w:sz w:val="24"/>
          <w:szCs w:val="24"/>
        </w:rPr>
        <w:t xml:space="preserve">tion, peptide standards </w:t>
      </w:r>
      <w:r w:rsidRPr="00D75B0E">
        <w:rPr>
          <w:rFonts w:ascii="Times New Roman" w:hAnsi="Times New Roman"/>
          <w:sz w:val="24"/>
          <w:szCs w:val="24"/>
        </w:rPr>
        <w:t>should be used which have concentrations est</w:t>
      </w:r>
      <w:r>
        <w:rPr>
          <w:rFonts w:ascii="Times New Roman" w:hAnsi="Times New Roman"/>
          <w:sz w:val="24"/>
          <w:szCs w:val="24"/>
        </w:rPr>
        <w:t>ablished by isotope dilution amino acid analysis</w:t>
      </w:r>
      <w:r w:rsidRPr="00D75B0E">
        <w:rPr>
          <w:rFonts w:ascii="Times New Roman" w:hAnsi="Times New Roman"/>
          <w:sz w:val="24"/>
          <w:szCs w:val="24"/>
        </w:rPr>
        <w: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a label-free approach to quantify proteins is adequate to quantify proteins for certain uses.</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EE06E3" w:rsidRDefault="00B64254" w:rsidP="00B64254">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Preparation of Calibrators and Quality Control M</w:t>
      </w:r>
      <w:r w:rsidRPr="00EE06E3">
        <w:rPr>
          <w:rFonts w:ascii="Times New Roman" w:hAnsi="Times New Roman"/>
          <w:b/>
          <w:bCs/>
          <w:sz w:val="24"/>
          <w:szCs w:val="24"/>
          <w:u w:val="single"/>
        </w:rPr>
        <w:t>aterials</w:t>
      </w:r>
    </w:p>
    <w:p w:rsidR="00B64254" w:rsidRPr="00032ACD"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Calibrators and quality control materials are prepared by di</w:t>
      </w:r>
      <w:r>
        <w:rPr>
          <w:rFonts w:ascii="Times New Roman" w:hAnsi="Times New Roman"/>
          <w:sz w:val="24"/>
          <w:szCs w:val="24"/>
        </w:rPr>
        <w:t xml:space="preserve">luting reference materials into </w:t>
      </w:r>
      <w:r w:rsidRPr="00D75B0E">
        <w:rPr>
          <w:rFonts w:ascii="Times New Roman" w:hAnsi="Times New Roman"/>
          <w:sz w:val="24"/>
          <w:szCs w:val="24"/>
        </w:rPr>
        <w:t xml:space="preserve">an appropriate matrix. The most accurate and precise </w:t>
      </w:r>
      <w:r>
        <w:rPr>
          <w:rFonts w:ascii="Times New Roman" w:hAnsi="Times New Roman"/>
          <w:sz w:val="24"/>
          <w:szCs w:val="24"/>
        </w:rPr>
        <w:t xml:space="preserve">dilution method with the lowest </w:t>
      </w:r>
      <w:r w:rsidRPr="00D75B0E">
        <w:rPr>
          <w:rFonts w:ascii="Times New Roman" w:hAnsi="Times New Roman"/>
          <w:sz w:val="24"/>
          <w:szCs w:val="24"/>
        </w:rPr>
        <w:t xml:space="preserve">uncertainty </w:t>
      </w:r>
      <w:r w:rsidRPr="00D75B0E">
        <w:rPr>
          <w:rFonts w:ascii="Times New Roman" w:hAnsi="Times New Roman"/>
          <w:sz w:val="24"/>
          <w:szCs w:val="24"/>
        </w:rPr>
        <w:lastRenderedPageBreak/>
        <w:t>should be used. Both gravimetric and volumetri</w:t>
      </w:r>
      <w:r>
        <w:rPr>
          <w:rFonts w:ascii="Times New Roman" w:hAnsi="Times New Roman"/>
          <w:sz w:val="24"/>
          <w:szCs w:val="24"/>
        </w:rPr>
        <w:t xml:space="preserve">c based dilution methods may be </w:t>
      </w:r>
      <w:r w:rsidRPr="00D75B0E">
        <w:rPr>
          <w:rFonts w:ascii="Times New Roman" w:hAnsi="Times New Roman"/>
          <w:sz w:val="24"/>
          <w:szCs w:val="24"/>
        </w:rPr>
        <w:t xml:space="preserve">used to create calibrators and quality control materials. </w:t>
      </w:r>
      <w:r>
        <w:rPr>
          <w:rFonts w:ascii="Times New Roman" w:hAnsi="Times New Roman"/>
          <w:sz w:val="24"/>
          <w:szCs w:val="24"/>
        </w:rPr>
        <w:t xml:space="preserve">Each preparation step should be </w:t>
      </w:r>
      <w:r w:rsidRPr="00D75B0E">
        <w:rPr>
          <w:rFonts w:ascii="Times New Roman" w:hAnsi="Times New Roman"/>
          <w:sz w:val="24"/>
          <w:szCs w:val="24"/>
        </w:rPr>
        <w:t xml:space="preserve">individually considered to minimize bias and random error. For example, viscous </w:t>
      </w:r>
      <w:r>
        <w:rPr>
          <w:rFonts w:ascii="Times New Roman" w:hAnsi="Times New Roman"/>
          <w:sz w:val="24"/>
          <w:szCs w:val="24"/>
        </w:rPr>
        <w:t xml:space="preserve">liquids may </w:t>
      </w:r>
      <w:r w:rsidRPr="00D75B0E">
        <w:rPr>
          <w:rFonts w:ascii="Times New Roman" w:hAnsi="Times New Roman"/>
          <w:sz w:val="24"/>
          <w:szCs w:val="24"/>
        </w:rPr>
        <w:t>require the use of positive displacement pipettes to reduce bias</w:t>
      </w:r>
      <w:r>
        <w:rPr>
          <w:rFonts w:ascii="Times New Roman" w:hAnsi="Times New Roman"/>
          <w:sz w:val="24"/>
          <w:szCs w:val="24"/>
        </w:rPr>
        <w:t xml:space="preserve"> that has been observed for air displacement pipettes. </w:t>
      </w:r>
      <w:r w:rsidRPr="00D75B0E">
        <w:rPr>
          <w:rFonts w:ascii="Times New Roman" w:hAnsi="Times New Roman"/>
          <w:sz w:val="24"/>
          <w:szCs w:val="24"/>
        </w:rPr>
        <w:t xml:space="preserve">Two aspects of preparation of calibrators and quality </w:t>
      </w:r>
      <w:r>
        <w:rPr>
          <w:rFonts w:ascii="Times New Roman" w:hAnsi="Times New Roman"/>
          <w:sz w:val="24"/>
          <w:szCs w:val="24"/>
        </w:rPr>
        <w:t xml:space="preserve">control materials merit special </w:t>
      </w:r>
      <w:r w:rsidRPr="00D75B0E">
        <w:rPr>
          <w:rFonts w:ascii="Times New Roman" w:hAnsi="Times New Roman"/>
          <w:sz w:val="24"/>
          <w:szCs w:val="24"/>
        </w:rPr>
        <w:t>attention to minimize error. First, use of serial dilutions sho</w:t>
      </w:r>
      <w:r>
        <w:rPr>
          <w:rFonts w:ascii="Times New Roman" w:hAnsi="Times New Roman"/>
          <w:sz w:val="24"/>
          <w:szCs w:val="24"/>
        </w:rPr>
        <w:t xml:space="preserve">uld be minimized. Every attempt </w:t>
      </w:r>
      <w:r w:rsidRPr="00D75B0E">
        <w:rPr>
          <w:rFonts w:ascii="Times New Roman" w:hAnsi="Times New Roman"/>
          <w:sz w:val="24"/>
          <w:szCs w:val="24"/>
        </w:rPr>
        <w:t>should be made to produce calibrators from reference material</w:t>
      </w:r>
      <w:r>
        <w:rPr>
          <w:rFonts w:ascii="Times New Roman" w:hAnsi="Times New Roman"/>
          <w:sz w:val="24"/>
          <w:szCs w:val="24"/>
        </w:rPr>
        <w:t xml:space="preserve">s using no more than two serial </w:t>
      </w:r>
      <w:r w:rsidRPr="00D75B0E">
        <w:rPr>
          <w:rFonts w:ascii="Times New Roman" w:hAnsi="Times New Roman"/>
          <w:sz w:val="24"/>
          <w:szCs w:val="24"/>
        </w:rPr>
        <w:t>dilutions. Three serial dilutions is the upper allowable limit. If m</w:t>
      </w:r>
      <w:r>
        <w:rPr>
          <w:rFonts w:ascii="Times New Roman" w:hAnsi="Times New Roman"/>
          <w:sz w:val="24"/>
          <w:szCs w:val="24"/>
        </w:rPr>
        <w:t xml:space="preserve">ore than three serial dilutions </w:t>
      </w:r>
      <w:r w:rsidRPr="00D75B0E">
        <w:rPr>
          <w:rFonts w:ascii="Times New Roman" w:hAnsi="Times New Roman"/>
          <w:sz w:val="24"/>
          <w:szCs w:val="24"/>
        </w:rPr>
        <w:t>are needed, approv</w:t>
      </w:r>
      <w:r>
        <w:rPr>
          <w:rFonts w:ascii="Times New Roman" w:hAnsi="Times New Roman"/>
          <w:sz w:val="24"/>
          <w:szCs w:val="24"/>
        </w:rPr>
        <w:t>al from the laboratory supervisor is</w:t>
      </w:r>
      <w:r w:rsidRPr="00D75B0E">
        <w:rPr>
          <w:rFonts w:ascii="Times New Roman" w:hAnsi="Times New Roman"/>
          <w:sz w:val="24"/>
          <w:szCs w:val="24"/>
        </w:rPr>
        <w:t xml:space="preserve"> needed.</w:t>
      </w:r>
      <w:r>
        <w:rPr>
          <w:rFonts w:ascii="Times New Roman" w:hAnsi="Times New Roman"/>
          <w:sz w:val="24"/>
          <w:szCs w:val="24"/>
        </w:rPr>
        <w:t xml:space="preserve"> Second, small volume pipetting </w:t>
      </w:r>
      <w:r w:rsidRPr="00D75B0E">
        <w:rPr>
          <w:rFonts w:ascii="Times New Roman" w:hAnsi="Times New Roman"/>
          <w:sz w:val="24"/>
          <w:szCs w:val="24"/>
        </w:rPr>
        <w:t xml:space="preserve">should be avoided. In general, volumes &lt; 50 </w:t>
      </w:r>
      <w:proofErr w:type="spellStart"/>
      <w:r w:rsidRPr="00D75B0E">
        <w:rPr>
          <w:rFonts w:ascii="Times New Roman" w:hAnsi="Times New Roman"/>
          <w:sz w:val="24"/>
          <w:szCs w:val="24"/>
        </w:rPr>
        <w:t>μL</w:t>
      </w:r>
      <w:proofErr w:type="spellEnd"/>
      <w:r w:rsidRPr="00D75B0E">
        <w:rPr>
          <w:rFonts w:ascii="Times New Roman" w:hAnsi="Times New Roman"/>
          <w:sz w:val="24"/>
          <w:szCs w:val="24"/>
        </w:rPr>
        <w:t xml:space="preserve"> should not be pip</w:t>
      </w:r>
      <w:r>
        <w:rPr>
          <w:rFonts w:ascii="Times New Roman" w:hAnsi="Times New Roman"/>
          <w:sz w:val="24"/>
          <w:szCs w:val="24"/>
        </w:rPr>
        <w:t xml:space="preserve">etted in preparation steps. For </w:t>
      </w:r>
      <w:r w:rsidRPr="00D75B0E">
        <w:rPr>
          <w:rFonts w:ascii="Times New Roman" w:hAnsi="Times New Roman"/>
          <w:sz w:val="24"/>
          <w:szCs w:val="24"/>
        </w:rPr>
        <w:t xml:space="preserve">unusual circumstances where such small volumes may </w:t>
      </w:r>
      <w:r>
        <w:rPr>
          <w:rFonts w:ascii="Times New Roman" w:hAnsi="Times New Roman"/>
          <w:sz w:val="24"/>
          <w:szCs w:val="24"/>
        </w:rPr>
        <w:t xml:space="preserve">be needed, laboratory management approval is </w:t>
      </w:r>
      <w:r w:rsidRPr="00D75B0E">
        <w:rPr>
          <w:rFonts w:ascii="Times New Roman" w:hAnsi="Times New Roman"/>
          <w:sz w:val="24"/>
          <w:szCs w:val="24"/>
        </w:rPr>
        <w:t>required and special care should be taken to assure well-calibrated p</w:t>
      </w:r>
      <w:r>
        <w:rPr>
          <w:rFonts w:ascii="Times New Roman" w:hAnsi="Times New Roman"/>
          <w:sz w:val="24"/>
          <w:szCs w:val="24"/>
        </w:rPr>
        <w:t xml:space="preserve">ipettes that are calibrated for </w:t>
      </w:r>
      <w:r w:rsidRPr="00D75B0E">
        <w:rPr>
          <w:rFonts w:ascii="Times New Roman" w:hAnsi="Times New Roman"/>
          <w:sz w:val="24"/>
          <w:szCs w:val="24"/>
        </w:rPr>
        <w:t>the specific volume to be used. Calibrator preparation steps incl</w:t>
      </w:r>
      <w:r>
        <w:rPr>
          <w:rFonts w:ascii="Times New Roman" w:hAnsi="Times New Roman"/>
          <w:sz w:val="24"/>
          <w:szCs w:val="24"/>
        </w:rPr>
        <w:t xml:space="preserve">uding pipetting of volumes less </w:t>
      </w:r>
      <w:r w:rsidRPr="00D75B0E">
        <w:rPr>
          <w:rFonts w:ascii="Times New Roman" w:hAnsi="Times New Roman"/>
          <w:sz w:val="24"/>
          <w:szCs w:val="24"/>
        </w:rPr>
        <w:t xml:space="preserve">than 10 </w:t>
      </w:r>
      <w:proofErr w:type="spellStart"/>
      <w:r w:rsidRPr="00D75B0E">
        <w:rPr>
          <w:rFonts w:ascii="Times New Roman" w:hAnsi="Times New Roman"/>
          <w:sz w:val="24"/>
          <w:szCs w:val="24"/>
        </w:rPr>
        <w:t>μL</w:t>
      </w:r>
      <w:proofErr w:type="spellEnd"/>
      <w:r w:rsidRPr="00D75B0E">
        <w:rPr>
          <w:rFonts w:ascii="Times New Roman" w:hAnsi="Times New Roman"/>
          <w:sz w:val="24"/>
          <w:szCs w:val="24"/>
        </w:rPr>
        <w:t xml:space="preserve"> is discouraged and requires a</w:t>
      </w:r>
      <w:r>
        <w:rPr>
          <w:rFonts w:ascii="Times New Roman" w:hAnsi="Times New Roman"/>
          <w:sz w:val="24"/>
          <w:szCs w:val="24"/>
        </w:rPr>
        <w:t>ppropriate a</w:t>
      </w:r>
      <w:r w:rsidRPr="00D75B0E">
        <w:rPr>
          <w:rFonts w:ascii="Times New Roman" w:hAnsi="Times New Roman"/>
          <w:sz w:val="24"/>
          <w:szCs w:val="24"/>
        </w:rPr>
        <w:t>pp</w:t>
      </w:r>
      <w:r>
        <w:rPr>
          <w:rFonts w:ascii="Times New Roman" w:hAnsi="Times New Roman"/>
          <w:sz w:val="24"/>
          <w:szCs w:val="24"/>
        </w:rPr>
        <w:t xml:space="preserve">roval.  </w:t>
      </w:r>
      <w:r w:rsidRPr="00EE06E3">
        <w:rPr>
          <w:rFonts w:ascii="Times New Roman" w:hAnsi="Times New Roman"/>
          <w:b/>
          <w:sz w:val="24"/>
          <w:szCs w:val="24"/>
        </w:rPr>
        <w:t xml:space="preserve">Pipettes used for these smaller volumes should be calibrated every 6 months and calibration target concentrations should be at or near levels that are used in analytical methods. </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032ACD"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032ACD">
        <w:rPr>
          <w:rFonts w:ascii="Times New Roman" w:hAnsi="Times New Roman"/>
          <w:b/>
          <w:bCs/>
          <w:sz w:val="24"/>
          <w:szCs w:val="24"/>
          <w:u w:val="single"/>
        </w:rPr>
        <w:t>Procedure when Reference and Control Materials are Not Available</w:t>
      </w:r>
    </w:p>
    <w:p w:rsidR="00B64254" w:rsidRDefault="00B64254" w:rsidP="00B64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w:t>
      </w:r>
      <w:r w:rsidRPr="00D75B0E">
        <w:rPr>
          <w:rFonts w:ascii="Times New Roman" w:hAnsi="Times New Roman"/>
          <w:sz w:val="24"/>
          <w:szCs w:val="24"/>
        </w:rPr>
        <w:t>hen reference and control ma</w:t>
      </w:r>
      <w:r>
        <w:rPr>
          <w:rFonts w:ascii="Times New Roman" w:hAnsi="Times New Roman"/>
          <w:sz w:val="24"/>
          <w:szCs w:val="24"/>
        </w:rPr>
        <w:t xml:space="preserve">terials are not available, then </w:t>
      </w:r>
      <w:r w:rsidRPr="00D75B0E">
        <w:rPr>
          <w:rFonts w:ascii="Times New Roman" w:hAnsi="Times New Roman"/>
          <w:sz w:val="24"/>
          <w:szCs w:val="24"/>
        </w:rPr>
        <w:t>appropriate controls will be made by spiking a known quantit</w:t>
      </w:r>
      <w:r>
        <w:rPr>
          <w:rFonts w:ascii="Times New Roman" w:hAnsi="Times New Roman"/>
          <w:sz w:val="24"/>
          <w:szCs w:val="24"/>
        </w:rPr>
        <w:t xml:space="preserve">y of the target analyte into an </w:t>
      </w:r>
      <w:r w:rsidRPr="00D75B0E">
        <w:rPr>
          <w:rFonts w:ascii="Times New Roman" w:hAnsi="Times New Roman"/>
          <w:sz w:val="24"/>
          <w:szCs w:val="24"/>
        </w:rPr>
        <w:t>appropriate matrix (e.g., blood, serum, or urine). Every effort s</w:t>
      </w:r>
      <w:r>
        <w:rPr>
          <w:rFonts w:ascii="Times New Roman" w:hAnsi="Times New Roman"/>
          <w:sz w:val="24"/>
          <w:szCs w:val="24"/>
        </w:rPr>
        <w:t xml:space="preserve">hould be made to obtain highest </w:t>
      </w:r>
      <w:r w:rsidRPr="00D75B0E">
        <w:rPr>
          <w:rFonts w:ascii="Times New Roman" w:hAnsi="Times New Roman"/>
          <w:sz w:val="24"/>
          <w:szCs w:val="24"/>
        </w:rPr>
        <w:t>purity materials for spiking the appropriate matrix. The QC materi</w:t>
      </w:r>
      <w:r>
        <w:rPr>
          <w:rFonts w:ascii="Times New Roman" w:hAnsi="Times New Roman"/>
          <w:sz w:val="24"/>
          <w:szCs w:val="24"/>
        </w:rPr>
        <w:t xml:space="preserve">al is to be characterized by at </w:t>
      </w:r>
      <w:r w:rsidRPr="00D75B0E">
        <w:rPr>
          <w:rFonts w:ascii="Times New Roman" w:hAnsi="Times New Roman"/>
          <w:sz w:val="24"/>
          <w:szCs w:val="24"/>
        </w:rPr>
        <w:t>least twenty (20) analytical runs to adequately estimate the conc</w:t>
      </w:r>
      <w:r>
        <w:rPr>
          <w:rFonts w:ascii="Times New Roman" w:hAnsi="Times New Roman"/>
          <w:sz w:val="24"/>
          <w:szCs w:val="24"/>
        </w:rPr>
        <w:t xml:space="preserve">entration of the target analyte </w:t>
      </w:r>
      <w:r w:rsidRPr="00D75B0E">
        <w:rPr>
          <w:rFonts w:ascii="Times New Roman" w:hAnsi="Times New Roman"/>
          <w:sz w:val="24"/>
          <w:szCs w:val="24"/>
        </w:rPr>
        <w:t xml:space="preserve">and the QC limits. It may then be used as a quality control material </w:t>
      </w:r>
      <w:r>
        <w:rPr>
          <w:rFonts w:ascii="Times New Roman" w:hAnsi="Times New Roman"/>
          <w:sz w:val="24"/>
          <w:szCs w:val="24"/>
        </w:rPr>
        <w:t xml:space="preserve">for either internal or external </w:t>
      </w:r>
      <w:r w:rsidRPr="00D75B0E">
        <w:rPr>
          <w:rFonts w:ascii="Times New Roman" w:hAnsi="Times New Roman"/>
          <w:sz w:val="24"/>
          <w:szCs w:val="24"/>
        </w:rPr>
        <w:t>QC.</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E20F60"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E20F60">
        <w:rPr>
          <w:rFonts w:ascii="Times New Roman" w:hAnsi="Times New Roman"/>
          <w:b/>
          <w:bCs/>
          <w:sz w:val="24"/>
          <w:szCs w:val="24"/>
          <w:u w:val="single"/>
        </w:rPr>
        <w:t>Qualitative tests</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Positive and negative controls are included in each ru</w:t>
      </w:r>
      <w:r>
        <w:rPr>
          <w:rFonts w:ascii="Times New Roman" w:hAnsi="Times New Roman"/>
          <w:sz w:val="24"/>
          <w:szCs w:val="24"/>
        </w:rPr>
        <w:t xml:space="preserve">n of patient specimens when the </w:t>
      </w:r>
      <w:r w:rsidRPr="00D75B0E">
        <w:rPr>
          <w:rFonts w:ascii="Times New Roman" w:hAnsi="Times New Roman"/>
          <w:sz w:val="24"/>
          <w:szCs w:val="24"/>
        </w:rPr>
        <w:t xml:space="preserve">analytical procedure is qualitative. The positive specimen must </w:t>
      </w:r>
      <w:r>
        <w:rPr>
          <w:rFonts w:ascii="Times New Roman" w:hAnsi="Times New Roman"/>
          <w:sz w:val="24"/>
          <w:szCs w:val="24"/>
        </w:rPr>
        <w:t xml:space="preserve">be measured as positive and the </w:t>
      </w:r>
      <w:r w:rsidRPr="00D75B0E">
        <w:rPr>
          <w:rFonts w:ascii="Times New Roman" w:hAnsi="Times New Roman"/>
          <w:sz w:val="24"/>
          <w:szCs w:val="24"/>
        </w:rPr>
        <w:t>negative result as negative for the run to be in-control.</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531186" w:rsidRDefault="00B64254" w:rsidP="00B64254">
      <w:pPr>
        <w:autoSpaceDE w:val="0"/>
        <w:autoSpaceDN w:val="0"/>
        <w:adjustRightInd w:val="0"/>
        <w:spacing w:after="0" w:line="240" w:lineRule="auto"/>
        <w:jc w:val="both"/>
        <w:rPr>
          <w:rFonts w:ascii="Times New Roman" w:hAnsi="Times New Roman"/>
          <w:b/>
          <w:bCs/>
          <w:sz w:val="24"/>
          <w:szCs w:val="24"/>
        </w:rPr>
      </w:pPr>
      <w:r w:rsidRPr="00531186">
        <w:rPr>
          <w:rFonts w:ascii="Times New Roman" w:hAnsi="Times New Roman"/>
          <w:b/>
          <w:bCs/>
          <w:sz w:val="24"/>
          <w:szCs w:val="24"/>
        </w:rPr>
        <w:t>Quality Control Records and QC Manual</w:t>
      </w:r>
    </w:p>
    <w:p w:rsidR="00B64254" w:rsidRPr="00531186" w:rsidRDefault="00B64254" w:rsidP="00B64254">
      <w:pPr>
        <w:autoSpaceDE w:val="0"/>
        <w:autoSpaceDN w:val="0"/>
        <w:adjustRightInd w:val="0"/>
        <w:spacing w:after="0" w:line="240" w:lineRule="auto"/>
        <w:jc w:val="both"/>
        <w:rPr>
          <w:rFonts w:ascii="Times New Roman" w:hAnsi="Times New Roman"/>
          <w:b/>
          <w:bCs/>
          <w:sz w:val="16"/>
          <w:szCs w:val="16"/>
          <w:u w:val="single"/>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Records of all quality contro</w:t>
      </w:r>
      <w:r>
        <w:rPr>
          <w:rFonts w:ascii="Times New Roman" w:hAnsi="Times New Roman"/>
          <w:sz w:val="24"/>
          <w:szCs w:val="24"/>
        </w:rPr>
        <w:t xml:space="preserve">l results will be </w:t>
      </w:r>
      <w:r w:rsidRPr="00D75B0E">
        <w:rPr>
          <w:rFonts w:ascii="Times New Roman" w:hAnsi="Times New Roman"/>
          <w:sz w:val="24"/>
          <w:szCs w:val="24"/>
        </w:rPr>
        <w:t xml:space="preserve">maintained for at </w:t>
      </w:r>
      <w:r>
        <w:rPr>
          <w:rFonts w:ascii="Times New Roman" w:hAnsi="Times New Roman"/>
          <w:sz w:val="24"/>
          <w:szCs w:val="24"/>
        </w:rPr>
        <w:t xml:space="preserve">least two years after the end of the study period. A QC Manual is to be </w:t>
      </w:r>
      <w:r w:rsidRPr="00D75B0E">
        <w:rPr>
          <w:rFonts w:ascii="Times New Roman" w:hAnsi="Times New Roman"/>
          <w:sz w:val="24"/>
          <w:szCs w:val="24"/>
        </w:rPr>
        <w:t>maintained for each assay which documents quality control results, out</w:t>
      </w:r>
      <w:r>
        <w:rPr>
          <w:rFonts w:ascii="Times New Roman" w:hAnsi="Times New Roman"/>
          <w:sz w:val="24"/>
          <w:szCs w:val="24"/>
        </w:rPr>
        <w:t xml:space="preserve">-of-control conditions and </w:t>
      </w:r>
      <w:r w:rsidRPr="00D75B0E">
        <w:rPr>
          <w:rFonts w:ascii="Times New Roman" w:hAnsi="Times New Roman"/>
          <w:sz w:val="24"/>
          <w:szCs w:val="24"/>
        </w:rPr>
        <w:t xml:space="preserve">remedial actions taken to correct out-of-control conditions. The </w:t>
      </w:r>
      <w:r>
        <w:rPr>
          <w:rFonts w:ascii="Times New Roman" w:hAnsi="Times New Roman"/>
          <w:sz w:val="24"/>
          <w:szCs w:val="24"/>
        </w:rPr>
        <w:t xml:space="preserve">QC Manual also includes results </w:t>
      </w:r>
      <w:r w:rsidRPr="00D75B0E">
        <w:rPr>
          <w:rFonts w:ascii="Times New Roman" w:hAnsi="Times New Roman"/>
          <w:sz w:val="24"/>
          <w:szCs w:val="24"/>
        </w:rPr>
        <w:t>of Proficiency Testing and remedial actions taken to correct unacceptable performance in PT.</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DB26F8" w:rsidRDefault="00B64254" w:rsidP="00B64254">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Laboratory N</w:t>
      </w:r>
      <w:r w:rsidRPr="00DB26F8">
        <w:rPr>
          <w:rFonts w:ascii="Times New Roman" w:hAnsi="Times New Roman"/>
          <w:b/>
          <w:bCs/>
          <w:sz w:val="24"/>
          <w:szCs w:val="24"/>
          <w:u w:val="single"/>
        </w:rPr>
        <w:t>otebook</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laboratory notebook with bound and numbered pages i</w:t>
      </w:r>
      <w:r>
        <w:rPr>
          <w:rFonts w:ascii="Times New Roman" w:hAnsi="Times New Roman"/>
          <w:sz w:val="24"/>
          <w:szCs w:val="24"/>
        </w:rPr>
        <w:t xml:space="preserve">s to be maintained that records </w:t>
      </w:r>
      <w:r w:rsidRPr="00D75B0E">
        <w:rPr>
          <w:rFonts w:ascii="Times New Roman" w:hAnsi="Times New Roman"/>
          <w:sz w:val="24"/>
          <w:szCs w:val="24"/>
        </w:rPr>
        <w:t>laboratory procedures and steps followed for preparation of calibr</w:t>
      </w:r>
      <w:r>
        <w:rPr>
          <w:rFonts w:ascii="Times New Roman" w:hAnsi="Times New Roman"/>
          <w:sz w:val="24"/>
          <w:szCs w:val="24"/>
        </w:rPr>
        <w:t xml:space="preserve">ation standards, preparation of </w:t>
      </w:r>
      <w:r w:rsidRPr="00D75B0E">
        <w:rPr>
          <w:rFonts w:ascii="Times New Roman" w:hAnsi="Times New Roman"/>
          <w:sz w:val="24"/>
          <w:szCs w:val="24"/>
        </w:rPr>
        <w:t xml:space="preserve">QC pools, screening of reagents (if appropriate), method </w:t>
      </w:r>
      <w:r>
        <w:rPr>
          <w:rFonts w:ascii="Times New Roman" w:hAnsi="Times New Roman"/>
          <w:sz w:val="24"/>
          <w:szCs w:val="24"/>
        </w:rPr>
        <w:t xml:space="preserve">development experiments, method </w:t>
      </w:r>
      <w:r w:rsidRPr="00D75B0E">
        <w:rPr>
          <w:rFonts w:ascii="Times New Roman" w:hAnsi="Times New Roman"/>
          <w:sz w:val="24"/>
          <w:szCs w:val="24"/>
        </w:rPr>
        <w:t>validation experiments, and other laboratory activities that refle</w:t>
      </w:r>
      <w:r>
        <w:rPr>
          <w:rFonts w:ascii="Times New Roman" w:hAnsi="Times New Roman"/>
          <w:sz w:val="24"/>
          <w:szCs w:val="24"/>
        </w:rPr>
        <w:t xml:space="preserve">ct the work of the </w:t>
      </w:r>
      <w:proofErr w:type="spellStart"/>
      <w:r>
        <w:rPr>
          <w:rFonts w:ascii="Times New Roman" w:hAnsi="Times New Roman"/>
          <w:sz w:val="24"/>
          <w:szCs w:val="24"/>
        </w:rPr>
        <w:t>laboratorian</w:t>
      </w:r>
      <w:proofErr w:type="spellEnd"/>
      <w:r>
        <w:rPr>
          <w:rFonts w:ascii="Times New Roman" w:hAnsi="Times New Roman"/>
          <w:sz w:val="24"/>
          <w:szCs w:val="24"/>
        </w:rPr>
        <w:t xml:space="preserve"> </w:t>
      </w:r>
      <w:r w:rsidRPr="00D75B0E">
        <w:rPr>
          <w:rFonts w:ascii="Times New Roman" w:hAnsi="Times New Roman"/>
          <w:sz w:val="24"/>
          <w:szCs w:val="24"/>
        </w:rPr>
        <w:t>day-to-day in developing or improving methods or running analytical methods.</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E20F60"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E20F60">
        <w:rPr>
          <w:rFonts w:ascii="Times New Roman" w:hAnsi="Times New Roman"/>
          <w:b/>
          <w:bCs/>
          <w:sz w:val="24"/>
          <w:szCs w:val="24"/>
          <w:u w:val="single"/>
        </w:rPr>
        <w:t>Instrument Log Book</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Information associated with installation, configuration, maint</w:t>
      </w:r>
      <w:r>
        <w:rPr>
          <w:rFonts w:ascii="Times New Roman" w:hAnsi="Times New Roman"/>
          <w:sz w:val="24"/>
          <w:szCs w:val="24"/>
        </w:rPr>
        <w:t xml:space="preserve">enance, repairs, </w:t>
      </w:r>
      <w:r w:rsidRPr="00D75B0E">
        <w:rPr>
          <w:rFonts w:ascii="Times New Roman" w:hAnsi="Times New Roman"/>
          <w:sz w:val="24"/>
          <w:szCs w:val="24"/>
        </w:rPr>
        <w:t>consumables, and usage of laboratory instruments and equipment</w:t>
      </w:r>
      <w:r>
        <w:rPr>
          <w:rFonts w:ascii="Times New Roman" w:hAnsi="Times New Roman"/>
          <w:sz w:val="24"/>
          <w:szCs w:val="24"/>
        </w:rPr>
        <w:t xml:space="preserve"> is to be kept in an Instrument </w:t>
      </w:r>
      <w:r w:rsidRPr="00D75B0E">
        <w:rPr>
          <w:rFonts w:ascii="Times New Roman" w:hAnsi="Times New Roman"/>
          <w:sz w:val="24"/>
          <w:szCs w:val="24"/>
        </w:rPr>
        <w:t>Log Book developed and maintained specifically for each instru</w:t>
      </w:r>
      <w:r>
        <w:rPr>
          <w:rFonts w:ascii="Times New Roman" w:hAnsi="Times New Roman"/>
          <w:sz w:val="24"/>
          <w:szCs w:val="24"/>
        </w:rPr>
        <w:t xml:space="preserve">ment or piece of equipment. The </w:t>
      </w:r>
      <w:r w:rsidRPr="00D75B0E">
        <w:rPr>
          <w:rFonts w:ascii="Times New Roman" w:hAnsi="Times New Roman"/>
          <w:sz w:val="24"/>
          <w:szCs w:val="24"/>
        </w:rPr>
        <w:t xml:space="preserve">format for the Log Book can be specified by the </w:t>
      </w:r>
      <w:proofErr w:type="spellStart"/>
      <w:r w:rsidRPr="00D75B0E">
        <w:rPr>
          <w:rFonts w:ascii="Times New Roman" w:hAnsi="Times New Roman"/>
          <w:sz w:val="24"/>
          <w:szCs w:val="24"/>
        </w:rPr>
        <w:t>laboratoria</w:t>
      </w:r>
      <w:r>
        <w:rPr>
          <w:rFonts w:ascii="Times New Roman" w:hAnsi="Times New Roman"/>
          <w:sz w:val="24"/>
          <w:szCs w:val="24"/>
        </w:rPr>
        <w:t>n</w:t>
      </w:r>
      <w:proofErr w:type="spellEnd"/>
      <w:r>
        <w:rPr>
          <w:rFonts w:ascii="Times New Roman" w:hAnsi="Times New Roman"/>
          <w:sz w:val="24"/>
          <w:szCs w:val="24"/>
        </w:rPr>
        <w:t xml:space="preserve"> in a manner most conducive to </w:t>
      </w:r>
      <w:r w:rsidRPr="00D75B0E">
        <w:rPr>
          <w:rFonts w:ascii="Times New Roman" w:hAnsi="Times New Roman"/>
          <w:sz w:val="24"/>
          <w:szCs w:val="24"/>
        </w:rPr>
        <w:t>record these instrument operation parameters. The Instru</w:t>
      </w:r>
      <w:r>
        <w:rPr>
          <w:rFonts w:ascii="Times New Roman" w:hAnsi="Times New Roman"/>
          <w:sz w:val="24"/>
          <w:szCs w:val="24"/>
        </w:rPr>
        <w:t xml:space="preserve">ment Log Book and QC Manual are </w:t>
      </w:r>
      <w:r w:rsidRPr="00D75B0E">
        <w:rPr>
          <w:rFonts w:ascii="Times New Roman" w:hAnsi="Times New Roman"/>
          <w:sz w:val="24"/>
          <w:szCs w:val="24"/>
        </w:rPr>
        <w:t>distinct from each other in that the Instrument Log Boo</w:t>
      </w:r>
      <w:r>
        <w:rPr>
          <w:rFonts w:ascii="Times New Roman" w:hAnsi="Times New Roman"/>
          <w:sz w:val="24"/>
          <w:szCs w:val="24"/>
        </w:rPr>
        <w:t xml:space="preserve">k contains information uniquely </w:t>
      </w:r>
      <w:r w:rsidRPr="00D75B0E">
        <w:rPr>
          <w:rFonts w:ascii="Times New Roman" w:hAnsi="Times New Roman"/>
          <w:sz w:val="24"/>
          <w:szCs w:val="24"/>
        </w:rPr>
        <w:t>associated with the specific instrument or piece of equipment,</w:t>
      </w:r>
      <w:r>
        <w:rPr>
          <w:rFonts w:ascii="Times New Roman" w:hAnsi="Times New Roman"/>
          <w:sz w:val="24"/>
          <w:szCs w:val="24"/>
        </w:rPr>
        <w:t xml:space="preserve"> whereas the QC Manual contains </w:t>
      </w:r>
      <w:r w:rsidRPr="00D75B0E">
        <w:rPr>
          <w:rFonts w:ascii="Times New Roman" w:hAnsi="Times New Roman"/>
          <w:sz w:val="24"/>
          <w:szCs w:val="24"/>
        </w:rPr>
        <w:t>the information for the analytical method. The Instrument</w:t>
      </w:r>
      <w:r>
        <w:rPr>
          <w:rFonts w:ascii="Times New Roman" w:hAnsi="Times New Roman"/>
          <w:sz w:val="24"/>
          <w:szCs w:val="24"/>
        </w:rPr>
        <w:t xml:space="preserve"> Log Book is instrument-centric </w:t>
      </w:r>
      <w:r w:rsidRPr="00D75B0E">
        <w:rPr>
          <w:rFonts w:ascii="Times New Roman" w:hAnsi="Times New Roman"/>
          <w:sz w:val="24"/>
          <w:szCs w:val="24"/>
        </w:rPr>
        <w:t>whereas the QC Manua</w:t>
      </w:r>
      <w:r>
        <w:rPr>
          <w:rFonts w:ascii="Times New Roman" w:hAnsi="Times New Roman"/>
          <w:sz w:val="24"/>
          <w:szCs w:val="24"/>
        </w:rPr>
        <w:t xml:space="preserve">l is analytical method-centric. </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Test Methods, Equipment, Reagents, Supplies, and F</w:t>
      </w:r>
      <w:r w:rsidRPr="00D75B0E">
        <w:rPr>
          <w:rFonts w:ascii="Times New Roman" w:hAnsi="Times New Roman"/>
          <w:b/>
          <w:bCs/>
          <w:sz w:val="24"/>
          <w:szCs w:val="24"/>
        </w:rPr>
        <w:t>acilities</w:t>
      </w:r>
    </w:p>
    <w:p w:rsidR="00B64254" w:rsidRPr="00D17CF8" w:rsidRDefault="00B64254" w:rsidP="00B64254">
      <w:pPr>
        <w:autoSpaceDE w:val="0"/>
        <w:autoSpaceDN w:val="0"/>
        <w:adjustRightInd w:val="0"/>
        <w:spacing w:after="0" w:line="240" w:lineRule="auto"/>
        <w:jc w:val="both"/>
        <w:rPr>
          <w:rFonts w:ascii="Times New Roman" w:hAnsi="Times New Roman"/>
          <w:b/>
          <w:bCs/>
          <w:sz w:val="16"/>
          <w:szCs w:val="16"/>
          <w:u w:val="single"/>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For each analytical procedure, analysts must use equipment, r</w:t>
      </w:r>
      <w:r>
        <w:rPr>
          <w:rFonts w:ascii="Times New Roman" w:hAnsi="Times New Roman"/>
          <w:sz w:val="24"/>
          <w:szCs w:val="24"/>
        </w:rPr>
        <w:t xml:space="preserve">eagents, materials and supplies </w:t>
      </w:r>
      <w:r w:rsidRPr="00D75B0E">
        <w:rPr>
          <w:rFonts w:ascii="Times New Roman" w:hAnsi="Times New Roman"/>
          <w:sz w:val="24"/>
          <w:szCs w:val="24"/>
        </w:rPr>
        <w:t>that are appropriate for achieving acceptable accuracy, precis</w:t>
      </w:r>
      <w:r>
        <w:rPr>
          <w:rFonts w:ascii="Times New Roman" w:hAnsi="Times New Roman"/>
          <w:sz w:val="24"/>
          <w:szCs w:val="24"/>
        </w:rPr>
        <w:t xml:space="preserve">ion, analytical sensitivity and </w:t>
      </w:r>
      <w:r w:rsidRPr="00D75B0E">
        <w:rPr>
          <w:rFonts w:ascii="Times New Roman" w:hAnsi="Times New Roman"/>
          <w:sz w:val="24"/>
          <w:szCs w:val="24"/>
        </w:rPr>
        <w:t>analytical specificity. The documentation of individual analyt</w:t>
      </w:r>
      <w:r>
        <w:rPr>
          <w:rFonts w:ascii="Times New Roman" w:hAnsi="Times New Roman"/>
          <w:sz w:val="24"/>
          <w:szCs w:val="24"/>
        </w:rPr>
        <w:t xml:space="preserve">ical procedures included in the </w:t>
      </w:r>
      <w:r w:rsidRPr="00D75B0E">
        <w:rPr>
          <w:rFonts w:ascii="Times New Roman" w:hAnsi="Times New Roman"/>
          <w:sz w:val="24"/>
          <w:szCs w:val="24"/>
        </w:rPr>
        <w:t>Analytical Procedures Manual (APM) specifies acceptable equ</w:t>
      </w:r>
      <w:r>
        <w:rPr>
          <w:rFonts w:ascii="Times New Roman" w:hAnsi="Times New Roman"/>
          <w:sz w:val="24"/>
          <w:szCs w:val="24"/>
        </w:rPr>
        <w:t xml:space="preserve">ipment, reagents, materials and </w:t>
      </w:r>
      <w:r w:rsidRPr="00D75B0E">
        <w:rPr>
          <w:rFonts w:ascii="Times New Roman" w:hAnsi="Times New Roman"/>
          <w:sz w:val="24"/>
          <w:szCs w:val="24"/>
        </w:rPr>
        <w:t>supplies. If special requirements concerning water quality, temperature, humidity, elect</w:t>
      </w:r>
      <w:r>
        <w:rPr>
          <w:rFonts w:ascii="Times New Roman" w:hAnsi="Times New Roman"/>
          <w:sz w:val="24"/>
          <w:szCs w:val="24"/>
        </w:rPr>
        <w:t xml:space="preserve">rical </w:t>
      </w:r>
      <w:r w:rsidRPr="00D75B0E">
        <w:rPr>
          <w:rFonts w:ascii="Times New Roman" w:hAnsi="Times New Roman"/>
          <w:sz w:val="24"/>
          <w:szCs w:val="24"/>
        </w:rPr>
        <w:t xml:space="preserve">power or other conditions are required for acceptable method </w:t>
      </w:r>
      <w:r>
        <w:rPr>
          <w:rFonts w:ascii="Times New Roman" w:hAnsi="Times New Roman"/>
          <w:sz w:val="24"/>
          <w:szCs w:val="24"/>
        </w:rPr>
        <w:t xml:space="preserve">performance, then these must be </w:t>
      </w:r>
      <w:r w:rsidRPr="00D75B0E">
        <w:rPr>
          <w:rFonts w:ascii="Times New Roman" w:hAnsi="Times New Roman"/>
          <w:sz w:val="24"/>
          <w:szCs w:val="24"/>
        </w:rPr>
        <w:t>described for each procedure in the APM. Special procedures to</w:t>
      </w:r>
      <w:r>
        <w:rPr>
          <w:rFonts w:ascii="Times New Roman" w:hAnsi="Times New Roman"/>
          <w:sz w:val="24"/>
          <w:szCs w:val="24"/>
        </w:rPr>
        <w:t xml:space="preserve"> monitor these requirements are </w:t>
      </w:r>
      <w:r w:rsidRPr="00D75B0E">
        <w:rPr>
          <w:rFonts w:ascii="Times New Roman" w:hAnsi="Times New Roman"/>
          <w:sz w:val="24"/>
          <w:szCs w:val="24"/>
        </w:rPr>
        <w:t>also to be included in the documentation of the individual proce</w:t>
      </w:r>
      <w:r>
        <w:rPr>
          <w:rFonts w:ascii="Times New Roman" w:hAnsi="Times New Roman"/>
          <w:sz w:val="24"/>
          <w:szCs w:val="24"/>
        </w:rPr>
        <w:t xml:space="preserve">dure. The lack of specification </w:t>
      </w:r>
      <w:r w:rsidRPr="00D75B0E">
        <w:rPr>
          <w:rFonts w:ascii="Times New Roman" w:hAnsi="Times New Roman"/>
          <w:sz w:val="24"/>
          <w:szCs w:val="24"/>
        </w:rPr>
        <w:t>of such requirements in the documentation of the analytical pr</w:t>
      </w:r>
      <w:r>
        <w:rPr>
          <w:rFonts w:ascii="Times New Roman" w:hAnsi="Times New Roman"/>
          <w:sz w:val="24"/>
          <w:szCs w:val="24"/>
        </w:rPr>
        <w:t xml:space="preserve">ocedure means that the expected </w:t>
      </w:r>
      <w:r w:rsidRPr="00D75B0E">
        <w:rPr>
          <w:rFonts w:ascii="Times New Roman" w:hAnsi="Times New Roman"/>
          <w:sz w:val="24"/>
          <w:szCs w:val="24"/>
        </w:rPr>
        <w:t>day-to-day variation in any of these parameters is acceptable</w:t>
      </w:r>
      <w:r>
        <w:rPr>
          <w:rFonts w:ascii="Times New Roman" w:hAnsi="Times New Roman"/>
          <w:sz w:val="24"/>
          <w:szCs w:val="24"/>
        </w:rPr>
        <w:t xml:space="preserve"> for proper method performance. </w:t>
      </w:r>
      <w:r w:rsidRPr="00D75B0E">
        <w:rPr>
          <w:rFonts w:ascii="Times New Roman" w:hAnsi="Times New Roman"/>
          <w:sz w:val="24"/>
          <w:szCs w:val="24"/>
        </w:rPr>
        <w:t>Documentation of problems with conditions required (e.g.</w:t>
      </w:r>
      <w:r>
        <w:rPr>
          <w:rFonts w:ascii="Times New Roman" w:hAnsi="Times New Roman"/>
          <w:sz w:val="24"/>
          <w:szCs w:val="24"/>
        </w:rPr>
        <w:t xml:space="preserve">, water quality) for acceptable </w:t>
      </w:r>
      <w:r w:rsidRPr="00D75B0E">
        <w:rPr>
          <w:rFonts w:ascii="Times New Roman" w:hAnsi="Times New Roman"/>
          <w:sz w:val="24"/>
          <w:szCs w:val="24"/>
        </w:rPr>
        <w:t>method performance is to be maintained in the log book of the</w:t>
      </w:r>
      <w:r>
        <w:rPr>
          <w:rFonts w:ascii="Times New Roman" w:hAnsi="Times New Roman"/>
          <w:sz w:val="24"/>
          <w:szCs w:val="24"/>
        </w:rPr>
        <w:t xml:space="preserve"> primary instrument used in the </w:t>
      </w:r>
      <w:r w:rsidRPr="00D75B0E">
        <w:rPr>
          <w:rFonts w:ascii="Times New Roman" w:hAnsi="Times New Roman"/>
          <w:sz w:val="24"/>
          <w:szCs w:val="24"/>
        </w:rPr>
        <w:t>analysis. This documentation must include remedial action.</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E20F60"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E20F60">
        <w:rPr>
          <w:rFonts w:ascii="Times New Roman" w:hAnsi="Times New Roman"/>
          <w:b/>
          <w:bCs/>
          <w:sz w:val="24"/>
          <w:szCs w:val="24"/>
          <w:u w:val="single"/>
        </w:rPr>
        <w:t>Labeling of reagents, solutions, supplies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Reagents, solutions, and other supplies must be labeled to ind</w:t>
      </w:r>
      <w:r>
        <w:rPr>
          <w:rFonts w:ascii="Times New Roman" w:hAnsi="Times New Roman"/>
          <w:sz w:val="24"/>
          <w:szCs w:val="24"/>
        </w:rPr>
        <w:t xml:space="preserve">icate the identity of contents, </w:t>
      </w:r>
      <w:r w:rsidRPr="00D75B0E">
        <w:rPr>
          <w:rFonts w:ascii="Times New Roman" w:hAnsi="Times New Roman"/>
          <w:sz w:val="24"/>
          <w:szCs w:val="24"/>
        </w:rPr>
        <w:t>the concentration (if significant), the recommended storage re</w:t>
      </w:r>
      <w:r>
        <w:rPr>
          <w:rFonts w:ascii="Times New Roman" w:hAnsi="Times New Roman"/>
          <w:sz w:val="24"/>
          <w:szCs w:val="24"/>
        </w:rPr>
        <w:t xml:space="preserve">quirements, the preparation and </w:t>
      </w:r>
      <w:r w:rsidRPr="00D75B0E">
        <w:rPr>
          <w:rFonts w:ascii="Times New Roman" w:hAnsi="Times New Roman"/>
          <w:sz w:val="24"/>
          <w:szCs w:val="24"/>
        </w:rPr>
        <w:t xml:space="preserve">expiration date and any other pertinent information required for proper use. </w:t>
      </w:r>
      <w:r>
        <w:rPr>
          <w:rFonts w:ascii="Times New Roman" w:hAnsi="Times New Roman"/>
          <w:sz w:val="24"/>
          <w:szCs w:val="24"/>
        </w:rPr>
        <w:t xml:space="preserve">Reagent, solutions </w:t>
      </w:r>
      <w:r w:rsidRPr="00D75B0E">
        <w:rPr>
          <w:rFonts w:ascii="Times New Roman" w:hAnsi="Times New Roman"/>
          <w:sz w:val="24"/>
          <w:szCs w:val="24"/>
        </w:rPr>
        <w:t xml:space="preserve">and other supplies are not to be used when they have </w:t>
      </w:r>
      <w:r>
        <w:rPr>
          <w:rFonts w:ascii="Times New Roman" w:hAnsi="Times New Roman"/>
          <w:sz w:val="24"/>
          <w:szCs w:val="24"/>
        </w:rPr>
        <w:t xml:space="preserve">exceeded their expiration date. </w:t>
      </w:r>
      <w:r w:rsidRPr="00D75B0E">
        <w:rPr>
          <w:rFonts w:ascii="Times New Roman" w:hAnsi="Times New Roman"/>
          <w:sz w:val="24"/>
          <w:szCs w:val="24"/>
        </w:rPr>
        <w:t>If a manufacturer's kit is used for an assay, components o</w:t>
      </w:r>
      <w:r>
        <w:rPr>
          <w:rFonts w:ascii="Times New Roman" w:hAnsi="Times New Roman"/>
          <w:sz w:val="24"/>
          <w:szCs w:val="24"/>
        </w:rPr>
        <w:t xml:space="preserve">f reagent kits of different lot </w:t>
      </w:r>
      <w:r w:rsidRPr="00D75B0E">
        <w:rPr>
          <w:rFonts w:ascii="Times New Roman" w:hAnsi="Times New Roman"/>
          <w:sz w:val="24"/>
          <w:szCs w:val="24"/>
        </w:rPr>
        <w:t>numbers are not to be interchanged unless the manufacturer spe</w:t>
      </w:r>
      <w:r>
        <w:rPr>
          <w:rFonts w:ascii="Times New Roman" w:hAnsi="Times New Roman"/>
          <w:sz w:val="24"/>
          <w:szCs w:val="24"/>
        </w:rPr>
        <w:t xml:space="preserve">cifies that this is acceptable </w:t>
      </w:r>
      <w:r w:rsidRPr="00D75B0E">
        <w:rPr>
          <w:rFonts w:ascii="Times New Roman" w:hAnsi="Times New Roman"/>
          <w:sz w:val="24"/>
          <w:szCs w:val="24"/>
        </w:rPr>
        <w:t>analytical practice</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E20F60"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E20F60">
        <w:rPr>
          <w:rFonts w:ascii="Times New Roman" w:hAnsi="Times New Roman"/>
          <w:b/>
          <w:bCs/>
          <w:sz w:val="24"/>
          <w:szCs w:val="24"/>
          <w:u w:val="single"/>
        </w:rPr>
        <w:t>Facilities and Safety</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Laboratories should be arranged to ensure that adequate space</w:t>
      </w:r>
      <w:r>
        <w:rPr>
          <w:rFonts w:ascii="Times New Roman" w:hAnsi="Times New Roman"/>
          <w:sz w:val="24"/>
          <w:szCs w:val="24"/>
        </w:rPr>
        <w:t xml:space="preserve">, ventilation and utilities are </w:t>
      </w:r>
      <w:r w:rsidRPr="00D75B0E">
        <w:rPr>
          <w:rFonts w:ascii="Times New Roman" w:hAnsi="Times New Roman"/>
          <w:sz w:val="24"/>
          <w:szCs w:val="24"/>
        </w:rPr>
        <w:t>available for all phases of testing: pre-analytic, analytic and post-analytic, and that s</w:t>
      </w:r>
      <w:r>
        <w:rPr>
          <w:rFonts w:ascii="Times New Roman" w:hAnsi="Times New Roman"/>
          <w:sz w:val="24"/>
          <w:szCs w:val="24"/>
        </w:rPr>
        <w:t xml:space="preserve">afety </w:t>
      </w:r>
      <w:r w:rsidRPr="00D75B0E">
        <w:rPr>
          <w:rFonts w:ascii="Times New Roman" w:hAnsi="Times New Roman"/>
          <w:sz w:val="24"/>
          <w:szCs w:val="24"/>
        </w:rPr>
        <w:t>concerns are properly addressed at all times.</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Analytical Procedure M</w:t>
      </w:r>
      <w:r w:rsidRPr="00D75B0E">
        <w:rPr>
          <w:rFonts w:ascii="Times New Roman" w:hAnsi="Times New Roman"/>
          <w:b/>
          <w:bCs/>
          <w:sz w:val="24"/>
          <w:szCs w:val="24"/>
        </w:rPr>
        <w:t>anual</w:t>
      </w:r>
      <w:r>
        <w:rPr>
          <w:rFonts w:ascii="Times New Roman" w:hAnsi="Times New Roman"/>
          <w:b/>
          <w:bCs/>
          <w:sz w:val="24"/>
          <w:szCs w:val="24"/>
        </w:rPr>
        <w:t xml:space="preserve"> and M</w:t>
      </w:r>
      <w:r w:rsidRPr="00D75B0E">
        <w:rPr>
          <w:rFonts w:ascii="Times New Roman" w:hAnsi="Times New Roman"/>
          <w:b/>
          <w:bCs/>
          <w:sz w:val="24"/>
          <w:szCs w:val="24"/>
        </w:rPr>
        <w:t>e</w:t>
      </w:r>
      <w:r>
        <w:rPr>
          <w:rFonts w:ascii="Times New Roman" w:hAnsi="Times New Roman"/>
          <w:b/>
          <w:bCs/>
          <w:sz w:val="24"/>
          <w:szCs w:val="24"/>
        </w:rPr>
        <w:t>thod Performance Specifications</w:t>
      </w:r>
    </w:p>
    <w:p w:rsidR="00B64254" w:rsidRPr="00D17CF8"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All procedures performed in the laboratory on human </w:t>
      </w:r>
      <w:r>
        <w:rPr>
          <w:rFonts w:ascii="Times New Roman" w:hAnsi="Times New Roman"/>
          <w:sz w:val="24"/>
          <w:szCs w:val="24"/>
        </w:rPr>
        <w:t xml:space="preserve">specimens are documented in an </w:t>
      </w:r>
      <w:r w:rsidRPr="00D75B0E">
        <w:rPr>
          <w:rFonts w:ascii="Times New Roman" w:hAnsi="Times New Roman"/>
          <w:sz w:val="24"/>
          <w:szCs w:val="24"/>
        </w:rPr>
        <w:t xml:space="preserve">Analytical Procedure Manual (APM). </w:t>
      </w:r>
      <w:r>
        <w:rPr>
          <w:rFonts w:ascii="Times New Roman" w:hAnsi="Times New Roman"/>
          <w:sz w:val="24"/>
          <w:szCs w:val="24"/>
        </w:rPr>
        <w:t xml:space="preserve"> </w:t>
      </w:r>
      <w:r w:rsidRPr="00D75B0E">
        <w:rPr>
          <w:rFonts w:ascii="Times New Roman" w:hAnsi="Times New Roman"/>
          <w:sz w:val="24"/>
          <w:szCs w:val="24"/>
        </w:rPr>
        <w:t>Individual procedures will also be available at o</w:t>
      </w:r>
      <w:r>
        <w:rPr>
          <w:rFonts w:ascii="Times New Roman" w:hAnsi="Times New Roman"/>
          <w:sz w:val="24"/>
          <w:szCs w:val="24"/>
        </w:rPr>
        <w:t xml:space="preserve">r near the bench site where the </w:t>
      </w:r>
      <w:r w:rsidRPr="00D75B0E">
        <w:rPr>
          <w:rFonts w:ascii="Times New Roman" w:hAnsi="Times New Roman"/>
          <w:sz w:val="24"/>
          <w:szCs w:val="24"/>
        </w:rPr>
        <w:t>procedure is performed.</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E20F60" w:rsidRDefault="00B64254" w:rsidP="00B64254">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Contents of the Analytical Procedure D</w:t>
      </w:r>
      <w:r w:rsidRPr="00E20F60">
        <w:rPr>
          <w:rFonts w:ascii="Times New Roman" w:hAnsi="Times New Roman"/>
          <w:b/>
          <w:bCs/>
          <w:sz w:val="24"/>
          <w:szCs w:val="24"/>
          <w:u w:val="single"/>
        </w:rPr>
        <w:t>ocumentation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Each analytical procedure must include, when applicable:</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1) requirements for specimen collection and processing, </w:t>
      </w:r>
      <w:r>
        <w:rPr>
          <w:rFonts w:ascii="Times New Roman" w:hAnsi="Times New Roman"/>
          <w:sz w:val="24"/>
          <w:szCs w:val="24"/>
        </w:rPr>
        <w:t xml:space="preserve">including criteria for specimen </w:t>
      </w:r>
      <w:r w:rsidRPr="00D75B0E">
        <w:rPr>
          <w:rFonts w:ascii="Times New Roman" w:hAnsi="Times New Roman"/>
          <w:sz w:val="24"/>
          <w:szCs w:val="24"/>
        </w:rPr>
        <w:t>rejection</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2) step-by-step performance of the procedure, </w:t>
      </w:r>
      <w:r>
        <w:rPr>
          <w:rFonts w:ascii="Times New Roman" w:hAnsi="Times New Roman"/>
          <w:sz w:val="24"/>
          <w:szCs w:val="24"/>
        </w:rPr>
        <w:t xml:space="preserve">including test calculations and </w:t>
      </w:r>
      <w:r w:rsidRPr="00D75B0E">
        <w:rPr>
          <w:rFonts w:ascii="Times New Roman" w:hAnsi="Times New Roman"/>
          <w:sz w:val="24"/>
          <w:szCs w:val="24"/>
        </w:rPr>
        <w:t>interpretation of results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preparation of reagents, calibrators, controls, soluti</w:t>
      </w:r>
      <w:r>
        <w:rPr>
          <w:rFonts w:ascii="Times New Roman" w:hAnsi="Times New Roman"/>
          <w:sz w:val="24"/>
          <w:szCs w:val="24"/>
        </w:rPr>
        <w:t xml:space="preserve">ons and other materials used in </w:t>
      </w:r>
      <w:r w:rsidRPr="00D75B0E">
        <w:rPr>
          <w:rFonts w:ascii="Times New Roman" w:hAnsi="Times New Roman"/>
          <w:sz w:val="24"/>
          <w:szCs w:val="24"/>
        </w:rPr>
        <w:t>testing</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4) calibration and calibration verification procedures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5) </w:t>
      </w:r>
      <w:r>
        <w:rPr>
          <w:rFonts w:ascii="Times New Roman" w:hAnsi="Times New Roman"/>
          <w:sz w:val="24"/>
          <w:szCs w:val="24"/>
        </w:rPr>
        <w:t>the reportable range for participant</w:t>
      </w:r>
      <w:r w:rsidRPr="00D75B0E">
        <w:rPr>
          <w:rFonts w:ascii="Times New Roman" w:hAnsi="Times New Roman"/>
          <w:sz w:val="24"/>
          <w:szCs w:val="24"/>
        </w:rPr>
        <w:t xml:space="preserve"> test results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6) quality control procedures, including PT materials and programs/procedures used</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7) remedial action to be taken when calibration or control</w:t>
      </w:r>
      <w:r>
        <w:rPr>
          <w:rFonts w:ascii="Times New Roman" w:hAnsi="Times New Roman"/>
          <w:sz w:val="24"/>
          <w:szCs w:val="24"/>
        </w:rPr>
        <w:t xml:space="preserve"> results are outside acceptable </w:t>
      </w:r>
      <w:r w:rsidRPr="00D75B0E">
        <w:rPr>
          <w:rFonts w:ascii="Times New Roman" w:hAnsi="Times New Roman"/>
          <w:sz w:val="24"/>
          <w:szCs w:val="24"/>
        </w:rPr>
        <w:t>limits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8) limitation in methods, including interfering substances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9) reference range (normal values)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10) life-threatening or "panic values"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11) pertinent literature references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12) specimen storage criteria</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13) protocol for reporting panic values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14) course of action if test system becomes inoperable</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15) criteria for referral of specimens (usually not needed)</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16) safety considerations for performing the method</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965744" w:rsidRDefault="00B64254" w:rsidP="00B64254">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Approval and Record M</w:t>
      </w:r>
      <w:r w:rsidRPr="00965744">
        <w:rPr>
          <w:rFonts w:ascii="Times New Roman" w:hAnsi="Times New Roman"/>
          <w:b/>
          <w:bCs/>
          <w:sz w:val="24"/>
          <w:szCs w:val="24"/>
          <w:u w:val="single"/>
        </w:rPr>
        <w:t>aintenance</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Each newly-validated and completed procedure must </w:t>
      </w:r>
      <w:r>
        <w:rPr>
          <w:rFonts w:ascii="Times New Roman" w:hAnsi="Times New Roman"/>
          <w:sz w:val="24"/>
          <w:szCs w:val="24"/>
        </w:rPr>
        <w:t xml:space="preserve">be reviewed and approved by the laboratory supervisor with a dated signature. Each significant </w:t>
      </w:r>
      <w:r w:rsidRPr="00D75B0E">
        <w:rPr>
          <w:rFonts w:ascii="Times New Roman" w:hAnsi="Times New Roman"/>
          <w:sz w:val="24"/>
          <w:szCs w:val="24"/>
        </w:rPr>
        <w:t>change in a procedure must be approved, signed a</w:t>
      </w:r>
      <w:r>
        <w:rPr>
          <w:rFonts w:ascii="Times New Roman" w:hAnsi="Times New Roman"/>
          <w:sz w:val="24"/>
          <w:szCs w:val="24"/>
        </w:rPr>
        <w:t xml:space="preserve">nd dated by the laboratory </w:t>
      </w:r>
      <w:proofErr w:type="spellStart"/>
      <w:r>
        <w:rPr>
          <w:rFonts w:ascii="Times New Roman" w:hAnsi="Times New Roman"/>
          <w:sz w:val="24"/>
          <w:szCs w:val="24"/>
        </w:rPr>
        <w:t>superviosr</w:t>
      </w:r>
      <w:proofErr w:type="spellEnd"/>
      <w:r>
        <w:rPr>
          <w:rFonts w:ascii="Times New Roman" w:hAnsi="Times New Roman"/>
          <w:sz w:val="24"/>
          <w:szCs w:val="24"/>
        </w:rPr>
        <w:t xml:space="preserve">. The </w:t>
      </w:r>
      <w:r w:rsidRPr="00D75B0E">
        <w:rPr>
          <w:rFonts w:ascii="Times New Roman" w:hAnsi="Times New Roman"/>
          <w:sz w:val="24"/>
          <w:szCs w:val="24"/>
        </w:rPr>
        <w:t>procedure must include the dates of initial use and disco</w:t>
      </w:r>
      <w:r>
        <w:rPr>
          <w:rFonts w:ascii="Times New Roman" w:hAnsi="Times New Roman"/>
          <w:sz w:val="24"/>
          <w:szCs w:val="24"/>
        </w:rPr>
        <w:t xml:space="preserve">ntinuance, if discontinued. The </w:t>
      </w:r>
      <w:r w:rsidRPr="00D75B0E">
        <w:rPr>
          <w:rFonts w:ascii="Times New Roman" w:hAnsi="Times New Roman"/>
          <w:sz w:val="24"/>
          <w:szCs w:val="24"/>
        </w:rPr>
        <w:t>procedure documentation is to be moved to the “Archived Me</w:t>
      </w:r>
      <w:r>
        <w:rPr>
          <w:rFonts w:ascii="Times New Roman" w:hAnsi="Times New Roman"/>
          <w:sz w:val="24"/>
          <w:szCs w:val="24"/>
        </w:rPr>
        <w:t xml:space="preserve">thods” notebooks and maintained </w:t>
      </w:r>
      <w:r w:rsidRPr="00D75B0E">
        <w:rPr>
          <w:rFonts w:ascii="Times New Roman" w:hAnsi="Times New Roman"/>
          <w:sz w:val="24"/>
          <w:szCs w:val="24"/>
        </w:rPr>
        <w:t>for at least two years after discontinuance of the method.</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965744"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965744">
        <w:rPr>
          <w:rFonts w:ascii="Times New Roman" w:hAnsi="Times New Roman"/>
          <w:b/>
          <w:bCs/>
          <w:sz w:val="24"/>
          <w:szCs w:val="24"/>
          <w:u w:val="single"/>
        </w:rPr>
        <w:t>Method Performance Specifications</w:t>
      </w:r>
    </w:p>
    <w:p w:rsidR="00B64254" w:rsidRPr="0049056F"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Method performance specifications for each analytical method must be established or verified:</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1) Accuracy - accuracy of each analytical method will </w:t>
      </w:r>
      <w:r>
        <w:rPr>
          <w:rFonts w:ascii="Times New Roman" w:hAnsi="Times New Roman"/>
          <w:sz w:val="24"/>
          <w:szCs w:val="24"/>
        </w:rPr>
        <w:t xml:space="preserve">be determined by analysis of QC </w:t>
      </w:r>
      <w:r w:rsidRPr="00D75B0E">
        <w:rPr>
          <w:rFonts w:ascii="Times New Roman" w:hAnsi="Times New Roman"/>
          <w:sz w:val="24"/>
          <w:szCs w:val="24"/>
        </w:rPr>
        <w:t xml:space="preserve">reference materials as described in the </w:t>
      </w:r>
      <w:r>
        <w:rPr>
          <w:rFonts w:ascii="Times New Roman" w:hAnsi="Times New Roman"/>
          <w:sz w:val="24"/>
          <w:szCs w:val="24"/>
        </w:rPr>
        <w:t>quality control section.</w:t>
      </w:r>
    </w:p>
    <w:p w:rsidR="00B64254" w:rsidRPr="0049056F"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Precision - precision of each analytical method is determi</w:t>
      </w:r>
      <w:r>
        <w:rPr>
          <w:rFonts w:ascii="Times New Roman" w:hAnsi="Times New Roman"/>
          <w:sz w:val="24"/>
          <w:szCs w:val="24"/>
        </w:rPr>
        <w:t xml:space="preserve">ned by analysis of QC reference </w:t>
      </w:r>
      <w:r w:rsidRPr="00D75B0E">
        <w:rPr>
          <w:rFonts w:ascii="Times New Roman" w:hAnsi="Times New Roman"/>
          <w:sz w:val="24"/>
          <w:szCs w:val="24"/>
        </w:rPr>
        <w:t>materials as described in the section of this manual on quality control.</w:t>
      </w:r>
    </w:p>
    <w:p w:rsidR="00B64254" w:rsidRPr="0049056F"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3) Analytical sensitivity – if applicable to the method, the limit </w:t>
      </w:r>
      <w:r>
        <w:rPr>
          <w:rFonts w:ascii="Times New Roman" w:hAnsi="Times New Roman"/>
          <w:sz w:val="24"/>
          <w:szCs w:val="24"/>
        </w:rPr>
        <w:t xml:space="preserve">of detection is included in the </w:t>
      </w:r>
      <w:r w:rsidRPr="00D75B0E">
        <w:rPr>
          <w:rFonts w:ascii="Times New Roman" w:hAnsi="Times New Roman"/>
          <w:sz w:val="24"/>
          <w:szCs w:val="24"/>
        </w:rPr>
        <w:t>documentation of the analytical method. The limit of d</w:t>
      </w:r>
      <w:r>
        <w:rPr>
          <w:rFonts w:ascii="Times New Roman" w:hAnsi="Times New Roman"/>
          <w:sz w:val="24"/>
          <w:szCs w:val="24"/>
        </w:rPr>
        <w:t xml:space="preserve">etection (LOD) of an analytical </w:t>
      </w:r>
      <w:r w:rsidRPr="00D75B0E">
        <w:rPr>
          <w:rFonts w:ascii="Times New Roman" w:hAnsi="Times New Roman"/>
          <w:sz w:val="24"/>
          <w:szCs w:val="24"/>
        </w:rPr>
        <w:t>method is determined accordi</w:t>
      </w:r>
      <w:r>
        <w:rPr>
          <w:rFonts w:ascii="Times New Roman" w:hAnsi="Times New Roman"/>
          <w:sz w:val="24"/>
          <w:szCs w:val="24"/>
        </w:rPr>
        <w:t xml:space="preserve">ng to procedures described Limit of Detection section of </w:t>
      </w:r>
      <w:r w:rsidRPr="00D75B0E">
        <w:rPr>
          <w:rFonts w:ascii="Times New Roman" w:hAnsi="Times New Roman"/>
          <w:sz w:val="24"/>
          <w:szCs w:val="24"/>
        </w:rPr>
        <w:t xml:space="preserve">this document. An excellent resource on the interpretation of </w:t>
      </w:r>
      <w:r>
        <w:rPr>
          <w:rFonts w:ascii="Times New Roman" w:hAnsi="Times New Roman"/>
          <w:sz w:val="24"/>
          <w:szCs w:val="24"/>
        </w:rPr>
        <w:t xml:space="preserve">limit of detection and limit of </w:t>
      </w:r>
      <w:r w:rsidRPr="00D75B0E">
        <w:rPr>
          <w:rFonts w:ascii="Times New Roman" w:hAnsi="Times New Roman"/>
          <w:sz w:val="24"/>
          <w:szCs w:val="24"/>
        </w:rPr>
        <w:t>quantitation is Quality Assurance of Chemical M</w:t>
      </w:r>
      <w:r>
        <w:rPr>
          <w:rFonts w:ascii="Times New Roman" w:hAnsi="Times New Roman"/>
          <w:sz w:val="24"/>
          <w:szCs w:val="24"/>
        </w:rPr>
        <w:t xml:space="preserve">easurements by J.K. Taylor, Lewis </w:t>
      </w:r>
      <w:r w:rsidRPr="00D75B0E">
        <w:rPr>
          <w:rFonts w:ascii="Times New Roman" w:hAnsi="Times New Roman"/>
          <w:sz w:val="24"/>
          <w:szCs w:val="24"/>
        </w:rPr>
        <w:t>Publishers, Chelsea, Michigan. 1987.</w:t>
      </w:r>
    </w:p>
    <w:p w:rsidR="00B64254" w:rsidRPr="0049056F"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4) Analytical specificity – defined as measuring the </w:t>
      </w:r>
      <w:r w:rsidRPr="00D75B0E">
        <w:rPr>
          <w:rFonts w:ascii="Times New Roman" w:hAnsi="Times New Roman"/>
          <w:i/>
          <w:iCs/>
          <w:sz w:val="24"/>
          <w:szCs w:val="24"/>
        </w:rPr>
        <w:t xml:space="preserve">correct </w:t>
      </w:r>
      <w:r w:rsidRPr="00D75B0E">
        <w:rPr>
          <w:rFonts w:ascii="Times New Roman" w:hAnsi="Times New Roman"/>
          <w:sz w:val="24"/>
          <w:szCs w:val="24"/>
        </w:rPr>
        <w:t>component, analytical s</w:t>
      </w:r>
      <w:r>
        <w:rPr>
          <w:rFonts w:ascii="Times New Roman" w:hAnsi="Times New Roman"/>
          <w:sz w:val="24"/>
          <w:szCs w:val="24"/>
        </w:rPr>
        <w:t xml:space="preserve">pecificity is </w:t>
      </w:r>
      <w:r w:rsidRPr="00D75B0E">
        <w:rPr>
          <w:rFonts w:ascii="Times New Roman" w:hAnsi="Times New Roman"/>
          <w:sz w:val="24"/>
          <w:szCs w:val="24"/>
        </w:rPr>
        <w:t>to be determined for each method including effects of potenti</w:t>
      </w:r>
      <w:r>
        <w:rPr>
          <w:rFonts w:ascii="Times New Roman" w:hAnsi="Times New Roman"/>
          <w:sz w:val="24"/>
          <w:szCs w:val="24"/>
        </w:rPr>
        <w:t xml:space="preserve">al interfering substances. This </w:t>
      </w:r>
      <w:r w:rsidRPr="00D75B0E">
        <w:rPr>
          <w:rFonts w:ascii="Times New Roman" w:hAnsi="Times New Roman"/>
          <w:sz w:val="24"/>
          <w:szCs w:val="24"/>
        </w:rPr>
        <w:t>may be verified by the testing the effect of potential i</w:t>
      </w:r>
      <w:r>
        <w:rPr>
          <w:rFonts w:ascii="Times New Roman" w:hAnsi="Times New Roman"/>
          <w:sz w:val="24"/>
          <w:szCs w:val="24"/>
        </w:rPr>
        <w:t xml:space="preserve">nterfering substances in method </w:t>
      </w:r>
      <w:r w:rsidRPr="00D75B0E">
        <w:rPr>
          <w:rFonts w:ascii="Times New Roman" w:hAnsi="Times New Roman"/>
          <w:sz w:val="24"/>
          <w:szCs w:val="24"/>
        </w:rPr>
        <w:t>development, by analyzing reference materials, by comparing r</w:t>
      </w:r>
      <w:r>
        <w:rPr>
          <w:rFonts w:ascii="Times New Roman" w:hAnsi="Times New Roman"/>
          <w:sz w:val="24"/>
          <w:szCs w:val="24"/>
        </w:rPr>
        <w:t xml:space="preserve">esults on split samples with a </w:t>
      </w:r>
      <w:r w:rsidRPr="00D75B0E">
        <w:rPr>
          <w:rFonts w:ascii="Times New Roman" w:hAnsi="Times New Roman"/>
          <w:sz w:val="24"/>
          <w:szCs w:val="24"/>
        </w:rPr>
        <w:t xml:space="preserve">method considered </w:t>
      </w:r>
      <w:r w:rsidRPr="00D75B0E">
        <w:rPr>
          <w:rFonts w:ascii="Times New Roman" w:hAnsi="Times New Roman"/>
          <w:sz w:val="24"/>
          <w:szCs w:val="24"/>
        </w:rPr>
        <w:lastRenderedPageBreak/>
        <w:t>more definitive and/or by analyzing</w:t>
      </w:r>
      <w:r>
        <w:rPr>
          <w:rFonts w:ascii="Times New Roman" w:hAnsi="Times New Roman"/>
          <w:sz w:val="24"/>
          <w:szCs w:val="24"/>
        </w:rPr>
        <w:t xml:space="preserve"> a sample of persons (n&gt;50) and </w:t>
      </w:r>
      <w:r w:rsidRPr="00D75B0E">
        <w:rPr>
          <w:rFonts w:ascii="Times New Roman" w:hAnsi="Times New Roman"/>
          <w:sz w:val="24"/>
          <w:szCs w:val="24"/>
        </w:rPr>
        <w:t>examining the measurement output (e.g., the GC tracing) s</w:t>
      </w:r>
      <w:r>
        <w:rPr>
          <w:rFonts w:ascii="Times New Roman" w:hAnsi="Times New Roman"/>
          <w:sz w:val="24"/>
          <w:szCs w:val="24"/>
        </w:rPr>
        <w:t xml:space="preserve">earching for interferences. The </w:t>
      </w:r>
      <w:r w:rsidRPr="00D75B0E">
        <w:rPr>
          <w:rFonts w:ascii="Times New Roman" w:hAnsi="Times New Roman"/>
          <w:sz w:val="24"/>
          <w:szCs w:val="24"/>
        </w:rPr>
        <w:t>appropriate procedures for verifying analytical specificity</w:t>
      </w:r>
      <w:r>
        <w:rPr>
          <w:rFonts w:ascii="Times New Roman" w:hAnsi="Times New Roman"/>
          <w:sz w:val="24"/>
          <w:szCs w:val="24"/>
        </w:rPr>
        <w:t xml:space="preserve"> will vary by analytical method </w:t>
      </w:r>
      <w:r w:rsidRPr="00D75B0E">
        <w:rPr>
          <w:rFonts w:ascii="Times New Roman" w:hAnsi="Times New Roman"/>
          <w:sz w:val="24"/>
          <w:szCs w:val="24"/>
        </w:rPr>
        <w:t>(e.g., isotope-dilution high resolution gas chro</w:t>
      </w:r>
      <w:r>
        <w:rPr>
          <w:rFonts w:ascii="Times New Roman" w:hAnsi="Times New Roman"/>
          <w:sz w:val="24"/>
          <w:szCs w:val="24"/>
        </w:rPr>
        <w:t xml:space="preserve">matography-high resolution mass </w:t>
      </w:r>
      <w:r w:rsidRPr="00D75B0E">
        <w:rPr>
          <w:rFonts w:ascii="Times New Roman" w:hAnsi="Times New Roman"/>
          <w:sz w:val="24"/>
          <w:szCs w:val="24"/>
        </w:rPr>
        <w:t>spectrometry would require less evaluation than capillary gas chromatography with elec</w:t>
      </w:r>
      <w:r>
        <w:rPr>
          <w:rFonts w:ascii="Times New Roman" w:hAnsi="Times New Roman"/>
          <w:sz w:val="24"/>
          <w:szCs w:val="24"/>
        </w:rPr>
        <w:t xml:space="preserve">tron </w:t>
      </w:r>
      <w:r w:rsidRPr="00D75B0E">
        <w:rPr>
          <w:rFonts w:ascii="Times New Roman" w:hAnsi="Times New Roman"/>
          <w:sz w:val="24"/>
          <w:szCs w:val="24"/>
        </w:rPr>
        <w:t>capture detection). Substances which interfere with the analy</w:t>
      </w:r>
      <w:r>
        <w:rPr>
          <w:rFonts w:ascii="Times New Roman" w:hAnsi="Times New Roman"/>
          <w:sz w:val="24"/>
          <w:szCs w:val="24"/>
        </w:rPr>
        <w:t xml:space="preserve">sis in the reportable range are </w:t>
      </w:r>
      <w:r w:rsidRPr="00D75B0E">
        <w:rPr>
          <w:rFonts w:ascii="Times New Roman" w:hAnsi="Times New Roman"/>
          <w:sz w:val="24"/>
          <w:szCs w:val="24"/>
        </w:rPr>
        <w:t>to be listed in the method procedure.</w:t>
      </w:r>
    </w:p>
    <w:p w:rsidR="00B64254" w:rsidRPr="0049056F"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5) Reportable range of test results - the reportable range of test re</w:t>
      </w:r>
      <w:r>
        <w:rPr>
          <w:rFonts w:ascii="Times New Roman" w:hAnsi="Times New Roman"/>
          <w:sz w:val="24"/>
          <w:szCs w:val="24"/>
        </w:rPr>
        <w:t xml:space="preserve">sults is to be described in the </w:t>
      </w:r>
      <w:r w:rsidRPr="00D75B0E">
        <w:rPr>
          <w:rFonts w:ascii="Times New Roman" w:hAnsi="Times New Roman"/>
          <w:sz w:val="24"/>
          <w:szCs w:val="24"/>
        </w:rPr>
        <w:t>documentation of th</w:t>
      </w:r>
      <w:r>
        <w:rPr>
          <w:rFonts w:ascii="Times New Roman" w:hAnsi="Times New Roman"/>
          <w:sz w:val="24"/>
          <w:szCs w:val="24"/>
        </w:rPr>
        <w:t>e analytical procedure.</w:t>
      </w:r>
    </w:p>
    <w:p w:rsidR="00B64254" w:rsidRPr="0049056F"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6) Reference range (normal range) - if available, the reference</w:t>
      </w:r>
      <w:r>
        <w:rPr>
          <w:rFonts w:ascii="Times New Roman" w:hAnsi="Times New Roman"/>
          <w:sz w:val="24"/>
          <w:szCs w:val="24"/>
        </w:rPr>
        <w:t xml:space="preserve"> range of test results is to be </w:t>
      </w:r>
      <w:r w:rsidRPr="00D75B0E">
        <w:rPr>
          <w:rFonts w:ascii="Times New Roman" w:hAnsi="Times New Roman"/>
          <w:sz w:val="24"/>
          <w:szCs w:val="24"/>
        </w:rPr>
        <w:t>described in the documentation of the analytical procedure a</w:t>
      </w:r>
      <w:r>
        <w:rPr>
          <w:rFonts w:ascii="Times New Roman" w:hAnsi="Times New Roman"/>
          <w:sz w:val="24"/>
          <w:szCs w:val="24"/>
        </w:rPr>
        <w:t xml:space="preserve">nd on the test report. The test </w:t>
      </w:r>
      <w:r w:rsidRPr="00D75B0E">
        <w:rPr>
          <w:rFonts w:ascii="Times New Roman" w:hAnsi="Times New Roman"/>
          <w:sz w:val="24"/>
          <w:szCs w:val="24"/>
        </w:rPr>
        <w:t>report is to include the literature references from which the reference range was determined.</w:t>
      </w:r>
    </w:p>
    <w:p w:rsidR="00B64254" w:rsidRPr="0049056F"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7) Other pertinent performance specifications - other perfo</w:t>
      </w:r>
      <w:r>
        <w:rPr>
          <w:rFonts w:ascii="Times New Roman" w:hAnsi="Times New Roman"/>
          <w:sz w:val="24"/>
          <w:szCs w:val="24"/>
        </w:rPr>
        <w:t xml:space="preserve">rmance specifications which are </w:t>
      </w:r>
      <w:r w:rsidRPr="00D75B0E">
        <w:rPr>
          <w:rFonts w:ascii="Times New Roman" w:hAnsi="Times New Roman"/>
          <w:sz w:val="24"/>
          <w:szCs w:val="24"/>
        </w:rPr>
        <w:t>required for adequate method performance are to be specified in the documentation of the</w:t>
      </w:r>
      <w:r>
        <w:rPr>
          <w:rFonts w:ascii="Times New Roman" w:hAnsi="Times New Roman"/>
          <w:sz w:val="24"/>
          <w:szCs w:val="24"/>
        </w:rPr>
        <w:t xml:space="preserve"> </w:t>
      </w:r>
      <w:r w:rsidRPr="00D75B0E">
        <w:rPr>
          <w:rFonts w:ascii="Times New Roman" w:hAnsi="Times New Roman"/>
          <w:sz w:val="24"/>
          <w:szCs w:val="24"/>
        </w:rPr>
        <w:t>analytical procedure.</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Equipment Maintenance and Function C</w:t>
      </w:r>
      <w:r w:rsidRPr="00D75B0E">
        <w:rPr>
          <w:rFonts w:ascii="Times New Roman" w:hAnsi="Times New Roman"/>
          <w:b/>
          <w:bCs/>
          <w:sz w:val="24"/>
          <w:szCs w:val="24"/>
        </w:rPr>
        <w:t>hecks</w:t>
      </w:r>
    </w:p>
    <w:p w:rsidR="00B64254" w:rsidRPr="004E10C6"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Laboratory equipment should be checked regularly to</w:t>
      </w:r>
      <w:r>
        <w:rPr>
          <w:rFonts w:ascii="Times New Roman" w:hAnsi="Times New Roman"/>
          <w:sz w:val="24"/>
          <w:szCs w:val="24"/>
        </w:rPr>
        <w:t xml:space="preserve"> assure acceptable performance. </w:t>
      </w:r>
      <w:r w:rsidRPr="00D75B0E">
        <w:rPr>
          <w:rFonts w:ascii="Times New Roman" w:hAnsi="Times New Roman"/>
          <w:sz w:val="24"/>
          <w:szCs w:val="24"/>
        </w:rPr>
        <w:t>Maintenance (including preventive maintenance) and function ch</w:t>
      </w:r>
      <w:r>
        <w:rPr>
          <w:rFonts w:ascii="Times New Roman" w:hAnsi="Times New Roman"/>
          <w:sz w:val="24"/>
          <w:szCs w:val="24"/>
        </w:rPr>
        <w:t xml:space="preserve">ecks are to be documented in an </w:t>
      </w:r>
      <w:r w:rsidRPr="00D75B0E">
        <w:rPr>
          <w:rFonts w:ascii="Times New Roman" w:hAnsi="Times New Roman"/>
          <w:sz w:val="24"/>
          <w:szCs w:val="24"/>
        </w:rPr>
        <w:t>equipment log found at or near the piece of equipment</w:t>
      </w:r>
      <w:r>
        <w:rPr>
          <w:rFonts w:ascii="Times New Roman" w:hAnsi="Times New Roman"/>
          <w:sz w:val="24"/>
          <w:szCs w:val="24"/>
        </w:rPr>
        <w:t xml:space="preserve">. The frequency of </w:t>
      </w:r>
      <w:r w:rsidRPr="00D75B0E">
        <w:rPr>
          <w:rFonts w:ascii="Times New Roman" w:hAnsi="Times New Roman"/>
          <w:sz w:val="24"/>
          <w:szCs w:val="24"/>
        </w:rPr>
        <w:t>maintenance and function checks should follow manuf</w:t>
      </w:r>
      <w:r>
        <w:rPr>
          <w:rFonts w:ascii="Times New Roman" w:hAnsi="Times New Roman"/>
          <w:sz w:val="24"/>
          <w:szCs w:val="24"/>
        </w:rPr>
        <w:t xml:space="preserve">acturer's recommendations, when </w:t>
      </w:r>
      <w:r w:rsidRPr="00D75B0E">
        <w:rPr>
          <w:rFonts w:ascii="Times New Roman" w:hAnsi="Times New Roman"/>
          <w:sz w:val="24"/>
          <w:szCs w:val="24"/>
        </w:rPr>
        <w:t>available. Manufacturer's recommendations must be</w:t>
      </w:r>
      <w:r>
        <w:rPr>
          <w:rFonts w:ascii="Times New Roman" w:hAnsi="Times New Roman"/>
          <w:sz w:val="24"/>
          <w:szCs w:val="24"/>
        </w:rPr>
        <w:t xml:space="preserve"> included in the equipment log. </w:t>
      </w:r>
      <w:r w:rsidRPr="00D75B0E">
        <w:rPr>
          <w:rFonts w:ascii="Times New Roman" w:hAnsi="Times New Roman"/>
          <w:sz w:val="24"/>
          <w:szCs w:val="24"/>
        </w:rPr>
        <w:t>Each analytical procedure outlines the equipment main</w:t>
      </w:r>
      <w:r>
        <w:rPr>
          <w:rFonts w:ascii="Times New Roman" w:hAnsi="Times New Roman"/>
          <w:sz w:val="24"/>
          <w:szCs w:val="24"/>
        </w:rPr>
        <w:t xml:space="preserve">tenance and function checks for </w:t>
      </w:r>
      <w:r w:rsidRPr="00D75B0E">
        <w:rPr>
          <w:rFonts w:ascii="Times New Roman" w:hAnsi="Times New Roman"/>
          <w:sz w:val="24"/>
          <w:szCs w:val="24"/>
        </w:rPr>
        <w:t>proper method performance and acceptable results from the ch</w:t>
      </w:r>
      <w:r>
        <w:rPr>
          <w:rFonts w:ascii="Times New Roman" w:hAnsi="Times New Roman"/>
          <w:sz w:val="24"/>
          <w:szCs w:val="24"/>
        </w:rPr>
        <w:t xml:space="preserve">ecks. These checks must be made </w:t>
      </w:r>
      <w:r w:rsidRPr="00D75B0E">
        <w:rPr>
          <w:rFonts w:ascii="Times New Roman" w:hAnsi="Times New Roman"/>
          <w:sz w:val="24"/>
          <w:szCs w:val="24"/>
        </w:rPr>
        <w:t>at the interval specified in the documentation of the proc</w:t>
      </w:r>
      <w:r>
        <w:rPr>
          <w:rFonts w:ascii="Times New Roman" w:hAnsi="Times New Roman"/>
          <w:sz w:val="24"/>
          <w:szCs w:val="24"/>
        </w:rPr>
        <w:t xml:space="preserve">edure. Maintenance and function </w:t>
      </w:r>
      <w:r w:rsidRPr="00D75B0E">
        <w:rPr>
          <w:rFonts w:ascii="Times New Roman" w:hAnsi="Times New Roman"/>
          <w:sz w:val="24"/>
          <w:szCs w:val="24"/>
        </w:rPr>
        <w:t>checks are to be documented in the equipment log. Failu</w:t>
      </w:r>
      <w:r>
        <w:rPr>
          <w:rFonts w:ascii="Times New Roman" w:hAnsi="Times New Roman"/>
          <w:sz w:val="24"/>
          <w:szCs w:val="24"/>
        </w:rPr>
        <w:t xml:space="preserve">re of a function check is to be </w:t>
      </w:r>
      <w:r w:rsidRPr="00D75B0E">
        <w:rPr>
          <w:rFonts w:ascii="Times New Roman" w:hAnsi="Times New Roman"/>
          <w:sz w:val="24"/>
          <w:szCs w:val="24"/>
        </w:rPr>
        <w:t>documented in the equipment log, along with remedial action.</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965744" w:rsidRDefault="00B64254" w:rsidP="00B64254">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Refrigeration E</w:t>
      </w:r>
      <w:r w:rsidRPr="00965744">
        <w:rPr>
          <w:rFonts w:ascii="Times New Roman" w:hAnsi="Times New Roman"/>
          <w:b/>
          <w:bCs/>
          <w:sz w:val="24"/>
          <w:szCs w:val="24"/>
          <w:u w:val="single"/>
        </w:rPr>
        <w:t>quipment</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Low temperatures are required for storage and preservation </w:t>
      </w:r>
      <w:r>
        <w:rPr>
          <w:rFonts w:ascii="Times New Roman" w:hAnsi="Times New Roman"/>
          <w:sz w:val="24"/>
          <w:szCs w:val="24"/>
        </w:rPr>
        <w:t xml:space="preserve">of reagents and sample material </w:t>
      </w:r>
      <w:r w:rsidRPr="00D75B0E">
        <w:rPr>
          <w:rFonts w:ascii="Times New Roman" w:hAnsi="Times New Roman"/>
          <w:sz w:val="24"/>
          <w:szCs w:val="24"/>
        </w:rPr>
        <w:t>(analytical specimens), as well as quality control and refer</w:t>
      </w:r>
      <w:r>
        <w:rPr>
          <w:rFonts w:ascii="Times New Roman" w:hAnsi="Times New Roman"/>
          <w:sz w:val="24"/>
          <w:szCs w:val="24"/>
        </w:rPr>
        <w:t xml:space="preserve">ence materials. Low temperature </w:t>
      </w:r>
      <w:r w:rsidRPr="00D75B0E">
        <w:rPr>
          <w:rFonts w:ascii="Times New Roman" w:hAnsi="Times New Roman"/>
          <w:sz w:val="24"/>
          <w:szCs w:val="24"/>
        </w:rPr>
        <w:t>storage units with strict temperature requirements initiall</w:t>
      </w:r>
      <w:r>
        <w:rPr>
          <w:rFonts w:ascii="Times New Roman" w:hAnsi="Times New Roman"/>
          <w:sz w:val="24"/>
          <w:szCs w:val="24"/>
        </w:rPr>
        <w:t xml:space="preserve">y should be calibrated with calibrated </w:t>
      </w:r>
      <w:r w:rsidRPr="00D75B0E">
        <w:rPr>
          <w:rFonts w:ascii="Times New Roman" w:hAnsi="Times New Roman"/>
          <w:sz w:val="24"/>
          <w:szCs w:val="24"/>
        </w:rPr>
        <w:t>thermometers and checked annually if tempera</w:t>
      </w:r>
      <w:r>
        <w:rPr>
          <w:rFonts w:ascii="Times New Roman" w:hAnsi="Times New Roman"/>
          <w:sz w:val="24"/>
          <w:szCs w:val="24"/>
        </w:rPr>
        <w:t xml:space="preserve">ture measurement is used for QC </w:t>
      </w:r>
      <w:r w:rsidRPr="00D75B0E">
        <w:rPr>
          <w:rFonts w:ascii="Times New Roman" w:hAnsi="Times New Roman"/>
          <w:sz w:val="24"/>
          <w:szCs w:val="24"/>
        </w:rPr>
        <w:t>purposes.</w:t>
      </w:r>
    </w:p>
    <w:p w:rsidR="00B64254" w:rsidRPr="002A0113"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The acceptable temperature range for refrigerators use</w:t>
      </w:r>
      <w:r>
        <w:rPr>
          <w:rFonts w:ascii="Times New Roman" w:hAnsi="Times New Roman"/>
          <w:sz w:val="24"/>
          <w:szCs w:val="24"/>
        </w:rPr>
        <w:t xml:space="preserve">d for storage of CLIA-regulated </w:t>
      </w:r>
      <w:r w:rsidRPr="00D75B0E">
        <w:rPr>
          <w:rFonts w:ascii="Times New Roman" w:hAnsi="Times New Roman"/>
          <w:sz w:val="24"/>
          <w:szCs w:val="24"/>
        </w:rPr>
        <w:t>specimens and re</w:t>
      </w:r>
      <w:r>
        <w:rPr>
          <w:rFonts w:ascii="Times New Roman" w:hAnsi="Times New Roman"/>
          <w:sz w:val="24"/>
          <w:szCs w:val="24"/>
        </w:rPr>
        <w:t>agents is 4-8 ◦</w:t>
      </w:r>
      <w:r w:rsidRPr="00D75B0E">
        <w:rPr>
          <w:rFonts w:ascii="Times New Roman" w:hAnsi="Times New Roman"/>
          <w:sz w:val="24"/>
          <w:szCs w:val="24"/>
        </w:rPr>
        <w:t>C and is checked and rec</w:t>
      </w:r>
      <w:r>
        <w:rPr>
          <w:rFonts w:ascii="Times New Roman" w:hAnsi="Times New Roman"/>
          <w:sz w:val="24"/>
          <w:szCs w:val="24"/>
        </w:rPr>
        <w:t xml:space="preserve">orded at least twice weekly. If </w:t>
      </w:r>
      <w:r w:rsidRPr="00D75B0E">
        <w:rPr>
          <w:rFonts w:ascii="Times New Roman" w:hAnsi="Times New Roman"/>
          <w:sz w:val="24"/>
          <w:szCs w:val="24"/>
        </w:rPr>
        <w:t>temperatures are recorded automatically on a continuous monitori</w:t>
      </w:r>
      <w:r>
        <w:rPr>
          <w:rFonts w:ascii="Times New Roman" w:hAnsi="Times New Roman"/>
          <w:sz w:val="24"/>
          <w:szCs w:val="24"/>
        </w:rPr>
        <w:t xml:space="preserve">ng system graph, the individual </w:t>
      </w:r>
      <w:r w:rsidRPr="00D75B0E">
        <w:rPr>
          <w:rFonts w:ascii="Times New Roman" w:hAnsi="Times New Roman"/>
          <w:sz w:val="24"/>
          <w:szCs w:val="24"/>
        </w:rPr>
        <w:t>checking temperatures initials on the QC form that th</w:t>
      </w:r>
      <w:r>
        <w:rPr>
          <w:rFonts w:ascii="Times New Roman" w:hAnsi="Times New Roman"/>
          <w:sz w:val="24"/>
          <w:szCs w:val="24"/>
        </w:rPr>
        <w:t xml:space="preserve">e recording chart was examined. </w:t>
      </w:r>
      <w:r w:rsidRPr="00D75B0E">
        <w:rPr>
          <w:rFonts w:ascii="Times New Roman" w:hAnsi="Times New Roman"/>
          <w:sz w:val="24"/>
          <w:szCs w:val="24"/>
        </w:rPr>
        <w:t>Freezer temperatures are</w:t>
      </w:r>
      <w:r>
        <w:rPr>
          <w:rFonts w:ascii="Times New Roman" w:hAnsi="Times New Roman"/>
          <w:sz w:val="24"/>
          <w:szCs w:val="24"/>
        </w:rPr>
        <w:t xml:space="preserve"> to be </w:t>
      </w:r>
      <w:r w:rsidRPr="00D75B0E">
        <w:rPr>
          <w:rFonts w:ascii="Times New Roman" w:hAnsi="Times New Roman"/>
          <w:sz w:val="24"/>
          <w:szCs w:val="24"/>
        </w:rPr>
        <w:t>monitored weekly (or on day of use i</w:t>
      </w:r>
      <w:r>
        <w:rPr>
          <w:rFonts w:ascii="Times New Roman" w:hAnsi="Times New Roman"/>
          <w:sz w:val="24"/>
          <w:szCs w:val="24"/>
        </w:rPr>
        <w:t xml:space="preserve">f accessed less frequently than </w:t>
      </w:r>
      <w:r w:rsidRPr="00D75B0E">
        <w:rPr>
          <w:rFonts w:ascii="Times New Roman" w:hAnsi="Times New Roman"/>
          <w:sz w:val="24"/>
          <w:szCs w:val="24"/>
        </w:rPr>
        <w:t>weekly) by visual inspection of either a thermometer or solidi</w:t>
      </w:r>
      <w:r>
        <w:rPr>
          <w:rFonts w:ascii="Times New Roman" w:hAnsi="Times New Roman"/>
          <w:sz w:val="24"/>
          <w:szCs w:val="24"/>
        </w:rPr>
        <w:t>ty of indicator material(s) and recorded.  The Laboratory Supervisor</w:t>
      </w:r>
      <w:r w:rsidRPr="00D75B0E">
        <w:rPr>
          <w:rFonts w:ascii="Times New Roman" w:hAnsi="Times New Roman"/>
          <w:sz w:val="24"/>
          <w:szCs w:val="24"/>
        </w:rPr>
        <w:t xml:space="preserve"> de</w:t>
      </w:r>
      <w:r>
        <w:rPr>
          <w:rFonts w:ascii="Times New Roman" w:hAnsi="Times New Roman"/>
          <w:sz w:val="24"/>
          <w:szCs w:val="24"/>
        </w:rPr>
        <w:t xml:space="preserve">termines the range of allowable </w:t>
      </w:r>
      <w:r w:rsidRPr="00D75B0E">
        <w:rPr>
          <w:rFonts w:ascii="Times New Roman" w:hAnsi="Times New Roman"/>
          <w:sz w:val="24"/>
          <w:szCs w:val="24"/>
        </w:rPr>
        <w:t xml:space="preserve">temperature fluctuation. If this range is exceeded, an on-duty </w:t>
      </w:r>
      <w:r>
        <w:rPr>
          <w:rFonts w:ascii="Times New Roman" w:hAnsi="Times New Roman"/>
          <w:sz w:val="24"/>
          <w:szCs w:val="24"/>
        </w:rPr>
        <w:t xml:space="preserve">monitor contacts the designated </w:t>
      </w:r>
      <w:r w:rsidRPr="00D75B0E">
        <w:rPr>
          <w:rFonts w:ascii="Times New Roman" w:hAnsi="Times New Roman"/>
          <w:sz w:val="24"/>
          <w:szCs w:val="24"/>
        </w:rPr>
        <w:t>contact person as indicated in writing and posted on each unit.</w:t>
      </w:r>
      <w:r>
        <w:rPr>
          <w:rFonts w:ascii="Times New Roman" w:hAnsi="Times New Roman"/>
          <w:sz w:val="24"/>
          <w:szCs w:val="24"/>
        </w:rPr>
        <w:t xml:space="preserve"> Three contact persons should be designated. </w:t>
      </w:r>
      <w:r w:rsidRPr="00D75B0E">
        <w:rPr>
          <w:rFonts w:ascii="Times New Roman" w:hAnsi="Times New Roman"/>
          <w:sz w:val="24"/>
          <w:szCs w:val="24"/>
        </w:rPr>
        <w:t>Freezers and refrigerators should be regularly monit</w:t>
      </w:r>
      <w:r>
        <w:rPr>
          <w:rFonts w:ascii="Times New Roman" w:hAnsi="Times New Roman"/>
          <w:sz w:val="24"/>
          <w:szCs w:val="24"/>
        </w:rPr>
        <w:t xml:space="preserve">ored for excessive ice deposit, </w:t>
      </w:r>
      <w:r w:rsidRPr="00D75B0E">
        <w:rPr>
          <w:rFonts w:ascii="Times New Roman" w:hAnsi="Times New Roman"/>
          <w:sz w:val="24"/>
          <w:szCs w:val="24"/>
        </w:rPr>
        <w:t xml:space="preserve">inoperative cooling fans, </w:t>
      </w:r>
      <w:r w:rsidRPr="00D75B0E">
        <w:rPr>
          <w:rFonts w:ascii="Times New Roman" w:hAnsi="Times New Roman"/>
          <w:sz w:val="24"/>
          <w:szCs w:val="24"/>
        </w:rPr>
        <w:lastRenderedPageBreak/>
        <w:t xml:space="preserve">and frayed or worn electrical power </w:t>
      </w:r>
      <w:r>
        <w:rPr>
          <w:rFonts w:ascii="Times New Roman" w:hAnsi="Times New Roman"/>
          <w:sz w:val="24"/>
          <w:szCs w:val="24"/>
        </w:rPr>
        <w:t>connections. Problems should be reported to the Laboratory Supervisor</w:t>
      </w:r>
      <w:r w:rsidRPr="00D75B0E">
        <w:rPr>
          <w:rFonts w:ascii="Times New Roman" w:hAnsi="Times New Roman"/>
          <w:sz w:val="24"/>
          <w:szCs w:val="24"/>
        </w:rPr>
        <w:t xml:space="preserve"> for action.</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Calibration and Calibration V</w:t>
      </w:r>
      <w:r w:rsidRPr="00D75B0E">
        <w:rPr>
          <w:rFonts w:ascii="Times New Roman" w:hAnsi="Times New Roman"/>
          <w:b/>
          <w:bCs/>
          <w:sz w:val="24"/>
          <w:szCs w:val="24"/>
        </w:rPr>
        <w:t>erification</w:t>
      </w:r>
    </w:p>
    <w:p w:rsidR="00B64254" w:rsidRPr="002A0113"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Calibration and calibration verification are specified in the d</w:t>
      </w:r>
      <w:r>
        <w:rPr>
          <w:rFonts w:ascii="Times New Roman" w:hAnsi="Times New Roman"/>
          <w:sz w:val="24"/>
          <w:szCs w:val="24"/>
        </w:rPr>
        <w:t xml:space="preserve">ocumentation of each analytical </w:t>
      </w:r>
      <w:r w:rsidRPr="00D75B0E">
        <w:rPr>
          <w:rFonts w:ascii="Times New Roman" w:hAnsi="Times New Roman"/>
          <w:sz w:val="24"/>
          <w:szCs w:val="24"/>
        </w:rPr>
        <w:t>procedure in the Analytical Procedures Manual (APM). Ge</w:t>
      </w:r>
      <w:r>
        <w:rPr>
          <w:rFonts w:ascii="Times New Roman" w:hAnsi="Times New Roman"/>
          <w:sz w:val="24"/>
          <w:szCs w:val="24"/>
        </w:rPr>
        <w:t xml:space="preserve">neral discussion of calibration </w:t>
      </w:r>
      <w:r w:rsidRPr="00D75B0E">
        <w:rPr>
          <w:rFonts w:ascii="Times New Roman" w:hAnsi="Times New Roman"/>
          <w:sz w:val="24"/>
          <w:szCs w:val="24"/>
        </w:rPr>
        <w:t xml:space="preserve">verification is provided in the section of this manual on quality </w:t>
      </w:r>
      <w:r>
        <w:rPr>
          <w:rFonts w:ascii="Times New Roman" w:hAnsi="Times New Roman"/>
          <w:sz w:val="24"/>
          <w:szCs w:val="24"/>
        </w:rPr>
        <w:t xml:space="preserve">control. For all methods that are of high-complexity, </w:t>
      </w:r>
      <w:r w:rsidRPr="00D75B0E">
        <w:rPr>
          <w:rFonts w:ascii="Times New Roman" w:hAnsi="Times New Roman"/>
          <w:sz w:val="24"/>
          <w:szCs w:val="24"/>
        </w:rPr>
        <w:t>calibration equivalent t</w:t>
      </w:r>
      <w:r>
        <w:rPr>
          <w:rFonts w:ascii="Times New Roman" w:hAnsi="Times New Roman"/>
          <w:sz w:val="24"/>
          <w:szCs w:val="24"/>
        </w:rPr>
        <w:t xml:space="preserve">o CLIA calibration verification will be performed </w:t>
      </w:r>
      <w:r w:rsidRPr="00D75B0E">
        <w:rPr>
          <w:rFonts w:ascii="Times New Roman" w:hAnsi="Times New Roman"/>
          <w:sz w:val="24"/>
          <w:szCs w:val="24"/>
        </w:rPr>
        <w:t>each day that the method is run. Calibration curves that use CLIA</w:t>
      </w:r>
      <w:r>
        <w:rPr>
          <w:rFonts w:ascii="Times New Roman" w:hAnsi="Times New Roman"/>
          <w:sz w:val="24"/>
          <w:szCs w:val="24"/>
        </w:rPr>
        <w:t xml:space="preserve"> calibration materials and span </w:t>
      </w:r>
      <w:r w:rsidRPr="00D75B0E">
        <w:rPr>
          <w:rFonts w:ascii="Times New Roman" w:hAnsi="Times New Roman"/>
          <w:sz w:val="24"/>
          <w:szCs w:val="24"/>
        </w:rPr>
        <w:t>the reportable range are a routine part of a day’s analyses for these methods. Q</w:t>
      </w:r>
      <w:r>
        <w:rPr>
          <w:rFonts w:ascii="Times New Roman" w:hAnsi="Times New Roman"/>
          <w:sz w:val="24"/>
          <w:szCs w:val="24"/>
        </w:rPr>
        <w:t xml:space="preserve">C is performed </w:t>
      </w:r>
      <w:r w:rsidRPr="00D75B0E">
        <w:rPr>
          <w:rFonts w:ascii="Times New Roman" w:hAnsi="Times New Roman"/>
          <w:sz w:val="24"/>
          <w:szCs w:val="24"/>
        </w:rPr>
        <w:t>every analytical run verifying calibration is within acceptable limits.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850C8E"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850C8E">
        <w:rPr>
          <w:rFonts w:ascii="Times New Roman" w:hAnsi="Times New Roman"/>
          <w:b/>
          <w:bCs/>
          <w:sz w:val="24"/>
          <w:szCs w:val="24"/>
          <w:u w:val="single"/>
        </w:rPr>
        <w:t>Comparison of methods performed on multiple instruments or at multiple sites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At least once every six months, a set of at least five samples spanning the reportable </w:t>
      </w:r>
      <w:r>
        <w:rPr>
          <w:rFonts w:ascii="Times New Roman" w:hAnsi="Times New Roman"/>
          <w:sz w:val="24"/>
          <w:szCs w:val="24"/>
        </w:rPr>
        <w:t xml:space="preserve">range </w:t>
      </w:r>
      <w:r w:rsidRPr="00D75B0E">
        <w:rPr>
          <w:rFonts w:ascii="Times New Roman" w:hAnsi="Times New Roman"/>
          <w:sz w:val="24"/>
          <w:szCs w:val="24"/>
        </w:rPr>
        <w:t xml:space="preserve">of the analyte(s) of interest are run on both instruments. If the </w:t>
      </w:r>
      <w:r>
        <w:rPr>
          <w:rFonts w:ascii="Times New Roman" w:hAnsi="Times New Roman"/>
          <w:sz w:val="24"/>
          <w:szCs w:val="24"/>
        </w:rPr>
        <w:t xml:space="preserve">reportable range differs on two </w:t>
      </w:r>
      <w:r w:rsidRPr="00D75B0E">
        <w:rPr>
          <w:rFonts w:ascii="Times New Roman" w:hAnsi="Times New Roman"/>
          <w:sz w:val="24"/>
          <w:szCs w:val="24"/>
        </w:rPr>
        <w:t>instruments, they shall be compared in a concentration range tha</w:t>
      </w:r>
      <w:r>
        <w:rPr>
          <w:rFonts w:ascii="Times New Roman" w:hAnsi="Times New Roman"/>
          <w:sz w:val="24"/>
          <w:szCs w:val="24"/>
        </w:rPr>
        <w:t xml:space="preserve">t is included in the reportable </w:t>
      </w:r>
      <w:r w:rsidRPr="00D75B0E">
        <w:rPr>
          <w:rFonts w:ascii="Times New Roman" w:hAnsi="Times New Roman"/>
          <w:sz w:val="24"/>
          <w:szCs w:val="24"/>
        </w:rPr>
        <w:t>range of each instrument. The Pearson correlation coefficient of</w:t>
      </w:r>
      <w:r>
        <w:rPr>
          <w:rFonts w:ascii="Times New Roman" w:hAnsi="Times New Roman"/>
          <w:sz w:val="24"/>
          <w:szCs w:val="24"/>
        </w:rPr>
        <w:t xml:space="preserve"> the compared results should be </w:t>
      </w:r>
      <w:r w:rsidRPr="00D75B0E">
        <w:rPr>
          <w:rFonts w:ascii="Times New Roman" w:hAnsi="Times New Roman"/>
          <w:sz w:val="24"/>
          <w:szCs w:val="24"/>
        </w:rPr>
        <w:t>greater than 0.95, if not, appropriate remedial action should be ta</w:t>
      </w:r>
      <w:r>
        <w:rPr>
          <w:rFonts w:ascii="Times New Roman" w:hAnsi="Times New Roman"/>
          <w:sz w:val="24"/>
          <w:szCs w:val="24"/>
        </w:rPr>
        <w:t xml:space="preserve">ken. In special situations, the laboratory PI </w:t>
      </w:r>
      <w:r w:rsidRPr="00D75B0E">
        <w:rPr>
          <w:rFonts w:ascii="Times New Roman" w:hAnsi="Times New Roman"/>
          <w:sz w:val="24"/>
          <w:szCs w:val="24"/>
        </w:rPr>
        <w:t>may give written approval that the methods a</w:t>
      </w:r>
      <w:r>
        <w:rPr>
          <w:rFonts w:ascii="Times New Roman" w:hAnsi="Times New Roman"/>
          <w:sz w:val="24"/>
          <w:szCs w:val="24"/>
        </w:rPr>
        <w:t xml:space="preserve">re sufficiently similar for the </w:t>
      </w:r>
      <w:r w:rsidRPr="00D75B0E">
        <w:rPr>
          <w:rFonts w:ascii="Times New Roman" w:hAnsi="Times New Roman"/>
          <w:sz w:val="24"/>
          <w:szCs w:val="24"/>
        </w:rPr>
        <w:t>intended use of the data.</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850C8E"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850C8E">
        <w:rPr>
          <w:rFonts w:ascii="Times New Roman" w:hAnsi="Times New Roman"/>
          <w:b/>
          <w:bCs/>
          <w:sz w:val="24"/>
          <w:szCs w:val="24"/>
          <w:u w:val="single"/>
        </w:rPr>
        <w:t>Calibration curve: placement of calibrators, calculation of slope and intercept</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minimum of five calibrators should be used for a ca</w:t>
      </w:r>
      <w:r>
        <w:rPr>
          <w:rFonts w:ascii="Times New Roman" w:hAnsi="Times New Roman"/>
          <w:sz w:val="24"/>
          <w:szCs w:val="24"/>
        </w:rPr>
        <w:t xml:space="preserve">libration curve. They should be </w:t>
      </w:r>
      <w:r w:rsidRPr="00D75B0E">
        <w:rPr>
          <w:rFonts w:ascii="Times New Roman" w:hAnsi="Times New Roman"/>
          <w:sz w:val="24"/>
          <w:szCs w:val="24"/>
        </w:rPr>
        <w:t>spaced throughout the desired measurement range, avoiding a</w:t>
      </w:r>
      <w:r>
        <w:rPr>
          <w:rFonts w:ascii="Times New Roman" w:hAnsi="Times New Roman"/>
          <w:sz w:val="24"/>
          <w:szCs w:val="24"/>
        </w:rPr>
        <w:t xml:space="preserve">n extreme calibrator that is an </w:t>
      </w:r>
      <w:r w:rsidRPr="00D75B0E">
        <w:rPr>
          <w:rFonts w:ascii="Times New Roman" w:hAnsi="Times New Roman"/>
          <w:sz w:val="24"/>
          <w:szCs w:val="24"/>
        </w:rPr>
        <w:t>unusually large distance from the adjacent calibrator, es</w:t>
      </w:r>
      <w:r>
        <w:rPr>
          <w:rFonts w:ascii="Times New Roman" w:hAnsi="Times New Roman"/>
          <w:sz w:val="24"/>
          <w:szCs w:val="24"/>
        </w:rPr>
        <w:t xml:space="preserve">pecially on the high end of the </w:t>
      </w:r>
      <w:r w:rsidRPr="00D75B0E">
        <w:rPr>
          <w:rFonts w:ascii="Times New Roman" w:hAnsi="Times New Roman"/>
          <w:sz w:val="24"/>
          <w:szCs w:val="24"/>
        </w:rPr>
        <w:t xml:space="preserve">calibration curve. In </w:t>
      </w:r>
      <w:proofErr w:type="spellStart"/>
      <w:r w:rsidRPr="00D75B0E">
        <w:rPr>
          <w:rFonts w:ascii="Times New Roman" w:hAnsi="Times New Roman"/>
          <w:sz w:val="24"/>
          <w:szCs w:val="24"/>
        </w:rPr>
        <w:t>unweighted</w:t>
      </w:r>
      <w:proofErr w:type="spellEnd"/>
      <w:r w:rsidRPr="00D75B0E">
        <w:rPr>
          <w:rFonts w:ascii="Times New Roman" w:hAnsi="Times New Roman"/>
          <w:sz w:val="24"/>
          <w:szCs w:val="24"/>
        </w:rPr>
        <w:t xml:space="preserve"> regression analysis, extreme c</w:t>
      </w:r>
      <w:r>
        <w:rPr>
          <w:rFonts w:ascii="Times New Roman" w:hAnsi="Times New Roman"/>
          <w:sz w:val="24"/>
          <w:szCs w:val="24"/>
        </w:rPr>
        <w:t xml:space="preserve">alibrators can unduly influence </w:t>
      </w:r>
      <w:r w:rsidRPr="00D75B0E">
        <w:rPr>
          <w:rFonts w:ascii="Times New Roman" w:hAnsi="Times New Roman"/>
          <w:sz w:val="24"/>
          <w:szCs w:val="24"/>
        </w:rPr>
        <w:t>the slope estimate of the calibration curve. Calibrators should bracket the measu</w:t>
      </w:r>
      <w:r>
        <w:rPr>
          <w:rFonts w:ascii="Times New Roman" w:hAnsi="Times New Roman"/>
          <w:sz w:val="24"/>
          <w:szCs w:val="24"/>
        </w:rPr>
        <w:t xml:space="preserve">rement range. </w:t>
      </w:r>
      <w:r w:rsidRPr="00D75B0E">
        <w:rPr>
          <w:rFonts w:ascii="Times New Roman" w:hAnsi="Times New Roman"/>
          <w:sz w:val="24"/>
          <w:szCs w:val="24"/>
        </w:rPr>
        <w:t>Samples that exceed the high calibrator can be diluted to br</w:t>
      </w:r>
      <w:r>
        <w:rPr>
          <w:rFonts w:ascii="Times New Roman" w:hAnsi="Times New Roman"/>
          <w:sz w:val="24"/>
          <w:szCs w:val="24"/>
        </w:rPr>
        <w:t xml:space="preserve">ing them within the measurement </w:t>
      </w:r>
      <w:r w:rsidRPr="00D75B0E">
        <w:rPr>
          <w:rFonts w:ascii="Times New Roman" w:hAnsi="Times New Roman"/>
          <w:sz w:val="24"/>
          <w:szCs w:val="24"/>
        </w:rPr>
        <w:t>range.</w:t>
      </w:r>
    </w:p>
    <w:p w:rsidR="00B64254" w:rsidRPr="00D70D48"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w:t>
      </w:r>
      <w:r w:rsidRPr="00D75B0E">
        <w:rPr>
          <w:rFonts w:ascii="Times New Roman" w:hAnsi="Times New Roman"/>
          <w:sz w:val="24"/>
          <w:szCs w:val="24"/>
        </w:rPr>
        <w:t>f concentrations at or slightly above the LOD are to</w:t>
      </w:r>
      <w:r>
        <w:rPr>
          <w:rFonts w:ascii="Times New Roman" w:hAnsi="Times New Roman"/>
          <w:sz w:val="24"/>
          <w:szCs w:val="24"/>
        </w:rPr>
        <w:t xml:space="preserve"> be reported, then a calibrator </w:t>
      </w:r>
      <w:r w:rsidRPr="00D75B0E">
        <w:rPr>
          <w:rFonts w:ascii="Times New Roman" w:hAnsi="Times New Roman"/>
          <w:sz w:val="24"/>
          <w:szCs w:val="24"/>
        </w:rPr>
        <w:t xml:space="preserve">must be at or slightly above the LOD. Results below the lowest calibrator are </w:t>
      </w:r>
      <w:r w:rsidRPr="00D75B0E">
        <w:rPr>
          <w:rFonts w:ascii="Times New Roman" w:hAnsi="Times New Roman"/>
          <w:b/>
          <w:bCs/>
          <w:sz w:val="24"/>
          <w:szCs w:val="24"/>
        </w:rPr>
        <w:t xml:space="preserve">not </w:t>
      </w:r>
      <w:r>
        <w:rPr>
          <w:rFonts w:ascii="Times New Roman" w:hAnsi="Times New Roman"/>
          <w:sz w:val="24"/>
          <w:szCs w:val="24"/>
        </w:rPr>
        <w:t xml:space="preserve">to be reported. </w:t>
      </w:r>
      <w:r w:rsidRPr="00D75B0E">
        <w:rPr>
          <w:rFonts w:ascii="Times New Roman" w:hAnsi="Times New Roman"/>
          <w:sz w:val="24"/>
          <w:szCs w:val="24"/>
        </w:rPr>
        <w:t>If a result is below the lowest calibrator and higher than the</w:t>
      </w:r>
      <w:r>
        <w:rPr>
          <w:rFonts w:ascii="Times New Roman" w:hAnsi="Times New Roman"/>
          <w:sz w:val="24"/>
          <w:szCs w:val="24"/>
        </w:rPr>
        <w:t xml:space="preserve"> LOD, then the result should be </w:t>
      </w:r>
      <w:r w:rsidRPr="00D75B0E">
        <w:rPr>
          <w:rFonts w:ascii="Times New Roman" w:hAnsi="Times New Roman"/>
          <w:sz w:val="24"/>
          <w:szCs w:val="24"/>
        </w:rPr>
        <w:t xml:space="preserve">reported as below the measurement range for the method </w:t>
      </w:r>
      <w:r>
        <w:rPr>
          <w:rFonts w:ascii="Times New Roman" w:hAnsi="Times New Roman"/>
          <w:sz w:val="24"/>
          <w:szCs w:val="24"/>
        </w:rPr>
        <w:t xml:space="preserve">and higher than the LOD, but no </w:t>
      </w:r>
      <w:r w:rsidRPr="00D75B0E">
        <w:rPr>
          <w:rFonts w:ascii="Times New Roman" w:hAnsi="Times New Roman"/>
          <w:sz w:val="24"/>
          <w:szCs w:val="24"/>
        </w:rPr>
        <w:t xml:space="preserve">number should be provided. In unusual circumstances </w:t>
      </w:r>
      <w:r>
        <w:rPr>
          <w:rFonts w:ascii="Times New Roman" w:hAnsi="Times New Roman"/>
          <w:sz w:val="24"/>
          <w:szCs w:val="24"/>
        </w:rPr>
        <w:t xml:space="preserve">requests for estimates </w:t>
      </w:r>
      <w:r w:rsidRPr="00D75B0E">
        <w:rPr>
          <w:rFonts w:ascii="Times New Roman" w:hAnsi="Times New Roman"/>
          <w:sz w:val="24"/>
          <w:szCs w:val="24"/>
        </w:rPr>
        <w:t>of results below the LOD can be provided to avoid errors associa</w:t>
      </w:r>
      <w:r>
        <w:rPr>
          <w:rFonts w:ascii="Times New Roman" w:hAnsi="Times New Roman"/>
          <w:sz w:val="24"/>
          <w:szCs w:val="24"/>
        </w:rPr>
        <w:t xml:space="preserve">ted with multiple imputation of </w:t>
      </w:r>
      <w:r w:rsidRPr="00D75B0E">
        <w:rPr>
          <w:rFonts w:ascii="Times New Roman" w:hAnsi="Times New Roman"/>
          <w:sz w:val="24"/>
          <w:szCs w:val="24"/>
        </w:rPr>
        <w:t>values less than the LOD i</w:t>
      </w:r>
      <w:r>
        <w:rPr>
          <w:rFonts w:ascii="Times New Roman" w:hAnsi="Times New Roman"/>
          <w:sz w:val="24"/>
          <w:szCs w:val="24"/>
        </w:rPr>
        <w:t xml:space="preserve">n multiple regression analysis. </w:t>
      </w:r>
      <w:r w:rsidRPr="00D75B0E">
        <w:rPr>
          <w:rFonts w:ascii="Times New Roman" w:hAnsi="Times New Roman"/>
          <w:sz w:val="24"/>
          <w:szCs w:val="24"/>
        </w:rPr>
        <w:t>The slope and intercept of the calibration curve should be calculated using linear regression.</w:t>
      </w:r>
    </w:p>
    <w:p w:rsidR="00B64254" w:rsidRPr="00D70D48"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If calibrators are evenly spaced, </w:t>
      </w:r>
      <w:proofErr w:type="spellStart"/>
      <w:r w:rsidRPr="00D75B0E">
        <w:rPr>
          <w:rFonts w:ascii="Times New Roman" w:hAnsi="Times New Roman"/>
          <w:sz w:val="24"/>
          <w:szCs w:val="24"/>
        </w:rPr>
        <w:t>unweighted</w:t>
      </w:r>
      <w:proofErr w:type="spellEnd"/>
      <w:r w:rsidRPr="00D75B0E">
        <w:rPr>
          <w:rFonts w:ascii="Times New Roman" w:hAnsi="Times New Roman"/>
          <w:sz w:val="24"/>
          <w:szCs w:val="24"/>
        </w:rPr>
        <w:t xml:space="preserve"> regression is appropr</w:t>
      </w:r>
      <w:r>
        <w:rPr>
          <w:rFonts w:ascii="Times New Roman" w:hAnsi="Times New Roman"/>
          <w:sz w:val="24"/>
          <w:szCs w:val="24"/>
        </w:rPr>
        <w:t xml:space="preserve">iate, but 1/x weighting is also </w:t>
      </w:r>
      <w:r w:rsidRPr="00D75B0E">
        <w:rPr>
          <w:rFonts w:ascii="Times New Roman" w:hAnsi="Times New Roman"/>
          <w:sz w:val="24"/>
          <w:szCs w:val="24"/>
        </w:rPr>
        <w:t>acceptable. If results are likely to often fall at the low end of the measurement range, then 1</w:t>
      </w:r>
      <w:r>
        <w:rPr>
          <w:rFonts w:ascii="Times New Roman" w:hAnsi="Times New Roman"/>
          <w:sz w:val="24"/>
          <w:szCs w:val="24"/>
        </w:rPr>
        <w:t xml:space="preserve">/x </w:t>
      </w:r>
      <w:r w:rsidRPr="00D75B0E">
        <w:rPr>
          <w:rFonts w:ascii="Times New Roman" w:hAnsi="Times New Roman"/>
          <w:sz w:val="24"/>
          <w:szCs w:val="24"/>
        </w:rPr>
        <w:t>weighting is recommended. Using 1/x weighting, the relative inf</w:t>
      </w:r>
      <w:r>
        <w:rPr>
          <w:rFonts w:ascii="Times New Roman" w:hAnsi="Times New Roman"/>
          <w:sz w:val="24"/>
          <w:szCs w:val="24"/>
        </w:rPr>
        <w:t xml:space="preserve">luence of higher calibrators on </w:t>
      </w:r>
      <w:r w:rsidRPr="00D75B0E">
        <w:rPr>
          <w:rFonts w:ascii="Times New Roman" w:hAnsi="Times New Roman"/>
          <w:sz w:val="24"/>
          <w:szCs w:val="24"/>
        </w:rPr>
        <w:t>the slope estimate is diminished. The independent variable (x-axis</w:t>
      </w:r>
      <w:r>
        <w:rPr>
          <w:rFonts w:ascii="Times New Roman" w:hAnsi="Times New Roman"/>
          <w:sz w:val="24"/>
          <w:szCs w:val="24"/>
        </w:rPr>
        <w:t xml:space="preserve"> variable) in the regression is </w:t>
      </w:r>
      <w:r w:rsidRPr="00D75B0E">
        <w:rPr>
          <w:rFonts w:ascii="Times New Roman" w:hAnsi="Times New Roman"/>
          <w:sz w:val="24"/>
          <w:szCs w:val="24"/>
        </w:rPr>
        <w:t>concentration of the calibrators. Log of calibrator concentrati</w:t>
      </w:r>
      <w:r>
        <w:rPr>
          <w:rFonts w:ascii="Times New Roman" w:hAnsi="Times New Roman"/>
          <w:sz w:val="24"/>
          <w:szCs w:val="24"/>
        </w:rPr>
        <w:t xml:space="preserve">on is an acceptable independent </w:t>
      </w:r>
      <w:r w:rsidRPr="00D75B0E">
        <w:rPr>
          <w:rFonts w:ascii="Times New Roman" w:hAnsi="Times New Roman"/>
          <w:sz w:val="24"/>
          <w:szCs w:val="24"/>
        </w:rPr>
        <w:t>variable for regression, when the calibration curve spans several orders of magnitude.</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D237BB"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D237BB">
        <w:rPr>
          <w:rFonts w:ascii="Times New Roman" w:hAnsi="Times New Roman"/>
          <w:b/>
          <w:bCs/>
          <w:sz w:val="24"/>
          <w:szCs w:val="24"/>
          <w:u w:val="single"/>
        </w:rPr>
        <w:t>Calibration curve: assessment of linearity over the measurement range</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In the method validation, linearity of the measurement rang</w:t>
      </w:r>
      <w:r>
        <w:rPr>
          <w:rFonts w:ascii="Times New Roman" w:hAnsi="Times New Roman"/>
          <w:sz w:val="24"/>
          <w:szCs w:val="24"/>
        </w:rPr>
        <w:t xml:space="preserve">e (e.g., from lowest to highest </w:t>
      </w:r>
      <w:r w:rsidRPr="00D75B0E">
        <w:rPr>
          <w:rFonts w:ascii="Times New Roman" w:hAnsi="Times New Roman"/>
          <w:sz w:val="24"/>
          <w:szCs w:val="24"/>
        </w:rPr>
        <w:t>calibrator) should be verified by visual examination of a residu</w:t>
      </w:r>
      <w:r>
        <w:rPr>
          <w:rFonts w:ascii="Times New Roman" w:hAnsi="Times New Roman"/>
          <w:sz w:val="24"/>
          <w:szCs w:val="24"/>
        </w:rPr>
        <w:t xml:space="preserve">al regression plot (assuring no curvilinear shape of </w:t>
      </w:r>
      <w:r w:rsidRPr="00D75B0E">
        <w:rPr>
          <w:rFonts w:ascii="Times New Roman" w:hAnsi="Times New Roman"/>
          <w:sz w:val="24"/>
          <w:szCs w:val="24"/>
        </w:rPr>
        <w:t>residuals) and by an R2 that exceeds 0.98.</w:t>
      </w:r>
      <w:r>
        <w:rPr>
          <w:rFonts w:ascii="Times New Roman" w:hAnsi="Times New Roman"/>
          <w:sz w:val="24"/>
          <w:szCs w:val="24"/>
        </w:rPr>
        <w:t xml:space="preserve"> A calibration curve with an R2 </w:t>
      </w:r>
      <w:r w:rsidRPr="00D75B0E">
        <w:rPr>
          <w:rFonts w:ascii="Times New Roman" w:hAnsi="Times New Roman"/>
          <w:sz w:val="24"/>
          <w:szCs w:val="24"/>
        </w:rPr>
        <w:t xml:space="preserve">between 0.95 and 0.98 may be used </w:t>
      </w:r>
      <w:r>
        <w:rPr>
          <w:rFonts w:ascii="Times New Roman" w:hAnsi="Times New Roman"/>
          <w:sz w:val="24"/>
          <w:szCs w:val="24"/>
        </w:rPr>
        <w:t xml:space="preserve">with approval of the Laboratory Supervisor, who must assure that the </w:t>
      </w:r>
      <w:r w:rsidRPr="00D75B0E">
        <w:rPr>
          <w:rFonts w:ascii="Times New Roman" w:hAnsi="Times New Roman"/>
          <w:sz w:val="24"/>
          <w:szCs w:val="24"/>
        </w:rPr>
        <w:t>accuracy is adequate for i</w:t>
      </w:r>
      <w:r>
        <w:rPr>
          <w:rFonts w:ascii="Times New Roman" w:hAnsi="Times New Roman"/>
          <w:sz w:val="24"/>
          <w:szCs w:val="24"/>
        </w:rPr>
        <w:t xml:space="preserve">ntended use of the measurement. </w:t>
      </w:r>
      <w:r w:rsidRPr="00D75B0E">
        <w:rPr>
          <w:rFonts w:ascii="Times New Roman" w:hAnsi="Times New Roman"/>
          <w:sz w:val="24"/>
          <w:szCs w:val="24"/>
        </w:rPr>
        <w:t>In addition, a quadratic and cubic polynomial regression shoul</w:t>
      </w:r>
      <w:r>
        <w:rPr>
          <w:rFonts w:ascii="Times New Roman" w:hAnsi="Times New Roman"/>
          <w:sz w:val="24"/>
          <w:szCs w:val="24"/>
        </w:rPr>
        <w:t xml:space="preserve">d be run for calibration curves </w:t>
      </w:r>
      <w:r w:rsidRPr="00D75B0E">
        <w:rPr>
          <w:rFonts w:ascii="Times New Roman" w:hAnsi="Times New Roman"/>
          <w:sz w:val="24"/>
          <w:szCs w:val="24"/>
        </w:rPr>
        <w:t>during method validation. The coefficients of the squared and cubic terms in</w:t>
      </w:r>
      <w:r>
        <w:rPr>
          <w:rFonts w:ascii="Times New Roman" w:hAnsi="Times New Roman"/>
          <w:sz w:val="24"/>
          <w:szCs w:val="24"/>
        </w:rPr>
        <w:t xml:space="preserve"> each of the two </w:t>
      </w:r>
      <w:r w:rsidRPr="00D75B0E">
        <w:rPr>
          <w:rFonts w:ascii="Times New Roman" w:hAnsi="Times New Roman"/>
          <w:sz w:val="24"/>
          <w:szCs w:val="24"/>
        </w:rPr>
        <w:t>polynomial regressions should not be statistically significant (p &gt; 0</w:t>
      </w:r>
      <w:r>
        <w:rPr>
          <w:rFonts w:ascii="Times New Roman" w:hAnsi="Times New Roman"/>
          <w:sz w:val="24"/>
          <w:szCs w:val="24"/>
        </w:rPr>
        <w:t xml:space="preserve">.05). If the coefficient of the </w:t>
      </w:r>
      <w:r w:rsidRPr="00D75B0E">
        <w:rPr>
          <w:rFonts w:ascii="Times New Roman" w:hAnsi="Times New Roman"/>
          <w:sz w:val="24"/>
          <w:szCs w:val="24"/>
        </w:rPr>
        <w:t>squared or cubic term is statistically significant, evidence for non</w:t>
      </w:r>
      <w:r>
        <w:rPr>
          <w:rFonts w:ascii="Times New Roman" w:hAnsi="Times New Roman"/>
          <w:sz w:val="24"/>
          <w:szCs w:val="24"/>
        </w:rPr>
        <w:t xml:space="preserve">-linearity exists, a </w:t>
      </w:r>
      <w:r w:rsidRPr="00D75B0E">
        <w:rPr>
          <w:rFonts w:ascii="Times New Roman" w:hAnsi="Times New Roman"/>
          <w:sz w:val="24"/>
          <w:szCs w:val="24"/>
        </w:rPr>
        <w:t>st</w:t>
      </w:r>
      <w:r>
        <w:rPr>
          <w:rFonts w:ascii="Times New Roman" w:hAnsi="Times New Roman"/>
          <w:sz w:val="24"/>
          <w:szCs w:val="24"/>
        </w:rPr>
        <w:t xml:space="preserve">atistician should be consulted. </w:t>
      </w:r>
      <w:r w:rsidRPr="00D75B0E">
        <w:rPr>
          <w:rFonts w:ascii="Times New Roman" w:hAnsi="Times New Roman"/>
          <w:sz w:val="24"/>
          <w:szCs w:val="24"/>
        </w:rPr>
        <w:t>A slightly curvilinear calibration curve may be used fo</w:t>
      </w:r>
      <w:r>
        <w:rPr>
          <w:rFonts w:ascii="Times New Roman" w:hAnsi="Times New Roman"/>
          <w:sz w:val="24"/>
          <w:szCs w:val="24"/>
        </w:rPr>
        <w:t xml:space="preserve">r analytical measurement. These </w:t>
      </w:r>
      <w:r w:rsidRPr="00D75B0E">
        <w:rPr>
          <w:rFonts w:ascii="Times New Roman" w:hAnsi="Times New Roman"/>
          <w:sz w:val="24"/>
          <w:szCs w:val="24"/>
        </w:rPr>
        <w:t>curves should not have horizontally flat regions or sharp vertical r</w:t>
      </w:r>
      <w:r>
        <w:rPr>
          <w:rFonts w:ascii="Times New Roman" w:hAnsi="Times New Roman"/>
          <w:sz w:val="24"/>
          <w:szCs w:val="24"/>
        </w:rPr>
        <w:t xml:space="preserve">ises, since these regions would </w:t>
      </w:r>
      <w:r w:rsidRPr="00D75B0E">
        <w:rPr>
          <w:rFonts w:ascii="Times New Roman" w:hAnsi="Times New Roman"/>
          <w:sz w:val="24"/>
          <w:szCs w:val="24"/>
        </w:rPr>
        <w:t>produce a large concentration change for a small measurement change (e.g</w:t>
      </w:r>
      <w:r>
        <w:rPr>
          <w:rFonts w:ascii="Times New Roman" w:hAnsi="Times New Roman"/>
          <w:sz w:val="24"/>
          <w:szCs w:val="24"/>
        </w:rPr>
        <w:t xml:space="preserve">., change in native to </w:t>
      </w:r>
      <w:r w:rsidRPr="00D75B0E">
        <w:rPr>
          <w:rFonts w:ascii="Times New Roman" w:hAnsi="Times New Roman"/>
          <w:sz w:val="24"/>
          <w:szCs w:val="24"/>
        </w:rPr>
        <w:t>label ratio) or a small concentration change for a large me</w:t>
      </w:r>
      <w:r>
        <w:rPr>
          <w:rFonts w:ascii="Times New Roman" w:hAnsi="Times New Roman"/>
          <w:sz w:val="24"/>
          <w:szCs w:val="24"/>
        </w:rPr>
        <w:t xml:space="preserve">asurement change. Both of these </w:t>
      </w:r>
      <w:r w:rsidRPr="00D75B0E">
        <w:rPr>
          <w:rFonts w:ascii="Times New Roman" w:hAnsi="Times New Roman"/>
          <w:sz w:val="24"/>
          <w:szCs w:val="24"/>
        </w:rPr>
        <w:t>conditions lead to relatively large error in concentration estimat</w:t>
      </w:r>
      <w:r>
        <w:rPr>
          <w:rFonts w:ascii="Times New Roman" w:hAnsi="Times New Roman"/>
          <w:sz w:val="24"/>
          <w:szCs w:val="24"/>
        </w:rPr>
        <w:t xml:space="preserve">es. A calibration curve that is </w:t>
      </w:r>
      <w:r w:rsidRPr="00D75B0E">
        <w:rPr>
          <w:rFonts w:ascii="Times New Roman" w:hAnsi="Times New Roman"/>
          <w:sz w:val="24"/>
          <w:szCs w:val="24"/>
        </w:rPr>
        <w:t>slightly curvilinear needs to be approved by</w:t>
      </w:r>
      <w:r>
        <w:rPr>
          <w:rFonts w:ascii="Times New Roman" w:hAnsi="Times New Roman"/>
          <w:sz w:val="24"/>
          <w:szCs w:val="24"/>
        </w:rPr>
        <w:t xml:space="preserve"> the Laboratory Supervisor</w:t>
      </w:r>
      <w:r w:rsidRPr="00D75B0E">
        <w:rPr>
          <w:rFonts w:ascii="Times New Roman" w:hAnsi="Times New Roman"/>
          <w:sz w:val="24"/>
          <w:szCs w:val="24"/>
        </w:rPr>
        <w:t xml:space="preserve"> for use.</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F92ADE"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F92ADE">
        <w:rPr>
          <w:rFonts w:ascii="Times New Roman" w:hAnsi="Times New Roman"/>
          <w:b/>
          <w:bCs/>
          <w:sz w:val="24"/>
          <w:szCs w:val="24"/>
          <w:u w:val="single"/>
        </w:rPr>
        <w:t>Calibration curve: use of matrix based and non-matrix based calibrators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Calibrators should be in the same matrix as unknown </w:t>
      </w:r>
      <w:r>
        <w:rPr>
          <w:rFonts w:ascii="Times New Roman" w:hAnsi="Times New Roman"/>
          <w:sz w:val="24"/>
          <w:szCs w:val="24"/>
        </w:rPr>
        <w:t xml:space="preserve">samples to be analyzed. In some </w:t>
      </w:r>
      <w:r w:rsidRPr="00D75B0E">
        <w:rPr>
          <w:rFonts w:ascii="Times New Roman" w:hAnsi="Times New Roman"/>
          <w:sz w:val="24"/>
          <w:szCs w:val="24"/>
        </w:rPr>
        <w:t>situations, residual amounts of the target analyte are present in se</w:t>
      </w:r>
      <w:r>
        <w:rPr>
          <w:rFonts w:ascii="Times New Roman" w:hAnsi="Times New Roman"/>
          <w:sz w:val="24"/>
          <w:szCs w:val="24"/>
        </w:rPr>
        <w:t xml:space="preserve">rum, blood, urine or other </w:t>
      </w:r>
      <w:r w:rsidRPr="00D75B0E">
        <w:rPr>
          <w:rFonts w:ascii="Times New Roman" w:hAnsi="Times New Roman"/>
          <w:sz w:val="24"/>
          <w:szCs w:val="24"/>
        </w:rPr>
        <w:t>matrix. For example, this situation can occur when an envir</w:t>
      </w:r>
      <w:r>
        <w:rPr>
          <w:rFonts w:ascii="Times New Roman" w:hAnsi="Times New Roman"/>
          <w:sz w:val="24"/>
          <w:szCs w:val="24"/>
        </w:rPr>
        <w:t xml:space="preserve">onmental chemical is found in a </w:t>
      </w:r>
      <w:r w:rsidRPr="00D75B0E">
        <w:rPr>
          <w:rFonts w:ascii="Times New Roman" w:hAnsi="Times New Roman"/>
          <w:sz w:val="24"/>
          <w:szCs w:val="24"/>
        </w:rPr>
        <w:t xml:space="preserve">small amount in serum or urine (e.g. a pesticide in urine). </w:t>
      </w:r>
      <w:r>
        <w:rPr>
          <w:rFonts w:ascii="Times New Roman" w:hAnsi="Times New Roman"/>
          <w:sz w:val="24"/>
          <w:szCs w:val="24"/>
        </w:rPr>
        <w:t xml:space="preserve">Spiking serum (or urine) with a </w:t>
      </w:r>
      <w:r w:rsidRPr="00D75B0E">
        <w:rPr>
          <w:rFonts w:ascii="Times New Roman" w:hAnsi="Times New Roman"/>
          <w:sz w:val="24"/>
          <w:szCs w:val="24"/>
        </w:rPr>
        <w:t>known amount of analyte to make a calibrator will result in a ca</w:t>
      </w:r>
      <w:r>
        <w:rPr>
          <w:rFonts w:ascii="Times New Roman" w:hAnsi="Times New Roman"/>
          <w:sz w:val="24"/>
          <w:szCs w:val="24"/>
        </w:rPr>
        <w:t xml:space="preserve">librator whose concentration is </w:t>
      </w:r>
      <w:r w:rsidRPr="00D75B0E">
        <w:rPr>
          <w:rFonts w:ascii="Times New Roman" w:hAnsi="Times New Roman"/>
          <w:sz w:val="24"/>
          <w:szCs w:val="24"/>
        </w:rPr>
        <w:t>the spike amount plus the residual amount of the chemical alr</w:t>
      </w:r>
      <w:r>
        <w:rPr>
          <w:rFonts w:ascii="Times New Roman" w:hAnsi="Times New Roman"/>
          <w:sz w:val="24"/>
          <w:szCs w:val="24"/>
        </w:rPr>
        <w:t xml:space="preserve">eady present. Consequently, the </w:t>
      </w:r>
      <w:r w:rsidRPr="00D75B0E">
        <w:rPr>
          <w:rFonts w:ascii="Times New Roman" w:hAnsi="Times New Roman"/>
          <w:sz w:val="24"/>
          <w:szCs w:val="24"/>
        </w:rPr>
        <w:t>true amount of analyte in the calibrator is not known. Use of an al</w:t>
      </w:r>
      <w:r>
        <w:rPr>
          <w:rFonts w:ascii="Times New Roman" w:hAnsi="Times New Roman"/>
          <w:sz w:val="24"/>
          <w:szCs w:val="24"/>
        </w:rPr>
        <w:t xml:space="preserve">ternate matrix with no residual </w:t>
      </w:r>
      <w:r w:rsidRPr="00D75B0E">
        <w:rPr>
          <w:rFonts w:ascii="Times New Roman" w:hAnsi="Times New Roman"/>
          <w:sz w:val="24"/>
          <w:szCs w:val="24"/>
        </w:rPr>
        <w:t>amounts of the analyte of int</w:t>
      </w:r>
      <w:r>
        <w:rPr>
          <w:rFonts w:ascii="Times New Roman" w:hAnsi="Times New Roman"/>
          <w:sz w:val="24"/>
          <w:szCs w:val="24"/>
        </w:rPr>
        <w:t>erest can resolve this problem. If available, all methods</w:t>
      </w:r>
      <w:r w:rsidRPr="00D75B0E">
        <w:rPr>
          <w:rFonts w:ascii="Times New Roman" w:hAnsi="Times New Roman"/>
          <w:sz w:val="24"/>
          <w:szCs w:val="24"/>
        </w:rPr>
        <w:t xml:space="preserve"> for organic analytes </w:t>
      </w:r>
      <w:r>
        <w:rPr>
          <w:rFonts w:ascii="Times New Roman" w:hAnsi="Times New Roman"/>
          <w:sz w:val="24"/>
          <w:szCs w:val="24"/>
        </w:rPr>
        <w:t xml:space="preserve">will </w:t>
      </w:r>
      <w:r w:rsidRPr="00D75B0E">
        <w:rPr>
          <w:rFonts w:ascii="Times New Roman" w:hAnsi="Times New Roman"/>
          <w:sz w:val="24"/>
          <w:szCs w:val="24"/>
        </w:rPr>
        <w:t xml:space="preserve">use isotope </w:t>
      </w:r>
      <w:r>
        <w:rPr>
          <w:rFonts w:ascii="Times New Roman" w:hAnsi="Times New Roman"/>
          <w:sz w:val="24"/>
          <w:szCs w:val="24"/>
        </w:rPr>
        <w:t xml:space="preserve">dilution mass spectrometry with </w:t>
      </w:r>
      <w:r w:rsidRPr="00D75B0E">
        <w:rPr>
          <w:rFonts w:ascii="Times New Roman" w:hAnsi="Times New Roman"/>
          <w:sz w:val="24"/>
          <w:szCs w:val="24"/>
        </w:rPr>
        <w:t xml:space="preserve">an </w:t>
      </w:r>
      <w:proofErr w:type="spellStart"/>
      <w:r w:rsidRPr="00D75B0E">
        <w:rPr>
          <w:rFonts w:ascii="Times New Roman" w:hAnsi="Times New Roman"/>
          <w:sz w:val="24"/>
          <w:szCs w:val="24"/>
        </w:rPr>
        <w:t>isotopically</w:t>
      </w:r>
      <w:proofErr w:type="spellEnd"/>
      <w:r w:rsidRPr="00D75B0E">
        <w:rPr>
          <w:rFonts w:ascii="Times New Roman" w:hAnsi="Times New Roman"/>
          <w:sz w:val="24"/>
          <w:szCs w:val="24"/>
        </w:rPr>
        <w:t xml:space="preserve"> labeled internal standard. For such methods, use of a</w:t>
      </w:r>
      <w:r>
        <w:rPr>
          <w:rFonts w:ascii="Times New Roman" w:hAnsi="Times New Roman"/>
          <w:sz w:val="24"/>
          <w:szCs w:val="24"/>
        </w:rPr>
        <w:t xml:space="preserve"> matrix for calibrators that is </w:t>
      </w:r>
      <w:r w:rsidRPr="00D75B0E">
        <w:rPr>
          <w:rFonts w:ascii="Times New Roman" w:hAnsi="Times New Roman"/>
          <w:sz w:val="24"/>
          <w:szCs w:val="24"/>
        </w:rPr>
        <w:t>not the same as for unknowns should theoretically not be a prob</w:t>
      </w:r>
      <w:r>
        <w:rPr>
          <w:rFonts w:ascii="Times New Roman" w:hAnsi="Times New Roman"/>
          <w:sz w:val="24"/>
          <w:szCs w:val="24"/>
        </w:rPr>
        <w:t xml:space="preserve">lem. In such a case, any matrix </w:t>
      </w:r>
      <w:r w:rsidRPr="00D75B0E">
        <w:rPr>
          <w:rFonts w:ascii="Times New Roman" w:hAnsi="Times New Roman"/>
          <w:sz w:val="24"/>
          <w:szCs w:val="24"/>
        </w:rPr>
        <w:t xml:space="preserve">effect on the analyte should be the same as for the </w:t>
      </w:r>
      <w:proofErr w:type="spellStart"/>
      <w:r w:rsidRPr="00D75B0E">
        <w:rPr>
          <w:rFonts w:ascii="Times New Roman" w:hAnsi="Times New Roman"/>
          <w:sz w:val="24"/>
          <w:szCs w:val="24"/>
        </w:rPr>
        <w:t>isotopically</w:t>
      </w:r>
      <w:proofErr w:type="spellEnd"/>
      <w:r w:rsidRPr="00D75B0E">
        <w:rPr>
          <w:rFonts w:ascii="Times New Roman" w:hAnsi="Times New Roman"/>
          <w:sz w:val="24"/>
          <w:szCs w:val="24"/>
        </w:rPr>
        <w:t xml:space="preserve"> labe</w:t>
      </w:r>
      <w:r>
        <w:rPr>
          <w:rFonts w:ascii="Times New Roman" w:hAnsi="Times New Roman"/>
          <w:sz w:val="24"/>
          <w:szCs w:val="24"/>
        </w:rPr>
        <w:t xml:space="preserve">led internal standard and since </w:t>
      </w:r>
      <w:r w:rsidRPr="00D75B0E">
        <w:rPr>
          <w:rFonts w:ascii="Times New Roman" w:hAnsi="Times New Roman"/>
          <w:sz w:val="24"/>
          <w:szCs w:val="24"/>
        </w:rPr>
        <w:t>the ratio of the two is used for calibration, a potential matrix effect should c</w:t>
      </w:r>
      <w:r>
        <w:rPr>
          <w:rFonts w:ascii="Times New Roman" w:hAnsi="Times New Roman"/>
          <w:sz w:val="24"/>
          <w:szCs w:val="24"/>
        </w:rPr>
        <w:t xml:space="preserve">ancel out. </w:t>
      </w:r>
      <w:r w:rsidRPr="00D75B0E">
        <w:rPr>
          <w:rFonts w:ascii="Times New Roman" w:hAnsi="Times New Roman"/>
          <w:sz w:val="24"/>
          <w:szCs w:val="24"/>
        </w:rPr>
        <w:t>Nonetheless, the equivalency of results in an alternate matrix (e</w:t>
      </w:r>
      <w:r>
        <w:rPr>
          <w:rFonts w:ascii="Times New Roman" w:hAnsi="Times New Roman"/>
          <w:sz w:val="24"/>
          <w:szCs w:val="24"/>
        </w:rPr>
        <w:t xml:space="preserve">.g., phosphate buffered saline) </w:t>
      </w:r>
      <w:r w:rsidRPr="00D75B0E">
        <w:rPr>
          <w:rFonts w:ascii="Times New Roman" w:hAnsi="Times New Roman"/>
          <w:sz w:val="24"/>
          <w:szCs w:val="24"/>
        </w:rPr>
        <w:t>needs to be demonstrated as part of the method validation.</w:t>
      </w:r>
    </w:p>
    <w:p w:rsidR="00B64254" w:rsidRDefault="00B64254" w:rsidP="00B64254">
      <w:pPr>
        <w:autoSpaceDE w:val="0"/>
        <w:autoSpaceDN w:val="0"/>
        <w:adjustRightInd w:val="0"/>
        <w:spacing w:after="0" w:line="240" w:lineRule="auto"/>
        <w:outlineLvl w:val="0"/>
        <w:rPr>
          <w:rFonts w:ascii="Times New Roman" w:hAnsi="Times New Roman"/>
          <w:sz w:val="24"/>
          <w:szCs w:val="24"/>
        </w:rPr>
      </w:pPr>
    </w:p>
    <w:p w:rsidR="00B64254" w:rsidRDefault="00B64254" w:rsidP="00B64254">
      <w:pPr>
        <w:autoSpaceDE w:val="0"/>
        <w:autoSpaceDN w:val="0"/>
        <w:adjustRightInd w:val="0"/>
        <w:spacing w:after="0" w:line="240" w:lineRule="auto"/>
        <w:outlineLvl w:val="0"/>
        <w:rPr>
          <w:rFonts w:ascii="Times New Roman" w:hAnsi="Times New Roman"/>
          <w:sz w:val="24"/>
          <w:szCs w:val="24"/>
        </w:rPr>
      </w:pPr>
      <w:r w:rsidRPr="000A2AF0">
        <w:rPr>
          <w:rFonts w:ascii="Times New Roman" w:hAnsi="Times New Roman"/>
          <w:b/>
          <w:sz w:val="24"/>
          <w:szCs w:val="24"/>
        </w:rPr>
        <w:t>The following process should be used to demonstrate matrix equivalency</w:t>
      </w:r>
    </w:p>
    <w:p w:rsidR="00B64254" w:rsidRPr="00D75B0E" w:rsidRDefault="00B64254" w:rsidP="00B64254">
      <w:pPr>
        <w:autoSpaceDE w:val="0"/>
        <w:autoSpaceDN w:val="0"/>
        <w:adjustRightInd w:val="0"/>
        <w:spacing w:after="0" w:line="240" w:lineRule="auto"/>
        <w:outlineLvl w:val="0"/>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1) Prepare 15 samples in duplicate (total of 30 samples) </w:t>
      </w:r>
      <w:r>
        <w:rPr>
          <w:rFonts w:ascii="Times New Roman" w:hAnsi="Times New Roman"/>
          <w:sz w:val="24"/>
          <w:szCs w:val="24"/>
        </w:rPr>
        <w:t xml:space="preserve">at concentrations that span the </w:t>
      </w:r>
      <w:r w:rsidRPr="00D75B0E">
        <w:rPr>
          <w:rFonts w:ascii="Times New Roman" w:hAnsi="Times New Roman"/>
          <w:sz w:val="24"/>
          <w:szCs w:val="24"/>
        </w:rPr>
        <w:t>measurement range. Samples should be in the same matrix as used for unknowns.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Analyze the 30 samples to obtain the ratio of the native (the</w:t>
      </w:r>
      <w:r>
        <w:rPr>
          <w:rFonts w:ascii="Times New Roman" w:hAnsi="Times New Roman"/>
          <w:sz w:val="24"/>
          <w:szCs w:val="24"/>
        </w:rPr>
        <w:t xml:space="preserve"> target analyte) to its labeled </w:t>
      </w:r>
      <w:r w:rsidRPr="00D75B0E">
        <w:rPr>
          <w:rFonts w:ascii="Times New Roman" w:hAnsi="Times New Roman"/>
          <w:sz w:val="24"/>
          <w:szCs w:val="24"/>
        </w:rPr>
        <w:t>internal standard for each sample.</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3) Calculate concentration using a calibration curve that is </w:t>
      </w:r>
      <w:r>
        <w:rPr>
          <w:rFonts w:ascii="Times New Roman" w:hAnsi="Times New Roman"/>
          <w:sz w:val="24"/>
          <w:szCs w:val="24"/>
        </w:rPr>
        <w:t xml:space="preserve">constructed with calibrators in </w:t>
      </w:r>
      <w:r w:rsidRPr="00D75B0E">
        <w:rPr>
          <w:rFonts w:ascii="Times New Roman" w:hAnsi="Times New Roman"/>
          <w:sz w:val="24"/>
          <w:szCs w:val="24"/>
        </w:rPr>
        <w:t xml:space="preserve">the same matrix as used for unknowns (e.g., serum, urine, </w:t>
      </w:r>
      <w:r>
        <w:rPr>
          <w:rFonts w:ascii="Times New Roman" w:hAnsi="Times New Roman"/>
          <w:sz w:val="24"/>
          <w:szCs w:val="24"/>
        </w:rPr>
        <w:t>blood). Refer to this method as Method A.</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4) Calculate concentration using a calibration curve that is con</w:t>
      </w:r>
      <w:r>
        <w:rPr>
          <w:rFonts w:ascii="Times New Roman" w:hAnsi="Times New Roman"/>
          <w:sz w:val="24"/>
          <w:szCs w:val="24"/>
        </w:rPr>
        <w:t xml:space="preserve">structed with calibrators in an </w:t>
      </w:r>
      <w:r w:rsidRPr="00D75B0E">
        <w:rPr>
          <w:rFonts w:ascii="Times New Roman" w:hAnsi="Times New Roman"/>
          <w:sz w:val="24"/>
          <w:szCs w:val="24"/>
        </w:rPr>
        <w:t xml:space="preserve">alternate matrix (e.g., phosphate buffered saline, synthetic </w:t>
      </w:r>
      <w:r>
        <w:rPr>
          <w:rFonts w:ascii="Times New Roman" w:hAnsi="Times New Roman"/>
          <w:sz w:val="24"/>
          <w:szCs w:val="24"/>
        </w:rPr>
        <w:t xml:space="preserve">urine). Refer to this method as </w:t>
      </w:r>
      <w:r w:rsidRPr="00D75B0E">
        <w:rPr>
          <w:rFonts w:ascii="Times New Roman" w:hAnsi="Times New Roman"/>
          <w:sz w:val="24"/>
          <w:szCs w:val="24"/>
        </w:rPr>
        <w:t xml:space="preserve">Method B. </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5) Let diff = Method A </w:t>
      </w:r>
      <w:proofErr w:type="spellStart"/>
      <w:r w:rsidRPr="00D75B0E">
        <w:rPr>
          <w:rFonts w:ascii="Times New Roman" w:hAnsi="Times New Roman"/>
          <w:sz w:val="24"/>
          <w:szCs w:val="24"/>
        </w:rPr>
        <w:t>conc</w:t>
      </w:r>
      <w:proofErr w:type="spellEnd"/>
      <w:r w:rsidRPr="00D75B0E">
        <w:rPr>
          <w:rFonts w:ascii="Times New Roman" w:hAnsi="Times New Roman"/>
          <w:sz w:val="24"/>
          <w:szCs w:val="24"/>
        </w:rPr>
        <w:t xml:space="preserve"> – Method B </w:t>
      </w:r>
      <w:proofErr w:type="spellStart"/>
      <w:r w:rsidRPr="00D75B0E">
        <w:rPr>
          <w:rFonts w:ascii="Times New Roman" w:hAnsi="Times New Roman"/>
          <w:sz w:val="24"/>
          <w:szCs w:val="24"/>
        </w:rPr>
        <w:t>conc</w:t>
      </w:r>
      <w:proofErr w:type="spellEnd"/>
      <w:r w:rsidRPr="00D75B0E">
        <w:rPr>
          <w:rFonts w:ascii="Times New Roman" w:hAnsi="Times New Roman"/>
          <w:sz w:val="24"/>
          <w:szCs w:val="24"/>
        </w:rPr>
        <w:t xml:space="preserve">; let </w:t>
      </w:r>
      <w:proofErr w:type="spellStart"/>
      <w:r w:rsidRPr="00D75B0E">
        <w:rPr>
          <w:rFonts w:ascii="Times New Roman" w:hAnsi="Times New Roman"/>
          <w:sz w:val="24"/>
          <w:szCs w:val="24"/>
        </w:rPr>
        <w:t>conc</w:t>
      </w:r>
      <w:proofErr w:type="spellEnd"/>
      <w:r w:rsidRPr="00D75B0E">
        <w:rPr>
          <w:rFonts w:ascii="Times New Roman" w:hAnsi="Times New Roman"/>
          <w:sz w:val="24"/>
          <w:szCs w:val="24"/>
        </w:rPr>
        <w:t xml:space="preserve"> = ([Method A </w:t>
      </w:r>
      <w:proofErr w:type="spellStart"/>
      <w:r w:rsidRPr="00D75B0E">
        <w:rPr>
          <w:rFonts w:ascii="Times New Roman" w:hAnsi="Times New Roman"/>
          <w:sz w:val="24"/>
          <w:szCs w:val="24"/>
        </w:rPr>
        <w:t>conc</w:t>
      </w:r>
      <w:proofErr w:type="spellEnd"/>
      <w:r w:rsidRPr="00D75B0E">
        <w:rPr>
          <w:rFonts w:ascii="Times New Roman" w:hAnsi="Times New Roman"/>
          <w:sz w:val="24"/>
          <w:szCs w:val="24"/>
        </w:rPr>
        <w:t xml:space="preserve"> + Method B</w:t>
      </w:r>
      <w:r>
        <w:rPr>
          <w:rFonts w:ascii="Times New Roman" w:hAnsi="Times New Roman"/>
          <w:sz w:val="24"/>
          <w:szCs w:val="24"/>
        </w:rPr>
        <w:t xml:space="preserve"> </w:t>
      </w:r>
      <w:proofErr w:type="spellStart"/>
      <w:r w:rsidRPr="00D75B0E">
        <w:rPr>
          <w:rFonts w:ascii="Times New Roman" w:hAnsi="Times New Roman"/>
          <w:sz w:val="24"/>
          <w:szCs w:val="24"/>
        </w:rPr>
        <w:t>conc</w:t>
      </w:r>
      <w:proofErr w:type="spellEnd"/>
      <w:r w:rsidRPr="00D75B0E">
        <w:rPr>
          <w:rFonts w:ascii="Times New Roman" w:hAnsi="Times New Roman"/>
          <w:sz w:val="24"/>
          <w:szCs w:val="24"/>
        </w:rPr>
        <w:t>]/2)</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6) Plot diff vs. conc. This plot has several names: a bias p</w:t>
      </w:r>
      <w:r>
        <w:rPr>
          <w:rFonts w:ascii="Times New Roman" w:hAnsi="Times New Roman"/>
          <w:sz w:val="24"/>
          <w:szCs w:val="24"/>
        </w:rPr>
        <w:t>lot, difference plot, or Bland-</w:t>
      </w:r>
      <w:r w:rsidRPr="00D75B0E">
        <w:rPr>
          <w:rFonts w:ascii="Times New Roman" w:hAnsi="Times New Roman"/>
          <w:sz w:val="24"/>
          <w:szCs w:val="24"/>
        </w:rPr>
        <w:t>Altman plot.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7) Visually examine the plot for nonlinearity. Consult s</w:t>
      </w:r>
      <w:r>
        <w:rPr>
          <w:rFonts w:ascii="Times New Roman" w:hAnsi="Times New Roman"/>
          <w:sz w:val="24"/>
          <w:szCs w:val="24"/>
        </w:rPr>
        <w:t xml:space="preserve">tatistician if the plot appears </w:t>
      </w:r>
      <w:r w:rsidRPr="00D75B0E">
        <w:rPr>
          <w:rFonts w:ascii="Times New Roman" w:hAnsi="Times New Roman"/>
          <w:sz w:val="24"/>
          <w:szCs w:val="24"/>
        </w:rPr>
        <w:t>nonlinear.</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8) Regress diff vs. conc. The slope should be near zero. Examine the p-value for the slope.</w:t>
      </w:r>
    </w:p>
    <w:p w:rsidR="00B64254" w:rsidRDefault="00B64254" w:rsidP="00B64254">
      <w:pPr>
        <w:autoSpaceDE w:val="0"/>
        <w:autoSpaceDN w:val="0"/>
        <w:adjustRightInd w:val="0"/>
        <w:spacing w:after="0" w:line="240" w:lineRule="auto"/>
        <w:ind w:left="720"/>
        <w:jc w:val="both"/>
        <w:rPr>
          <w:rFonts w:ascii="Times New Roman" w:hAnsi="Times New Roman"/>
          <w:sz w:val="24"/>
          <w:szCs w:val="24"/>
        </w:rPr>
      </w:pPr>
    </w:p>
    <w:p w:rsidR="00B64254" w:rsidRDefault="00B64254" w:rsidP="00B64254">
      <w:pPr>
        <w:autoSpaceDE w:val="0"/>
        <w:autoSpaceDN w:val="0"/>
        <w:adjustRightInd w:val="0"/>
        <w:spacing w:after="0" w:line="240" w:lineRule="auto"/>
        <w:ind w:left="720"/>
        <w:jc w:val="both"/>
        <w:rPr>
          <w:rFonts w:ascii="Times New Roman" w:hAnsi="Times New Roman"/>
          <w:sz w:val="24"/>
          <w:szCs w:val="24"/>
        </w:rPr>
      </w:pPr>
      <w:r w:rsidRPr="00D75B0E">
        <w:rPr>
          <w:rFonts w:ascii="Times New Roman" w:hAnsi="Times New Roman"/>
          <w:sz w:val="24"/>
          <w:szCs w:val="24"/>
        </w:rPr>
        <w:t>a. If the p-value for the slope is &gt; 0.05, then the difference in slope between the two</w:t>
      </w:r>
      <w:r>
        <w:rPr>
          <w:rFonts w:ascii="Times New Roman" w:hAnsi="Times New Roman"/>
          <w:sz w:val="24"/>
          <w:szCs w:val="24"/>
        </w:rPr>
        <w:t xml:space="preserve"> </w:t>
      </w:r>
      <w:r w:rsidRPr="00D75B0E">
        <w:rPr>
          <w:rFonts w:ascii="Times New Roman" w:hAnsi="Times New Roman"/>
          <w:sz w:val="24"/>
          <w:szCs w:val="24"/>
        </w:rPr>
        <w:t>calibrations curves is not statistically different and the alternate matrix can be</w:t>
      </w:r>
      <w:r>
        <w:rPr>
          <w:rFonts w:ascii="Times New Roman" w:hAnsi="Times New Roman"/>
          <w:sz w:val="24"/>
          <w:szCs w:val="24"/>
        </w:rPr>
        <w:t xml:space="preserve"> </w:t>
      </w:r>
      <w:r w:rsidRPr="00D75B0E">
        <w:rPr>
          <w:rFonts w:ascii="Times New Roman" w:hAnsi="Times New Roman"/>
          <w:sz w:val="24"/>
          <w:szCs w:val="24"/>
        </w:rPr>
        <w:t>used.</w:t>
      </w:r>
    </w:p>
    <w:p w:rsidR="00B64254" w:rsidRPr="00D75B0E" w:rsidRDefault="00B64254" w:rsidP="00B64254">
      <w:pPr>
        <w:autoSpaceDE w:val="0"/>
        <w:autoSpaceDN w:val="0"/>
        <w:adjustRightInd w:val="0"/>
        <w:spacing w:after="0" w:line="240" w:lineRule="auto"/>
        <w:ind w:left="720"/>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 xml:space="preserve">b. If the p-value is &lt; 0.05, then </w:t>
      </w:r>
      <w:r>
        <w:rPr>
          <w:rFonts w:ascii="Times New Roman" w:hAnsi="Times New Roman"/>
          <w:sz w:val="24"/>
          <w:szCs w:val="24"/>
        </w:rPr>
        <w:t>the laboratory PI</w:t>
      </w:r>
      <w:r w:rsidRPr="00D75B0E">
        <w:rPr>
          <w:rFonts w:ascii="Times New Roman" w:hAnsi="Times New Roman"/>
          <w:sz w:val="24"/>
          <w:szCs w:val="24"/>
        </w:rPr>
        <w:t xml:space="preserve"> must confirm that the absolute</w:t>
      </w:r>
    </w:p>
    <w:p w:rsidR="00B64254" w:rsidRPr="00D75B0E" w:rsidRDefault="00B64254" w:rsidP="00B64254">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magnitude of the slope difference is not consequential in terms of the intended use</w:t>
      </w:r>
    </w:p>
    <w:p w:rsidR="00B64254" w:rsidRDefault="00B64254" w:rsidP="00B64254">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of the analytical results. Otherwise, the alte</w:t>
      </w:r>
      <w:r>
        <w:rPr>
          <w:rFonts w:ascii="Times New Roman" w:hAnsi="Times New Roman"/>
          <w:sz w:val="24"/>
          <w:szCs w:val="24"/>
        </w:rPr>
        <w:t>rnate matrix cannot be used for calibrators.</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0A2AF0"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b/>
          <w:bCs/>
          <w:sz w:val="24"/>
          <w:szCs w:val="24"/>
        </w:rPr>
        <w:t>Note: the 30 samples need be run on the instrument only once and data</w:t>
      </w:r>
      <w:r>
        <w:rPr>
          <w:rFonts w:ascii="Times New Roman" w:hAnsi="Times New Roman"/>
          <w:b/>
          <w:bCs/>
          <w:sz w:val="24"/>
          <w:szCs w:val="24"/>
        </w:rPr>
        <w:t xml:space="preserve"> </w:t>
      </w:r>
      <w:r w:rsidRPr="00D75B0E">
        <w:rPr>
          <w:rFonts w:ascii="Times New Roman" w:hAnsi="Times New Roman"/>
          <w:b/>
          <w:bCs/>
          <w:sz w:val="24"/>
          <w:szCs w:val="24"/>
        </w:rPr>
        <w:t>processing calculations use the matrix based calibration curve for Method A and the</w:t>
      </w:r>
      <w:r>
        <w:rPr>
          <w:rFonts w:ascii="Times New Roman" w:hAnsi="Times New Roman"/>
          <w:sz w:val="24"/>
          <w:szCs w:val="24"/>
        </w:rPr>
        <w:t xml:space="preserve"> </w:t>
      </w:r>
      <w:r w:rsidRPr="00D75B0E">
        <w:rPr>
          <w:rFonts w:ascii="Times New Roman" w:hAnsi="Times New Roman"/>
          <w:b/>
          <w:bCs/>
          <w:sz w:val="24"/>
          <w:szCs w:val="24"/>
        </w:rPr>
        <w:t>alternate matrix calibration curve for Method B.</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Comparison of Two Analytical Methods Measuring the Same A</w:t>
      </w:r>
      <w:r w:rsidRPr="00D75B0E">
        <w:rPr>
          <w:rFonts w:ascii="Times New Roman" w:hAnsi="Times New Roman"/>
          <w:b/>
          <w:bCs/>
          <w:sz w:val="24"/>
          <w:szCs w:val="24"/>
        </w:rPr>
        <w:t>nalytes</w:t>
      </w:r>
    </w:p>
    <w:p w:rsidR="00B64254" w:rsidRPr="00280B00"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As new measurement techniques become available and </w:t>
      </w:r>
      <w:r>
        <w:rPr>
          <w:rFonts w:ascii="Times New Roman" w:hAnsi="Times New Roman"/>
          <w:sz w:val="24"/>
          <w:szCs w:val="24"/>
        </w:rPr>
        <w:t xml:space="preserve">improvements on current methods </w:t>
      </w:r>
      <w:r w:rsidRPr="00D75B0E">
        <w:rPr>
          <w:rFonts w:ascii="Times New Roman" w:hAnsi="Times New Roman"/>
          <w:sz w:val="24"/>
          <w:szCs w:val="24"/>
        </w:rPr>
        <w:t>advance, new methods need to be compared with old ones to as</w:t>
      </w:r>
      <w:r>
        <w:rPr>
          <w:rFonts w:ascii="Times New Roman" w:hAnsi="Times New Roman"/>
          <w:sz w:val="24"/>
          <w:szCs w:val="24"/>
        </w:rPr>
        <w:t xml:space="preserve">sess comparability of accuracy, </w:t>
      </w:r>
      <w:r w:rsidRPr="00D75B0E">
        <w:rPr>
          <w:rFonts w:ascii="Times New Roman" w:hAnsi="Times New Roman"/>
          <w:sz w:val="24"/>
          <w:szCs w:val="24"/>
        </w:rPr>
        <w:t>precision, and sensitivity. Comparison of two analytical methods measuring the same analyt</w:t>
      </w:r>
      <w:r>
        <w:rPr>
          <w:rFonts w:ascii="Times New Roman" w:hAnsi="Times New Roman"/>
          <w:sz w:val="24"/>
          <w:szCs w:val="24"/>
        </w:rPr>
        <w:t xml:space="preserve">es </w:t>
      </w:r>
      <w:r w:rsidRPr="00D75B0E">
        <w:rPr>
          <w:rFonts w:ascii="Times New Roman" w:hAnsi="Times New Roman"/>
          <w:sz w:val="24"/>
          <w:szCs w:val="24"/>
        </w:rPr>
        <w:t>requires statistical evaluation of accuracy and precision (includin</w:t>
      </w:r>
      <w:r>
        <w:rPr>
          <w:rFonts w:ascii="Times New Roman" w:hAnsi="Times New Roman"/>
          <w:sz w:val="24"/>
          <w:szCs w:val="24"/>
        </w:rPr>
        <w:t xml:space="preserve">g limit of detection) primarily </w:t>
      </w:r>
      <w:r w:rsidRPr="00D75B0E">
        <w:rPr>
          <w:rFonts w:ascii="Times New Roman" w:hAnsi="Times New Roman"/>
          <w:sz w:val="24"/>
          <w:szCs w:val="24"/>
        </w:rPr>
        <w:t>based on analysis of split samples and quality control samples. Th</w:t>
      </w:r>
      <w:r>
        <w:rPr>
          <w:rFonts w:ascii="Times New Roman" w:hAnsi="Times New Roman"/>
          <w:sz w:val="24"/>
          <w:szCs w:val="24"/>
        </w:rPr>
        <w:t xml:space="preserve">e specificity of a method is to </w:t>
      </w:r>
      <w:r w:rsidRPr="00D75B0E">
        <w:rPr>
          <w:rFonts w:ascii="Times New Roman" w:hAnsi="Times New Roman"/>
          <w:sz w:val="24"/>
          <w:szCs w:val="24"/>
        </w:rPr>
        <w:t>be separately verified for each method and is not directly addre</w:t>
      </w:r>
      <w:r>
        <w:rPr>
          <w:rFonts w:ascii="Times New Roman" w:hAnsi="Times New Roman"/>
          <w:sz w:val="24"/>
          <w:szCs w:val="24"/>
        </w:rPr>
        <w:t xml:space="preserve">ssed under these guidelines for </w:t>
      </w:r>
      <w:r w:rsidRPr="00D75B0E">
        <w:rPr>
          <w:rFonts w:ascii="Times New Roman" w:hAnsi="Times New Roman"/>
          <w:sz w:val="24"/>
          <w:szCs w:val="24"/>
        </w:rPr>
        <w:t>method comparison. Bias or concentration-associated trends ar</w:t>
      </w:r>
      <w:r>
        <w:rPr>
          <w:rFonts w:ascii="Times New Roman" w:hAnsi="Times New Roman"/>
          <w:sz w:val="24"/>
          <w:szCs w:val="24"/>
        </w:rPr>
        <w:t xml:space="preserve">e best detected by split sample </w:t>
      </w:r>
      <w:r w:rsidRPr="00D75B0E">
        <w:rPr>
          <w:rFonts w:ascii="Times New Roman" w:hAnsi="Times New Roman"/>
          <w:sz w:val="24"/>
          <w:szCs w:val="24"/>
        </w:rPr>
        <w:t xml:space="preserve">analysis using correlation and difference plots with regression </w:t>
      </w:r>
      <w:r>
        <w:rPr>
          <w:rFonts w:ascii="Times New Roman" w:hAnsi="Times New Roman"/>
          <w:sz w:val="24"/>
          <w:szCs w:val="24"/>
        </w:rPr>
        <w:t xml:space="preserve">analysis. Split sample analysis </w:t>
      </w:r>
      <w:r w:rsidRPr="00D75B0E">
        <w:rPr>
          <w:rFonts w:ascii="Times New Roman" w:hAnsi="Times New Roman"/>
          <w:sz w:val="24"/>
          <w:szCs w:val="24"/>
        </w:rPr>
        <w:t xml:space="preserve">provides some information on precision. Precision is primarily </w:t>
      </w:r>
      <w:r>
        <w:rPr>
          <w:rFonts w:ascii="Times New Roman" w:hAnsi="Times New Roman"/>
          <w:sz w:val="24"/>
          <w:szCs w:val="24"/>
        </w:rPr>
        <w:t xml:space="preserve">estimated by repeat analysis of </w:t>
      </w:r>
      <w:r w:rsidRPr="00D75B0E">
        <w:rPr>
          <w:rFonts w:ascii="Times New Roman" w:hAnsi="Times New Roman"/>
          <w:sz w:val="24"/>
          <w:szCs w:val="24"/>
        </w:rPr>
        <w:t>samples from at least two QC pools that span the measurement range.</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734725"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734725">
        <w:rPr>
          <w:rFonts w:ascii="Times New Roman" w:hAnsi="Times New Roman"/>
          <w:b/>
          <w:bCs/>
          <w:sz w:val="24"/>
          <w:szCs w:val="24"/>
          <w:u w:val="single"/>
        </w:rPr>
        <w:t>Split sample analysis</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Split sample analysis means that one aliquot is drawn from the</w:t>
      </w:r>
      <w:r>
        <w:rPr>
          <w:rFonts w:ascii="Times New Roman" w:hAnsi="Times New Roman"/>
          <w:sz w:val="24"/>
          <w:szCs w:val="24"/>
        </w:rPr>
        <w:t xml:space="preserve"> sample to begin method A and a </w:t>
      </w:r>
      <w:r w:rsidRPr="00D75B0E">
        <w:rPr>
          <w:rFonts w:ascii="Times New Roman" w:hAnsi="Times New Roman"/>
          <w:sz w:val="24"/>
          <w:szCs w:val="24"/>
        </w:rPr>
        <w:t xml:space="preserve">separate aliquot is drawn from the same sample to begin method </w:t>
      </w:r>
      <w:r>
        <w:rPr>
          <w:rFonts w:ascii="Times New Roman" w:hAnsi="Times New Roman"/>
          <w:sz w:val="24"/>
          <w:szCs w:val="24"/>
        </w:rPr>
        <w:t xml:space="preserve">B. In this discussion, method B </w:t>
      </w:r>
      <w:r w:rsidRPr="00D75B0E">
        <w:rPr>
          <w:rFonts w:ascii="Times New Roman" w:hAnsi="Times New Roman"/>
          <w:sz w:val="24"/>
          <w:szCs w:val="24"/>
        </w:rPr>
        <w:t>is considered</w:t>
      </w:r>
      <w:r>
        <w:rPr>
          <w:rFonts w:ascii="Times New Roman" w:hAnsi="Times New Roman"/>
          <w:sz w:val="24"/>
          <w:szCs w:val="24"/>
        </w:rPr>
        <w:t xml:space="preserve"> the new or most recent method. </w:t>
      </w:r>
      <w:r w:rsidRPr="00D75B0E">
        <w:rPr>
          <w:rFonts w:ascii="Times New Roman" w:hAnsi="Times New Roman"/>
          <w:sz w:val="24"/>
          <w:szCs w:val="24"/>
        </w:rPr>
        <w:t xml:space="preserve">The most important process to compare method A with method B </w:t>
      </w:r>
      <w:r>
        <w:rPr>
          <w:rFonts w:ascii="Times New Roman" w:hAnsi="Times New Roman"/>
          <w:sz w:val="24"/>
          <w:szCs w:val="24"/>
        </w:rPr>
        <w:t xml:space="preserve">is to perform split analyses on </w:t>
      </w:r>
      <w:r w:rsidRPr="00D75B0E">
        <w:rPr>
          <w:rFonts w:ascii="Times New Roman" w:hAnsi="Times New Roman"/>
          <w:sz w:val="24"/>
          <w:szCs w:val="24"/>
        </w:rPr>
        <w:t>at least 30 specimens which span the range of levels of interest in</w:t>
      </w:r>
      <w:r>
        <w:rPr>
          <w:rFonts w:ascii="Times New Roman" w:hAnsi="Times New Roman"/>
          <w:sz w:val="24"/>
          <w:szCs w:val="24"/>
        </w:rPr>
        <w:t xml:space="preserve"> the application of the method. </w:t>
      </w:r>
      <w:r w:rsidRPr="00D75B0E">
        <w:rPr>
          <w:rFonts w:ascii="Times New Roman" w:hAnsi="Times New Roman"/>
          <w:sz w:val="24"/>
          <w:szCs w:val="24"/>
        </w:rPr>
        <w:t>Fifty samples is preferable to 30 and 100 – 300 samples sho</w:t>
      </w:r>
      <w:r>
        <w:rPr>
          <w:rFonts w:ascii="Times New Roman" w:hAnsi="Times New Roman"/>
          <w:sz w:val="24"/>
          <w:szCs w:val="24"/>
        </w:rPr>
        <w:t xml:space="preserve">uld be used if relatively small </w:t>
      </w:r>
      <w:r w:rsidRPr="00D75B0E">
        <w:rPr>
          <w:rFonts w:ascii="Times New Roman" w:hAnsi="Times New Roman"/>
          <w:sz w:val="24"/>
          <w:szCs w:val="24"/>
        </w:rPr>
        <w:t>changes in the method accuracy or precision have potentially high public health impact. Usi</w:t>
      </w:r>
      <w:r>
        <w:rPr>
          <w:rFonts w:ascii="Times New Roman" w:hAnsi="Times New Roman"/>
          <w:sz w:val="24"/>
          <w:szCs w:val="24"/>
        </w:rPr>
        <w:t xml:space="preserve">ng </w:t>
      </w:r>
      <w:r w:rsidRPr="00D75B0E">
        <w:rPr>
          <w:rFonts w:ascii="Times New Roman" w:hAnsi="Times New Roman"/>
          <w:sz w:val="24"/>
          <w:szCs w:val="24"/>
        </w:rPr>
        <w:t xml:space="preserve">more than 300 samples affords little additional benefit. Results </w:t>
      </w:r>
      <w:r>
        <w:rPr>
          <w:rFonts w:ascii="Times New Roman" w:hAnsi="Times New Roman"/>
          <w:sz w:val="24"/>
          <w:szCs w:val="24"/>
        </w:rPr>
        <w:t xml:space="preserve">of the split analyses should be </w:t>
      </w:r>
      <w:r w:rsidRPr="00D75B0E">
        <w:rPr>
          <w:rFonts w:ascii="Times New Roman" w:hAnsi="Times New Roman"/>
          <w:sz w:val="24"/>
          <w:szCs w:val="24"/>
        </w:rPr>
        <w:t>statistically analyzed using a correlation plot with regression anal</w:t>
      </w:r>
      <w:r>
        <w:rPr>
          <w:rFonts w:ascii="Times New Roman" w:hAnsi="Times New Roman"/>
          <w:sz w:val="24"/>
          <w:szCs w:val="24"/>
        </w:rPr>
        <w:t xml:space="preserve">ysis and a difference plot with regression analysis. </w:t>
      </w:r>
      <w:r w:rsidRPr="00D75B0E">
        <w:rPr>
          <w:rFonts w:ascii="Times New Roman" w:hAnsi="Times New Roman"/>
          <w:sz w:val="24"/>
          <w:szCs w:val="24"/>
        </w:rPr>
        <w:t>If the range of levels covered by the method is very larg</w:t>
      </w:r>
      <w:r>
        <w:rPr>
          <w:rFonts w:ascii="Times New Roman" w:hAnsi="Times New Roman"/>
          <w:sz w:val="24"/>
          <w:szCs w:val="24"/>
        </w:rPr>
        <w:t xml:space="preserve">e (e.g., two or three orders of </w:t>
      </w:r>
      <w:r w:rsidRPr="00D75B0E">
        <w:rPr>
          <w:rFonts w:ascii="Times New Roman" w:hAnsi="Times New Roman"/>
          <w:sz w:val="24"/>
          <w:szCs w:val="24"/>
        </w:rPr>
        <w:t>magnitude), or the measurement error of the method increases with increasing concentration, a</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transformation of the data should be considered before c</w:t>
      </w:r>
      <w:r>
        <w:rPr>
          <w:rFonts w:ascii="Times New Roman" w:hAnsi="Times New Roman"/>
          <w:sz w:val="24"/>
          <w:szCs w:val="24"/>
        </w:rPr>
        <w:t xml:space="preserve">arrying out the correlation and </w:t>
      </w:r>
      <w:r w:rsidRPr="00D75B0E">
        <w:rPr>
          <w:rFonts w:ascii="Times New Roman" w:hAnsi="Times New Roman"/>
          <w:sz w:val="24"/>
          <w:szCs w:val="24"/>
        </w:rPr>
        <w:t>difference plot analyse</w:t>
      </w:r>
      <w:r>
        <w:rPr>
          <w:rFonts w:ascii="Times New Roman" w:hAnsi="Times New Roman"/>
          <w:sz w:val="24"/>
          <w:szCs w:val="24"/>
        </w:rPr>
        <w:t xml:space="preserve">s. Consult a </w:t>
      </w:r>
      <w:r w:rsidRPr="00D75B0E">
        <w:rPr>
          <w:rFonts w:ascii="Times New Roman" w:hAnsi="Times New Roman"/>
          <w:sz w:val="24"/>
          <w:szCs w:val="24"/>
        </w:rPr>
        <w:t>statistician unless</w:t>
      </w:r>
      <w:r>
        <w:rPr>
          <w:rFonts w:ascii="Times New Roman" w:hAnsi="Times New Roman"/>
          <w:sz w:val="24"/>
          <w:szCs w:val="24"/>
        </w:rPr>
        <w:t xml:space="preserve"> you are highly confident using </w:t>
      </w:r>
      <w:r w:rsidRPr="00D75B0E">
        <w:rPr>
          <w:rFonts w:ascii="Times New Roman" w:hAnsi="Times New Roman"/>
          <w:sz w:val="24"/>
          <w:szCs w:val="24"/>
        </w:rPr>
        <w:t>transformations. Log transformation is a commonly useful transformation.</w:t>
      </w:r>
    </w:p>
    <w:p w:rsidR="00B64254" w:rsidRDefault="00B64254" w:rsidP="00B64254">
      <w:pPr>
        <w:autoSpaceDE w:val="0"/>
        <w:autoSpaceDN w:val="0"/>
        <w:adjustRightInd w:val="0"/>
        <w:spacing w:after="0" w:line="240" w:lineRule="auto"/>
        <w:jc w:val="both"/>
        <w:rPr>
          <w:rFonts w:ascii="Times New Roman" w:hAnsi="Times New Roman"/>
          <w:sz w:val="24"/>
          <w:szCs w:val="24"/>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r w:rsidRPr="00254D42">
        <w:rPr>
          <w:rFonts w:ascii="Times New Roman" w:hAnsi="Times New Roman"/>
          <w:b/>
          <w:bCs/>
          <w:sz w:val="24"/>
          <w:szCs w:val="24"/>
          <w:u w:val="single"/>
        </w:rPr>
        <w:t>Correlation plot and regression analysis</w:t>
      </w:r>
    </w:p>
    <w:p w:rsidR="00B64254" w:rsidRPr="00853CAD"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a) Construct a plot with method B on the y-axis and method A on the x-axis.</w:t>
      </w:r>
    </w:p>
    <w:p w:rsidR="00B64254" w:rsidRPr="00853CAD"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Examine for outliers and investigate outlier results. Exclud</w:t>
      </w:r>
      <w:r>
        <w:rPr>
          <w:rFonts w:ascii="Times New Roman" w:hAnsi="Times New Roman"/>
          <w:sz w:val="24"/>
          <w:szCs w:val="24"/>
        </w:rPr>
        <w:t xml:space="preserve">e true outliers. If the overall </w:t>
      </w:r>
      <w:r w:rsidRPr="00D75B0E">
        <w:rPr>
          <w:rFonts w:ascii="Times New Roman" w:hAnsi="Times New Roman"/>
          <w:sz w:val="24"/>
          <w:szCs w:val="24"/>
        </w:rPr>
        <w:t>sample size dips below 30 from outlier exclusion, repeat analysis of these outlier samples</w:t>
      </w:r>
      <w:r>
        <w:rPr>
          <w:rFonts w:ascii="Times New Roman" w:hAnsi="Times New Roman"/>
          <w:sz w:val="24"/>
          <w:szCs w:val="24"/>
        </w:rPr>
        <w:t xml:space="preserve"> </w:t>
      </w:r>
      <w:r w:rsidRPr="00D75B0E">
        <w:rPr>
          <w:rFonts w:ascii="Times New Roman" w:hAnsi="Times New Roman"/>
          <w:sz w:val="24"/>
          <w:szCs w:val="24"/>
        </w:rPr>
        <w:t>to raise sample size to at least 30.</w:t>
      </w:r>
    </w:p>
    <w:p w:rsidR="00B64254" w:rsidRPr="00853CAD"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Visually examine the plot for linearity and calculate</w:t>
      </w:r>
      <w:r>
        <w:rPr>
          <w:rFonts w:ascii="Times New Roman" w:hAnsi="Times New Roman"/>
          <w:sz w:val="24"/>
          <w:szCs w:val="24"/>
        </w:rPr>
        <w:t xml:space="preserve"> R2 from ordinary least squares </w:t>
      </w:r>
      <w:r w:rsidRPr="00D75B0E">
        <w:rPr>
          <w:rFonts w:ascii="Times New Roman" w:hAnsi="Times New Roman"/>
          <w:sz w:val="24"/>
          <w:szCs w:val="24"/>
        </w:rPr>
        <w:t xml:space="preserve">regression or error-in-both-variables regression (e.g., </w:t>
      </w:r>
      <w:r>
        <w:rPr>
          <w:rFonts w:ascii="Times New Roman" w:hAnsi="Times New Roman"/>
          <w:sz w:val="24"/>
          <w:szCs w:val="24"/>
        </w:rPr>
        <w:t xml:space="preserve">Deming regression). If weighted </w:t>
      </w:r>
      <w:r w:rsidRPr="00D75B0E">
        <w:rPr>
          <w:rFonts w:ascii="Times New Roman" w:hAnsi="Times New Roman"/>
          <w:sz w:val="24"/>
          <w:szCs w:val="24"/>
        </w:rPr>
        <w:t>least squares regression is used with the measurement calib</w:t>
      </w:r>
      <w:r>
        <w:rPr>
          <w:rFonts w:ascii="Times New Roman" w:hAnsi="Times New Roman"/>
          <w:sz w:val="24"/>
          <w:szCs w:val="24"/>
        </w:rPr>
        <w:t xml:space="preserve">ration curve to help adjust for </w:t>
      </w:r>
      <w:r w:rsidRPr="00D75B0E">
        <w:rPr>
          <w:rFonts w:ascii="Times New Roman" w:hAnsi="Times New Roman"/>
          <w:sz w:val="24"/>
          <w:szCs w:val="24"/>
        </w:rPr>
        <w:t>variance changes across concentration, it may be used in</w:t>
      </w:r>
      <w:r>
        <w:rPr>
          <w:rFonts w:ascii="Times New Roman" w:hAnsi="Times New Roman"/>
          <w:sz w:val="24"/>
          <w:szCs w:val="24"/>
        </w:rPr>
        <w:t xml:space="preserve"> the regression analysis of the </w:t>
      </w:r>
      <w:r w:rsidRPr="00D75B0E">
        <w:rPr>
          <w:rFonts w:ascii="Times New Roman" w:hAnsi="Times New Roman"/>
          <w:sz w:val="24"/>
          <w:szCs w:val="24"/>
        </w:rPr>
        <w:t>correlation plot and the difference plot.</w:t>
      </w:r>
    </w:p>
    <w:p w:rsidR="00B64254" w:rsidRPr="00853CAD"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There are no absolute criteria for an acceptable R2 value; but, in general, values &lt; 0.9</w:t>
      </w:r>
      <w:r>
        <w:rPr>
          <w:rFonts w:ascii="Times New Roman" w:hAnsi="Times New Roman"/>
          <w:sz w:val="24"/>
          <w:szCs w:val="24"/>
        </w:rPr>
        <w:t xml:space="preserve">5 </w:t>
      </w:r>
      <w:r w:rsidRPr="00D75B0E">
        <w:rPr>
          <w:rFonts w:ascii="Times New Roman" w:hAnsi="Times New Roman"/>
          <w:sz w:val="24"/>
          <w:szCs w:val="24"/>
        </w:rPr>
        <w:t>should be examined for potential differences between m</w:t>
      </w:r>
      <w:r>
        <w:rPr>
          <w:rFonts w:ascii="Times New Roman" w:hAnsi="Times New Roman"/>
          <w:sz w:val="24"/>
          <w:szCs w:val="24"/>
        </w:rPr>
        <w:t xml:space="preserve">ethods. If R2 is &lt; 0.95, then a </w:t>
      </w:r>
      <w:r w:rsidRPr="00D75B0E">
        <w:rPr>
          <w:rFonts w:ascii="Times New Roman" w:hAnsi="Times New Roman"/>
          <w:sz w:val="24"/>
          <w:szCs w:val="24"/>
        </w:rPr>
        <w:t>statistician should be consulted to test for influential obs</w:t>
      </w:r>
      <w:r>
        <w:rPr>
          <w:rFonts w:ascii="Times New Roman" w:hAnsi="Times New Roman"/>
          <w:sz w:val="24"/>
          <w:szCs w:val="24"/>
        </w:rPr>
        <w:t xml:space="preserve">ervations and whether unusually </w:t>
      </w:r>
      <w:r w:rsidRPr="00D75B0E">
        <w:rPr>
          <w:rFonts w:ascii="Times New Roman" w:hAnsi="Times New Roman"/>
          <w:sz w:val="24"/>
          <w:szCs w:val="24"/>
        </w:rPr>
        <w:t>high random error in method A and/or method B is influencing the correlation</w:t>
      </w:r>
      <w:r>
        <w:rPr>
          <w:rFonts w:ascii="Times New Roman" w:hAnsi="Times New Roman"/>
          <w:sz w:val="24"/>
          <w:szCs w:val="24"/>
        </w:rPr>
        <w:t xml:space="preserve">. R2 </w:t>
      </w:r>
      <w:r w:rsidRPr="00D75B0E">
        <w:rPr>
          <w:rFonts w:ascii="Times New Roman" w:hAnsi="Times New Roman"/>
          <w:sz w:val="24"/>
          <w:szCs w:val="24"/>
        </w:rPr>
        <w:t>estimates between 0.90 and 0.95 re</w:t>
      </w:r>
      <w:r>
        <w:rPr>
          <w:rFonts w:ascii="Times New Roman" w:hAnsi="Times New Roman"/>
          <w:sz w:val="24"/>
          <w:szCs w:val="24"/>
        </w:rPr>
        <w:t xml:space="preserve">quire review by the laboratory supervisor to confirm that the </w:t>
      </w:r>
      <w:r w:rsidRPr="00D75B0E">
        <w:rPr>
          <w:rFonts w:ascii="Times New Roman" w:hAnsi="Times New Roman"/>
          <w:sz w:val="24"/>
          <w:szCs w:val="24"/>
        </w:rPr>
        <w:t>method agreement is acceptable for intended use. R2 estim</w:t>
      </w:r>
      <w:r>
        <w:rPr>
          <w:rFonts w:ascii="Times New Roman" w:hAnsi="Times New Roman"/>
          <w:sz w:val="24"/>
          <w:szCs w:val="24"/>
        </w:rPr>
        <w:t>ates &lt; 0.90 require approval by the laboratory director.</w:t>
      </w:r>
    </w:p>
    <w:p w:rsidR="00B64254" w:rsidRPr="00853CAD"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e) Verify that the slope is not statistically different from 1 (i.e.,</w:t>
      </w:r>
      <w:r>
        <w:rPr>
          <w:rFonts w:ascii="Times New Roman" w:hAnsi="Times New Roman"/>
          <w:sz w:val="24"/>
          <w:szCs w:val="24"/>
        </w:rPr>
        <w:t xml:space="preserve"> p ≥ 0.05) and the intercept is </w:t>
      </w:r>
      <w:r w:rsidRPr="00D75B0E">
        <w:rPr>
          <w:rFonts w:ascii="Times New Roman" w:hAnsi="Times New Roman"/>
          <w:sz w:val="24"/>
          <w:szCs w:val="24"/>
        </w:rPr>
        <w:t>not statistically different from 0 (i.e., p ≥ 0.05). (If the</w:t>
      </w:r>
      <w:r>
        <w:rPr>
          <w:rFonts w:ascii="Times New Roman" w:hAnsi="Times New Roman"/>
          <w:sz w:val="24"/>
          <w:szCs w:val="24"/>
        </w:rPr>
        <w:t xml:space="preserve"> 95% confidence interval of the </w:t>
      </w:r>
      <w:r w:rsidRPr="00D75B0E">
        <w:rPr>
          <w:rFonts w:ascii="Times New Roman" w:hAnsi="Times New Roman"/>
          <w:sz w:val="24"/>
          <w:szCs w:val="24"/>
        </w:rPr>
        <w:t xml:space="preserve">slope includes 1 then it is not statistically different from 1 </w:t>
      </w:r>
      <w:r>
        <w:rPr>
          <w:rFonts w:ascii="Times New Roman" w:hAnsi="Times New Roman"/>
          <w:sz w:val="24"/>
          <w:szCs w:val="24"/>
        </w:rPr>
        <w:t xml:space="preserve">(i.e., p ≥ 0.05)). If either of </w:t>
      </w:r>
      <w:r w:rsidRPr="00D75B0E">
        <w:rPr>
          <w:rFonts w:ascii="Times New Roman" w:hAnsi="Times New Roman"/>
          <w:sz w:val="24"/>
          <w:szCs w:val="24"/>
        </w:rPr>
        <w:t>these criteria are n</w:t>
      </w:r>
      <w:r>
        <w:rPr>
          <w:rFonts w:ascii="Times New Roman" w:hAnsi="Times New Roman"/>
          <w:sz w:val="24"/>
          <w:szCs w:val="24"/>
        </w:rPr>
        <w:t>ot met, then the laboratory supervisor</w:t>
      </w:r>
      <w:r w:rsidRPr="00D75B0E">
        <w:rPr>
          <w:rFonts w:ascii="Times New Roman" w:hAnsi="Times New Roman"/>
          <w:sz w:val="24"/>
          <w:szCs w:val="24"/>
        </w:rPr>
        <w:t xml:space="preserve"> must confir</w:t>
      </w:r>
      <w:r>
        <w:rPr>
          <w:rFonts w:ascii="Times New Roman" w:hAnsi="Times New Roman"/>
          <w:sz w:val="24"/>
          <w:szCs w:val="24"/>
        </w:rPr>
        <w:t xml:space="preserve">m in writing that that the lack </w:t>
      </w:r>
      <w:r w:rsidRPr="00D75B0E">
        <w:rPr>
          <w:rFonts w:ascii="Times New Roman" w:hAnsi="Times New Roman"/>
          <w:sz w:val="24"/>
          <w:szCs w:val="24"/>
        </w:rPr>
        <w:t>of agreement is of such a small size to not be import</w:t>
      </w:r>
      <w:r>
        <w:rPr>
          <w:rFonts w:ascii="Times New Roman" w:hAnsi="Times New Roman"/>
          <w:sz w:val="24"/>
          <w:szCs w:val="24"/>
        </w:rPr>
        <w:t xml:space="preserve">ant for the intended use of the </w:t>
      </w:r>
      <w:r w:rsidRPr="00D75B0E">
        <w:rPr>
          <w:rFonts w:ascii="Times New Roman" w:hAnsi="Times New Roman"/>
          <w:sz w:val="24"/>
          <w:szCs w:val="24"/>
        </w:rPr>
        <w:t>measurement.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r w:rsidRPr="00254D42">
        <w:rPr>
          <w:rFonts w:ascii="Times New Roman" w:hAnsi="Times New Roman"/>
          <w:b/>
          <w:bCs/>
          <w:sz w:val="24"/>
          <w:szCs w:val="24"/>
          <w:u w:val="single"/>
        </w:rPr>
        <w:t>Difference plot and regression analysis</w:t>
      </w:r>
    </w:p>
    <w:p w:rsidR="00B64254" w:rsidRPr="00853CAD"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Construct a difference plot with (method B – method A) o</w:t>
      </w:r>
      <w:r>
        <w:rPr>
          <w:rFonts w:ascii="Times New Roman" w:hAnsi="Times New Roman"/>
          <w:sz w:val="24"/>
          <w:szCs w:val="24"/>
        </w:rPr>
        <w:t xml:space="preserve">n the y-axis and the average of </w:t>
      </w:r>
      <w:r w:rsidRPr="00D75B0E">
        <w:rPr>
          <w:rFonts w:ascii="Times New Roman" w:hAnsi="Times New Roman"/>
          <w:sz w:val="24"/>
          <w:szCs w:val="24"/>
        </w:rPr>
        <w:t>method A and method B (i.e., (method A + method B)/2) on the x-axis.</w:t>
      </w:r>
    </w:p>
    <w:p w:rsidR="00B64254" w:rsidRPr="00853CAD"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Visually verify that variation in the y-axis [i.e., (</w:t>
      </w:r>
      <w:r>
        <w:rPr>
          <w:rFonts w:ascii="Times New Roman" w:hAnsi="Times New Roman"/>
          <w:sz w:val="24"/>
          <w:szCs w:val="24"/>
        </w:rPr>
        <w:t xml:space="preserve">method B – method A)] values is </w:t>
      </w:r>
      <w:r w:rsidRPr="00D75B0E">
        <w:rPr>
          <w:rFonts w:ascii="Times New Roman" w:hAnsi="Times New Roman"/>
          <w:sz w:val="24"/>
          <w:szCs w:val="24"/>
        </w:rPr>
        <w:t xml:space="preserve">approximately uniform across the range of y-axis values. If </w:t>
      </w:r>
      <w:r>
        <w:rPr>
          <w:rFonts w:ascii="Times New Roman" w:hAnsi="Times New Roman"/>
          <w:sz w:val="24"/>
          <w:szCs w:val="24"/>
        </w:rPr>
        <w:t xml:space="preserve">not, consult a statistician for use of a different y variable, </w:t>
      </w:r>
      <w:r w:rsidRPr="00D75B0E">
        <w:rPr>
          <w:rFonts w:ascii="Times New Roman" w:hAnsi="Times New Roman"/>
          <w:sz w:val="24"/>
          <w:szCs w:val="24"/>
        </w:rPr>
        <w:t>such as (method B/method A) or log</w:t>
      </w:r>
      <w:r>
        <w:rPr>
          <w:rFonts w:ascii="Times New Roman" w:hAnsi="Times New Roman"/>
          <w:sz w:val="24"/>
          <w:szCs w:val="24"/>
        </w:rPr>
        <w:t xml:space="preserve"> </w:t>
      </w:r>
      <w:r w:rsidRPr="00D75B0E">
        <w:rPr>
          <w:rFonts w:ascii="Times New Roman" w:hAnsi="Times New Roman"/>
          <w:sz w:val="24"/>
          <w:szCs w:val="24"/>
        </w:rPr>
        <w:t>(method B/method A).</w:t>
      </w:r>
    </w:p>
    <w:p w:rsidR="00B64254" w:rsidRPr="00853CAD"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Regress the y variable (e.g., method B – method A) on t</w:t>
      </w:r>
      <w:r>
        <w:rPr>
          <w:rFonts w:ascii="Times New Roman" w:hAnsi="Times New Roman"/>
          <w:sz w:val="24"/>
          <w:szCs w:val="24"/>
        </w:rPr>
        <w:t xml:space="preserve">he x variable (e.g., average of </w:t>
      </w:r>
      <w:r w:rsidRPr="00D75B0E">
        <w:rPr>
          <w:rFonts w:ascii="Times New Roman" w:hAnsi="Times New Roman"/>
          <w:sz w:val="24"/>
          <w:szCs w:val="24"/>
        </w:rPr>
        <w:t>method A and method B). Verify that the slope is not statisti</w:t>
      </w:r>
      <w:r>
        <w:rPr>
          <w:rFonts w:ascii="Times New Roman" w:hAnsi="Times New Roman"/>
          <w:sz w:val="24"/>
          <w:szCs w:val="24"/>
        </w:rPr>
        <w:t xml:space="preserve">cally different from 0 (i.e., p </w:t>
      </w:r>
      <w:r w:rsidRPr="00D75B0E">
        <w:rPr>
          <w:rFonts w:ascii="Times New Roman" w:hAnsi="Times New Roman"/>
          <w:sz w:val="24"/>
          <w:szCs w:val="24"/>
        </w:rPr>
        <w:t>≥ 0.05) and the intercept is not statistically different from 0 (i.e., p ≥ 0.05).</w:t>
      </w:r>
    </w:p>
    <w:p w:rsidR="00B64254" w:rsidRPr="00853CAD"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d) If the slope or intercept is statistically significant (p &lt; </w:t>
      </w:r>
      <w:r>
        <w:rPr>
          <w:rFonts w:ascii="Times New Roman" w:hAnsi="Times New Roman"/>
          <w:sz w:val="24"/>
          <w:szCs w:val="24"/>
        </w:rPr>
        <w:t xml:space="preserve">0.05), then a Laboratory Supervisor must </w:t>
      </w:r>
      <w:r w:rsidRPr="00D75B0E">
        <w:rPr>
          <w:rFonts w:ascii="Times New Roman" w:hAnsi="Times New Roman"/>
          <w:sz w:val="24"/>
          <w:szCs w:val="24"/>
        </w:rPr>
        <w:t>verify in writing that the magnitude of the slope combined with the best estima</w:t>
      </w:r>
      <w:r>
        <w:rPr>
          <w:rFonts w:ascii="Times New Roman" w:hAnsi="Times New Roman"/>
          <w:sz w:val="24"/>
          <w:szCs w:val="24"/>
        </w:rPr>
        <w:t xml:space="preserve">te of the </w:t>
      </w:r>
      <w:r w:rsidRPr="00D75B0E">
        <w:rPr>
          <w:rFonts w:ascii="Times New Roman" w:hAnsi="Times New Roman"/>
          <w:sz w:val="24"/>
          <w:szCs w:val="24"/>
        </w:rPr>
        <w:t>intercept is not consequential in terms of the intended us</w:t>
      </w:r>
      <w:r>
        <w:rPr>
          <w:rFonts w:ascii="Times New Roman" w:hAnsi="Times New Roman"/>
          <w:sz w:val="24"/>
          <w:szCs w:val="24"/>
        </w:rPr>
        <w:t xml:space="preserve">e of the measurement (i.e., too </w:t>
      </w:r>
      <w:r w:rsidRPr="00D75B0E">
        <w:rPr>
          <w:rFonts w:ascii="Times New Roman" w:hAnsi="Times New Roman"/>
          <w:sz w:val="24"/>
          <w:szCs w:val="24"/>
        </w:rPr>
        <w:t>small to make a meaningful difference in application of the measurement).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254D42"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254D42">
        <w:rPr>
          <w:rFonts w:ascii="Times New Roman" w:hAnsi="Times New Roman"/>
          <w:b/>
          <w:bCs/>
          <w:sz w:val="24"/>
          <w:szCs w:val="24"/>
          <w:u w:val="single"/>
        </w:rPr>
        <w:t>Analysis of quality control (QC) specimens</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For method B (the new method), each QC pool should be analyze</w:t>
      </w:r>
      <w:r>
        <w:rPr>
          <w:rFonts w:ascii="Times New Roman" w:hAnsi="Times New Roman"/>
          <w:sz w:val="24"/>
          <w:szCs w:val="24"/>
        </w:rPr>
        <w:t xml:space="preserve">d at least 20 times (preferably </w:t>
      </w:r>
      <w:r w:rsidRPr="00D75B0E">
        <w:rPr>
          <w:rFonts w:ascii="Times New Roman" w:hAnsi="Times New Roman"/>
          <w:sz w:val="24"/>
          <w:szCs w:val="24"/>
        </w:rPr>
        <w:t>30 times) in separate runs to establish new QC limits. For</w:t>
      </w:r>
      <w:r>
        <w:rPr>
          <w:rFonts w:ascii="Times New Roman" w:hAnsi="Times New Roman"/>
          <w:sz w:val="24"/>
          <w:szCs w:val="24"/>
        </w:rPr>
        <w:t xml:space="preserve"> each QC pool, the variance (or </w:t>
      </w:r>
      <w:r w:rsidRPr="00D75B0E">
        <w:rPr>
          <w:rFonts w:ascii="Times New Roman" w:hAnsi="Times New Roman"/>
          <w:sz w:val="24"/>
          <w:szCs w:val="24"/>
        </w:rPr>
        <w:t>coefficient of variation (CV)) of the QC analysis for met</w:t>
      </w:r>
      <w:r>
        <w:rPr>
          <w:rFonts w:ascii="Times New Roman" w:hAnsi="Times New Roman"/>
          <w:sz w:val="24"/>
          <w:szCs w:val="24"/>
        </w:rPr>
        <w:t xml:space="preserve">hod B should be compared to the </w:t>
      </w:r>
      <w:r w:rsidRPr="00D75B0E">
        <w:rPr>
          <w:rFonts w:ascii="Times New Roman" w:hAnsi="Times New Roman"/>
          <w:sz w:val="24"/>
          <w:szCs w:val="24"/>
        </w:rPr>
        <w:t>variance (or CV) for method A. A statistician may be con</w:t>
      </w:r>
      <w:r>
        <w:rPr>
          <w:rFonts w:ascii="Times New Roman" w:hAnsi="Times New Roman"/>
          <w:sz w:val="24"/>
          <w:szCs w:val="24"/>
        </w:rPr>
        <w:t xml:space="preserve">sulted to determine whether the </w:t>
      </w:r>
      <w:r w:rsidRPr="00D75B0E">
        <w:rPr>
          <w:rFonts w:ascii="Times New Roman" w:hAnsi="Times New Roman"/>
          <w:sz w:val="24"/>
          <w:szCs w:val="24"/>
        </w:rPr>
        <w:t>difference in magnitude of variation is statistically significant.</w:t>
      </w:r>
      <w:r>
        <w:rPr>
          <w:rFonts w:ascii="Times New Roman" w:hAnsi="Times New Roman"/>
          <w:sz w:val="24"/>
          <w:szCs w:val="24"/>
        </w:rPr>
        <w:t xml:space="preserve"> If the variance of method B is </w:t>
      </w:r>
      <w:r w:rsidRPr="00D75B0E">
        <w:rPr>
          <w:rFonts w:ascii="Times New Roman" w:hAnsi="Times New Roman"/>
          <w:sz w:val="24"/>
          <w:szCs w:val="24"/>
        </w:rPr>
        <w:lastRenderedPageBreak/>
        <w:t>statistically greater (p &lt; 0.05) than th</w:t>
      </w:r>
      <w:r>
        <w:rPr>
          <w:rFonts w:ascii="Times New Roman" w:hAnsi="Times New Roman"/>
          <w:sz w:val="24"/>
          <w:szCs w:val="24"/>
        </w:rPr>
        <w:t>at of method A, the laboratory supervisor</w:t>
      </w:r>
      <w:r w:rsidRPr="00D75B0E">
        <w:rPr>
          <w:rFonts w:ascii="Times New Roman" w:hAnsi="Times New Roman"/>
          <w:sz w:val="24"/>
          <w:szCs w:val="24"/>
        </w:rPr>
        <w:t xml:space="preserve"> must approve that t</w:t>
      </w:r>
      <w:r>
        <w:rPr>
          <w:rFonts w:ascii="Times New Roman" w:hAnsi="Times New Roman"/>
          <w:sz w:val="24"/>
          <w:szCs w:val="24"/>
        </w:rPr>
        <w:t xml:space="preserve">he </w:t>
      </w:r>
      <w:r w:rsidRPr="00D75B0E">
        <w:rPr>
          <w:rFonts w:ascii="Times New Roman" w:hAnsi="Times New Roman"/>
          <w:sz w:val="24"/>
          <w:szCs w:val="24"/>
        </w:rPr>
        <w:t>variance is still acceptab</w:t>
      </w:r>
      <w:r>
        <w:rPr>
          <w:rFonts w:ascii="Times New Roman" w:hAnsi="Times New Roman"/>
          <w:sz w:val="24"/>
          <w:szCs w:val="24"/>
        </w:rPr>
        <w:t>le for intended use of the data.</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367B1B" w:rsidRDefault="00B64254" w:rsidP="00B64254">
      <w:pPr>
        <w:autoSpaceDE w:val="0"/>
        <w:autoSpaceDN w:val="0"/>
        <w:adjustRightInd w:val="0"/>
        <w:spacing w:after="0" w:line="240" w:lineRule="auto"/>
        <w:jc w:val="both"/>
        <w:rPr>
          <w:rFonts w:ascii="Times New Roman" w:hAnsi="Times New Roman"/>
          <w:b/>
          <w:bCs/>
          <w:sz w:val="24"/>
          <w:szCs w:val="24"/>
          <w:u w:val="single"/>
        </w:rPr>
      </w:pPr>
      <w:r w:rsidRPr="00367B1B">
        <w:rPr>
          <w:rFonts w:ascii="Times New Roman" w:hAnsi="Times New Roman"/>
          <w:b/>
          <w:bCs/>
          <w:sz w:val="24"/>
          <w:szCs w:val="24"/>
          <w:u w:val="single"/>
        </w:rPr>
        <w:t>Proficiency testing</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An additional verification of the accuracy of method B is accept</w:t>
      </w:r>
      <w:r>
        <w:rPr>
          <w:rFonts w:ascii="Times New Roman" w:hAnsi="Times New Roman"/>
          <w:sz w:val="24"/>
          <w:szCs w:val="24"/>
        </w:rPr>
        <w:t xml:space="preserve">able performance on proficiency </w:t>
      </w:r>
      <w:r w:rsidRPr="00D75B0E">
        <w:rPr>
          <w:rFonts w:ascii="Times New Roman" w:hAnsi="Times New Roman"/>
          <w:sz w:val="24"/>
          <w:szCs w:val="24"/>
        </w:rPr>
        <w:t xml:space="preserve">testing materials </w:t>
      </w:r>
      <w:r>
        <w:rPr>
          <w:rFonts w:ascii="Times New Roman" w:hAnsi="Times New Roman"/>
          <w:sz w:val="24"/>
          <w:szCs w:val="24"/>
        </w:rPr>
        <w:t xml:space="preserve">received </w:t>
      </w:r>
      <w:r w:rsidRPr="00D75B0E">
        <w:rPr>
          <w:rFonts w:ascii="Times New Roman" w:hAnsi="Times New Roman"/>
          <w:sz w:val="24"/>
          <w:szCs w:val="24"/>
        </w:rPr>
        <w:t>from outside the laboratory.</w:t>
      </w:r>
    </w:p>
    <w:p w:rsidR="00B64254" w:rsidRPr="00853CAD"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Default="00B64254" w:rsidP="00B64254">
      <w:pPr>
        <w:autoSpaceDE w:val="0"/>
        <w:autoSpaceDN w:val="0"/>
        <w:adjustRightInd w:val="0"/>
        <w:spacing w:after="0" w:line="240" w:lineRule="auto"/>
        <w:jc w:val="both"/>
        <w:rPr>
          <w:rFonts w:ascii="Times New Roman" w:hAnsi="Times New Roman"/>
          <w:b/>
          <w:bCs/>
          <w:sz w:val="24"/>
          <w:szCs w:val="24"/>
        </w:rPr>
      </w:pPr>
      <w:r w:rsidRPr="00853CAD">
        <w:rPr>
          <w:rFonts w:ascii="Times New Roman" w:hAnsi="Times New Roman"/>
          <w:b/>
          <w:bCs/>
          <w:sz w:val="24"/>
          <w:szCs w:val="24"/>
        </w:rPr>
        <w:t>Documentation</w:t>
      </w:r>
    </w:p>
    <w:p w:rsidR="00B64254" w:rsidRPr="006B5F14"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Documentation of method comparison should be maint</w:t>
      </w:r>
      <w:r>
        <w:rPr>
          <w:rFonts w:ascii="Times New Roman" w:hAnsi="Times New Roman"/>
          <w:sz w:val="24"/>
          <w:szCs w:val="24"/>
        </w:rPr>
        <w:t xml:space="preserve">ained as part of the supporting </w:t>
      </w:r>
      <w:r w:rsidRPr="00D75B0E">
        <w:rPr>
          <w:rFonts w:ascii="Times New Roman" w:hAnsi="Times New Roman"/>
          <w:sz w:val="24"/>
          <w:szCs w:val="24"/>
        </w:rPr>
        <w:t>documentation for method B (the new method).</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367B1B" w:rsidRDefault="00B64254" w:rsidP="00B64254">
      <w:pPr>
        <w:autoSpaceDE w:val="0"/>
        <w:autoSpaceDN w:val="0"/>
        <w:adjustRightInd w:val="0"/>
        <w:spacing w:after="0" w:line="240" w:lineRule="auto"/>
        <w:jc w:val="both"/>
        <w:rPr>
          <w:rFonts w:ascii="Times New Roman" w:eastAsia="Times New Roman,Bold" w:hAnsi="Times New Roman"/>
          <w:b/>
          <w:bCs/>
          <w:sz w:val="24"/>
          <w:szCs w:val="24"/>
          <w:u w:val="single"/>
        </w:rPr>
      </w:pPr>
      <w:r w:rsidRPr="00367B1B">
        <w:rPr>
          <w:rFonts w:ascii="Times New Roman" w:hAnsi="Times New Roman"/>
          <w:b/>
          <w:bCs/>
          <w:sz w:val="24"/>
          <w:szCs w:val="24"/>
          <w:u w:val="single"/>
        </w:rPr>
        <w:t xml:space="preserve">Method changes that warrant a designation of </w:t>
      </w:r>
      <w:r w:rsidRPr="00367B1B">
        <w:rPr>
          <w:rFonts w:ascii="Times New Roman" w:eastAsia="Times New Roman,Bold" w:hAnsi="Times New Roman"/>
          <w:b/>
          <w:bCs/>
          <w:sz w:val="24"/>
          <w:szCs w:val="24"/>
          <w:u w:val="single"/>
        </w:rPr>
        <w:t>‘</w:t>
      </w:r>
      <w:r w:rsidRPr="00367B1B">
        <w:rPr>
          <w:rFonts w:ascii="Times New Roman" w:hAnsi="Times New Roman"/>
          <w:b/>
          <w:bCs/>
          <w:sz w:val="24"/>
          <w:szCs w:val="24"/>
          <w:u w:val="single"/>
        </w:rPr>
        <w:t>new method</w:t>
      </w:r>
      <w:r w:rsidRPr="00367B1B">
        <w:rPr>
          <w:rFonts w:ascii="Times New Roman" w:eastAsia="Times New Roman,Bold" w:hAnsi="Times New Roman"/>
          <w:b/>
          <w:bCs/>
          <w:sz w:val="24"/>
          <w:szCs w:val="24"/>
          <w:u w:val="single"/>
        </w:rPr>
        <w:t>’</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Whether changes in an existing method are sufficient in scope f</w:t>
      </w:r>
      <w:r>
        <w:rPr>
          <w:rFonts w:ascii="Times New Roman" w:hAnsi="Times New Roman"/>
          <w:sz w:val="24"/>
          <w:szCs w:val="24"/>
        </w:rPr>
        <w:t xml:space="preserve">or the method to be regarded as </w:t>
      </w:r>
      <w:r w:rsidRPr="00D75B0E">
        <w:rPr>
          <w:rFonts w:ascii="Times New Roman" w:hAnsi="Times New Roman"/>
          <w:sz w:val="24"/>
          <w:szCs w:val="24"/>
        </w:rPr>
        <w:t>‘new’ is determined by the likelihood of those changes to me</w:t>
      </w:r>
      <w:r>
        <w:rPr>
          <w:rFonts w:ascii="Times New Roman" w:hAnsi="Times New Roman"/>
          <w:sz w:val="24"/>
          <w:szCs w:val="24"/>
        </w:rPr>
        <w:t xml:space="preserve">aningfully affect the accuracy, </w:t>
      </w:r>
      <w:r w:rsidRPr="00D75B0E">
        <w:rPr>
          <w:rFonts w:ascii="Times New Roman" w:hAnsi="Times New Roman"/>
          <w:sz w:val="24"/>
          <w:szCs w:val="24"/>
        </w:rPr>
        <w:t>precision, sensitivity and/or specificity of the measurements. T</w:t>
      </w:r>
      <w:r>
        <w:rPr>
          <w:rFonts w:ascii="Times New Roman" w:hAnsi="Times New Roman"/>
          <w:sz w:val="24"/>
          <w:szCs w:val="24"/>
        </w:rPr>
        <w:t xml:space="preserve">ypically, a new method is being </w:t>
      </w:r>
      <w:r w:rsidRPr="00D75B0E">
        <w:rPr>
          <w:rFonts w:ascii="Times New Roman" w:hAnsi="Times New Roman"/>
          <w:sz w:val="24"/>
          <w:szCs w:val="24"/>
        </w:rPr>
        <w:t>chosen because it improves accuracy, precision, sensitivity, specifi</w:t>
      </w:r>
      <w:r>
        <w:rPr>
          <w:rFonts w:ascii="Times New Roman" w:hAnsi="Times New Roman"/>
          <w:sz w:val="24"/>
          <w:szCs w:val="24"/>
        </w:rPr>
        <w:t xml:space="preserve">city, throughput and/or cost of </w:t>
      </w:r>
      <w:r w:rsidRPr="00D75B0E">
        <w:rPr>
          <w:rFonts w:ascii="Times New Roman" w:hAnsi="Times New Roman"/>
          <w:sz w:val="24"/>
          <w:szCs w:val="24"/>
        </w:rPr>
        <w:t>analysis. Whether changes are sufficient in scope for the metho</w:t>
      </w:r>
      <w:r>
        <w:rPr>
          <w:rFonts w:ascii="Times New Roman" w:hAnsi="Times New Roman"/>
          <w:sz w:val="24"/>
          <w:szCs w:val="24"/>
        </w:rPr>
        <w:t>d to be regarded as ‘new’ is an assessment assigned to the laboratory supervisor</w:t>
      </w:r>
      <w:r w:rsidRPr="00D75B0E">
        <w:rPr>
          <w:rFonts w:ascii="Times New Roman" w:hAnsi="Times New Roman"/>
          <w:sz w:val="24"/>
          <w:szCs w:val="24"/>
        </w:rPr>
        <w:t xml:space="preserve"> who should consult w</w:t>
      </w:r>
      <w:r>
        <w:rPr>
          <w:rFonts w:ascii="Times New Roman" w:hAnsi="Times New Roman"/>
          <w:sz w:val="24"/>
          <w:szCs w:val="24"/>
        </w:rPr>
        <w:t xml:space="preserve">ith their laboratory director if they </w:t>
      </w:r>
      <w:r w:rsidRPr="00D75B0E">
        <w:rPr>
          <w:rFonts w:ascii="Times New Roman" w:hAnsi="Times New Roman"/>
          <w:sz w:val="24"/>
          <w:szCs w:val="24"/>
        </w:rPr>
        <w:t>have any questions. A ‘new’ method that measures a</w:t>
      </w:r>
      <w:r>
        <w:rPr>
          <w:rFonts w:ascii="Times New Roman" w:hAnsi="Times New Roman"/>
          <w:sz w:val="24"/>
          <w:szCs w:val="24"/>
        </w:rPr>
        <w:t xml:space="preserve">nalytes with reference values or </w:t>
      </w:r>
      <w:r w:rsidRPr="00D75B0E">
        <w:rPr>
          <w:rFonts w:ascii="Times New Roman" w:hAnsi="Times New Roman"/>
          <w:sz w:val="24"/>
          <w:szCs w:val="24"/>
        </w:rPr>
        <w:t>previous epidemiologic studies should undergo compari</w:t>
      </w:r>
      <w:r>
        <w:rPr>
          <w:rFonts w:ascii="Times New Roman" w:hAnsi="Times New Roman"/>
          <w:sz w:val="24"/>
          <w:szCs w:val="24"/>
        </w:rPr>
        <w:t>son with the previous methods as described.</w:t>
      </w:r>
    </w:p>
    <w:p w:rsidR="00B64254" w:rsidRDefault="00B64254" w:rsidP="00B64254">
      <w:pPr>
        <w:autoSpaceDE w:val="0"/>
        <w:autoSpaceDN w:val="0"/>
        <w:adjustRightInd w:val="0"/>
        <w:spacing w:after="0" w:line="240" w:lineRule="auto"/>
        <w:jc w:val="both"/>
        <w:rPr>
          <w:rFonts w:ascii="Times New Roman" w:hAnsi="Times New Roman"/>
          <w:b/>
          <w:bCs/>
          <w:sz w:val="24"/>
          <w:szCs w:val="24"/>
        </w:rPr>
      </w:pPr>
    </w:p>
    <w:p w:rsidR="00B64254" w:rsidRPr="00D75B0E" w:rsidRDefault="00B64254" w:rsidP="00B642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Remedial A</w:t>
      </w:r>
      <w:r w:rsidRPr="00D75B0E">
        <w:rPr>
          <w:rFonts w:ascii="Times New Roman" w:hAnsi="Times New Roman"/>
          <w:b/>
          <w:bCs/>
          <w:sz w:val="24"/>
          <w:szCs w:val="24"/>
        </w:rPr>
        <w:t>ctions</w:t>
      </w:r>
    </w:p>
    <w:p w:rsidR="00B64254" w:rsidRPr="006B5F14" w:rsidRDefault="00B64254" w:rsidP="00B64254">
      <w:pPr>
        <w:autoSpaceDE w:val="0"/>
        <w:autoSpaceDN w:val="0"/>
        <w:adjustRightInd w:val="0"/>
        <w:spacing w:after="0" w:line="240" w:lineRule="auto"/>
        <w:jc w:val="both"/>
        <w:rPr>
          <w:rFonts w:ascii="Times New Roman" w:hAnsi="Times New Roman"/>
          <w:b/>
          <w:bCs/>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Remedial actions are to be taken and documented when:</w:t>
      </w: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Test systems perform outside acceptable performance specif</w:t>
      </w:r>
      <w:r>
        <w:rPr>
          <w:rFonts w:ascii="Times New Roman" w:hAnsi="Times New Roman"/>
          <w:sz w:val="24"/>
          <w:szCs w:val="24"/>
        </w:rPr>
        <w:t xml:space="preserve">ications. Remedial action is to </w:t>
      </w:r>
      <w:r w:rsidRPr="00D75B0E">
        <w:rPr>
          <w:rFonts w:ascii="Times New Roman" w:hAnsi="Times New Roman"/>
          <w:sz w:val="24"/>
          <w:szCs w:val="24"/>
        </w:rPr>
        <w:t>be documented in the appropriate QC manual.</w:t>
      </w:r>
    </w:p>
    <w:p w:rsidR="00B64254" w:rsidRPr="006B5F14"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Participant</w:t>
      </w:r>
      <w:r w:rsidRPr="00D75B0E">
        <w:rPr>
          <w:rFonts w:ascii="Times New Roman" w:hAnsi="Times New Roman"/>
          <w:sz w:val="24"/>
          <w:szCs w:val="24"/>
        </w:rPr>
        <w:t xml:space="preserve"> test results are outside the reportable range. Remedial </w:t>
      </w:r>
      <w:r>
        <w:rPr>
          <w:rFonts w:ascii="Times New Roman" w:hAnsi="Times New Roman"/>
          <w:sz w:val="24"/>
          <w:szCs w:val="24"/>
        </w:rPr>
        <w:t xml:space="preserve">action, such as dilution of the </w:t>
      </w:r>
      <w:r w:rsidRPr="00D75B0E">
        <w:rPr>
          <w:rFonts w:ascii="Times New Roman" w:hAnsi="Times New Roman"/>
          <w:sz w:val="24"/>
          <w:szCs w:val="24"/>
        </w:rPr>
        <w:t xml:space="preserve">specimen until its concentration result is within the reportable </w:t>
      </w:r>
      <w:r>
        <w:rPr>
          <w:rFonts w:ascii="Times New Roman" w:hAnsi="Times New Roman"/>
          <w:sz w:val="24"/>
          <w:szCs w:val="24"/>
        </w:rPr>
        <w:t xml:space="preserve">range is to be noted in the log </w:t>
      </w:r>
      <w:r w:rsidRPr="00D75B0E">
        <w:rPr>
          <w:rFonts w:ascii="Times New Roman" w:hAnsi="Times New Roman"/>
          <w:sz w:val="24"/>
          <w:szCs w:val="24"/>
        </w:rPr>
        <w:t>book of the primary instrument used in the analysis or on the sample run sheets.</w:t>
      </w:r>
    </w:p>
    <w:p w:rsidR="00B64254" w:rsidRPr="006B5F14" w:rsidRDefault="00B64254" w:rsidP="00B64254">
      <w:pPr>
        <w:autoSpaceDE w:val="0"/>
        <w:autoSpaceDN w:val="0"/>
        <w:adjustRightInd w:val="0"/>
        <w:spacing w:after="0" w:line="240" w:lineRule="auto"/>
        <w:jc w:val="both"/>
        <w:rPr>
          <w:rFonts w:ascii="Times New Roman" w:hAnsi="Times New Roman"/>
          <w:sz w:val="16"/>
          <w:szCs w:val="16"/>
        </w:rPr>
      </w:pPr>
    </w:p>
    <w:p w:rsidR="00B64254" w:rsidRDefault="00B64254" w:rsidP="00B64254">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3) Results of control materials and calibration materials fail to meet quality </w:t>
      </w:r>
      <w:r>
        <w:rPr>
          <w:rFonts w:ascii="Times New Roman" w:hAnsi="Times New Roman"/>
          <w:sz w:val="24"/>
          <w:szCs w:val="24"/>
        </w:rPr>
        <w:t xml:space="preserve">control criteria. </w:t>
      </w:r>
      <w:r w:rsidRPr="00D75B0E">
        <w:rPr>
          <w:rFonts w:ascii="Times New Roman" w:hAnsi="Times New Roman"/>
          <w:sz w:val="24"/>
          <w:szCs w:val="24"/>
        </w:rPr>
        <w:t>Remedial actions are to be noted in the appropriate QC manual.</w:t>
      </w:r>
    </w:p>
    <w:p w:rsidR="00B64254" w:rsidRPr="006B5F14" w:rsidRDefault="00B64254" w:rsidP="00B64254">
      <w:pPr>
        <w:autoSpaceDE w:val="0"/>
        <w:autoSpaceDN w:val="0"/>
        <w:adjustRightInd w:val="0"/>
        <w:spacing w:after="0" w:line="240" w:lineRule="auto"/>
        <w:jc w:val="both"/>
        <w:rPr>
          <w:rFonts w:ascii="Times New Roman" w:hAnsi="Times New Roman"/>
          <w:sz w:val="16"/>
          <w:szCs w:val="16"/>
        </w:rPr>
      </w:pP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D75B0E">
        <w:rPr>
          <w:rFonts w:ascii="Times New Roman" w:hAnsi="Times New Roman"/>
          <w:sz w:val="24"/>
          <w:szCs w:val="24"/>
        </w:rPr>
        <w:t xml:space="preserve">) </w:t>
      </w:r>
      <w:r>
        <w:rPr>
          <w:rFonts w:ascii="Times New Roman" w:hAnsi="Times New Roman"/>
          <w:sz w:val="24"/>
          <w:szCs w:val="24"/>
        </w:rPr>
        <w:t>When errors are detected in the reporting of participant results, the Laboratory Supervisor</w:t>
      </w:r>
      <w:r w:rsidRPr="00D75B0E">
        <w:rPr>
          <w:rFonts w:ascii="Times New Roman" w:hAnsi="Times New Roman"/>
          <w:sz w:val="24"/>
          <w:szCs w:val="24"/>
        </w:rPr>
        <w:t xml:space="preserve"> is to</w:t>
      </w:r>
      <w:r>
        <w:rPr>
          <w:rFonts w:ascii="Times New Roman" w:hAnsi="Times New Roman"/>
          <w:sz w:val="24"/>
          <w:szCs w:val="24"/>
        </w:rPr>
        <w:t xml:space="preserve"> notify the grant PI by phone, </w:t>
      </w:r>
      <w:r w:rsidRPr="00D75B0E">
        <w:rPr>
          <w:rFonts w:ascii="Times New Roman" w:hAnsi="Times New Roman"/>
          <w:sz w:val="24"/>
          <w:szCs w:val="24"/>
        </w:rPr>
        <w:t>followed by the issuance of a corrected report within a time pe</w:t>
      </w:r>
      <w:r>
        <w:rPr>
          <w:rFonts w:ascii="Times New Roman" w:hAnsi="Times New Roman"/>
          <w:sz w:val="24"/>
          <w:szCs w:val="24"/>
        </w:rPr>
        <w:t>riod suitable, but not to exceed one week</w:t>
      </w:r>
      <w:r w:rsidRPr="00D75B0E">
        <w:rPr>
          <w:rFonts w:ascii="Times New Roman" w:hAnsi="Times New Roman"/>
          <w:sz w:val="24"/>
          <w:szCs w:val="24"/>
        </w:rPr>
        <w:t>. The corrected report must cle</w:t>
      </w:r>
      <w:r>
        <w:rPr>
          <w:rFonts w:ascii="Times New Roman" w:hAnsi="Times New Roman"/>
          <w:sz w:val="24"/>
          <w:szCs w:val="24"/>
        </w:rPr>
        <w:t xml:space="preserve">arly show in the title that the </w:t>
      </w:r>
      <w:r w:rsidRPr="00D75B0E">
        <w:rPr>
          <w:rFonts w:ascii="Times New Roman" w:hAnsi="Times New Roman"/>
          <w:sz w:val="24"/>
          <w:szCs w:val="24"/>
        </w:rPr>
        <w:t>new results are corrected results. Exact duplicates of the or</w:t>
      </w:r>
      <w:r>
        <w:rPr>
          <w:rFonts w:ascii="Times New Roman" w:hAnsi="Times New Roman"/>
          <w:sz w:val="24"/>
          <w:szCs w:val="24"/>
        </w:rPr>
        <w:t xml:space="preserve">iginal as well as the corrected </w:t>
      </w:r>
      <w:r w:rsidRPr="00D75B0E">
        <w:rPr>
          <w:rFonts w:ascii="Times New Roman" w:hAnsi="Times New Roman"/>
          <w:sz w:val="24"/>
          <w:szCs w:val="24"/>
        </w:rPr>
        <w:t>report are to be maintained. The correct</w:t>
      </w:r>
      <w:r>
        <w:rPr>
          <w:rFonts w:ascii="Times New Roman" w:hAnsi="Times New Roman"/>
          <w:sz w:val="24"/>
          <w:szCs w:val="24"/>
        </w:rPr>
        <w:t>ed report is to be approved and signed by the Laboratory Director.</w:t>
      </w:r>
    </w:p>
    <w:p w:rsidR="00B64254" w:rsidRPr="00D75B0E" w:rsidRDefault="00B64254" w:rsidP="00B64254">
      <w:pPr>
        <w:autoSpaceDE w:val="0"/>
        <w:autoSpaceDN w:val="0"/>
        <w:adjustRightInd w:val="0"/>
        <w:spacing w:after="0" w:line="240" w:lineRule="auto"/>
        <w:jc w:val="both"/>
        <w:rPr>
          <w:rFonts w:ascii="Times New Roman" w:hAnsi="Times New Roman"/>
          <w:sz w:val="24"/>
          <w:szCs w:val="24"/>
        </w:rPr>
      </w:pPr>
    </w:p>
    <w:p w:rsidR="00B64254" w:rsidRPr="0064262D" w:rsidRDefault="00B64254" w:rsidP="00B64254">
      <w:pPr>
        <w:autoSpaceDE w:val="0"/>
        <w:autoSpaceDN w:val="0"/>
        <w:adjustRightInd w:val="0"/>
        <w:spacing w:after="0" w:line="240" w:lineRule="auto"/>
        <w:rPr>
          <w:rFonts w:ascii="Times New Roman" w:hAnsi="Times New Roman"/>
          <w:b/>
          <w:bCs/>
          <w:sz w:val="24"/>
          <w:szCs w:val="24"/>
        </w:rPr>
      </w:pPr>
      <w:r w:rsidRPr="0064262D">
        <w:rPr>
          <w:rFonts w:ascii="Times New Roman" w:hAnsi="Times New Roman"/>
          <w:b/>
          <w:bCs/>
          <w:sz w:val="24"/>
          <w:szCs w:val="24"/>
        </w:rPr>
        <w:t>Quality promotion</w:t>
      </w:r>
    </w:p>
    <w:p w:rsidR="00B64254" w:rsidRPr="006B5F14" w:rsidRDefault="00B64254" w:rsidP="00B64254">
      <w:pPr>
        <w:autoSpaceDE w:val="0"/>
        <w:autoSpaceDN w:val="0"/>
        <w:adjustRightInd w:val="0"/>
        <w:spacing w:after="0" w:line="240" w:lineRule="auto"/>
        <w:rPr>
          <w:rFonts w:ascii="Times New Roman" w:hAnsi="Times New Roman"/>
          <w:b/>
          <w:bCs/>
          <w:sz w:val="16"/>
          <w:szCs w:val="16"/>
        </w:rPr>
      </w:pPr>
    </w:p>
    <w:p w:rsidR="00B64254" w:rsidRDefault="00B64254" w:rsidP="00B642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High quality laboratory results are generated when all phases of the measurement process (i.e., pre-analytic, analytic, and post-analytic) are conducted properly. Factors which promote high quality results include:</w:t>
      </w:r>
    </w:p>
    <w:p w:rsidR="00B64254" w:rsidRPr="003858C1" w:rsidRDefault="00B64254" w:rsidP="00B64254">
      <w:pPr>
        <w:autoSpaceDE w:val="0"/>
        <w:autoSpaceDN w:val="0"/>
        <w:adjustRightInd w:val="0"/>
        <w:spacing w:after="0" w:line="240" w:lineRule="auto"/>
        <w:rPr>
          <w:rFonts w:ascii="Times New Roman" w:hAnsi="Times New Roman"/>
          <w:sz w:val="16"/>
          <w:szCs w:val="16"/>
        </w:rPr>
      </w:pPr>
    </w:p>
    <w:p w:rsidR="00B64254" w:rsidRDefault="00B64254" w:rsidP="00B642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 competent, well-trained and motivated laboratory staff</w:t>
      </w:r>
    </w:p>
    <w:p w:rsidR="00B64254" w:rsidRDefault="00B64254" w:rsidP="00B642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quality laboratory facilities</w:t>
      </w:r>
    </w:p>
    <w:p w:rsidR="00B64254" w:rsidRDefault="00B64254" w:rsidP="00B642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well-maintained, high-quality laboratory equipment</w:t>
      </w:r>
    </w:p>
    <w:p w:rsidR="00B64254" w:rsidRDefault="00B64254" w:rsidP="00B642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high quality laboratory analytical methods</w:t>
      </w:r>
    </w:p>
    <w:p w:rsidR="00B64254" w:rsidRDefault="00B64254" w:rsidP="00B642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clear commitment of management to quality laboratory results</w:t>
      </w:r>
    </w:p>
    <w:p w:rsidR="006206F4" w:rsidRPr="00C32C34" w:rsidRDefault="00B64254" w:rsidP="00C32C3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commitment to laboratory safety</w:t>
      </w:r>
    </w:p>
    <w:sectPr w:rsidR="006206F4" w:rsidRPr="00C32C34" w:rsidSect="00827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A508D"/>
    <w:multiLevelType w:val="hybridMultilevel"/>
    <w:tmpl w:val="9392AFCC"/>
    <w:lvl w:ilvl="0" w:tplc="7AF810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6D4D29"/>
    <w:multiLevelType w:val="hybridMultilevel"/>
    <w:tmpl w:val="E4146FA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F577B1"/>
    <w:multiLevelType w:val="hybridMultilevel"/>
    <w:tmpl w:val="5B1CD5B8"/>
    <w:lvl w:ilvl="0" w:tplc="1A860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C1889"/>
    <w:multiLevelType w:val="hybridMultilevel"/>
    <w:tmpl w:val="730C19F6"/>
    <w:lvl w:ilvl="0" w:tplc="306AC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A21139"/>
    <w:multiLevelType w:val="hybridMultilevel"/>
    <w:tmpl w:val="020E2B86"/>
    <w:lvl w:ilvl="0" w:tplc="8A9E5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3660C7"/>
    <w:multiLevelType w:val="hybridMultilevel"/>
    <w:tmpl w:val="99A86D76"/>
    <w:lvl w:ilvl="0" w:tplc="E6A85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B3"/>
    <w:rsid w:val="000103BE"/>
    <w:rsid w:val="00020676"/>
    <w:rsid w:val="000274A9"/>
    <w:rsid w:val="0004295A"/>
    <w:rsid w:val="000856E9"/>
    <w:rsid w:val="0009131B"/>
    <w:rsid w:val="000C62CA"/>
    <w:rsid w:val="000D2A98"/>
    <w:rsid w:val="000D63D3"/>
    <w:rsid w:val="000E3F90"/>
    <w:rsid w:val="000E5FFA"/>
    <w:rsid w:val="001164FF"/>
    <w:rsid w:val="0012093F"/>
    <w:rsid w:val="0012415C"/>
    <w:rsid w:val="00142511"/>
    <w:rsid w:val="00144F9F"/>
    <w:rsid w:val="0015664B"/>
    <w:rsid w:val="001673AF"/>
    <w:rsid w:val="00170AAE"/>
    <w:rsid w:val="00172FEC"/>
    <w:rsid w:val="001859AD"/>
    <w:rsid w:val="001F011E"/>
    <w:rsid w:val="0021241A"/>
    <w:rsid w:val="00283B1B"/>
    <w:rsid w:val="002C3990"/>
    <w:rsid w:val="002D40EA"/>
    <w:rsid w:val="002F0506"/>
    <w:rsid w:val="00312593"/>
    <w:rsid w:val="00316336"/>
    <w:rsid w:val="003252B3"/>
    <w:rsid w:val="00363629"/>
    <w:rsid w:val="00384D39"/>
    <w:rsid w:val="00391C32"/>
    <w:rsid w:val="003A4554"/>
    <w:rsid w:val="003A7550"/>
    <w:rsid w:val="00412D50"/>
    <w:rsid w:val="00431979"/>
    <w:rsid w:val="00447C2E"/>
    <w:rsid w:val="00451E04"/>
    <w:rsid w:val="0045624B"/>
    <w:rsid w:val="00487CC7"/>
    <w:rsid w:val="004924E9"/>
    <w:rsid w:val="004B1236"/>
    <w:rsid w:val="004D4FAE"/>
    <w:rsid w:val="0055042C"/>
    <w:rsid w:val="00574E99"/>
    <w:rsid w:val="00575DC1"/>
    <w:rsid w:val="005D3653"/>
    <w:rsid w:val="005F0E94"/>
    <w:rsid w:val="005F791F"/>
    <w:rsid w:val="006206F4"/>
    <w:rsid w:val="00622098"/>
    <w:rsid w:val="006912C9"/>
    <w:rsid w:val="006A303C"/>
    <w:rsid w:val="006D41B4"/>
    <w:rsid w:val="006D5884"/>
    <w:rsid w:val="00704E65"/>
    <w:rsid w:val="007225CF"/>
    <w:rsid w:val="00725B78"/>
    <w:rsid w:val="00726266"/>
    <w:rsid w:val="007307FA"/>
    <w:rsid w:val="00736A98"/>
    <w:rsid w:val="00755443"/>
    <w:rsid w:val="00763C26"/>
    <w:rsid w:val="007644EE"/>
    <w:rsid w:val="007729B8"/>
    <w:rsid w:val="00772B50"/>
    <w:rsid w:val="00780744"/>
    <w:rsid w:val="0079158F"/>
    <w:rsid w:val="007970ED"/>
    <w:rsid w:val="007A5FF7"/>
    <w:rsid w:val="007D4A1B"/>
    <w:rsid w:val="007E3055"/>
    <w:rsid w:val="00803A62"/>
    <w:rsid w:val="00804958"/>
    <w:rsid w:val="00827738"/>
    <w:rsid w:val="008450FD"/>
    <w:rsid w:val="00884A77"/>
    <w:rsid w:val="008A2056"/>
    <w:rsid w:val="008A4F33"/>
    <w:rsid w:val="008C0B59"/>
    <w:rsid w:val="008C1CD5"/>
    <w:rsid w:val="008D4F4E"/>
    <w:rsid w:val="008E6061"/>
    <w:rsid w:val="009060D3"/>
    <w:rsid w:val="00910B74"/>
    <w:rsid w:val="00936AFA"/>
    <w:rsid w:val="0094267C"/>
    <w:rsid w:val="0095614E"/>
    <w:rsid w:val="009565D9"/>
    <w:rsid w:val="00992AA1"/>
    <w:rsid w:val="009B04D3"/>
    <w:rsid w:val="009B4178"/>
    <w:rsid w:val="009B733C"/>
    <w:rsid w:val="009C700A"/>
    <w:rsid w:val="009E1051"/>
    <w:rsid w:val="009E2CD5"/>
    <w:rsid w:val="00A2692D"/>
    <w:rsid w:val="00A27F29"/>
    <w:rsid w:val="00A32339"/>
    <w:rsid w:val="00A32763"/>
    <w:rsid w:val="00A3697B"/>
    <w:rsid w:val="00A37015"/>
    <w:rsid w:val="00A62F7D"/>
    <w:rsid w:val="00A735FB"/>
    <w:rsid w:val="00A81703"/>
    <w:rsid w:val="00A84F66"/>
    <w:rsid w:val="00B33B49"/>
    <w:rsid w:val="00B6055E"/>
    <w:rsid w:val="00B64254"/>
    <w:rsid w:val="00B82275"/>
    <w:rsid w:val="00B94641"/>
    <w:rsid w:val="00BC06F2"/>
    <w:rsid w:val="00BD2F7C"/>
    <w:rsid w:val="00BD66AC"/>
    <w:rsid w:val="00BF3FC3"/>
    <w:rsid w:val="00C138EE"/>
    <w:rsid w:val="00C222ED"/>
    <w:rsid w:val="00C32C34"/>
    <w:rsid w:val="00C34382"/>
    <w:rsid w:val="00C91C1A"/>
    <w:rsid w:val="00CB0637"/>
    <w:rsid w:val="00CB2B26"/>
    <w:rsid w:val="00D028F6"/>
    <w:rsid w:val="00D04279"/>
    <w:rsid w:val="00D20C9E"/>
    <w:rsid w:val="00D27572"/>
    <w:rsid w:val="00D32CF7"/>
    <w:rsid w:val="00DC30DA"/>
    <w:rsid w:val="00DE062B"/>
    <w:rsid w:val="00DE1BCF"/>
    <w:rsid w:val="00DE3F44"/>
    <w:rsid w:val="00DF57CA"/>
    <w:rsid w:val="00E13529"/>
    <w:rsid w:val="00E41F4B"/>
    <w:rsid w:val="00E7562C"/>
    <w:rsid w:val="00E868C5"/>
    <w:rsid w:val="00E929F3"/>
    <w:rsid w:val="00E94C48"/>
    <w:rsid w:val="00EC5221"/>
    <w:rsid w:val="00ED1E27"/>
    <w:rsid w:val="00ED2737"/>
    <w:rsid w:val="00EF50B6"/>
    <w:rsid w:val="00F00550"/>
    <w:rsid w:val="00F13FB9"/>
    <w:rsid w:val="00F21FAF"/>
    <w:rsid w:val="00F43E62"/>
    <w:rsid w:val="00F908C6"/>
    <w:rsid w:val="00FD6C59"/>
    <w:rsid w:val="00FE1492"/>
    <w:rsid w:val="00FE3418"/>
    <w:rsid w:val="00FF1FE7"/>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91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3252B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252B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7807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2B3"/>
    <w:rPr>
      <w:rFonts w:ascii="Cambria" w:hAnsi="Cambria"/>
      <w:b/>
      <w:bCs/>
      <w:color w:val="4F81BD"/>
      <w:sz w:val="26"/>
      <w:szCs w:val="26"/>
    </w:rPr>
  </w:style>
  <w:style w:type="character" w:customStyle="1" w:styleId="Heading3Char">
    <w:name w:val="Heading 3 Char"/>
    <w:basedOn w:val="DefaultParagraphFont"/>
    <w:link w:val="Heading3"/>
    <w:uiPriority w:val="9"/>
    <w:rsid w:val="003252B3"/>
    <w:rPr>
      <w:rFonts w:ascii="Cambria" w:hAnsi="Cambria"/>
      <w:b/>
      <w:bCs/>
      <w:color w:val="4F81BD"/>
      <w:sz w:val="22"/>
      <w:szCs w:val="22"/>
    </w:rPr>
  </w:style>
  <w:style w:type="paragraph" w:styleId="BalloonText">
    <w:name w:val="Balloon Text"/>
    <w:basedOn w:val="Normal"/>
    <w:link w:val="BalloonTextChar"/>
    <w:rsid w:val="0032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52B3"/>
    <w:rPr>
      <w:rFonts w:ascii="Tahoma" w:eastAsia="Calibri" w:hAnsi="Tahoma" w:cs="Tahoma"/>
      <w:sz w:val="16"/>
      <w:szCs w:val="16"/>
    </w:rPr>
  </w:style>
  <w:style w:type="table" w:styleId="TableGrid">
    <w:name w:val="Table Grid"/>
    <w:basedOn w:val="TableNormal"/>
    <w:rsid w:val="00EC522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D4FAE"/>
    <w:rPr>
      <w:color w:val="0000FF" w:themeColor="hyperlink"/>
      <w:u w:val="single"/>
    </w:rPr>
  </w:style>
  <w:style w:type="paragraph" w:styleId="ListParagraph">
    <w:name w:val="List Paragraph"/>
    <w:basedOn w:val="Normal"/>
    <w:uiPriority w:val="34"/>
    <w:qFormat/>
    <w:rsid w:val="00B64254"/>
    <w:pPr>
      <w:ind w:left="720"/>
      <w:contextualSpacing/>
    </w:pPr>
    <w:rPr>
      <w:rFonts w:asciiTheme="minorHAnsi" w:eastAsiaTheme="minorHAnsi" w:hAnsiTheme="minorHAnsi" w:cstheme="minorBidi"/>
    </w:rPr>
  </w:style>
  <w:style w:type="character" w:customStyle="1" w:styleId="st1">
    <w:name w:val="st1"/>
    <w:basedOn w:val="DefaultParagraphFont"/>
    <w:rsid w:val="00B64254"/>
  </w:style>
  <w:style w:type="character" w:customStyle="1" w:styleId="Heading4Char">
    <w:name w:val="Heading 4 Char"/>
    <w:basedOn w:val="DefaultParagraphFont"/>
    <w:link w:val="Heading4"/>
    <w:semiHidden/>
    <w:rsid w:val="00780744"/>
    <w:rPr>
      <w:rFonts w:asciiTheme="majorHAnsi" w:eastAsiaTheme="majorEastAsia" w:hAnsiTheme="majorHAnsi" w:cstheme="majorBidi"/>
      <w:b/>
      <w:bCs/>
      <w:i/>
      <w:iCs/>
      <w:color w:val="4F81BD" w:themeColor="accent1"/>
      <w:sz w:val="22"/>
      <w:szCs w:val="22"/>
    </w:rPr>
  </w:style>
  <w:style w:type="paragraph" w:customStyle="1" w:styleId="Default">
    <w:name w:val="Default"/>
    <w:rsid w:val="00B33B49"/>
    <w:pPr>
      <w:autoSpaceDE w:val="0"/>
      <w:autoSpaceDN w:val="0"/>
      <w:adjustRightInd w:val="0"/>
      <w:spacing w:after="0"/>
      <w:jc w:val="left"/>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91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3252B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252B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7807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2B3"/>
    <w:rPr>
      <w:rFonts w:ascii="Cambria" w:hAnsi="Cambria"/>
      <w:b/>
      <w:bCs/>
      <w:color w:val="4F81BD"/>
      <w:sz w:val="26"/>
      <w:szCs w:val="26"/>
    </w:rPr>
  </w:style>
  <w:style w:type="character" w:customStyle="1" w:styleId="Heading3Char">
    <w:name w:val="Heading 3 Char"/>
    <w:basedOn w:val="DefaultParagraphFont"/>
    <w:link w:val="Heading3"/>
    <w:uiPriority w:val="9"/>
    <w:rsid w:val="003252B3"/>
    <w:rPr>
      <w:rFonts w:ascii="Cambria" w:hAnsi="Cambria"/>
      <w:b/>
      <w:bCs/>
      <w:color w:val="4F81BD"/>
      <w:sz w:val="22"/>
      <w:szCs w:val="22"/>
    </w:rPr>
  </w:style>
  <w:style w:type="paragraph" w:styleId="BalloonText">
    <w:name w:val="Balloon Text"/>
    <w:basedOn w:val="Normal"/>
    <w:link w:val="BalloonTextChar"/>
    <w:rsid w:val="0032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52B3"/>
    <w:rPr>
      <w:rFonts w:ascii="Tahoma" w:eastAsia="Calibri" w:hAnsi="Tahoma" w:cs="Tahoma"/>
      <w:sz w:val="16"/>
      <w:szCs w:val="16"/>
    </w:rPr>
  </w:style>
  <w:style w:type="table" w:styleId="TableGrid">
    <w:name w:val="Table Grid"/>
    <w:basedOn w:val="TableNormal"/>
    <w:rsid w:val="00EC522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D4FAE"/>
    <w:rPr>
      <w:color w:val="0000FF" w:themeColor="hyperlink"/>
      <w:u w:val="single"/>
    </w:rPr>
  </w:style>
  <w:style w:type="paragraph" w:styleId="ListParagraph">
    <w:name w:val="List Paragraph"/>
    <w:basedOn w:val="Normal"/>
    <w:uiPriority w:val="34"/>
    <w:qFormat/>
    <w:rsid w:val="00B64254"/>
    <w:pPr>
      <w:ind w:left="720"/>
      <w:contextualSpacing/>
    </w:pPr>
    <w:rPr>
      <w:rFonts w:asciiTheme="minorHAnsi" w:eastAsiaTheme="minorHAnsi" w:hAnsiTheme="minorHAnsi" w:cstheme="minorBidi"/>
    </w:rPr>
  </w:style>
  <w:style w:type="character" w:customStyle="1" w:styleId="st1">
    <w:name w:val="st1"/>
    <w:basedOn w:val="DefaultParagraphFont"/>
    <w:rsid w:val="00B64254"/>
  </w:style>
  <w:style w:type="character" w:customStyle="1" w:styleId="Heading4Char">
    <w:name w:val="Heading 4 Char"/>
    <w:basedOn w:val="DefaultParagraphFont"/>
    <w:link w:val="Heading4"/>
    <w:semiHidden/>
    <w:rsid w:val="00780744"/>
    <w:rPr>
      <w:rFonts w:asciiTheme="majorHAnsi" w:eastAsiaTheme="majorEastAsia" w:hAnsiTheme="majorHAnsi" w:cstheme="majorBidi"/>
      <w:b/>
      <w:bCs/>
      <w:i/>
      <w:iCs/>
      <w:color w:val="4F81BD" w:themeColor="accent1"/>
      <w:sz w:val="22"/>
      <w:szCs w:val="22"/>
    </w:rPr>
  </w:style>
  <w:style w:type="paragraph" w:customStyle="1" w:styleId="Default">
    <w:name w:val="Default"/>
    <w:rsid w:val="00B33B49"/>
    <w:pPr>
      <w:autoSpaceDE w:val="0"/>
      <w:autoSpaceDN w:val="0"/>
      <w:adjustRightInd w:val="0"/>
      <w:spacing w:after="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dswort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F390-CF2E-499B-98AD-067192D5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8573</Words>
  <Characters>46584</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CDC User</cp:lastModifiedBy>
  <cp:revision>4</cp:revision>
  <cp:lastPrinted>2012-05-25T15:34:00Z</cp:lastPrinted>
  <dcterms:created xsi:type="dcterms:W3CDTF">2014-10-23T01:03:00Z</dcterms:created>
  <dcterms:modified xsi:type="dcterms:W3CDTF">2014-10-23T20:13:00Z</dcterms:modified>
</cp:coreProperties>
</file>