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C6" w:rsidRPr="00CE17A3" w:rsidRDefault="00BA3FC6" w:rsidP="003B71AA">
      <w:pPr>
        <w:spacing w:line="480" w:lineRule="auto"/>
        <w:jc w:val="center"/>
        <w:rPr>
          <w:rFonts w:ascii="Courier New" w:hAnsi="Courier New" w:cs="Courier New"/>
          <w:sz w:val="24"/>
          <w:szCs w:val="24"/>
        </w:rPr>
      </w:pPr>
      <w:r w:rsidRPr="00CE17A3">
        <w:rPr>
          <w:rFonts w:ascii="Courier New" w:hAnsi="Courier New" w:cs="Courier New"/>
          <w:sz w:val="24"/>
          <w:szCs w:val="24"/>
        </w:rPr>
        <w:t>Billing Code: 4163-18-P</w:t>
      </w:r>
    </w:p>
    <w:p w:rsidR="00BA3FC6" w:rsidRPr="00C83EDB" w:rsidRDefault="00BA3FC6" w:rsidP="003B71AA">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F15E1B" w:rsidRDefault="00F15E1B" w:rsidP="00F15E1B">
      <w:pPr>
        <w:tabs>
          <w:tab w:val="center" w:pos="4680"/>
        </w:tabs>
        <w:spacing w:line="480" w:lineRule="auto"/>
        <w:jc w:val="center"/>
        <w:rPr>
          <w:rFonts w:ascii="Courier New" w:hAnsi="Courier New" w:cs="Courier New"/>
          <w:sz w:val="24"/>
          <w:szCs w:val="24"/>
        </w:rPr>
      </w:pPr>
      <w:r>
        <w:rPr>
          <w:rFonts w:ascii="Courier New" w:hAnsi="Courier New" w:cs="Courier New"/>
          <w:sz w:val="24"/>
          <w:szCs w:val="24"/>
        </w:rPr>
        <w:t xml:space="preserve">Agency for </w:t>
      </w:r>
      <w:r w:rsidR="00EB2D85">
        <w:rPr>
          <w:rFonts w:ascii="Courier New" w:hAnsi="Courier New" w:cs="Courier New"/>
          <w:sz w:val="24"/>
          <w:szCs w:val="24"/>
        </w:rPr>
        <w:t>T</w:t>
      </w:r>
      <w:r>
        <w:rPr>
          <w:rFonts w:ascii="Courier New" w:hAnsi="Courier New" w:cs="Courier New"/>
          <w:sz w:val="24"/>
          <w:szCs w:val="24"/>
        </w:rPr>
        <w:t>oxic Substances and Disease Registry</w:t>
      </w:r>
    </w:p>
    <w:p w:rsidR="00BA3FC6" w:rsidRPr="00C83EDB" w:rsidRDefault="00F15E1B" w:rsidP="00F15E1B">
      <w:pPr>
        <w:tabs>
          <w:tab w:val="center" w:pos="4680"/>
        </w:tabs>
        <w:spacing w:line="480" w:lineRule="auto"/>
        <w:jc w:val="center"/>
        <w:rPr>
          <w:rFonts w:ascii="Courier New" w:hAnsi="Courier New" w:cs="Courier New"/>
          <w:sz w:val="24"/>
          <w:szCs w:val="24"/>
        </w:rPr>
      </w:pPr>
      <w:r>
        <w:rPr>
          <w:rFonts w:ascii="Courier New" w:hAnsi="Courier New" w:cs="Courier New"/>
          <w:sz w:val="24"/>
          <w:szCs w:val="24"/>
        </w:rPr>
        <w:t>[</w:t>
      </w:r>
      <w:r w:rsidR="00BA3FC6" w:rsidRPr="00C83EDB">
        <w:rPr>
          <w:rFonts w:ascii="Courier New" w:hAnsi="Courier New" w:cs="Courier New"/>
          <w:sz w:val="24"/>
          <w:szCs w:val="24"/>
        </w:rPr>
        <w:t>30Day-</w:t>
      </w:r>
      <w:r w:rsidR="00EB2D85">
        <w:rPr>
          <w:rFonts w:ascii="Courier New" w:hAnsi="Courier New" w:cs="Courier New"/>
          <w:sz w:val="24"/>
          <w:szCs w:val="24"/>
        </w:rPr>
        <w:t>1</w:t>
      </w:r>
      <w:r w:rsidR="0093282E">
        <w:rPr>
          <w:rFonts w:ascii="Courier New" w:hAnsi="Courier New" w:cs="Courier New"/>
          <w:sz w:val="24"/>
          <w:szCs w:val="24"/>
        </w:rPr>
        <w:t>5</w:t>
      </w:r>
      <w:r w:rsidR="00EB2D85">
        <w:rPr>
          <w:rFonts w:ascii="Courier New" w:hAnsi="Courier New" w:cs="Courier New"/>
          <w:sz w:val="24"/>
          <w:szCs w:val="24"/>
        </w:rPr>
        <w:t>-14ATA</w:t>
      </w:r>
      <w:r w:rsidR="00AE0EDA">
        <w:rPr>
          <w:rFonts w:ascii="Courier New" w:hAnsi="Courier New" w:cs="Courier New"/>
          <w:sz w:val="24"/>
          <w:szCs w:val="24"/>
        </w:rPr>
        <w:t>]</w:t>
      </w:r>
    </w:p>
    <w:p w:rsidR="00724ACE" w:rsidRPr="00724ACE" w:rsidRDefault="00724ACE" w:rsidP="00724ACE">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RDefault="00BA3FC6" w:rsidP="003B71AA">
      <w:pPr>
        <w:tabs>
          <w:tab w:val="center" w:pos="4680"/>
        </w:tabs>
        <w:spacing w:line="480" w:lineRule="auto"/>
        <w:jc w:val="both"/>
        <w:rPr>
          <w:rFonts w:ascii="Courier New" w:hAnsi="Courier New" w:cs="Courier New"/>
          <w:sz w:val="24"/>
          <w:szCs w:val="24"/>
        </w:rPr>
      </w:pPr>
    </w:p>
    <w:p w:rsidR="00EB2D85" w:rsidRPr="00F74978" w:rsidRDefault="00EB2D85" w:rsidP="00EB2D85">
      <w:pPr>
        <w:spacing w:line="480" w:lineRule="auto"/>
        <w:ind w:firstLine="720"/>
        <w:rPr>
          <w:rFonts w:ascii="Courier New" w:hAnsi="Courier New" w:cs="Courier New"/>
          <w:sz w:val="24"/>
          <w:szCs w:val="24"/>
        </w:rPr>
      </w:pPr>
      <w:r>
        <w:rPr>
          <w:rFonts w:ascii="Courier New" w:hAnsi="Courier New" w:cs="Courier New"/>
          <w:sz w:val="24"/>
          <w:szCs w:val="24"/>
        </w:rPr>
        <w:t xml:space="preserve">The Agency for </w:t>
      </w:r>
      <w:r w:rsidR="00EE66E6">
        <w:rPr>
          <w:rFonts w:ascii="Courier New" w:hAnsi="Courier New" w:cs="Courier New"/>
          <w:sz w:val="24"/>
          <w:szCs w:val="24"/>
        </w:rPr>
        <w:t>Toxic Substances and Disease Registry (ATSDR)</w:t>
      </w:r>
      <w:r w:rsidRPr="00F74978">
        <w:rPr>
          <w:rFonts w:ascii="Courier New" w:hAnsi="Courier New" w:cs="Courier New"/>
          <w:sz w:val="24"/>
          <w:szCs w:val="24"/>
        </w:rPr>
        <w:t xml:space="preserve"> has submitted the following information collection request to the Office of Management and Budget (OMB) for review and approval in accordance with the Paperwork Reduction Act of 1995. The notice for the proposed information collection is published to obtain comments from the public and affected agencies.</w:t>
      </w:r>
    </w:p>
    <w:p w:rsidR="00EB2D85" w:rsidRPr="00F74978" w:rsidRDefault="00EB2D85" w:rsidP="00EB2D85">
      <w:pPr>
        <w:spacing w:line="480" w:lineRule="auto"/>
        <w:ind w:firstLine="720"/>
        <w:rPr>
          <w:rFonts w:ascii="Courier New" w:hAnsi="Courier New" w:cs="Courier New"/>
          <w:sz w:val="24"/>
          <w:szCs w:val="24"/>
        </w:rPr>
      </w:pPr>
    </w:p>
    <w:p w:rsidR="00EB2D85" w:rsidRDefault="00EB2D85" w:rsidP="00EB2D85">
      <w:pPr>
        <w:spacing w:line="480" w:lineRule="auto"/>
        <w:ind w:firstLine="720"/>
        <w:rPr>
          <w:rFonts w:ascii="Courier New" w:hAnsi="Courier New" w:cs="Courier New"/>
          <w:sz w:val="24"/>
          <w:szCs w:val="24"/>
        </w:rPr>
      </w:pPr>
      <w:r w:rsidRPr="00F74978">
        <w:rPr>
          <w:rFonts w:ascii="Courier New" w:hAnsi="Courier New" w:cs="Courier New"/>
          <w:sz w:val="24"/>
          <w:szCs w:val="24"/>
        </w:rPr>
        <w:t xml:space="preserve">Written comments and suggestions from the public and affected agencies concerning the proposed collection of information are encouraged. Your comments should address any of the following: (a) Evaluate whether the proposed collection of information is necessary for the proper performance of the functions of the agency, including whether the information will have practical utility; (b) Evaluate the accuracy of the agencies estimate of the burden of the proposed collection of information, including the validity of the methodology and assumptions used; (c) Enhance the quality, utility, and clarity </w:t>
      </w:r>
      <w:r w:rsidRPr="00F74978">
        <w:rPr>
          <w:rFonts w:ascii="Courier New" w:hAnsi="Courier New" w:cs="Courier New"/>
          <w:sz w:val="24"/>
          <w:szCs w:val="24"/>
        </w:rPr>
        <w:lastRenderedPageBreak/>
        <w:t xml:space="preserve">of the information to be collected; </w:t>
      </w: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 through the use of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and (e) Assess information collection costs</w:t>
      </w:r>
      <w:r w:rsidRPr="00F74978">
        <w:rPr>
          <w:rFonts w:ascii="Courier New" w:hAnsi="Courier New" w:cs="Courier New"/>
          <w:sz w:val="24"/>
          <w:szCs w:val="24"/>
        </w:rPr>
        <w:t>.</w:t>
      </w:r>
    </w:p>
    <w:p w:rsidR="00EB2D85" w:rsidRDefault="00EB2D85" w:rsidP="00EB2D85">
      <w:pPr>
        <w:spacing w:line="480" w:lineRule="auto"/>
        <w:ind w:firstLine="720"/>
        <w:rPr>
          <w:rFonts w:ascii="Courier New" w:hAnsi="Courier New" w:cs="Courier New"/>
          <w:sz w:val="24"/>
          <w:szCs w:val="24"/>
        </w:rPr>
      </w:pPr>
    </w:p>
    <w:p w:rsidR="00EB2D85" w:rsidRDefault="00EB2D85" w:rsidP="00EB2D85">
      <w:pPr>
        <w:spacing w:line="480" w:lineRule="auto"/>
        <w:ind w:firstLine="720"/>
        <w:rPr>
          <w:rFonts w:ascii="Courier New" w:hAnsi="Courier New" w:cs="Courier New"/>
          <w:sz w:val="24"/>
          <w:szCs w:val="24"/>
        </w:rPr>
      </w:pPr>
      <w:r w:rsidRPr="00FB7824">
        <w:rPr>
          <w:rFonts w:ascii="Courier New" w:hAnsi="Courier New" w:cs="Courier New"/>
          <w:sz w:val="24"/>
          <w:szCs w:val="24"/>
        </w:rPr>
        <w:t>To request additional information on the proposed project or to obtain a copy of the information collection plan and instruments, call</w:t>
      </w:r>
      <w:r w:rsidRPr="00F74978">
        <w:rPr>
          <w:rFonts w:ascii="Courier New" w:hAnsi="Courier New" w:cs="Courier New"/>
          <w:sz w:val="24"/>
          <w:szCs w:val="24"/>
        </w:rPr>
        <w:t xml:space="preserve"> (404) 639-7570 or send an email to </w:t>
      </w:r>
      <w:r w:rsidRPr="00F74978">
        <w:rPr>
          <w:rFonts w:ascii="Courier New" w:hAnsi="Courier New" w:cs="Courier New"/>
          <w:sz w:val="24"/>
          <w:szCs w:val="24"/>
          <w:u w:val="single"/>
        </w:rPr>
        <w:t>omb@cdc.gov</w:t>
      </w:r>
      <w:r w:rsidRPr="00F74978">
        <w:rPr>
          <w:rFonts w:ascii="Courier New" w:hAnsi="Courier New" w:cs="Courier New"/>
          <w:sz w:val="24"/>
          <w:szCs w:val="24"/>
        </w:rPr>
        <w:t xml:space="preserve">.  </w:t>
      </w:r>
      <w:r w:rsidRPr="00D30265">
        <w:rPr>
          <w:rFonts w:ascii="Courier New" w:hAnsi="Courier New" w:cs="Courier New"/>
          <w:sz w:val="24"/>
          <w:szCs w:val="24"/>
        </w:rPr>
        <w:t>Written comments and/or suggestions regarding the items contained in this notice should be directed to the Attention: CDC Desk Officer, Office of Management and Budget, Washington, DC 20503 or by fax</w:t>
      </w:r>
      <w:r w:rsidRPr="00C83EDB">
        <w:rPr>
          <w:rFonts w:ascii="Courier New" w:hAnsi="Courier New" w:cs="Courier New"/>
          <w:sz w:val="24"/>
          <w:szCs w:val="24"/>
        </w:rPr>
        <w:t xml:space="preserve"> to (202) 395-</w:t>
      </w:r>
      <w:r>
        <w:rPr>
          <w:rFonts w:ascii="Courier New" w:hAnsi="Courier New" w:cs="Courier New"/>
          <w:sz w:val="24"/>
          <w:szCs w:val="24"/>
        </w:rPr>
        <w:t>5806</w:t>
      </w:r>
      <w:r w:rsidRPr="00C83EDB">
        <w:rPr>
          <w:rFonts w:ascii="Courier New" w:hAnsi="Courier New" w:cs="Courier New"/>
          <w:sz w:val="24"/>
          <w:szCs w:val="24"/>
        </w:rPr>
        <w:t>.  Written comments should be received within 30 days of this notice.</w:t>
      </w:r>
    </w:p>
    <w:p w:rsidR="00AD6421" w:rsidRDefault="00AD6421" w:rsidP="00E05E61">
      <w:pPr>
        <w:spacing w:line="480" w:lineRule="auto"/>
        <w:jc w:val="both"/>
        <w:rPr>
          <w:rFonts w:ascii="Courier New" w:hAnsi="Courier New" w:cs="Courier New"/>
          <w:b/>
          <w:sz w:val="24"/>
        </w:rPr>
      </w:pPr>
    </w:p>
    <w:p w:rsidR="00E05E61" w:rsidRPr="007F6153" w:rsidRDefault="00E05E61" w:rsidP="00E05E61">
      <w:pPr>
        <w:spacing w:line="480" w:lineRule="auto"/>
        <w:jc w:val="both"/>
        <w:rPr>
          <w:rFonts w:ascii="Courier New" w:hAnsi="Courier New" w:cs="Courier New"/>
          <w:b/>
          <w:sz w:val="24"/>
        </w:rPr>
      </w:pPr>
      <w:r w:rsidRPr="007F6153">
        <w:rPr>
          <w:rFonts w:ascii="Courier New" w:hAnsi="Courier New" w:cs="Courier New"/>
          <w:b/>
          <w:sz w:val="24"/>
        </w:rPr>
        <w:t>Proposed Project</w:t>
      </w:r>
    </w:p>
    <w:p w:rsidR="00E05E61" w:rsidRPr="00AD6421" w:rsidRDefault="00E05E61" w:rsidP="00DC5D70">
      <w:pPr>
        <w:spacing w:line="480" w:lineRule="auto"/>
        <w:jc w:val="both"/>
        <w:rPr>
          <w:rFonts w:ascii="Courier New" w:hAnsi="Courier New" w:cs="Courier New"/>
          <w:sz w:val="24"/>
        </w:rPr>
      </w:pPr>
      <w:proofErr w:type="gramStart"/>
      <w:r w:rsidRPr="00AD6421">
        <w:rPr>
          <w:rFonts w:ascii="Courier New" w:hAnsi="Courier New" w:cs="Courier New"/>
          <w:sz w:val="24"/>
        </w:rPr>
        <w:t>Biomonitoring of Great Lakes Populations Program II – New – Agency for Toxic Substances and Disease Registry (ATSDR), Department of Health and Human Services (DHHS).</w:t>
      </w:r>
      <w:proofErr w:type="gramEnd"/>
    </w:p>
    <w:p w:rsidR="00AD6421" w:rsidRDefault="00AD6421" w:rsidP="00E05E61">
      <w:pPr>
        <w:spacing w:line="480" w:lineRule="auto"/>
        <w:jc w:val="both"/>
        <w:rPr>
          <w:rFonts w:ascii="Courier New" w:hAnsi="Courier New" w:cs="Courier New"/>
          <w:i/>
          <w:sz w:val="24"/>
        </w:rPr>
      </w:pPr>
    </w:p>
    <w:p w:rsidR="00E05E61" w:rsidRPr="00DC5D70" w:rsidRDefault="00E05E61" w:rsidP="00E05E61">
      <w:pPr>
        <w:spacing w:line="480" w:lineRule="auto"/>
        <w:jc w:val="both"/>
        <w:rPr>
          <w:rFonts w:ascii="Courier New" w:hAnsi="Courier New" w:cs="Courier New"/>
          <w:sz w:val="24"/>
          <w:u w:val="single"/>
        </w:rPr>
      </w:pPr>
      <w:r w:rsidRPr="00DC5D70">
        <w:rPr>
          <w:rFonts w:ascii="Courier New" w:hAnsi="Courier New" w:cs="Courier New"/>
          <w:sz w:val="24"/>
          <w:u w:val="single"/>
        </w:rPr>
        <w:t>Background and Brief Description</w:t>
      </w:r>
    </w:p>
    <w:p w:rsidR="00E05E61" w:rsidRPr="007F6153" w:rsidRDefault="00E05E61" w:rsidP="00E05E61">
      <w:pPr>
        <w:spacing w:line="480" w:lineRule="auto"/>
        <w:ind w:firstLine="720"/>
        <w:rPr>
          <w:rFonts w:ascii="Courier New" w:hAnsi="Courier New" w:cs="Courier New"/>
          <w:sz w:val="24"/>
        </w:rPr>
      </w:pPr>
      <w:r w:rsidRPr="007F6153">
        <w:rPr>
          <w:rFonts w:ascii="Courier New" w:hAnsi="Courier New" w:cs="Courier New"/>
          <w:sz w:val="24"/>
        </w:rPr>
        <w:lastRenderedPageBreak/>
        <w:t xml:space="preserve">The Great Lakes Basin has suffered decades of pollution and ecosystem damage. Many chemicals persist in Great Lakes sediments, as well as in wildlife and humans. These chemicals can build up in the aquatic food chain. Eating contaminated fish is a known route of human exposure. </w:t>
      </w:r>
    </w:p>
    <w:p w:rsidR="00E05E61" w:rsidRPr="007F6153" w:rsidRDefault="00E05E61" w:rsidP="00E05E61">
      <w:pPr>
        <w:spacing w:line="480" w:lineRule="auto"/>
        <w:ind w:firstLine="720"/>
        <w:rPr>
          <w:rFonts w:ascii="Courier New" w:hAnsi="Courier New" w:cs="Courier New"/>
          <w:sz w:val="24"/>
        </w:rPr>
      </w:pPr>
      <w:r w:rsidRPr="007F6153">
        <w:rPr>
          <w:rFonts w:ascii="Courier New" w:hAnsi="Courier New" w:cs="Courier New"/>
          <w:sz w:val="24"/>
        </w:rPr>
        <w:t>In 2009, the Great Lakes Restoration Initiative (GLRI) was enacted by Public Law 111-88. The GLRI FY2010–FY2014 Action Plan makes Great Lakes restoration a national priority for 1</w:t>
      </w:r>
      <w:r>
        <w:rPr>
          <w:rFonts w:ascii="Courier New" w:hAnsi="Courier New" w:cs="Courier New"/>
          <w:sz w:val="24"/>
        </w:rPr>
        <w:t xml:space="preserve">2 </w:t>
      </w:r>
      <w:r w:rsidRPr="007F6153">
        <w:rPr>
          <w:rFonts w:ascii="Courier New" w:hAnsi="Courier New" w:cs="Courier New"/>
          <w:sz w:val="24"/>
        </w:rPr>
        <w:t>Federal Agencies. The GLRI is led by the U.S. Environmental Protection Agency (US EPA). Under a 2013 interagency agreement with the US EPA, the Agency for Toxic Substances and Disease Registry (ATSDR) announced a funding opportunity called the “Biomonitoring of Great Lakes Populations” (CDC-RFA-TS13-1302).</w:t>
      </w:r>
    </w:p>
    <w:p w:rsidR="00E05E61" w:rsidRPr="001A13D7" w:rsidRDefault="00E05E61" w:rsidP="00E05E61">
      <w:pPr>
        <w:spacing w:line="480" w:lineRule="auto"/>
        <w:ind w:firstLine="720"/>
        <w:rPr>
          <w:rFonts w:ascii="Courier New" w:hAnsi="Courier New" w:cs="Courier New"/>
          <w:color w:val="000000"/>
          <w:sz w:val="24"/>
          <w:lang w:val="en"/>
        </w:rPr>
      </w:pPr>
      <w:r w:rsidRPr="007F6153">
        <w:rPr>
          <w:rFonts w:ascii="Courier New" w:hAnsi="Courier New" w:cs="Courier New"/>
          <w:color w:val="000000"/>
          <w:sz w:val="24"/>
          <w:lang w:val="en"/>
        </w:rPr>
        <w:t xml:space="preserve">This applied public health program aims to measure Great Lakes chemicals in human blood and urine. These measures will be a baseline for current and future restoration activities. The measures will be compared to available national estimates. This program also aims to take these measures from people who may be at </w:t>
      </w:r>
      <w:r w:rsidRPr="001A13D7">
        <w:rPr>
          <w:rFonts w:ascii="Courier New" w:hAnsi="Courier New" w:cs="Courier New"/>
          <w:color w:val="000000"/>
          <w:sz w:val="24"/>
          <w:lang w:val="en"/>
        </w:rPr>
        <w:t>higher risk of harm from chemical exposures.</w:t>
      </w:r>
    </w:p>
    <w:p w:rsidR="00E05E61" w:rsidRPr="007F6153" w:rsidRDefault="00E05E61" w:rsidP="00E05E61">
      <w:pPr>
        <w:spacing w:line="480" w:lineRule="auto"/>
        <w:ind w:firstLine="720"/>
        <w:rPr>
          <w:rFonts w:ascii="Courier New" w:hAnsi="Courier New" w:cs="Courier New"/>
          <w:sz w:val="24"/>
        </w:rPr>
      </w:pPr>
      <w:r w:rsidRPr="00DC5D70">
        <w:rPr>
          <w:rStyle w:val="QuoteChar"/>
          <w:rFonts w:ascii="Courier New" w:hAnsi="Courier New" w:cs="Courier New"/>
          <w:i w:val="0"/>
        </w:rPr>
        <w:t xml:space="preserve">This project will provide additional public health information to supplement </w:t>
      </w:r>
      <w:r w:rsidRPr="001A13D7">
        <w:rPr>
          <w:rFonts w:ascii="Courier New" w:hAnsi="Courier New" w:cs="Courier New"/>
          <w:sz w:val="24"/>
        </w:rPr>
        <w:t xml:space="preserve">the </w:t>
      </w:r>
      <w:r w:rsidR="00636CF7">
        <w:rPr>
          <w:rFonts w:ascii="Courier New" w:hAnsi="Courier New" w:cs="Courier New"/>
          <w:sz w:val="24"/>
        </w:rPr>
        <w:t xml:space="preserve">FY2010 </w:t>
      </w:r>
      <w:r w:rsidRPr="001A13D7">
        <w:rPr>
          <w:rFonts w:ascii="Courier New" w:hAnsi="Courier New" w:cs="Courier New"/>
          <w:sz w:val="24"/>
        </w:rPr>
        <w:t>CDC-RFA-TS10-1001</w:t>
      </w:r>
      <w:r w:rsidRPr="007F6153">
        <w:rPr>
          <w:rFonts w:ascii="Courier New" w:hAnsi="Courier New" w:cs="Courier New"/>
          <w:sz w:val="24"/>
        </w:rPr>
        <w:t xml:space="preserve"> cooperative agreement program</w:t>
      </w:r>
      <w:r w:rsidR="00337632">
        <w:rPr>
          <w:rFonts w:ascii="Courier New" w:hAnsi="Courier New" w:cs="Courier New"/>
          <w:sz w:val="24"/>
        </w:rPr>
        <w:t>,</w:t>
      </w:r>
      <w:r>
        <w:rPr>
          <w:rFonts w:ascii="Courier New" w:hAnsi="Courier New" w:cs="Courier New"/>
          <w:sz w:val="24"/>
        </w:rPr>
        <w:t xml:space="preserve"> “</w:t>
      </w:r>
      <w:r w:rsidRPr="007F6153">
        <w:rPr>
          <w:rFonts w:ascii="Courier New" w:hAnsi="Courier New" w:cs="Courier New"/>
          <w:sz w:val="24"/>
        </w:rPr>
        <w:t>Biomonitoring of Great Lakes Populations</w:t>
      </w:r>
      <w:r w:rsidR="00337632">
        <w:rPr>
          <w:rFonts w:ascii="Courier New" w:hAnsi="Courier New" w:cs="Courier New"/>
          <w:sz w:val="24"/>
        </w:rPr>
        <w:t>,</w:t>
      </w:r>
      <w:r w:rsidRPr="007F6153">
        <w:rPr>
          <w:rFonts w:ascii="Courier New" w:hAnsi="Courier New" w:cs="Courier New"/>
          <w:sz w:val="24"/>
        </w:rPr>
        <w:t xml:space="preserve">” </w:t>
      </w:r>
      <w:r>
        <w:rPr>
          <w:rFonts w:ascii="Courier New" w:hAnsi="Courier New" w:cs="Courier New"/>
          <w:sz w:val="24"/>
        </w:rPr>
        <w:t xml:space="preserve">hereafter referred </w:t>
      </w:r>
      <w:r w:rsidR="001A13D7">
        <w:rPr>
          <w:rFonts w:ascii="Courier New" w:hAnsi="Courier New" w:cs="Courier New"/>
          <w:sz w:val="24"/>
        </w:rPr>
        <w:t xml:space="preserve">to </w:t>
      </w:r>
      <w:r>
        <w:rPr>
          <w:rFonts w:ascii="Courier New" w:hAnsi="Courier New" w:cs="Courier New"/>
          <w:sz w:val="24"/>
        </w:rPr>
        <w:t>as “Program I”</w:t>
      </w:r>
      <w:r w:rsidR="00337632">
        <w:rPr>
          <w:rFonts w:ascii="Courier New" w:hAnsi="Courier New" w:cs="Courier New"/>
          <w:sz w:val="24"/>
        </w:rPr>
        <w:t xml:space="preserve"> (</w:t>
      </w:r>
      <w:r>
        <w:rPr>
          <w:rFonts w:ascii="Courier New" w:hAnsi="Courier New" w:cs="Courier New"/>
          <w:sz w:val="24"/>
        </w:rPr>
        <w:t xml:space="preserve">OMB Control Number </w:t>
      </w:r>
      <w:r w:rsidRPr="00DD3744">
        <w:rPr>
          <w:rFonts w:ascii="Courier New" w:hAnsi="Courier New" w:cs="Courier New"/>
          <w:sz w:val="24"/>
        </w:rPr>
        <w:t>0923-0044</w:t>
      </w:r>
      <w:r>
        <w:rPr>
          <w:rFonts w:ascii="Courier New" w:hAnsi="Courier New" w:cs="Courier New"/>
          <w:sz w:val="24"/>
        </w:rPr>
        <w:t>)</w:t>
      </w:r>
      <w:r w:rsidRPr="007F6153">
        <w:rPr>
          <w:rFonts w:ascii="Courier New" w:hAnsi="Courier New" w:cs="Courier New"/>
          <w:sz w:val="24"/>
        </w:rPr>
        <w:t xml:space="preserve">.  The purpose of the current announcement is </w:t>
      </w:r>
      <w:r w:rsidRPr="007F6153">
        <w:rPr>
          <w:rFonts w:ascii="Courier New" w:hAnsi="Courier New" w:cs="Courier New"/>
          <w:sz w:val="24"/>
        </w:rPr>
        <w:lastRenderedPageBreak/>
        <w:t xml:space="preserve">to evaluate body burden levels of priority contaminants in </w:t>
      </w:r>
      <w:r w:rsidR="00EC5CBA">
        <w:rPr>
          <w:rFonts w:ascii="Courier New" w:hAnsi="Courier New" w:cs="Courier New"/>
          <w:sz w:val="24"/>
        </w:rPr>
        <w:t xml:space="preserve">additional </w:t>
      </w:r>
      <w:r w:rsidRPr="007F6153">
        <w:rPr>
          <w:rFonts w:ascii="Courier New" w:hAnsi="Courier New" w:cs="Courier New"/>
          <w:sz w:val="24"/>
        </w:rPr>
        <w:t>Great Lakes residents</w:t>
      </w:r>
      <w:r w:rsidR="00EC5CBA">
        <w:rPr>
          <w:rFonts w:ascii="Courier New" w:hAnsi="Courier New" w:cs="Courier New"/>
          <w:sz w:val="24"/>
        </w:rPr>
        <w:t xml:space="preserve"> and susceptible populations</w:t>
      </w:r>
      <w:r w:rsidRPr="007F6153">
        <w:rPr>
          <w:rFonts w:ascii="Courier New" w:hAnsi="Courier New" w:cs="Courier New"/>
          <w:sz w:val="24"/>
        </w:rPr>
        <w:t xml:space="preserve"> who are at highest exposure risk </w:t>
      </w:r>
      <w:r w:rsidR="00EC5CBA">
        <w:rPr>
          <w:rFonts w:ascii="Courier New" w:hAnsi="Courier New" w:cs="Courier New"/>
          <w:sz w:val="24"/>
        </w:rPr>
        <w:t xml:space="preserve">and who are living </w:t>
      </w:r>
      <w:r w:rsidRPr="007F6153">
        <w:rPr>
          <w:rFonts w:ascii="Courier New" w:hAnsi="Courier New" w:cs="Courier New"/>
          <w:sz w:val="24"/>
        </w:rPr>
        <w:t>in an area</w:t>
      </w:r>
      <w:r w:rsidR="00EC5CBA">
        <w:rPr>
          <w:rFonts w:ascii="Courier New" w:hAnsi="Courier New" w:cs="Courier New"/>
          <w:sz w:val="24"/>
        </w:rPr>
        <w:t xml:space="preserve"> </w:t>
      </w:r>
      <w:r w:rsidRPr="007F6153">
        <w:rPr>
          <w:rFonts w:ascii="Courier New" w:hAnsi="Courier New" w:cs="Courier New"/>
          <w:sz w:val="24"/>
        </w:rPr>
        <w:t xml:space="preserve">that </w:t>
      </w:r>
      <w:r w:rsidR="00EC5CBA">
        <w:rPr>
          <w:rFonts w:ascii="Courier New" w:hAnsi="Courier New" w:cs="Courier New"/>
          <w:sz w:val="24"/>
        </w:rPr>
        <w:t>was</w:t>
      </w:r>
      <w:r w:rsidRPr="007F6153">
        <w:rPr>
          <w:rFonts w:ascii="Courier New" w:hAnsi="Courier New" w:cs="Courier New"/>
          <w:sz w:val="24"/>
        </w:rPr>
        <w:t xml:space="preserve"> not </w:t>
      </w:r>
      <w:r>
        <w:rPr>
          <w:rFonts w:ascii="Courier New" w:hAnsi="Courier New" w:cs="Courier New"/>
          <w:sz w:val="24"/>
        </w:rPr>
        <w:t xml:space="preserve">previously </w:t>
      </w:r>
      <w:r w:rsidRPr="007F6153">
        <w:rPr>
          <w:rFonts w:ascii="Courier New" w:hAnsi="Courier New" w:cs="Courier New"/>
          <w:sz w:val="24"/>
        </w:rPr>
        <w:t>addressed in</w:t>
      </w:r>
      <w:r>
        <w:rPr>
          <w:rFonts w:ascii="Courier New" w:hAnsi="Courier New" w:cs="Courier New"/>
          <w:sz w:val="24"/>
        </w:rPr>
        <w:t xml:space="preserve"> Program I</w:t>
      </w:r>
      <w:r w:rsidRPr="007F6153">
        <w:rPr>
          <w:rFonts w:ascii="Courier New" w:hAnsi="Courier New" w:cs="Courier New"/>
          <w:sz w:val="24"/>
        </w:rPr>
        <w:t>.</w:t>
      </w:r>
    </w:p>
    <w:p w:rsidR="00E05E61" w:rsidRPr="007F6153" w:rsidRDefault="00E05E61" w:rsidP="00E05E61">
      <w:pPr>
        <w:spacing w:line="480" w:lineRule="auto"/>
        <w:ind w:firstLine="720"/>
        <w:rPr>
          <w:rFonts w:ascii="Courier New" w:hAnsi="Courier New" w:cs="Courier New"/>
          <w:color w:val="000000"/>
          <w:sz w:val="24"/>
          <w:lang w:val="en"/>
        </w:rPr>
      </w:pPr>
      <w:r w:rsidRPr="007F6153">
        <w:rPr>
          <w:rFonts w:ascii="Courier New" w:hAnsi="Courier New" w:cs="Courier New"/>
          <w:color w:val="000000"/>
          <w:sz w:val="24"/>
          <w:lang w:val="en"/>
        </w:rPr>
        <w:t>The New York State Department of Health (NYSDOH) received funding for the current program. NYSDOH will look at two subpopulations of adults living in Syracuse, NY</w:t>
      </w:r>
      <w:r w:rsidR="00337632">
        <w:rPr>
          <w:rFonts w:ascii="Courier New" w:hAnsi="Courier New" w:cs="Courier New"/>
          <w:color w:val="000000"/>
          <w:sz w:val="24"/>
          <w:lang w:val="en"/>
        </w:rPr>
        <w:t>,</w:t>
      </w:r>
      <w:r w:rsidRPr="007F6153">
        <w:rPr>
          <w:rFonts w:ascii="Courier New" w:hAnsi="Courier New" w:cs="Courier New"/>
          <w:color w:val="000000"/>
          <w:sz w:val="24"/>
          <w:lang w:val="en"/>
        </w:rPr>
        <w:t xml:space="preserve"> who are known to eat fish from Onondaga Lake.  Onondaga Lake is a highly polluted Great Lakes Basin water body in Central New York located northwest of Syracuse.  The target subpopulations are: (1) Burmese and Bhutanese refugees who</w:t>
      </w:r>
      <w:r>
        <w:rPr>
          <w:rFonts w:ascii="Courier New" w:hAnsi="Courier New" w:cs="Courier New"/>
          <w:color w:val="000000"/>
          <w:sz w:val="24"/>
          <w:lang w:val="en"/>
        </w:rPr>
        <w:t xml:space="preserve"> are known</w:t>
      </w:r>
      <w:r w:rsidRPr="007F6153">
        <w:rPr>
          <w:rFonts w:ascii="Courier New" w:hAnsi="Courier New" w:cs="Courier New"/>
          <w:color w:val="000000"/>
          <w:sz w:val="24"/>
          <w:lang w:val="en"/>
        </w:rPr>
        <w:t xml:space="preserve"> to eat a substantial amount of fish from Onondaga Lake (300 people); (2) an urban population who rely on fish from Onondaga Lake as a source of food (100 people). </w:t>
      </w:r>
      <w:r w:rsidR="00337632">
        <w:rPr>
          <w:rFonts w:ascii="Courier New" w:hAnsi="Courier New" w:cs="Courier New"/>
          <w:color w:val="000000"/>
          <w:sz w:val="24"/>
          <w:lang w:val="en"/>
        </w:rPr>
        <w:t xml:space="preserve">Trained </w:t>
      </w:r>
      <w:r w:rsidRPr="007F6153">
        <w:rPr>
          <w:rFonts w:ascii="Courier New" w:hAnsi="Courier New" w:cs="Courier New"/>
          <w:color w:val="000000"/>
          <w:sz w:val="24"/>
          <w:lang w:val="en"/>
        </w:rPr>
        <w:t xml:space="preserve">NYSDOH study staff will work closely with local refugee and citizen support organizations to get people to take part in the study. Formative research will be conducted to determine the best method for recruiting these </w:t>
      </w:r>
      <w:r w:rsidR="000648BE">
        <w:rPr>
          <w:rFonts w:ascii="Courier New" w:hAnsi="Courier New" w:cs="Courier New"/>
          <w:color w:val="000000"/>
          <w:sz w:val="24"/>
          <w:lang w:val="en"/>
        </w:rPr>
        <w:t xml:space="preserve">Syracuse </w:t>
      </w:r>
      <w:r w:rsidRPr="007F6153">
        <w:rPr>
          <w:rFonts w:ascii="Courier New" w:hAnsi="Courier New" w:cs="Courier New"/>
          <w:color w:val="000000"/>
          <w:sz w:val="24"/>
          <w:lang w:val="en"/>
        </w:rPr>
        <w:t xml:space="preserve">populations </w:t>
      </w:r>
      <w:r w:rsidR="00337632">
        <w:rPr>
          <w:rFonts w:ascii="Courier New" w:hAnsi="Courier New" w:cs="Courier New"/>
          <w:color w:val="000000"/>
          <w:sz w:val="24"/>
          <w:lang w:val="en"/>
        </w:rPr>
        <w:t xml:space="preserve">who </w:t>
      </w:r>
      <w:r w:rsidRPr="007F6153">
        <w:rPr>
          <w:rFonts w:ascii="Courier New" w:hAnsi="Courier New" w:cs="Courier New"/>
          <w:color w:val="000000"/>
          <w:sz w:val="24"/>
          <w:lang w:val="en"/>
        </w:rPr>
        <w:t>eat fish from Onondaga Lake.</w:t>
      </w:r>
    </w:p>
    <w:p w:rsidR="00E05E61" w:rsidRPr="007F6153" w:rsidRDefault="00E05E61" w:rsidP="00E05E61">
      <w:pPr>
        <w:spacing w:line="480" w:lineRule="auto"/>
        <w:ind w:firstLine="720"/>
        <w:rPr>
          <w:rFonts w:ascii="Courier New" w:hAnsi="Courier New" w:cs="Courier New"/>
          <w:color w:val="000000"/>
          <w:sz w:val="24"/>
          <w:lang w:val="en"/>
        </w:rPr>
      </w:pPr>
      <w:r w:rsidRPr="007F6153">
        <w:rPr>
          <w:rFonts w:ascii="Courier New" w:hAnsi="Courier New" w:cs="Courier New"/>
          <w:sz w:val="24"/>
          <w:lang w:val="en"/>
        </w:rPr>
        <w:t>All respondents who consent will give blood and urine specimens. Their blood will be tested for polychlorinated biphenyls (PCBs)</w:t>
      </w:r>
      <w:r w:rsidRPr="007F6153">
        <w:rPr>
          <w:rFonts w:ascii="Courier New" w:hAnsi="Courier New" w:cs="Courier New"/>
          <w:sz w:val="24"/>
        </w:rPr>
        <w:t>, mercury, lead, cadmium, polybrominated diphenyl ethers (PBDEs)</w:t>
      </w:r>
      <w:proofErr w:type="gramStart"/>
      <w:r w:rsidRPr="007F6153">
        <w:rPr>
          <w:rFonts w:ascii="Courier New" w:hAnsi="Courier New" w:cs="Courier New"/>
          <w:sz w:val="24"/>
        </w:rPr>
        <w:t>,</w:t>
      </w:r>
      <w:proofErr w:type="gramEnd"/>
      <w:r w:rsidRPr="007F6153">
        <w:rPr>
          <w:rFonts w:ascii="Courier New" w:hAnsi="Courier New" w:cs="Courier New"/>
          <w:sz w:val="24"/>
        </w:rPr>
        <w:t xml:space="preserve"> perfluorinated compounds (PFCs), toxaphene, chlordane, oxychlordane and trans-nonachlor, </w:t>
      </w:r>
      <w:r w:rsidRPr="007F6153">
        <w:rPr>
          <w:rFonts w:ascii="Courier New" w:hAnsi="Courier New" w:cs="Courier New"/>
          <w:sz w:val="24"/>
        </w:rPr>
        <w:lastRenderedPageBreak/>
        <w:t>dieldrin, dechlorane plus, omega-3 fatty acids, blood lipids, and pesticides. Pesticides will include mirex, hexachlorobenzene, d</w:t>
      </w:r>
      <w:r w:rsidRPr="007F6153">
        <w:rPr>
          <w:rFonts w:ascii="Courier New" w:hAnsi="Courier New" w:cs="Courier New"/>
          <w:color w:val="000000"/>
          <w:sz w:val="24"/>
          <w:lang w:val="en"/>
        </w:rPr>
        <w:t xml:space="preserve">ichlorodiphenyltrichloroethane (DDT) and dichlorodiphenyldichloroethylene (DDE). Their urine will be tested for creatinine. </w:t>
      </w:r>
    </w:p>
    <w:p w:rsidR="00E05E61" w:rsidRPr="001057EE" w:rsidRDefault="00E05E61" w:rsidP="00E05E61">
      <w:pPr>
        <w:spacing w:line="480" w:lineRule="auto"/>
        <w:ind w:firstLine="720"/>
        <w:rPr>
          <w:rFonts w:ascii="Courier New" w:hAnsi="Courier New" w:cs="Courier New"/>
          <w:sz w:val="24"/>
          <w:lang w:val="en"/>
        </w:rPr>
      </w:pPr>
      <w:r w:rsidRPr="007F6153">
        <w:rPr>
          <w:rFonts w:ascii="Courier New" w:hAnsi="Courier New" w:cs="Courier New"/>
          <w:color w:val="000000"/>
          <w:sz w:val="24"/>
          <w:lang w:val="en"/>
        </w:rPr>
        <w:t xml:space="preserve">Respondents will also be interviewed. They will be asked about </w:t>
      </w:r>
      <w:r w:rsidRPr="007F6153">
        <w:rPr>
          <w:rFonts w:ascii="Courier New" w:hAnsi="Courier New" w:cs="Courier New"/>
          <w:sz w:val="24"/>
          <w:lang w:val="en"/>
        </w:rPr>
        <w:t>demographic and lifestyle factors, hobbies, and types of jobs which can contribute to chemical exposure. Some diet questions will be asked, too, with a focus on eating Great Lakes fish. There is no cost to respondents other than their time spent in the study.</w:t>
      </w:r>
      <w:r w:rsidRPr="007F6153" w:rsidDel="002D51DE">
        <w:rPr>
          <w:rFonts w:ascii="Courier New" w:hAnsi="Courier New" w:cs="Courier New"/>
          <w:sz w:val="24"/>
          <w:lang w:val="en"/>
        </w:rPr>
        <w:t xml:space="preserve"> </w:t>
      </w:r>
    </w:p>
    <w:p w:rsidR="00E05E61" w:rsidRPr="00964B2B" w:rsidRDefault="00E05E61" w:rsidP="00E05E61">
      <w:pPr>
        <w:spacing w:line="480" w:lineRule="auto"/>
        <w:ind w:firstLine="720"/>
        <w:rPr>
          <w:rFonts w:ascii="Courier New" w:hAnsi="Courier New" w:cs="Courier New"/>
          <w:sz w:val="24"/>
        </w:rPr>
      </w:pPr>
      <w:r w:rsidRPr="00CB4703">
        <w:rPr>
          <w:rFonts w:ascii="Courier New" w:hAnsi="Courier New" w:cs="Courier New"/>
          <w:sz w:val="24"/>
        </w:rPr>
        <w:t>The ATSDR</w:t>
      </w:r>
      <w:r>
        <w:rPr>
          <w:rFonts w:ascii="Courier New" w:hAnsi="Courier New" w:cs="Courier New"/>
          <w:sz w:val="24"/>
        </w:rPr>
        <w:t xml:space="preserve"> is requesting a two-year </w:t>
      </w:r>
      <w:r w:rsidR="00250743">
        <w:rPr>
          <w:rFonts w:ascii="Courier New" w:hAnsi="Courier New" w:cs="Courier New"/>
          <w:sz w:val="24"/>
        </w:rPr>
        <w:t xml:space="preserve">OMB </w:t>
      </w:r>
      <w:r>
        <w:rPr>
          <w:rFonts w:ascii="Courier New" w:hAnsi="Courier New" w:cs="Courier New"/>
          <w:sz w:val="24"/>
        </w:rPr>
        <w:t xml:space="preserve">approval </w:t>
      </w:r>
      <w:r w:rsidR="00250743">
        <w:rPr>
          <w:rFonts w:ascii="Courier New" w:hAnsi="Courier New" w:cs="Courier New"/>
          <w:sz w:val="24"/>
        </w:rPr>
        <w:t>for a total of 188 burden hours</w:t>
      </w:r>
      <w:r w:rsidR="009E3D9C">
        <w:rPr>
          <w:rFonts w:ascii="Courier New" w:hAnsi="Courier New" w:cs="Courier New"/>
          <w:sz w:val="24"/>
        </w:rPr>
        <w:t xml:space="preserve"> per year</w:t>
      </w:r>
      <w:bookmarkStart w:id="0" w:name="_GoBack"/>
      <w:bookmarkEnd w:id="0"/>
      <w:r w:rsidR="00250743">
        <w:rPr>
          <w:rFonts w:ascii="Courier New" w:hAnsi="Courier New" w:cs="Courier New"/>
          <w:sz w:val="24"/>
        </w:rPr>
        <w:t>. The agency</w:t>
      </w:r>
      <w:r w:rsidRPr="00964B2B">
        <w:rPr>
          <w:rFonts w:ascii="Courier New" w:hAnsi="Courier New" w:cs="Courier New"/>
          <w:sz w:val="24"/>
        </w:rPr>
        <w:t xml:space="preserve"> is authorized to conduct this program under the Comprehensive Environmental Response, Compensation, and Liability Act of 1980 (CERCLA), as amended by the Superfund Amendments and Reauthorization Act of 1986 (SARA).</w:t>
      </w:r>
    </w:p>
    <w:p w:rsidR="00E05E61" w:rsidRPr="00CB4703" w:rsidRDefault="00E05E61" w:rsidP="00E05E61">
      <w:pPr>
        <w:widowControl w:val="0"/>
        <w:tabs>
          <w:tab w:val="left" w:pos="0"/>
        </w:tabs>
        <w:spacing w:line="480" w:lineRule="auto"/>
        <w:rPr>
          <w:rFonts w:ascii="Courier New" w:hAnsi="Courier New" w:cs="Courier New"/>
          <w:color w:val="000000"/>
          <w:sz w:val="24"/>
          <w:u w:val="single"/>
        </w:rPr>
      </w:pPr>
      <w:r w:rsidRPr="00CB4703">
        <w:rPr>
          <w:rFonts w:ascii="Courier New" w:hAnsi="Courier New" w:cs="Courier New"/>
          <w:color w:val="000000"/>
          <w:sz w:val="24"/>
          <w:u w:val="single"/>
        </w:rPr>
        <w:t>Estimated Annualized Burden Hours</w:t>
      </w:r>
    </w:p>
    <w:tbl>
      <w:tblPr>
        <w:tblW w:w="9258"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229"/>
        <w:gridCol w:w="1425"/>
        <w:gridCol w:w="1827"/>
        <w:gridCol w:w="1827"/>
      </w:tblGrid>
      <w:tr w:rsidR="00EC130D" w:rsidRPr="007F6153" w:rsidTr="008540B8">
        <w:trPr>
          <w:trHeight w:val="710"/>
          <w:jc w:val="center"/>
        </w:trPr>
        <w:tc>
          <w:tcPr>
            <w:tcW w:w="1950" w:type="dxa"/>
            <w:shd w:val="clear" w:color="auto" w:fill="auto"/>
            <w:vAlign w:val="center"/>
            <w:hideMark/>
          </w:tcPr>
          <w:p w:rsidR="00EC130D" w:rsidRPr="00A90B3B" w:rsidRDefault="00EC130D" w:rsidP="00EE66E6">
            <w:pPr>
              <w:jc w:val="center"/>
              <w:rPr>
                <w:rFonts w:ascii="Courier New" w:hAnsi="Courier New" w:cs="Courier New"/>
                <w:sz w:val="24"/>
              </w:rPr>
            </w:pPr>
            <w:r w:rsidRPr="00A90B3B">
              <w:rPr>
                <w:rFonts w:ascii="Courier New" w:hAnsi="Courier New" w:cs="Courier New"/>
                <w:sz w:val="24"/>
              </w:rPr>
              <w:t>Type of Respondent</w:t>
            </w:r>
          </w:p>
        </w:tc>
        <w:tc>
          <w:tcPr>
            <w:tcW w:w="2229" w:type="dxa"/>
            <w:vAlign w:val="center"/>
          </w:tcPr>
          <w:p w:rsidR="00EC130D" w:rsidRPr="00A90B3B" w:rsidRDefault="00EC130D" w:rsidP="00EE66E6">
            <w:pPr>
              <w:jc w:val="center"/>
              <w:rPr>
                <w:rFonts w:ascii="Courier New" w:hAnsi="Courier New" w:cs="Courier New"/>
                <w:sz w:val="24"/>
              </w:rPr>
            </w:pPr>
            <w:r w:rsidRPr="00A90B3B">
              <w:rPr>
                <w:rFonts w:ascii="Courier New" w:hAnsi="Courier New" w:cs="Courier New"/>
                <w:sz w:val="24"/>
              </w:rPr>
              <w:t>Form Name</w:t>
            </w:r>
          </w:p>
        </w:tc>
        <w:tc>
          <w:tcPr>
            <w:tcW w:w="1425" w:type="dxa"/>
            <w:shd w:val="clear" w:color="auto" w:fill="auto"/>
            <w:vAlign w:val="center"/>
            <w:hideMark/>
          </w:tcPr>
          <w:p w:rsidR="00EC130D" w:rsidRPr="00A90B3B" w:rsidRDefault="00EC130D" w:rsidP="00EE66E6">
            <w:pPr>
              <w:jc w:val="center"/>
              <w:rPr>
                <w:rFonts w:ascii="Courier New" w:hAnsi="Courier New" w:cs="Courier New"/>
                <w:sz w:val="24"/>
              </w:rPr>
            </w:pPr>
            <w:r w:rsidRPr="00A90B3B">
              <w:rPr>
                <w:rFonts w:ascii="Courier New" w:hAnsi="Courier New" w:cs="Courier New"/>
                <w:sz w:val="24"/>
              </w:rPr>
              <w:t>N</w:t>
            </w:r>
            <w:r>
              <w:rPr>
                <w:rFonts w:ascii="Courier New" w:hAnsi="Courier New" w:cs="Courier New"/>
                <w:sz w:val="24"/>
              </w:rPr>
              <w:t>o.</w:t>
            </w:r>
            <w:r w:rsidRPr="00A90B3B">
              <w:rPr>
                <w:rFonts w:ascii="Courier New" w:hAnsi="Courier New" w:cs="Courier New"/>
                <w:sz w:val="24"/>
              </w:rPr>
              <w:t xml:space="preserve"> of Respondents</w:t>
            </w:r>
          </w:p>
        </w:tc>
        <w:tc>
          <w:tcPr>
            <w:tcW w:w="1827" w:type="dxa"/>
            <w:shd w:val="clear" w:color="auto" w:fill="auto"/>
            <w:vAlign w:val="center"/>
            <w:hideMark/>
          </w:tcPr>
          <w:p w:rsidR="00EC130D" w:rsidRPr="00A90B3B" w:rsidRDefault="00EC130D" w:rsidP="00EE66E6">
            <w:pPr>
              <w:jc w:val="center"/>
              <w:rPr>
                <w:rFonts w:ascii="Courier New" w:hAnsi="Courier New" w:cs="Courier New"/>
                <w:sz w:val="24"/>
              </w:rPr>
            </w:pPr>
            <w:r w:rsidRPr="00A90B3B">
              <w:rPr>
                <w:rFonts w:ascii="Courier New" w:hAnsi="Courier New" w:cs="Courier New"/>
                <w:sz w:val="24"/>
              </w:rPr>
              <w:t>N</w:t>
            </w:r>
            <w:r>
              <w:rPr>
                <w:rFonts w:ascii="Courier New" w:hAnsi="Courier New" w:cs="Courier New"/>
                <w:sz w:val="24"/>
              </w:rPr>
              <w:t>o.</w:t>
            </w:r>
            <w:r w:rsidRPr="00A90B3B">
              <w:rPr>
                <w:rFonts w:ascii="Courier New" w:hAnsi="Courier New" w:cs="Courier New"/>
                <w:sz w:val="24"/>
              </w:rPr>
              <w:t xml:space="preserve"> of Responses per Respondent</w:t>
            </w:r>
          </w:p>
        </w:tc>
        <w:tc>
          <w:tcPr>
            <w:tcW w:w="1827" w:type="dxa"/>
            <w:shd w:val="clear" w:color="auto" w:fill="auto"/>
            <w:vAlign w:val="center"/>
            <w:hideMark/>
          </w:tcPr>
          <w:p w:rsidR="00EC130D" w:rsidRPr="00A90B3B" w:rsidRDefault="00EC130D" w:rsidP="00EE66E6">
            <w:pPr>
              <w:jc w:val="center"/>
              <w:rPr>
                <w:rFonts w:ascii="Courier New" w:hAnsi="Courier New" w:cs="Courier New"/>
                <w:sz w:val="24"/>
              </w:rPr>
            </w:pPr>
            <w:r w:rsidRPr="00A90B3B">
              <w:rPr>
                <w:rFonts w:ascii="Courier New" w:hAnsi="Courier New" w:cs="Courier New"/>
                <w:sz w:val="24"/>
              </w:rPr>
              <w:t>Av</w:t>
            </w:r>
            <w:r>
              <w:rPr>
                <w:rFonts w:ascii="Courier New" w:hAnsi="Courier New" w:cs="Courier New"/>
                <w:sz w:val="24"/>
              </w:rPr>
              <w:t>g.</w:t>
            </w:r>
            <w:r w:rsidRPr="00A90B3B">
              <w:rPr>
                <w:rFonts w:ascii="Courier New" w:hAnsi="Courier New" w:cs="Courier New"/>
                <w:sz w:val="24"/>
              </w:rPr>
              <w:t xml:space="preserve"> Burden per Response</w:t>
            </w:r>
          </w:p>
          <w:p w:rsidR="00EC130D" w:rsidRPr="00A90B3B" w:rsidRDefault="00EC130D" w:rsidP="00EE66E6">
            <w:pPr>
              <w:jc w:val="center"/>
              <w:rPr>
                <w:rFonts w:ascii="Courier New" w:hAnsi="Courier New" w:cs="Courier New"/>
                <w:sz w:val="24"/>
              </w:rPr>
            </w:pPr>
            <w:r w:rsidRPr="00A90B3B">
              <w:rPr>
                <w:rFonts w:ascii="Courier New" w:hAnsi="Courier New" w:cs="Courier New"/>
                <w:sz w:val="24"/>
              </w:rPr>
              <w:t>(</w:t>
            </w:r>
            <w:proofErr w:type="gramStart"/>
            <w:r w:rsidRPr="00A90B3B">
              <w:rPr>
                <w:rFonts w:ascii="Courier New" w:hAnsi="Courier New" w:cs="Courier New"/>
                <w:sz w:val="24"/>
              </w:rPr>
              <w:t>in</w:t>
            </w:r>
            <w:proofErr w:type="gramEnd"/>
            <w:r w:rsidRPr="00A90B3B">
              <w:rPr>
                <w:rFonts w:ascii="Courier New" w:hAnsi="Courier New" w:cs="Courier New"/>
                <w:sz w:val="24"/>
              </w:rPr>
              <w:t xml:space="preserve"> hrs</w:t>
            </w:r>
            <w:r>
              <w:rPr>
                <w:rFonts w:ascii="Courier New" w:hAnsi="Courier New" w:cs="Courier New"/>
                <w:sz w:val="24"/>
              </w:rPr>
              <w:t>.</w:t>
            </w:r>
            <w:r w:rsidRPr="00A90B3B">
              <w:rPr>
                <w:rFonts w:ascii="Courier New" w:hAnsi="Courier New" w:cs="Courier New"/>
                <w:sz w:val="24"/>
              </w:rPr>
              <w:t>)</w:t>
            </w:r>
          </w:p>
        </w:tc>
      </w:tr>
      <w:tr w:rsidR="00EC130D" w:rsidRPr="007F6153" w:rsidTr="008540B8">
        <w:trPr>
          <w:trHeight w:val="440"/>
          <w:jc w:val="center"/>
        </w:trPr>
        <w:tc>
          <w:tcPr>
            <w:tcW w:w="1950" w:type="dxa"/>
            <w:vMerge w:val="restart"/>
            <w:vAlign w:val="center"/>
          </w:tcPr>
          <w:p w:rsidR="00EC130D" w:rsidRPr="00A90B3B" w:rsidRDefault="00EC130D" w:rsidP="00EE66E6">
            <w:pPr>
              <w:rPr>
                <w:rFonts w:ascii="Courier New" w:hAnsi="Courier New" w:cs="Courier New"/>
                <w:sz w:val="24"/>
              </w:rPr>
            </w:pPr>
            <w:r>
              <w:rPr>
                <w:rFonts w:ascii="Courier New" w:hAnsi="Courier New" w:cs="Courier New"/>
                <w:sz w:val="24"/>
              </w:rPr>
              <w:t xml:space="preserve">Refugees </w:t>
            </w:r>
            <w:r w:rsidRPr="00A90B3B">
              <w:rPr>
                <w:rFonts w:ascii="Courier New" w:hAnsi="Courier New" w:cs="Courier New"/>
                <w:sz w:val="24"/>
              </w:rPr>
              <w:t>from Burma and Bhutan living in Syracuse, NY</w:t>
            </w:r>
          </w:p>
        </w:tc>
        <w:tc>
          <w:tcPr>
            <w:tcW w:w="2229" w:type="dxa"/>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Eligibility Screening Survey</w:t>
            </w:r>
          </w:p>
        </w:tc>
        <w:tc>
          <w:tcPr>
            <w:tcW w:w="1425" w:type="dxa"/>
            <w:vAlign w:val="center"/>
          </w:tcPr>
          <w:p w:rsidR="00EC130D" w:rsidRPr="00A90B3B" w:rsidRDefault="00EC130D" w:rsidP="00EE66E6">
            <w:pPr>
              <w:jc w:val="right"/>
              <w:rPr>
                <w:rFonts w:ascii="Courier New" w:hAnsi="Courier New" w:cs="Courier New"/>
                <w:sz w:val="24"/>
              </w:rPr>
            </w:pPr>
            <w:r>
              <w:rPr>
                <w:rFonts w:ascii="Courier New" w:hAnsi="Courier New" w:cs="Courier New"/>
                <w:sz w:val="24"/>
              </w:rPr>
              <w:t>250</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5/60</w:t>
            </w:r>
          </w:p>
        </w:tc>
      </w:tr>
      <w:tr w:rsidR="00EC130D" w:rsidRPr="007F6153" w:rsidTr="008540B8">
        <w:trPr>
          <w:jc w:val="center"/>
        </w:trPr>
        <w:tc>
          <w:tcPr>
            <w:tcW w:w="1950" w:type="dxa"/>
            <w:vMerge/>
            <w:vAlign w:val="center"/>
          </w:tcPr>
          <w:p w:rsidR="00EC130D" w:rsidRPr="00A90B3B" w:rsidRDefault="00EC130D" w:rsidP="00EE66E6">
            <w:pPr>
              <w:rPr>
                <w:rFonts w:ascii="Courier New" w:hAnsi="Courier New" w:cs="Courier New"/>
                <w:sz w:val="24"/>
              </w:rPr>
            </w:pPr>
          </w:p>
        </w:tc>
        <w:tc>
          <w:tcPr>
            <w:tcW w:w="2229" w:type="dxa"/>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Informed Consent</w:t>
            </w:r>
          </w:p>
        </w:tc>
        <w:tc>
          <w:tcPr>
            <w:tcW w:w="1425" w:type="dxa"/>
            <w:vAlign w:val="center"/>
          </w:tcPr>
          <w:p w:rsidR="00EC130D" w:rsidRPr="00A90B3B" w:rsidRDefault="00EC130D" w:rsidP="00EE66E6">
            <w:pPr>
              <w:jc w:val="right"/>
              <w:rPr>
                <w:rFonts w:ascii="Courier New" w:hAnsi="Courier New" w:cs="Courier New"/>
                <w:sz w:val="24"/>
              </w:rPr>
            </w:pPr>
            <w:r>
              <w:rPr>
                <w:rFonts w:ascii="Courier New" w:hAnsi="Courier New" w:cs="Courier New"/>
                <w:sz w:val="24"/>
              </w:rPr>
              <w:t>150</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1/60</w:t>
            </w:r>
          </w:p>
        </w:tc>
      </w:tr>
      <w:tr w:rsidR="00EC130D" w:rsidRPr="007F6153" w:rsidTr="008540B8">
        <w:trPr>
          <w:jc w:val="center"/>
        </w:trPr>
        <w:tc>
          <w:tcPr>
            <w:tcW w:w="1950" w:type="dxa"/>
            <w:vMerge/>
            <w:vAlign w:val="center"/>
          </w:tcPr>
          <w:p w:rsidR="00EC130D" w:rsidRPr="00A90B3B" w:rsidRDefault="00EC130D" w:rsidP="00EE66E6">
            <w:pPr>
              <w:rPr>
                <w:rFonts w:ascii="Courier New" w:hAnsi="Courier New" w:cs="Courier New"/>
                <w:sz w:val="24"/>
              </w:rPr>
            </w:pPr>
          </w:p>
        </w:tc>
        <w:tc>
          <w:tcPr>
            <w:tcW w:w="2229" w:type="dxa"/>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Interview Questionnaire</w:t>
            </w:r>
          </w:p>
        </w:tc>
        <w:tc>
          <w:tcPr>
            <w:tcW w:w="1425" w:type="dxa"/>
            <w:vAlign w:val="center"/>
          </w:tcPr>
          <w:p w:rsidR="00EC130D" w:rsidRPr="00A90B3B" w:rsidRDefault="00EC130D" w:rsidP="00EE66E6">
            <w:pPr>
              <w:jc w:val="right"/>
              <w:rPr>
                <w:rFonts w:ascii="Courier New" w:hAnsi="Courier New" w:cs="Courier New"/>
                <w:sz w:val="24"/>
              </w:rPr>
            </w:pPr>
            <w:r>
              <w:rPr>
                <w:rFonts w:ascii="Courier New" w:hAnsi="Courier New" w:cs="Courier New"/>
                <w:sz w:val="24"/>
              </w:rPr>
              <w:t>150</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 xml:space="preserve">   45/60</w:t>
            </w:r>
          </w:p>
        </w:tc>
      </w:tr>
      <w:tr w:rsidR="00EC130D" w:rsidRPr="007F6153" w:rsidTr="008540B8">
        <w:trPr>
          <w:jc w:val="center"/>
        </w:trPr>
        <w:tc>
          <w:tcPr>
            <w:tcW w:w="1950" w:type="dxa"/>
            <w:vMerge/>
            <w:vAlign w:val="center"/>
          </w:tcPr>
          <w:p w:rsidR="00EC130D" w:rsidRPr="00A90B3B" w:rsidRDefault="00EC130D" w:rsidP="00EE66E6">
            <w:pPr>
              <w:rPr>
                <w:rFonts w:ascii="Courier New" w:hAnsi="Courier New" w:cs="Courier New"/>
                <w:sz w:val="24"/>
              </w:rPr>
            </w:pPr>
          </w:p>
        </w:tc>
        <w:tc>
          <w:tcPr>
            <w:tcW w:w="2229" w:type="dxa"/>
            <w:vAlign w:val="center"/>
          </w:tcPr>
          <w:p w:rsidR="00EC130D" w:rsidRPr="00A90B3B" w:rsidRDefault="00EC130D" w:rsidP="00EE66E6">
            <w:pPr>
              <w:rPr>
                <w:rFonts w:ascii="Courier New" w:hAnsi="Courier New" w:cs="Courier New"/>
                <w:color w:val="FF0000"/>
                <w:sz w:val="24"/>
              </w:rPr>
            </w:pPr>
            <w:r w:rsidRPr="00A90B3B">
              <w:rPr>
                <w:rFonts w:ascii="Courier New" w:hAnsi="Courier New" w:cs="Courier New"/>
                <w:sz w:val="24"/>
              </w:rPr>
              <w:t>Network Size Questions for Respondent Driven Sampling</w:t>
            </w:r>
          </w:p>
        </w:tc>
        <w:tc>
          <w:tcPr>
            <w:tcW w:w="1425" w:type="dxa"/>
            <w:vAlign w:val="center"/>
          </w:tcPr>
          <w:p w:rsidR="00EC130D" w:rsidRPr="00A90B3B" w:rsidRDefault="00EC130D" w:rsidP="00EE66E6">
            <w:pPr>
              <w:jc w:val="right"/>
              <w:rPr>
                <w:rFonts w:ascii="Courier New" w:hAnsi="Courier New" w:cs="Courier New"/>
                <w:sz w:val="24"/>
              </w:rPr>
            </w:pPr>
            <w:r>
              <w:rPr>
                <w:rFonts w:ascii="Courier New" w:hAnsi="Courier New" w:cs="Courier New"/>
                <w:sz w:val="24"/>
              </w:rPr>
              <w:t>150</w:t>
            </w:r>
          </w:p>
        </w:tc>
        <w:tc>
          <w:tcPr>
            <w:tcW w:w="1827" w:type="dxa"/>
            <w:vAlign w:val="center"/>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5/60</w:t>
            </w:r>
          </w:p>
        </w:tc>
      </w:tr>
      <w:tr w:rsidR="00EC130D" w:rsidRPr="007F6153" w:rsidTr="008540B8">
        <w:trPr>
          <w:jc w:val="center"/>
        </w:trPr>
        <w:tc>
          <w:tcPr>
            <w:tcW w:w="1950" w:type="dxa"/>
            <w:vMerge w:val="restart"/>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Urban subsistence anglers  living in  Syracuse, NY</w:t>
            </w:r>
          </w:p>
        </w:tc>
        <w:tc>
          <w:tcPr>
            <w:tcW w:w="2229" w:type="dxa"/>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Eligibility Screening Survey</w:t>
            </w:r>
          </w:p>
        </w:tc>
        <w:tc>
          <w:tcPr>
            <w:tcW w:w="1425" w:type="dxa"/>
            <w:vAlign w:val="center"/>
            <w:hideMark/>
          </w:tcPr>
          <w:p w:rsidR="00EC130D" w:rsidRPr="00A90B3B" w:rsidRDefault="00EC130D" w:rsidP="00EE66E6">
            <w:pPr>
              <w:jc w:val="right"/>
              <w:rPr>
                <w:rFonts w:ascii="Courier New" w:hAnsi="Courier New" w:cs="Courier New"/>
                <w:sz w:val="24"/>
              </w:rPr>
            </w:pPr>
            <w:r>
              <w:rPr>
                <w:rFonts w:ascii="Courier New" w:hAnsi="Courier New" w:cs="Courier New"/>
                <w:sz w:val="24"/>
              </w:rPr>
              <w:t>92</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5/60</w:t>
            </w:r>
          </w:p>
        </w:tc>
      </w:tr>
      <w:tr w:rsidR="00EC130D" w:rsidRPr="007F6153" w:rsidTr="008540B8">
        <w:trPr>
          <w:jc w:val="center"/>
        </w:trPr>
        <w:tc>
          <w:tcPr>
            <w:tcW w:w="1950" w:type="dxa"/>
            <w:vMerge/>
            <w:vAlign w:val="center"/>
          </w:tcPr>
          <w:p w:rsidR="00EC130D" w:rsidRPr="00A90B3B" w:rsidRDefault="00EC130D" w:rsidP="00EE66E6">
            <w:pPr>
              <w:rPr>
                <w:rFonts w:ascii="Courier New" w:hAnsi="Courier New" w:cs="Courier New"/>
                <w:sz w:val="24"/>
              </w:rPr>
            </w:pPr>
          </w:p>
        </w:tc>
        <w:tc>
          <w:tcPr>
            <w:tcW w:w="2229" w:type="dxa"/>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Informed Consent</w:t>
            </w:r>
          </w:p>
        </w:tc>
        <w:tc>
          <w:tcPr>
            <w:tcW w:w="1425" w:type="dxa"/>
            <w:vAlign w:val="center"/>
            <w:hideMark/>
          </w:tcPr>
          <w:p w:rsidR="00EC130D" w:rsidRPr="00A90B3B" w:rsidRDefault="00EC130D" w:rsidP="00EE66E6">
            <w:pPr>
              <w:jc w:val="right"/>
              <w:rPr>
                <w:rFonts w:ascii="Courier New" w:hAnsi="Courier New" w:cs="Courier New"/>
                <w:sz w:val="24"/>
              </w:rPr>
            </w:pPr>
            <w:r>
              <w:rPr>
                <w:rFonts w:ascii="Courier New" w:hAnsi="Courier New" w:cs="Courier New"/>
                <w:sz w:val="24"/>
              </w:rPr>
              <w:t>50</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1/60</w:t>
            </w:r>
          </w:p>
        </w:tc>
      </w:tr>
      <w:tr w:rsidR="00EC130D" w:rsidRPr="007F6153" w:rsidTr="008540B8">
        <w:trPr>
          <w:jc w:val="center"/>
        </w:trPr>
        <w:tc>
          <w:tcPr>
            <w:tcW w:w="1950" w:type="dxa"/>
            <w:vMerge/>
            <w:vAlign w:val="center"/>
          </w:tcPr>
          <w:p w:rsidR="00EC130D" w:rsidRPr="00A90B3B" w:rsidRDefault="00EC130D" w:rsidP="00EE66E6">
            <w:pPr>
              <w:rPr>
                <w:rFonts w:ascii="Courier New" w:hAnsi="Courier New" w:cs="Courier New"/>
                <w:sz w:val="24"/>
              </w:rPr>
            </w:pPr>
          </w:p>
        </w:tc>
        <w:tc>
          <w:tcPr>
            <w:tcW w:w="2229" w:type="dxa"/>
            <w:vAlign w:val="center"/>
          </w:tcPr>
          <w:p w:rsidR="00EC130D" w:rsidRPr="00A90B3B" w:rsidRDefault="00EC130D" w:rsidP="00EE66E6">
            <w:pPr>
              <w:rPr>
                <w:rFonts w:ascii="Courier New" w:hAnsi="Courier New" w:cs="Courier New"/>
                <w:sz w:val="24"/>
              </w:rPr>
            </w:pPr>
            <w:r w:rsidRPr="00A90B3B">
              <w:rPr>
                <w:rFonts w:ascii="Courier New" w:hAnsi="Courier New" w:cs="Courier New"/>
                <w:sz w:val="24"/>
              </w:rPr>
              <w:t>Interview          Questionnaire</w:t>
            </w:r>
          </w:p>
        </w:tc>
        <w:tc>
          <w:tcPr>
            <w:tcW w:w="1425" w:type="dxa"/>
            <w:vAlign w:val="center"/>
            <w:hideMark/>
          </w:tcPr>
          <w:p w:rsidR="00EC130D" w:rsidRPr="00A90B3B" w:rsidRDefault="00EC130D" w:rsidP="00EE66E6">
            <w:pPr>
              <w:jc w:val="right"/>
              <w:rPr>
                <w:rFonts w:ascii="Courier New" w:hAnsi="Courier New" w:cs="Courier New"/>
                <w:sz w:val="24"/>
              </w:rPr>
            </w:pPr>
            <w:r>
              <w:rPr>
                <w:rFonts w:ascii="Courier New" w:hAnsi="Courier New" w:cs="Courier New"/>
                <w:sz w:val="24"/>
              </w:rPr>
              <w:t>50</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hideMark/>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30/60</w:t>
            </w:r>
          </w:p>
        </w:tc>
      </w:tr>
      <w:tr w:rsidR="00EC130D" w:rsidRPr="007F6153" w:rsidTr="008540B8">
        <w:trPr>
          <w:jc w:val="center"/>
        </w:trPr>
        <w:tc>
          <w:tcPr>
            <w:tcW w:w="1950" w:type="dxa"/>
            <w:vMerge/>
            <w:vAlign w:val="center"/>
          </w:tcPr>
          <w:p w:rsidR="00EC130D" w:rsidRPr="00A90B3B" w:rsidRDefault="00EC130D" w:rsidP="00EE66E6">
            <w:pPr>
              <w:rPr>
                <w:rFonts w:ascii="Courier New" w:hAnsi="Courier New" w:cs="Courier New"/>
                <w:sz w:val="24"/>
              </w:rPr>
            </w:pPr>
          </w:p>
        </w:tc>
        <w:tc>
          <w:tcPr>
            <w:tcW w:w="2229" w:type="dxa"/>
            <w:vAlign w:val="center"/>
          </w:tcPr>
          <w:p w:rsidR="00EC130D" w:rsidRPr="00A90B3B" w:rsidRDefault="00EC130D" w:rsidP="00EE66E6">
            <w:pPr>
              <w:rPr>
                <w:rFonts w:ascii="Courier New" w:hAnsi="Courier New" w:cs="Courier New"/>
                <w:color w:val="FF0000"/>
                <w:sz w:val="24"/>
              </w:rPr>
            </w:pPr>
            <w:r w:rsidRPr="00A90B3B">
              <w:rPr>
                <w:rFonts w:ascii="Courier New" w:hAnsi="Courier New" w:cs="Courier New"/>
                <w:sz w:val="24"/>
              </w:rPr>
              <w:t>Network Size Questions for Respondent Driven Sampling</w:t>
            </w:r>
          </w:p>
        </w:tc>
        <w:tc>
          <w:tcPr>
            <w:tcW w:w="1425" w:type="dxa"/>
            <w:vAlign w:val="center"/>
          </w:tcPr>
          <w:p w:rsidR="00EC130D" w:rsidRPr="00A90B3B" w:rsidRDefault="00EC130D" w:rsidP="00EE66E6">
            <w:pPr>
              <w:jc w:val="right"/>
              <w:rPr>
                <w:rFonts w:ascii="Courier New" w:hAnsi="Courier New" w:cs="Courier New"/>
                <w:sz w:val="24"/>
              </w:rPr>
            </w:pPr>
            <w:r>
              <w:rPr>
                <w:rFonts w:ascii="Courier New" w:hAnsi="Courier New" w:cs="Courier New"/>
                <w:sz w:val="24"/>
              </w:rPr>
              <w:t>50</w:t>
            </w:r>
          </w:p>
        </w:tc>
        <w:tc>
          <w:tcPr>
            <w:tcW w:w="1827" w:type="dxa"/>
            <w:vAlign w:val="center"/>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1</w:t>
            </w:r>
          </w:p>
        </w:tc>
        <w:tc>
          <w:tcPr>
            <w:tcW w:w="1827" w:type="dxa"/>
            <w:vAlign w:val="center"/>
          </w:tcPr>
          <w:p w:rsidR="00EC130D" w:rsidRPr="00A90B3B" w:rsidRDefault="00EC130D" w:rsidP="00EE66E6">
            <w:pPr>
              <w:jc w:val="right"/>
              <w:rPr>
                <w:rFonts w:ascii="Courier New" w:hAnsi="Courier New" w:cs="Courier New"/>
                <w:sz w:val="24"/>
              </w:rPr>
            </w:pPr>
            <w:r w:rsidRPr="00A90B3B">
              <w:rPr>
                <w:rFonts w:ascii="Courier New" w:hAnsi="Courier New" w:cs="Courier New"/>
                <w:sz w:val="24"/>
              </w:rPr>
              <w:t>5/60</w:t>
            </w:r>
          </w:p>
        </w:tc>
      </w:tr>
    </w:tbl>
    <w:p w:rsidR="005E3DFC" w:rsidRDefault="005E3DFC" w:rsidP="008B4748">
      <w:pPr>
        <w:spacing w:line="480" w:lineRule="auto"/>
        <w:rPr>
          <w:rFonts w:ascii="Courier New" w:hAnsi="Courier New" w:cs="Courier New"/>
          <w:sz w:val="24"/>
          <w:szCs w:val="24"/>
        </w:rPr>
      </w:pPr>
    </w:p>
    <w:p w:rsidR="00A93511" w:rsidRDefault="00A93511" w:rsidP="008B4748">
      <w:pPr>
        <w:spacing w:line="480" w:lineRule="auto"/>
        <w:rPr>
          <w:rFonts w:ascii="Courier New" w:hAnsi="Courier New" w:cs="Courier New"/>
          <w:sz w:val="24"/>
          <w:szCs w:val="24"/>
        </w:rPr>
      </w:pPr>
      <w:r w:rsidRPr="00E14D4F">
        <w:rPr>
          <w:rFonts w:ascii="Courier New" w:hAnsi="Courier New" w:cs="Courier New"/>
          <w:sz w:val="24"/>
          <w:szCs w:val="24"/>
        </w:rPr>
        <w:t>DATE:</w:t>
      </w:r>
      <w:r>
        <w:rPr>
          <w:rFonts w:ascii="Courier New" w:hAnsi="Courier New" w:cs="Courier New"/>
          <w:sz w:val="24"/>
          <w:szCs w:val="24"/>
        </w:rPr>
        <w:t xml:space="preserve"> </w:t>
      </w:r>
    </w:p>
    <w:p w:rsidR="00A93511" w:rsidRDefault="00A93511" w:rsidP="003B71AA">
      <w:pPr>
        <w:jc w:val="both"/>
        <w:rPr>
          <w:rFonts w:ascii="Courier New" w:hAnsi="Courier New" w:cs="Courier New"/>
          <w:sz w:val="24"/>
          <w:szCs w:val="24"/>
        </w:rPr>
      </w:pPr>
    </w:p>
    <w:p w:rsidR="00C51EAE" w:rsidRDefault="00A93511" w:rsidP="003B71AA">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A93511" w:rsidRDefault="00C51EAE" w:rsidP="003B71AA">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93511">
        <w:rPr>
          <w:rFonts w:ascii="Courier New" w:hAnsi="Courier New" w:cs="Courier New"/>
          <w:sz w:val="24"/>
          <w:szCs w:val="24"/>
        </w:rPr>
        <w:t>______________________________________</w:t>
      </w:r>
    </w:p>
    <w:p w:rsidR="00EC130D" w:rsidRPr="00D3495A" w:rsidRDefault="00EC130D" w:rsidP="00EC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Pr>
          <w:rFonts w:ascii="Courier New" w:hAnsi="Courier New" w:cs="Courier New"/>
          <w:color w:val="000000"/>
          <w:sz w:val="24"/>
        </w:rPr>
        <w:t>Leroy</w:t>
      </w:r>
      <w:r w:rsidRPr="00D3495A">
        <w:rPr>
          <w:rFonts w:ascii="Courier New" w:hAnsi="Courier New" w:cs="Courier New"/>
          <w:color w:val="000000"/>
          <w:sz w:val="24"/>
        </w:rPr>
        <w:t xml:space="preserve"> Richardson</w:t>
      </w:r>
    </w:p>
    <w:p w:rsidR="00EC130D" w:rsidRDefault="00EC130D" w:rsidP="00EC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Chief,</w:t>
      </w:r>
      <w:r>
        <w:rPr>
          <w:rFonts w:ascii="Courier New" w:hAnsi="Courier New" w:cs="Courier New"/>
          <w:color w:val="000000"/>
          <w:sz w:val="24"/>
        </w:rPr>
        <w:t xml:space="preserve"> </w:t>
      </w:r>
      <w:r w:rsidRPr="00D3495A">
        <w:rPr>
          <w:rFonts w:ascii="Courier New" w:hAnsi="Courier New" w:cs="Courier New"/>
          <w:color w:val="000000"/>
          <w:sz w:val="24"/>
        </w:rPr>
        <w:t>Infor</w:t>
      </w:r>
      <w:r>
        <w:rPr>
          <w:rFonts w:ascii="Courier New" w:hAnsi="Courier New" w:cs="Courier New"/>
          <w:color w:val="000000"/>
          <w:sz w:val="24"/>
        </w:rPr>
        <w:t>mation Collection Review Office</w:t>
      </w:r>
      <w:r w:rsidRPr="00D3495A">
        <w:rPr>
          <w:rFonts w:ascii="Courier New" w:hAnsi="Courier New" w:cs="Courier New"/>
          <w:color w:val="000000"/>
          <w:sz w:val="24"/>
        </w:rPr>
        <w:t xml:space="preserve"> </w:t>
      </w:r>
      <w:r>
        <w:rPr>
          <w:rFonts w:ascii="Courier New" w:hAnsi="Courier New" w:cs="Courier New"/>
          <w:color w:val="000000"/>
          <w:sz w:val="24"/>
        </w:rPr>
        <w:tab/>
      </w:r>
    </w:p>
    <w:p w:rsidR="00EC130D" w:rsidRPr="00D3495A" w:rsidRDefault="00EC130D" w:rsidP="00EC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Office of Scientific Integrity</w:t>
      </w:r>
    </w:p>
    <w:p w:rsidR="00EC130D" w:rsidRPr="00D3495A" w:rsidRDefault="00EC130D" w:rsidP="00EC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Office of the Associate Director for Science</w:t>
      </w:r>
    </w:p>
    <w:p w:rsidR="00EC130D" w:rsidRPr="00D3495A" w:rsidRDefault="00EC130D" w:rsidP="00EC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Office of the Director</w:t>
      </w:r>
    </w:p>
    <w:p w:rsidR="00EC130D" w:rsidRPr="003F3C1E" w:rsidRDefault="00EC130D" w:rsidP="00EC13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Centers for Disease Control and Prevention</w:t>
      </w:r>
    </w:p>
    <w:p w:rsidR="00B30DC2" w:rsidRPr="00D44088" w:rsidRDefault="00A93511" w:rsidP="00EC130D">
      <w:pPr>
        <w:jc w:val="both"/>
        <w:rPr>
          <w:sz w:val="24"/>
          <w:szCs w:val="24"/>
        </w:rPr>
      </w:pPr>
      <w:r w:rsidRPr="00D44088">
        <w:rPr>
          <w:sz w:val="24"/>
          <w:szCs w:val="24"/>
        </w:rPr>
        <w:tab/>
      </w:r>
      <w:r w:rsidRPr="00D44088">
        <w:rPr>
          <w:sz w:val="24"/>
          <w:szCs w:val="24"/>
        </w:rPr>
        <w:tab/>
      </w:r>
      <w:r w:rsidRPr="00D44088">
        <w:rPr>
          <w:sz w:val="24"/>
          <w:szCs w:val="24"/>
        </w:rPr>
        <w:tab/>
      </w:r>
      <w:r w:rsidRPr="00D44088">
        <w:rPr>
          <w:sz w:val="24"/>
          <w:szCs w:val="24"/>
        </w:rPr>
        <w:tab/>
      </w:r>
    </w:p>
    <w:sectPr w:rsidR="00B30DC2" w:rsidRPr="00D44088" w:rsidSect="00DC6A3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32" w:rsidRDefault="00337632">
      <w:r>
        <w:separator/>
      </w:r>
    </w:p>
  </w:endnote>
  <w:endnote w:type="continuationSeparator" w:id="0">
    <w:p w:rsidR="00337632" w:rsidRDefault="0033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32" w:rsidRDefault="00337632" w:rsidP="00DC6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7632" w:rsidRDefault="00337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32" w:rsidRDefault="00337632" w:rsidP="00DC6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13B">
      <w:rPr>
        <w:rStyle w:val="PageNumber"/>
        <w:noProof/>
      </w:rPr>
      <w:t>6</w:t>
    </w:r>
    <w:r>
      <w:rPr>
        <w:rStyle w:val="PageNumber"/>
      </w:rPr>
      <w:fldChar w:fldCharType="end"/>
    </w:r>
  </w:p>
  <w:p w:rsidR="00337632" w:rsidRPr="0057366F" w:rsidRDefault="00337632">
    <w:pPr>
      <w:pStyle w:val="Footer"/>
      <w:rPr>
        <w:rFonts w:ascii="Tahoma" w:hAnsi="Tahoma"/>
        <w:sz w:val="16"/>
        <w:szCs w:val="16"/>
      </w:rPr>
    </w:pPr>
    <w:r>
      <w:tab/>
    </w:r>
    <w:r>
      <w:tab/>
    </w:r>
    <w:r w:rsidRPr="0057366F">
      <w:rPr>
        <w:rFonts w:ascii="Tahoma" w:hAnsi="Tahoma"/>
        <w:sz w:val="16"/>
        <w:szCs w:val="16"/>
      </w:rPr>
      <w:t>30dy</w:t>
    </w:r>
    <w:r w:rsidR="009324D9">
      <w:rPr>
        <w:rFonts w:ascii="Tahoma" w:hAnsi="Tahoma"/>
        <w:sz w:val="16"/>
        <w:szCs w:val="16"/>
      </w:rPr>
      <w:t xml:space="preserve"> 0923-1</w:t>
    </w:r>
    <w:r w:rsidR="00BD2A95">
      <w:rPr>
        <w:rFonts w:ascii="Tahoma" w:hAnsi="Tahoma"/>
        <w:sz w:val="16"/>
        <w:szCs w:val="16"/>
      </w:rPr>
      <w:t>5</w:t>
    </w:r>
    <w:r w:rsidR="009324D9">
      <w:rPr>
        <w:rFonts w:ascii="Tahoma" w:hAnsi="Tahoma"/>
        <w:sz w:val="16"/>
        <w:szCs w:val="16"/>
      </w:rPr>
      <w:t>-14ATA</w:t>
    </w:r>
    <w:r>
      <w:rPr>
        <w:rFonts w:ascii="Tahoma" w:hAnsi="Tahoma"/>
        <w:sz w:val="16"/>
        <w:szCs w:val="16"/>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32" w:rsidRDefault="00337632">
      <w:r>
        <w:separator/>
      </w:r>
    </w:p>
  </w:footnote>
  <w:footnote w:type="continuationSeparator" w:id="0">
    <w:p w:rsidR="00337632" w:rsidRDefault="00337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15CD"/>
    <w:multiLevelType w:val="hybridMultilevel"/>
    <w:tmpl w:val="343C45DC"/>
    <w:lvl w:ilvl="0" w:tplc="7278C0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BC"/>
    <w:rsid w:val="000077C9"/>
    <w:rsid w:val="00015B37"/>
    <w:rsid w:val="000160A2"/>
    <w:rsid w:val="00017AF0"/>
    <w:rsid w:val="00021612"/>
    <w:rsid w:val="000227EA"/>
    <w:rsid w:val="00023F80"/>
    <w:rsid w:val="000246E4"/>
    <w:rsid w:val="00042A01"/>
    <w:rsid w:val="00052CA1"/>
    <w:rsid w:val="00055A0C"/>
    <w:rsid w:val="00060490"/>
    <w:rsid w:val="000613AB"/>
    <w:rsid w:val="0006297F"/>
    <w:rsid w:val="000648BE"/>
    <w:rsid w:val="000715D0"/>
    <w:rsid w:val="0008785A"/>
    <w:rsid w:val="0009233D"/>
    <w:rsid w:val="000A2D5A"/>
    <w:rsid w:val="000A358B"/>
    <w:rsid w:val="000A47E8"/>
    <w:rsid w:val="000B7C81"/>
    <w:rsid w:val="000C51C7"/>
    <w:rsid w:val="000D6AC9"/>
    <w:rsid w:val="000E2EEF"/>
    <w:rsid w:val="000E35AF"/>
    <w:rsid w:val="000F0BFE"/>
    <w:rsid w:val="00110DE8"/>
    <w:rsid w:val="00121C34"/>
    <w:rsid w:val="00121D1B"/>
    <w:rsid w:val="0012412B"/>
    <w:rsid w:val="001331AC"/>
    <w:rsid w:val="0014015A"/>
    <w:rsid w:val="00140364"/>
    <w:rsid w:val="00156566"/>
    <w:rsid w:val="001605F6"/>
    <w:rsid w:val="00172C63"/>
    <w:rsid w:val="00176629"/>
    <w:rsid w:val="0017754C"/>
    <w:rsid w:val="0018040C"/>
    <w:rsid w:val="00182965"/>
    <w:rsid w:val="00182DD9"/>
    <w:rsid w:val="00190A42"/>
    <w:rsid w:val="001920FA"/>
    <w:rsid w:val="00195C65"/>
    <w:rsid w:val="001965CC"/>
    <w:rsid w:val="001A13D7"/>
    <w:rsid w:val="001A4111"/>
    <w:rsid w:val="001A4417"/>
    <w:rsid w:val="001B0359"/>
    <w:rsid w:val="001B7A63"/>
    <w:rsid w:val="001C28BA"/>
    <w:rsid w:val="001C539C"/>
    <w:rsid w:val="001D0BCC"/>
    <w:rsid w:val="001D24A3"/>
    <w:rsid w:val="001D74A6"/>
    <w:rsid w:val="001E0334"/>
    <w:rsid w:val="001F2419"/>
    <w:rsid w:val="001F7E61"/>
    <w:rsid w:val="00205BE2"/>
    <w:rsid w:val="00207FA2"/>
    <w:rsid w:val="00231E29"/>
    <w:rsid w:val="00235B88"/>
    <w:rsid w:val="00241402"/>
    <w:rsid w:val="002414EA"/>
    <w:rsid w:val="00250743"/>
    <w:rsid w:val="002559EE"/>
    <w:rsid w:val="00257C6E"/>
    <w:rsid w:val="00270D90"/>
    <w:rsid w:val="002753D5"/>
    <w:rsid w:val="002770E5"/>
    <w:rsid w:val="00281091"/>
    <w:rsid w:val="002868E9"/>
    <w:rsid w:val="00286E33"/>
    <w:rsid w:val="002939CE"/>
    <w:rsid w:val="002976EC"/>
    <w:rsid w:val="002A2E96"/>
    <w:rsid w:val="002A3D6D"/>
    <w:rsid w:val="002B26A7"/>
    <w:rsid w:val="002B2FC4"/>
    <w:rsid w:val="002C179F"/>
    <w:rsid w:val="002C5B7F"/>
    <w:rsid w:val="002C726A"/>
    <w:rsid w:val="002D1FA7"/>
    <w:rsid w:val="002D3968"/>
    <w:rsid w:val="002D3DE1"/>
    <w:rsid w:val="002E06AA"/>
    <w:rsid w:val="002E0F9F"/>
    <w:rsid w:val="002E2C79"/>
    <w:rsid w:val="002E75B1"/>
    <w:rsid w:val="002F114B"/>
    <w:rsid w:val="002F4588"/>
    <w:rsid w:val="002F4D09"/>
    <w:rsid w:val="003053DA"/>
    <w:rsid w:val="003057F5"/>
    <w:rsid w:val="00306F3D"/>
    <w:rsid w:val="003116DA"/>
    <w:rsid w:val="0032704A"/>
    <w:rsid w:val="003331AD"/>
    <w:rsid w:val="00335F65"/>
    <w:rsid w:val="00337632"/>
    <w:rsid w:val="003435C5"/>
    <w:rsid w:val="003464F1"/>
    <w:rsid w:val="00361ADD"/>
    <w:rsid w:val="00365582"/>
    <w:rsid w:val="003670CE"/>
    <w:rsid w:val="0036766C"/>
    <w:rsid w:val="0036792B"/>
    <w:rsid w:val="00372FA1"/>
    <w:rsid w:val="00376B55"/>
    <w:rsid w:val="0038028E"/>
    <w:rsid w:val="00391A66"/>
    <w:rsid w:val="00395E6C"/>
    <w:rsid w:val="003A7B6A"/>
    <w:rsid w:val="003B71AA"/>
    <w:rsid w:val="003C32E2"/>
    <w:rsid w:val="003C4582"/>
    <w:rsid w:val="003C61AC"/>
    <w:rsid w:val="003D213D"/>
    <w:rsid w:val="003D4D53"/>
    <w:rsid w:val="003D732F"/>
    <w:rsid w:val="003E3251"/>
    <w:rsid w:val="003E7A71"/>
    <w:rsid w:val="003F1C21"/>
    <w:rsid w:val="003F2669"/>
    <w:rsid w:val="0040412A"/>
    <w:rsid w:val="004045A9"/>
    <w:rsid w:val="004125E1"/>
    <w:rsid w:val="00421C1D"/>
    <w:rsid w:val="00426D35"/>
    <w:rsid w:val="004538D2"/>
    <w:rsid w:val="00476DFE"/>
    <w:rsid w:val="00496205"/>
    <w:rsid w:val="004A115E"/>
    <w:rsid w:val="004B7202"/>
    <w:rsid w:val="004C0448"/>
    <w:rsid w:val="004C2173"/>
    <w:rsid w:val="004D3A0A"/>
    <w:rsid w:val="004D4BFC"/>
    <w:rsid w:val="004E05AF"/>
    <w:rsid w:val="004E293A"/>
    <w:rsid w:val="004E3573"/>
    <w:rsid w:val="004F2478"/>
    <w:rsid w:val="004F3ABC"/>
    <w:rsid w:val="004F564C"/>
    <w:rsid w:val="00510223"/>
    <w:rsid w:val="00517B3B"/>
    <w:rsid w:val="00527C60"/>
    <w:rsid w:val="00530972"/>
    <w:rsid w:val="00545C07"/>
    <w:rsid w:val="00554F4C"/>
    <w:rsid w:val="00567131"/>
    <w:rsid w:val="00570B55"/>
    <w:rsid w:val="0057366F"/>
    <w:rsid w:val="005804A7"/>
    <w:rsid w:val="0058741C"/>
    <w:rsid w:val="005958A0"/>
    <w:rsid w:val="005A0EF6"/>
    <w:rsid w:val="005A3ABF"/>
    <w:rsid w:val="005A5646"/>
    <w:rsid w:val="005A65F8"/>
    <w:rsid w:val="005B2081"/>
    <w:rsid w:val="005B2ADA"/>
    <w:rsid w:val="005B4F45"/>
    <w:rsid w:val="005B7E4F"/>
    <w:rsid w:val="005C4E32"/>
    <w:rsid w:val="005D149C"/>
    <w:rsid w:val="005D213B"/>
    <w:rsid w:val="005D2AFD"/>
    <w:rsid w:val="005E0709"/>
    <w:rsid w:val="005E3DFC"/>
    <w:rsid w:val="005E628F"/>
    <w:rsid w:val="005F0158"/>
    <w:rsid w:val="005F04E7"/>
    <w:rsid w:val="005F6A26"/>
    <w:rsid w:val="00612E7A"/>
    <w:rsid w:val="00615C19"/>
    <w:rsid w:val="00617356"/>
    <w:rsid w:val="00620E5C"/>
    <w:rsid w:val="00621F2C"/>
    <w:rsid w:val="00622705"/>
    <w:rsid w:val="00623175"/>
    <w:rsid w:val="0062447A"/>
    <w:rsid w:val="006318CA"/>
    <w:rsid w:val="00635F85"/>
    <w:rsid w:val="00636CF7"/>
    <w:rsid w:val="00642784"/>
    <w:rsid w:val="00650C91"/>
    <w:rsid w:val="006528DA"/>
    <w:rsid w:val="006533F1"/>
    <w:rsid w:val="006600C0"/>
    <w:rsid w:val="006636F9"/>
    <w:rsid w:val="0067284B"/>
    <w:rsid w:val="00681766"/>
    <w:rsid w:val="006819A9"/>
    <w:rsid w:val="006904EA"/>
    <w:rsid w:val="006971B2"/>
    <w:rsid w:val="006A3E13"/>
    <w:rsid w:val="006A52D3"/>
    <w:rsid w:val="006B08A9"/>
    <w:rsid w:val="006B0E05"/>
    <w:rsid w:val="006B2349"/>
    <w:rsid w:val="006B44C7"/>
    <w:rsid w:val="006C233A"/>
    <w:rsid w:val="006C43BC"/>
    <w:rsid w:val="006C7E5C"/>
    <w:rsid w:val="006E2E9C"/>
    <w:rsid w:val="006E38B2"/>
    <w:rsid w:val="00701DED"/>
    <w:rsid w:val="00715453"/>
    <w:rsid w:val="00717E2E"/>
    <w:rsid w:val="00724ACE"/>
    <w:rsid w:val="00727707"/>
    <w:rsid w:val="007326E7"/>
    <w:rsid w:val="0074512E"/>
    <w:rsid w:val="00751799"/>
    <w:rsid w:val="00762063"/>
    <w:rsid w:val="00763D6E"/>
    <w:rsid w:val="0076522A"/>
    <w:rsid w:val="00767B3E"/>
    <w:rsid w:val="00774D66"/>
    <w:rsid w:val="00776E58"/>
    <w:rsid w:val="00793883"/>
    <w:rsid w:val="00797C34"/>
    <w:rsid w:val="007A055A"/>
    <w:rsid w:val="007B0B2F"/>
    <w:rsid w:val="007B241F"/>
    <w:rsid w:val="007C19C4"/>
    <w:rsid w:val="007C4CAB"/>
    <w:rsid w:val="007D1A82"/>
    <w:rsid w:val="007D606D"/>
    <w:rsid w:val="007E0021"/>
    <w:rsid w:val="007E7A16"/>
    <w:rsid w:val="00805E34"/>
    <w:rsid w:val="00811021"/>
    <w:rsid w:val="00816761"/>
    <w:rsid w:val="00823377"/>
    <w:rsid w:val="00823D0D"/>
    <w:rsid w:val="008259ED"/>
    <w:rsid w:val="00832C4C"/>
    <w:rsid w:val="00836DCE"/>
    <w:rsid w:val="00837C52"/>
    <w:rsid w:val="008423A3"/>
    <w:rsid w:val="00846116"/>
    <w:rsid w:val="00850FB7"/>
    <w:rsid w:val="008540B8"/>
    <w:rsid w:val="00855FC6"/>
    <w:rsid w:val="008778AC"/>
    <w:rsid w:val="008818E8"/>
    <w:rsid w:val="00885F99"/>
    <w:rsid w:val="00886455"/>
    <w:rsid w:val="008910ED"/>
    <w:rsid w:val="00891EB7"/>
    <w:rsid w:val="008A205F"/>
    <w:rsid w:val="008B4748"/>
    <w:rsid w:val="008B5250"/>
    <w:rsid w:val="008B55F3"/>
    <w:rsid w:val="008C41A4"/>
    <w:rsid w:val="008C59F9"/>
    <w:rsid w:val="008D0ABD"/>
    <w:rsid w:val="008D6622"/>
    <w:rsid w:val="008E7F28"/>
    <w:rsid w:val="008F4D92"/>
    <w:rsid w:val="008F72F3"/>
    <w:rsid w:val="00906ECB"/>
    <w:rsid w:val="00926CF8"/>
    <w:rsid w:val="00927935"/>
    <w:rsid w:val="00927F11"/>
    <w:rsid w:val="00930675"/>
    <w:rsid w:val="00930ADA"/>
    <w:rsid w:val="009324D9"/>
    <w:rsid w:val="0093282E"/>
    <w:rsid w:val="009352BA"/>
    <w:rsid w:val="00936F98"/>
    <w:rsid w:val="009401E5"/>
    <w:rsid w:val="00941FF2"/>
    <w:rsid w:val="00950ABF"/>
    <w:rsid w:val="009539AB"/>
    <w:rsid w:val="00954E2A"/>
    <w:rsid w:val="00964644"/>
    <w:rsid w:val="00967D81"/>
    <w:rsid w:val="00970CE4"/>
    <w:rsid w:val="00973534"/>
    <w:rsid w:val="009769DC"/>
    <w:rsid w:val="00976F97"/>
    <w:rsid w:val="00980F74"/>
    <w:rsid w:val="00981C75"/>
    <w:rsid w:val="00984302"/>
    <w:rsid w:val="00984F1E"/>
    <w:rsid w:val="00990C51"/>
    <w:rsid w:val="00993C7E"/>
    <w:rsid w:val="009A1CF6"/>
    <w:rsid w:val="009D6009"/>
    <w:rsid w:val="009E3D9C"/>
    <w:rsid w:val="009E5EED"/>
    <w:rsid w:val="00A10BE0"/>
    <w:rsid w:val="00A131A4"/>
    <w:rsid w:val="00A30333"/>
    <w:rsid w:val="00A32E30"/>
    <w:rsid w:val="00A3325E"/>
    <w:rsid w:val="00A348B0"/>
    <w:rsid w:val="00A472EE"/>
    <w:rsid w:val="00A54BA0"/>
    <w:rsid w:val="00A55E78"/>
    <w:rsid w:val="00A618A1"/>
    <w:rsid w:val="00A6534F"/>
    <w:rsid w:val="00A7203C"/>
    <w:rsid w:val="00A8128B"/>
    <w:rsid w:val="00A84526"/>
    <w:rsid w:val="00A93511"/>
    <w:rsid w:val="00AA3EAA"/>
    <w:rsid w:val="00AB75C2"/>
    <w:rsid w:val="00AC3F66"/>
    <w:rsid w:val="00AC5FCC"/>
    <w:rsid w:val="00AD06B7"/>
    <w:rsid w:val="00AD1596"/>
    <w:rsid w:val="00AD1696"/>
    <w:rsid w:val="00AD6421"/>
    <w:rsid w:val="00AE0EDA"/>
    <w:rsid w:val="00AE3AD1"/>
    <w:rsid w:val="00AE7DBF"/>
    <w:rsid w:val="00AF127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3575"/>
    <w:rsid w:val="00B55A61"/>
    <w:rsid w:val="00B67465"/>
    <w:rsid w:val="00B700A1"/>
    <w:rsid w:val="00B754D3"/>
    <w:rsid w:val="00B766E0"/>
    <w:rsid w:val="00B8112A"/>
    <w:rsid w:val="00B837A8"/>
    <w:rsid w:val="00B8730F"/>
    <w:rsid w:val="00B97A04"/>
    <w:rsid w:val="00BA3FC6"/>
    <w:rsid w:val="00BA44F1"/>
    <w:rsid w:val="00BA52B9"/>
    <w:rsid w:val="00BB4A55"/>
    <w:rsid w:val="00BB60DC"/>
    <w:rsid w:val="00BB7A9C"/>
    <w:rsid w:val="00BC3EEA"/>
    <w:rsid w:val="00BC43B9"/>
    <w:rsid w:val="00BC7123"/>
    <w:rsid w:val="00BD1262"/>
    <w:rsid w:val="00BD2A95"/>
    <w:rsid w:val="00BE4641"/>
    <w:rsid w:val="00BF3122"/>
    <w:rsid w:val="00C01D35"/>
    <w:rsid w:val="00C119F6"/>
    <w:rsid w:val="00C129DD"/>
    <w:rsid w:val="00C228AD"/>
    <w:rsid w:val="00C33EB9"/>
    <w:rsid w:val="00C35975"/>
    <w:rsid w:val="00C3718B"/>
    <w:rsid w:val="00C42D34"/>
    <w:rsid w:val="00C51EAE"/>
    <w:rsid w:val="00C528E5"/>
    <w:rsid w:val="00C80E17"/>
    <w:rsid w:val="00C92171"/>
    <w:rsid w:val="00CA1A0D"/>
    <w:rsid w:val="00CA3FF3"/>
    <w:rsid w:val="00CA6501"/>
    <w:rsid w:val="00CB03FF"/>
    <w:rsid w:val="00CB1013"/>
    <w:rsid w:val="00CB2D3D"/>
    <w:rsid w:val="00CB51BF"/>
    <w:rsid w:val="00CB6967"/>
    <w:rsid w:val="00CB6C3D"/>
    <w:rsid w:val="00CB6CA0"/>
    <w:rsid w:val="00CB7121"/>
    <w:rsid w:val="00CC137A"/>
    <w:rsid w:val="00CC179A"/>
    <w:rsid w:val="00CC32DD"/>
    <w:rsid w:val="00CC527B"/>
    <w:rsid w:val="00CC58B3"/>
    <w:rsid w:val="00CD427E"/>
    <w:rsid w:val="00CD706B"/>
    <w:rsid w:val="00CE1A19"/>
    <w:rsid w:val="00CF07A7"/>
    <w:rsid w:val="00D01A08"/>
    <w:rsid w:val="00D0369A"/>
    <w:rsid w:val="00D05D66"/>
    <w:rsid w:val="00D16AA9"/>
    <w:rsid w:val="00D24679"/>
    <w:rsid w:val="00D2522E"/>
    <w:rsid w:val="00D426D6"/>
    <w:rsid w:val="00D437D3"/>
    <w:rsid w:val="00D44088"/>
    <w:rsid w:val="00D44D7C"/>
    <w:rsid w:val="00D50099"/>
    <w:rsid w:val="00D5738E"/>
    <w:rsid w:val="00D60C8F"/>
    <w:rsid w:val="00D64642"/>
    <w:rsid w:val="00D710A9"/>
    <w:rsid w:val="00D720FA"/>
    <w:rsid w:val="00D76239"/>
    <w:rsid w:val="00D76BE4"/>
    <w:rsid w:val="00D8381C"/>
    <w:rsid w:val="00D87049"/>
    <w:rsid w:val="00D92740"/>
    <w:rsid w:val="00D93CDA"/>
    <w:rsid w:val="00DA0E1C"/>
    <w:rsid w:val="00DB3241"/>
    <w:rsid w:val="00DB363B"/>
    <w:rsid w:val="00DB4C18"/>
    <w:rsid w:val="00DC0AE0"/>
    <w:rsid w:val="00DC5D70"/>
    <w:rsid w:val="00DC6317"/>
    <w:rsid w:val="00DC6A3C"/>
    <w:rsid w:val="00DE5241"/>
    <w:rsid w:val="00DE6D8F"/>
    <w:rsid w:val="00DF297C"/>
    <w:rsid w:val="00DF3911"/>
    <w:rsid w:val="00E03231"/>
    <w:rsid w:val="00E05E61"/>
    <w:rsid w:val="00E141C2"/>
    <w:rsid w:val="00E14E26"/>
    <w:rsid w:val="00E24164"/>
    <w:rsid w:val="00E27ADD"/>
    <w:rsid w:val="00E303BB"/>
    <w:rsid w:val="00E36F71"/>
    <w:rsid w:val="00E43400"/>
    <w:rsid w:val="00E527BD"/>
    <w:rsid w:val="00E64BD1"/>
    <w:rsid w:val="00E65FB2"/>
    <w:rsid w:val="00E93604"/>
    <w:rsid w:val="00E96686"/>
    <w:rsid w:val="00EA3B3A"/>
    <w:rsid w:val="00EB2D85"/>
    <w:rsid w:val="00EC0DA0"/>
    <w:rsid w:val="00EC130D"/>
    <w:rsid w:val="00EC1CCB"/>
    <w:rsid w:val="00EC3EF0"/>
    <w:rsid w:val="00EC5CBA"/>
    <w:rsid w:val="00ED24C7"/>
    <w:rsid w:val="00ED3FC7"/>
    <w:rsid w:val="00EE66E6"/>
    <w:rsid w:val="00EF2635"/>
    <w:rsid w:val="00EF38D5"/>
    <w:rsid w:val="00F1198E"/>
    <w:rsid w:val="00F12077"/>
    <w:rsid w:val="00F12717"/>
    <w:rsid w:val="00F15E1B"/>
    <w:rsid w:val="00F3758D"/>
    <w:rsid w:val="00F42CF7"/>
    <w:rsid w:val="00F435C5"/>
    <w:rsid w:val="00F459ED"/>
    <w:rsid w:val="00F47EFF"/>
    <w:rsid w:val="00F51836"/>
    <w:rsid w:val="00F81250"/>
    <w:rsid w:val="00F93A50"/>
    <w:rsid w:val="00F962A3"/>
    <w:rsid w:val="00F96DE9"/>
    <w:rsid w:val="00FA0010"/>
    <w:rsid w:val="00FA3E78"/>
    <w:rsid w:val="00FA5BBB"/>
    <w:rsid w:val="00FA72EF"/>
    <w:rsid w:val="00FB4029"/>
    <w:rsid w:val="00FC19DF"/>
    <w:rsid w:val="00FC28DA"/>
    <w:rsid w:val="00FD3D78"/>
    <w:rsid w:val="00FD4F2B"/>
    <w:rsid w:val="00FD5C97"/>
    <w:rsid w:val="00FD643C"/>
    <w:rsid w:val="00FD7C84"/>
    <w:rsid w:val="00FE4056"/>
    <w:rsid w:val="00FE7117"/>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paragraph" w:styleId="ListParagraph">
    <w:name w:val="List Paragraph"/>
    <w:basedOn w:val="Normal"/>
    <w:uiPriority w:val="34"/>
    <w:qFormat/>
    <w:rsid w:val="00FD4F2B"/>
    <w:pPr>
      <w:autoSpaceDE/>
      <w:autoSpaceDN/>
      <w:adjustRightInd/>
      <w:spacing w:after="200"/>
      <w:ind w:left="720"/>
      <w:contextualSpacing/>
      <w:jc w:val="right"/>
    </w:pPr>
    <w:rPr>
      <w:rFonts w:ascii="Times New Roman" w:hAnsi="Times New Roman"/>
      <w:sz w:val="24"/>
      <w:szCs w:val="24"/>
    </w:rPr>
  </w:style>
  <w:style w:type="paragraph" w:styleId="CommentText">
    <w:name w:val="annotation text"/>
    <w:basedOn w:val="Normal"/>
    <w:link w:val="CommentTextChar"/>
    <w:rsid w:val="00B700A1"/>
  </w:style>
  <w:style w:type="character" w:customStyle="1" w:styleId="CommentTextChar">
    <w:name w:val="Comment Text Char"/>
    <w:basedOn w:val="DefaultParagraphFont"/>
    <w:link w:val="CommentText"/>
    <w:rsid w:val="00B700A1"/>
    <w:rPr>
      <w:rFonts w:ascii="Courier 10cpi" w:hAnsi="Courier 10cpi"/>
    </w:rPr>
  </w:style>
  <w:style w:type="paragraph" w:styleId="CommentSubject">
    <w:name w:val="annotation subject"/>
    <w:basedOn w:val="CommentText"/>
    <w:next w:val="CommentText"/>
    <w:link w:val="CommentSubjectChar"/>
    <w:rsid w:val="00B700A1"/>
    <w:rPr>
      <w:b/>
      <w:bCs/>
    </w:rPr>
  </w:style>
  <w:style w:type="character" w:customStyle="1" w:styleId="CommentSubjectChar">
    <w:name w:val="Comment Subject Char"/>
    <w:basedOn w:val="CommentTextChar"/>
    <w:link w:val="CommentSubject"/>
    <w:rsid w:val="00B700A1"/>
    <w:rPr>
      <w:rFonts w:ascii="Courier 10cpi" w:hAnsi="Courier 10cpi"/>
      <w:b/>
      <w:bCs/>
    </w:rPr>
  </w:style>
  <w:style w:type="paragraph" w:styleId="Quote">
    <w:name w:val="Quote"/>
    <w:basedOn w:val="Normal"/>
    <w:next w:val="Normal"/>
    <w:link w:val="QuoteChar"/>
    <w:uiPriority w:val="29"/>
    <w:qFormat/>
    <w:rsid w:val="00E05E61"/>
    <w:pPr>
      <w:autoSpaceDE/>
      <w:autoSpaceDN/>
      <w:adjustRightInd/>
    </w:pPr>
    <w:rPr>
      <w:rFonts w:ascii="Times New Roman" w:hAnsi="Times New Roman"/>
      <w:i/>
      <w:iCs/>
      <w:color w:val="000000"/>
      <w:sz w:val="24"/>
      <w:szCs w:val="24"/>
    </w:rPr>
  </w:style>
  <w:style w:type="character" w:customStyle="1" w:styleId="QuoteChar">
    <w:name w:val="Quote Char"/>
    <w:basedOn w:val="DefaultParagraphFont"/>
    <w:link w:val="Quote"/>
    <w:uiPriority w:val="29"/>
    <w:rsid w:val="00E05E61"/>
    <w:rPr>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paragraph" w:styleId="ListParagraph">
    <w:name w:val="List Paragraph"/>
    <w:basedOn w:val="Normal"/>
    <w:uiPriority w:val="34"/>
    <w:qFormat/>
    <w:rsid w:val="00FD4F2B"/>
    <w:pPr>
      <w:autoSpaceDE/>
      <w:autoSpaceDN/>
      <w:adjustRightInd/>
      <w:spacing w:after="200"/>
      <w:ind w:left="720"/>
      <w:contextualSpacing/>
      <w:jc w:val="right"/>
    </w:pPr>
    <w:rPr>
      <w:rFonts w:ascii="Times New Roman" w:hAnsi="Times New Roman"/>
      <w:sz w:val="24"/>
      <w:szCs w:val="24"/>
    </w:rPr>
  </w:style>
  <w:style w:type="paragraph" w:styleId="CommentText">
    <w:name w:val="annotation text"/>
    <w:basedOn w:val="Normal"/>
    <w:link w:val="CommentTextChar"/>
    <w:rsid w:val="00B700A1"/>
  </w:style>
  <w:style w:type="character" w:customStyle="1" w:styleId="CommentTextChar">
    <w:name w:val="Comment Text Char"/>
    <w:basedOn w:val="DefaultParagraphFont"/>
    <w:link w:val="CommentText"/>
    <w:rsid w:val="00B700A1"/>
    <w:rPr>
      <w:rFonts w:ascii="Courier 10cpi" w:hAnsi="Courier 10cpi"/>
    </w:rPr>
  </w:style>
  <w:style w:type="paragraph" w:styleId="CommentSubject">
    <w:name w:val="annotation subject"/>
    <w:basedOn w:val="CommentText"/>
    <w:next w:val="CommentText"/>
    <w:link w:val="CommentSubjectChar"/>
    <w:rsid w:val="00B700A1"/>
    <w:rPr>
      <w:b/>
      <w:bCs/>
    </w:rPr>
  </w:style>
  <w:style w:type="character" w:customStyle="1" w:styleId="CommentSubjectChar">
    <w:name w:val="Comment Subject Char"/>
    <w:basedOn w:val="CommentTextChar"/>
    <w:link w:val="CommentSubject"/>
    <w:rsid w:val="00B700A1"/>
    <w:rPr>
      <w:rFonts w:ascii="Courier 10cpi" w:hAnsi="Courier 10cpi"/>
      <w:b/>
      <w:bCs/>
    </w:rPr>
  </w:style>
  <w:style w:type="paragraph" w:styleId="Quote">
    <w:name w:val="Quote"/>
    <w:basedOn w:val="Normal"/>
    <w:next w:val="Normal"/>
    <w:link w:val="QuoteChar"/>
    <w:uiPriority w:val="29"/>
    <w:qFormat/>
    <w:rsid w:val="00E05E61"/>
    <w:pPr>
      <w:autoSpaceDE/>
      <w:autoSpaceDN/>
      <w:adjustRightInd/>
    </w:pPr>
    <w:rPr>
      <w:rFonts w:ascii="Times New Roman" w:hAnsi="Times New Roman"/>
      <w:i/>
      <w:iCs/>
      <w:color w:val="000000"/>
      <w:sz w:val="24"/>
      <w:szCs w:val="24"/>
    </w:rPr>
  </w:style>
  <w:style w:type="character" w:customStyle="1" w:styleId="QuoteChar">
    <w:name w:val="Quote Char"/>
    <w:basedOn w:val="DefaultParagraphFont"/>
    <w:link w:val="Quote"/>
    <w:uiPriority w:val="29"/>
    <w:rsid w:val="00E05E61"/>
    <w:rPr>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999</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30 Day Federal Register Notice Template</vt:lpstr>
    </vt:vector>
  </TitlesOfParts>
  <Company>CDC</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Day Federal Register Notice Template</dc:title>
  <dc:subject>30 Day Federal Register Notice</dc:subject>
  <dc:creator>U.S. Department of Health and Human Services</dc:creator>
  <cp:keywords>federal register notice, frn, template, 30</cp:keywords>
  <cp:lastModifiedBy>CDC User</cp:lastModifiedBy>
  <cp:revision>10</cp:revision>
  <cp:lastPrinted>2012-01-12T00:03:00Z</cp:lastPrinted>
  <dcterms:created xsi:type="dcterms:W3CDTF">2014-10-23T14:04:00Z</dcterms:created>
  <dcterms:modified xsi:type="dcterms:W3CDTF">2014-10-31T17:32:00Z</dcterms:modified>
</cp:coreProperties>
</file>