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FD9" w:rsidRDefault="00D43FD9" w:rsidP="00D43FD9">
      <w:pPr>
        <w:ind w:left="1440" w:firstLine="720"/>
      </w:pPr>
    </w:p>
    <w:p w:rsidR="00D43FD9" w:rsidRDefault="00D43FD9" w:rsidP="00D43FD9">
      <w:pPr>
        <w:ind w:left="1440" w:firstLine="720"/>
      </w:pPr>
    </w:p>
    <w:p w:rsidR="00D43FD9" w:rsidRDefault="00D43FD9" w:rsidP="00D43FD9">
      <w:pPr>
        <w:ind w:left="1440" w:firstLine="720"/>
      </w:pPr>
    </w:p>
    <w:p w:rsidR="00514009" w:rsidRDefault="00514009" w:rsidP="0059723D">
      <w:pPr>
        <w:jc w:val="center"/>
        <w:rPr>
          <w:sz w:val="32"/>
          <w:szCs w:val="32"/>
        </w:rPr>
      </w:pPr>
      <w:r>
        <w:rPr>
          <w:sz w:val="32"/>
          <w:szCs w:val="32"/>
        </w:rPr>
        <w:t>Supporting Statement A for:</w:t>
      </w:r>
    </w:p>
    <w:p w:rsidR="00514009" w:rsidRDefault="00514009" w:rsidP="0059723D">
      <w:pPr>
        <w:ind w:left="1440" w:firstLine="720"/>
        <w:jc w:val="center"/>
        <w:rPr>
          <w:sz w:val="32"/>
          <w:szCs w:val="32"/>
        </w:rPr>
      </w:pPr>
    </w:p>
    <w:p w:rsidR="00D43FD9" w:rsidRDefault="00514009" w:rsidP="0059723D">
      <w:pPr>
        <w:jc w:val="center"/>
        <w:rPr>
          <w:sz w:val="32"/>
          <w:szCs w:val="32"/>
        </w:rPr>
      </w:pPr>
      <w:r>
        <w:rPr>
          <w:sz w:val="32"/>
          <w:szCs w:val="32"/>
        </w:rPr>
        <w:t>Evaluation of the NIH Academic Research Enhancement Award</w:t>
      </w:r>
      <w:r w:rsidR="00B93161">
        <w:rPr>
          <w:sz w:val="32"/>
          <w:szCs w:val="32"/>
        </w:rPr>
        <w:t xml:space="preserve"> (NIH OD</w:t>
      </w:r>
      <w:r w:rsidR="00BE4A32">
        <w:rPr>
          <w:sz w:val="32"/>
          <w:szCs w:val="32"/>
        </w:rPr>
        <w:t>)</w:t>
      </w:r>
    </w:p>
    <w:p w:rsidR="00514009" w:rsidRDefault="00514009" w:rsidP="0059723D">
      <w:pPr>
        <w:ind w:left="1440" w:firstLine="720"/>
        <w:jc w:val="center"/>
        <w:rPr>
          <w:sz w:val="32"/>
          <w:szCs w:val="32"/>
        </w:rPr>
      </w:pPr>
    </w:p>
    <w:p w:rsidR="00514009" w:rsidRPr="003E72FD" w:rsidRDefault="00901CFD" w:rsidP="0059723D">
      <w:pPr>
        <w:jc w:val="center"/>
        <w:rPr>
          <w:sz w:val="32"/>
          <w:szCs w:val="32"/>
        </w:rPr>
      </w:pPr>
      <w:r>
        <w:rPr>
          <w:sz w:val="32"/>
          <w:szCs w:val="32"/>
        </w:rPr>
        <w:t xml:space="preserve">October </w:t>
      </w:r>
      <w:r w:rsidR="00E66471" w:rsidRPr="003E72FD">
        <w:rPr>
          <w:sz w:val="32"/>
          <w:szCs w:val="32"/>
        </w:rPr>
        <w:t>2014</w:t>
      </w:r>
    </w:p>
    <w:p w:rsidR="00D43FD9" w:rsidRDefault="00D43FD9" w:rsidP="0059723D">
      <w:pPr>
        <w:ind w:left="1440" w:firstLine="720"/>
        <w:jc w:val="center"/>
        <w:rPr>
          <w:sz w:val="32"/>
          <w:szCs w:val="32"/>
        </w:rPr>
      </w:pPr>
    </w:p>
    <w:p w:rsidR="00D43FD9" w:rsidRDefault="00D43FD9" w:rsidP="0059723D">
      <w:pPr>
        <w:ind w:left="1440" w:firstLine="720"/>
        <w:jc w:val="center"/>
        <w:rPr>
          <w:sz w:val="32"/>
          <w:szCs w:val="32"/>
        </w:rPr>
      </w:pPr>
    </w:p>
    <w:p w:rsidR="00B93161" w:rsidRDefault="00B93161" w:rsidP="0059723D">
      <w:pPr>
        <w:ind w:left="1440" w:firstLine="720"/>
        <w:jc w:val="center"/>
        <w:rPr>
          <w:sz w:val="32"/>
          <w:szCs w:val="32"/>
        </w:rPr>
      </w:pPr>
    </w:p>
    <w:p w:rsidR="00B93161" w:rsidRDefault="00B93161" w:rsidP="0059723D">
      <w:pPr>
        <w:ind w:left="1440" w:firstLine="720"/>
        <w:jc w:val="center"/>
        <w:rPr>
          <w:sz w:val="32"/>
          <w:szCs w:val="32"/>
        </w:rPr>
      </w:pPr>
    </w:p>
    <w:p w:rsidR="00D43FD9" w:rsidRDefault="00D43FD9" w:rsidP="0059723D">
      <w:pPr>
        <w:ind w:left="1440" w:firstLine="720"/>
        <w:jc w:val="center"/>
        <w:rPr>
          <w:sz w:val="32"/>
          <w:szCs w:val="32"/>
        </w:rPr>
      </w:pPr>
    </w:p>
    <w:p w:rsidR="00D43FD9" w:rsidRDefault="00D43FD9" w:rsidP="0059723D">
      <w:pPr>
        <w:ind w:left="1440" w:firstLine="720"/>
        <w:jc w:val="center"/>
        <w:rPr>
          <w:sz w:val="32"/>
          <w:szCs w:val="32"/>
        </w:rPr>
      </w:pPr>
    </w:p>
    <w:p w:rsidR="00D43FD9" w:rsidRPr="00B93161" w:rsidRDefault="00B93161" w:rsidP="00B93161">
      <w:pPr>
        <w:jc w:val="center"/>
        <w:rPr>
          <w:sz w:val="32"/>
          <w:szCs w:val="32"/>
        </w:rPr>
      </w:pPr>
      <w:r>
        <w:rPr>
          <w:sz w:val="32"/>
          <w:szCs w:val="32"/>
        </w:rPr>
        <w:t xml:space="preserve">Michelle </w:t>
      </w:r>
      <w:r w:rsidR="00A215EC">
        <w:rPr>
          <w:sz w:val="32"/>
          <w:szCs w:val="32"/>
        </w:rPr>
        <w:t xml:space="preserve">M. </w:t>
      </w:r>
      <w:r>
        <w:rPr>
          <w:sz w:val="32"/>
          <w:szCs w:val="32"/>
        </w:rPr>
        <w:t>Timmerman, Ph.D.</w:t>
      </w:r>
    </w:p>
    <w:p w:rsidR="0059723D" w:rsidRDefault="00B93161" w:rsidP="00B93161">
      <w:pPr>
        <w:jc w:val="center"/>
        <w:rPr>
          <w:sz w:val="28"/>
          <w:szCs w:val="28"/>
        </w:rPr>
      </w:pPr>
      <w:r>
        <w:rPr>
          <w:sz w:val="28"/>
          <w:szCs w:val="28"/>
        </w:rPr>
        <w:t>Office of the Director</w:t>
      </w:r>
    </w:p>
    <w:p w:rsidR="00D52710" w:rsidRPr="000F15AB" w:rsidRDefault="00D52710" w:rsidP="00B93161">
      <w:pPr>
        <w:jc w:val="center"/>
        <w:rPr>
          <w:sz w:val="28"/>
          <w:szCs w:val="28"/>
        </w:rPr>
      </w:pPr>
      <w:r>
        <w:rPr>
          <w:sz w:val="28"/>
          <w:szCs w:val="28"/>
        </w:rPr>
        <w:t>National Institutes of Health</w:t>
      </w:r>
    </w:p>
    <w:p w:rsidR="0059723D" w:rsidRPr="000F15AB" w:rsidRDefault="0059723D" w:rsidP="0059723D">
      <w:pPr>
        <w:jc w:val="center"/>
        <w:rPr>
          <w:sz w:val="28"/>
          <w:szCs w:val="28"/>
        </w:rPr>
      </w:pPr>
    </w:p>
    <w:p w:rsidR="0059723D" w:rsidRPr="000F15AB" w:rsidRDefault="00B93161" w:rsidP="00B93161">
      <w:pPr>
        <w:jc w:val="center"/>
        <w:rPr>
          <w:sz w:val="28"/>
          <w:szCs w:val="28"/>
        </w:rPr>
      </w:pPr>
      <w:r>
        <w:rPr>
          <w:sz w:val="28"/>
          <w:szCs w:val="28"/>
        </w:rPr>
        <w:t>6705 Rockledge Drive</w:t>
      </w:r>
    </w:p>
    <w:p w:rsidR="0059723D" w:rsidRDefault="0059723D" w:rsidP="0059723D">
      <w:pPr>
        <w:jc w:val="center"/>
        <w:rPr>
          <w:sz w:val="28"/>
          <w:szCs w:val="28"/>
        </w:rPr>
      </w:pPr>
      <w:r>
        <w:rPr>
          <w:sz w:val="28"/>
          <w:szCs w:val="28"/>
        </w:rPr>
        <w:t>Bethesda</w:t>
      </w:r>
      <w:r w:rsidR="00B93161">
        <w:rPr>
          <w:sz w:val="28"/>
          <w:szCs w:val="28"/>
        </w:rPr>
        <w:t>, MD 20892</w:t>
      </w:r>
    </w:p>
    <w:p w:rsidR="0059723D" w:rsidRPr="000F15AB" w:rsidRDefault="0059723D" w:rsidP="0059723D">
      <w:pPr>
        <w:jc w:val="center"/>
        <w:rPr>
          <w:sz w:val="28"/>
          <w:szCs w:val="28"/>
        </w:rPr>
      </w:pPr>
    </w:p>
    <w:p w:rsidR="0059723D" w:rsidRPr="000F15AB" w:rsidRDefault="00B93161" w:rsidP="0059723D">
      <w:pPr>
        <w:tabs>
          <w:tab w:val="left" w:pos="3600"/>
        </w:tabs>
        <w:jc w:val="center"/>
        <w:rPr>
          <w:sz w:val="28"/>
          <w:szCs w:val="28"/>
        </w:rPr>
      </w:pPr>
      <w:r>
        <w:rPr>
          <w:sz w:val="28"/>
          <w:szCs w:val="28"/>
        </w:rPr>
        <w:t>Telephone: 301.402.0672</w:t>
      </w:r>
    </w:p>
    <w:p w:rsidR="0059723D" w:rsidRPr="000F15AB" w:rsidRDefault="0059723D" w:rsidP="0059723D">
      <w:pPr>
        <w:tabs>
          <w:tab w:val="left" w:pos="3600"/>
        </w:tabs>
        <w:jc w:val="center"/>
        <w:rPr>
          <w:sz w:val="28"/>
          <w:szCs w:val="28"/>
        </w:rPr>
      </w:pPr>
      <w:r w:rsidRPr="000F15AB">
        <w:rPr>
          <w:sz w:val="28"/>
          <w:szCs w:val="28"/>
        </w:rPr>
        <w:t xml:space="preserve">Fax:  </w:t>
      </w:r>
      <w:r w:rsidR="00A215EC">
        <w:rPr>
          <w:sz w:val="28"/>
          <w:szCs w:val="28"/>
        </w:rPr>
        <w:t>301.</w:t>
      </w:r>
      <w:r w:rsidR="00695DF1">
        <w:rPr>
          <w:sz w:val="28"/>
          <w:szCs w:val="28"/>
        </w:rPr>
        <w:t>402.0672</w:t>
      </w:r>
    </w:p>
    <w:p w:rsidR="0059723D" w:rsidRDefault="0059723D" w:rsidP="0059723D">
      <w:pPr>
        <w:tabs>
          <w:tab w:val="left" w:pos="3600"/>
        </w:tabs>
        <w:jc w:val="center"/>
        <w:rPr>
          <w:color w:val="FF0000"/>
          <w:sz w:val="28"/>
          <w:szCs w:val="28"/>
        </w:rPr>
      </w:pPr>
      <w:r w:rsidRPr="007D65FF">
        <w:rPr>
          <w:sz w:val="28"/>
          <w:szCs w:val="28"/>
        </w:rPr>
        <w:t>Email:</w:t>
      </w:r>
      <w:r>
        <w:rPr>
          <w:color w:val="FF0000"/>
          <w:sz w:val="28"/>
          <w:szCs w:val="28"/>
        </w:rPr>
        <w:t xml:space="preserve"> </w:t>
      </w:r>
      <w:hyperlink r:id="rId9" w:history="1">
        <w:r w:rsidR="00B93161" w:rsidRPr="00822A43">
          <w:rPr>
            <w:rStyle w:val="Hyperlink"/>
            <w:sz w:val="28"/>
            <w:szCs w:val="28"/>
          </w:rPr>
          <w:t>michelle.timmerman@mail.nih.gov</w:t>
        </w:r>
      </w:hyperlink>
    </w:p>
    <w:p w:rsidR="0059723D" w:rsidRPr="007E7417" w:rsidRDefault="0059723D" w:rsidP="0059723D">
      <w:pPr>
        <w:tabs>
          <w:tab w:val="left" w:pos="3600"/>
        </w:tabs>
        <w:rPr>
          <w:color w:val="FF0000"/>
          <w:sz w:val="28"/>
          <w:szCs w:val="28"/>
        </w:rPr>
      </w:pPr>
    </w:p>
    <w:p w:rsidR="00D43FD9" w:rsidRPr="00967AAE" w:rsidRDefault="00D43FD9" w:rsidP="0059723D">
      <w:pPr>
        <w:rPr>
          <w:color w:val="0000FF"/>
          <w:sz w:val="32"/>
          <w:szCs w:val="32"/>
        </w:rPr>
      </w:pPr>
    </w:p>
    <w:p w:rsidR="00D43FD9" w:rsidRPr="00680E77" w:rsidRDefault="00D43FD9" w:rsidP="00D43FD9">
      <w:pPr>
        <w:rPr>
          <w:color w:val="FF0000"/>
          <w:sz w:val="32"/>
          <w:szCs w:val="32"/>
        </w:rPr>
      </w:pPr>
    </w:p>
    <w:p w:rsidR="00D43FD9" w:rsidRDefault="00D43FD9" w:rsidP="00D43FD9">
      <w:pPr>
        <w:rPr>
          <w:color w:val="0000FF"/>
          <w:sz w:val="32"/>
          <w:szCs w:val="32"/>
        </w:rPr>
      </w:pPr>
    </w:p>
    <w:p w:rsidR="00D43FD9" w:rsidRDefault="00D43FD9" w:rsidP="00D43FD9">
      <w:pPr>
        <w:rPr>
          <w:color w:val="0000FF"/>
          <w:sz w:val="32"/>
          <w:szCs w:val="32"/>
        </w:rPr>
      </w:pPr>
    </w:p>
    <w:p w:rsidR="00D43FD9" w:rsidRDefault="00D43FD9" w:rsidP="00D43FD9">
      <w:pPr>
        <w:rPr>
          <w:color w:val="0000FF"/>
          <w:sz w:val="32"/>
          <w:szCs w:val="32"/>
        </w:rPr>
      </w:pPr>
    </w:p>
    <w:p w:rsidR="00D43FD9" w:rsidRDefault="00D43FD9" w:rsidP="00D43FD9">
      <w:pPr>
        <w:rPr>
          <w:color w:val="0000FF"/>
          <w:sz w:val="32"/>
          <w:szCs w:val="32"/>
        </w:rPr>
      </w:pPr>
    </w:p>
    <w:p w:rsidR="00D43FD9" w:rsidRDefault="00D43FD9" w:rsidP="00D43FD9">
      <w:pPr>
        <w:rPr>
          <w:color w:val="0000FF"/>
          <w:sz w:val="32"/>
          <w:szCs w:val="32"/>
        </w:rPr>
      </w:pPr>
    </w:p>
    <w:p w:rsidR="00D43FD9" w:rsidRDefault="00D43FD9" w:rsidP="00D43FD9">
      <w:pPr>
        <w:rPr>
          <w:sz w:val="32"/>
          <w:szCs w:val="32"/>
        </w:rPr>
      </w:pPr>
    </w:p>
    <w:p w:rsidR="00D43FD9" w:rsidRDefault="00D43FD9" w:rsidP="00D43FD9">
      <w:pPr>
        <w:tabs>
          <w:tab w:val="left" w:pos="3510"/>
        </w:tabs>
        <w:jc w:val="center"/>
      </w:pPr>
    </w:p>
    <w:p w:rsidR="00D43FD9" w:rsidRDefault="00D43FD9" w:rsidP="00D43FD9">
      <w:pPr>
        <w:tabs>
          <w:tab w:val="left" w:pos="3510"/>
        </w:tabs>
        <w:jc w:val="center"/>
      </w:pPr>
    </w:p>
    <w:p w:rsidR="00D43FD9" w:rsidRDefault="00D43FD9" w:rsidP="00D43FD9">
      <w:pPr>
        <w:tabs>
          <w:tab w:val="left" w:pos="3510"/>
        </w:tabs>
        <w:jc w:val="center"/>
      </w:pPr>
    </w:p>
    <w:p w:rsidR="00514009" w:rsidRDefault="00514009">
      <w:pPr>
        <w:spacing w:after="200" w:line="276" w:lineRule="auto"/>
      </w:pPr>
      <w:r>
        <w:br w:type="page"/>
      </w:r>
    </w:p>
    <w:p w:rsidR="00D43FD9" w:rsidRPr="00C37610" w:rsidRDefault="00D43FD9" w:rsidP="00D43FD9">
      <w:pPr>
        <w:tabs>
          <w:tab w:val="left" w:pos="3510"/>
        </w:tabs>
        <w:jc w:val="center"/>
      </w:pPr>
      <w:r w:rsidRPr="00C37610">
        <w:lastRenderedPageBreak/>
        <w:t>Table of contents</w:t>
      </w:r>
    </w:p>
    <w:p w:rsidR="00D43FD9" w:rsidRPr="005B07A6" w:rsidRDefault="000D2888" w:rsidP="00D43FD9">
      <w:pPr>
        <w:pStyle w:val="TOC1"/>
      </w:pPr>
      <w:r w:rsidRPr="005B07A6">
        <w:fldChar w:fldCharType="begin"/>
      </w:r>
      <w:r w:rsidR="00D43FD9" w:rsidRPr="005B07A6">
        <w:instrText xml:space="preserve"> TOC \o "1-2" \u </w:instrText>
      </w:r>
      <w:r w:rsidRPr="005B07A6">
        <w:fldChar w:fldCharType="separate"/>
      </w:r>
      <w:r w:rsidR="00D43FD9" w:rsidRPr="005B07A6">
        <w:t>A.</w:t>
      </w:r>
      <w:r w:rsidR="00D43FD9">
        <w:tab/>
      </w:r>
      <w:r w:rsidR="00D43FD9" w:rsidRPr="005B07A6">
        <w:t>JUSTIFICATION</w:t>
      </w:r>
      <w:r w:rsidR="00D43FD9" w:rsidRPr="005B07A6">
        <w:tab/>
      </w:r>
      <w:r w:rsidR="003A4183">
        <w:t>1</w:t>
      </w:r>
    </w:p>
    <w:p w:rsidR="00D43FD9" w:rsidRPr="005B07A6" w:rsidRDefault="00D43FD9" w:rsidP="00D43FD9">
      <w:pPr>
        <w:pStyle w:val="TOC2"/>
        <w:rPr>
          <w:noProof/>
          <w:sz w:val="24"/>
          <w:szCs w:val="24"/>
        </w:rPr>
      </w:pPr>
      <w:r w:rsidRPr="005B07A6">
        <w:rPr>
          <w:noProof/>
          <w:sz w:val="24"/>
          <w:szCs w:val="24"/>
        </w:rPr>
        <w:t>A.1</w:t>
      </w:r>
      <w:r w:rsidRPr="005B07A6">
        <w:rPr>
          <w:noProof/>
          <w:sz w:val="24"/>
          <w:szCs w:val="24"/>
        </w:rPr>
        <w:tab/>
        <w:t>Circumstances Making the Collection of Information Necessary</w:t>
      </w:r>
      <w:r w:rsidRPr="005B07A6">
        <w:rPr>
          <w:noProof/>
          <w:sz w:val="24"/>
          <w:szCs w:val="24"/>
        </w:rPr>
        <w:tab/>
      </w:r>
      <w:r w:rsidR="003A4183">
        <w:rPr>
          <w:noProof/>
          <w:sz w:val="24"/>
          <w:szCs w:val="24"/>
        </w:rPr>
        <w:t>1</w:t>
      </w:r>
    </w:p>
    <w:p w:rsidR="00D43FD9" w:rsidRPr="005B07A6" w:rsidRDefault="00D43FD9" w:rsidP="00D43FD9">
      <w:pPr>
        <w:pStyle w:val="TOC2"/>
        <w:rPr>
          <w:noProof/>
          <w:sz w:val="24"/>
          <w:szCs w:val="24"/>
        </w:rPr>
      </w:pPr>
      <w:r w:rsidRPr="005B07A6">
        <w:rPr>
          <w:noProof/>
          <w:sz w:val="24"/>
          <w:szCs w:val="24"/>
        </w:rPr>
        <w:t>A.2.</w:t>
      </w:r>
      <w:r w:rsidRPr="005B07A6">
        <w:rPr>
          <w:noProof/>
          <w:sz w:val="24"/>
          <w:szCs w:val="24"/>
        </w:rPr>
        <w:tab/>
        <w:t>Purpose and Use of the Information COLLECTION</w:t>
      </w:r>
      <w:r w:rsidRPr="005B07A6">
        <w:rPr>
          <w:noProof/>
          <w:sz w:val="24"/>
          <w:szCs w:val="24"/>
        </w:rPr>
        <w:tab/>
      </w:r>
      <w:r w:rsidR="003A4183">
        <w:rPr>
          <w:noProof/>
          <w:sz w:val="24"/>
          <w:szCs w:val="24"/>
        </w:rPr>
        <w:t>2</w:t>
      </w:r>
    </w:p>
    <w:p w:rsidR="00D43FD9" w:rsidRPr="005B07A6" w:rsidRDefault="00D43FD9" w:rsidP="00D43FD9">
      <w:pPr>
        <w:pStyle w:val="TOC2"/>
        <w:rPr>
          <w:noProof/>
          <w:sz w:val="24"/>
          <w:szCs w:val="24"/>
        </w:rPr>
      </w:pPr>
      <w:r w:rsidRPr="005B07A6">
        <w:rPr>
          <w:noProof/>
          <w:sz w:val="24"/>
          <w:szCs w:val="24"/>
        </w:rPr>
        <w:t>A.3</w:t>
      </w:r>
      <w:r w:rsidRPr="005B07A6">
        <w:rPr>
          <w:noProof/>
          <w:sz w:val="24"/>
          <w:szCs w:val="24"/>
        </w:rPr>
        <w:tab/>
        <w:t>Use of Information Technology and Burden Reduction</w:t>
      </w:r>
      <w:r w:rsidRPr="005B07A6">
        <w:rPr>
          <w:noProof/>
          <w:sz w:val="24"/>
          <w:szCs w:val="24"/>
        </w:rPr>
        <w:tab/>
      </w:r>
      <w:r w:rsidR="003A4183">
        <w:rPr>
          <w:noProof/>
          <w:sz w:val="24"/>
          <w:szCs w:val="24"/>
        </w:rPr>
        <w:t>9</w:t>
      </w:r>
    </w:p>
    <w:p w:rsidR="00D43FD9" w:rsidRPr="005B07A6" w:rsidRDefault="00D43FD9" w:rsidP="00D43FD9">
      <w:pPr>
        <w:pStyle w:val="TOC2"/>
        <w:rPr>
          <w:noProof/>
          <w:sz w:val="24"/>
          <w:szCs w:val="24"/>
        </w:rPr>
      </w:pPr>
      <w:r w:rsidRPr="005B07A6">
        <w:rPr>
          <w:noProof/>
          <w:sz w:val="24"/>
          <w:szCs w:val="24"/>
        </w:rPr>
        <w:t>A.4</w:t>
      </w:r>
      <w:r w:rsidRPr="005B07A6">
        <w:rPr>
          <w:noProof/>
          <w:sz w:val="24"/>
          <w:szCs w:val="24"/>
        </w:rPr>
        <w:tab/>
        <w:t>Efforts to Identify Duplication and Use of Similar Information</w:t>
      </w:r>
      <w:r w:rsidRPr="005B07A6">
        <w:rPr>
          <w:noProof/>
          <w:sz w:val="24"/>
          <w:szCs w:val="24"/>
        </w:rPr>
        <w:tab/>
      </w:r>
      <w:r w:rsidR="003A4183">
        <w:rPr>
          <w:noProof/>
          <w:sz w:val="24"/>
          <w:szCs w:val="24"/>
        </w:rPr>
        <w:t>11</w:t>
      </w:r>
    </w:p>
    <w:p w:rsidR="00D43FD9" w:rsidRPr="005B07A6" w:rsidRDefault="00D43FD9" w:rsidP="00D43FD9">
      <w:pPr>
        <w:pStyle w:val="TOC2"/>
        <w:rPr>
          <w:noProof/>
          <w:sz w:val="24"/>
          <w:szCs w:val="24"/>
        </w:rPr>
      </w:pPr>
      <w:r w:rsidRPr="005B07A6">
        <w:rPr>
          <w:noProof/>
          <w:sz w:val="24"/>
          <w:szCs w:val="24"/>
        </w:rPr>
        <w:t>A.5</w:t>
      </w:r>
      <w:r w:rsidRPr="005B07A6">
        <w:rPr>
          <w:noProof/>
          <w:sz w:val="24"/>
          <w:szCs w:val="24"/>
        </w:rPr>
        <w:tab/>
        <w:t>Impact on Small Businesses or Other Small Entities</w:t>
      </w:r>
      <w:r w:rsidRPr="005B07A6">
        <w:rPr>
          <w:noProof/>
          <w:sz w:val="24"/>
          <w:szCs w:val="24"/>
        </w:rPr>
        <w:tab/>
      </w:r>
      <w:r w:rsidR="003A4183">
        <w:rPr>
          <w:noProof/>
          <w:sz w:val="24"/>
          <w:szCs w:val="24"/>
        </w:rPr>
        <w:t>11</w:t>
      </w:r>
    </w:p>
    <w:p w:rsidR="00D43FD9" w:rsidRPr="005B07A6" w:rsidRDefault="00D43FD9" w:rsidP="00D43FD9">
      <w:pPr>
        <w:pStyle w:val="TOC2"/>
        <w:rPr>
          <w:noProof/>
          <w:sz w:val="24"/>
          <w:szCs w:val="24"/>
        </w:rPr>
      </w:pPr>
      <w:r w:rsidRPr="005B07A6">
        <w:rPr>
          <w:noProof/>
          <w:sz w:val="24"/>
          <w:szCs w:val="24"/>
        </w:rPr>
        <w:t>A.6</w:t>
      </w:r>
      <w:r w:rsidRPr="005B07A6">
        <w:rPr>
          <w:noProof/>
          <w:sz w:val="24"/>
          <w:szCs w:val="24"/>
        </w:rPr>
        <w:tab/>
        <w:t>Consequences of Collecting the Information Less Frequently</w:t>
      </w:r>
      <w:r w:rsidRPr="005B07A6">
        <w:rPr>
          <w:noProof/>
          <w:sz w:val="24"/>
          <w:szCs w:val="24"/>
        </w:rPr>
        <w:tab/>
      </w:r>
      <w:r w:rsidR="003A4183">
        <w:rPr>
          <w:noProof/>
          <w:sz w:val="24"/>
          <w:szCs w:val="24"/>
        </w:rPr>
        <w:t>12</w:t>
      </w:r>
    </w:p>
    <w:p w:rsidR="00D43FD9" w:rsidRPr="005B07A6" w:rsidRDefault="00D43FD9" w:rsidP="00D43FD9">
      <w:pPr>
        <w:pStyle w:val="TOC2"/>
        <w:rPr>
          <w:noProof/>
          <w:sz w:val="24"/>
          <w:szCs w:val="24"/>
        </w:rPr>
      </w:pPr>
      <w:r w:rsidRPr="005B07A6">
        <w:rPr>
          <w:noProof/>
          <w:sz w:val="24"/>
          <w:szCs w:val="24"/>
        </w:rPr>
        <w:t>A.7</w:t>
      </w:r>
      <w:r w:rsidRPr="005B07A6">
        <w:rPr>
          <w:noProof/>
          <w:sz w:val="24"/>
          <w:szCs w:val="24"/>
        </w:rPr>
        <w:tab/>
        <w:t>Special Circumstances Relating to the Guidelines of 5 CFR 1320.5</w:t>
      </w:r>
      <w:r w:rsidRPr="005B07A6">
        <w:rPr>
          <w:noProof/>
          <w:sz w:val="24"/>
          <w:szCs w:val="24"/>
        </w:rPr>
        <w:tab/>
      </w:r>
      <w:r w:rsidR="003A4183">
        <w:rPr>
          <w:noProof/>
          <w:sz w:val="24"/>
          <w:szCs w:val="24"/>
        </w:rPr>
        <w:t>12</w:t>
      </w:r>
    </w:p>
    <w:p w:rsidR="00D43FD9" w:rsidRPr="005B07A6" w:rsidRDefault="00D43FD9" w:rsidP="00D43FD9">
      <w:pPr>
        <w:pStyle w:val="TOC2"/>
        <w:rPr>
          <w:noProof/>
          <w:sz w:val="24"/>
          <w:szCs w:val="24"/>
        </w:rPr>
      </w:pPr>
      <w:r w:rsidRPr="005B07A6">
        <w:rPr>
          <w:noProof/>
          <w:sz w:val="24"/>
          <w:szCs w:val="24"/>
        </w:rPr>
        <w:t>A.8</w:t>
      </w:r>
      <w:r w:rsidRPr="005B07A6">
        <w:rPr>
          <w:noProof/>
          <w:sz w:val="24"/>
          <w:szCs w:val="24"/>
        </w:rPr>
        <w:tab/>
        <w:t>Comments in Response to the Federal Register Notice and Efforts to Consult Outside Agency</w:t>
      </w:r>
      <w:r w:rsidRPr="005B07A6">
        <w:rPr>
          <w:noProof/>
          <w:sz w:val="24"/>
          <w:szCs w:val="24"/>
        </w:rPr>
        <w:tab/>
      </w:r>
      <w:r w:rsidR="003A4183">
        <w:rPr>
          <w:noProof/>
          <w:sz w:val="24"/>
          <w:szCs w:val="24"/>
        </w:rPr>
        <w:t>12</w:t>
      </w:r>
    </w:p>
    <w:p w:rsidR="00D43FD9" w:rsidRPr="005B07A6" w:rsidRDefault="00D43FD9" w:rsidP="00D43FD9">
      <w:pPr>
        <w:pStyle w:val="TOC2"/>
        <w:rPr>
          <w:noProof/>
          <w:sz w:val="24"/>
          <w:szCs w:val="24"/>
        </w:rPr>
      </w:pPr>
      <w:r w:rsidRPr="005B07A6">
        <w:rPr>
          <w:noProof/>
          <w:sz w:val="24"/>
          <w:szCs w:val="24"/>
        </w:rPr>
        <w:t>A.9</w:t>
      </w:r>
      <w:r w:rsidRPr="005B07A6">
        <w:rPr>
          <w:noProof/>
          <w:sz w:val="24"/>
          <w:szCs w:val="24"/>
        </w:rPr>
        <w:tab/>
        <w:t>Explanation of Any Payment of Gift to Respondents</w:t>
      </w:r>
      <w:r w:rsidRPr="005B07A6">
        <w:rPr>
          <w:noProof/>
          <w:sz w:val="24"/>
          <w:szCs w:val="24"/>
        </w:rPr>
        <w:tab/>
      </w:r>
      <w:r w:rsidR="003A4183">
        <w:rPr>
          <w:noProof/>
          <w:sz w:val="24"/>
          <w:szCs w:val="24"/>
        </w:rPr>
        <w:t>13</w:t>
      </w:r>
    </w:p>
    <w:p w:rsidR="00D43FD9" w:rsidRPr="005B07A6" w:rsidRDefault="00D43FD9" w:rsidP="00D43FD9">
      <w:pPr>
        <w:pStyle w:val="TOC2"/>
        <w:rPr>
          <w:noProof/>
          <w:sz w:val="24"/>
          <w:szCs w:val="24"/>
        </w:rPr>
      </w:pPr>
      <w:r w:rsidRPr="005B07A6">
        <w:rPr>
          <w:noProof/>
          <w:sz w:val="24"/>
          <w:szCs w:val="24"/>
        </w:rPr>
        <w:t>A.10</w:t>
      </w:r>
      <w:r w:rsidRPr="005B07A6">
        <w:rPr>
          <w:noProof/>
          <w:sz w:val="24"/>
          <w:szCs w:val="24"/>
        </w:rPr>
        <w:tab/>
        <w:t>Assurance of Confidentiality Provided to Respondents</w:t>
      </w:r>
      <w:r w:rsidRPr="005B07A6">
        <w:rPr>
          <w:noProof/>
          <w:sz w:val="24"/>
          <w:szCs w:val="24"/>
        </w:rPr>
        <w:tab/>
      </w:r>
      <w:r w:rsidR="003A4183">
        <w:rPr>
          <w:noProof/>
          <w:sz w:val="24"/>
          <w:szCs w:val="24"/>
        </w:rPr>
        <w:t>13</w:t>
      </w:r>
    </w:p>
    <w:p w:rsidR="00D43FD9" w:rsidRPr="005B07A6" w:rsidRDefault="00D43FD9" w:rsidP="00D43FD9">
      <w:pPr>
        <w:pStyle w:val="TOC2"/>
        <w:rPr>
          <w:noProof/>
          <w:sz w:val="24"/>
          <w:szCs w:val="24"/>
        </w:rPr>
      </w:pPr>
      <w:r w:rsidRPr="005B07A6">
        <w:rPr>
          <w:noProof/>
          <w:sz w:val="24"/>
          <w:szCs w:val="24"/>
        </w:rPr>
        <w:t>A.11</w:t>
      </w:r>
      <w:r w:rsidRPr="005B07A6">
        <w:rPr>
          <w:noProof/>
          <w:sz w:val="24"/>
          <w:szCs w:val="24"/>
        </w:rPr>
        <w:tab/>
        <w:t>Justification for Sensitive Questions</w:t>
      </w:r>
      <w:r w:rsidRPr="005B07A6">
        <w:rPr>
          <w:noProof/>
          <w:sz w:val="24"/>
          <w:szCs w:val="24"/>
        </w:rPr>
        <w:tab/>
      </w:r>
      <w:r w:rsidR="003A4183">
        <w:rPr>
          <w:noProof/>
          <w:sz w:val="24"/>
          <w:szCs w:val="24"/>
        </w:rPr>
        <w:t>15</w:t>
      </w:r>
    </w:p>
    <w:p w:rsidR="00D43FD9" w:rsidRPr="005B07A6" w:rsidRDefault="00D43FD9" w:rsidP="00D43FD9">
      <w:pPr>
        <w:pStyle w:val="TOC2"/>
        <w:rPr>
          <w:noProof/>
          <w:sz w:val="24"/>
          <w:szCs w:val="24"/>
        </w:rPr>
      </w:pPr>
      <w:r w:rsidRPr="005B07A6">
        <w:rPr>
          <w:noProof/>
          <w:sz w:val="24"/>
          <w:szCs w:val="24"/>
        </w:rPr>
        <w:t>A.12</w:t>
      </w:r>
      <w:r w:rsidRPr="005B07A6">
        <w:rPr>
          <w:noProof/>
          <w:sz w:val="24"/>
          <w:szCs w:val="24"/>
        </w:rPr>
        <w:tab/>
        <w:t>Estimates of Hour Burden Including Annualized Hourly Costs</w:t>
      </w:r>
      <w:r w:rsidRPr="005B07A6">
        <w:rPr>
          <w:noProof/>
          <w:sz w:val="24"/>
          <w:szCs w:val="24"/>
        </w:rPr>
        <w:tab/>
      </w:r>
      <w:r w:rsidR="003A4183">
        <w:rPr>
          <w:noProof/>
          <w:sz w:val="24"/>
          <w:szCs w:val="24"/>
        </w:rPr>
        <w:t>15</w:t>
      </w:r>
    </w:p>
    <w:p w:rsidR="00D43FD9" w:rsidRPr="005B07A6" w:rsidRDefault="00D43FD9" w:rsidP="00D43FD9">
      <w:pPr>
        <w:pStyle w:val="TOC2"/>
        <w:rPr>
          <w:noProof/>
          <w:sz w:val="24"/>
          <w:szCs w:val="24"/>
        </w:rPr>
      </w:pPr>
      <w:r w:rsidRPr="005B07A6">
        <w:rPr>
          <w:noProof/>
          <w:sz w:val="24"/>
          <w:szCs w:val="24"/>
        </w:rPr>
        <w:t>A.13</w:t>
      </w:r>
      <w:r w:rsidRPr="005B07A6">
        <w:rPr>
          <w:noProof/>
          <w:sz w:val="24"/>
          <w:szCs w:val="24"/>
        </w:rPr>
        <w:tab/>
        <w:t>Estimate of Other Total Annual Cost Burden to Respondents or Record</w:t>
      </w:r>
    </w:p>
    <w:p w:rsidR="00D43FD9" w:rsidRPr="005B07A6" w:rsidRDefault="00D43FD9" w:rsidP="00D43FD9">
      <w:pPr>
        <w:pStyle w:val="TOC2"/>
        <w:rPr>
          <w:noProof/>
          <w:sz w:val="24"/>
          <w:szCs w:val="24"/>
        </w:rPr>
      </w:pPr>
      <w:r w:rsidRPr="005B07A6">
        <w:rPr>
          <w:noProof/>
          <w:sz w:val="24"/>
          <w:szCs w:val="24"/>
        </w:rPr>
        <w:tab/>
        <w:t xml:space="preserve"> keepers</w:t>
      </w:r>
      <w:r w:rsidRPr="005B07A6">
        <w:rPr>
          <w:noProof/>
          <w:sz w:val="24"/>
          <w:szCs w:val="24"/>
        </w:rPr>
        <w:tab/>
      </w:r>
      <w:r w:rsidR="003A4183">
        <w:rPr>
          <w:noProof/>
          <w:sz w:val="24"/>
          <w:szCs w:val="24"/>
        </w:rPr>
        <w:t>17</w:t>
      </w:r>
    </w:p>
    <w:p w:rsidR="00D43FD9" w:rsidRPr="005B07A6" w:rsidRDefault="00D43FD9" w:rsidP="00D43FD9">
      <w:pPr>
        <w:pStyle w:val="TOC2"/>
        <w:rPr>
          <w:noProof/>
          <w:sz w:val="24"/>
          <w:szCs w:val="24"/>
        </w:rPr>
      </w:pPr>
      <w:r w:rsidRPr="005B07A6">
        <w:rPr>
          <w:noProof/>
          <w:sz w:val="24"/>
          <w:szCs w:val="24"/>
        </w:rPr>
        <w:t>A.14</w:t>
      </w:r>
      <w:r w:rsidRPr="005B07A6">
        <w:rPr>
          <w:noProof/>
          <w:sz w:val="24"/>
          <w:szCs w:val="24"/>
        </w:rPr>
        <w:tab/>
        <w:t>Annualized Cost to the Federal Government</w:t>
      </w:r>
      <w:r w:rsidRPr="005B07A6">
        <w:rPr>
          <w:noProof/>
          <w:sz w:val="24"/>
          <w:szCs w:val="24"/>
        </w:rPr>
        <w:tab/>
      </w:r>
      <w:r w:rsidR="003A4183">
        <w:rPr>
          <w:noProof/>
          <w:sz w:val="24"/>
          <w:szCs w:val="24"/>
        </w:rPr>
        <w:t>17</w:t>
      </w:r>
    </w:p>
    <w:p w:rsidR="00D43FD9" w:rsidRPr="005B07A6" w:rsidRDefault="00D43FD9" w:rsidP="00D43FD9">
      <w:pPr>
        <w:pStyle w:val="TOC2"/>
        <w:rPr>
          <w:noProof/>
          <w:sz w:val="24"/>
          <w:szCs w:val="24"/>
        </w:rPr>
      </w:pPr>
      <w:r w:rsidRPr="005B07A6">
        <w:rPr>
          <w:noProof/>
          <w:sz w:val="24"/>
          <w:szCs w:val="24"/>
        </w:rPr>
        <w:t>A.15</w:t>
      </w:r>
      <w:r w:rsidRPr="005B07A6">
        <w:rPr>
          <w:noProof/>
          <w:sz w:val="24"/>
          <w:szCs w:val="24"/>
        </w:rPr>
        <w:tab/>
        <w:t>Explanation for Program Changes or Adjustments</w:t>
      </w:r>
      <w:r w:rsidRPr="005B07A6">
        <w:rPr>
          <w:noProof/>
          <w:sz w:val="24"/>
          <w:szCs w:val="24"/>
        </w:rPr>
        <w:tab/>
      </w:r>
      <w:r w:rsidR="003A4183">
        <w:rPr>
          <w:noProof/>
          <w:sz w:val="24"/>
          <w:szCs w:val="24"/>
        </w:rPr>
        <w:t>18</w:t>
      </w:r>
    </w:p>
    <w:p w:rsidR="00D43FD9" w:rsidRPr="005B07A6" w:rsidRDefault="00D43FD9" w:rsidP="00D43FD9">
      <w:pPr>
        <w:pStyle w:val="TOC2"/>
        <w:rPr>
          <w:noProof/>
          <w:sz w:val="24"/>
          <w:szCs w:val="24"/>
        </w:rPr>
      </w:pPr>
      <w:r w:rsidRPr="005B07A6">
        <w:rPr>
          <w:noProof/>
          <w:sz w:val="24"/>
          <w:szCs w:val="24"/>
        </w:rPr>
        <w:t>A.16</w:t>
      </w:r>
      <w:r w:rsidRPr="005B07A6">
        <w:rPr>
          <w:noProof/>
          <w:sz w:val="24"/>
          <w:szCs w:val="24"/>
        </w:rPr>
        <w:tab/>
        <w:t>Plans for Tabulation and Publication and Project Time Schedule</w:t>
      </w:r>
      <w:r w:rsidRPr="005B07A6">
        <w:rPr>
          <w:noProof/>
          <w:sz w:val="24"/>
          <w:szCs w:val="24"/>
        </w:rPr>
        <w:tab/>
      </w:r>
      <w:r w:rsidR="003A4183">
        <w:rPr>
          <w:noProof/>
          <w:sz w:val="24"/>
          <w:szCs w:val="24"/>
        </w:rPr>
        <w:t>18</w:t>
      </w:r>
    </w:p>
    <w:p w:rsidR="00D43FD9" w:rsidRPr="005B07A6" w:rsidRDefault="00D43FD9" w:rsidP="00D43FD9">
      <w:pPr>
        <w:pStyle w:val="TOC2"/>
        <w:rPr>
          <w:noProof/>
          <w:sz w:val="24"/>
          <w:szCs w:val="24"/>
        </w:rPr>
      </w:pPr>
      <w:r w:rsidRPr="005B07A6">
        <w:rPr>
          <w:noProof/>
          <w:sz w:val="24"/>
          <w:szCs w:val="24"/>
        </w:rPr>
        <w:t>A.17</w:t>
      </w:r>
      <w:r w:rsidRPr="005B07A6">
        <w:rPr>
          <w:noProof/>
          <w:sz w:val="24"/>
          <w:szCs w:val="24"/>
        </w:rPr>
        <w:tab/>
        <w:t>Reason(s) Display of OMB Expiration Date is Inappropriate</w:t>
      </w:r>
      <w:r w:rsidRPr="005B07A6">
        <w:rPr>
          <w:noProof/>
          <w:sz w:val="24"/>
          <w:szCs w:val="24"/>
        </w:rPr>
        <w:tab/>
      </w:r>
      <w:r w:rsidR="003A4183">
        <w:rPr>
          <w:noProof/>
          <w:sz w:val="24"/>
          <w:szCs w:val="24"/>
        </w:rPr>
        <w:t>21</w:t>
      </w:r>
    </w:p>
    <w:p w:rsidR="00D43FD9" w:rsidRPr="005B07A6" w:rsidRDefault="00D43FD9" w:rsidP="00D43FD9">
      <w:pPr>
        <w:pStyle w:val="TOC2"/>
        <w:rPr>
          <w:noProof/>
          <w:sz w:val="24"/>
          <w:szCs w:val="24"/>
        </w:rPr>
      </w:pPr>
      <w:r w:rsidRPr="005B07A6">
        <w:rPr>
          <w:noProof/>
          <w:sz w:val="24"/>
          <w:szCs w:val="24"/>
        </w:rPr>
        <w:t>A.18</w:t>
      </w:r>
      <w:r w:rsidRPr="005B07A6">
        <w:rPr>
          <w:noProof/>
          <w:sz w:val="24"/>
          <w:szCs w:val="24"/>
        </w:rPr>
        <w:tab/>
        <w:t>Exceptions to Certification for Paperwork Reduction Act Submissions</w:t>
      </w:r>
      <w:r w:rsidRPr="005B07A6">
        <w:rPr>
          <w:noProof/>
          <w:sz w:val="24"/>
          <w:szCs w:val="24"/>
        </w:rPr>
        <w:tab/>
      </w:r>
      <w:r w:rsidR="003A4183">
        <w:rPr>
          <w:noProof/>
          <w:sz w:val="24"/>
          <w:szCs w:val="24"/>
        </w:rPr>
        <w:t>21</w:t>
      </w:r>
    </w:p>
    <w:p w:rsidR="00D43FD9" w:rsidRDefault="000D2888" w:rsidP="00D43FD9">
      <w:pPr>
        <w:rPr>
          <w:caps/>
          <w:noProof/>
        </w:rPr>
      </w:pPr>
      <w:r w:rsidRPr="005B07A6">
        <w:rPr>
          <w:caps/>
          <w:noProof/>
        </w:rPr>
        <w:fldChar w:fldCharType="end"/>
      </w:r>
    </w:p>
    <w:p w:rsidR="00220C8E" w:rsidRDefault="00220C8E">
      <w:pPr>
        <w:spacing w:after="200" w:line="276" w:lineRule="auto"/>
        <w:rPr>
          <w:b/>
          <w:caps/>
          <w:noProof/>
          <w:color w:val="000000"/>
        </w:rPr>
      </w:pPr>
      <w:r>
        <w:rPr>
          <w:b/>
          <w:caps/>
          <w:noProof/>
          <w:color w:val="000000"/>
        </w:rPr>
        <w:br w:type="page"/>
      </w:r>
    </w:p>
    <w:p w:rsidR="00220C8E" w:rsidRPr="004359F8" w:rsidRDefault="00005057" w:rsidP="00220C8E">
      <w:pPr>
        <w:pStyle w:val="P1-StandPara"/>
        <w:ind w:right="-216" w:firstLine="0"/>
        <w:jc w:val="center"/>
        <w:rPr>
          <w:color w:val="000000"/>
          <w:sz w:val="24"/>
          <w:szCs w:val="24"/>
        </w:rPr>
      </w:pPr>
      <w:r>
        <w:rPr>
          <w:b/>
          <w:caps/>
          <w:noProof/>
          <w:color w:val="000000"/>
          <w:sz w:val="24"/>
          <w:szCs w:val="24"/>
        </w:rPr>
        <w:lastRenderedPageBreak/>
        <w:t xml:space="preserve">LIST OF </w:t>
      </w:r>
      <w:r w:rsidR="00220C8E" w:rsidRPr="00005057">
        <w:rPr>
          <w:b/>
          <w:caps/>
          <w:noProof/>
          <w:color w:val="000000"/>
          <w:sz w:val="24"/>
          <w:szCs w:val="24"/>
        </w:rPr>
        <w:t>Attachments</w:t>
      </w:r>
      <w:r>
        <w:rPr>
          <w:b/>
          <w:caps/>
          <w:noProof/>
          <w:color w:val="000000"/>
          <w:sz w:val="24"/>
          <w:szCs w:val="24"/>
        </w:rPr>
        <w:t>:</w:t>
      </w:r>
    </w:p>
    <w:p w:rsidR="00220C8E" w:rsidRPr="001A6263" w:rsidRDefault="000D2888" w:rsidP="00220C8E">
      <w:pPr>
        <w:tabs>
          <w:tab w:val="left" w:pos="3510"/>
        </w:tabs>
        <w:jc w:val="center"/>
      </w:pPr>
      <w:r w:rsidRPr="001A6263">
        <w:fldChar w:fldCharType="begin"/>
      </w:r>
      <w:r w:rsidR="00220C8E" w:rsidRPr="001A6263">
        <w:instrText xml:space="preserve"> TOC \o "1-2" \u </w:instrText>
      </w:r>
      <w:r w:rsidRPr="001A6263">
        <w:fldChar w:fldCharType="separate"/>
      </w:r>
    </w:p>
    <w:p w:rsidR="00A772A7" w:rsidRPr="00A772A7" w:rsidRDefault="00220C8E" w:rsidP="00A772A7">
      <w:pPr>
        <w:pStyle w:val="TOC2"/>
        <w:rPr>
          <w:noProof/>
          <w:sz w:val="24"/>
          <w:szCs w:val="24"/>
        </w:rPr>
      </w:pPr>
      <w:r w:rsidRPr="001A6263">
        <w:rPr>
          <w:noProof/>
          <w:sz w:val="24"/>
          <w:szCs w:val="24"/>
        </w:rPr>
        <w:t>1.</w:t>
      </w:r>
      <w:r w:rsidRPr="001A6263">
        <w:rPr>
          <w:noProof/>
          <w:sz w:val="24"/>
          <w:szCs w:val="24"/>
        </w:rPr>
        <w:tab/>
      </w:r>
      <w:r w:rsidR="00C8311B">
        <w:rPr>
          <w:noProof/>
          <w:sz w:val="24"/>
          <w:szCs w:val="24"/>
        </w:rPr>
        <w:t>Survey of Awardees</w:t>
      </w:r>
      <w:r w:rsidR="00A772A7">
        <w:rPr>
          <w:noProof/>
          <w:sz w:val="24"/>
          <w:szCs w:val="24"/>
        </w:rPr>
        <w:t xml:space="preserve"> with Screenshots</w:t>
      </w:r>
    </w:p>
    <w:p w:rsidR="00B35956" w:rsidRDefault="00A772A7" w:rsidP="00B35956">
      <w:pPr>
        <w:pStyle w:val="TOC2"/>
        <w:rPr>
          <w:noProof/>
          <w:sz w:val="24"/>
          <w:szCs w:val="24"/>
        </w:rPr>
      </w:pPr>
      <w:r>
        <w:rPr>
          <w:noProof/>
          <w:sz w:val="24"/>
          <w:szCs w:val="24"/>
        </w:rPr>
        <w:t>2.</w:t>
      </w:r>
      <w:r>
        <w:rPr>
          <w:noProof/>
          <w:sz w:val="24"/>
          <w:szCs w:val="24"/>
        </w:rPr>
        <w:tab/>
        <w:t>Survey of Applicants with Screenshots</w:t>
      </w:r>
    </w:p>
    <w:p w:rsidR="00B35956" w:rsidRDefault="00B35956" w:rsidP="00B35956">
      <w:pPr>
        <w:pStyle w:val="TOC2"/>
        <w:rPr>
          <w:noProof/>
          <w:sz w:val="24"/>
          <w:szCs w:val="24"/>
        </w:rPr>
      </w:pPr>
      <w:r>
        <w:rPr>
          <w:noProof/>
          <w:sz w:val="24"/>
          <w:szCs w:val="24"/>
        </w:rPr>
        <w:t>3.</w:t>
      </w:r>
      <w:r>
        <w:rPr>
          <w:noProof/>
          <w:sz w:val="24"/>
          <w:szCs w:val="24"/>
        </w:rPr>
        <w:tab/>
        <w:t>Survey of Students</w:t>
      </w:r>
      <w:r w:rsidR="00A772A7">
        <w:rPr>
          <w:noProof/>
          <w:sz w:val="24"/>
          <w:szCs w:val="24"/>
        </w:rPr>
        <w:t xml:space="preserve"> with Screenshopts</w:t>
      </w:r>
    </w:p>
    <w:p w:rsidR="00B35956" w:rsidRDefault="00B35956" w:rsidP="00B35956">
      <w:pPr>
        <w:pStyle w:val="TOC2"/>
        <w:rPr>
          <w:noProof/>
          <w:sz w:val="24"/>
          <w:szCs w:val="24"/>
        </w:rPr>
      </w:pPr>
      <w:r>
        <w:rPr>
          <w:noProof/>
          <w:sz w:val="24"/>
          <w:szCs w:val="24"/>
        </w:rPr>
        <w:t>4.</w:t>
      </w:r>
      <w:r>
        <w:rPr>
          <w:noProof/>
          <w:sz w:val="24"/>
          <w:szCs w:val="24"/>
        </w:rPr>
        <w:tab/>
        <w:t>Semi-structured Interview Guide</w:t>
      </w:r>
    </w:p>
    <w:p w:rsidR="00B35956" w:rsidRDefault="00B35956" w:rsidP="00B35956">
      <w:pPr>
        <w:pStyle w:val="TOC2"/>
        <w:rPr>
          <w:noProof/>
          <w:sz w:val="24"/>
          <w:szCs w:val="24"/>
        </w:rPr>
      </w:pPr>
      <w:r>
        <w:rPr>
          <w:noProof/>
          <w:sz w:val="24"/>
          <w:szCs w:val="24"/>
        </w:rPr>
        <w:t xml:space="preserve">5. </w:t>
      </w:r>
      <w:r>
        <w:rPr>
          <w:noProof/>
          <w:sz w:val="24"/>
          <w:szCs w:val="24"/>
        </w:rPr>
        <w:tab/>
        <w:t>Privacy Impact Statement</w:t>
      </w:r>
    </w:p>
    <w:p w:rsidR="00B35956" w:rsidRDefault="00B35956" w:rsidP="00B35956">
      <w:pPr>
        <w:pStyle w:val="TOC2"/>
        <w:rPr>
          <w:noProof/>
          <w:sz w:val="24"/>
          <w:szCs w:val="24"/>
        </w:rPr>
      </w:pPr>
      <w:r>
        <w:rPr>
          <w:noProof/>
          <w:sz w:val="24"/>
          <w:szCs w:val="24"/>
        </w:rPr>
        <w:t xml:space="preserve">6. </w:t>
      </w:r>
      <w:r>
        <w:rPr>
          <w:noProof/>
          <w:sz w:val="24"/>
          <w:szCs w:val="24"/>
        </w:rPr>
        <w:tab/>
        <w:t>Privacy Act Memo</w:t>
      </w:r>
    </w:p>
    <w:p w:rsidR="00B35956" w:rsidRDefault="00B35956" w:rsidP="00B35956">
      <w:pPr>
        <w:pStyle w:val="TOC2"/>
        <w:ind w:left="0" w:firstLine="0"/>
        <w:rPr>
          <w:noProof/>
          <w:sz w:val="24"/>
          <w:szCs w:val="24"/>
        </w:rPr>
      </w:pPr>
      <w:r>
        <w:rPr>
          <w:noProof/>
          <w:sz w:val="24"/>
          <w:szCs w:val="24"/>
        </w:rPr>
        <w:t xml:space="preserve">7. </w:t>
      </w:r>
      <w:r>
        <w:rPr>
          <w:noProof/>
          <w:sz w:val="24"/>
          <w:szCs w:val="24"/>
        </w:rPr>
        <w:tab/>
        <w:t>IRB Approval Letters</w:t>
      </w:r>
    </w:p>
    <w:p w:rsidR="00B35956" w:rsidRDefault="00901CFD" w:rsidP="00B35956">
      <w:pPr>
        <w:pStyle w:val="TOC2"/>
        <w:rPr>
          <w:noProof/>
          <w:sz w:val="24"/>
          <w:szCs w:val="24"/>
        </w:rPr>
      </w:pPr>
      <w:r>
        <w:rPr>
          <w:noProof/>
          <w:sz w:val="24"/>
          <w:szCs w:val="24"/>
        </w:rPr>
        <w:t xml:space="preserve">8. </w:t>
      </w:r>
      <w:r>
        <w:rPr>
          <w:noProof/>
          <w:sz w:val="24"/>
          <w:szCs w:val="24"/>
        </w:rPr>
        <w:tab/>
      </w:r>
      <w:r w:rsidR="00B35956">
        <w:rPr>
          <w:noProof/>
          <w:sz w:val="24"/>
          <w:szCs w:val="24"/>
        </w:rPr>
        <w:t xml:space="preserve">Survey Introductory Email  </w:t>
      </w:r>
    </w:p>
    <w:p w:rsidR="00B35956" w:rsidRDefault="00B35956" w:rsidP="00C8311B">
      <w:pPr>
        <w:pStyle w:val="TOC2"/>
        <w:tabs>
          <w:tab w:val="clear" w:pos="9494"/>
          <w:tab w:val="left" w:pos="2865"/>
        </w:tabs>
        <w:rPr>
          <w:noProof/>
          <w:sz w:val="24"/>
          <w:szCs w:val="24"/>
        </w:rPr>
      </w:pPr>
      <w:r>
        <w:rPr>
          <w:noProof/>
          <w:sz w:val="24"/>
          <w:szCs w:val="24"/>
        </w:rPr>
        <w:tab/>
        <w:t>8A. awardees</w:t>
      </w:r>
      <w:r w:rsidR="00C8311B">
        <w:rPr>
          <w:noProof/>
          <w:sz w:val="24"/>
          <w:szCs w:val="24"/>
        </w:rPr>
        <w:tab/>
      </w:r>
    </w:p>
    <w:p w:rsidR="00B35956" w:rsidRDefault="00B35956" w:rsidP="00B35956">
      <w:pPr>
        <w:pStyle w:val="TOC2"/>
        <w:rPr>
          <w:noProof/>
          <w:sz w:val="24"/>
          <w:szCs w:val="24"/>
        </w:rPr>
      </w:pPr>
      <w:r>
        <w:rPr>
          <w:noProof/>
          <w:sz w:val="24"/>
          <w:szCs w:val="24"/>
        </w:rPr>
        <w:tab/>
        <w:t>8B. applicants</w:t>
      </w:r>
    </w:p>
    <w:p w:rsidR="00B35956" w:rsidRDefault="00B35956" w:rsidP="00B35956">
      <w:pPr>
        <w:pStyle w:val="TOC2"/>
        <w:ind w:left="0" w:firstLine="0"/>
        <w:rPr>
          <w:noProof/>
          <w:sz w:val="24"/>
          <w:szCs w:val="24"/>
        </w:rPr>
      </w:pPr>
    </w:p>
    <w:p w:rsidR="007C6982" w:rsidRDefault="007C6982" w:rsidP="001925CC">
      <w:pPr>
        <w:pStyle w:val="TOC2"/>
        <w:ind w:left="0" w:firstLine="0"/>
        <w:rPr>
          <w:noProof/>
          <w:sz w:val="24"/>
          <w:szCs w:val="24"/>
        </w:rPr>
        <w:sectPr w:rsidR="007C6982" w:rsidSect="00220C8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432" w:gutter="0"/>
          <w:pgNumType w:fmt="lowerRoman" w:start="1"/>
          <w:cols w:space="720"/>
          <w:noEndnote/>
          <w:titlePg/>
          <w:docGrid w:linePitch="299"/>
        </w:sectPr>
      </w:pPr>
    </w:p>
    <w:p w:rsidR="008F7276" w:rsidRPr="004C3027" w:rsidRDefault="000D2888" w:rsidP="00005DAE">
      <w:pPr>
        <w:rPr>
          <w:b/>
          <w:caps/>
          <w:noProof/>
        </w:rPr>
      </w:pPr>
      <w:r w:rsidRPr="001A6263">
        <w:rPr>
          <w:caps/>
          <w:noProof/>
        </w:rPr>
        <w:lastRenderedPageBreak/>
        <w:fldChar w:fldCharType="end"/>
      </w:r>
      <w:r w:rsidR="008F7276">
        <w:rPr>
          <w:b/>
          <w:caps/>
          <w:noProof/>
        </w:rPr>
        <w:t>ABSTRACT</w:t>
      </w:r>
    </w:p>
    <w:p w:rsidR="008F7276" w:rsidRDefault="008F7276" w:rsidP="00005DAE">
      <w:pPr>
        <w:rPr>
          <w:caps/>
          <w:noProof/>
        </w:rPr>
      </w:pPr>
    </w:p>
    <w:p w:rsidR="006972F7" w:rsidRDefault="006972F7" w:rsidP="00005DAE">
      <w:pPr>
        <w:rPr>
          <w:rFonts w:cs="Arial"/>
          <w:smallCaps/>
          <w:color w:val="000000"/>
        </w:rPr>
      </w:pPr>
      <w:r w:rsidRPr="00B027E8">
        <w:rPr>
          <w:rFonts w:cs="Arial"/>
          <w:color w:val="000000"/>
        </w:rPr>
        <w:t>This is a request for OMB to approve the new submission titled, “</w:t>
      </w:r>
      <w:r>
        <w:rPr>
          <w:rFonts w:cs="Arial"/>
          <w:color w:val="000000"/>
        </w:rPr>
        <w:t>Evaluation of the NIH Academic Research Enhancement Award</w:t>
      </w:r>
      <w:r w:rsidRPr="00B027E8">
        <w:rPr>
          <w:rFonts w:cs="Arial"/>
          <w:color w:val="000000"/>
        </w:rPr>
        <w:t>” for 1 year.</w:t>
      </w:r>
      <w:r w:rsidR="00EA796A">
        <w:rPr>
          <w:rFonts w:cs="Arial"/>
          <w:color w:val="000000"/>
        </w:rPr>
        <w:t xml:space="preserve"> The AREA program’s mission is to</w:t>
      </w:r>
      <w:r w:rsidRPr="00B027E8">
        <w:rPr>
          <w:rFonts w:cs="Arial"/>
          <w:color w:val="000000"/>
        </w:rPr>
        <w:t xml:space="preserve"> </w:t>
      </w:r>
      <w:r w:rsidR="00EA796A" w:rsidRPr="00EA796A">
        <w:rPr>
          <w:rFonts w:cs="Arial"/>
          <w:color w:val="000000"/>
        </w:rPr>
        <w:t>sup</w:t>
      </w:r>
      <w:r w:rsidR="00EA796A">
        <w:rPr>
          <w:rFonts w:cs="Arial"/>
          <w:color w:val="000000"/>
        </w:rPr>
        <w:t>port meritorious research,</w:t>
      </w:r>
      <w:r w:rsidR="00EA796A" w:rsidRPr="00EA796A">
        <w:rPr>
          <w:rFonts w:cs="Arial"/>
          <w:color w:val="000000"/>
        </w:rPr>
        <w:t xml:space="preserve"> strengthen the research environmen</w:t>
      </w:r>
      <w:r w:rsidR="00EA796A">
        <w:rPr>
          <w:rFonts w:cs="Arial"/>
          <w:color w:val="000000"/>
        </w:rPr>
        <w:t>t of the</w:t>
      </w:r>
      <w:r w:rsidR="00FD49C1">
        <w:rPr>
          <w:rFonts w:cs="Arial"/>
          <w:color w:val="000000"/>
        </w:rPr>
        <w:t xml:space="preserve"> grantee</w:t>
      </w:r>
      <w:r w:rsidR="00EA796A">
        <w:rPr>
          <w:rFonts w:cs="Arial"/>
          <w:color w:val="000000"/>
        </w:rPr>
        <w:t xml:space="preserve"> institution, and </w:t>
      </w:r>
      <w:r w:rsidR="00EA796A" w:rsidRPr="00EA796A">
        <w:rPr>
          <w:rFonts w:cs="Arial"/>
          <w:color w:val="000000"/>
        </w:rPr>
        <w:t>expose students to research.</w:t>
      </w:r>
      <w:r w:rsidR="00467DFA">
        <w:rPr>
          <w:rFonts w:cs="Arial"/>
          <w:color w:val="000000"/>
        </w:rPr>
        <w:t xml:space="preserve"> Since its congressional mandate in 1985, the</w:t>
      </w:r>
      <w:r w:rsidR="00A215EC">
        <w:rPr>
          <w:rFonts w:cs="Arial"/>
          <w:color w:val="000000"/>
        </w:rPr>
        <w:t>re</w:t>
      </w:r>
      <w:r w:rsidR="00005DAE">
        <w:rPr>
          <w:rFonts w:cs="Arial"/>
          <w:color w:val="000000"/>
        </w:rPr>
        <w:t xml:space="preserve"> has been only one limited-</w:t>
      </w:r>
      <w:r w:rsidR="00A215EC">
        <w:rPr>
          <w:rFonts w:cs="Arial"/>
          <w:color w:val="000000"/>
        </w:rPr>
        <w:t xml:space="preserve">scope evaluation of the </w:t>
      </w:r>
      <w:r w:rsidR="00467DFA">
        <w:rPr>
          <w:rFonts w:cs="Arial"/>
          <w:color w:val="000000"/>
        </w:rPr>
        <w:t>AREA</w:t>
      </w:r>
      <w:r w:rsidR="00005DAE">
        <w:rPr>
          <w:rFonts w:cs="Arial"/>
          <w:color w:val="000000"/>
        </w:rPr>
        <w:t xml:space="preserve"> program in 1996</w:t>
      </w:r>
      <w:r w:rsidR="006841F7">
        <w:rPr>
          <w:rFonts w:cs="Arial"/>
          <w:color w:val="000000"/>
        </w:rPr>
        <w:t xml:space="preserve"> (the record of the OMB approval for this evaluation is not available)</w:t>
      </w:r>
      <w:r w:rsidR="00005DAE">
        <w:rPr>
          <w:rFonts w:cs="Arial"/>
          <w:color w:val="000000"/>
        </w:rPr>
        <w:t>.  As a result of this evaluation,</w:t>
      </w:r>
      <w:r w:rsidR="00B545C6">
        <w:rPr>
          <w:rFonts w:cs="Arial"/>
          <w:color w:val="000000"/>
        </w:rPr>
        <w:t xml:space="preserve"> significant changes were made to the program</w:t>
      </w:r>
      <w:r w:rsidR="00467DFA">
        <w:rPr>
          <w:rFonts w:cs="Arial"/>
          <w:color w:val="000000"/>
        </w:rPr>
        <w:t>. This will</w:t>
      </w:r>
      <w:r w:rsidR="00B545C6">
        <w:rPr>
          <w:rFonts w:cs="Arial"/>
          <w:color w:val="000000"/>
        </w:rPr>
        <w:t xml:space="preserve"> be the first evaluation of the </w:t>
      </w:r>
      <w:r w:rsidR="00EA796A">
        <w:rPr>
          <w:rFonts w:cs="Arial"/>
          <w:color w:val="000000"/>
        </w:rPr>
        <w:t xml:space="preserve">AREA program </w:t>
      </w:r>
      <w:r w:rsidR="00B545C6">
        <w:rPr>
          <w:rFonts w:cs="Arial"/>
          <w:color w:val="000000"/>
        </w:rPr>
        <w:t>since the</w:t>
      </w:r>
      <w:r w:rsidR="00005DAE">
        <w:rPr>
          <w:rFonts w:cs="Arial"/>
          <w:color w:val="000000"/>
        </w:rPr>
        <w:t>n.</w:t>
      </w:r>
      <w:r w:rsidR="00B545C6">
        <w:rPr>
          <w:rFonts w:cs="Arial"/>
          <w:color w:val="000000"/>
        </w:rPr>
        <w:t xml:space="preserve"> </w:t>
      </w:r>
      <w:r w:rsidR="00005DAE">
        <w:rPr>
          <w:rFonts w:cs="Arial"/>
          <w:color w:val="000000"/>
        </w:rPr>
        <w:t xml:space="preserve"> </w:t>
      </w:r>
      <w:r w:rsidR="00FE380E">
        <w:rPr>
          <w:rFonts w:cs="Arial"/>
          <w:color w:val="000000"/>
        </w:rPr>
        <w:t>In the past three years</w:t>
      </w:r>
      <w:r w:rsidR="008C2234">
        <w:rPr>
          <w:rFonts w:cs="Arial"/>
          <w:color w:val="000000"/>
        </w:rPr>
        <w:t xml:space="preserve"> alone</w:t>
      </w:r>
      <w:r w:rsidR="00B545C6">
        <w:rPr>
          <w:rFonts w:cs="Arial"/>
          <w:color w:val="000000"/>
        </w:rPr>
        <w:t xml:space="preserve">, the federal government has awarded approximately 78 million dollars annually in AREA grants. </w:t>
      </w:r>
      <w:r w:rsidR="00C244F0">
        <w:rPr>
          <w:rFonts w:cs="Arial"/>
          <w:color w:val="000000"/>
        </w:rPr>
        <w:t xml:space="preserve"> The evaluation </w:t>
      </w:r>
      <w:r w:rsidR="00B545C6">
        <w:rPr>
          <w:rFonts w:cs="Arial"/>
          <w:color w:val="000000"/>
        </w:rPr>
        <w:t>will allow NIH</w:t>
      </w:r>
      <w:r w:rsidR="00005DAE">
        <w:rPr>
          <w:rFonts w:cs="Arial"/>
          <w:color w:val="000000"/>
        </w:rPr>
        <w:t xml:space="preserve"> and Congress</w:t>
      </w:r>
      <w:r w:rsidR="00B545C6">
        <w:rPr>
          <w:rFonts w:cs="Arial"/>
          <w:color w:val="000000"/>
        </w:rPr>
        <w:t xml:space="preserve"> to assess the extent to which the AREA program is meeting its goals </w:t>
      </w:r>
      <w:r w:rsidR="00FE380E">
        <w:rPr>
          <w:rFonts w:cs="Arial"/>
          <w:color w:val="000000"/>
        </w:rPr>
        <w:t xml:space="preserve">and make recommendations so that this significant investment of public funds may be used as effectively as possible.  </w:t>
      </w:r>
    </w:p>
    <w:p w:rsidR="003C1E75" w:rsidRDefault="003C1E75" w:rsidP="00C244F0">
      <w:pPr>
        <w:pStyle w:val="TOC2"/>
        <w:ind w:left="0" w:firstLine="0"/>
        <w:rPr>
          <w:b/>
          <w:sz w:val="24"/>
          <w:szCs w:val="24"/>
        </w:rPr>
      </w:pPr>
    </w:p>
    <w:p w:rsidR="00123AAA" w:rsidRDefault="00123AAA" w:rsidP="00D43FD9">
      <w:pPr>
        <w:pStyle w:val="P1-StandPara"/>
        <w:tabs>
          <w:tab w:val="left" w:pos="720"/>
          <w:tab w:val="right" w:leader="dot" w:pos="9504"/>
        </w:tabs>
        <w:spacing w:before="120" w:after="120"/>
        <w:ind w:firstLine="0"/>
        <w:rPr>
          <w:b/>
          <w:sz w:val="24"/>
          <w:szCs w:val="24"/>
        </w:rPr>
      </w:pPr>
      <w:r>
        <w:rPr>
          <w:b/>
          <w:sz w:val="24"/>
          <w:szCs w:val="24"/>
        </w:rPr>
        <w:t>A.</w:t>
      </w:r>
      <w:r>
        <w:rPr>
          <w:b/>
          <w:sz w:val="24"/>
          <w:szCs w:val="24"/>
        </w:rPr>
        <w:tab/>
        <w:t>JUSTIFICATION</w:t>
      </w:r>
    </w:p>
    <w:p w:rsidR="00D43FD9" w:rsidRPr="00C37610" w:rsidRDefault="00D43FD9" w:rsidP="00D43FD9">
      <w:pPr>
        <w:pStyle w:val="P1-StandPara"/>
        <w:tabs>
          <w:tab w:val="left" w:pos="720"/>
          <w:tab w:val="right" w:leader="dot" w:pos="9504"/>
        </w:tabs>
        <w:spacing w:before="120" w:after="120"/>
        <w:ind w:firstLine="0"/>
        <w:rPr>
          <w:b/>
          <w:sz w:val="24"/>
          <w:szCs w:val="24"/>
        </w:rPr>
      </w:pPr>
      <w:r w:rsidRPr="00C37610">
        <w:rPr>
          <w:b/>
          <w:sz w:val="24"/>
          <w:szCs w:val="24"/>
        </w:rPr>
        <w:t>A.1</w:t>
      </w:r>
      <w:r w:rsidRPr="00C37610">
        <w:rPr>
          <w:b/>
          <w:sz w:val="24"/>
          <w:szCs w:val="24"/>
        </w:rPr>
        <w:tab/>
        <w:t>Circumstances Making the Collection of Information Necessary</w:t>
      </w:r>
    </w:p>
    <w:p w:rsidR="00123AAA" w:rsidRDefault="00346A1E" w:rsidP="00346A1E">
      <w:pPr>
        <w:spacing w:line="480" w:lineRule="auto"/>
        <w:ind w:firstLine="720"/>
      </w:pPr>
      <w:r>
        <w:t xml:space="preserve">The </w:t>
      </w:r>
      <w:r w:rsidR="008C2234">
        <w:t xml:space="preserve">proposed </w:t>
      </w:r>
      <w:r>
        <w:t xml:space="preserve">data collection is the first full-scale evaluation of the Congressionally-mandated Academic Research Enhancement Award (AREA) program. </w:t>
      </w:r>
      <w:r w:rsidR="00123AAA">
        <w:t>The AREA program was estab</w:t>
      </w:r>
      <w:r w:rsidR="000D2BD6">
        <w:t>lished by Congress in 1985</w:t>
      </w:r>
      <w:r w:rsidR="00123AAA">
        <w:t xml:space="preserve">. The AREA award plays a critical role in advancing NIH’s goals </w:t>
      </w:r>
      <w:r w:rsidR="00A215EC">
        <w:t xml:space="preserve">to develop and maintain </w:t>
      </w:r>
      <w:r w:rsidR="00123AAA">
        <w:t>the scientifi</w:t>
      </w:r>
      <w:r w:rsidR="000D2BD6">
        <w:t xml:space="preserve">c workforce by providing support to scientists at </w:t>
      </w:r>
      <w:r w:rsidR="00123AAA">
        <w:t>public and private colleges and</w:t>
      </w:r>
      <w:r w:rsidR="000D2BD6">
        <w:t xml:space="preserve"> universities </w:t>
      </w:r>
      <w:r w:rsidR="00A215EC">
        <w:t xml:space="preserve">that historically have received only small amounts of NIH funding in order </w:t>
      </w:r>
      <w:r w:rsidR="000822B1">
        <w:t xml:space="preserve">to provide high quality research opportunities to </w:t>
      </w:r>
      <w:r w:rsidR="00160054">
        <w:t>undergraduate</w:t>
      </w:r>
      <w:r w:rsidR="000822B1">
        <w:t xml:space="preserve"> and graduate students</w:t>
      </w:r>
      <w:r w:rsidR="00A215EC">
        <w:t>.</w:t>
      </w:r>
    </w:p>
    <w:p w:rsidR="00BE4A32" w:rsidRDefault="00BE4A32" w:rsidP="00346A1E">
      <w:pPr>
        <w:spacing w:line="480" w:lineRule="auto"/>
        <w:ind w:firstLine="720"/>
      </w:pPr>
      <w:r>
        <w:t>As a re</w:t>
      </w:r>
      <w:r w:rsidR="00160054">
        <w:t>sult of</w:t>
      </w:r>
      <w:r>
        <w:t xml:space="preserve"> an initial </w:t>
      </w:r>
      <w:r w:rsidR="008C2234">
        <w:t xml:space="preserve">small scale </w:t>
      </w:r>
      <w:r>
        <w:t xml:space="preserve">evaluation, NIH made significant changes to the AREA program in 1997. AREA grants were no longer </w:t>
      </w:r>
      <w:r w:rsidR="00141E25">
        <w:t>treated</w:t>
      </w:r>
      <w:r>
        <w:t xml:space="preserve"> as stepping stones for investigators to move on from towards grant mechanism</w:t>
      </w:r>
      <w:r w:rsidR="00141E25">
        <w:t xml:space="preserve"> used at major research institutions</w:t>
      </w:r>
      <w:r>
        <w:t>. Ins</w:t>
      </w:r>
      <w:r w:rsidR="00666F4E">
        <w:t>tead, AREA grants have be</w:t>
      </w:r>
      <w:r w:rsidR="008C2234">
        <w:t>en reconceived</w:t>
      </w:r>
      <w:r>
        <w:t xml:space="preserve"> as the means for conducting meritorious small-scale research</w:t>
      </w:r>
      <w:r w:rsidR="00666F4E">
        <w:t xml:space="preserve"> that may be</w:t>
      </w:r>
      <w:r w:rsidR="00141E25">
        <w:t xml:space="preserve"> renewable </w:t>
      </w:r>
      <w:r w:rsidR="00666F4E">
        <w:t xml:space="preserve">competitively </w:t>
      </w:r>
      <w:r w:rsidR="00141E25">
        <w:t>throughout the course of a scientist’s career</w:t>
      </w:r>
      <w:r>
        <w:t>. Also at this time, the three goals of the program we</w:t>
      </w:r>
      <w:r w:rsidR="00666F4E">
        <w:t>re</w:t>
      </w:r>
      <w:r>
        <w:t xml:space="preserve"> re-</w:t>
      </w:r>
      <w:r>
        <w:lastRenderedPageBreak/>
        <w:t>defined: 1) to support meritorious research, 2) to strengthen the research environment of the institution, and 3) to expose students t</w:t>
      </w:r>
      <w:r w:rsidR="00160054">
        <w:t xml:space="preserve">o research. The extent to which the program is meeting </w:t>
      </w:r>
      <w:r w:rsidR="008C2234">
        <w:t>the above</w:t>
      </w:r>
      <w:r w:rsidR="00160054">
        <w:t xml:space="preserve"> goals wil</w:t>
      </w:r>
      <w:r>
        <w:t>l be examin</w:t>
      </w:r>
      <w:r w:rsidR="008C2234">
        <w:t>ed</w:t>
      </w:r>
      <w:r>
        <w:t xml:space="preserve"> </w:t>
      </w:r>
      <w:r w:rsidR="008C2234">
        <w:t xml:space="preserve">through </w:t>
      </w:r>
      <w:r>
        <w:t>both process and outcome measures.</w:t>
      </w:r>
      <w:r w:rsidR="00B10FC0">
        <w:t xml:space="preserve"> </w:t>
      </w:r>
    </w:p>
    <w:p w:rsidR="00346A1E" w:rsidRDefault="00900353" w:rsidP="009D7F93">
      <w:pPr>
        <w:spacing w:line="480" w:lineRule="auto"/>
        <w:ind w:firstLine="720"/>
      </w:pPr>
      <w:r>
        <w:t xml:space="preserve">A feasibility study completed in 2011 </w:t>
      </w:r>
      <w:r w:rsidR="008C2234">
        <w:t>helped develop a</w:t>
      </w:r>
      <w:r>
        <w:t xml:space="preserve"> design for a full program evaluation, using both </w:t>
      </w:r>
      <w:r w:rsidR="008C2234">
        <w:t xml:space="preserve">structured </w:t>
      </w:r>
      <w:r w:rsidR="00346A1E">
        <w:t>and unstructured data sources to determine the extent to which the program</w:t>
      </w:r>
      <w:r w:rsidR="00BE4A32">
        <w:t xml:space="preserve"> is fulfilling its three goals stated above.</w:t>
      </w:r>
      <w:r w:rsidR="009D7F93">
        <w:t xml:space="preserve"> </w:t>
      </w:r>
      <w:r w:rsidR="00346A1E">
        <w:t>This evaluation will provide an in</w:t>
      </w:r>
      <w:r w:rsidR="0036519B">
        <w:t xml:space="preserve">valuable opportunity for the </w:t>
      </w:r>
      <w:r w:rsidR="008C2234">
        <w:t>National Institute of Health (NIH) Office of the Director (</w:t>
      </w:r>
      <w:r w:rsidR="0036519B">
        <w:t>OD</w:t>
      </w:r>
      <w:r w:rsidR="008C2234">
        <w:t>)</w:t>
      </w:r>
      <w:r w:rsidR="00346A1E">
        <w:t xml:space="preserve"> and </w:t>
      </w:r>
      <w:r w:rsidR="008C2234">
        <w:t>Institutes and Centers (</w:t>
      </w:r>
      <w:r w:rsidR="00346A1E">
        <w:t>IC</w:t>
      </w:r>
      <w:r w:rsidR="008C2234">
        <w:t>s)</w:t>
      </w:r>
      <w:r w:rsidR="00346A1E">
        <w:t xml:space="preserve"> staff to understand </w:t>
      </w:r>
      <w:r w:rsidR="0036519B">
        <w:t>the impact of the AREA program, identify gaps</w:t>
      </w:r>
      <w:r w:rsidR="00346A1E">
        <w:t>, and develop strategies for closing those gaps to enhance the ability o</w:t>
      </w:r>
      <w:r w:rsidR="00274E21">
        <w:t>f the program to meet its goals and ensure that the approximately 78 million dollars spent annually on the program is being used as effectively as possible</w:t>
      </w:r>
      <w:r w:rsidR="00346A1E">
        <w:t>. The evaluation will provide NIH with much-needed empirical information to share with Congress abo</w:t>
      </w:r>
      <w:r w:rsidR="00123AAA">
        <w:t>ut its activities.</w:t>
      </w:r>
    </w:p>
    <w:p w:rsidR="00346A1E" w:rsidRDefault="009D7F93" w:rsidP="000E43DB">
      <w:pPr>
        <w:spacing w:line="480" w:lineRule="auto"/>
        <w:ind w:firstLine="720"/>
      </w:pPr>
      <w:r>
        <w:t xml:space="preserve">The Public Health Service Act (42 USC </w:t>
      </w:r>
      <w:r w:rsidRPr="00C934FA">
        <w:rPr>
          <w:i/>
          <w:iCs/>
        </w:rPr>
        <w:t>§</w:t>
      </w:r>
      <w:r w:rsidRPr="00C934FA">
        <w:t xml:space="preserve"> 2</w:t>
      </w:r>
      <w:r>
        <w:t>41) author</w:t>
      </w:r>
      <w:r w:rsidR="0036519B">
        <w:t xml:space="preserve">izes the collection of this </w:t>
      </w:r>
      <w:r>
        <w:t xml:space="preserve">information. </w:t>
      </w:r>
      <w:r w:rsidR="00F73E2D">
        <w:t>The Public H</w:t>
      </w:r>
      <w:r w:rsidR="0036519B">
        <w:t>ealth Service Act states</w:t>
      </w:r>
      <w:r w:rsidR="00F73E2D">
        <w:t>, “</w:t>
      </w:r>
      <w:r w:rsidR="00F73E2D" w:rsidRPr="00F73E2D">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w:t>
      </w:r>
      <w:r w:rsidR="00F73E2D">
        <w:t>…”</w:t>
      </w:r>
    </w:p>
    <w:p w:rsidR="00D43FD9" w:rsidRPr="00294FAD" w:rsidRDefault="00D43FD9" w:rsidP="00D43FD9">
      <w:pPr>
        <w:rPr>
          <w:vanish/>
        </w:rPr>
      </w:pPr>
    </w:p>
    <w:p w:rsidR="00D43FD9" w:rsidRDefault="00D43FD9" w:rsidP="00900353">
      <w:pPr>
        <w:pStyle w:val="Heading2"/>
        <w:tabs>
          <w:tab w:val="clear" w:pos="1152"/>
          <w:tab w:val="left" w:pos="720"/>
        </w:tabs>
        <w:spacing w:after="0" w:line="480" w:lineRule="auto"/>
        <w:ind w:left="0" w:firstLine="0"/>
        <w:rPr>
          <w:sz w:val="24"/>
          <w:szCs w:val="24"/>
        </w:rPr>
      </w:pPr>
      <w:bookmarkStart w:id="0" w:name="_Toc443881743"/>
      <w:bookmarkStart w:id="1" w:name="_Toc451592232"/>
      <w:bookmarkStart w:id="2" w:name="_Toc5610273"/>
      <w:bookmarkStart w:id="3" w:name="_Toc99178779"/>
      <w:r>
        <w:rPr>
          <w:sz w:val="24"/>
          <w:szCs w:val="24"/>
        </w:rPr>
        <w:t>A.2</w:t>
      </w:r>
      <w:r w:rsidR="00900353">
        <w:rPr>
          <w:sz w:val="24"/>
          <w:szCs w:val="24"/>
        </w:rPr>
        <w:tab/>
      </w:r>
      <w:r w:rsidRPr="00D61E21">
        <w:rPr>
          <w:sz w:val="24"/>
          <w:szCs w:val="24"/>
        </w:rPr>
        <w:t>Purpose and Use of the Information</w:t>
      </w:r>
      <w:bookmarkEnd w:id="0"/>
      <w:bookmarkEnd w:id="1"/>
      <w:bookmarkEnd w:id="2"/>
      <w:bookmarkEnd w:id="3"/>
      <w:r w:rsidRPr="00D61E21">
        <w:rPr>
          <w:sz w:val="24"/>
          <w:szCs w:val="24"/>
        </w:rPr>
        <w:t xml:space="preserve"> Collection</w:t>
      </w:r>
    </w:p>
    <w:p w:rsidR="00D43FD9" w:rsidRPr="00EA796A" w:rsidRDefault="00D43FD9" w:rsidP="00514009">
      <w:pPr>
        <w:pStyle w:val="P1-StandPara"/>
        <w:rPr>
          <w:sz w:val="24"/>
          <w:szCs w:val="24"/>
        </w:rPr>
      </w:pPr>
      <w:r w:rsidRPr="00EA796A">
        <w:rPr>
          <w:sz w:val="24"/>
          <w:szCs w:val="24"/>
        </w:rPr>
        <w:t xml:space="preserve">In addition to providing funding to carry out worthy research projects, the AREA program aims to enhance the overall research environment of the institutions receiving </w:t>
      </w:r>
      <w:r w:rsidRPr="00EA796A">
        <w:rPr>
          <w:sz w:val="24"/>
          <w:szCs w:val="24"/>
        </w:rPr>
        <w:lastRenderedPageBreak/>
        <w:t xml:space="preserve">the money, and contribute to the United States’ biomedical scientist pipeline by </w:t>
      </w:r>
      <w:r w:rsidR="00141E25">
        <w:rPr>
          <w:sz w:val="24"/>
          <w:szCs w:val="24"/>
        </w:rPr>
        <w:t xml:space="preserve">developing </w:t>
      </w:r>
      <w:r w:rsidRPr="00EA796A">
        <w:rPr>
          <w:sz w:val="24"/>
          <w:szCs w:val="24"/>
        </w:rPr>
        <w:t>students</w:t>
      </w:r>
      <w:r w:rsidR="00141E25">
        <w:rPr>
          <w:sz w:val="24"/>
          <w:szCs w:val="24"/>
        </w:rPr>
        <w:t>’ interest</w:t>
      </w:r>
      <w:r w:rsidR="0008370E">
        <w:rPr>
          <w:sz w:val="24"/>
          <w:szCs w:val="24"/>
        </w:rPr>
        <w:t xml:space="preserve"> in, and aptitude for, </w:t>
      </w:r>
      <w:r w:rsidRPr="00EA796A">
        <w:rPr>
          <w:sz w:val="24"/>
          <w:szCs w:val="24"/>
        </w:rPr>
        <w:t xml:space="preserve">biomedical research.  </w:t>
      </w:r>
      <w:r w:rsidR="006F0799">
        <w:rPr>
          <w:sz w:val="24"/>
          <w:szCs w:val="24"/>
        </w:rPr>
        <w:t>T</w:t>
      </w:r>
      <w:r w:rsidR="0008370E">
        <w:rPr>
          <w:sz w:val="24"/>
          <w:szCs w:val="24"/>
        </w:rPr>
        <w:t xml:space="preserve">his evaluation </w:t>
      </w:r>
      <w:r w:rsidR="00625A3E">
        <w:rPr>
          <w:sz w:val="24"/>
          <w:szCs w:val="24"/>
        </w:rPr>
        <w:t>will indicate whether the content of the current R15 application materials</w:t>
      </w:r>
      <w:r w:rsidR="00A31185">
        <w:rPr>
          <w:sz w:val="24"/>
          <w:szCs w:val="24"/>
        </w:rPr>
        <w:t xml:space="preserve"> need to be revised in order to provide more concrete guidelines for how applicants might meet the program’s goals of providing research opportu</w:t>
      </w:r>
      <w:r w:rsidR="0054648D">
        <w:rPr>
          <w:sz w:val="24"/>
          <w:szCs w:val="24"/>
        </w:rPr>
        <w:t>nities for students and strength</w:t>
      </w:r>
      <w:r w:rsidR="00A31185">
        <w:rPr>
          <w:sz w:val="24"/>
          <w:szCs w:val="24"/>
        </w:rPr>
        <w:t xml:space="preserve">ening their </w:t>
      </w:r>
      <w:r w:rsidR="00E67C92">
        <w:rPr>
          <w:sz w:val="24"/>
          <w:szCs w:val="24"/>
        </w:rPr>
        <w:t xml:space="preserve">institutions’ research environments.  </w:t>
      </w:r>
      <w:r w:rsidRPr="00EA796A">
        <w:rPr>
          <w:sz w:val="24"/>
          <w:szCs w:val="24"/>
        </w:rPr>
        <w:t xml:space="preserve">A prior feasibility study conducted by Discovery Logic in 2011, </w:t>
      </w:r>
      <w:r w:rsidR="006F0799" w:rsidRPr="00EA796A">
        <w:rPr>
          <w:sz w:val="24"/>
          <w:szCs w:val="24"/>
        </w:rPr>
        <w:t xml:space="preserve">recommended </w:t>
      </w:r>
      <w:r w:rsidRPr="00EA796A">
        <w:rPr>
          <w:sz w:val="24"/>
          <w:szCs w:val="24"/>
        </w:rPr>
        <w:t xml:space="preserve">a full scale external evaluation to inform decision making, identify opportunities for improvement, and provide feedback on the performance of the program to key stakeholders.  </w:t>
      </w:r>
    </w:p>
    <w:p w:rsidR="00D43FD9" w:rsidRPr="00EA796A" w:rsidRDefault="00D43FD9" w:rsidP="00514009">
      <w:pPr>
        <w:pStyle w:val="P1-StandPara"/>
        <w:rPr>
          <w:sz w:val="24"/>
          <w:szCs w:val="24"/>
        </w:rPr>
      </w:pPr>
      <w:r w:rsidRPr="00EA796A">
        <w:rPr>
          <w:sz w:val="24"/>
          <w:szCs w:val="24"/>
        </w:rPr>
        <w:t xml:space="preserve">Existing data sources that will be utilized to evaluate the AREA program include:  National Institutes of Health (NIH) IMPAC II (NIH grants applied for and received, Progress Reports and grant Supplements containing names of AREA </w:t>
      </w:r>
      <w:r w:rsidR="002C6BC4">
        <w:rPr>
          <w:sz w:val="24"/>
          <w:szCs w:val="24"/>
        </w:rPr>
        <w:t>awardees’</w:t>
      </w:r>
      <w:r w:rsidR="002C6BC4" w:rsidRPr="00EA796A">
        <w:rPr>
          <w:sz w:val="24"/>
          <w:szCs w:val="24"/>
        </w:rPr>
        <w:t xml:space="preserve"> </w:t>
      </w:r>
      <w:r w:rsidRPr="00EA796A">
        <w:rPr>
          <w:sz w:val="24"/>
          <w:szCs w:val="24"/>
        </w:rPr>
        <w:t xml:space="preserve">former students) and SPIRES (publications funded by NIH grants), </w:t>
      </w:r>
      <w:proofErr w:type="spellStart"/>
      <w:r w:rsidRPr="00C244F0">
        <w:rPr>
          <w:sz w:val="24"/>
          <w:szCs w:val="24"/>
        </w:rPr>
        <w:t>ScienceWire</w:t>
      </w:r>
      <w:proofErr w:type="spellEnd"/>
      <w:r w:rsidRPr="00EA796A">
        <w:rPr>
          <w:sz w:val="24"/>
          <w:szCs w:val="24"/>
        </w:rPr>
        <w:t xml:space="preserve"> (USDA, NSF, </w:t>
      </w:r>
      <w:proofErr w:type="spellStart"/>
      <w:r w:rsidRPr="00EA796A">
        <w:rPr>
          <w:sz w:val="24"/>
          <w:szCs w:val="24"/>
        </w:rPr>
        <w:t>DoD</w:t>
      </w:r>
      <w:proofErr w:type="spellEnd"/>
      <w:r w:rsidRPr="00EA796A">
        <w:rPr>
          <w:sz w:val="24"/>
          <w:szCs w:val="24"/>
        </w:rPr>
        <w:t xml:space="preserve"> grants received)</w:t>
      </w:r>
      <w:r w:rsidR="002A00E3">
        <w:rPr>
          <w:sz w:val="24"/>
          <w:szCs w:val="24"/>
        </w:rPr>
        <w:t>,</w:t>
      </w:r>
      <w:r w:rsidRPr="00EA796A">
        <w:rPr>
          <w:sz w:val="24"/>
          <w:szCs w:val="24"/>
        </w:rPr>
        <w:t xml:space="preserve"> PubMed/Medline (publications, field of research), Web of Knowledge (publications, citations, impact factors)</w:t>
      </w:r>
      <w:r w:rsidR="00CE3D1A">
        <w:rPr>
          <w:sz w:val="24"/>
          <w:szCs w:val="24"/>
        </w:rPr>
        <w:t>,</w:t>
      </w:r>
      <w:r w:rsidRPr="00EA796A">
        <w:rPr>
          <w:sz w:val="24"/>
          <w:szCs w:val="24"/>
        </w:rPr>
        <w:t xml:space="preserve"> and IPEDS (characteristics of institutions of higher education including number of faculty per discipline, student population, graduation rate, student disciplinary concentrations).  </w:t>
      </w:r>
    </w:p>
    <w:p w:rsidR="00D43FD9" w:rsidRPr="00EA796A" w:rsidRDefault="00D43FD9" w:rsidP="00514009">
      <w:pPr>
        <w:pStyle w:val="P1-StandPara"/>
        <w:rPr>
          <w:sz w:val="24"/>
          <w:szCs w:val="24"/>
        </w:rPr>
      </w:pPr>
      <w:r w:rsidRPr="00EA796A">
        <w:rPr>
          <w:sz w:val="24"/>
          <w:szCs w:val="24"/>
        </w:rPr>
        <w:t xml:space="preserve">The existing data sets listed above will yield minimal information on how the grants were implemented at the host institution, and the contribution of the AREA grants to the career outcomes of students training in science as a result of these grants.  Therefore we are proposing to </w:t>
      </w:r>
      <w:r w:rsidR="002E6C22">
        <w:rPr>
          <w:sz w:val="24"/>
          <w:szCs w:val="24"/>
        </w:rPr>
        <w:t xml:space="preserve">request additional data from a </w:t>
      </w:r>
      <w:r w:rsidR="002E6C22" w:rsidRPr="000D03B7">
        <w:rPr>
          <w:sz w:val="24"/>
          <w:szCs w:val="24"/>
          <w:u w:val="single"/>
        </w:rPr>
        <w:t>sample</w:t>
      </w:r>
      <w:r w:rsidR="002E6C22">
        <w:rPr>
          <w:sz w:val="24"/>
          <w:szCs w:val="24"/>
        </w:rPr>
        <w:t xml:space="preserve"> of 600 awardees, 600</w:t>
      </w:r>
      <w:r w:rsidRPr="00EA796A">
        <w:rPr>
          <w:sz w:val="24"/>
          <w:szCs w:val="24"/>
        </w:rPr>
        <w:t xml:space="preserve"> unsuccess</w:t>
      </w:r>
      <w:r w:rsidR="002E6C22">
        <w:rPr>
          <w:sz w:val="24"/>
          <w:szCs w:val="24"/>
        </w:rPr>
        <w:t>ful applicants, and 601</w:t>
      </w:r>
      <w:r w:rsidRPr="00EA796A">
        <w:rPr>
          <w:sz w:val="24"/>
          <w:szCs w:val="24"/>
        </w:rPr>
        <w:t xml:space="preserve"> students.  To collect information about the extent to which the receipt of the grant contributed to promoting the scientific workforce pipeline </w:t>
      </w:r>
      <w:r w:rsidRPr="00EA796A">
        <w:rPr>
          <w:sz w:val="24"/>
          <w:szCs w:val="24"/>
        </w:rPr>
        <w:lastRenderedPageBreak/>
        <w:t xml:space="preserve">and </w:t>
      </w:r>
      <w:r w:rsidR="00141E25">
        <w:rPr>
          <w:sz w:val="24"/>
          <w:szCs w:val="24"/>
        </w:rPr>
        <w:t>enhancing the</w:t>
      </w:r>
      <w:r w:rsidRPr="00EA796A">
        <w:rPr>
          <w:sz w:val="24"/>
          <w:szCs w:val="24"/>
        </w:rPr>
        <w:t xml:space="preserve"> research environment at the institution where the grant was held, we are utilizing three newly developed web-based surveys:  Survey of Awardees (</w:t>
      </w:r>
      <w:r w:rsidRPr="00EA796A">
        <w:rPr>
          <w:b/>
          <w:sz w:val="24"/>
          <w:szCs w:val="24"/>
        </w:rPr>
        <w:t>Attachment 1</w:t>
      </w:r>
      <w:r w:rsidRPr="00EA796A">
        <w:rPr>
          <w:sz w:val="24"/>
          <w:szCs w:val="24"/>
        </w:rPr>
        <w:t>), Survey of Applicants (</w:t>
      </w:r>
      <w:r w:rsidRPr="00EA796A">
        <w:rPr>
          <w:b/>
          <w:sz w:val="24"/>
          <w:szCs w:val="24"/>
        </w:rPr>
        <w:t>Attachment 2</w:t>
      </w:r>
      <w:r w:rsidRPr="00EA796A">
        <w:rPr>
          <w:sz w:val="24"/>
          <w:szCs w:val="24"/>
        </w:rPr>
        <w:t xml:space="preserve">), </w:t>
      </w:r>
      <w:r w:rsidR="0008370E">
        <w:rPr>
          <w:sz w:val="24"/>
          <w:szCs w:val="24"/>
        </w:rPr>
        <w:t xml:space="preserve">and </w:t>
      </w:r>
      <w:r w:rsidRPr="00EA796A">
        <w:rPr>
          <w:sz w:val="24"/>
          <w:szCs w:val="24"/>
        </w:rPr>
        <w:t>Survey of Students (</w:t>
      </w:r>
      <w:r w:rsidRPr="00EA796A">
        <w:rPr>
          <w:b/>
          <w:sz w:val="24"/>
          <w:szCs w:val="24"/>
        </w:rPr>
        <w:t>Attachment 3</w:t>
      </w:r>
      <w:r w:rsidRPr="00EA796A">
        <w:rPr>
          <w:sz w:val="24"/>
          <w:szCs w:val="24"/>
        </w:rPr>
        <w:t>).  A semi-structured interview (</w:t>
      </w:r>
      <w:r w:rsidRPr="00EA796A">
        <w:rPr>
          <w:b/>
          <w:sz w:val="24"/>
          <w:szCs w:val="24"/>
        </w:rPr>
        <w:t>Attachment 4</w:t>
      </w:r>
      <w:r w:rsidRPr="00EA796A">
        <w:rPr>
          <w:sz w:val="24"/>
          <w:szCs w:val="24"/>
        </w:rPr>
        <w:t xml:space="preserve">) will be carried out with 50 awardees to gather information on how the AREA grant was implemented at </w:t>
      </w:r>
      <w:r w:rsidR="00CE3D1A">
        <w:rPr>
          <w:sz w:val="24"/>
          <w:szCs w:val="24"/>
        </w:rPr>
        <w:t xml:space="preserve">the </w:t>
      </w:r>
      <w:r w:rsidRPr="00EA796A">
        <w:rPr>
          <w:sz w:val="24"/>
          <w:szCs w:val="24"/>
        </w:rPr>
        <w:t>host institutions.  The intention of these survey and interview tools is to collect quantitative outcome data and qualitative data on implementation not included in any of the existing databases.</w:t>
      </w:r>
      <w:r w:rsidR="0018177D">
        <w:rPr>
          <w:sz w:val="24"/>
          <w:szCs w:val="24"/>
        </w:rPr>
        <w:t xml:space="preserve">  </w:t>
      </w:r>
    </w:p>
    <w:p w:rsidR="00D43FD9" w:rsidRDefault="00D43FD9" w:rsidP="00D43FD9">
      <w:pPr>
        <w:rPr>
          <w:u w:val="single"/>
        </w:rPr>
      </w:pPr>
      <w:r w:rsidRPr="00E63611">
        <w:rPr>
          <w:u w:val="single"/>
        </w:rPr>
        <w:t>A.2.1 Research Questions</w:t>
      </w:r>
    </w:p>
    <w:p w:rsidR="00D43FD9" w:rsidRDefault="00D43FD9" w:rsidP="00D43FD9"/>
    <w:p w:rsidR="00D43FD9" w:rsidRDefault="00D43FD9" w:rsidP="00514009">
      <w:pPr>
        <w:spacing w:line="480" w:lineRule="auto"/>
      </w:pPr>
      <w:r>
        <w:t xml:space="preserve">The full-scale evaluation </w:t>
      </w:r>
      <w:r w:rsidR="00CE3D1A">
        <w:t xml:space="preserve">– including the archival data analysis and the new data collection components - </w:t>
      </w:r>
      <w:r>
        <w:t>will address the following questions:</w:t>
      </w:r>
    </w:p>
    <w:p w:rsidR="00D43FD9" w:rsidRDefault="00D43FD9" w:rsidP="00514009">
      <w:pPr>
        <w:numPr>
          <w:ilvl w:val="0"/>
          <w:numId w:val="3"/>
        </w:numPr>
        <w:spacing w:line="480" w:lineRule="auto"/>
      </w:pPr>
      <w:r>
        <w:t xml:space="preserve"> Is meritorious research being funded?  </w:t>
      </w:r>
    </w:p>
    <w:p w:rsidR="00D43FD9" w:rsidRDefault="00D43FD9" w:rsidP="00514009">
      <w:pPr>
        <w:numPr>
          <w:ilvl w:val="0"/>
          <w:numId w:val="4"/>
        </w:numPr>
        <w:spacing w:line="480" w:lineRule="auto"/>
      </w:pPr>
      <w:r>
        <w:t xml:space="preserve">Do </w:t>
      </w:r>
      <w:r w:rsidR="002C6BC4">
        <w:t>a</w:t>
      </w:r>
      <w:r w:rsidR="003E72FD">
        <w:t>wardees</w:t>
      </w:r>
      <w:r>
        <w:t xml:space="preserve"> who have received AREA grants have more publications per project and more subsequent</w:t>
      </w:r>
      <w:r w:rsidR="0008370E">
        <w:t>ly</w:t>
      </w:r>
      <w:r>
        <w:t xml:space="preserve"> funded grants in comparison to</w:t>
      </w:r>
      <w:r w:rsidR="00A31185">
        <w:t xml:space="preserve"> a</w:t>
      </w:r>
      <w:r>
        <w:t xml:space="preserve"> control group</w:t>
      </w:r>
      <w:r w:rsidR="00A31185">
        <w:t xml:space="preserve"> of never successful AREA applicants</w:t>
      </w:r>
      <w:r>
        <w:t>?</w:t>
      </w:r>
    </w:p>
    <w:p w:rsidR="00D43FD9" w:rsidRDefault="00D43FD9" w:rsidP="00514009">
      <w:pPr>
        <w:numPr>
          <w:ilvl w:val="0"/>
          <w:numId w:val="4"/>
        </w:numPr>
        <w:spacing w:line="480" w:lineRule="auto"/>
      </w:pPr>
      <w:r>
        <w:t xml:space="preserve">Has </w:t>
      </w:r>
      <w:r w:rsidR="002C6BC4">
        <w:t>a</w:t>
      </w:r>
      <w:r w:rsidR="003E72FD">
        <w:t>wardee</w:t>
      </w:r>
      <w:r>
        <w:t xml:space="preserve"> productivity increased as a result of the programmatic changes instituted in 1997?</w:t>
      </w:r>
    </w:p>
    <w:p w:rsidR="006715AA" w:rsidRDefault="00D43FD9" w:rsidP="003D1C7C">
      <w:pPr>
        <w:numPr>
          <w:ilvl w:val="0"/>
          <w:numId w:val="4"/>
        </w:numPr>
        <w:spacing w:line="480" w:lineRule="auto"/>
      </w:pPr>
      <w:r>
        <w:t>Does the R15 program fund meritorious research projects based on scores?</w:t>
      </w:r>
      <w:r w:rsidR="006715AA">
        <w:t xml:space="preserve"> </w:t>
      </w:r>
    </w:p>
    <w:p w:rsidR="003D1C7C" w:rsidRDefault="00651DB3" w:rsidP="003D1C7C">
      <w:pPr>
        <w:numPr>
          <w:ilvl w:val="0"/>
          <w:numId w:val="4"/>
        </w:numPr>
        <w:spacing w:line="480" w:lineRule="auto"/>
      </w:pPr>
      <w:r>
        <w:t xml:space="preserve">Do funding trends of the R15 program differ from that of other funding mechanisms </w:t>
      </w:r>
      <w:r w:rsidR="00625A3E">
        <w:t>within each Institute or Center?</w:t>
      </w:r>
    </w:p>
    <w:p w:rsidR="00EA796A" w:rsidRDefault="003D1C7C" w:rsidP="003D1C7C">
      <w:pPr>
        <w:pStyle w:val="ListParagraph"/>
        <w:numPr>
          <w:ilvl w:val="0"/>
          <w:numId w:val="3"/>
        </w:numPr>
        <w:spacing w:line="480" w:lineRule="auto"/>
      </w:pPr>
      <w:r>
        <w:t xml:space="preserve"> What happens to the r</w:t>
      </w:r>
      <w:r w:rsidR="0062731C">
        <w:t>esearch agendas of applicants who are unsuccessful in securing AREA funding</w:t>
      </w:r>
      <w:r>
        <w:t>?  Are they able to obtain research funding from other sources?  Do they postpone their research plans indefinitely?</w:t>
      </w:r>
    </w:p>
    <w:p w:rsidR="00D43FD9" w:rsidRDefault="00D43FD9" w:rsidP="00514009">
      <w:pPr>
        <w:numPr>
          <w:ilvl w:val="0"/>
          <w:numId w:val="3"/>
        </w:numPr>
        <w:spacing w:line="480" w:lineRule="auto"/>
      </w:pPr>
      <w:r>
        <w:lastRenderedPageBreak/>
        <w:t xml:space="preserve"> Is the research environment of AREA-funded institutions being strengthened?  </w:t>
      </w:r>
    </w:p>
    <w:p w:rsidR="00D43FD9" w:rsidRDefault="00D43FD9" w:rsidP="00514009">
      <w:pPr>
        <w:numPr>
          <w:ilvl w:val="0"/>
          <w:numId w:val="5"/>
        </w:numPr>
        <w:spacing w:line="480" w:lineRule="auto"/>
      </w:pPr>
      <w:r>
        <w:t xml:space="preserve"> Have AREA-funded institutions’ research activity increased after receiving an AREA award as measured by increased publications, number of grant applications and awards and increased NIH funding?</w:t>
      </w:r>
    </w:p>
    <w:p w:rsidR="00625A3E" w:rsidRDefault="00625A3E" w:rsidP="00514009">
      <w:pPr>
        <w:numPr>
          <w:ilvl w:val="0"/>
          <w:numId w:val="5"/>
        </w:numPr>
        <w:spacing w:line="480" w:lineRule="auto"/>
      </w:pPr>
      <w:r>
        <w:t>Do the numbers of subsequent applications from an AREA-funded institution increase after receiving an award?</w:t>
      </w:r>
    </w:p>
    <w:p w:rsidR="00D43FD9" w:rsidRDefault="00D43FD9" w:rsidP="00514009">
      <w:pPr>
        <w:numPr>
          <w:ilvl w:val="0"/>
          <w:numId w:val="5"/>
        </w:numPr>
        <w:spacing w:line="480" w:lineRule="auto"/>
      </w:pPr>
      <w:r>
        <w:t>Have R15 awards contributed to the increased availability of laboratory experiences for students at the home institution?</w:t>
      </w:r>
    </w:p>
    <w:p w:rsidR="00D43FD9" w:rsidRDefault="00D43FD9" w:rsidP="00514009">
      <w:pPr>
        <w:spacing w:line="480" w:lineRule="auto"/>
        <w:ind w:left="1080"/>
      </w:pPr>
    </w:p>
    <w:p w:rsidR="00D43FD9" w:rsidRDefault="00D43FD9" w:rsidP="00514009">
      <w:pPr>
        <w:numPr>
          <w:ilvl w:val="0"/>
          <w:numId w:val="3"/>
        </w:numPr>
        <w:spacing w:line="480" w:lineRule="auto"/>
      </w:pPr>
      <w:r>
        <w:t xml:space="preserve"> Are students benefiting from exposure to research?</w:t>
      </w:r>
    </w:p>
    <w:p w:rsidR="00D43FD9" w:rsidRDefault="00D43FD9" w:rsidP="00514009">
      <w:pPr>
        <w:numPr>
          <w:ilvl w:val="0"/>
          <w:numId w:val="6"/>
        </w:numPr>
        <w:spacing w:line="480" w:lineRule="auto"/>
      </w:pPr>
      <w:r>
        <w:t xml:space="preserve"> How many students have participated in R15 projects over the history of the program?</w:t>
      </w:r>
    </w:p>
    <w:p w:rsidR="00D43FD9" w:rsidRDefault="00D43FD9" w:rsidP="00514009">
      <w:pPr>
        <w:numPr>
          <w:ilvl w:val="0"/>
          <w:numId w:val="6"/>
        </w:numPr>
        <w:spacing w:line="480" w:lineRule="auto"/>
      </w:pPr>
      <w:r>
        <w:t>Are students making meaningful scientific contributions to the AREA-funded research (posters and presentations at conferences, publications)?</w:t>
      </w:r>
    </w:p>
    <w:p w:rsidR="00AA2A95" w:rsidRDefault="00D43FD9" w:rsidP="00514009">
      <w:pPr>
        <w:numPr>
          <w:ilvl w:val="0"/>
          <w:numId w:val="6"/>
        </w:numPr>
        <w:spacing w:line="480" w:lineRule="auto"/>
      </w:pPr>
      <w:r>
        <w:t>Do students undertake post-baccalaureate scientific education and research careers in science?</w:t>
      </w:r>
    </w:p>
    <w:p w:rsidR="00D43FD9" w:rsidRDefault="002F6844" w:rsidP="00514009">
      <w:pPr>
        <w:numPr>
          <w:ilvl w:val="0"/>
          <w:numId w:val="6"/>
        </w:numPr>
        <w:spacing w:line="480" w:lineRule="auto"/>
      </w:pPr>
      <w:r>
        <w:t>Are students</w:t>
      </w:r>
      <w:r w:rsidR="00AA2A95">
        <w:t xml:space="preserve"> at AREA-eligible institutions</w:t>
      </w:r>
      <w:r>
        <w:t xml:space="preserve"> more likely to participate in R15-funded research than in research funded through other means?</w:t>
      </w:r>
    </w:p>
    <w:p w:rsidR="00371002" w:rsidRDefault="00371002" w:rsidP="00514009">
      <w:pPr>
        <w:numPr>
          <w:ilvl w:val="0"/>
          <w:numId w:val="6"/>
        </w:numPr>
        <w:spacing w:line="480" w:lineRule="auto"/>
      </w:pPr>
      <w:r>
        <w:t>Is commitment to student research consistent across types of AREA-eligible institutions</w:t>
      </w:r>
      <w:r w:rsidR="004C67AD">
        <w:t xml:space="preserve"> (liberal arts colleges, universities, professional schools)</w:t>
      </w:r>
      <w:r>
        <w:t xml:space="preserve">?  </w:t>
      </w:r>
    </w:p>
    <w:p w:rsidR="00D43FD9" w:rsidRDefault="00D43FD9" w:rsidP="00514009">
      <w:pPr>
        <w:spacing w:line="480" w:lineRule="auto"/>
        <w:ind w:left="1080"/>
      </w:pPr>
    </w:p>
    <w:p w:rsidR="00D43FD9" w:rsidRDefault="00D43FD9" w:rsidP="00514009">
      <w:pPr>
        <w:numPr>
          <w:ilvl w:val="0"/>
          <w:numId w:val="3"/>
        </w:numPr>
        <w:spacing w:line="480" w:lineRule="auto"/>
      </w:pPr>
      <w:r>
        <w:t xml:space="preserve"> What has NIH been doing to advance the goals of the AREA program?</w:t>
      </w:r>
    </w:p>
    <w:p w:rsidR="00D43FD9" w:rsidRDefault="00D43FD9" w:rsidP="00514009">
      <w:pPr>
        <w:numPr>
          <w:ilvl w:val="0"/>
          <w:numId w:val="8"/>
        </w:numPr>
        <w:spacing w:line="480" w:lineRule="auto"/>
      </w:pPr>
      <w:r>
        <w:t xml:space="preserve"> Does the review and award process fit the goals of the program?</w:t>
      </w:r>
    </w:p>
    <w:p w:rsidR="00D43FD9" w:rsidRDefault="00D43FD9" w:rsidP="00514009">
      <w:pPr>
        <w:numPr>
          <w:ilvl w:val="0"/>
          <w:numId w:val="8"/>
        </w:numPr>
        <w:spacing w:line="480" w:lineRule="auto"/>
      </w:pPr>
      <w:r>
        <w:lastRenderedPageBreak/>
        <w:t>What was the effect of decentralizing funding in 1997—moving it from an Office of the Director set-aside, to allowing individual ICs to fund R15s according to their policies?</w:t>
      </w:r>
    </w:p>
    <w:p w:rsidR="00D43FD9" w:rsidRDefault="00D43FD9" w:rsidP="00514009">
      <w:pPr>
        <w:numPr>
          <w:ilvl w:val="0"/>
          <w:numId w:val="8"/>
        </w:numPr>
        <w:spacing w:line="480" w:lineRule="auto"/>
      </w:pPr>
      <w:r>
        <w:t>Since 1997, has the success rate, number of grants and total funds (as a fraction of the total budget) changed, and is the pattern uniform across ICs?</w:t>
      </w:r>
    </w:p>
    <w:p w:rsidR="00D43FD9" w:rsidRDefault="00D43FD9" w:rsidP="00514009">
      <w:pPr>
        <w:numPr>
          <w:ilvl w:val="0"/>
          <w:numId w:val="8"/>
        </w:numPr>
        <w:spacing w:line="480" w:lineRule="auto"/>
      </w:pPr>
      <w:r>
        <w:t xml:space="preserve">Has the expanded eligibility of institutions (to institutions receiving up to 6 million dollars per year, instead of three million) and budget caps ($300K up from $150K for three years) altered the outcomes for </w:t>
      </w:r>
      <w:r w:rsidR="002C6BC4">
        <w:t>awardees</w:t>
      </w:r>
      <w:r>
        <w:t>, institutions, and students?</w:t>
      </w:r>
    </w:p>
    <w:p w:rsidR="00D43FD9" w:rsidRDefault="00D43FD9" w:rsidP="00514009">
      <w:pPr>
        <w:numPr>
          <w:ilvl w:val="0"/>
          <w:numId w:val="8"/>
        </w:numPr>
        <w:spacing w:line="480" w:lineRule="auto"/>
      </w:pPr>
      <w:r>
        <w:t xml:space="preserve">What has NIH done to highlight the availability of AREA funds and how effective has </w:t>
      </w:r>
      <w:proofErr w:type="gramStart"/>
      <w:r>
        <w:t>outreach</w:t>
      </w:r>
      <w:proofErr w:type="gramEnd"/>
      <w:r>
        <w:t xml:space="preserve"> been in terms of the number and diversity of participating institutions and </w:t>
      </w:r>
      <w:r w:rsidR="002C6BC4">
        <w:t>awardees</w:t>
      </w:r>
      <w:r>
        <w:t>?</w:t>
      </w:r>
    </w:p>
    <w:p w:rsidR="00D43FD9" w:rsidRDefault="00D43FD9" w:rsidP="00514009">
      <w:pPr>
        <w:spacing w:line="480" w:lineRule="auto"/>
        <w:ind w:left="1080"/>
      </w:pPr>
    </w:p>
    <w:p w:rsidR="00D43FD9" w:rsidRDefault="00D43FD9" w:rsidP="00514009">
      <w:pPr>
        <w:numPr>
          <w:ilvl w:val="0"/>
          <w:numId w:val="3"/>
        </w:numPr>
        <w:spacing w:line="480" w:lineRule="auto"/>
      </w:pPr>
      <w:r>
        <w:t>How can NIH ensure that it achieves the goals of the AREA program?</w:t>
      </w:r>
    </w:p>
    <w:p w:rsidR="00B03290" w:rsidRDefault="00D43FD9" w:rsidP="00B03290">
      <w:pPr>
        <w:numPr>
          <w:ilvl w:val="0"/>
          <w:numId w:val="7"/>
        </w:numPr>
        <w:spacing w:line="480" w:lineRule="auto"/>
      </w:pPr>
      <w:r>
        <w:t xml:space="preserve">What obstacles stand in the way of the production of high quality research by </w:t>
      </w:r>
      <w:r w:rsidR="002C6BC4">
        <w:t>a</w:t>
      </w:r>
      <w:r w:rsidR="003E72FD">
        <w:t xml:space="preserve">wardees </w:t>
      </w:r>
      <w:r>
        <w:t>at AREA-eligible institutions (where research resources are comparatively modest and faculty have heavy teaching responsibilities)?</w:t>
      </w:r>
      <w:r w:rsidR="00B03290">
        <w:t xml:space="preserve">  </w:t>
      </w:r>
    </w:p>
    <w:p w:rsidR="00B03290" w:rsidRDefault="00B03290" w:rsidP="00B03290">
      <w:pPr>
        <w:numPr>
          <w:ilvl w:val="0"/>
          <w:numId w:val="7"/>
        </w:numPr>
        <w:spacing w:line="480" w:lineRule="auto"/>
      </w:pPr>
      <w:r>
        <w:t xml:space="preserve">How appropriate are R15 awards to the research and mentorship goals of successful and unsuccessful applicants to the AREA program?  </w:t>
      </w:r>
    </w:p>
    <w:p w:rsidR="00D43FD9" w:rsidRDefault="00D43FD9" w:rsidP="00514009">
      <w:pPr>
        <w:numPr>
          <w:ilvl w:val="0"/>
          <w:numId w:val="7"/>
        </w:numPr>
        <w:spacing w:line="480" w:lineRule="auto"/>
      </w:pPr>
      <w:r>
        <w:t>What have been the most successful strategies for encouraging meaningful student participation in AREA research?</w:t>
      </w:r>
    </w:p>
    <w:p w:rsidR="00D43FD9" w:rsidRPr="00FD2C24" w:rsidRDefault="00D43FD9" w:rsidP="00514009">
      <w:pPr>
        <w:numPr>
          <w:ilvl w:val="0"/>
          <w:numId w:val="7"/>
        </w:numPr>
        <w:spacing w:line="480" w:lineRule="auto"/>
      </w:pPr>
      <w:r>
        <w:t>What have been the most successful strategies for cultivating students’ research skills and nurturing student enthusiasm for scientific careers?</w:t>
      </w:r>
    </w:p>
    <w:p w:rsidR="00D43FD9" w:rsidRDefault="00900353" w:rsidP="00514009">
      <w:pPr>
        <w:spacing w:line="480" w:lineRule="auto"/>
      </w:pPr>
      <w:r>
        <w:lastRenderedPageBreak/>
        <w:t>T</w:t>
      </w:r>
      <w:r w:rsidR="00D43FD9">
        <w:t xml:space="preserve">he </w:t>
      </w:r>
      <w:r w:rsidR="006F0799">
        <w:t xml:space="preserve">structured </w:t>
      </w:r>
      <w:r w:rsidR="00CE3D1A">
        <w:t xml:space="preserve">web </w:t>
      </w:r>
      <w:r w:rsidR="00D43FD9">
        <w:t>survey topics include the following:</w:t>
      </w:r>
    </w:p>
    <w:p w:rsidR="00D43FD9" w:rsidRDefault="00D43FD9" w:rsidP="00514009">
      <w:pPr>
        <w:numPr>
          <w:ilvl w:val="0"/>
          <w:numId w:val="1"/>
        </w:numPr>
      </w:pPr>
      <w:r>
        <w:t>AREA application process</w:t>
      </w:r>
    </w:p>
    <w:p w:rsidR="00D43FD9" w:rsidRDefault="00D43FD9" w:rsidP="00514009">
      <w:pPr>
        <w:numPr>
          <w:ilvl w:val="0"/>
          <w:numId w:val="1"/>
        </w:numPr>
      </w:pPr>
      <w:r>
        <w:t>Research productivity</w:t>
      </w:r>
    </w:p>
    <w:p w:rsidR="00D43FD9" w:rsidRDefault="00D43FD9" w:rsidP="00514009">
      <w:pPr>
        <w:numPr>
          <w:ilvl w:val="0"/>
          <w:numId w:val="1"/>
        </w:numPr>
      </w:pPr>
      <w:r>
        <w:t>Collaboration with colleagues</w:t>
      </w:r>
    </w:p>
    <w:p w:rsidR="00D43FD9" w:rsidRDefault="002E6C22" w:rsidP="00514009">
      <w:pPr>
        <w:numPr>
          <w:ilvl w:val="0"/>
          <w:numId w:val="1"/>
        </w:numPr>
      </w:pPr>
      <w:r>
        <w:t>Subsequent research and funding</w:t>
      </w:r>
    </w:p>
    <w:p w:rsidR="00D43FD9" w:rsidRDefault="00D43FD9" w:rsidP="00514009">
      <w:pPr>
        <w:numPr>
          <w:ilvl w:val="0"/>
          <w:numId w:val="1"/>
        </w:numPr>
      </w:pPr>
      <w:r>
        <w:t>Students’ contributions to publications, presentations, posters, other dissemination products</w:t>
      </w:r>
    </w:p>
    <w:p w:rsidR="00D43FD9" w:rsidRDefault="00D43FD9" w:rsidP="00514009">
      <w:pPr>
        <w:numPr>
          <w:ilvl w:val="0"/>
          <w:numId w:val="1"/>
        </w:numPr>
      </w:pPr>
      <w:r>
        <w:t>Roles of students in research project</w:t>
      </w:r>
    </w:p>
    <w:p w:rsidR="00D43FD9" w:rsidRDefault="00D43FD9" w:rsidP="00514009">
      <w:pPr>
        <w:numPr>
          <w:ilvl w:val="0"/>
          <w:numId w:val="1"/>
        </w:numPr>
      </w:pPr>
      <w:r>
        <w:t>Student education and career outcomes</w:t>
      </w:r>
    </w:p>
    <w:p w:rsidR="00D43FD9" w:rsidRDefault="00D43FD9" w:rsidP="00514009">
      <w:pPr>
        <w:numPr>
          <w:ilvl w:val="0"/>
          <w:numId w:val="1"/>
        </w:numPr>
      </w:pPr>
      <w:r>
        <w:t>Student perceptions of research experience and benefits</w:t>
      </w:r>
    </w:p>
    <w:p w:rsidR="00D43FD9" w:rsidRDefault="00D43FD9" w:rsidP="00514009">
      <w:pPr>
        <w:numPr>
          <w:ilvl w:val="0"/>
          <w:numId w:val="1"/>
        </w:numPr>
      </w:pPr>
      <w:r>
        <w:t>Suggestions for program improvement</w:t>
      </w:r>
    </w:p>
    <w:p w:rsidR="00D43FD9" w:rsidRDefault="00D43FD9" w:rsidP="00514009">
      <w:pPr>
        <w:spacing w:line="480" w:lineRule="auto"/>
      </w:pPr>
    </w:p>
    <w:p w:rsidR="00D43FD9" w:rsidRDefault="00D43FD9" w:rsidP="00514009">
      <w:pPr>
        <w:spacing w:line="480" w:lineRule="auto"/>
      </w:pPr>
      <w:r>
        <w:t>The semi-structured</w:t>
      </w:r>
      <w:r w:rsidR="00CE3D1A">
        <w:t xml:space="preserve"> telephone</w:t>
      </w:r>
      <w:r>
        <w:t xml:space="preserve"> interview topics include the following:</w:t>
      </w:r>
    </w:p>
    <w:p w:rsidR="00D43FD9" w:rsidRDefault="00D43FD9" w:rsidP="00514009">
      <w:pPr>
        <w:numPr>
          <w:ilvl w:val="0"/>
          <w:numId w:val="9"/>
        </w:numPr>
      </w:pPr>
      <w:r>
        <w:t>Student involvement in AREA project</w:t>
      </w:r>
    </w:p>
    <w:p w:rsidR="00D43FD9" w:rsidRDefault="00D43FD9" w:rsidP="00514009">
      <w:pPr>
        <w:numPr>
          <w:ilvl w:val="0"/>
          <w:numId w:val="9"/>
        </w:numPr>
      </w:pPr>
      <w:r>
        <w:t>Mentorship of students</w:t>
      </w:r>
    </w:p>
    <w:p w:rsidR="00D43FD9" w:rsidRDefault="00D43FD9" w:rsidP="00514009">
      <w:pPr>
        <w:numPr>
          <w:ilvl w:val="0"/>
          <w:numId w:val="9"/>
        </w:numPr>
      </w:pPr>
      <w:r>
        <w:t>Student educational and career outcomes</w:t>
      </w:r>
    </w:p>
    <w:p w:rsidR="00D43FD9" w:rsidRDefault="00D43FD9" w:rsidP="00514009">
      <w:pPr>
        <w:numPr>
          <w:ilvl w:val="0"/>
          <w:numId w:val="9"/>
        </w:numPr>
      </w:pPr>
      <w:r>
        <w:t xml:space="preserve">Impact of AREA grants on </w:t>
      </w:r>
      <w:r w:rsidR="002C6BC4">
        <w:t>a</w:t>
      </w:r>
      <w:r w:rsidR="003E72FD">
        <w:t xml:space="preserve">wardees’ </w:t>
      </w:r>
      <w:r>
        <w:t>careers</w:t>
      </w:r>
    </w:p>
    <w:p w:rsidR="00D43FD9" w:rsidRDefault="00D43FD9" w:rsidP="00514009">
      <w:pPr>
        <w:numPr>
          <w:ilvl w:val="0"/>
          <w:numId w:val="9"/>
        </w:numPr>
      </w:pPr>
      <w:r>
        <w:t>Impact of AREA grants on research environment of host institution</w:t>
      </w:r>
    </w:p>
    <w:p w:rsidR="00D43FD9" w:rsidRDefault="00D43FD9" w:rsidP="00514009">
      <w:pPr>
        <w:numPr>
          <w:ilvl w:val="0"/>
          <w:numId w:val="9"/>
        </w:numPr>
      </w:pPr>
      <w:r>
        <w:t>Suggestions for program improvement</w:t>
      </w:r>
    </w:p>
    <w:p w:rsidR="000E43DB" w:rsidRPr="00921B41" w:rsidRDefault="000E43DB" w:rsidP="00514009">
      <w:pPr>
        <w:spacing w:line="480" w:lineRule="auto"/>
        <w:rPr>
          <w:b/>
        </w:rPr>
      </w:pPr>
    </w:p>
    <w:p w:rsidR="00D43FD9" w:rsidRPr="00921B41" w:rsidRDefault="00D43FD9" w:rsidP="00514009">
      <w:pPr>
        <w:spacing w:line="480" w:lineRule="auto"/>
        <w:rPr>
          <w:b/>
        </w:rPr>
      </w:pPr>
      <w:r w:rsidRPr="00921B41">
        <w:rPr>
          <w:b/>
        </w:rPr>
        <w:t>A.2.2 Audiences for Data and Results</w:t>
      </w:r>
    </w:p>
    <w:p w:rsidR="00D43FD9" w:rsidRDefault="00D43FD9" w:rsidP="00220C8E">
      <w:pPr>
        <w:spacing w:line="480" w:lineRule="auto"/>
        <w:ind w:firstLine="720"/>
      </w:pPr>
      <w:r>
        <w:t xml:space="preserve">There are three </w:t>
      </w:r>
      <w:r w:rsidR="000D1B4E">
        <w:t xml:space="preserve">main </w:t>
      </w:r>
      <w:r>
        <w:t xml:space="preserve">target audiences for this program evaluation:  NIH leadership, NIH AREA program administrators, and current and former AREA applicants and awardees.  In addition, non-NIH program directors, and the research and evaluation communities will benefit from this work.  Since </w:t>
      </w:r>
      <w:r w:rsidR="0070732A">
        <w:t>most</w:t>
      </w:r>
      <w:r>
        <w:t xml:space="preserve"> NIH’s Institutes and Centers (ICs) participate in the AREA program, this evaluation has relevance to the entirety of NIH’s programs.  </w:t>
      </w:r>
    </w:p>
    <w:p w:rsidR="00D43FD9" w:rsidRDefault="00D43FD9" w:rsidP="00220C8E">
      <w:pPr>
        <w:spacing w:line="480" w:lineRule="auto"/>
        <w:ind w:firstLine="720"/>
      </w:pPr>
      <w:r w:rsidRPr="001A2901">
        <w:rPr>
          <w:u w:val="single"/>
        </w:rPr>
        <w:t>NIH Leadership</w:t>
      </w:r>
      <w:r>
        <w:t xml:space="preserve">:  For the purpose of determining the effectiveness of the AREA program across all ICs and making possible program adjustments, NIH leadership will have access to the final report, aggregate findings, and recommendations.  This will include aggregated data and findings from awardees, applicants, and students.  Having </w:t>
      </w:r>
      <w:r>
        <w:lastRenderedPageBreak/>
        <w:t xml:space="preserve">this information will enable administrators to understand the impact of the program, identify gaps and develop strategies to enhance the ability of the program to fulfill its goals.  NIH leadership will share selected data with Congress in reports about the AREA program.  </w:t>
      </w:r>
    </w:p>
    <w:p w:rsidR="00466723" w:rsidRDefault="0042054E" w:rsidP="00220C8E">
      <w:pPr>
        <w:spacing w:line="480" w:lineRule="auto"/>
        <w:ind w:firstLine="720"/>
      </w:pPr>
      <w:r>
        <w:t>Since every participating</w:t>
      </w:r>
      <w:r w:rsidR="00466723">
        <w:t xml:space="preserve"> IC gives </w:t>
      </w:r>
      <w:r w:rsidR="00395E14">
        <w:t>few R15 awards relative to the funding level of their</w:t>
      </w:r>
      <w:r w:rsidR="00466723">
        <w:t xml:space="preserve"> overall </w:t>
      </w:r>
      <w:r w:rsidR="00395E14">
        <w:t>extramural grant program</w:t>
      </w:r>
      <w:r w:rsidR="00466723">
        <w:t xml:space="preserve">, it can be difficult to see </w:t>
      </w:r>
      <w:r w:rsidR="00395E14">
        <w:t>within</w:t>
      </w:r>
      <w:r w:rsidR="000D1B4E">
        <w:t xml:space="preserve"> </w:t>
      </w:r>
      <w:r w:rsidR="00395E14">
        <w:t>- and across</w:t>
      </w:r>
      <w:r w:rsidR="000D1B4E">
        <w:t xml:space="preserve"> </w:t>
      </w:r>
      <w:r w:rsidR="00395E14">
        <w:t>-</w:t>
      </w:r>
      <w:r w:rsidR="000D1B4E">
        <w:t xml:space="preserve"> </w:t>
      </w:r>
      <w:r w:rsidR="00395E14">
        <w:t xml:space="preserve">IC </w:t>
      </w:r>
      <w:r w:rsidR="007C4F87">
        <w:t xml:space="preserve">trends in the community of </w:t>
      </w:r>
      <w:r>
        <w:t xml:space="preserve">recipient </w:t>
      </w:r>
      <w:r w:rsidR="007C4F87">
        <w:t xml:space="preserve">institutions and </w:t>
      </w:r>
      <w:r w:rsidR="002C6BC4">
        <w:t>awardees</w:t>
      </w:r>
      <w:r w:rsidR="007C4F87">
        <w:t>.</w:t>
      </w:r>
      <w:r w:rsidR="00466723">
        <w:t xml:space="preserve">  </w:t>
      </w:r>
      <w:r w:rsidR="007C4F87">
        <w:t xml:space="preserve">Analysis of the R15 </w:t>
      </w:r>
      <w:r w:rsidR="006F6AA3">
        <w:t>program</w:t>
      </w:r>
      <w:r w:rsidR="007C4F87">
        <w:t xml:space="preserve">, aggregated across </w:t>
      </w:r>
      <w:r>
        <w:t>ICs and all years</w:t>
      </w:r>
      <w:r w:rsidR="00357CDC">
        <w:t>,</w:t>
      </w:r>
      <w:r>
        <w:t xml:space="preserve"> </w:t>
      </w:r>
      <w:r w:rsidR="006F6AA3">
        <w:t xml:space="preserve">will provide NIH leadership with the </w:t>
      </w:r>
      <w:r w:rsidR="00357CDC">
        <w:t>information they need to</w:t>
      </w:r>
      <w:r w:rsidR="007C4F87">
        <w:t xml:space="preserve"> understand the needs of AREA-eligible </w:t>
      </w:r>
      <w:r w:rsidR="002C6BC4">
        <w:t>awardees</w:t>
      </w:r>
      <w:r w:rsidR="007C4F87">
        <w:t>, students, and their academic communities</w:t>
      </w:r>
      <w:r>
        <w:t>,</w:t>
      </w:r>
      <w:r w:rsidR="007C4F87">
        <w:t xml:space="preserve"> and develop strategies to address them.  </w:t>
      </w:r>
    </w:p>
    <w:p w:rsidR="00D43FD9" w:rsidRDefault="00D43FD9" w:rsidP="00220C8E">
      <w:pPr>
        <w:spacing w:line="480" w:lineRule="auto"/>
        <w:ind w:firstLine="720"/>
      </w:pPr>
      <w:r w:rsidRPr="001A2901">
        <w:rPr>
          <w:u w:val="single"/>
        </w:rPr>
        <w:t>NIH AREA Program Administrators:</w:t>
      </w:r>
      <w:r w:rsidR="002E6C22">
        <w:t xml:space="preserve">  Several OD</w:t>
      </w:r>
      <w:r>
        <w:t xml:space="preserve"> AREA Program Administrators and IC AREA Program Administrators are overseeing the evaluation as Project Officers and members of the evaluation committee. The committee of IC AREA Program administrators will receive access to data tables for all comparison groups for which data is available, in addition to the final report and slide presentation.  NIH AREA program administrators will participate in the process of considering recommendations about AREA policy and future data collection.  </w:t>
      </w:r>
    </w:p>
    <w:p w:rsidR="00F05DA3" w:rsidRDefault="00D43FD9" w:rsidP="00220C8E">
      <w:pPr>
        <w:spacing w:line="480" w:lineRule="auto"/>
        <w:ind w:firstLine="720"/>
      </w:pPr>
      <w:r w:rsidRPr="001A2901">
        <w:rPr>
          <w:u w:val="single"/>
        </w:rPr>
        <w:t>Current and Former AREA Applicants and Awardees</w:t>
      </w:r>
      <w:r>
        <w:t xml:space="preserve">:  Former awardees and applicants will have access to the final report with aggregate findings and recommendations.  </w:t>
      </w:r>
      <w:r w:rsidR="009B4AE3">
        <w:t xml:space="preserve">For AREA </w:t>
      </w:r>
      <w:r w:rsidR="002C6BC4">
        <w:t>a</w:t>
      </w:r>
      <w:r w:rsidR="003E72FD">
        <w:t>wardees</w:t>
      </w:r>
      <w:r w:rsidR="009B4AE3">
        <w:t xml:space="preserve">, many of whom are isolated from a larger academic community, it will be invaluable to learn of strategies for research and mentorship success.  </w:t>
      </w:r>
      <w:r>
        <w:t xml:space="preserve">Individual-level data or detailed data tables will not be provided.  </w:t>
      </w:r>
    </w:p>
    <w:p w:rsidR="00D43FD9" w:rsidRDefault="00D43FD9" w:rsidP="00220C8E">
      <w:pPr>
        <w:spacing w:line="480" w:lineRule="auto"/>
        <w:ind w:firstLine="720"/>
      </w:pPr>
      <w:r w:rsidRPr="001A2901">
        <w:rPr>
          <w:u w:val="single"/>
        </w:rPr>
        <w:lastRenderedPageBreak/>
        <w:t>Non-NIH Program Directors:</w:t>
      </w:r>
      <w:r>
        <w:t xml:space="preserve">  The NIH AREA program administrators have developed a list with names and contact information of individuals who oversee similar projects and other agencies and organizations, for example, the National Science Foundation’s Research in Undergraduate Institutions (RUI) program.  </w:t>
      </w:r>
      <w:r w:rsidR="000D1B4E">
        <w:t>Findings and lessons for the evaluation will be eventually made public and or disseminated to such agencies and organizations.</w:t>
      </w:r>
    </w:p>
    <w:p w:rsidR="00D43FD9" w:rsidRDefault="00D43FD9" w:rsidP="000E43DB">
      <w:pPr>
        <w:spacing w:line="480" w:lineRule="auto"/>
        <w:ind w:firstLine="720"/>
        <w:rPr>
          <w:b/>
          <w:color w:val="FF0000"/>
        </w:rPr>
      </w:pPr>
      <w:r w:rsidRPr="00C57CD0">
        <w:rPr>
          <w:u w:val="single"/>
        </w:rPr>
        <w:t>Research and Evaluation Communities:</w:t>
      </w:r>
      <w:r>
        <w:t xml:space="preserve">  While some members of these communities may be interested in the methodologies used, others may be interested in the outcomes and findings of the evaluation.  However, individual-level data will not be provided to members of these communities.  Dissemination may take the form of a study report, conference presentations, and publications of study methods and findings in journals.</w:t>
      </w:r>
      <w:bookmarkStart w:id="4" w:name="_Toc443881744"/>
      <w:bookmarkStart w:id="5" w:name="_Toc451592233"/>
      <w:bookmarkStart w:id="6" w:name="_Toc5610274"/>
      <w:bookmarkStart w:id="7" w:name="_Toc99178780"/>
    </w:p>
    <w:p w:rsidR="00D43FD9" w:rsidRPr="00D61E21" w:rsidRDefault="00D43FD9" w:rsidP="00220C8E">
      <w:pPr>
        <w:pStyle w:val="Heading2"/>
        <w:tabs>
          <w:tab w:val="clear" w:pos="1152"/>
          <w:tab w:val="left" w:pos="720"/>
        </w:tabs>
        <w:spacing w:after="0" w:line="480" w:lineRule="auto"/>
        <w:ind w:left="0" w:firstLine="0"/>
        <w:rPr>
          <w:sz w:val="24"/>
          <w:szCs w:val="24"/>
        </w:rPr>
      </w:pPr>
      <w:r>
        <w:rPr>
          <w:sz w:val="24"/>
          <w:szCs w:val="24"/>
        </w:rPr>
        <w:t xml:space="preserve">A.3 </w:t>
      </w:r>
      <w:r w:rsidR="00900353">
        <w:rPr>
          <w:sz w:val="24"/>
          <w:szCs w:val="24"/>
        </w:rPr>
        <w:tab/>
      </w:r>
      <w:r w:rsidRPr="00D61E21">
        <w:rPr>
          <w:sz w:val="24"/>
          <w:szCs w:val="24"/>
        </w:rPr>
        <w:t>Use of Information Technology and Burden Reduction</w:t>
      </w:r>
      <w:bookmarkEnd w:id="4"/>
      <w:bookmarkEnd w:id="5"/>
      <w:bookmarkEnd w:id="6"/>
      <w:bookmarkEnd w:id="7"/>
    </w:p>
    <w:p w:rsidR="00510C57" w:rsidRDefault="00510C57" w:rsidP="00510C57">
      <w:pPr>
        <w:pStyle w:val="N1-1stBullet"/>
        <w:tabs>
          <w:tab w:val="clear" w:pos="1152"/>
        </w:tabs>
        <w:spacing w:after="0" w:line="480" w:lineRule="auto"/>
        <w:ind w:left="0" w:firstLine="720"/>
        <w:jc w:val="left"/>
        <w:rPr>
          <w:sz w:val="24"/>
          <w:szCs w:val="24"/>
        </w:rPr>
      </w:pPr>
      <w:r>
        <w:rPr>
          <w:sz w:val="24"/>
          <w:szCs w:val="24"/>
        </w:rPr>
        <w:t>The evaluation study will utilize two different modes of data collection: web-based surveys and telephone interviews.</w:t>
      </w:r>
    </w:p>
    <w:p w:rsidR="00566809" w:rsidRDefault="00566809" w:rsidP="00566809">
      <w:pPr>
        <w:pStyle w:val="N1-1stBullet"/>
        <w:tabs>
          <w:tab w:val="clear" w:pos="1152"/>
        </w:tabs>
        <w:spacing w:after="0" w:line="480" w:lineRule="auto"/>
        <w:ind w:left="0" w:firstLine="720"/>
        <w:jc w:val="left"/>
        <w:rPr>
          <w:sz w:val="24"/>
          <w:szCs w:val="24"/>
        </w:rPr>
      </w:pPr>
      <w:r w:rsidRPr="0065636D">
        <w:rPr>
          <w:sz w:val="24"/>
          <w:szCs w:val="24"/>
        </w:rPr>
        <w:t>In the web-based survey approach, respondents provide data using a computerized system to collect and enter data. The respondent provides data directly without an interviewer. The advan</w:t>
      </w:r>
      <w:r w:rsidR="0042422C">
        <w:rPr>
          <w:sz w:val="24"/>
          <w:szCs w:val="24"/>
        </w:rPr>
        <w:t>tages of this format are:</w:t>
      </w:r>
      <w:r w:rsidRPr="0065636D">
        <w:rPr>
          <w:sz w:val="24"/>
          <w:szCs w:val="24"/>
        </w:rPr>
        <w:t xml:space="preserve"> </w:t>
      </w:r>
      <w:r>
        <w:rPr>
          <w:sz w:val="24"/>
          <w:szCs w:val="24"/>
        </w:rPr>
        <w:t xml:space="preserve">(1) </w:t>
      </w:r>
      <w:r w:rsidRPr="0065636D">
        <w:rPr>
          <w:sz w:val="24"/>
          <w:szCs w:val="24"/>
        </w:rPr>
        <w:t xml:space="preserve">data may be collected for all respondents using this method </w:t>
      </w:r>
      <w:r>
        <w:rPr>
          <w:sz w:val="24"/>
          <w:szCs w:val="24"/>
        </w:rPr>
        <w:t>allowing for</w:t>
      </w:r>
      <w:r w:rsidRPr="0065636D">
        <w:rPr>
          <w:sz w:val="24"/>
          <w:szCs w:val="24"/>
        </w:rPr>
        <w:t xml:space="preserve"> uniform data collection</w:t>
      </w:r>
      <w:r w:rsidR="0042422C">
        <w:rPr>
          <w:sz w:val="24"/>
          <w:szCs w:val="24"/>
        </w:rPr>
        <w:t>,</w:t>
      </w:r>
      <w:r>
        <w:rPr>
          <w:sz w:val="24"/>
          <w:szCs w:val="24"/>
        </w:rPr>
        <w:t xml:space="preserve"> (2)</w:t>
      </w:r>
      <w:r w:rsidRPr="0065636D">
        <w:rPr>
          <w:sz w:val="24"/>
          <w:szCs w:val="24"/>
        </w:rPr>
        <w:t xml:space="preserve"> </w:t>
      </w:r>
      <w:r>
        <w:rPr>
          <w:sz w:val="24"/>
          <w:szCs w:val="24"/>
        </w:rPr>
        <w:t xml:space="preserve">respondents can complete </w:t>
      </w:r>
      <w:r w:rsidR="0042422C">
        <w:rPr>
          <w:sz w:val="24"/>
          <w:szCs w:val="24"/>
        </w:rPr>
        <w:t>the survey at their convenience,</w:t>
      </w:r>
      <w:r>
        <w:rPr>
          <w:sz w:val="24"/>
          <w:szCs w:val="24"/>
        </w:rPr>
        <w:t xml:space="preserve"> (3) the system navigates throug</w:t>
      </w:r>
      <w:r w:rsidR="0042422C">
        <w:rPr>
          <w:sz w:val="24"/>
          <w:szCs w:val="24"/>
        </w:rPr>
        <w:t>h the survey for the respondent,</w:t>
      </w:r>
      <w:r>
        <w:rPr>
          <w:sz w:val="24"/>
          <w:szCs w:val="24"/>
        </w:rPr>
        <w:t xml:space="preserve"> (4) </w:t>
      </w:r>
      <w:r w:rsidR="000D1B4E">
        <w:rPr>
          <w:sz w:val="24"/>
          <w:szCs w:val="24"/>
        </w:rPr>
        <w:t>respondents are relieved of the burden of having to mail a survey</w:t>
      </w:r>
      <w:r w:rsidR="0042422C">
        <w:rPr>
          <w:sz w:val="24"/>
          <w:szCs w:val="24"/>
        </w:rPr>
        <w:t>,</w:t>
      </w:r>
      <w:r>
        <w:rPr>
          <w:sz w:val="24"/>
          <w:szCs w:val="24"/>
        </w:rPr>
        <w:t xml:space="preserve"> (5) </w:t>
      </w:r>
      <w:r w:rsidR="002F79B0">
        <w:rPr>
          <w:sz w:val="24"/>
          <w:szCs w:val="24"/>
        </w:rPr>
        <w:t xml:space="preserve">the </w:t>
      </w:r>
      <w:r w:rsidR="0042422C">
        <w:rPr>
          <w:sz w:val="24"/>
          <w:szCs w:val="24"/>
        </w:rPr>
        <w:t xml:space="preserve">dissemination </w:t>
      </w:r>
      <w:r w:rsidR="002F79B0">
        <w:rPr>
          <w:sz w:val="24"/>
          <w:szCs w:val="24"/>
        </w:rPr>
        <w:t xml:space="preserve">of the survey to participants is easy and </w:t>
      </w:r>
      <w:r w:rsidR="0042422C">
        <w:rPr>
          <w:sz w:val="24"/>
          <w:szCs w:val="24"/>
        </w:rPr>
        <w:t xml:space="preserve">has a low cost, </w:t>
      </w:r>
      <w:r>
        <w:rPr>
          <w:sz w:val="24"/>
          <w:szCs w:val="24"/>
        </w:rPr>
        <w:t>(6)</w:t>
      </w:r>
      <w:r w:rsidRPr="0065636D">
        <w:rPr>
          <w:sz w:val="24"/>
          <w:szCs w:val="24"/>
        </w:rPr>
        <w:t xml:space="preserve"> </w:t>
      </w:r>
      <w:r w:rsidR="0042422C">
        <w:rPr>
          <w:sz w:val="24"/>
          <w:szCs w:val="24"/>
        </w:rPr>
        <w:t xml:space="preserve">follow up reminders </w:t>
      </w:r>
      <w:r w:rsidR="002F79B0">
        <w:rPr>
          <w:sz w:val="24"/>
          <w:szCs w:val="24"/>
        </w:rPr>
        <w:t>are also easy and inexpensive</w:t>
      </w:r>
      <w:r w:rsidR="0042422C">
        <w:rPr>
          <w:sz w:val="24"/>
          <w:szCs w:val="24"/>
        </w:rPr>
        <w:t>,</w:t>
      </w:r>
      <w:r>
        <w:rPr>
          <w:sz w:val="24"/>
          <w:szCs w:val="24"/>
        </w:rPr>
        <w:t xml:space="preserve"> and (7)</w:t>
      </w:r>
      <w:r w:rsidR="00DE36F9">
        <w:rPr>
          <w:sz w:val="24"/>
          <w:szCs w:val="24"/>
        </w:rPr>
        <w:t xml:space="preserve"> </w:t>
      </w:r>
      <w:r w:rsidR="002F79B0">
        <w:rPr>
          <w:sz w:val="24"/>
          <w:szCs w:val="24"/>
        </w:rPr>
        <w:t xml:space="preserve">the resulting data is automatically </w:t>
      </w:r>
      <w:r w:rsidR="002F79B0">
        <w:rPr>
          <w:sz w:val="24"/>
          <w:szCs w:val="24"/>
        </w:rPr>
        <w:lastRenderedPageBreak/>
        <w:t>available upon completion of the administration in an electronic database and there is no wait time for analysis to begin</w:t>
      </w:r>
      <w:r w:rsidR="0042422C">
        <w:rPr>
          <w:sz w:val="24"/>
          <w:szCs w:val="24"/>
        </w:rPr>
        <w:t>.</w:t>
      </w:r>
      <w:r w:rsidRPr="0065636D">
        <w:rPr>
          <w:sz w:val="24"/>
          <w:szCs w:val="24"/>
        </w:rPr>
        <w:t xml:space="preserve"> In addition, information may be obtained </w:t>
      </w:r>
      <w:r w:rsidR="002F79B0">
        <w:rPr>
          <w:sz w:val="24"/>
          <w:szCs w:val="24"/>
        </w:rPr>
        <w:t xml:space="preserve">at any point during the administration </w:t>
      </w:r>
      <w:r w:rsidRPr="0065636D">
        <w:rPr>
          <w:sz w:val="24"/>
          <w:szCs w:val="24"/>
        </w:rPr>
        <w:t xml:space="preserve">regarding the number of survey respondents who initiated the </w:t>
      </w:r>
      <w:r w:rsidRPr="0022540B">
        <w:rPr>
          <w:sz w:val="24"/>
          <w:szCs w:val="24"/>
        </w:rPr>
        <w:t xml:space="preserve">survey but who did not complete and submit the survey. Challenges include obtaining an email address for each respondent, as well as potential lack of familiarity with online surveys for some </w:t>
      </w:r>
      <w:r>
        <w:rPr>
          <w:sz w:val="24"/>
          <w:szCs w:val="24"/>
        </w:rPr>
        <w:t>respondents (expected to be very low in this very highly educated</w:t>
      </w:r>
      <w:r w:rsidR="002F79B0">
        <w:rPr>
          <w:sz w:val="24"/>
          <w:szCs w:val="24"/>
        </w:rPr>
        <w:t xml:space="preserve"> and internet savvy</w:t>
      </w:r>
      <w:r>
        <w:rPr>
          <w:sz w:val="24"/>
          <w:szCs w:val="24"/>
        </w:rPr>
        <w:t xml:space="preserve"> population</w:t>
      </w:r>
      <w:r w:rsidR="0042422C">
        <w:rPr>
          <w:sz w:val="24"/>
          <w:szCs w:val="24"/>
        </w:rPr>
        <w:t>).</w:t>
      </w:r>
    </w:p>
    <w:p w:rsidR="00566809" w:rsidRDefault="00566809" w:rsidP="00566809">
      <w:pPr>
        <w:pStyle w:val="N1-1stBullet"/>
        <w:tabs>
          <w:tab w:val="clear" w:pos="1152"/>
        </w:tabs>
        <w:spacing w:after="0" w:line="480" w:lineRule="auto"/>
        <w:ind w:left="0" w:firstLine="720"/>
        <w:jc w:val="left"/>
        <w:rPr>
          <w:sz w:val="24"/>
          <w:szCs w:val="24"/>
        </w:rPr>
      </w:pPr>
      <w:r w:rsidRPr="00510C57">
        <w:rPr>
          <w:sz w:val="24"/>
          <w:szCs w:val="24"/>
        </w:rPr>
        <w:t>Westat will use an internally maintained Commercial Off-the-Shelf (COTS)</w:t>
      </w:r>
      <w:r w:rsidR="00EE6379">
        <w:rPr>
          <w:sz w:val="24"/>
          <w:szCs w:val="24"/>
        </w:rPr>
        <w:t xml:space="preserve"> web survey platform. </w:t>
      </w:r>
      <w:r w:rsidR="0042422C">
        <w:rPr>
          <w:sz w:val="24"/>
          <w:szCs w:val="24"/>
        </w:rPr>
        <w:t>When the platform is</w:t>
      </w:r>
      <w:r w:rsidRPr="00216292">
        <w:rPr>
          <w:sz w:val="24"/>
          <w:szCs w:val="24"/>
        </w:rPr>
        <w:t xml:space="preserve"> integrated into Westat systems, </w:t>
      </w:r>
      <w:r w:rsidR="0042422C">
        <w:rPr>
          <w:sz w:val="24"/>
          <w:szCs w:val="24"/>
        </w:rPr>
        <w:t xml:space="preserve">it </w:t>
      </w:r>
      <w:r w:rsidRPr="00216292">
        <w:rPr>
          <w:sz w:val="24"/>
          <w:szCs w:val="24"/>
        </w:rPr>
        <w:t>allows the collecti</w:t>
      </w:r>
      <w:r w:rsidR="0042422C">
        <w:rPr>
          <w:sz w:val="24"/>
          <w:szCs w:val="24"/>
        </w:rPr>
        <w:t>on of web responses and the creation of</w:t>
      </w:r>
      <w:r w:rsidRPr="00216292">
        <w:rPr>
          <w:sz w:val="24"/>
          <w:szCs w:val="24"/>
        </w:rPr>
        <w:t xml:space="preserve"> reports on compl</w:t>
      </w:r>
      <w:r w:rsidR="00EE6379">
        <w:rPr>
          <w:sz w:val="24"/>
          <w:szCs w:val="24"/>
        </w:rPr>
        <w:t xml:space="preserve">eted and outstanding responses.  </w:t>
      </w:r>
      <w:r w:rsidR="001459CE">
        <w:rPr>
          <w:sz w:val="24"/>
          <w:szCs w:val="24"/>
        </w:rPr>
        <w:t xml:space="preserve">Data on web responses </w:t>
      </w:r>
      <w:r w:rsidR="002F79B0">
        <w:rPr>
          <w:sz w:val="24"/>
          <w:szCs w:val="24"/>
        </w:rPr>
        <w:t xml:space="preserve">(including bounce backs, cooperation rates, and survey initiation rates - </w:t>
      </w:r>
      <w:r w:rsidR="001459CE">
        <w:rPr>
          <w:sz w:val="24"/>
          <w:szCs w:val="24"/>
        </w:rPr>
        <w:t xml:space="preserve">will allow the creation of </w:t>
      </w:r>
      <w:r w:rsidRPr="00216292">
        <w:rPr>
          <w:sz w:val="24"/>
          <w:szCs w:val="24"/>
        </w:rPr>
        <w:t xml:space="preserve">activity reports to further assist in helping project staff monitor activity and perform </w:t>
      </w:r>
      <w:r w:rsidR="002F79B0">
        <w:rPr>
          <w:sz w:val="24"/>
          <w:szCs w:val="24"/>
        </w:rPr>
        <w:t>respondent contact information ‘</w:t>
      </w:r>
      <w:r w:rsidRPr="00216292">
        <w:rPr>
          <w:sz w:val="24"/>
          <w:szCs w:val="24"/>
        </w:rPr>
        <w:t>tracing</w:t>
      </w:r>
      <w:r w:rsidR="002F79B0">
        <w:rPr>
          <w:sz w:val="24"/>
          <w:szCs w:val="24"/>
        </w:rPr>
        <w:t>’</w:t>
      </w:r>
      <w:r w:rsidRPr="00216292">
        <w:rPr>
          <w:sz w:val="24"/>
          <w:szCs w:val="24"/>
        </w:rPr>
        <w:t xml:space="preserve"> to increase response rates.</w:t>
      </w:r>
    </w:p>
    <w:p w:rsidR="00385232" w:rsidRDefault="00510C57" w:rsidP="00510C57">
      <w:pPr>
        <w:pStyle w:val="N1-1stBullet"/>
        <w:tabs>
          <w:tab w:val="clear" w:pos="1152"/>
        </w:tabs>
        <w:spacing w:after="0" w:line="480" w:lineRule="auto"/>
        <w:ind w:left="0" w:firstLine="720"/>
        <w:jc w:val="left"/>
        <w:rPr>
          <w:sz w:val="24"/>
          <w:szCs w:val="24"/>
        </w:rPr>
      </w:pPr>
      <w:r>
        <w:rPr>
          <w:sz w:val="24"/>
          <w:szCs w:val="24"/>
        </w:rPr>
        <w:t xml:space="preserve">The telephone interviews will be conducted by trained interviewers using </w:t>
      </w:r>
      <w:r w:rsidR="002F79B0">
        <w:rPr>
          <w:sz w:val="24"/>
          <w:szCs w:val="24"/>
        </w:rPr>
        <w:t>a</w:t>
      </w:r>
      <w:r>
        <w:rPr>
          <w:sz w:val="24"/>
          <w:szCs w:val="24"/>
        </w:rPr>
        <w:t xml:space="preserve"> Semi-Structured Interview Guide (</w:t>
      </w:r>
      <w:r w:rsidRPr="00510C57">
        <w:rPr>
          <w:b/>
          <w:sz w:val="24"/>
          <w:szCs w:val="24"/>
        </w:rPr>
        <w:t>A</w:t>
      </w:r>
      <w:r>
        <w:rPr>
          <w:b/>
          <w:sz w:val="24"/>
          <w:szCs w:val="24"/>
        </w:rPr>
        <w:t>ttachment 4</w:t>
      </w:r>
      <w:r>
        <w:rPr>
          <w:sz w:val="24"/>
          <w:szCs w:val="24"/>
        </w:rPr>
        <w:t>). The interview data will be collected via audio tape.  Each interview will be recorded on a digital file labeled with the respondent’s ID number; each audio file will have a standardized unique file name: “AREA –</w:t>
      </w:r>
      <w:r>
        <w:rPr>
          <w:i/>
          <w:sz w:val="24"/>
          <w:szCs w:val="24"/>
        </w:rPr>
        <w:t>#</w:t>
      </w:r>
      <w:r w:rsidRPr="008F0AB7">
        <w:rPr>
          <w:i/>
          <w:sz w:val="24"/>
          <w:szCs w:val="24"/>
        </w:rPr>
        <w:t>#</w:t>
      </w:r>
      <w:r>
        <w:rPr>
          <w:i/>
          <w:sz w:val="24"/>
          <w:szCs w:val="24"/>
        </w:rPr>
        <w:t>”</w:t>
      </w:r>
      <w:r>
        <w:rPr>
          <w:sz w:val="24"/>
          <w:szCs w:val="24"/>
        </w:rPr>
        <w:t xml:space="preserve"> where </w:t>
      </w:r>
      <w:r w:rsidRPr="008F0AB7">
        <w:rPr>
          <w:i/>
          <w:sz w:val="24"/>
          <w:szCs w:val="24"/>
        </w:rPr>
        <w:t>##</w:t>
      </w:r>
      <w:r>
        <w:rPr>
          <w:i/>
          <w:sz w:val="24"/>
          <w:szCs w:val="24"/>
        </w:rPr>
        <w:t xml:space="preserve"> </w:t>
      </w:r>
      <w:r>
        <w:rPr>
          <w:sz w:val="24"/>
          <w:szCs w:val="24"/>
        </w:rPr>
        <w:t xml:space="preserve">is the unique ID number for the interview respondent (i.e. AREA-99).  All audio files will be sent via a secure File Transfer Protocol (FTP) to a transcription service, Casting Words, for transcription.  Interview transcripts will be stored as Word documents and will use the same naming convention used for the telephone interview audio files; “AREA-##”. The file name extension will distinguish between the audio file </w:t>
      </w:r>
      <w:r>
        <w:rPr>
          <w:sz w:val="24"/>
          <w:szCs w:val="24"/>
        </w:rPr>
        <w:lastRenderedPageBreak/>
        <w:t>(.wav) and the Word document (.</w:t>
      </w:r>
      <w:proofErr w:type="spellStart"/>
      <w:r>
        <w:rPr>
          <w:sz w:val="24"/>
          <w:szCs w:val="24"/>
        </w:rPr>
        <w:t>docx</w:t>
      </w:r>
      <w:proofErr w:type="spellEnd"/>
      <w:r>
        <w:rPr>
          <w:sz w:val="24"/>
          <w:szCs w:val="24"/>
        </w:rPr>
        <w:t>). Management and analysis of the interview data, including monitoring activity and response rates, w</w:t>
      </w:r>
      <w:r w:rsidR="00EE6379">
        <w:rPr>
          <w:sz w:val="24"/>
          <w:szCs w:val="24"/>
        </w:rPr>
        <w:t>ill be performed utilizing Excel</w:t>
      </w:r>
      <w:r>
        <w:rPr>
          <w:sz w:val="24"/>
          <w:szCs w:val="24"/>
        </w:rPr>
        <w:t xml:space="preserve">. </w:t>
      </w:r>
    </w:p>
    <w:p w:rsidR="00220C8E" w:rsidRPr="00216292" w:rsidRDefault="002F79B0" w:rsidP="00510C57">
      <w:pPr>
        <w:pStyle w:val="N1-1stBullet"/>
        <w:tabs>
          <w:tab w:val="clear" w:pos="1152"/>
        </w:tabs>
        <w:spacing w:after="0" w:line="480" w:lineRule="auto"/>
        <w:ind w:left="0" w:firstLine="720"/>
        <w:jc w:val="left"/>
        <w:rPr>
          <w:sz w:val="24"/>
          <w:szCs w:val="24"/>
        </w:rPr>
      </w:pPr>
      <w:r>
        <w:rPr>
          <w:sz w:val="24"/>
          <w:szCs w:val="24"/>
        </w:rPr>
        <w:t xml:space="preserve">The advantage of conducting interviews in any data collection is that they allow for the collection of in-depth qualitative data that often helps fill in the gaps and provide explanations not possible to collect via any structured data collection method – such as web surveys. </w:t>
      </w:r>
      <w:r w:rsidR="00510C57">
        <w:rPr>
          <w:sz w:val="24"/>
          <w:szCs w:val="24"/>
        </w:rPr>
        <w:t>The advantage of using telephone interviews is mainly that they allow for cost-effective data collection from respondents who reside across the United States and also allow respondents to partici</w:t>
      </w:r>
      <w:r w:rsidR="00EE6379">
        <w:rPr>
          <w:sz w:val="24"/>
          <w:szCs w:val="24"/>
        </w:rPr>
        <w:t>pate in the study at a time convenient for</w:t>
      </w:r>
      <w:r w:rsidR="00510C57">
        <w:rPr>
          <w:sz w:val="24"/>
          <w:szCs w:val="24"/>
        </w:rPr>
        <w:t xml:space="preserve"> them. </w:t>
      </w:r>
      <w:r w:rsidR="0018177D">
        <w:rPr>
          <w:sz w:val="24"/>
          <w:szCs w:val="24"/>
        </w:rPr>
        <w:t xml:space="preserve"> </w:t>
      </w:r>
    </w:p>
    <w:p w:rsidR="00566809" w:rsidRDefault="00566809" w:rsidP="00566809">
      <w:pPr>
        <w:pStyle w:val="N1-1stBullet"/>
        <w:tabs>
          <w:tab w:val="clear" w:pos="1152"/>
        </w:tabs>
        <w:spacing w:after="0" w:line="480" w:lineRule="auto"/>
        <w:ind w:left="0" w:firstLine="0"/>
        <w:jc w:val="left"/>
        <w:rPr>
          <w:sz w:val="24"/>
          <w:szCs w:val="24"/>
        </w:rPr>
      </w:pPr>
      <w:r w:rsidRPr="0065636D">
        <w:rPr>
          <w:sz w:val="24"/>
          <w:szCs w:val="24"/>
        </w:rPr>
        <w:tab/>
      </w:r>
      <w:r w:rsidRPr="00510C57">
        <w:rPr>
          <w:sz w:val="24"/>
          <w:szCs w:val="24"/>
        </w:rPr>
        <w:t>A Privacy Impact Assessment (PIA</w:t>
      </w:r>
      <w:r w:rsidR="00F846F4">
        <w:rPr>
          <w:sz w:val="24"/>
          <w:szCs w:val="24"/>
        </w:rPr>
        <w:t>) has been drafted and is under review at the Department of Health and Human Services</w:t>
      </w:r>
      <w:r w:rsidRPr="00510C57">
        <w:rPr>
          <w:sz w:val="24"/>
          <w:szCs w:val="24"/>
        </w:rPr>
        <w:t>. (</w:t>
      </w:r>
      <w:r w:rsidRPr="00566809">
        <w:rPr>
          <w:b/>
          <w:sz w:val="24"/>
          <w:szCs w:val="24"/>
        </w:rPr>
        <w:t xml:space="preserve">Attachment </w:t>
      </w:r>
      <w:r w:rsidR="00733F90" w:rsidRPr="00E53A8D">
        <w:rPr>
          <w:b/>
          <w:sz w:val="24"/>
          <w:szCs w:val="24"/>
        </w:rPr>
        <w:t>5</w:t>
      </w:r>
      <w:r w:rsidRPr="00566809">
        <w:rPr>
          <w:sz w:val="24"/>
          <w:szCs w:val="24"/>
        </w:rPr>
        <w:t>).</w:t>
      </w:r>
      <w:r w:rsidRPr="00AA69F7">
        <w:rPr>
          <w:sz w:val="24"/>
          <w:szCs w:val="24"/>
        </w:rPr>
        <w:t xml:space="preserve"> </w:t>
      </w:r>
    </w:p>
    <w:p w:rsidR="00D43FD9" w:rsidRPr="00D61E21" w:rsidRDefault="00D43FD9" w:rsidP="00D43FD9">
      <w:pPr>
        <w:pStyle w:val="Heading2"/>
        <w:spacing w:after="0" w:line="480" w:lineRule="auto"/>
        <w:ind w:left="720" w:hanging="720"/>
        <w:rPr>
          <w:sz w:val="24"/>
          <w:szCs w:val="24"/>
        </w:rPr>
      </w:pPr>
      <w:bookmarkStart w:id="8" w:name="_Toc443881745"/>
      <w:bookmarkStart w:id="9" w:name="_Toc451592234"/>
      <w:bookmarkStart w:id="10" w:name="_Toc5610275"/>
      <w:bookmarkStart w:id="11" w:name="_Toc99178781"/>
      <w:r>
        <w:rPr>
          <w:sz w:val="24"/>
          <w:szCs w:val="24"/>
        </w:rPr>
        <w:t>A.4</w:t>
      </w:r>
      <w:r w:rsidRPr="00D61E21">
        <w:rPr>
          <w:sz w:val="24"/>
          <w:szCs w:val="24"/>
        </w:rPr>
        <w:tab/>
        <w:t>Efforts to Identify Duplication and Use of Similar Information</w:t>
      </w:r>
      <w:bookmarkEnd w:id="8"/>
      <w:bookmarkEnd w:id="9"/>
      <w:bookmarkEnd w:id="10"/>
      <w:bookmarkEnd w:id="11"/>
    </w:p>
    <w:p w:rsidR="00220C8E" w:rsidRDefault="00220C8E" w:rsidP="00220C8E">
      <w:pPr>
        <w:spacing w:line="480" w:lineRule="auto"/>
        <w:ind w:firstLine="720"/>
      </w:pPr>
      <w:r>
        <w:t>The AREA pro</w:t>
      </w:r>
      <w:r w:rsidR="00767266">
        <w:t xml:space="preserve">gram was last evaluated in 1996. </w:t>
      </w:r>
      <w:r>
        <w:t xml:space="preserve"> </w:t>
      </w:r>
      <w:r w:rsidR="00767266">
        <w:t xml:space="preserve">At that time, the main objectives of the evaluation were to decide whether NIH should increase the awards from $75,000, permit renewals of grants, allow for an extension of the length of awards, and make changes to the application process. Researchers conducted a brief survey of area grantees (49 PIs from 30 institutions) and examined extant data, including publications of the grantees and annual expenditures of AREA and other comparable research programs. Findings from this evaluation resulted in significant philosophical and procedural changes to the program, as well as the shift in program objectives. </w:t>
      </w:r>
      <w:r>
        <w:t>Since the changes, there has not been an</w:t>
      </w:r>
      <w:r w:rsidR="002F0078">
        <w:t>y type of</w:t>
      </w:r>
      <w:r>
        <w:t xml:space="preserve"> evaluation conducted</w:t>
      </w:r>
      <w:r w:rsidR="00385232">
        <w:t xml:space="preserve"> of the AREA program. This will</w:t>
      </w:r>
      <w:r>
        <w:t xml:space="preserve"> be the first full-scale evaluation of the AREA program. A comprehensive evaluation feasibility study of the AREA program, conducted by Discovery Logic</w:t>
      </w:r>
      <w:r w:rsidR="002F0078">
        <w:t xml:space="preserve"> in 2011</w:t>
      </w:r>
      <w:r>
        <w:t xml:space="preserve">, indicated the need for this program evaluation and that it would not duplicate already existing </w:t>
      </w:r>
      <w:r>
        <w:lastRenderedPageBreak/>
        <w:t>information or previous evaluations</w:t>
      </w:r>
      <w:r w:rsidR="002F0078">
        <w:t>;</w:t>
      </w:r>
      <w:r w:rsidR="000D4111">
        <w:t xml:space="preserve"> </w:t>
      </w:r>
      <w:r w:rsidR="002F0078">
        <w:t>no data at all has been collected from grantees since 1996 and even then, data collection was quite limited</w:t>
      </w:r>
      <w:r w:rsidR="001F0B26">
        <w:t xml:space="preserve"> (49 PIs from 30 institutions)</w:t>
      </w:r>
      <w:r w:rsidR="002F0078">
        <w:t>.</w:t>
      </w:r>
    </w:p>
    <w:p w:rsidR="00D43FD9" w:rsidRDefault="00D43FD9" w:rsidP="00D43FD9">
      <w:pPr>
        <w:pStyle w:val="Heading2"/>
        <w:spacing w:after="0" w:line="480" w:lineRule="auto"/>
        <w:ind w:left="720" w:hanging="720"/>
        <w:rPr>
          <w:sz w:val="24"/>
          <w:szCs w:val="24"/>
        </w:rPr>
      </w:pPr>
      <w:bookmarkStart w:id="12" w:name="_Toc443881746"/>
      <w:bookmarkStart w:id="13" w:name="_Toc451592235"/>
      <w:bookmarkStart w:id="14" w:name="_Toc5610276"/>
      <w:bookmarkStart w:id="15" w:name="_Toc99178782"/>
      <w:r>
        <w:rPr>
          <w:sz w:val="24"/>
          <w:szCs w:val="24"/>
        </w:rPr>
        <w:t>A.5</w:t>
      </w:r>
      <w:r w:rsidRPr="00D61E21">
        <w:rPr>
          <w:sz w:val="24"/>
          <w:szCs w:val="24"/>
        </w:rPr>
        <w:tab/>
        <w:t>Impact on Small Businesses or Other Small Entities</w:t>
      </w:r>
      <w:bookmarkEnd w:id="12"/>
      <w:bookmarkEnd w:id="13"/>
      <w:bookmarkEnd w:id="14"/>
      <w:bookmarkEnd w:id="15"/>
    </w:p>
    <w:p w:rsidR="00D43FD9" w:rsidRPr="00B41EC6" w:rsidRDefault="00014EFC" w:rsidP="00014EFC">
      <w:pPr>
        <w:spacing w:line="480" w:lineRule="auto"/>
        <w:rPr>
          <w:color w:val="FF0000"/>
        </w:rPr>
      </w:pPr>
      <w:r>
        <w:tab/>
        <w:t>No small entities will be involved in this evaluation. All respondents will be individuals who participate voluntarily.</w:t>
      </w:r>
    </w:p>
    <w:p w:rsidR="00D43FD9" w:rsidRPr="00D61E21" w:rsidRDefault="00D43FD9" w:rsidP="00D43FD9">
      <w:pPr>
        <w:pStyle w:val="Heading2"/>
        <w:spacing w:after="0" w:line="480" w:lineRule="auto"/>
        <w:ind w:left="720" w:hanging="720"/>
        <w:rPr>
          <w:sz w:val="24"/>
          <w:szCs w:val="24"/>
        </w:rPr>
      </w:pPr>
      <w:bookmarkStart w:id="16" w:name="_Toc443881747"/>
      <w:bookmarkStart w:id="17" w:name="_Toc451592236"/>
      <w:bookmarkStart w:id="18" w:name="_Toc5610277"/>
      <w:bookmarkStart w:id="19" w:name="_Toc99178783"/>
      <w:r>
        <w:rPr>
          <w:sz w:val="24"/>
          <w:szCs w:val="24"/>
        </w:rPr>
        <w:t>A.6</w:t>
      </w:r>
      <w:r w:rsidRPr="00D61E21">
        <w:rPr>
          <w:sz w:val="24"/>
          <w:szCs w:val="24"/>
        </w:rPr>
        <w:tab/>
        <w:t>Consequences of Collecting the Information Less Frequently</w:t>
      </w:r>
      <w:bookmarkEnd w:id="16"/>
      <w:bookmarkEnd w:id="17"/>
      <w:bookmarkEnd w:id="18"/>
      <w:bookmarkEnd w:id="19"/>
    </w:p>
    <w:p w:rsidR="00D43FD9" w:rsidRDefault="00014EFC" w:rsidP="00014EFC">
      <w:pPr>
        <w:spacing w:line="480" w:lineRule="auto"/>
        <w:ind w:firstLine="720"/>
      </w:pPr>
      <w:r>
        <w:t xml:space="preserve">This information collection is a one-time collection. There will be follow-up activities to those respondents who do not complete the survey within two weeks, but the survey will be implemented </w:t>
      </w:r>
      <w:r w:rsidR="002F0078">
        <w:t xml:space="preserve">only </w:t>
      </w:r>
      <w:r>
        <w:t xml:space="preserve">once. </w:t>
      </w:r>
      <w:r w:rsidR="009A1011">
        <w:t>Similarly, the semi-structured interviews will be conducted once with each respondent selected to participate</w:t>
      </w:r>
      <w:r w:rsidR="00A31185">
        <w:t>.</w:t>
      </w:r>
    </w:p>
    <w:p w:rsidR="00D43FD9" w:rsidRPr="00294FAD" w:rsidRDefault="00D43FD9" w:rsidP="00D43FD9">
      <w:pPr>
        <w:rPr>
          <w:vanish/>
        </w:rPr>
      </w:pPr>
    </w:p>
    <w:p w:rsidR="00D43FD9" w:rsidRDefault="00D43FD9" w:rsidP="00D43FD9"/>
    <w:p w:rsidR="00D43FD9" w:rsidRPr="00D61E21" w:rsidRDefault="00D43FD9" w:rsidP="00014EFC">
      <w:pPr>
        <w:pStyle w:val="Heading2"/>
        <w:tabs>
          <w:tab w:val="clear" w:pos="1152"/>
        </w:tabs>
        <w:spacing w:after="0" w:line="480" w:lineRule="auto"/>
        <w:ind w:left="0" w:firstLine="0"/>
        <w:rPr>
          <w:sz w:val="24"/>
          <w:szCs w:val="24"/>
        </w:rPr>
      </w:pPr>
      <w:bookmarkStart w:id="20" w:name="_Toc443881748"/>
      <w:bookmarkStart w:id="21" w:name="_Toc451592237"/>
      <w:bookmarkStart w:id="22" w:name="_Toc5610278"/>
      <w:bookmarkStart w:id="23" w:name="_Toc99178784"/>
      <w:r>
        <w:rPr>
          <w:sz w:val="24"/>
          <w:szCs w:val="24"/>
        </w:rPr>
        <w:t>A.7</w:t>
      </w:r>
      <w:r w:rsidR="00014EFC">
        <w:rPr>
          <w:sz w:val="24"/>
          <w:szCs w:val="24"/>
        </w:rPr>
        <w:tab/>
      </w:r>
      <w:r w:rsidRPr="00D61E21">
        <w:rPr>
          <w:sz w:val="24"/>
          <w:szCs w:val="24"/>
        </w:rPr>
        <w:t>Special Circumstances Relating to the Guidelines of 5 CFR 1320.5</w:t>
      </w:r>
      <w:bookmarkEnd w:id="20"/>
      <w:bookmarkEnd w:id="21"/>
      <w:bookmarkEnd w:id="22"/>
      <w:bookmarkEnd w:id="23"/>
    </w:p>
    <w:p w:rsidR="00D43FD9" w:rsidRDefault="00014EFC" w:rsidP="00014EFC">
      <w:pPr>
        <w:spacing w:line="480" w:lineRule="auto"/>
      </w:pPr>
      <w:r>
        <w:tab/>
        <w:t>This evaluation is consistent with the information collection guidelines in 5 CFR 1320.5</w:t>
      </w:r>
    </w:p>
    <w:p w:rsidR="00D43FD9" w:rsidRPr="00D61E21" w:rsidRDefault="00D43FD9" w:rsidP="00D43FD9">
      <w:pPr>
        <w:pStyle w:val="Heading2"/>
        <w:spacing w:after="0" w:line="480" w:lineRule="auto"/>
        <w:ind w:left="720" w:hanging="720"/>
        <w:rPr>
          <w:sz w:val="24"/>
          <w:szCs w:val="24"/>
        </w:rPr>
      </w:pPr>
      <w:bookmarkStart w:id="24" w:name="_Toc443881749"/>
      <w:bookmarkStart w:id="25" w:name="_Toc451592238"/>
      <w:bookmarkStart w:id="26" w:name="_Toc5610279"/>
      <w:bookmarkStart w:id="27" w:name="_Toc99178785"/>
      <w:r>
        <w:rPr>
          <w:sz w:val="24"/>
          <w:szCs w:val="24"/>
        </w:rPr>
        <w:t>A.8</w:t>
      </w:r>
      <w:r w:rsidRPr="00D61E21">
        <w:rPr>
          <w:sz w:val="24"/>
          <w:szCs w:val="24"/>
        </w:rPr>
        <w:tab/>
        <w:t>Comments in Response to the Federal Register Notice and Efforts to Consult Outside Agency</w:t>
      </w:r>
      <w:bookmarkEnd w:id="24"/>
      <w:bookmarkEnd w:id="25"/>
      <w:bookmarkEnd w:id="26"/>
      <w:bookmarkEnd w:id="27"/>
    </w:p>
    <w:p w:rsidR="009A1011" w:rsidRPr="008B28C3" w:rsidRDefault="009A1011" w:rsidP="009A1011">
      <w:pPr>
        <w:pStyle w:val="BodyTextIndent"/>
        <w:tabs>
          <w:tab w:val="left" w:pos="0"/>
        </w:tabs>
        <w:spacing w:before="0" w:after="0" w:line="480" w:lineRule="auto"/>
        <w:jc w:val="left"/>
        <w:rPr>
          <w:sz w:val="24"/>
          <w:szCs w:val="24"/>
        </w:rPr>
      </w:pPr>
      <w:r w:rsidRPr="008B28C3">
        <w:rPr>
          <w:sz w:val="24"/>
          <w:szCs w:val="24"/>
        </w:rPr>
        <w:t xml:space="preserve">The 60-Day </w:t>
      </w:r>
      <w:r w:rsidRPr="008B28C3">
        <w:rPr>
          <w:sz w:val="24"/>
          <w:szCs w:val="24"/>
          <w:u w:val="single"/>
        </w:rPr>
        <w:t>Federal</w:t>
      </w:r>
      <w:r w:rsidRPr="008B28C3">
        <w:rPr>
          <w:sz w:val="24"/>
          <w:szCs w:val="24"/>
        </w:rPr>
        <w:t xml:space="preserve"> </w:t>
      </w:r>
      <w:r w:rsidRPr="008B28C3">
        <w:rPr>
          <w:sz w:val="24"/>
          <w:szCs w:val="24"/>
          <w:u w:val="single"/>
        </w:rPr>
        <w:t>Register</w:t>
      </w:r>
      <w:r w:rsidRPr="008B28C3">
        <w:rPr>
          <w:sz w:val="24"/>
          <w:szCs w:val="24"/>
        </w:rPr>
        <w:t xml:space="preserve"> notice soliciting comments on this study prior to initial submission to OMB was published on</w:t>
      </w:r>
      <w:r w:rsidR="003B5238">
        <w:rPr>
          <w:sz w:val="24"/>
          <w:szCs w:val="24"/>
        </w:rPr>
        <w:t xml:space="preserve"> </w:t>
      </w:r>
      <w:r w:rsidR="003B5238" w:rsidRPr="00103E31">
        <w:rPr>
          <w:sz w:val="24"/>
          <w:szCs w:val="24"/>
        </w:rPr>
        <w:t>July</w:t>
      </w:r>
      <w:r w:rsidR="003B5238">
        <w:rPr>
          <w:sz w:val="24"/>
          <w:szCs w:val="24"/>
        </w:rPr>
        <w:t xml:space="preserve"> 9, 2014, </w:t>
      </w:r>
      <w:proofErr w:type="spellStart"/>
      <w:r w:rsidR="003B5238">
        <w:rPr>
          <w:sz w:val="24"/>
          <w:szCs w:val="24"/>
        </w:rPr>
        <w:t>Vol</w:t>
      </w:r>
      <w:proofErr w:type="spellEnd"/>
      <w:r w:rsidR="003B5238">
        <w:rPr>
          <w:sz w:val="24"/>
          <w:szCs w:val="24"/>
        </w:rPr>
        <w:t xml:space="preserve"> 79, page 38921.</w:t>
      </w:r>
      <w:r w:rsidR="000D03B7">
        <w:rPr>
          <w:sz w:val="24"/>
          <w:szCs w:val="24"/>
        </w:rPr>
        <w:t xml:space="preserve"> No public comments were received.</w:t>
      </w:r>
      <w:r w:rsidRPr="00BD28D5">
        <w:rPr>
          <w:sz w:val="24"/>
          <w:szCs w:val="24"/>
        </w:rPr>
        <w:t xml:space="preserve"> </w:t>
      </w:r>
    </w:p>
    <w:p w:rsidR="00BD28D5" w:rsidRDefault="00043F0C" w:rsidP="00BD28D5">
      <w:pPr>
        <w:autoSpaceDE w:val="0"/>
        <w:autoSpaceDN w:val="0"/>
        <w:adjustRightInd w:val="0"/>
        <w:spacing w:line="480" w:lineRule="auto"/>
        <w:ind w:firstLine="720"/>
      </w:pPr>
      <w:r>
        <w:t xml:space="preserve">The web-based </w:t>
      </w:r>
      <w:r w:rsidRPr="00242A57">
        <w:t>survey instrument</w:t>
      </w:r>
      <w:r>
        <w:t>s and the semi-structured interview guide</w:t>
      </w:r>
      <w:r w:rsidRPr="00242A57">
        <w:t xml:space="preserve"> w</w:t>
      </w:r>
      <w:r>
        <w:t xml:space="preserve">ere </w:t>
      </w:r>
      <w:r w:rsidRPr="00242A57">
        <w:t xml:space="preserve">developed through </w:t>
      </w:r>
      <w:r>
        <w:t>NIH</w:t>
      </w:r>
      <w:r w:rsidRPr="00242A57">
        <w:t>’s collaboration with Westat Inc</w:t>
      </w:r>
      <w:r>
        <w:t xml:space="preserve">orporated, based on the foundation provided by Discovery Logic’s feasibility study that helped inform the full scale evaluation. </w:t>
      </w:r>
      <w:r w:rsidR="00BD28D5" w:rsidRPr="00BD28D5">
        <w:t>In 2011, NIH’s Office of Extramural Programs carried out a feasibility study, drawing on expertise from a steering committee of program staff from</w:t>
      </w:r>
      <w:r w:rsidR="007939DB">
        <w:t xml:space="preserve"> several of </w:t>
      </w:r>
      <w:r w:rsidR="007939DB">
        <w:lastRenderedPageBreak/>
        <w:t xml:space="preserve">NIH’s 27 Institutes and </w:t>
      </w:r>
      <w:r w:rsidR="00BD28D5" w:rsidRPr="00BD28D5">
        <w:t xml:space="preserve">Centers </w:t>
      </w:r>
      <w:r w:rsidR="007939DB">
        <w:t xml:space="preserve">(ICs) </w:t>
      </w:r>
      <w:r w:rsidR="00BD28D5" w:rsidRPr="00BD28D5">
        <w:t xml:space="preserve">and leveraging Discovery Logic’s knowledge of data sources for evaluation of research and training programs. After completing the feasibility study, and after consultation with AREA R15 program staff and the feasibility study steering committee, </w:t>
      </w:r>
      <w:r w:rsidR="00BD28D5">
        <w:t>Discovery Logic</w:t>
      </w:r>
      <w:r w:rsidR="00BD28D5" w:rsidRPr="00BD28D5">
        <w:t xml:space="preserve"> recommended that NIH carry out a full-scale evaluation of the AREA R15 program using both structured and unstructured data sources to assess the program goals and impacts in the four study group areas (i.e. Meritorious Research - PI level, Strengthen Research at Institution/Administrative Unit, Student, Program). </w:t>
      </w:r>
    </w:p>
    <w:p w:rsidR="00043F0C" w:rsidRDefault="00043F0C" w:rsidP="00BD28D5">
      <w:pPr>
        <w:autoSpaceDE w:val="0"/>
        <w:autoSpaceDN w:val="0"/>
        <w:adjustRightInd w:val="0"/>
        <w:spacing w:line="480" w:lineRule="auto"/>
        <w:ind w:firstLine="720"/>
      </w:pPr>
      <w:r>
        <w:t>NIH</w:t>
      </w:r>
      <w:r w:rsidR="00BD28D5">
        <w:t xml:space="preserve"> and Westat distilled down key themes and questions that </w:t>
      </w:r>
      <w:r>
        <w:t>NIH</w:t>
      </w:r>
      <w:r w:rsidR="00BD28D5">
        <w:t xml:space="preserve"> was interested in asking</w:t>
      </w:r>
      <w:r>
        <w:t xml:space="preserve"> for the full scale study and </w:t>
      </w:r>
      <w:r w:rsidR="00BD28D5">
        <w:t>Westat developed the instrument</w:t>
      </w:r>
      <w:r>
        <w:t xml:space="preserve">s. </w:t>
      </w:r>
      <w:r w:rsidR="00BD28D5">
        <w:t xml:space="preserve"> </w:t>
      </w:r>
    </w:p>
    <w:p w:rsidR="000D03B7" w:rsidRDefault="000D03B7" w:rsidP="000D03B7">
      <w:pPr>
        <w:autoSpaceDE w:val="0"/>
        <w:autoSpaceDN w:val="0"/>
        <w:adjustRightInd w:val="0"/>
        <w:spacing w:line="480" w:lineRule="auto"/>
        <w:ind w:firstLine="720"/>
      </w:pPr>
      <w:r w:rsidRPr="00242A57">
        <w:t xml:space="preserve">The </w:t>
      </w:r>
      <w:r>
        <w:t xml:space="preserve">NIH </w:t>
      </w:r>
      <w:r w:rsidRPr="00242A57">
        <w:t xml:space="preserve">project team </w:t>
      </w:r>
      <w:r>
        <w:t>has consulted with:</w:t>
      </w:r>
    </w:p>
    <w:p w:rsidR="000D03B7" w:rsidRDefault="000D03B7" w:rsidP="000D03B7">
      <w:pPr>
        <w:pStyle w:val="ListParagraph"/>
        <w:numPr>
          <w:ilvl w:val="0"/>
          <w:numId w:val="13"/>
        </w:numPr>
        <w:autoSpaceDE w:val="0"/>
        <w:autoSpaceDN w:val="0"/>
        <w:adjustRightInd w:val="0"/>
      </w:pPr>
      <w:r>
        <w:t xml:space="preserve">Rebekah Rasooly, Ph.D., NIDDK Program Director </w:t>
      </w:r>
    </w:p>
    <w:p w:rsidR="000D03B7" w:rsidRDefault="006D6E06" w:rsidP="000D03B7">
      <w:pPr>
        <w:pStyle w:val="ListParagraph"/>
        <w:autoSpaceDE w:val="0"/>
        <w:autoSpaceDN w:val="0"/>
        <w:adjustRightInd w:val="0"/>
        <w:ind w:left="1440"/>
        <w:rPr>
          <w:color w:val="282828"/>
          <w:shd w:val="clear" w:color="auto" w:fill="FFFFFF"/>
        </w:rPr>
      </w:pPr>
      <w:r w:rsidRPr="006D6E06">
        <w:t>RasoolyR@extra.niddk.nih.</w:t>
      </w:r>
      <w:r>
        <w:t>gov</w:t>
      </w:r>
      <w:r w:rsidR="000D03B7">
        <w:t xml:space="preserve">, </w:t>
      </w:r>
      <w:r w:rsidR="000D03B7" w:rsidRPr="00E06704">
        <w:rPr>
          <w:color w:val="282828"/>
          <w:shd w:val="clear" w:color="auto" w:fill="FFFFFF"/>
        </w:rPr>
        <w:t>301-594-6007</w:t>
      </w:r>
    </w:p>
    <w:p w:rsidR="000D03B7" w:rsidRDefault="000D03B7" w:rsidP="000D03B7">
      <w:pPr>
        <w:autoSpaceDE w:val="0"/>
        <w:autoSpaceDN w:val="0"/>
        <w:adjustRightInd w:val="0"/>
      </w:pPr>
    </w:p>
    <w:p w:rsidR="000D03B7" w:rsidRDefault="000D03B7" w:rsidP="000D03B7">
      <w:pPr>
        <w:pStyle w:val="ListParagraph"/>
        <w:numPr>
          <w:ilvl w:val="0"/>
          <w:numId w:val="13"/>
        </w:numPr>
        <w:autoSpaceDE w:val="0"/>
        <w:autoSpaceDN w:val="0"/>
        <w:adjustRightInd w:val="0"/>
      </w:pPr>
      <w:r>
        <w:t xml:space="preserve">Erica Brown, Ph.D., Extramural Policy Coordination Officer </w:t>
      </w:r>
    </w:p>
    <w:p w:rsidR="000D03B7" w:rsidRDefault="00B83DAF" w:rsidP="000D03B7">
      <w:pPr>
        <w:pStyle w:val="ListParagraph"/>
        <w:autoSpaceDE w:val="0"/>
        <w:autoSpaceDN w:val="0"/>
        <w:adjustRightInd w:val="0"/>
        <w:ind w:left="1440"/>
      </w:pPr>
      <w:hyperlink r:id="rId16" w:history="1">
        <w:r w:rsidR="000D03B7" w:rsidRPr="002A7F56">
          <w:rPr>
            <w:rStyle w:val="Hyperlink"/>
          </w:rPr>
          <w:t>erica.brown@nih.gov</w:t>
        </w:r>
      </w:hyperlink>
      <w:r w:rsidR="000D03B7">
        <w:t xml:space="preserve">, </w:t>
      </w:r>
      <w:r w:rsidR="000D03B7" w:rsidRPr="00E06704">
        <w:t>301-402-1081</w:t>
      </w:r>
    </w:p>
    <w:p w:rsidR="000D03B7" w:rsidRDefault="000D03B7" w:rsidP="000D03B7">
      <w:pPr>
        <w:autoSpaceDE w:val="0"/>
        <w:autoSpaceDN w:val="0"/>
        <w:adjustRightInd w:val="0"/>
      </w:pPr>
    </w:p>
    <w:p w:rsidR="000D03B7" w:rsidRDefault="000D03B7" w:rsidP="000D03B7">
      <w:pPr>
        <w:pStyle w:val="ListParagraph"/>
        <w:numPr>
          <w:ilvl w:val="0"/>
          <w:numId w:val="13"/>
        </w:numPr>
        <w:autoSpaceDE w:val="0"/>
        <w:autoSpaceDN w:val="0"/>
        <w:adjustRightInd w:val="0"/>
      </w:pPr>
      <w:r w:rsidRPr="00C244F0">
        <w:t xml:space="preserve">Sherry Mills, MD, MPH, Director, OEP </w:t>
      </w:r>
    </w:p>
    <w:p w:rsidR="000D03B7" w:rsidRDefault="00B83DAF" w:rsidP="000D03B7">
      <w:pPr>
        <w:pStyle w:val="ListParagraph"/>
        <w:autoSpaceDE w:val="0"/>
        <w:autoSpaceDN w:val="0"/>
        <w:adjustRightInd w:val="0"/>
        <w:ind w:left="1440"/>
      </w:pPr>
      <w:hyperlink r:id="rId17" w:history="1">
        <w:r w:rsidR="000D03B7" w:rsidRPr="002A7F56">
          <w:rPr>
            <w:rStyle w:val="Hyperlink"/>
          </w:rPr>
          <w:t>sherry.mills@nih.gov</w:t>
        </w:r>
      </w:hyperlink>
      <w:r w:rsidR="000D03B7">
        <w:t xml:space="preserve">, </w:t>
      </w:r>
      <w:r w:rsidR="000D03B7" w:rsidRPr="00E06704">
        <w:t>301-435-2729</w:t>
      </w:r>
    </w:p>
    <w:p w:rsidR="000D03B7" w:rsidRDefault="000D03B7" w:rsidP="000D03B7">
      <w:pPr>
        <w:autoSpaceDE w:val="0"/>
        <w:autoSpaceDN w:val="0"/>
        <w:adjustRightInd w:val="0"/>
      </w:pPr>
    </w:p>
    <w:p w:rsidR="000D03B7" w:rsidRDefault="000D03B7" w:rsidP="000D03B7">
      <w:pPr>
        <w:pStyle w:val="ListParagraph"/>
        <w:numPr>
          <w:ilvl w:val="0"/>
          <w:numId w:val="13"/>
        </w:numPr>
        <w:autoSpaceDE w:val="0"/>
        <w:autoSpaceDN w:val="0"/>
        <w:adjustRightInd w:val="0"/>
      </w:pPr>
      <w:r w:rsidRPr="00C244F0">
        <w:t xml:space="preserve">Jean Chin, Ph.D., </w:t>
      </w:r>
      <w:r>
        <w:t xml:space="preserve">NIGMS Program Director </w:t>
      </w:r>
    </w:p>
    <w:p w:rsidR="000D03B7" w:rsidRDefault="00B83DAF" w:rsidP="000D03B7">
      <w:pPr>
        <w:autoSpaceDE w:val="0"/>
        <w:autoSpaceDN w:val="0"/>
        <w:adjustRightInd w:val="0"/>
        <w:ind w:left="720" w:firstLine="720"/>
      </w:pPr>
      <w:hyperlink r:id="rId18" w:history="1">
        <w:r w:rsidR="000D03B7" w:rsidRPr="002A7F56">
          <w:rPr>
            <w:rStyle w:val="Hyperlink"/>
          </w:rPr>
          <w:t>chinj@nigms.nih.gov</w:t>
        </w:r>
      </w:hyperlink>
      <w:r w:rsidR="000D03B7">
        <w:t xml:space="preserve">, </w:t>
      </w:r>
      <w:r w:rsidR="000D03B7" w:rsidRPr="00E06704">
        <w:t>301-594-0828</w:t>
      </w:r>
    </w:p>
    <w:p w:rsidR="000D03B7" w:rsidRDefault="000D03B7" w:rsidP="000D03B7">
      <w:pPr>
        <w:autoSpaceDE w:val="0"/>
        <w:autoSpaceDN w:val="0"/>
        <w:adjustRightInd w:val="0"/>
      </w:pPr>
    </w:p>
    <w:p w:rsidR="000D03B7" w:rsidRDefault="000D03B7" w:rsidP="000D03B7">
      <w:pPr>
        <w:pStyle w:val="ListParagraph"/>
        <w:numPr>
          <w:ilvl w:val="0"/>
          <w:numId w:val="13"/>
        </w:numPr>
        <w:autoSpaceDE w:val="0"/>
        <w:autoSpaceDN w:val="0"/>
        <w:adjustRightInd w:val="0"/>
      </w:pPr>
      <w:r w:rsidRPr="00C244F0">
        <w:t xml:space="preserve">Christopher Platt, </w:t>
      </w:r>
      <w:r>
        <w:t>Ph.D., NIDCD Program Director</w:t>
      </w:r>
      <w:r w:rsidRPr="00C244F0">
        <w:t xml:space="preserve"> </w:t>
      </w:r>
    </w:p>
    <w:p w:rsidR="000D03B7" w:rsidRDefault="00B83DAF" w:rsidP="000D03B7">
      <w:pPr>
        <w:autoSpaceDE w:val="0"/>
        <w:autoSpaceDN w:val="0"/>
        <w:adjustRightInd w:val="0"/>
        <w:ind w:left="720" w:firstLine="720"/>
      </w:pPr>
      <w:hyperlink r:id="rId19" w:history="1">
        <w:r w:rsidR="000D03B7" w:rsidRPr="002A7F56">
          <w:rPr>
            <w:rStyle w:val="Hyperlink"/>
          </w:rPr>
          <w:t>plattc@nidcd.nih.gov</w:t>
        </w:r>
      </w:hyperlink>
      <w:r w:rsidR="000D03B7">
        <w:t xml:space="preserve">, </w:t>
      </w:r>
      <w:r w:rsidR="000D03B7" w:rsidRPr="00E06704">
        <w:t>301 496 1804</w:t>
      </w:r>
    </w:p>
    <w:p w:rsidR="000D03B7" w:rsidRDefault="000D03B7" w:rsidP="000D03B7">
      <w:pPr>
        <w:autoSpaceDE w:val="0"/>
        <w:autoSpaceDN w:val="0"/>
        <w:adjustRightInd w:val="0"/>
        <w:ind w:left="720" w:firstLine="720"/>
      </w:pPr>
    </w:p>
    <w:p w:rsidR="000D03B7" w:rsidRPr="00242A57" w:rsidRDefault="000D03B7" w:rsidP="000D03B7">
      <w:pPr>
        <w:pStyle w:val="ListParagraph"/>
        <w:numPr>
          <w:ilvl w:val="0"/>
          <w:numId w:val="13"/>
        </w:numPr>
        <w:autoSpaceDE w:val="0"/>
        <w:autoSpaceDN w:val="0"/>
        <w:adjustRightInd w:val="0"/>
      </w:pPr>
      <w:r w:rsidRPr="00C244F0">
        <w:t>Robin Wagner, Ph.D., Chief, Div</w:t>
      </w:r>
      <w:r>
        <w:t xml:space="preserve">ision of Information Services. </w:t>
      </w:r>
    </w:p>
    <w:p w:rsidR="000D03B7" w:rsidRDefault="00B83DAF" w:rsidP="000D03B7">
      <w:pPr>
        <w:ind w:left="1440"/>
      </w:pPr>
      <w:hyperlink r:id="rId20" w:history="1">
        <w:r w:rsidR="000D03B7" w:rsidRPr="002A7F56">
          <w:rPr>
            <w:rStyle w:val="Hyperlink"/>
          </w:rPr>
          <w:t>Robin.wagner@nih,gov</w:t>
        </w:r>
      </w:hyperlink>
      <w:r w:rsidR="000D03B7">
        <w:t>, 301-443-5234</w:t>
      </w:r>
    </w:p>
    <w:p w:rsidR="006D6E06" w:rsidRDefault="006D6E06" w:rsidP="000D03B7">
      <w:pPr>
        <w:ind w:left="1440"/>
      </w:pPr>
    </w:p>
    <w:p w:rsidR="00D43FD9" w:rsidRPr="00D61E21" w:rsidRDefault="00D43FD9" w:rsidP="00D43FD9">
      <w:pPr>
        <w:pStyle w:val="Heading2"/>
        <w:spacing w:after="0" w:line="480" w:lineRule="auto"/>
        <w:ind w:left="720" w:hanging="720"/>
        <w:rPr>
          <w:sz w:val="24"/>
          <w:szCs w:val="24"/>
        </w:rPr>
      </w:pPr>
      <w:bookmarkStart w:id="28" w:name="_Toc443881750"/>
      <w:bookmarkStart w:id="29" w:name="_Toc451592239"/>
      <w:bookmarkStart w:id="30" w:name="_Toc5610280"/>
      <w:bookmarkStart w:id="31" w:name="_Toc99178786"/>
      <w:r>
        <w:rPr>
          <w:sz w:val="24"/>
          <w:szCs w:val="24"/>
        </w:rPr>
        <w:t>A.9</w:t>
      </w:r>
      <w:r w:rsidRPr="00D61E21">
        <w:rPr>
          <w:sz w:val="24"/>
          <w:szCs w:val="24"/>
        </w:rPr>
        <w:tab/>
        <w:t>Explanation of Any Payment of Gift to Respondents</w:t>
      </w:r>
      <w:bookmarkEnd w:id="28"/>
      <w:bookmarkEnd w:id="29"/>
      <w:bookmarkEnd w:id="30"/>
      <w:bookmarkEnd w:id="31"/>
    </w:p>
    <w:p w:rsidR="00D43FD9" w:rsidRDefault="005C0C85" w:rsidP="005C0C85">
      <w:pPr>
        <w:ind w:firstLine="720"/>
      </w:pPr>
      <w:r>
        <w:t xml:space="preserve">This information collection does not involve payment or gifts to respondents. </w:t>
      </w:r>
    </w:p>
    <w:p w:rsidR="00D43FD9" w:rsidRDefault="00D43FD9" w:rsidP="00D43FD9">
      <w:pPr>
        <w:rPr>
          <w:sz w:val="32"/>
          <w:szCs w:val="32"/>
        </w:rPr>
      </w:pPr>
    </w:p>
    <w:p w:rsidR="00EA796A" w:rsidRPr="00294FAD" w:rsidRDefault="00EA796A" w:rsidP="00D43FD9">
      <w:pPr>
        <w:rPr>
          <w:vanish/>
        </w:rPr>
      </w:pPr>
    </w:p>
    <w:p w:rsidR="00D43FD9" w:rsidRDefault="00D43FD9" w:rsidP="00D43FD9">
      <w:pPr>
        <w:pStyle w:val="Heading2"/>
        <w:spacing w:after="0" w:line="480" w:lineRule="auto"/>
        <w:ind w:left="720" w:hanging="720"/>
        <w:rPr>
          <w:sz w:val="24"/>
          <w:szCs w:val="24"/>
        </w:rPr>
      </w:pPr>
      <w:bookmarkStart w:id="32" w:name="_Toc443881751"/>
      <w:bookmarkStart w:id="33" w:name="_Toc451592240"/>
      <w:bookmarkStart w:id="34" w:name="_Toc5610281"/>
      <w:bookmarkStart w:id="35" w:name="_Toc99178787"/>
      <w:r>
        <w:rPr>
          <w:sz w:val="24"/>
          <w:szCs w:val="24"/>
        </w:rPr>
        <w:t>A.10</w:t>
      </w:r>
      <w:r w:rsidRPr="00D61E21">
        <w:rPr>
          <w:sz w:val="24"/>
          <w:szCs w:val="24"/>
        </w:rPr>
        <w:tab/>
        <w:t>Assurance of Confidentiality Provided to Respondents</w:t>
      </w:r>
      <w:bookmarkEnd w:id="32"/>
      <w:bookmarkEnd w:id="33"/>
      <w:bookmarkEnd w:id="34"/>
      <w:bookmarkEnd w:id="35"/>
    </w:p>
    <w:p w:rsidR="005C0C85" w:rsidRDefault="005C0C85" w:rsidP="005C0C85">
      <w:pPr>
        <w:pStyle w:val="P1-StandPara"/>
        <w:rPr>
          <w:sz w:val="24"/>
          <w:szCs w:val="24"/>
        </w:rPr>
      </w:pPr>
      <w:r>
        <w:rPr>
          <w:sz w:val="24"/>
          <w:szCs w:val="24"/>
        </w:rPr>
        <w:t xml:space="preserve">Potential participants will receive email notifications, invitations and reminders </w:t>
      </w:r>
      <w:r w:rsidRPr="00B95044">
        <w:rPr>
          <w:sz w:val="24"/>
          <w:szCs w:val="24"/>
        </w:rPr>
        <w:t>announcing the evaluation, explaining its purpose, detailing the topics the survey</w:t>
      </w:r>
      <w:r w:rsidR="00043F0C">
        <w:rPr>
          <w:sz w:val="24"/>
          <w:szCs w:val="24"/>
        </w:rPr>
        <w:t xml:space="preserve"> or interview</w:t>
      </w:r>
      <w:r w:rsidRPr="00B95044">
        <w:rPr>
          <w:sz w:val="24"/>
          <w:szCs w:val="24"/>
        </w:rPr>
        <w:t xml:space="preserve"> will cover, and describing both the voluntary nature of participation and </w:t>
      </w:r>
      <w:r>
        <w:rPr>
          <w:sz w:val="24"/>
          <w:szCs w:val="24"/>
        </w:rPr>
        <w:t>information that the data will be kept private to the extent provided by law.</w:t>
      </w:r>
      <w:r w:rsidRPr="00B95044">
        <w:rPr>
          <w:sz w:val="24"/>
          <w:szCs w:val="24"/>
        </w:rPr>
        <w:t xml:space="preserve">  </w:t>
      </w:r>
      <w:r>
        <w:rPr>
          <w:sz w:val="24"/>
          <w:szCs w:val="24"/>
        </w:rPr>
        <w:t>The following steps outline the procedures for contacting potential participants to ensure compliance and maximize response rates:</w:t>
      </w:r>
    </w:p>
    <w:p w:rsidR="005C0C85" w:rsidRDefault="005C0C85" w:rsidP="005C0C85">
      <w:pPr>
        <w:pStyle w:val="P1-StandPara"/>
        <w:rPr>
          <w:sz w:val="24"/>
          <w:szCs w:val="24"/>
        </w:rPr>
      </w:pPr>
      <w:r>
        <w:rPr>
          <w:sz w:val="24"/>
          <w:szCs w:val="24"/>
        </w:rPr>
        <w:t>All proposed emails include language stating that all collected information will be kept private and not disclosed in any identifiable form to anyone but the researcher conducting the study, except as otherwise required by law. Individuals</w:t>
      </w:r>
      <w:r w:rsidRPr="00B95044">
        <w:rPr>
          <w:sz w:val="24"/>
          <w:szCs w:val="24"/>
        </w:rPr>
        <w:t xml:space="preserve"> who choose to participate </w:t>
      </w:r>
      <w:r>
        <w:rPr>
          <w:sz w:val="24"/>
          <w:szCs w:val="24"/>
        </w:rPr>
        <w:t xml:space="preserve">will be </w:t>
      </w:r>
      <w:r w:rsidRPr="00B95044">
        <w:rPr>
          <w:sz w:val="24"/>
          <w:szCs w:val="24"/>
        </w:rPr>
        <w:t>provid</w:t>
      </w:r>
      <w:r>
        <w:rPr>
          <w:sz w:val="24"/>
          <w:szCs w:val="24"/>
        </w:rPr>
        <w:t xml:space="preserve">ing </w:t>
      </w:r>
      <w:r w:rsidRPr="00B95044">
        <w:rPr>
          <w:sz w:val="24"/>
          <w:szCs w:val="24"/>
        </w:rPr>
        <w:t xml:space="preserve">implicit consent by their </w:t>
      </w:r>
      <w:r w:rsidRPr="00D3722E">
        <w:rPr>
          <w:sz w:val="24"/>
          <w:szCs w:val="24"/>
        </w:rPr>
        <w:t xml:space="preserve">participation. </w:t>
      </w:r>
      <w:r w:rsidRPr="006E31DB">
        <w:rPr>
          <w:sz w:val="24"/>
          <w:szCs w:val="24"/>
        </w:rPr>
        <w:t>This information collection is covered by the NIH Privacy Act Systems of Record 09-25-0156, “Records of Participants in Programs and Respondents in Surveys Used to Evaluate Programs of the Public Health Service, HHS/PHS/NIH/</w:t>
      </w:r>
      <w:r w:rsidRPr="004A0F77">
        <w:rPr>
          <w:sz w:val="24"/>
          <w:szCs w:val="24"/>
        </w:rPr>
        <w:t>OD.”  All study personnel will adhere to the provisions stipulated within that announcement (</w:t>
      </w:r>
      <w:r w:rsidRPr="003203CF">
        <w:rPr>
          <w:b/>
          <w:sz w:val="24"/>
          <w:szCs w:val="24"/>
        </w:rPr>
        <w:t xml:space="preserve">Attachment </w:t>
      </w:r>
      <w:r w:rsidR="00733F90">
        <w:rPr>
          <w:b/>
          <w:sz w:val="24"/>
          <w:szCs w:val="24"/>
        </w:rPr>
        <w:t>6</w:t>
      </w:r>
      <w:r w:rsidRPr="004A0F77">
        <w:rPr>
          <w:sz w:val="24"/>
          <w:szCs w:val="24"/>
        </w:rPr>
        <w:t>).</w:t>
      </w:r>
    </w:p>
    <w:p w:rsidR="005C0C85" w:rsidRPr="00D3722E" w:rsidRDefault="005C0C85" w:rsidP="005C0C85">
      <w:pPr>
        <w:pStyle w:val="P1-StandPara"/>
        <w:rPr>
          <w:sz w:val="24"/>
          <w:szCs w:val="24"/>
        </w:rPr>
      </w:pPr>
      <w:r>
        <w:rPr>
          <w:sz w:val="24"/>
          <w:szCs w:val="24"/>
        </w:rPr>
        <w:t>As t</w:t>
      </w:r>
      <w:r w:rsidRPr="00B95044">
        <w:rPr>
          <w:sz w:val="24"/>
          <w:szCs w:val="24"/>
        </w:rPr>
        <w:t>he target population is not vulnerable and the questions are not personal or intrusive, risks to participants are expected to be minimal</w:t>
      </w:r>
      <w:r>
        <w:rPr>
          <w:sz w:val="24"/>
          <w:szCs w:val="24"/>
        </w:rPr>
        <w:t xml:space="preserve">. </w:t>
      </w:r>
      <w:r w:rsidRPr="00555BBB">
        <w:rPr>
          <w:sz w:val="24"/>
          <w:szCs w:val="24"/>
        </w:rPr>
        <w:t xml:space="preserve">Westat IRB approval was received on </w:t>
      </w:r>
      <w:r w:rsidR="00555BBB" w:rsidRPr="00555BBB">
        <w:rPr>
          <w:sz w:val="24"/>
          <w:szCs w:val="24"/>
        </w:rPr>
        <w:t>January 24, 2014</w:t>
      </w:r>
      <w:r w:rsidRPr="00555BBB">
        <w:rPr>
          <w:sz w:val="24"/>
          <w:szCs w:val="24"/>
        </w:rPr>
        <w:t xml:space="preserve"> </w:t>
      </w:r>
      <w:r w:rsidR="003F1713">
        <w:rPr>
          <w:sz w:val="24"/>
          <w:szCs w:val="24"/>
        </w:rPr>
        <w:t xml:space="preserve">and updated on August 28, 2014 </w:t>
      </w:r>
      <w:r w:rsidRPr="00555BBB">
        <w:rPr>
          <w:sz w:val="24"/>
          <w:szCs w:val="24"/>
        </w:rPr>
        <w:t>(</w:t>
      </w:r>
      <w:r w:rsidR="00D52710">
        <w:rPr>
          <w:b/>
          <w:sz w:val="24"/>
          <w:szCs w:val="24"/>
        </w:rPr>
        <w:t xml:space="preserve">Attachment </w:t>
      </w:r>
      <w:r w:rsidR="00733F90">
        <w:rPr>
          <w:b/>
          <w:sz w:val="24"/>
          <w:szCs w:val="24"/>
        </w:rPr>
        <w:t>7</w:t>
      </w:r>
      <w:r w:rsidRPr="00555BBB">
        <w:rPr>
          <w:sz w:val="24"/>
          <w:szCs w:val="24"/>
        </w:rPr>
        <w:t>).</w:t>
      </w:r>
      <w:r w:rsidR="00555BBB">
        <w:rPr>
          <w:sz w:val="24"/>
          <w:szCs w:val="24"/>
        </w:rPr>
        <w:t xml:space="preserve"> </w:t>
      </w:r>
      <w:r w:rsidR="001321CB">
        <w:rPr>
          <w:sz w:val="24"/>
          <w:szCs w:val="24"/>
        </w:rPr>
        <w:t xml:space="preserve">Because the researchers are all Westat staff, submission to the NIH IRB is not necessary. </w:t>
      </w:r>
      <w:r w:rsidRPr="00FC60F6">
        <w:rPr>
          <w:color w:val="FF0000"/>
          <w:sz w:val="24"/>
          <w:szCs w:val="24"/>
        </w:rPr>
        <w:t xml:space="preserve">  </w:t>
      </w:r>
    </w:p>
    <w:p w:rsidR="005C0C85" w:rsidRPr="00A00CAF" w:rsidRDefault="005C0C85" w:rsidP="005C0C85">
      <w:pPr>
        <w:spacing w:line="480" w:lineRule="auto"/>
        <w:ind w:firstLine="720"/>
      </w:pPr>
      <w:r>
        <w:t>Study personnel</w:t>
      </w:r>
      <w:r w:rsidRPr="00A00CAF">
        <w:t xml:space="preserve"> have obtained proper security</w:t>
      </w:r>
      <w:r w:rsidRPr="00A00CAF">
        <w:rPr>
          <w:color w:val="FF0000"/>
        </w:rPr>
        <w:t xml:space="preserve"> </w:t>
      </w:r>
      <w:r w:rsidRPr="00A00CAF">
        <w:t xml:space="preserve">clearances and </w:t>
      </w:r>
      <w:r>
        <w:t xml:space="preserve">are </w:t>
      </w:r>
      <w:r w:rsidRPr="00A00CAF">
        <w:t xml:space="preserve">required to adhere to strict professional survey standards and </w:t>
      </w:r>
      <w:r>
        <w:t xml:space="preserve">have </w:t>
      </w:r>
      <w:r w:rsidRPr="00A00CAF">
        <w:t>sign</w:t>
      </w:r>
      <w:r>
        <w:t>ed</w:t>
      </w:r>
      <w:r w:rsidRPr="00A00CAF">
        <w:t xml:space="preserve"> a non-disclosure</w:t>
      </w:r>
      <w:r w:rsidRPr="00A00CAF">
        <w:rPr>
          <w:color w:val="FF0000"/>
        </w:rPr>
        <w:t xml:space="preserve"> </w:t>
      </w:r>
      <w:r w:rsidRPr="00A00CAF">
        <w:t>agreement as a condition of their employment. Web-based</w:t>
      </w:r>
      <w:r>
        <w:t>, computer-based</w:t>
      </w:r>
      <w:r w:rsidRPr="00A00CAF">
        <w:t xml:space="preserve"> and any hard copy data collection forms </w:t>
      </w:r>
      <w:r>
        <w:t>will</w:t>
      </w:r>
      <w:r w:rsidRPr="00A00CAF">
        <w:rPr>
          <w:color w:val="FF0000"/>
        </w:rPr>
        <w:t xml:space="preserve"> </w:t>
      </w:r>
      <w:r w:rsidRPr="00A00CAF">
        <w:t xml:space="preserve">be maintained in a secure area for receipt and processing. All data </w:t>
      </w:r>
      <w:r w:rsidRPr="00A00CAF">
        <w:lastRenderedPageBreak/>
        <w:t xml:space="preserve">files on multi-user systems </w:t>
      </w:r>
      <w:r>
        <w:t>will</w:t>
      </w:r>
      <w:r w:rsidRPr="00A00CAF">
        <w:t xml:space="preserve"> be</w:t>
      </w:r>
      <w:r w:rsidRPr="00A00CAF">
        <w:rPr>
          <w:color w:val="FF0000"/>
        </w:rPr>
        <w:t xml:space="preserve"> </w:t>
      </w:r>
      <w:r w:rsidRPr="00A00CAF">
        <w:t xml:space="preserve">under the control of a database manager and </w:t>
      </w:r>
      <w:r>
        <w:t>will</w:t>
      </w:r>
      <w:r w:rsidRPr="00A00CAF">
        <w:t xml:space="preserve"> be subject to controlled access only by authorized</w:t>
      </w:r>
      <w:r w:rsidRPr="00A00CAF">
        <w:rPr>
          <w:color w:val="FF0000"/>
        </w:rPr>
        <w:t xml:space="preserve"> </w:t>
      </w:r>
      <w:r>
        <w:t>personnel. Personal</w:t>
      </w:r>
      <w:r w:rsidRPr="00A00CAF">
        <w:t xml:space="preserve"> identifying information </w:t>
      </w:r>
      <w:r>
        <w:t>(PII) will</w:t>
      </w:r>
      <w:r w:rsidRPr="00A00CAF">
        <w:t xml:space="preserve"> be maintained separately from completed data</w:t>
      </w:r>
      <w:r w:rsidRPr="00A00CAF">
        <w:rPr>
          <w:color w:val="FF0000"/>
        </w:rPr>
        <w:t xml:space="preserve"> </w:t>
      </w:r>
      <w:r w:rsidRPr="00A00CAF">
        <w:t xml:space="preserve">collection forms, and from computerized data files used for analysis. Final </w:t>
      </w:r>
      <w:r w:rsidR="00624818">
        <w:t>r</w:t>
      </w:r>
      <w:r w:rsidRPr="00B72322">
        <w:t>eports will be based on aggregate data in which individuals</w:t>
      </w:r>
      <w:r w:rsidRPr="00A00CAF">
        <w:t xml:space="preserve"> are not identified.</w:t>
      </w:r>
    </w:p>
    <w:p w:rsidR="005C0C85" w:rsidRPr="00F06E99" w:rsidRDefault="005C0C85" w:rsidP="005C0C85">
      <w:pPr>
        <w:spacing w:line="480" w:lineRule="auto"/>
        <w:ind w:firstLine="720"/>
      </w:pPr>
      <w:r w:rsidRPr="00F06E99">
        <w:t xml:space="preserve">After the data collection is completed, all </w:t>
      </w:r>
      <w:r w:rsidRPr="00AA1C85">
        <w:t xml:space="preserve">hard copy collected information and study materials will be stored in a locked, secure facility for two years, and then will be shredded.  Electronic data will be password protected and stored by the data management contractor, and will </w:t>
      </w:r>
      <w:r>
        <w:t xml:space="preserve">also </w:t>
      </w:r>
      <w:r w:rsidRPr="00AA1C85">
        <w:t>be destroyed after two years.</w:t>
      </w:r>
      <w:r w:rsidRPr="00F06E99">
        <w:t xml:space="preserve">  </w:t>
      </w:r>
    </w:p>
    <w:p w:rsidR="00D43FD9" w:rsidRPr="00D61E21" w:rsidRDefault="00D43FD9" w:rsidP="00D43FD9">
      <w:pPr>
        <w:pStyle w:val="Heading2"/>
        <w:spacing w:after="0" w:line="480" w:lineRule="auto"/>
        <w:ind w:left="0" w:firstLine="0"/>
        <w:rPr>
          <w:sz w:val="24"/>
          <w:szCs w:val="24"/>
        </w:rPr>
      </w:pPr>
      <w:bookmarkStart w:id="36" w:name="_Toc443881752"/>
      <w:bookmarkStart w:id="37" w:name="_Toc451592241"/>
      <w:bookmarkStart w:id="38" w:name="_Toc5610282"/>
      <w:bookmarkStart w:id="39" w:name="_Toc99178788"/>
      <w:r>
        <w:rPr>
          <w:sz w:val="24"/>
          <w:szCs w:val="24"/>
        </w:rPr>
        <w:t>A.11</w:t>
      </w:r>
      <w:r w:rsidRPr="00D61E21">
        <w:rPr>
          <w:sz w:val="24"/>
          <w:szCs w:val="24"/>
        </w:rPr>
        <w:tab/>
        <w:t>Justification for Sensitive Questions</w:t>
      </w:r>
      <w:bookmarkEnd w:id="36"/>
      <w:bookmarkEnd w:id="37"/>
      <w:bookmarkEnd w:id="38"/>
      <w:bookmarkEnd w:id="39"/>
    </w:p>
    <w:p w:rsidR="00CF1428" w:rsidRDefault="00555BBB" w:rsidP="00555BBB">
      <w:pPr>
        <w:spacing w:line="480" w:lineRule="auto"/>
        <w:ind w:firstLine="720"/>
      </w:pPr>
      <w:r w:rsidRPr="003003CB">
        <w:t>Personally identifiable information (PII) is collected in the form of the participant’s name, email address and phone number which is needed to contact potential participants. This information will be obtained from archival sources, when possible</w:t>
      </w:r>
      <w:r w:rsidR="00BF687F">
        <w:t xml:space="preserve"> and in some cases will need to be updated by study staff using internet searches</w:t>
      </w:r>
      <w:r w:rsidRPr="003003CB">
        <w:t>.</w:t>
      </w:r>
      <w:r>
        <w:t xml:space="preserve">  </w:t>
      </w:r>
      <w:r w:rsidRPr="001321CB">
        <w:t>Additionally, sensitive information will be collected in the form of gender</w:t>
      </w:r>
      <w:r w:rsidR="002A3715">
        <w:t>, race and e</w:t>
      </w:r>
      <w:r w:rsidRPr="001321CB">
        <w:t xml:space="preserve">thnicity information as part of the survey data collection. </w:t>
      </w:r>
    </w:p>
    <w:p w:rsidR="00555BBB" w:rsidRPr="00543A5C" w:rsidRDefault="00177678" w:rsidP="00555BBB">
      <w:pPr>
        <w:spacing w:line="480" w:lineRule="auto"/>
        <w:ind w:firstLine="720"/>
      </w:pPr>
      <w:r w:rsidRPr="001321CB">
        <w:t>The</w:t>
      </w:r>
      <w:r w:rsidR="002A3715">
        <w:t xml:space="preserve"> survey of </w:t>
      </w:r>
      <w:r>
        <w:t xml:space="preserve">AREA </w:t>
      </w:r>
      <w:r w:rsidR="002A3715">
        <w:t>awardees</w:t>
      </w:r>
      <w:r>
        <w:t xml:space="preserve"> ask</w:t>
      </w:r>
      <w:r w:rsidR="00BF687F">
        <w:t>s respondents</w:t>
      </w:r>
      <w:r>
        <w:t xml:space="preserve"> to provide the name, email address, and last known employer or higher education institution of the </w:t>
      </w:r>
      <w:r w:rsidR="002A3715">
        <w:t>students who</w:t>
      </w:r>
      <w:r>
        <w:t xml:space="preserve"> worked on the</w:t>
      </w:r>
      <w:r w:rsidR="002A3715">
        <w:t>ir</w:t>
      </w:r>
      <w:r>
        <w:t xml:space="preserve"> AREA-funded research. This information is critical to the evaluation because part of the evaluation is surveying former students to determine whether participation in the AREA-funded project had an impact o</w:t>
      </w:r>
      <w:r w:rsidR="00BF687F">
        <w:t>n</w:t>
      </w:r>
      <w:r>
        <w:t xml:space="preserve"> their career path. </w:t>
      </w:r>
      <w:r w:rsidR="00A84A0B">
        <w:t xml:space="preserve">Since Congress has mandated </w:t>
      </w:r>
      <w:r w:rsidR="00056F75">
        <w:t>that R15s be used to train students in biomedical and behavioral science research</w:t>
      </w:r>
      <w:r w:rsidR="00A84A0B">
        <w:t xml:space="preserve"> in order to </w:t>
      </w:r>
      <w:r w:rsidR="007C49D4">
        <w:t xml:space="preserve">increase the biomedical and behavioral scientist workforce, it </w:t>
      </w:r>
      <w:r w:rsidR="007C49D4">
        <w:lastRenderedPageBreak/>
        <w:t xml:space="preserve">is essential to find out whether participation in AREA-sponsored research is having an impact on students’ careers.  Therefore, we must collect PII from </w:t>
      </w:r>
      <w:r w:rsidR="002C6BC4">
        <w:t>awardees</w:t>
      </w:r>
      <w:r w:rsidR="007C49D4">
        <w:t xml:space="preserve"> about students who participated in their AREA-funded research. </w:t>
      </w:r>
      <w:r w:rsidR="006C193A">
        <w:t xml:space="preserve">To the extent possible—and </w:t>
      </w:r>
      <w:r w:rsidR="00BF687F">
        <w:t>to min</w:t>
      </w:r>
      <w:r w:rsidR="006C193A">
        <w:t>imize burden on participants—w</w:t>
      </w:r>
      <w:r w:rsidR="00BF687F">
        <w:t xml:space="preserve">e will also obtain student names from past AREA grant </w:t>
      </w:r>
      <w:r w:rsidR="006C193A">
        <w:t>Final Progress R</w:t>
      </w:r>
      <w:r w:rsidR="00BF687F">
        <w:t>eports.</w:t>
      </w:r>
      <w:r w:rsidR="00193C6D">
        <w:t xml:space="preserve"> However</w:t>
      </w:r>
      <w:r w:rsidR="006C193A">
        <w:t>, Final Progress Reports (FPRs) are available for less than 24% of the awards made from 1985 through FY 2010, and the FPRs</w:t>
      </w:r>
      <w:r w:rsidR="00193C6D">
        <w:t xml:space="preserve"> </w:t>
      </w:r>
      <w:r w:rsidR="006C193A">
        <w:t xml:space="preserve">available as a source of student names, and </w:t>
      </w:r>
      <w:r w:rsidR="0029531A">
        <w:t xml:space="preserve">we anticipate failing to </w:t>
      </w:r>
      <w:r w:rsidR="00193C6D">
        <w:t>trace a very large percentage of them – over 50%.</w:t>
      </w:r>
    </w:p>
    <w:p w:rsidR="00555BBB" w:rsidRPr="00291B34" w:rsidRDefault="00555BBB" w:rsidP="00555BBB">
      <w:pPr>
        <w:spacing w:line="480" w:lineRule="auto"/>
        <w:ind w:firstLine="720"/>
      </w:pPr>
      <w:r w:rsidRPr="00291B34">
        <w:t>Participation in the study is voluntary and participants have the right not to answer any questions without consequences.  Section A.10 discusses the steps taken to safeguard this information.</w:t>
      </w:r>
    </w:p>
    <w:p w:rsidR="00D43FD9" w:rsidRDefault="00D43FD9" w:rsidP="00D43FD9">
      <w:pPr>
        <w:pStyle w:val="Heading2"/>
        <w:tabs>
          <w:tab w:val="clear" w:pos="1152"/>
          <w:tab w:val="left" w:pos="450"/>
        </w:tabs>
        <w:spacing w:after="0" w:line="480" w:lineRule="auto"/>
        <w:ind w:left="720" w:hanging="720"/>
        <w:jc w:val="left"/>
      </w:pPr>
      <w:r>
        <w:rPr>
          <w:sz w:val="24"/>
          <w:szCs w:val="24"/>
        </w:rPr>
        <w:t>A.12</w:t>
      </w:r>
      <w:r>
        <w:rPr>
          <w:sz w:val="24"/>
          <w:szCs w:val="24"/>
        </w:rPr>
        <w:tab/>
      </w:r>
      <w:r w:rsidRPr="00D61E21">
        <w:rPr>
          <w:sz w:val="24"/>
          <w:szCs w:val="24"/>
        </w:rPr>
        <w:t>Estimates of Hour Burden Including Annualized Hourly Costs</w:t>
      </w:r>
      <w:r w:rsidRPr="003E3ABB">
        <w:t xml:space="preserve"> </w:t>
      </w:r>
    </w:p>
    <w:p w:rsidR="00043F0C" w:rsidRDefault="00043F0C" w:rsidP="00043F0C">
      <w:pPr>
        <w:spacing w:line="480" w:lineRule="auto"/>
        <w:ind w:firstLine="720"/>
      </w:pPr>
      <w:r w:rsidRPr="005F5FEA">
        <w:t xml:space="preserve">Data collection activities </w:t>
      </w:r>
      <w:r>
        <w:t>are different for each type of respondent</w:t>
      </w:r>
      <w:r w:rsidRPr="00F13886">
        <w:t>.</w:t>
      </w:r>
      <w:r>
        <w:t xml:space="preserve"> </w:t>
      </w:r>
      <w:r w:rsidR="003E72FD">
        <w:t xml:space="preserve">Awardees </w:t>
      </w:r>
      <w:r>
        <w:t>will complete a web-</w:t>
      </w:r>
      <w:r w:rsidR="00CF1428">
        <w:t xml:space="preserve">based </w:t>
      </w:r>
      <w:r>
        <w:t>survey as well as the semi-structured interviews.</w:t>
      </w:r>
      <w:r w:rsidR="00C4587A">
        <w:t xml:space="preserve"> AREA </w:t>
      </w:r>
      <w:r w:rsidR="001321CB">
        <w:t>students will</w:t>
      </w:r>
      <w:r w:rsidR="00C4587A">
        <w:t xml:space="preserve"> complete a w</w:t>
      </w:r>
      <w:r w:rsidR="00CF1428">
        <w:t xml:space="preserve">eb-based survey and AREA </w:t>
      </w:r>
      <w:r w:rsidR="00C4587A">
        <w:t>applica</w:t>
      </w:r>
      <w:r w:rsidR="00D52710">
        <w:t>nts will complete a web-</w:t>
      </w:r>
      <w:r w:rsidR="00CF1428">
        <w:t xml:space="preserve">based </w:t>
      </w:r>
      <w:r w:rsidR="00D52710">
        <w:t>survey</w:t>
      </w:r>
      <w:r w:rsidR="00C4587A">
        <w:rPr>
          <w:b/>
        </w:rPr>
        <w:t xml:space="preserve">. </w:t>
      </w:r>
      <w:r>
        <w:t xml:space="preserve"> All data collection will be completed </w:t>
      </w:r>
      <w:r w:rsidR="00C4587A">
        <w:t>with</w:t>
      </w:r>
      <w:r>
        <w:t xml:space="preserve">in one year. </w:t>
      </w:r>
      <w:r w:rsidRPr="00F13886">
        <w:t>The estimated</w:t>
      </w:r>
      <w:r w:rsidRPr="005F5FEA">
        <w:t xml:space="preserve"> time for completing the </w:t>
      </w:r>
      <w:r w:rsidR="002C6BC4">
        <w:t>a</w:t>
      </w:r>
      <w:r w:rsidR="003E72FD">
        <w:t>war</w:t>
      </w:r>
      <w:r w:rsidR="002C6BC4">
        <w:t>d</w:t>
      </w:r>
      <w:r w:rsidR="003E72FD">
        <w:t>ee</w:t>
      </w:r>
      <w:r w:rsidR="00F13ADA">
        <w:t xml:space="preserve"> web-survey is 30</w:t>
      </w:r>
      <w:r>
        <w:t xml:space="preserve"> minutes</w:t>
      </w:r>
      <w:r w:rsidR="00C4587A">
        <w:t>; f</w:t>
      </w:r>
      <w:r w:rsidR="00314450">
        <w:t xml:space="preserve">or the student web-survey is </w:t>
      </w:r>
      <w:r w:rsidR="00F13ADA">
        <w:t>2</w:t>
      </w:r>
      <w:r w:rsidR="00314450">
        <w:t xml:space="preserve">0 </w:t>
      </w:r>
      <w:r w:rsidR="00C4587A">
        <w:t>m</w:t>
      </w:r>
      <w:r w:rsidR="00CC30B3">
        <w:t>inutes; and for the</w:t>
      </w:r>
      <w:r w:rsidR="00314450">
        <w:t xml:space="preserve"> applicants is 20</w:t>
      </w:r>
      <w:r w:rsidR="00CF1428">
        <w:t xml:space="preserve"> </w:t>
      </w:r>
      <w:r w:rsidR="00C4587A">
        <w:t>minutes. The estimated time for completing the semi-str</w:t>
      </w:r>
      <w:r w:rsidR="00CF1428">
        <w:t>uctured</w:t>
      </w:r>
      <w:r w:rsidR="0049629F">
        <w:t xml:space="preserve"> interview with </w:t>
      </w:r>
      <w:r w:rsidR="002C6BC4">
        <w:t xml:space="preserve">awardees </w:t>
      </w:r>
      <w:r w:rsidR="0049629F">
        <w:t>is 45</w:t>
      </w:r>
      <w:r w:rsidR="00C4587A">
        <w:t xml:space="preserve"> minutes. </w:t>
      </w:r>
      <w:r w:rsidR="00F8567E">
        <w:t xml:space="preserve">We also estimate contacting approximately 13 awardees </w:t>
      </w:r>
      <w:proofErr w:type="gramStart"/>
      <w:r w:rsidR="00F8567E">
        <w:t>who</w:t>
      </w:r>
      <w:proofErr w:type="gramEnd"/>
      <w:r w:rsidR="00F8567E">
        <w:t xml:space="preserve"> will decline the interview. For these individuals, we estimate the burden to be about 3 minutes. </w:t>
      </w:r>
      <w:r w:rsidR="00CC30B3">
        <w:t xml:space="preserve"> </w:t>
      </w:r>
      <w:r w:rsidRPr="005F5FEA">
        <w:t>The estimate of the annualized burden hours, an estim</w:t>
      </w:r>
      <w:r w:rsidR="0049629F">
        <w:t>ate</w:t>
      </w:r>
      <w:r w:rsidR="00314450">
        <w:t xml:space="preserve">d annualized total burden of </w:t>
      </w:r>
      <w:r w:rsidR="00F13ADA">
        <w:t>45</w:t>
      </w:r>
      <w:r w:rsidR="00F8567E">
        <w:t>9</w:t>
      </w:r>
      <w:r w:rsidRPr="005F5FEA">
        <w:t xml:space="preserve"> hours, is summarized in Table A.12</w:t>
      </w:r>
      <w:r>
        <w:t>-</w:t>
      </w:r>
      <w:r w:rsidRPr="005F5FEA">
        <w:t>1.</w:t>
      </w:r>
      <w:r w:rsidR="000D03B7">
        <w:t xml:space="preserve"> Please </w:t>
      </w:r>
      <w:r w:rsidR="000D03B7">
        <w:lastRenderedPageBreak/>
        <w:t xml:space="preserve">note that the number of expected respondents is listed in this table, not the total sample of each type of respondent. </w:t>
      </w:r>
    </w:p>
    <w:p w:rsidR="00D371FC" w:rsidRPr="00C817AE" w:rsidRDefault="00D371FC" w:rsidP="00D371FC">
      <w:pPr>
        <w:spacing w:line="480" w:lineRule="auto"/>
        <w:rPr>
          <w:color w:val="FF0000"/>
        </w:rPr>
      </w:pPr>
      <w:r w:rsidRPr="00C817AE">
        <w:t>Table A.12 – 1.  Estimates of Annualized Burden Hours</w:t>
      </w:r>
    </w:p>
    <w:tbl>
      <w:tblPr>
        <w:tblW w:w="95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530"/>
        <w:gridCol w:w="2160"/>
        <w:gridCol w:w="2340"/>
        <w:gridCol w:w="1890"/>
      </w:tblGrid>
      <w:tr w:rsidR="00D371FC" w:rsidRPr="00C817AE" w:rsidTr="00EA796A">
        <w:tc>
          <w:tcPr>
            <w:tcW w:w="1620" w:type="dxa"/>
          </w:tcPr>
          <w:p w:rsidR="00D371FC" w:rsidRPr="00C817AE" w:rsidRDefault="00D371FC" w:rsidP="00BF687F">
            <w:pPr>
              <w:jc w:val="center"/>
            </w:pPr>
            <w:r w:rsidRPr="00C817AE">
              <w:t>Type of</w:t>
            </w:r>
          </w:p>
          <w:p w:rsidR="00D371FC" w:rsidRPr="00C817AE" w:rsidRDefault="00D371FC" w:rsidP="00BF687F">
            <w:pPr>
              <w:pStyle w:val="a"/>
              <w:spacing w:line="240" w:lineRule="atLeast"/>
              <w:ind w:left="0"/>
              <w:jc w:val="center"/>
            </w:pPr>
            <w:r w:rsidRPr="00C817AE">
              <w:rPr>
                <w:szCs w:val="24"/>
              </w:rPr>
              <w:t>Respondents</w:t>
            </w:r>
          </w:p>
        </w:tc>
        <w:tc>
          <w:tcPr>
            <w:tcW w:w="1530" w:type="dxa"/>
            <w:shd w:val="clear" w:color="auto" w:fill="auto"/>
          </w:tcPr>
          <w:p w:rsidR="00D371FC" w:rsidRPr="00C817AE" w:rsidRDefault="00EA796A" w:rsidP="00BF687F">
            <w:pPr>
              <w:jc w:val="center"/>
            </w:pPr>
            <w:r w:rsidRPr="00C817AE">
              <w:t xml:space="preserve">No. </w:t>
            </w:r>
            <w:r w:rsidR="00D371FC" w:rsidRPr="00C817AE">
              <w:t>of</w:t>
            </w:r>
          </w:p>
          <w:p w:rsidR="00D371FC" w:rsidRPr="00C817AE" w:rsidRDefault="00D371FC" w:rsidP="00BF687F">
            <w:pPr>
              <w:pStyle w:val="a"/>
              <w:spacing w:line="240" w:lineRule="atLeast"/>
              <w:ind w:left="0"/>
              <w:jc w:val="center"/>
              <w:rPr>
                <w:szCs w:val="24"/>
              </w:rPr>
            </w:pPr>
            <w:r w:rsidRPr="00C817AE">
              <w:rPr>
                <w:szCs w:val="24"/>
              </w:rPr>
              <w:t>Respondents</w:t>
            </w:r>
          </w:p>
        </w:tc>
        <w:tc>
          <w:tcPr>
            <w:tcW w:w="2160" w:type="dxa"/>
            <w:shd w:val="clear" w:color="auto" w:fill="auto"/>
          </w:tcPr>
          <w:p w:rsidR="00D371FC" w:rsidRPr="00C817AE" w:rsidRDefault="00EA796A" w:rsidP="00BF687F">
            <w:pPr>
              <w:jc w:val="center"/>
            </w:pPr>
            <w:r w:rsidRPr="00C817AE">
              <w:t>No.</w:t>
            </w:r>
            <w:r w:rsidR="00D371FC" w:rsidRPr="00C817AE">
              <w:t xml:space="preserve"> of</w:t>
            </w:r>
          </w:p>
          <w:p w:rsidR="00D371FC" w:rsidRPr="00C817AE" w:rsidRDefault="00D371FC" w:rsidP="00BF687F">
            <w:pPr>
              <w:pStyle w:val="a"/>
              <w:spacing w:line="240" w:lineRule="atLeast"/>
              <w:ind w:left="0"/>
              <w:jc w:val="center"/>
              <w:rPr>
                <w:szCs w:val="24"/>
              </w:rPr>
            </w:pPr>
            <w:r w:rsidRPr="00C817AE">
              <w:rPr>
                <w:szCs w:val="24"/>
              </w:rPr>
              <w:t>Responses Per Respondent</w:t>
            </w:r>
          </w:p>
        </w:tc>
        <w:tc>
          <w:tcPr>
            <w:tcW w:w="2340" w:type="dxa"/>
            <w:shd w:val="clear" w:color="auto" w:fill="auto"/>
          </w:tcPr>
          <w:p w:rsidR="00D371FC" w:rsidRPr="00C817AE" w:rsidRDefault="00D371FC" w:rsidP="00BF687F">
            <w:pPr>
              <w:pStyle w:val="a"/>
              <w:spacing w:line="240" w:lineRule="atLeast"/>
              <w:ind w:left="0"/>
              <w:jc w:val="center"/>
              <w:rPr>
                <w:szCs w:val="24"/>
              </w:rPr>
            </w:pPr>
            <w:r w:rsidRPr="00C817AE">
              <w:rPr>
                <w:szCs w:val="24"/>
              </w:rPr>
              <w:t>Average Burden per Response (in hours)</w:t>
            </w:r>
          </w:p>
        </w:tc>
        <w:tc>
          <w:tcPr>
            <w:tcW w:w="1890" w:type="dxa"/>
            <w:shd w:val="clear" w:color="auto" w:fill="auto"/>
          </w:tcPr>
          <w:p w:rsidR="00D371FC" w:rsidRPr="00C817AE" w:rsidRDefault="00D371FC" w:rsidP="00BF687F">
            <w:pPr>
              <w:pStyle w:val="a"/>
              <w:spacing w:line="240" w:lineRule="atLeast"/>
              <w:ind w:left="0"/>
              <w:jc w:val="center"/>
              <w:rPr>
                <w:szCs w:val="24"/>
              </w:rPr>
            </w:pPr>
            <w:r w:rsidRPr="00C817AE">
              <w:rPr>
                <w:szCs w:val="24"/>
              </w:rPr>
              <w:t>Total Annual Burden Hours</w:t>
            </w:r>
          </w:p>
        </w:tc>
      </w:tr>
      <w:tr w:rsidR="00D371FC" w:rsidRPr="00C817AE" w:rsidTr="00274982">
        <w:trPr>
          <w:trHeight w:val="552"/>
        </w:trPr>
        <w:tc>
          <w:tcPr>
            <w:tcW w:w="1620" w:type="dxa"/>
          </w:tcPr>
          <w:p w:rsidR="00D371FC" w:rsidRPr="004069F2" w:rsidRDefault="00193C6D" w:rsidP="003E72FD">
            <w:pPr>
              <w:pStyle w:val="a"/>
              <w:spacing w:line="240" w:lineRule="atLeast"/>
              <w:ind w:left="0"/>
              <w:jc w:val="both"/>
              <w:rPr>
                <w:color w:val="1F497D" w:themeColor="text2"/>
                <w:szCs w:val="24"/>
              </w:rPr>
            </w:pPr>
            <w:r w:rsidRPr="00C817AE">
              <w:rPr>
                <w:szCs w:val="24"/>
              </w:rPr>
              <w:t xml:space="preserve">Web Survey </w:t>
            </w:r>
            <w:r w:rsidR="004069F2">
              <w:rPr>
                <w:szCs w:val="24"/>
              </w:rPr>
              <w:t>–</w:t>
            </w:r>
            <w:r w:rsidR="003E72FD">
              <w:rPr>
                <w:szCs w:val="24"/>
              </w:rPr>
              <w:t xml:space="preserve"> Awardees</w:t>
            </w:r>
          </w:p>
        </w:tc>
        <w:tc>
          <w:tcPr>
            <w:tcW w:w="1530" w:type="dxa"/>
            <w:shd w:val="clear" w:color="auto" w:fill="auto"/>
          </w:tcPr>
          <w:p w:rsidR="00D371FC" w:rsidRPr="00C817AE" w:rsidRDefault="00F439C9" w:rsidP="00BF687F">
            <w:pPr>
              <w:pStyle w:val="a"/>
              <w:spacing w:line="240" w:lineRule="atLeast"/>
              <w:ind w:left="0"/>
              <w:jc w:val="center"/>
            </w:pPr>
            <w:r w:rsidRPr="00C817AE">
              <w:t>480</w:t>
            </w:r>
          </w:p>
        </w:tc>
        <w:tc>
          <w:tcPr>
            <w:tcW w:w="2160" w:type="dxa"/>
            <w:shd w:val="clear" w:color="auto" w:fill="auto"/>
          </w:tcPr>
          <w:p w:rsidR="00D371FC" w:rsidRPr="00C817AE" w:rsidRDefault="001762EC" w:rsidP="00BF687F">
            <w:pPr>
              <w:pStyle w:val="a"/>
              <w:spacing w:line="240" w:lineRule="atLeast"/>
              <w:ind w:left="0"/>
              <w:jc w:val="center"/>
            </w:pPr>
            <w:r w:rsidRPr="00C817AE">
              <w:t>1</w:t>
            </w:r>
          </w:p>
        </w:tc>
        <w:tc>
          <w:tcPr>
            <w:tcW w:w="2340" w:type="dxa"/>
            <w:shd w:val="clear" w:color="auto" w:fill="auto"/>
          </w:tcPr>
          <w:p w:rsidR="00D371FC" w:rsidRPr="00C817AE" w:rsidRDefault="004908A2" w:rsidP="00BF687F">
            <w:pPr>
              <w:pStyle w:val="a"/>
              <w:spacing w:line="240" w:lineRule="atLeast"/>
              <w:ind w:left="0"/>
              <w:jc w:val="center"/>
            </w:pPr>
            <w:r>
              <w:t>30</w:t>
            </w:r>
          </w:p>
        </w:tc>
        <w:tc>
          <w:tcPr>
            <w:tcW w:w="1890" w:type="dxa"/>
            <w:shd w:val="clear" w:color="auto" w:fill="auto"/>
          </w:tcPr>
          <w:p w:rsidR="00D371FC" w:rsidRPr="00C817AE" w:rsidRDefault="004908A2" w:rsidP="00BF687F">
            <w:pPr>
              <w:pStyle w:val="a"/>
              <w:spacing w:line="240" w:lineRule="atLeast"/>
              <w:ind w:left="0"/>
              <w:jc w:val="center"/>
            </w:pPr>
            <w:r>
              <w:t>240</w:t>
            </w:r>
          </w:p>
        </w:tc>
      </w:tr>
      <w:tr w:rsidR="001762EC" w:rsidRPr="00C817AE" w:rsidTr="00274982">
        <w:trPr>
          <w:trHeight w:val="552"/>
        </w:trPr>
        <w:tc>
          <w:tcPr>
            <w:tcW w:w="1620" w:type="dxa"/>
          </w:tcPr>
          <w:p w:rsidR="001762EC" w:rsidRPr="004069F2" w:rsidRDefault="001762EC" w:rsidP="003E72FD">
            <w:pPr>
              <w:pStyle w:val="a"/>
              <w:spacing w:line="240" w:lineRule="atLeast"/>
              <w:ind w:left="0"/>
              <w:jc w:val="both"/>
              <w:rPr>
                <w:color w:val="1F497D" w:themeColor="text2"/>
                <w:szCs w:val="24"/>
              </w:rPr>
            </w:pPr>
            <w:r w:rsidRPr="00C817AE">
              <w:rPr>
                <w:szCs w:val="24"/>
              </w:rPr>
              <w:t>Interview</w:t>
            </w:r>
            <w:r w:rsidR="00193C6D" w:rsidRPr="00C817AE">
              <w:rPr>
                <w:szCs w:val="24"/>
              </w:rPr>
              <w:t xml:space="preserve">s - </w:t>
            </w:r>
            <w:r w:rsidRPr="00C817AE">
              <w:rPr>
                <w:szCs w:val="24"/>
              </w:rPr>
              <w:t xml:space="preserve"> </w:t>
            </w:r>
            <w:r w:rsidR="003E72FD">
              <w:rPr>
                <w:szCs w:val="24"/>
              </w:rPr>
              <w:t>Awardees</w:t>
            </w:r>
          </w:p>
        </w:tc>
        <w:tc>
          <w:tcPr>
            <w:tcW w:w="1530" w:type="dxa"/>
            <w:shd w:val="clear" w:color="auto" w:fill="auto"/>
          </w:tcPr>
          <w:p w:rsidR="001762EC" w:rsidRPr="008C1CB6" w:rsidRDefault="001762EC" w:rsidP="00BF687F">
            <w:pPr>
              <w:pStyle w:val="a"/>
              <w:spacing w:line="240" w:lineRule="atLeast"/>
              <w:ind w:left="0"/>
              <w:jc w:val="center"/>
              <w:rPr>
                <w:vertAlign w:val="superscript"/>
              </w:rPr>
            </w:pPr>
            <w:r w:rsidRPr="00C817AE">
              <w:t>50</w:t>
            </w:r>
            <w:r w:rsidR="008C1CB6">
              <w:rPr>
                <w:vertAlign w:val="superscript"/>
              </w:rPr>
              <w:t>*</w:t>
            </w:r>
          </w:p>
        </w:tc>
        <w:tc>
          <w:tcPr>
            <w:tcW w:w="2160" w:type="dxa"/>
            <w:shd w:val="clear" w:color="auto" w:fill="auto"/>
          </w:tcPr>
          <w:p w:rsidR="001762EC" w:rsidRPr="00C817AE" w:rsidRDefault="001762EC" w:rsidP="00BF687F">
            <w:pPr>
              <w:pStyle w:val="a"/>
              <w:spacing w:line="240" w:lineRule="atLeast"/>
              <w:ind w:left="0"/>
              <w:jc w:val="center"/>
            </w:pPr>
            <w:r w:rsidRPr="00C817AE">
              <w:t>1</w:t>
            </w:r>
          </w:p>
        </w:tc>
        <w:tc>
          <w:tcPr>
            <w:tcW w:w="2340" w:type="dxa"/>
            <w:shd w:val="clear" w:color="auto" w:fill="auto"/>
          </w:tcPr>
          <w:p w:rsidR="001762EC" w:rsidRPr="00C817AE" w:rsidRDefault="004908A2" w:rsidP="00BF687F">
            <w:pPr>
              <w:pStyle w:val="a"/>
              <w:spacing w:line="240" w:lineRule="atLeast"/>
              <w:ind w:left="0"/>
              <w:jc w:val="center"/>
            </w:pPr>
            <w:r>
              <w:t>45</w:t>
            </w:r>
          </w:p>
        </w:tc>
        <w:tc>
          <w:tcPr>
            <w:tcW w:w="1890" w:type="dxa"/>
            <w:shd w:val="clear" w:color="auto" w:fill="auto"/>
          </w:tcPr>
          <w:p w:rsidR="001762EC" w:rsidRPr="00C817AE" w:rsidRDefault="008F7276" w:rsidP="00BF687F">
            <w:pPr>
              <w:pStyle w:val="a"/>
              <w:spacing w:line="240" w:lineRule="atLeast"/>
              <w:ind w:left="0"/>
              <w:jc w:val="center"/>
            </w:pPr>
            <w:r>
              <w:t>38</w:t>
            </w:r>
          </w:p>
        </w:tc>
      </w:tr>
      <w:tr w:rsidR="00F8567E" w:rsidRPr="00C817AE" w:rsidTr="00274982">
        <w:trPr>
          <w:trHeight w:val="552"/>
        </w:trPr>
        <w:tc>
          <w:tcPr>
            <w:tcW w:w="1620" w:type="dxa"/>
          </w:tcPr>
          <w:p w:rsidR="00F8567E" w:rsidRPr="00C817AE" w:rsidRDefault="00F8567E" w:rsidP="003E72FD">
            <w:pPr>
              <w:pStyle w:val="a"/>
              <w:spacing w:line="240" w:lineRule="atLeast"/>
              <w:ind w:left="0"/>
              <w:jc w:val="both"/>
              <w:rPr>
                <w:szCs w:val="24"/>
              </w:rPr>
            </w:pPr>
            <w:r>
              <w:rPr>
                <w:szCs w:val="24"/>
              </w:rPr>
              <w:t>Declined interviews – Awardees</w:t>
            </w:r>
          </w:p>
        </w:tc>
        <w:tc>
          <w:tcPr>
            <w:tcW w:w="1530" w:type="dxa"/>
            <w:shd w:val="clear" w:color="auto" w:fill="auto"/>
          </w:tcPr>
          <w:p w:rsidR="00F8567E" w:rsidRPr="00C817AE" w:rsidRDefault="00F8567E" w:rsidP="00BF687F">
            <w:pPr>
              <w:pStyle w:val="a"/>
              <w:spacing w:line="240" w:lineRule="atLeast"/>
              <w:ind w:left="0"/>
              <w:jc w:val="center"/>
            </w:pPr>
            <w:r>
              <w:t>13</w:t>
            </w:r>
          </w:p>
        </w:tc>
        <w:tc>
          <w:tcPr>
            <w:tcW w:w="2160" w:type="dxa"/>
            <w:shd w:val="clear" w:color="auto" w:fill="auto"/>
          </w:tcPr>
          <w:p w:rsidR="00F8567E" w:rsidRPr="00C817AE" w:rsidRDefault="00F8567E" w:rsidP="00BF687F">
            <w:pPr>
              <w:pStyle w:val="a"/>
              <w:spacing w:line="240" w:lineRule="atLeast"/>
              <w:ind w:left="0"/>
              <w:jc w:val="center"/>
            </w:pPr>
            <w:r>
              <w:t>1</w:t>
            </w:r>
          </w:p>
        </w:tc>
        <w:tc>
          <w:tcPr>
            <w:tcW w:w="2340" w:type="dxa"/>
            <w:shd w:val="clear" w:color="auto" w:fill="auto"/>
          </w:tcPr>
          <w:p w:rsidR="00F8567E" w:rsidRDefault="00F8567E" w:rsidP="00BF687F">
            <w:pPr>
              <w:pStyle w:val="a"/>
              <w:spacing w:line="240" w:lineRule="atLeast"/>
              <w:ind w:left="0"/>
              <w:jc w:val="center"/>
            </w:pPr>
            <w:r>
              <w:t>.05</w:t>
            </w:r>
          </w:p>
        </w:tc>
        <w:tc>
          <w:tcPr>
            <w:tcW w:w="1890" w:type="dxa"/>
            <w:shd w:val="clear" w:color="auto" w:fill="auto"/>
          </w:tcPr>
          <w:p w:rsidR="00F8567E" w:rsidRDefault="00F8567E" w:rsidP="00BF687F">
            <w:pPr>
              <w:pStyle w:val="a"/>
              <w:spacing w:line="240" w:lineRule="atLeast"/>
              <w:ind w:left="0"/>
              <w:jc w:val="center"/>
            </w:pPr>
            <w:r>
              <w:t>1</w:t>
            </w:r>
          </w:p>
        </w:tc>
      </w:tr>
      <w:tr w:rsidR="00D371FC" w:rsidRPr="00C817AE" w:rsidTr="00274982">
        <w:trPr>
          <w:trHeight w:val="552"/>
        </w:trPr>
        <w:tc>
          <w:tcPr>
            <w:tcW w:w="1620" w:type="dxa"/>
          </w:tcPr>
          <w:p w:rsidR="00D371FC" w:rsidRPr="00C817AE" w:rsidRDefault="00193C6D" w:rsidP="00BF687F">
            <w:pPr>
              <w:pStyle w:val="a"/>
              <w:spacing w:line="240" w:lineRule="atLeast"/>
              <w:ind w:left="0"/>
              <w:jc w:val="both"/>
              <w:rPr>
                <w:szCs w:val="24"/>
              </w:rPr>
            </w:pPr>
            <w:r w:rsidRPr="00C817AE">
              <w:rPr>
                <w:szCs w:val="24"/>
              </w:rPr>
              <w:t xml:space="preserve">Web Survey - </w:t>
            </w:r>
            <w:r w:rsidR="00D371FC" w:rsidRPr="00C817AE">
              <w:rPr>
                <w:szCs w:val="24"/>
              </w:rPr>
              <w:t>Students</w:t>
            </w:r>
          </w:p>
        </w:tc>
        <w:tc>
          <w:tcPr>
            <w:tcW w:w="1530" w:type="dxa"/>
            <w:shd w:val="clear" w:color="auto" w:fill="auto"/>
          </w:tcPr>
          <w:p w:rsidR="00D371FC" w:rsidRPr="00C817AE" w:rsidRDefault="00274982" w:rsidP="00BF687F">
            <w:pPr>
              <w:pStyle w:val="a"/>
              <w:spacing w:line="240" w:lineRule="atLeast"/>
              <w:ind w:left="0"/>
              <w:jc w:val="center"/>
            </w:pPr>
            <w:r w:rsidRPr="00C817AE">
              <w:t>301</w:t>
            </w:r>
          </w:p>
        </w:tc>
        <w:tc>
          <w:tcPr>
            <w:tcW w:w="2160" w:type="dxa"/>
            <w:shd w:val="clear" w:color="auto" w:fill="auto"/>
          </w:tcPr>
          <w:p w:rsidR="00D371FC" w:rsidRPr="00C817AE" w:rsidRDefault="001762EC" w:rsidP="00BF687F">
            <w:pPr>
              <w:pStyle w:val="a"/>
              <w:spacing w:line="240" w:lineRule="atLeast"/>
              <w:ind w:left="0"/>
              <w:jc w:val="center"/>
            </w:pPr>
            <w:r w:rsidRPr="00C817AE">
              <w:t>1</w:t>
            </w:r>
          </w:p>
        </w:tc>
        <w:tc>
          <w:tcPr>
            <w:tcW w:w="2340" w:type="dxa"/>
            <w:shd w:val="clear" w:color="auto" w:fill="auto"/>
          </w:tcPr>
          <w:p w:rsidR="00D371FC" w:rsidRPr="00C817AE" w:rsidRDefault="004908A2" w:rsidP="00BF687F">
            <w:pPr>
              <w:jc w:val="center"/>
              <w:rPr>
                <w:smallCaps/>
              </w:rPr>
            </w:pPr>
            <w:r>
              <w:rPr>
                <w:smallCaps/>
              </w:rPr>
              <w:t>20</w:t>
            </w:r>
          </w:p>
        </w:tc>
        <w:tc>
          <w:tcPr>
            <w:tcW w:w="1890" w:type="dxa"/>
            <w:shd w:val="clear" w:color="auto" w:fill="auto"/>
          </w:tcPr>
          <w:p w:rsidR="00D371FC" w:rsidRPr="00C817AE" w:rsidRDefault="008F7276" w:rsidP="00BF687F">
            <w:pPr>
              <w:pStyle w:val="a"/>
              <w:spacing w:line="240" w:lineRule="atLeast"/>
              <w:ind w:left="0"/>
              <w:jc w:val="center"/>
            </w:pPr>
            <w:r>
              <w:t>1</w:t>
            </w:r>
            <w:r w:rsidR="004908A2">
              <w:t>00</w:t>
            </w:r>
          </w:p>
        </w:tc>
      </w:tr>
      <w:tr w:rsidR="00D371FC" w:rsidRPr="00C817AE" w:rsidTr="00274982">
        <w:trPr>
          <w:trHeight w:val="552"/>
        </w:trPr>
        <w:tc>
          <w:tcPr>
            <w:tcW w:w="1620" w:type="dxa"/>
          </w:tcPr>
          <w:p w:rsidR="00D371FC" w:rsidRPr="00C817AE" w:rsidRDefault="00193C6D" w:rsidP="00D371FC">
            <w:pPr>
              <w:pStyle w:val="a"/>
              <w:spacing w:line="240" w:lineRule="atLeast"/>
              <w:ind w:left="0"/>
              <w:jc w:val="both"/>
              <w:rPr>
                <w:szCs w:val="24"/>
              </w:rPr>
            </w:pPr>
            <w:r w:rsidRPr="00C817AE">
              <w:rPr>
                <w:szCs w:val="24"/>
              </w:rPr>
              <w:t xml:space="preserve">Web Survey - </w:t>
            </w:r>
            <w:r w:rsidR="00D371FC" w:rsidRPr="00C817AE">
              <w:rPr>
                <w:szCs w:val="24"/>
              </w:rPr>
              <w:t>Applicants</w:t>
            </w:r>
          </w:p>
        </w:tc>
        <w:tc>
          <w:tcPr>
            <w:tcW w:w="1530" w:type="dxa"/>
            <w:shd w:val="clear" w:color="auto" w:fill="auto"/>
          </w:tcPr>
          <w:p w:rsidR="00D371FC" w:rsidRPr="00C817AE" w:rsidRDefault="00F439C9" w:rsidP="00BF687F">
            <w:pPr>
              <w:pStyle w:val="a"/>
              <w:spacing w:line="240" w:lineRule="atLeast"/>
              <w:ind w:left="0"/>
              <w:jc w:val="center"/>
            </w:pPr>
            <w:r w:rsidRPr="00C817AE">
              <w:t>240</w:t>
            </w:r>
          </w:p>
        </w:tc>
        <w:tc>
          <w:tcPr>
            <w:tcW w:w="2160" w:type="dxa"/>
            <w:shd w:val="clear" w:color="auto" w:fill="auto"/>
          </w:tcPr>
          <w:p w:rsidR="00D371FC" w:rsidRPr="00C817AE" w:rsidRDefault="001762EC" w:rsidP="00BF687F">
            <w:pPr>
              <w:pStyle w:val="a"/>
              <w:spacing w:line="240" w:lineRule="atLeast"/>
              <w:ind w:left="0"/>
              <w:jc w:val="center"/>
            </w:pPr>
            <w:r w:rsidRPr="00C817AE">
              <w:t>1</w:t>
            </w:r>
          </w:p>
        </w:tc>
        <w:tc>
          <w:tcPr>
            <w:tcW w:w="2340" w:type="dxa"/>
            <w:shd w:val="clear" w:color="auto" w:fill="auto"/>
          </w:tcPr>
          <w:p w:rsidR="00D371FC" w:rsidRPr="00C817AE" w:rsidRDefault="004908A2" w:rsidP="00BF687F">
            <w:pPr>
              <w:pStyle w:val="a"/>
              <w:spacing w:line="240" w:lineRule="atLeast"/>
              <w:ind w:left="0"/>
              <w:jc w:val="center"/>
            </w:pPr>
            <w:r>
              <w:t>20</w:t>
            </w:r>
          </w:p>
        </w:tc>
        <w:tc>
          <w:tcPr>
            <w:tcW w:w="1890" w:type="dxa"/>
            <w:shd w:val="clear" w:color="auto" w:fill="auto"/>
          </w:tcPr>
          <w:p w:rsidR="00274982" w:rsidRPr="00C817AE" w:rsidRDefault="000327F2" w:rsidP="00274982">
            <w:pPr>
              <w:pStyle w:val="a"/>
              <w:spacing w:line="240" w:lineRule="atLeast"/>
              <w:ind w:left="0"/>
              <w:jc w:val="center"/>
            </w:pPr>
            <w:r w:rsidRPr="00C817AE">
              <w:t>80</w:t>
            </w:r>
          </w:p>
        </w:tc>
      </w:tr>
      <w:tr w:rsidR="008F7276" w:rsidRPr="00C817AE" w:rsidTr="000D03B7">
        <w:trPr>
          <w:trHeight w:val="552"/>
        </w:trPr>
        <w:tc>
          <w:tcPr>
            <w:tcW w:w="1620" w:type="dxa"/>
          </w:tcPr>
          <w:p w:rsidR="008F7276" w:rsidRPr="00C817AE" w:rsidRDefault="008F7276" w:rsidP="00D371FC">
            <w:pPr>
              <w:pStyle w:val="a"/>
              <w:spacing w:line="240" w:lineRule="atLeast"/>
              <w:ind w:left="0"/>
              <w:jc w:val="both"/>
              <w:rPr>
                <w:szCs w:val="24"/>
              </w:rPr>
            </w:pPr>
            <w:r>
              <w:rPr>
                <w:szCs w:val="24"/>
              </w:rPr>
              <w:t>Totals</w:t>
            </w:r>
          </w:p>
        </w:tc>
        <w:tc>
          <w:tcPr>
            <w:tcW w:w="1530" w:type="dxa"/>
            <w:shd w:val="clear" w:color="auto" w:fill="auto"/>
          </w:tcPr>
          <w:p w:rsidR="008F7276" w:rsidRPr="00C817AE" w:rsidRDefault="008F7276" w:rsidP="00BF687F">
            <w:pPr>
              <w:pStyle w:val="a"/>
              <w:spacing w:line="240" w:lineRule="atLeast"/>
              <w:ind w:left="0"/>
              <w:jc w:val="center"/>
            </w:pPr>
            <w:r>
              <w:t>1021</w:t>
            </w:r>
          </w:p>
        </w:tc>
        <w:tc>
          <w:tcPr>
            <w:tcW w:w="4500" w:type="dxa"/>
            <w:gridSpan w:val="2"/>
            <w:shd w:val="clear" w:color="auto" w:fill="auto"/>
          </w:tcPr>
          <w:p w:rsidR="008F7276" w:rsidRPr="00C817AE" w:rsidRDefault="008F7276" w:rsidP="00BF687F">
            <w:pPr>
              <w:pStyle w:val="a"/>
              <w:spacing w:line="240" w:lineRule="atLeast"/>
              <w:ind w:left="0"/>
              <w:jc w:val="center"/>
            </w:pPr>
          </w:p>
        </w:tc>
        <w:tc>
          <w:tcPr>
            <w:tcW w:w="1890" w:type="dxa"/>
            <w:shd w:val="clear" w:color="auto" w:fill="auto"/>
          </w:tcPr>
          <w:p w:rsidR="008F7276" w:rsidRPr="00C817AE" w:rsidRDefault="004908A2" w:rsidP="00274982">
            <w:pPr>
              <w:pStyle w:val="a"/>
              <w:spacing w:line="240" w:lineRule="atLeast"/>
              <w:ind w:left="0"/>
              <w:jc w:val="center"/>
            </w:pPr>
            <w:r>
              <w:t>45</w:t>
            </w:r>
            <w:r w:rsidR="00F8567E">
              <w:t>9</w:t>
            </w:r>
          </w:p>
        </w:tc>
      </w:tr>
    </w:tbl>
    <w:p w:rsidR="00D371FC" w:rsidRPr="008C1CB6" w:rsidRDefault="008C1CB6" w:rsidP="008C1CB6">
      <w:r w:rsidRPr="008C1CB6">
        <w:rPr>
          <w:vertAlign w:val="superscript"/>
        </w:rPr>
        <w:t>*</w:t>
      </w:r>
      <w:r w:rsidRPr="008C1CB6">
        <w:t xml:space="preserve">50 awardees to take part in semi-structured interviews will be chosen using convenience sampling from among the 480 awardees we expect to respond to the web survey.  </w:t>
      </w:r>
    </w:p>
    <w:p w:rsidR="008C1CB6" w:rsidRPr="008C1CB6" w:rsidRDefault="008C1CB6" w:rsidP="008C1CB6">
      <w:pPr>
        <w:rPr>
          <w:color w:val="FF0000"/>
        </w:rPr>
      </w:pPr>
    </w:p>
    <w:p w:rsidR="000431B6" w:rsidRDefault="00D371FC" w:rsidP="00D371FC">
      <w:pPr>
        <w:spacing w:line="480" w:lineRule="auto"/>
      </w:pPr>
      <w:r w:rsidRPr="00D71942">
        <w:tab/>
        <w:t xml:space="preserve">The cost burden to respondents is the time required to read the instructions </w:t>
      </w:r>
      <w:r w:rsidR="004009E8">
        <w:t xml:space="preserve">and complete the survey, and, in the case of interviewed </w:t>
      </w:r>
      <w:r w:rsidR="002C6BC4">
        <w:t>a</w:t>
      </w:r>
      <w:r w:rsidR="008F7276">
        <w:t>wardees</w:t>
      </w:r>
      <w:r w:rsidR="004009E8">
        <w:t xml:space="preserve">, to speak with the interviewer on the </w:t>
      </w:r>
      <w:r w:rsidR="004009E8" w:rsidRPr="004363E3">
        <w:t xml:space="preserve">phone.  </w:t>
      </w:r>
      <w:r w:rsidRPr="004363E3">
        <w:t xml:space="preserve">The total annualized cost to the respondents is estimated to be </w:t>
      </w:r>
      <w:bookmarkStart w:id="40" w:name="_GoBack"/>
      <w:r w:rsidRPr="004363E3">
        <w:t>$</w:t>
      </w:r>
      <w:r w:rsidR="00A36BF6">
        <w:t>19,697.86</w:t>
      </w:r>
      <w:r w:rsidRPr="004363E3">
        <w:t>, calculated at $</w:t>
      </w:r>
      <w:r w:rsidR="00A36BF6">
        <w:t>43</w:t>
      </w:r>
      <w:r w:rsidR="00FC194B">
        <w:t>.</w:t>
      </w:r>
      <w:r w:rsidR="00A36BF6">
        <w:t xml:space="preserve">01 </w:t>
      </w:r>
      <w:r w:rsidRPr="004363E3">
        <w:t xml:space="preserve">per hour; an average of the hourly wage rate for </w:t>
      </w:r>
      <w:r w:rsidR="00FD7F3E" w:rsidRPr="004363E3">
        <w:t xml:space="preserve">doctoral </w:t>
      </w:r>
      <w:bookmarkEnd w:id="40"/>
      <w:r w:rsidR="00FD7F3E" w:rsidRPr="004363E3">
        <w:t>level biochemists and biophysicists at $</w:t>
      </w:r>
      <w:r w:rsidR="00B618CC" w:rsidRPr="00EB1D52">
        <w:t>44.06</w:t>
      </w:r>
      <w:r w:rsidR="00FD7F3E" w:rsidRPr="004363E3">
        <w:t xml:space="preserve">, medical scientists at </w:t>
      </w:r>
      <w:r w:rsidR="000F7DE5" w:rsidRPr="004363E3">
        <w:t>$</w:t>
      </w:r>
      <w:r w:rsidR="00B618CC" w:rsidRPr="00030532">
        <w:t>42.98</w:t>
      </w:r>
      <w:r w:rsidR="00030532">
        <w:t>,</w:t>
      </w:r>
      <w:r w:rsidR="00FD7F3E" w:rsidRPr="004363E3">
        <w:t xml:space="preserve"> and </w:t>
      </w:r>
      <w:r w:rsidR="00A36BF6">
        <w:t xml:space="preserve">post-secondary physical science teachers at $41.99 </w:t>
      </w:r>
      <w:r w:rsidR="00FD7F3E" w:rsidRPr="004363E3">
        <w:t>(</w:t>
      </w:r>
      <w:hyperlink r:id="rId21" w:anchor="19-0000" w:history="1">
        <w:r w:rsidR="00FD7F3E" w:rsidRPr="00030532">
          <w:rPr>
            <w:rStyle w:val="Hyperlink"/>
          </w:rPr>
          <w:t>U</w:t>
        </w:r>
        <w:r w:rsidRPr="00030532">
          <w:rPr>
            <w:rStyle w:val="Hyperlink"/>
          </w:rPr>
          <w:t>.S., Department of Labor, Bureau of Labor Statistics, 201</w:t>
        </w:r>
        <w:r w:rsidR="00B618CC" w:rsidRPr="00030532">
          <w:rPr>
            <w:rStyle w:val="Hyperlink"/>
          </w:rPr>
          <w:t>3</w:t>
        </w:r>
      </w:hyperlink>
      <w:r w:rsidR="00030532">
        <w:t xml:space="preserve">, </w:t>
      </w:r>
      <w:r w:rsidR="000431B6">
        <w:t xml:space="preserve">  </w:t>
      </w:r>
      <w:hyperlink r:id="rId22" w:history="1">
        <w:r w:rsidR="000431B6" w:rsidRPr="00FA646D">
          <w:rPr>
            <w:rStyle w:val="Hyperlink"/>
          </w:rPr>
          <w:t>http://www.bls.gov/oes/current/oes_nat.htm#19-0000</w:t>
        </w:r>
      </w:hyperlink>
    </w:p>
    <w:p w:rsidR="00D371FC" w:rsidRDefault="00030532" w:rsidP="00D371FC">
      <w:pPr>
        <w:spacing w:line="480" w:lineRule="auto"/>
      </w:pPr>
      <w:r>
        <w:t xml:space="preserve"> </w:t>
      </w:r>
      <w:r w:rsidR="00D371FC" w:rsidRPr="004363E3">
        <w:t>).  The</w:t>
      </w:r>
      <w:r w:rsidR="00D371FC" w:rsidRPr="003073AC">
        <w:t xml:space="preserve"> costs are summarized in Table A.12-2.</w:t>
      </w:r>
    </w:p>
    <w:p w:rsidR="00D371FC" w:rsidRPr="00B00C39" w:rsidRDefault="00D371FC" w:rsidP="00D371FC">
      <w:pPr>
        <w:spacing w:line="480" w:lineRule="auto"/>
        <w:rPr>
          <w:b/>
          <w:color w:val="FF0000"/>
        </w:rPr>
      </w:pPr>
      <w:r w:rsidRPr="00B00C39">
        <w:rPr>
          <w:b/>
        </w:rPr>
        <w:t xml:space="preserve">Table </w:t>
      </w:r>
      <w:r w:rsidRPr="00B00C39">
        <w:rPr>
          <w:b/>
          <w:smallCaps/>
        </w:rPr>
        <w:t xml:space="preserve">A.12 – 2.  </w:t>
      </w:r>
      <w:r w:rsidRPr="00B00C39">
        <w:rPr>
          <w:b/>
        </w:rPr>
        <w:t>Estimated Annualized Cost to Respondents</w:t>
      </w:r>
    </w:p>
    <w:tbl>
      <w:tblPr>
        <w:tblW w:w="0" w:type="auto"/>
        <w:jc w:val="center"/>
        <w:tblInd w:w="-1637" w:type="dxa"/>
        <w:tblLayout w:type="fixed"/>
        <w:tblCellMar>
          <w:left w:w="120" w:type="dxa"/>
          <w:right w:w="120" w:type="dxa"/>
        </w:tblCellMar>
        <w:tblLook w:val="0000" w:firstRow="0" w:lastRow="0" w:firstColumn="0" w:lastColumn="0" w:noHBand="0" w:noVBand="0"/>
      </w:tblPr>
      <w:tblGrid>
        <w:gridCol w:w="2017"/>
        <w:gridCol w:w="1890"/>
        <w:gridCol w:w="1800"/>
        <w:gridCol w:w="1858"/>
        <w:gridCol w:w="1949"/>
      </w:tblGrid>
      <w:tr w:rsidR="00D371FC" w:rsidRPr="00556BDB" w:rsidTr="00CA6CDC">
        <w:trPr>
          <w:cantSplit/>
          <w:trHeight w:val="552"/>
          <w:jc w:val="center"/>
        </w:trPr>
        <w:tc>
          <w:tcPr>
            <w:tcW w:w="2017" w:type="dxa"/>
            <w:tcBorders>
              <w:top w:val="single" w:sz="4" w:space="0" w:color="auto"/>
              <w:left w:val="single" w:sz="4" w:space="0" w:color="auto"/>
              <w:bottom w:val="single" w:sz="4" w:space="0" w:color="auto"/>
              <w:right w:val="single" w:sz="4" w:space="0" w:color="auto"/>
            </w:tcBorders>
            <w:shd w:val="clear" w:color="auto" w:fill="auto"/>
          </w:tcPr>
          <w:p w:rsidR="00D371FC" w:rsidRPr="00532744" w:rsidRDefault="00D371FC" w:rsidP="00BF687F">
            <w:pPr>
              <w:jc w:val="center"/>
            </w:pPr>
            <w:r w:rsidRPr="00532744">
              <w:t>Type of</w:t>
            </w:r>
          </w:p>
          <w:p w:rsidR="00D371FC" w:rsidRPr="00532744" w:rsidRDefault="00D371FC" w:rsidP="00BF687F">
            <w:pPr>
              <w:jc w:val="center"/>
            </w:pPr>
            <w:r w:rsidRPr="00532744">
              <w:t>Respondents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D371FC" w:rsidRPr="00532744" w:rsidRDefault="00D371FC" w:rsidP="00BF687F">
            <w:pPr>
              <w:jc w:val="center"/>
            </w:pPr>
            <w:r w:rsidRPr="00532744">
              <w:t>Number of</w:t>
            </w:r>
          </w:p>
          <w:p w:rsidR="00D371FC" w:rsidRPr="00532744" w:rsidRDefault="00D371FC" w:rsidP="00BF687F">
            <w:pPr>
              <w:jc w:val="center"/>
            </w:pPr>
            <w:r w:rsidRPr="00532744">
              <w:t>Respondents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371FC" w:rsidRPr="00532744" w:rsidRDefault="00D371FC" w:rsidP="00BF687F">
            <w:pPr>
              <w:jc w:val="center"/>
            </w:pPr>
            <w:r>
              <w:t>Total Annual Burden Hours</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D371FC" w:rsidRPr="00532744" w:rsidRDefault="00D371FC" w:rsidP="00BF687F">
            <w:pPr>
              <w:jc w:val="center"/>
            </w:pPr>
            <w:r w:rsidRPr="00532744">
              <w:t>Hourly Wage Rate</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D371FC" w:rsidRPr="00532744" w:rsidRDefault="00D371FC" w:rsidP="00BF687F">
            <w:pPr>
              <w:jc w:val="center"/>
            </w:pPr>
            <w:r w:rsidRPr="00532744">
              <w:t>Total Respondent</w:t>
            </w:r>
          </w:p>
          <w:p w:rsidR="00D371FC" w:rsidRPr="00532744" w:rsidRDefault="00D371FC" w:rsidP="00BF687F">
            <w:pPr>
              <w:jc w:val="center"/>
            </w:pPr>
            <w:r w:rsidRPr="00532744">
              <w:t>Cost</w:t>
            </w:r>
          </w:p>
        </w:tc>
      </w:tr>
      <w:tr w:rsidR="00D371FC" w:rsidRPr="00556BDB" w:rsidTr="00CA6CDC">
        <w:trPr>
          <w:cantSplit/>
          <w:trHeight w:val="552"/>
          <w:jc w:val="center"/>
        </w:trPr>
        <w:tc>
          <w:tcPr>
            <w:tcW w:w="2017" w:type="dxa"/>
            <w:tcBorders>
              <w:top w:val="single" w:sz="4" w:space="0" w:color="auto"/>
              <w:left w:val="single" w:sz="4" w:space="0" w:color="auto"/>
              <w:bottom w:val="single" w:sz="4" w:space="0" w:color="auto"/>
              <w:right w:val="single" w:sz="4" w:space="0" w:color="auto"/>
            </w:tcBorders>
            <w:shd w:val="clear" w:color="auto" w:fill="auto"/>
          </w:tcPr>
          <w:p w:rsidR="00D371FC" w:rsidRPr="00B820D5" w:rsidRDefault="005748A2" w:rsidP="008F7276">
            <w:r>
              <w:lastRenderedPageBreak/>
              <w:t xml:space="preserve">Web Survey </w:t>
            </w:r>
            <w:r w:rsidR="00B820D5">
              <w:t>–</w:t>
            </w:r>
            <w:r w:rsidR="008F7276">
              <w:t xml:space="preserve"> Awardees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D371FC" w:rsidRPr="00532744" w:rsidRDefault="004009E8" w:rsidP="00BF687F">
            <w:pPr>
              <w:jc w:val="center"/>
            </w:pPr>
            <w:r>
              <w:t>480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371FC" w:rsidRPr="00532744" w:rsidRDefault="00B618CC" w:rsidP="00BF687F">
            <w:pPr>
              <w:jc w:val="center"/>
            </w:pPr>
            <w:r>
              <w:t>240</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D371FC" w:rsidRPr="00532744" w:rsidRDefault="00A36BF6" w:rsidP="00BF687F">
            <w:pPr>
              <w:jc w:val="center"/>
            </w:pPr>
            <w:r>
              <w:t>$43.01</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D371FC" w:rsidRPr="00532744" w:rsidRDefault="00B618CC" w:rsidP="00A36BF6">
            <w:pPr>
              <w:jc w:val="center"/>
            </w:pPr>
            <w:r>
              <w:t>$</w:t>
            </w:r>
            <w:r w:rsidR="00A36BF6">
              <w:t>10,322.40</w:t>
            </w:r>
          </w:p>
        </w:tc>
      </w:tr>
      <w:tr w:rsidR="00193C6D" w:rsidRPr="00556BDB" w:rsidTr="00CA6CDC">
        <w:trPr>
          <w:cantSplit/>
          <w:trHeight w:val="552"/>
          <w:jc w:val="center"/>
        </w:trPr>
        <w:tc>
          <w:tcPr>
            <w:tcW w:w="2017" w:type="dxa"/>
            <w:tcBorders>
              <w:top w:val="single" w:sz="4" w:space="0" w:color="auto"/>
              <w:left w:val="single" w:sz="4" w:space="0" w:color="auto"/>
              <w:bottom w:val="single" w:sz="4" w:space="0" w:color="auto"/>
              <w:right w:val="single" w:sz="4" w:space="0" w:color="auto"/>
            </w:tcBorders>
            <w:shd w:val="clear" w:color="auto" w:fill="auto"/>
          </w:tcPr>
          <w:p w:rsidR="00193C6D" w:rsidRPr="00B820D5" w:rsidRDefault="005748A2" w:rsidP="008F7276">
            <w:pPr>
              <w:rPr>
                <w:color w:val="1F497D" w:themeColor="text2"/>
              </w:rPr>
            </w:pPr>
            <w:r>
              <w:t xml:space="preserve">Interviews -  </w:t>
            </w:r>
            <w:r w:rsidR="008F7276">
              <w:t>Awardees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193C6D" w:rsidRPr="00532744" w:rsidRDefault="00193C6D" w:rsidP="00BF687F">
            <w:pPr>
              <w:jc w:val="center"/>
            </w:pPr>
            <w:r>
              <w:t>50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93C6D" w:rsidRPr="00532744" w:rsidRDefault="00B618CC" w:rsidP="00BF687F">
            <w:pPr>
              <w:jc w:val="center"/>
            </w:pPr>
            <w:r>
              <w:t>38</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193C6D" w:rsidRDefault="00A36BF6" w:rsidP="00BF687F">
            <w:pPr>
              <w:jc w:val="center"/>
            </w:pPr>
            <w:r>
              <w:t>$43.01</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193C6D" w:rsidRPr="00532744" w:rsidRDefault="007F7E3C" w:rsidP="00BF687F">
            <w:pPr>
              <w:jc w:val="center"/>
            </w:pPr>
            <w:r>
              <w:t>$</w:t>
            </w:r>
            <w:r w:rsidR="00A36BF6">
              <w:t>1,634.38</w:t>
            </w:r>
          </w:p>
        </w:tc>
      </w:tr>
      <w:tr w:rsidR="00193C6D" w:rsidRPr="00556BDB" w:rsidTr="00CA6CDC">
        <w:trPr>
          <w:cantSplit/>
          <w:trHeight w:val="552"/>
          <w:jc w:val="center"/>
        </w:trPr>
        <w:tc>
          <w:tcPr>
            <w:tcW w:w="2017" w:type="dxa"/>
            <w:tcBorders>
              <w:top w:val="single" w:sz="4" w:space="0" w:color="auto"/>
              <w:left w:val="single" w:sz="4" w:space="0" w:color="auto"/>
              <w:bottom w:val="single" w:sz="4" w:space="0" w:color="auto"/>
              <w:right w:val="single" w:sz="4" w:space="0" w:color="auto"/>
            </w:tcBorders>
            <w:shd w:val="clear" w:color="auto" w:fill="auto"/>
          </w:tcPr>
          <w:p w:rsidR="00193C6D" w:rsidRPr="00305523" w:rsidRDefault="005748A2" w:rsidP="00BF687F">
            <w:r>
              <w:t>Web Survey - Students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193C6D" w:rsidRPr="00532744" w:rsidRDefault="00193C6D" w:rsidP="00BF687F">
            <w:pPr>
              <w:jc w:val="center"/>
            </w:pPr>
            <w:r>
              <w:t>301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93C6D" w:rsidRPr="00532744" w:rsidRDefault="00B618CC" w:rsidP="00BF687F">
            <w:pPr>
              <w:jc w:val="center"/>
            </w:pPr>
            <w:r>
              <w:t>100</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193C6D" w:rsidRPr="00532744" w:rsidRDefault="00A36BF6" w:rsidP="00BF687F">
            <w:pPr>
              <w:jc w:val="center"/>
            </w:pPr>
            <w:r>
              <w:t>$43.01</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193C6D" w:rsidRPr="00532744" w:rsidRDefault="007F7E3C" w:rsidP="00BF687F">
            <w:pPr>
              <w:jc w:val="center"/>
            </w:pPr>
            <w:r>
              <w:t>$</w:t>
            </w:r>
            <w:r w:rsidR="00A36BF6">
              <w:t>4,301.00</w:t>
            </w:r>
          </w:p>
        </w:tc>
      </w:tr>
      <w:tr w:rsidR="00193C6D" w:rsidRPr="00556BDB" w:rsidTr="00CA6CDC">
        <w:trPr>
          <w:cantSplit/>
          <w:trHeight w:val="552"/>
          <w:jc w:val="center"/>
        </w:trPr>
        <w:tc>
          <w:tcPr>
            <w:tcW w:w="2017" w:type="dxa"/>
            <w:tcBorders>
              <w:top w:val="single" w:sz="4" w:space="0" w:color="auto"/>
              <w:left w:val="single" w:sz="4" w:space="0" w:color="auto"/>
              <w:bottom w:val="single" w:sz="4" w:space="0" w:color="auto"/>
              <w:right w:val="single" w:sz="4" w:space="0" w:color="auto"/>
            </w:tcBorders>
            <w:shd w:val="clear" w:color="auto" w:fill="auto"/>
          </w:tcPr>
          <w:p w:rsidR="00193C6D" w:rsidRDefault="005748A2" w:rsidP="00BF687F">
            <w:r>
              <w:t>Web Survey - Applicants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193C6D" w:rsidRPr="00532744" w:rsidRDefault="00193C6D" w:rsidP="00BF687F">
            <w:pPr>
              <w:jc w:val="center"/>
              <w:rPr>
                <w:smallCaps/>
              </w:rPr>
            </w:pPr>
            <w:r>
              <w:rPr>
                <w:smallCaps/>
              </w:rPr>
              <w:t>240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93C6D" w:rsidRPr="00532744" w:rsidRDefault="00845F86" w:rsidP="00BF687F">
            <w:pPr>
              <w:jc w:val="center"/>
              <w:rPr>
                <w:smallCaps/>
              </w:rPr>
            </w:pPr>
            <w:r>
              <w:rPr>
                <w:smallCaps/>
              </w:rPr>
              <w:t>80</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193C6D" w:rsidRPr="00532744" w:rsidRDefault="00A36BF6" w:rsidP="00BF687F">
            <w:pPr>
              <w:jc w:val="center"/>
              <w:rPr>
                <w:smallCaps/>
              </w:rPr>
            </w:pPr>
            <w:r>
              <w:rPr>
                <w:smallCaps/>
              </w:rPr>
              <w:t>$43.01</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193C6D" w:rsidRPr="00532744" w:rsidRDefault="00A36BF6" w:rsidP="00BF687F">
            <w:pPr>
              <w:jc w:val="center"/>
              <w:rPr>
                <w:smallCaps/>
              </w:rPr>
            </w:pPr>
            <w:r>
              <w:rPr>
                <w:smallCaps/>
              </w:rPr>
              <w:t>$3,440.08</w:t>
            </w:r>
          </w:p>
        </w:tc>
      </w:tr>
      <w:tr w:rsidR="00193C6D" w:rsidRPr="00556BDB" w:rsidTr="00CA6CDC">
        <w:trPr>
          <w:cantSplit/>
          <w:trHeight w:val="552"/>
          <w:jc w:val="center"/>
        </w:trPr>
        <w:tc>
          <w:tcPr>
            <w:tcW w:w="7565" w:type="dxa"/>
            <w:gridSpan w:val="4"/>
            <w:tcBorders>
              <w:top w:val="single" w:sz="4" w:space="0" w:color="auto"/>
              <w:left w:val="single" w:sz="4" w:space="0" w:color="auto"/>
              <w:bottom w:val="single" w:sz="4" w:space="0" w:color="auto"/>
              <w:right w:val="single" w:sz="4" w:space="0" w:color="auto"/>
            </w:tcBorders>
            <w:shd w:val="clear" w:color="auto" w:fill="auto"/>
          </w:tcPr>
          <w:p w:rsidR="00193C6D" w:rsidRPr="00532744" w:rsidRDefault="00193C6D" w:rsidP="00BF687F"/>
        </w:tc>
        <w:tc>
          <w:tcPr>
            <w:tcW w:w="1949" w:type="dxa"/>
            <w:tcBorders>
              <w:top w:val="single" w:sz="4" w:space="0" w:color="auto"/>
              <w:left w:val="single" w:sz="4" w:space="0" w:color="auto"/>
              <w:bottom w:val="single" w:sz="4" w:space="0" w:color="auto"/>
              <w:right w:val="single" w:sz="4" w:space="0" w:color="auto"/>
            </w:tcBorders>
            <w:shd w:val="clear" w:color="auto" w:fill="auto"/>
          </w:tcPr>
          <w:p w:rsidR="00193C6D" w:rsidRPr="00532744" w:rsidRDefault="00A36BF6" w:rsidP="00BF687F">
            <w:pPr>
              <w:jc w:val="center"/>
            </w:pPr>
            <w:r>
              <w:t>$19,697.86</w:t>
            </w:r>
          </w:p>
        </w:tc>
      </w:tr>
    </w:tbl>
    <w:p w:rsidR="00D371FC" w:rsidRPr="00882DFD" w:rsidRDefault="00D371FC" w:rsidP="00D371FC">
      <w:pPr>
        <w:pStyle w:val="P1-StandPara"/>
        <w:ind w:firstLine="0"/>
        <w:rPr>
          <w:color w:val="FF0000"/>
          <w:sz w:val="24"/>
          <w:szCs w:val="24"/>
        </w:rPr>
      </w:pPr>
    </w:p>
    <w:p w:rsidR="00D43FD9" w:rsidRPr="00D61E21" w:rsidRDefault="00D43FD9" w:rsidP="00D43FD9">
      <w:pPr>
        <w:pStyle w:val="Heading2"/>
        <w:tabs>
          <w:tab w:val="clear" w:pos="1152"/>
          <w:tab w:val="left" w:pos="720"/>
        </w:tabs>
        <w:spacing w:after="0" w:line="480" w:lineRule="auto"/>
        <w:ind w:left="0" w:firstLine="0"/>
        <w:rPr>
          <w:sz w:val="24"/>
          <w:szCs w:val="24"/>
        </w:rPr>
      </w:pPr>
      <w:bookmarkStart w:id="41" w:name="_Toc443881756"/>
      <w:bookmarkStart w:id="42" w:name="_Toc451592243"/>
      <w:bookmarkStart w:id="43" w:name="_Toc5610284"/>
      <w:bookmarkStart w:id="44" w:name="_Toc99178790"/>
      <w:r>
        <w:rPr>
          <w:sz w:val="24"/>
          <w:szCs w:val="24"/>
        </w:rPr>
        <w:t>A.13</w:t>
      </w:r>
      <w:r w:rsidRPr="00D61E21">
        <w:rPr>
          <w:sz w:val="24"/>
          <w:szCs w:val="24"/>
        </w:rPr>
        <w:tab/>
        <w:t>Estimate of Other Total Annual Cost</w:t>
      </w:r>
      <w:r>
        <w:rPr>
          <w:sz w:val="24"/>
          <w:szCs w:val="24"/>
        </w:rPr>
        <w:t xml:space="preserve"> Burden to Respondents or Record K</w:t>
      </w:r>
      <w:r w:rsidRPr="00D61E21">
        <w:rPr>
          <w:sz w:val="24"/>
          <w:szCs w:val="24"/>
        </w:rPr>
        <w:t>eepers</w:t>
      </w:r>
      <w:bookmarkEnd w:id="41"/>
      <w:bookmarkEnd w:id="42"/>
      <w:bookmarkEnd w:id="43"/>
      <w:bookmarkEnd w:id="44"/>
    </w:p>
    <w:p w:rsidR="00D43FD9" w:rsidRPr="00E36A07" w:rsidRDefault="00D371FC" w:rsidP="00E35DA4">
      <w:pPr>
        <w:pStyle w:val="BodyTextIndent3"/>
        <w:spacing w:line="480" w:lineRule="auto"/>
        <w:ind w:left="0" w:firstLine="720"/>
        <w:rPr>
          <w:color w:val="FF0000"/>
        </w:rPr>
      </w:pPr>
      <w:bookmarkStart w:id="45" w:name="_Toc443881757"/>
      <w:bookmarkStart w:id="46" w:name="_Toc451592244"/>
      <w:bookmarkStart w:id="47" w:name="_Toc5610285"/>
      <w:bookmarkStart w:id="48" w:name="_Toc99178791"/>
      <w:r w:rsidRPr="00EC1FD5">
        <w:rPr>
          <w:snapToGrid w:val="0"/>
          <w:sz w:val="24"/>
          <w:szCs w:val="24"/>
        </w:rPr>
        <w:t>There are no direct costs to respondents other than their time to participate in the</w:t>
      </w:r>
      <w:r>
        <w:rPr>
          <w:snapToGrid w:val="0"/>
          <w:sz w:val="24"/>
          <w:szCs w:val="24"/>
        </w:rPr>
        <w:t xml:space="preserve"> </w:t>
      </w:r>
      <w:r w:rsidRPr="00EC1FD5">
        <w:rPr>
          <w:snapToGrid w:val="0"/>
          <w:sz w:val="24"/>
          <w:szCs w:val="24"/>
        </w:rPr>
        <w:t>study.</w:t>
      </w:r>
    </w:p>
    <w:p w:rsidR="00D43FD9" w:rsidRPr="00D61E21" w:rsidRDefault="00D43FD9" w:rsidP="00D43FD9">
      <w:pPr>
        <w:pStyle w:val="Heading2"/>
        <w:tabs>
          <w:tab w:val="clear" w:pos="1152"/>
          <w:tab w:val="left" w:pos="720"/>
        </w:tabs>
        <w:spacing w:after="0" w:line="480" w:lineRule="auto"/>
        <w:ind w:left="0" w:firstLine="0"/>
        <w:rPr>
          <w:sz w:val="24"/>
          <w:szCs w:val="24"/>
        </w:rPr>
      </w:pPr>
      <w:r>
        <w:rPr>
          <w:sz w:val="24"/>
          <w:szCs w:val="24"/>
        </w:rPr>
        <w:t>A.</w:t>
      </w:r>
      <w:r w:rsidRPr="00D61E21">
        <w:rPr>
          <w:sz w:val="24"/>
          <w:szCs w:val="24"/>
        </w:rPr>
        <w:t>14</w:t>
      </w:r>
      <w:r w:rsidRPr="00D61E21">
        <w:rPr>
          <w:sz w:val="24"/>
          <w:szCs w:val="24"/>
        </w:rPr>
        <w:tab/>
        <w:t>Annualized Cost to the Federal Government</w:t>
      </w:r>
      <w:bookmarkEnd w:id="45"/>
      <w:bookmarkEnd w:id="46"/>
      <w:bookmarkEnd w:id="47"/>
      <w:bookmarkEnd w:id="48"/>
      <w:r w:rsidRPr="00D61E21">
        <w:rPr>
          <w:sz w:val="24"/>
          <w:szCs w:val="24"/>
        </w:rPr>
        <w:t xml:space="preserve">  </w:t>
      </w:r>
    </w:p>
    <w:p w:rsidR="00D43FD9" w:rsidRDefault="00D43FD9" w:rsidP="00177678">
      <w:pPr>
        <w:spacing w:line="480" w:lineRule="auto"/>
        <w:ind w:firstLine="720"/>
      </w:pPr>
      <w:r>
        <w:t>The largest cost to the federal government is</w:t>
      </w:r>
      <w:r w:rsidR="005741C1">
        <w:t xml:space="preserve"> </w:t>
      </w:r>
      <w:r>
        <w:t xml:space="preserve">for sub-contractor fees of </w:t>
      </w:r>
      <w:r w:rsidR="00FC194B">
        <w:t>$275,333</w:t>
      </w:r>
      <w:r>
        <w:t xml:space="preserve"> to conduct the stu</w:t>
      </w:r>
      <w:r w:rsidR="00FC194B">
        <w:t>dy and deliver the analysis</w:t>
      </w:r>
      <w:r>
        <w:t>.  Contra</w:t>
      </w:r>
      <w:r w:rsidR="00FC194B">
        <w:t>ctor fees for one year</w:t>
      </w:r>
      <w:r w:rsidR="00F63F32">
        <w:t xml:space="preserve"> total $40,224</w:t>
      </w:r>
      <w:r w:rsidR="00907572">
        <w:t>.  OD and other NIH staff</w:t>
      </w:r>
      <w:r>
        <w:t xml:space="preserve"> costs are based entirely on labor.  It is estimated that t</w:t>
      </w:r>
      <w:r w:rsidR="000B0656">
        <w:t>he study will require about .4</w:t>
      </w:r>
      <w:r>
        <w:t xml:space="preserve"> FTE total per year spread </w:t>
      </w:r>
      <w:r w:rsidR="000B0656">
        <w:t xml:space="preserve">mostly </w:t>
      </w:r>
      <w:r>
        <w:t xml:space="preserve">over 3 </w:t>
      </w:r>
      <w:r w:rsidR="00F63F32">
        <w:t>NIH Health Scientist Administrators</w:t>
      </w:r>
      <w:r w:rsidR="001321CB">
        <w:t xml:space="preserve"> </w:t>
      </w:r>
      <w:r w:rsidR="000110B9">
        <w:t>at the GS-14 level or above</w:t>
      </w:r>
      <w:r w:rsidR="000B0656">
        <w:t xml:space="preserve">.  </w:t>
      </w:r>
      <w:r>
        <w:t xml:space="preserve">These expenses are for directing contractors and sub-contractors, overseeing and solving problems as they arise, developing materials, </w:t>
      </w:r>
      <w:r w:rsidR="000110B9">
        <w:t xml:space="preserve">and </w:t>
      </w:r>
      <w:r>
        <w:t>supervising data collection.  The estimated annualized cost to the</w:t>
      </w:r>
      <w:r w:rsidR="00404779">
        <w:t xml:space="preserve"> Federal Government is $362,557</w:t>
      </w:r>
      <w:r>
        <w:t xml:space="preserve"> summarized in Table A14-1.  </w:t>
      </w:r>
    </w:p>
    <w:p w:rsidR="00D43FD9" w:rsidRDefault="00D43FD9" w:rsidP="00D43FD9"/>
    <w:p w:rsidR="00D43FD9" w:rsidRPr="0029531A" w:rsidRDefault="00D43FD9" w:rsidP="00D43FD9">
      <w:pPr>
        <w:rPr>
          <w:b/>
        </w:rPr>
      </w:pPr>
      <w:r w:rsidRPr="0029531A">
        <w:rPr>
          <w:b/>
        </w:rPr>
        <w:t>Table A.14-1 Annual Cost to the Federal Government</w:t>
      </w:r>
    </w:p>
    <w:p w:rsidR="00D43FD9" w:rsidRDefault="00D43FD9" w:rsidP="00D43F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tblGrid>
      <w:tr w:rsidR="000110B9" w:rsidTr="00CF7230">
        <w:tc>
          <w:tcPr>
            <w:tcW w:w="2952" w:type="dxa"/>
            <w:shd w:val="clear" w:color="auto" w:fill="auto"/>
          </w:tcPr>
          <w:p w:rsidR="000110B9" w:rsidRDefault="000110B9" w:rsidP="001629AD"/>
        </w:tc>
        <w:tc>
          <w:tcPr>
            <w:tcW w:w="2952" w:type="dxa"/>
          </w:tcPr>
          <w:p w:rsidR="000110B9" w:rsidRDefault="000110B9" w:rsidP="001629AD">
            <w:r>
              <w:t>Annual Cost</w:t>
            </w:r>
          </w:p>
        </w:tc>
      </w:tr>
      <w:tr w:rsidR="000110B9" w:rsidTr="000110B9">
        <w:trPr>
          <w:trHeight w:val="552"/>
        </w:trPr>
        <w:tc>
          <w:tcPr>
            <w:tcW w:w="2952" w:type="dxa"/>
            <w:shd w:val="clear" w:color="auto" w:fill="auto"/>
          </w:tcPr>
          <w:p w:rsidR="000110B9" w:rsidRDefault="000110B9" w:rsidP="001629AD">
            <w:r>
              <w:t>Sub-contractor costs</w:t>
            </w:r>
          </w:p>
        </w:tc>
        <w:tc>
          <w:tcPr>
            <w:tcW w:w="2952" w:type="dxa"/>
            <w:vAlign w:val="center"/>
          </w:tcPr>
          <w:p w:rsidR="000110B9" w:rsidRDefault="000110B9" w:rsidP="000110B9">
            <w:r>
              <w:t>274,511</w:t>
            </w:r>
          </w:p>
        </w:tc>
      </w:tr>
      <w:tr w:rsidR="000110B9" w:rsidTr="000110B9">
        <w:trPr>
          <w:trHeight w:val="552"/>
        </w:trPr>
        <w:tc>
          <w:tcPr>
            <w:tcW w:w="2952" w:type="dxa"/>
            <w:shd w:val="clear" w:color="auto" w:fill="auto"/>
          </w:tcPr>
          <w:p w:rsidR="000110B9" w:rsidRDefault="000110B9" w:rsidP="001629AD">
            <w:r>
              <w:t>Contractor costs</w:t>
            </w:r>
          </w:p>
        </w:tc>
        <w:tc>
          <w:tcPr>
            <w:tcW w:w="2952" w:type="dxa"/>
            <w:vAlign w:val="center"/>
          </w:tcPr>
          <w:p w:rsidR="000110B9" w:rsidRDefault="000110B9" w:rsidP="000110B9">
            <w:r>
              <w:t>20,224</w:t>
            </w:r>
          </w:p>
        </w:tc>
      </w:tr>
      <w:tr w:rsidR="000110B9" w:rsidTr="000110B9">
        <w:trPr>
          <w:trHeight w:val="552"/>
        </w:trPr>
        <w:tc>
          <w:tcPr>
            <w:tcW w:w="2952" w:type="dxa"/>
            <w:shd w:val="clear" w:color="auto" w:fill="auto"/>
          </w:tcPr>
          <w:p w:rsidR="000110B9" w:rsidRDefault="000110B9" w:rsidP="001629AD">
            <w:r>
              <w:lastRenderedPageBreak/>
              <w:t>OD personnel subtotal</w:t>
            </w:r>
          </w:p>
        </w:tc>
        <w:tc>
          <w:tcPr>
            <w:tcW w:w="2952" w:type="dxa"/>
            <w:vAlign w:val="center"/>
          </w:tcPr>
          <w:p w:rsidR="000110B9" w:rsidRDefault="000110B9" w:rsidP="000110B9">
            <w:r>
              <w:t>8,556</w:t>
            </w:r>
          </w:p>
        </w:tc>
      </w:tr>
      <w:tr w:rsidR="000110B9" w:rsidTr="000110B9">
        <w:trPr>
          <w:trHeight w:val="552"/>
        </w:trPr>
        <w:tc>
          <w:tcPr>
            <w:tcW w:w="2952" w:type="dxa"/>
            <w:shd w:val="clear" w:color="auto" w:fill="auto"/>
          </w:tcPr>
          <w:p w:rsidR="000110B9" w:rsidRDefault="000110B9" w:rsidP="000110B9">
            <w:pPr>
              <w:ind w:left="720"/>
            </w:pPr>
            <w:r>
              <w:t>Health Scientist Administrator, OD GS14/5, 6% of $120429</w:t>
            </w:r>
          </w:p>
        </w:tc>
        <w:tc>
          <w:tcPr>
            <w:tcW w:w="2952" w:type="dxa"/>
            <w:vAlign w:val="center"/>
          </w:tcPr>
          <w:p w:rsidR="000110B9" w:rsidRDefault="000110B9" w:rsidP="000110B9">
            <w:r>
              <w:t>7,223</w:t>
            </w:r>
          </w:p>
        </w:tc>
      </w:tr>
      <w:tr w:rsidR="000110B9" w:rsidTr="000110B9">
        <w:trPr>
          <w:trHeight w:val="552"/>
        </w:trPr>
        <w:tc>
          <w:tcPr>
            <w:tcW w:w="2952" w:type="dxa"/>
            <w:shd w:val="clear" w:color="auto" w:fill="auto"/>
          </w:tcPr>
          <w:p w:rsidR="000110B9" w:rsidRDefault="000110B9" w:rsidP="000110B9">
            <w:pPr>
              <w:ind w:left="720"/>
            </w:pPr>
            <w:r>
              <w:t>Health Scientist Administrator, OD , GS15/3, 1% of $133,328</w:t>
            </w:r>
          </w:p>
        </w:tc>
        <w:tc>
          <w:tcPr>
            <w:tcW w:w="2952" w:type="dxa"/>
            <w:vAlign w:val="center"/>
          </w:tcPr>
          <w:p w:rsidR="000110B9" w:rsidRDefault="000110B9" w:rsidP="000110B9">
            <w:r>
              <w:t>1,333</w:t>
            </w:r>
          </w:p>
        </w:tc>
      </w:tr>
      <w:tr w:rsidR="000110B9" w:rsidTr="000110B9">
        <w:trPr>
          <w:trHeight w:val="552"/>
        </w:trPr>
        <w:tc>
          <w:tcPr>
            <w:tcW w:w="2952" w:type="dxa"/>
            <w:shd w:val="clear" w:color="auto" w:fill="auto"/>
          </w:tcPr>
          <w:p w:rsidR="000110B9" w:rsidRDefault="000110B9" w:rsidP="005D104C">
            <w:r>
              <w:t>Other NIH personnel subtotal, Health Scientist Administrator, NIDDK, GS15/10, 6% of $157100 (</w:t>
            </w:r>
            <w:proofErr w:type="spellStart"/>
            <w:r>
              <w:t>Detailee</w:t>
            </w:r>
            <w:proofErr w:type="spellEnd"/>
            <w:r>
              <w:t xml:space="preserve"> to OD)</w:t>
            </w:r>
          </w:p>
        </w:tc>
        <w:tc>
          <w:tcPr>
            <w:tcW w:w="2952" w:type="dxa"/>
            <w:vAlign w:val="center"/>
          </w:tcPr>
          <w:p w:rsidR="000110B9" w:rsidRDefault="000110B9" w:rsidP="000110B9">
            <w:r>
              <w:t>9,426</w:t>
            </w:r>
          </w:p>
        </w:tc>
      </w:tr>
      <w:tr w:rsidR="000110B9" w:rsidTr="000110B9">
        <w:trPr>
          <w:trHeight w:val="552"/>
        </w:trPr>
        <w:tc>
          <w:tcPr>
            <w:tcW w:w="2952" w:type="dxa"/>
            <w:shd w:val="clear" w:color="auto" w:fill="auto"/>
          </w:tcPr>
          <w:p w:rsidR="000110B9" w:rsidRPr="00306B76" w:rsidRDefault="000110B9" w:rsidP="001629AD">
            <w:pPr>
              <w:rPr>
                <w:u w:val="double"/>
              </w:rPr>
            </w:pPr>
            <w:r>
              <w:t>GRAND TOTAL</w:t>
            </w:r>
          </w:p>
        </w:tc>
        <w:tc>
          <w:tcPr>
            <w:tcW w:w="2952" w:type="dxa"/>
            <w:vAlign w:val="center"/>
          </w:tcPr>
          <w:p w:rsidR="000110B9" w:rsidRDefault="000110B9" w:rsidP="000110B9">
            <w:r>
              <w:t>321,273</w:t>
            </w:r>
          </w:p>
        </w:tc>
      </w:tr>
    </w:tbl>
    <w:p w:rsidR="00D43FD9" w:rsidRDefault="00D43FD9" w:rsidP="00D43FD9"/>
    <w:p w:rsidR="00D43FD9" w:rsidRPr="00D61E21" w:rsidRDefault="00D43FD9" w:rsidP="00D43FD9">
      <w:pPr>
        <w:pStyle w:val="Heading2"/>
        <w:tabs>
          <w:tab w:val="clear" w:pos="1152"/>
          <w:tab w:val="left" w:pos="720"/>
        </w:tabs>
        <w:spacing w:after="0" w:line="480" w:lineRule="auto"/>
        <w:ind w:left="0" w:firstLine="0"/>
        <w:rPr>
          <w:sz w:val="24"/>
          <w:szCs w:val="24"/>
        </w:rPr>
      </w:pPr>
      <w:bookmarkStart w:id="49" w:name="_Toc443881758"/>
      <w:bookmarkStart w:id="50" w:name="_Toc451592245"/>
      <w:bookmarkStart w:id="51" w:name="_Toc5610286"/>
      <w:bookmarkStart w:id="52" w:name="_Toc99178792"/>
      <w:r>
        <w:rPr>
          <w:sz w:val="24"/>
          <w:szCs w:val="24"/>
        </w:rPr>
        <w:t>A.</w:t>
      </w:r>
      <w:r w:rsidRPr="00D61E21">
        <w:rPr>
          <w:sz w:val="24"/>
          <w:szCs w:val="24"/>
        </w:rPr>
        <w:t>15</w:t>
      </w:r>
      <w:r w:rsidRPr="00D61E21">
        <w:rPr>
          <w:sz w:val="24"/>
          <w:szCs w:val="24"/>
        </w:rPr>
        <w:tab/>
        <w:t>Explanation for Program Changes or Adjustments</w:t>
      </w:r>
      <w:bookmarkEnd w:id="49"/>
      <w:bookmarkEnd w:id="50"/>
      <w:bookmarkEnd w:id="51"/>
      <w:bookmarkEnd w:id="52"/>
    </w:p>
    <w:p w:rsidR="00D43FD9" w:rsidRPr="00294FAD" w:rsidRDefault="00177678" w:rsidP="00653AF5">
      <w:pPr>
        <w:ind w:firstLine="720"/>
        <w:rPr>
          <w:vanish/>
        </w:rPr>
      </w:pPr>
      <w:r w:rsidRPr="00CA6AF7">
        <w:t>This is new information collection</w:t>
      </w:r>
      <w:r w:rsidR="00D43FD9">
        <w:t>.</w:t>
      </w:r>
    </w:p>
    <w:p w:rsidR="00D43FD9" w:rsidRDefault="00D43FD9" w:rsidP="00D43FD9">
      <w:pPr>
        <w:rPr>
          <w:b/>
        </w:rPr>
      </w:pPr>
    </w:p>
    <w:p w:rsidR="00D43FD9" w:rsidRDefault="00D43FD9" w:rsidP="00D43FD9"/>
    <w:p w:rsidR="00D25F2C" w:rsidRPr="00975380" w:rsidRDefault="00D43FD9" w:rsidP="00975380">
      <w:pPr>
        <w:pStyle w:val="Heading2"/>
        <w:tabs>
          <w:tab w:val="clear" w:pos="1152"/>
          <w:tab w:val="left" w:pos="720"/>
        </w:tabs>
        <w:spacing w:after="0" w:line="480" w:lineRule="auto"/>
        <w:ind w:left="0" w:firstLine="0"/>
        <w:rPr>
          <w:sz w:val="24"/>
          <w:szCs w:val="24"/>
        </w:rPr>
      </w:pPr>
      <w:bookmarkStart w:id="53" w:name="_Toc443881759"/>
      <w:bookmarkStart w:id="54" w:name="_Toc451592246"/>
      <w:bookmarkStart w:id="55" w:name="_Toc5610287"/>
      <w:bookmarkStart w:id="56" w:name="_Toc99178793"/>
      <w:r>
        <w:rPr>
          <w:sz w:val="24"/>
          <w:szCs w:val="24"/>
        </w:rPr>
        <w:t>A.</w:t>
      </w:r>
      <w:r w:rsidR="00177678">
        <w:rPr>
          <w:sz w:val="24"/>
          <w:szCs w:val="24"/>
        </w:rPr>
        <w:t>16</w:t>
      </w:r>
      <w:r w:rsidR="00177678">
        <w:rPr>
          <w:sz w:val="24"/>
          <w:szCs w:val="24"/>
        </w:rPr>
        <w:tab/>
      </w:r>
      <w:r w:rsidRPr="00D61E21">
        <w:rPr>
          <w:sz w:val="24"/>
          <w:szCs w:val="24"/>
        </w:rPr>
        <w:t>Plans for Tabulation and Publication and Project Time Schedule</w:t>
      </w:r>
      <w:bookmarkEnd w:id="53"/>
      <w:bookmarkEnd w:id="54"/>
      <w:bookmarkEnd w:id="55"/>
      <w:bookmarkEnd w:id="56"/>
    </w:p>
    <w:p w:rsidR="00177678" w:rsidRDefault="00D25F2C" w:rsidP="00177678">
      <w:pPr>
        <w:tabs>
          <w:tab w:val="left" w:pos="720"/>
        </w:tabs>
        <w:spacing w:line="480" w:lineRule="auto"/>
      </w:pPr>
      <w:r>
        <w:tab/>
      </w:r>
      <w:r w:rsidR="00177678" w:rsidRPr="00BC1849">
        <w:t xml:space="preserve">The web-based survey </w:t>
      </w:r>
      <w:r w:rsidR="00EC3174">
        <w:t>and interview i</w:t>
      </w:r>
      <w:r w:rsidR="00177678" w:rsidRPr="00BC1849">
        <w:t xml:space="preserve">nformation collection will begin within </w:t>
      </w:r>
      <w:r w:rsidR="00177678">
        <w:t>two</w:t>
      </w:r>
      <w:r w:rsidR="00177678" w:rsidRPr="00BC1849">
        <w:t xml:space="preserve"> month</w:t>
      </w:r>
      <w:r w:rsidR="00177678">
        <w:t>s</w:t>
      </w:r>
      <w:r w:rsidR="00177678" w:rsidRPr="00BC1849">
        <w:t xml:space="preserve"> of obtaining OMB approval.  The contract</w:t>
      </w:r>
      <w:r w:rsidR="00177678" w:rsidRPr="002373CE">
        <w:t xml:space="preserve"> period will include fielding, analyzing, and disseminating findings from these studies.  </w:t>
      </w:r>
      <w:r w:rsidR="00177678">
        <w:t>Westat, Inc.</w:t>
      </w:r>
      <w:r w:rsidR="00177678" w:rsidRPr="002373CE">
        <w:t xml:space="preserve"> will be responsible for preparing the analytic databases resulting from the stud</w:t>
      </w:r>
      <w:r w:rsidR="00177678">
        <w:t>y</w:t>
      </w:r>
      <w:r w:rsidR="00177678" w:rsidRPr="002373CE">
        <w:t>.  The timetable for the data collection is shown below, in Table A.16-</w:t>
      </w:r>
      <w:r w:rsidR="00177678">
        <w:t>1</w:t>
      </w:r>
      <w:r w:rsidR="00177678" w:rsidRPr="002373CE">
        <w:t>.</w:t>
      </w:r>
      <w:bookmarkStart w:id="57" w:name="OLE_LINK1"/>
      <w:bookmarkStart w:id="58" w:name="OLE_LINK2"/>
    </w:p>
    <w:p w:rsidR="00177678" w:rsidRPr="00653AF5" w:rsidRDefault="00177678" w:rsidP="00177678">
      <w:pPr>
        <w:tabs>
          <w:tab w:val="left" w:pos="720"/>
        </w:tabs>
        <w:spacing w:line="480" w:lineRule="auto"/>
        <w:rPr>
          <w:b/>
        </w:rPr>
      </w:pPr>
      <w:proofErr w:type="gramStart"/>
      <w:r w:rsidRPr="00653AF5">
        <w:rPr>
          <w:b/>
        </w:rPr>
        <w:t>Table A.16-1.</w:t>
      </w:r>
      <w:proofErr w:type="gramEnd"/>
      <w:r w:rsidRPr="00653AF5">
        <w:rPr>
          <w:b/>
        </w:rPr>
        <w:t xml:space="preserve">   Project Time Table</w:t>
      </w:r>
      <w:r w:rsidR="007933D3" w:rsidRPr="00653AF5">
        <w:rPr>
          <w:b/>
        </w:rPr>
        <w:t xml:space="preserve"> </w:t>
      </w:r>
    </w:p>
    <w:tbl>
      <w:tblPr>
        <w:tblW w:w="900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040"/>
        <w:gridCol w:w="3960"/>
      </w:tblGrid>
      <w:tr w:rsidR="00177678" w:rsidRPr="00FC416F" w:rsidTr="008208A1">
        <w:tc>
          <w:tcPr>
            <w:tcW w:w="5040" w:type="dxa"/>
            <w:shd w:val="clear" w:color="auto" w:fill="auto"/>
          </w:tcPr>
          <w:p w:rsidR="00177678" w:rsidRPr="00EC3174" w:rsidRDefault="00177678" w:rsidP="001629AD">
            <w:pPr>
              <w:rPr>
                <w:b/>
              </w:rPr>
            </w:pPr>
            <w:r w:rsidRPr="00EC3174">
              <w:rPr>
                <w:b/>
              </w:rPr>
              <w:t>Activity</w:t>
            </w:r>
          </w:p>
        </w:tc>
        <w:tc>
          <w:tcPr>
            <w:tcW w:w="3960" w:type="dxa"/>
            <w:shd w:val="clear" w:color="auto" w:fill="auto"/>
          </w:tcPr>
          <w:p w:rsidR="00177678" w:rsidRPr="00EC3174" w:rsidRDefault="00177678" w:rsidP="001629AD">
            <w:pPr>
              <w:rPr>
                <w:b/>
              </w:rPr>
            </w:pPr>
            <w:r w:rsidRPr="00EC3174">
              <w:rPr>
                <w:b/>
              </w:rPr>
              <w:t>Timeline</w:t>
            </w:r>
          </w:p>
        </w:tc>
      </w:tr>
      <w:tr w:rsidR="00EC3174" w:rsidRPr="00FC416F" w:rsidTr="008208A1">
        <w:tc>
          <w:tcPr>
            <w:tcW w:w="5040" w:type="dxa"/>
            <w:shd w:val="clear" w:color="auto" w:fill="auto"/>
          </w:tcPr>
          <w:p w:rsidR="00EC3174" w:rsidRPr="00532744" w:rsidRDefault="00EC3174" w:rsidP="001629AD">
            <w:r>
              <w:t>Introductory email sent to survey</w:t>
            </w:r>
            <w:r w:rsidR="00B50A13">
              <w:t xml:space="preserve"> </w:t>
            </w:r>
            <w:r>
              <w:t>respondents</w:t>
            </w:r>
          </w:p>
        </w:tc>
        <w:tc>
          <w:tcPr>
            <w:tcW w:w="3960" w:type="dxa"/>
            <w:shd w:val="clear" w:color="auto" w:fill="auto"/>
          </w:tcPr>
          <w:p w:rsidR="00EC3174" w:rsidRDefault="00B50A13" w:rsidP="001629AD">
            <w:r>
              <w:t>1-2 months after OMB approval</w:t>
            </w:r>
          </w:p>
        </w:tc>
      </w:tr>
      <w:tr w:rsidR="00B50A13" w:rsidRPr="00FC416F" w:rsidTr="008208A1">
        <w:tc>
          <w:tcPr>
            <w:tcW w:w="5040" w:type="dxa"/>
            <w:shd w:val="clear" w:color="auto" w:fill="auto"/>
          </w:tcPr>
          <w:p w:rsidR="00B50A13" w:rsidRDefault="00B50A13" w:rsidP="001629AD">
            <w:r>
              <w:t>Invitation e-mail sent to survey respondents</w:t>
            </w:r>
          </w:p>
        </w:tc>
        <w:tc>
          <w:tcPr>
            <w:tcW w:w="3960" w:type="dxa"/>
            <w:shd w:val="clear" w:color="auto" w:fill="auto"/>
          </w:tcPr>
          <w:p w:rsidR="00B50A13" w:rsidRDefault="00B50A13" w:rsidP="001629AD">
            <w:r>
              <w:t>1 week following introductory e-mail</w:t>
            </w:r>
          </w:p>
        </w:tc>
      </w:tr>
      <w:tr w:rsidR="00923E04" w:rsidRPr="00FC416F" w:rsidTr="008208A1">
        <w:tc>
          <w:tcPr>
            <w:tcW w:w="5040" w:type="dxa"/>
            <w:shd w:val="clear" w:color="auto" w:fill="auto"/>
          </w:tcPr>
          <w:p w:rsidR="00923E04" w:rsidRDefault="00923E04" w:rsidP="001629AD">
            <w:r>
              <w:t>Field web surveys</w:t>
            </w:r>
          </w:p>
        </w:tc>
        <w:tc>
          <w:tcPr>
            <w:tcW w:w="3960" w:type="dxa"/>
            <w:shd w:val="clear" w:color="auto" w:fill="auto"/>
          </w:tcPr>
          <w:p w:rsidR="00923E04" w:rsidRDefault="00923E04" w:rsidP="001629AD">
            <w:r>
              <w:t>2-3 months after OMB approval</w:t>
            </w:r>
          </w:p>
        </w:tc>
      </w:tr>
      <w:tr w:rsidR="00923E04" w:rsidRPr="00FC416F" w:rsidTr="008208A1">
        <w:tc>
          <w:tcPr>
            <w:tcW w:w="5040" w:type="dxa"/>
            <w:shd w:val="clear" w:color="auto" w:fill="auto"/>
          </w:tcPr>
          <w:p w:rsidR="00923E04" w:rsidRDefault="00923E04" w:rsidP="001629AD">
            <w:r>
              <w:t>Introductory e-mail sent to potential interviewees</w:t>
            </w:r>
          </w:p>
        </w:tc>
        <w:tc>
          <w:tcPr>
            <w:tcW w:w="3960" w:type="dxa"/>
            <w:shd w:val="clear" w:color="auto" w:fill="auto"/>
          </w:tcPr>
          <w:p w:rsidR="00923E04" w:rsidRDefault="00923E04" w:rsidP="001629AD">
            <w:r>
              <w:t>3-4 months after OMB approval</w:t>
            </w:r>
          </w:p>
        </w:tc>
      </w:tr>
      <w:tr w:rsidR="00923E04" w:rsidRPr="00FC416F" w:rsidTr="008208A1">
        <w:tc>
          <w:tcPr>
            <w:tcW w:w="5040" w:type="dxa"/>
            <w:shd w:val="clear" w:color="auto" w:fill="auto"/>
          </w:tcPr>
          <w:p w:rsidR="00923E04" w:rsidRPr="00532744" w:rsidRDefault="00923E04" w:rsidP="00B820D5">
            <w:r>
              <w:t>Confirmation phone call to interviewees</w:t>
            </w:r>
          </w:p>
        </w:tc>
        <w:tc>
          <w:tcPr>
            <w:tcW w:w="3960" w:type="dxa"/>
            <w:shd w:val="clear" w:color="auto" w:fill="auto"/>
          </w:tcPr>
          <w:p w:rsidR="00923E04" w:rsidRDefault="00923E04" w:rsidP="00B820D5">
            <w:r>
              <w:t>Within 36 hours of interviewee response</w:t>
            </w:r>
          </w:p>
        </w:tc>
      </w:tr>
      <w:tr w:rsidR="00923E04" w:rsidRPr="00FC416F" w:rsidTr="008208A1">
        <w:tc>
          <w:tcPr>
            <w:tcW w:w="5040" w:type="dxa"/>
            <w:shd w:val="clear" w:color="auto" w:fill="auto"/>
          </w:tcPr>
          <w:p w:rsidR="00923E04" w:rsidRDefault="00923E04" w:rsidP="00B820D5">
            <w:r>
              <w:t>Conduct semi-structured interviews</w:t>
            </w:r>
          </w:p>
        </w:tc>
        <w:tc>
          <w:tcPr>
            <w:tcW w:w="3960" w:type="dxa"/>
            <w:shd w:val="clear" w:color="auto" w:fill="auto"/>
          </w:tcPr>
          <w:p w:rsidR="00923E04" w:rsidRPr="00FC416F" w:rsidRDefault="00923E04" w:rsidP="00B820D5">
            <w:r>
              <w:t>3-6</w:t>
            </w:r>
            <w:r w:rsidRPr="00FC416F">
              <w:t xml:space="preserve"> months </w:t>
            </w:r>
            <w:r>
              <w:t>after</w:t>
            </w:r>
            <w:r w:rsidRPr="00FC416F">
              <w:t xml:space="preserve"> OMB approval</w:t>
            </w:r>
          </w:p>
        </w:tc>
      </w:tr>
      <w:tr w:rsidR="00923E04" w:rsidRPr="00FC416F" w:rsidTr="008208A1">
        <w:tc>
          <w:tcPr>
            <w:tcW w:w="5040" w:type="dxa"/>
            <w:shd w:val="clear" w:color="auto" w:fill="auto"/>
          </w:tcPr>
          <w:p w:rsidR="00923E04" w:rsidRPr="00532744" w:rsidRDefault="00923E04" w:rsidP="00B820D5">
            <w:r>
              <w:t xml:space="preserve">Complete </w:t>
            </w:r>
            <w:r w:rsidRPr="00532744">
              <w:t>field work</w:t>
            </w:r>
          </w:p>
        </w:tc>
        <w:tc>
          <w:tcPr>
            <w:tcW w:w="3960" w:type="dxa"/>
            <w:shd w:val="clear" w:color="auto" w:fill="auto"/>
          </w:tcPr>
          <w:p w:rsidR="00923E04" w:rsidRPr="00FC416F" w:rsidRDefault="00923E04" w:rsidP="00B820D5">
            <w:r>
              <w:t xml:space="preserve">5-6 </w:t>
            </w:r>
            <w:r w:rsidRPr="00FC416F">
              <w:t>months after OMB approval</w:t>
            </w:r>
          </w:p>
        </w:tc>
      </w:tr>
      <w:tr w:rsidR="00923E04" w:rsidRPr="00FC416F" w:rsidTr="008208A1">
        <w:tc>
          <w:tcPr>
            <w:tcW w:w="5040" w:type="dxa"/>
            <w:shd w:val="clear" w:color="auto" w:fill="auto"/>
          </w:tcPr>
          <w:p w:rsidR="00923E04" w:rsidRPr="00532744" w:rsidRDefault="00923E04" w:rsidP="00B820D5">
            <w:r w:rsidRPr="00532744">
              <w:t>Validation</w:t>
            </w:r>
          </w:p>
        </w:tc>
        <w:tc>
          <w:tcPr>
            <w:tcW w:w="3960" w:type="dxa"/>
            <w:shd w:val="clear" w:color="auto" w:fill="auto"/>
          </w:tcPr>
          <w:p w:rsidR="00923E04" w:rsidRPr="00FC416F" w:rsidRDefault="00923E04" w:rsidP="00B820D5">
            <w:r>
              <w:t>7-8</w:t>
            </w:r>
            <w:r w:rsidRPr="00FC416F">
              <w:t xml:space="preserve"> months after OMB approval</w:t>
            </w:r>
          </w:p>
        </w:tc>
      </w:tr>
      <w:tr w:rsidR="00923E04" w:rsidRPr="00FC416F" w:rsidTr="008208A1">
        <w:tc>
          <w:tcPr>
            <w:tcW w:w="5040" w:type="dxa"/>
            <w:shd w:val="clear" w:color="auto" w:fill="auto"/>
          </w:tcPr>
          <w:p w:rsidR="00923E04" w:rsidRPr="00532744" w:rsidRDefault="00923E04" w:rsidP="00B820D5">
            <w:r w:rsidRPr="00532744">
              <w:lastRenderedPageBreak/>
              <w:t>Analyses</w:t>
            </w:r>
          </w:p>
        </w:tc>
        <w:tc>
          <w:tcPr>
            <w:tcW w:w="3960" w:type="dxa"/>
            <w:shd w:val="clear" w:color="auto" w:fill="auto"/>
          </w:tcPr>
          <w:p w:rsidR="00923E04" w:rsidRPr="00FC416F" w:rsidRDefault="00923E04" w:rsidP="00B820D5">
            <w:r>
              <w:t>8-9</w:t>
            </w:r>
            <w:r w:rsidRPr="00FC416F">
              <w:t xml:space="preserve"> months after OMB approval</w:t>
            </w:r>
          </w:p>
        </w:tc>
      </w:tr>
      <w:tr w:rsidR="00923E04" w:rsidRPr="00FC416F" w:rsidTr="008208A1">
        <w:tc>
          <w:tcPr>
            <w:tcW w:w="5040" w:type="dxa"/>
            <w:shd w:val="clear" w:color="auto" w:fill="auto"/>
          </w:tcPr>
          <w:p w:rsidR="00923E04" w:rsidRPr="00532744" w:rsidRDefault="00923E04" w:rsidP="00B820D5">
            <w:r w:rsidRPr="00532744">
              <w:t>Publication</w:t>
            </w:r>
          </w:p>
        </w:tc>
        <w:tc>
          <w:tcPr>
            <w:tcW w:w="3960" w:type="dxa"/>
            <w:shd w:val="clear" w:color="auto" w:fill="auto"/>
          </w:tcPr>
          <w:p w:rsidR="00923E04" w:rsidRPr="00FC416F" w:rsidRDefault="00923E04" w:rsidP="00B820D5">
            <w:r>
              <w:t>11</w:t>
            </w:r>
            <w:r w:rsidRPr="00FC416F">
              <w:t xml:space="preserve"> months after OMB approval</w:t>
            </w:r>
          </w:p>
        </w:tc>
      </w:tr>
      <w:bookmarkEnd w:id="57"/>
      <w:bookmarkEnd w:id="58"/>
    </w:tbl>
    <w:p w:rsidR="00921B41" w:rsidRDefault="00921B41" w:rsidP="00F145D8">
      <w:pPr>
        <w:pStyle w:val="P1-StandPara"/>
        <w:ind w:firstLine="0"/>
        <w:rPr>
          <w:b/>
          <w:sz w:val="24"/>
          <w:szCs w:val="24"/>
        </w:rPr>
      </w:pPr>
    </w:p>
    <w:p w:rsidR="001629AD" w:rsidRPr="00840EF3" w:rsidRDefault="001629AD" w:rsidP="00F145D8">
      <w:pPr>
        <w:pStyle w:val="P1-StandPara"/>
        <w:ind w:firstLine="0"/>
        <w:rPr>
          <w:b/>
          <w:sz w:val="24"/>
          <w:szCs w:val="24"/>
        </w:rPr>
      </w:pPr>
      <w:r w:rsidRPr="00840EF3">
        <w:rPr>
          <w:b/>
          <w:sz w:val="24"/>
          <w:szCs w:val="24"/>
        </w:rPr>
        <w:t xml:space="preserve">A.16.1   Analysis of the Study Data </w:t>
      </w:r>
    </w:p>
    <w:p w:rsidR="00EC3174" w:rsidRPr="00840EF3" w:rsidRDefault="001629AD" w:rsidP="003D463E">
      <w:pPr>
        <w:pStyle w:val="P1-StandPara"/>
        <w:rPr>
          <w:sz w:val="24"/>
          <w:szCs w:val="24"/>
        </w:rPr>
      </w:pPr>
      <w:r w:rsidRPr="00840EF3">
        <w:rPr>
          <w:sz w:val="24"/>
          <w:szCs w:val="24"/>
        </w:rPr>
        <w:t xml:space="preserve">Many of the Web survey analyses will consist of descriptive statistics (e.g., percentages, means, medians, and standard deviations, as appropriate), cross-tabulations, and graphical summaries. Tests of significance will be conducted using statistics such as chi-squared, t-tests, or analysis of variance (ANOVA) to examine differences. The analysis will be performed in SAS with PROC SURVEY with the non-response adjusted weight.  See Table A.16.2 for a list of research </w:t>
      </w:r>
      <w:r w:rsidR="00D16562" w:rsidRPr="00840EF3">
        <w:rPr>
          <w:sz w:val="24"/>
          <w:szCs w:val="24"/>
        </w:rPr>
        <w:t>objectives</w:t>
      </w:r>
      <w:r w:rsidRPr="00840EF3">
        <w:rPr>
          <w:sz w:val="24"/>
          <w:szCs w:val="24"/>
        </w:rPr>
        <w:t xml:space="preserve"> and associated measures.</w:t>
      </w:r>
    </w:p>
    <w:p w:rsidR="003D463E" w:rsidRPr="00840EF3" w:rsidRDefault="003D463E" w:rsidP="003D463E">
      <w:pPr>
        <w:pStyle w:val="P1-StandPara"/>
        <w:ind w:firstLine="0"/>
        <w:rPr>
          <w:b/>
          <w:bCs/>
          <w:sz w:val="24"/>
          <w:szCs w:val="24"/>
        </w:rPr>
      </w:pPr>
      <w:proofErr w:type="gramStart"/>
      <w:r w:rsidRPr="00840EF3">
        <w:rPr>
          <w:b/>
          <w:bCs/>
          <w:sz w:val="24"/>
          <w:szCs w:val="24"/>
        </w:rPr>
        <w:t>Table A.16-2.</w:t>
      </w:r>
      <w:proofErr w:type="gramEnd"/>
      <w:r w:rsidRPr="00840EF3">
        <w:rPr>
          <w:b/>
          <w:bCs/>
          <w:sz w:val="24"/>
          <w:szCs w:val="24"/>
        </w:rPr>
        <w:t xml:space="preserve">  Research Objectives and Measures for the AREA Evaluation</w:t>
      </w:r>
    </w:p>
    <w:tbl>
      <w:tblPr>
        <w:tblStyle w:val="TableGrid"/>
        <w:tblW w:w="0" w:type="auto"/>
        <w:tblLook w:val="04A0" w:firstRow="1" w:lastRow="0" w:firstColumn="1" w:lastColumn="0" w:noHBand="0" w:noVBand="1"/>
      </w:tblPr>
      <w:tblGrid>
        <w:gridCol w:w="4428"/>
        <w:gridCol w:w="4428"/>
      </w:tblGrid>
      <w:tr w:rsidR="00840EF3" w:rsidRPr="00840EF3" w:rsidTr="003D463E">
        <w:tc>
          <w:tcPr>
            <w:tcW w:w="4428" w:type="dxa"/>
          </w:tcPr>
          <w:p w:rsidR="003D463E" w:rsidRPr="00840EF3" w:rsidRDefault="003D463E" w:rsidP="00521439">
            <w:pPr>
              <w:pStyle w:val="P1-StandPara"/>
              <w:spacing w:line="240" w:lineRule="auto"/>
              <w:ind w:firstLine="0"/>
              <w:jc w:val="center"/>
              <w:rPr>
                <w:b/>
                <w:sz w:val="24"/>
                <w:szCs w:val="24"/>
              </w:rPr>
            </w:pPr>
            <w:r w:rsidRPr="00840EF3">
              <w:rPr>
                <w:b/>
                <w:sz w:val="24"/>
                <w:szCs w:val="24"/>
              </w:rPr>
              <w:t>RESEARCH OBJECTIVE</w:t>
            </w:r>
          </w:p>
        </w:tc>
        <w:tc>
          <w:tcPr>
            <w:tcW w:w="4428" w:type="dxa"/>
          </w:tcPr>
          <w:p w:rsidR="003D463E" w:rsidRPr="00840EF3" w:rsidRDefault="003D463E" w:rsidP="00521439">
            <w:pPr>
              <w:pStyle w:val="P1-StandPara"/>
              <w:spacing w:line="240" w:lineRule="auto"/>
              <w:ind w:firstLine="0"/>
              <w:jc w:val="center"/>
              <w:rPr>
                <w:b/>
                <w:sz w:val="24"/>
                <w:szCs w:val="24"/>
              </w:rPr>
            </w:pPr>
            <w:r w:rsidRPr="00840EF3">
              <w:rPr>
                <w:b/>
                <w:sz w:val="24"/>
                <w:szCs w:val="24"/>
              </w:rPr>
              <w:t>MEASURES</w:t>
            </w:r>
          </w:p>
        </w:tc>
      </w:tr>
      <w:tr w:rsidR="00840EF3" w:rsidRPr="00840EF3" w:rsidTr="00921B41">
        <w:trPr>
          <w:cantSplit/>
        </w:trPr>
        <w:tc>
          <w:tcPr>
            <w:tcW w:w="4428" w:type="dxa"/>
          </w:tcPr>
          <w:p w:rsidR="003D463E" w:rsidRPr="00840EF3" w:rsidRDefault="00521439" w:rsidP="00521439">
            <w:pPr>
              <w:pStyle w:val="P1-StandPara"/>
              <w:spacing w:line="240" w:lineRule="auto"/>
              <w:ind w:firstLine="0"/>
              <w:rPr>
                <w:sz w:val="24"/>
                <w:szCs w:val="24"/>
              </w:rPr>
            </w:pPr>
            <w:r w:rsidRPr="00840EF3">
              <w:rPr>
                <w:sz w:val="24"/>
                <w:szCs w:val="24"/>
              </w:rPr>
              <w:t>Evaluat</w:t>
            </w:r>
            <w:r w:rsidR="00B96309" w:rsidRPr="00840EF3">
              <w:rPr>
                <w:sz w:val="24"/>
                <w:szCs w:val="24"/>
              </w:rPr>
              <w:t>e</w:t>
            </w:r>
            <w:r w:rsidRPr="00840EF3">
              <w:rPr>
                <w:sz w:val="24"/>
                <w:szCs w:val="24"/>
              </w:rPr>
              <w:t xml:space="preserve"> extent to which AREA Program objectives are met</w:t>
            </w:r>
          </w:p>
        </w:tc>
        <w:tc>
          <w:tcPr>
            <w:tcW w:w="4428" w:type="dxa"/>
          </w:tcPr>
          <w:p w:rsidR="00521439" w:rsidRPr="00840EF3" w:rsidRDefault="00521439" w:rsidP="00521439">
            <w:pPr>
              <w:pStyle w:val="P1-StandPara"/>
              <w:spacing w:line="240" w:lineRule="auto"/>
              <w:ind w:firstLine="0"/>
              <w:rPr>
                <w:sz w:val="24"/>
                <w:szCs w:val="24"/>
              </w:rPr>
            </w:pPr>
            <w:r w:rsidRPr="00840EF3">
              <w:rPr>
                <w:sz w:val="24"/>
                <w:szCs w:val="24"/>
              </w:rPr>
              <w:t xml:space="preserve">Compare AREA </w:t>
            </w:r>
            <w:r w:rsidR="002C6BC4">
              <w:rPr>
                <w:sz w:val="24"/>
                <w:szCs w:val="24"/>
              </w:rPr>
              <w:t>a</w:t>
            </w:r>
            <w:r w:rsidR="008F7276">
              <w:rPr>
                <w:sz w:val="24"/>
                <w:szCs w:val="24"/>
              </w:rPr>
              <w:t>wardees</w:t>
            </w:r>
            <w:r w:rsidR="008F7276" w:rsidRPr="00840EF3">
              <w:rPr>
                <w:sz w:val="24"/>
                <w:szCs w:val="24"/>
              </w:rPr>
              <w:t xml:space="preserve"> </w:t>
            </w:r>
            <w:r w:rsidR="00F44307" w:rsidRPr="00840EF3">
              <w:rPr>
                <w:sz w:val="24"/>
                <w:szCs w:val="24"/>
              </w:rPr>
              <w:t>and unsuccessful applicants regarding</w:t>
            </w:r>
            <w:r w:rsidRPr="00840EF3">
              <w:rPr>
                <w:sz w:val="24"/>
                <w:szCs w:val="24"/>
              </w:rPr>
              <w:t>:</w:t>
            </w:r>
          </w:p>
          <w:p w:rsidR="003D463E" w:rsidRPr="00840EF3" w:rsidRDefault="00521439" w:rsidP="00521439">
            <w:pPr>
              <w:pStyle w:val="P1-StandPara"/>
              <w:numPr>
                <w:ilvl w:val="0"/>
                <w:numId w:val="12"/>
              </w:numPr>
              <w:spacing w:line="240" w:lineRule="auto"/>
              <w:rPr>
                <w:sz w:val="24"/>
                <w:szCs w:val="24"/>
              </w:rPr>
            </w:pPr>
            <w:r w:rsidRPr="00840EF3">
              <w:rPr>
                <w:sz w:val="24"/>
                <w:szCs w:val="24"/>
              </w:rPr>
              <w:t>Quantity and quality of student work on projects</w:t>
            </w:r>
          </w:p>
          <w:p w:rsidR="00521439" w:rsidRPr="00840EF3" w:rsidRDefault="00521439" w:rsidP="00521439">
            <w:pPr>
              <w:pStyle w:val="P1-StandPara"/>
              <w:numPr>
                <w:ilvl w:val="0"/>
                <w:numId w:val="12"/>
              </w:numPr>
              <w:spacing w:line="240" w:lineRule="auto"/>
              <w:rPr>
                <w:sz w:val="24"/>
                <w:szCs w:val="24"/>
              </w:rPr>
            </w:pPr>
            <w:r w:rsidRPr="00840EF3">
              <w:rPr>
                <w:sz w:val="24"/>
                <w:szCs w:val="24"/>
              </w:rPr>
              <w:t>Extent of within-institution collaboration</w:t>
            </w:r>
          </w:p>
          <w:p w:rsidR="00521439" w:rsidRPr="00840EF3" w:rsidRDefault="00521439" w:rsidP="00521439">
            <w:pPr>
              <w:pStyle w:val="P1-StandPara"/>
              <w:numPr>
                <w:ilvl w:val="0"/>
                <w:numId w:val="12"/>
              </w:numPr>
              <w:spacing w:line="240" w:lineRule="auto"/>
              <w:rPr>
                <w:sz w:val="24"/>
                <w:szCs w:val="24"/>
              </w:rPr>
            </w:pPr>
            <w:r w:rsidRPr="00840EF3">
              <w:rPr>
                <w:sz w:val="24"/>
                <w:szCs w:val="24"/>
              </w:rPr>
              <w:t>Record of subsequent funding</w:t>
            </w:r>
          </w:p>
          <w:p w:rsidR="00521439" w:rsidRPr="00840EF3" w:rsidRDefault="00521439" w:rsidP="00521439">
            <w:pPr>
              <w:pStyle w:val="P1-StandPara"/>
              <w:spacing w:line="240" w:lineRule="auto"/>
              <w:ind w:firstLine="0"/>
              <w:rPr>
                <w:sz w:val="24"/>
                <w:szCs w:val="24"/>
              </w:rPr>
            </w:pPr>
          </w:p>
        </w:tc>
      </w:tr>
      <w:tr w:rsidR="00840EF3" w:rsidRPr="00840EF3" w:rsidTr="00921B41">
        <w:trPr>
          <w:cantSplit/>
        </w:trPr>
        <w:tc>
          <w:tcPr>
            <w:tcW w:w="4428" w:type="dxa"/>
          </w:tcPr>
          <w:p w:rsidR="003D463E" w:rsidRPr="00840EF3" w:rsidRDefault="00521439" w:rsidP="00521439">
            <w:pPr>
              <w:pStyle w:val="P1-StandPara"/>
              <w:spacing w:line="240" w:lineRule="auto"/>
              <w:ind w:firstLine="0"/>
              <w:rPr>
                <w:sz w:val="24"/>
                <w:szCs w:val="24"/>
              </w:rPr>
            </w:pPr>
            <w:r w:rsidRPr="00840EF3">
              <w:rPr>
                <w:sz w:val="24"/>
                <w:szCs w:val="24"/>
              </w:rPr>
              <w:t>Evaluate</w:t>
            </w:r>
            <w:r w:rsidR="002A6238" w:rsidRPr="00840EF3">
              <w:rPr>
                <w:sz w:val="24"/>
                <w:szCs w:val="24"/>
              </w:rPr>
              <w:t xml:space="preserve"> existing AREA Program </w:t>
            </w:r>
            <w:r w:rsidRPr="00840EF3">
              <w:rPr>
                <w:sz w:val="24"/>
                <w:szCs w:val="24"/>
              </w:rPr>
              <w:t>efforts</w:t>
            </w:r>
            <w:r w:rsidR="002A6238" w:rsidRPr="00840EF3">
              <w:rPr>
                <w:sz w:val="24"/>
                <w:szCs w:val="24"/>
              </w:rPr>
              <w:t xml:space="preserve"> with outreach</w:t>
            </w:r>
          </w:p>
        </w:tc>
        <w:tc>
          <w:tcPr>
            <w:tcW w:w="4428" w:type="dxa"/>
          </w:tcPr>
          <w:p w:rsidR="003D463E" w:rsidRPr="00840EF3" w:rsidRDefault="00521439" w:rsidP="00521439">
            <w:pPr>
              <w:pStyle w:val="P1-StandPara"/>
              <w:spacing w:line="240" w:lineRule="auto"/>
              <w:ind w:firstLine="0"/>
              <w:rPr>
                <w:sz w:val="24"/>
                <w:szCs w:val="24"/>
              </w:rPr>
            </w:pPr>
            <w:r w:rsidRPr="00840EF3">
              <w:rPr>
                <w:sz w:val="24"/>
                <w:szCs w:val="24"/>
              </w:rPr>
              <w:t>Unsuccessful applicants’ experiences with the application process</w:t>
            </w:r>
          </w:p>
          <w:p w:rsidR="00521439" w:rsidRPr="00840EF3" w:rsidRDefault="00521439" w:rsidP="00521439">
            <w:pPr>
              <w:pStyle w:val="P1-StandPara"/>
              <w:spacing w:line="240" w:lineRule="auto"/>
              <w:ind w:firstLine="0"/>
              <w:rPr>
                <w:sz w:val="24"/>
                <w:szCs w:val="24"/>
              </w:rPr>
            </w:pPr>
          </w:p>
        </w:tc>
      </w:tr>
      <w:tr w:rsidR="00840EF3" w:rsidRPr="00840EF3" w:rsidTr="003D463E">
        <w:tc>
          <w:tcPr>
            <w:tcW w:w="4428" w:type="dxa"/>
          </w:tcPr>
          <w:p w:rsidR="003D463E" w:rsidRPr="00840EF3" w:rsidRDefault="00521439" w:rsidP="008F7276">
            <w:pPr>
              <w:pStyle w:val="P1-StandPara"/>
              <w:spacing w:line="240" w:lineRule="auto"/>
              <w:ind w:firstLine="0"/>
              <w:rPr>
                <w:sz w:val="24"/>
                <w:szCs w:val="24"/>
              </w:rPr>
            </w:pPr>
            <w:r w:rsidRPr="00840EF3">
              <w:rPr>
                <w:sz w:val="24"/>
                <w:szCs w:val="24"/>
              </w:rPr>
              <w:t xml:space="preserve">Understand how program objectives are implemented by </w:t>
            </w:r>
            <w:r w:rsidR="002C6BC4">
              <w:rPr>
                <w:sz w:val="24"/>
                <w:szCs w:val="24"/>
              </w:rPr>
              <w:t>a</w:t>
            </w:r>
            <w:r w:rsidR="008F7276">
              <w:rPr>
                <w:sz w:val="24"/>
                <w:szCs w:val="24"/>
              </w:rPr>
              <w:t>wardees</w:t>
            </w:r>
            <w:r w:rsidRPr="00840EF3">
              <w:rPr>
                <w:sz w:val="24"/>
                <w:szCs w:val="24"/>
              </w:rPr>
              <w:t>—successes and obstacles</w:t>
            </w:r>
          </w:p>
        </w:tc>
        <w:tc>
          <w:tcPr>
            <w:tcW w:w="4428" w:type="dxa"/>
          </w:tcPr>
          <w:p w:rsidR="003D463E" w:rsidRPr="00840EF3" w:rsidRDefault="00074F44" w:rsidP="00521439">
            <w:pPr>
              <w:pStyle w:val="P1-StandPara"/>
              <w:spacing w:line="240" w:lineRule="auto"/>
              <w:ind w:firstLine="0"/>
              <w:rPr>
                <w:sz w:val="24"/>
                <w:szCs w:val="24"/>
              </w:rPr>
            </w:pPr>
            <w:r>
              <w:rPr>
                <w:sz w:val="24"/>
                <w:szCs w:val="24"/>
              </w:rPr>
              <w:t>A</w:t>
            </w:r>
            <w:r w:rsidR="008F7276">
              <w:rPr>
                <w:sz w:val="24"/>
                <w:szCs w:val="24"/>
              </w:rPr>
              <w:t>wardee</w:t>
            </w:r>
            <w:r w:rsidR="008F7276" w:rsidRPr="00840EF3">
              <w:rPr>
                <w:sz w:val="24"/>
                <w:szCs w:val="24"/>
              </w:rPr>
              <w:t xml:space="preserve"> </w:t>
            </w:r>
            <w:r w:rsidR="00521439" w:rsidRPr="00840EF3">
              <w:rPr>
                <w:sz w:val="24"/>
                <w:szCs w:val="24"/>
              </w:rPr>
              <w:t>semi-structured interviews about the research and mentorship experience at their institution</w:t>
            </w:r>
          </w:p>
        </w:tc>
      </w:tr>
      <w:tr w:rsidR="003D463E" w:rsidRPr="00840EF3" w:rsidTr="003D463E">
        <w:tc>
          <w:tcPr>
            <w:tcW w:w="4428" w:type="dxa"/>
          </w:tcPr>
          <w:p w:rsidR="003D463E" w:rsidRPr="00840EF3" w:rsidRDefault="00521439" w:rsidP="00521439">
            <w:pPr>
              <w:pStyle w:val="P1-StandPara"/>
              <w:spacing w:line="240" w:lineRule="auto"/>
              <w:ind w:firstLine="0"/>
              <w:rPr>
                <w:sz w:val="24"/>
                <w:szCs w:val="24"/>
              </w:rPr>
            </w:pPr>
            <w:r w:rsidRPr="00840EF3">
              <w:rPr>
                <w:sz w:val="24"/>
                <w:szCs w:val="24"/>
              </w:rPr>
              <w:t>Determine impact of AREA Program on student career path</w:t>
            </w:r>
          </w:p>
        </w:tc>
        <w:tc>
          <w:tcPr>
            <w:tcW w:w="4428" w:type="dxa"/>
          </w:tcPr>
          <w:p w:rsidR="003D463E" w:rsidRPr="00840EF3" w:rsidRDefault="00521439" w:rsidP="00521439">
            <w:pPr>
              <w:pStyle w:val="P1-StandPara"/>
              <w:spacing w:line="240" w:lineRule="auto"/>
              <w:ind w:firstLine="0"/>
              <w:rPr>
                <w:sz w:val="24"/>
                <w:szCs w:val="24"/>
              </w:rPr>
            </w:pPr>
            <w:r w:rsidRPr="00840EF3">
              <w:rPr>
                <w:sz w:val="24"/>
                <w:szCs w:val="24"/>
              </w:rPr>
              <w:t>Student degrees earned, employment type, engagement in a scientific career, subjective value of research experience</w:t>
            </w:r>
          </w:p>
        </w:tc>
      </w:tr>
    </w:tbl>
    <w:p w:rsidR="003D463E" w:rsidRPr="00840EF3" w:rsidRDefault="003D463E" w:rsidP="003D463E">
      <w:pPr>
        <w:pStyle w:val="P1-StandPara"/>
        <w:ind w:firstLine="0"/>
        <w:rPr>
          <w:sz w:val="24"/>
          <w:szCs w:val="24"/>
        </w:rPr>
      </w:pPr>
    </w:p>
    <w:p w:rsidR="003170F8" w:rsidRPr="00840EF3" w:rsidRDefault="003170F8" w:rsidP="00F145D8">
      <w:pPr>
        <w:pStyle w:val="P1-StandPara"/>
        <w:ind w:firstLine="0"/>
        <w:rPr>
          <w:b/>
          <w:bCs/>
          <w:sz w:val="24"/>
          <w:szCs w:val="24"/>
        </w:rPr>
      </w:pPr>
      <w:r w:rsidRPr="00840EF3">
        <w:rPr>
          <w:b/>
          <w:bCs/>
          <w:sz w:val="24"/>
          <w:szCs w:val="24"/>
        </w:rPr>
        <w:t>A.16.2</w:t>
      </w:r>
      <w:r w:rsidRPr="00840EF3">
        <w:rPr>
          <w:b/>
          <w:bCs/>
          <w:sz w:val="24"/>
          <w:szCs w:val="24"/>
        </w:rPr>
        <w:tab/>
        <w:t xml:space="preserve"> Products of the Study</w:t>
      </w:r>
    </w:p>
    <w:p w:rsidR="00EC3174" w:rsidRPr="00840EF3" w:rsidRDefault="003170F8" w:rsidP="00D21958">
      <w:pPr>
        <w:pStyle w:val="P1-StandPara"/>
        <w:rPr>
          <w:sz w:val="24"/>
          <w:szCs w:val="24"/>
        </w:rPr>
      </w:pPr>
      <w:r w:rsidRPr="00840EF3">
        <w:rPr>
          <w:sz w:val="24"/>
          <w:szCs w:val="24"/>
        </w:rPr>
        <w:t xml:space="preserve">Products of the evaluation </w:t>
      </w:r>
      <w:r w:rsidR="00B96309" w:rsidRPr="00840EF3">
        <w:rPr>
          <w:sz w:val="24"/>
          <w:szCs w:val="24"/>
        </w:rPr>
        <w:t xml:space="preserve">will </w:t>
      </w:r>
      <w:r w:rsidRPr="00840EF3">
        <w:rPr>
          <w:sz w:val="24"/>
          <w:szCs w:val="24"/>
        </w:rPr>
        <w:t xml:space="preserve">include a full final report detailing the methodology, key findings, conclusions, and recommendations.  Data in the report will </w:t>
      </w:r>
      <w:r w:rsidRPr="00840EF3">
        <w:rPr>
          <w:sz w:val="24"/>
          <w:szCs w:val="24"/>
        </w:rPr>
        <w:lastRenderedPageBreak/>
        <w:t xml:space="preserve">be presented in user-friendly graphs and tables with textual analysis.  An executive summary will be developed to concisely convey the salient findings to a general audience.  Additionally, a Power Point slide deck will be prepared for presentation purposes to highlight the key findings and will include graphs, tables, and other relevant information.  </w:t>
      </w:r>
    </w:p>
    <w:p w:rsidR="003170F8" w:rsidRPr="00840EF3" w:rsidRDefault="003170F8" w:rsidP="00F145D8">
      <w:pPr>
        <w:pStyle w:val="P1-StandPara"/>
        <w:ind w:firstLine="0"/>
        <w:rPr>
          <w:b/>
          <w:bCs/>
          <w:sz w:val="24"/>
          <w:szCs w:val="24"/>
        </w:rPr>
      </w:pPr>
      <w:r w:rsidRPr="00840EF3">
        <w:rPr>
          <w:b/>
          <w:bCs/>
          <w:sz w:val="24"/>
          <w:szCs w:val="24"/>
        </w:rPr>
        <w:t>A.16.3</w:t>
      </w:r>
      <w:r w:rsidRPr="00840EF3">
        <w:rPr>
          <w:b/>
          <w:bCs/>
          <w:sz w:val="24"/>
          <w:szCs w:val="24"/>
        </w:rPr>
        <w:tab/>
        <w:t xml:space="preserve"> Dissemination of Results</w:t>
      </w:r>
    </w:p>
    <w:p w:rsidR="003170F8" w:rsidRPr="00840EF3" w:rsidRDefault="003170F8" w:rsidP="003170F8">
      <w:pPr>
        <w:pStyle w:val="P1-StandPara"/>
        <w:rPr>
          <w:sz w:val="24"/>
          <w:szCs w:val="24"/>
        </w:rPr>
      </w:pPr>
      <w:r w:rsidRPr="00840EF3">
        <w:rPr>
          <w:sz w:val="24"/>
          <w:szCs w:val="24"/>
        </w:rPr>
        <w:t xml:space="preserve">Intended audiences for the results of the evaluation include </w:t>
      </w:r>
      <w:r w:rsidR="00D21958" w:rsidRPr="00840EF3">
        <w:rPr>
          <w:sz w:val="24"/>
          <w:szCs w:val="24"/>
        </w:rPr>
        <w:t>NIH OD</w:t>
      </w:r>
      <w:r w:rsidR="0059723D" w:rsidRPr="00840EF3">
        <w:rPr>
          <w:sz w:val="24"/>
          <w:szCs w:val="24"/>
        </w:rPr>
        <w:t xml:space="preserve"> </w:t>
      </w:r>
      <w:r w:rsidRPr="00840EF3">
        <w:rPr>
          <w:sz w:val="24"/>
          <w:szCs w:val="24"/>
        </w:rPr>
        <w:t>staff</w:t>
      </w:r>
      <w:r w:rsidR="00787DE2" w:rsidRPr="00840EF3">
        <w:rPr>
          <w:sz w:val="24"/>
          <w:szCs w:val="24"/>
        </w:rPr>
        <w:t>,</w:t>
      </w:r>
      <w:r w:rsidR="00D21958" w:rsidRPr="00840EF3">
        <w:rPr>
          <w:sz w:val="24"/>
          <w:szCs w:val="24"/>
        </w:rPr>
        <w:t xml:space="preserve"> AREA represent</w:t>
      </w:r>
      <w:r w:rsidR="00787DE2" w:rsidRPr="00840EF3">
        <w:rPr>
          <w:sz w:val="24"/>
          <w:szCs w:val="24"/>
        </w:rPr>
        <w:t xml:space="preserve">atives in each participating IC, and AREA awardees, applicants, and future applicants.  </w:t>
      </w:r>
      <w:r w:rsidR="00BE7356" w:rsidRPr="00840EF3">
        <w:rPr>
          <w:sz w:val="24"/>
          <w:szCs w:val="24"/>
        </w:rPr>
        <w:t xml:space="preserve">The findings of this study will be disseminated to the larger scholarly community and presented at education- and research policy-oriented scientific conferences.  </w:t>
      </w:r>
      <w:r w:rsidRPr="00840EF3">
        <w:rPr>
          <w:sz w:val="24"/>
          <w:szCs w:val="24"/>
        </w:rPr>
        <w:t xml:space="preserve"> The results will also be shared with the broader planning and evaluation community.  A copy of the final report will be provided to the NIH Evaluation Office. </w:t>
      </w:r>
    </w:p>
    <w:p w:rsidR="003170F8" w:rsidRPr="00840EF3" w:rsidRDefault="003170F8" w:rsidP="00F145D8">
      <w:pPr>
        <w:pStyle w:val="P1-StandPara"/>
        <w:ind w:firstLine="0"/>
        <w:rPr>
          <w:b/>
          <w:bCs/>
          <w:sz w:val="24"/>
          <w:szCs w:val="24"/>
        </w:rPr>
      </w:pPr>
      <w:r w:rsidRPr="00840EF3">
        <w:rPr>
          <w:b/>
          <w:bCs/>
          <w:sz w:val="24"/>
          <w:szCs w:val="24"/>
        </w:rPr>
        <w:t>A.16.4</w:t>
      </w:r>
      <w:r w:rsidRPr="00840EF3">
        <w:rPr>
          <w:b/>
          <w:bCs/>
          <w:sz w:val="24"/>
          <w:szCs w:val="24"/>
        </w:rPr>
        <w:tab/>
        <w:t xml:space="preserve"> Use of Results</w:t>
      </w:r>
    </w:p>
    <w:p w:rsidR="003170F8" w:rsidRPr="00840EF3" w:rsidRDefault="003170F8" w:rsidP="003170F8">
      <w:pPr>
        <w:pStyle w:val="P1-StandPara"/>
        <w:rPr>
          <w:sz w:val="24"/>
          <w:szCs w:val="24"/>
        </w:rPr>
      </w:pPr>
      <w:r w:rsidRPr="00840EF3">
        <w:rPr>
          <w:sz w:val="24"/>
          <w:szCs w:val="24"/>
        </w:rPr>
        <w:t>The results will be used to determine the extent to which the AREA program is meeting its three main objectives</w:t>
      </w:r>
      <w:r w:rsidRPr="00840EF3">
        <w:t>: 1) to support meritorious research, 2) to strengthen the research environment of the institution, and 3) to expose students to research. Results from this program evaluation will provide NIH with the opportunity to understand the impact of the program, identify any gaps, and develop strategies for closing those gaps in order to enhance the ability of the program to meet its goals and to further enhance its role in promoting the scientific workforce pipeline in the U.S.</w:t>
      </w:r>
      <w:r w:rsidRPr="00840EF3">
        <w:rPr>
          <w:sz w:val="24"/>
          <w:szCs w:val="24"/>
        </w:rPr>
        <w:t xml:space="preserve"> </w:t>
      </w:r>
    </w:p>
    <w:p w:rsidR="00D43FD9" w:rsidRPr="00D61E21" w:rsidRDefault="00D43FD9" w:rsidP="00D43FD9">
      <w:pPr>
        <w:pStyle w:val="Heading2"/>
        <w:tabs>
          <w:tab w:val="clear" w:pos="1152"/>
          <w:tab w:val="left" w:pos="720"/>
        </w:tabs>
        <w:spacing w:after="0" w:line="480" w:lineRule="auto"/>
        <w:ind w:left="0" w:firstLine="0"/>
        <w:rPr>
          <w:sz w:val="24"/>
          <w:szCs w:val="24"/>
        </w:rPr>
      </w:pPr>
      <w:bookmarkStart w:id="59" w:name="_Toc443881760"/>
      <w:bookmarkStart w:id="60" w:name="_Toc451592247"/>
      <w:bookmarkStart w:id="61" w:name="_Toc5610288"/>
      <w:bookmarkStart w:id="62" w:name="_Toc99178794"/>
      <w:r>
        <w:rPr>
          <w:sz w:val="24"/>
          <w:szCs w:val="24"/>
        </w:rPr>
        <w:t>A.</w:t>
      </w:r>
      <w:r w:rsidRPr="00D61E21">
        <w:rPr>
          <w:sz w:val="24"/>
          <w:szCs w:val="24"/>
        </w:rPr>
        <w:t>17</w:t>
      </w:r>
      <w:r w:rsidRPr="00D61E21">
        <w:rPr>
          <w:sz w:val="24"/>
          <w:szCs w:val="24"/>
        </w:rPr>
        <w:tab/>
        <w:t>Reason(s) Display of OMB Expiration Date is Inappropriate</w:t>
      </w:r>
      <w:bookmarkEnd w:id="59"/>
      <w:bookmarkEnd w:id="60"/>
      <w:bookmarkEnd w:id="61"/>
      <w:bookmarkEnd w:id="62"/>
    </w:p>
    <w:p w:rsidR="008B74D1" w:rsidRPr="00686AB1" w:rsidRDefault="00220C8E" w:rsidP="008B74D1">
      <w:pPr>
        <w:pStyle w:val="P1-StandPara"/>
        <w:rPr>
          <w:sz w:val="24"/>
          <w:szCs w:val="24"/>
        </w:rPr>
      </w:pPr>
      <w:r w:rsidRPr="00960263">
        <w:rPr>
          <w:sz w:val="24"/>
          <w:szCs w:val="24"/>
        </w:rPr>
        <w:t>The web-based surve</w:t>
      </w:r>
      <w:r>
        <w:rPr>
          <w:sz w:val="24"/>
          <w:szCs w:val="24"/>
        </w:rPr>
        <w:t xml:space="preserve">ys and semi-structured interview guide </w:t>
      </w:r>
      <w:r w:rsidRPr="00960263">
        <w:rPr>
          <w:sz w:val="24"/>
          <w:szCs w:val="24"/>
        </w:rPr>
        <w:t xml:space="preserve">will not require exemption from displaying the expiration date of OMB approval.  Any reproduction of the data collection instrument will prominently display the OMB approval number and </w:t>
      </w:r>
      <w:r w:rsidRPr="00960263">
        <w:rPr>
          <w:sz w:val="24"/>
          <w:szCs w:val="24"/>
        </w:rPr>
        <w:lastRenderedPageBreak/>
        <w:t>expiration date.</w:t>
      </w:r>
      <w:r w:rsidRPr="00686AB1">
        <w:rPr>
          <w:sz w:val="24"/>
          <w:szCs w:val="24"/>
        </w:rPr>
        <w:t xml:space="preserve">  </w:t>
      </w:r>
      <w:r w:rsidR="008F7276">
        <w:rPr>
          <w:sz w:val="24"/>
          <w:szCs w:val="24"/>
        </w:rPr>
        <w:t>Awardees</w:t>
      </w:r>
      <w:r w:rsidR="008B74D1">
        <w:rPr>
          <w:sz w:val="24"/>
          <w:szCs w:val="24"/>
        </w:rPr>
        <w:t xml:space="preserve"> who will be interviewed by phone will be presented with a copy of the OMB Expiration date in the same packet as the consent form.</w:t>
      </w:r>
    </w:p>
    <w:p w:rsidR="00220C8E" w:rsidRDefault="00220C8E" w:rsidP="00220C8E">
      <w:pPr>
        <w:pStyle w:val="Heading2"/>
        <w:tabs>
          <w:tab w:val="clear" w:pos="1152"/>
          <w:tab w:val="left" w:pos="720"/>
        </w:tabs>
        <w:spacing w:after="0" w:line="480" w:lineRule="auto"/>
        <w:ind w:left="0" w:firstLine="0"/>
        <w:rPr>
          <w:sz w:val="24"/>
          <w:szCs w:val="24"/>
        </w:rPr>
      </w:pPr>
      <w:r>
        <w:rPr>
          <w:sz w:val="24"/>
          <w:szCs w:val="24"/>
        </w:rPr>
        <w:t>A.</w:t>
      </w:r>
      <w:r w:rsidRPr="00D61E21">
        <w:rPr>
          <w:sz w:val="24"/>
          <w:szCs w:val="24"/>
        </w:rPr>
        <w:t>18</w:t>
      </w:r>
      <w:r w:rsidRPr="00D61E21">
        <w:rPr>
          <w:sz w:val="24"/>
          <w:szCs w:val="24"/>
        </w:rPr>
        <w:tab/>
        <w:t>Exceptions to Certification for Paperwork Reduction Act Submissions</w:t>
      </w:r>
    </w:p>
    <w:p w:rsidR="00105F7A" w:rsidRDefault="00220C8E" w:rsidP="004A691E">
      <w:pPr>
        <w:pStyle w:val="P1-StandPara"/>
        <w:rPr>
          <w:color w:val="FF0000"/>
          <w:sz w:val="32"/>
          <w:szCs w:val="32"/>
        </w:rPr>
      </w:pPr>
      <w:r w:rsidRPr="00686AB1">
        <w:rPr>
          <w:sz w:val="24"/>
          <w:szCs w:val="24"/>
        </w:rPr>
        <w:t xml:space="preserve">The </w:t>
      </w:r>
      <w:r>
        <w:rPr>
          <w:sz w:val="24"/>
          <w:szCs w:val="24"/>
        </w:rPr>
        <w:t>AREA Program</w:t>
      </w:r>
      <w:r w:rsidRPr="00686AB1">
        <w:rPr>
          <w:sz w:val="24"/>
          <w:szCs w:val="24"/>
        </w:rPr>
        <w:t xml:space="preserve"> Evaluation Study does not require any exceptions to the Certificate for Paperwork Reduction Act (5 CFR 1320.9).</w:t>
      </w:r>
      <w:r w:rsidRPr="0005035B">
        <w:rPr>
          <w:color w:val="FF0000"/>
          <w:sz w:val="32"/>
          <w:szCs w:val="32"/>
        </w:rPr>
        <w:t xml:space="preserve"> </w:t>
      </w:r>
    </w:p>
    <w:p w:rsidR="005534A0" w:rsidRDefault="005534A0" w:rsidP="004A691E">
      <w:pPr>
        <w:pStyle w:val="P1-StandPara"/>
        <w:rPr>
          <w:color w:val="FF0000"/>
          <w:sz w:val="32"/>
          <w:szCs w:val="32"/>
        </w:rPr>
      </w:pPr>
    </w:p>
    <w:p w:rsidR="005534A0" w:rsidRDefault="005534A0" w:rsidP="004A691E">
      <w:pPr>
        <w:pStyle w:val="P1-StandPara"/>
        <w:rPr>
          <w:color w:val="FF0000"/>
          <w:sz w:val="32"/>
          <w:szCs w:val="32"/>
        </w:rPr>
      </w:pPr>
    </w:p>
    <w:p w:rsidR="005534A0" w:rsidRDefault="005534A0" w:rsidP="004A691E">
      <w:pPr>
        <w:pStyle w:val="P1-StandPara"/>
      </w:pPr>
    </w:p>
    <w:sectPr w:rsidR="005534A0" w:rsidSect="001F4814">
      <w:footerReference w:type="even" r:id="rId23"/>
      <w:footerReference w:type="default" r:id="rId24"/>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DAF" w:rsidRDefault="00B83DAF">
      <w:r>
        <w:separator/>
      </w:r>
    </w:p>
  </w:endnote>
  <w:endnote w:type="continuationSeparator" w:id="0">
    <w:p w:rsidR="00B83DAF" w:rsidRDefault="00B8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3B7" w:rsidRDefault="000D03B7" w:rsidP="00BF68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03B7" w:rsidRDefault="000D03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3B7" w:rsidRDefault="000D03B7" w:rsidP="00BF687F">
    <w:pPr>
      <w:pStyle w:val="Footer"/>
      <w:framePr w:w="331" w:wrap="around" w:vAnchor="text" w:hAnchor="page" w:x="6046" w:yAlign="top"/>
      <w:rPr>
        <w:rStyle w:val="PageNumber"/>
      </w:rPr>
    </w:pPr>
    <w:r>
      <w:rPr>
        <w:rStyle w:val="PageNumber"/>
      </w:rPr>
      <w:fldChar w:fldCharType="begin"/>
    </w:r>
    <w:r>
      <w:rPr>
        <w:rStyle w:val="PageNumber"/>
      </w:rPr>
      <w:instrText xml:space="preserve">PAGE  </w:instrText>
    </w:r>
    <w:r>
      <w:rPr>
        <w:rStyle w:val="PageNumber"/>
      </w:rPr>
      <w:fldChar w:fldCharType="separate"/>
    </w:r>
    <w:r w:rsidR="000431B6">
      <w:rPr>
        <w:rStyle w:val="PageNumber"/>
        <w:noProof/>
      </w:rPr>
      <w:t>iii</w:t>
    </w:r>
    <w:r>
      <w:rPr>
        <w:rStyle w:val="PageNumber"/>
      </w:rPr>
      <w:fldChar w:fldCharType="end"/>
    </w:r>
  </w:p>
  <w:p w:rsidR="000D03B7" w:rsidRDefault="000D03B7" w:rsidP="00BF687F">
    <w:pPr>
      <w:pStyle w:val="Footer"/>
      <w:jc w:val="center"/>
      <w:rPr>
        <w:sz w:val="20"/>
      </w:rPr>
    </w:pPr>
  </w:p>
  <w:p w:rsidR="000D03B7" w:rsidRDefault="000D03B7" w:rsidP="00BF687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3B7" w:rsidRDefault="000D03B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3B7" w:rsidRDefault="000D03B7" w:rsidP="001629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03B7" w:rsidRDefault="000D03B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272496"/>
      <w:docPartObj>
        <w:docPartGallery w:val="Page Numbers (Bottom of Page)"/>
        <w:docPartUnique/>
      </w:docPartObj>
    </w:sdtPr>
    <w:sdtEndPr>
      <w:rPr>
        <w:noProof/>
      </w:rPr>
    </w:sdtEndPr>
    <w:sdtContent>
      <w:p w:rsidR="000D03B7" w:rsidRDefault="000D03B7">
        <w:pPr>
          <w:pStyle w:val="Footer"/>
          <w:jc w:val="right"/>
        </w:pPr>
        <w:r>
          <w:fldChar w:fldCharType="begin"/>
        </w:r>
        <w:r>
          <w:instrText xml:space="preserve"> PAGE   \* MERGEFORMAT </w:instrText>
        </w:r>
        <w:r>
          <w:fldChar w:fldCharType="separate"/>
        </w:r>
        <w:r w:rsidR="000431B6">
          <w:rPr>
            <w:noProof/>
          </w:rPr>
          <w:t>17</w:t>
        </w:r>
        <w:r>
          <w:rPr>
            <w:noProof/>
          </w:rPr>
          <w:fldChar w:fldCharType="end"/>
        </w:r>
      </w:p>
    </w:sdtContent>
  </w:sdt>
  <w:p w:rsidR="000D03B7" w:rsidRDefault="000D03B7" w:rsidP="001F4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DAF" w:rsidRDefault="00B83DAF">
      <w:r>
        <w:separator/>
      </w:r>
    </w:p>
  </w:footnote>
  <w:footnote w:type="continuationSeparator" w:id="0">
    <w:p w:rsidR="00B83DAF" w:rsidRDefault="00B83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3B7" w:rsidRDefault="000D03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3B7" w:rsidRDefault="000D03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3B7" w:rsidRDefault="000D03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3F2"/>
    <w:multiLevelType w:val="hybridMultilevel"/>
    <w:tmpl w:val="2AF8B9FA"/>
    <w:lvl w:ilvl="0" w:tplc="7C926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F27C30"/>
    <w:multiLevelType w:val="hybridMultilevel"/>
    <w:tmpl w:val="3F9E0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A236F6"/>
    <w:multiLevelType w:val="hybridMultilevel"/>
    <w:tmpl w:val="69043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B71EF"/>
    <w:multiLevelType w:val="hybridMultilevel"/>
    <w:tmpl w:val="49300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275EE5"/>
    <w:multiLevelType w:val="hybridMultilevel"/>
    <w:tmpl w:val="176C0802"/>
    <w:lvl w:ilvl="0" w:tplc="B2BC7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CE29A8"/>
    <w:multiLevelType w:val="hybridMultilevel"/>
    <w:tmpl w:val="931C3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6F51D98"/>
    <w:multiLevelType w:val="hybridMultilevel"/>
    <w:tmpl w:val="D43212FC"/>
    <w:lvl w:ilvl="0" w:tplc="6C4294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5C4454"/>
    <w:multiLevelType w:val="hybridMultilevel"/>
    <w:tmpl w:val="C2C6B764"/>
    <w:lvl w:ilvl="0" w:tplc="5BE0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9">
    <w:nsid w:val="661A5102"/>
    <w:multiLevelType w:val="hybridMultilevel"/>
    <w:tmpl w:val="BD1C64A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85A0B8B"/>
    <w:multiLevelType w:val="hybridMultilevel"/>
    <w:tmpl w:val="20909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494AFD"/>
    <w:multiLevelType w:val="hybridMultilevel"/>
    <w:tmpl w:val="35BE1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BE5458"/>
    <w:multiLevelType w:val="hybridMultilevel"/>
    <w:tmpl w:val="DBD886D6"/>
    <w:lvl w:ilvl="0" w:tplc="915C1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8"/>
  </w:num>
  <w:num w:numId="3">
    <w:abstractNumId w:val="3"/>
  </w:num>
  <w:num w:numId="4">
    <w:abstractNumId w:val="12"/>
  </w:num>
  <w:num w:numId="5">
    <w:abstractNumId w:val="4"/>
  </w:num>
  <w:num w:numId="6">
    <w:abstractNumId w:val="6"/>
  </w:num>
  <w:num w:numId="7">
    <w:abstractNumId w:val="7"/>
  </w:num>
  <w:num w:numId="8">
    <w:abstractNumId w:val="0"/>
  </w:num>
  <w:num w:numId="9">
    <w:abstractNumId w:val="5"/>
  </w:num>
  <w:num w:numId="10">
    <w:abstractNumId w:val="2"/>
  </w:num>
  <w:num w:numId="11">
    <w:abstractNumId w:val="11"/>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D9"/>
    <w:rsid w:val="00003307"/>
    <w:rsid w:val="00005057"/>
    <w:rsid w:val="00005DAE"/>
    <w:rsid w:val="000060A4"/>
    <w:rsid w:val="000110B9"/>
    <w:rsid w:val="00011EDD"/>
    <w:rsid w:val="00014EFC"/>
    <w:rsid w:val="00030532"/>
    <w:rsid w:val="000327F2"/>
    <w:rsid w:val="000431B6"/>
    <w:rsid w:val="00043F0C"/>
    <w:rsid w:val="00056F75"/>
    <w:rsid w:val="00074F44"/>
    <w:rsid w:val="000806C9"/>
    <w:rsid w:val="000822B1"/>
    <w:rsid w:val="0008370E"/>
    <w:rsid w:val="00094155"/>
    <w:rsid w:val="000975FB"/>
    <w:rsid w:val="000B0656"/>
    <w:rsid w:val="000D03B7"/>
    <w:rsid w:val="000D1B4E"/>
    <w:rsid w:val="000D2888"/>
    <w:rsid w:val="000D2BD6"/>
    <w:rsid w:val="000D4111"/>
    <w:rsid w:val="000D50BC"/>
    <w:rsid w:val="000E0ED7"/>
    <w:rsid w:val="000E43DB"/>
    <w:rsid w:val="000F7DE5"/>
    <w:rsid w:val="00103E31"/>
    <w:rsid w:val="00105F7A"/>
    <w:rsid w:val="00123AAA"/>
    <w:rsid w:val="001321CB"/>
    <w:rsid w:val="001324A4"/>
    <w:rsid w:val="00141E25"/>
    <w:rsid w:val="001459CE"/>
    <w:rsid w:val="00160054"/>
    <w:rsid w:val="001629AD"/>
    <w:rsid w:val="001762EC"/>
    <w:rsid w:val="00177678"/>
    <w:rsid w:val="0018177D"/>
    <w:rsid w:val="001925CC"/>
    <w:rsid w:val="00193C6D"/>
    <w:rsid w:val="0019754E"/>
    <w:rsid w:val="001B6BD4"/>
    <w:rsid w:val="001F0B26"/>
    <w:rsid w:val="001F4814"/>
    <w:rsid w:val="00220C8E"/>
    <w:rsid w:val="00237A3B"/>
    <w:rsid w:val="002433A9"/>
    <w:rsid w:val="0024596F"/>
    <w:rsid w:val="00252112"/>
    <w:rsid w:val="00253747"/>
    <w:rsid w:val="00265937"/>
    <w:rsid w:val="00274982"/>
    <w:rsid w:val="00274E21"/>
    <w:rsid w:val="002841F1"/>
    <w:rsid w:val="0029531A"/>
    <w:rsid w:val="002A00E3"/>
    <w:rsid w:val="002A3715"/>
    <w:rsid w:val="002A3EB9"/>
    <w:rsid w:val="002A6238"/>
    <w:rsid w:val="002B420C"/>
    <w:rsid w:val="002C6BC4"/>
    <w:rsid w:val="002E6C22"/>
    <w:rsid w:val="002F0078"/>
    <w:rsid w:val="002F4206"/>
    <w:rsid w:val="002F6844"/>
    <w:rsid w:val="002F79B0"/>
    <w:rsid w:val="00314450"/>
    <w:rsid w:val="00314F61"/>
    <w:rsid w:val="00315BD2"/>
    <w:rsid w:val="003170F8"/>
    <w:rsid w:val="003217D3"/>
    <w:rsid w:val="00325186"/>
    <w:rsid w:val="00346A1E"/>
    <w:rsid w:val="00357CDC"/>
    <w:rsid w:val="0036085D"/>
    <w:rsid w:val="0036519B"/>
    <w:rsid w:val="00371002"/>
    <w:rsid w:val="003721E4"/>
    <w:rsid w:val="00385232"/>
    <w:rsid w:val="00390230"/>
    <w:rsid w:val="00394B08"/>
    <w:rsid w:val="00395E14"/>
    <w:rsid w:val="003A4183"/>
    <w:rsid w:val="003B2442"/>
    <w:rsid w:val="003B5238"/>
    <w:rsid w:val="003B62D5"/>
    <w:rsid w:val="003C1E75"/>
    <w:rsid w:val="003C414D"/>
    <w:rsid w:val="003D1C7C"/>
    <w:rsid w:val="003D463E"/>
    <w:rsid w:val="003E5ADA"/>
    <w:rsid w:val="003E72FD"/>
    <w:rsid w:val="003F1713"/>
    <w:rsid w:val="004009E8"/>
    <w:rsid w:val="00404779"/>
    <w:rsid w:val="004069F2"/>
    <w:rsid w:val="00416D7A"/>
    <w:rsid w:val="0042054E"/>
    <w:rsid w:val="0042422C"/>
    <w:rsid w:val="004363E3"/>
    <w:rsid w:val="00456E54"/>
    <w:rsid w:val="004652A8"/>
    <w:rsid w:val="00466723"/>
    <w:rsid w:val="00467DFA"/>
    <w:rsid w:val="004908A2"/>
    <w:rsid w:val="0049629F"/>
    <w:rsid w:val="004A691E"/>
    <w:rsid w:val="004C3027"/>
    <w:rsid w:val="004C3235"/>
    <w:rsid w:val="004C67AD"/>
    <w:rsid w:val="00504680"/>
    <w:rsid w:val="00510C57"/>
    <w:rsid w:val="005118C5"/>
    <w:rsid w:val="00514009"/>
    <w:rsid w:val="00521439"/>
    <w:rsid w:val="00541082"/>
    <w:rsid w:val="0054480C"/>
    <w:rsid w:val="0054648D"/>
    <w:rsid w:val="005534A0"/>
    <w:rsid w:val="0055503A"/>
    <w:rsid w:val="00555BBB"/>
    <w:rsid w:val="00566809"/>
    <w:rsid w:val="00570CBE"/>
    <w:rsid w:val="00573F33"/>
    <w:rsid w:val="005741C1"/>
    <w:rsid w:val="005748A2"/>
    <w:rsid w:val="00585626"/>
    <w:rsid w:val="0059723D"/>
    <w:rsid w:val="005A1E69"/>
    <w:rsid w:val="005C0C85"/>
    <w:rsid w:val="005C55D8"/>
    <w:rsid w:val="005D104C"/>
    <w:rsid w:val="00624818"/>
    <w:rsid w:val="00625A3E"/>
    <w:rsid w:val="0062731C"/>
    <w:rsid w:val="00651DB3"/>
    <w:rsid w:val="00653AF5"/>
    <w:rsid w:val="00660B0F"/>
    <w:rsid w:val="00666F4E"/>
    <w:rsid w:val="006715AA"/>
    <w:rsid w:val="0067466B"/>
    <w:rsid w:val="00682C84"/>
    <w:rsid w:val="006841F7"/>
    <w:rsid w:val="006926DC"/>
    <w:rsid w:val="00695DF1"/>
    <w:rsid w:val="006972F7"/>
    <w:rsid w:val="006B5F20"/>
    <w:rsid w:val="006C193A"/>
    <w:rsid w:val="006D6E06"/>
    <w:rsid w:val="006F0799"/>
    <w:rsid w:val="006F6AA3"/>
    <w:rsid w:val="00702350"/>
    <w:rsid w:val="0070732A"/>
    <w:rsid w:val="00720B7B"/>
    <w:rsid w:val="00733F90"/>
    <w:rsid w:val="0074557F"/>
    <w:rsid w:val="00747A2E"/>
    <w:rsid w:val="00767266"/>
    <w:rsid w:val="00770DF1"/>
    <w:rsid w:val="00780AB3"/>
    <w:rsid w:val="00787DE2"/>
    <w:rsid w:val="007933D3"/>
    <w:rsid w:val="007939DB"/>
    <w:rsid w:val="007941BD"/>
    <w:rsid w:val="007958AD"/>
    <w:rsid w:val="007C49D4"/>
    <w:rsid w:val="007C4F87"/>
    <w:rsid w:val="007C6982"/>
    <w:rsid w:val="007E4026"/>
    <w:rsid w:val="007F7E3C"/>
    <w:rsid w:val="0080228B"/>
    <w:rsid w:val="008208A1"/>
    <w:rsid w:val="00821C26"/>
    <w:rsid w:val="00822C1F"/>
    <w:rsid w:val="0082593A"/>
    <w:rsid w:val="00835F73"/>
    <w:rsid w:val="00840EF3"/>
    <w:rsid w:val="00843DE5"/>
    <w:rsid w:val="00845F86"/>
    <w:rsid w:val="00882A21"/>
    <w:rsid w:val="008927C0"/>
    <w:rsid w:val="008B74D1"/>
    <w:rsid w:val="008C1CB6"/>
    <w:rsid w:val="008C2234"/>
    <w:rsid w:val="008D65C3"/>
    <w:rsid w:val="008E1C46"/>
    <w:rsid w:val="008F7276"/>
    <w:rsid w:val="00900353"/>
    <w:rsid w:val="00900C15"/>
    <w:rsid w:val="00901CFD"/>
    <w:rsid w:val="00906A57"/>
    <w:rsid w:val="00907572"/>
    <w:rsid w:val="00921B41"/>
    <w:rsid w:val="00923E04"/>
    <w:rsid w:val="00931FB0"/>
    <w:rsid w:val="00944236"/>
    <w:rsid w:val="00955CE5"/>
    <w:rsid w:val="00960353"/>
    <w:rsid w:val="00970863"/>
    <w:rsid w:val="00975380"/>
    <w:rsid w:val="009A1011"/>
    <w:rsid w:val="009B4AE3"/>
    <w:rsid w:val="009D7F93"/>
    <w:rsid w:val="009E4D93"/>
    <w:rsid w:val="009E7A69"/>
    <w:rsid w:val="009F4B39"/>
    <w:rsid w:val="00A202BD"/>
    <w:rsid w:val="00A215EC"/>
    <w:rsid w:val="00A31185"/>
    <w:rsid w:val="00A36BF6"/>
    <w:rsid w:val="00A46A96"/>
    <w:rsid w:val="00A46E4A"/>
    <w:rsid w:val="00A55C70"/>
    <w:rsid w:val="00A60E41"/>
    <w:rsid w:val="00A72536"/>
    <w:rsid w:val="00A73AA7"/>
    <w:rsid w:val="00A772A7"/>
    <w:rsid w:val="00A84A0B"/>
    <w:rsid w:val="00AA2A95"/>
    <w:rsid w:val="00AD4E89"/>
    <w:rsid w:val="00AF1B9A"/>
    <w:rsid w:val="00B00C39"/>
    <w:rsid w:val="00B03290"/>
    <w:rsid w:val="00B0377B"/>
    <w:rsid w:val="00B10FC0"/>
    <w:rsid w:val="00B35956"/>
    <w:rsid w:val="00B50A13"/>
    <w:rsid w:val="00B545C6"/>
    <w:rsid w:val="00B618CC"/>
    <w:rsid w:val="00B820D5"/>
    <w:rsid w:val="00B83DAF"/>
    <w:rsid w:val="00B85676"/>
    <w:rsid w:val="00B874D1"/>
    <w:rsid w:val="00B93161"/>
    <w:rsid w:val="00B96309"/>
    <w:rsid w:val="00BA143F"/>
    <w:rsid w:val="00BB64FF"/>
    <w:rsid w:val="00BC481B"/>
    <w:rsid w:val="00BD28D5"/>
    <w:rsid w:val="00BD4D3C"/>
    <w:rsid w:val="00BE4A32"/>
    <w:rsid w:val="00BE7356"/>
    <w:rsid w:val="00BF687F"/>
    <w:rsid w:val="00C15A7E"/>
    <w:rsid w:val="00C244F0"/>
    <w:rsid w:val="00C26A73"/>
    <w:rsid w:val="00C27269"/>
    <w:rsid w:val="00C4587A"/>
    <w:rsid w:val="00C5738A"/>
    <w:rsid w:val="00C817AE"/>
    <w:rsid w:val="00C8311B"/>
    <w:rsid w:val="00CA6CDC"/>
    <w:rsid w:val="00CC30B3"/>
    <w:rsid w:val="00CD4D2D"/>
    <w:rsid w:val="00CE1B04"/>
    <w:rsid w:val="00CE3390"/>
    <w:rsid w:val="00CE3D1A"/>
    <w:rsid w:val="00CF1428"/>
    <w:rsid w:val="00D16562"/>
    <w:rsid w:val="00D21958"/>
    <w:rsid w:val="00D25F2C"/>
    <w:rsid w:val="00D27CFE"/>
    <w:rsid w:val="00D324C2"/>
    <w:rsid w:val="00D371FC"/>
    <w:rsid w:val="00D43FD9"/>
    <w:rsid w:val="00D52710"/>
    <w:rsid w:val="00D5376D"/>
    <w:rsid w:val="00D53C1F"/>
    <w:rsid w:val="00D97EB3"/>
    <w:rsid w:val="00DD2078"/>
    <w:rsid w:val="00DE36F9"/>
    <w:rsid w:val="00DE6A7C"/>
    <w:rsid w:val="00DF4318"/>
    <w:rsid w:val="00E17E7C"/>
    <w:rsid w:val="00E27262"/>
    <w:rsid w:val="00E340A3"/>
    <w:rsid w:val="00E35DA4"/>
    <w:rsid w:val="00E369D2"/>
    <w:rsid w:val="00E45CC2"/>
    <w:rsid w:val="00E53A8D"/>
    <w:rsid w:val="00E6313A"/>
    <w:rsid w:val="00E66471"/>
    <w:rsid w:val="00E67C92"/>
    <w:rsid w:val="00E7012E"/>
    <w:rsid w:val="00E74A05"/>
    <w:rsid w:val="00E82D5B"/>
    <w:rsid w:val="00E83508"/>
    <w:rsid w:val="00E86A55"/>
    <w:rsid w:val="00E979F1"/>
    <w:rsid w:val="00EA796A"/>
    <w:rsid w:val="00EB1D52"/>
    <w:rsid w:val="00EC3174"/>
    <w:rsid w:val="00EC4D79"/>
    <w:rsid w:val="00EC4E62"/>
    <w:rsid w:val="00EE6379"/>
    <w:rsid w:val="00EE779B"/>
    <w:rsid w:val="00EF7851"/>
    <w:rsid w:val="00F05DA3"/>
    <w:rsid w:val="00F13ADA"/>
    <w:rsid w:val="00F145D8"/>
    <w:rsid w:val="00F15FD3"/>
    <w:rsid w:val="00F169B2"/>
    <w:rsid w:val="00F239D8"/>
    <w:rsid w:val="00F439C9"/>
    <w:rsid w:val="00F44307"/>
    <w:rsid w:val="00F52324"/>
    <w:rsid w:val="00F57633"/>
    <w:rsid w:val="00F63F32"/>
    <w:rsid w:val="00F73E2D"/>
    <w:rsid w:val="00F84476"/>
    <w:rsid w:val="00F846F4"/>
    <w:rsid w:val="00F8567E"/>
    <w:rsid w:val="00FA1A90"/>
    <w:rsid w:val="00FC194B"/>
    <w:rsid w:val="00FD49C1"/>
    <w:rsid w:val="00FD7F3E"/>
    <w:rsid w:val="00FE1D1B"/>
    <w:rsid w:val="00FE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FD9"/>
    <w:pPr>
      <w:spacing w:after="0" w:line="240" w:lineRule="auto"/>
    </w:pPr>
    <w:rPr>
      <w:rFonts w:ascii="Times New Roman" w:eastAsia="Times New Roman" w:hAnsi="Times New Roman" w:cs="Times New Roman"/>
      <w:sz w:val="24"/>
      <w:szCs w:val="24"/>
    </w:rPr>
  </w:style>
  <w:style w:type="paragraph" w:styleId="Heading2">
    <w:name w:val="heading 2"/>
    <w:aliases w:val="H2-Sec. Head"/>
    <w:basedOn w:val="Normal"/>
    <w:next w:val="P1-StandPara"/>
    <w:link w:val="Heading2Char"/>
    <w:qFormat/>
    <w:rsid w:val="00D43FD9"/>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D43FD9"/>
    <w:rPr>
      <w:rFonts w:ascii="Times New Roman" w:eastAsia="Times New Roman" w:hAnsi="Times New Roman" w:cs="Times New Roman"/>
      <w:b/>
      <w:szCs w:val="20"/>
    </w:rPr>
  </w:style>
  <w:style w:type="paragraph" w:styleId="TOC1">
    <w:name w:val="toc 1"/>
    <w:autoRedefine/>
    <w:semiHidden/>
    <w:rsid w:val="00D43FD9"/>
    <w:pPr>
      <w:tabs>
        <w:tab w:val="left" w:pos="0"/>
        <w:tab w:val="left" w:pos="720"/>
        <w:tab w:val="right" w:leader="dot" w:pos="9494"/>
      </w:tabs>
      <w:spacing w:before="120" w:after="120" w:line="480" w:lineRule="auto"/>
      <w:jc w:val="both"/>
    </w:pPr>
    <w:rPr>
      <w:rFonts w:ascii="Times New Roman" w:eastAsia="Times New Roman" w:hAnsi="Times New Roman" w:cs="Times New Roman"/>
      <w:b/>
      <w:caps/>
      <w:noProof/>
      <w:sz w:val="24"/>
      <w:szCs w:val="24"/>
    </w:rPr>
  </w:style>
  <w:style w:type="paragraph" w:styleId="TOC2">
    <w:name w:val="toc 2"/>
    <w:autoRedefine/>
    <w:semiHidden/>
    <w:rsid w:val="00D43FD9"/>
    <w:pPr>
      <w:tabs>
        <w:tab w:val="left" w:pos="720"/>
        <w:tab w:val="right" w:leader="dot" w:pos="9494"/>
      </w:tabs>
      <w:spacing w:before="120" w:after="120" w:line="240" w:lineRule="atLeast"/>
      <w:ind w:left="720" w:hanging="720"/>
    </w:pPr>
    <w:rPr>
      <w:rFonts w:ascii="Times New Roman" w:eastAsia="Times New Roman" w:hAnsi="Times New Roman" w:cs="Times New Roman"/>
      <w:smallCaps/>
      <w:sz w:val="20"/>
      <w:szCs w:val="20"/>
    </w:rPr>
  </w:style>
  <w:style w:type="paragraph" w:customStyle="1" w:styleId="P1-StandPara">
    <w:name w:val="P1-Stand Para"/>
    <w:link w:val="P1-StandParaChar"/>
    <w:rsid w:val="00D43FD9"/>
    <w:pPr>
      <w:spacing w:after="0" w:line="480" w:lineRule="auto"/>
      <w:ind w:firstLine="720"/>
    </w:pPr>
    <w:rPr>
      <w:rFonts w:ascii="Times New Roman" w:eastAsia="Times New Roman" w:hAnsi="Times New Roman" w:cs="Times New Roman"/>
      <w:szCs w:val="20"/>
    </w:rPr>
  </w:style>
  <w:style w:type="paragraph" w:styleId="Footer">
    <w:name w:val="footer"/>
    <w:basedOn w:val="Normal"/>
    <w:link w:val="FooterChar"/>
    <w:uiPriority w:val="99"/>
    <w:rsid w:val="00D43FD9"/>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D43FD9"/>
    <w:rPr>
      <w:rFonts w:ascii="Times New Roman" w:eastAsia="Times New Roman" w:hAnsi="Times New Roman" w:cs="Times New Roman"/>
      <w:szCs w:val="20"/>
    </w:rPr>
  </w:style>
  <w:style w:type="character" w:styleId="PageNumber">
    <w:name w:val="page number"/>
    <w:basedOn w:val="DefaultParagraphFont"/>
    <w:rsid w:val="00D43FD9"/>
  </w:style>
  <w:style w:type="paragraph" w:customStyle="1" w:styleId="a">
    <w:name w:val="_"/>
    <w:rsid w:val="00D43FD9"/>
    <w:pPr>
      <w:widowControl w:val="0"/>
      <w:spacing w:after="0" w:line="240" w:lineRule="auto"/>
      <w:ind w:left="720"/>
    </w:pPr>
    <w:rPr>
      <w:rFonts w:ascii="Times New Roman" w:eastAsia="Times New Roman" w:hAnsi="Times New Roman" w:cs="Times New Roman"/>
      <w:snapToGrid w:val="0"/>
      <w:sz w:val="24"/>
      <w:szCs w:val="20"/>
    </w:rPr>
  </w:style>
  <w:style w:type="character" w:styleId="Hyperlink">
    <w:name w:val="Hyperlink"/>
    <w:rsid w:val="00D43FD9"/>
    <w:rPr>
      <w:color w:val="0000FF"/>
      <w:u w:val="single"/>
    </w:rPr>
  </w:style>
  <w:style w:type="paragraph" w:styleId="PlainText">
    <w:name w:val="Plain Text"/>
    <w:basedOn w:val="Normal"/>
    <w:link w:val="PlainTextChar"/>
    <w:uiPriority w:val="99"/>
    <w:unhideWhenUsed/>
    <w:rsid w:val="00D43FD9"/>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D43FD9"/>
    <w:rPr>
      <w:rFonts w:ascii="Courier New" w:eastAsia="Calibri" w:hAnsi="Courier New" w:cs="Courier New"/>
      <w:sz w:val="20"/>
      <w:szCs w:val="20"/>
    </w:rPr>
  </w:style>
  <w:style w:type="character" w:styleId="CommentReference">
    <w:name w:val="annotation reference"/>
    <w:rsid w:val="00D43FD9"/>
    <w:rPr>
      <w:sz w:val="16"/>
      <w:szCs w:val="16"/>
    </w:rPr>
  </w:style>
  <w:style w:type="paragraph" w:styleId="CommentText">
    <w:name w:val="annotation text"/>
    <w:basedOn w:val="Normal"/>
    <w:link w:val="CommentTextChar"/>
    <w:rsid w:val="00D43FD9"/>
    <w:rPr>
      <w:sz w:val="20"/>
      <w:szCs w:val="20"/>
    </w:rPr>
  </w:style>
  <w:style w:type="character" w:customStyle="1" w:styleId="CommentTextChar">
    <w:name w:val="Comment Text Char"/>
    <w:basedOn w:val="DefaultParagraphFont"/>
    <w:link w:val="CommentText"/>
    <w:rsid w:val="00D43FD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43FD9"/>
    <w:rPr>
      <w:rFonts w:ascii="Tahoma" w:hAnsi="Tahoma" w:cs="Tahoma"/>
      <w:sz w:val="16"/>
      <w:szCs w:val="16"/>
    </w:rPr>
  </w:style>
  <w:style w:type="character" w:customStyle="1" w:styleId="BalloonTextChar">
    <w:name w:val="Balloon Text Char"/>
    <w:basedOn w:val="DefaultParagraphFont"/>
    <w:link w:val="BalloonText"/>
    <w:uiPriority w:val="99"/>
    <w:semiHidden/>
    <w:rsid w:val="00D43FD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23AAA"/>
    <w:rPr>
      <w:color w:val="800080" w:themeColor="followedHyperlink"/>
      <w:u w:val="single"/>
    </w:rPr>
  </w:style>
  <w:style w:type="paragraph" w:customStyle="1" w:styleId="N1-1stBullet">
    <w:name w:val="N1-1st Bullet"/>
    <w:basedOn w:val="Normal"/>
    <w:rsid w:val="00566809"/>
    <w:pPr>
      <w:tabs>
        <w:tab w:val="left" w:pos="1152"/>
      </w:tabs>
      <w:spacing w:after="240" w:line="240" w:lineRule="atLeast"/>
      <w:ind w:left="1152" w:hanging="576"/>
      <w:jc w:val="both"/>
    </w:pPr>
    <w:rPr>
      <w:sz w:val="22"/>
      <w:szCs w:val="20"/>
    </w:rPr>
  </w:style>
  <w:style w:type="paragraph" w:styleId="CommentSubject">
    <w:name w:val="annotation subject"/>
    <w:basedOn w:val="CommentText"/>
    <w:next w:val="CommentText"/>
    <w:link w:val="CommentSubjectChar"/>
    <w:uiPriority w:val="99"/>
    <w:semiHidden/>
    <w:unhideWhenUsed/>
    <w:rsid w:val="00566809"/>
    <w:rPr>
      <w:b/>
      <w:bCs/>
    </w:rPr>
  </w:style>
  <w:style w:type="character" w:customStyle="1" w:styleId="CommentSubjectChar">
    <w:name w:val="Comment Subject Char"/>
    <w:basedOn w:val="CommentTextChar"/>
    <w:link w:val="CommentSubject"/>
    <w:uiPriority w:val="99"/>
    <w:semiHidden/>
    <w:rsid w:val="00566809"/>
    <w:rPr>
      <w:rFonts w:ascii="Times New Roman" w:eastAsia="Times New Roman" w:hAnsi="Times New Roman" w:cs="Times New Roman"/>
      <w:b/>
      <w:bCs/>
      <w:sz w:val="20"/>
      <w:szCs w:val="20"/>
    </w:rPr>
  </w:style>
  <w:style w:type="character" w:customStyle="1" w:styleId="P1-StandParaChar">
    <w:name w:val="P1-Stand Para Char"/>
    <w:link w:val="P1-StandPara"/>
    <w:rsid w:val="005C0C85"/>
    <w:rPr>
      <w:rFonts w:ascii="Times New Roman" w:eastAsia="Times New Roman" w:hAnsi="Times New Roman" w:cs="Times New Roman"/>
      <w:szCs w:val="20"/>
    </w:rPr>
  </w:style>
  <w:style w:type="paragraph" w:customStyle="1" w:styleId="L1-FlLSp12">
    <w:name w:val="L1-FlL Sp&amp;1/2"/>
    <w:rsid w:val="001629AD"/>
    <w:pPr>
      <w:tabs>
        <w:tab w:val="left" w:pos="1152"/>
      </w:tabs>
      <w:spacing w:after="0" w:line="360" w:lineRule="atLeast"/>
      <w:jc w:val="both"/>
    </w:pPr>
    <w:rPr>
      <w:rFonts w:ascii="Times New Roman" w:eastAsia="Times New Roman" w:hAnsi="Times New Roman" w:cs="Times New Roman"/>
      <w:szCs w:val="20"/>
    </w:rPr>
  </w:style>
  <w:style w:type="paragraph" w:styleId="BodyTextIndent">
    <w:name w:val="Body Text Indent"/>
    <w:basedOn w:val="Normal"/>
    <w:link w:val="BodyTextIndentChar"/>
    <w:rsid w:val="009A1011"/>
    <w:pPr>
      <w:spacing w:before="240" w:after="120" w:line="360" w:lineRule="atLeast"/>
      <w:ind w:firstLine="720"/>
      <w:jc w:val="both"/>
    </w:pPr>
    <w:rPr>
      <w:sz w:val="22"/>
      <w:szCs w:val="20"/>
    </w:rPr>
  </w:style>
  <w:style w:type="character" w:customStyle="1" w:styleId="BodyTextIndentChar">
    <w:name w:val="Body Text Indent Char"/>
    <w:basedOn w:val="DefaultParagraphFont"/>
    <w:link w:val="BodyTextIndent"/>
    <w:rsid w:val="009A1011"/>
    <w:rPr>
      <w:rFonts w:ascii="Times New Roman" w:eastAsia="Times New Roman" w:hAnsi="Times New Roman" w:cs="Times New Roman"/>
      <w:szCs w:val="20"/>
    </w:rPr>
  </w:style>
  <w:style w:type="paragraph" w:styleId="FootnoteText">
    <w:name w:val="footnote text"/>
    <w:aliases w:val="F1"/>
    <w:link w:val="FootnoteTextChar"/>
    <w:semiHidden/>
    <w:rsid w:val="00BD28D5"/>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BD28D5"/>
    <w:rPr>
      <w:rFonts w:ascii="Times New Roman" w:eastAsia="Times New Roman" w:hAnsi="Times New Roman" w:cs="Times New Roman"/>
      <w:sz w:val="16"/>
      <w:szCs w:val="20"/>
    </w:rPr>
  </w:style>
  <w:style w:type="character" w:styleId="FootnoteReference">
    <w:name w:val="footnote reference"/>
    <w:semiHidden/>
    <w:rsid w:val="00BD28D5"/>
    <w:rPr>
      <w:vertAlign w:val="superscript"/>
    </w:rPr>
  </w:style>
  <w:style w:type="paragraph" w:styleId="BodyTextIndent3">
    <w:name w:val="Body Text Indent 3"/>
    <w:basedOn w:val="Normal"/>
    <w:link w:val="BodyTextIndent3Char"/>
    <w:uiPriority w:val="99"/>
    <w:unhideWhenUsed/>
    <w:rsid w:val="00D371FC"/>
    <w:pPr>
      <w:spacing w:after="120"/>
      <w:ind w:left="360"/>
    </w:pPr>
    <w:rPr>
      <w:sz w:val="16"/>
      <w:szCs w:val="16"/>
    </w:rPr>
  </w:style>
  <w:style w:type="character" w:customStyle="1" w:styleId="BodyTextIndent3Char">
    <w:name w:val="Body Text Indent 3 Char"/>
    <w:basedOn w:val="DefaultParagraphFont"/>
    <w:link w:val="BodyTextIndent3"/>
    <w:uiPriority w:val="99"/>
    <w:rsid w:val="00D371FC"/>
    <w:rPr>
      <w:rFonts w:ascii="Times New Roman" w:eastAsia="Times New Roman" w:hAnsi="Times New Roman" w:cs="Times New Roman"/>
      <w:sz w:val="16"/>
      <w:szCs w:val="16"/>
    </w:rPr>
  </w:style>
  <w:style w:type="paragraph" w:styleId="ListParagraph">
    <w:name w:val="List Paragraph"/>
    <w:basedOn w:val="Normal"/>
    <w:uiPriority w:val="34"/>
    <w:qFormat/>
    <w:rsid w:val="003D1C7C"/>
    <w:pPr>
      <w:ind w:left="720"/>
      <w:contextualSpacing/>
    </w:pPr>
  </w:style>
  <w:style w:type="table" w:styleId="TableGrid">
    <w:name w:val="Table Grid"/>
    <w:basedOn w:val="TableNormal"/>
    <w:uiPriority w:val="59"/>
    <w:rsid w:val="003D4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F4814"/>
    <w:pPr>
      <w:tabs>
        <w:tab w:val="center" w:pos="4680"/>
        <w:tab w:val="right" w:pos="9360"/>
      </w:tabs>
    </w:pPr>
  </w:style>
  <w:style w:type="character" w:customStyle="1" w:styleId="HeaderChar">
    <w:name w:val="Header Char"/>
    <w:basedOn w:val="DefaultParagraphFont"/>
    <w:link w:val="Header"/>
    <w:uiPriority w:val="99"/>
    <w:rsid w:val="001F481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FD9"/>
    <w:pPr>
      <w:spacing w:after="0" w:line="240" w:lineRule="auto"/>
    </w:pPr>
    <w:rPr>
      <w:rFonts w:ascii="Times New Roman" w:eastAsia="Times New Roman" w:hAnsi="Times New Roman" w:cs="Times New Roman"/>
      <w:sz w:val="24"/>
      <w:szCs w:val="24"/>
    </w:rPr>
  </w:style>
  <w:style w:type="paragraph" w:styleId="Heading2">
    <w:name w:val="heading 2"/>
    <w:aliases w:val="H2-Sec. Head"/>
    <w:basedOn w:val="Normal"/>
    <w:next w:val="P1-StandPara"/>
    <w:link w:val="Heading2Char"/>
    <w:qFormat/>
    <w:rsid w:val="00D43FD9"/>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D43FD9"/>
    <w:rPr>
      <w:rFonts w:ascii="Times New Roman" w:eastAsia="Times New Roman" w:hAnsi="Times New Roman" w:cs="Times New Roman"/>
      <w:b/>
      <w:szCs w:val="20"/>
    </w:rPr>
  </w:style>
  <w:style w:type="paragraph" w:styleId="TOC1">
    <w:name w:val="toc 1"/>
    <w:autoRedefine/>
    <w:semiHidden/>
    <w:rsid w:val="00D43FD9"/>
    <w:pPr>
      <w:tabs>
        <w:tab w:val="left" w:pos="0"/>
        <w:tab w:val="left" w:pos="720"/>
        <w:tab w:val="right" w:leader="dot" w:pos="9494"/>
      </w:tabs>
      <w:spacing w:before="120" w:after="120" w:line="480" w:lineRule="auto"/>
      <w:jc w:val="both"/>
    </w:pPr>
    <w:rPr>
      <w:rFonts w:ascii="Times New Roman" w:eastAsia="Times New Roman" w:hAnsi="Times New Roman" w:cs="Times New Roman"/>
      <w:b/>
      <w:caps/>
      <w:noProof/>
      <w:sz w:val="24"/>
      <w:szCs w:val="24"/>
    </w:rPr>
  </w:style>
  <w:style w:type="paragraph" w:styleId="TOC2">
    <w:name w:val="toc 2"/>
    <w:autoRedefine/>
    <w:semiHidden/>
    <w:rsid w:val="00D43FD9"/>
    <w:pPr>
      <w:tabs>
        <w:tab w:val="left" w:pos="720"/>
        <w:tab w:val="right" w:leader="dot" w:pos="9494"/>
      </w:tabs>
      <w:spacing w:before="120" w:after="120" w:line="240" w:lineRule="atLeast"/>
      <w:ind w:left="720" w:hanging="720"/>
    </w:pPr>
    <w:rPr>
      <w:rFonts w:ascii="Times New Roman" w:eastAsia="Times New Roman" w:hAnsi="Times New Roman" w:cs="Times New Roman"/>
      <w:smallCaps/>
      <w:sz w:val="20"/>
      <w:szCs w:val="20"/>
    </w:rPr>
  </w:style>
  <w:style w:type="paragraph" w:customStyle="1" w:styleId="P1-StandPara">
    <w:name w:val="P1-Stand Para"/>
    <w:link w:val="P1-StandParaChar"/>
    <w:rsid w:val="00D43FD9"/>
    <w:pPr>
      <w:spacing w:after="0" w:line="480" w:lineRule="auto"/>
      <w:ind w:firstLine="720"/>
    </w:pPr>
    <w:rPr>
      <w:rFonts w:ascii="Times New Roman" w:eastAsia="Times New Roman" w:hAnsi="Times New Roman" w:cs="Times New Roman"/>
      <w:szCs w:val="20"/>
    </w:rPr>
  </w:style>
  <w:style w:type="paragraph" w:styleId="Footer">
    <w:name w:val="footer"/>
    <w:basedOn w:val="Normal"/>
    <w:link w:val="FooterChar"/>
    <w:uiPriority w:val="99"/>
    <w:rsid w:val="00D43FD9"/>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D43FD9"/>
    <w:rPr>
      <w:rFonts w:ascii="Times New Roman" w:eastAsia="Times New Roman" w:hAnsi="Times New Roman" w:cs="Times New Roman"/>
      <w:szCs w:val="20"/>
    </w:rPr>
  </w:style>
  <w:style w:type="character" w:styleId="PageNumber">
    <w:name w:val="page number"/>
    <w:basedOn w:val="DefaultParagraphFont"/>
    <w:rsid w:val="00D43FD9"/>
  </w:style>
  <w:style w:type="paragraph" w:customStyle="1" w:styleId="a">
    <w:name w:val="_"/>
    <w:rsid w:val="00D43FD9"/>
    <w:pPr>
      <w:widowControl w:val="0"/>
      <w:spacing w:after="0" w:line="240" w:lineRule="auto"/>
      <w:ind w:left="720"/>
    </w:pPr>
    <w:rPr>
      <w:rFonts w:ascii="Times New Roman" w:eastAsia="Times New Roman" w:hAnsi="Times New Roman" w:cs="Times New Roman"/>
      <w:snapToGrid w:val="0"/>
      <w:sz w:val="24"/>
      <w:szCs w:val="20"/>
    </w:rPr>
  </w:style>
  <w:style w:type="character" w:styleId="Hyperlink">
    <w:name w:val="Hyperlink"/>
    <w:rsid w:val="00D43FD9"/>
    <w:rPr>
      <w:color w:val="0000FF"/>
      <w:u w:val="single"/>
    </w:rPr>
  </w:style>
  <w:style w:type="paragraph" w:styleId="PlainText">
    <w:name w:val="Plain Text"/>
    <w:basedOn w:val="Normal"/>
    <w:link w:val="PlainTextChar"/>
    <w:uiPriority w:val="99"/>
    <w:unhideWhenUsed/>
    <w:rsid w:val="00D43FD9"/>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D43FD9"/>
    <w:rPr>
      <w:rFonts w:ascii="Courier New" w:eastAsia="Calibri" w:hAnsi="Courier New" w:cs="Courier New"/>
      <w:sz w:val="20"/>
      <w:szCs w:val="20"/>
    </w:rPr>
  </w:style>
  <w:style w:type="character" w:styleId="CommentReference">
    <w:name w:val="annotation reference"/>
    <w:rsid w:val="00D43FD9"/>
    <w:rPr>
      <w:sz w:val="16"/>
      <w:szCs w:val="16"/>
    </w:rPr>
  </w:style>
  <w:style w:type="paragraph" w:styleId="CommentText">
    <w:name w:val="annotation text"/>
    <w:basedOn w:val="Normal"/>
    <w:link w:val="CommentTextChar"/>
    <w:rsid w:val="00D43FD9"/>
    <w:rPr>
      <w:sz w:val="20"/>
      <w:szCs w:val="20"/>
    </w:rPr>
  </w:style>
  <w:style w:type="character" w:customStyle="1" w:styleId="CommentTextChar">
    <w:name w:val="Comment Text Char"/>
    <w:basedOn w:val="DefaultParagraphFont"/>
    <w:link w:val="CommentText"/>
    <w:rsid w:val="00D43FD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43FD9"/>
    <w:rPr>
      <w:rFonts w:ascii="Tahoma" w:hAnsi="Tahoma" w:cs="Tahoma"/>
      <w:sz w:val="16"/>
      <w:szCs w:val="16"/>
    </w:rPr>
  </w:style>
  <w:style w:type="character" w:customStyle="1" w:styleId="BalloonTextChar">
    <w:name w:val="Balloon Text Char"/>
    <w:basedOn w:val="DefaultParagraphFont"/>
    <w:link w:val="BalloonText"/>
    <w:uiPriority w:val="99"/>
    <w:semiHidden/>
    <w:rsid w:val="00D43FD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23AAA"/>
    <w:rPr>
      <w:color w:val="800080" w:themeColor="followedHyperlink"/>
      <w:u w:val="single"/>
    </w:rPr>
  </w:style>
  <w:style w:type="paragraph" w:customStyle="1" w:styleId="N1-1stBullet">
    <w:name w:val="N1-1st Bullet"/>
    <w:basedOn w:val="Normal"/>
    <w:rsid w:val="00566809"/>
    <w:pPr>
      <w:tabs>
        <w:tab w:val="left" w:pos="1152"/>
      </w:tabs>
      <w:spacing w:after="240" w:line="240" w:lineRule="atLeast"/>
      <w:ind w:left="1152" w:hanging="576"/>
      <w:jc w:val="both"/>
    </w:pPr>
    <w:rPr>
      <w:sz w:val="22"/>
      <w:szCs w:val="20"/>
    </w:rPr>
  </w:style>
  <w:style w:type="paragraph" w:styleId="CommentSubject">
    <w:name w:val="annotation subject"/>
    <w:basedOn w:val="CommentText"/>
    <w:next w:val="CommentText"/>
    <w:link w:val="CommentSubjectChar"/>
    <w:uiPriority w:val="99"/>
    <w:semiHidden/>
    <w:unhideWhenUsed/>
    <w:rsid w:val="00566809"/>
    <w:rPr>
      <w:b/>
      <w:bCs/>
    </w:rPr>
  </w:style>
  <w:style w:type="character" w:customStyle="1" w:styleId="CommentSubjectChar">
    <w:name w:val="Comment Subject Char"/>
    <w:basedOn w:val="CommentTextChar"/>
    <w:link w:val="CommentSubject"/>
    <w:uiPriority w:val="99"/>
    <w:semiHidden/>
    <w:rsid w:val="00566809"/>
    <w:rPr>
      <w:rFonts w:ascii="Times New Roman" w:eastAsia="Times New Roman" w:hAnsi="Times New Roman" w:cs="Times New Roman"/>
      <w:b/>
      <w:bCs/>
      <w:sz w:val="20"/>
      <w:szCs w:val="20"/>
    </w:rPr>
  </w:style>
  <w:style w:type="character" w:customStyle="1" w:styleId="P1-StandParaChar">
    <w:name w:val="P1-Stand Para Char"/>
    <w:link w:val="P1-StandPara"/>
    <w:rsid w:val="005C0C85"/>
    <w:rPr>
      <w:rFonts w:ascii="Times New Roman" w:eastAsia="Times New Roman" w:hAnsi="Times New Roman" w:cs="Times New Roman"/>
      <w:szCs w:val="20"/>
    </w:rPr>
  </w:style>
  <w:style w:type="paragraph" w:customStyle="1" w:styleId="L1-FlLSp12">
    <w:name w:val="L1-FlL Sp&amp;1/2"/>
    <w:rsid w:val="001629AD"/>
    <w:pPr>
      <w:tabs>
        <w:tab w:val="left" w:pos="1152"/>
      </w:tabs>
      <w:spacing w:after="0" w:line="360" w:lineRule="atLeast"/>
      <w:jc w:val="both"/>
    </w:pPr>
    <w:rPr>
      <w:rFonts w:ascii="Times New Roman" w:eastAsia="Times New Roman" w:hAnsi="Times New Roman" w:cs="Times New Roman"/>
      <w:szCs w:val="20"/>
    </w:rPr>
  </w:style>
  <w:style w:type="paragraph" w:styleId="BodyTextIndent">
    <w:name w:val="Body Text Indent"/>
    <w:basedOn w:val="Normal"/>
    <w:link w:val="BodyTextIndentChar"/>
    <w:rsid w:val="009A1011"/>
    <w:pPr>
      <w:spacing w:before="240" w:after="120" w:line="360" w:lineRule="atLeast"/>
      <w:ind w:firstLine="720"/>
      <w:jc w:val="both"/>
    </w:pPr>
    <w:rPr>
      <w:sz w:val="22"/>
      <w:szCs w:val="20"/>
    </w:rPr>
  </w:style>
  <w:style w:type="character" w:customStyle="1" w:styleId="BodyTextIndentChar">
    <w:name w:val="Body Text Indent Char"/>
    <w:basedOn w:val="DefaultParagraphFont"/>
    <w:link w:val="BodyTextIndent"/>
    <w:rsid w:val="009A1011"/>
    <w:rPr>
      <w:rFonts w:ascii="Times New Roman" w:eastAsia="Times New Roman" w:hAnsi="Times New Roman" w:cs="Times New Roman"/>
      <w:szCs w:val="20"/>
    </w:rPr>
  </w:style>
  <w:style w:type="paragraph" w:styleId="FootnoteText">
    <w:name w:val="footnote text"/>
    <w:aliases w:val="F1"/>
    <w:link w:val="FootnoteTextChar"/>
    <w:semiHidden/>
    <w:rsid w:val="00BD28D5"/>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BD28D5"/>
    <w:rPr>
      <w:rFonts w:ascii="Times New Roman" w:eastAsia="Times New Roman" w:hAnsi="Times New Roman" w:cs="Times New Roman"/>
      <w:sz w:val="16"/>
      <w:szCs w:val="20"/>
    </w:rPr>
  </w:style>
  <w:style w:type="character" w:styleId="FootnoteReference">
    <w:name w:val="footnote reference"/>
    <w:semiHidden/>
    <w:rsid w:val="00BD28D5"/>
    <w:rPr>
      <w:vertAlign w:val="superscript"/>
    </w:rPr>
  </w:style>
  <w:style w:type="paragraph" w:styleId="BodyTextIndent3">
    <w:name w:val="Body Text Indent 3"/>
    <w:basedOn w:val="Normal"/>
    <w:link w:val="BodyTextIndent3Char"/>
    <w:uiPriority w:val="99"/>
    <w:unhideWhenUsed/>
    <w:rsid w:val="00D371FC"/>
    <w:pPr>
      <w:spacing w:after="120"/>
      <w:ind w:left="360"/>
    </w:pPr>
    <w:rPr>
      <w:sz w:val="16"/>
      <w:szCs w:val="16"/>
    </w:rPr>
  </w:style>
  <w:style w:type="character" w:customStyle="1" w:styleId="BodyTextIndent3Char">
    <w:name w:val="Body Text Indent 3 Char"/>
    <w:basedOn w:val="DefaultParagraphFont"/>
    <w:link w:val="BodyTextIndent3"/>
    <w:uiPriority w:val="99"/>
    <w:rsid w:val="00D371FC"/>
    <w:rPr>
      <w:rFonts w:ascii="Times New Roman" w:eastAsia="Times New Roman" w:hAnsi="Times New Roman" w:cs="Times New Roman"/>
      <w:sz w:val="16"/>
      <w:szCs w:val="16"/>
    </w:rPr>
  </w:style>
  <w:style w:type="paragraph" w:styleId="ListParagraph">
    <w:name w:val="List Paragraph"/>
    <w:basedOn w:val="Normal"/>
    <w:uiPriority w:val="34"/>
    <w:qFormat/>
    <w:rsid w:val="003D1C7C"/>
    <w:pPr>
      <w:ind w:left="720"/>
      <w:contextualSpacing/>
    </w:pPr>
  </w:style>
  <w:style w:type="table" w:styleId="TableGrid">
    <w:name w:val="Table Grid"/>
    <w:basedOn w:val="TableNormal"/>
    <w:uiPriority w:val="59"/>
    <w:rsid w:val="003D4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F4814"/>
    <w:pPr>
      <w:tabs>
        <w:tab w:val="center" w:pos="4680"/>
        <w:tab w:val="right" w:pos="9360"/>
      </w:tabs>
    </w:pPr>
  </w:style>
  <w:style w:type="character" w:customStyle="1" w:styleId="HeaderChar">
    <w:name w:val="Header Char"/>
    <w:basedOn w:val="DefaultParagraphFont"/>
    <w:link w:val="Header"/>
    <w:uiPriority w:val="99"/>
    <w:rsid w:val="001F481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7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hinj@nigms.nih.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ls.gov/oes/current/oes_nat.ht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sherry.mills@nih.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rica.brown@nih.gov" TargetMode="External"/><Relationship Id="rId20" Type="http://schemas.openxmlformats.org/officeDocument/2006/relationships/hyperlink" Target="mailto:Robin.wagner@nih,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mailto:plattc@nidcd.nih.gov" TargetMode="External"/><Relationship Id="rId4" Type="http://schemas.microsoft.com/office/2007/relationships/stylesWithEffects" Target="stylesWithEffects.xml"/><Relationship Id="rId9" Type="http://schemas.openxmlformats.org/officeDocument/2006/relationships/hyperlink" Target="mailto:michelle.timmerman@mail.nih.gov" TargetMode="External"/><Relationship Id="rId14" Type="http://schemas.openxmlformats.org/officeDocument/2006/relationships/header" Target="header3.xml"/><Relationship Id="rId22" Type="http://schemas.openxmlformats.org/officeDocument/2006/relationships/hyperlink" Target="http://www.bls.gov/oes/current/oes_nat.htm#19-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4807A-809A-4553-97A3-6F1DC82E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5605</Words>
  <Characters>31954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Palan</dc:creator>
  <cp:lastModifiedBy>curriem</cp:lastModifiedBy>
  <cp:revision>2</cp:revision>
  <cp:lastPrinted>2014-04-25T19:56:00Z</cp:lastPrinted>
  <dcterms:created xsi:type="dcterms:W3CDTF">2015-02-13T14:28:00Z</dcterms:created>
  <dcterms:modified xsi:type="dcterms:W3CDTF">2015-02-13T14:28:00Z</dcterms:modified>
</cp:coreProperties>
</file>