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242F9" w14:textId="77777777"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Supporting Statement – Part A</w:t>
      </w:r>
    </w:p>
    <w:p w14:paraId="14A02426" w14:textId="77777777"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14:paraId="5E97898A" w14:textId="77777777"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14:paraId="768454C3" w14:textId="77777777"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 xml:space="preserve">Supporting Statement </w:t>
      </w:r>
      <w:proofErr w:type="gramStart"/>
      <w:r>
        <w:rPr>
          <w:sz w:val="32"/>
          <w:szCs w:val="32"/>
          <w:u w:val="single"/>
        </w:rPr>
        <w:t>For</w:t>
      </w:r>
      <w:proofErr w:type="gramEnd"/>
      <w:r>
        <w:rPr>
          <w:sz w:val="32"/>
          <w:szCs w:val="32"/>
          <w:u w:val="single"/>
        </w:rPr>
        <w:t xml:space="preserve"> Paperwork Reduction Act Submissions</w:t>
      </w:r>
    </w:p>
    <w:p w14:paraId="4DB4B0AE"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587B3C" w14:textId="7EEFC24C" w:rsidR="008F1EB4" w:rsidRPr="00F57969" w:rsidRDefault="008F1EB4" w:rsidP="00A36F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57969">
        <w:rPr>
          <w:b/>
          <w:bCs/>
          <w:sz w:val="24"/>
          <w:u w:val="single"/>
        </w:rPr>
        <w:t>A.</w:t>
      </w:r>
      <w:r w:rsidRPr="00F57969">
        <w:rPr>
          <w:b/>
          <w:bCs/>
          <w:sz w:val="24"/>
        </w:rPr>
        <w:tab/>
      </w:r>
      <w:r w:rsidRPr="00F57969">
        <w:rPr>
          <w:b/>
          <w:bCs/>
          <w:sz w:val="24"/>
          <w:u w:val="single"/>
        </w:rPr>
        <w:t>Background</w:t>
      </w:r>
      <w:r w:rsidR="00A36F69" w:rsidRPr="00F57969">
        <w:rPr>
          <w:sz w:val="24"/>
        </w:rPr>
        <w:t xml:space="preserve"> </w:t>
      </w:r>
    </w:p>
    <w:p w14:paraId="417C848A" w14:textId="77777777" w:rsidR="00A36F69" w:rsidRPr="00F57969" w:rsidRDefault="00A36F69" w:rsidP="00A36F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F57082" w14:textId="77777777" w:rsidR="008F1EB4" w:rsidRPr="00F57969" w:rsidRDefault="00A36F69" w:rsidP="00B30C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The Predictive Learning Analytics Tracking Outcome (PLATO</w:t>
      </w:r>
      <w:r w:rsidRPr="00F57969">
        <w:rPr>
          <w:sz w:val="24"/>
          <w:vertAlign w:val="superscript"/>
        </w:rPr>
        <w:t>TM</w:t>
      </w:r>
      <w:r w:rsidR="002C7CF3" w:rsidRPr="00F57969">
        <w:rPr>
          <w:sz w:val="24"/>
        </w:rPr>
        <w:t>) is a web-</w:t>
      </w:r>
      <w:r w:rsidRPr="00F57969">
        <w:rPr>
          <w:sz w:val="24"/>
        </w:rPr>
        <w:t xml:space="preserve">based application tool </w:t>
      </w:r>
      <w:r w:rsidR="005F76BF" w:rsidRPr="00F57969">
        <w:rPr>
          <w:sz w:val="24"/>
        </w:rPr>
        <w:t xml:space="preserve">that </w:t>
      </w:r>
      <w:r w:rsidRPr="00F57969">
        <w:rPr>
          <w:sz w:val="24"/>
        </w:rPr>
        <w:t xml:space="preserve">will serve as the centerpiece of the </w:t>
      </w:r>
      <w:r w:rsidR="00A05551" w:rsidRPr="00F57969">
        <w:rPr>
          <w:sz w:val="24"/>
        </w:rPr>
        <w:t>advanced analytics</w:t>
      </w:r>
      <w:r w:rsidRPr="00F57969">
        <w:rPr>
          <w:sz w:val="24"/>
        </w:rPr>
        <w:t xml:space="preserve"> initiative with the Centers for Medicare &amp; Medicaid Services (CMS) and Health Integrity, LLC, the National Benefit Integrity Medicare Integrity Contractor (NBI MEDIC). </w:t>
      </w:r>
      <w:r w:rsidR="005F76BF" w:rsidRPr="00F57969">
        <w:rPr>
          <w:sz w:val="24"/>
        </w:rPr>
        <w:t xml:space="preserve">Developed by </w:t>
      </w:r>
      <w:r w:rsidR="00A05463" w:rsidRPr="00F57969">
        <w:rPr>
          <w:sz w:val="24"/>
        </w:rPr>
        <w:t>Health Integrity</w:t>
      </w:r>
      <w:r w:rsidR="00112466" w:rsidRPr="00F57969">
        <w:rPr>
          <w:sz w:val="24"/>
        </w:rPr>
        <w:t>, LLC</w:t>
      </w:r>
      <w:r w:rsidR="00A05463" w:rsidRPr="00F57969">
        <w:rPr>
          <w:sz w:val="24"/>
        </w:rPr>
        <w:t xml:space="preserve"> and licensed for</w:t>
      </w:r>
      <w:r w:rsidR="0021319F" w:rsidRPr="00F57969">
        <w:rPr>
          <w:sz w:val="24"/>
        </w:rPr>
        <w:t xml:space="preserve"> one of its contracts</w:t>
      </w:r>
      <w:r w:rsidR="009F4B2E" w:rsidRPr="00F57969">
        <w:rPr>
          <w:sz w:val="24"/>
        </w:rPr>
        <w:t>—t</w:t>
      </w:r>
      <w:r w:rsidR="005F76BF" w:rsidRPr="00F57969">
        <w:rPr>
          <w:sz w:val="24"/>
        </w:rPr>
        <w:t>he NBI MEDIC</w:t>
      </w:r>
      <w:r w:rsidR="009F4B2E" w:rsidRPr="00F57969">
        <w:rPr>
          <w:sz w:val="24"/>
        </w:rPr>
        <w:t>—P</w:t>
      </w:r>
      <w:r w:rsidR="005F76BF" w:rsidRPr="00F57969">
        <w:rPr>
          <w:sz w:val="24"/>
        </w:rPr>
        <w:t>LATO</w:t>
      </w:r>
      <w:r w:rsidR="00112466" w:rsidRPr="00F57969">
        <w:rPr>
          <w:sz w:val="24"/>
          <w:vertAlign w:val="superscript"/>
        </w:rPr>
        <w:t>TM</w:t>
      </w:r>
      <w:r w:rsidR="005F76BF" w:rsidRPr="00F57969">
        <w:rPr>
          <w:sz w:val="24"/>
          <w:vertAlign w:val="superscript"/>
        </w:rPr>
        <w:t xml:space="preserve"> </w:t>
      </w:r>
      <w:r w:rsidR="005F76BF" w:rsidRPr="00F57969">
        <w:rPr>
          <w:sz w:val="24"/>
        </w:rPr>
        <w:t>utilizes a cutting</w:t>
      </w:r>
      <w:r w:rsidR="009F4B2E" w:rsidRPr="00F57969">
        <w:rPr>
          <w:sz w:val="24"/>
        </w:rPr>
        <w:t>-</w:t>
      </w:r>
      <w:r w:rsidR="005F76BF" w:rsidRPr="00F57969">
        <w:rPr>
          <w:sz w:val="24"/>
        </w:rPr>
        <w:t xml:space="preserve">edge </w:t>
      </w:r>
      <w:r w:rsidR="00854CFC" w:rsidRPr="00F57969">
        <w:rPr>
          <w:sz w:val="24"/>
        </w:rPr>
        <w:t xml:space="preserve">advanced analytics </w:t>
      </w:r>
      <w:r w:rsidR="005F76BF" w:rsidRPr="00F57969">
        <w:rPr>
          <w:sz w:val="24"/>
        </w:rPr>
        <w:t>fraud detection process in conjunction with a state</w:t>
      </w:r>
      <w:r w:rsidR="009F4B2E" w:rsidRPr="00F57969">
        <w:rPr>
          <w:sz w:val="24"/>
        </w:rPr>
        <w:t>-</w:t>
      </w:r>
      <w:r w:rsidR="005F76BF" w:rsidRPr="00F57969">
        <w:rPr>
          <w:sz w:val="24"/>
        </w:rPr>
        <w:t>of</w:t>
      </w:r>
      <w:r w:rsidR="009F4B2E" w:rsidRPr="00F57969">
        <w:rPr>
          <w:sz w:val="24"/>
        </w:rPr>
        <w:t>-</w:t>
      </w:r>
      <w:r w:rsidR="005F76BF" w:rsidRPr="00F57969">
        <w:rPr>
          <w:sz w:val="24"/>
        </w:rPr>
        <w:t>the</w:t>
      </w:r>
      <w:r w:rsidR="009F4B2E" w:rsidRPr="00F57969">
        <w:rPr>
          <w:sz w:val="24"/>
        </w:rPr>
        <w:t>-</w:t>
      </w:r>
      <w:r w:rsidR="005F76BF" w:rsidRPr="00F57969">
        <w:rPr>
          <w:sz w:val="24"/>
        </w:rPr>
        <w:t>art web-based user interface tool to present fraud and abuse lead i</w:t>
      </w:r>
      <w:r w:rsidR="006006FE" w:rsidRPr="00F57969">
        <w:rPr>
          <w:sz w:val="24"/>
        </w:rPr>
        <w:t>nformation visually to Medicare Part D p</w:t>
      </w:r>
      <w:r w:rsidR="005E3AFF" w:rsidRPr="00F57969">
        <w:rPr>
          <w:sz w:val="24"/>
        </w:rPr>
        <w:t>l</w:t>
      </w:r>
      <w:r w:rsidR="00004023" w:rsidRPr="00F57969">
        <w:rPr>
          <w:sz w:val="24"/>
        </w:rPr>
        <w:t xml:space="preserve">an </w:t>
      </w:r>
      <w:r w:rsidR="00112466" w:rsidRPr="00F57969">
        <w:rPr>
          <w:sz w:val="24"/>
        </w:rPr>
        <w:t xml:space="preserve">sponsors. </w:t>
      </w:r>
      <w:r w:rsidR="008A7005" w:rsidRPr="00F57969">
        <w:rPr>
          <w:sz w:val="24"/>
        </w:rPr>
        <w:t>Summary d</w:t>
      </w:r>
      <w:r w:rsidR="006B1B7D" w:rsidRPr="00F57969">
        <w:rPr>
          <w:sz w:val="24"/>
        </w:rPr>
        <w:t>ata</w:t>
      </w:r>
      <w:r w:rsidR="006006FE" w:rsidRPr="00F57969">
        <w:rPr>
          <w:sz w:val="24"/>
        </w:rPr>
        <w:t>,</w:t>
      </w:r>
      <w:r w:rsidR="006B1B7D" w:rsidRPr="00F57969">
        <w:rPr>
          <w:sz w:val="24"/>
        </w:rPr>
        <w:t xml:space="preserve"> </w:t>
      </w:r>
      <w:r w:rsidR="00D52C4F" w:rsidRPr="00F57969">
        <w:rPr>
          <w:sz w:val="24"/>
        </w:rPr>
        <w:t>based on</w:t>
      </w:r>
      <w:r w:rsidR="006B1B7D" w:rsidRPr="00F57969">
        <w:rPr>
          <w:sz w:val="24"/>
        </w:rPr>
        <w:t xml:space="preserve"> National Prescription Drug E</w:t>
      </w:r>
      <w:r w:rsidR="002B3AB8" w:rsidRPr="00F57969">
        <w:rPr>
          <w:sz w:val="24"/>
        </w:rPr>
        <w:t xml:space="preserve">vent Data and actions from all </w:t>
      </w:r>
      <w:r w:rsidR="006006FE" w:rsidRPr="00F57969">
        <w:rPr>
          <w:sz w:val="24"/>
        </w:rPr>
        <w:t xml:space="preserve">Part D </w:t>
      </w:r>
      <w:r w:rsidR="002B3AB8" w:rsidRPr="00F57969">
        <w:rPr>
          <w:sz w:val="24"/>
        </w:rPr>
        <w:t>plan s</w:t>
      </w:r>
      <w:r w:rsidR="006B1B7D" w:rsidRPr="00F57969">
        <w:rPr>
          <w:sz w:val="24"/>
        </w:rPr>
        <w:t>ponsors</w:t>
      </w:r>
      <w:r w:rsidR="006006FE" w:rsidRPr="00F57969">
        <w:rPr>
          <w:sz w:val="24"/>
        </w:rPr>
        <w:t>,</w:t>
      </w:r>
      <w:r w:rsidR="006B1B7D" w:rsidRPr="00F57969">
        <w:rPr>
          <w:sz w:val="24"/>
        </w:rPr>
        <w:t xml:space="preserve"> is </w:t>
      </w:r>
      <w:r w:rsidR="008B1666" w:rsidRPr="00F57969">
        <w:rPr>
          <w:sz w:val="24"/>
        </w:rPr>
        <w:t>shared</w:t>
      </w:r>
      <w:r w:rsidR="006B1B7D" w:rsidRPr="00F57969">
        <w:rPr>
          <w:sz w:val="24"/>
        </w:rPr>
        <w:t xml:space="preserve"> </w:t>
      </w:r>
      <w:r w:rsidR="006006FE" w:rsidRPr="00F57969">
        <w:rPr>
          <w:sz w:val="24"/>
        </w:rPr>
        <w:t xml:space="preserve">with </w:t>
      </w:r>
      <w:r w:rsidR="00112466" w:rsidRPr="00F57969">
        <w:rPr>
          <w:sz w:val="24"/>
        </w:rPr>
        <w:t>law e</w:t>
      </w:r>
      <w:r w:rsidR="006B1B7D" w:rsidRPr="00F57969">
        <w:rPr>
          <w:sz w:val="24"/>
        </w:rPr>
        <w:t>nforcement</w:t>
      </w:r>
      <w:r w:rsidR="004D5B1B" w:rsidRPr="00F57969">
        <w:rPr>
          <w:sz w:val="24"/>
        </w:rPr>
        <w:t>, CMS, NBI MEDIC</w:t>
      </w:r>
      <w:r w:rsidR="009F4B2E" w:rsidRPr="00F57969">
        <w:rPr>
          <w:sz w:val="24"/>
        </w:rPr>
        <w:t>,</w:t>
      </w:r>
      <w:r w:rsidR="004D5B1B" w:rsidRPr="00F57969">
        <w:rPr>
          <w:sz w:val="24"/>
        </w:rPr>
        <w:t xml:space="preserve"> </w:t>
      </w:r>
      <w:r w:rsidR="00673803" w:rsidRPr="00F57969">
        <w:rPr>
          <w:sz w:val="24"/>
        </w:rPr>
        <w:t>and</w:t>
      </w:r>
      <w:r w:rsidR="006006FE" w:rsidRPr="00F57969">
        <w:rPr>
          <w:sz w:val="24"/>
        </w:rPr>
        <w:t xml:space="preserve"> Part D</w:t>
      </w:r>
      <w:r w:rsidR="00673803" w:rsidRPr="00F57969">
        <w:rPr>
          <w:sz w:val="24"/>
        </w:rPr>
        <w:t xml:space="preserve"> </w:t>
      </w:r>
      <w:r w:rsidR="002B3AB8" w:rsidRPr="00F57969">
        <w:rPr>
          <w:sz w:val="24"/>
        </w:rPr>
        <w:t>p</w:t>
      </w:r>
      <w:r w:rsidR="006B1B7D" w:rsidRPr="00F57969">
        <w:rPr>
          <w:sz w:val="24"/>
        </w:rPr>
        <w:t xml:space="preserve">lan </w:t>
      </w:r>
      <w:r w:rsidR="002B3AB8" w:rsidRPr="00F57969">
        <w:rPr>
          <w:sz w:val="24"/>
        </w:rPr>
        <w:t>s</w:t>
      </w:r>
      <w:r w:rsidR="006B1B7D" w:rsidRPr="00F57969">
        <w:rPr>
          <w:sz w:val="24"/>
        </w:rPr>
        <w:t xml:space="preserve">ponsors to review historic </w:t>
      </w:r>
      <w:r w:rsidR="0031501D" w:rsidRPr="00F57969">
        <w:rPr>
          <w:sz w:val="24"/>
        </w:rPr>
        <w:t>action</w:t>
      </w:r>
      <w:r w:rsidR="006B1B7D" w:rsidRPr="00F57969">
        <w:rPr>
          <w:sz w:val="24"/>
        </w:rPr>
        <w:t xml:space="preserve">s taken against providers </w:t>
      </w:r>
      <w:r w:rsidR="006006FE" w:rsidRPr="00F57969">
        <w:rPr>
          <w:sz w:val="24"/>
        </w:rPr>
        <w:t xml:space="preserve">who are enrolled in the </w:t>
      </w:r>
      <w:r w:rsidR="006B1B7D" w:rsidRPr="00F57969">
        <w:rPr>
          <w:sz w:val="24"/>
        </w:rPr>
        <w:t>Medicare Part D</w:t>
      </w:r>
      <w:r w:rsidR="006006FE" w:rsidRPr="00F57969">
        <w:rPr>
          <w:sz w:val="24"/>
        </w:rPr>
        <w:t xml:space="preserve"> program, which will assist </w:t>
      </w:r>
      <w:r w:rsidR="006B1B7D" w:rsidRPr="00F57969">
        <w:rPr>
          <w:sz w:val="24"/>
        </w:rPr>
        <w:t xml:space="preserve">in </w:t>
      </w:r>
      <w:r w:rsidR="006C6CA4" w:rsidRPr="00F57969">
        <w:rPr>
          <w:sz w:val="24"/>
        </w:rPr>
        <w:t>detecting</w:t>
      </w:r>
      <w:r w:rsidR="008B1666" w:rsidRPr="00F57969">
        <w:rPr>
          <w:sz w:val="24"/>
        </w:rPr>
        <w:t xml:space="preserve"> </w:t>
      </w:r>
      <w:r w:rsidR="00CF5473" w:rsidRPr="00F57969">
        <w:rPr>
          <w:sz w:val="24"/>
        </w:rPr>
        <w:t xml:space="preserve">and preventing </w:t>
      </w:r>
      <w:r w:rsidR="008B1666" w:rsidRPr="00F57969">
        <w:rPr>
          <w:sz w:val="24"/>
        </w:rPr>
        <w:t>fraud, waste, and abuse.</w:t>
      </w:r>
    </w:p>
    <w:p w14:paraId="42EA04EA" w14:textId="77777777" w:rsidR="00A36F69" w:rsidRPr="00F57969" w:rsidRDefault="00A36F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CB6F1C"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57969">
        <w:rPr>
          <w:b/>
          <w:bCs/>
          <w:sz w:val="24"/>
          <w:u w:val="single"/>
        </w:rPr>
        <w:t>B.</w:t>
      </w:r>
      <w:r w:rsidRPr="00F57969">
        <w:rPr>
          <w:b/>
          <w:bCs/>
          <w:sz w:val="24"/>
        </w:rPr>
        <w:tab/>
      </w:r>
      <w:r w:rsidRPr="00F57969">
        <w:rPr>
          <w:b/>
          <w:bCs/>
          <w:sz w:val="24"/>
          <w:u w:val="single"/>
        </w:rPr>
        <w:t>Justification</w:t>
      </w:r>
    </w:p>
    <w:p w14:paraId="65724070"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1EFC86" w14:textId="77777777" w:rsidR="008F1EB4" w:rsidRPr="00756571" w:rsidRDefault="006B1B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w:t>
      </w:r>
      <w:r w:rsidR="008F1EB4" w:rsidRPr="00756571">
        <w:rPr>
          <w:sz w:val="24"/>
        </w:rPr>
        <w:t>.</w:t>
      </w:r>
      <w:r w:rsidR="008F1EB4" w:rsidRPr="00756571">
        <w:rPr>
          <w:sz w:val="24"/>
        </w:rPr>
        <w:tab/>
      </w:r>
      <w:r w:rsidR="008F1EB4" w:rsidRPr="00756571">
        <w:rPr>
          <w:sz w:val="24"/>
          <w:u w:val="single"/>
        </w:rPr>
        <w:t>Need and Legal Basis</w:t>
      </w:r>
    </w:p>
    <w:p w14:paraId="1ECA99D7"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7C9C01" w14:textId="38EA4F4E" w:rsidR="002958C4" w:rsidRPr="006215B8" w:rsidRDefault="00976503" w:rsidP="002958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15B8">
        <w:rPr>
          <w:sz w:val="24"/>
        </w:rPr>
        <w:t>CMS has a need to</w:t>
      </w:r>
      <w:r w:rsidR="00635793" w:rsidRPr="006215B8">
        <w:rPr>
          <w:sz w:val="24"/>
        </w:rPr>
        <w:t xml:space="preserve"> </w:t>
      </w:r>
      <w:r w:rsidR="00E4342F" w:rsidRPr="006215B8">
        <w:rPr>
          <w:sz w:val="24"/>
        </w:rPr>
        <w:t>better i</w:t>
      </w:r>
      <w:r w:rsidR="008B1666" w:rsidRPr="006215B8">
        <w:rPr>
          <w:sz w:val="24"/>
        </w:rPr>
        <w:t>dentify drug diversion and enhance the detection and prevention</w:t>
      </w:r>
      <w:r w:rsidR="00DB0458" w:rsidRPr="006215B8">
        <w:rPr>
          <w:sz w:val="24"/>
        </w:rPr>
        <w:t xml:space="preserve"> of fraud, waste</w:t>
      </w:r>
      <w:r w:rsidRPr="006215B8">
        <w:rPr>
          <w:sz w:val="24"/>
        </w:rPr>
        <w:t xml:space="preserve"> </w:t>
      </w:r>
      <w:r w:rsidR="00DB0458" w:rsidRPr="006215B8">
        <w:rPr>
          <w:sz w:val="24"/>
        </w:rPr>
        <w:t xml:space="preserve">and abuse </w:t>
      </w:r>
      <w:r w:rsidR="00635793" w:rsidRPr="006215B8">
        <w:rPr>
          <w:sz w:val="24"/>
        </w:rPr>
        <w:t>in the</w:t>
      </w:r>
      <w:r w:rsidR="008B1666" w:rsidRPr="006215B8">
        <w:rPr>
          <w:sz w:val="24"/>
        </w:rPr>
        <w:t xml:space="preserve"> Medicare Part D pro</w:t>
      </w:r>
      <w:r w:rsidR="00635793" w:rsidRPr="006215B8">
        <w:rPr>
          <w:sz w:val="24"/>
        </w:rPr>
        <w:t>gram</w:t>
      </w:r>
      <w:r w:rsidR="008B1666" w:rsidRPr="006215B8">
        <w:rPr>
          <w:sz w:val="24"/>
        </w:rPr>
        <w:t xml:space="preserve">. </w:t>
      </w:r>
      <w:r w:rsidR="00C06445" w:rsidRPr="006215B8">
        <w:rPr>
          <w:sz w:val="24"/>
        </w:rPr>
        <w:t xml:space="preserve">In order to ensure the protection of the Medicare Trust Fund, CMS </w:t>
      </w:r>
      <w:r w:rsidRPr="006215B8">
        <w:rPr>
          <w:sz w:val="24"/>
        </w:rPr>
        <w:t>contracts and works with the NBI MEDIC</w:t>
      </w:r>
      <w:r w:rsidR="00C06445" w:rsidRPr="006215B8">
        <w:rPr>
          <w:lang w:val="en-GB"/>
        </w:rPr>
        <w:t xml:space="preserve"> </w:t>
      </w:r>
      <w:r w:rsidR="00C06445" w:rsidRPr="006215B8">
        <w:rPr>
          <w:sz w:val="24"/>
        </w:rPr>
        <w:t xml:space="preserve">to support CMS’ audit, oversight and antifraud and abuse efforts associated with the </w:t>
      </w:r>
      <w:r w:rsidR="00C363F0" w:rsidRPr="006215B8">
        <w:rPr>
          <w:sz w:val="24"/>
        </w:rPr>
        <w:t>Medicare Adv</w:t>
      </w:r>
      <w:r w:rsidR="00C363F0">
        <w:rPr>
          <w:sz w:val="24"/>
        </w:rPr>
        <w:t xml:space="preserve">antage (MA /Part </w:t>
      </w:r>
      <w:r w:rsidR="00C363F0" w:rsidRPr="006215B8">
        <w:rPr>
          <w:sz w:val="24"/>
        </w:rPr>
        <w:t xml:space="preserve">C) </w:t>
      </w:r>
      <w:r w:rsidR="00C363F0">
        <w:rPr>
          <w:sz w:val="24"/>
        </w:rPr>
        <w:t xml:space="preserve">and </w:t>
      </w:r>
      <w:r w:rsidR="00C06445" w:rsidRPr="006215B8">
        <w:rPr>
          <w:sz w:val="24"/>
        </w:rPr>
        <w:t xml:space="preserve">Prescription Drug (Part D) </w:t>
      </w:r>
      <w:r w:rsidR="00C363F0">
        <w:rPr>
          <w:sz w:val="24"/>
        </w:rPr>
        <w:t>p</w:t>
      </w:r>
      <w:r w:rsidR="00C06445" w:rsidRPr="006215B8">
        <w:rPr>
          <w:sz w:val="24"/>
        </w:rPr>
        <w:t>rogram</w:t>
      </w:r>
      <w:r w:rsidR="00C363F0">
        <w:rPr>
          <w:sz w:val="24"/>
        </w:rPr>
        <w:t>s</w:t>
      </w:r>
      <w:r w:rsidR="00C06445" w:rsidRPr="006215B8">
        <w:rPr>
          <w:sz w:val="24"/>
        </w:rPr>
        <w:t>.</w:t>
      </w:r>
      <w:r w:rsidR="002958C4" w:rsidRPr="006215B8">
        <w:rPr>
          <w:sz w:val="24"/>
        </w:rPr>
        <w:t xml:space="preserve"> The program integrity provisions throughout the  Affordable Care Act</w:t>
      </w:r>
      <w:r w:rsidR="00C363F0">
        <w:rPr>
          <w:sz w:val="24"/>
        </w:rPr>
        <w:t xml:space="preserve"> of 2010</w:t>
      </w:r>
      <w:r w:rsidR="002958C4" w:rsidRPr="006215B8">
        <w:rPr>
          <w:bCs/>
          <w:sz w:val="24"/>
        </w:rPr>
        <w:t xml:space="preserve"> (</w:t>
      </w:r>
      <w:r w:rsidR="002958C4" w:rsidRPr="006215B8">
        <w:rPr>
          <w:sz w:val="24"/>
        </w:rPr>
        <w:t>ACA), and particularly in Title VI, outline expectations for proactive detection and prevention of fraud, waste, and abuse, as well as robust program management, performance measurement, and reporting.</w:t>
      </w:r>
    </w:p>
    <w:p w14:paraId="1079B679" w14:textId="77777777" w:rsidR="00976503" w:rsidRPr="006215B8" w:rsidRDefault="009765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59E6D9" w14:textId="77777777" w:rsidR="00635793" w:rsidRPr="006215B8" w:rsidRDefault="00635793" w:rsidP="006215B8">
      <w:pPr>
        <w:ind w:left="432"/>
        <w:rPr>
          <w:sz w:val="24"/>
        </w:rPr>
      </w:pPr>
      <w:r w:rsidRPr="006215B8">
        <w:rPr>
          <w:sz w:val="24"/>
        </w:rPr>
        <w:t xml:space="preserve">Title I of the Medicare Prescription Drug, Improvement and Modernization Act of 2003 (MMA) (P.L. 108-173) was signed into law on December 8, 2003.  The MMA established a new voluntary outpatient prescription drug benefit under Part D of Title XVIII of the Social Security Act (the Act).  The prescription drug benefit, referred to as Medicare Part D, as well as an employer subsidy for qualified retiree health plans, began on January 1, 2006.  Coverage for the drug benefit will be provided by private prescription drug plans (PDPs) that offer drug-only coverage or through Medicare Advantage (MA) plans that offer both prescription drug and health care coverage (known as MA-PD plans).  It may also be offered by managed care organizations with cost plan contracts under section 1876 of the Act.  In addition, </w:t>
      </w:r>
      <w:r w:rsidRPr="006215B8">
        <w:rPr>
          <w:rStyle w:val="redline1"/>
          <w:color w:val="auto"/>
          <w:sz w:val="24"/>
        </w:rPr>
        <w:t xml:space="preserve">42 CFR </w:t>
      </w:r>
      <w:r w:rsidRPr="006215B8">
        <w:rPr>
          <w:rStyle w:val="redline1"/>
          <w:color w:val="auto"/>
          <w:sz w:val="24"/>
        </w:rPr>
        <w:lastRenderedPageBreak/>
        <w:t>§</w:t>
      </w:r>
      <w:r w:rsidRPr="006215B8">
        <w:rPr>
          <w:sz w:val="24"/>
        </w:rPr>
        <w:t xml:space="preserve">423.859 of the final rule states that “each Part D eligible individual must have available a choice of enrollment in at least two qualifying plans.”  Furthermore, at least one of the two qualifying plans must be a prescription drug plan.  If this requirement is not met, CMS will contract with fallback prescription drug plans (as defined in </w:t>
      </w:r>
      <w:r w:rsidRPr="006215B8">
        <w:rPr>
          <w:rStyle w:val="redline1"/>
          <w:color w:val="auto"/>
          <w:sz w:val="24"/>
        </w:rPr>
        <w:t>42 CFR §</w:t>
      </w:r>
      <w:r w:rsidRPr="006215B8">
        <w:rPr>
          <w:sz w:val="24"/>
        </w:rPr>
        <w:t xml:space="preserve">423.855 of the final rule) to provide such access.  We refer to all of these plans in general as “Part D plans.”  These plans must offer a standard drug benefit, but will have the flexibility to vary the drug benefit within certain parameters.  </w:t>
      </w:r>
    </w:p>
    <w:p w14:paraId="1BF9D0BA" w14:textId="77777777" w:rsidR="00635793" w:rsidRPr="006215B8" w:rsidRDefault="00635793" w:rsidP="00635793">
      <w:pPr>
        <w:rPr>
          <w:sz w:val="24"/>
        </w:rPr>
      </w:pPr>
    </w:p>
    <w:p w14:paraId="59C92465" w14:textId="77777777" w:rsidR="00C363F0" w:rsidRDefault="00635793" w:rsidP="006215B8">
      <w:pPr>
        <w:ind w:left="432"/>
        <w:rPr>
          <w:sz w:val="24"/>
        </w:rPr>
      </w:pPr>
      <w:r w:rsidRPr="006215B8">
        <w:rPr>
          <w:sz w:val="24"/>
        </w:rPr>
        <w:t xml:space="preserve">The final rule implementing the new Medicare Prescription Drug Benefit and the final rule establishing and regulating the Medicare Advantage (MA) program were published in the </w:t>
      </w:r>
      <w:r w:rsidRPr="006215B8">
        <w:rPr>
          <w:sz w:val="24"/>
          <w:u w:val="single"/>
        </w:rPr>
        <w:t>Federal Register</w:t>
      </w:r>
      <w:r w:rsidRPr="006215B8">
        <w:rPr>
          <w:sz w:val="24"/>
        </w:rPr>
        <w:t xml:space="preserve"> on Friday, January 28, 2005.  A copy of the final regulations is available from the Federal Register online database at </w:t>
      </w:r>
      <w:hyperlink r:id="rId9" w:history="1">
        <w:r w:rsidR="00C363F0" w:rsidRPr="006C2B7A">
          <w:rPr>
            <w:rStyle w:val="Hyperlink"/>
            <w:sz w:val="24"/>
          </w:rPr>
          <w:t>https://www.federalregister.gov</w:t>
        </w:r>
      </w:hyperlink>
      <w:r w:rsidR="00C363F0">
        <w:rPr>
          <w:sz w:val="24"/>
        </w:rPr>
        <w:t>.</w:t>
      </w:r>
    </w:p>
    <w:p w14:paraId="148612B5" w14:textId="77777777" w:rsidR="00635793" w:rsidRPr="006215B8" w:rsidRDefault="00635793" w:rsidP="00635793">
      <w:pPr>
        <w:rPr>
          <w:sz w:val="24"/>
        </w:rPr>
      </w:pPr>
    </w:p>
    <w:p w14:paraId="76885F53" w14:textId="77777777" w:rsidR="00635793" w:rsidRPr="006215B8" w:rsidRDefault="00635793" w:rsidP="006215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215B8">
        <w:rPr>
          <w:sz w:val="24"/>
        </w:rPr>
        <w:t>The Patient Protection and Affordable Care Act</w:t>
      </w:r>
      <w:r w:rsidRPr="006215B8">
        <w:rPr>
          <w:bCs/>
          <w:sz w:val="24"/>
        </w:rPr>
        <w:t xml:space="preserve"> (P.L. 111-148) was enacted on March 23, 2010</w:t>
      </w:r>
      <w:r w:rsidRPr="006215B8">
        <w:rPr>
          <w:rFonts w:eastAsia="Calibri"/>
          <w:sz w:val="24"/>
        </w:rPr>
        <w:t xml:space="preserve">.  The Health Care and Education Reconciliation Act (P.L. 111-152) was enacted on March 30, 2010 and modified a number of Medicare provisions in </w:t>
      </w:r>
      <w:r w:rsidRPr="006215B8">
        <w:rPr>
          <w:bCs/>
          <w:sz w:val="24"/>
        </w:rPr>
        <w:t>P.L. 111-148</w:t>
      </w:r>
      <w:r w:rsidRPr="006215B8">
        <w:rPr>
          <w:rFonts w:eastAsia="Calibri"/>
          <w:sz w:val="24"/>
        </w:rPr>
        <w:t xml:space="preserve"> and added several new provisions.  The </w:t>
      </w:r>
      <w:r w:rsidRPr="006215B8">
        <w:rPr>
          <w:sz w:val="24"/>
        </w:rPr>
        <w:t>Patient Protection and Affordable Care Act</w:t>
      </w:r>
      <w:r w:rsidRPr="006215B8">
        <w:rPr>
          <w:bCs/>
          <w:sz w:val="24"/>
        </w:rPr>
        <w:t xml:space="preserve"> (P.L. 111</w:t>
      </w:r>
      <w:r w:rsidRPr="006215B8">
        <w:rPr>
          <w:bCs/>
          <w:sz w:val="24"/>
        </w:rPr>
        <w:noBreakHyphen/>
        <w:t>148) and t</w:t>
      </w:r>
      <w:r w:rsidRPr="006215B8">
        <w:rPr>
          <w:rFonts w:eastAsia="Calibri"/>
          <w:sz w:val="24"/>
        </w:rPr>
        <w:t>he Health Care and Education Reconciliation Act (P.L.</w:t>
      </w:r>
      <w:r w:rsidRPr="006215B8">
        <w:rPr>
          <w:rFonts w:eastAsia="Calibri"/>
          <w:b/>
          <w:sz w:val="24"/>
        </w:rPr>
        <w:t> </w:t>
      </w:r>
      <w:r w:rsidRPr="006215B8">
        <w:rPr>
          <w:rFonts w:eastAsia="Calibri"/>
          <w:sz w:val="24"/>
        </w:rPr>
        <w:t>111-152) are collectively referred to as the Affordable Care Act of 2010 (ACA).</w:t>
      </w:r>
      <w:r w:rsidRPr="006215B8">
        <w:rPr>
          <w:sz w:val="24"/>
        </w:rPr>
        <w:t xml:space="preserve">  The ACA includes significant reforms of the private health insurance industry as well as the Medicare and Medicaid programs.  The ACA strengthens program integrity efforts across Medicare, including Part C (</w:t>
      </w:r>
      <w:r w:rsidR="002958C4" w:rsidRPr="006215B8">
        <w:rPr>
          <w:sz w:val="24"/>
        </w:rPr>
        <w:t>Medicare Advantage) and Part D (Prescription Drug</w:t>
      </w:r>
      <w:r w:rsidR="00C363F0">
        <w:rPr>
          <w:sz w:val="24"/>
        </w:rPr>
        <w:t>)</w:t>
      </w:r>
      <w:r w:rsidR="002958C4" w:rsidRPr="006215B8">
        <w:rPr>
          <w:sz w:val="24"/>
        </w:rPr>
        <w:t xml:space="preserve"> </w:t>
      </w:r>
      <w:r w:rsidRPr="006215B8">
        <w:rPr>
          <w:sz w:val="24"/>
        </w:rPr>
        <w:t>program</w:t>
      </w:r>
      <w:r w:rsidR="00C363F0">
        <w:rPr>
          <w:sz w:val="24"/>
        </w:rPr>
        <w:t>s</w:t>
      </w:r>
      <w:r w:rsidRPr="006215B8">
        <w:rPr>
          <w:sz w:val="24"/>
        </w:rPr>
        <w:t xml:space="preserve">. </w:t>
      </w:r>
    </w:p>
    <w:p w14:paraId="68BDEE7B" w14:textId="77777777" w:rsidR="00635793" w:rsidRPr="00F57969" w:rsidRDefault="00635793" w:rsidP="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72E449"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ACAB2C"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2.</w:t>
      </w:r>
      <w:r w:rsidRPr="00756571">
        <w:rPr>
          <w:sz w:val="24"/>
        </w:rPr>
        <w:tab/>
      </w:r>
      <w:r w:rsidRPr="00756571">
        <w:rPr>
          <w:sz w:val="24"/>
          <w:u w:val="single"/>
        </w:rPr>
        <w:t>Information Users</w:t>
      </w:r>
    </w:p>
    <w:p w14:paraId="262F8AFB"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E877E7" w14:textId="77777777" w:rsidR="008B1666" w:rsidRPr="00F57969" w:rsidRDefault="00910E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This is a new collection. </w:t>
      </w:r>
      <w:r w:rsidR="0096360C" w:rsidRPr="00F57969">
        <w:rPr>
          <w:sz w:val="24"/>
        </w:rPr>
        <w:t xml:space="preserve">CMS, NBI MEDIC, </w:t>
      </w:r>
      <w:r w:rsidR="002B3AB8" w:rsidRPr="00F57969">
        <w:rPr>
          <w:sz w:val="24"/>
        </w:rPr>
        <w:t>Medicare Part D plan s</w:t>
      </w:r>
      <w:r w:rsidR="008B1666" w:rsidRPr="00F57969">
        <w:rPr>
          <w:sz w:val="24"/>
        </w:rPr>
        <w:t>ponsors</w:t>
      </w:r>
      <w:r w:rsidR="009F4B2E" w:rsidRPr="00F57969">
        <w:rPr>
          <w:sz w:val="24"/>
        </w:rPr>
        <w:t>,</w:t>
      </w:r>
      <w:r w:rsidR="008B1666" w:rsidRPr="00F57969">
        <w:rPr>
          <w:sz w:val="24"/>
        </w:rPr>
        <w:t xml:space="preserve"> and </w:t>
      </w:r>
      <w:r w:rsidR="00112466" w:rsidRPr="00F57969">
        <w:rPr>
          <w:sz w:val="24"/>
        </w:rPr>
        <w:t>law e</w:t>
      </w:r>
      <w:r w:rsidR="008B1666" w:rsidRPr="00F57969">
        <w:rPr>
          <w:sz w:val="24"/>
        </w:rPr>
        <w:t xml:space="preserve">nforcement will be able to review national </w:t>
      </w:r>
      <w:r w:rsidR="003A2D9B" w:rsidRPr="00F57969">
        <w:rPr>
          <w:sz w:val="24"/>
        </w:rPr>
        <w:t xml:space="preserve">summary </w:t>
      </w:r>
      <w:r w:rsidR="008B1666" w:rsidRPr="00F57969">
        <w:rPr>
          <w:sz w:val="24"/>
        </w:rPr>
        <w:t xml:space="preserve">data </w:t>
      </w:r>
      <w:r w:rsidR="00A72184" w:rsidRPr="00F57969">
        <w:rPr>
          <w:sz w:val="24"/>
        </w:rPr>
        <w:t>and</w:t>
      </w:r>
      <w:r w:rsidR="008B1666" w:rsidRPr="00F57969">
        <w:rPr>
          <w:sz w:val="24"/>
        </w:rPr>
        <w:t xml:space="preserve"> actions taken against Part D providers. This will enable them to </w:t>
      </w:r>
      <w:r w:rsidR="00623ADB" w:rsidRPr="00F57969">
        <w:rPr>
          <w:sz w:val="24"/>
        </w:rPr>
        <w:t xml:space="preserve">detect </w:t>
      </w:r>
      <w:r w:rsidR="00C52144" w:rsidRPr="00F57969">
        <w:rPr>
          <w:sz w:val="24"/>
        </w:rPr>
        <w:t>wh</w:t>
      </w:r>
      <w:r w:rsidR="006006FE" w:rsidRPr="00F57969">
        <w:rPr>
          <w:sz w:val="24"/>
        </w:rPr>
        <w:t>ich</w:t>
      </w:r>
      <w:r w:rsidR="00C52144" w:rsidRPr="00F57969">
        <w:rPr>
          <w:sz w:val="24"/>
        </w:rPr>
        <w:t xml:space="preserve"> providers are most at risk for Medicare Part D fraud, w</w:t>
      </w:r>
      <w:r w:rsidR="001E29F3" w:rsidRPr="00F57969">
        <w:rPr>
          <w:sz w:val="24"/>
        </w:rPr>
        <w:t xml:space="preserve">aste, and abuse </w:t>
      </w:r>
      <w:r w:rsidR="006006FE" w:rsidRPr="00F57969">
        <w:rPr>
          <w:sz w:val="24"/>
        </w:rPr>
        <w:t>in order to</w:t>
      </w:r>
      <w:r w:rsidR="001E29F3" w:rsidRPr="00F57969">
        <w:rPr>
          <w:sz w:val="24"/>
        </w:rPr>
        <w:t xml:space="preserve"> take</w:t>
      </w:r>
      <w:r w:rsidR="00C52144" w:rsidRPr="00F57969">
        <w:rPr>
          <w:sz w:val="24"/>
        </w:rPr>
        <w:t xml:space="preserve"> the proper actions against the </w:t>
      </w:r>
      <w:r w:rsidR="006006FE" w:rsidRPr="00F57969">
        <w:rPr>
          <w:sz w:val="24"/>
        </w:rPr>
        <w:t xml:space="preserve">identified </w:t>
      </w:r>
      <w:r w:rsidR="00112466" w:rsidRPr="00F57969">
        <w:rPr>
          <w:sz w:val="24"/>
        </w:rPr>
        <w:t xml:space="preserve">Part D </w:t>
      </w:r>
      <w:r w:rsidR="00C52144" w:rsidRPr="00F57969">
        <w:rPr>
          <w:sz w:val="24"/>
        </w:rPr>
        <w:t>provider</w:t>
      </w:r>
      <w:r w:rsidR="00180B79" w:rsidRPr="00F57969">
        <w:rPr>
          <w:sz w:val="24"/>
        </w:rPr>
        <w:t>s</w:t>
      </w:r>
      <w:r w:rsidR="00C52144" w:rsidRPr="00F57969">
        <w:rPr>
          <w:sz w:val="24"/>
        </w:rPr>
        <w:t>.</w:t>
      </w:r>
      <w:r w:rsidR="003601B6" w:rsidRPr="00F57969">
        <w:rPr>
          <w:sz w:val="24"/>
        </w:rPr>
        <w:t xml:space="preserve"> </w:t>
      </w:r>
    </w:p>
    <w:p w14:paraId="374CD12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01B0A6"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3.</w:t>
      </w:r>
      <w:r w:rsidRPr="00756571">
        <w:rPr>
          <w:sz w:val="24"/>
        </w:rPr>
        <w:tab/>
      </w:r>
      <w:r w:rsidRPr="00756571">
        <w:rPr>
          <w:sz w:val="24"/>
          <w:u w:val="single"/>
        </w:rPr>
        <w:t>Use of Information Technology</w:t>
      </w:r>
    </w:p>
    <w:p w14:paraId="02B80B39" w14:textId="77777777" w:rsidR="00E93708" w:rsidRPr="00F57969" w:rsidRDefault="00E93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9932CC5" w14:textId="77777777" w:rsidR="00E93708" w:rsidRPr="00F57969" w:rsidRDefault="00E93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The use of </w:t>
      </w:r>
      <w:r w:rsidR="00112466" w:rsidRPr="00F57969">
        <w:rPr>
          <w:sz w:val="24"/>
        </w:rPr>
        <w:t>PLATO</w:t>
      </w:r>
      <w:r w:rsidR="00112466" w:rsidRPr="00F57969">
        <w:rPr>
          <w:sz w:val="24"/>
          <w:vertAlign w:val="superscript"/>
        </w:rPr>
        <w:t>TM</w:t>
      </w:r>
      <w:r w:rsidRPr="00F57969">
        <w:rPr>
          <w:sz w:val="24"/>
        </w:rPr>
        <w:t xml:space="preserve"> is 100% electronic</w:t>
      </w:r>
      <w:r w:rsidR="006006FE" w:rsidRPr="00F57969">
        <w:rPr>
          <w:sz w:val="24"/>
        </w:rPr>
        <w:t>,</w:t>
      </w:r>
      <w:r w:rsidRPr="00F57969">
        <w:rPr>
          <w:sz w:val="24"/>
        </w:rPr>
        <w:t xml:space="preserve"> as the site for collecting the data is web-based. </w:t>
      </w:r>
    </w:p>
    <w:p w14:paraId="4E298212"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6FCABA"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*To comply with the Government Paperwork Elimination Act (GPEA), you must also include the following information in this section:</w:t>
      </w:r>
    </w:p>
    <w:p w14:paraId="40C10169" w14:textId="77777777" w:rsidR="000F3AF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 xml:space="preserve">- Is this collection currently available for completion electronically?  </w:t>
      </w:r>
    </w:p>
    <w:p w14:paraId="475FE9B1" w14:textId="77777777" w:rsidR="003F75F6" w:rsidRPr="00F57969" w:rsidRDefault="003F75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Yes</w:t>
      </w:r>
      <w:r w:rsidR="005479DF" w:rsidRPr="00F57969">
        <w:rPr>
          <w:sz w:val="24"/>
        </w:rPr>
        <w:t>, all information is electronic.</w:t>
      </w:r>
    </w:p>
    <w:p w14:paraId="45950F41"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 xml:space="preserve">-  Does this collection require a signature from the respondent(s)?  </w:t>
      </w:r>
    </w:p>
    <w:p w14:paraId="0277164C" w14:textId="77777777" w:rsidR="003F75F6" w:rsidRPr="00F57969" w:rsidRDefault="003F75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No</w:t>
      </w:r>
      <w:r w:rsidR="005479DF" w:rsidRPr="00F57969">
        <w:rPr>
          <w:sz w:val="24"/>
        </w:rPr>
        <w:t>, a signature is not required from the respondents.</w:t>
      </w:r>
    </w:p>
    <w:p w14:paraId="2D9F0161"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 xml:space="preserve">-  If CMS had the capability of accepting electronic signature(s), could this collection be </w:t>
      </w:r>
      <w:r w:rsidRPr="00F57969">
        <w:rPr>
          <w:sz w:val="24"/>
        </w:rPr>
        <w:lastRenderedPageBreak/>
        <w:t>made available electronically?</w:t>
      </w:r>
    </w:p>
    <w:p w14:paraId="4804C0AE" w14:textId="77777777" w:rsidR="003F75F6" w:rsidRPr="00F57969" w:rsidRDefault="003F75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Yes</w:t>
      </w:r>
      <w:r w:rsidR="005479DF" w:rsidRPr="00F57969">
        <w:rPr>
          <w:sz w:val="24"/>
        </w:rPr>
        <w:t>, this collection could be made available electronically.</w:t>
      </w:r>
    </w:p>
    <w:p w14:paraId="7960A6E7"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 If this collection isn’t currently electronic but will be made electronic in the future, please give a date (month &amp; year) as to when this will be available electronically and explain why it can’t be done sooner.</w:t>
      </w:r>
    </w:p>
    <w:p w14:paraId="0BEFE801" w14:textId="77777777" w:rsidR="003F75F6" w:rsidRPr="00F57969" w:rsidRDefault="003F75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N</w:t>
      </w:r>
      <w:r w:rsidR="005479DF" w:rsidRPr="00F57969">
        <w:rPr>
          <w:sz w:val="24"/>
        </w:rPr>
        <w:t>ot applicable</w:t>
      </w:r>
      <w:r w:rsidR="00CF5473" w:rsidRPr="00F57969">
        <w:rPr>
          <w:sz w:val="24"/>
        </w:rPr>
        <w:t>. T</w:t>
      </w:r>
      <w:r w:rsidR="00E93708" w:rsidRPr="00F57969">
        <w:rPr>
          <w:sz w:val="24"/>
        </w:rPr>
        <w:t>he collection tool is entirely electronic.</w:t>
      </w:r>
    </w:p>
    <w:p w14:paraId="0DA41A0D"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  If this collection cannot be made electronic or if it isn’t cost beneficial to make it electronic, please explain.</w:t>
      </w:r>
    </w:p>
    <w:p w14:paraId="6B88143A" w14:textId="77777777" w:rsidR="003F75F6" w:rsidRPr="00F57969" w:rsidRDefault="00CF54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F57969">
        <w:rPr>
          <w:sz w:val="24"/>
        </w:rPr>
        <w:t>Not applicable. T</w:t>
      </w:r>
      <w:r w:rsidR="005479DF" w:rsidRPr="00F57969">
        <w:rPr>
          <w:sz w:val="24"/>
        </w:rPr>
        <w:t>he</w:t>
      </w:r>
      <w:r w:rsidR="00E93708" w:rsidRPr="00F57969">
        <w:rPr>
          <w:sz w:val="24"/>
        </w:rPr>
        <w:t xml:space="preserve"> collection tool is entirely electronic. </w:t>
      </w:r>
    </w:p>
    <w:p w14:paraId="5E7CD50D"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0647C9"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4.</w:t>
      </w:r>
      <w:r w:rsidRPr="00756571">
        <w:rPr>
          <w:sz w:val="24"/>
        </w:rPr>
        <w:tab/>
      </w:r>
      <w:r w:rsidRPr="00756571">
        <w:rPr>
          <w:sz w:val="24"/>
          <w:u w:val="single"/>
        </w:rPr>
        <w:t>Duplication of Efforts</w:t>
      </w:r>
    </w:p>
    <w:p w14:paraId="69FCD1B8"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9AE46A" w14:textId="77777777" w:rsidR="004C73B9" w:rsidRPr="00F57969" w:rsidRDefault="00E76E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This information collection does not duplicate any other effort and the information cannot be obtained from any other source. </w:t>
      </w:r>
    </w:p>
    <w:p w14:paraId="2E395C93"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A1315E"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5.</w:t>
      </w:r>
      <w:r w:rsidRPr="00756571">
        <w:rPr>
          <w:sz w:val="24"/>
        </w:rPr>
        <w:tab/>
      </w:r>
      <w:r w:rsidRPr="00756571">
        <w:rPr>
          <w:sz w:val="24"/>
          <w:u w:val="single"/>
        </w:rPr>
        <w:t>Small Businesses</w:t>
      </w:r>
    </w:p>
    <w:p w14:paraId="67EFD0C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E3D4E" w14:textId="77777777" w:rsidR="00D559FD" w:rsidRPr="00F57969" w:rsidRDefault="000D64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There is no impact</w:t>
      </w:r>
      <w:r w:rsidR="005479DF" w:rsidRPr="00F57969">
        <w:rPr>
          <w:sz w:val="24"/>
        </w:rPr>
        <w:t xml:space="preserve"> expected for small businesses as PLATO</w:t>
      </w:r>
      <w:r w:rsidR="00752FBA" w:rsidRPr="00F57969">
        <w:rPr>
          <w:sz w:val="24"/>
          <w:vertAlign w:val="superscript"/>
        </w:rPr>
        <w:t>TM</w:t>
      </w:r>
      <w:r w:rsidR="005479DF" w:rsidRPr="00F57969">
        <w:rPr>
          <w:sz w:val="24"/>
        </w:rPr>
        <w:t xml:space="preserve"> provides the smaller healthcare companies with data that they would otherwise have to search for themselves. </w:t>
      </w:r>
      <w:r w:rsidR="00D12ADC" w:rsidRPr="00F57969">
        <w:rPr>
          <w:sz w:val="24"/>
        </w:rPr>
        <w:t xml:space="preserve">PLATO™ </w:t>
      </w:r>
      <w:r w:rsidR="005479DF" w:rsidRPr="00F57969">
        <w:rPr>
          <w:sz w:val="24"/>
        </w:rPr>
        <w:t>provides them with easier and quicker access to information</w:t>
      </w:r>
      <w:r w:rsidRPr="00F57969">
        <w:rPr>
          <w:sz w:val="24"/>
        </w:rPr>
        <w:t>,</w:t>
      </w:r>
      <w:r w:rsidR="005479DF" w:rsidRPr="00F57969">
        <w:rPr>
          <w:sz w:val="24"/>
        </w:rPr>
        <w:t xml:space="preserve"> thus</w:t>
      </w:r>
      <w:r w:rsidRPr="00F57969">
        <w:rPr>
          <w:sz w:val="24"/>
        </w:rPr>
        <w:t>,</w:t>
      </w:r>
      <w:r w:rsidR="005479DF" w:rsidRPr="00F57969">
        <w:rPr>
          <w:sz w:val="24"/>
        </w:rPr>
        <w:t xml:space="preserve"> making this a more valuable tool for </w:t>
      </w:r>
      <w:r w:rsidR="00D12ADC" w:rsidRPr="00F57969">
        <w:rPr>
          <w:sz w:val="24"/>
        </w:rPr>
        <w:t xml:space="preserve">small businesses and </w:t>
      </w:r>
      <w:r w:rsidR="00112466" w:rsidRPr="00F57969">
        <w:rPr>
          <w:sz w:val="24"/>
        </w:rPr>
        <w:t>entities</w:t>
      </w:r>
      <w:r w:rsidR="00D12ADC" w:rsidRPr="00F57969">
        <w:rPr>
          <w:sz w:val="24"/>
        </w:rPr>
        <w:t xml:space="preserve"> </w:t>
      </w:r>
      <w:r w:rsidR="005479DF" w:rsidRPr="00F57969">
        <w:rPr>
          <w:sz w:val="24"/>
        </w:rPr>
        <w:t>to utilize.</w:t>
      </w:r>
    </w:p>
    <w:p w14:paraId="5DC2A11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14F194" w14:textId="39208363" w:rsidR="00D559FD" w:rsidRPr="00F57969" w:rsidRDefault="008F1EB4" w:rsidP="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6.</w:t>
      </w:r>
      <w:r w:rsidRPr="00756571">
        <w:rPr>
          <w:sz w:val="24"/>
        </w:rPr>
        <w:tab/>
      </w:r>
      <w:r w:rsidRPr="00756571">
        <w:rPr>
          <w:sz w:val="24"/>
          <w:u w:val="single"/>
        </w:rPr>
        <w:t>Less Frequent Collection</w:t>
      </w:r>
    </w:p>
    <w:p w14:paraId="3384C529" w14:textId="77777777" w:rsidR="00D559FD" w:rsidRPr="00F57969" w:rsidRDefault="00D559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This data collection is to aid in</w:t>
      </w:r>
      <w:r w:rsidR="003A4486" w:rsidRPr="00F57969">
        <w:rPr>
          <w:sz w:val="24"/>
        </w:rPr>
        <w:t xml:space="preserve"> </w:t>
      </w:r>
      <w:r w:rsidR="00B1264A" w:rsidRPr="00F57969">
        <w:rPr>
          <w:sz w:val="24"/>
        </w:rPr>
        <w:t xml:space="preserve">the </w:t>
      </w:r>
      <w:r w:rsidR="003A4486" w:rsidRPr="00F57969">
        <w:rPr>
          <w:sz w:val="24"/>
        </w:rPr>
        <w:t>more efficient</w:t>
      </w:r>
      <w:r w:rsidRPr="00F57969">
        <w:rPr>
          <w:sz w:val="24"/>
        </w:rPr>
        <w:t xml:space="preserve"> identif</w:t>
      </w:r>
      <w:r w:rsidR="00B1264A" w:rsidRPr="00F57969">
        <w:rPr>
          <w:sz w:val="24"/>
        </w:rPr>
        <w:t>ication</w:t>
      </w:r>
      <w:r w:rsidRPr="00F57969">
        <w:rPr>
          <w:sz w:val="24"/>
        </w:rPr>
        <w:t>, predict</w:t>
      </w:r>
      <w:r w:rsidR="003E3041" w:rsidRPr="00F57969">
        <w:rPr>
          <w:sz w:val="24"/>
        </w:rPr>
        <w:t>i</w:t>
      </w:r>
      <w:r w:rsidR="00B1264A" w:rsidRPr="00F57969">
        <w:rPr>
          <w:sz w:val="24"/>
        </w:rPr>
        <w:t>on</w:t>
      </w:r>
      <w:r w:rsidRPr="00F57969">
        <w:rPr>
          <w:sz w:val="24"/>
        </w:rPr>
        <w:t>, and prevent</w:t>
      </w:r>
      <w:r w:rsidR="003E3041" w:rsidRPr="00F57969">
        <w:rPr>
          <w:sz w:val="24"/>
        </w:rPr>
        <w:t>i</w:t>
      </w:r>
      <w:r w:rsidR="00B1264A" w:rsidRPr="00F57969">
        <w:rPr>
          <w:sz w:val="24"/>
        </w:rPr>
        <w:t>on of</w:t>
      </w:r>
      <w:r w:rsidRPr="00F57969">
        <w:rPr>
          <w:sz w:val="24"/>
        </w:rPr>
        <w:t xml:space="preserve"> Medicare Part D fraud, waste, and abuse. Without this tool, Medicare Part D </w:t>
      </w:r>
      <w:r w:rsidR="002B3AB8" w:rsidRPr="00F57969">
        <w:rPr>
          <w:sz w:val="24"/>
        </w:rPr>
        <w:t>plan s</w:t>
      </w:r>
      <w:r w:rsidRPr="00F57969">
        <w:rPr>
          <w:sz w:val="24"/>
        </w:rPr>
        <w:t xml:space="preserve">ponsors will not be given the advantage of national </w:t>
      </w:r>
      <w:r w:rsidR="002C6849" w:rsidRPr="00F57969">
        <w:rPr>
          <w:sz w:val="24"/>
        </w:rPr>
        <w:t xml:space="preserve">summary </w:t>
      </w:r>
      <w:r w:rsidRPr="00F57969">
        <w:rPr>
          <w:sz w:val="24"/>
        </w:rPr>
        <w:t>data to aid them in detecting fr</w:t>
      </w:r>
      <w:r w:rsidR="00B55E97" w:rsidRPr="00F57969">
        <w:rPr>
          <w:sz w:val="24"/>
        </w:rPr>
        <w:t xml:space="preserve">audulent </w:t>
      </w:r>
      <w:r w:rsidR="003958A3" w:rsidRPr="00F57969">
        <w:rPr>
          <w:sz w:val="24"/>
        </w:rPr>
        <w:t>providers</w:t>
      </w:r>
      <w:r w:rsidR="00B55E97" w:rsidRPr="00F57969">
        <w:rPr>
          <w:sz w:val="24"/>
        </w:rPr>
        <w:t xml:space="preserve"> and actions </w:t>
      </w:r>
      <w:r w:rsidR="009E38F3" w:rsidRPr="00F57969">
        <w:rPr>
          <w:sz w:val="24"/>
        </w:rPr>
        <w:t>in a much more efficient and effective</w:t>
      </w:r>
      <w:r w:rsidR="00EA7ADF" w:rsidRPr="00F57969">
        <w:rPr>
          <w:sz w:val="24"/>
        </w:rPr>
        <w:t xml:space="preserve"> manner</w:t>
      </w:r>
      <w:r w:rsidRPr="00F57969">
        <w:rPr>
          <w:sz w:val="24"/>
        </w:rPr>
        <w:t>.</w:t>
      </w:r>
    </w:p>
    <w:p w14:paraId="078C7C42" w14:textId="77777777" w:rsidR="00D559FD" w:rsidRPr="00F57969" w:rsidRDefault="00D559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3879298"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0FA7E8"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7.</w:t>
      </w:r>
      <w:r w:rsidRPr="00756571">
        <w:rPr>
          <w:sz w:val="24"/>
        </w:rPr>
        <w:tab/>
      </w:r>
      <w:r w:rsidRPr="00756571">
        <w:rPr>
          <w:sz w:val="24"/>
          <w:u w:val="single"/>
        </w:rPr>
        <w:t>Special Circumstances</w:t>
      </w:r>
    </w:p>
    <w:p w14:paraId="3AA9758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B3494C" w14:textId="3B92EA5C" w:rsidR="008F1EB4" w:rsidRDefault="00756571" w:rsidP="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special circumstances associated with this information collection request. </w:t>
      </w:r>
    </w:p>
    <w:p w14:paraId="0E35984D" w14:textId="77777777" w:rsidR="00756571" w:rsidRPr="00F57969" w:rsidRDefault="00756571" w:rsidP="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80F96B0"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8.</w:t>
      </w:r>
      <w:r w:rsidRPr="00756571">
        <w:rPr>
          <w:sz w:val="24"/>
        </w:rPr>
        <w:tab/>
      </w:r>
      <w:r w:rsidRPr="00756571">
        <w:rPr>
          <w:sz w:val="24"/>
          <w:u w:val="single"/>
        </w:rPr>
        <w:t>Federal Register/Outside Consultation</w:t>
      </w:r>
    </w:p>
    <w:p w14:paraId="0914D2FB"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474173" w14:textId="77777777" w:rsidR="00D85D67" w:rsidRPr="00F57969" w:rsidRDefault="008B51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w:t>
      </w:r>
      <w:r w:rsidRPr="00756571">
        <w:rPr>
          <w:i/>
          <w:sz w:val="24"/>
        </w:rPr>
        <w:t>Federal Register</w:t>
      </w:r>
      <w:r>
        <w:rPr>
          <w:sz w:val="24"/>
        </w:rPr>
        <w:t xml:space="preserve"> notice published on April 25, 2014.</w:t>
      </w:r>
    </w:p>
    <w:p w14:paraId="4EF6F8D9" w14:textId="77777777" w:rsidR="001F644B" w:rsidRPr="00F57969" w:rsidRDefault="001F644B" w:rsidP="003B34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B57552"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62B87D"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9.</w:t>
      </w:r>
      <w:r w:rsidRPr="00756571">
        <w:rPr>
          <w:sz w:val="24"/>
        </w:rPr>
        <w:tab/>
      </w:r>
      <w:r w:rsidRPr="00756571">
        <w:rPr>
          <w:sz w:val="24"/>
          <w:u w:val="single"/>
        </w:rPr>
        <w:t>Payments/Gifts to Respondents</w:t>
      </w:r>
    </w:p>
    <w:p w14:paraId="4D4C43E3"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386DEC" w14:textId="77777777" w:rsidR="00CB6B41" w:rsidRPr="00F57969" w:rsidRDefault="00CB6B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No payment or gifts to respondents. The information provi</w:t>
      </w:r>
      <w:r w:rsidR="002B3AB8" w:rsidRPr="00F57969">
        <w:rPr>
          <w:sz w:val="24"/>
        </w:rPr>
        <w:t>ded is complimentary to Part D plan s</w:t>
      </w:r>
      <w:r w:rsidR="00F67BE4" w:rsidRPr="00F57969">
        <w:rPr>
          <w:sz w:val="24"/>
        </w:rPr>
        <w:t>ponsors and law e</w:t>
      </w:r>
      <w:r w:rsidRPr="00F57969">
        <w:rPr>
          <w:sz w:val="24"/>
        </w:rPr>
        <w:t>nforcement.</w:t>
      </w:r>
    </w:p>
    <w:p w14:paraId="78DDF356"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CD2D24"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lastRenderedPageBreak/>
        <w:t>10.</w:t>
      </w:r>
      <w:r w:rsidRPr="00756571">
        <w:rPr>
          <w:sz w:val="24"/>
        </w:rPr>
        <w:tab/>
      </w:r>
      <w:r w:rsidRPr="00756571">
        <w:rPr>
          <w:sz w:val="24"/>
          <w:u w:val="single"/>
        </w:rPr>
        <w:t>Confidentiality</w:t>
      </w:r>
    </w:p>
    <w:p w14:paraId="5B49A481" w14:textId="77777777" w:rsidR="000F3AF4" w:rsidRPr="0075657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58D725" w14:textId="77777777" w:rsidR="00CB6B41" w:rsidRPr="00F57969" w:rsidRDefault="00CB6B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PLATO</w:t>
      </w:r>
      <w:r w:rsidR="00D12ADC" w:rsidRPr="00F57969">
        <w:rPr>
          <w:sz w:val="24"/>
        </w:rPr>
        <w:t>™</w:t>
      </w:r>
      <w:r w:rsidRPr="00F57969">
        <w:rPr>
          <w:sz w:val="24"/>
        </w:rPr>
        <w:t xml:space="preserve"> only allows two users per </w:t>
      </w:r>
      <w:r w:rsidR="00DA55FF" w:rsidRPr="00F57969">
        <w:rPr>
          <w:sz w:val="24"/>
        </w:rPr>
        <w:t xml:space="preserve">Medicare Part D plan sponsor </w:t>
      </w:r>
      <w:r w:rsidRPr="00F57969">
        <w:rPr>
          <w:sz w:val="24"/>
        </w:rPr>
        <w:t xml:space="preserve">contract to access the data. Although all national </w:t>
      </w:r>
      <w:r w:rsidR="00324B73" w:rsidRPr="00F57969">
        <w:rPr>
          <w:sz w:val="24"/>
        </w:rPr>
        <w:t xml:space="preserve">summary </w:t>
      </w:r>
      <w:r w:rsidR="002B3AB8" w:rsidRPr="00F57969">
        <w:rPr>
          <w:sz w:val="24"/>
        </w:rPr>
        <w:t xml:space="preserve">data is shared, </w:t>
      </w:r>
      <w:r w:rsidR="00DA55FF" w:rsidRPr="00F57969">
        <w:rPr>
          <w:sz w:val="24"/>
        </w:rPr>
        <w:t xml:space="preserve">Part D </w:t>
      </w:r>
      <w:r w:rsidR="002B3AB8" w:rsidRPr="00F57969">
        <w:rPr>
          <w:sz w:val="24"/>
        </w:rPr>
        <w:t>plan s</w:t>
      </w:r>
      <w:r w:rsidR="0095418F" w:rsidRPr="00F57969">
        <w:rPr>
          <w:sz w:val="24"/>
        </w:rPr>
        <w:t>ponsor users</w:t>
      </w:r>
      <w:r w:rsidRPr="00F57969">
        <w:rPr>
          <w:sz w:val="24"/>
        </w:rPr>
        <w:t xml:space="preserve"> that are not within the same contract are not able to see personal identifiers of who took the act</w:t>
      </w:r>
      <w:r w:rsidR="008E2127" w:rsidRPr="00F57969">
        <w:rPr>
          <w:sz w:val="24"/>
        </w:rPr>
        <w:t>ion against the Part D provider, but</w:t>
      </w:r>
      <w:r w:rsidRPr="00F57969">
        <w:rPr>
          <w:sz w:val="24"/>
        </w:rPr>
        <w:t xml:space="preserve"> are only able to see what action was taken, the allegation type, the date of action, and error percentage. Users within the same contract will be able to view all action details such as</w:t>
      </w:r>
      <w:r w:rsidR="009F4B2E" w:rsidRPr="00F57969">
        <w:rPr>
          <w:sz w:val="24"/>
        </w:rPr>
        <w:t>:</w:t>
      </w:r>
      <w:r w:rsidRPr="00F57969">
        <w:rPr>
          <w:sz w:val="24"/>
        </w:rPr>
        <w:t xml:space="preserve"> </w:t>
      </w:r>
      <w:r w:rsidR="00237D64" w:rsidRPr="00F57969">
        <w:rPr>
          <w:sz w:val="24"/>
        </w:rPr>
        <w:t xml:space="preserve">the </w:t>
      </w:r>
      <w:r w:rsidRPr="00F57969">
        <w:rPr>
          <w:sz w:val="24"/>
        </w:rPr>
        <w:t xml:space="preserve">username, organization name, and contract identifier as well as </w:t>
      </w:r>
      <w:r w:rsidR="00D12ADC" w:rsidRPr="00F57969">
        <w:rPr>
          <w:sz w:val="24"/>
        </w:rPr>
        <w:t xml:space="preserve">the </w:t>
      </w:r>
      <w:r w:rsidRPr="00F57969">
        <w:rPr>
          <w:sz w:val="24"/>
        </w:rPr>
        <w:t xml:space="preserve">action taken, allegation type, date of the action, and error percentage. </w:t>
      </w:r>
    </w:p>
    <w:p w14:paraId="1B4288C0"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84ED36"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11.</w:t>
      </w:r>
      <w:r w:rsidRPr="00756571">
        <w:rPr>
          <w:sz w:val="24"/>
        </w:rPr>
        <w:tab/>
      </w:r>
      <w:r w:rsidRPr="00756571">
        <w:rPr>
          <w:sz w:val="24"/>
          <w:u w:val="single"/>
        </w:rPr>
        <w:t>Sensitive Questions</w:t>
      </w:r>
    </w:p>
    <w:p w14:paraId="208D2B0D"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352016" w14:textId="77777777" w:rsidR="008668B8" w:rsidRPr="00F57969" w:rsidRDefault="00CF54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Not applicable. N</w:t>
      </w:r>
      <w:r w:rsidR="00EB405E" w:rsidRPr="00F57969">
        <w:rPr>
          <w:sz w:val="24"/>
        </w:rPr>
        <w:t xml:space="preserve">o questions of a sensitive nature will </w:t>
      </w:r>
      <w:r w:rsidRPr="00F57969">
        <w:rPr>
          <w:sz w:val="24"/>
        </w:rPr>
        <w:t>be asked of</w:t>
      </w:r>
      <w:r w:rsidR="00EB405E" w:rsidRPr="00F57969">
        <w:rPr>
          <w:sz w:val="24"/>
        </w:rPr>
        <w:t xml:space="preserve"> respondents. </w:t>
      </w:r>
    </w:p>
    <w:p w14:paraId="371CE0C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E91F7E"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12.</w:t>
      </w:r>
      <w:r w:rsidRPr="00756571">
        <w:rPr>
          <w:sz w:val="24"/>
        </w:rPr>
        <w:tab/>
      </w:r>
      <w:r w:rsidRPr="00756571">
        <w:rPr>
          <w:sz w:val="24"/>
          <w:u w:val="single"/>
        </w:rPr>
        <w:t>Burden Estimates (Hours &amp; Wages)</w:t>
      </w:r>
    </w:p>
    <w:p w14:paraId="2F6A0AC1"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9FF0D3" w14:textId="77777777" w:rsidR="002241EE" w:rsidRDefault="00C34CFD" w:rsidP="002241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We plan to release the application to the entire Medicare Part D plan sponsor community, which to date, would be 775 plan contracts, making it 1,550 users for the system</w:t>
      </w:r>
      <w:r w:rsidRPr="002241EE">
        <w:rPr>
          <w:sz w:val="24"/>
        </w:rPr>
        <w:t>.</w:t>
      </w:r>
      <w:r w:rsidR="002241EE" w:rsidRPr="002241EE">
        <w:rPr>
          <w:sz w:val="24"/>
        </w:rPr>
        <w:t xml:space="preserve"> It is estimated that each plan sponsor user will access the PLATO</w:t>
      </w:r>
      <w:r w:rsidR="002241EE" w:rsidRPr="002241EE">
        <w:rPr>
          <w:sz w:val="24"/>
          <w:vertAlign w:val="superscript"/>
        </w:rPr>
        <w:t>TM</w:t>
      </w:r>
      <w:r w:rsidR="002241EE" w:rsidRPr="002241EE">
        <w:rPr>
          <w:sz w:val="24"/>
        </w:rPr>
        <w:t xml:space="preserve"> application for 1 hour each month (12 annual burden hours per user). By multiplying the 1,550 Part D plan sponsor system users by 12 hours, will result in 18,600 total annual burden hours collectively. </w:t>
      </w:r>
      <w:r w:rsidR="00D56426" w:rsidRPr="00F57969">
        <w:rPr>
          <w:sz w:val="24"/>
        </w:rPr>
        <w:t>Depending on the users</w:t>
      </w:r>
      <w:r w:rsidR="00A7784D" w:rsidRPr="00F57969">
        <w:rPr>
          <w:sz w:val="24"/>
        </w:rPr>
        <w:t>’</w:t>
      </w:r>
      <w:r w:rsidR="00D56426" w:rsidRPr="00F57969">
        <w:rPr>
          <w:sz w:val="24"/>
        </w:rPr>
        <w:t xml:space="preserve"> searching needs, they may spend anywhere from </w:t>
      </w:r>
      <w:r w:rsidR="00D1550E" w:rsidRPr="00F57969">
        <w:rPr>
          <w:sz w:val="24"/>
        </w:rPr>
        <w:t>1</w:t>
      </w:r>
      <w:r w:rsidR="008772F7" w:rsidRPr="00F57969">
        <w:rPr>
          <w:sz w:val="24"/>
        </w:rPr>
        <w:t>0</w:t>
      </w:r>
      <w:r w:rsidR="00D1550E" w:rsidRPr="00F57969">
        <w:rPr>
          <w:sz w:val="24"/>
        </w:rPr>
        <w:t xml:space="preserve"> seconds</w:t>
      </w:r>
      <w:r w:rsidR="00D56426" w:rsidRPr="00F57969">
        <w:rPr>
          <w:sz w:val="24"/>
        </w:rPr>
        <w:t xml:space="preserve"> to </w:t>
      </w:r>
      <w:r w:rsidR="00C653C0" w:rsidRPr="00F57969">
        <w:rPr>
          <w:sz w:val="24"/>
        </w:rPr>
        <w:t>1</w:t>
      </w:r>
      <w:r w:rsidR="00F11E08" w:rsidRPr="00F57969">
        <w:rPr>
          <w:sz w:val="24"/>
        </w:rPr>
        <w:t>0</w:t>
      </w:r>
      <w:r w:rsidR="00C653C0" w:rsidRPr="00F57969">
        <w:rPr>
          <w:sz w:val="24"/>
        </w:rPr>
        <w:t xml:space="preserve"> minutes</w:t>
      </w:r>
      <w:r w:rsidR="00D56426" w:rsidRPr="00F57969">
        <w:rPr>
          <w:sz w:val="24"/>
        </w:rPr>
        <w:t xml:space="preserve"> searching and investigating Medicare Part D providers that they are enrolling or who are already within their network.</w:t>
      </w:r>
      <w:r w:rsidR="002D6D34" w:rsidRPr="00F57969">
        <w:rPr>
          <w:sz w:val="24"/>
        </w:rPr>
        <w:t xml:space="preserve"> </w:t>
      </w:r>
    </w:p>
    <w:p w14:paraId="20E6C86A" w14:textId="77777777" w:rsidR="002241EE" w:rsidRDefault="002241EE" w:rsidP="002241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A3445A" w14:textId="77777777" w:rsidR="002D6D34" w:rsidRPr="00F57969" w:rsidRDefault="002D6D34" w:rsidP="002241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The estimated time for a Compliance Officer working for a </w:t>
      </w:r>
      <w:r w:rsidR="00D12ADC" w:rsidRPr="00F57969">
        <w:rPr>
          <w:sz w:val="24"/>
        </w:rPr>
        <w:t xml:space="preserve">Part D </w:t>
      </w:r>
      <w:r w:rsidRPr="00F57969">
        <w:rPr>
          <w:sz w:val="24"/>
        </w:rPr>
        <w:t xml:space="preserve">plan sponsor is </w:t>
      </w:r>
      <w:r w:rsidR="00FF52AE" w:rsidRPr="00F57969">
        <w:rPr>
          <w:sz w:val="24"/>
        </w:rPr>
        <w:t xml:space="preserve">at least </w:t>
      </w:r>
      <w:r w:rsidRPr="00F57969">
        <w:rPr>
          <w:sz w:val="24"/>
        </w:rPr>
        <w:t>one hour a month to search and review potential</w:t>
      </w:r>
      <w:r w:rsidR="00E75181" w:rsidRPr="00F57969">
        <w:rPr>
          <w:sz w:val="24"/>
        </w:rPr>
        <w:t xml:space="preserve"> and existing</w:t>
      </w:r>
      <w:r w:rsidR="00F67BE4" w:rsidRPr="00F57969">
        <w:rPr>
          <w:sz w:val="24"/>
        </w:rPr>
        <w:t xml:space="preserve"> Part D</w:t>
      </w:r>
      <w:r w:rsidRPr="00F57969">
        <w:rPr>
          <w:sz w:val="24"/>
        </w:rPr>
        <w:t xml:space="preserve"> providers</w:t>
      </w:r>
      <w:r w:rsidR="00F67BE4" w:rsidRPr="00F57969">
        <w:rPr>
          <w:sz w:val="24"/>
        </w:rPr>
        <w:t xml:space="preserve"> for fraud, waste</w:t>
      </w:r>
      <w:r w:rsidR="002241EE">
        <w:rPr>
          <w:sz w:val="24"/>
        </w:rPr>
        <w:t xml:space="preserve"> </w:t>
      </w:r>
      <w:r w:rsidR="00F67BE4" w:rsidRPr="00F57969">
        <w:rPr>
          <w:sz w:val="24"/>
        </w:rPr>
        <w:t>and abuse</w:t>
      </w:r>
      <w:r w:rsidRPr="00F57969">
        <w:rPr>
          <w:sz w:val="24"/>
        </w:rPr>
        <w:t>. According to the Bureau of Labor Statistics, a Complian</w:t>
      </w:r>
      <w:r w:rsidR="005C5EB9" w:rsidRPr="00F57969">
        <w:rPr>
          <w:sz w:val="24"/>
        </w:rPr>
        <w:t>ce</w:t>
      </w:r>
      <w:r w:rsidR="00237D64" w:rsidRPr="00F57969">
        <w:rPr>
          <w:sz w:val="24"/>
        </w:rPr>
        <w:t xml:space="preserve"> Officer makes a</w:t>
      </w:r>
      <w:r w:rsidRPr="00F57969">
        <w:rPr>
          <w:sz w:val="24"/>
        </w:rPr>
        <w:t xml:space="preserve"> </w:t>
      </w:r>
      <w:r w:rsidR="00E31B1B" w:rsidRPr="00F57969">
        <w:rPr>
          <w:sz w:val="24"/>
        </w:rPr>
        <w:t xml:space="preserve">national </w:t>
      </w:r>
      <w:r w:rsidRPr="00F57969">
        <w:rPr>
          <w:sz w:val="24"/>
        </w:rPr>
        <w:t>average of $60,740 annually and thus $</w:t>
      </w:r>
      <w:r w:rsidR="00B07C21" w:rsidRPr="00F57969">
        <w:rPr>
          <w:sz w:val="24"/>
        </w:rPr>
        <w:t>29.20 an hour</w:t>
      </w:r>
      <w:r w:rsidR="00E31B1B" w:rsidRPr="00F57969">
        <w:rPr>
          <w:sz w:val="24"/>
        </w:rPr>
        <w:t xml:space="preserve"> by dividing </w:t>
      </w:r>
      <w:r w:rsidR="00F67BE4" w:rsidRPr="00F57969">
        <w:rPr>
          <w:sz w:val="24"/>
        </w:rPr>
        <w:t>$60,740</w:t>
      </w:r>
      <w:r w:rsidR="00E31B1B" w:rsidRPr="00F57969">
        <w:rPr>
          <w:sz w:val="24"/>
        </w:rPr>
        <w:t xml:space="preserve"> by 2,080 work hours per year</w:t>
      </w:r>
      <w:r w:rsidR="00B07C21" w:rsidRPr="00F57969">
        <w:rPr>
          <w:sz w:val="24"/>
        </w:rPr>
        <w:t xml:space="preserve">. </w:t>
      </w:r>
      <w:r w:rsidR="005C5EB9" w:rsidRPr="00F57969">
        <w:rPr>
          <w:sz w:val="24"/>
        </w:rPr>
        <w:t>One hour is estimated for the time spent for each user a month</w:t>
      </w:r>
      <w:r w:rsidR="00CF5473" w:rsidRPr="00F57969">
        <w:rPr>
          <w:sz w:val="24"/>
        </w:rPr>
        <w:t>,</w:t>
      </w:r>
      <w:r w:rsidR="00E75181" w:rsidRPr="00F57969">
        <w:rPr>
          <w:sz w:val="24"/>
        </w:rPr>
        <w:t xml:space="preserve"> </w:t>
      </w:r>
      <w:r w:rsidR="005C5EB9" w:rsidRPr="00F57969">
        <w:rPr>
          <w:sz w:val="24"/>
        </w:rPr>
        <w:t xml:space="preserve">and </w:t>
      </w:r>
      <w:r w:rsidR="00CF5473" w:rsidRPr="00F57969">
        <w:rPr>
          <w:sz w:val="24"/>
        </w:rPr>
        <w:t xml:space="preserve">there will be </w:t>
      </w:r>
      <w:r w:rsidR="00237D64" w:rsidRPr="00F57969">
        <w:rPr>
          <w:sz w:val="24"/>
        </w:rPr>
        <w:t xml:space="preserve">two users per </w:t>
      </w:r>
      <w:r w:rsidR="00D12ADC" w:rsidRPr="00F57969">
        <w:rPr>
          <w:sz w:val="24"/>
        </w:rPr>
        <w:t xml:space="preserve">Part D </w:t>
      </w:r>
      <w:r w:rsidR="00237D64" w:rsidRPr="00F57969">
        <w:rPr>
          <w:sz w:val="24"/>
        </w:rPr>
        <w:t>plan sponsor</w:t>
      </w:r>
      <w:r w:rsidR="00E75181" w:rsidRPr="00F57969">
        <w:rPr>
          <w:sz w:val="24"/>
        </w:rPr>
        <w:t xml:space="preserve"> contract</w:t>
      </w:r>
      <w:r w:rsidR="00CF5473" w:rsidRPr="00F57969">
        <w:rPr>
          <w:sz w:val="24"/>
        </w:rPr>
        <w:t xml:space="preserve">.  </w:t>
      </w:r>
      <w:r w:rsidR="00FF52AE" w:rsidRPr="00F57969">
        <w:rPr>
          <w:sz w:val="24"/>
        </w:rPr>
        <w:t xml:space="preserve">The hourly rate of </w:t>
      </w:r>
      <w:r w:rsidR="00E85ED2" w:rsidRPr="00F57969">
        <w:rPr>
          <w:sz w:val="24"/>
        </w:rPr>
        <w:t>$29.20 multiplied by two</w:t>
      </w:r>
      <w:r w:rsidR="00CF5473" w:rsidRPr="00F57969">
        <w:rPr>
          <w:sz w:val="24"/>
        </w:rPr>
        <w:t xml:space="preserve"> users</w:t>
      </w:r>
      <w:r w:rsidR="00A640B4" w:rsidRPr="00F57969">
        <w:rPr>
          <w:sz w:val="24"/>
        </w:rPr>
        <w:t>,</w:t>
      </w:r>
      <w:r w:rsidR="00E85ED2" w:rsidRPr="00F57969">
        <w:rPr>
          <w:sz w:val="24"/>
        </w:rPr>
        <w:t xml:space="preserve"> </w:t>
      </w:r>
      <w:r w:rsidR="00237D64" w:rsidRPr="00F57969">
        <w:rPr>
          <w:sz w:val="24"/>
        </w:rPr>
        <w:t>amount</w:t>
      </w:r>
      <w:r w:rsidR="005C5EB9" w:rsidRPr="00F57969">
        <w:rPr>
          <w:sz w:val="24"/>
        </w:rPr>
        <w:t xml:space="preserve">s </w:t>
      </w:r>
      <w:r w:rsidR="00237D64" w:rsidRPr="00F57969">
        <w:rPr>
          <w:sz w:val="24"/>
        </w:rPr>
        <w:t xml:space="preserve">to </w:t>
      </w:r>
      <w:r w:rsidR="005C5EB9" w:rsidRPr="00F57969">
        <w:rPr>
          <w:sz w:val="24"/>
        </w:rPr>
        <w:t xml:space="preserve">$58.40 a month </w:t>
      </w:r>
      <w:r w:rsidR="00E31B1B" w:rsidRPr="00F57969">
        <w:rPr>
          <w:sz w:val="24"/>
        </w:rPr>
        <w:t xml:space="preserve">to </w:t>
      </w:r>
      <w:r w:rsidR="00E85ED2" w:rsidRPr="00F57969">
        <w:rPr>
          <w:sz w:val="24"/>
        </w:rPr>
        <w:t xml:space="preserve">Part D </w:t>
      </w:r>
      <w:r w:rsidR="00E31B1B" w:rsidRPr="00F57969">
        <w:rPr>
          <w:sz w:val="24"/>
        </w:rPr>
        <w:t xml:space="preserve">plan sponsors for </w:t>
      </w:r>
      <w:r w:rsidR="00E85ED2" w:rsidRPr="00F57969">
        <w:rPr>
          <w:sz w:val="24"/>
        </w:rPr>
        <w:t xml:space="preserve">the cost of </w:t>
      </w:r>
      <w:r w:rsidR="00E31B1B" w:rsidRPr="00F57969">
        <w:rPr>
          <w:sz w:val="24"/>
        </w:rPr>
        <w:t>two users</w:t>
      </w:r>
      <w:r w:rsidR="00F67BE4" w:rsidRPr="00F57969">
        <w:rPr>
          <w:sz w:val="24"/>
        </w:rPr>
        <w:t>.</w:t>
      </w:r>
      <w:r w:rsidR="00E31B1B" w:rsidRPr="00F57969">
        <w:rPr>
          <w:sz w:val="24"/>
        </w:rPr>
        <w:t xml:space="preserve"> </w:t>
      </w:r>
      <w:r w:rsidR="00CF5473" w:rsidRPr="00F57969">
        <w:rPr>
          <w:sz w:val="24"/>
        </w:rPr>
        <w:t>M</w:t>
      </w:r>
      <w:r w:rsidR="00E85ED2" w:rsidRPr="00F57969">
        <w:rPr>
          <w:sz w:val="24"/>
        </w:rPr>
        <w:t xml:space="preserve">ultiplying the cost of two users a month of $58.40 by 12 annual hours for each response will total </w:t>
      </w:r>
      <w:r w:rsidR="007D4DAA" w:rsidRPr="00F57969">
        <w:rPr>
          <w:sz w:val="24"/>
        </w:rPr>
        <w:t xml:space="preserve">$700.80 annually </w:t>
      </w:r>
      <w:r w:rsidR="005C5EB9" w:rsidRPr="00F57969">
        <w:rPr>
          <w:sz w:val="24"/>
        </w:rPr>
        <w:t>for PLATO</w:t>
      </w:r>
      <w:r w:rsidR="00F67BE4" w:rsidRPr="00F57969">
        <w:rPr>
          <w:sz w:val="24"/>
          <w:vertAlign w:val="superscript"/>
        </w:rPr>
        <w:t>TM</w:t>
      </w:r>
      <w:r w:rsidR="005C5EB9" w:rsidRPr="00F57969">
        <w:rPr>
          <w:sz w:val="24"/>
        </w:rPr>
        <w:t xml:space="preserve"> usage</w:t>
      </w:r>
      <w:r w:rsidR="00E75181" w:rsidRPr="00F57969">
        <w:rPr>
          <w:sz w:val="24"/>
        </w:rPr>
        <w:t xml:space="preserve"> for each Part D p</w:t>
      </w:r>
      <w:r w:rsidR="00E85ED2" w:rsidRPr="00F57969">
        <w:rPr>
          <w:sz w:val="24"/>
        </w:rPr>
        <w:t>la</w:t>
      </w:r>
      <w:r w:rsidR="00E75181" w:rsidRPr="00F57969">
        <w:rPr>
          <w:sz w:val="24"/>
        </w:rPr>
        <w:t>n s</w:t>
      </w:r>
      <w:r w:rsidR="00E85ED2" w:rsidRPr="00F57969">
        <w:rPr>
          <w:sz w:val="24"/>
        </w:rPr>
        <w:t>ponsor</w:t>
      </w:r>
      <w:r w:rsidR="00E75181" w:rsidRPr="00F57969">
        <w:rPr>
          <w:sz w:val="24"/>
        </w:rPr>
        <w:t xml:space="preserve"> contract</w:t>
      </w:r>
      <w:r w:rsidR="00E85ED2" w:rsidRPr="00F57969">
        <w:rPr>
          <w:sz w:val="24"/>
        </w:rPr>
        <w:t>.</w:t>
      </w:r>
    </w:p>
    <w:p w14:paraId="2282133A" w14:textId="77777777" w:rsidR="002D6D34" w:rsidRPr="00F57969" w:rsidRDefault="002D6D34" w:rsidP="002D6D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286C70"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D4F2C1"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13.</w:t>
      </w:r>
      <w:r w:rsidRPr="00756571">
        <w:rPr>
          <w:sz w:val="24"/>
        </w:rPr>
        <w:tab/>
      </w:r>
      <w:r w:rsidRPr="00756571">
        <w:rPr>
          <w:sz w:val="24"/>
          <w:u w:val="single"/>
        </w:rPr>
        <w:t>Capital Costs</w:t>
      </w:r>
    </w:p>
    <w:p w14:paraId="3471CFDF"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1E16EA" w14:textId="77777777" w:rsidR="00B07C21" w:rsidRPr="00F57969" w:rsidRDefault="00B07C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There are no foreseen capital costs to respondents as they are not requested to record or store information that is collected. PLATO</w:t>
      </w:r>
      <w:r w:rsidR="00D12ADC" w:rsidRPr="00F57969">
        <w:rPr>
          <w:sz w:val="24"/>
        </w:rPr>
        <w:t>™</w:t>
      </w:r>
      <w:r w:rsidR="00CB12EA" w:rsidRPr="00F57969">
        <w:rPr>
          <w:sz w:val="24"/>
        </w:rPr>
        <w:t xml:space="preserve"> is a free web-based tool for Part D plan sponsors and law enforcement</w:t>
      </w:r>
      <w:r w:rsidRPr="00F57969">
        <w:rPr>
          <w:sz w:val="24"/>
        </w:rPr>
        <w:t xml:space="preserve"> to utilize and will not be required to spend any extra amount of money. The</w:t>
      </w:r>
      <w:r w:rsidR="00CB12EA" w:rsidRPr="00F57969">
        <w:rPr>
          <w:sz w:val="24"/>
        </w:rPr>
        <w:t xml:space="preserve"> Part D plan sponsors</w:t>
      </w:r>
      <w:r w:rsidR="00646786" w:rsidRPr="00F57969">
        <w:rPr>
          <w:sz w:val="24"/>
        </w:rPr>
        <w:t xml:space="preserve"> will already possess</w:t>
      </w:r>
      <w:r w:rsidRPr="00F57969">
        <w:rPr>
          <w:sz w:val="24"/>
        </w:rPr>
        <w:t xml:space="preserve"> the necessary equipment, such as computer and </w:t>
      </w:r>
      <w:r w:rsidR="009F4B2E" w:rsidRPr="00F57969">
        <w:rPr>
          <w:sz w:val="24"/>
        </w:rPr>
        <w:t>I</w:t>
      </w:r>
      <w:r w:rsidRPr="00F57969">
        <w:rPr>
          <w:sz w:val="24"/>
        </w:rPr>
        <w:t xml:space="preserve">nternet access, to provide </w:t>
      </w:r>
      <w:r w:rsidR="003926E8" w:rsidRPr="00F57969">
        <w:rPr>
          <w:sz w:val="24"/>
        </w:rPr>
        <w:t xml:space="preserve">and search </w:t>
      </w:r>
      <w:r w:rsidRPr="00F57969">
        <w:rPr>
          <w:sz w:val="24"/>
        </w:rPr>
        <w:t>information in PLATO</w:t>
      </w:r>
      <w:r w:rsidR="00D12ADC" w:rsidRPr="00F57969">
        <w:rPr>
          <w:sz w:val="24"/>
        </w:rPr>
        <w:t>™</w:t>
      </w:r>
      <w:r w:rsidRPr="00F57969">
        <w:rPr>
          <w:sz w:val="24"/>
        </w:rPr>
        <w:t>.</w:t>
      </w:r>
      <w:r w:rsidR="00AB371C" w:rsidRPr="00F57969">
        <w:rPr>
          <w:sz w:val="24"/>
        </w:rPr>
        <w:t xml:space="preserve"> This will give them the </w:t>
      </w:r>
      <w:r w:rsidR="00AB371C" w:rsidRPr="00F57969">
        <w:rPr>
          <w:sz w:val="24"/>
        </w:rPr>
        <w:lastRenderedPageBreak/>
        <w:t xml:space="preserve">advantage of obtaining national data without </w:t>
      </w:r>
      <w:r w:rsidR="00646786" w:rsidRPr="00F57969">
        <w:rPr>
          <w:sz w:val="24"/>
        </w:rPr>
        <w:t xml:space="preserve">any </w:t>
      </w:r>
      <w:r w:rsidR="002539F6" w:rsidRPr="00F57969">
        <w:rPr>
          <w:sz w:val="24"/>
        </w:rPr>
        <w:t xml:space="preserve">capital </w:t>
      </w:r>
      <w:r w:rsidR="00AB371C" w:rsidRPr="00F57969">
        <w:rPr>
          <w:sz w:val="24"/>
        </w:rPr>
        <w:t>cost</w:t>
      </w:r>
      <w:r w:rsidR="002539F6" w:rsidRPr="00F57969">
        <w:rPr>
          <w:sz w:val="24"/>
        </w:rPr>
        <w:t>s</w:t>
      </w:r>
      <w:r w:rsidR="00AB371C" w:rsidRPr="00F57969">
        <w:rPr>
          <w:sz w:val="24"/>
        </w:rPr>
        <w:t xml:space="preserve"> to them.</w:t>
      </w:r>
    </w:p>
    <w:p w14:paraId="1F61F3F0" w14:textId="77777777" w:rsidR="00904F88" w:rsidRPr="00F57969" w:rsidRDefault="00904F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BD80B5E" w14:textId="77777777" w:rsidR="008F1EB4" w:rsidRPr="00F5796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38CC11"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14.</w:t>
      </w:r>
      <w:r w:rsidRPr="00756571">
        <w:rPr>
          <w:sz w:val="24"/>
        </w:rPr>
        <w:tab/>
      </w:r>
      <w:r w:rsidRPr="00756571">
        <w:rPr>
          <w:sz w:val="24"/>
          <w:u w:val="single"/>
        </w:rPr>
        <w:t>Cost to Federal Government</w:t>
      </w:r>
    </w:p>
    <w:p w14:paraId="6FF9ADD8" w14:textId="77777777" w:rsidR="008F1EB4" w:rsidRPr="0075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520C2B" w14:textId="77777777" w:rsidR="008D5A07" w:rsidRPr="00BA540F" w:rsidRDefault="008D5A07" w:rsidP="00BA540F">
      <w:pPr>
        <w:tabs>
          <w:tab w:val="right" w:pos="1440"/>
          <w:tab w:val="left" w:pos="2160"/>
        </w:tabs>
        <w:ind w:left="432"/>
        <w:rPr>
          <w:sz w:val="24"/>
        </w:rPr>
      </w:pPr>
      <w:r>
        <w:rPr>
          <w:sz w:val="24"/>
        </w:rPr>
        <w:t xml:space="preserve">Health Integrity’s </w:t>
      </w:r>
      <w:r w:rsidRPr="00BA540F">
        <w:rPr>
          <w:sz w:val="24"/>
        </w:rPr>
        <w:t xml:space="preserve">salary policy is to develop salary ranges that are relatively competitive in the marketplace.  As a result, almost every position will be placed into a salary range based on an established market rate of reported salaries for comparable positions within the relevant job.  Our target market rate is the 50th percentile. On a selected basis and with the CEO’s approval, key positions, due to the nature of the market and the importance of those positions in our business strategy, may be placed at a more competitive rate to ensure that Health Integrity is able to lead the market in recruiting and retaining individuals in these key positions.  </w:t>
      </w:r>
    </w:p>
    <w:p w14:paraId="24A9A0B8" w14:textId="77777777" w:rsidR="008D5A07" w:rsidRPr="00BA540F" w:rsidRDefault="008D5A07" w:rsidP="00BA540F">
      <w:pPr>
        <w:tabs>
          <w:tab w:val="right" w:pos="1440"/>
          <w:tab w:val="left" w:pos="2160"/>
        </w:tabs>
        <w:ind w:left="432"/>
        <w:rPr>
          <w:sz w:val="24"/>
        </w:rPr>
      </w:pPr>
    </w:p>
    <w:p w14:paraId="1A87772E" w14:textId="77777777" w:rsidR="008D5A07" w:rsidRPr="00BA540F" w:rsidRDefault="008D5A07" w:rsidP="00BA540F">
      <w:pPr>
        <w:tabs>
          <w:tab w:val="right" w:pos="1440"/>
          <w:tab w:val="left" w:pos="2160"/>
        </w:tabs>
        <w:ind w:left="432"/>
        <w:rPr>
          <w:sz w:val="24"/>
        </w:rPr>
      </w:pPr>
      <w:r w:rsidRPr="00BA540F">
        <w:rPr>
          <w:sz w:val="24"/>
        </w:rPr>
        <w:t>Our staffing level assumptions are based on Health Integrity’s historical knowledge performing the same type of work on the PLATO</w:t>
      </w:r>
      <w:r w:rsidR="00CE28F4">
        <w:rPr>
          <w:sz w:val="24"/>
          <w:vertAlign w:val="superscript"/>
        </w:rPr>
        <w:t>TM</w:t>
      </w:r>
      <w:r w:rsidRPr="00BA540F">
        <w:rPr>
          <w:sz w:val="24"/>
        </w:rPr>
        <w:t xml:space="preserve"> solution. This includes</w:t>
      </w:r>
      <w:r w:rsidR="00CE28F4">
        <w:rPr>
          <w:sz w:val="24"/>
        </w:rPr>
        <w:t xml:space="preserve"> full time equivalents</w:t>
      </w:r>
      <w:r w:rsidRPr="00BA540F">
        <w:rPr>
          <w:sz w:val="24"/>
        </w:rPr>
        <w:t xml:space="preserve"> </w:t>
      </w:r>
      <w:r w:rsidR="00CE28F4">
        <w:rPr>
          <w:sz w:val="24"/>
        </w:rPr>
        <w:t>(</w:t>
      </w:r>
      <w:r w:rsidRPr="00BA540F">
        <w:rPr>
          <w:sz w:val="24"/>
        </w:rPr>
        <w:t>FTE’s</w:t>
      </w:r>
      <w:r w:rsidR="00CE28F4">
        <w:rPr>
          <w:sz w:val="24"/>
        </w:rPr>
        <w:t>)</w:t>
      </w:r>
      <w:r w:rsidRPr="00BA540F">
        <w:rPr>
          <w:sz w:val="24"/>
        </w:rPr>
        <w:t xml:space="preserve"> for Data Modelers to create the predictive models; IT Developers to configure and customize the PLATO</w:t>
      </w:r>
      <w:r w:rsidR="00CE28F4">
        <w:rPr>
          <w:sz w:val="24"/>
          <w:vertAlign w:val="superscript"/>
        </w:rPr>
        <w:t>TM</w:t>
      </w:r>
      <w:r w:rsidRPr="00BA540F">
        <w:rPr>
          <w:sz w:val="24"/>
        </w:rPr>
        <w:t xml:space="preserve"> system; a Statistician who will confirm the statistical validity of the predictive modeling methodology; a Project Manager to manage the daily operations of the project; and a Trainer who will develop training materials and train the users.</w:t>
      </w:r>
    </w:p>
    <w:p w14:paraId="59F3EC5C" w14:textId="77777777" w:rsidR="008D5A07" w:rsidRPr="00BA540F" w:rsidRDefault="008D5A07" w:rsidP="00BA540F">
      <w:pPr>
        <w:tabs>
          <w:tab w:val="right" w:pos="1440"/>
          <w:tab w:val="left" w:pos="2160"/>
        </w:tabs>
        <w:ind w:left="432"/>
        <w:rPr>
          <w:sz w:val="24"/>
        </w:rPr>
      </w:pPr>
    </w:p>
    <w:p w14:paraId="7DBF7EA7" w14:textId="77777777" w:rsidR="008D5A07" w:rsidRPr="00BA540F" w:rsidRDefault="008D5A07" w:rsidP="00BA540F">
      <w:pPr>
        <w:tabs>
          <w:tab w:val="right" w:pos="1440"/>
          <w:tab w:val="left" w:pos="2160"/>
        </w:tabs>
        <w:ind w:left="432"/>
        <w:rPr>
          <w:sz w:val="24"/>
        </w:rPr>
      </w:pPr>
      <w:r w:rsidRPr="00BA540F">
        <w:rPr>
          <w:sz w:val="24"/>
        </w:rPr>
        <w:t>Indirect costs were estimated at the FY2015 Health Integrity budgeted rates for leave, fringe, overhead, and general &amp; administrative costs. Other direct costs</w:t>
      </w:r>
      <w:r w:rsidR="00333053">
        <w:rPr>
          <w:sz w:val="24"/>
        </w:rPr>
        <w:t xml:space="preserve"> (ODC)</w:t>
      </w:r>
      <w:r w:rsidRPr="00BA540F">
        <w:rPr>
          <w:sz w:val="24"/>
        </w:rPr>
        <w:t xml:space="preserve"> such as facility costs, telephone/teleconferences, and reproduction/printing costs are estimated based on Health Integrity</w:t>
      </w:r>
      <w:r>
        <w:rPr>
          <w:sz w:val="24"/>
        </w:rPr>
        <w:t>’s</w:t>
      </w:r>
      <w:r w:rsidRPr="00BA540F">
        <w:rPr>
          <w:sz w:val="24"/>
        </w:rPr>
        <w:t xml:space="preserve"> historical ODC costs on other similar contracts.</w:t>
      </w:r>
    </w:p>
    <w:p w14:paraId="366AC8D3" w14:textId="77777777" w:rsidR="008D5A07" w:rsidRPr="00F57969" w:rsidRDefault="008D5A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9A71FBE" w14:textId="77777777" w:rsidR="00AB371C" w:rsidRPr="00F57969" w:rsidRDefault="00AB37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B7994BD" w14:textId="77777777" w:rsidR="00465E7D" w:rsidRDefault="00465E7D" w:rsidP="00465E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57969">
        <w:rPr>
          <w:sz w:val="24"/>
        </w:rPr>
        <w:tab/>
        <w:t xml:space="preserve">Total Labor, Leave, and Fringe </w:t>
      </w:r>
      <w:r w:rsidR="002539F6" w:rsidRPr="00F57969">
        <w:rPr>
          <w:sz w:val="24"/>
        </w:rPr>
        <w:tab/>
      </w:r>
      <w:r w:rsidR="002539F6" w:rsidRPr="00F57969">
        <w:rPr>
          <w:sz w:val="24"/>
        </w:rPr>
        <w:tab/>
      </w:r>
      <w:r w:rsidRPr="00F57969">
        <w:rPr>
          <w:sz w:val="24"/>
        </w:rPr>
        <w:t>$</w:t>
      </w:r>
      <w:r w:rsidR="002539F6" w:rsidRPr="00F57969">
        <w:rPr>
          <w:sz w:val="24"/>
        </w:rPr>
        <w:t xml:space="preserve">   </w:t>
      </w:r>
      <w:r w:rsidR="003E3217" w:rsidRPr="00F57969">
        <w:rPr>
          <w:sz w:val="24"/>
        </w:rPr>
        <w:t>5</w:t>
      </w:r>
      <w:r w:rsidR="003A5D71" w:rsidRPr="00F57969">
        <w:rPr>
          <w:sz w:val="24"/>
        </w:rPr>
        <w:t>45,036.25</w:t>
      </w:r>
    </w:p>
    <w:p w14:paraId="624BF2E5" w14:textId="77777777" w:rsidR="00A41348" w:rsidRDefault="00A41348" w:rsidP="00465E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Total Non-Labor Costs</w:t>
      </w:r>
      <w:r>
        <w:rPr>
          <w:sz w:val="24"/>
        </w:rPr>
        <w:tab/>
      </w:r>
      <w:r>
        <w:rPr>
          <w:sz w:val="24"/>
        </w:rPr>
        <w:tab/>
      </w:r>
      <w:r>
        <w:rPr>
          <w:sz w:val="24"/>
        </w:rPr>
        <w:tab/>
        <w:t>$   886,770.93</w:t>
      </w:r>
    </w:p>
    <w:p w14:paraId="16B22C09" w14:textId="77777777" w:rsidR="00A41348" w:rsidRDefault="00A41348" w:rsidP="00465E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Total Cost</w:t>
      </w:r>
      <w:r>
        <w:rPr>
          <w:sz w:val="24"/>
        </w:rPr>
        <w:tab/>
      </w:r>
      <w:r>
        <w:rPr>
          <w:sz w:val="24"/>
        </w:rPr>
        <w:tab/>
      </w:r>
      <w:r>
        <w:rPr>
          <w:sz w:val="24"/>
        </w:rPr>
        <w:tab/>
      </w:r>
      <w:r>
        <w:rPr>
          <w:sz w:val="24"/>
        </w:rPr>
        <w:tab/>
        <w:t>$1,431,807.18</w:t>
      </w:r>
    </w:p>
    <w:p w14:paraId="4C501DE0" w14:textId="77777777" w:rsidR="00A41348" w:rsidRPr="00F57969" w:rsidRDefault="00A41348" w:rsidP="00465E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96F497" w14:textId="77777777" w:rsidR="00C8798C" w:rsidRPr="00F57969" w:rsidRDefault="00C8798C" w:rsidP="00C8798C">
      <w:pPr>
        <w:tabs>
          <w:tab w:val="right" w:pos="1440"/>
          <w:tab w:val="left" w:pos="2160"/>
        </w:tabs>
        <w:rPr>
          <w:sz w:val="24"/>
        </w:rPr>
      </w:pPr>
    </w:p>
    <w:p w14:paraId="12321302" w14:textId="77777777" w:rsidR="00C8798C" w:rsidRPr="00F57969" w:rsidRDefault="00C8798C" w:rsidP="00C8798C">
      <w:pPr>
        <w:tabs>
          <w:tab w:val="right" w:pos="1440"/>
          <w:tab w:val="left" w:pos="2160"/>
        </w:tabs>
        <w:rPr>
          <w:iCs/>
          <w:sz w:val="24"/>
        </w:rPr>
      </w:pPr>
      <w:r w:rsidRPr="00F57969">
        <w:rPr>
          <w:iCs/>
          <w:sz w:val="24"/>
        </w:rPr>
        <w:t xml:space="preserve">We feel certain that </w:t>
      </w:r>
      <w:r w:rsidR="00BE2383" w:rsidRPr="00F57969">
        <w:rPr>
          <w:sz w:val="24"/>
        </w:rPr>
        <w:t>PLATO™</w:t>
      </w:r>
      <w:r w:rsidRPr="00F57969">
        <w:rPr>
          <w:iCs/>
          <w:sz w:val="24"/>
        </w:rPr>
        <w:t xml:space="preserve"> will greatly enhance the oversight and operations of the Medicare Part D program. </w:t>
      </w:r>
      <w:r w:rsidR="00BE2383" w:rsidRPr="00F57969">
        <w:rPr>
          <w:sz w:val="24"/>
        </w:rPr>
        <w:t>PLATO™</w:t>
      </w:r>
      <w:r w:rsidRPr="00F57969">
        <w:rPr>
          <w:iCs/>
          <w:sz w:val="24"/>
        </w:rPr>
        <w:t xml:space="preserve"> utilizes a real-time predictive modeling fraud detection process in conjunction with a state of the art web-based user interface tool, which, when implemented, will greatly increase the likelihood of identifying fraud, minimize false positives, and provide in a more efficient timeframe real-time reporting capabilities on outcomes to CMS and the U.S. Senate. </w:t>
      </w:r>
    </w:p>
    <w:p w14:paraId="260FF883" w14:textId="77777777" w:rsidR="00C8798C" w:rsidRPr="00F57969" w:rsidRDefault="00C8798C" w:rsidP="00C8798C">
      <w:pPr>
        <w:tabs>
          <w:tab w:val="right" w:pos="1440"/>
          <w:tab w:val="left" w:pos="2160"/>
        </w:tabs>
        <w:rPr>
          <w:iCs/>
          <w:sz w:val="24"/>
        </w:rPr>
      </w:pPr>
      <w:r w:rsidRPr="00F57969">
        <w:rPr>
          <w:iCs/>
          <w:sz w:val="24"/>
        </w:rPr>
        <w:t xml:space="preserve"> </w:t>
      </w:r>
    </w:p>
    <w:p w14:paraId="4DBD89B0" w14:textId="77777777" w:rsidR="00C8798C" w:rsidRPr="00F57969" w:rsidRDefault="00BE2383" w:rsidP="00C8798C">
      <w:pPr>
        <w:tabs>
          <w:tab w:val="right" w:pos="1440"/>
          <w:tab w:val="left" w:pos="2160"/>
        </w:tabs>
        <w:rPr>
          <w:iCs/>
          <w:sz w:val="24"/>
        </w:rPr>
      </w:pPr>
      <w:r w:rsidRPr="00F57969">
        <w:rPr>
          <w:sz w:val="24"/>
        </w:rPr>
        <w:t>PLATO™</w:t>
      </w:r>
      <w:r w:rsidR="00C8798C" w:rsidRPr="00F57969">
        <w:rPr>
          <w:iCs/>
          <w:sz w:val="24"/>
        </w:rPr>
        <w:t xml:space="preserve"> builds on proven algorithms by using attributes and outcomes from both rule-based analysis (related attributes of pharmacies, prescribers, beneficiaries) and advanced analytics (e.g., logistic regression, decision trees, artificial intelligence, support vector machine), along with patterns discernible from non-traditional data (e.g., public records of wrongdoing, business relationships among the parties involved in the prescriptions, and social media information about </w:t>
      </w:r>
      <w:r w:rsidR="00C8798C" w:rsidRPr="00F57969">
        <w:rPr>
          <w:iCs/>
          <w:sz w:val="24"/>
        </w:rPr>
        <w:lastRenderedPageBreak/>
        <w:t xml:space="preserve">the companies and individuals).  </w:t>
      </w:r>
    </w:p>
    <w:p w14:paraId="7B580571" w14:textId="77777777" w:rsidR="00C8798C" w:rsidRPr="00F57969" w:rsidRDefault="00C8798C" w:rsidP="00C8798C">
      <w:pPr>
        <w:tabs>
          <w:tab w:val="right" w:pos="1440"/>
          <w:tab w:val="left" w:pos="2160"/>
        </w:tabs>
        <w:rPr>
          <w:iCs/>
          <w:sz w:val="24"/>
        </w:rPr>
      </w:pPr>
    </w:p>
    <w:p w14:paraId="7AD5BE74" w14:textId="77777777" w:rsidR="00C8798C" w:rsidRPr="00F57969" w:rsidRDefault="00C8798C" w:rsidP="00C8798C">
      <w:pPr>
        <w:tabs>
          <w:tab w:val="right" w:pos="1440"/>
          <w:tab w:val="left" w:pos="2160"/>
        </w:tabs>
        <w:rPr>
          <w:iCs/>
          <w:sz w:val="24"/>
        </w:rPr>
      </w:pPr>
      <w:r w:rsidRPr="00F57969">
        <w:rPr>
          <w:iCs/>
          <w:sz w:val="24"/>
        </w:rPr>
        <w:t>Health Integrity is aware of the continuing attention the Medicare Part D program receives from internal departmental and external oversight groups, both legislative and administrative. PLATO</w:t>
      </w:r>
      <w:r w:rsidR="00BA540F">
        <w:rPr>
          <w:iCs/>
          <w:sz w:val="24"/>
          <w:vertAlign w:val="superscript"/>
        </w:rPr>
        <w:t>TM</w:t>
      </w:r>
      <w:r w:rsidRPr="00F57969">
        <w:rPr>
          <w:iCs/>
          <w:sz w:val="24"/>
        </w:rPr>
        <w:t xml:space="preserve"> will provide CMS with a set of advanced analytic approaches and related outcomes that will assist CMS in responding to these oversight groups.  </w:t>
      </w:r>
    </w:p>
    <w:p w14:paraId="7C51D3F2" w14:textId="77777777" w:rsidR="00C8798C" w:rsidRPr="00F57969" w:rsidRDefault="00C8798C" w:rsidP="00C87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A3CD8C2"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56571">
        <w:rPr>
          <w:sz w:val="24"/>
        </w:rPr>
        <w:t>15.</w:t>
      </w:r>
      <w:r w:rsidRPr="00756571">
        <w:rPr>
          <w:sz w:val="24"/>
        </w:rPr>
        <w:tab/>
      </w:r>
      <w:r w:rsidRPr="00756571">
        <w:rPr>
          <w:sz w:val="24"/>
          <w:u w:val="single"/>
        </w:rPr>
        <w:t>Changes to Burden</w:t>
      </w:r>
    </w:p>
    <w:p w14:paraId="3B546F68"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42B5F5"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56571">
        <w:rPr>
          <w:sz w:val="24"/>
        </w:rPr>
        <w:t>Explain the reasons for any changes to the burden (hours and/or capital costs).  Explain whether this is due to a program change or adjustment.   This is in reference to number 13 and/or 14 of the OMB Form 83-I.</w:t>
      </w:r>
    </w:p>
    <w:p w14:paraId="674B554A"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13D731"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Not applicable. No changes being implemented to an existing burden.</w:t>
      </w:r>
    </w:p>
    <w:p w14:paraId="24334E71"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F54FE25"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615FAB" w14:textId="42F458BB" w:rsidR="00C8798C" w:rsidRPr="00756571" w:rsidRDefault="00C8798C" w:rsidP="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16.</w:t>
      </w:r>
      <w:r w:rsidRPr="00756571">
        <w:rPr>
          <w:sz w:val="24"/>
        </w:rPr>
        <w:tab/>
      </w:r>
      <w:r w:rsidRPr="00756571">
        <w:rPr>
          <w:sz w:val="24"/>
          <w:u w:val="single"/>
        </w:rPr>
        <w:t>Publication/Tabulation Dates</w:t>
      </w:r>
    </w:p>
    <w:p w14:paraId="12309E97"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E40C7F7"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7969">
        <w:rPr>
          <w:sz w:val="24"/>
        </w:rPr>
        <w:t xml:space="preserve">Not applicable. No information will be published. </w:t>
      </w:r>
    </w:p>
    <w:p w14:paraId="46444903"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B1E2B6"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17.</w:t>
      </w:r>
      <w:r w:rsidRPr="00756571">
        <w:rPr>
          <w:sz w:val="24"/>
        </w:rPr>
        <w:tab/>
      </w:r>
      <w:r w:rsidRPr="00756571">
        <w:rPr>
          <w:sz w:val="24"/>
          <w:u w:val="single"/>
        </w:rPr>
        <w:t>Expiration Date</w:t>
      </w:r>
    </w:p>
    <w:p w14:paraId="77534C29"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276C688" w14:textId="38C921F6" w:rsidR="00635793" w:rsidRPr="00635793" w:rsidRDefault="00635793" w:rsidP="006357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does not have any objection to displaying the expiration date. The PLATO</w:t>
      </w:r>
      <w:r>
        <w:rPr>
          <w:sz w:val="24"/>
          <w:vertAlign w:val="superscript"/>
        </w:rPr>
        <w:t>TM</w:t>
      </w:r>
      <w:r>
        <w:rPr>
          <w:sz w:val="24"/>
        </w:rPr>
        <w:t xml:space="preserve"> application </w:t>
      </w:r>
      <w:r w:rsidR="00C06445">
        <w:rPr>
          <w:sz w:val="24"/>
        </w:rPr>
        <w:t>web</w:t>
      </w:r>
      <w:r>
        <w:rPr>
          <w:sz w:val="24"/>
        </w:rPr>
        <w:t>site will display the OMB approval number and the expiration date for the OMB approval.</w:t>
      </w:r>
    </w:p>
    <w:p w14:paraId="71AB0B45"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DC5B4A" w14:textId="77777777" w:rsidR="00C8798C" w:rsidRPr="00756571"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56571">
        <w:rPr>
          <w:sz w:val="24"/>
        </w:rPr>
        <w:t>18.</w:t>
      </w:r>
      <w:r w:rsidRPr="00756571">
        <w:rPr>
          <w:sz w:val="24"/>
        </w:rPr>
        <w:tab/>
      </w:r>
      <w:r w:rsidRPr="00756571">
        <w:rPr>
          <w:sz w:val="24"/>
          <w:u w:val="single"/>
        </w:rPr>
        <w:t>Certification Statement</w:t>
      </w:r>
    </w:p>
    <w:p w14:paraId="7B45A450" w14:textId="77777777" w:rsidR="00C8798C" w:rsidRPr="00F57969" w:rsidRDefault="00C8798C" w:rsidP="00C879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75AAD49" w14:textId="38C1F72B" w:rsidR="000F3AF4" w:rsidRDefault="00756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Pr>
          <w:sz w:val="24"/>
        </w:rPr>
        <w:tab/>
      </w:r>
      <w:r w:rsidR="00C8798C" w:rsidRPr="00F57969">
        <w:rPr>
          <w:sz w:val="24"/>
        </w:rPr>
        <w:t>Not applicable.</w:t>
      </w:r>
      <w:r w:rsidRPr="00F57969" w:rsidDel="00756571">
        <w:rPr>
          <w:sz w:val="24"/>
        </w:rPr>
        <w:t xml:space="preserve"> </w:t>
      </w:r>
    </w:p>
    <w:sectPr w:rsidR="000F3AF4">
      <w:headerReference w:type="default" r:id="rId10"/>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E8792" w14:textId="77777777" w:rsidR="00756571" w:rsidRDefault="00756571">
      <w:r>
        <w:separator/>
      </w:r>
    </w:p>
  </w:endnote>
  <w:endnote w:type="continuationSeparator" w:id="0">
    <w:p w14:paraId="4E59AB6D" w14:textId="77777777" w:rsidR="00756571" w:rsidRDefault="00756571">
      <w:r>
        <w:continuationSeparator/>
      </w:r>
    </w:p>
  </w:endnote>
  <w:endnote w:type="continuationNotice" w:id="1">
    <w:p w14:paraId="5473DCD7" w14:textId="77777777" w:rsidR="00756571" w:rsidRDefault="00756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8589" w14:textId="77777777" w:rsidR="008F1EB4" w:rsidRDefault="008F1EB4">
    <w:pPr>
      <w:spacing w:line="240" w:lineRule="exact"/>
    </w:pPr>
  </w:p>
  <w:p w14:paraId="612DC590"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F0C4A">
      <w:rPr>
        <w:noProof/>
        <w:sz w:val="24"/>
      </w:rPr>
      <w:t>6</w:t>
    </w:r>
    <w:r>
      <w:rPr>
        <w:sz w:val="24"/>
      </w:rPr>
      <w:fldChar w:fldCharType="end"/>
    </w:r>
  </w:p>
  <w:p w14:paraId="34011BA0"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A4E0D" w14:textId="77777777" w:rsidR="00756571" w:rsidRDefault="00756571">
      <w:r>
        <w:separator/>
      </w:r>
    </w:p>
  </w:footnote>
  <w:footnote w:type="continuationSeparator" w:id="0">
    <w:p w14:paraId="619BCEAC" w14:textId="77777777" w:rsidR="00756571" w:rsidRDefault="00756571">
      <w:r>
        <w:continuationSeparator/>
      </w:r>
    </w:p>
  </w:footnote>
  <w:footnote w:type="continuationNotice" w:id="1">
    <w:p w14:paraId="5D7DEAF3" w14:textId="77777777" w:rsidR="00756571" w:rsidRDefault="007565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148A" w14:textId="77777777" w:rsidR="00756571" w:rsidRDefault="00756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05C83"/>
    <w:multiLevelType w:val="hybridMultilevel"/>
    <w:tmpl w:val="A70A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052C38"/>
    <w:multiLevelType w:val="hybridMultilevel"/>
    <w:tmpl w:val="30E6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AF4"/>
    <w:rsid w:val="00004023"/>
    <w:rsid w:val="00063393"/>
    <w:rsid w:val="0006646F"/>
    <w:rsid w:val="0007694F"/>
    <w:rsid w:val="00082DB2"/>
    <w:rsid w:val="0009541A"/>
    <w:rsid w:val="000B37DE"/>
    <w:rsid w:val="000D070D"/>
    <w:rsid w:val="000D64A8"/>
    <w:rsid w:val="000E071B"/>
    <w:rsid w:val="000F3AF4"/>
    <w:rsid w:val="001038DA"/>
    <w:rsid w:val="00111621"/>
    <w:rsid w:val="00112466"/>
    <w:rsid w:val="00127891"/>
    <w:rsid w:val="00171811"/>
    <w:rsid w:val="00175B2D"/>
    <w:rsid w:val="00180B79"/>
    <w:rsid w:val="0019441C"/>
    <w:rsid w:val="001A5D91"/>
    <w:rsid w:val="001C59ED"/>
    <w:rsid w:val="001C64D6"/>
    <w:rsid w:val="001E29F3"/>
    <w:rsid w:val="001F644B"/>
    <w:rsid w:val="00201125"/>
    <w:rsid w:val="002113AE"/>
    <w:rsid w:val="0021319F"/>
    <w:rsid w:val="00213CA8"/>
    <w:rsid w:val="002241EE"/>
    <w:rsid w:val="00226F8A"/>
    <w:rsid w:val="00237D64"/>
    <w:rsid w:val="002539F6"/>
    <w:rsid w:val="0026321D"/>
    <w:rsid w:val="00267D02"/>
    <w:rsid w:val="002958C4"/>
    <w:rsid w:val="002B3AB8"/>
    <w:rsid w:val="002C6849"/>
    <w:rsid w:val="002C7CF3"/>
    <w:rsid w:val="002D3F01"/>
    <w:rsid w:val="002D6D34"/>
    <w:rsid w:val="002F1886"/>
    <w:rsid w:val="0031501D"/>
    <w:rsid w:val="003155CA"/>
    <w:rsid w:val="00324B73"/>
    <w:rsid w:val="00333053"/>
    <w:rsid w:val="00346399"/>
    <w:rsid w:val="0035170D"/>
    <w:rsid w:val="003601B6"/>
    <w:rsid w:val="00370416"/>
    <w:rsid w:val="00373F0C"/>
    <w:rsid w:val="0037564D"/>
    <w:rsid w:val="00381843"/>
    <w:rsid w:val="00381CA0"/>
    <w:rsid w:val="003926E8"/>
    <w:rsid w:val="003958A3"/>
    <w:rsid w:val="003971BE"/>
    <w:rsid w:val="003975F0"/>
    <w:rsid w:val="003A2D9B"/>
    <w:rsid w:val="003A4486"/>
    <w:rsid w:val="003A5D71"/>
    <w:rsid w:val="003B3423"/>
    <w:rsid w:val="003B70C5"/>
    <w:rsid w:val="003D14E0"/>
    <w:rsid w:val="003D6BA1"/>
    <w:rsid w:val="003E3041"/>
    <w:rsid w:val="003E3217"/>
    <w:rsid w:val="003F6C57"/>
    <w:rsid w:val="003F75F6"/>
    <w:rsid w:val="0043713C"/>
    <w:rsid w:val="00460373"/>
    <w:rsid w:val="00465E7D"/>
    <w:rsid w:val="00471F02"/>
    <w:rsid w:val="00473AC7"/>
    <w:rsid w:val="004B2A8C"/>
    <w:rsid w:val="004C73B9"/>
    <w:rsid w:val="004D5B1B"/>
    <w:rsid w:val="004D5CDE"/>
    <w:rsid w:val="004F4B82"/>
    <w:rsid w:val="004F61D2"/>
    <w:rsid w:val="00500E5C"/>
    <w:rsid w:val="0053148E"/>
    <w:rsid w:val="005479DF"/>
    <w:rsid w:val="00564BD5"/>
    <w:rsid w:val="00581135"/>
    <w:rsid w:val="00591EBD"/>
    <w:rsid w:val="005A3F68"/>
    <w:rsid w:val="005B2DFD"/>
    <w:rsid w:val="005C5EB9"/>
    <w:rsid w:val="005E3AFF"/>
    <w:rsid w:val="005F2A96"/>
    <w:rsid w:val="005F76BF"/>
    <w:rsid w:val="006006FE"/>
    <w:rsid w:val="00601AC0"/>
    <w:rsid w:val="006215B8"/>
    <w:rsid w:val="00623ADB"/>
    <w:rsid w:val="006263C8"/>
    <w:rsid w:val="006348AF"/>
    <w:rsid w:val="00635793"/>
    <w:rsid w:val="00646786"/>
    <w:rsid w:val="006477AA"/>
    <w:rsid w:val="00673803"/>
    <w:rsid w:val="00687E8B"/>
    <w:rsid w:val="006B1B7D"/>
    <w:rsid w:val="006C6CA4"/>
    <w:rsid w:val="006D1E37"/>
    <w:rsid w:val="007379CE"/>
    <w:rsid w:val="00752FBA"/>
    <w:rsid w:val="00756571"/>
    <w:rsid w:val="00776305"/>
    <w:rsid w:val="00795C5A"/>
    <w:rsid w:val="00795D8C"/>
    <w:rsid w:val="007D4DAA"/>
    <w:rsid w:val="007D4ED0"/>
    <w:rsid w:val="007F10AE"/>
    <w:rsid w:val="0081413F"/>
    <w:rsid w:val="008157BD"/>
    <w:rsid w:val="0082330E"/>
    <w:rsid w:val="00831123"/>
    <w:rsid w:val="00831C5B"/>
    <w:rsid w:val="00854CFC"/>
    <w:rsid w:val="008668B8"/>
    <w:rsid w:val="008671EF"/>
    <w:rsid w:val="00870D59"/>
    <w:rsid w:val="008772F7"/>
    <w:rsid w:val="008A2B58"/>
    <w:rsid w:val="008A7005"/>
    <w:rsid w:val="008B1666"/>
    <w:rsid w:val="008B51AF"/>
    <w:rsid w:val="008C3BE2"/>
    <w:rsid w:val="008D5A07"/>
    <w:rsid w:val="008E2127"/>
    <w:rsid w:val="008F1EB4"/>
    <w:rsid w:val="008F719F"/>
    <w:rsid w:val="00904F88"/>
    <w:rsid w:val="00905DCE"/>
    <w:rsid w:val="00910E2F"/>
    <w:rsid w:val="00922740"/>
    <w:rsid w:val="0095418F"/>
    <w:rsid w:val="0096303C"/>
    <w:rsid w:val="0096360C"/>
    <w:rsid w:val="00976503"/>
    <w:rsid w:val="0099194D"/>
    <w:rsid w:val="00997AC6"/>
    <w:rsid w:val="009B1E3E"/>
    <w:rsid w:val="009C0EF1"/>
    <w:rsid w:val="009E38F3"/>
    <w:rsid w:val="009F4B2E"/>
    <w:rsid w:val="00A05463"/>
    <w:rsid w:val="00A05551"/>
    <w:rsid w:val="00A14B2E"/>
    <w:rsid w:val="00A25D93"/>
    <w:rsid w:val="00A36F69"/>
    <w:rsid w:val="00A41348"/>
    <w:rsid w:val="00A63D84"/>
    <w:rsid w:val="00A640B4"/>
    <w:rsid w:val="00A72184"/>
    <w:rsid w:val="00A7784D"/>
    <w:rsid w:val="00A81F38"/>
    <w:rsid w:val="00A91CFF"/>
    <w:rsid w:val="00AB22DA"/>
    <w:rsid w:val="00AB371C"/>
    <w:rsid w:val="00AC264D"/>
    <w:rsid w:val="00AC2AF5"/>
    <w:rsid w:val="00AD49AE"/>
    <w:rsid w:val="00AE58CD"/>
    <w:rsid w:val="00AF0C4A"/>
    <w:rsid w:val="00AF3288"/>
    <w:rsid w:val="00B07C21"/>
    <w:rsid w:val="00B1264A"/>
    <w:rsid w:val="00B12EB5"/>
    <w:rsid w:val="00B13D04"/>
    <w:rsid w:val="00B30C64"/>
    <w:rsid w:val="00B51ED7"/>
    <w:rsid w:val="00B55E97"/>
    <w:rsid w:val="00B56EFE"/>
    <w:rsid w:val="00B65D12"/>
    <w:rsid w:val="00B71FEC"/>
    <w:rsid w:val="00B873E4"/>
    <w:rsid w:val="00BA540F"/>
    <w:rsid w:val="00BB6BA5"/>
    <w:rsid w:val="00BC368C"/>
    <w:rsid w:val="00BC6FE7"/>
    <w:rsid w:val="00BD75FB"/>
    <w:rsid w:val="00BE2383"/>
    <w:rsid w:val="00BE2598"/>
    <w:rsid w:val="00BE5982"/>
    <w:rsid w:val="00C06445"/>
    <w:rsid w:val="00C27FB4"/>
    <w:rsid w:val="00C34CFD"/>
    <w:rsid w:val="00C363F0"/>
    <w:rsid w:val="00C52144"/>
    <w:rsid w:val="00C653C0"/>
    <w:rsid w:val="00C7381E"/>
    <w:rsid w:val="00C810B3"/>
    <w:rsid w:val="00C8798C"/>
    <w:rsid w:val="00CB12EA"/>
    <w:rsid w:val="00CB6B41"/>
    <w:rsid w:val="00CD0774"/>
    <w:rsid w:val="00CE10B7"/>
    <w:rsid w:val="00CE28F4"/>
    <w:rsid w:val="00CE42EF"/>
    <w:rsid w:val="00CF5473"/>
    <w:rsid w:val="00D066F8"/>
    <w:rsid w:val="00D10FE0"/>
    <w:rsid w:val="00D12ADC"/>
    <w:rsid w:val="00D1550E"/>
    <w:rsid w:val="00D17106"/>
    <w:rsid w:val="00D34D2B"/>
    <w:rsid w:val="00D3705C"/>
    <w:rsid w:val="00D41824"/>
    <w:rsid w:val="00D52C4F"/>
    <w:rsid w:val="00D559FD"/>
    <w:rsid w:val="00D56426"/>
    <w:rsid w:val="00D74724"/>
    <w:rsid w:val="00D75D50"/>
    <w:rsid w:val="00D82415"/>
    <w:rsid w:val="00D85D67"/>
    <w:rsid w:val="00DA55FF"/>
    <w:rsid w:val="00DB0458"/>
    <w:rsid w:val="00DB2AAB"/>
    <w:rsid w:val="00DE284E"/>
    <w:rsid w:val="00E1692A"/>
    <w:rsid w:val="00E24A77"/>
    <w:rsid w:val="00E31B1B"/>
    <w:rsid w:val="00E4342F"/>
    <w:rsid w:val="00E43AD9"/>
    <w:rsid w:val="00E56DDD"/>
    <w:rsid w:val="00E75181"/>
    <w:rsid w:val="00E76E9A"/>
    <w:rsid w:val="00E85ED2"/>
    <w:rsid w:val="00E93708"/>
    <w:rsid w:val="00EA0335"/>
    <w:rsid w:val="00EA7ADF"/>
    <w:rsid w:val="00EB405E"/>
    <w:rsid w:val="00EC14C6"/>
    <w:rsid w:val="00EC2A82"/>
    <w:rsid w:val="00EE1B6F"/>
    <w:rsid w:val="00F11E08"/>
    <w:rsid w:val="00F41F47"/>
    <w:rsid w:val="00F57969"/>
    <w:rsid w:val="00F65546"/>
    <w:rsid w:val="00F67BE4"/>
    <w:rsid w:val="00F7689C"/>
    <w:rsid w:val="00F82538"/>
    <w:rsid w:val="00F82C86"/>
    <w:rsid w:val="00F91AE5"/>
    <w:rsid w:val="00FB5A3C"/>
    <w:rsid w:val="00FC7C92"/>
    <w:rsid w:val="00FD1135"/>
    <w:rsid w:val="00FE1B99"/>
    <w:rsid w:val="00FE7382"/>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9B1E3E"/>
    <w:pPr>
      <w:tabs>
        <w:tab w:val="center" w:pos="4680"/>
        <w:tab w:val="right" w:pos="9360"/>
      </w:tabs>
    </w:pPr>
    <w:rPr>
      <w:lang w:val="x-none" w:eastAsia="x-none"/>
    </w:rPr>
  </w:style>
  <w:style w:type="character" w:customStyle="1" w:styleId="HeaderChar">
    <w:name w:val="Header Char"/>
    <w:link w:val="Header"/>
    <w:rsid w:val="009B1E3E"/>
    <w:rPr>
      <w:szCs w:val="24"/>
    </w:rPr>
  </w:style>
  <w:style w:type="paragraph" w:styleId="Footer">
    <w:name w:val="footer"/>
    <w:basedOn w:val="Normal"/>
    <w:link w:val="FooterChar"/>
    <w:rsid w:val="009B1E3E"/>
    <w:pPr>
      <w:tabs>
        <w:tab w:val="center" w:pos="4680"/>
        <w:tab w:val="right" w:pos="9360"/>
      </w:tabs>
    </w:pPr>
    <w:rPr>
      <w:lang w:val="x-none" w:eastAsia="x-none"/>
    </w:rPr>
  </w:style>
  <w:style w:type="character" w:customStyle="1" w:styleId="FooterChar">
    <w:name w:val="Footer Char"/>
    <w:link w:val="Footer"/>
    <w:rsid w:val="009B1E3E"/>
    <w:rPr>
      <w:szCs w:val="24"/>
    </w:rPr>
  </w:style>
  <w:style w:type="paragraph" w:styleId="BalloonText">
    <w:name w:val="Balloon Text"/>
    <w:basedOn w:val="Normal"/>
    <w:link w:val="BalloonTextChar"/>
    <w:rsid w:val="00904F88"/>
    <w:rPr>
      <w:rFonts w:ascii="Tahoma" w:hAnsi="Tahoma"/>
      <w:sz w:val="16"/>
      <w:szCs w:val="16"/>
      <w:lang w:val="x-none" w:eastAsia="x-none"/>
    </w:rPr>
  </w:style>
  <w:style w:type="character" w:customStyle="1" w:styleId="BalloonTextChar">
    <w:name w:val="Balloon Text Char"/>
    <w:link w:val="BalloonText"/>
    <w:rsid w:val="00904F88"/>
    <w:rPr>
      <w:rFonts w:ascii="Tahoma" w:hAnsi="Tahoma" w:cs="Tahoma"/>
      <w:sz w:val="16"/>
      <w:szCs w:val="16"/>
    </w:rPr>
  </w:style>
  <w:style w:type="character" w:styleId="CommentReference">
    <w:name w:val="annotation reference"/>
    <w:rsid w:val="00904F88"/>
    <w:rPr>
      <w:sz w:val="16"/>
      <w:szCs w:val="16"/>
    </w:rPr>
  </w:style>
  <w:style w:type="paragraph" w:styleId="CommentText">
    <w:name w:val="annotation text"/>
    <w:basedOn w:val="Normal"/>
    <w:link w:val="CommentTextChar"/>
    <w:rsid w:val="00904F88"/>
    <w:rPr>
      <w:szCs w:val="20"/>
    </w:rPr>
  </w:style>
  <w:style w:type="character" w:customStyle="1" w:styleId="CommentTextChar">
    <w:name w:val="Comment Text Char"/>
    <w:basedOn w:val="DefaultParagraphFont"/>
    <w:link w:val="CommentText"/>
    <w:rsid w:val="00904F88"/>
  </w:style>
  <w:style w:type="paragraph" w:styleId="CommentSubject">
    <w:name w:val="annotation subject"/>
    <w:basedOn w:val="CommentText"/>
    <w:next w:val="CommentText"/>
    <w:link w:val="CommentSubjectChar"/>
    <w:rsid w:val="00904F88"/>
    <w:rPr>
      <w:b/>
      <w:bCs/>
      <w:lang w:val="x-none" w:eastAsia="x-none"/>
    </w:rPr>
  </w:style>
  <w:style w:type="character" w:customStyle="1" w:styleId="CommentSubjectChar">
    <w:name w:val="Comment Subject Char"/>
    <w:link w:val="CommentSubject"/>
    <w:rsid w:val="00904F88"/>
    <w:rPr>
      <w:b/>
      <w:bCs/>
    </w:rPr>
  </w:style>
  <w:style w:type="character" w:customStyle="1" w:styleId="redline1">
    <w:name w:val="redline1"/>
    <w:rsid w:val="00635793"/>
    <w:rPr>
      <w:b w:val="0"/>
      <w:bCs w:val="0"/>
      <w:i/>
      <w:iCs/>
      <w:color w:val="FF0000"/>
      <w:shd w:val="clear" w:color="auto" w:fill="auto"/>
    </w:rPr>
  </w:style>
  <w:style w:type="character" w:styleId="Hyperlink">
    <w:name w:val="Hyperlink"/>
    <w:rsid w:val="00C363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9B1E3E"/>
    <w:pPr>
      <w:tabs>
        <w:tab w:val="center" w:pos="4680"/>
        <w:tab w:val="right" w:pos="9360"/>
      </w:tabs>
    </w:pPr>
    <w:rPr>
      <w:lang w:val="x-none" w:eastAsia="x-none"/>
    </w:rPr>
  </w:style>
  <w:style w:type="character" w:customStyle="1" w:styleId="HeaderChar">
    <w:name w:val="Header Char"/>
    <w:link w:val="Header"/>
    <w:rsid w:val="009B1E3E"/>
    <w:rPr>
      <w:szCs w:val="24"/>
    </w:rPr>
  </w:style>
  <w:style w:type="paragraph" w:styleId="Footer">
    <w:name w:val="footer"/>
    <w:basedOn w:val="Normal"/>
    <w:link w:val="FooterChar"/>
    <w:rsid w:val="009B1E3E"/>
    <w:pPr>
      <w:tabs>
        <w:tab w:val="center" w:pos="4680"/>
        <w:tab w:val="right" w:pos="9360"/>
      </w:tabs>
    </w:pPr>
    <w:rPr>
      <w:lang w:val="x-none" w:eastAsia="x-none"/>
    </w:rPr>
  </w:style>
  <w:style w:type="character" w:customStyle="1" w:styleId="FooterChar">
    <w:name w:val="Footer Char"/>
    <w:link w:val="Footer"/>
    <w:rsid w:val="009B1E3E"/>
    <w:rPr>
      <w:szCs w:val="24"/>
    </w:rPr>
  </w:style>
  <w:style w:type="paragraph" w:styleId="BalloonText">
    <w:name w:val="Balloon Text"/>
    <w:basedOn w:val="Normal"/>
    <w:link w:val="BalloonTextChar"/>
    <w:rsid w:val="00904F88"/>
    <w:rPr>
      <w:rFonts w:ascii="Tahoma" w:hAnsi="Tahoma"/>
      <w:sz w:val="16"/>
      <w:szCs w:val="16"/>
      <w:lang w:val="x-none" w:eastAsia="x-none"/>
    </w:rPr>
  </w:style>
  <w:style w:type="character" w:customStyle="1" w:styleId="BalloonTextChar">
    <w:name w:val="Balloon Text Char"/>
    <w:link w:val="BalloonText"/>
    <w:rsid w:val="00904F88"/>
    <w:rPr>
      <w:rFonts w:ascii="Tahoma" w:hAnsi="Tahoma" w:cs="Tahoma"/>
      <w:sz w:val="16"/>
      <w:szCs w:val="16"/>
    </w:rPr>
  </w:style>
  <w:style w:type="character" w:styleId="CommentReference">
    <w:name w:val="annotation reference"/>
    <w:rsid w:val="00904F88"/>
    <w:rPr>
      <w:sz w:val="16"/>
      <w:szCs w:val="16"/>
    </w:rPr>
  </w:style>
  <w:style w:type="paragraph" w:styleId="CommentText">
    <w:name w:val="annotation text"/>
    <w:basedOn w:val="Normal"/>
    <w:link w:val="CommentTextChar"/>
    <w:rsid w:val="00904F88"/>
    <w:rPr>
      <w:szCs w:val="20"/>
    </w:rPr>
  </w:style>
  <w:style w:type="character" w:customStyle="1" w:styleId="CommentTextChar">
    <w:name w:val="Comment Text Char"/>
    <w:basedOn w:val="DefaultParagraphFont"/>
    <w:link w:val="CommentText"/>
    <w:rsid w:val="00904F88"/>
  </w:style>
  <w:style w:type="paragraph" w:styleId="CommentSubject">
    <w:name w:val="annotation subject"/>
    <w:basedOn w:val="CommentText"/>
    <w:next w:val="CommentText"/>
    <w:link w:val="CommentSubjectChar"/>
    <w:rsid w:val="00904F88"/>
    <w:rPr>
      <w:b/>
      <w:bCs/>
      <w:lang w:val="x-none" w:eastAsia="x-none"/>
    </w:rPr>
  </w:style>
  <w:style w:type="character" w:customStyle="1" w:styleId="CommentSubjectChar">
    <w:name w:val="Comment Subject Char"/>
    <w:link w:val="CommentSubject"/>
    <w:rsid w:val="00904F88"/>
    <w:rPr>
      <w:b/>
      <w:bCs/>
    </w:rPr>
  </w:style>
  <w:style w:type="character" w:customStyle="1" w:styleId="redline1">
    <w:name w:val="redline1"/>
    <w:rsid w:val="00635793"/>
    <w:rPr>
      <w:b w:val="0"/>
      <w:bCs w:val="0"/>
      <w:i/>
      <w:iCs/>
      <w:color w:val="FF0000"/>
      <w:shd w:val="clear" w:color="auto" w:fill="auto"/>
    </w:rPr>
  </w:style>
  <w:style w:type="character" w:styleId="Hyperlink">
    <w:name w:val="Hyperlink"/>
    <w:rsid w:val="00C36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67620">
      <w:bodyDiv w:val="1"/>
      <w:marLeft w:val="0"/>
      <w:marRight w:val="0"/>
      <w:marTop w:val="0"/>
      <w:marBottom w:val="0"/>
      <w:divBdr>
        <w:top w:val="none" w:sz="0" w:space="0" w:color="auto"/>
        <w:left w:val="none" w:sz="0" w:space="0" w:color="auto"/>
        <w:bottom w:val="none" w:sz="0" w:space="0" w:color="auto"/>
        <w:right w:val="none" w:sz="0" w:space="0" w:color="auto"/>
      </w:divBdr>
    </w:div>
    <w:div w:id="777913270">
      <w:bodyDiv w:val="1"/>
      <w:marLeft w:val="0"/>
      <w:marRight w:val="0"/>
      <w:marTop w:val="0"/>
      <w:marBottom w:val="0"/>
      <w:divBdr>
        <w:top w:val="none" w:sz="0" w:space="0" w:color="auto"/>
        <w:left w:val="none" w:sz="0" w:space="0" w:color="auto"/>
        <w:bottom w:val="none" w:sz="0" w:space="0" w:color="auto"/>
        <w:right w:val="none" w:sz="0" w:space="0" w:color="auto"/>
      </w:divBdr>
    </w:div>
    <w:div w:id="136841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deralregis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731C-8CE1-4115-9327-3F0FC834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2121</Words>
  <Characters>11550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13644</CharactersWithSpaces>
  <SharedDoc>false</SharedDoc>
  <HLinks>
    <vt:vector size="6" baseType="variant">
      <vt:variant>
        <vt:i4>4456519</vt:i4>
      </vt:variant>
      <vt:variant>
        <vt:i4>0</vt:i4>
      </vt:variant>
      <vt:variant>
        <vt:i4>0</vt:i4>
      </vt:variant>
      <vt:variant>
        <vt:i4>5</vt:i4>
      </vt:variant>
      <vt:variant>
        <vt:lpwstr>https://www.federalregister.gov/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dcterms:created xsi:type="dcterms:W3CDTF">2014-11-12T21:00:00Z</dcterms:created>
  <dcterms:modified xsi:type="dcterms:W3CDTF">2014-11-12T21:00:00Z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-901573506</vt:i4>
  </property>
  <property fmtid="{D5CDD505-2E9C-101B-9397-08002B2CF9AE}" pid="4" name="_EmailSubject">
    <vt:lpwstr>CMS-10517 ICR Response to OMB Passback</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2095749464</vt:i4>
  </property>
</Properties>
</file>