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ED8" w:rsidRPr="000D297E" w:rsidRDefault="000D297E">
      <w:pPr>
        <w:rPr>
          <w:color w:val="C00000"/>
        </w:rPr>
      </w:pPr>
      <w:r w:rsidRPr="000D297E">
        <w:rPr>
          <w:color w:val="C00000"/>
        </w:rPr>
        <w:t>The Paper Work Reduction Notice included within the Permits Online system (PONL) will also be updated to include the revised address for TTB’s headquarters, as shown below on page 2</w:t>
      </w:r>
      <w:r w:rsidR="00F4473F">
        <w:rPr>
          <w:color w:val="C00000"/>
        </w:rPr>
        <w:t xml:space="preserve"> – added text shown in RED</w:t>
      </w:r>
      <w:r w:rsidRPr="000D297E">
        <w:rPr>
          <w:color w:val="C00000"/>
        </w:rPr>
        <w:t>.</w:t>
      </w:r>
    </w:p>
    <w:p w:rsidR="000D297E" w:rsidRDefault="000D297E">
      <w:r w:rsidRPr="000D297E">
        <w:rPr>
          <w:color w:val="C00000"/>
        </w:rPr>
        <w:t xml:space="preserve">The revised text will be displayed within the PONL system webpages at </w:t>
      </w:r>
      <w:hyperlink r:id="rId4" w:history="1">
        <w:r w:rsidRPr="00103F24">
          <w:rPr>
            <w:rStyle w:val="Hyperlink"/>
          </w:rPr>
          <w:t>https://www.ttbonline.gov/permitsonline/h/pra.htm</w:t>
        </w:r>
      </w:hyperlink>
      <w:r>
        <w:t xml:space="preserve"> </w:t>
      </w:r>
    </w:p>
    <w:p w:rsidR="000D297E" w:rsidRDefault="000D297E"/>
    <w:p w:rsidR="000D297E" w:rsidRDefault="000D297E">
      <w:r>
        <w:t>_____________________________________________________________________________________</w:t>
      </w:r>
    </w:p>
    <w:p w:rsidR="000D297E" w:rsidRPr="000D297E" w:rsidRDefault="000D297E" w:rsidP="000D297E">
      <w:pPr>
        <w:spacing w:after="200" w:line="276" w:lineRule="auto"/>
        <w:rPr>
          <w:rFonts w:ascii="Calibri" w:eastAsiaTheme="minorEastAsia" w:hAnsi="Calibri" w:cs="Times New Roman"/>
          <w:color w:val="000000"/>
        </w:rPr>
      </w:pPr>
      <w:r w:rsidRPr="000D297E">
        <w:rPr>
          <w:rFonts w:ascii="Calibri" w:eastAsiaTheme="minorEastAsia" w:hAnsi="Calibri" w:cs="Times New Roman"/>
          <w:color w:val="000000"/>
        </w:rPr>
        <w:t>This request is in accordance with the Paperwork Reduction Act of 1995.</w:t>
      </w:r>
      <w:r w:rsidRPr="000D297E">
        <w:rPr>
          <w:rFonts w:ascii="Calibri" w:eastAsiaTheme="minorEastAsia" w:hAnsi="Calibri" w:cs="Times New Roman"/>
          <w:color w:val="000000"/>
        </w:rPr>
        <w:br/>
      </w:r>
      <w:r w:rsidRPr="000D297E">
        <w:rPr>
          <w:rFonts w:ascii="Calibri" w:eastAsiaTheme="minorEastAsia" w:hAnsi="Calibri" w:cs="Times New Roman"/>
          <w:color w:val="000000"/>
        </w:rPr>
        <w:br/>
        <w:t xml:space="preserve">- </w:t>
      </w:r>
      <w:r w:rsidRPr="000D297E">
        <w:rPr>
          <w:rFonts w:ascii="Calibri" w:eastAsiaTheme="minorEastAsia" w:hAnsi="Calibri" w:cs="Times New Roman"/>
          <w:b/>
          <w:bCs/>
          <w:color w:val="000000"/>
        </w:rPr>
        <w:t>Power of Attorney Information (OMB No. 1513-0014):</w:t>
      </w:r>
      <w:r w:rsidRPr="000D297E">
        <w:rPr>
          <w:rFonts w:ascii="Calibri" w:eastAsiaTheme="minorEastAsia" w:hAnsi="Calibri" w:cs="Times New Roman"/>
          <w:color w:val="000000"/>
        </w:rPr>
        <w:t xml:space="preserve"> This information collection is used by TTB to ensure that only duly authorized individuals are signing documents. The information is voluntary.</w:t>
      </w:r>
      <w:r w:rsidRPr="000D297E">
        <w:rPr>
          <w:rFonts w:ascii="Calibri" w:eastAsiaTheme="minorEastAsia" w:hAnsi="Calibri" w:cs="Times New Roman"/>
          <w:color w:val="000000"/>
        </w:rPr>
        <w:br/>
      </w:r>
      <w:r w:rsidRPr="000D297E">
        <w:rPr>
          <w:rFonts w:ascii="Calibri" w:eastAsiaTheme="minorEastAsia" w:hAnsi="Calibri" w:cs="Times New Roman"/>
          <w:color w:val="000000"/>
        </w:rPr>
        <w:br/>
        <w:t xml:space="preserve">- </w:t>
      </w:r>
      <w:r w:rsidRPr="000D297E">
        <w:rPr>
          <w:rFonts w:ascii="Calibri" w:eastAsiaTheme="minorEastAsia" w:hAnsi="Calibri" w:cs="Times New Roman"/>
          <w:b/>
          <w:bCs/>
          <w:color w:val="000000"/>
        </w:rPr>
        <w:t>Personnel Questionnaire Information (OMB No. 1513-0002):</w:t>
      </w:r>
      <w:r w:rsidRPr="000D297E">
        <w:rPr>
          <w:rFonts w:ascii="Calibri" w:eastAsiaTheme="minorEastAsia" w:hAnsi="Calibri" w:cs="Times New Roman"/>
          <w:color w:val="000000"/>
        </w:rPr>
        <w:t xml:space="preserve"> The information collection is used by TTB to determine if an applicant is eligible to receive an alcohol and tobacco permit. The information is mandatory (26 U.S.C. 5712, 27 U.S.C. 204).</w:t>
      </w:r>
      <w:r w:rsidRPr="000D297E">
        <w:rPr>
          <w:rFonts w:ascii="Calibri" w:eastAsiaTheme="minorEastAsia" w:hAnsi="Calibri" w:cs="Times New Roman"/>
          <w:color w:val="000000"/>
        </w:rPr>
        <w:br/>
      </w:r>
      <w:r w:rsidRPr="000D297E">
        <w:rPr>
          <w:rFonts w:ascii="Calibri" w:eastAsiaTheme="minorEastAsia" w:hAnsi="Calibri" w:cs="Times New Roman"/>
          <w:color w:val="000000"/>
        </w:rPr>
        <w:br/>
        <w:t xml:space="preserve">- </w:t>
      </w:r>
      <w:r w:rsidRPr="000D297E">
        <w:rPr>
          <w:rFonts w:ascii="Calibri" w:eastAsiaTheme="minorEastAsia" w:hAnsi="Calibri" w:cs="Times New Roman"/>
          <w:b/>
          <w:bCs/>
          <w:color w:val="000000"/>
        </w:rPr>
        <w:t>Change In Bond/Consent of Surety (OMB No. 1513-0013</w:t>
      </w:r>
      <w:proofErr w:type="gramStart"/>
      <w:r w:rsidRPr="000D297E">
        <w:rPr>
          <w:rFonts w:ascii="Calibri" w:eastAsiaTheme="minorEastAsia" w:hAnsi="Calibri" w:cs="Times New Roman"/>
          <w:b/>
          <w:bCs/>
          <w:color w:val="000000"/>
        </w:rPr>
        <w:t>) :</w:t>
      </w:r>
      <w:proofErr w:type="gramEnd"/>
      <w:r w:rsidRPr="000D297E">
        <w:rPr>
          <w:rFonts w:ascii="Calibri" w:eastAsiaTheme="minorEastAsia" w:hAnsi="Calibri" w:cs="Times New Roman"/>
          <w:color w:val="000000"/>
        </w:rPr>
        <w:t xml:space="preserve"> We use this information to determine whether a business may change its bond. We must identify changes to the business, the surety company, and the bond. The information we request is required for you to obtain a benefit and is mandatory by law (26 U.S.C. 5173, 5272, 5354, 5401, and 5711). </w:t>
      </w:r>
      <w:r w:rsidRPr="000D297E">
        <w:rPr>
          <w:rFonts w:ascii="Calibri" w:eastAsiaTheme="minorEastAsia" w:hAnsi="Calibri" w:cs="Times New Roman"/>
          <w:color w:val="000000"/>
        </w:rPr>
        <w:br/>
      </w:r>
      <w:r w:rsidRPr="000D297E">
        <w:rPr>
          <w:rFonts w:ascii="Calibri" w:eastAsiaTheme="minorEastAsia" w:hAnsi="Calibri" w:cs="Times New Roman"/>
          <w:color w:val="000000"/>
        </w:rPr>
        <w:br/>
        <w:t xml:space="preserve">- </w:t>
      </w:r>
      <w:r w:rsidRPr="000D297E">
        <w:rPr>
          <w:rFonts w:ascii="Calibri" w:eastAsiaTheme="minorEastAsia" w:hAnsi="Calibri" w:cs="Times New Roman"/>
          <w:b/>
          <w:bCs/>
          <w:color w:val="000000"/>
        </w:rPr>
        <w:t>Environmental Information (OMB No. 1513-0023):</w:t>
      </w:r>
      <w:r w:rsidRPr="000D297E">
        <w:rPr>
          <w:rFonts w:ascii="Calibri" w:eastAsiaTheme="minorEastAsia" w:hAnsi="Calibri" w:cs="Times New Roman"/>
          <w:color w:val="000000"/>
        </w:rPr>
        <w:t xml:space="preserve"> This information collection is used by TTB to determine if any environmental impact statement or environmental permit is necessary for the proposed operation. The information is required to obtain a benefit.</w:t>
      </w:r>
      <w:r w:rsidRPr="000D297E">
        <w:rPr>
          <w:rFonts w:ascii="Calibri" w:eastAsiaTheme="minorEastAsia" w:hAnsi="Calibri" w:cs="Times New Roman"/>
          <w:color w:val="000000"/>
        </w:rPr>
        <w:br/>
      </w:r>
      <w:r w:rsidRPr="000D297E">
        <w:rPr>
          <w:rFonts w:ascii="Calibri" w:eastAsiaTheme="minorEastAsia" w:hAnsi="Calibri" w:cs="Times New Roman"/>
          <w:color w:val="000000"/>
        </w:rPr>
        <w:br/>
        <w:t xml:space="preserve">- </w:t>
      </w:r>
      <w:r w:rsidRPr="000D297E">
        <w:rPr>
          <w:rFonts w:ascii="Calibri" w:eastAsiaTheme="minorEastAsia" w:hAnsi="Calibri" w:cs="Times New Roman"/>
          <w:b/>
          <w:bCs/>
          <w:color w:val="000000"/>
        </w:rPr>
        <w:t>Water Quality Considerations Information (OMB No. 1513-0023):</w:t>
      </w:r>
      <w:r w:rsidRPr="000D297E">
        <w:rPr>
          <w:rFonts w:ascii="Calibri" w:eastAsiaTheme="minorEastAsia" w:hAnsi="Calibri" w:cs="Times New Roman"/>
          <w:color w:val="000000"/>
        </w:rPr>
        <w:t xml:space="preserve"> This information collection is used by TTB to determine whether a certification from a State of multi-state authority is needed for discharge of effluent into navigable water of the U.S. This information is required to obtain a benefit.</w:t>
      </w:r>
      <w:r w:rsidRPr="000D297E">
        <w:rPr>
          <w:rFonts w:ascii="Calibri" w:eastAsiaTheme="minorEastAsia" w:hAnsi="Calibri" w:cs="Times New Roman"/>
          <w:color w:val="000000"/>
        </w:rPr>
        <w:br/>
      </w:r>
      <w:r w:rsidRPr="000D297E">
        <w:rPr>
          <w:rFonts w:ascii="Calibri" w:eastAsiaTheme="minorEastAsia" w:hAnsi="Calibri" w:cs="Times New Roman"/>
          <w:color w:val="000000"/>
        </w:rPr>
        <w:br/>
        <w:t xml:space="preserve">- </w:t>
      </w:r>
      <w:r w:rsidRPr="000D297E">
        <w:rPr>
          <w:rFonts w:ascii="Calibri" w:eastAsiaTheme="minorEastAsia" w:hAnsi="Calibri" w:cs="Times New Roman"/>
          <w:b/>
          <w:bCs/>
          <w:color w:val="000000"/>
        </w:rPr>
        <w:t>Signing Authority Information (OMB No. 1513-0036):</w:t>
      </w:r>
      <w:r w:rsidRPr="000D297E">
        <w:rPr>
          <w:rFonts w:ascii="Calibri" w:eastAsiaTheme="minorEastAsia" w:hAnsi="Calibri" w:cs="Times New Roman"/>
          <w:color w:val="000000"/>
        </w:rPr>
        <w:t xml:space="preserve"> This information collection is used by TTB to ensure that only duly authorized individuals are signing documents. This information is voluntary.</w:t>
      </w:r>
      <w:r w:rsidRPr="000D297E">
        <w:rPr>
          <w:rFonts w:ascii="Calibri" w:eastAsiaTheme="minorEastAsia" w:hAnsi="Calibri" w:cs="Times New Roman"/>
          <w:color w:val="000000"/>
        </w:rPr>
        <w:br/>
      </w:r>
      <w:r w:rsidRPr="000D297E">
        <w:rPr>
          <w:rFonts w:ascii="Calibri" w:eastAsiaTheme="minorEastAsia" w:hAnsi="Calibri" w:cs="Times New Roman"/>
          <w:color w:val="000000"/>
        </w:rPr>
        <w:br/>
        <w:t xml:space="preserve">- </w:t>
      </w:r>
      <w:r w:rsidRPr="000D297E">
        <w:rPr>
          <w:rFonts w:ascii="Calibri" w:eastAsiaTheme="minorEastAsia" w:hAnsi="Calibri" w:cs="Times New Roman"/>
          <w:b/>
          <w:bCs/>
          <w:color w:val="000000"/>
        </w:rPr>
        <w:t xml:space="preserve">Basic Permit Information (OMB No. 1513-0018): </w:t>
      </w:r>
      <w:r w:rsidRPr="000D297E">
        <w:rPr>
          <w:rFonts w:ascii="Calibri" w:eastAsiaTheme="minorEastAsia" w:hAnsi="Calibri" w:cs="Times New Roman"/>
          <w:color w:val="000000"/>
        </w:rPr>
        <w:t>The information is used to determine eligibility of the applicant to engage in certain operations, to determine the location and extent of operations, and to determine whether the operations will be in conformity with Federal laws and regulations. The information requested is required to obtain or retain a benefit and is mandatory by statute (27 U.S.C. 203 and 204 (c)).</w:t>
      </w:r>
      <w:r w:rsidRPr="000D297E">
        <w:rPr>
          <w:rFonts w:ascii="Calibri" w:eastAsiaTheme="minorEastAsia" w:hAnsi="Calibri" w:cs="Times New Roman"/>
          <w:color w:val="000000"/>
        </w:rPr>
        <w:br/>
      </w:r>
      <w:r w:rsidRPr="000D297E">
        <w:rPr>
          <w:rFonts w:ascii="Calibri" w:eastAsiaTheme="minorEastAsia" w:hAnsi="Calibri" w:cs="Times New Roman"/>
          <w:color w:val="000000"/>
        </w:rPr>
        <w:br/>
        <w:t xml:space="preserve">- </w:t>
      </w:r>
      <w:r w:rsidRPr="000D297E">
        <w:rPr>
          <w:rFonts w:ascii="Calibri" w:eastAsiaTheme="minorEastAsia" w:hAnsi="Calibri" w:cs="Times New Roman"/>
          <w:b/>
          <w:bCs/>
          <w:color w:val="000000"/>
        </w:rPr>
        <w:t>Wine Premises Information (OMB No. 1513-0009):</w:t>
      </w:r>
      <w:r w:rsidRPr="000D297E">
        <w:rPr>
          <w:rFonts w:ascii="Calibri" w:eastAsiaTheme="minorEastAsia" w:hAnsi="Calibri" w:cs="Times New Roman"/>
          <w:color w:val="000000"/>
        </w:rPr>
        <w:t xml:space="preserve"> The information is used by TTB to determine if the applicant is eligible to receive a wine premises permit. The information is required to obtain a permit.</w:t>
      </w:r>
      <w:r w:rsidRPr="000D297E">
        <w:rPr>
          <w:rFonts w:ascii="Calibri" w:eastAsiaTheme="minorEastAsia" w:hAnsi="Calibri" w:cs="Times New Roman"/>
          <w:color w:val="000000"/>
        </w:rPr>
        <w:br/>
      </w:r>
      <w:r w:rsidRPr="000D297E">
        <w:rPr>
          <w:rFonts w:ascii="Calibri" w:eastAsiaTheme="minorEastAsia" w:hAnsi="Calibri" w:cs="Times New Roman"/>
          <w:color w:val="000000"/>
        </w:rPr>
        <w:lastRenderedPageBreak/>
        <w:br/>
        <w:t xml:space="preserve">- </w:t>
      </w:r>
      <w:r w:rsidRPr="000D297E">
        <w:rPr>
          <w:rFonts w:ascii="Calibri" w:eastAsiaTheme="minorEastAsia" w:hAnsi="Calibri" w:cs="Times New Roman"/>
          <w:b/>
          <w:bCs/>
          <w:color w:val="000000"/>
        </w:rPr>
        <w:t>Wine Bond Information (OMB No. 1513-0009):</w:t>
      </w:r>
      <w:r w:rsidRPr="000D297E">
        <w:rPr>
          <w:rFonts w:ascii="Calibri" w:eastAsiaTheme="minorEastAsia" w:hAnsi="Calibri" w:cs="Times New Roman"/>
          <w:color w:val="000000"/>
        </w:rPr>
        <w:t xml:space="preserve"> The information is used by the proprietor, or the proprietor and surety company, as a contract to ensure tax payment. The information requested is required to obtain a benefit and is mandatory by statute (26 U.S.C. 5172) </w:t>
      </w:r>
    </w:p>
    <w:p w:rsidR="000D297E" w:rsidRPr="000D297E" w:rsidRDefault="000D297E" w:rsidP="000D297E">
      <w:pPr>
        <w:spacing w:after="200" w:line="276" w:lineRule="auto"/>
        <w:rPr>
          <w:rFonts w:ascii="Calibri" w:eastAsiaTheme="minorEastAsia" w:hAnsi="Calibri" w:cs="Times New Roman"/>
        </w:rPr>
      </w:pPr>
      <w:r w:rsidRPr="000D297E">
        <w:rPr>
          <w:rFonts w:ascii="Calibri" w:eastAsiaTheme="minorEastAsia" w:hAnsi="Calibri" w:cs="Times New Roman"/>
          <w:color w:val="000000"/>
        </w:rPr>
        <w:t xml:space="preserve">- </w:t>
      </w:r>
      <w:r w:rsidRPr="000D297E">
        <w:rPr>
          <w:rFonts w:ascii="Calibri" w:eastAsiaTheme="minorEastAsia" w:hAnsi="Calibri" w:cs="Times New Roman"/>
          <w:b/>
          <w:bCs/>
        </w:rPr>
        <w:t xml:space="preserve">Registration for Firearms and Ammunition Tax-Free Transactions (OMB No. 1513-0095):  </w:t>
      </w:r>
      <w:r w:rsidRPr="000D297E">
        <w:rPr>
          <w:rFonts w:ascii="Calibri" w:eastAsiaTheme="minorEastAsia" w:hAnsi="Calibri" w:cs="Times New Roman"/>
        </w:rPr>
        <w:t>This information collected is used to determine the eligibility of the applicant to sell or purchase firearms and ammunition tax-free.  The information requested is required to obtain a benefit and is mandatory by statute (26 U.S.C. 4222).</w:t>
      </w:r>
    </w:p>
    <w:p w:rsidR="000D297E" w:rsidRPr="000D297E" w:rsidRDefault="000D297E" w:rsidP="000D297E">
      <w:pPr>
        <w:spacing w:after="200" w:line="276" w:lineRule="auto"/>
        <w:rPr>
          <w:rFonts w:ascii="Calibri" w:eastAsiaTheme="minorEastAsia" w:hAnsi="Calibri" w:cs="Times New Roman"/>
        </w:rPr>
      </w:pPr>
      <w:r w:rsidRPr="000D297E">
        <w:rPr>
          <w:rFonts w:ascii="Calibri" w:eastAsiaTheme="minorEastAsia" w:hAnsi="Calibri" w:cs="Times New Roman"/>
          <w:color w:val="000000"/>
        </w:rPr>
        <w:t xml:space="preserve">The estimated average burden associated with the </w:t>
      </w:r>
      <w:r w:rsidRPr="000D297E">
        <w:rPr>
          <w:rFonts w:ascii="Calibri" w:eastAsiaTheme="minorEastAsia" w:hAnsi="Calibri" w:cs="Times New Roman"/>
        </w:rPr>
        <w:t>Owner/Officer application collection of information is 2 hours, for the Winery application collection of information is 7 hours and 45 minutes or for the Wholesaler/Importer application collection of information is 4 hours and 30 minutes,</w:t>
      </w:r>
      <w:r w:rsidRPr="000D297E">
        <w:rPr>
          <w:rFonts w:ascii="Calibri" w:eastAsiaTheme="minorEastAsia" w:hAnsi="Calibri" w:cs="Times New Roman"/>
          <w:color w:val="000000"/>
        </w:rPr>
        <w:t xml:space="preserve"> per respondent or record keeper, depending on individual circumstances. </w:t>
      </w:r>
      <w:r w:rsidRPr="000D297E">
        <w:rPr>
          <w:rFonts w:ascii="Calibri" w:eastAsiaTheme="minorEastAsia" w:hAnsi="Calibri" w:cs="Times New Roman"/>
        </w:rPr>
        <w:t xml:space="preserve">The estimated average burden associated with the Registration for Firearms and Ammunition Tax-Free Transactions collection of information is 3 hours per respondent depending upon individual circumstances.  </w:t>
      </w:r>
      <w:r w:rsidRPr="000D297E">
        <w:rPr>
          <w:rFonts w:ascii="Calibri" w:eastAsiaTheme="minorEastAsia" w:hAnsi="Calibri" w:cs="Times New Roman"/>
          <w:color w:val="000000"/>
        </w:rPr>
        <w:t xml:space="preserve">Comments concerning the accuracy of this burden estimate and suggestions for reducing this burden should be addressed to the Reports Management Officer, Regulations and Rulings Division, Alcohol and Tobacco Tax and Trade Bureau, </w:t>
      </w:r>
      <w:r w:rsidR="00501BB5">
        <w:rPr>
          <w:rFonts w:ascii="Calibri" w:eastAsiaTheme="minorEastAsia" w:hAnsi="Calibri" w:cs="Times New Roman"/>
          <w:color w:val="C00000"/>
        </w:rPr>
        <w:t xml:space="preserve">1310 G Street, </w:t>
      </w:r>
      <w:proofErr w:type="gramStart"/>
      <w:r w:rsidR="00501BB5">
        <w:rPr>
          <w:rFonts w:ascii="Calibri" w:eastAsiaTheme="minorEastAsia" w:hAnsi="Calibri" w:cs="Times New Roman"/>
          <w:color w:val="C00000"/>
        </w:rPr>
        <w:t>NW.,</w:t>
      </w:r>
      <w:proofErr w:type="gramEnd"/>
      <w:r w:rsidR="00501BB5">
        <w:rPr>
          <w:rFonts w:ascii="Calibri" w:eastAsiaTheme="minorEastAsia" w:hAnsi="Calibri" w:cs="Times New Roman"/>
          <w:color w:val="C00000"/>
        </w:rPr>
        <w:t xml:space="preserve"> Box 12, </w:t>
      </w:r>
      <w:r w:rsidRPr="000D297E">
        <w:rPr>
          <w:rFonts w:ascii="Calibri" w:eastAsiaTheme="minorEastAsia" w:hAnsi="Calibri" w:cs="Times New Roman"/>
          <w:color w:val="000000"/>
        </w:rPr>
        <w:t xml:space="preserve">Washington, DC </w:t>
      </w:r>
      <w:r w:rsidR="00501BB5">
        <w:rPr>
          <w:rFonts w:ascii="Calibri" w:eastAsiaTheme="minorEastAsia" w:hAnsi="Calibri" w:cs="Times New Roman"/>
          <w:color w:val="C00000"/>
        </w:rPr>
        <w:t xml:space="preserve">20005. </w:t>
      </w:r>
      <w:r w:rsidRPr="000D297E">
        <w:rPr>
          <w:rFonts w:ascii="Calibri" w:eastAsiaTheme="minorEastAsia" w:hAnsi="Calibri" w:cs="Times New Roman"/>
          <w:strike/>
          <w:color w:val="000000"/>
        </w:rPr>
        <w:t>20220</w:t>
      </w:r>
      <w:proofErr w:type="gramStart"/>
      <w:r w:rsidRPr="000D297E">
        <w:rPr>
          <w:rFonts w:ascii="Calibri" w:eastAsiaTheme="minorEastAsia" w:hAnsi="Calibri" w:cs="Times New Roman"/>
          <w:color w:val="000000"/>
        </w:rPr>
        <w:t>.</w:t>
      </w:r>
      <w:proofErr w:type="gramEnd"/>
      <w:r w:rsidRPr="000D297E">
        <w:rPr>
          <w:rFonts w:ascii="Calibri" w:eastAsiaTheme="minorEastAsia" w:hAnsi="Calibri" w:cs="Times New Roman"/>
          <w:color w:val="000000"/>
        </w:rPr>
        <w:br/>
      </w:r>
      <w:bookmarkStart w:id="0" w:name="_GoBack"/>
      <w:bookmarkEnd w:id="0"/>
      <w:r w:rsidRPr="000D297E">
        <w:rPr>
          <w:rFonts w:ascii="Calibri" w:eastAsiaTheme="minorEastAsia" w:hAnsi="Calibri" w:cs="Times New Roman"/>
          <w:color w:val="000000"/>
        </w:rPr>
        <w:br/>
        <w:t>An agency may not conduct or sponsor, and a person is not required to respond to a collection of information unless it displays a current, valid OMB control number.</w:t>
      </w:r>
    </w:p>
    <w:p w:rsidR="000D297E" w:rsidRDefault="000D297E"/>
    <w:p w:rsidR="000D297E" w:rsidRDefault="000D297E"/>
    <w:p w:rsidR="000D297E" w:rsidRDefault="000D297E"/>
    <w:sectPr w:rsidR="000D2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7E"/>
    <w:rsid w:val="000D297E"/>
    <w:rsid w:val="00402ED8"/>
    <w:rsid w:val="00501BB5"/>
    <w:rsid w:val="00F4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51EAB-CBD8-48B4-A1B2-D7D1377A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9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tbonline.gov/permitsonline/h/pr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BF83553B.dotm</Template>
  <TotalTime>15</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Alcohol &amp; Tobacco Tax &amp; Trade Bureau</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 Michael D.</dc:creator>
  <cp:keywords/>
  <dc:description/>
  <cp:lastModifiedBy>Hoover, Michael D.</cp:lastModifiedBy>
  <cp:revision>1</cp:revision>
  <dcterms:created xsi:type="dcterms:W3CDTF">2015-01-08T19:48:00Z</dcterms:created>
  <dcterms:modified xsi:type="dcterms:W3CDTF">2015-01-08T20:10:00Z</dcterms:modified>
</cp:coreProperties>
</file>