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AE34E0">
      <w:pPr>
        <w:pStyle w:val="Title"/>
        <w:ind w:right="-480"/>
        <w:rPr>
          <w:rFonts w:ascii="Times New Roman" w:hAnsi="Times New Roman"/>
          <w:b/>
          <w:bCs/>
          <w:szCs w:val="24"/>
        </w:rPr>
      </w:pPr>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Institutions submit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proofErr w:type="gramStart"/>
      <w:r>
        <w:t xml:space="preserve">are </w:t>
      </w:r>
      <w:r w:rsidR="00320518">
        <w:t xml:space="preserve">also </w:t>
      </w:r>
      <w:r w:rsidRPr="001212C3">
        <w:t>used</w:t>
      </w:r>
      <w:proofErr w:type="gramEnd"/>
      <w:r w:rsidRPr="001212C3">
        <w:t xml:space="preserve">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the </w:t>
      </w:r>
      <w:r w:rsidRPr="00131A2A">
        <w:t>risk-weighted assets portion of Schedule RC-R, Regulatory Capital,</w:t>
      </w:r>
      <w:r>
        <w:t xml:space="preserve"> and to line items related to securities lent and borrowed in Schedule RC-L, Derivatives and Off-Balance Sheet Items,</w:t>
      </w:r>
      <w:r w:rsidRPr="00131A2A">
        <w:t xml:space="preserve"> in the Consolidated Reports of Condition and Income (Call Report or FFIEC 031 and FFIEC 041).</w:t>
      </w:r>
      <w:r w:rsidRPr="00A60F2B">
        <w:t xml:space="preserve">  The revisions to the Call Report are </w:t>
      </w:r>
      <w:r>
        <w:t>consistent with</w:t>
      </w:r>
      <w:r w:rsidRPr="00A60F2B">
        <w:t xml:space="preserve"> the revised regulatory capital rules </w:t>
      </w:r>
      <w:r>
        <w:t>published</w:t>
      </w:r>
      <w:r w:rsidRPr="00A60F2B">
        <w:t xml:space="preserve"> by the agencies (revised regulatory capital rules).</w:t>
      </w:r>
      <w:r>
        <w:rPr>
          <w:rStyle w:val="FootnoteReference"/>
        </w:rPr>
        <w:footnoteReference w:id="1"/>
      </w:r>
      <w:r>
        <w:t xml:space="preserve">  T</w:t>
      </w:r>
      <w:r w:rsidRPr="00131A2A">
        <w:t xml:space="preserve">he proposed revised risk-weighted assets portion </w:t>
      </w:r>
      <w:r>
        <w:t xml:space="preserve">of </w:t>
      </w:r>
      <w:r w:rsidRPr="00131A2A">
        <w:t>Schedule RC-R</w:t>
      </w:r>
      <w:r>
        <w:t xml:space="preserve"> and the proposed changes to Schedule RC-L will take</w:t>
      </w:r>
      <w:r w:rsidRPr="00131A2A">
        <w:t xml:space="preserve"> effect </w:t>
      </w:r>
      <w:r>
        <w:t xml:space="preserve">as of the </w:t>
      </w:r>
      <w:r w:rsidRPr="00131A2A">
        <w:t>March 31, 2015</w:t>
      </w:r>
      <w:r>
        <w:t>, report date</w:t>
      </w:r>
      <w:r w:rsidRPr="00131A2A">
        <w:t>.</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3206CB"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Pr="003206CB">
        <w:rPr>
          <w:rFonts w:ascii="Times New Roman" w:hAnsi="Times New Roman" w:cs="Times New Roman"/>
          <w:sz w:val="24"/>
          <w:szCs w:val="24"/>
        </w:rPr>
        <w:t xml:space="preserve">The agencies are </w:t>
      </w:r>
      <w:r>
        <w:rPr>
          <w:rFonts w:ascii="Times New Roman" w:hAnsi="Times New Roman" w:cs="Times New Roman"/>
          <w:sz w:val="24"/>
          <w:szCs w:val="24"/>
        </w:rPr>
        <w:t>revising</w:t>
      </w:r>
      <w:r w:rsidRPr="003206CB">
        <w:rPr>
          <w:rFonts w:ascii="Times New Roman" w:hAnsi="Times New Roman" w:cs="Times New Roman"/>
          <w:sz w:val="24"/>
          <w:szCs w:val="24"/>
        </w:rPr>
        <w:t xml:space="preserve"> the reporting requirements for the risk-weighted assets portion of Call Report Schedule RC-R by incorporating the standardized approach, consistent with the revised regulatory capital rules.</w:t>
      </w:r>
      <w:r>
        <w:rPr>
          <w:rFonts w:ascii="Times New Roman" w:hAnsi="Times New Roman" w:cs="Times New Roman"/>
          <w:sz w:val="24"/>
          <w:szCs w:val="24"/>
        </w:rPr>
        <w:t xml:space="preserve">   </w:t>
      </w:r>
      <w:proofErr w:type="gramStart"/>
      <w:r w:rsidRPr="003206CB">
        <w:rPr>
          <w:rFonts w:ascii="Times New Roman" w:hAnsi="Times New Roman" w:cs="Times New Roman"/>
          <w:sz w:val="24"/>
          <w:szCs w:val="24"/>
        </w:rPr>
        <w:t xml:space="preserve">Compared to the current schedule, the proposed risk-weighted assets portion of Schedule RC-R </w:t>
      </w:r>
      <w:r>
        <w:rPr>
          <w:rFonts w:ascii="Times New Roman" w:hAnsi="Times New Roman" w:cs="Times New Roman"/>
          <w:sz w:val="24"/>
          <w:szCs w:val="24"/>
        </w:rPr>
        <w:t>will</w:t>
      </w:r>
      <w:r w:rsidRPr="003206CB">
        <w:rPr>
          <w:rFonts w:ascii="Times New Roman" w:hAnsi="Times New Roman" w:cs="Times New Roman"/>
          <w:sz w:val="24"/>
          <w:szCs w:val="24"/>
        </w:rPr>
        <w:t xml:space="preserve"> provide a more detailed breakdown of on-balance sheet asset and off-balance sheet item categories, remove the ratings-based approach from the calculation of risk-weighted assets, reflect alternative risk-weighting approaches not reliant on credit ratings, and include an expanded number of risk-weight categories, consistent with the revised regulatory capital rules.</w:t>
      </w:r>
      <w:proofErr w:type="gramEnd"/>
      <w:r w:rsidRPr="003206CB">
        <w:rPr>
          <w:rFonts w:ascii="Times New Roman" w:hAnsi="Times New Roman" w:cs="Times New Roman"/>
          <w:sz w:val="24"/>
          <w:szCs w:val="24"/>
        </w:rPr>
        <w:t xml:space="preserve"> The revisions to the risk-weighted assets po</w:t>
      </w:r>
      <w:r>
        <w:rPr>
          <w:rFonts w:ascii="Times New Roman" w:hAnsi="Times New Roman" w:cs="Times New Roman"/>
          <w:sz w:val="24"/>
          <w:szCs w:val="24"/>
        </w:rPr>
        <w:t>rtion of Schedule RC-R will</w:t>
      </w:r>
      <w:r w:rsidRPr="003206CB">
        <w:rPr>
          <w:rFonts w:ascii="Times New Roman" w:hAnsi="Times New Roman" w:cs="Times New Roman"/>
          <w:sz w:val="24"/>
          <w:szCs w:val="24"/>
        </w:rPr>
        <w:t xml:space="preserve"> take effect as of the March 31, 2015, report date. </w:t>
      </w:r>
    </w:p>
    <w:p w:rsidR="003206CB" w:rsidRPr="003206CB" w:rsidRDefault="003206CB" w:rsidP="003206CB">
      <w:pPr>
        <w:pStyle w:val="HTMLPreformatted"/>
        <w:rPr>
          <w:rFonts w:ascii="Times New Roman" w:hAnsi="Times New Roman" w:cs="Times New Roman"/>
          <w:sz w:val="24"/>
          <w:szCs w:val="24"/>
        </w:rPr>
      </w:pPr>
    </w:p>
    <w:p w:rsidR="003206CB" w:rsidRPr="003206CB" w:rsidRDefault="003206CB" w:rsidP="00434DA1">
      <w:pPr>
        <w:pStyle w:val="HTMLPreformatted"/>
        <w:rPr>
          <w:rFonts w:ascii="Times New Roman" w:hAnsi="Times New Roman" w:cs="Times New Roman"/>
          <w:sz w:val="24"/>
          <w:szCs w:val="24"/>
        </w:rPr>
      </w:pPr>
      <w:r w:rsidRPr="003206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06CB">
        <w:rPr>
          <w:rFonts w:ascii="Times New Roman" w:hAnsi="Times New Roman" w:cs="Times New Roman"/>
          <w:sz w:val="24"/>
          <w:szCs w:val="24"/>
        </w:rPr>
        <w:t xml:space="preserve">The agencies are </w:t>
      </w:r>
      <w:r>
        <w:rPr>
          <w:rFonts w:ascii="Times New Roman" w:hAnsi="Times New Roman" w:cs="Times New Roman"/>
          <w:sz w:val="24"/>
          <w:szCs w:val="24"/>
        </w:rPr>
        <w:t>changing</w:t>
      </w:r>
      <w:r w:rsidRPr="003206CB">
        <w:rPr>
          <w:rFonts w:ascii="Times New Roman" w:hAnsi="Times New Roman" w:cs="Times New Roman"/>
          <w:sz w:val="24"/>
          <w:szCs w:val="24"/>
        </w:rPr>
        <w:t xml:space="preserve"> Schedule RC-R in two stages to allow interested parties to better understand the proposed revisions and focus their comments on areas of particular interest. </w:t>
      </w:r>
      <w:proofErr w:type="gramStart"/>
      <w:r w:rsidR="00434DA1">
        <w:rPr>
          <w:rFonts w:ascii="Times New Roman" w:hAnsi="Times New Roman" w:cs="Times New Roman"/>
          <w:sz w:val="24"/>
          <w:szCs w:val="24"/>
        </w:rPr>
        <w:t xml:space="preserve">The agencies completed the first stage </w:t>
      </w:r>
      <w:r w:rsidR="00456357">
        <w:rPr>
          <w:rFonts w:ascii="Times New Roman" w:hAnsi="Times New Roman" w:cs="Times New Roman"/>
          <w:sz w:val="24"/>
          <w:szCs w:val="24"/>
        </w:rPr>
        <w:t xml:space="preserve">of revisions </w:t>
      </w:r>
      <w:r w:rsidR="00434DA1">
        <w:rPr>
          <w:rFonts w:ascii="Times New Roman" w:hAnsi="Times New Roman" w:cs="Times New Roman"/>
          <w:sz w:val="24"/>
          <w:szCs w:val="24"/>
        </w:rPr>
        <w:t>(79 FR 2527) and are proceeding with the second stage</w:t>
      </w:r>
      <w:r w:rsidR="00456357">
        <w:rPr>
          <w:rFonts w:ascii="Times New Roman" w:hAnsi="Times New Roman" w:cs="Times New Roman"/>
          <w:sz w:val="24"/>
          <w:szCs w:val="24"/>
        </w:rPr>
        <w:t xml:space="preserve"> of the revisions.</w:t>
      </w:r>
      <w:proofErr w:type="gramEnd"/>
    </w:p>
    <w:p w:rsidR="003206CB" w:rsidRDefault="003206CB" w:rsidP="003206CB">
      <w:pPr>
        <w:pStyle w:val="HTMLPreformatted"/>
        <w:rPr>
          <w:rFonts w:ascii="Times New Roman" w:hAnsi="Times New Roman" w:cs="Times New Roman"/>
          <w:sz w:val="24"/>
          <w:szCs w:val="24"/>
        </w:rPr>
      </w:pPr>
      <w:r w:rsidRPr="003206C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3206CB" w:rsidRPr="003206CB"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Pr="003206CB">
        <w:rPr>
          <w:rFonts w:ascii="Times New Roman" w:hAnsi="Times New Roman" w:cs="Times New Roman"/>
          <w:sz w:val="24"/>
          <w:szCs w:val="24"/>
        </w:rPr>
        <w:t>Call Report Schedule RC-L collects regulatory data on derivatives and off-balance sheet items. The agencies are proposing at this time to revise the reporting requirements for off-balance sheet exposures related to securities lent and borrowed, consistent with the revised regulatory capital rules. Compared to the current schedule, the proposed changes to Schedule RC-L would require all institutions to report the amount of securities borrowed. At present, institutions include the amount of securities borrowed in the total amount of all other off-balance sheet liabilities if the amount of securities borrowed is more than 10 percent of total bank equity capital and disclose the amount of securities borrowed if that amount is more than 25 percent of total bank equity capital. In addition, the proposed changes to Schedule RC-L would place the line item for securities borrowed immediately after the line item for securities lent.</w:t>
      </w:r>
    </w:p>
    <w:p w:rsidR="00F40221" w:rsidRPr="00F25659" w:rsidRDefault="000D3228" w:rsidP="004324DE">
      <w:r w:rsidRPr="00A60F2B">
        <w:t xml:space="preserve"> </w:t>
      </w:r>
    </w:p>
    <w:p w:rsidR="00CA6AE6" w:rsidRPr="00F25659" w:rsidRDefault="00CA6AE6" w:rsidP="00AE34E0">
      <w:pPr>
        <w:pStyle w:val="HTMLPreformatted"/>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 xml:space="preserve">The Federal financial regulatory agencies must have condition and income data at least quarterly </w:t>
      </w:r>
      <w:proofErr w:type="gramStart"/>
      <w:r w:rsidRPr="00F25659">
        <w:t>to properly monitor</w:t>
      </w:r>
      <w:proofErr w:type="gramEnd"/>
      <w:r w:rsidRPr="00F25659">
        <w:t xml:space="preserve">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w:t>
      </w:r>
      <w:proofErr w:type="gramStart"/>
      <w:r w:rsidR="005D738A">
        <w:t>)(</w:t>
      </w:r>
      <w:proofErr w:type="gramEnd"/>
      <w:r w:rsidR="005D738A">
        <w:t>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Pr>
          <w:color w:val="000000"/>
          <w:szCs w:val="20"/>
          <w:u w:val="single"/>
        </w:rPr>
        <w:t>OCC</w:t>
      </w:r>
    </w:p>
    <w:p w:rsidR="00F11281" w:rsidRPr="00736455" w:rsidRDefault="00F11281" w:rsidP="002A25A0">
      <w:pPr>
        <w:pStyle w:val="ListParagraph"/>
        <w:ind w:left="0" w:firstLine="720"/>
      </w:pPr>
    </w:p>
    <w:p w:rsidR="002A25A0" w:rsidRDefault="002A25A0" w:rsidP="002A25A0">
      <w:pPr>
        <w:ind w:firstLine="720"/>
      </w:pPr>
      <w:r w:rsidRPr="00A60F2B">
        <w:t xml:space="preserve">On </w:t>
      </w:r>
      <w:r>
        <w:t>June 23, 2014</w:t>
      </w:r>
      <w:r w:rsidRPr="00A60F2B">
        <w:t xml:space="preserve">, the agencies requested comment on proposed revisions to the </w:t>
      </w:r>
      <w:r w:rsidRPr="00131A2A">
        <w:t xml:space="preserve">risk-weighted assets portion of Schedule RC-R, </w:t>
      </w:r>
      <w:r>
        <w:t xml:space="preserve">and to line items related to securities lent and </w:t>
      </w:r>
      <w:r>
        <w:lastRenderedPageBreak/>
        <w:t xml:space="preserve">borrowed in Schedule RC-L, </w:t>
      </w:r>
      <w:r w:rsidRPr="00131A2A">
        <w:t xml:space="preserve">in the </w:t>
      </w:r>
      <w:r>
        <w:t>Call Report</w:t>
      </w:r>
      <w:r w:rsidRPr="00A60F2B">
        <w:t xml:space="preserve"> (the proposal).</w:t>
      </w:r>
      <w:r w:rsidRPr="00A60F2B">
        <w:rPr>
          <w:rStyle w:val="FootnoteReference"/>
        </w:rPr>
        <w:footnoteReference w:id="2"/>
      </w:r>
      <w:r w:rsidRPr="00A60F2B">
        <w:rPr>
          <w:rStyle w:val="FootnoteReference"/>
        </w:rPr>
        <w:t xml:space="preserve"> </w:t>
      </w:r>
      <w:r w:rsidRPr="00A60F2B">
        <w:t xml:space="preserve">  The revisions would become effective for the March 31, 2</w:t>
      </w:r>
      <w:r>
        <w:t>015,</w:t>
      </w:r>
      <w:r w:rsidRPr="00A60F2B">
        <w:t xml:space="preserve"> report date</w:t>
      </w:r>
      <w:r>
        <w:t>.</w:t>
      </w:r>
      <w:r w:rsidRPr="00A60F2B">
        <w:t xml:space="preserve"> </w:t>
      </w:r>
    </w:p>
    <w:p w:rsidR="002A25A0" w:rsidRPr="00A60F2B" w:rsidRDefault="002A25A0" w:rsidP="002A25A0">
      <w:pPr>
        <w:ind w:firstLine="720"/>
      </w:pPr>
    </w:p>
    <w:p w:rsidR="002A25A0" w:rsidRDefault="002A25A0" w:rsidP="002A25A0">
      <w:pPr>
        <w:ind w:firstLine="720"/>
      </w:pPr>
      <w:r w:rsidRPr="00A60F2B">
        <w:t xml:space="preserve">The agencies collectively received comments on the proposal from </w:t>
      </w:r>
      <w:r>
        <w:t>four</w:t>
      </w:r>
      <w:r w:rsidRPr="00A60F2B">
        <w:t xml:space="preserve"> entities.  </w:t>
      </w:r>
      <w:r>
        <w:t xml:space="preserve">In addition, the Federal Reserve received comments from three entities </w:t>
      </w:r>
      <w:r w:rsidRPr="00264B29">
        <w:t xml:space="preserve">on proposed revisions to the Consolidated </w:t>
      </w:r>
      <w:r>
        <w:t>Financial Statements for Holding Companies</w:t>
      </w:r>
      <w:r w:rsidRPr="00264B29">
        <w:t xml:space="preserve"> (</w:t>
      </w:r>
      <w:r>
        <w:t>FR Y-9C</w:t>
      </w:r>
      <w:r w:rsidRPr="00264B29">
        <w:t>; OMB No. 7100-0</w:t>
      </w:r>
      <w:r>
        <w:t>128</w:t>
      </w:r>
      <w:r w:rsidRPr="00264B29">
        <w:t xml:space="preserve">), which parallel proposed revisions to the </w:t>
      </w:r>
      <w:r>
        <w:t>Call Report</w:t>
      </w:r>
      <w:r w:rsidRPr="00264B29">
        <w:t xml:space="preserve"> and were taken into consideration </w:t>
      </w:r>
      <w:r>
        <w:t>by the agencies</w:t>
      </w:r>
      <w:r w:rsidRPr="00264B29">
        <w:t>.</w:t>
      </w:r>
      <w:r>
        <w:t xml:space="preserve">  </w:t>
      </w:r>
      <w:r w:rsidRPr="00A60F2B">
        <w:t xml:space="preserve">The commenters asked for </w:t>
      </w:r>
      <w:r>
        <w:t xml:space="preserve">(1) </w:t>
      </w:r>
      <w:r w:rsidRPr="00A60F2B">
        <w:t>clarification on the applicability of the proposed reporting requirements</w:t>
      </w:r>
      <w:r>
        <w:t>, (2) additional new items, (3) combining two items,</w:t>
      </w:r>
      <w:r w:rsidRPr="00A60F2B">
        <w:t xml:space="preserve"> </w:t>
      </w:r>
      <w:r>
        <w:t xml:space="preserve">(4) opening certain risk-weight categories for some items, </w:t>
      </w:r>
      <w:r w:rsidRPr="00A60F2B">
        <w:t xml:space="preserve">and </w:t>
      </w:r>
      <w:r>
        <w:t>(5)</w:t>
      </w:r>
      <w:r w:rsidRPr="00A60F2B">
        <w:t xml:space="preserve"> </w:t>
      </w:r>
      <w:r>
        <w:t xml:space="preserve">clarification of or </w:t>
      </w:r>
      <w:r w:rsidRPr="00A60F2B">
        <w:t xml:space="preserve">additional </w:t>
      </w:r>
      <w:proofErr w:type="gramStart"/>
      <w:r w:rsidRPr="00A60F2B">
        <w:t xml:space="preserve">instructions </w:t>
      </w:r>
      <w:r>
        <w:t>for</w:t>
      </w:r>
      <w:r w:rsidRPr="00A60F2B">
        <w:t xml:space="preserve"> certain</w:t>
      </w:r>
      <w:proofErr w:type="gramEnd"/>
      <w:r w:rsidRPr="00A60F2B">
        <w:t xml:space="preserve"> line items.</w:t>
      </w:r>
    </w:p>
    <w:p w:rsidR="002A25A0" w:rsidRPr="00A60F2B" w:rsidRDefault="002A25A0" w:rsidP="002A25A0">
      <w:pPr>
        <w:ind w:firstLine="720"/>
      </w:pPr>
      <w:r w:rsidRPr="00A60F2B">
        <w:t xml:space="preserve">  </w:t>
      </w:r>
    </w:p>
    <w:p w:rsidR="002A25A0" w:rsidRDefault="002A25A0" w:rsidP="002A25A0">
      <w:pPr>
        <w:pStyle w:val="No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One commenter noted that in several places the proposed reporting instructions refer the reader to the agencies’ regulatory capital rules for additional information.  The commenter requested that the agencies incorporate the information from the regulatory capital rules into the reporting instructions.  The agencies believe that adding such text to the reporting instructions will unduly add significant length to the instructions, and do not believe it is necessary to incorporate all aspects of the agencies’ regulatory capital rules into the reporting instructions.  However, the agencies will revise the proposed reporting instructions </w:t>
      </w:r>
      <w:proofErr w:type="gramStart"/>
      <w:r>
        <w:rPr>
          <w:rFonts w:ascii="Times New Roman" w:hAnsi="Times New Roman"/>
          <w:sz w:val="24"/>
          <w:szCs w:val="24"/>
        </w:rPr>
        <w:t>to more clearly cross-reference</w:t>
      </w:r>
      <w:proofErr w:type="gramEnd"/>
      <w:r>
        <w:rPr>
          <w:rFonts w:ascii="Times New Roman" w:hAnsi="Times New Roman"/>
          <w:sz w:val="24"/>
          <w:szCs w:val="24"/>
        </w:rPr>
        <w:t xml:space="preserve"> the regulatory capital rules.  </w:t>
      </w:r>
    </w:p>
    <w:p w:rsidR="002A25A0" w:rsidRDefault="002A25A0" w:rsidP="002A25A0">
      <w:pPr>
        <w:pStyle w:val="NoSpacing"/>
        <w:rPr>
          <w:rFonts w:ascii="Times New Roman" w:hAnsi="Times New Roman"/>
          <w:sz w:val="24"/>
          <w:szCs w:val="24"/>
        </w:rPr>
      </w:pPr>
    </w:p>
    <w:p w:rsidR="002A25A0" w:rsidRDefault="002A25A0" w:rsidP="002A25A0">
      <w:pPr>
        <w:pStyle w:val="NoSpacing"/>
        <w:ind w:firstLine="720"/>
        <w:rPr>
          <w:rFonts w:ascii="Times New Roman" w:hAnsi="Times New Roman"/>
          <w:sz w:val="24"/>
          <w:szCs w:val="24"/>
        </w:rPr>
      </w:pPr>
      <w:r>
        <w:rPr>
          <w:rFonts w:ascii="Times New Roman" w:hAnsi="Times New Roman"/>
          <w:sz w:val="24"/>
          <w:szCs w:val="24"/>
        </w:rPr>
        <w:t xml:space="preserve">Comments received on specific line items in Schedule RC-R, Part II, and Schedule RC-L, </w:t>
      </w:r>
      <w:proofErr w:type="gramStart"/>
      <w:r>
        <w:rPr>
          <w:rFonts w:ascii="Times New Roman" w:hAnsi="Times New Roman"/>
          <w:sz w:val="24"/>
          <w:szCs w:val="24"/>
        </w:rPr>
        <w:t>are addressed</w:t>
      </w:r>
      <w:proofErr w:type="gramEnd"/>
      <w:r>
        <w:rPr>
          <w:rFonts w:ascii="Times New Roman" w:hAnsi="Times New Roman"/>
          <w:sz w:val="24"/>
          <w:szCs w:val="24"/>
        </w:rPr>
        <w:t xml:space="preserve"> </w:t>
      </w:r>
      <w:r w:rsidRPr="007D77DB">
        <w:rPr>
          <w:rFonts w:ascii="Times New Roman" w:hAnsi="Times New Roman"/>
          <w:sz w:val="24"/>
          <w:szCs w:val="24"/>
        </w:rPr>
        <w:t>in sections II and III below.</w:t>
      </w:r>
    </w:p>
    <w:p w:rsidR="002A25A0" w:rsidRPr="00EA3BDA" w:rsidRDefault="002A25A0" w:rsidP="002A25A0">
      <w:pPr>
        <w:pStyle w:val="NoSpacing"/>
        <w:ind w:firstLine="720"/>
        <w:rPr>
          <w:rFonts w:ascii="Times New Roman" w:hAnsi="Times New Roman"/>
          <w:sz w:val="24"/>
          <w:szCs w:val="24"/>
        </w:rPr>
      </w:pPr>
    </w:p>
    <w:p w:rsidR="002A25A0" w:rsidRPr="002A25A0" w:rsidRDefault="002A25A0" w:rsidP="002A25A0">
      <w:pPr>
        <w:pStyle w:val="NoSpacing"/>
        <w:rPr>
          <w:rFonts w:ascii="Times New Roman" w:hAnsi="Times New Roman"/>
          <w:sz w:val="24"/>
          <w:szCs w:val="24"/>
        </w:rPr>
      </w:pPr>
      <w:r w:rsidRPr="002A25A0">
        <w:rPr>
          <w:rFonts w:ascii="Times New Roman" w:hAnsi="Times New Roman"/>
          <w:sz w:val="24"/>
          <w:szCs w:val="24"/>
        </w:rPr>
        <w:t xml:space="preserve">Call Report Schedule RC-R, Part II </w:t>
      </w:r>
    </w:p>
    <w:p w:rsidR="002A25A0" w:rsidRPr="00384057" w:rsidRDefault="002A25A0" w:rsidP="002A25A0">
      <w:pPr>
        <w:pStyle w:val="NoSpacing"/>
        <w:rPr>
          <w:rFonts w:ascii="Times New Roman" w:hAnsi="Times New Roman"/>
          <w:b/>
          <w:sz w:val="24"/>
          <w:szCs w:val="24"/>
        </w:rPr>
      </w:pPr>
    </w:p>
    <w:p w:rsidR="002A25A0" w:rsidRDefault="002A25A0" w:rsidP="002A25A0">
      <w:pPr>
        <w:pStyle w:val="NoSpacing"/>
        <w:ind w:firstLine="720"/>
        <w:rPr>
          <w:rFonts w:ascii="Times New Roman" w:hAnsi="Times New Roman"/>
          <w:sz w:val="24"/>
          <w:szCs w:val="24"/>
        </w:rPr>
      </w:pPr>
      <w:r w:rsidRPr="00024232">
        <w:rPr>
          <w:rFonts w:ascii="Times New Roman" w:hAnsi="Times New Roman"/>
          <w:sz w:val="24"/>
          <w:szCs w:val="24"/>
        </w:rPr>
        <w:t xml:space="preserve">The agencies </w:t>
      </w:r>
      <w:r>
        <w:rPr>
          <w:rFonts w:ascii="Times New Roman" w:hAnsi="Times New Roman"/>
          <w:sz w:val="24"/>
          <w:szCs w:val="24"/>
        </w:rPr>
        <w:t>proposed</w:t>
      </w:r>
      <w:r w:rsidRPr="00024232">
        <w:rPr>
          <w:rFonts w:ascii="Times New Roman" w:hAnsi="Times New Roman"/>
          <w:sz w:val="24"/>
          <w:szCs w:val="24"/>
        </w:rPr>
        <w:t xml:space="preserve"> to revise the reporting requirements for the risk-weighted assets portion of Call Report Schedule RC-R</w:t>
      </w:r>
      <w:r>
        <w:rPr>
          <w:rFonts w:ascii="Times New Roman" w:hAnsi="Times New Roman"/>
          <w:sz w:val="24"/>
          <w:szCs w:val="24"/>
        </w:rPr>
        <w:t>, Regulatory Capital,</w:t>
      </w:r>
      <w:r w:rsidRPr="00024232">
        <w:rPr>
          <w:rFonts w:ascii="Times New Roman" w:hAnsi="Times New Roman"/>
          <w:sz w:val="24"/>
          <w:szCs w:val="24"/>
        </w:rPr>
        <w:t xml:space="preserve"> by incorporating the standardized approach, consistent with the revised regulatory capital rules.   </w:t>
      </w:r>
      <w:proofErr w:type="gramStart"/>
      <w:r w:rsidRPr="00024232">
        <w:rPr>
          <w:rFonts w:ascii="Times New Roman" w:hAnsi="Times New Roman"/>
          <w:sz w:val="24"/>
          <w:szCs w:val="24"/>
        </w:rPr>
        <w:t>Compared to the current schedule, the proposed risk-weighted asset</w:t>
      </w:r>
      <w:r w:rsidR="00E27F60">
        <w:rPr>
          <w:rFonts w:ascii="Times New Roman" w:hAnsi="Times New Roman"/>
          <w:sz w:val="24"/>
          <w:szCs w:val="24"/>
        </w:rPr>
        <w:t>s portion of Schedule RC-R will</w:t>
      </w:r>
      <w:r w:rsidRPr="00024232">
        <w:rPr>
          <w:rFonts w:ascii="Times New Roman" w:hAnsi="Times New Roman"/>
          <w:sz w:val="24"/>
          <w:szCs w:val="24"/>
        </w:rPr>
        <w:t xml:space="preserve"> provide a more detailed breakdown of on-balance sheet asset and off-balance sheet item categories, remove the ratings-based approach from the calculation of risk-weighted assets, reflect alternative risk-weighting approaches not reliant on credit ratings, and include an expanded number of risk-weight categories, consistent with the revised regulatory capital rules.</w:t>
      </w:r>
      <w:proofErr w:type="gramEnd"/>
      <w:r>
        <w:rPr>
          <w:rFonts w:ascii="Times New Roman" w:hAnsi="Times New Roman"/>
          <w:sz w:val="24"/>
          <w:szCs w:val="24"/>
        </w:rPr>
        <w:t xml:space="preserve">  As p</w:t>
      </w:r>
      <w:r w:rsidRPr="00131A2A">
        <w:rPr>
          <w:rFonts w:ascii="Times New Roman" w:hAnsi="Times New Roman"/>
          <w:sz w:val="24"/>
          <w:szCs w:val="24"/>
        </w:rPr>
        <w:t>roposed</w:t>
      </w:r>
      <w:r>
        <w:rPr>
          <w:rFonts w:ascii="Times New Roman" w:hAnsi="Times New Roman"/>
          <w:sz w:val="24"/>
          <w:szCs w:val="24"/>
        </w:rPr>
        <w:t xml:space="preserve">, Schedule RC-R, </w:t>
      </w:r>
      <w:r w:rsidRPr="00131A2A">
        <w:rPr>
          <w:rFonts w:ascii="Times New Roman" w:hAnsi="Times New Roman"/>
          <w:sz w:val="24"/>
          <w:szCs w:val="24"/>
        </w:rPr>
        <w:t>Part II</w:t>
      </w:r>
      <w:r>
        <w:rPr>
          <w:rFonts w:ascii="Times New Roman" w:hAnsi="Times New Roman"/>
          <w:sz w:val="24"/>
          <w:szCs w:val="24"/>
        </w:rPr>
        <w:t>, Risk-Weighted Assets,</w:t>
      </w:r>
      <w:r w:rsidR="00E27F60">
        <w:rPr>
          <w:rFonts w:ascii="Times New Roman" w:hAnsi="Times New Roman"/>
          <w:sz w:val="24"/>
          <w:szCs w:val="24"/>
        </w:rPr>
        <w:t xml:space="preserve"> </w:t>
      </w:r>
      <w:proofErr w:type="gramStart"/>
      <w:r w:rsidR="00E27F60">
        <w:rPr>
          <w:rFonts w:ascii="Times New Roman" w:hAnsi="Times New Roman"/>
          <w:sz w:val="24"/>
          <w:szCs w:val="24"/>
        </w:rPr>
        <w:t>will</w:t>
      </w:r>
      <w:r w:rsidRPr="00131A2A">
        <w:rPr>
          <w:rFonts w:ascii="Times New Roman" w:hAnsi="Times New Roman"/>
          <w:sz w:val="24"/>
          <w:szCs w:val="24"/>
        </w:rPr>
        <w:t xml:space="preserve"> be divided</w:t>
      </w:r>
      <w:proofErr w:type="gramEnd"/>
      <w:r w:rsidRPr="00131A2A">
        <w:rPr>
          <w:rFonts w:ascii="Times New Roman" w:hAnsi="Times New Roman"/>
          <w:sz w:val="24"/>
          <w:szCs w:val="24"/>
        </w:rPr>
        <w:t xml:space="preserve"> into the following sections:  </w:t>
      </w:r>
      <w:r>
        <w:rPr>
          <w:rFonts w:ascii="Times New Roman" w:hAnsi="Times New Roman"/>
          <w:sz w:val="24"/>
          <w:szCs w:val="24"/>
        </w:rPr>
        <w:t xml:space="preserve"> </w:t>
      </w:r>
      <w:r w:rsidRPr="00131A2A">
        <w:rPr>
          <w:rFonts w:ascii="Times New Roman" w:hAnsi="Times New Roman"/>
          <w:sz w:val="24"/>
          <w:szCs w:val="24"/>
        </w:rPr>
        <w:t xml:space="preserve">(A) </w:t>
      </w:r>
      <w:r>
        <w:rPr>
          <w:rFonts w:ascii="Times New Roman" w:hAnsi="Times New Roman"/>
          <w:sz w:val="24"/>
          <w:szCs w:val="24"/>
        </w:rPr>
        <w:t>on-</w:t>
      </w:r>
      <w:r w:rsidRPr="00131A2A">
        <w:rPr>
          <w:rFonts w:ascii="Times New Roman" w:hAnsi="Times New Roman"/>
          <w:sz w:val="24"/>
          <w:szCs w:val="24"/>
        </w:rPr>
        <w:t xml:space="preserve">balance sheet asset categories; (B) derivatives and off-balance sheet items; (C) totals; and (D) memoranda items </w:t>
      </w:r>
      <w:r>
        <w:rPr>
          <w:rFonts w:ascii="Times New Roman" w:hAnsi="Times New Roman"/>
          <w:sz w:val="24"/>
          <w:szCs w:val="24"/>
        </w:rPr>
        <w:t>for</w:t>
      </w:r>
      <w:r w:rsidRPr="00131A2A">
        <w:rPr>
          <w:rFonts w:ascii="Times New Roman" w:hAnsi="Times New Roman"/>
          <w:sz w:val="24"/>
          <w:szCs w:val="24"/>
        </w:rPr>
        <w:t xml:space="preserve"> derivatives.  </w:t>
      </w:r>
    </w:p>
    <w:p w:rsidR="002A25A0" w:rsidRDefault="002A25A0" w:rsidP="002A25A0">
      <w:pPr>
        <w:pStyle w:val="NoSpacing"/>
        <w:ind w:firstLine="720"/>
        <w:rPr>
          <w:rFonts w:ascii="Times New Roman" w:hAnsi="Times New Roman"/>
          <w:sz w:val="24"/>
          <w:szCs w:val="24"/>
        </w:rPr>
      </w:pPr>
    </w:p>
    <w:p w:rsidR="002A25A0" w:rsidRPr="00131A2A" w:rsidRDefault="002A25A0" w:rsidP="002A25A0">
      <w:pPr>
        <w:pStyle w:val="NoSpacing"/>
        <w:ind w:firstLine="720"/>
        <w:rPr>
          <w:rFonts w:ascii="Times New Roman" w:hAnsi="Times New Roman"/>
          <w:sz w:val="24"/>
          <w:szCs w:val="24"/>
        </w:rPr>
      </w:pPr>
      <w:r w:rsidRPr="00131A2A">
        <w:rPr>
          <w:rFonts w:ascii="Times New Roman" w:hAnsi="Times New Roman"/>
          <w:sz w:val="24"/>
          <w:szCs w:val="24"/>
        </w:rPr>
        <w:t>A brief description of each of these sections and the corresponding line items</w:t>
      </w:r>
      <w:r>
        <w:rPr>
          <w:rFonts w:ascii="Times New Roman" w:hAnsi="Times New Roman"/>
          <w:sz w:val="24"/>
          <w:szCs w:val="24"/>
        </w:rPr>
        <w:t xml:space="preserve"> and the comments received on specific line items in Schedule RC-R, Part II,</w:t>
      </w:r>
      <w:r w:rsidRPr="00131A2A">
        <w:rPr>
          <w:rFonts w:ascii="Times New Roman" w:hAnsi="Times New Roman"/>
          <w:sz w:val="24"/>
          <w:szCs w:val="24"/>
        </w:rPr>
        <w:t xml:space="preserve"> </w:t>
      </w:r>
      <w:proofErr w:type="gramStart"/>
      <w:r>
        <w:rPr>
          <w:rFonts w:ascii="Times New Roman" w:hAnsi="Times New Roman"/>
          <w:sz w:val="24"/>
          <w:szCs w:val="24"/>
        </w:rPr>
        <w:t>are</w:t>
      </w:r>
      <w:r w:rsidRPr="00131A2A">
        <w:rPr>
          <w:rFonts w:ascii="Times New Roman" w:hAnsi="Times New Roman"/>
          <w:sz w:val="24"/>
          <w:szCs w:val="24"/>
        </w:rPr>
        <w:t xml:space="preserve"> provided</w:t>
      </w:r>
      <w:proofErr w:type="gramEnd"/>
      <w:r w:rsidRPr="00131A2A">
        <w:rPr>
          <w:rFonts w:ascii="Times New Roman" w:hAnsi="Times New Roman"/>
          <w:sz w:val="24"/>
          <w:szCs w:val="24"/>
        </w:rPr>
        <w:t xml:space="preserve"> below.  </w:t>
      </w:r>
    </w:p>
    <w:p w:rsidR="002A25A0" w:rsidRDefault="002A25A0" w:rsidP="002A25A0">
      <w:pPr>
        <w:pStyle w:val="NoSpacing"/>
        <w:rPr>
          <w:rFonts w:ascii="Times New Roman" w:hAnsi="Times New Roman"/>
          <w:sz w:val="24"/>
          <w:szCs w:val="24"/>
          <w:u w:val="single"/>
        </w:rPr>
      </w:pPr>
    </w:p>
    <w:p w:rsidR="002A25A0" w:rsidRPr="00131A2A" w:rsidRDefault="002A25A0" w:rsidP="002A25A0">
      <w:pPr>
        <w:pStyle w:val="NoSpacing"/>
        <w:rPr>
          <w:rFonts w:ascii="Times New Roman" w:hAnsi="Times New Roman"/>
          <w:sz w:val="24"/>
          <w:szCs w:val="24"/>
          <w:u w:val="single"/>
        </w:rPr>
      </w:pPr>
      <w:r w:rsidRPr="00131A2A">
        <w:rPr>
          <w:rFonts w:ascii="Times New Roman" w:hAnsi="Times New Roman"/>
          <w:sz w:val="24"/>
          <w:szCs w:val="24"/>
          <w:u w:val="single"/>
        </w:rPr>
        <w:t xml:space="preserve">Schedule RC-R, Part II, items </w:t>
      </w:r>
      <w:r>
        <w:rPr>
          <w:rFonts w:ascii="Times New Roman" w:hAnsi="Times New Roman"/>
          <w:sz w:val="24"/>
          <w:szCs w:val="24"/>
          <w:u w:val="single"/>
        </w:rPr>
        <w:t>1</w:t>
      </w:r>
      <w:r w:rsidRPr="00131A2A">
        <w:rPr>
          <w:rFonts w:ascii="Times New Roman" w:hAnsi="Times New Roman"/>
          <w:sz w:val="24"/>
          <w:szCs w:val="24"/>
          <w:u w:val="single"/>
        </w:rPr>
        <w:t>-</w:t>
      </w:r>
      <w:r>
        <w:rPr>
          <w:rFonts w:ascii="Times New Roman" w:hAnsi="Times New Roman"/>
          <w:sz w:val="24"/>
          <w:szCs w:val="24"/>
          <w:u w:val="single"/>
        </w:rPr>
        <w:t>11</w:t>
      </w:r>
      <w:r w:rsidRPr="00131A2A">
        <w:rPr>
          <w:rFonts w:ascii="Times New Roman" w:hAnsi="Times New Roman"/>
          <w:sz w:val="24"/>
          <w:szCs w:val="24"/>
          <w:u w:val="single"/>
        </w:rPr>
        <w:t>:  Balance sheet asset categories</w:t>
      </w:r>
      <w:r>
        <w:rPr>
          <w:rFonts w:ascii="Times New Roman" w:hAnsi="Times New Roman"/>
          <w:sz w:val="24"/>
          <w:szCs w:val="24"/>
          <w:u w:val="single"/>
        </w:rPr>
        <w:t xml:space="preserve"> and securitization exposures</w:t>
      </w:r>
    </w:p>
    <w:p w:rsidR="002A25A0" w:rsidRPr="00131A2A" w:rsidRDefault="002A25A0" w:rsidP="002A25A0">
      <w:pPr>
        <w:pStyle w:val="NoSpacing"/>
        <w:rPr>
          <w:rFonts w:ascii="Times New Roman" w:hAnsi="Times New Roman"/>
          <w:sz w:val="24"/>
          <w:szCs w:val="24"/>
          <w:u w:val="single"/>
        </w:rPr>
      </w:pPr>
    </w:p>
    <w:p w:rsidR="002A25A0" w:rsidRDefault="002A25A0" w:rsidP="002A25A0">
      <w:r w:rsidRPr="00131A2A">
        <w:tab/>
        <w:t xml:space="preserve">Proposed line items </w:t>
      </w:r>
      <w:r>
        <w:t>1</w:t>
      </w:r>
      <w:r w:rsidRPr="00131A2A">
        <w:t xml:space="preserve"> through </w:t>
      </w:r>
      <w:r>
        <w:t>8</w:t>
      </w:r>
      <w:r w:rsidRPr="00131A2A">
        <w:t xml:space="preserve"> reflect </w:t>
      </w:r>
      <w:r>
        <w:t>on-</w:t>
      </w:r>
      <w:r w:rsidRPr="00131A2A">
        <w:t>balance sheet asset categories</w:t>
      </w:r>
      <w:r>
        <w:t xml:space="preserve"> (excluding those assets within each category that meet the definition of a securitization exposure)</w:t>
      </w:r>
      <w:r w:rsidRPr="00131A2A">
        <w:t xml:space="preserve">, similar to the </w:t>
      </w:r>
      <w:r>
        <w:lastRenderedPageBreak/>
        <w:t xml:space="preserve">asset categories </w:t>
      </w:r>
      <w:r w:rsidRPr="00131A2A">
        <w:t>included in the current version of Schedule RC-R</w:t>
      </w:r>
      <w:r>
        <w:t>,</w:t>
      </w:r>
      <w:r w:rsidRPr="00131A2A">
        <w:t xml:space="preserve"> </w:t>
      </w:r>
      <w:r w:rsidR="00E27F60">
        <w:t>but the proposed items will</w:t>
      </w:r>
      <w:r w:rsidRPr="00131A2A">
        <w:t xml:space="preserve"> </w:t>
      </w:r>
      <w:r>
        <w:t xml:space="preserve">capture </w:t>
      </w:r>
      <w:r w:rsidRPr="00131A2A">
        <w:t xml:space="preserve">greater reporting detail. </w:t>
      </w:r>
      <w:r>
        <w:t xml:space="preserve"> </w:t>
      </w:r>
      <w:r w:rsidRPr="00131A2A">
        <w:t>The number of risk</w:t>
      </w:r>
      <w:r>
        <w:t>-</w:t>
      </w:r>
      <w:r w:rsidRPr="00131A2A">
        <w:t xml:space="preserve">weight </w:t>
      </w:r>
      <w:r>
        <w:t>categories</w:t>
      </w:r>
      <w:r w:rsidRPr="00131A2A">
        <w:t xml:space="preserve"> </w:t>
      </w:r>
      <w:r>
        <w:t xml:space="preserve">to which the individual assets in each asset category </w:t>
      </w:r>
      <w:proofErr w:type="gramStart"/>
      <w:r>
        <w:t>would be allocated</w:t>
      </w:r>
      <w:proofErr w:type="gramEnd"/>
      <w:r>
        <w:t xml:space="preserve"> would be</w:t>
      </w:r>
      <w:r w:rsidRPr="00131A2A">
        <w:t xml:space="preserve"> expanded consistent with the revised regulatory capital rules. </w:t>
      </w:r>
      <w:r>
        <w:t xml:space="preserve"> On-balance sheet assets and off-balance sheet items that meet the definition of a securitization exposure</w:t>
      </w:r>
      <w:r w:rsidRPr="00131A2A">
        <w:t xml:space="preserve"> </w:t>
      </w:r>
      <w:r w:rsidR="00E27F60">
        <w:t>will</w:t>
      </w:r>
      <w:r>
        <w:t xml:space="preserve"> be reported in items 9 and 10, respectively.  </w:t>
      </w:r>
    </w:p>
    <w:p w:rsidR="00C370C3" w:rsidRPr="00131A2A" w:rsidRDefault="00C370C3" w:rsidP="002A25A0"/>
    <w:p w:rsidR="002A25A0" w:rsidRDefault="002A25A0" w:rsidP="002A25A0">
      <w:r w:rsidRPr="00131A2A">
        <w:tab/>
        <w:t xml:space="preserve"> </w:t>
      </w:r>
      <w:r>
        <w:t xml:space="preserve">Two commenters noted that several risk-weight categories for item 8, “Other assets,” on the proposed reporting form are not available for data input (i.e., they are shaded out), but they believe the categories may be applicable, particularly to account for certain bank-owned life insurance (BOLI) assets.  </w:t>
      </w:r>
      <w:proofErr w:type="gramStart"/>
      <w:r>
        <w:t>The agencies agree with these comments and will open the 2 percent, 4 percent, 150 percent, and 300 percent risk-weight categories for item 8, “Other assets.”</w:t>
      </w:r>
      <w:proofErr w:type="gramEnd"/>
    </w:p>
    <w:p w:rsidR="00C370C3" w:rsidRDefault="00C370C3" w:rsidP="002A25A0">
      <w:bookmarkStart w:id="0" w:name="_GoBack"/>
      <w:bookmarkEnd w:id="0"/>
    </w:p>
    <w:p w:rsidR="002A25A0" w:rsidRDefault="002A25A0" w:rsidP="002A25A0">
      <w:pPr>
        <w:rPr>
          <w:b/>
        </w:rPr>
      </w:pPr>
      <w:r>
        <w:tab/>
        <w:t xml:space="preserve">One commenter requested clarification of the reporting in item 8 of default fund contributions made by the reporting institution to central counterparties.  The commenter noted that the proposed reporting instructions for item 8 state that such contributions </w:t>
      </w:r>
      <w:proofErr w:type="gramStart"/>
      <w:r>
        <w:t>should be allocated</w:t>
      </w:r>
      <w:proofErr w:type="gramEnd"/>
      <w:r>
        <w:t xml:space="preserve"> to the risk-weight categories defined for column B through column Q.  However, the commenter observed that default fund contributions are subject to two alternative methodologies for calculating risk-weights, both of which may result in risk-weight categories not captured in column B through column Q.</w:t>
      </w:r>
      <w:r w:rsidR="005D738A">
        <w:t xml:space="preserve">  The agencies are revising the collection form to accommodate reporting of default fund contributions regardless of the chosen methodology.</w:t>
      </w:r>
    </w:p>
    <w:p w:rsidR="002A25A0" w:rsidRPr="005C1D55" w:rsidRDefault="002A25A0" w:rsidP="002A25A0">
      <w:r>
        <w:tab/>
      </w:r>
    </w:p>
    <w:p w:rsidR="002A25A0" w:rsidRPr="00131A2A" w:rsidRDefault="002A25A0" w:rsidP="002A25A0">
      <w:pPr>
        <w:pStyle w:val="ListParagraph"/>
        <w:tabs>
          <w:tab w:val="left" w:pos="720"/>
          <w:tab w:val="left" w:pos="1080"/>
        </w:tabs>
        <w:ind w:left="0" w:firstLine="720"/>
        <w:rPr>
          <w:iCs/>
        </w:rPr>
      </w:pPr>
      <w:r>
        <w:rPr>
          <w:iCs/>
        </w:rPr>
        <w:t xml:space="preserve">One commenter noted that items 2 through 8 could include securitization exposures, and when added with item 9, “On-balance sheet securitization exposures,” would double count such exposures in reporting item 11, “Total assets.”  The agencies note that the reporting instructions for each proposed balance sheet asset category (items 1 through 8) explicitly state the reporting institution is to exclude securitization exposures.  </w:t>
      </w:r>
    </w:p>
    <w:p w:rsidR="002A25A0" w:rsidRPr="00131A2A" w:rsidRDefault="002A25A0" w:rsidP="002A25A0">
      <w:pPr>
        <w:pStyle w:val="NoSpacing"/>
        <w:rPr>
          <w:rFonts w:ascii="Times New Roman" w:hAnsi="Times New Roman"/>
          <w:sz w:val="24"/>
          <w:szCs w:val="24"/>
          <w:u w:val="single"/>
        </w:rPr>
      </w:pPr>
      <w:r w:rsidRPr="00131A2A">
        <w:rPr>
          <w:rFonts w:ascii="Times New Roman" w:hAnsi="Times New Roman"/>
          <w:sz w:val="24"/>
          <w:szCs w:val="24"/>
          <w:u w:val="single"/>
        </w:rPr>
        <w:t xml:space="preserve">Schedule RC-R, Part II, items </w:t>
      </w:r>
      <w:r>
        <w:rPr>
          <w:rFonts w:ascii="Times New Roman" w:hAnsi="Times New Roman"/>
          <w:sz w:val="24"/>
          <w:szCs w:val="24"/>
          <w:u w:val="single"/>
        </w:rPr>
        <w:t>12</w:t>
      </w:r>
      <w:r w:rsidRPr="00131A2A">
        <w:rPr>
          <w:rFonts w:ascii="Times New Roman" w:hAnsi="Times New Roman"/>
          <w:sz w:val="24"/>
          <w:szCs w:val="24"/>
          <w:u w:val="single"/>
        </w:rPr>
        <w:t>-</w:t>
      </w:r>
      <w:r>
        <w:rPr>
          <w:rFonts w:ascii="Times New Roman" w:hAnsi="Times New Roman"/>
          <w:sz w:val="24"/>
          <w:szCs w:val="24"/>
          <w:u w:val="single"/>
        </w:rPr>
        <w:t>21</w:t>
      </w:r>
      <w:r w:rsidRPr="00131A2A">
        <w:rPr>
          <w:rFonts w:ascii="Times New Roman" w:hAnsi="Times New Roman"/>
          <w:sz w:val="24"/>
          <w:szCs w:val="24"/>
          <w:u w:val="single"/>
        </w:rPr>
        <w:t>:  Derivatives and off-balance sheet items</w:t>
      </w:r>
    </w:p>
    <w:p w:rsidR="002A25A0" w:rsidRPr="00131A2A" w:rsidRDefault="002A25A0" w:rsidP="002A25A0">
      <w:pPr>
        <w:pStyle w:val="NoSpacing"/>
        <w:ind w:firstLine="720"/>
        <w:rPr>
          <w:rFonts w:ascii="Times New Roman" w:hAnsi="Times New Roman"/>
          <w:sz w:val="24"/>
          <w:szCs w:val="24"/>
        </w:rPr>
      </w:pPr>
    </w:p>
    <w:p w:rsidR="002A25A0" w:rsidRDefault="002A25A0" w:rsidP="002A25A0">
      <w:pPr>
        <w:pStyle w:val="NoSpacing"/>
        <w:ind w:firstLine="720"/>
        <w:rPr>
          <w:rFonts w:ascii="Times New Roman" w:hAnsi="Times New Roman"/>
          <w:sz w:val="24"/>
          <w:szCs w:val="24"/>
        </w:rPr>
      </w:pPr>
      <w:r w:rsidRPr="00131A2A">
        <w:rPr>
          <w:rFonts w:ascii="Times New Roman" w:hAnsi="Times New Roman"/>
          <w:sz w:val="24"/>
          <w:szCs w:val="24"/>
        </w:rPr>
        <w:t xml:space="preserve">Proposed line items </w:t>
      </w:r>
      <w:r>
        <w:rPr>
          <w:rFonts w:ascii="Times New Roman" w:hAnsi="Times New Roman"/>
          <w:sz w:val="24"/>
          <w:szCs w:val="24"/>
        </w:rPr>
        <w:t>12</w:t>
      </w:r>
      <w:r w:rsidRPr="00131A2A">
        <w:rPr>
          <w:rFonts w:ascii="Times New Roman" w:hAnsi="Times New Roman"/>
          <w:sz w:val="24"/>
          <w:szCs w:val="24"/>
        </w:rPr>
        <w:t xml:space="preserve"> through </w:t>
      </w:r>
      <w:r>
        <w:rPr>
          <w:rFonts w:ascii="Times New Roman" w:hAnsi="Times New Roman"/>
          <w:sz w:val="24"/>
          <w:szCs w:val="24"/>
        </w:rPr>
        <w:t>21</w:t>
      </w:r>
      <w:r w:rsidRPr="00131A2A">
        <w:rPr>
          <w:rFonts w:ascii="Times New Roman" w:hAnsi="Times New Roman"/>
          <w:sz w:val="24"/>
          <w:szCs w:val="24"/>
        </w:rPr>
        <w:t xml:space="preserve"> pertain to the reporting of derivatives and off-balance sheet items</w:t>
      </w:r>
      <w:r>
        <w:rPr>
          <w:rFonts w:ascii="Times New Roman" w:hAnsi="Times New Roman"/>
          <w:sz w:val="24"/>
          <w:szCs w:val="24"/>
        </w:rPr>
        <w:t xml:space="preserve">, excluding those that meet the definition of a securitization exposure (which </w:t>
      </w:r>
      <w:proofErr w:type="gramStart"/>
      <w:r>
        <w:rPr>
          <w:rFonts w:ascii="Times New Roman" w:hAnsi="Times New Roman"/>
          <w:sz w:val="24"/>
          <w:szCs w:val="24"/>
        </w:rPr>
        <w:t>are reported</w:t>
      </w:r>
      <w:proofErr w:type="gramEnd"/>
      <w:r>
        <w:rPr>
          <w:rFonts w:ascii="Times New Roman" w:hAnsi="Times New Roman"/>
          <w:sz w:val="24"/>
          <w:szCs w:val="24"/>
        </w:rPr>
        <w:t xml:space="preserve"> in item 10 as discussed above)</w:t>
      </w:r>
      <w:r w:rsidRPr="00131A2A">
        <w:rPr>
          <w:rFonts w:ascii="Times New Roman" w:hAnsi="Times New Roman"/>
          <w:sz w:val="24"/>
          <w:szCs w:val="24"/>
        </w:rPr>
        <w:t xml:space="preserve">. </w:t>
      </w:r>
      <w:r>
        <w:rPr>
          <w:rFonts w:ascii="Times New Roman" w:hAnsi="Times New Roman"/>
          <w:sz w:val="24"/>
          <w:szCs w:val="24"/>
        </w:rPr>
        <w:t xml:space="preserve"> </w:t>
      </w:r>
    </w:p>
    <w:p w:rsidR="002A25A0" w:rsidRPr="00131A2A" w:rsidRDefault="002A25A0" w:rsidP="002A25A0">
      <w:pPr>
        <w:pStyle w:val="NoSpacing"/>
        <w:ind w:firstLine="720"/>
        <w:rPr>
          <w:rFonts w:ascii="Times New Roman" w:hAnsi="Times New Roman"/>
          <w:sz w:val="24"/>
          <w:szCs w:val="24"/>
        </w:rPr>
      </w:pPr>
    </w:p>
    <w:p w:rsidR="002A25A0" w:rsidRDefault="002A25A0" w:rsidP="002A25A0">
      <w:r>
        <w:tab/>
        <w:t xml:space="preserve">One commenter noted that in accordance with section 37 of the agencies’ revised regulatory capital rules, banking organizations must calculate the exposure amount and risk-weighted assets for repo-style transactions on a netting set basis.  A netting set may contain transactions that are reported as assets, liabilities, and off-balance sheet items (as long as they are executed under the same master netting agreement), and the basis for the RWA calculation is the net exposure, adjusted for volatility and foreign exchange haircuts.  As proposed, Schedule RC-R, Part II, requires the reporting of repo-style transactions split between assets (reported in item 3, “Federal funds sold and securities purchased under agreements to resell”) and liabilities (reported in item 16, “Repo-style transactions (excluding reverse repos)”).  </w:t>
      </w:r>
      <w:proofErr w:type="gramStart"/>
      <w:r>
        <w:t>However, since risk-weighted assets are based on the net exposure at a netting set level (inclusive of volatility and foreign exchange haircuts), there is no obvious way of allocating the exposure between the two reporting items and across the risk-weight categories that would tie back to the value required to be reported in column A (i.e., for item 3, the balance sheet carrying amount, and for item 16, the notional value).</w:t>
      </w:r>
      <w:proofErr w:type="gramEnd"/>
      <w:r>
        <w:t xml:space="preserve">  The commenter recommends that the agencies amend the reporting form to </w:t>
      </w:r>
      <w:r>
        <w:lastRenderedPageBreak/>
        <w:t>collect all repo-style transactions in a single item, and amounts attributed to risk-weighting categories for this item would tie to an “exposure” amount reported in Column A.</w:t>
      </w:r>
      <w:r w:rsidR="00D94A05">
        <w:t xml:space="preserve">  The agencies are revising the collection form to accommodate reporting of repo-style transactions.</w:t>
      </w:r>
    </w:p>
    <w:p w:rsidR="002A25A0" w:rsidRDefault="002A25A0" w:rsidP="002A25A0"/>
    <w:p w:rsidR="002A25A0" w:rsidRDefault="002A25A0" w:rsidP="002A25A0">
      <w:pPr>
        <w:pStyle w:val="NoSpacing"/>
        <w:rPr>
          <w:rFonts w:ascii="Times New Roman" w:hAnsi="Times New Roman"/>
          <w:sz w:val="24"/>
          <w:szCs w:val="24"/>
          <w:u w:val="single"/>
        </w:rPr>
      </w:pPr>
    </w:p>
    <w:p w:rsidR="002A25A0" w:rsidRDefault="002A25A0" w:rsidP="002A25A0">
      <w:pPr>
        <w:pStyle w:val="NoSpacing"/>
        <w:rPr>
          <w:rFonts w:ascii="Times New Roman" w:hAnsi="Times New Roman"/>
          <w:sz w:val="24"/>
          <w:szCs w:val="24"/>
          <w:u w:val="single"/>
        </w:rPr>
      </w:pPr>
      <w:r w:rsidRPr="00131A2A">
        <w:rPr>
          <w:rFonts w:ascii="Times New Roman" w:hAnsi="Times New Roman"/>
          <w:sz w:val="24"/>
          <w:szCs w:val="24"/>
          <w:u w:val="single"/>
        </w:rPr>
        <w:t xml:space="preserve">Schedule RC-R, Part II, items </w:t>
      </w:r>
      <w:r>
        <w:rPr>
          <w:rFonts w:ascii="Times New Roman" w:hAnsi="Times New Roman"/>
          <w:sz w:val="24"/>
          <w:szCs w:val="24"/>
          <w:u w:val="single"/>
        </w:rPr>
        <w:t>22-30</w:t>
      </w:r>
      <w:r w:rsidRPr="00131A2A">
        <w:rPr>
          <w:rFonts w:ascii="Times New Roman" w:hAnsi="Times New Roman"/>
          <w:sz w:val="24"/>
          <w:szCs w:val="24"/>
          <w:u w:val="single"/>
        </w:rPr>
        <w:t xml:space="preserve">:  </w:t>
      </w:r>
      <w:r>
        <w:rPr>
          <w:rFonts w:ascii="Times New Roman" w:hAnsi="Times New Roman"/>
          <w:sz w:val="24"/>
          <w:szCs w:val="24"/>
          <w:u w:val="single"/>
        </w:rPr>
        <w:t>Totals</w:t>
      </w:r>
    </w:p>
    <w:p w:rsidR="002A25A0" w:rsidRDefault="002A25A0" w:rsidP="002A25A0">
      <w:pPr>
        <w:pStyle w:val="NoSpacing"/>
        <w:rPr>
          <w:rFonts w:ascii="Times New Roman" w:hAnsi="Times New Roman"/>
          <w:sz w:val="24"/>
          <w:szCs w:val="24"/>
          <w:u w:val="single"/>
        </w:rPr>
      </w:pPr>
    </w:p>
    <w:p w:rsidR="002A25A0" w:rsidRDefault="002A25A0" w:rsidP="002A25A0">
      <w:pPr>
        <w:pStyle w:val="NoSpacing"/>
        <w:ind w:firstLine="720"/>
        <w:rPr>
          <w:rFonts w:ascii="Times New Roman" w:hAnsi="Times New Roman"/>
          <w:sz w:val="24"/>
          <w:szCs w:val="24"/>
        </w:rPr>
      </w:pPr>
      <w:r>
        <w:rPr>
          <w:rFonts w:ascii="Times New Roman" w:hAnsi="Times New Roman"/>
          <w:sz w:val="24"/>
          <w:szCs w:val="24"/>
        </w:rPr>
        <w:t>Proposed items 22 through 30 apply the risk-weight factors to the exposure amounts reported for assets, derivatives, and off-balance sheet items in items 11 through 21 and calculate an institution’s total risk-weighted assets.  The agencies did not receive any comments on these line items and thus would retain the proposed line items without modification.</w:t>
      </w:r>
    </w:p>
    <w:p w:rsidR="002A25A0" w:rsidRDefault="002A25A0" w:rsidP="002A25A0">
      <w:pPr>
        <w:pStyle w:val="NoSpacing"/>
        <w:rPr>
          <w:rFonts w:ascii="Times New Roman" w:hAnsi="Times New Roman"/>
          <w:sz w:val="24"/>
          <w:szCs w:val="24"/>
          <w:u w:val="single"/>
        </w:rPr>
      </w:pPr>
    </w:p>
    <w:p w:rsidR="002A25A0" w:rsidRDefault="002A25A0" w:rsidP="002A25A0">
      <w:pPr>
        <w:pStyle w:val="NoSpacing"/>
        <w:rPr>
          <w:rFonts w:ascii="Times New Roman" w:hAnsi="Times New Roman"/>
          <w:sz w:val="24"/>
          <w:szCs w:val="24"/>
          <w:u w:val="single"/>
        </w:rPr>
      </w:pPr>
      <w:r w:rsidRPr="00131A2A">
        <w:rPr>
          <w:rFonts w:ascii="Times New Roman" w:hAnsi="Times New Roman"/>
          <w:sz w:val="24"/>
          <w:szCs w:val="24"/>
          <w:u w:val="single"/>
        </w:rPr>
        <w:t xml:space="preserve">Schedule RC-R, Part II, </w:t>
      </w:r>
      <w:r>
        <w:rPr>
          <w:rFonts w:ascii="Times New Roman" w:hAnsi="Times New Roman"/>
          <w:sz w:val="24"/>
          <w:szCs w:val="24"/>
          <w:u w:val="single"/>
        </w:rPr>
        <w:t xml:space="preserve">Memorandum </w:t>
      </w:r>
      <w:r w:rsidRPr="00131A2A">
        <w:rPr>
          <w:rFonts w:ascii="Times New Roman" w:hAnsi="Times New Roman"/>
          <w:sz w:val="24"/>
          <w:szCs w:val="24"/>
          <w:u w:val="single"/>
        </w:rPr>
        <w:t xml:space="preserve">items </w:t>
      </w:r>
      <w:r>
        <w:rPr>
          <w:rFonts w:ascii="Times New Roman" w:hAnsi="Times New Roman"/>
          <w:sz w:val="24"/>
          <w:szCs w:val="24"/>
          <w:u w:val="single"/>
        </w:rPr>
        <w:t>1-3</w:t>
      </w:r>
      <w:r w:rsidRPr="00131A2A">
        <w:rPr>
          <w:rFonts w:ascii="Times New Roman" w:hAnsi="Times New Roman"/>
          <w:sz w:val="24"/>
          <w:szCs w:val="24"/>
          <w:u w:val="single"/>
        </w:rPr>
        <w:t xml:space="preserve">:  </w:t>
      </w:r>
      <w:r>
        <w:rPr>
          <w:rFonts w:ascii="Times New Roman" w:hAnsi="Times New Roman"/>
          <w:sz w:val="24"/>
          <w:szCs w:val="24"/>
          <w:u w:val="single"/>
        </w:rPr>
        <w:t>Derivatives</w:t>
      </w:r>
    </w:p>
    <w:p w:rsidR="002A25A0" w:rsidRDefault="002A25A0" w:rsidP="002A25A0">
      <w:pPr>
        <w:pStyle w:val="NoSpacing"/>
        <w:rPr>
          <w:rFonts w:ascii="Times New Roman" w:hAnsi="Times New Roman"/>
          <w:sz w:val="24"/>
          <w:szCs w:val="24"/>
          <w:u w:val="single"/>
        </w:rPr>
      </w:pPr>
    </w:p>
    <w:p w:rsidR="002A25A0" w:rsidRDefault="002A25A0" w:rsidP="002A25A0">
      <w:r w:rsidRPr="00131A2A">
        <w:tab/>
      </w:r>
      <w:r>
        <w:t>In p</w:t>
      </w:r>
      <w:r w:rsidRPr="00131A2A">
        <w:t xml:space="preserve">roposed </w:t>
      </w:r>
      <w:r>
        <w:t xml:space="preserve">memorandum </w:t>
      </w:r>
      <w:r w:rsidRPr="00131A2A">
        <w:t xml:space="preserve">items </w:t>
      </w:r>
      <w:r>
        <w:t>1 through 3, an institution would report</w:t>
      </w:r>
      <w:r w:rsidRPr="00131A2A">
        <w:t xml:space="preserve"> </w:t>
      </w:r>
      <w:r>
        <w:t xml:space="preserve">the current credit exposure and notional principal amounts of its derivative contracts. </w:t>
      </w:r>
      <w:r w:rsidRPr="00131A2A">
        <w:t xml:space="preserve"> Consistent with the revised regulatory capital rules, </w:t>
      </w:r>
      <w:r>
        <w:t>existing Memorandum</w:t>
      </w:r>
      <w:r w:rsidRPr="00131A2A">
        <w:t xml:space="preserve"> item</w:t>
      </w:r>
      <w:r>
        <w:t xml:space="preserve"> 2</w:t>
      </w:r>
      <w:r w:rsidRPr="00131A2A">
        <w:t xml:space="preserve"> </w:t>
      </w:r>
      <w:r>
        <w:t>would be</w:t>
      </w:r>
      <w:r w:rsidRPr="00131A2A">
        <w:t xml:space="preserve"> </w:t>
      </w:r>
      <w:r>
        <w:t xml:space="preserve">revised to provide for separate reporting, by remaining maturity and type of contract, of the notional principal amounts of the </w:t>
      </w:r>
      <w:proofErr w:type="gramStart"/>
      <w:r>
        <w:t>institution’s</w:t>
      </w:r>
      <w:proofErr w:type="gramEnd"/>
      <w:r>
        <w:t xml:space="preserve"> over-the-counter and centrally cleared derivative contracts subject to the revised regulatory capital rules.</w:t>
      </w:r>
    </w:p>
    <w:p w:rsidR="002A25A0" w:rsidRPr="00131A2A" w:rsidRDefault="002A25A0" w:rsidP="002A25A0"/>
    <w:p w:rsidR="002A25A0" w:rsidRPr="005823A0" w:rsidRDefault="002A25A0" w:rsidP="00B33728">
      <w:pPr>
        <w:pStyle w:val="NoSpacing"/>
      </w:pPr>
      <w:r>
        <w:rPr>
          <w:rFonts w:ascii="Times New Roman" w:hAnsi="Times New Roman"/>
          <w:b/>
          <w:sz w:val="24"/>
          <w:szCs w:val="24"/>
        </w:rPr>
        <w:tab/>
      </w:r>
      <w:r>
        <w:rPr>
          <w:rFonts w:ascii="Times New Roman" w:hAnsi="Times New Roman"/>
          <w:sz w:val="24"/>
          <w:szCs w:val="24"/>
        </w:rPr>
        <w:t xml:space="preserve">Memorandum item 1 </w:t>
      </w:r>
      <w:r w:rsidR="00E27F60">
        <w:rPr>
          <w:rFonts w:ascii="Times New Roman" w:hAnsi="Times New Roman"/>
          <w:sz w:val="24"/>
          <w:szCs w:val="24"/>
        </w:rPr>
        <w:t>will</w:t>
      </w:r>
      <w:r>
        <w:rPr>
          <w:rFonts w:ascii="Times New Roman" w:hAnsi="Times New Roman"/>
          <w:sz w:val="24"/>
          <w:szCs w:val="24"/>
        </w:rPr>
        <w:t xml:space="preserve"> continue to collect the “Current credit exposure across all derivative contracts covered by the risk-based capital standards.”  One commenter noted that prior to the proposed revisions, the instructions for Memorandum item 1 stated that all written option contracts (except those that are, in substance, financial guarantees) are not covered by the risk-based capital standards.  However, this statement </w:t>
      </w:r>
      <w:proofErr w:type="gramStart"/>
      <w:r>
        <w:rPr>
          <w:rFonts w:ascii="Times New Roman" w:hAnsi="Times New Roman"/>
          <w:sz w:val="24"/>
          <w:szCs w:val="24"/>
        </w:rPr>
        <w:t>was omitted</w:t>
      </w:r>
      <w:proofErr w:type="gramEnd"/>
      <w:r>
        <w:rPr>
          <w:rFonts w:ascii="Times New Roman" w:hAnsi="Times New Roman"/>
          <w:sz w:val="24"/>
          <w:szCs w:val="24"/>
        </w:rPr>
        <w:t xml:space="preserve"> from the proposed reporting instructions for Memorandum item 1</w:t>
      </w:r>
      <w:r w:rsidR="00D94A05">
        <w:rPr>
          <w:rFonts w:ascii="Times New Roman" w:hAnsi="Times New Roman"/>
          <w:sz w:val="24"/>
          <w:szCs w:val="24"/>
        </w:rPr>
        <w:t>, but will be included in the final instructions as requested by a commenter</w:t>
      </w:r>
      <w:r>
        <w:rPr>
          <w:rFonts w:ascii="Times New Roman" w:hAnsi="Times New Roman"/>
          <w:sz w:val="24"/>
          <w:szCs w:val="24"/>
        </w:rPr>
        <w:t xml:space="preserve">.  </w:t>
      </w:r>
    </w:p>
    <w:p w:rsidR="002A25A0" w:rsidRDefault="002A25A0" w:rsidP="002A25A0">
      <w:pPr>
        <w:pStyle w:val="NoSpacing"/>
        <w:rPr>
          <w:rFonts w:ascii="Times New Roman" w:hAnsi="Times New Roman"/>
          <w:b/>
          <w:sz w:val="24"/>
          <w:szCs w:val="24"/>
        </w:rPr>
      </w:pPr>
    </w:p>
    <w:p w:rsidR="002A25A0" w:rsidRDefault="002A25A0" w:rsidP="002A25A0">
      <w:pPr>
        <w:autoSpaceDE w:val="0"/>
        <w:autoSpaceDN w:val="0"/>
        <w:adjustRightInd w:val="0"/>
      </w:pPr>
      <w:r w:rsidRPr="002A25A0">
        <w:t>Proposed Changes to Call Report Schedule RC-L</w:t>
      </w:r>
    </w:p>
    <w:p w:rsidR="002A25A0" w:rsidRPr="002A25A0" w:rsidRDefault="002A25A0" w:rsidP="002A25A0">
      <w:pPr>
        <w:autoSpaceDE w:val="0"/>
        <w:autoSpaceDN w:val="0"/>
        <w:adjustRightInd w:val="0"/>
      </w:pPr>
    </w:p>
    <w:p w:rsidR="002A25A0" w:rsidRDefault="002A25A0" w:rsidP="002A25A0">
      <w:pPr>
        <w:ind w:firstLine="720"/>
      </w:pPr>
      <w:r>
        <w:t xml:space="preserve">Call Report Schedule RC-L collects regulatory data on derivatives and off-balance sheet items.  The agencies proposed to revise the reporting requirements for off-balance sheet exposures related to securities lent and borrowed, consistent with the revised regulatory capital rules.  Compared to the current schedule, the proposed changes to Schedule RC-L </w:t>
      </w:r>
      <w:r w:rsidR="00E27F60">
        <w:t>will</w:t>
      </w:r>
      <w:r>
        <w:t xml:space="preserve"> require all institutions to report the amount of securities borrowed.  </w:t>
      </w:r>
      <w:proofErr w:type="gramStart"/>
      <w:r>
        <w:t>At present, institutions include the amount of securities borrowed in the total amount of all other off-balance sheet liabilities reported in item 9 of Schedule RC-L if the amount of securities borrowed is more than 10 percent of total bank equity capital and disclose the amount of securities borrowed if that amount is more than 25 percent of total bank equity capital.</w:t>
      </w:r>
      <w:proofErr w:type="gramEnd"/>
      <w:r>
        <w:t xml:space="preserve">  In addition, the proposed changes to Schedule RC-L </w:t>
      </w:r>
      <w:r w:rsidR="00E27F60">
        <w:t>will</w:t>
      </w:r>
      <w:r>
        <w:t xml:space="preserve"> place the line item for securities borrowed in a new item 6.b immediately after the line item for securities lent, which </w:t>
      </w:r>
      <w:proofErr w:type="gramStart"/>
      <w:r w:rsidR="00E27F60">
        <w:t>will</w:t>
      </w:r>
      <w:r>
        <w:t xml:space="preserve"> be renumbered</w:t>
      </w:r>
      <w:proofErr w:type="gramEnd"/>
      <w:r>
        <w:t xml:space="preserve"> from item 6 to item 6.a. </w:t>
      </w:r>
    </w:p>
    <w:p w:rsidR="002A25A0" w:rsidRPr="00131A2A" w:rsidRDefault="002A25A0" w:rsidP="002A25A0">
      <w:pPr>
        <w:ind w:firstLine="720"/>
      </w:pPr>
    </w:p>
    <w:p w:rsidR="002A25A0" w:rsidRDefault="002A25A0" w:rsidP="002A25A0">
      <w:pPr>
        <w:autoSpaceDE w:val="0"/>
        <w:autoSpaceDN w:val="0"/>
        <w:adjustRightInd w:val="0"/>
        <w:ind w:firstLine="720"/>
      </w:pPr>
      <w:r>
        <w:t xml:space="preserve">One commenter noted that the current instructions for item 9 state to “report all securities borrowed against collateral (other than cash)” for such purposes as serving “as a pledge against deposit liabilities or delivery against short sales,” whereas the current instructions for item 6 state </w:t>
      </w:r>
      <w:r>
        <w:lastRenderedPageBreak/>
        <w:t>to report all securities owned that are “lent against collateral or on an uncollateralized basis.”  The commenter characterizes current item 9 as inclusive of only certain types of securities borrowings such as those collateralized by “other than cash” and those “for purposes as a pledge against deposit liabilities or short sales,” whereas current item 6 covers all types of securities lending regardless of the type of collateral.  The commenter asks for clarification of the scope of these two items.</w:t>
      </w:r>
      <w:r w:rsidR="00D94A05">
        <w:t xml:space="preserve">  The agencies will clarify the scope in the updated instructions.</w:t>
      </w:r>
    </w:p>
    <w:p w:rsidR="00A85FAA" w:rsidRDefault="00A85FAA" w:rsidP="00AE34E0"/>
    <w:p w:rsidR="00CA6AE6" w:rsidRPr="0057093A" w:rsidRDefault="00CA6AE6" w:rsidP="00AE34E0">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CA6AE6" w:rsidRPr="0057093A" w:rsidRDefault="00CA6AE6" w:rsidP="00AE34E0">
      <w:pPr>
        <w:tabs>
          <w:tab w:val="left" w:pos="432"/>
          <w:tab w:val="left" w:pos="1296"/>
          <w:tab w:val="left" w:pos="1728"/>
          <w:tab w:val="left" w:pos="4176"/>
        </w:tabs>
        <w:ind w:left="1290"/>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t>
      </w:r>
      <w:proofErr w:type="gramStart"/>
      <w:r w:rsidRPr="0057093A">
        <w:rPr>
          <w:color w:val="000000"/>
          <w:szCs w:val="20"/>
        </w:rPr>
        <w:t>will be given</w:t>
      </w:r>
      <w:proofErr w:type="gramEnd"/>
      <w:r w:rsidRPr="0057093A">
        <w:rPr>
          <w:color w:val="000000"/>
          <w:szCs w:val="20"/>
        </w:rPr>
        <w:t xml:space="preserve">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 xml:space="preserve">the Call Report </w:t>
      </w:r>
      <w:proofErr w:type="gramStart"/>
      <w:r w:rsidR="00BC2CD0">
        <w:t>is</w:t>
      </w:r>
      <w:r w:rsidR="00BC2CD0" w:rsidRPr="00A33182">
        <w:t xml:space="preserve"> not given</w:t>
      </w:r>
      <w:proofErr w:type="gramEnd"/>
      <w:r w:rsidR="00BC2CD0" w:rsidRPr="00A33182">
        <w:t xml:space="preserve"> confidential treatment</w:t>
      </w:r>
      <w:r w:rsidR="00BC2CD0" w:rsidRPr="00A33182">
        <w:rPr>
          <w:snapToGrid w:val="0"/>
        </w:rPr>
        <w:t>.</w:t>
      </w:r>
    </w:p>
    <w:p w:rsidR="004324DE" w:rsidRDefault="004324DE" w:rsidP="00AE34E0">
      <w:pPr>
        <w:rPr>
          <w:snapToGrid w:val="0"/>
        </w:rPr>
      </w:pP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w:t>
      </w:r>
      <w:proofErr w:type="gramStart"/>
      <w:r w:rsidRPr="0057093A">
        <w:rPr>
          <w:color w:val="000000"/>
          <w:szCs w:val="20"/>
        </w:rPr>
        <w:t>is requested</w:t>
      </w:r>
      <w:proofErr w:type="gramEnd"/>
      <w:r w:rsidRPr="0057093A">
        <w:rPr>
          <w:color w:val="000000"/>
          <w:szCs w:val="20"/>
        </w:rPr>
        <w:t xml:space="preserve">.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 xml:space="preserve">Estimated Number of Respondents:  1,675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r>
      <w:proofErr w:type="gramStart"/>
      <w:r w:rsidRPr="006A71AF">
        <w:rPr>
          <w:snapToGrid w:val="0"/>
        </w:rPr>
        <w:t>associations</w:t>
      </w:r>
      <w:proofErr w:type="gramEnd"/>
      <w:r w:rsidRPr="006A71AF">
        <w:rPr>
          <w:snapToGrid w:val="0"/>
        </w:rPr>
        <w:t xml:space="preserve">.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proofErr w:type="gramStart"/>
      <w:r w:rsidRPr="006A71AF">
        <w:rPr>
          <w:snapToGrid w:val="0"/>
        </w:rPr>
        <w:t>Estimated Time per Response:  59.64 burden hours per quarter to file.</w:t>
      </w:r>
      <w:proofErr w:type="gramEnd"/>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proofErr w:type="gramStart"/>
      <w:r w:rsidRPr="006A71AF">
        <w:rPr>
          <w:snapToGrid w:val="0"/>
        </w:rPr>
        <w:t>Estimated Total Annual Burden:  399,</w:t>
      </w:r>
      <w:r>
        <w:rPr>
          <w:snapToGrid w:val="0"/>
        </w:rPr>
        <w:t>588</w:t>
      </w:r>
      <w:r w:rsidRPr="000C4F3A">
        <w:rPr>
          <w:snapToGrid w:val="0"/>
        </w:rPr>
        <w:t xml:space="preserve"> burden hours to file.</w:t>
      </w:r>
      <w:proofErr w:type="gramEnd"/>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6A71AF">
        <w:rPr>
          <w:snapToGrid w:val="0"/>
        </w:rPr>
        <w:t>399,588</w:t>
      </w:r>
      <w:r w:rsidR="00317260" w:rsidRPr="00317260">
        <w:rPr>
          <w:snapToGrid w:val="0"/>
        </w:rPr>
        <w:t xml:space="preserve"> </w:t>
      </w:r>
      <w:r w:rsidRPr="000A1AC8">
        <w:rPr>
          <w:color w:val="000000"/>
        </w:rPr>
        <w:t xml:space="preserve">=   </w:t>
      </w:r>
      <w:r w:rsidR="003C0E89">
        <w:rPr>
          <w:color w:val="000000"/>
        </w:rPr>
        <w:t xml:space="preserve">  </w:t>
      </w:r>
      <w:proofErr w:type="gramStart"/>
      <w:r w:rsidR="006A71AF">
        <w:rPr>
          <w:color w:val="000000"/>
        </w:rPr>
        <w:t>79,917.60</w:t>
      </w:r>
      <w:r>
        <w:rPr>
          <w:color w:val="000000"/>
        </w:rPr>
        <w:t xml:space="preserve"> </w:t>
      </w:r>
      <w:r w:rsidR="006A71AF">
        <w:rPr>
          <w:color w:val="000000"/>
        </w:rPr>
        <w:t xml:space="preserve"> </w:t>
      </w:r>
      <w:r>
        <w:rPr>
          <w:color w:val="000000"/>
        </w:rPr>
        <w:t>@</w:t>
      </w:r>
      <w:proofErr w:type="gramEnd"/>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1,598,3</w:t>
      </w:r>
      <w:r w:rsidR="003C0E89">
        <w:rPr>
          <w:color w:val="000000"/>
        </w:rPr>
        <w:t>52</w:t>
      </w:r>
      <w:r w:rsidR="00B57916">
        <w:rPr>
          <w:color w:val="000000"/>
        </w:rPr>
        <w:t>.00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6A71AF">
        <w:rPr>
          <w:snapToGrid w:val="0"/>
        </w:rPr>
        <w:t>399,588</w:t>
      </w:r>
      <w:r w:rsidR="00317260" w:rsidRPr="00317260">
        <w:rPr>
          <w:snapToGrid w:val="0"/>
        </w:rPr>
        <w:t xml:space="preserve"> </w:t>
      </w:r>
      <w:r w:rsidRPr="000A1AC8">
        <w:rPr>
          <w:color w:val="000000"/>
        </w:rPr>
        <w:t xml:space="preserve">= </w:t>
      </w:r>
      <w:r>
        <w:rPr>
          <w:color w:val="000000"/>
        </w:rPr>
        <w:t xml:space="preserve">  </w:t>
      </w:r>
      <w:proofErr w:type="gramStart"/>
      <w:r w:rsidR="006A71AF">
        <w:rPr>
          <w:color w:val="000000"/>
        </w:rPr>
        <w:t>259,732.20</w:t>
      </w:r>
      <w:r w:rsidRPr="000A1AC8">
        <w:rPr>
          <w:color w:val="000000"/>
        </w:rPr>
        <w:t xml:space="preserve"> </w:t>
      </w:r>
      <w:r w:rsidR="006A71AF">
        <w:rPr>
          <w:color w:val="000000"/>
        </w:rPr>
        <w:t xml:space="preserve"> </w:t>
      </w:r>
      <w:r w:rsidRPr="000A1AC8">
        <w:rPr>
          <w:color w:val="000000"/>
        </w:rPr>
        <w:t>@</w:t>
      </w:r>
      <w:proofErr w:type="gramEnd"/>
      <w:r w:rsidRPr="000A1AC8">
        <w:rPr>
          <w:color w:val="000000"/>
        </w:rPr>
        <w:t xml:space="preserve">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10,</w:t>
      </w:r>
      <w:bookmarkEnd w:id="2"/>
      <w:r w:rsidR="006A71AF">
        <w:rPr>
          <w:color w:val="000000"/>
        </w:rPr>
        <w:t>389,288.00</w:t>
      </w:r>
    </w:p>
    <w:p w:rsidR="00CA6AE6" w:rsidRPr="000A1AC8" w:rsidRDefault="00CA6AE6" w:rsidP="00AE34E0">
      <w:pPr>
        <w:ind w:right="-480"/>
        <w:rPr>
          <w:color w:val="000000"/>
        </w:rPr>
      </w:pPr>
      <w:r w:rsidRPr="000A1AC8">
        <w:rPr>
          <w:color w:val="000000"/>
        </w:rPr>
        <w:t xml:space="preserve">Senior </w:t>
      </w:r>
      <w:proofErr w:type="spellStart"/>
      <w:r w:rsidRPr="000A1AC8">
        <w:rPr>
          <w:color w:val="000000"/>
        </w:rPr>
        <w:t>mgmt</w:t>
      </w:r>
      <w:proofErr w:type="spellEnd"/>
      <w:r w:rsidRPr="000A1AC8">
        <w:rPr>
          <w:color w:val="000000"/>
        </w:rPr>
        <w: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6A71AF">
        <w:rPr>
          <w:snapToGrid w:val="0"/>
        </w:rPr>
        <w:t xml:space="preserve">399,588 </w:t>
      </w:r>
      <w:r>
        <w:rPr>
          <w:color w:val="000000"/>
        </w:rPr>
        <w:t xml:space="preserve">=  </w:t>
      </w:r>
      <w:r w:rsidR="003C0E89">
        <w:rPr>
          <w:color w:val="000000"/>
        </w:rPr>
        <w:t xml:space="preserve">   </w:t>
      </w:r>
      <w:r>
        <w:rPr>
          <w:color w:val="000000"/>
        </w:rPr>
        <w:t xml:space="preserve"> </w:t>
      </w:r>
      <w:r w:rsidR="006A71AF">
        <w:rPr>
          <w:color w:val="000000"/>
        </w:rPr>
        <w:t>55,942.32</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4,475,385.60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6A71AF">
        <w:rPr>
          <w:snapToGrid w:val="0"/>
        </w:rPr>
        <w:t>399,588</w:t>
      </w:r>
      <w:r w:rsidR="00317260" w:rsidRPr="00317260">
        <w:rPr>
          <w:snapToGrid w:val="0"/>
        </w:rPr>
        <w:t xml:space="preserve"> </w:t>
      </w:r>
      <w:r w:rsidRPr="000A1AC8">
        <w:rPr>
          <w:color w:val="000000"/>
        </w:rPr>
        <w:t xml:space="preserve">=     </w:t>
      </w:r>
      <w:r w:rsidR="006A71AF">
        <w:rPr>
          <w:color w:val="000000"/>
        </w:rPr>
        <w:t xml:space="preserve">  </w:t>
      </w:r>
      <w:proofErr w:type="gramStart"/>
      <w:r w:rsidR="006A71AF">
        <w:rPr>
          <w:color w:val="000000"/>
        </w:rPr>
        <w:t>3,995.88</w:t>
      </w:r>
      <w:r w:rsidRPr="000A1AC8">
        <w:rPr>
          <w:color w:val="000000"/>
        </w:rPr>
        <w:t xml:space="preserve"> </w:t>
      </w:r>
      <w:r w:rsidR="006A71AF">
        <w:rPr>
          <w:color w:val="000000"/>
        </w:rPr>
        <w:t xml:space="preserve"> </w:t>
      </w:r>
      <w:r w:rsidRPr="000A1AC8">
        <w:rPr>
          <w:color w:val="000000"/>
        </w:rPr>
        <w:t>@</w:t>
      </w:r>
      <w:proofErr w:type="gramEnd"/>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3C0E89">
        <w:rPr>
          <w:color w:val="000000"/>
          <w:u w:val="single"/>
        </w:rPr>
        <w:t xml:space="preserve">  </w:t>
      </w:r>
      <w:r w:rsidR="0013638D">
        <w:rPr>
          <w:color w:val="000000"/>
          <w:u w:val="single"/>
        </w:rPr>
        <w:t xml:space="preserve"> </w:t>
      </w:r>
      <w:bookmarkEnd w:id="8"/>
      <w:r w:rsidR="006A71AF">
        <w:rPr>
          <w:color w:val="000000"/>
          <w:u w:val="single"/>
        </w:rPr>
        <w:t>399,588.00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16,862,613.60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proofErr w:type="gramStart"/>
      <w:r>
        <w:t>Not applicable.</w:t>
      </w:r>
      <w:proofErr w:type="gramEnd"/>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proofErr w:type="gramStart"/>
      <w:r w:rsidR="00A759DF">
        <w:rPr>
          <w:color w:val="000000"/>
          <w:szCs w:val="20"/>
        </w:rPr>
        <w:t>Not applicable.</w:t>
      </w:r>
      <w:proofErr w:type="gramEnd"/>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0D3228">
        <w:t xml:space="preserve">412,213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0D3228">
        <w:t xml:space="preserve">399,588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- 12,625</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561D75" w:rsidP="00AE34E0">
      <w:pPr>
        <w:tabs>
          <w:tab w:val="left" w:pos="0"/>
          <w:tab w:val="left" w:pos="1296"/>
          <w:tab w:val="left" w:pos="1728"/>
          <w:tab w:val="left" w:pos="4176"/>
        </w:tabs>
        <w:rPr>
          <w:color w:val="000000"/>
          <w:szCs w:val="20"/>
        </w:rPr>
      </w:pPr>
      <w:r>
        <w:rPr>
          <w:color w:val="000000"/>
          <w:szCs w:val="20"/>
        </w:rPr>
        <w:t xml:space="preserve">The revisions to the schedule resulted in a </w:t>
      </w:r>
      <w:r w:rsidR="003E280D">
        <w:rPr>
          <w:color w:val="000000"/>
          <w:szCs w:val="20"/>
        </w:rPr>
        <w:t xml:space="preserve">slight </w:t>
      </w:r>
      <w:r>
        <w:rPr>
          <w:color w:val="000000"/>
          <w:szCs w:val="20"/>
        </w:rPr>
        <w:t>decrease in burden.</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proofErr w:type="gramStart"/>
      <w:r w:rsidR="002276C4">
        <w:rPr>
          <w:color w:val="000000"/>
          <w:szCs w:val="20"/>
        </w:rPr>
        <w:t>Not applicable.</w:t>
      </w:r>
      <w:proofErr w:type="gramEnd"/>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proofErr w:type="gramStart"/>
      <w:r w:rsidRPr="0057093A">
        <w:rPr>
          <w:szCs w:val="20"/>
        </w:rPr>
        <w:t>Not applicable.</w:t>
      </w:r>
      <w:proofErr w:type="gramEnd"/>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DF" w:rsidRDefault="00C66BDF">
      <w:r>
        <w:separator/>
      </w:r>
    </w:p>
  </w:endnote>
  <w:endnote w:type="continuationSeparator" w:id="0">
    <w:p w:rsidR="00C66BDF" w:rsidRDefault="00C6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C370C3">
      <w:rPr>
        <w:rStyle w:val="PageNumber"/>
        <w:rFonts w:ascii="Times New Roman" w:hAnsi="Times New Roman"/>
        <w:noProof/>
      </w:rPr>
      <w:t>7</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DF" w:rsidRDefault="00C66BDF">
      <w:r>
        <w:separator/>
      </w:r>
    </w:p>
  </w:footnote>
  <w:footnote w:type="continuationSeparator" w:id="0">
    <w:p w:rsidR="00C66BDF" w:rsidRDefault="00C66BDF">
      <w:r>
        <w:continuationSeparator/>
      </w:r>
    </w:p>
  </w:footnote>
  <w:footnote w:id="1">
    <w:p w:rsidR="000A457D" w:rsidRDefault="000A457D" w:rsidP="000A457D">
      <w:pPr>
        <w:pStyle w:val="FootnoteText"/>
      </w:pPr>
      <w:r>
        <w:rPr>
          <w:rStyle w:val="FootnoteReference"/>
        </w:rPr>
        <w:footnoteRef/>
      </w:r>
      <w:r>
        <w:t xml:space="preserve"> </w:t>
      </w:r>
      <w:proofErr w:type="gramStart"/>
      <w:r w:rsidRPr="003F35F4">
        <w:t>78</w:t>
      </w:r>
      <w:proofErr w:type="gramEnd"/>
      <w:r w:rsidRPr="003F35F4">
        <w:t xml:space="preserve"> FR 62018</w:t>
      </w:r>
      <w:r>
        <w:t xml:space="preserve"> (Oct. 11, 2013) (OCC and Board) and </w:t>
      </w:r>
      <w:r w:rsidRPr="003F35F4">
        <w:t>78 FR 55340</w:t>
      </w:r>
      <w:r>
        <w:t xml:space="preserve"> (Sept. 10, 2013) (FDIC).</w:t>
      </w:r>
    </w:p>
  </w:footnote>
  <w:footnote w:id="2">
    <w:p w:rsidR="002A25A0" w:rsidRDefault="002A25A0" w:rsidP="002A25A0">
      <w:pPr>
        <w:pStyle w:val="FootnoteText"/>
      </w:pPr>
      <w:r>
        <w:rPr>
          <w:rStyle w:val="FootnoteReference"/>
        </w:rPr>
        <w:footnoteRef/>
      </w:r>
      <w:r>
        <w:t xml:space="preserve"> See 79</w:t>
      </w:r>
      <w:r w:rsidRPr="00910B34">
        <w:t xml:space="preserve"> FR </w:t>
      </w:r>
      <w:r>
        <w:t>35634</w:t>
      </w:r>
      <w:r w:rsidRPr="00910B3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1123DE"/>
    <w:rsid w:val="001212C3"/>
    <w:rsid w:val="00122748"/>
    <w:rsid w:val="001253C6"/>
    <w:rsid w:val="00132276"/>
    <w:rsid w:val="00134EF6"/>
    <w:rsid w:val="0013638D"/>
    <w:rsid w:val="001454CF"/>
    <w:rsid w:val="001501BE"/>
    <w:rsid w:val="00156CDE"/>
    <w:rsid w:val="001653AA"/>
    <w:rsid w:val="00166EE7"/>
    <w:rsid w:val="001671BC"/>
    <w:rsid w:val="00172AC4"/>
    <w:rsid w:val="00180FD6"/>
    <w:rsid w:val="00195BF7"/>
    <w:rsid w:val="001A1F72"/>
    <w:rsid w:val="001A22FF"/>
    <w:rsid w:val="001A28F7"/>
    <w:rsid w:val="001A2F44"/>
    <w:rsid w:val="001A4D5C"/>
    <w:rsid w:val="001B0EF5"/>
    <w:rsid w:val="001B462D"/>
    <w:rsid w:val="001C15A4"/>
    <w:rsid w:val="001E01CC"/>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4F92"/>
    <w:rsid w:val="002D5409"/>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55FF"/>
    <w:rsid w:val="00405787"/>
    <w:rsid w:val="0040759C"/>
    <w:rsid w:val="0043127D"/>
    <w:rsid w:val="004324DE"/>
    <w:rsid w:val="00434DA1"/>
    <w:rsid w:val="00443BF9"/>
    <w:rsid w:val="00456357"/>
    <w:rsid w:val="00481352"/>
    <w:rsid w:val="00487CD9"/>
    <w:rsid w:val="00493EDC"/>
    <w:rsid w:val="0049470D"/>
    <w:rsid w:val="004A5DE7"/>
    <w:rsid w:val="004D05FB"/>
    <w:rsid w:val="004D305D"/>
    <w:rsid w:val="004D3B50"/>
    <w:rsid w:val="004F1A3A"/>
    <w:rsid w:val="004F2D31"/>
    <w:rsid w:val="004F7520"/>
    <w:rsid w:val="00512733"/>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6FB0"/>
    <w:rsid w:val="005D31A9"/>
    <w:rsid w:val="005D738A"/>
    <w:rsid w:val="005E1469"/>
    <w:rsid w:val="005E7804"/>
    <w:rsid w:val="005F179D"/>
    <w:rsid w:val="005F2F23"/>
    <w:rsid w:val="005F40AF"/>
    <w:rsid w:val="00610CCD"/>
    <w:rsid w:val="00620482"/>
    <w:rsid w:val="006238B0"/>
    <w:rsid w:val="00633AAE"/>
    <w:rsid w:val="00657DEF"/>
    <w:rsid w:val="00676FA2"/>
    <w:rsid w:val="00686506"/>
    <w:rsid w:val="00690152"/>
    <w:rsid w:val="00692323"/>
    <w:rsid w:val="00695524"/>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30D2"/>
    <w:rsid w:val="00736599"/>
    <w:rsid w:val="007445F3"/>
    <w:rsid w:val="00761714"/>
    <w:rsid w:val="00764530"/>
    <w:rsid w:val="00770607"/>
    <w:rsid w:val="00770C43"/>
    <w:rsid w:val="00784C0B"/>
    <w:rsid w:val="007A4723"/>
    <w:rsid w:val="007A4D6B"/>
    <w:rsid w:val="007A7EBE"/>
    <w:rsid w:val="007C28BF"/>
    <w:rsid w:val="007D5609"/>
    <w:rsid w:val="007F0FF0"/>
    <w:rsid w:val="007F5145"/>
    <w:rsid w:val="008026FF"/>
    <w:rsid w:val="00810932"/>
    <w:rsid w:val="00815C5A"/>
    <w:rsid w:val="00817CD2"/>
    <w:rsid w:val="0082076B"/>
    <w:rsid w:val="008214CF"/>
    <w:rsid w:val="00824F9F"/>
    <w:rsid w:val="008508DF"/>
    <w:rsid w:val="00851688"/>
    <w:rsid w:val="00853596"/>
    <w:rsid w:val="00855652"/>
    <w:rsid w:val="00863A73"/>
    <w:rsid w:val="00864D19"/>
    <w:rsid w:val="00864EC9"/>
    <w:rsid w:val="0086663A"/>
    <w:rsid w:val="00872559"/>
    <w:rsid w:val="00883889"/>
    <w:rsid w:val="008861AE"/>
    <w:rsid w:val="008A5FFD"/>
    <w:rsid w:val="008D4A04"/>
    <w:rsid w:val="00905279"/>
    <w:rsid w:val="009131CF"/>
    <w:rsid w:val="00925DD0"/>
    <w:rsid w:val="00947F65"/>
    <w:rsid w:val="00972A49"/>
    <w:rsid w:val="0097330C"/>
    <w:rsid w:val="00986ACB"/>
    <w:rsid w:val="00986BCD"/>
    <w:rsid w:val="009872D2"/>
    <w:rsid w:val="009910AF"/>
    <w:rsid w:val="009A54A9"/>
    <w:rsid w:val="009B4C7A"/>
    <w:rsid w:val="009D1FD1"/>
    <w:rsid w:val="009E5070"/>
    <w:rsid w:val="009E7C53"/>
    <w:rsid w:val="009E7F93"/>
    <w:rsid w:val="009F5A69"/>
    <w:rsid w:val="00A03240"/>
    <w:rsid w:val="00A06F30"/>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3728"/>
    <w:rsid w:val="00B34BE2"/>
    <w:rsid w:val="00B35440"/>
    <w:rsid w:val="00B403CA"/>
    <w:rsid w:val="00B537FB"/>
    <w:rsid w:val="00B538A4"/>
    <w:rsid w:val="00B57916"/>
    <w:rsid w:val="00B754A0"/>
    <w:rsid w:val="00B778E2"/>
    <w:rsid w:val="00B83621"/>
    <w:rsid w:val="00BA13FC"/>
    <w:rsid w:val="00BA7588"/>
    <w:rsid w:val="00BB1499"/>
    <w:rsid w:val="00BB39A4"/>
    <w:rsid w:val="00BC2CD0"/>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31CD"/>
    <w:rsid w:val="00E43304"/>
    <w:rsid w:val="00E506E9"/>
    <w:rsid w:val="00E51177"/>
    <w:rsid w:val="00E56573"/>
    <w:rsid w:val="00E6276E"/>
    <w:rsid w:val="00E721CE"/>
    <w:rsid w:val="00E73E62"/>
    <w:rsid w:val="00E87164"/>
    <w:rsid w:val="00EA1137"/>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80618"/>
    <w:rsid w:val="00F90FD4"/>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rsid w:val="00487CD9"/>
    <w:rPr>
      <w:sz w:val="20"/>
      <w:szCs w:val="20"/>
    </w:rPr>
  </w:style>
  <w:style w:type="character" w:customStyle="1" w:styleId="CommentTextChar">
    <w:name w:val="Comment Text Char"/>
    <w:basedOn w:val="DefaultParagraphFont"/>
    <w:link w:val="CommentText"/>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rsid w:val="00487CD9"/>
    <w:rPr>
      <w:sz w:val="20"/>
      <w:szCs w:val="20"/>
    </w:rPr>
  </w:style>
  <w:style w:type="character" w:customStyle="1" w:styleId="CommentTextChar">
    <w:name w:val="Comment Text Char"/>
    <w:basedOn w:val="DefaultParagraphFont"/>
    <w:link w:val="CommentText"/>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26D1-CB8E-4D56-A78D-7A983F47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2540</Words>
  <Characters>14993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mary.gottlieb</cp:lastModifiedBy>
  <cp:revision>5</cp:revision>
  <cp:lastPrinted>2012-02-09T14:25:00Z</cp:lastPrinted>
  <dcterms:created xsi:type="dcterms:W3CDTF">2014-12-10T16:46:00Z</dcterms:created>
  <dcterms:modified xsi:type="dcterms:W3CDTF">2014-12-10T16:48:00Z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