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EC74F" w14:textId="77777777" w:rsidR="00985651" w:rsidRPr="003E22D8" w:rsidRDefault="00985651" w:rsidP="001D6D10">
      <w:pPr>
        <w:tabs>
          <w:tab w:val="left" w:pos="4680"/>
        </w:tabs>
        <w:rPr>
          <w:b/>
          <w:bCs/>
        </w:rPr>
      </w:pPr>
    </w:p>
    <w:p w14:paraId="6FF10919" w14:textId="77777777" w:rsidR="00985651" w:rsidRPr="003E22D8" w:rsidRDefault="00985651" w:rsidP="001D6D10">
      <w:pPr>
        <w:rPr>
          <w:rFonts w:ascii="Arial" w:hAnsi="Arial" w:cs="Arial"/>
          <w:b/>
          <w:bCs/>
          <w:sz w:val="32"/>
        </w:rPr>
      </w:pPr>
    </w:p>
    <w:p w14:paraId="0CF6F766" w14:textId="77777777" w:rsidR="00985651" w:rsidRPr="003E22D8" w:rsidRDefault="00985651" w:rsidP="001D6D10">
      <w:pPr>
        <w:rPr>
          <w:rFonts w:ascii="Arial" w:hAnsi="Arial" w:cs="Arial"/>
          <w:b/>
          <w:bCs/>
          <w:sz w:val="32"/>
        </w:rPr>
      </w:pPr>
    </w:p>
    <w:p w14:paraId="797DCC82" w14:textId="77777777" w:rsidR="00985651" w:rsidRPr="003E22D8" w:rsidRDefault="00985651" w:rsidP="001D6D10">
      <w:pPr>
        <w:rPr>
          <w:rFonts w:ascii="Arial" w:hAnsi="Arial" w:cs="Arial"/>
          <w:b/>
          <w:bCs/>
          <w:sz w:val="32"/>
        </w:rPr>
      </w:pPr>
    </w:p>
    <w:p w14:paraId="6A1B89DD" w14:textId="77777777" w:rsidR="00985651" w:rsidRPr="003E22D8" w:rsidRDefault="00985651" w:rsidP="001D6D10">
      <w:pPr>
        <w:tabs>
          <w:tab w:val="center" w:pos="4680"/>
        </w:tabs>
        <w:rPr>
          <w:rFonts w:ascii="Arial" w:hAnsi="Arial" w:cs="Arial"/>
          <w:b/>
          <w:bCs/>
          <w:sz w:val="32"/>
        </w:rPr>
      </w:pPr>
    </w:p>
    <w:p w14:paraId="3D84E031" w14:textId="77777777" w:rsidR="00985651" w:rsidRPr="003E22D8" w:rsidRDefault="00985651" w:rsidP="001D6D10">
      <w:pPr>
        <w:rPr>
          <w:rFonts w:ascii="Arial" w:hAnsi="Arial" w:cs="Arial"/>
          <w:b/>
          <w:bCs/>
          <w:sz w:val="32"/>
        </w:rPr>
      </w:pPr>
    </w:p>
    <w:p w14:paraId="2D9989C6" w14:textId="77777777" w:rsidR="00985651" w:rsidRPr="003E22D8" w:rsidRDefault="00985651" w:rsidP="001D6D10">
      <w:pPr>
        <w:rPr>
          <w:rFonts w:ascii="Arial" w:hAnsi="Arial" w:cs="Arial"/>
          <w:b/>
          <w:bCs/>
          <w:sz w:val="32"/>
        </w:rPr>
      </w:pPr>
    </w:p>
    <w:p w14:paraId="76473FD4" w14:textId="77777777" w:rsidR="00985651" w:rsidRPr="003E22D8" w:rsidRDefault="00985651" w:rsidP="001D6D10">
      <w:pPr>
        <w:rPr>
          <w:rFonts w:ascii="Arial" w:hAnsi="Arial" w:cs="Arial"/>
          <w:b/>
          <w:bCs/>
          <w:sz w:val="32"/>
        </w:rPr>
      </w:pPr>
    </w:p>
    <w:p w14:paraId="26688C1F" w14:textId="77777777" w:rsidR="00985651" w:rsidRPr="00E828BE" w:rsidRDefault="00985651" w:rsidP="001D6D10">
      <w:pPr>
        <w:rPr>
          <w:rFonts w:ascii="Arial" w:hAnsi="Arial" w:cs="Arial"/>
          <w:b/>
          <w:bCs/>
          <w:sz w:val="32"/>
        </w:rPr>
      </w:pPr>
    </w:p>
    <w:p w14:paraId="13D44E84" w14:textId="77777777" w:rsidR="00985651" w:rsidRPr="00E828BE" w:rsidRDefault="00985651" w:rsidP="001D6D10">
      <w:pPr>
        <w:jc w:val="center"/>
        <w:rPr>
          <w:rFonts w:ascii="Arial" w:hAnsi="Arial" w:cs="Arial"/>
          <w:b/>
          <w:bCs/>
          <w:sz w:val="32"/>
        </w:rPr>
      </w:pPr>
      <w:r w:rsidRPr="00E828BE">
        <w:rPr>
          <w:rFonts w:ascii="Arial" w:hAnsi="Arial" w:cs="Arial"/>
          <w:b/>
          <w:bCs/>
          <w:sz w:val="32"/>
        </w:rPr>
        <w:t>Information Collection Request for</w:t>
      </w:r>
    </w:p>
    <w:p w14:paraId="52D4DBD8" w14:textId="77777777" w:rsidR="00985651" w:rsidRPr="00E828BE" w:rsidRDefault="00985651" w:rsidP="001D6D10">
      <w:pPr>
        <w:jc w:val="center"/>
        <w:rPr>
          <w:rFonts w:ascii="Arial" w:hAnsi="Arial" w:cs="Arial"/>
          <w:b/>
          <w:bCs/>
          <w:sz w:val="32"/>
        </w:rPr>
      </w:pPr>
      <w:r w:rsidRPr="00E828BE">
        <w:rPr>
          <w:rFonts w:ascii="Arial" w:hAnsi="Arial" w:cs="Arial"/>
          <w:b/>
          <w:bCs/>
          <w:sz w:val="32"/>
        </w:rPr>
        <w:t xml:space="preserve">National Pollutant Discharge Elimination </w:t>
      </w:r>
    </w:p>
    <w:p w14:paraId="4B02C8A8" w14:textId="77777777" w:rsidR="00985651" w:rsidRPr="00E828BE" w:rsidRDefault="00985651" w:rsidP="001D6D10">
      <w:pPr>
        <w:jc w:val="center"/>
        <w:rPr>
          <w:rFonts w:ascii="Arial" w:hAnsi="Arial" w:cs="Arial"/>
          <w:b/>
          <w:bCs/>
          <w:sz w:val="32"/>
        </w:rPr>
      </w:pPr>
      <w:r w:rsidRPr="00E828BE">
        <w:rPr>
          <w:rFonts w:ascii="Arial" w:hAnsi="Arial" w:cs="Arial"/>
          <w:b/>
          <w:bCs/>
          <w:sz w:val="32"/>
        </w:rPr>
        <w:t>System (NPDES) Permits for Point Source Discharges from the Application of Pesticides to Waters of the United States</w:t>
      </w:r>
    </w:p>
    <w:p w14:paraId="44D8B10B" w14:textId="77777777" w:rsidR="00985651" w:rsidRPr="00E828BE" w:rsidRDefault="00985651" w:rsidP="001D6D10">
      <w:pPr>
        <w:jc w:val="center"/>
        <w:rPr>
          <w:rFonts w:ascii="Arial" w:hAnsi="Arial" w:cs="Arial"/>
          <w:b/>
          <w:bCs/>
          <w:sz w:val="32"/>
        </w:rPr>
      </w:pPr>
    </w:p>
    <w:p w14:paraId="480CCEEF" w14:textId="77777777" w:rsidR="00985651" w:rsidRPr="00E828BE" w:rsidRDefault="00985651" w:rsidP="001D6D10">
      <w:pPr>
        <w:jc w:val="center"/>
        <w:rPr>
          <w:rFonts w:ascii="Arial" w:hAnsi="Arial" w:cs="Arial"/>
          <w:b/>
          <w:bCs/>
          <w:sz w:val="32"/>
          <w:lang w:val="es-ES"/>
        </w:rPr>
      </w:pPr>
      <w:r w:rsidRPr="00E828BE">
        <w:rPr>
          <w:rFonts w:ascii="Arial" w:hAnsi="Arial" w:cs="Arial"/>
          <w:b/>
          <w:bCs/>
          <w:sz w:val="32"/>
          <w:lang w:val="es-ES"/>
        </w:rPr>
        <w:t>OMB Control No. 2040-</w:t>
      </w:r>
      <w:r w:rsidR="00F8385B" w:rsidRPr="00E828BE">
        <w:rPr>
          <w:rFonts w:ascii="Arial" w:hAnsi="Arial" w:cs="Arial"/>
          <w:b/>
          <w:bCs/>
          <w:sz w:val="32"/>
          <w:lang w:val="es-ES"/>
        </w:rPr>
        <w:t>0284</w:t>
      </w:r>
      <w:r w:rsidRPr="00E828BE">
        <w:rPr>
          <w:rFonts w:ascii="Arial" w:hAnsi="Arial" w:cs="Arial"/>
          <w:b/>
          <w:bCs/>
          <w:sz w:val="32"/>
          <w:lang w:val="es-ES"/>
        </w:rPr>
        <w:t>, EPA ICR No. 2397.0</w:t>
      </w:r>
      <w:r w:rsidR="00F17D63">
        <w:rPr>
          <w:rFonts w:ascii="Arial" w:hAnsi="Arial" w:cs="Arial"/>
          <w:b/>
          <w:bCs/>
          <w:sz w:val="32"/>
          <w:lang w:val="es-ES"/>
        </w:rPr>
        <w:t>2</w:t>
      </w:r>
    </w:p>
    <w:p w14:paraId="2E6B7BCB" w14:textId="77777777" w:rsidR="00985651" w:rsidRPr="00E828BE" w:rsidRDefault="00985651" w:rsidP="001D6D10">
      <w:pPr>
        <w:jc w:val="center"/>
        <w:rPr>
          <w:lang w:val="es-ES"/>
        </w:rPr>
      </w:pPr>
    </w:p>
    <w:p w14:paraId="6C78F3D5" w14:textId="77777777" w:rsidR="00985651" w:rsidRPr="00E828BE" w:rsidRDefault="00985651" w:rsidP="001D6D10">
      <w:pPr>
        <w:jc w:val="center"/>
        <w:rPr>
          <w:lang w:val="es-ES"/>
        </w:rPr>
      </w:pPr>
    </w:p>
    <w:p w14:paraId="772F3174" w14:textId="77777777" w:rsidR="00985651" w:rsidRPr="00E828BE" w:rsidRDefault="00985651" w:rsidP="001D6D10">
      <w:pPr>
        <w:jc w:val="center"/>
        <w:rPr>
          <w:lang w:val="es-ES"/>
        </w:rPr>
      </w:pPr>
    </w:p>
    <w:p w14:paraId="688931BD" w14:textId="77777777" w:rsidR="00985651" w:rsidRPr="00E828BE" w:rsidRDefault="00985651" w:rsidP="001D6D10">
      <w:pPr>
        <w:jc w:val="center"/>
        <w:rPr>
          <w:lang w:val="es-ES"/>
        </w:rPr>
      </w:pPr>
    </w:p>
    <w:p w14:paraId="72461093" w14:textId="77777777" w:rsidR="00985651" w:rsidRPr="00E828BE" w:rsidRDefault="009C3A84" w:rsidP="001D6D10">
      <w:pPr>
        <w:jc w:val="center"/>
      </w:pPr>
      <w:r>
        <w:t>November 03</w:t>
      </w:r>
      <w:r w:rsidR="001613EC" w:rsidRPr="00E828BE">
        <w:t xml:space="preserve">, </w:t>
      </w:r>
      <w:r w:rsidR="0070297E" w:rsidRPr="00E828BE">
        <w:t>201</w:t>
      </w:r>
      <w:r w:rsidR="00F8385B" w:rsidRPr="00E828BE">
        <w:t>4</w:t>
      </w:r>
    </w:p>
    <w:p w14:paraId="04F6CD58" w14:textId="77777777" w:rsidR="003433D5" w:rsidRPr="00E828BE" w:rsidRDefault="003433D5" w:rsidP="00F55FA3">
      <w:pPr>
        <w:jc w:val="center"/>
      </w:pPr>
    </w:p>
    <w:p w14:paraId="0B3058DA" w14:textId="77777777" w:rsidR="00985651" w:rsidRPr="00E828BE" w:rsidRDefault="00985651" w:rsidP="001D6D10">
      <w:pPr>
        <w:jc w:val="center"/>
      </w:pPr>
    </w:p>
    <w:p w14:paraId="58CD594B" w14:textId="77777777" w:rsidR="00985651" w:rsidRPr="00E828BE" w:rsidRDefault="00985651" w:rsidP="001D6D10">
      <w:pPr>
        <w:jc w:val="center"/>
      </w:pPr>
    </w:p>
    <w:p w14:paraId="58E771A1" w14:textId="77777777" w:rsidR="00985651" w:rsidRPr="00E828BE" w:rsidRDefault="00985651" w:rsidP="001D6D10">
      <w:pPr>
        <w:jc w:val="center"/>
      </w:pPr>
    </w:p>
    <w:p w14:paraId="41FF1018" w14:textId="77777777" w:rsidR="00985651" w:rsidRPr="00E828BE" w:rsidRDefault="00985651" w:rsidP="001D6D10">
      <w:pPr>
        <w:jc w:val="center"/>
      </w:pPr>
    </w:p>
    <w:p w14:paraId="7119440E" w14:textId="77777777" w:rsidR="00985651" w:rsidRPr="00E828BE" w:rsidRDefault="00985651" w:rsidP="001D6D10">
      <w:pPr>
        <w:jc w:val="center"/>
      </w:pPr>
    </w:p>
    <w:p w14:paraId="7154B708" w14:textId="77777777" w:rsidR="00985651" w:rsidRPr="00E828BE" w:rsidRDefault="00985651" w:rsidP="001D6D10">
      <w:pPr>
        <w:jc w:val="center"/>
      </w:pPr>
      <w:r w:rsidRPr="00E828BE">
        <w:t>United States Environmental Protection Agency</w:t>
      </w:r>
    </w:p>
    <w:p w14:paraId="59FEA81D" w14:textId="77777777" w:rsidR="00985651" w:rsidRPr="00E828BE" w:rsidRDefault="00985651" w:rsidP="001D6D10">
      <w:pPr>
        <w:jc w:val="center"/>
      </w:pPr>
      <w:r w:rsidRPr="00E828BE">
        <w:t>Office of Wastewater Management</w:t>
      </w:r>
    </w:p>
    <w:p w14:paraId="19844444" w14:textId="77777777" w:rsidR="00985651" w:rsidRPr="00E828BE" w:rsidRDefault="00985651" w:rsidP="001D6D10">
      <w:pPr>
        <w:jc w:val="center"/>
      </w:pPr>
      <w:r w:rsidRPr="00E828BE">
        <w:t>1200 Pennsylvania Avenue, NW</w:t>
      </w:r>
    </w:p>
    <w:p w14:paraId="023BB57B" w14:textId="77777777" w:rsidR="00985651" w:rsidRPr="00E828BE" w:rsidRDefault="00985651" w:rsidP="001D6D10">
      <w:pPr>
        <w:jc w:val="center"/>
      </w:pPr>
      <w:r w:rsidRPr="00E828BE">
        <w:t>Washington, DC 20460</w:t>
      </w:r>
    </w:p>
    <w:p w14:paraId="47ADDBD1" w14:textId="77777777" w:rsidR="00985651" w:rsidRPr="00E828BE" w:rsidRDefault="00985651" w:rsidP="001D6D10"/>
    <w:p w14:paraId="73D6BA3D" w14:textId="77777777" w:rsidR="00985651" w:rsidRPr="00E828BE" w:rsidRDefault="00985651" w:rsidP="001D6D10">
      <w:pPr>
        <w:jc w:val="both"/>
      </w:pPr>
    </w:p>
    <w:p w14:paraId="0FB3BAC9" w14:textId="77777777" w:rsidR="00985651" w:rsidRPr="00E828BE" w:rsidRDefault="00985651" w:rsidP="001D6D10"/>
    <w:p w14:paraId="7D1177F9" w14:textId="77777777" w:rsidR="00985651" w:rsidRPr="00E828BE" w:rsidRDefault="00985651" w:rsidP="001D6D10">
      <w:pPr>
        <w:sectPr w:rsidR="00985651" w:rsidRPr="00E828BE">
          <w:footerReference w:type="even" r:id="rId8"/>
          <w:footerReference w:type="default" r:id="rId9"/>
          <w:pgSz w:w="12240" w:h="15840" w:code="1"/>
          <w:pgMar w:top="1440" w:right="1440" w:bottom="1440" w:left="1440" w:header="720" w:footer="720" w:gutter="0"/>
          <w:pgNumType w:chapStyle="1"/>
          <w:cols w:space="720"/>
          <w:noEndnote/>
        </w:sectPr>
      </w:pPr>
    </w:p>
    <w:p w14:paraId="22348C30" w14:textId="77777777" w:rsidR="00985651" w:rsidRPr="00E828BE" w:rsidRDefault="00985651" w:rsidP="001D6D10">
      <w:pPr>
        <w:rPr>
          <w:rFonts w:ascii="Arial" w:hAnsi="Arial" w:cs="Arial"/>
          <w:b/>
          <w:sz w:val="36"/>
        </w:rPr>
      </w:pPr>
      <w:bookmarkStart w:id="0" w:name="_Hlt196795937"/>
      <w:bookmarkEnd w:id="0"/>
      <w:r w:rsidRPr="00E828BE">
        <w:rPr>
          <w:rFonts w:ascii="Arial" w:hAnsi="Arial" w:cs="Arial"/>
          <w:b/>
          <w:sz w:val="36"/>
        </w:rPr>
        <w:lastRenderedPageBreak/>
        <w:t>Contents</w:t>
      </w:r>
    </w:p>
    <w:p w14:paraId="54F2C34F" w14:textId="77777777" w:rsidR="00985651" w:rsidRPr="00E828BE" w:rsidRDefault="00985651" w:rsidP="001D6D10"/>
    <w:p w14:paraId="003B9E8C" w14:textId="77777777" w:rsidR="00985651" w:rsidRPr="00E828BE" w:rsidRDefault="007A49C7" w:rsidP="001D6D10">
      <w:pPr>
        <w:pStyle w:val="TOC1"/>
        <w:rPr>
          <w:rFonts w:ascii="Calibri" w:hAnsi="Calibri"/>
          <w:bCs w:val="0"/>
          <w:noProof/>
          <w:sz w:val="22"/>
        </w:rPr>
      </w:pPr>
      <w:r w:rsidRPr="00E828BE">
        <w:rPr>
          <w:b/>
        </w:rPr>
        <w:fldChar w:fldCharType="begin"/>
      </w:r>
      <w:r w:rsidR="00985651" w:rsidRPr="00E828BE">
        <w:rPr>
          <w:b/>
        </w:rPr>
        <w:instrText xml:space="preserve"> TOC \o "1-3" \h \z \u </w:instrText>
      </w:r>
      <w:r w:rsidRPr="00E828BE">
        <w:rPr>
          <w:b/>
        </w:rPr>
        <w:fldChar w:fldCharType="separate"/>
      </w:r>
      <w:hyperlink w:anchor="_Toc275242916" w:history="1">
        <w:r w:rsidR="00985651" w:rsidRPr="00E828BE">
          <w:rPr>
            <w:rStyle w:val="Hyperlink"/>
            <w:noProof/>
            <w:color w:val="auto"/>
          </w:rPr>
          <w:t>1. Identification of the Information Collection</w:t>
        </w:r>
        <w:r w:rsidR="00985651" w:rsidRPr="00E828BE">
          <w:rPr>
            <w:noProof/>
            <w:webHidden/>
          </w:rPr>
          <w:tab/>
        </w:r>
        <w:r w:rsidRPr="00E828BE">
          <w:rPr>
            <w:noProof/>
            <w:webHidden/>
          </w:rPr>
          <w:fldChar w:fldCharType="begin"/>
        </w:r>
        <w:r w:rsidR="00985651" w:rsidRPr="00E828BE">
          <w:rPr>
            <w:noProof/>
            <w:webHidden/>
          </w:rPr>
          <w:instrText xml:space="preserve"> PAGEREF _Toc275242916 \h </w:instrText>
        </w:r>
        <w:r w:rsidRPr="00E828BE">
          <w:rPr>
            <w:noProof/>
            <w:webHidden/>
          </w:rPr>
        </w:r>
        <w:r w:rsidRPr="00E828BE">
          <w:rPr>
            <w:noProof/>
            <w:webHidden/>
          </w:rPr>
          <w:fldChar w:fldCharType="separate"/>
        </w:r>
        <w:r w:rsidR="002C5064">
          <w:rPr>
            <w:noProof/>
            <w:webHidden/>
          </w:rPr>
          <w:t>1</w:t>
        </w:r>
        <w:r w:rsidRPr="00E828BE">
          <w:rPr>
            <w:noProof/>
            <w:webHidden/>
          </w:rPr>
          <w:fldChar w:fldCharType="end"/>
        </w:r>
      </w:hyperlink>
    </w:p>
    <w:p w14:paraId="0A3E031B" w14:textId="77777777" w:rsidR="00985651" w:rsidRPr="00E828BE" w:rsidRDefault="00CF6550" w:rsidP="001D6D10">
      <w:pPr>
        <w:pStyle w:val="TOC2"/>
        <w:tabs>
          <w:tab w:val="right" w:leader="dot" w:pos="9350"/>
        </w:tabs>
        <w:rPr>
          <w:rFonts w:ascii="Calibri" w:hAnsi="Calibri"/>
          <w:noProof/>
          <w:sz w:val="22"/>
        </w:rPr>
      </w:pPr>
      <w:hyperlink w:anchor="_Toc275242917" w:history="1">
        <w:r w:rsidR="00985651" w:rsidRPr="00E828BE">
          <w:rPr>
            <w:rStyle w:val="Hyperlink"/>
            <w:noProof/>
            <w:color w:val="auto"/>
          </w:rPr>
          <w:t>1(a) Title of the Information Collection</w:t>
        </w:r>
        <w:r w:rsidR="00985651" w:rsidRPr="00E828BE">
          <w:rPr>
            <w:noProof/>
            <w:webHidden/>
          </w:rPr>
          <w:tab/>
        </w:r>
        <w:r w:rsidR="007A49C7" w:rsidRPr="00E828BE">
          <w:rPr>
            <w:noProof/>
            <w:webHidden/>
          </w:rPr>
          <w:fldChar w:fldCharType="begin"/>
        </w:r>
        <w:r w:rsidR="00985651" w:rsidRPr="00E828BE">
          <w:rPr>
            <w:noProof/>
            <w:webHidden/>
          </w:rPr>
          <w:instrText xml:space="preserve"> PAGEREF _Toc275242917 \h </w:instrText>
        </w:r>
        <w:r w:rsidR="007A49C7" w:rsidRPr="00E828BE">
          <w:rPr>
            <w:noProof/>
            <w:webHidden/>
          </w:rPr>
        </w:r>
        <w:r w:rsidR="007A49C7" w:rsidRPr="00E828BE">
          <w:rPr>
            <w:noProof/>
            <w:webHidden/>
          </w:rPr>
          <w:fldChar w:fldCharType="separate"/>
        </w:r>
        <w:r w:rsidR="002C5064">
          <w:rPr>
            <w:noProof/>
            <w:webHidden/>
          </w:rPr>
          <w:t>1</w:t>
        </w:r>
        <w:r w:rsidR="007A49C7" w:rsidRPr="00E828BE">
          <w:rPr>
            <w:noProof/>
            <w:webHidden/>
          </w:rPr>
          <w:fldChar w:fldCharType="end"/>
        </w:r>
      </w:hyperlink>
    </w:p>
    <w:p w14:paraId="0809D6AA" w14:textId="77777777" w:rsidR="00985651" w:rsidRPr="00E828BE" w:rsidRDefault="00CF6550" w:rsidP="001D6D10">
      <w:pPr>
        <w:pStyle w:val="TOC2"/>
        <w:tabs>
          <w:tab w:val="right" w:leader="dot" w:pos="9350"/>
        </w:tabs>
        <w:rPr>
          <w:rFonts w:ascii="Calibri" w:hAnsi="Calibri"/>
          <w:noProof/>
          <w:sz w:val="22"/>
        </w:rPr>
      </w:pPr>
      <w:hyperlink w:anchor="_Toc275242918" w:history="1">
        <w:r w:rsidR="00985651" w:rsidRPr="00E828BE">
          <w:rPr>
            <w:rStyle w:val="Hyperlink"/>
            <w:noProof/>
            <w:color w:val="auto"/>
          </w:rPr>
          <w:t>1(b) Short Characterization/Abstract</w:t>
        </w:r>
        <w:r w:rsidR="00985651" w:rsidRPr="00E828BE">
          <w:rPr>
            <w:noProof/>
            <w:webHidden/>
          </w:rPr>
          <w:tab/>
        </w:r>
        <w:r w:rsidR="007A49C7" w:rsidRPr="00E828BE">
          <w:rPr>
            <w:noProof/>
            <w:webHidden/>
          </w:rPr>
          <w:fldChar w:fldCharType="begin"/>
        </w:r>
        <w:r w:rsidR="00985651" w:rsidRPr="00E828BE">
          <w:rPr>
            <w:noProof/>
            <w:webHidden/>
          </w:rPr>
          <w:instrText xml:space="preserve"> PAGEREF _Toc275242918 \h </w:instrText>
        </w:r>
        <w:r w:rsidR="007A49C7" w:rsidRPr="00E828BE">
          <w:rPr>
            <w:noProof/>
            <w:webHidden/>
          </w:rPr>
        </w:r>
        <w:r w:rsidR="007A49C7" w:rsidRPr="00E828BE">
          <w:rPr>
            <w:noProof/>
            <w:webHidden/>
          </w:rPr>
          <w:fldChar w:fldCharType="separate"/>
        </w:r>
        <w:r w:rsidR="002C5064">
          <w:rPr>
            <w:noProof/>
            <w:webHidden/>
          </w:rPr>
          <w:t>1</w:t>
        </w:r>
        <w:r w:rsidR="007A49C7" w:rsidRPr="00E828BE">
          <w:rPr>
            <w:noProof/>
            <w:webHidden/>
          </w:rPr>
          <w:fldChar w:fldCharType="end"/>
        </w:r>
      </w:hyperlink>
    </w:p>
    <w:p w14:paraId="7C7CEDEB" w14:textId="77777777" w:rsidR="00985651" w:rsidRPr="00E828BE" w:rsidRDefault="00CF6550" w:rsidP="001D6D10">
      <w:pPr>
        <w:pStyle w:val="TOC1"/>
        <w:rPr>
          <w:rFonts w:ascii="Calibri" w:hAnsi="Calibri"/>
          <w:bCs w:val="0"/>
          <w:noProof/>
          <w:sz w:val="22"/>
        </w:rPr>
      </w:pPr>
      <w:hyperlink w:anchor="_Toc275242919" w:history="1">
        <w:r w:rsidR="00985651" w:rsidRPr="00E828BE">
          <w:rPr>
            <w:rStyle w:val="Hyperlink"/>
            <w:noProof/>
            <w:color w:val="auto"/>
          </w:rPr>
          <w:t>2. Need For and Use of the Collection</w:t>
        </w:r>
        <w:r w:rsidR="00985651" w:rsidRPr="00E828BE">
          <w:rPr>
            <w:noProof/>
            <w:webHidden/>
          </w:rPr>
          <w:tab/>
        </w:r>
        <w:r w:rsidR="007A49C7" w:rsidRPr="00E828BE">
          <w:rPr>
            <w:noProof/>
            <w:webHidden/>
          </w:rPr>
          <w:fldChar w:fldCharType="begin"/>
        </w:r>
        <w:r w:rsidR="00985651" w:rsidRPr="00E828BE">
          <w:rPr>
            <w:noProof/>
            <w:webHidden/>
          </w:rPr>
          <w:instrText xml:space="preserve"> PAGEREF _Toc275242919 \h </w:instrText>
        </w:r>
        <w:r w:rsidR="007A49C7" w:rsidRPr="00E828BE">
          <w:rPr>
            <w:noProof/>
            <w:webHidden/>
          </w:rPr>
        </w:r>
        <w:r w:rsidR="007A49C7" w:rsidRPr="00E828BE">
          <w:rPr>
            <w:noProof/>
            <w:webHidden/>
          </w:rPr>
          <w:fldChar w:fldCharType="separate"/>
        </w:r>
        <w:r w:rsidR="002C5064">
          <w:rPr>
            <w:noProof/>
            <w:webHidden/>
          </w:rPr>
          <w:t>2</w:t>
        </w:r>
        <w:r w:rsidR="007A49C7" w:rsidRPr="00E828BE">
          <w:rPr>
            <w:noProof/>
            <w:webHidden/>
          </w:rPr>
          <w:fldChar w:fldCharType="end"/>
        </w:r>
      </w:hyperlink>
    </w:p>
    <w:p w14:paraId="5FC04DD4" w14:textId="77777777" w:rsidR="00985651" w:rsidRPr="00E828BE" w:rsidRDefault="00CF6550" w:rsidP="001D6D10">
      <w:pPr>
        <w:pStyle w:val="TOC2"/>
        <w:tabs>
          <w:tab w:val="right" w:leader="dot" w:pos="9350"/>
        </w:tabs>
        <w:rPr>
          <w:rFonts w:ascii="Calibri" w:hAnsi="Calibri"/>
          <w:noProof/>
          <w:sz w:val="22"/>
        </w:rPr>
      </w:pPr>
      <w:hyperlink w:anchor="_Toc275242920" w:history="1">
        <w:r w:rsidR="00985651" w:rsidRPr="00E828BE">
          <w:rPr>
            <w:rStyle w:val="Hyperlink"/>
            <w:noProof/>
            <w:color w:val="auto"/>
          </w:rPr>
          <w:t>2(a) Need/Authority for the Collection</w:t>
        </w:r>
        <w:r w:rsidR="00985651" w:rsidRPr="00E828BE">
          <w:rPr>
            <w:noProof/>
            <w:webHidden/>
          </w:rPr>
          <w:tab/>
        </w:r>
        <w:r w:rsidR="007A49C7" w:rsidRPr="00E828BE">
          <w:rPr>
            <w:noProof/>
            <w:webHidden/>
          </w:rPr>
          <w:fldChar w:fldCharType="begin"/>
        </w:r>
        <w:r w:rsidR="00985651" w:rsidRPr="00E828BE">
          <w:rPr>
            <w:noProof/>
            <w:webHidden/>
          </w:rPr>
          <w:instrText xml:space="preserve"> PAGEREF _Toc275242920 \h </w:instrText>
        </w:r>
        <w:r w:rsidR="007A49C7" w:rsidRPr="00E828BE">
          <w:rPr>
            <w:noProof/>
            <w:webHidden/>
          </w:rPr>
        </w:r>
        <w:r w:rsidR="007A49C7" w:rsidRPr="00E828BE">
          <w:rPr>
            <w:noProof/>
            <w:webHidden/>
          </w:rPr>
          <w:fldChar w:fldCharType="separate"/>
        </w:r>
        <w:r w:rsidR="002C5064">
          <w:rPr>
            <w:noProof/>
            <w:webHidden/>
          </w:rPr>
          <w:t>2</w:t>
        </w:r>
        <w:r w:rsidR="007A49C7" w:rsidRPr="00E828BE">
          <w:rPr>
            <w:noProof/>
            <w:webHidden/>
          </w:rPr>
          <w:fldChar w:fldCharType="end"/>
        </w:r>
      </w:hyperlink>
    </w:p>
    <w:p w14:paraId="6F76A1E4" w14:textId="77777777" w:rsidR="00985651" w:rsidRPr="00E828BE" w:rsidRDefault="00CF6550" w:rsidP="001D6D10">
      <w:pPr>
        <w:pStyle w:val="TOC2"/>
        <w:tabs>
          <w:tab w:val="right" w:leader="dot" w:pos="9350"/>
        </w:tabs>
        <w:rPr>
          <w:rFonts w:ascii="Calibri" w:hAnsi="Calibri"/>
          <w:noProof/>
          <w:sz w:val="22"/>
        </w:rPr>
      </w:pPr>
      <w:hyperlink w:anchor="_Toc275242921" w:history="1">
        <w:r w:rsidR="00985651" w:rsidRPr="00E828BE">
          <w:rPr>
            <w:rStyle w:val="Hyperlink"/>
            <w:noProof/>
            <w:color w:val="auto"/>
          </w:rPr>
          <w:t>2(b) Practical Utility/Users of the Data</w:t>
        </w:r>
        <w:r w:rsidR="00985651" w:rsidRPr="00E828BE">
          <w:rPr>
            <w:noProof/>
            <w:webHidden/>
          </w:rPr>
          <w:tab/>
        </w:r>
        <w:r w:rsidR="007A49C7" w:rsidRPr="00E828BE">
          <w:rPr>
            <w:noProof/>
            <w:webHidden/>
          </w:rPr>
          <w:fldChar w:fldCharType="begin"/>
        </w:r>
        <w:r w:rsidR="00985651" w:rsidRPr="00E828BE">
          <w:rPr>
            <w:noProof/>
            <w:webHidden/>
          </w:rPr>
          <w:instrText xml:space="preserve"> PAGEREF _Toc275242921 \h </w:instrText>
        </w:r>
        <w:r w:rsidR="007A49C7" w:rsidRPr="00E828BE">
          <w:rPr>
            <w:noProof/>
            <w:webHidden/>
          </w:rPr>
        </w:r>
        <w:r w:rsidR="007A49C7" w:rsidRPr="00E828BE">
          <w:rPr>
            <w:noProof/>
            <w:webHidden/>
          </w:rPr>
          <w:fldChar w:fldCharType="separate"/>
        </w:r>
        <w:r w:rsidR="002C5064">
          <w:rPr>
            <w:noProof/>
            <w:webHidden/>
          </w:rPr>
          <w:t>4</w:t>
        </w:r>
        <w:r w:rsidR="007A49C7" w:rsidRPr="00E828BE">
          <w:rPr>
            <w:noProof/>
            <w:webHidden/>
          </w:rPr>
          <w:fldChar w:fldCharType="end"/>
        </w:r>
      </w:hyperlink>
    </w:p>
    <w:p w14:paraId="352DACE7" w14:textId="77777777" w:rsidR="00985651" w:rsidRPr="00E828BE" w:rsidRDefault="00CF6550" w:rsidP="001D6D10">
      <w:pPr>
        <w:pStyle w:val="TOC1"/>
        <w:rPr>
          <w:rFonts w:ascii="Calibri" w:hAnsi="Calibri"/>
          <w:bCs w:val="0"/>
          <w:noProof/>
          <w:sz w:val="22"/>
        </w:rPr>
      </w:pPr>
      <w:hyperlink w:anchor="_Toc275242922" w:history="1">
        <w:r w:rsidR="00985651" w:rsidRPr="00E828BE">
          <w:rPr>
            <w:rStyle w:val="Hyperlink"/>
            <w:noProof/>
            <w:color w:val="auto"/>
          </w:rPr>
          <w:t>3. Non-duplication, Consultations, and Other Collection Criteria</w:t>
        </w:r>
        <w:r w:rsidR="00985651" w:rsidRPr="00E828BE">
          <w:rPr>
            <w:noProof/>
            <w:webHidden/>
          </w:rPr>
          <w:tab/>
        </w:r>
        <w:r w:rsidR="007A49C7" w:rsidRPr="00E828BE">
          <w:rPr>
            <w:noProof/>
            <w:webHidden/>
          </w:rPr>
          <w:fldChar w:fldCharType="begin"/>
        </w:r>
        <w:r w:rsidR="00985651" w:rsidRPr="00E828BE">
          <w:rPr>
            <w:noProof/>
            <w:webHidden/>
          </w:rPr>
          <w:instrText xml:space="preserve"> PAGEREF _Toc275242922 \h </w:instrText>
        </w:r>
        <w:r w:rsidR="007A49C7" w:rsidRPr="00E828BE">
          <w:rPr>
            <w:noProof/>
            <w:webHidden/>
          </w:rPr>
        </w:r>
        <w:r w:rsidR="007A49C7" w:rsidRPr="00E828BE">
          <w:rPr>
            <w:noProof/>
            <w:webHidden/>
          </w:rPr>
          <w:fldChar w:fldCharType="separate"/>
        </w:r>
        <w:r w:rsidR="002C5064">
          <w:rPr>
            <w:noProof/>
            <w:webHidden/>
          </w:rPr>
          <w:t>6</w:t>
        </w:r>
        <w:r w:rsidR="007A49C7" w:rsidRPr="00E828BE">
          <w:rPr>
            <w:noProof/>
            <w:webHidden/>
          </w:rPr>
          <w:fldChar w:fldCharType="end"/>
        </w:r>
      </w:hyperlink>
    </w:p>
    <w:p w14:paraId="344EE42C" w14:textId="77777777" w:rsidR="00985651" w:rsidRPr="00E828BE" w:rsidRDefault="00CF6550" w:rsidP="001D6D10">
      <w:pPr>
        <w:pStyle w:val="TOC2"/>
        <w:tabs>
          <w:tab w:val="right" w:leader="dot" w:pos="9350"/>
        </w:tabs>
        <w:rPr>
          <w:rFonts w:ascii="Calibri" w:hAnsi="Calibri"/>
          <w:noProof/>
          <w:sz w:val="22"/>
        </w:rPr>
      </w:pPr>
      <w:hyperlink w:anchor="_Toc275242923" w:history="1">
        <w:r w:rsidR="00985651" w:rsidRPr="00E828BE">
          <w:rPr>
            <w:rStyle w:val="Hyperlink"/>
            <w:noProof/>
            <w:color w:val="auto"/>
          </w:rPr>
          <w:t>3(a) Non-duplication</w:t>
        </w:r>
        <w:r w:rsidR="00985651" w:rsidRPr="00E828BE">
          <w:rPr>
            <w:noProof/>
            <w:webHidden/>
          </w:rPr>
          <w:tab/>
        </w:r>
        <w:r w:rsidR="007A49C7" w:rsidRPr="00E828BE">
          <w:rPr>
            <w:noProof/>
            <w:webHidden/>
          </w:rPr>
          <w:fldChar w:fldCharType="begin"/>
        </w:r>
        <w:r w:rsidR="00985651" w:rsidRPr="00E828BE">
          <w:rPr>
            <w:noProof/>
            <w:webHidden/>
          </w:rPr>
          <w:instrText xml:space="preserve"> PAGEREF _Toc275242923 \h </w:instrText>
        </w:r>
        <w:r w:rsidR="007A49C7" w:rsidRPr="00E828BE">
          <w:rPr>
            <w:noProof/>
            <w:webHidden/>
          </w:rPr>
        </w:r>
        <w:r w:rsidR="007A49C7" w:rsidRPr="00E828BE">
          <w:rPr>
            <w:noProof/>
            <w:webHidden/>
          </w:rPr>
          <w:fldChar w:fldCharType="separate"/>
        </w:r>
        <w:r w:rsidR="002C5064">
          <w:rPr>
            <w:noProof/>
            <w:webHidden/>
          </w:rPr>
          <w:t>6</w:t>
        </w:r>
        <w:r w:rsidR="007A49C7" w:rsidRPr="00E828BE">
          <w:rPr>
            <w:noProof/>
            <w:webHidden/>
          </w:rPr>
          <w:fldChar w:fldCharType="end"/>
        </w:r>
      </w:hyperlink>
    </w:p>
    <w:p w14:paraId="5194460C" w14:textId="77777777" w:rsidR="00985651" w:rsidRPr="00E828BE" w:rsidRDefault="00CF6550" w:rsidP="001D6D10">
      <w:pPr>
        <w:pStyle w:val="TOC2"/>
        <w:tabs>
          <w:tab w:val="right" w:leader="dot" w:pos="9350"/>
        </w:tabs>
        <w:rPr>
          <w:rFonts w:ascii="Calibri" w:hAnsi="Calibri"/>
          <w:noProof/>
          <w:sz w:val="22"/>
        </w:rPr>
      </w:pPr>
      <w:hyperlink w:anchor="_Toc275242924" w:history="1">
        <w:r w:rsidR="00985651" w:rsidRPr="00E828BE">
          <w:rPr>
            <w:rStyle w:val="Hyperlink"/>
            <w:noProof/>
            <w:color w:val="auto"/>
          </w:rPr>
          <w:t>3(b) Public Notice Required Prior to ICR Submissions to OMB</w:t>
        </w:r>
        <w:r w:rsidR="00985651" w:rsidRPr="00E828BE">
          <w:rPr>
            <w:noProof/>
            <w:webHidden/>
          </w:rPr>
          <w:tab/>
        </w:r>
        <w:r w:rsidR="007A49C7" w:rsidRPr="00E828BE">
          <w:rPr>
            <w:noProof/>
            <w:webHidden/>
          </w:rPr>
          <w:fldChar w:fldCharType="begin"/>
        </w:r>
        <w:r w:rsidR="00985651" w:rsidRPr="00E828BE">
          <w:rPr>
            <w:noProof/>
            <w:webHidden/>
          </w:rPr>
          <w:instrText xml:space="preserve"> PAGEREF _Toc275242924 \h </w:instrText>
        </w:r>
        <w:r w:rsidR="007A49C7" w:rsidRPr="00E828BE">
          <w:rPr>
            <w:noProof/>
            <w:webHidden/>
          </w:rPr>
        </w:r>
        <w:r w:rsidR="007A49C7" w:rsidRPr="00E828BE">
          <w:rPr>
            <w:noProof/>
            <w:webHidden/>
          </w:rPr>
          <w:fldChar w:fldCharType="separate"/>
        </w:r>
        <w:r w:rsidR="002C5064">
          <w:rPr>
            <w:noProof/>
            <w:webHidden/>
          </w:rPr>
          <w:t>6</w:t>
        </w:r>
        <w:r w:rsidR="007A49C7" w:rsidRPr="00E828BE">
          <w:rPr>
            <w:noProof/>
            <w:webHidden/>
          </w:rPr>
          <w:fldChar w:fldCharType="end"/>
        </w:r>
      </w:hyperlink>
    </w:p>
    <w:p w14:paraId="405020F0" w14:textId="2FF09FA5" w:rsidR="00985651" w:rsidRPr="00E828BE" w:rsidRDefault="0021413B" w:rsidP="001D6D10">
      <w:pPr>
        <w:pStyle w:val="TOC2"/>
        <w:tabs>
          <w:tab w:val="right" w:leader="dot" w:pos="9350"/>
        </w:tabs>
        <w:rPr>
          <w:rFonts w:ascii="Calibri" w:hAnsi="Calibri"/>
          <w:noProof/>
          <w:sz w:val="22"/>
        </w:rPr>
      </w:pPr>
      <w:hyperlink w:anchor="_Toc275242925" w:history="1">
        <w:r w:rsidR="00985651" w:rsidRPr="00E828BE">
          <w:rPr>
            <w:rStyle w:val="Hyperlink"/>
            <w:noProof/>
            <w:color w:val="auto"/>
          </w:rPr>
          <w:t>3(c) Consultations</w:t>
        </w:r>
        <w:r w:rsidR="00985651" w:rsidRPr="00E828BE">
          <w:rPr>
            <w:noProof/>
            <w:webHidden/>
          </w:rPr>
          <w:tab/>
        </w:r>
        <w:r w:rsidR="007A49C7" w:rsidRPr="00E828BE">
          <w:rPr>
            <w:noProof/>
            <w:webHidden/>
          </w:rPr>
          <w:fldChar w:fldCharType="begin"/>
        </w:r>
        <w:r w:rsidR="00985651" w:rsidRPr="00E828BE">
          <w:rPr>
            <w:noProof/>
            <w:webHidden/>
          </w:rPr>
          <w:instrText xml:space="preserve"> PAGEREF _Toc275242925 \h </w:instrText>
        </w:r>
        <w:r w:rsidR="007A49C7" w:rsidRPr="00E828BE">
          <w:rPr>
            <w:noProof/>
            <w:webHidden/>
          </w:rPr>
        </w:r>
        <w:r w:rsidR="007A49C7" w:rsidRPr="00E828BE">
          <w:rPr>
            <w:noProof/>
            <w:webHidden/>
          </w:rPr>
          <w:fldChar w:fldCharType="separate"/>
        </w:r>
        <w:r w:rsidR="002C5064">
          <w:rPr>
            <w:noProof/>
            <w:webHidden/>
          </w:rPr>
          <w:t>6</w:t>
        </w:r>
        <w:r w:rsidR="007A49C7" w:rsidRPr="00E828BE">
          <w:rPr>
            <w:noProof/>
            <w:webHidden/>
          </w:rPr>
          <w:fldChar w:fldCharType="end"/>
        </w:r>
      </w:hyperlink>
    </w:p>
    <w:p w14:paraId="5D0C6436" w14:textId="77777777" w:rsidR="00985651" w:rsidRPr="00E828BE" w:rsidRDefault="00CF6550" w:rsidP="001D6D10">
      <w:pPr>
        <w:pStyle w:val="TOC2"/>
        <w:tabs>
          <w:tab w:val="right" w:leader="dot" w:pos="9350"/>
        </w:tabs>
        <w:rPr>
          <w:rFonts w:ascii="Calibri" w:hAnsi="Calibri"/>
          <w:noProof/>
          <w:sz w:val="22"/>
        </w:rPr>
      </w:pPr>
      <w:hyperlink w:anchor="_Toc275242926" w:history="1">
        <w:r w:rsidR="00985651" w:rsidRPr="00E828BE">
          <w:rPr>
            <w:rStyle w:val="Hyperlink"/>
            <w:noProof/>
            <w:color w:val="auto"/>
          </w:rPr>
          <w:t>3(d) Effects of Less Frequent Collection</w:t>
        </w:r>
        <w:r w:rsidR="00985651" w:rsidRPr="00E828BE">
          <w:rPr>
            <w:noProof/>
            <w:webHidden/>
          </w:rPr>
          <w:tab/>
        </w:r>
        <w:r w:rsidR="007A49C7" w:rsidRPr="00E828BE">
          <w:rPr>
            <w:noProof/>
            <w:webHidden/>
          </w:rPr>
          <w:fldChar w:fldCharType="begin"/>
        </w:r>
        <w:r w:rsidR="00985651" w:rsidRPr="00E828BE">
          <w:rPr>
            <w:noProof/>
            <w:webHidden/>
          </w:rPr>
          <w:instrText xml:space="preserve"> PAGEREF _Toc275242926 \h </w:instrText>
        </w:r>
        <w:r w:rsidR="007A49C7" w:rsidRPr="00E828BE">
          <w:rPr>
            <w:noProof/>
            <w:webHidden/>
          </w:rPr>
        </w:r>
        <w:r w:rsidR="007A49C7" w:rsidRPr="00E828BE">
          <w:rPr>
            <w:noProof/>
            <w:webHidden/>
          </w:rPr>
          <w:fldChar w:fldCharType="separate"/>
        </w:r>
        <w:r w:rsidR="002C5064">
          <w:rPr>
            <w:noProof/>
            <w:webHidden/>
          </w:rPr>
          <w:t>7</w:t>
        </w:r>
        <w:r w:rsidR="007A49C7" w:rsidRPr="00E828BE">
          <w:rPr>
            <w:noProof/>
            <w:webHidden/>
          </w:rPr>
          <w:fldChar w:fldCharType="end"/>
        </w:r>
      </w:hyperlink>
    </w:p>
    <w:p w14:paraId="3F6D6154" w14:textId="7B0DA8C1" w:rsidR="00985651" w:rsidRPr="00E828BE" w:rsidRDefault="001C4827" w:rsidP="001D6D10">
      <w:pPr>
        <w:pStyle w:val="TOC2"/>
        <w:tabs>
          <w:tab w:val="right" w:leader="dot" w:pos="9350"/>
        </w:tabs>
        <w:rPr>
          <w:rFonts w:ascii="Calibri" w:hAnsi="Calibri"/>
          <w:noProof/>
          <w:sz w:val="22"/>
        </w:rPr>
      </w:pPr>
      <w:hyperlink w:anchor="_Toc275242927" w:history="1">
        <w:r w:rsidR="00985651" w:rsidRPr="00E828BE">
          <w:rPr>
            <w:rStyle w:val="Hyperlink"/>
            <w:noProof/>
            <w:color w:val="auto"/>
          </w:rPr>
          <w:t>3(e) General Guidelines</w:t>
        </w:r>
        <w:r w:rsidR="00985651" w:rsidRPr="00E828BE">
          <w:rPr>
            <w:noProof/>
            <w:webHidden/>
          </w:rPr>
          <w:tab/>
        </w:r>
        <w:r w:rsidR="007A49C7" w:rsidRPr="00E828BE">
          <w:rPr>
            <w:noProof/>
            <w:webHidden/>
          </w:rPr>
          <w:fldChar w:fldCharType="begin"/>
        </w:r>
        <w:r w:rsidR="00985651" w:rsidRPr="00E828BE">
          <w:rPr>
            <w:noProof/>
            <w:webHidden/>
          </w:rPr>
          <w:instrText xml:space="preserve"> PAGEREF _Toc275242927 \h </w:instrText>
        </w:r>
        <w:r w:rsidR="007A49C7" w:rsidRPr="00E828BE">
          <w:rPr>
            <w:noProof/>
            <w:webHidden/>
          </w:rPr>
        </w:r>
        <w:r w:rsidR="007A49C7" w:rsidRPr="00E828BE">
          <w:rPr>
            <w:noProof/>
            <w:webHidden/>
          </w:rPr>
          <w:fldChar w:fldCharType="separate"/>
        </w:r>
        <w:r w:rsidR="002C5064">
          <w:rPr>
            <w:noProof/>
            <w:webHidden/>
          </w:rPr>
          <w:t>8</w:t>
        </w:r>
        <w:r w:rsidR="007A49C7" w:rsidRPr="00E828BE">
          <w:rPr>
            <w:noProof/>
            <w:webHidden/>
          </w:rPr>
          <w:fldChar w:fldCharType="end"/>
        </w:r>
      </w:hyperlink>
    </w:p>
    <w:p w14:paraId="623BBB11" w14:textId="77777777" w:rsidR="00985651" w:rsidRPr="00E828BE" w:rsidRDefault="00CF6550" w:rsidP="001D6D10">
      <w:pPr>
        <w:pStyle w:val="TOC2"/>
        <w:tabs>
          <w:tab w:val="right" w:leader="dot" w:pos="9350"/>
        </w:tabs>
        <w:rPr>
          <w:rFonts w:ascii="Calibri" w:hAnsi="Calibri"/>
          <w:noProof/>
          <w:sz w:val="22"/>
        </w:rPr>
      </w:pPr>
      <w:hyperlink w:anchor="_Toc275242928" w:history="1">
        <w:r w:rsidR="00985651" w:rsidRPr="00E828BE">
          <w:rPr>
            <w:rStyle w:val="Hyperlink"/>
            <w:noProof/>
            <w:color w:val="auto"/>
          </w:rPr>
          <w:t>3(f) Confidentiality</w:t>
        </w:r>
        <w:r w:rsidR="00985651" w:rsidRPr="00E828BE">
          <w:rPr>
            <w:noProof/>
            <w:webHidden/>
          </w:rPr>
          <w:tab/>
        </w:r>
        <w:r w:rsidR="007A49C7" w:rsidRPr="00E828BE">
          <w:rPr>
            <w:noProof/>
            <w:webHidden/>
          </w:rPr>
          <w:fldChar w:fldCharType="begin"/>
        </w:r>
        <w:r w:rsidR="00985651" w:rsidRPr="00E828BE">
          <w:rPr>
            <w:noProof/>
            <w:webHidden/>
          </w:rPr>
          <w:instrText xml:space="preserve"> PAGEREF _Toc275242928 \h </w:instrText>
        </w:r>
        <w:r w:rsidR="007A49C7" w:rsidRPr="00E828BE">
          <w:rPr>
            <w:noProof/>
            <w:webHidden/>
          </w:rPr>
        </w:r>
        <w:r w:rsidR="007A49C7" w:rsidRPr="00E828BE">
          <w:rPr>
            <w:noProof/>
            <w:webHidden/>
          </w:rPr>
          <w:fldChar w:fldCharType="separate"/>
        </w:r>
        <w:r w:rsidR="002C5064">
          <w:rPr>
            <w:noProof/>
            <w:webHidden/>
          </w:rPr>
          <w:t>8</w:t>
        </w:r>
        <w:r w:rsidR="007A49C7" w:rsidRPr="00E828BE">
          <w:rPr>
            <w:noProof/>
            <w:webHidden/>
          </w:rPr>
          <w:fldChar w:fldCharType="end"/>
        </w:r>
      </w:hyperlink>
    </w:p>
    <w:p w14:paraId="28845611" w14:textId="77777777" w:rsidR="00985651" w:rsidRPr="00E828BE" w:rsidRDefault="00CF6550" w:rsidP="001D6D10">
      <w:pPr>
        <w:pStyle w:val="TOC2"/>
        <w:tabs>
          <w:tab w:val="right" w:leader="dot" w:pos="9350"/>
        </w:tabs>
        <w:rPr>
          <w:rFonts w:ascii="Calibri" w:hAnsi="Calibri"/>
          <w:noProof/>
          <w:sz w:val="22"/>
        </w:rPr>
      </w:pPr>
      <w:hyperlink w:anchor="_Toc275242929" w:history="1">
        <w:r w:rsidR="00985651" w:rsidRPr="00E828BE">
          <w:rPr>
            <w:rStyle w:val="Hyperlink"/>
            <w:noProof/>
            <w:color w:val="auto"/>
          </w:rPr>
          <w:t>3(g) Sensitive Questions</w:t>
        </w:r>
        <w:r w:rsidR="00985651" w:rsidRPr="00E828BE">
          <w:rPr>
            <w:noProof/>
            <w:webHidden/>
          </w:rPr>
          <w:tab/>
        </w:r>
        <w:r w:rsidR="007A49C7" w:rsidRPr="00E828BE">
          <w:rPr>
            <w:noProof/>
            <w:webHidden/>
          </w:rPr>
          <w:fldChar w:fldCharType="begin"/>
        </w:r>
        <w:r w:rsidR="00985651" w:rsidRPr="00E828BE">
          <w:rPr>
            <w:noProof/>
            <w:webHidden/>
          </w:rPr>
          <w:instrText xml:space="preserve"> PAGEREF _Toc275242929 \h </w:instrText>
        </w:r>
        <w:r w:rsidR="007A49C7" w:rsidRPr="00E828BE">
          <w:rPr>
            <w:noProof/>
            <w:webHidden/>
          </w:rPr>
        </w:r>
        <w:r w:rsidR="007A49C7" w:rsidRPr="00E828BE">
          <w:rPr>
            <w:noProof/>
            <w:webHidden/>
          </w:rPr>
          <w:fldChar w:fldCharType="separate"/>
        </w:r>
        <w:r w:rsidR="002C5064">
          <w:rPr>
            <w:noProof/>
            <w:webHidden/>
          </w:rPr>
          <w:t>8</w:t>
        </w:r>
        <w:r w:rsidR="007A49C7" w:rsidRPr="00E828BE">
          <w:rPr>
            <w:noProof/>
            <w:webHidden/>
          </w:rPr>
          <w:fldChar w:fldCharType="end"/>
        </w:r>
      </w:hyperlink>
    </w:p>
    <w:p w14:paraId="77E68A50" w14:textId="77777777" w:rsidR="00985651" w:rsidRPr="00E828BE" w:rsidRDefault="00CF6550" w:rsidP="001D6D10">
      <w:pPr>
        <w:pStyle w:val="TOC1"/>
        <w:rPr>
          <w:rFonts w:ascii="Calibri" w:hAnsi="Calibri"/>
          <w:bCs w:val="0"/>
          <w:noProof/>
          <w:sz w:val="22"/>
        </w:rPr>
      </w:pPr>
      <w:hyperlink w:anchor="_Toc275242930" w:history="1">
        <w:r w:rsidR="00985651" w:rsidRPr="00E828BE">
          <w:rPr>
            <w:rStyle w:val="Hyperlink"/>
            <w:noProof/>
            <w:color w:val="auto"/>
          </w:rPr>
          <w:t>4. The Respondents and the Information Requested</w:t>
        </w:r>
        <w:r w:rsidR="00985651" w:rsidRPr="00E828BE">
          <w:rPr>
            <w:noProof/>
            <w:webHidden/>
          </w:rPr>
          <w:tab/>
        </w:r>
        <w:r w:rsidR="007A49C7" w:rsidRPr="00E828BE">
          <w:rPr>
            <w:noProof/>
            <w:webHidden/>
          </w:rPr>
          <w:fldChar w:fldCharType="begin"/>
        </w:r>
        <w:r w:rsidR="00985651" w:rsidRPr="00E828BE">
          <w:rPr>
            <w:noProof/>
            <w:webHidden/>
          </w:rPr>
          <w:instrText xml:space="preserve"> PAGEREF _Toc275242930 \h </w:instrText>
        </w:r>
        <w:r w:rsidR="007A49C7" w:rsidRPr="00E828BE">
          <w:rPr>
            <w:noProof/>
            <w:webHidden/>
          </w:rPr>
        </w:r>
        <w:r w:rsidR="007A49C7" w:rsidRPr="00E828BE">
          <w:rPr>
            <w:noProof/>
            <w:webHidden/>
          </w:rPr>
          <w:fldChar w:fldCharType="separate"/>
        </w:r>
        <w:r w:rsidR="002C5064">
          <w:rPr>
            <w:noProof/>
            <w:webHidden/>
          </w:rPr>
          <w:t>9</w:t>
        </w:r>
        <w:r w:rsidR="007A49C7" w:rsidRPr="00E828BE">
          <w:rPr>
            <w:noProof/>
            <w:webHidden/>
          </w:rPr>
          <w:fldChar w:fldCharType="end"/>
        </w:r>
      </w:hyperlink>
    </w:p>
    <w:p w14:paraId="62550B7B" w14:textId="77777777" w:rsidR="00985651" w:rsidRPr="00E828BE" w:rsidRDefault="00CF6550" w:rsidP="001D6D10">
      <w:pPr>
        <w:pStyle w:val="TOC2"/>
        <w:tabs>
          <w:tab w:val="right" w:leader="dot" w:pos="9350"/>
        </w:tabs>
        <w:rPr>
          <w:rFonts w:ascii="Calibri" w:hAnsi="Calibri"/>
          <w:noProof/>
          <w:sz w:val="22"/>
        </w:rPr>
      </w:pPr>
      <w:hyperlink w:anchor="_Toc275242931" w:history="1">
        <w:r w:rsidR="00985651" w:rsidRPr="00E828BE">
          <w:rPr>
            <w:rStyle w:val="Hyperlink"/>
            <w:noProof/>
            <w:color w:val="auto"/>
          </w:rPr>
          <w:t>4(a) Respondents/Standard Industrial Classification (SIC) Codes</w:t>
        </w:r>
        <w:r w:rsidR="00985651" w:rsidRPr="00E828BE">
          <w:rPr>
            <w:noProof/>
            <w:webHidden/>
          </w:rPr>
          <w:tab/>
        </w:r>
        <w:r w:rsidR="007A49C7" w:rsidRPr="00E828BE">
          <w:rPr>
            <w:noProof/>
            <w:webHidden/>
          </w:rPr>
          <w:fldChar w:fldCharType="begin"/>
        </w:r>
        <w:r w:rsidR="00985651" w:rsidRPr="00E828BE">
          <w:rPr>
            <w:noProof/>
            <w:webHidden/>
          </w:rPr>
          <w:instrText xml:space="preserve"> PAGEREF _Toc275242931 \h </w:instrText>
        </w:r>
        <w:r w:rsidR="007A49C7" w:rsidRPr="00E828BE">
          <w:rPr>
            <w:noProof/>
            <w:webHidden/>
          </w:rPr>
        </w:r>
        <w:r w:rsidR="007A49C7" w:rsidRPr="00E828BE">
          <w:rPr>
            <w:noProof/>
            <w:webHidden/>
          </w:rPr>
          <w:fldChar w:fldCharType="separate"/>
        </w:r>
        <w:r w:rsidR="002C5064">
          <w:rPr>
            <w:noProof/>
            <w:webHidden/>
          </w:rPr>
          <w:t>9</w:t>
        </w:r>
        <w:r w:rsidR="007A49C7" w:rsidRPr="00E828BE">
          <w:rPr>
            <w:noProof/>
            <w:webHidden/>
          </w:rPr>
          <w:fldChar w:fldCharType="end"/>
        </w:r>
      </w:hyperlink>
    </w:p>
    <w:p w14:paraId="73A66797" w14:textId="77777777" w:rsidR="00985651" w:rsidRPr="00E828BE" w:rsidRDefault="00CF6550" w:rsidP="001D6D10">
      <w:pPr>
        <w:pStyle w:val="TOC2"/>
        <w:tabs>
          <w:tab w:val="right" w:leader="dot" w:pos="9350"/>
        </w:tabs>
        <w:rPr>
          <w:rFonts w:ascii="Calibri" w:hAnsi="Calibri"/>
          <w:noProof/>
          <w:sz w:val="22"/>
        </w:rPr>
      </w:pPr>
      <w:hyperlink w:anchor="_Toc275242932" w:history="1">
        <w:r w:rsidR="00985651" w:rsidRPr="00E828BE">
          <w:rPr>
            <w:rStyle w:val="Hyperlink"/>
            <w:noProof/>
            <w:color w:val="auto"/>
          </w:rPr>
          <w:t>4(b) Information Requested</w:t>
        </w:r>
        <w:r w:rsidR="00985651" w:rsidRPr="00E828BE">
          <w:rPr>
            <w:noProof/>
            <w:webHidden/>
          </w:rPr>
          <w:tab/>
        </w:r>
        <w:r w:rsidR="007A49C7" w:rsidRPr="00E828BE">
          <w:rPr>
            <w:noProof/>
            <w:webHidden/>
          </w:rPr>
          <w:fldChar w:fldCharType="begin"/>
        </w:r>
        <w:r w:rsidR="00985651" w:rsidRPr="00E828BE">
          <w:rPr>
            <w:noProof/>
            <w:webHidden/>
          </w:rPr>
          <w:instrText xml:space="preserve"> PAGEREF _Toc275242932 \h </w:instrText>
        </w:r>
        <w:r w:rsidR="007A49C7" w:rsidRPr="00E828BE">
          <w:rPr>
            <w:noProof/>
            <w:webHidden/>
          </w:rPr>
        </w:r>
        <w:r w:rsidR="007A49C7" w:rsidRPr="00E828BE">
          <w:rPr>
            <w:noProof/>
            <w:webHidden/>
          </w:rPr>
          <w:fldChar w:fldCharType="separate"/>
        </w:r>
        <w:r w:rsidR="002C5064">
          <w:rPr>
            <w:noProof/>
            <w:webHidden/>
          </w:rPr>
          <w:t>9</w:t>
        </w:r>
        <w:r w:rsidR="007A49C7" w:rsidRPr="00E828BE">
          <w:rPr>
            <w:noProof/>
            <w:webHidden/>
          </w:rPr>
          <w:fldChar w:fldCharType="end"/>
        </w:r>
      </w:hyperlink>
    </w:p>
    <w:p w14:paraId="51E0FA00" w14:textId="77777777" w:rsidR="00985651" w:rsidRPr="00E828BE" w:rsidRDefault="00CF6550" w:rsidP="001D6D10">
      <w:pPr>
        <w:pStyle w:val="TOC3"/>
        <w:tabs>
          <w:tab w:val="right" w:leader="dot" w:pos="9350"/>
        </w:tabs>
        <w:rPr>
          <w:rFonts w:ascii="Calibri" w:hAnsi="Calibri"/>
          <w:noProof/>
          <w:sz w:val="22"/>
        </w:rPr>
      </w:pPr>
      <w:hyperlink w:anchor="_Toc275242933" w:history="1">
        <w:r w:rsidR="00985651" w:rsidRPr="00E828BE">
          <w:rPr>
            <w:rStyle w:val="Hyperlink"/>
            <w:noProof/>
            <w:color w:val="auto"/>
          </w:rPr>
          <w:t>4(b)(i) Obtaining Permit Coverage</w:t>
        </w:r>
        <w:r w:rsidR="00985651" w:rsidRPr="00E828BE">
          <w:rPr>
            <w:noProof/>
            <w:webHidden/>
          </w:rPr>
          <w:tab/>
        </w:r>
        <w:r w:rsidR="007A49C7" w:rsidRPr="00E828BE">
          <w:rPr>
            <w:noProof/>
            <w:webHidden/>
          </w:rPr>
          <w:fldChar w:fldCharType="begin"/>
        </w:r>
        <w:r w:rsidR="00985651" w:rsidRPr="00E828BE">
          <w:rPr>
            <w:noProof/>
            <w:webHidden/>
          </w:rPr>
          <w:instrText xml:space="preserve"> PAGEREF _Toc275242933 \h </w:instrText>
        </w:r>
        <w:r w:rsidR="007A49C7" w:rsidRPr="00E828BE">
          <w:rPr>
            <w:noProof/>
            <w:webHidden/>
          </w:rPr>
        </w:r>
        <w:r w:rsidR="007A49C7" w:rsidRPr="00E828BE">
          <w:rPr>
            <w:noProof/>
            <w:webHidden/>
          </w:rPr>
          <w:fldChar w:fldCharType="separate"/>
        </w:r>
        <w:r w:rsidR="002C5064">
          <w:rPr>
            <w:noProof/>
            <w:webHidden/>
          </w:rPr>
          <w:t>9</w:t>
        </w:r>
        <w:r w:rsidR="007A49C7" w:rsidRPr="00E828BE">
          <w:rPr>
            <w:noProof/>
            <w:webHidden/>
          </w:rPr>
          <w:fldChar w:fldCharType="end"/>
        </w:r>
      </w:hyperlink>
    </w:p>
    <w:p w14:paraId="3EE3AC70" w14:textId="77777777" w:rsidR="00985651" w:rsidRPr="00E828BE" w:rsidRDefault="00CF6550" w:rsidP="001D6D10">
      <w:pPr>
        <w:pStyle w:val="TOC3"/>
        <w:tabs>
          <w:tab w:val="right" w:leader="dot" w:pos="9350"/>
        </w:tabs>
        <w:rPr>
          <w:rFonts w:ascii="Calibri" w:hAnsi="Calibri"/>
          <w:noProof/>
          <w:sz w:val="22"/>
        </w:rPr>
      </w:pPr>
      <w:hyperlink w:anchor="_Toc275242934" w:history="1">
        <w:r w:rsidR="00985651" w:rsidRPr="00E828BE">
          <w:rPr>
            <w:rStyle w:val="Hyperlink"/>
            <w:noProof/>
            <w:color w:val="auto"/>
          </w:rPr>
          <w:t>4(b)(ii) Plan Development</w:t>
        </w:r>
        <w:r w:rsidR="00985651" w:rsidRPr="00E828BE">
          <w:rPr>
            <w:noProof/>
            <w:webHidden/>
          </w:rPr>
          <w:tab/>
        </w:r>
        <w:r w:rsidR="007A49C7" w:rsidRPr="00E828BE">
          <w:rPr>
            <w:noProof/>
            <w:webHidden/>
          </w:rPr>
          <w:fldChar w:fldCharType="begin"/>
        </w:r>
        <w:r w:rsidR="00985651" w:rsidRPr="00E828BE">
          <w:rPr>
            <w:noProof/>
            <w:webHidden/>
          </w:rPr>
          <w:instrText xml:space="preserve"> PAGEREF _Toc275242934 \h </w:instrText>
        </w:r>
        <w:r w:rsidR="007A49C7" w:rsidRPr="00E828BE">
          <w:rPr>
            <w:noProof/>
            <w:webHidden/>
          </w:rPr>
        </w:r>
        <w:r w:rsidR="007A49C7" w:rsidRPr="00E828BE">
          <w:rPr>
            <w:noProof/>
            <w:webHidden/>
          </w:rPr>
          <w:fldChar w:fldCharType="separate"/>
        </w:r>
        <w:r w:rsidR="002C5064">
          <w:rPr>
            <w:noProof/>
            <w:webHidden/>
          </w:rPr>
          <w:t>11</w:t>
        </w:r>
        <w:r w:rsidR="007A49C7" w:rsidRPr="00E828BE">
          <w:rPr>
            <w:noProof/>
            <w:webHidden/>
          </w:rPr>
          <w:fldChar w:fldCharType="end"/>
        </w:r>
      </w:hyperlink>
    </w:p>
    <w:p w14:paraId="3F5B27BE" w14:textId="77777777" w:rsidR="00985651" w:rsidRPr="00E828BE" w:rsidRDefault="00CF6550" w:rsidP="001D6D10">
      <w:pPr>
        <w:pStyle w:val="TOC3"/>
        <w:tabs>
          <w:tab w:val="right" w:leader="dot" w:pos="9350"/>
        </w:tabs>
        <w:rPr>
          <w:rFonts w:ascii="Calibri" w:hAnsi="Calibri"/>
          <w:noProof/>
          <w:sz w:val="22"/>
        </w:rPr>
      </w:pPr>
      <w:hyperlink w:anchor="_Toc275242935" w:history="1">
        <w:r w:rsidR="00985651" w:rsidRPr="00E828BE">
          <w:rPr>
            <w:rStyle w:val="Hyperlink"/>
            <w:noProof/>
            <w:color w:val="auto"/>
          </w:rPr>
          <w:t>4(b)(iii) Monitoring</w:t>
        </w:r>
        <w:r w:rsidR="00985651" w:rsidRPr="00E828BE">
          <w:rPr>
            <w:noProof/>
            <w:webHidden/>
          </w:rPr>
          <w:tab/>
        </w:r>
        <w:r w:rsidR="007A49C7" w:rsidRPr="00E828BE">
          <w:rPr>
            <w:noProof/>
            <w:webHidden/>
          </w:rPr>
          <w:fldChar w:fldCharType="begin"/>
        </w:r>
        <w:r w:rsidR="00985651" w:rsidRPr="00E828BE">
          <w:rPr>
            <w:noProof/>
            <w:webHidden/>
          </w:rPr>
          <w:instrText xml:space="preserve"> PAGEREF _Toc275242935 \h </w:instrText>
        </w:r>
        <w:r w:rsidR="007A49C7" w:rsidRPr="00E828BE">
          <w:rPr>
            <w:noProof/>
            <w:webHidden/>
          </w:rPr>
        </w:r>
        <w:r w:rsidR="007A49C7" w:rsidRPr="00E828BE">
          <w:rPr>
            <w:noProof/>
            <w:webHidden/>
          </w:rPr>
          <w:fldChar w:fldCharType="separate"/>
        </w:r>
        <w:r w:rsidR="002C5064">
          <w:rPr>
            <w:noProof/>
            <w:webHidden/>
          </w:rPr>
          <w:t>11</w:t>
        </w:r>
        <w:r w:rsidR="007A49C7" w:rsidRPr="00E828BE">
          <w:rPr>
            <w:noProof/>
            <w:webHidden/>
          </w:rPr>
          <w:fldChar w:fldCharType="end"/>
        </w:r>
      </w:hyperlink>
    </w:p>
    <w:p w14:paraId="271082CF" w14:textId="77777777" w:rsidR="00985651" w:rsidRPr="00E828BE" w:rsidRDefault="00CF6550" w:rsidP="001D6D10">
      <w:pPr>
        <w:pStyle w:val="TOC3"/>
        <w:tabs>
          <w:tab w:val="right" w:leader="dot" w:pos="9350"/>
        </w:tabs>
        <w:rPr>
          <w:rFonts w:ascii="Calibri" w:hAnsi="Calibri"/>
          <w:noProof/>
          <w:sz w:val="22"/>
        </w:rPr>
      </w:pPr>
      <w:hyperlink w:anchor="_Toc275242936" w:history="1">
        <w:r w:rsidR="00985651" w:rsidRPr="00E828BE">
          <w:rPr>
            <w:rStyle w:val="Hyperlink"/>
            <w:noProof/>
            <w:color w:val="auto"/>
          </w:rPr>
          <w:t>4(b)(iv) Reporting</w:t>
        </w:r>
        <w:r w:rsidR="00985651" w:rsidRPr="00E828BE">
          <w:rPr>
            <w:noProof/>
            <w:webHidden/>
          </w:rPr>
          <w:tab/>
        </w:r>
        <w:r w:rsidR="007A49C7" w:rsidRPr="00E828BE">
          <w:rPr>
            <w:noProof/>
            <w:webHidden/>
          </w:rPr>
          <w:fldChar w:fldCharType="begin"/>
        </w:r>
        <w:r w:rsidR="00985651" w:rsidRPr="00E828BE">
          <w:rPr>
            <w:noProof/>
            <w:webHidden/>
          </w:rPr>
          <w:instrText xml:space="preserve"> PAGEREF _Toc275242936 \h </w:instrText>
        </w:r>
        <w:r w:rsidR="007A49C7" w:rsidRPr="00E828BE">
          <w:rPr>
            <w:noProof/>
            <w:webHidden/>
          </w:rPr>
        </w:r>
        <w:r w:rsidR="007A49C7" w:rsidRPr="00E828BE">
          <w:rPr>
            <w:noProof/>
            <w:webHidden/>
          </w:rPr>
          <w:fldChar w:fldCharType="separate"/>
        </w:r>
        <w:r w:rsidR="002C5064">
          <w:rPr>
            <w:noProof/>
            <w:webHidden/>
          </w:rPr>
          <w:t>12</w:t>
        </w:r>
        <w:r w:rsidR="007A49C7" w:rsidRPr="00E828BE">
          <w:rPr>
            <w:noProof/>
            <w:webHidden/>
          </w:rPr>
          <w:fldChar w:fldCharType="end"/>
        </w:r>
      </w:hyperlink>
    </w:p>
    <w:p w14:paraId="3F77106C" w14:textId="77777777" w:rsidR="00985651" w:rsidRPr="00E828BE" w:rsidRDefault="00CF6550" w:rsidP="001D6D10">
      <w:pPr>
        <w:pStyle w:val="TOC3"/>
        <w:tabs>
          <w:tab w:val="right" w:leader="dot" w:pos="9350"/>
        </w:tabs>
        <w:rPr>
          <w:rFonts w:ascii="Calibri" w:hAnsi="Calibri"/>
          <w:noProof/>
          <w:sz w:val="22"/>
        </w:rPr>
      </w:pPr>
      <w:hyperlink w:anchor="_Toc275242937" w:history="1">
        <w:r w:rsidR="00985651" w:rsidRPr="00E828BE">
          <w:rPr>
            <w:rStyle w:val="Hyperlink"/>
            <w:noProof/>
            <w:color w:val="auto"/>
          </w:rPr>
          <w:t>4(b)(v) Recordkeeping</w:t>
        </w:r>
        <w:r w:rsidR="00985651" w:rsidRPr="00E828BE">
          <w:rPr>
            <w:noProof/>
            <w:webHidden/>
          </w:rPr>
          <w:tab/>
        </w:r>
        <w:r w:rsidR="007A49C7" w:rsidRPr="00E828BE">
          <w:rPr>
            <w:noProof/>
            <w:webHidden/>
          </w:rPr>
          <w:fldChar w:fldCharType="begin"/>
        </w:r>
        <w:r w:rsidR="00985651" w:rsidRPr="00E828BE">
          <w:rPr>
            <w:noProof/>
            <w:webHidden/>
          </w:rPr>
          <w:instrText xml:space="preserve"> PAGEREF _Toc275242937 \h </w:instrText>
        </w:r>
        <w:r w:rsidR="007A49C7" w:rsidRPr="00E828BE">
          <w:rPr>
            <w:noProof/>
            <w:webHidden/>
          </w:rPr>
        </w:r>
        <w:r w:rsidR="007A49C7" w:rsidRPr="00E828BE">
          <w:rPr>
            <w:noProof/>
            <w:webHidden/>
          </w:rPr>
          <w:fldChar w:fldCharType="separate"/>
        </w:r>
        <w:r w:rsidR="002C5064">
          <w:rPr>
            <w:noProof/>
            <w:webHidden/>
          </w:rPr>
          <w:t>16</w:t>
        </w:r>
        <w:r w:rsidR="007A49C7" w:rsidRPr="00E828BE">
          <w:rPr>
            <w:noProof/>
            <w:webHidden/>
          </w:rPr>
          <w:fldChar w:fldCharType="end"/>
        </w:r>
      </w:hyperlink>
    </w:p>
    <w:p w14:paraId="55BDD52D" w14:textId="77777777" w:rsidR="00985651" w:rsidRPr="00E828BE" w:rsidRDefault="00CF6550" w:rsidP="001D6D10">
      <w:pPr>
        <w:pStyle w:val="TOC1"/>
        <w:rPr>
          <w:rFonts w:ascii="Calibri" w:hAnsi="Calibri"/>
          <w:bCs w:val="0"/>
          <w:noProof/>
          <w:sz w:val="22"/>
        </w:rPr>
      </w:pPr>
      <w:hyperlink w:anchor="_Toc275242938" w:history="1">
        <w:r w:rsidR="00985651" w:rsidRPr="00E828BE">
          <w:rPr>
            <w:rStyle w:val="Hyperlink"/>
            <w:noProof/>
            <w:color w:val="auto"/>
          </w:rPr>
          <w:t>5. The Information Collected—Agency Activities, Collection Methodology, and Information Management</w:t>
        </w:r>
        <w:r w:rsidR="00985651" w:rsidRPr="00E828BE">
          <w:rPr>
            <w:noProof/>
            <w:webHidden/>
          </w:rPr>
          <w:tab/>
        </w:r>
        <w:r w:rsidR="007A49C7" w:rsidRPr="00E828BE">
          <w:rPr>
            <w:noProof/>
            <w:webHidden/>
          </w:rPr>
          <w:fldChar w:fldCharType="begin"/>
        </w:r>
        <w:r w:rsidR="00985651" w:rsidRPr="00E828BE">
          <w:rPr>
            <w:noProof/>
            <w:webHidden/>
          </w:rPr>
          <w:instrText xml:space="preserve"> PAGEREF _Toc275242938 \h </w:instrText>
        </w:r>
        <w:r w:rsidR="007A49C7" w:rsidRPr="00E828BE">
          <w:rPr>
            <w:noProof/>
            <w:webHidden/>
          </w:rPr>
        </w:r>
        <w:r w:rsidR="007A49C7" w:rsidRPr="00E828BE">
          <w:rPr>
            <w:noProof/>
            <w:webHidden/>
          </w:rPr>
          <w:fldChar w:fldCharType="separate"/>
        </w:r>
        <w:r w:rsidR="002C5064">
          <w:rPr>
            <w:noProof/>
            <w:webHidden/>
          </w:rPr>
          <w:t>18</w:t>
        </w:r>
        <w:r w:rsidR="007A49C7" w:rsidRPr="00E828BE">
          <w:rPr>
            <w:noProof/>
            <w:webHidden/>
          </w:rPr>
          <w:fldChar w:fldCharType="end"/>
        </w:r>
      </w:hyperlink>
    </w:p>
    <w:p w14:paraId="6EA8064C" w14:textId="77777777" w:rsidR="00985651" w:rsidRPr="00E828BE" w:rsidRDefault="00CF6550" w:rsidP="001D6D10">
      <w:pPr>
        <w:pStyle w:val="TOC2"/>
        <w:tabs>
          <w:tab w:val="right" w:leader="dot" w:pos="9350"/>
        </w:tabs>
        <w:rPr>
          <w:rFonts w:ascii="Calibri" w:hAnsi="Calibri"/>
          <w:noProof/>
          <w:sz w:val="22"/>
        </w:rPr>
      </w:pPr>
      <w:hyperlink w:anchor="_Toc275242939" w:history="1">
        <w:r w:rsidR="00985651" w:rsidRPr="00E828BE">
          <w:rPr>
            <w:rStyle w:val="Hyperlink"/>
            <w:noProof/>
            <w:color w:val="auto"/>
          </w:rPr>
          <w:t>5(a) Agency Activities</w:t>
        </w:r>
        <w:r w:rsidR="00985651" w:rsidRPr="00E828BE">
          <w:rPr>
            <w:noProof/>
            <w:webHidden/>
          </w:rPr>
          <w:tab/>
        </w:r>
        <w:r w:rsidR="007A49C7" w:rsidRPr="00E828BE">
          <w:rPr>
            <w:noProof/>
            <w:webHidden/>
          </w:rPr>
          <w:fldChar w:fldCharType="begin"/>
        </w:r>
        <w:r w:rsidR="00985651" w:rsidRPr="00E828BE">
          <w:rPr>
            <w:noProof/>
            <w:webHidden/>
          </w:rPr>
          <w:instrText xml:space="preserve"> PAGEREF _Toc275242939 \h </w:instrText>
        </w:r>
        <w:r w:rsidR="007A49C7" w:rsidRPr="00E828BE">
          <w:rPr>
            <w:noProof/>
            <w:webHidden/>
          </w:rPr>
        </w:r>
        <w:r w:rsidR="007A49C7" w:rsidRPr="00E828BE">
          <w:rPr>
            <w:noProof/>
            <w:webHidden/>
          </w:rPr>
          <w:fldChar w:fldCharType="separate"/>
        </w:r>
        <w:r w:rsidR="002C5064">
          <w:rPr>
            <w:noProof/>
            <w:webHidden/>
          </w:rPr>
          <w:t>18</w:t>
        </w:r>
        <w:r w:rsidR="007A49C7" w:rsidRPr="00E828BE">
          <w:rPr>
            <w:noProof/>
            <w:webHidden/>
          </w:rPr>
          <w:fldChar w:fldCharType="end"/>
        </w:r>
      </w:hyperlink>
    </w:p>
    <w:p w14:paraId="3F06817A" w14:textId="77777777" w:rsidR="00985651" w:rsidRPr="00E828BE" w:rsidRDefault="00CF6550" w:rsidP="001D6D10">
      <w:pPr>
        <w:pStyle w:val="TOC2"/>
        <w:tabs>
          <w:tab w:val="right" w:leader="dot" w:pos="9350"/>
        </w:tabs>
        <w:rPr>
          <w:rFonts w:ascii="Calibri" w:hAnsi="Calibri"/>
          <w:noProof/>
          <w:sz w:val="22"/>
        </w:rPr>
      </w:pPr>
      <w:hyperlink w:anchor="_Toc275242940" w:history="1">
        <w:r w:rsidR="00985651" w:rsidRPr="00E828BE">
          <w:rPr>
            <w:rStyle w:val="Hyperlink"/>
            <w:noProof/>
            <w:color w:val="auto"/>
          </w:rPr>
          <w:t>5(b) Collection Methodology and Management</w:t>
        </w:r>
        <w:r w:rsidR="00985651" w:rsidRPr="00E828BE">
          <w:rPr>
            <w:noProof/>
            <w:webHidden/>
          </w:rPr>
          <w:tab/>
        </w:r>
        <w:r w:rsidR="007A49C7" w:rsidRPr="00E828BE">
          <w:rPr>
            <w:noProof/>
            <w:webHidden/>
          </w:rPr>
          <w:fldChar w:fldCharType="begin"/>
        </w:r>
        <w:r w:rsidR="00985651" w:rsidRPr="00E828BE">
          <w:rPr>
            <w:noProof/>
            <w:webHidden/>
          </w:rPr>
          <w:instrText xml:space="preserve"> PAGEREF _Toc275242940 \h </w:instrText>
        </w:r>
        <w:r w:rsidR="007A49C7" w:rsidRPr="00E828BE">
          <w:rPr>
            <w:noProof/>
            <w:webHidden/>
          </w:rPr>
        </w:r>
        <w:r w:rsidR="007A49C7" w:rsidRPr="00E828BE">
          <w:rPr>
            <w:noProof/>
            <w:webHidden/>
          </w:rPr>
          <w:fldChar w:fldCharType="separate"/>
        </w:r>
        <w:r w:rsidR="002C5064">
          <w:rPr>
            <w:noProof/>
            <w:webHidden/>
          </w:rPr>
          <w:t>19</w:t>
        </w:r>
        <w:r w:rsidR="007A49C7" w:rsidRPr="00E828BE">
          <w:rPr>
            <w:noProof/>
            <w:webHidden/>
          </w:rPr>
          <w:fldChar w:fldCharType="end"/>
        </w:r>
      </w:hyperlink>
    </w:p>
    <w:p w14:paraId="77A20680" w14:textId="77777777" w:rsidR="00985651" w:rsidRPr="00E828BE" w:rsidRDefault="00CF6550" w:rsidP="001D6D10">
      <w:pPr>
        <w:pStyle w:val="TOC2"/>
        <w:tabs>
          <w:tab w:val="right" w:leader="dot" w:pos="9350"/>
        </w:tabs>
        <w:rPr>
          <w:rFonts w:ascii="Calibri" w:hAnsi="Calibri"/>
          <w:noProof/>
          <w:sz w:val="22"/>
        </w:rPr>
      </w:pPr>
      <w:hyperlink w:anchor="_Toc275242941" w:history="1">
        <w:r w:rsidR="00985651" w:rsidRPr="00E828BE">
          <w:rPr>
            <w:rStyle w:val="Hyperlink"/>
            <w:noProof/>
            <w:color w:val="auto"/>
          </w:rPr>
          <w:t>5(c) Small Entity Flexibility</w:t>
        </w:r>
        <w:r w:rsidR="00985651" w:rsidRPr="00E828BE">
          <w:rPr>
            <w:noProof/>
            <w:webHidden/>
          </w:rPr>
          <w:tab/>
        </w:r>
        <w:r w:rsidR="007A49C7" w:rsidRPr="00E828BE">
          <w:rPr>
            <w:noProof/>
            <w:webHidden/>
          </w:rPr>
          <w:fldChar w:fldCharType="begin"/>
        </w:r>
        <w:r w:rsidR="00985651" w:rsidRPr="00E828BE">
          <w:rPr>
            <w:noProof/>
            <w:webHidden/>
          </w:rPr>
          <w:instrText xml:space="preserve"> PAGEREF _Toc275242941 \h </w:instrText>
        </w:r>
        <w:r w:rsidR="007A49C7" w:rsidRPr="00E828BE">
          <w:rPr>
            <w:noProof/>
            <w:webHidden/>
          </w:rPr>
        </w:r>
        <w:r w:rsidR="007A49C7" w:rsidRPr="00E828BE">
          <w:rPr>
            <w:noProof/>
            <w:webHidden/>
          </w:rPr>
          <w:fldChar w:fldCharType="separate"/>
        </w:r>
        <w:r w:rsidR="002C5064">
          <w:rPr>
            <w:noProof/>
            <w:webHidden/>
          </w:rPr>
          <w:t>20</w:t>
        </w:r>
        <w:r w:rsidR="007A49C7" w:rsidRPr="00E828BE">
          <w:rPr>
            <w:noProof/>
            <w:webHidden/>
          </w:rPr>
          <w:fldChar w:fldCharType="end"/>
        </w:r>
      </w:hyperlink>
    </w:p>
    <w:p w14:paraId="1DE04CE5" w14:textId="77777777" w:rsidR="00985651" w:rsidRPr="00E828BE" w:rsidRDefault="00CF6550" w:rsidP="001D6D10">
      <w:pPr>
        <w:pStyle w:val="TOC2"/>
        <w:tabs>
          <w:tab w:val="right" w:leader="dot" w:pos="9350"/>
        </w:tabs>
        <w:rPr>
          <w:rFonts w:ascii="Calibri" w:hAnsi="Calibri"/>
          <w:noProof/>
          <w:sz w:val="22"/>
        </w:rPr>
      </w:pPr>
      <w:hyperlink w:anchor="_Toc275242942" w:history="1">
        <w:r w:rsidR="00985651" w:rsidRPr="00E828BE">
          <w:rPr>
            <w:rStyle w:val="Hyperlink"/>
            <w:noProof/>
            <w:color w:val="auto"/>
          </w:rPr>
          <w:t>5(d) Collection Schedule</w:t>
        </w:r>
        <w:r w:rsidR="00985651" w:rsidRPr="00E828BE">
          <w:rPr>
            <w:noProof/>
            <w:webHidden/>
          </w:rPr>
          <w:tab/>
        </w:r>
        <w:r w:rsidR="007A49C7" w:rsidRPr="00E828BE">
          <w:rPr>
            <w:noProof/>
            <w:webHidden/>
          </w:rPr>
          <w:fldChar w:fldCharType="begin"/>
        </w:r>
        <w:r w:rsidR="00985651" w:rsidRPr="00E828BE">
          <w:rPr>
            <w:noProof/>
            <w:webHidden/>
          </w:rPr>
          <w:instrText xml:space="preserve"> PAGEREF _Toc275242942 \h </w:instrText>
        </w:r>
        <w:r w:rsidR="007A49C7" w:rsidRPr="00E828BE">
          <w:rPr>
            <w:noProof/>
            <w:webHidden/>
          </w:rPr>
        </w:r>
        <w:r w:rsidR="007A49C7" w:rsidRPr="00E828BE">
          <w:rPr>
            <w:noProof/>
            <w:webHidden/>
          </w:rPr>
          <w:fldChar w:fldCharType="separate"/>
        </w:r>
        <w:r w:rsidR="002C5064">
          <w:rPr>
            <w:noProof/>
            <w:webHidden/>
          </w:rPr>
          <w:t>20</w:t>
        </w:r>
        <w:r w:rsidR="007A49C7" w:rsidRPr="00E828BE">
          <w:rPr>
            <w:noProof/>
            <w:webHidden/>
          </w:rPr>
          <w:fldChar w:fldCharType="end"/>
        </w:r>
      </w:hyperlink>
    </w:p>
    <w:p w14:paraId="40F2B25A" w14:textId="77777777" w:rsidR="00985651" w:rsidRPr="00E828BE" w:rsidRDefault="00CF6550" w:rsidP="001D6D10">
      <w:pPr>
        <w:pStyle w:val="TOC1"/>
        <w:rPr>
          <w:rFonts w:ascii="Calibri" w:hAnsi="Calibri"/>
          <w:bCs w:val="0"/>
          <w:noProof/>
          <w:sz w:val="22"/>
        </w:rPr>
      </w:pPr>
      <w:hyperlink w:anchor="_Toc275242943" w:history="1">
        <w:r w:rsidR="00985651" w:rsidRPr="00E828BE">
          <w:rPr>
            <w:rStyle w:val="Hyperlink"/>
            <w:noProof/>
            <w:color w:val="auto"/>
          </w:rPr>
          <w:t>6. Estimating the Burden and Cost of the Collection</w:t>
        </w:r>
        <w:r w:rsidR="00985651" w:rsidRPr="00E828BE">
          <w:rPr>
            <w:noProof/>
            <w:webHidden/>
          </w:rPr>
          <w:tab/>
        </w:r>
        <w:r w:rsidR="007A49C7" w:rsidRPr="00E828BE">
          <w:rPr>
            <w:noProof/>
            <w:webHidden/>
          </w:rPr>
          <w:fldChar w:fldCharType="begin"/>
        </w:r>
        <w:r w:rsidR="00985651" w:rsidRPr="00E828BE">
          <w:rPr>
            <w:noProof/>
            <w:webHidden/>
          </w:rPr>
          <w:instrText xml:space="preserve"> PAGEREF _Toc275242943 \h </w:instrText>
        </w:r>
        <w:r w:rsidR="007A49C7" w:rsidRPr="00E828BE">
          <w:rPr>
            <w:noProof/>
            <w:webHidden/>
          </w:rPr>
        </w:r>
        <w:r w:rsidR="007A49C7" w:rsidRPr="00E828BE">
          <w:rPr>
            <w:noProof/>
            <w:webHidden/>
          </w:rPr>
          <w:fldChar w:fldCharType="separate"/>
        </w:r>
        <w:r w:rsidR="002C5064">
          <w:rPr>
            <w:noProof/>
            <w:webHidden/>
          </w:rPr>
          <w:t>21</w:t>
        </w:r>
        <w:r w:rsidR="007A49C7" w:rsidRPr="00E828BE">
          <w:rPr>
            <w:noProof/>
            <w:webHidden/>
          </w:rPr>
          <w:fldChar w:fldCharType="end"/>
        </w:r>
      </w:hyperlink>
    </w:p>
    <w:p w14:paraId="39B0F346" w14:textId="77777777" w:rsidR="00985651" w:rsidRPr="00E828BE" w:rsidRDefault="00CF6550" w:rsidP="001D6D10">
      <w:pPr>
        <w:pStyle w:val="TOC2"/>
        <w:tabs>
          <w:tab w:val="right" w:leader="dot" w:pos="9350"/>
        </w:tabs>
        <w:rPr>
          <w:rFonts w:ascii="Calibri" w:hAnsi="Calibri"/>
          <w:noProof/>
          <w:sz w:val="22"/>
        </w:rPr>
      </w:pPr>
      <w:hyperlink w:anchor="_Toc275242944" w:history="1">
        <w:r w:rsidR="00985651" w:rsidRPr="00E828BE">
          <w:rPr>
            <w:rStyle w:val="Hyperlink"/>
            <w:noProof/>
            <w:color w:val="auto"/>
          </w:rPr>
          <w:t>6(a) Estimating Respondent Burden</w:t>
        </w:r>
        <w:r w:rsidR="00985651" w:rsidRPr="00E828BE">
          <w:rPr>
            <w:noProof/>
            <w:webHidden/>
          </w:rPr>
          <w:tab/>
        </w:r>
        <w:r w:rsidR="007A49C7" w:rsidRPr="00E828BE">
          <w:rPr>
            <w:noProof/>
            <w:webHidden/>
          </w:rPr>
          <w:fldChar w:fldCharType="begin"/>
        </w:r>
        <w:r w:rsidR="00985651" w:rsidRPr="00E828BE">
          <w:rPr>
            <w:noProof/>
            <w:webHidden/>
          </w:rPr>
          <w:instrText xml:space="preserve"> PAGEREF _Toc275242944 \h </w:instrText>
        </w:r>
        <w:r w:rsidR="007A49C7" w:rsidRPr="00E828BE">
          <w:rPr>
            <w:noProof/>
            <w:webHidden/>
          </w:rPr>
        </w:r>
        <w:r w:rsidR="007A49C7" w:rsidRPr="00E828BE">
          <w:rPr>
            <w:noProof/>
            <w:webHidden/>
          </w:rPr>
          <w:fldChar w:fldCharType="separate"/>
        </w:r>
        <w:r w:rsidR="002C5064">
          <w:rPr>
            <w:noProof/>
            <w:webHidden/>
          </w:rPr>
          <w:t>21</w:t>
        </w:r>
        <w:r w:rsidR="007A49C7" w:rsidRPr="00E828BE">
          <w:rPr>
            <w:noProof/>
            <w:webHidden/>
          </w:rPr>
          <w:fldChar w:fldCharType="end"/>
        </w:r>
      </w:hyperlink>
    </w:p>
    <w:p w14:paraId="54719055" w14:textId="77777777" w:rsidR="00985651" w:rsidRPr="00E828BE" w:rsidRDefault="00CF6550" w:rsidP="001D6D10">
      <w:pPr>
        <w:pStyle w:val="TOC3"/>
        <w:tabs>
          <w:tab w:val="right" w:leader="dot" w:pos="9350"/>
        </w:tabs>
        <w:rPr>
          <w:rFonts w:ascii="Calibri" w:hAnsi="Calibri"/>
          <w:noProof/>
          <w:sz w:val="22"/>
        </w:rPr>
      </w:pPr>
      <w:hyperlink w:anchor="_Toc275242945" w:history="1">
        <w:r w:rsidR="00985651" w:rsidRPr="00E828BE">
          <w:rPr>
            <w:rStyle w:val="Hyperlink"/>
            <w:noProof/>
            <w:color w:val="auto"/>
          </w:rPr>
          <w:t>6(a)(i) Obtaining Permit Coverage</w:t>
        </w:r>
        <w:r w:rsidR="00985651" w:rsidRPr="00E828BE">
          <w:rPr>
            <w:noProof/>
            <w:webHidden/>
          </w:rPr>
          <w:tab/>
        </w:r>
        <w:r w:rsidR="007A49C7" w:rsidRPr="00E828BE">
          <w:rPr>
            <w:noProof/>
            <w:webHidden/>
          </w:rPr>
          <w:fldChar w:fldCharType="begin"/>
        </w:r>
        <w:r w:rsidR="00985651" w:rsidRPr="00E828BE">
          <w:rPr>
            <w:noProof/>
            <w:webHidden/>
          </w:rPr>
          <w:instrText xml:space="preserve"> PAGEREF _Toc275242945 \h </w:instrText>
        </w:r>
        <w:r w:rsidR="007A49C7" w:rsidRPr="00E828BE">
          <w:rPr>
            <w:noProof/>
            <w:webHidden/>
          </w:rPr>
        </w:r>
        <w:r w:rsidR="007A49C7" w:rsidRPr="00E828BE">
          <w:rPr>
            <w:noProof/>
            <w:webHidden/>
          </w:rPr>
          <w:fldChar w:fldCharType="separate"/>
        </w:r>
        <w:r w:rsidR="002C5064">
          <w:rPr>
            <w:noProof/>
            <w:webHidden/>
          </w:rPr>
          <w:t>21</w:t>
        </w:r>
        <w:r w:rsidR="007A49C7" w:rsidRPr="00E828BE">
          <w:rPr>
            <w:noProof/>
            <w:webHidden/>
          </w:rPr>
          <w:fldChar w:fldCharType="end"/>
        </w:r>
      </w:hyperlink>
    </w:p>
    <w:p w14:paraId="23BAE6CB" w14:textId="77777777" w:rsidR="00985651" w:rsidRPr="00E828BE" w:rsidRDefault="00CF6550" w:rsidP="001D6D10">
      <w:pPr>
        <w:pStyle w:val="TOC3"/>
        <w:tabs>
          <w:tab w:val="right" w:leader="dot" w:pos="9350"/>
        </w:tabs>
        <w:rPr>
          <w:rFonts w:ascii="Calibri" w:hAnsi="Calibri"/>
          <w:noProof/>
          <w:sz w:val="22"/>
        </w:rPr>
      </w:pPr>
      <w:hyperlink w:anchor="_Toc275242946" w:history="1">
        <w:r w:rsidR="00985651" w:rsidRPr="00E828BE">
          <w:rPr>
            <w:rStyle w:val="Hyperlink"/>
            <w:noProof/>
            <w:color w:val="auto"/>
          </w:rPr>
          <w:t>6(a)(ii) Plan Development</w:t>
        </w:r>
        <w:r w:rsidR="00985651" w:rsidRPr="00E828BE">
          <w:rPr>
            <w:noProof/>
            <w:webHidden/>
          </w:rPr>
          <w:tab/>
        </w:r>
        <w:r w:rsidR="007A49C7" w:rsidRPr="00E828BE">
          <w:rPr>
            <w:noProof/>
            <w:webHidden/>
          </w:rPr>
          <w:fldChar w:fldCharType="begin"/>
        </w:r>
        <w:r w:rsidR="00985651" w:rsidRPr="00E828BE">
          <w:rPr>
            <w:noProof/>
            <w:webHidden/>
          </w:rPr>
          <w:instrText xml:space="preserve"> PAGEREF _Toc275242946 \h </w:instrText>
        </w:r>
        <w:r w:rsidR="007A49C7" w:rsidRPr="00E828BE">
          <w:rPr>
            <w:noProof/>
            <w:webHidden/>
          </w:rPr>
        </w:r>
        <w:r w:rsidR="007A49C7" w:rsidRPr="00E828BE">
          <w:rPr>
            <w:noProof/>
            <w:webHidden/>
          </w:rPr>
          <w:fldChar w:fldCharType="separate"/>
        </w:r>
        <w:r w:rsidR="002C5064">
          <w:rPr>
            <w:noProof/>
            <w:webHidden/>
          </w:rPr>
          <w:t>22</w:t>
        </w:r>
        <w:r w:rsidR="007A49C7" w:rsidRPr="00E828BE">
          <w:rPr>
            <w:noProof/>
            <w:webHidden/>
          </w:rPr>
          <w:fldChar w:fldCharType="end"/>
        </w:r>
      </w:hyperlink>
    </w:p>
    <w:p w14:paraId="5434D263" w14:textId="77777777" w:rsidR="00985651" w:rsidRPr="00E828BE" w:rsidRDefault="00CF6550" w:rsidP="001D6D10">
      <w:pPr>
        <w:pStyle w:val="TOC3"/>
        <w:tabs>
          <w:tab w:val="right" w:leader="dot" w:pos="9350"/>
        </w:tabs>
        <w:rPr>
          <w:rFonts w:ascii="Calibri" w:hAnsi="Calibri"/>
          <w:noProof/>
          <w:sz w:val="22"/>
        </w:rPr>
      </w:pPr>
      <w:hyperlink w:anchor="_Toc275242947" w:history="1">
        <w:r w:rsidR="00985651" w:rsidRPr="00E828BE">
          <w:rPr>
            <w:rStyle w:val="Hyperlink"/>
            <w:noProof/>
            <w:color w:val="auto"/>
          </w:rPr>
          <w:t>6(a)(iii) Monitoring</w:t>
        </w:r>
        <w:r w:rsidR="00985651" w:rsidRPr="00E828BE">
          <w:rPr>
            <w:noProof/>
            <w:webHidden/>
          </w:rPr>
          <w:tab/>
        </w:r>
        <w:r w:rsidR="007A49C7" w:rsidRPr="00E828BE">
          <w:rPr>
            <w:noProof/>
            <w:webHidden/>
          </w:rPr>
          <w:fldChar w:fldCharType="begin"/>
        </w:r>
        <w:r w:rsidR="00985651" w:rsidRPr="00E828BE">
          <w:rPr>
            <w:noProof/>
            <w:webHidden/>
          </w:rPr>
          <w:instrText xml:space="preserve"> PAGEREF _Toc275242947 \h </w:instrText>
        </w:r>
        <w:r w:rsidR="007A49C7" w:rsidRPr="00E828BE">
          <w:rPr>
            <w:noProof/>
            <w:webHidden/>
          </w:rPr>
        </w:r>
        <w:r w:rsidR="007A49C7" w:rsidRPr="00E828BE">
          <w:rPr>
            <w:noProof/>
            <w:webHidden/>
          </w:rPr>
          <w:fldChar w:fldCharType="separate"/>
        </w:r>
        <w:r w:rsidR="002C5064">
          <w:rPr>
            <w:noProof/>
            <w:webHidden/>
          </w:rPr>
          <w:t>22</w:t>
        </w:r>
        <w:r w:rsidR="007A49C7" w:rsidRPr="00E828BE">
          <w:rPr>
            <w:noProof/>
            <w:webHidden/>
          </w:rPr>
          <w:fldChar w:fldCharType="end"/>
        </w:r>
      </w:hyperlink>
    </w:p>
    <w:p w14:paraId="0977F53D" w14:textId="77777777" w:rsidR="00985651" w:rsidRPr="00E828BE" w:rsidRDefault="00CF6550" w:rsidP="001D6D10">
      <w:pPr>
        <w:pStyle w:val="TOC3"/>
        <w:tabs>
          <w:tab w:val="right" w:leader="dot" w:pos="9350"/>
        </w:tabs>
        <w:rPr>
          <w:rFonts w:ascii="Calibri" w:hAnsi="Calibri"/>
          <w:noProof/>
          <w:sz w:val="22"/>
        </w:rPr>
      </w:pPr>
      <w:hyperlink w:anchor="_Toc275242948" w:history="1">
        <w:r w:rsidR="00985651" w:rsidRPr="00E828BE">
          <w:rPr>
            <w:rStyle w:val="Hyperlink"/>
            <w:noProof/>
            <w:color w:val="auto"/>
          </w:rPr>
          <w:t>6(a)(iv) Reporting</w:t>
        </w:r>
        <w:r w:rsidR="00985651" w:rsidRPr="00E828BE">
          <w:rPr>
            <w:noProof/>
            <w:webHidden/>
          </w:rPr>
          <w:tab/>
        </w:r>
        <w:r w:rsidR="007A49C7" w:rsidRPr="00E828BE">
          <w:rPr>
            <w:noProof/>
            <w:webHidden/>
          </w:rPr>
          <w:fldChar w:fldCharType="begin"/>
        </w:r>
        <w:r w:rsidR="00985651" w:rsidRPr="00E828BE">
          <w:rPr>
            <w:noProof/>
            <w:webHidden/>
          </w:rPr>
          <w:instrText xml:space="preserve"> PAGEREF _Toc275242948 \h </w:instrText>
        </w:r>
        <w:r w:rsidR="007A49C7" w:rsidRPr="00E828BE">
          <w:rPr>
            <w:noProof/>
            <w:webHidden/>
          </w:rPr>
        </w:r>
        <w:r w:rsidR="007A49C7" w:rsidRPr="00E828BE">
          <w:rPr>
            <w:noProof/>
            <w:webHidden/>
          </w:rPr>
          <w:fldChar w:fldCharType="separate"/>
        </w:r>
        <w:r w:rsidR="002C5064">
          <w:rPr>
            <w:noProof/>
            <w:webHidden/>
          </w:rPr>
          <w:t>23</w:t>
        </w:r>
        <w:r w:rsidR="007A49C7" w:rsidRPr="00E828BE">
          <w:rPr>
            <w:noProof/>
            <w:webHidden/>
          </w:rPr>
          <w:fldChar w:fldCharType="end"/>
        </w:r>
      </w:hyperlink>
    </w:p>
    <w:p w14:paraId="5A07CD65" w14:textId="77777777" w:rsidR="00985651" w:rsidRPr="00E828BE" w:rsidRDefault="00CF6550" w:rsidP="001D6D10">
      <w:pPr>
        <w:pStyle w:val="TOC3"/>
        <w:tabs>
          <w:tab w:val="right" w:leader="dot" w:pos="9350"/>
        </w:tabs>
        <w:rPr>
          <w:rFonts w:ascii="Calibri" w:hAnsi="Calibri"/>
          <w:noProof/>
          <w:sz w:val="22"/>
        </w:rPr>
      </w:pPr>
      <w:hyperlink w:anchor="_Toc275242949" w:history="1">
        <w:r w:rsidR="00985651" w:rsidRPr="00E828BE">
          <w:rPr>
            <w:rStyle w:val="Hyperlink"/>
            <w:noProof/>
            <w:color w:val="auto"/>
          </w:rPr>
          <w:t>6(a)(v) Record Keeping</w:t>
        </w:r>
        <w:r w:rsidR="00985651" w:rsidRPr="00E828BE">
          <w:rPr>
            <w:noProof/>
            <w:webHidden/>
          </w:rPr>
          <w:tab/>
        </w:r>
        <w:r w:rsidR="007A49C7" w:rsidRPr="00E828BE">
          <w:rPr>
            <w:noProof/>
            <w:webHidden/>
          </w:rPr>
          <w:fldChar w:fldCharType="begin"/>
        </w:r>
        <w:r w:rsidR="00985651" w:rsidRPr="00E828BE">
          <w:rPr>
            <w:noProof/>
            <w:webHidden/>
          </w:rPr>
          <w:instrText xml:space="preserve"> PAGEREF _Toc275242949 \h </w:instrText>
        </w:r>
        <w:r w:rsidR="007A49C7" w:rsidRPr="00E828BE">
          <w:rPr>
            <w:noProof/>
            <w:webHidden/>
          </w:rPr>
        </w:r>
        <w:r w:rsidR="007A49C7" w:rsidRPr="00E828BE">
          <w:rPr>
            <w:noProof/>
            <w:webHidden/>
          </w:rPr>
          <w:fldChar w:fldCharType="separate"/>
        </w:r>
        <w:r w:rsidR="002C5064">
          <w:rPr>
            <w:noProof/>
            <w:webHidden/>
          </w:rPr>
          <w:t>24</w:t>
        </w:r>
        <w:r w:rsidR="007A49C7" w:rsidRPr="00E828BE">
          <w:rPr>
            <w:noProof/>
            <w:webHidden/>
          </w:rPr>
          <w:fldChar w:fldCharType="end"/>
        </w:r>
      </w:hyperlink>
    </w:p>
    <w:p w14:paraId="785F8A48" w14:textId="77777777" w:rsidR="00985651" w:rsidRPr="00E828BE" w:rsidRDefault="00CF6550" w:rsidP="001D6D10">
      <w:pPr>
        <w:pStyle w:val="TOC2"/>
        <w:tabs>
          <w:tab w:val="right" w:leader="dot" w:pos="9350"/>
        </w:tabs>
        <w:rPr>
          <w:rFonts w:ascii="Calibri" w:hAnsi="Calibri"/>
          <w:noProof/>
          <w:sz w:val="22"/>
        </w:rPr>
      </w:pPr>
      <w:hyperlink w:anchor="_Toc275242950" w:history="1">
        <w:r w:rsidR="00985651" w:rsidRPr="00E828BE">
          <w:rPr>
            <w:rStyle w:val="Hyperlink"/>
            <w:noProof/>
            <w:color w:val="auto"/>
          </w:rPr>
          <w:t>6(b) Estimating Respondent Costs</w:t>
        </w:r>
        <w:r w:rsidR="00985651" w:rsidRPr="00E828BE">
          <w:rPr>
            <w:noProof/>
            <w:webHidden/>
          </w:rPr>
          <w:tab/>
        </w:r>
        <w:r w:rsidR="007A49C7" w:rsidRPr="00E828BE">
          <w:rPr>
            <w:noProof/>
            <w:webHidden/>
          </w:rPr>
          <w:fldChar w:fldCharType="begin"/>
        </w:r>
        <w:r w:rsidR="00985651" w:rsidRPr="00E828BE">
          <w:rPr>
            <w:noProof/>
            <w:webHidden/>
          </w:rPr>
          <w:instrText xml:space="preserve"> PAGEREF _Toc275242950 \h </w:instrText>
        </w:r>
        <w:r w:rsidR="007A49C7" w:rsidRPr="00E828BE">
          <w:rPr>
            <w:noProof/>
            <w:webHidden/>
          </w:rPr>
        </w:r>
        <w:r w:rsidR="007A49C7" w:rsidRPr="00E828BE">
          <w:rPr>
            <w:noProof/>
            <w:webHidden/>
          </w:rPr>
          <w:fldChar w:fldCharType="separate"/>
        </w:r>
        <w:r w:rsidR="002C5064">
          <w:rPr>
            <w:noProof/>
            <w:webHidden/>
          </w:rPr>
          <w:t>25</w:t>
        </w:r>
        <w:r w:rsidR="007A49C7" w:rsidRPr="00E828BE">
          <w:rPr>
            <w:noProof/>
            <w:webHidden/>
          </w:rPr>
          <w:fldChar w:fldCharType="end"/>
        </w:r>
      </w:hyperlink>
    </w:p>
    <w:p w14:paraId="0448F042" w14:textId="77777777" w:rsidR="00985651" w:rsidRPr="00E828BE" w:rsidRDefault="00CF6550" w:rsidP="001D6D10">
      <w:pPr>
        <w:pStyle w:val="TOC3"/>
        <w:tabs>
          <w:tab w:val="right" w:leader="dot" w:pos="9350"/>
        </w:tabs>
        <w:rPr>
          <w:rFonts w:ascii="Calibri" w:hAnsi="Calibri"/>
          <w:noProof/>
          <w:sz w:val="22"/>
        </w:rPr>
      </w:pPr>
      <w:hyperlink w:anchor="_Toc275242951" w:history="1">
        <w:r w:rsidR="00985651" w:rsidRPr="00E828BE">
          <w:rPr>
            <w:rStyle w:val="Hyperlink"/>
            <w:noProof/>
            <w:color w:val="auto"/>
          </w:rPr>
          <w:t>6(b)(i) Estimating Labor Costs</w:t>
        </w:r>
        <w:r w:rsidR="00985651" w:rsidRPr="00E828BE">
          <w:rPr>
            <w:noProof/>
            <w:webHidden/>
          </w:rPr>
          <w:tab/>
        </w:r>
        <w:r w:rsidR="007A49C7" w:rsidRPr="00E828BE">
          <w:rPr>
            <w:noProof/>
            <w:webHidden/>
          </w:rPr>
          <w:fldChar w:fldCharType="begin"/>
        </w:r>
        <w:r w:rsidR="00985651" w:rsidRPr="00E828BE">
          <w:rPr>
            <w:noProof/>
            <w:webHidden/>
          </w:rPr>
          <w:instrText xml:space="preserve"> PAGEREF _Toc275242951 \h </w:instrText>
        </w:r>
        <w:r w:rsidR="007A49C7" w:rsidRPr="00E828BE">
          <w:rPr>
            <w:noProof/>
            <w:webHidden/>
          </w:rPr>
        </w:r>
        <w:r w:rsidR="007A49C7" w:rsidRPr="00E828BE">
          <w:rPr>
            <w:noProof/>
            <w:webHidden/>
          </w:rPr>
          <w:fldChar w:fldCharType="separate"/>
        </w:r>
        <w:r w:rsidR="002C5064">
          <w:rPr>
            <w:noProof/>
            <w:webHidden/>
          </w:rPr>
          <w:t>25</w:t>
        </w:r>
        <w:r w:rsidR="007A49C7" w:rsidRPr="00E828BE">
          <w:rPr>
            <w:noProof/>
            <w:webHidden/>
          </w:rPr>
          <w:fldChar w:fldCharType="end"/>
        </w:r>
      </w:hyperlink>
    </w:p>
    <w:p w14:paraId="7D35D071" w14:textId="77777777" w:rsidR="00985651" w:rsidRPr="00E828BE" w:rsidRDefault="00CF6550" w:rsidP="001D6D10">
      <w:pPr>
        <w:pStyle w:val="TOC3"/>
        <w:tabs>
          <w:tab w:val="right" w:leader="dot" w:pos="9350"/>
        </w:tabs>
        <w:rPr>
          <w:rFonts w:ascii="Calibri" w:hAnsi="Calibri"/>
          <w:noProof/>
          <w:sz w:val="22"/>
        </w:rPr>
      </w:pPr>
      <w:hyperlink w:anchor="_Toc275242952" w:history="1">
        <w:r w:rsidR="00985651" w:rsidRPr="00E828BE">
          <w:rPr>
            <w:rStyle w:val="Hyperlink"/>
            <w:noProof/>
            <w:color w:val="auto"/>
          </w:rPr>
          <w:t>6(b)(ii) Operating and Maintenance (O&amp;M) Costs</w:t>
        </w:r>
        <w:r w:rsidR="00985651" w:rsidRPr="00E828BE">
          <w:rPr>
            <w:noProof/>
            <w:webHidden/>
          </w:rPr>
          <w:tab/>
        </w:r>
        <w:r w:rsidR="007A49C7" w:rsidRPr="00E828BE">
          <w:rPr>
            <w:noProof/>
            <w:webHidden/>
          </w:rPr>
          <w:fldChar w:fldCharType="begin"/>
        </w:r>
        <w:r w:rsidR="00985651" w:rsidRPr="00E828BE">
          <w:rPr>
            <w:noProof/>
            <w:webHidden/>
          </w:rPr>
          <w:instrText xml:space="preserve"> PAGEREF _Toc275242952 \h </w:instrText>
        </w:r>
        <w:r w:rsidR="007A49C7" w:rsidRPr="00E828BE">
          <w:rPr>
            <w:noProof/>
            <w:webHidden/>
          </w:rPr>
        </w:r>
        <w:r w:rsidR="007A49C7" w:rsidRPr="00E828BE">
          <w:rPr>
            <w:noProof/>
            <w:webHidden/>
          </w:rPr>
          <w:fldChar w:fldCharType="separate"/>
        </w:r>
        <w:r w:rsidR="002C5064">
          <w:rPr>
            <w:noProof/>
            <w:webHidden/>
          </w:rPr>
          <w:t>26</w:t>
        </w:r>
        <w:r w:rsidR="007A49C7" w:rsidRPr="00E828BE">
          <w:rPr>
            <w:noProof/>
            <w:webHidden/>
          </w:rPr>
          <w:fldChar w:fldCharType="end"/>
        </w:r>
      </w:hyperlink>
    </w:p>
    <w:p w14:paraId="148A6F4C" w14:textId="77777777" w:rsidR="00985651" w:rsidRPr="00E828BE" w:rsidRDefault="00CF6550" w:rsidP="001D6D10">
      <w:pPr>
        <w:pStyle w:val="TOC3"/>
        <w:tabs>
          <w:tab w:val="right" w:leader="dot" w:pos="9350"/>
        </w:tabs>
        <w:rPr>
          <w:rFonts w:ascii="Calibri" w:hAnsi="Calibri"/>
          <w:noProof/>
          <w:sz w:val="22"/>
        </w:rPr>
      </w:pPr>
      <w:hyperlink w:anchor="_Toc275242953" w:history="1">
        <w:r w:rsidR="00985651" w:rsidRPr="00E828BE">
          <w:rPr>
            <w:rStyle w:val="Hyperlink"/>
            <w:noProof/>
            <w:color w:val="auto"/>
          </w:rPr>
          <w:t>6(b)(iii) Capital/Start-up Costs</w:t>
        </w:r>
        <w:r w:rsidR="00985651" w:rsidRPr="00E828BE">
          <w:rPr>
            <w:noProof/>
            <w:webHidden/>
          </w:rPr>
          <w:tab/>
        </w:r>
        <w:r w:rsidR="007A49C7" w:rsidRPr="00E828BE">
          <w:rPr>
            <w:noProof/>
            <w:webHidden/>
          </w:rPr>
          <w:fldChar w:fldCharType="begin"/>
        </w:r>
        <w:r w:rsidR="00985651" w:rsidRPr="00E828BE">
          <w:rPr>
            <w:noProof/>
            <w:webHidden/>
          </w:rPr>
          <w:instrText xml:space="preserve"> PAGEREF _Toc275242953 \h </w:instrText>
        </w:r>
        <w:r w:rsidR="007A49C7" w:rsidRPr="00E828BE">
          <w:rPr>
            <w:noProof/>
            <w:webHidden/>
          </w:rPr>
        </w:r>
        <w:r w:rsidR="007A49C7" w:rsidRPr="00E828BE">
          <w:rPr>
            <w:noProof/>
            <w:webHidden/>
          </w:rPr>
          <w:fldChar w:fldCharType="separate"/>
        </w:r>
        <w:r w:rsidR="002C5064">
          <w:rPr>
            <w:noProof/>
            <w:webHidden/>
          </w:rPr>
          <w:t>26</w:t>
        </w:r>
        <w:r w:rsidR="007A49C7" w:rsidRPr="00E828BE">
          <w:rPr>
            <w:noProof/>
            <w:webHidden/>
          </w:rPr>
          <w:fldChar w:fldCharType="end"/>
        </w:r>
      </w:hyperlink>
    </w:p>
    <w:p w14:paraId="1DDC6DFC" w14:textId="77777777" w:rsidR="00985651" w:rsidRPr="00E828BE" w:rsidRDefault="00CF6550" w:rsidP="001D6D10">
      <w:pPr>
        <w:pStyle w:val="TOC2"/>
        <w:tabs>
          <w:tab w:val="right" w:leader="dot" w:pos="9350"/>
        </w:tabs>
        <w:rPr>
          <w:rFonts w:ascii="Calibri" w:hAnsi="Calibri"/>
          <w:noProof/>
          <w:sz w:val="22"/>
        </w:rPr>
      </w:pPr>
      <w:hyperlink w:anchor="_Toc275242954" w:history="1">
        <w:r w:rsidR="00985651" w:rsidRPr="00E828BE">
          <w:rPr>
            <w:rStyle w:val="Hyperlink"/>
            <w:noProof/>
            <w:color w:val="auto"/>
          </w:rPr>
          <w:t>6(c) Estimating Agency Burden and Cost</w:t>
        </w:r>
        <w:r w:rsidR="00985651" w:rsidRPr="00E828BE">
          <w:rPr>
            <w:noProof/>
            <w:webHidden/>
          </w:rPr>
          <w:tab/>
        </w:r>
        <w:r w:rsidR="007A49C7" w:rsidRPr="00E828BE">
          <w:rPr>
            <w:noProof/>
            <w:webHidden/>
          </w:rPr>
          <w:fldChar w:fldCharType="begin"/>
        </w:r>
        <w:r w:rsidR="00985651" w:rsidRPr="00E828BE">
          <w:rPr>
            <w:noProof/>
            <w:webHidden/>
          </w:rPr>
          <w:instrText xml:space="preserve"> PAGEREF _Toc275242954 \h </w:instrText>
        </w:r>
        <w:r w:rsidR="007A49C7" w:rsidRPr="00E828BE">
          <w:rPr>
            <w:noProof/>
            <w:webHidden/>
          </w:rPr>
        </w:r>
        <w:r w:rsidR="007A49C7" w:rsidRPr="00E828BE">
          <w:rPr>
            <w:noProof/>
            <w:webHidden/>
          </w:rPr>
          <w:fldChar w:fldCharType="separate"/>
        </w:r>
        <w:r w:rsidR="002C5064">
          <w:rPr>
            <w:noProof/>
            <w:webHidden/>
          </w:rPr>
          <w:t>26</w:t>
        </w:r>
        <w:r w:rsidR="007A49C7" w:rsidRPr="00E828BE">
          <w:rPr>
            <w:noProof/>
            <w:webHidden/>
          </w:rPr>
          <w:fldChar w:fldCharType="end"/>
        </w:r>
      </w:hyperlink>
    </w:p>
    <w:p w14:paraId="2C7418F1" w14:textId="77777777" w:rsidR="00985651" w:rsidRPr="00E828BE" w:rsidRDefault="00CF6550" w:rsidP="001D6D10">
      <w:pPr>
        <w:pStyle w:val="TOC2"/>
        <w:tabs>
          <w:tab w:val="right" w:leader="dot" w:pos="9350"/>
        </w:tabs>
        <w:rPr>
          <w:rFonts w:ascii="Calibri" w:hAnsi="Calibri"/>
          <w:noProof/>
          <w:sz w:val="22"/>
        </w:rPr>
      </w:pPr>
      <w:hyperlink w:anchor="_Toc275242955" w:history="1">
        <w:r w:rsidR="00985651" w:rsidRPr="00E828BE">
          <w:rPr>
            <w:rStyle w:val="Hyperlink"/>
            <w:noProof/>
            <w:color w:val="auto"/>
          </w:rPr>
          <w:t>6(d) Estimating the Respondent Universe and Total Burden and Costs</w:t>
        </w:r>
        <w:r w:rsidR="00985651" w:rsidRPr="00E828BE">
          <w:rPr>
            <w:noProof/>
            <w:webHidden/>
          </w:rPr>
          <w:tab/>
        </w:r>
        <w:r w:rsidR="007A49C7" w:rsidRPr="00E828BE">
          <w:rPr>
            <w:noProof/>
            <w:webHidden/>
          </w:rPr>
          <w:fldChar w:fldCharType="begin"/>
        </w:r>
        <w:r w:rsidR="00985651" w:rsidRPr="00E828BE">
          <w:rPr>
            <w:noProof/>
            <w:webHidden/>
          </w:rPr>
          <w:instrText xml:space="preserve"> PAGEREF _Toc275242955 \h </w:instrText>
        </w:r>
        <w:r w:rsidR="007A49C7" w:rsidRPr="00E828BE">
          <w:rPr>
            <w:noProof/>
            <w:webHidden/>
          </w:rPr>
        </w:r>
        <w:r w:rsidR="007A49C7" w:rsidRPr="00E828BE">
          <w:rPr>
            <w:noProof/>
            <w:webHidden/>
          </w:rPr>
          <w:fldChar w:fldCharType="separate"/>
        </w:r>
        <w:r w:rsidR="002C5064">
          <w:rPr>
            <w:noProof/>
            <w:webHidden/>
          </w:rPr>
          <w:t>27</w:t>
        </w:r>
        <w:r w:rsidR="007A49C7" w:rsidRPr="00E828BE">
          <w:rPr>
            <w:noProof/>
            <w:webHidden/>
          </w:rPr>
          <w:fldChar w:fldCharType="end"/>
        </w:r>
      </w:hyperlink>
    </w:p>
    <w:p w14:paraId="7CED9875" w14:textId="77777777" w:rsidR="00985651" w:rsidRPr="00E828BE" w:rsidRDefault="00CF6550" w:rsidP="001D6D10">
      <w:pPr>
        <w:pStyle w:val="TOC2"/>
        <w:tabs>
          <w:tab w:val="right" w:leader="dot" w:pos="9350"/>
        </w:tabs>
        <w:rPr>
          <w:rFonts w:ascii="Calibri" w:hAnsi="Calibri"/>
          <w:noProof/>
          <w:sz w:val="22"/>
        </w:rPr>
      </w:pPr>
      <w:hyperlink w:anchor="_Toc275242956" w:history="1">
        <w:r w:rsidR="00985651" w:rsidRPr="00E828BE">
          <w:rPr>
            <w:rStyle w:val="Hyperlink"/>
            <w:noProof/>
            <w:color w:val="auto"/>
          </w:rPr>
          <w:t>6(e) Bottom Line Burden Hours and Cost Tables</w:t>
        </w:r>
        <w:r w:rsidR="00985651" w:rsidRPr="00E828BE">
          <w:rPr>
            <w:noProof/>
            <w:webHidden/>
          </w:rPr>
          <w:tab/>
        </w:r>
        <w:r w:rsidR="007A49C7" w:rsidRPr="00E828BE">
          <w:rPr>
            <w:noProof/>
            <w:webHidden/>
          </w:rPr>
          <w:fldChar w:fldCharType="begin"/>
        </w:r>
        <w:r w:rsidR="00985651" w:rsidRPr="00E828BE">
          <w:rPr>
            <w:noProof/>
            <w:webHidden/>
          </w:rPr>
          <w:instrText xml:space="preserve"> PAGEREF _Toc275242956 \h </w:instrText>
        </w:r>
        <w:r w:rsidR="007A49C7" w:rsidRPr="00E828BE">
          <w:rPr>
            <w:noProof/>
            <w:webHidden/>
          </w:rPr>
        </w:r>
        <w:r w:rsidR="007A49C7" w:rsidRPr="00E828BE">
          <w:rPr>
            <w:noProof/>
            <w:webHidden/>
          </w:rPr>
          <w:fldChar w:fldCharType="separate"/>
        </w:r>
        <w:r w:rsidR="002C5064">
          <w:rPr>
            <w:noProof/>
            <w:webHidden/>
          </w:rPr>
          <w:t>27</w:t>
        </w:r>
        <w:r w:rsidR="007A49C7" w:rsidRPr="00E828BE">
          <w:rPr>
            <w:noProof/>
            <w:webHidden/>
          </w:rPr>
          <w:fldChar w:fldCharType="end"/>
        </w:r>
      </w:hyperlink>
    </w:p>
    <w:p w14:paraId="41FEC893" w14:textId="77777777" w:rsidR="00985651" w:rsidRPr="00E828BE" w:rsidRDefault="00CF6550" w:rsidP="001D6D10">
      <w:pPr>
        <w:pStyle w:val="TOC3"/>
        <w:tabs>
          <w:tab w:val="right" w:leader="dot" w:pos="9350"/>
        </w:tabs>
        <w:rPr>
          <w:rFonts w:ascii="Calibri" w:hAnsi="Calibri"/>
          <w:noProof/>
          <w:sz w:val="22"/>
        </w:rPr>
      </w:pPr>
      <w:hyperlink w:anchor="_Toc275242957" w:history="1">
        <w:r w:rsidR="00985651" w:rsidRPr="00E828BE">
          <w:rPr>
            <w:rStyle w:val="Hyperlink"/>
            <w:noProof/>
            <w:color w:val="auto"/>
          </w:rPr>
          <w:t>6(e)(i) Respondent Tally</w:t>
        </w:r>
        <w:r w:rsidR="00985651" w:rsidRPr="00E828BE">
          <w:rPr>
            <w:noProof/>
            <w:webHidden/>
          </w:rPr>
          <w:tab/>
        </w:r>
        <w:r w:rsidR="007A49C7" w:rsidRPr="00E828BE">
          <w:rPr>
            <w:noProof/>
            <w:webHidden/>
          </w:rPr>
          <w:fldChar w:fldCharType="begin"/>
        </w:r>
        <w:r w:rsidR="00985651" w:rsidRPr="00E828BE">
          <w:rPr>
            <w:noProof/>
            <w:webHidden/>
          </w:rPr>
          <w:instrText xml:space="preserve"> PAGEREF _Toc275242957 \h </w:instrText>
        </w:r>
        <w:r w:rsidR="007A49C7" w:rsidRPr="00E828BE">
          <w:rPr>
            <w:noProof/>
            <w:webHidden/>
          </w:rPr>
        </w:r>
        <w:r w:rsidR="007A49C7" w:rsidRPr="00E828BE">
          <w:rPr>
            <w:noProof/>
            <w:webHidden/>
          </w:rPr>
          <w:fldChar w:fldCharType="separate"/>
        </w:r>
        <w:r w:rsidR="002C5064">
          <w:rPr>
            <w:noProof/>
            <w:webHidden/>
          </w:rPr>
          <w:t>27</w:t>
        </w:r>
        <w:r w:rsidR="007A49C7" w:rsidRPr="00E828BE">
          <w:rPr>
            <w:noProof/>
            <w:webHidden/>
          </w:rPr>
          <w:fldChar w:fldCharType="end"/>
        </w:r>
      </w:hyperlink>
    </w:p>
    <w:p w14:paraId="666183D8" w14:textId="77777777" w:rsidR="00985651" w:rsidRPr="00E828BE" w:rsidRDefault="00CF6550" w:rsidP="001D6D10">
      <w:pPr>
        <w:pStyle w:val="TOC3"/>
        <w:tabs>
          <w:tab w:val="right" w:leader="dot" w:pos="9350"/>
        </w:tabs>
        <w:rPr>
          <w:rFonts w:ascii="Calibri" w:hAnsi="Calibri"/>
          <w:noProof/>
          <w:sz w:val="22"/>
        </w:rPr>
      </w:pPr>
      <w:hyperlink w:anchor="_Toc275242958" w:history="1">
        <w:r w:rsidR="00985651" w:rsidRPr="00E828BE">
          <w:rPr>
            <w:rStyle w:val="Hyperlink"/>
            <w:noProof/>
            <w:color w:val="auto"/>
          </w:rPr>
          <w:t>6(e)(ii) The Agency Tally</w:t>
        </w:r>
        <w:r w:rsidR="00985651" w:rsidRPr="00E828BE">
          <w:rPr>
            <w:noProof/>
            <w:webHidden/>
          </w:rPr>
          <w:tab/>
        </w:r>
        <w:r w:rsidR="007A49C7" w:rsidRPr="00E828BE">
          <w:rPr>
            <w:noProof/>
            <w:webHidden/>
          </w:rPr>
          <w:fldChar w:fldCharType="begin"/>
        </w:r>
        <w:r w:rsidR="00985651" w:rsidRPr="00E828BE">
          <w:rPr>
            <w:noProof/>
            <w:webHidden/>
          </w:rPr>
          <w:instrText xml:space="preserve"> PAGEREF _Toc275242958 \h </w:instrText>
        </w:r>
        <w:r w:rsidR="007A49C7" w:rsidRPr="00E828BE">
          <w:rPr>
            <w:noProof/>
            <w:webHidden/>
          </w:rPr>
        </w:r>
        <w:r w:rsidR="007A49C7" w:rsidRPr="00E828BE">
          <w:rPr>
            <w:noProof/>
            <w:webHidden/>
          </w:rPr>
          <w:fldChar w:fldCharType="separate"/>
        </w:r>
        <w:r w:rsidR="002C5064">
          <w:rPr>
            <w:noProof/>
            <w:webHidden/>
          </w:rPr>
          <w:t>27</w:t>
        </w:r>
        <w:r w:rsidR="007A49C7" w:rsidRPr="00E828BE">
          <w:rPr>
            <w:noProof/>
            <w:webHidden/>
          </w:rPr>
          <w:fldChar w:fldCharType="end"/>
        </w:r>
      </w:hyperlink>
    </w:p>
    <w:p w14:paraId="460BEA82" w14:textId="77777777" w:rsidR="00985651" w:rsidRPr="00E828BE" w:rsidRDefault="00CF6550" w:rsidP="001D6D10">
      <w:pPr>
        <w:pStyle w:val="TOC2"/>
        <w:tabs>
          <w:tab w:val="right" w:leader="dot" w:pos="9350"/>
        </w:tabs>
        <w:rPr>
          <w:rFonts w:ascii="Calibri" w:hAnsi="Calibri"/>
          <w:noProof/>
          <w:sz w:val="22"/>
        </w:rPr>
      </w:pPr>
      <w:hyperlink w:anchor="_Toc275242959" w:history="1">
        <w:r w:rsidR="00985651" w:rsidRPr="00E828BE">
          <w:rPr>
            <w:rStyle w:val="Hyperlink"/>
            <w:noProof/>
            <w:color w:val="auto"/>
          </w:rPr>
          <w:t>6(f) Reasons for Change in Burden</w:t>
        </w:r>
        <w:r w:rsidR="00985651" w:rsidRPr="00E828BE">
          <w:rPr>
            <w:noProof/>
            <w:webHidden/>
          </w:rPr>
          <w:tab/>
        </w:r>
        <w:r w:rsidR="007A49C7" w:rsidRPr="00E828BE">
          <w:rPr>
            <w:noProof/>
            <w:webHidden/>
          </w:rPr>
          <w:fldChar w:fldCharType="begin"/>
        </w:r>
        <w:r w:rsidR="00985651" w:rsidRPr="00E828BE">
          <w:rPr>
            <w:noProof/>
            <w:webHidden/>
          </w:rPr>
          <w:instrText xml:space="preserve"> PAGEREF _Toc275242959 \h </w:instrText>
        </w:r>
        <w:r w:rsidR="007A49C7" w:rsidRPr="00E828BE">
          <w:rPr>
            <w:noProof/>
            <w:webHidden/>
          </w:rPr>
        </w:r>
        <w:r w:rsidR="007A49C7" w:rsidRPr="00E828BE">
          <w:rPr>
            <w:noProof/>
            <w:webHidden/>
          </w:rPr>
          <w:fldChar w:fldCharType="separate"/>
        </w:r>
        <w:r w:rsidR="002C5064">
          <w:rPr>
            <w:noProof/>
            <w:webHidden/>
          </w:rPr>
          <w:t>28</w:t>
        </w:r>
        <w:r w:rsidR="007A49C7" w:rsidRPr="00E828BE">
          <w:rPr>
            <w:noProof/>
            <w:webHidden/>
          </w:rPr>
          <w:fldChar w:fldCharType="end"/>
        </w:r>
      </w:hyperlink>
    </w:p>
    <w:p w14:paraId="52304C6D" w14:textId="77777777" w:rsidR="00985651" w:rsidRPr="00E828BE" w:rsidRDefault="00CF6550" w:rsidP="001D6D10">
      <w:pPr>
        <w:pStyle w:val="TOC2"/>
        <w:tabs>
          <w:tab w:val="right" w:leader="dot" w:pos="9350"/>
        </w:tabs>
        <w:rPr>
          <w:rFonts w:ascii="Calibri" w:hAnsi="Calibri"/>
          <w:noProof/>
          <w:sz w:val="22"/>
        </w:rPr>
      </w:pPr>
      <w:hyperlink w:anchor="_Toc275242960" w:history="1">
        <w:r w:rsidR="00985651" w:rsidRPr="00E828BE">
          <w:rPr>
            <w:rStyle w:val="Hyperlink"/>
            <w:noProof/>
            <w:color w:val="auto"/>
          </w:rPr>
          <w:t>6(g) Burden Statement</w:t>
        </w:r>
        <w:r w:rsidR="00985651" w:rsidRPr="00E828BE">
          <w:rPr>
            <w:noProof/>
            <w:webHidden/>
          </w:rPr>
          <w:tab/>
        </w:r>
        <w:r w:rsidR="007A49C7" w:rsidRPr="00E828BE">
          <w:rPr>
            <w:noProof/>
            <w:webHidden/>
          </w:rPr>
          <w:fldChar w:fldCharType="begin"/>
        </w:r>
        <w:r w:rsidR="00985651" w:rsidRPr="00E828BE">
          <w:rPr>
            <w:noProof/>
            <w:webHidden/>
          </w:rPr>
          <w:instrText xml:space="preserve"> PAGEREF _Toc275242960 \h </w:instrText>
        </w:r>
        <w:r w:rsidR="007A49C7" w:rsidRPr="00E828BE">
          <w:rPr>
            <w:noProof/>
            <w:webHidden/>
          </w:rPr>
        </w:r>
        <w:r w:rsidR="007A49C7" w:rsidRPr="00E828BE">
          <w:rPr>
            <w:noProof/>
            <w:webHidden/>
          </w:rPr>
          <w:fldChar w:fldCharType="separate"/>
        </w:r>
        <w:r w:rsidR="002C5064">
          <w:rPr>
            <w:noProof/>
            <w:webHidden/>
          </w:rPr>
          <w:t>28</w:t>
        </w:r>
        <w:r w:rsidR="007A49C7" w:rsidRPr="00E828BE">
          <w:rPr>
            <w:noProof/>
            <w:webHidden/>
          </w:rPr>
          <w:fldChar w:fldCharType="end"/>
        </w:r>
      </w:hyperlink>
    </w:p>
    <w:p w14:paraId="21F0CB37" w14:textId="77777777" w:rsidR="00985651" w:rsidRPr="00E828BE" w:rsidRDefault="007A49C7" w:rsidP="001D6D10">
      <w:r w:rsidRPr="00E828BE">
        <w:rPr>
          <w:b/>
        </w:rPr>
        <w:fldChar w:fldCharType="end"/>
      </w:r>
    </w:p>
    <w:p w14:paraId="2DB0B9C0" w14:textId="77777777" w:rsidR="00985651" w:rsidRPr="00E828BE" w:rsidRDefault="00985651" w:rsidP="001D6D10"/>
    <w:p w14:paraId="6FD2BA23" w14:textId="77777777" w:rsidR="00985651" w:rsidRPr="00E828BE" w:rsidRDefault="00985651" w:rsidP="001D6D10">
      <w:pPr>
        <w:rPr>
          <w:rFonts w:ascii="Arial" w:hAnsi="Arial" w:cs="Arial"/>
          <w:b/>
          <w:sz w:val="36"/>
        </w:rPr>
      </w:pPr>
      <w:r w:rsidRPr="00E828BE">
        <w:rPr>
          <w:rFonts w:ascii="Arial" w:hAnsi="Arial" w:cs="Arial"/>
          <w:b/>
          <w:sz w:val="36"/>
        </w:rPr>
        <w:t>Appendices</w:t>
      </w:r>
    </w:p>
    <w:p w14:paraId="023BC42F" w14:textId="77777777" w:rsidR="00985651" w:rsidRPr="00E828BE" w:rsidRDefault="00985651" w:rsidP="001D6D10"/>
    <w:p w14:paraId="49E1EF1A" w14:textId="77777777" w:rsidR="00985651" w:rsidRPr="00E828BE" w:rsidRDefault="00985651" w:rsidP="001D6D10">
      <w:pPr>
        <w:numPr>
          <w:ilvl w:val="0"/>
          <w:numId w:val="8"/>
        </w:numPr>
        <w:autoSpaceDE w:val="0"/>
        <w:autoSpaceDN w:val="0"/>
        <w:adjustRightInd w:val="0"/>
        <w:ind w:right="245"/>
      </w:pPr>
      <w:r w:rsidRPr="00E828BE">
        <w:t>Respondents and Agency Activities Table</w:t>
      </w:r>
    </w:p>
    <w:p w14:paraId="7B9EA2D8" w14:textId="77777777" w:rsidR="00985651" w:rsidRPr="00E828BE" w:rsidRDefault="00985651" w:rsidP="001D6D10">
      <w:pPr>
        <w:numPr>
          <w:ilvl w:val="0"/>
          <w:numId w:val="8"/>
        </w:numPr>
        <w:autoSpaceDE w:val="0"/>
        <w:autoSpaceDN w:val="0"/>
        <w:adjustRightInd w:val="0"/>
        <w:ind w:right="245"/>
      </w:pPr>
      <w:r w:rsidRPr="00E828BE">
        <w:t>NPDES Applicator and Application Estimates</w:t>
      </w:r>
    </w:p>
    <w:p w14:paraId="0FDA269E" w14:textId="77777777" w:rsidR="006E2F5E" w:rsidRPr="00E828BE" w:rsidRDefault="00F17D63" w:rsidP="00F17D63">
      <w:pPr>
        <w:numPr>
          <w:ilvl w:val="0"/>
          <w:numId w:val="8"/>
        </w:numPr>
        <w:autoSpaceDE w:val="0"/>
        <w:autoSpaceDN w:val="0"/>
        <w:adjustRightInd w:val="0"/>
        <w:ind w:right="245"/>
      </w:pPr>
      <w:r w:rsidRPr="00F17D63">
        <w:t>Public Comments and Agency’s Response</w:t>
      </w:r>
    </w:p>
    <w:p w14:paraId="3F082F79" w14:textId="77777777" w:rsidR="007F4FD4" w:rsidRPr="00E828BE" w:rsidRDefault="007F4FD4" w:rsidP="001D6D10">
      <w:pPr>
        <w:numPr>
          <w:ilvl w:val="0"/>
          <w:numId w:val="8"/>
        </w:numPr>
        <w:autoSpaceDE w:val="0"/>
        <w:autoSpaceDN w:val="0"/>
        <w:adjustRightInd w:val="0"/>
        <w:ind w:right="245"/>
      </w:pPr>
      <w:r w:rsidRPr="00E828BE">
        <w:t>Forms</w:t>
      </w:r>
    </w:p>
    <w:p w14:paraId="38121803" w14:textId="77777777" w:rsidR="007F4FD4" w:rsidRPr="00E828BE" w:rsidRDefault="007F4FD4" w:rsidP="007F4FD4">
      <w:pPr>
        <w:numPr>
          <w:ilvl w:val="1"/>
          <w:numId w:val="8"/>
        </w:numPr>
        <w:autoSpaceDE w:val="0"/>
        <w:autoSpaceDN w:val="0"/>
        <w:adjustRightInd w:val="0"/>
        <w:ind w:right="245"/>
      </w:pPr>
      <w:r w:rsidRPr="00E828BE">
        <w:t>Notice of Intent (NOI) Form</w:t>
      </w:r>
    </w:p>
    <w:p w14:paraId="293009E0" w14:textId="77777777" w:rsidR="007F4FD4" w:rsidRPr="00E828BE" w:rsidRDefault="007F4FD4" w:rsidP="007F4FD4">
      <w:pPr>
        <w:numPr>
          <w:ilvl w:val="1"/>
          <w:numId w:val="8"/>
        </w:numPr>
        <w:autoSpaceDE w:val="0"/>
        <w:autoSpaceDN w:val="0"/>
        <w:adjustRightInd w:val="0"/>
        <w:ind w:right="245"/>
      </w:pPr>
      <w:r w:rsidRPr="00E828BE">
        <w:t>Notice of Termination (NOT) Form</w:t>
      </w:r>
    </w:p>
    <w:p w14:paraId="32F7A799" w14:textId="77777777" w:rsidR="00F764C0" w:rsidRPr="00E828BE" w:rsidRDefault="00F764C0" w:rsidP="00F764C0">
      <w:pPr>
        <w:numPr>
          <w:ilvl w:val="1"/>
          <w:numId w:val="8"/>
        </w:numPr>
        <w:autoSpaceDE w:val="0"/>
        <w:autoSpaceDN w:val="0"/>
        <w:adjustRightInd w:val="0"/>
        <w:ind w:right="245"/>
      </w:pPr>
      <w:r w:rsidRPr="00E828BE">
        <w:t>Pesticide Discharge Evaluation Worksheet</w:t>
      </w:r>
    </w:p>
    <w:p w14:paraId="61E56E86" w14:textId="77777777" w:rsidR="007F4FD4" w:rsidRDefault="007F4FD4" w:rsidP="007F4FD4">
      <w:pPr>
        <w:numPr>
          <w:ilvl w:val="1"/>
          <w:numId w:val="8"/>
        </w:numPr>
        <w:autoSpaceDE w:val="0"/>
        <w:autoSpaceDN w:val="0"/>
        <w:adjustRightInd w:val="0"/>
        <w:ind w:right="245"/>
      </w:pPr>
      <w:r w:rsidRPr="00E828BE">
        <w:t>Annual Report Form</w:t>
      </w:r>
    </w:p>
    <w:p w14:paraId="39CDF1A2" w14:textId="77777777" w:rsidR="001E4F16" w:rsidRPr="00E828BE" w:rsidRDefault="001E4F16" w:rsidP="001E4F16">
      <w:pPr>
        <w:numPr>
          <w:ilvl w:val="1"/>
          <w:numId w:val="8"/>
        </w:numPr>
        <w:autoSpaceDE w:val="0"/>
        <w:autoSpaceDN w:val="0"/>
        <w:adjustRightInd w:val="0"/>
        <w:ind w:right="245"/>
      </w:pPr>
      <w:r w:rsidRPr="001E4F16">
        <w:t>Adverse Incident Report</w:t>
      </w:r>
    </w:p>
    <w:p w14:paraId="2CBB9D5C" w14:textId="77777777" w:rsidR="00985651" w:rsidRPr="00E828BE" w:rsidRDefault="00985651" w:rsidP="001D6D10"/>
    <w:p w14:paraId="34908D2B" w14:textId="77777777" w:rsidR="00985651" w:rsidRPr="00E828BE" w:rsidRDefault="00985651" w:rsidP="001D6D10"/>
    <w:p w14:paraId="28846DAF" w14:textId="77777777" w:rsidR="00985651" w:rsidRPr="00E828BE" w:rsidRDefault="00985651" w:rsidP="001D6D10">
      <w:pPr>
        <w:rPr>
          <w:rFonts w:ascii="Arial" w:hAnsi="Arial" w:cs="Arial"/>
          <w:b/>
          <w:sz w:val="36"/>
        </w:rPr>
      </w:pPr>
      <w:r w:rsidRPr="00E828BE">
        <w:rPr>
          <w:rFonts w:ascii="Arial" w:hAnsi="Arial" w:cs="Arial"/>
          <w:b/>
          <w:sz w:val="36"/>
        </w:rPr>
        <w:t>Tables</w:t>
      </w:r>
    </w:p>
    <w:p w14:paraId="7B709BDA" w14:textId="77777777" w:rsidR="00985651" w:rsidRPr="00E828BE" w:rsidRDefault="007A49C7" w:rsidP="001D6D10">
      <w:pPr>
        <w:pStyle w:val="TOC1"/>
        <w:rPr>
          <w:rFonts w:ascii="Calibri" w:hAnsi="Calibri"/>
          <w:bCs w:val="0"/>
          <w:noProof/>
          <w:sz w:val="22"/>
        </w:rPr>
      </w:pPr>
      <w:r w:rsidRPr="00E828BE">
        <w:fldChar w:fldCharType="begin"/>
      </w:r>
      <w:r w:rsidR="00985651" w:rsidRPr="00E828BE">
        <w:instrText xml:space="preserve"> TOC \h \z \t "Table Title,1,Title,1" </w:instrText>
      </w:r>
      <w:r w:rsidRPr="00E828BE">
        <w:fldChar w:fldCharType="separate"/>
      </w:r>
      <w:hyperlink w:anchor="_Toc275242961" w:history="1">
        <w:r w:rsidR="00985651" w:rsidRPr="00E828BE">
          <w:rPr>
            <w:rStyle w:val="Hyperlink"/>
            <w:noProof/>
            <w:color w:val="auto"/>
          </w:rPr>
          <w:t>Table 2.1 Areas for which EPA is the Permitting Authority for Discharges from Pesticide Application Activities</w:t>
        </w:r>
        <w:r w:rsidR="00985651" w:rsidRPr="00E828BE">
          <w:rPr>
            <w:noProof/>
            <w:webHidden/>
          </w:rPr>
          <w:tab/>
        </w:r>
        <w:r w:rsidRPr="00E828BE">
          <w:rPr>
            <w:noProof/>
            <w:webHidden/>
          </w:rPr>
          <w:fldChar w:fldCharType="begin"/>
        </w:r>
        <w:r w:rsidR="00985651" w:rsidRPr="00E828BE">
          <w:rPr>
            <w:noProof/>
            <w:webHidden/>
          </w:rPr>
          <w:instrText xml:space="preserve"> PAGEREF _Toc275242961 \h </w:instrText>
        </w:r>
        <w:r w:rsidRPr="00E828BE">
          <w:rPr>
            <w:noProof/>
            <w:webHidden/>
          </w:rPr>
        </w:r>
        <w:r w:rsidRPr="00E828BE">
          <w:rPr>
            <w:noProof/>
            <w:webHidden/>
          </w:rPr>
          <w:fldChar w:fldCharType="separate"/>
        </w:r>
        <w:r w:rsidR="002C5064">
          <w:rPr>
            <w:noProof/>
            <w:webHidden/>
          </w:rPr>
          <w:t>4</w:t>
        </w:r>
        <w:r w:rsidRPr="00E828BE">
          <w:rPr>
            <w:noProof/>
            <w:webHidden/>
          </w:rPr>
          <w:fldChar w:fldCharType="end"/>
        </w:r>
      </w:hyperlink>
    </w:p>
    <w:p w14:paraId="2A17ECC3" w14:textId="77777777" w:rsidR="00985651" w:rsidRPr="00E828BE" w:rsidRDefault="00CF6550" w:rsidP="001D6D10">
      <w:pPr>
        <w:pStyle w:val="TOC1"/>
        <w:rPr>
          <w:rFonts w:ascii="Calibri" w:hAnsi="Calibri"/>
          <w:bCs w:val="0"/>
          <w:noProof/>
          <w:sz w:val="22"/>
        </w:rPr>
      </w:pPr>
      <w:hyperlink w:anchor="_Toc275242962" w:history="1">
        <w:r w:rsidR="00985651" w:rsidRPr="00E828BE">
          <w:rPr>
            <w:rStyle w:val="Hyperlink"/>
            <w:noProof/>
            <w:color w:val="auto"/>
          </w:rPr>
          <w:t>Table 6.1 Respondent tally</w:t>
        </w:r>
        <w:r w:rsidR="00985651" w:rsidRPr="00E828BE">
          <w:rPr>
            <w:noProof/>
            <w:webHidden/>
          </w:rPr>
          <w:tab/>
        </w:r>
        <w:r w:rsidR="007A49C7" w:rsidRPr="00E828BE">
          <w:rPr>
            <w:noProof/>
            <w:webHidden/>
          </w:rPr>
          <w:fldChar w:fldCharType="begin"/>
        </w:r>
        <w:r w:rsidR="00985651" w:rsidRPr="00E828BE">
          <w:rPr>
            <w:noProof/>
            <w:webHidden/>
          </w:rPr>
          <w:instrText xml:space="preserve"> PAGEREF _Toc275242962 \h </w:instrText>
        </w:r>
        <w:r w:rsidR="007A49C7" w:rsidRPr="00E828BE">
          <w:rPr>
            <w:noProof/>
            <w:webHidden/>
          </w:rPr>
        </w:r>
        <w:r w:rsidR="007A49C7" w:rsidRPr="00E828BE">
          <w:rPr>
            <w:noProof/>
            <w:webHidden/>
          </w:rPr>
          <w:fldChar w:fldCharType="separate"/>
        </w:r>
        <w:r w:rsidR="002C5064">
          <w:rPr>
            <w:noProof/>
            <w:webHidden/>
          </w:rPr>
          <w:t>27</w:t>
        </w:r>
        <w:r w:rsidR="007A49C7" w:rsidRPr="00E828BE">
          <w:rPr>
            <w:noProof/>
            <w:webHidden/>
          </w:rPr>
          <w:fldChar w:fldCharType="end"/>
        </w:r>
      </w:hyperlink>
    </w:p>
    <w:p w14:paraId="72E2C456" w14:textId="77777777" w:rsidR="00985651" w:rsidRPr="00E828BE" w:rsidRDefault="00CF6550" w:rsidP="001D6D10">
      <w:pPr>
        <w:pStyle w:val="TOC1"/>
        <w:rPr>
          <w:rFonts w:ascii="Calibri" w:hAnsi="Calibri"/>
          <w:bCs w:val="0"/>
          <w:noProof/>
          <w:sz w:val="22"/>
        </w:rPr>
      </w:pPr>
      <w:hyperlink w:anchor="_Toc275242963" w:history="1">
        <w:r w:rsidR="00985651" w:rsidRPr="00E828BE">
          <w:rPr>
            <w:rStyle w:val="Hyperlink"/>
            <w:noProof/>
            <w:color w:val="auto"/>
          </w:rPr>
          <w:t>Table 6.2 Agency tally</w:t>
        </w:r>
        <w:r w:rsidR="00985651" w:rsidRPr="00E828BE">
          <w:rPr>
            <w:noProof/>
            <w:webHidden/>
          </w:rPr>
          <w:tab/>
        </w:r>
        <w:r w:rsidR="007A49C7" w:rsidRPr="00E828BE">
          <w:rPr>
            <w:noProof/>
            <w:webHidden/>
          </w:rPr>
          <w:fldChar w:fldCharType="begin"/>
        </w:r>
        <w:r w:rsidR="00985651" w:rsidRPr="00E828BE">
          <w:rPr>
            <w:noProof/>
            <w:webHidden/>
          </w:rPr>
          <w:instrText xml:space="preserve"> PAGEREF _Toc275242963 \h </w:instrText>
        </w:r>
        <w:r w:rsidR="007A49C7" w:rsidRPr="00E828BE">
          <w:rPr>
            <w:noProof/>
            <w:webHidden/>
          </w:rPr>
        </w:r>
        <w:r w:rsidR="007A49C7" w:rsidRPr="00E828BE">
          <w:rPr>
            <w:noProof/>
            <w:webHidden/>
          </w:rPr>
          <w:fldChar w:fldCharType="separate"/>
        </w:r>
        <w:r w:rsidR="002C5064">
          <w:rPr>
            <w:noProof/>
            <w:webHidden/>
          </w:rPr>
          <w:t>28</w:t>
        </w:r>
        <w:r w:rsidR="007A49C7" w:rsidRPr="00E828BE">
          <w:rPr>
            <w:noProof/>
            <w:webHidden/>
          </w:rPr>
          <w:fldChar w:fldCharType="end"/>
        </w:r>
      </w:hyperlink>
    </w:p>
    <w:p w14:paraId="00930CBC" w14:textId="77777777" w:rsidR="00985651" w:rsidRPr="00E828BE" w:rsidRDefault="007A49C7" w:rsidP="001D6D10">
      <w:r w:rsidRPr="00E828BE">
        <w:fldChar w:fldCharType="end"/>
      </w:r>
    </w:p>
    <w:p w14:paraId="245C3495" w14:textId="77777777" w:rsidR="00985651" w:rsidRPr="00E828BE" w:rsidRDefault="00985651" w:rsidP="001D6D10">
      <w:pPr>
        <w:sectPr w:rsidR="00985651" w:rsidRPr="00E828BE">
          <w:headerReference w:type="even" r:id="rId10"/>
          <w:headerReference w:type="default" r:id="rId11"/>
          <w:footerReference w:type="default" r:id="rId12"/>
          <w:headerReference w:type="first" r:id="rId13"/>
          <w:pgSz w:w="12240" w:h="15840" w:code="1"/>
          <w:pgMar w:top="1440" w:right="1440" w:bottom="1440" w:left="1440" w:header="720" w:footer="720" w:gutter="0"/>
          <w:pgNumType w:fmt="lowerRoman"/>
          <w:cols w:space="720"/>
          <w:noEndnote/>
        </w:sectPr>
      </w:pPr>
    </w:p>
    <w:p w14:paraId="0059F906" w14:textId="77777777" w:rsidR="00985651" w:rsidRPr="00E828BE" w:rsidRDefault="00985651" w:rsidP="001D6D10">
      <w:pPr>
        <w:pStyle w:val="Heading1"/>
      </w:pPr>
      <w:bookmarkStart w:id="1" w:name="_Ref199565608"/>
      <w:bookmarkStart w:id="2" w:name="_Ref199565617"/>
      <w:bookmarkStart w:id="3" w:name="_Ref199565618"/>
      <w:bookmarkStart w:id="4" w:name="_Ref199565685"/>
      <w:bookmarkStart w:id="5" w:name="_Ref199565700"/>
      <w:bookmarkStart w:id="6" w:name="_Ref199566095"/>
      <w:bookmarkStart w:id="7" w:name="_Ref199566117"/>
      <w:bookmarkStart w:id="8" w:name="_Toc275242916"/>
      <w:r w:rsidRPr="00E828BE">
        <w:lastRenderedPageBreak/>
        <w:t>1. Identification of the Information Collection</w:t>
      </w:r>
      <w:bookmarkEnd w:id="1"/>
      <w:bookmarkEnd w:id="2"/>
      <w:bookmarkEnd w:id="3"/>
      <w:bookmarkEnd w:id="4"/>
      <w:bookmarkEnd w:id="5"/>
      <w:bookmarkEnd w:id="6"/>
      <w:bookmarkEnd w:id="7"/>
      <w:bookmarkEnd w:id="8"/>
    </w:p>
    <w:p w14:paraId="16B2FF56" w14:textId="77777777" w:rsidR="00985651" w:rsidRPr="00E828BE" w:rsidRDefault="00985651" w:rsidP="001D6D10">
      <w:pPr>
        <w:pStyle w:val="Heading2"/>
      </w:pPr>
      <w:bookmarkStart w:id="9" w:name="_Toc275242917"/>
      <w:r w:rsidRPr="00E828BE">
        <w:t>1(a) Title of the Information Collection</w:t>
      </w:r>
      <w:bookmarkEnd w:id="9"/>
    </w:p>
    <w:p w14:paraId="6BFA3F26" w14:textId="77777777" w:rsidR="00985651" w:rsidRPr="00E828BE" w:rsidRDefault="00985651" w:rsidP="001D6D10">
      <w:r w:rsidRPr="00E828BE">
        <w:t>Title: National Pollutant Discharge Elimination System (NPDES) Permits for Point Source Discharges from the Application of Pesticides to Waters of the United States</w:t>
      </w:r>
      <w:r w:rsidR="00BA2CA5">
        <w:t xml:space="preserve"> (Renewal)</w:t>
      </w:r>
    </w:p>
    <w:p w14:paraId="7A558E81" w14:textId="77777777" w:rsidR="00985651" w:rsidRPr="00E828BE" w:rsidRDefault="00985651" w:rsidP="001D6D10">
      <w:r w:rsidRPr="00E828BE">
        <w:t>OMB Control Number: 2040-</w:t>
      </w:r>
      <w:r w:rsidR="00F8385B" w:rsidRPr="00E828BE">
        <w:t>0284</w:t>
      </w:r>
      <w:r w:rsidR="00A43DF6" w:rsidRPr="00E828BE">
        <w:t xml:space="preserve">; </w:t>
      </w:r>
    </w:p>
    <w:p w14:paraId="3F48E2AD" w14:textId="77777777" w:rsidR="00985651" w:rsidRPr="00E828BE" w:rsidRDefault="00985651" w:rsidP="001D6D10">
      <w:r w:rsidRPr="00E828BE">
        <w:t>EPA ICR Number: 2397.0</w:t>
      </w:r>
      <w:r w:rsidR="00F8385B" w:rsidRPr="00E828BE">
        <w:t>2</w:t>
      </w:r>
    </w:p>
    <w:p w14:paraId="6A2CCB68" w14:textId="77777777" w:rsidR="00985651" w:rsidRPr="00E828BE" w:rsidRDefault="00985651" w:rsidP="001D6D10">
      <w:pPr>
        <w:pStyle w:val="Heading2"/>
      </w:pPr>
      <w:bookmarkStart w:id="10" w:name="_Ref199565643"/>
      <w:bookmarkStart w:id="11" w:name="_Ref199565647"/>
      <w:bookmarkStart w:id="12" w:name="_Toc275242918"/>
      <w:r w:rsidRPr="00E828BE">
        <w:t>1(b) Short Characterization/Abstract</w:t>
      </w:r>
      <w:bookmarkEnd w:id="10"/>
      <w:bookmarkEnd w:id="11"/>
      <w:bookmarkEnd w:id="12"/>
    </w:p>
    <w:p w14:paraId="53843656" w14:textId="77777777" w:rsidR="007C5D9D" w:rsidRDefault="00434415" w:rsidP="001D6D10">
      <w:r>
        <w:t>This</w:t>
      </w:r>
      <w:r w:rsidR="006D4A58">
        <w:t xml:space="preserve"> </w:t>
      </w:r>
      <w:r w:rsidRPr="005A1A1F">
        <w:t>Information Collection Request (ICR)</w:t>
      </w:r>
      <w:r>
        <w:t xml:space="preserve"> renews </w:t>
      </w:r>
      <w:r w:rsidRPr="00BA7668">
        <w:t xml:space="preserve">Office of Management and Budget (OMB) </w:t>
      </w:r>
      <w:r w:rsidR="009F205D">
        <w:t xml:space="preserve">ICR </w:t>
      </w:r>
      <w:r w:rsidRPr="00BA7668">
        <w:t>Numb</w:t>
      </w:r>
      <w:r>
        <w:t>er 2040-0284.</w:t>
      </w:r>
      <w:r w:rsidR="007C5D9D">
        <w:t xml:space="preserve"> </w:t>
      </w:r>
      <w:r w:rsidR="00985651" w:rsidRPr="00E828BE">
        <w:t xml:space="preserve">This </w:t>
      </w:r>
      <w:r w:rsidR="00BA2CA5">
        <w:t>ICR</w:t>
      </w:r>
      <w:r w:rsidR="00985651" w:rsidRPr="00E828BE">
        <w:t xml:space="preserve"> calculates the burden and costs associated with NPDES permits for point source discharges from the application of pesticides.</w:t>
      </w:r>
    </w:p>
    <w:p w14:paraId="12256E1E" w14:textId="77777777" w:rsidR="007C5D9D" w:rsidRDefault="001F4874" w:rsidP="001D6D10">
      <w:r w:rsidRPr="00E828BE">
        <w:t xml:space="preserve"> </w:t>
      </w:r>
    </w:p>
    <w:p w14:paraId="40FE2574" w14:textId="77777777" w:rsidR="00985651" w:rsidRPr="00E828BE" w:rsidRDefault="00985651" w:rsidP="001D6D10">
      <w:r w:rsidRPr="00E828BE">
        <w:t xml:space="preserve">On November 27, 2006, EPA issued a final rule (hereinafter called the “2006 NPDES Pesticides Rule”) clarifying circumstances where an NPDES permit was not required to apply pesticides to or around water when applied in compliance with </w:t>
      </w:r>
      <w:r w:rsidR="00EC4449" w:rsidRPr="00E828BE">
        <w:t xml:space="preserve">the </w:t>
      </w:r>
      <w:r w:rsidRPr="00E828BE">
        <w:t>Federal Insecticide, Fungicide and Rodenticide Act (FIFRA).</w:t>
      </w:r>
      <w:r w:rsidR="001F4874" w:rsidRPr="00E828BE">
        <w:t xml:space="preserve"> </w:t>
      </w:r>
      <w:r w:rsidRPr="00E828BE">
        <w:t xml:space="preserve">On January </w:t>
      </w:r>
      <w:r w:rsidR="0070297E" w:rsidRPr="00E828BE">
        <w:t>7</w:t>
      </w:r>
      <w:r w:rsidRPr="00E828BE">
        <w:t>, 2009, the Sixth Circuit Court vacated EPA’s 2006 NPDES Pesticides Rule.</w:t>
      </w:r>
      <w:r w:rsidR="001F4874" w:rsidRPr="00E828BE">
        <w:t xml:space="preserve"> </w:t>
      </w:r>
      <w:r w:rsidRPr="00E828BE">
        <w:t xml:space="preserve">As a result of the Court’s decision, </w:t>
      </w:r>
      <w:r w:rsidR="00EC4449" w:rsidRPr="00E828BE">
        <w:t>as of October 31</w:t>
      </w:r>
      <w:r w:rsidRPr="00E828BE">
        <w:t xml:space="preserve">, 2011 NPDES permits </w:t>
      </w:r>
      <w:r w:rsidR="00CA03CD" w:rsidRPr="00E828BE">
        <w:t>were</w:t>
      </w:r>
      <w:r w:rsidRPr="00E828BE">
        <w:t xml:space="preserve"> required for discharges to waters of the U</w:t>
      </w:r>
      <w:r w:rsidR="00EC4449" w:rsidRPr="00E828BE">
        <w:t xml:space="preserve">nited </w:t>
      </w:r>
      <w:r w:rsidRPr="00E828BE">
        <w:t>S</w:t>
      </w:r>
      <w:r w:rsidR="00EC4449" w:rsidRPr="00E828BE">
        <w:t>tates</w:t>
      </w:r>
      <w:r w:rsidRPr="00E828BE">
        <w:t xml:space="preserve"> from </w:t>
      </w:r>
      <w:r w:rsidR="00EC4449" w:rsidRPr="00E828BE">
        <w:t xml:space="preserve">the </w:t>
      </w:r>
      <w:r w:rsidRPr="00E828BE">
        <w:t>application of biological pesticides and chemical pesticides that leave a residue.</w:t>
      </w:r>
    </w:p>
    <w:p w14:paraId="70EFA196" w14:textId="77777777" w:rsidR="00985651" w:rsidRPr="00E828BE" w:rsidRDefault="00985651" w:rsidP="001D6D10"/>
    <w:p w14:paraId="3416FE84" w14:textId="77777777" w:rsidR="00985651" w:rsidRPr="00E828BE" w:rsidRDefault="00985651" w:rsidP="001D6D10">
      <w:r w:rsidRPr="00E828BE">
        <w:t>The CWA authorizes EPA to issue permits for the discharge of pollutants to waters of the United States.</w:t>
      </w:r>
      <w:r w:rsidR="001F4874" w:rsidRPr="00E828BE">
        <w:t xml:space="preserve"> </w:t>
      </w:r>
      <w:r w:rsidRPr="00E828BE">
        <w:t>EPA regulates discharges of pollutants to waters of the United States under its NPDES program.</w:t>
      </w:r>
      <w:r w:rsidR="001F4874" w:rsidRPr="00E828BE">
        <w:t xml:space="preserve"> </w:t>
      </w:r>
      <w:r w:rsidRPr="00E828BE">
        <w:t xml:space="preserve">CWA Section 402(b) allows </w:t>
      </w:r>
      <w:r w:rsidR="009A164E" w:rsidRPr="00E828BE">
        <w:t>state</w:t>
      </w:r>
      <w:r w:rsidRPr="00E828BE">
        <w:t>s (defined to include Indian Tribes and U.S. territories) to acquire authority to administer the NPDES program.</w:t>
      </w:r>
      <w:r w:rsidR="001F4874" w:rsidRPr="00E828BE">
        <w:t xml:space="preserve"> </w:t>
      </w:r>
      <w:r w:rsidRPr="00E828BE">
        <w:t>This authority enables them to issue and enforce NPDES permits.</w:t>
      </w:r>
      <w:r w:rsidR="001F4874" w:rsidRPr="00E828BE">
        <w:t xml:space="preserve"> </w:t>
      </w:r>
    </w:p>
    <w:p w14:paraId="712ECDB7" w14:textId="77777777" w:rsidR="00985651" w:rsidRPr="00E828BE" w:rsidRDefault="00985651" w:rsidP="001D6D10"/>
    <w:p w14:paraId="2B96D56D" w14:textId="77777777" w:rsidR="00985651" w:rsidRPr="00E828BE" w:rsidRDefault="00985651" w:rsidP="001D6D10">
      <w:pPr>
        <w:tabs>
          <w:tab w:val="left" w:pos="-1440"/>
          <w:tab w:val="left" w:pos="-720"/>
          <w:tab w:val="left" w:pos="0"/>
          <w:tab w:val="left" w:pos="720"/>
          <w:tab w:val="left" w:pos="1075"/>
          <w:tab w:val="left" w:pos="1440"/>
          <w:tab w:val="left" w:pos="1814"/>
          <w:tab w:val="left" w:pos="2160"/>
          <w:tab w:val="left" w:pos="2486"/>
          <w:tab w:val="left" w:pos="2880"/>
          <w:tab w:val="left" w:pos="3600"/>
          <w:tab w:val="left" w:pos="4320"/>
          <w:tab w:val="left" w:pos="5040"/>
          <w:tab w:val="left" w:pos="5760"/>
          <w:tab w:val="left" w:pos="6480"/>
          <w:tab w:val="left" w:pos="7200"/>
          <w:tab w:val="left" w:pos="7920"/>
          <w:tab w:val="left" w:pos="8640"/>
          <w:tab w:val="left" w:pos="9360"/>
        </w:tabs>
      </w:pPr>
      <w:r w:rsidRPr="00E828BE">
        <w:t xml:space="preserve">EPA estimates that the Sixth Circuit Court’s ruling </w:t>
      </w:r>
      <w:r w:rsidR="00CA03CD" w:rsidRPr="00E828BE">
        <w:t>would</w:t>
      </w:r>
      <w:r w:rsidRPr="00E828BE">
        <w:t xml:space="preserve"> affect approximately 365,000 pesticide applicators nationwide.</w:t>
      </w:r>
      <w:r w:rsidR="001F4874" w:rsidRPr="00E828BE">
        <w:t xml:space="preserve"> </w:t>
      </w:r>
      <w:r w:rsidRPr="00E828BE">
        <w:t xml:space="preserve">Given the vast number of </w:t>
      </w:r>
      <w:r w:rsidR="00057702">
        <w:t>operator</w:t>
      </w:r>
      <w:r w:rsidR="004C70DF" w:rsidRPr="00E828BE">
        <w:t>s</w:t>
      </w:r>
      <w:r w:rsidR="00C76CAE" w:rsidRPr="00E828BE">
        <w:t xml:space="preserve"> </w:t>
      </w:r>
      <w:r w:rsidRPr="00E828BE">
        <w:t xml:space="preserve">requiring NPDES permit coverage, EPA and </w:t>
      </w:r>
      <w:r w:rsidR="00EC4449" w:rsidRPr="00E828BE">
        <w:t xml:space="preserve">NPDES-authorized </w:t>
      </w:r>
      <w:r w:rsidR="009A164E" w:rsidRPr="00E828BE">
        <w:t>state</w:t>
      </w:r>
      <w:r w:rsidRPr="00E828BE">
        <w:t xml:space="preserve">s </w:t>
      </w:r>
      <w:r w:rsidR="00CA03CD" w:rsidRPr="00E828BE">
        <w:t>developed</w:t>
      </w:r>
      <w:r w:rsidRPr="00E828BE">
        <w:t xml:space="preserve"> general permits for discharges from the application of pesticides.</w:t>
      </w:r>
      <w:r w:rsidR="001F4874" w:rsidRPr="00E828BE">
        <w:t xml:space="preserve"> </w:t>
      </w:r>
      <w:r w:rsidRPr="00E828BE">
        <w:t xml:space="preserve">EPA estimates that the </w:t>
      </w:r>
      <w:r w:rsidR="006D76B7" w:rsidRPr="00E828BE">
        <w:t xml:space="preserve">overwhelming </w:t>
      </w:r>
      <w:r w:rsidRPr="00E828BE">
        <w:t xml:space="preserve">majority of </w:t>
      </w:r>
      <w:r w:rsidR="00057702">
        <w:t>operator</w:t>
      </w:r>
      <w:r w:rsidR="00C76CAE" w:rsidRPr="00E828BE">
        <w:t xml:space="preserve">s </w:t>
      </w:r>
      <w:r w:rsidRPr="00E828BE">
        <w:t>required to seek coverage will do so under a</w:t>
      </w:r>
      <w:r w:rsidR="006D76B7" w:rsidRPr="00E828BE">
        <w:t>n NPDES</w:t>
      </w:r>
      <w:r w:rsidRPr="00E828BE">
        <w:t xml:space="preserve"> general permit instead of an </w:t>
      </w:r>
      <w:r w:rsidR="006D76B7" w:rsidRPr="00E828BE">
        <w:t xml:space="preserve">NPDES </w:t>
      </w:r>
      <w:r w:rsidRPr="00E828BE">
        <w:t>individual permit.</w:t>
      </w:r>
      <w:r w:rsidR="001F4874" w:rsidRPr="00E828BE">
        <w:t xml:space="preserve"> </w:t>
      </w:r>
      <w:r w:rsidRPr="00E828BE">
        <w:t xml:space="preserve">For the small number of </w:t>
      </w:r>
      <w:r w:rsidR="00057702">
        <w:t>operator</w:t>
      </w:r>
      <w:r w:rsidR="00C76CAE" w:rsidRPr="00E828BE">
        <w:t xml:space="preserve">s </w:t>
      </w:r>
      <w:r w:rsidRPr="00E828BE">
        <w:t xml:space="preserve">who will seek coverage under an </w:t>
      </w:r>
      <w:r w:rsidR="006D76B7" w:rsidRPr="00E828BE">
        <w:t xml:space="preserve">NPDES </w:t>
      </w:r>
      <w:r w:rsidRPr="00E828BE">
        <w:t>individual permit, EPA believes their information collection and reporting activities are already covered under the existing ICR for the NPDES Program (ICR Number 0229.</w:t>
      </w:r>
      <w:r w:rsidR="001F4874" w:rsidRPr="00E828BE">
        <w:t>20</w:t>
      </w:r>
      <w:r w:rsidRPr="00E828BE">
        <w:t>, OMB Number 2040-0004).</w:t>
      </w:r>
      <w:r w:rsidR="001F4874" w:rsidRPr="00E828BE">
        <w:t xml:space="preserve"> </w:t>
      </w:r>
      <w:r w:rsidR="006D76B7" w:rsidRPr="00E828BE">
        <w:t>As part of the routine ICR reissuance, EPA will update that ICR to clarify this determination.</w:t>
      </w:r>
      <w:r w:rsidR="001F4874" w:rsidRPr="00E828BE">
        <w:t xml:space="preserve"> </w:t>
      </w:r>
      <w:r w:rsidRPr="00E828BE">
        <w:t xml:space="preserve">This </w:t>
      </w:r>
      <w:r w:rsidR="00BA2CA5">
        <w:t>ICR</w:t>
      </w:r>
      <w:r w:rsidRPr="00E828BE">
        <w:t xml:space="preserve"> calculates the burden and costs associated with information collection and reporting activities from EPA</w:t>
      </w:r>
      <w:r w:rsidR="00EC4449" w:rsidRPr="00E828BE">
        <w:t>’s</w:t>
      </w:r>
      <w:r w:rsidRPr="00E828BE">
        <w:t xml:space="preserve"> and </w:t>
      </w:r>
      <w:r w:rsidR="00EC4449" w:rsidRPr="00E828BE">
        <w:t xml:space="preserve">NPDES-authorized </w:t>
      </w:r>
      <w:r w:rsidR="009A164E" w:rsidRPr="00E828BE">
        <w:t>state</w:t>
      </w:r>
      <w:r w:rsidR="00EC4449" w:rsidRPr="00E828BE">
        <w:t>s’</w:t>
      </w:r>
      <w:r w:rsidRPr="00E828BE">
        <w:t xml:space="preserve"> general permits</w:t>
      </w:r>
      <w:r w:rsidR="00EC4449" w:rsidRPr="00E828BE">
        <w:t xml:space="preserve"> for discharges from the application of pesticides</w:t>
      </w:r>
      <w:r w:rsidRPr="00E828BE">
        <w:t>.</w:t>
      </w:r>
      <w:r w:rsidR="001F4874" w:rsidRPr="00E828BE">
        <w:t xml:space="preserve"> </w:t>
      </w:r>
    </w:p>
    <w:p w14:paraId="54867875" w14:textId="77777777" w:rsidR="00985651" w:rsidRPr="00E828BE" w:rsidRDefault="00985651" w:rsidP="00A43DF6"/>
    <w:p w14:paraId="45C813BE" w14:textId="77777777" w:rsidR="00985651" w:rsidRPr="00E828BE" w:rsidRDefault="00985651" w:rsidP="001D6D10">
      <w:r w:rsidRPr="00E828BE">
        <w:t xml:space="preserve">This </w:t>
      </w:r>
      <w:r w:rsidR="00BA2CA5">
        <w:t>ICR</w:t>
      </w:r>
      <w:r w:rsidRPr="00E828BE">
        <w:t xml:space="preserve"> estimates a</w:t>
      </w:r>
      <w:r w:rsidR="006D76B7" w:rsidRPr="00E828BE">
        <w:t>n annual</w:t>
      </w:r>
      <w:r w:rsidRPr="00E828BE">
        <w:t xml:space="preserve"> burden of </w:t>
      </w:r>
      <w:r w:rsidR="00A43DF6" w:rsidRPr="00E828BE">
        <w:t>828,141</w:t>
      </w:r>
      <w:r w:rsidR="001D6D10" w:rsidRPr="00E828BE">
        <w:t>hours for 365,000 respondents (permittees) at a</w:t>
      </w:r>
      <w:r w:rsidR="006D76B7" w:rsidRPr="00E828BE">
        <w:t>n annual</w:t>
      </w:r>
      <w:r w:rsidR="001D6D10" w:rsidRPr="00E828BE">
        <w:t xml:space="preserve"> labor cost of $</w:t>
      </w:r>
      <w:r w:rsidR="00A43DF6" w:rsidRPr="00E828BE">
        <w:t>38.</w:t>
      </w:r>
      <w:r w:rsidR="00143115">
        <w:t>5</w:t>
      </w:r>
      <w:r w:rsidR="00BA1BC6" w:rsidRPr="00E828BE">
        <w:t xml:space="preserve"> </w:t>
      </w:r>
      <w:r w:rsidR="001D6D10" w:rsidRPr="00E828BE">
        <w:t>million</w:t>
      </w:r>
      <w:r w:rsidRPr="00E828BE">
        <w:t>.</w:t>
      </w:r>
      <w:r w:rsidR="001F4874" w:rsidRPr="00E828BE">
        <w:t xml:space="preserve"> </w:t>
      </w:r>
      <w:r w:rsidRPr="00E828BE">
        <w:t xml:space="preserve">The burden for the state respondents is </w:t>
      </w:r>
      <w:r w:rsidR="00BA1BC6" w:rsidRPr="00E828BE">
        <w:t>6,615</w:t>
      </w:r>
      <w:r w:rsidR="001D6D10" w:rsidRPr="00E828BE">
        <w:t xml:space="preserve"> hours annually at a labor cost of $0.</w:t>
      </w:r>
      <w:r w:rsidR="00A43DF6" w:rsidRPr="00E828BE">
        <w:t>2</w:t>
      </w:r>
      <w:r w:rsidR="001D6D10" w:rsidRPr="00E828BE">
        <w:t xml:space="preserve"> million</w:t>
      </w:r>
      <w:r w:rsidRPr="00E828BE">
        <w:t>.</w:t>
      </w:r>
      <w:r w:rsidR="001F4874" w:rsidRPr="00E828BE">
        <w:t xml:space="preserve"> </w:t>
      </w:r>
      <w:r w:rsidRPr="00E828BE">
        <w:t xml:space="preserve">The </w:t>
      </w:r>
      <w:r w:rsidR="0067212A">
        <w:t>agency</w:t>
      </w:r>
      <w:r w:rsidRPr="00E828BE">
        <w:t xml:space="preserve"> burden is </w:t>
      </w:r>
      <w:r w:rsidR="00BA1BC6" w:rsidRPr="00E828BE">
        <w:t>776</w:t>
      </w:r>
      <w:r w:rsidR="001D6D10" w:rsidRPr="00E828BE">
        <w:t xml:space="preserve"> hours annually at a labor cost of $</w:t>
      </w:r>
      <w:r w:rsidR="00BA1BC6" w:rsidRPr="00E828BE">
        <w:t>3</w:t>
      </w:r>
      <w:r w:rsidR="00A43DF6" w:rsidRPr="00E828BE">
        <w:t>2</w:t>
      </w:r>
      <w:r w:rsidR="00BA1BC6" w:rsidRPr="00E828BE">
        <w:t>,</w:t>
      </w:r>
      <w:r w:rsidR="00A43DF6" w:rsidRPr="00E828BE">
        <w:t>268</w:t>
      </w:r>
      <w:r w:rsidRPr="00E828BE">
        <w:t>.</w:t>
      </w:r>
    </w:p>
    <w:p w14:paraId="27AA47CD" w14:textId="77777777" w:rsidR="00985651" w:rsidRPr="00E828BE" w:rsidRDefault="00985651" w:rsidP="001D6D10">
      <w:pPr>
        <w:sectPr w:rsidR="00985651" w:rsidRPr="00E828BE">
          <w:headerReference w:type="even" r:id="rId14"/>
          <w:headerReference w:type="default" r:id="rId15"/>
          <w:footerReference w:type="default" r:id="rId16"/>
          <w:headerReference w:type="first" r:id="rId17"/>
          <w:pgSz w:w="12240" w:h="15840" w:code="1"/>
          <w:pgMar w:top="1440" w:right="1440" w:bottom="1440" w:left="1440" w:header="720" w:footer="720" w:gutter="0"/>
          <w:pgNumType w:start="1" w:chapStyle="1"/>
          <w:cols w:space="720"/>
          <w:noEndnote/>
        </w:sectPr>
      </w:pPr>
    </w:p>
    <w:p w14:paraId="4A914CE7" w14:textId="77777777" w:rsidR="00985651" w:rsidRPr="00E828BE" w:rsidRDefault="00985651" w:rsidP="001D6D10">
      <w:pPr>
        <w:pStyle w:val="Heading1"/>
      </w:pPr>
      <w:bookmarkStart w:id="13" w:name="_Ref199566114"/>
      <w:bookmarkStart w:id="14" w:name="_Toc275242919"/>
      <w:r w:rsidRPr="00E828BE">
        <w:lastRenderedPageBreak/>
        <w:t>2. Need For and Use of the Collection</w:t>
      </w:r>
      <w:bookmarkEnd w:id="13"/>
      <w:bookmarkEnd w:id="14"/>
    </w:p>
    <w:p w14:paraId="4340140F" w14:textId="77777777" w:rsidR="00985651" w:rsidRPr="00E828BE" w:rsidRDefault="00985651" w:rsidP="001D6D10">
      <w:pPr>
        <w:pStyle w:val="Heading2"/>
      </w:pPr>
      <w:bookmarkStart w:id="15" w:name="_Ref199565650"/>
      <w:bookmarkStart w:id="16" w:name="_Toc275242920"/>
      <w:r w:rsidRPr="00E828BE">
        <w:t>2(a) Need/Authority for the Collection</w:t>
      </w:r>
      <w:bookmarkEnd w:id="15"/>
      <w:bookmarkEnd w:id="16"/>
    </w:p>
    <w:p w14:paraId="0C4E4AA2" w14:textId="77777777" w:rsidR="00985651" w:rsidRPr="00E828BE" w:rsidRDefault="00985651" w:rsidP="00A43DF6">
      <w:r w:rsidRPr="00E828BE">
        <w:t>The purpose of the Clean Water Act (CWA) is “to restore and maintain the chemical, physical and biological integrity of the nation’s waters” [section 101(a)].</w:t>
      </w:r>
      <w:r w:rsidR="001F4874" w:rsidRPr="00E828BE">
        <w:t xml:space="preserve"> </w:t>
      </w:r>
      <w:r w:rsidRPr="00E828BE">
        <w:t>Section 301(a) of the CWA provides that “the discharge of any pollutant by any person shall be unlawful” unless the discharge is in compliance with certain other sections of the Act.</w:t>
      </w:r>
      <w:r w:rsidR="001F4874" w:rsidRPr="00E828BE">
        <w:t xml:space="preserve"> </w:t>
      </w:r>
      <w:r w:rsidRPr="00E828BE">
        <w:t>The CWA defines “discharge of a pollutant” as “(A) any addition of any pollutant to navigable waters from any point source, (B) any addition of any pollutant to the waters of the contiguous zone or the ocean from any point source other than a vessel or other floating craft.” 33 U.S.C. 1362(12).</w:t>
      </w:r>
      <w:r w:rsidR="001F4874" w:rsidRPr="00E828BE">
        <w:t xml:space="preserve"> </w:t>
      </w:r>
      <w:r w:rsidRPr="00E828BE">
        <w:t xml:space="preserve">A “point source” is any “discernible, confined and discrete conveyance” but does not include “agricultural stormwater discharges and return flows from irrigated agriculture.” 33 U.S.C. 1362(14). </w:t>
      </w:r>
    </w:p>
    <w:p w14:paraId="3291F1C2" w14:textId="77777777" w:rsidR="00985651" w:rsidRPr="00E828BE" w:rsidRDefault="00985651" w:rsidP="00A43DF6"/>
    <w:p w14:paraId="23F46F34" w14:textId="77777777" w:rsidR="00985651" w:rsidRPr="00E828BE" w:rsidRDefault="00985651" w:rsidP="00A43DF6">
      <w:r w:rsidRPr="00E828BE">
        <w:t>One way a person may discharge a pollutant without violating the section 301 prohibition is by obtaining authorization to discharge (referred to herein as “coverage”) under a section 402 National Pollutant Discharge Elimination System (NPDES) permit (33 U.S.C. 1342).</w:t>
      </w:r>
      <w:r w:rsidR="001F4874" w:rsidRPr="00E828BE">
        <w:t xml:space="preserve"> </w:t>
      </w:r>
      <w:r w:rsidRPr="00E828BE">
        <w:t>Under section 402(a), EPA may “issue a permit for the discharge of any pollutant, or combination of pollutants, notwithstanding section 1311(a)” upon certain conditions required by the Act.</w:t>
      </w:r>
      <w:r w:rsidR="001F4874" w:rsidRPr="00E828BE">
        <w:t xml:space="preserve"> </w:t>
      </w:r>
    </w:p>
    <w:p w14:paraId="735ADB8E" w14:textId="77777777" w:rsidR="00985651" w:rsidRPr="00E828BE" w:rsidRDefault="00985651" w:rsidP="00A43DF6"/>
    <w:p w14:paraId="7FA5C33A" w14:textId="77777777" w:rsidR="00985651" w:rsidRPr="00E828BE" w:rsidRDefault="00985651" w:rsidP="00A43DF6">
      <w:r w:rsidRPr="00E828BE">
        <w:t>An NPDES permit authorizes the discharge of a regulated amount of a pollutant or pollutants into a receiving water under certain conditions.</w:t>
      </w:r>
      <w:r w:rsidR="001F4874" w:rsidRPr="00E828BE">
        <w:t xml:space="preserve"> </w:t>
      </w:r>
      <w:r w:rsidRPr="00E828BE">
        <w:t>The NPDES program relies on two types of permits: individual and general.</w:t>
      </w:r>
      <w:r w:rsidR="001F4874" w:rsidRPr="00E828BE">
        <w:t xml:space="preserve"> </w:t>
      </w:r>
      <w:r w:rsidRPr="00E828BE">
        <w:t>An individual permit is a permit specifically tailored for an individual discharger.</w:t>
      </w:r>
      <w:r w:rsidR="001F4874" w:rsidRPr="00E828BE">
        <w:t xml:space="preserve"> </w:t>
      </w:r>
      <w:r w:rsidRPr="00E828BE">
        <w:t>Upon receiving the appropriate permit application(s), the permitting authority, i.e., the U.S. Environmenta</w:t>
      </w:r>
      <w:r w:rsidR="00C344F7" w:rsidRPr="00E828BE">
        <w:t xml:space="preserve">l Protection Agency (EPA) or a </w:t>
      </w:r>
      <w:r w:rsidR="009A164E" w:rsidRPr="00E828BE">
        <w:t>state</w:t>
      </w:r>
      <w:r w:rsidRPr="00E828BE">
        <w:t>,</w:t>
      </w:r>
      <w:r w:rsidR="00592DB5" w:rsidRPr="00E828BE">
        <w:t xml:space="preserve"> </w:t>
      </w:r>
      <w:r w:rsidRPr="00E828BE">
        <w:t>develops a draft permit for public comment for that particular discharger based on the information contained in the permit application (e.g., type of activity, nature of discharge, receiving water quality).</w:t>
      </w:r>
      <w:r w:rsidR="001F4874" w:rsidRPr="00E828BE">
        <w:t xml:space="preserve"> </w:t>
      </w:r>
      <w:r w:rsidRPr="00E828BE">
        <w:t>Following consideration of public comments, a final permit is then issued to the discharger for a specific time period (not to exceed 5 years) with a provision for reapplying for further permit coverage prior to the expiration date</w:t>
      </w:r>
      <w:r w:rsidR="001F4874" w:rsidRPr="00E828BE">
        <w:t xml:space="preserve">. </w:t>
      </w:r>
    </w:p>
    <w:p w14:paraId="153F96F6" w14:textId="77777777" w:rsidR="00985651" w:rsidRPr="00E828BE" w:rsidRDefault="00985651" w:rsidP="00A43DF6"/>
    <w:p w14:paraId="438F1DD4" w14:textId="77777777" w:rsidR="00985651" w:rsidRPr="00E828BE" w:rsidRDefault="00985651" w:rsidP="00A43DF6">
      <w:r w:rsidRPr="00E828BE">
        <w:t>In contrast, a general permit covers multiple facilities/sites/activities within a specific category for a specific period of time (not to exceed 5 years).</w:t>
      </w:r>
      <w:r w:rsidR="001F4874" w:rsidRPr="00E828BE">
        <w:t xml:space="preserve"> </w:t>
      </w:r>
      <w:r w:rsidRPr="00E828BE">
        <w:t>Under 40 CFR 122.28, general permits may be written to cover categories of point sources having common elements, such as facilities that involve the same or substantially similar types of operations, that discharge the same types of wastes, or that are more appropriately regulated by a general permit.</w:t>
      </w:r>
      <w:r w:rsidR="001F4874" w:rsidRPr="00E828BE">
        <w:t xml:space="preserve"> </w:t>
      </w:r>
      <w:r w:rsidRPr="00E828BE">
        <w:t>Courts have approved of the use of general permits.</w:t>
      </w:r>
      <w:r w:rsidR="001F4874" w:rsidRPr="00E828BE">
        <w:t xml:space="preserve"> </w:t>
      </w:r>
      <w:r w:rsidRPr="00E828BE">
        <w:t xml:space="preserve">See e.g., </w:t>
      </w:r>
      <w:r w:rsidRPr="00E828BE">
        <w:rPr>
          <w:i/>
        </w:rPr>
        <w:t>Natural Res. Def. Council v. Costle</w:t>
      </w:r>
      <w:r w:rsidRPr="00E828BE">
        <w:t xml:space="preserve">, 568 F.2d 1369 (D.C. Cir. 1977); </w:t>
      </w:r>
      <w:r w:rsidRPr="00E828BE">
        <w:rPr>
          <w:i/>
        </w:rPr>
        <w:t>EDC v. US EPA</w:t>
      </w:r>
      <w:r w:rsidRPr="00E828BE">
        <w:t>, 344 F.3d 832, 853 (9</w:t>
      </w:r>
      <w:r w:rsidRPr="00E828BE">
        <w:rPr>
          <w:sz w:val="16"/>
        </w:rPr>
        <w:t xml:space="preserve">th </w:t>
      </w:r>
      <w:r w:rsidRPr="00E828BE">
        <w:t>Cir. 2003).</w:t>
      </w:r>
      <w:r w:rsidR="001F4874" w:rsidRPr="00E828BE">
        <w:t xml:space="preserve"> </w:t>
      </w:r>
      <w:r w:rsidRPr="00E828BE">
        <w:t>The general permit approach allows EPA to allocate resources in a more efficient manner and to provide more timely coverage and may significantly simplify the permitting process for the majority of pesticide dischargers.</w:t>
      </w:r>
      <w:r w:rsidR="001F4874" w:rsidRPr="00E828BE">
        <w:t xml:space="preserve"> </w:t>
      </w:r>
      <w:r w:rsidRPr="00E828BE">
        <w:t>As with any permit, the CWA requires the general permit to contain technology-based effluent limitations, as well as any more stringent limits when necessary to meet applicable state water quality standards.</w:t>
      </w:r>
      <w:r w:rsidR="001F4874" w:rsidRPr="00E828BE">
        <w:t xml:space="preserve"> </w:t>
      </w:r>
      <w:r w:rsidRPr="00E828BE">
        <w:t xml:space="preserve">State water quality standards apply in the territorial seas, defined in section 502(8) of the CWA as extending three miles from the baseline. </w:t>
      </w:r>
      <w:r w:rsidRPr="00E828BE">
        <w:rPr>
          <w:i/>
        </w:rPr>
        <w:t>Pacific Legal Foundation v. Costle</w:t>
      </w:r>
      <w:r w:rsidRPr="00E828BE">
        <w:t>, 586 F.2d 650, 655-656 (9</w:t>
      </w:r>
      <w:r w:rsidRPr="00E828BE">
        <w:rPr>
          <w:sz w:val="16"/>
        </w:rPr>
        <w:t xml:space="preserve">th </w:t>
      </w:r>
      <w:r w:rsidRPr="00E828BE">
        <w:t xml:space="preserve">Cir. 1978); </w:t>
      </w:r>
      <w:r w:rsidRPr="00E828BE">
        <w:rPr>
          <w:i/>
        </w:rPr>
        <w:t>Natural Resources Defense Council, Inc. v. U.S. EPA</w:t>
      </w:r>
      <w:r w:rsidRPr="00E828BE">
        <w:t>, 863 F.2d 1420, 1435 (9</w:t>
      </w:r>
      <w:r w:rsidRPr="00E828BE">
        <w:rPr>
          <w:sz w:val="16"/>
        </w:rPr>
        <w:t xml:space="preserve">th </w:t>
      </w:r>
      <w:r w:rsidRPr="00E828BE">
        <w:t>Cir. 1988).</w:t>
      </w:r>
    </w:p>
    <w:p w14:paraId="64782C46" w14:textId="77777777" w:rsidR="00985651" w:rsidRPr="00E828BE" w:rsidRDefault="00985651" w:rsidP="001D6D10">
      <w:pPr>
        <w:autoSpaceDE w:val="0"/>
        <w:autoSpaceDN w:val="0"/>
        <w:adjustRightInd w:val="0"/>
      </w:pPr>
    </w:p>
    <w:p w14:paraId="71476699" w14:textId="77777777" w:rsidR="00985651" w:rsidRPr="00E828BE" w:rsidRDefault="00985651" w:rsidP="001D6D10">
      <w:r w:rsidRPr="00E828BE">
        <w:t>The permit application process under section 402 is the primary mechanism to ensure that the permits are adequately protective to meet the statutory and regulatory requirements under the CWA.</w:t>
      </w:r>
      <w:r w:rsidR="001F4874" w:rsidRPr="00E828BE">
        <w:t xml:space="preserve"> </w:t>
      </w:r>
      <w:r w:rsidRPr="00E828BE">
        <w:t>In particular, CWA section 402(a)(2) requires EPA to prescribe permit conditions to assure compliance with requirements “including conditions on data and information collection, reporting and such other requirements as [the Administrator] deemed appropriate.”</w:t>
      </w:r>
      <w:r w:rsidR="001F4874" w:rsidRPr="00E828BE">
        <w:t xml:space="preserve"> </w:t>
      </w:r>
      <w:r w:rsidRPr="00E828BE">
        <w:t>EPA’s application forms require applicants to submit data that help determine what those conditions should be.</w:t>
      </w:r>
    </w:p>
    <w:p w14:paraId="5B37EE5F" w14:textId="77777777" w:rsidR="00985651" w:rsidRPr="00E828BE" w:rsidRDefault="00985651" w:rsidP="001D6D10"/>
    <w:p w14:paraId="0BC096D8" w14:textId="77777777" w:rsidR="00985651" w:rsidRPr="00E828BE" w:rsidRDefault="00985651" w:rsidP="00A43DF6">
      <w:r w:rsidRPr="00E828BE">
        <w:t xml:space="preserve">The CWA also establishes an administrative framework for the NPDES permitting program. CWA section 402(b) authorizes </w:t>
      </w:r>
      <w:r w:rsidR="009A164E" w:rsidRPr="00E828BE">
        <w:t>state</w:t>
      </w:r>
      <w:r w:rsidRPr="00E828BE">
        <w:t xml:space="preserve">s (which include U.S. territories and Indian tribes that have been authorized in the same manner as a </w:t>
      </w:r>
      <w:r w:rsidR="009A164E" w:rsidRPr="00E828BE">
        <w:t>state</w:t>
      </w:r>
      <w:r w:rsidRPr="00E828BE">
        <w:t>) to administer the NPDES program once EPA is assured that they meet minimum federal requirements.</w:t>
      </w:r>
      <w:r w:rsidR="001F4874" w:rsidRPr="00E828BE">
        <w:t xml:space="preserve"> </w:t>
      </w:r>
      <w:r w:rsidRPr="00E828BE">
        <w:t xml:space="preserve">Authorized </w:t>
      </w:r>
      <w:r w:rsidR="009A164E" w:rsidRPr="00E828BE">
        <w:t>state</w:t>
      </w:r>
      <w:r w:rsidRPr="00E828BE">
        <w:t>s are considered permitting authorities and are responsible for issuing, administering, and enforcing permits for most point source discharges within their borders.</w:t>
      </w:r>
      <w:r w:rsidR="001F4874" w:rsidRPr="00E828BE">
        <w:t xml:space="preserve"> </w:t>
      </w:r>
      <w:r w:rsidRPr="00E828BE">
        <w:t xml:space="preserve">In </w:t>
      </w:r>
      <w:r w:rsidR="009A164E" w:rsidRPr="00E828BE">
        <w:t>state</w:t>
      </w:r>
      <w:r w:rsidRPr="00E828BE">
        <w:t xml:space="preserve">s without an authorized NPDES program, EPA is the permitting authority and undertakes all permitting activities; although CWA section 401 requires </w:t>
      </w:r>
      <w:r w:rsidR="009A164E" w:rsidRPr="00E828BE">
        <w:t>state</w:t>
      </w:r>
      <w:r w:rsidRPr="00E828BE">
        <w:t>s to certify that EPA-issued NPDES permits establish “effluent limitations, and monitoring requirements necessary to assure that any applicant...will comply with any applicable effluent limitations and other limitations (pursuant to the CWA) and with any other appropriate requirement of state law...”</w:t>
      </w:r>
      <w:r w:rsidR="001F4874" w:rsidRPr="00E828BE">
        <w:t xml:space="preserve"> </w:t>
      </w:r>
      <w:r w:rsidR="009A164E" w:rsidRPr="00E828BE">
        <w:t>state</w:t>
      </w:r>
      <w:r w:rsidRPr="00E828BE">
        <w:t>s, tribes, and U.S. territories may waive their right to certify permits if they wish.</w:t>
      </w:r>
      <w:r w:rsidR="001F4874" w:rsidRPr="00E828BE">
        <w:t xml:space="preserve"> </w:t>
      </w:r>
      <w:r w:rsidRPr="00E828BE">
        <w:t xml:space="preserve">CWA section 510 provides that </w:t>
      </w:r>
      <w:r w:rsidR="009A164E" w:rsidRPr="00E828BE">
        <w:t>state</w:t>
      </w:r>
      <w:r w:rsidRPr="00E828BE">
        <w:t>s, tribes, and territories may adopt requirements equal to or more stringent than standards established pursuant to CWA provisions.</w:t>
      </w:r>
    </w:p>
    <w:p w14:paraId="76679842" w14:textId="77777777" w:rsidR="00985651" w:rsidRPr="00E828BE" w:rsidRDefault="00985651" w:rsidP="00A43DF6"/>
    <w:p w14:paraId="7F491A3A" w14:textId="77777777" w:rsidR="00985651" w:rsidRPr="00E828BE" w:rsidRDefault="00985651" w:rsidP="00A43DF6">
      <w:r w:rsidRPr="00E828BE">
        <w:t xml:space="preserve">Regulations governing permit requirements for NPDES discharges are contained in 40 CFR </w:t>
      </w:r>
      <w:r w:rsidR="00051EC7">
        <w:t>p</w:t>
      </w:r>
      <w:r w:rsidRPr="00E828BE">
        <w:t>art 122.</w:t>
      </w:r>
      <w:r w:rsidR="001F4874" w:rsidRPr="00E828BE">
        <w:t xml:space="preserve"> </w:t>
      </w:r>
      <w:r w:rsidRPr="00E828BE">
        <w:t>The specific monitoring, reporting, and recordkeeping requirements for NPDES programs are applicable to both EPA-</w:t>
      </w:r>
      <w:r w:rsidR="00F0724E" w:rsidRPr="00E828BE">
        <w:t xml:space="preserve"> </w:t>
      </w:r>
      <w:r w:rsidRPr="00E828BE">
        <w:t xml:space="preserve">and </w:t>
      </w:r>
      <w:r w:rsidR="009A164E" w:rsidRPr="00E828BE">
        <w:t>state</w:t>
      </w:r>
      <w:r w:rsidRPr="00E828BE">
        <w:t>-administered NPDES permit programs.</w:t>
      </w:r>
    </w:p>
    <w:p w14:paraId="328025D2" w14:textId="77777777" w:rsidR="00985651" w:rsidRPr="00E828BE" w:rsidRDefault="00985651" w:rsidP="00A43DF6"/>
    <w:p w14:paraId="7937C1C7" w14:textId="77777777" w:rsidR="00985651" w:rsidRPr="00E828BE" w:rsidRDefault="00985651" w:rsidP="00A43DF6">
      <w:r w:rsidRPr="00E828BE">
        <w:t>On November 27, 2006, EPA issued the 2006 NPDES Pesticides Rule clarifying circumstances where an NPDES permit was not required in order to apply pesticides to waters of the United States.</w:t>
      </w:r>
      <w:r w:rsidR="001F4874" w:rsidRPr="00E828BE">
        <w:t xml:space="preserve"> </w:t>
      </w:r>
      <w:r w:rsidRPr="00E828BE">
        <w:t xml:space="preserve">On January </w:t>
      </w:r>
      <w:r w:rsidR="00A127C0" w:rsidRPr="00E828BE">
        <w:t>7</w:t>
      </w:r>
      <w:r w:rsidRPr="00E828BE">
        <w:t>, 2009, the Sixth Circuit Court vacated EPA’s 2006 NPDES Pesticides Rule.</w:t>
      </w:r>
      <w:r w:rsidR="001F4874" w:rsidRPr="00E828BE">
        <w:t xml:space="preserve"> </w:t>
      </w:r>
      <w:r w:rsidRPr="00E828BE">
        <w:t>As a result of the Court’s decision, NPDES permits will be required for discharges to waters of the U.S. from the application of biological pesticides and chemical pesticides that leave a residue.</w:t>
      </w:r>
      <w:r w:rsidR="001F4874" w:rsidRPr="00E828BE">
        <w:t xml:space="preserve"> </w:t>
      </w:r>
      <w:r w:rsidRPr="00E828BE">
        <w:t xml:space="preserve">Table 2.1 lists the areas where EPA is the permitting authority for discharges from pesticide application activities. </w:t>
      </w:r>
    </w:p>
    <w:p w14:paraId="6B11DCFC" w14:textId="77777777" w:rsidR="00985651" w:rsidRPr="00E828BE" w:rsidRDefault="00985651" w:rsidP="00A43DF6"/>
    <w:p w14:paraId="2757ACC1" w14:textId="77777777" w:rsidR="00985651" w:rsidRPr="00E828BE" w:rsidRDefault="00985651" w:rsidP="00A43DF6">
      <w:r w:rsidRPr="00E828BE">
        <w:t xml:space="preserve">Given the vast number of </w:t>
      </w:r>
      <w:r w:rsidR="00057702">
        <w:t>operator</w:t>
      </w:r>
      <w:r w:rsidR="004C70DF" w:rsidRPr="00E828BE">
        <w:t>s</w:t>
      </w:r>
      <w:r w:rsidR="00C76CAE" w:rsidRPr="00E828BE">
        <w:t xml:space="preserve"> </w:t>
      </w:r>
      <w:r w:rsidRPr="00E828BE">
        <w:t xml:space="preserve">requiring NPDES permit coverage and the discharges common to these </w:t>
      </w:r>
      <w:r w:rsidR="00057702">
        <w:t>operator</w:t>
      </w:r>
      <w:r w:rsidR="00C76CAE" w:rsidRPr="00E828BE">
        <w:t>s</w:t>
      </w:r>
      <w:r w:rsidRPr="00E828BE">
        <w:t xml:space="preserve">, EPA believes that it makes administrative sense to issue a general permit, rather than issuing individual permits to each </w:t>
      </w:r>
      <w:r w:rsidR="00057702">
        <w:t>operator</w:t>
      </w:r>
      <w:r w:rsidRPr="00E828BE">
        <w:t>.</w:t>
      </w:r>
      <w:r w:rsidR="001F4874" w:rsidRPr="00E828BE">
        <w:t xml:space="preserve"> </w:t>
      </w:r>
      <w:r w:rsidRPr="00E828BE">
        <w:t xml:space="preserve">Thus, the </w:t>
      </w:r>
      <w:r w:rsidR="0067212A">
        <w:t>agency</w:t>
      </w:r>
      <w:r w:rsidRPr="00E828BE">
        <w:t xml:space="preserve"> and </w:t>
      </w:r>
      <w:r w:rsidR="009A164E" w:rsidRPr="00E828BE">
        <w:t>state</w:t>
      </w:r>
      <w:r w:rsidRPr="00E828BE">
        <w:t xml:space="preserve">s </w:t>
      </w:r>
      <w:r w:rsidR="00464F29">
        <w:t>issued</w:t>
      </w:r>
      <w:r w:rsidRPr="00E828BE">
        <w:t xml:space="preserve"> general permits for discharges from application of pesticides</w:t>
      </w:r>
      <w:r w:rsidR="00464F29">
        <w:t>.</w:t>
      </w:r>
      <w:r w:rsidR="001F4874" w:rsidRPr="00E828BE">
        <w:t xml:space="preserve"> </w:t>
      </w:r>
      <w:r w:rsidRPr="00E828BE">
        <w:t>EPA believes the majority of the affected entities will seek coverage under a</w:t>
      </w:r>
      <w:r w:rsidR="006D76B7" w:rsidRPr="00E828BE">
        <w:t>n NPDES</w:t>
      </w:r>
      <w:r w:rsidRPr="00E828BE">
        <w:t xml:space="preserve"> general permit instead of an </w:t>
      </w:r>
      <w:r w:rsidR="006D76B7" w:rsidRPr="00E828BE">
        <w:t xml:space="preserve">NPDES </w:t>
      </w:r>
      <w:r w:rsidRPr="00E828BE">
        <w:t>individual</w:t>
      </w:r>
      <w:r w:rsidR="00BE6B6C" w:rsidRPr="00E828BE">
        <w:t xml:space="preserve"> </w:t>
      </w:r>
      <w:r w:rsidRPr="00E828BE">
        <w:t>permit.</w:t>
      </w:r>
    </w:p>
    <w:p w14:paraId="698B2FAB" w14:textId="77777777" w:rsidR="00985651" w:rsidRPr="00E828BE" w:rsidRDefault="00985651" w:rsidP="00A43DF6"/>
    <w:p w14:paraId="1BB09EDF" w14:textId="77777777" w:rsidR="00985651" w:rsidRPr="00E828BE" w:rsidRDefault="00985651" w:rsidP="001D6D10">
      <w:pPr>
        <w:pStyle w:val="TableTitle"/>
        <w:keepNext/>
        <w:keepLines/>
        <w:widowControl/>
      </w:pPr>
      <w:bookmarkStart w:id="17" w:name="_Toc275242961"/>
      <w:r w:rsidRPr="00E828BE">
        <w:lastRenderedPageBreak/>
        <w:t xml:space="preserve">Table 2.1 </w:t>
      </w:r>
      <w:bookmarkStart w:id="18" w:name="_Hlt196791643"/>
      <w:bookmarkEnd w:id="18"/>
      <w:r w:rsidRPr="00E828BE">
        <w:t>Areas for which EPA is the Permitting Authority for Discharges from Pesticide Application Activities</w:t>
      </w:r>
      <w:bookmarkEnd w:id="17"/>
    </w:p>
    <w:tbl>
      <w:tblPr>
        <w:tblW w:w="8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57"/>
        <w:gridCol w:w="383"/>
        <w:gridCol w:w="1620"/>
        <w:gridCol w:w="135"/>
        <w:gridCol w:w="1425"/>
        <w:gridCol w:w="60"/>
        <w:gridCol w:w="652"/>
        <w:gridCol w:w="788"/>
        <w:gridCol w:w="1350"/>
      </w:tblGrid>
      <w:tr w:rsidR="00985651" w:rsidRPr="00E828BE" w14:paraId="58CBB3E4" w14:textId="77777777">
        <w:trPr>
          <w:trHeight w:val="255"/>
        </w:trPr>
        <w:tc>
          <w:tcPr>
            <w:tcW w:w="8550" w:type="dxa"/>
            <w:gridSpan w:val="10"/>
            <w:noWrap/>
            <w:vAlign w:val="bottom"/>
          </w:tcPr>
          <w:p w14:paraId="61CB8C21" w14:textId="77777777" w:rsidR="00985651" w:rsidRPr="00E828BE" w:rsidRDefault="00985651" w:rsidP="001D6D10">
            <w:pPr>
              <w:keepNext/>
              <w:keepLines/>
              <w:jc w:val="center"/>
              <w:rPr>
                <w:rFonts w:ascii="Arial" w:hAnsi="Arial" w:cs="Arial"/>
                <w:b/>
                <w:sz w:val="20"/>
              </w:rPr>
            </w:pPr>
            <w:r w:rsidRPr="00E828BE">
              <w:rPr>
                <w:rFonts w:ascii="Arial" w:hAnsi="Arial" w:cs="Arial"/>
                <w:b/>
                <w:sz w:val="20"/>
              </w:rPr>
              <w:t>States</w:t>
            </w:r>
          </w:p>
        </w:tc>
      </w:tr>
      <w:tr w:rsidR="001465E8" w:rsidRPr="00E828BE" w14:paraId="0F8E1836" w14:textId="77777777" w:rsidTr="001465E8">
        <w:trPr>
          <w:trHeight w:val="255"/>
        </w:trPr>
        <w:tc>
          <w:tcPr>
            <w:tcW w:w="2137" w:type="dxa"/>
            <w:gridSpan w:val="2"/>
            <w:tcBorders>
              <w:right w:val="nil"/>
            </w:tcBorders>
            <w:noWrap/>
            <w:vAlign w:val="bottom"/>
          </w:tcPr>
          <w:p w14:paraId="19C10CDE" w14:textId="77777777" w:rsidR="001465E8" w:rsidRPr="00E828BE" w:rsidRDefault="001465E8" w:rsidP="001465E8">
            <w:pPr>
              <w:keepNext/>
              <w:keepLines/>
              <w:jc w:val="center"/>
              <w:rPr>
                <w:rFonts w:ascii="Arial" w:hAnsi="Arial" w:cs="Arial"/>
                <w:sz w:val="20"/>
              </w:rPr>
            </w:pPr>
            <w:r w:rsidRPr="00E828BE">
              <w:rPr>
                <w:rFonts w:ascii="Arial" w:hAnsi="Arial" w:cs="Arial"/>
                <w:sz w:val="20"/>
              </w:rPr>
              <w:t>Idaho</w:t>
            </w:r>
          </w:p>
        </w:tc>
        <w:tc>
          <w:tcPr>
            <w:tcW w:w="2138" w:type="dxa"/>
            <w:gridSpan w:val="3"/>
            <w:tcBorders>
              <w:top w:val="nil"/>
              <w:left w:val="nil"/>
              <w:bottom w:val="nil"/>
              <w:right w:val="nil"/>
            </w:tcBorders>
            <w:vAlign w:val="bottom"/>
          </w:tcPr>
          <w:p w14:paraId="1E176EBA" w14:textId="77777777" w:rsidR="001465E8" w:rsidRPr="00E828BE" w:rsidRDefault="001465E8" w:rsidP="001D6D10">
            <w:pPr>
              <w:keepNext/>
              <w:keepLines/>
              <w:jc w:val="center"/>
              <w:rPr>
                <w:rFonts w:ascii="Arial" w:hAnsi="Arial" w:cs="Arial"/>
                <w:sz w:val="20"/>
              </w:rPr>
            </w:pPr>
            <w:r w:rsidRPr="00E828BE">
              <w:rPr>
                <w:rFonts w:ascii="Arial" w:hAnsi="Arial" w:cs="Arial"/>
                <w:sz w:val="20"/>
              </w:rPr>
              <w:t>Massachusetts</w:t>
            </w:r>
          </w:p>
        </w:tc>
        <w:tc>
          <w:tcPr>
            <w:tcW w:w="2137" w:type="dxa"/>
            <w:gridSpan w:val="3"/>
            <w:tcBorders>
              <w:top w:val="nil"/>
              <w:left w:val="nil"/>
              <w:bottom w:val="nil"/>
              <w:right w:val="nil"/>
            </w:tcBorders>
            <w:vAlign w:val="bottom"/>
          </w:tcPr>
          <w:p w14:paraId="03FF9364" w14:textId="77777777" w:rsidR="001465E8" w:rsidRPr="00E828BE" w:rsidRDefault="001465E8" w:rsidP="001D6D10">
            <w:pPr>
              <w:keepNext/>
              <w:keepLines/>
              <w:jc w:val="center"/>
              <w:rPr>
                <w:rFonts w:ascii="Arial" w:hAnsi="Arial" w:cs="Arial"/>
                <w:sz w:val="20"/>
              </w:rPr>
            </w:pPr>
            <w:r w:rsidRPr="00E828BE">
              <w:rPr>
                <w:rFonts w:ascii="Arial" w:hAnsi="Arial" w:cs="Arial"/>
                <w:sz w:val="20"/>
              </w:rPr>
              <w:t>New Hampshire</w:t>
            </w:r>
          </w:p>
        </w:tc>
        <w:tc>
          <w:tcPr>
            <w:tcW w:w="2138" w:type="dxa"/>
            <w:gridSpan w:val="2"/>
            <w:tcBorders>
              <w:left w:val="nil"/>
            </w:tcBorders>
            <w:vAlign w:val="bottom"/>
          </w:tcPr>
          <w:p w14:paraId="7EC6112E" w14:textId="77777777" w:rsidR="001465E8" w:rsidRPr="00E828BE" w:rsidRDefault="001465E8" w:rsidP="001465E8">
            <w:pPr>
              <w:keepNext/>
              <w:keepLines/>
              <w:jc w:val="center"/>
              <w:rPr>
                <w:rFonts w:ascii="Arial" w:hAnsi="Arial" w:cs="Arial"/>
                <w:sz w:val="20"/>
              </w:rPr>
            </w:pPr>
            <w:r w:rsidRPr="00E828BE">
              <w:rPr>
                <w:rFonts w:ascii="Arial" w:hAnsi="Arial" w:cs="Arial"/>
                <w:sz w:val="20"/>
              </w:rPr>
              <w:t>New Mexico</w:t>
            </w:r>
          </w:p>
        </w:tc>
      </w:tr>
      <w:tr w:rsidR="00985651" w:rsidRPr="00E828BE" w14:paraId="0E4DFE4A" w14:textId="77777777">
        <w:trPr>
          <w:trHeight w:val="255"/>
        </w:trPr>
        <w:tc>
          <w:tcPr>
            <w:tcW w:w="8550" w:type="dxa"/>
            <w:gridSpan w:val="10"/>
            <w:noWrap/>
            <w:vAlign w:val="bottom"/>
          </w:tcPr>
          <w:p w14:paraId="594384E4" w14:textId="77777777" w:rsidR="00985651" w:rsidRPr="00E828BE" w:rsidRDefault="00985651" w:rsidP="001D6D10">
            <w:pPr>
              <w:keepNext/>
              <w:keepLines/>
              <w:jc w:val="center"/>
              <w:rPr>
                <w:rFonts w:ascii="Arial" w:hAnsi="Arial" w:cs="Arial"/>
                <w:b/>
                <w:sz w:val="20"/>
              </w:rPr>
            </w:pPr>
            <w:r w:rsidRPr="00E828BE">
              <w:rPr>
                <w:rFonts w:ascii="Arial" w:hAnsi="Arial" w:cs="Arial"/>
                <w:b/>
                <w:sz w:val="20"/>
              </w:rPr>
              <w:t>Territories and Others</w:t>
            </w:r>
          </w:p>
        </w:tc>
      </w:tr>
      <w:tr w:rsidR="00985651" w:rsidRPr="00E828BE" w14:paraId="1B4E9D24" w14:textId="77777777">
        <w:trPr>
          <w:trHeight w:val="255"/>
        </w:trPr>
        <w:tc>
          <w:tcPr>
            <w:tcW w:w="2520" w:type="dxa"/>
            <w:gridSpan w:val="3"/>
            <w:noWrap/>
            <w:vAlign w:val="bottom"/>
          </w:tcPr>
          <w:p w14:paraId="61212017" w14:textId="77777777" w:rsidR="00985651" w:rsidRPr="00E828BE" w:rsidRDefault="00985651" w:rsidP="001D6D10">
            <w:pPr>
              <w:keepNext/>
              <w:keepLines/>
              <w:jc w:val="center"/>
              <w:rPr>
                <w:rFonts w:ascii="Arial" w:hAnsi="Arial" w:cs="Arial"/>
                <w:sz w:val="20"/>
              </w:rPr>
            </w:pPr>
            <w:r w:rsidRPr="00E828BE">
              <w:rPr>
                <w:rFonts w:ascii="Arial" w:hAnsi="Arial" w:cs="Arial"/>
                <w:sz w:val="20"/>
              </w:rPr>
              <w:t>American Samoa</w:t>
            </w:r>
          </w:p>
          <w:p w14:paraId="4ED90FEF" w14:textId="77777777" w:rsidR="00985651" w:rsidRPr="00E828BE" w:rsidRDefault="00985651" w:rsidP="001D6D10">
            <w:pPr>
              <w:keepNext/>
              <w:keepLines/>
              <w:jc w:val="center"/>
              <w:rPr>
                <w:rFonts w:ascii="Arial" w:hAnsi="Arial" w:cs="Arial"/>
                <w:sz w:val="20"/>
              </w:rPr>
            </w:pPr>
            <w:r w:rsidRPr="00E828BE">
              <w:rPr>
                <w:rFonts w:ascii="Arial" w:hAnsi="Arial" w:cs="Arial"/>
                <w:sz w:val="20"/>
              </w:rPr>
              <w:t>District of Columbia</w:t>
            </w:r>
          </w:p>
          <w:p w14:paraId="78452E25" w14:textId="77777777" w:rsidR="00985651" w:rsidRPr="00E828BE" w:rsidRDefault="00985651" w:rsidP="001D6D10">
            <w:pPr>
              <w:keepNext/>
              <w:keepLines/>
              <w:jc w:val="center"/>
              <w:rPr>
                <w:rFonts w:ascii="Arial" w:hAnsi="Arial" w:cs="Arial"/>
                <w:sz w:val="20"/>
              </w:rPr>
            </w:pPr>
            <w:r w:rsidRPr="00E828BE">
              <w:rPr>
                <w:rFonts w:ascii="Arial" w:hAnsi="Arial" w:cs="Arial"/>
                <w:sz w:val="20"/>
              </w:rPr>
              <w:t>Guam</w:t>
            </w:r>
          </w:p>
        </w:tc>
        <w:tc>
          <w:tcPr>
            <w:tcW w:w="3180" w:type="dxa"/>
            <w:gridSpan w:val="3"/>
            <w:vAlign w:val="bottom"/>
          </w:tcPr>
          <w:p w14:paraId="110837FB" w14:textId="77777777" w:rsidR="00985651" w:rsidRPr="00E828BE" w:rsidRDefault="00985651" w:rsidP="001D6D10">
            <w:pPr>
              <w:keepNext/>
              <w:keepLines/>
              <w:jc w:val="center"/>
              <w:rPr>
                <w:rFonts w:ascii="Arial" w:hAnsi="Arial" w:cs="Arial"/>
                <w:sz w:val="20"/>
              </w:rPr>
            </w:pPr>
            <w:r w:rsidRPr="00E828BE">
              <w:rPr>
                <w:rFonts w:ascii="Arial" w:hAnsi="Arial" w:cs="Arial"/>
                <w:sz w:val="20"/>
              </w:rPr>
              <w:t>Johnston Atoll</w:t>
            </w:r>
          </w:p>
          <w:p w14:paraId="03585973" w14:textId="77777777" w:rsidR="00985651" w:rsidRPr="00E828BE" w:rsidRDefault="00985651" w:rsidP="001D6D10">
            <w:pPr>
              <w:keepNext/>
              <w:keepLines/>
              <w:jc w:val="center"/>
              <w:rPr>
                <w:rFonts w:ascii="Arial" w:hAnsi="Arial" w:cs="Arial"/>
                <w:sz w:val="20"/>
              </w:rPr>
            </w:pPr>
            <w:r w:rsidRPr="00E828BE">
              <w:rPr>
                <w:rFonts w:ascii="Arial" w:hAnsi="Arial" w:cs="Arial"/>
                <w:sz w:val="20"/>
              </w:rPr>
              <w:t>Midway Island</w:t>
            </w:r>
          </w:p>
          <w:p w14:paraId="6F6C4C45" w14:textId="77777777" w:rsidR="00985651" w:rsidRPr="00E828BE" w:rsidRDefault="00985651" w:rsidP="001D6D10">
            <w:pPr>
              <w:keepNext/>
              <w:keepLines/>
              <w:jc w:val="center"/>
              <w:rPr>
                <w:rFonts w:ascii="Arial" w:hAnsi="Arial" w:cs="Arial"/>
                <w:sz w:val="20"/>
              </w:rPr>
            </w:pPr>
            <w:r w:rsidRPr="00E828BE">
              <w:rPr>
                <w:rFonts w:ascii="Arial" w:hAnsi="Arial" w:cs="Arial"/>
                <w:sz w:val="20"/>
              </w:rPr>
              <w:t>Wake Island</w:t>
            </w:r>
          </w:p>
        </w:tc>
        <w:tc>
          <w:tcPr>
            <w:tcW w:w="2850" w:type="dxa"/>
            <w:gridSpan w:val="4"/>
            <w:vAlign w:val="bottom"/>
          </w:tcPr>
          <w:p w14:paraId="28B6D573" w14:textId="77777777" w:rsidR="00985651" w:rsidRPr="00E828BE" w:rsidRDefault="00985651" w:rsidP="001D6D10">
            <w:pPr>
              <w:keepNext/>
              <w:keepLines/>
              <w:jc w:val="center"/>
              <w:rPr>
                <w:rFonts w:ascii="Arial" w:hAnsi="Arial" w:cs="Arial"/>
                <w:sz w:val="20"/>
              </w:rPr>
            </w:pPr>
            <w:r w:rsidRPr="00E828BE">
              <w:rPr>
                <w:rFonts w:ascii="Arial" w:hAnsi="Arial" w:cs="Arial"/>
                <w:sz w:val="20"/>
              </w:rPr>
              <w:t>Northern Mariana Islands</w:t>
            </w:r>
          </w:p>
          <w:p w14:paraId="0927634A" w14:textId="77777777" w:rsidR="00985651" w:rsidRPr="00E828BE" w:rsidRDefault="00985651" w:rsidP="001D6D10">
            <w:pPr>
              <w:keepNext/>
              <w:keepLines/>
              <w:jc w:val="center"/>
              <w:rPr>
                <w:rFonts w:ascii="Arial" w:hAnsi="Arial" w:cs="Arial"/>
                <w:sz w:val="20"/>
              </w:rPr>
            </w:pPr>
            <w:r w:rsidRPr="00E828BE">
              <w:rPr>
                <w:rFonts w:ascii="Arial" w:hAnsi="Arial" w:cs="Arial"/>
                <w:sz w:val="20"/>
              </w:rPr>
              <w:t>Puerto Rico</w:t>
            </w:r>
          </w:p>
          <w:p w14:paraId="4718BE70" w14:textId="77777777" w:rsidR="00985651" w:rsidRPr="00E828BE" w:rsidRDefault="00985651" w:rsidP="001D6D10">
            <w:pPr>
              <w:keepNext/>
              <w:keepLines/>
              <w:jc w:val="center"/>
              <w:rPr>
                <w:rFonts w:ascii="Arial" w:hAnsi="Arial" w:cs="Arial"/>
                <w:sz w:val="20"/>
              </w:rPr>
            </w:pPr>
          </w:p>
        </w:tc>
      </w:tr>
      <w:tr w:rsidR="00985651" w:rsidRPr="00E828BE" w14:paraId="3EECAA7D" w14:textId="77777777">
        <w:trPr>
          <w:trHeight w:val="255"/>
        </w:trPr>
        <w:tc>
          <w:tcPr>
            <w:tcW w:w="8550" w:type="dxa"/>
            <w:gridSpan w:val="10"/>
            <w:noWrap/>
            <w:vAlign w:val="bottom"/>
          </w:tcPr>
          <w:p w14:paraId="31EF2860" w14:textId="77777777" w:rsidR="00985651" w:rsidRPr="00E828BE" w:rsidRDefault="00985651" w:rsidP="001D6D10">
            <w:pPr>
              <w:keepNext/>
              <w:keepLines/>
              <w:jc w:val="center"/>
              <w:rPr>
                <w:rFonts w:ascii="Arial" w:hAnsi="Arial" w:cs="Arial"/>
                <w:b/>
                <w:sz w:val="20"/>
              </w:rPr>
            </w:pPr>
            <w:r w:rsidRPr="00E828BE">
              <w:rPr>
                <w:rFonts w:ascii="Arial" w:hAnsi="Arial" w:cs="Arial"/>
                <w:b/>
                <w:sz w:val="20"/>
              </w:rPr>
              <w:t>States with Federal Facilities for which EPA has Permitting Authority</w:t>
            </w:r>
          </w:p>
        </w:tc>
      </w:tr>
      <w:tr w:rsidR="00464F29" w:rsidRPr="00E828BE" w14:paraId="1E3A55D4" w14:textId="77777777" w:rsidTr="008F7859">
        <w:trPr>
          <w:trHeight w:val="255"/>
        </w:trPr>
        <w:tc>
          <w:tcPr>
            <w:tcW w:w="8550" w:type="dxa"/>
            <w:gridSpan w:val="10"/>
            <w:noWrap/>
            <w:vAlign w:val="bottom"/>
          </w:tcPr>
          <w:p w14:paraId="18555F6B" w14:textId="77777777" w:rsidR="00464F29" w:rsidRPr="00E828BE" w:rsidRDefault="00464F29" w:rsidP="00156FD6">
            <w:pPr>
              <w:keepNext/>
              <w:keepLines/>
              <w:jc w:val="center"/>
              <w:rPr>
                <w:rFonts w:ascii="Arial" w:hAnsi="Arial" w:cs="Arial"/>
                <w:sz w:val="20"/>
              </w:rPr>
            </w:pPr>
            <w:r w:rsidRPr="00E828BE">
              <w:rPr>
                <w:rFonts w:ascii="Arial" w:hAnsi="Arial" w:cs="Arial"/>
                <w:sz w:val="20"/>
              </w:rPr>
              <w:t>Colorado</w:t>
            </w:r>
            <w:r w:rsidR="00156FD6">
              <w:rPr>
                <w:rFonts w:ascii="Arial" w:hAnsi="Arial" w:cs="Arial"/>
                <w:sz w:val="20"/>
              </w:rPr>
              <w:tab/>
            </w:r>
            <w:r w:rsidRPr="00E828BE">
              <w:rPr>
                <w:rFonts w:ascii="Arial" w:hAnsi="Arial" w:cs="Arial"/>
                <w:sz w:val="20"/>
              </w:rPr>
              <w:t>Delaware</w:t>
            </w:r>
            <w:r w:rsidR="00156FD6">
              <w:rPr>
                <w:rFonts w:ascii="Arial" w:hAnsi="Arial" w:cs="Arial"/>
                <w:sz w:val="20"/>
              </w:rPr>
              <w:tab/>
            </w:r>
            <w:r w:rsidRPr="00E828BE">
              <w:rPr>
                <w:rFonts w:ascii="Arial" w:hAnsi="Arial" w:cs="Arial"/>
                <w:sz w:val="20"/>
              </w:rPr>
              <w:t>Vermont</w:t>
            </w:r>
            <w:r w:rsidR="00156FD6">
              <w:rPr>
                <w:rFonts w:ascii="Arial" w:hAnsi="Arial" w:cs="Arial"/>
                <w:sz w:val="20"/>
              </w:rPr>
              <w:tab/>
            </w:r>
            <w:r w:rsidRPr="00E828BE">
              <w:rPr>
                <w:rFonts w:ascii="Arial" w:hAnsi="Arial" w:cs="Arial"/>
                <w:sz w:val="20"/>
              </w:rPr>
              <w:t>Washington</w:t>
            </w:r>
          </w:p>
        </w:tc>
      </w:tr>
      <w:tr w:rsidR="00985651" w:rsidRPr="00E828BE" w14:paraId="4D4015F4" w14:textId="77777777">
        <w:trPr>
          <w:trHeight w:val="255"/>
        </w:trPr>
        <w:tc>
          <w:tcPr>
            <w:tcW w:w="8550" w:type="dxa"/>
            <w:gridSpan w:val="10"/>
            <w:noWrap/>
            <w:vAlign w:val="bottom"/>
          </w:tcPr>
          <w:p w14:paraId="3EFB6435" w14:textId="77777777" w:rsidR="00985651" w:rsidRPr="00E828BE" w:rsidRDefault="00985651" w:rsidP="001D6D10">
            <w:pPr>
              <w:keepNext/>
              <w:keepLines/>
              <w:jc w:val="center"/>
              <w:rPr>
                <w:rFonts w:ascii="Arial" w:hAnsi="Arial" w:cs="Arial"/>
                <w:b/>
                <w:sz w:val="20"/>
              </w:rPr>
            </w:pPr>
            <w:r w:rsidRPr="00E828BE">
              <w:rPr>
                <w:rFonts w:ascii="Arial" w:hAnsi="Arial" w:cs="Arial"/>
                <w:b/>
                <w:sz w:val="20"/>
              </w:rPr>
              <w:t>States with Tribal Lands for which EPA has Permitting Authority</w:t>
            </w:r>
          </w:p>
        </w:tc>
      </w:tr>
      <w:tr w:rsidR="00985651" w:rsidRPr="00E828BE" w14:paraId="6B3FB582" w14:textId="77777777">
        <w:trPr>
          <w:trHeight w:val="255"/>
        </w:trPr>
        <w:tc>
          <w:tcPr>
            <w:tcW w:w="1080" w:type="dxa"/>
            <w:noWrap/>
            <w:vAlign w:val="bottom"/>
          </w:tcPr>
          <w:p w14:paraId="2E96FD2B" w14:textId="77777777" w:rsidR="00985651" w:rsidRPr="00E828BE" w:rsidRDefault="00985651" w:rsidP="001D6D10">
            <w:pPr>
              <w:keepNext/>
              <w:keepLines/>
              <w:jc w:val="center"/>
              <w:rPr>
                <w:rFonts w:ascii="Arial" w:hAnsi="Arial" w:cs="Arial"/>
                <w:sz w:val="20"/>
              </w:rPr>
            </w:pPr>
            <w:r w:rsidRPr="00E828BE">
              <w:rPr>
                <w:rFonts w:ascii="Arial" w:hAnsi="Arial" w:cs="Arial"/>
                <w:sz w:val="20"/>
              </w:rPr>
              <w:t>Alabama</w:t>
            </w:r>
          </w:p>
          <w:p w14:paraId="717B380E" w14:textId="77777777" w:rsidR="00985651" w:rsidRPr="00E828BE" w:rsidRDefault="00985651" w:rsidP="001D6D10">
            <w:pPr>
              <w:keepNext/>
              <w:keepLines/>
              <w:jc w:val="center"/>
              <w:rPr>
                <w:rFonts w:ascii="Arial" w:hAnsi="Arial" w:cs="Arial"/>
                <w:sz w:val="20"/>
              </w:rPr>
            </w:pPr>
            <w:r w:rsidRPr="00E828BE">
              <w:rPr>
                <w:rFonts w:ascii="Arial" w:hAnsi="Arial" w:cs="Arial"/>
                <w:sz w:val="20"/>
              </w:rPr>
              <w:t>Alaska</w:t>
            </w:r>
          </w:p>
          <w:p w14:paraId="1F225E55" w14:textId="77777777" w:rsidR="00985651" w:rsidRPr="00E828BE" w:rsidRDefault="00985651" w:rsidP="001D6D10">
            <w:pPr>
              <w:keepNext/>
              <w:keepLines/>
              <w:jc w:val="center"/>
              <w:rPr>
                <w:rFonts w:ascii="Arial" w:hAnsi="Arial" w:cs="Arial"/>
                <w:sz w:val="20"/>
              </w:rPr>
            </w:pPr>
            <w:r w:rsidRPr="00E828BE">
              <w:rPr>
                <w:rFonts w:ascii="Arial" w:hAnsi="Arial" w:cs="Arial"/>
                <w:sz w:val="20"/>
              </w:rPr>
              <w:t>Arizona</w:t>
            </w:r>
          </w:p>
          <w:p w14:paraId="0489B66E" w14:textId="77777777" w:rsidR="00985651" w:rsidRPr="00E828BE" w:rsidRDefault="00985651" w:rsidP="001D6D10">
            <w:pPr>
              <w:keepNext/>
              <w:keepLines/>
              <w:jc w:val="center"/>
              <w:rPr>
                <w:rFonts w:ascii="Arial" w:hAnsi="Arial" w:cs="Arial"/>
                <w:sz w:val="20"/>
              </w:rPr>
            </w:pPr>
            <w:r w:rsidRPr="00E828BE">
              <w:rPr>
                <w:rFonts w:ascii="Arial" w:hAnsi="Arial" w:cs="Arial"/>
                <w:sz w:val="20"/>
              </w:rPr>
              <w:t>California</w:t>
            </w:r>
          </w:p>
          <w:p w14:paraId="32283B61" w14:textId="77777777" w:rsidR="00985651" w:rsidRPr="00E828BE" w:rsidRDefault="00985651" w:rsidP="001D6D10">
            <w:pPr>
              <w:keepNext/>
              <w:keepLines/>
              <w:jc w:val="center"/>
              <w:rPr>
                <w:rFonts w:ascii="Arial" w:hAnsi="Arial" w:cs="Arial"/>
                <w:sz w:val="20"/>
              </w:rPr>
            </w:pPr>
            <w:r w:rsidRPr="00E828BE">
              <w:rPr>
                <w:rFonts w:ascii="Arial" w:hAnsi="Arial" w:cs="Arial"/>
                <w:sz w:val="20"/>
              </w:rPr>
              <w:t>Colorado</w:t>
            </w:r>
          </w:p>
          <w:p w14:paraId="4C7AD287" w14:textId="77777777" w:rsidR="00985651" w:rsidRPr="00E828BE" w:rsidRDefault="00985651" w:rsidP="001D6D10">
            <w:pPr>
              <w:keepNext/>
              <w:keepLines/>
              <w:jc w:val="center"/>
              <w:rPr>
                <w:rFonts w:ascii="Arial" w:hAnsi="Arial" w:cs="Arial"/>
                <w:sz w:val="20"/>
              </w:rPr>
            </w:pPr>
          </w:p>
        </w:tc>
        <w:tc>
          <w:tcPr>
            <w:tcW w:w="1440" w:type="dxa"/>
            <w:gridSpan w:val="2"/>
            <w:vAlign w:val="bottom"/>
          </w:tcPr>
          <w:p w14:paraId="1EEB5A2A" w14:textId="77777777" w:rsidR="00985651" w:rsidRPr="00E828BE" w:rsidRDefault="00985651" w:rsidP="001D6D10">
            <w:pPr>
              <w:keepNext/>
              <w:keepLines/>
              <w:jc w:val="center"/>
              <w:rPr>
                <w:rFonts w:ascii="Arial" w:hAnsi="Arial" w:cs="Arial"/>
                <w:sz w:val="20"/>
              </w:rPr>
            </w:pPr>
            <w:r w:rsidRPr="00E828BE">
              <w:rPr>
                <w:rFonts w:ascii="Arial" w:hAnsi="Arial" w:cs="Arial"/>
                <w:sz w:val="20"/>
              </w:rPr>
              <w:t>Connecticut Florida</w:t>
            </w:r>
          </w:p>
          <w:p w14:paraId="45EEBDEC" w14:textId="77777777" w:rsidR="00985651" w:rsidRPr="00E828BE" w:rsidRDefault="00985651" w:rsidP="001D6D10">
            <w:pPr>
              <w:keepNext/>
              <w:keepLines/>
              <w:jc w:val="center"/>
              <w:rPr>
                <w:rFonts w:ascii="Arial" w:hAnsi="Arial" w:cs="Arial"/>
                <w:sz w:val="20"/>
              </w:rPr>
            </w:pPr>
            <w:r w:rsidRPr="00E828BE">
              <w:rPr>
                <w:rFonts w:ascii="Arial" w:hAnsi="Arial" w:cs="Arial"/>
                <w:sz w:val="20"/>
              </w:rPr>
              <w:t>Idaho</w:t>
            </w:r>
          </w:p>
          <w:p w14:paraId="72F8D734" w14:textId="77777777" w:rsidR="00985651" w:rsidRPr="00E828BE" w:rsidRDefault="00985651" w:rsidP="001D6D10">
            <w:pPr>
              <w:keepNext/>
              <w:keepLines/>
              <w:jc w:val="center"/>
              <w:rPr>
                <w:rFonts w:ascii="Arial" w:hAnsi="Arial" w:cs="Arial"/>
                <w:sz w:val="20"/>
              </w:rPr>
            </w:pPr>
            <w:r w:rsidRPr="00E828BE">
              <w:rPr>
                <w:rFonts w:ascii="Arial" w:hAnsi="Arial" w:cs="Arial"/>
                <w:sz w:val="20"/>
              </w:rPr>
              <w:t>Iowa</w:t>
            </w:r>
          </w:p>
          <w:p w14:paraId="4F64E93D" w14:textId="77777777" w:rsidR="00985651" w:rsidRPr="00E828BE" w:rsidRDefault="00985651" w:rsidP="001D6D10">
            <w:pPr>
              <w:keepNext/>
              <w:keepLines/>
              <w:jc w:val="center"/>
              <w:rPr>
                <w:rFonts w:ascii="Arial" w:hAnsi="Arial" w:cs="Arial"/>
                <w:sz w:val="20"/>
              </w:rPr>
            </w:pPr>
            <w:r w:rsidRPr="00E828BE">
              <w:rPr>
                <w:rFonts w:ascii="Arial" w:hAnsi="Arial" w:cs="Arial"/>
                <w:sz w:val="20"/>
              </w:rPr>
              <w:t>Kansas</w:t>
            </w:r>
          </w:p>
          <w:p w14:paraId="6D54B308" w14:textId="77777777" w:rsidR="00985651" w:rsidRPr="00E828BE" w:rsidRDefault="00985651" w:rsidP="001D6D10">
            <w:pPr>
              <w:keepNext/>
              <w:keepLines/>
              <w:jc w:val="center"/>
              <w:rPr>
                <w:rFonts w:ascii="Arial" w:hAnsi="Arial" w:cs="Arial"/>
                <w:sz w:val="20"/>
              </w:rPr>
            </w:pPr>
            <w:r w:rsidRPr="00E828BE">
              <w:rPr>
                <w:rFonts w:ascii="Arial" w:hAnsi="Arial" w:cs="Arial"/>
                <w:sz w:val="20"/>
              </w:rPr>
              <w:t>Louisiana</w:t>
            </w:r>
          </w:p>
        </w:tc>
        <w:tc>
          <w:tcPr>
            <w:tcW w:w="1620" w:type="dxa"/>
            <w:vAlign w:val="bottom"/>
          </w:tcPr>
          <w:p w14:paraId="65652CFF" w14:textId="77777777" w:rsidR="00985651" w:rsidRPr="00E828BE" w:rsidRDefault="00985651" w:rsidP="001D6D10">
            <w:pPr>
              <w:keepNext/>
              <w:keepLines/>
              <w:jc w:val="center"/>
              <w:rPr>
                <w:rFonts w:ascii="Arial" w:hAnsi="Arial" w:cs="Arial"/>
                <w:sz w:val="20"/>
              </w:rPr>
            </w:pPr>
            <w:r w:rsidRPr="00E828BE">
              <w:rPr>
                <w:rFonts w:ascii="Arial" w:hAnsi="Arial" w:cs="Arial"/>
                <w:sz w:val="20"/>
              </w:rPr>
              <w:t>Massachusetts</w:t>
            </w:r>
          </w:p>
          <w:p w14:paraId="757C0C79" w14:textId="77777777" w:rsidR="00985651" w:rsidRPr="00E828BE" w:rsidRDefault="00985651" w:rsidP="001D6D10">
            <w:pPr>
              <w:keepNext/>
              <w:keepLines/>
              <w:jc w:val="center"/>
              <w:rPr>
                <w:rFonts w:ascii="Arial" w:hAnsi="Arial" w:cs="Arial"/>
                <w:sz w:val="20"/>
              </w:rPr>
            </w:pPr>
            <w:r w:rsidRPr="00E828BE">
              <w:rPr>
                <w:rFonts w:ascii="Arial" w:hAnsi="Arial" w:cs="Arial"/>
                <w:sz w:val="20"/>
              </w:rPr>
              <w:t>Michigan</w:t>
            </w:r>
          </w:p>
          <w:p w14:paraId="32F775FE" w14:textId="77777777" w:rsidR="00985651" w:rsidRPr="00E828BE" w:rsidRDefault="00985651" w:rsidP="001D6D10">
            <w:pPr>
              <w:keepNext/>
              <w:keepLines/>
              <w:jc w:val="center"/>
              <w:rPr>
                <w:rFonts w:ascii="Arial" w:hAnsi="Arial" w:cs="Arial"/>
                <w:sz w:val="20"/>
              </w:rPr>
            </w:pPr>
            <w:r w:rsidRPr="00E828BE">
              <w:rPr>
                <w:rFonts w:ascii="Arial" w:hAnsi="Arial" w:cs="Arial"/>
                <w:sz w:val="20"/>
              </w:rPr>
              <w:t>Minnesota</w:t>
            </w:r>
          </w:p>
          <w:p w14:paraId="5A766AD0" w14:textId="77777777" w:rsidR="00985651" w:rsidRPr="00E828BE" w:rsidRDefault="00985651" w:rsidP="001D6D10">
            <w:pPr>
              <w:keepNext/>
              <w:keepLines/>
              <w:jc w:val="center"/>
              <w:rPr>
                <w:rFonts w:ascii="Arial" w:hAnsi="Arial" w:cs="Arial"/>
                <w:sz w:val="20"/>
              </w:rPr>
            </w:pPr>
            <w:r w:rsidRPr="00E828BE">
              <w:rPr>
                <w:rFonts w:ascii="Arial" w:hAnsi="Arial" w:cs="Arial"/>
                <w:sz w:val="20"/>
              </w:rPr>
              <w:t>Mississippi</w:t>
            </w:r>
          </w:p>
          <w:p w14:paraId="0BEC89BA" w14:textId="77777777" w:rsidR="00985651" w:rsidRPr="00E828BE" w:rsidRDefault="00985651" w:rsidP="001D6D10">
            <w:pPr>
              <w:keepNext/>
              <w:keepLines/>
              <w:jc w:val="center"/>
              <w:rPr>
                <w:rFonts w:ascii="Arial" w:hAnsi="Arial" w:cs="Arial"/>
                <w:sz w:val="20"/>
              </w:rPr>
            </w:pPr>
            <w:r w:rsidRPr="00E828BE">
              <w:rPr>
                <w:rFonts w:ascii="Arial" w:hAnsi="Arial" w:cs="Arial"/>
                <w:sz w:val="20"/>
              </w:rPr>
              <w:t>Montana</w:t>
            </w:r>
          </w:p>
          <w:p w14:paraId="0C6C6816" w14:textId="77777777" w:rsidR="00985651" w:rsidRPr="00E828BE" w:rsidRDefault="00985651" w:rsidP="001D6D10">
            <w:pPr>
              <w:keepNext/>
              <w:keepLines/>
              <w:jc w:val="center"/>
              <w:rPr>
                <w:rFonts w:ascii="Arial" w:hAnsi="Arial" w:cs="Arial"/>
                <w:sz w:val="20"/>
              </w:rPr>
            </w:pPr>
          </w:p>
        </w:tc>
        <w:tc>
          <w:tcPr>
            <w:tcW w:w="1620" w:type="dxa"/>
            <w:gridSpan w:val="3"/>
            <w:vAlign w:val="bottom"/>
          </w:tcPr>
          <w:p w14:paraId="35E1BA5B" w14:textId="77777777" w:rsidR="00985651" w:rsidRPr="00E828BE" w:rsidRDefault="00985651" w:rsidP="001D6D10">
            <w:pPr>
              <w:keepNext/>
              <w:keepLines/>
              <w:jc w:val="center"/>
              <w:rPr>
                <w:rFonts w:ascii="Arial" w:hAnsi="Arial" w:cs="Arial"/>
                <w:sz w:val="20"/>
              </w:rPr>
            </w:pPr>
            <w:r w:rsidRPr="00E828BE">
              <w:rPr>
                <w:rFonts w:ascii="Arial" w:hAnsi="Arial" w:cs="Arial"/>
                <w:sz w:val="20"/>
              </w:rPr>
              <w:t>Nebraska Nevada</w:t>
            </w:r>
          </w:p>
          <w:p w14:paraId="2FB70EE6" w14:textId="77777777" w:rsidR="00985651" w:rsidRPr="00E828BE" w:rsidRDefault="00985651" w:rsidP="001D6D10">
            <w:pPr>
              <w:keepNext/>
              <w:keepLines/>
              <w:jc w:val="center"/>
              <w:rPr>
                <w:rFonts w:ascii="Arial" w:hAnsi="Arial" w:cs="Arial"/>
                <w:sz w:val="20"/>
              </w:rPr>
            </w:pPr>
            <w:r w:rsidRPr="00E828BE">
              <w:rPr>
                <w:rFonts w:ascii="Arial" w:hAnsi="Arial" w:cs="Arial"/>
                <w:sz w:val="20"/>
              </w:rPr>
              <w:t>New Mexico</w:t>
            </w:r>
          </w:p>
          <w:p w14:paraId="1CC35F3B" w14:textId="77777777" w:rsidR="00985651" w:rsidRPr="00E828BE" w:rsidRDefault="00985651" w:rsidP="001D6D10">
            <w:pPr>
              <w:keepNext/>
              <w:keepLines/>
              <w:jc w:val="center"/>
              <w:rPr>
                <w:rFonts w:ascii="Arial" w:hAnsi="Arial" w:cs="Arial"/>
                <w:sz w:val="20"/>
              </w:rPr>
            </w:pPr>
            <w:r w:rsidRPr="00E828BE">
              <w:rPr>
                <w:rFonts w:ascii="Arial" w:hAnsi="Arial" w:cs="Arial"/>
                <w:sz w:val="20"/>
              </w:rPr>
              <w:t>New York</w:t>
            </w:r>
          </w:p>
          <w:p w14:paraId="0E290D77" w14:textId="77777777" w:rsidR="00985651" w:rsidRPr="00E828BE" w:rsidRDefault="00985651" w:rsidP="001D6D10">
            <w:pPr>
              <w:keepNext/>
              <w:keepLines/>
              <w:jc w:val="center"/>
              <w:rPr>
                <w:rFonts w:ascii="Arial" w:hAnsi="Arial" w:cs="Arial"/>
                <w:sz w:val="20"/>
              </w:rPr>
            </w:pPr>
            <w:r w:rsidRPr="00E828BE">
              <w:rPr>
                <w:rFonts w:ascii="Arial" w:hAnsi="Arial" w:cs="Arial"/>
                <w:sz w:val="20"/>
              </w:rPr>
              <w:t>North Carolina</w:t>
            </w:r>
          </w:p>
          <w:p w14:paraId="57F63617" w14:textId="77777777" w:rsidR="00985651" w:rsidRPr="00E828BE" w:rsidRDefault="00985651" w:rsidP="001D6D10">
            <w:pPr>
              <w:keepNext/>
              <w:keepLines/>
              <w:jc w:val="center"/>
              <w:rPr>
                <w:rFonts w:ascii="Arial" w:hAnsi="Arial" w:cs="Arial"/>
                <w:sz w:val="20"/>
              </w:rPr>
            </w:pPr>
          </w:p>
        </w:tc>
        <w:tc>
          <w:tcPr>
            <w:tcW w:w="1440" w:type="dxa"/>
            <w:gridSpan w:val="2"/>
            <w:vAlign w:val="bottom"/>
          </w:tcPr>
          <w:p w14:paraId="1B860279" w14:textId="77777777" w:rsidR="00985651" w:rsidRPr="00E828BE" w:rsidRDefault="00985651" w:rsidP="001D6D10">
            <w:pPr>
              <w:keepNext/>
              <w:keepLines/>
              <w:jc w:val="center"/>
              <w:rPr>
                <w:rFonts w:ascii="Arial" w:hAnsi="Arial" w:cs="Arial"/>
                <w:sz w:val="20"/>
              </w:rPr>
            </w:pPr>
            <w:r w:rsidRPr="00E828BE">
              <w:rPr>
                <w:rFonts w:ascii="Arial" w:hAnsi="Arial" w:cs="Arial"/>
                <w:sz w:val="20"/>
              </w:rPr>
              <w:t>North Dakota</w:t>
            </w:r>
          </w:p>
          <w:p w14:paraId="7F19A7EE" w14:textId="77777777" w:rsidR="00985651" w:rsidRPr="00E828BE" w:rsidRDefault="00985651" w:rsidP="001D6D10">
            <w:pPr>
              <w:keepNext/>
              <w:keepLines/>
              <w:jc w:val="center"/>
              <w:rPr>
                <w:rFonts w:ascii="Arial" w:hAnsi="Arial" w:cs="Arial"/>
                <w:sz w:val="20"/>
              </w:rPr>
            </w:pPr>
            <w:r w:rsidRPr="00E828BE">
              <w:rPr>
                <w:rFonts w:ascii="Arial" w:hAnsi="Arial" w:cs="Arial"/>
                <w:sz w:val="20"/>
              </w:rPr>
              <w:t>Oklahoma</w:t>
            </w:r>
          </w:p>
          <w:p w14:paraId="164C5CB6" w14:textId="77777777" w:rsidR="00985651" w:rsidRPr="00E828BE" w:rsidRDefault="00985651" w:rsidP="001D6D10">
            <w:pPr>
              <w:keepNext/>
              <w:keepLines/>
              <w:jc w:val="center"/>
              <w:rPr>
                <w:rFonts w:ascii="Arial" w:hAnsi="Arial" w:cs="Arial"/>
                <w:sz w:val="20"/>
              </w:rPr>
            </w:pPr>
            <w:r w:rsidRPr="00E828BE">
              <w:rPr>
                <w:rFonts w:ascii="Arial" w:hAnsi="Arial" w:cs="Arial"/>
                <w:sz w:val="20"/>
              </w:rPr>
              <w:t>Oregon</w:t>
            </w:r>
          </w:p>
          <w:p w14:paraId="0A8D605A" w14:textId="77777777" w:rsidR="00985651" w:rsidRPr="00E828BE" w:rsidRDefault="00985651" w:rsidP="001D6D10">
            <w:pPr>
              <w:keepNext/>
              <w:keepLines/>
              <w:jc w:val="center"/>
              <w:rPr>
                <w:rFonts w:ascii="Arial" w:hAnsi="Arial" w:cs="Arial"/>
                <w:sz w:val="20"/>
              </w:rPr>
            </w:pPr>
            <w:r w:rsidRPr="00E828BE">
              <w:rPr>
                <w:rFonts w:ascii="Arial" w:hAnsi="Arial" w:cs="Arial"/>
                <w:sz w:val="20"/>
              </w:rPr>
              <w:t>Rhode Island</w:t>
            </w:r>
          </w:p>
          <w:p w14:paraId="6CB612F1" w14:textId="77777777" w:rsidR="00985651" w:rsidRPr="00E828BE" w:rsidRDefault="00985651" w:rsidP="001D6D10">
            <w:pPr>
              <w:keepNext/>
              <w:keepLines/>
              <w:jc w:val="center"/>
              <w:rPr>
                <w:rFonts w:ascii="Arial" w:hAnsi="Arial" w:cs="Arial"/>
                <w:sz w:val="20"/>
              </w:rPr>
            </w:pPr>
            <w:r w:rsidRPr="00E828BE">
              <w:rPr>
                <w:rFonts w:ascii="Arial" w:hAnsi="Arial" w:cs="Arial"/>
                <w:sz w:val="20"/>
              </w:rPr>
              <w:t>South Dakota</w:t>
            </w:r>
          </w:p>
          <w:p w14:paraId="200194E0" w14:textId="77777777" w:rsidR="00985651" w:rsidRPr="00E828BE" w:rsidRDefault="00985651" w:rsidP="001D6D10">
            <w:pPr>
              <w:keepNext/>
              <w:keepLines/>
              <w:jc w:val="center"/>
              <w:rPr>
                <w:rFonts w:ascii="Arial" w:hAnsi="Arial" w:cs="Arial"/>
                <w:sz w:val="20"/>
              </w:rPr>
            </w:pPr>
          </w:p>
        </w:tc>
        <w:tc>
          <w:tcPr>
            <w:tcW w:w="1350" w:type="dxa"/>
            <w:vAlign w:val="bottom"/>
          </w:tcPr>
          <w:p w14:paraId="77B90972" w14:textId="77777777" w:rsidR="00985651" w:rsidRPr="00E828BE" w:rsidRDefault="00985651" w:rsidP="001D6D10">
            <w:pPr>
              <w:keepNext/>
              <w:keepLines/>
              <w:jc w:val="center"/>
              <w:rPr>
                <w:rFonts w:ascii="Arial" w:hAnsi="Arial" w:cs="Arial"/>
                <w:sz w:val="20"/>
              </w:rPr>
            </w:pPr>
            <w:r w:rsidRPr="00E828BE">
              <w:rPr>
                <w:rFonts w:ascii="Arial" w:hAnsi="Arial" w:cs="Arial"/>
                <w:sz w:val="20"/>
              </w:rPr>
              <w:t>Texas</w:t>
            </w:r>
          </w:p>
          <w:p w14:paraId="10AC63D6" w14:textId="77777777" w:rsidR="00985651" w:rsidRPr="00E828BE" w:rsidRDefault="00985651" w:rsidP="001D6D10">
            <w:pPr>
              <w:keepNext/>
              <w:keepLines/>
              <w:jc w:val="center"/>
              <w:rPr>
                <w:rFonts w:ascii="Arial" w:hAnsi="Arial" w:cs="Arial"/>
                <w:sz w:val="20"/>
              </w:rPr>
            </w:pPr>
            <w:r w:rsidRPr="00E828BE">
              <w:rPr>
                <w:rFonts w:ascii="Arial" w:hAnsi="Arial" w:cs="Arial"/>
                <w:sz w:val="20"/>
              </w:rPr>
              <w:t>Utah</w:t>
            </w:r>
          </w:p>
          <w:p w14:paraId="407EC150" w14:textId="77777777" w:rsidR="00985651" w:rsidRPr="00E828BE" w:rsidRDefault="00985651" w:rsidP="001D6D10">
            <w:pPr>
              <w:keepNext/>
              <w:keepLines/>
              <w:jc w:val="center"/>
              <w:rPr>
                <w:rFonts w:ascii="Arial" w:hAnsi="Arial" w:cs="Arial"/>
                <w:sz w:val="20"/>
              </w:rPr>
            </w:pPr>
            <w:r w:rsidRPr="00E828BE">
              <w:rPr>
                <w:rFonts w:ascii="Arial" w:hAnsi="Arial" w:cs="Arial"/>
                <w:sz w:val="20"/>
              </w:rPr>
              <w:t>Washington</w:t>
            </w:r>
          </w:p>
          <w:p w14:paraId="59CAF938" w14:textId="77777777" w:rsidR="00985651" w:rsidRPr="00E828BE" w:rsidRDefault="00985651" w:rsidP="001D6D10">
            <w:pPr>
              <w:keepNext/>
              <w:keepLines/>
              <w:jc w:val="center"/>
              <w:rPr>
                <w:rFonts w:ascii="Arial" w:hAnsi="Arial" w:cs="Arial"/>
                <w:sz w:val="20"/>
              </w:rPr>
            </w:pPr>
            <w:r w:rsidRPr="00E828BE">
              <w:rPr>
                <w:rFonts w:ascii="Arial" w:hAnsi="Arial" w:cs="Arial"/>
                <w:sz w:val="20"/>
              </w:rPr>
              <w:t>Wisconsin</w:t>
            </w:r>
          </w:p>
          <w:p w14:paraId="5AC7CD68" w14:textId="77777777" w:rsidR="00985651" w:rsidRPr="00E828BE" w:rsidRDefault="00985651" w:rsidP="001D6D10">
            <w:pPr>
              <w:keepNext/>
              <w:keepLines/>
              <w:jc w:val="center"/>
              <w:rPr>
                <w:rFonts w:ascii="Arial" w:hAnsi="Arial" w:cs="Arial"/>
                <w:sz w:val="20"/>
              </w:rPr>
            </w:pPr>
            <w:r w:rsidRPr="00E828BE">
              <w:rPr>
                <w:rFonts w:ascii="Arial" w:hAnsi="Arial" w:cs="Arial"/>
                <w:sz w:val="20"/>
              </w:rPr>
              <w:t>Wyoming</w:t>
            </w:r>
          </w:p>
          <w:p w14:paraId="3E1FF67C" w14:textId="77777777" w:rsidR="00985651" w:rsidRPr="00E828BE" w:rsidRDefault="00985651" w:rsidP="001D6D10">
            <w:pPr>
              <w:keepNext/>
              <w:keepLines/>
              <w:jc w:val="center"/>
              <w:rPr>
                <w:rFonts w:ascii="Arial" w:hAnsi="Arial" w:cs="Arial"/>
                <w:sz w:val="20"/>
              </w:rPr>
            </w:pPr>
          </w:p>
        </w:tc>
      </w:tr>
    </w:tbl>
    <w:p w14:paraId="06231A7D" w14:textId="77777777" w:rsidR="00985651" w:rsidRPr="00E828BE" w:rsidRDefault="00985651" w:rsidP="001D6D10"/>
    <w:p w14:paraId="0BBBF45F" w14:textId="77777777" w:rsidR="00985651" w:rsidRPr="00E828BE" w:rsidRDefault="00985651" w:rsidP="001D6D10">
      <w:pPr>
        <w:pStyle w:val="Default"/>
        <w:rPr>
          <w:color w:val="auto"/>
        </w:rPr>
      </w:pPr>
      <w:r w:rsidRPr="00E828BE">
        <w:rPr>
          <w:color w:val="auto"/>
        </w:rPr>
        <w:t xml:space="preserve">On </w:t>
      </w:r>
      <w:r w:rsidR="00BF1B5A">
        <w:rPr>
          <w:color w:val="auto"/>
        </w:rPr>
        <w:t xml:space="preserve">October 31, 2011, </w:t>
      </w:r>
      <w:r w:rsidRPr="00E828BE">
        <w:rPr>
          <w:color w:val="auto"/>
        </w:rPr>
        <w:t xml:space="preserve">EPA </w:t>
      </w:r>
      <w:r w:rsidR="00A36877">
        <w:rPr>
          <w:color w:val="auto"/>
        </w:rPr>
        <w:t>issued</w:t>
      </w:r>
      <w:r w:rsidRPr="00E828BE">
        <w:rPr>
          <w:color w:val="auto"/>
        </w:rPr>
        <w:t xml:space="preserve"> a </w:t>
      </w:r>
      <w:r w:rsidR="00BF1B5A">
        <w:rPr>
          <w:color w:val="auto"/>
        </w:rPr>
        <w:t>final</w:t>
      </w:r>
      <w:r w:rsidRPr="00E828BE">
        <w:rPr>
          <w:color w:val="auto"/>
        </w:rPr>
        <w:t xml:space="preserve"> general permit (Pesticide General Permit or PGP) for the areas where it is the permitting authority.</w:t>
      </w:r>
      <w:r w:rsidR="001F4874" w:rsidRPr="00E828BE">
        <w:rPr>
          <w:color w:val="auto"/>
        </w:rPr>
        <w:t xml:space="preserve"> </w:t>
      </w:r>
      <w:r w:rsidRPr="00E828BE">
        <w:rPr>
          <w:color w:val="auto"/>
        </w:rPr>
        <w:t>See Federal Register notice (7</w:t>
      </w:r>
      <w:r w:rsidR="00A36877">
        <w:rPr>
          <w:color w:val="auto"/>
        </w:rPr>
        <w:t>6</w:t>
      </w:r>
      <w:r w:rsidRPr="00E828BE">
        <w:rPr>
          <w:color w:val="auto"/>
        </w:rPr>
        <w:t xml:space="preserve"> FR </w:t>
      </w:r>
      <w:r w:rsidR="00A36877">
        <w:rPr>
          <w:color w:val="auto"/>
        </w:rPr>
        <w:t>68750</w:t>
      </w:r>
      <w:r w:rsidRPr="00E828BE">
        <w:rPr>
          <w:color w:val="auto"/>
        </w:rPr>
        <w:t>).</w:t>
      </w:r>
      <w:r w:rsidR="001F4874" w:rsidRPr="00E828BE">
        <w:rPr>
          <w:color w:val="auto"/>
        </w:rPr>
        <w:t xml:space="preserve"> </w:t>
      </w:r>
      <w:r w:rsidRPr="00E828BE">
        <w:rPr>
          <w:color w:val="auto"/>
        </w:rPr>
        <w:t xml:space="preserve">The PGP covers the discharge of pesticides (biological pesticides and chemical pesticides which leave a residue) to waters of the United States resulting from the following use patterns: 1) mosquito and other flying insect pest control; (2) weed and algae </w:t>
      </w:r>
      <w:r w:rsidR="00A127C0" w:rsidRPr="00E828BE">
        <w:rPr>
          <w:color w:val="auto"/>
        </w:rPr>
        <w:t xml:space="preserve">pest </w:t>
      </w:r>
      <w:r w:rsidRPr="00E828BE">
        <w:rPr>
          <w:color w:val="auto"/>
        </w:rPr>
        <w:t xml:space="preserve">control; (3) animal </w:t>
      </w:r>
      <w:r w:rsidR="00A127C0" w:rsidRPr="00E828BE">
        <w:rPr>
          <w:color w:val="auto"/>
        </w:rPr>
        <w:t xml:space="preserve">pest </w:t>
      </w:r>
      <w:r w:rsidRPr="00E828BE">
        <w:rPr>
          <w:color w:val="auto"/>
        </w:rPr>
        <w:t>control; and (4) forest canopy pest control</w:t>
      </w:r>
      <w:r w:rsidR="001F4874" w:rsidRPr="00E828BE">
        <w:rPr>
          <w:color w:val="auto"/>
        </w:rPr>
        <w:t xml:space="preserve">. </w:t>
      </w:r>
      <w:r w:rsidR="00BE6B6C" w:rsidRPr="00E828BE">
        <w:rPr>
          <w:color w:val="auto"/>
        </w:rPr>
        <w:t xml:space="preserve">In the PGP, </w:t>
      </w:r>
      <w:r w:rsidR="00057702">
        <w:rPr>
          <w:color w:val="auto"/>
        </w:rPr>
        <w:t>operator</w:t>
      </w:r>
      <w:r w:rsidR="00BE6B6C" w:rsidRPr="00E828BE">
        <w:rPr>
          <w:color w:val="auto"/>
        </w:rPr>
        <w:t>s are identified</w:t>
      </w:r>
      <w:r w:rsidR="00C76CAE" w:rsidRPr="00E828BE">
        <w:rPr>
          <w:color w:val="auto"/>
        </w:rPr>
        <w:t xml:space="preserve"> as either “</w:t>
      </w:r>
      <w:r w:rsidR="008D77A7">
        <w:rPr>
          <w:color w:val="auto"/>
        </w:rPr>
        <w:t>applicator</w:t>
      </w:r>
      <w:r w:rsidR="00C76CAE" w:rsidRPr="00E828BE">
        <w:rPr>
          <w:color w:val="auto"/>
        </w:rPr>
        <w:t>s” or “</w:t>
      </w:r>
      <w:r w:rsidR="008D77A7">
        <w:rPr>
          <w:color w:val="auto"/>
        </w:rPr>
        <w:t>decision-maker</w:t>
      </w:r>
      <w:r w:rsidR="00C76CAE" w:rsidRPr="00E828BE">
        <w:rPr>
          <w:color w:val="auto"/>
        </w:rPr>
        <w:t>s” or both</w:t>
      </w:r>
      <w:r w:rsidR="001F4874" w:rsidRPr="00E828BE">
        <w:rPr>
          <w:color w:val="auto"/>
        </w:rPr>
        <w:t xml:space="preserve">. </w:t>
      </w:r>
      <w:r w:rsidR="004C70DF" w:rsidRPr="00E828BE">
        <w:rPr>
          <w:color w:val="auto"/>
        </w:rPr>
        <w:t xml:space="preserve">An </w:t>
      </w:r>
      <w:r w:rsidR="008D77A7">
        <w:rPr>
          <w:color w:val="auto"/>
        </w:rPr>
        <w:t>applicator</w:t>
      </w:r>
      <w:r w:rsidR="004C70DF" w:rsidRPr="00E828BE">
        <w:rPr>
          <w:color w:val="auto"/>
        </w:rPr>
        <w:t xml:space="preserve"> is an entity who performs the application of a pesticide or who has day-to-day control of the application (i.e., they are authorized to direct workers to carry out those activities) that results in a discharge to waters of the U</w:t>
      </w:r>
      <w:r w:rsidR="00EC4449" w:rsidRPr="00E828BE">
        <w:rPr>
          <w:color w:val="auto"/>
        </w:rPr>
        <w:t>nited States</w:t>
      </w:r>
      <w:r w:rsidR="001F4874" w:rsidRPr="00E828BE">
        <w:rPr>
          <w:color w:val="auto"/>
        </w:rPr>
        <w:t xml:space="preserve">. </w:t>
      </w:r>
      <w:r w:rsidR="00EC4449" w:rsidRPr="00E828BE">
        <w:rPr>
          <w:color w:val="auto"/>
        </w:rPr>
        <w:t xml:space="preserve">A </w:t>
      </w:r>
      <w:r w:rsidR="008D77A7">
        <w:rPr>
          <w:color w:val="auto"/>
        </w:rPr>
        <w:t>decision-maker</w:t>
      </w:r>
      <w:r w:rsidR="004C70DF" w:rsidRPr="00E828BE">
        <w:rPr>
          <w:color w:val="auto"/>
        </w:rPr>
        <w:t xml:space="preserve"> is an entity with control over the decision to perform pesticide applications, including the ability to modify those decisions that result in discharges to waters of the United States</w:t>
      </w:r>
      <w:r w:rsidR="001F4874" w:rsidRPr="00E828BE">
        <w:rPr>
          <w:color w:val="auto"/>
        </w:rPr>
        <w:t xml:space="preserve">. </w:t>
      </w:r>
      <w:r w:rsidR="00D93199">
        <w:rPr>
          <w:color w:val="auto"/>
        </w:rPr>
        <w:t>By</w:t>
      </w:r>
      <w:r w:rsidR="00A36877">
        <w:rPr>
          <w:color w:val="auto"/>
        </w:rPr>
        <w:t xml:space="preserve"> 2011, NPDES-authorized states </w:t>
      </w:r>
      <w:r w:rsidR="00D93199">
        <w:rPr>
          <w:color w:val="auto"/>
        </w:rPr>
        <w:t xml:space="preserve">had </w:t>
      </w:r>
      <w:r w:rsidR="00A36877">
        <w:rPr>
          <w:color w:val="auto"/>
        </w:rPr>
        <w:t>also issued final general permits</w:t>
      </w:r>
      <w:r w:rsidR="00D93199">
        <w:rPr>
          <w:color w:val="auto"/>
        </w:rPr>
        <w:t xml:space="preserve"> for pesticide discharges. </w:t>
      </w:r>
      <w:r w:rsidRPr="00E828BE">
        <w:rPr>
          <w:color w:val="auto"/>
        </w:rPr>
        <w:t xml:space="preserve">For this </w:t>
      </w:r>
      <w:r w:rsidR="00BA2CA5">
        <w:rPr>
          <w:color w:val="auto"/>
        </w:rPr>
        <w:t>ICR</w:t>
      </w:r>
      <w:r w:rsidR="00A36877">
        <w:rPr>
          <w:color w:val="auto"/>
        </w:rPr>
        <w:t xml:space="preserve"> renewal</w:t>
      </w:r>
      <w:r w:rsidRPr="00E828BE">
        <w:rPr>
          <w:color w:val="auto"/>
        </w:rPr>
        <w:t xml:space="preserve">, </w:t>
      </w:r>
      <w:r w:rsidR="00D93199">
        <w:rPr>
          <w:color w:val="auto"/>
        </w:rPr>
        <w:t xml:space="preserve">EPA is using the </w:t>
      </w:r>
      <w:r w:rsidRPr="00E828BE">
        <w:rPr>
          <w:color w:val="auto"/>
        </w:rPr>
        <w:t xml:space="preserve">EPA’s NPDES PGP to estimate the burden </w:t>
      </w:r>
      <w:r w:rsidR="00D93199">
        <w:rPr>
          <w:color w:val="auto"/>
        </w:rPr>
        <w:t xml:space="preserve">associated with </w:t>
      </w:r>
      <w:r w:rsidRPr="00E828BE">
        <w:rPr>
          <w:color w:val="auto"/>
        </w:rPr>
        <w:t xml:space="preserve">the </w:t>
      </w:r>
      <w:r w:rsidR="00075871" w:rsidRPr="00E828BE">
        <w:rPr>
          <w:color w:val="auto"/>
        </w:rPr>
        <w:t xml:space="preserve">NPDES-authorized </w:t>
      </w:r>
      <w:r w:rsidR="009A164E" w:rsidRPr="00E828BE">
        <w:rPr>
          <w:color w:val="auto"/>
        </w:rPr>
        <w:t>state</w:t>
      </w:r>
      <w:r w:rsidRPr="00E828BE">
        <w:rPr>
          <w:color w:val="auto"/>
        </w:rPr>
        <w:t>’s general permits.</w:t>
      </w:r>
    </w:p>
    <w:p w14:paraId="449A9483" w14:textId="77777777" w:rsidR="00985651" w:rsidRPr="00E828BE" w:rsidRDefault="00985651" w:rsidP="001D6D10">
      <w:pPr>
        <w:pStyle w:val="Heading2"/>
      </w:pPr>
      <w:bookmarkStart w:id="19" w:name="_Toc275242921"/>
      <w:r w:rsidRPr="00E828BE">
        <w:t>2(b) Practical Utility/Users of the Data</w:t>
      </w:r>
      <w:bookmarkEnd w:id="19"/>
    </w:p>
    <w:p w14:paraId="794041AC" w14:textId="77777777" w:rsidR="00985651" w:rsidRPr="00E828BE" w:rsidRDefault="00985651" w:rsidP="000D4BF4">
      <w:pPr>
        <w:tabs>
          <w:tab w:val="left" w:pos="-1440"/>
          <w:tab w:val="left" w:pos="-720"/>
        </w:tabs>
      </w:pPr>
      <w:r w:rsidRPr="00E828BE">
        <w:t xml:space="preserve">This </w:t>
      </w:r>
      <w:r w:rsidR="00BA2CA5">
        <w:t>ICR</w:t>
      </w:r>
      <w:r w:rsidRPr="00E828BE">
        <w:t xml:space="preserve"> includes information used primarily by permitting authorities and permittees</w:t>
      </w:r>
      <w:r w:rsidR="001F4874" w:rsidRPr="00E828BE">
        <w:t xml:space="preserve">. </w:t>
      </w:r>
      <w:r w:rsidRPr="00E828BE">
        <w:t>Much of these data must be submitted to permitting authorities, while other information must be maintained on-site by the permittee</w:t>
      </w:r>
      <w:r w:rsidR="001F4874" w:rsidRPr="00E828BE">
        <w:t xml:space="preserve">. </w:t>
      </w:r>
      <w:r w:rsidRPr="00E828BE">
        <w:t>Information collection and reporting activities required in EPA’s PGP are listed below:</w:t>
      </w:r>
    </w:p>
    <w:p w14:paraId="31246CC1" w14:textId="77777777" w:rsidR="00985651" w:rsidRPr="00E828BE" w:rsidRDefault="00985651" w:rsidP="000D4BF4">
      <w:pPr>
        <w:numPr>
          <w:ilvl w:val="0"/>
          <w:numId w:val="28"/>
        </w:numPr>
        <w:rPr>
          <w:bCs/>
        </w:rPr>
      </w:pPr>
      <w:r w:rsidRPr="00E828BE">
        <w:rPr>
          <w:bCs/>
        </w:rPr>
        <w:t>Information routinely submitted in a Notice of Intent (NOI) when requesting coverage under a general permit;</w:t>
      </w:r>
      <w:r w:rsidR="001F4874" w:rsidRPr="00E828BE">
        <w:rPr>
          <w:bCs/>
        </w:rPr>
        <w:t xml:space="preserve"> </w:t>
      </w:r>
    </w:p>
    <w:p w14:paraId="5D6CF8F6" w14:textId="77777777" w:rsidR="00985651" w:rsidRPr="00E828BE" w:rsidRDefault="00985651" w:rsidP="000D4BF4">
      <w:pPr>
        <w:numPr>
          <w:ilvl w:val="0"/>
          <w:numId w:val="28"/>
        </w:numPr>
        <w:tabs>
          <w:tab w:val="left" w:pos="-1440"/>
          <w:tab w:val="left" w:pos="-720"/>
        </w:tabs>
      </w:pPr>
      <w:r w:rsidRPr="00E828BE">
        <w:rPr>
          <w:bCs/>
        </w:rPr>
        <w:t>Information used to develop a Pesticide Discharge Management Plan (PDMP);</w:t>
      </w:r>
    </w:p>
    <w:p w14:paraId="3897CED5" w14:textId="77777777" w:rsidR="00985651" w:rsidRPr="00E828BE" w:rsidRDefault="00985651" w:rsidP="000D4BF4">
      <w:pPr>
        <w:numPr>
          <w:ilvl w:val="0"/>
          <w:numId w:val="28"/>
        </w:numPr>
        <w:tabs>
          <w:tab w:val="left" w:pos="-1440"/>
          <w:tab w:val="left" w:pos="-720"/>
        </w:tabs>
      </w:pPr>
      <w:r w:rsidRPr="00E828BE">
        <w:t xml:space="preserve">Information submitted to </w:t>
      </w:r>
      <w:r w:rsidR="00075871" w:rsidRPr="00E828BE">
        <w:t xml:space="preserve">the </w:t>
      </w:r>
      <w:r w:rsidRPr="00E828BE">
        <w:t>permitting authority annually (i.e., annual report);</w:t>
      </w:r>
    </w:p>
    <w:p w14:paraId="32E69693" w14:textId="77777777" w:rsidR="00985651" w:rsidRPr="00E828BE" w:rsidRDefault="00985651" w:rsidP="000D4BF4">
      <w:pPr>
        <w:numPr>
          <w:ilvl w:val="0"/>
          <w:numId w:val="28"/>
        </w:numPr>
        <w:tabs>
          <w:tab w:val="left" w:pos="-1440"/>
          <w:tab w:val="left" w:pos="-720"/>
        </w:tabs>
      </w:pPr>
      <w:r w:rsidRPr="00E828BE">
        <w:t xml:space="preserve">Information collected after pesticide application; </w:t>
      </w:r>
    </w:p>
    <w:p w14:paraId="532B4D08" w14:textId="77777777" w:rsidR="00985651" w:rsidRPr="00E828BE" w:rsidRDefault="00985651" w:rsidP="000D4BF4">
      <w:pPr>
        <w:numPr>
          <w:ilvl w:val="0"/>
          <w:numId w:val="28"/>
        </w:numPr>
        <w:tabs>
          <w:tab w:val="left" w:pos="-1440"/>
          <w:tab w:val="left" w:pos="-720"/>
        </w:tabs>
      </w:pPr>
      <w:r w:rsidRPr="00E828BE">
        <w:t>Information collected from self-monitoring;</w:t>
      </w:r>
    </w:p>
    <w:p w14:paraId="3F371E9F" w14:textId="77777777" w:rsidR="00985651" w:rsidRPr="00E828BE" w:rsidRDefault="00985651" w:rsidP="000D4BF4">
      <w:pPr>
        <w:numPr>
          <w:ilvl w:val="0"/>
          <w:numId w:val="28"/>
        </w:numPr>
        <w:tabs>
          <w:tab w:val="left" w:pos="-1440"/>
          <w:tab w:val="left" w:pos="-720"/>
        </w:tabs>
      </w:pPr>
      <w:r w:rsidRPr="00E828BE">
        <w:t xml:space="preserve">Information submitted as a result of </w:t>
      </w:r>
      <w:r w:rsidR="00075871" w:rsidRPr="00E828BE">
        <w:t xml:space="preserve">any </w:t>
      </w:r>
      <w:r w:rsidRPr="00E828BE">
        <w:t xml:space="preserve">spill, leak </w:t>
      </w:r>
      <w:r w:rsidR="006D76B7" w:rsidRPr="00E828BE">
        <w:t>or</w:t>
      </w:r>
      <w:r w:rsidRPr="00E828BE">
        <w:t xml:space="preserve"> other unpermitted discharge;</w:t>
      </w:r>
    </w:p>
    <w:p w14:paraId="409E971F" w14:textId="77777777" w:rsidR="00985651" w:rsidRPr="00E828BE" w:rsidRDefault="00985651" w:rsidP="000D4BF4">
      <w:pPr>
        <w:numPr>
          <w:ilvl w:val="0"/>
          <w:numId w:val="28"/>
        </w:numPr>
        <w:tabs>
          <w:tab w:val="left" w:pos="-1440"/>
          <w:tab w:val="left" w:pos="-720"/>
        </w:tabs>
      </w:pPr>
      <w:r w:rsidRPr="00E828BE">
        <w:t>Information submitted as a result of an</w:t>
      </w:r>
      <w:r w:rsidR="00075871" w:rsidRPr="00E828BE">
        <w:t>y</w:t>
      </w:r>
      <w:r w:rsidRPr="00E828BE">
        <w:t xml:space="preserve"> adverse incident;</w:t>
      </w:r>
    </w:p>
    <w:p w14:paraId="1F18668B" w14:textId="77777777" w:rsidR="00985651" w:rsidRPr="00E828BE" w:rsidRDefault="00985651" w:rsidP="000D4BF4">
      <w:pPr>
        <w:numPr>
          <w:ilvl w:val="0"/>
          <w:numId w:val="28"/>
        </w:numPr>
        <w:tabs>
          <w:tab w:val="left" w:pos="-1440"/>
          <w:tab w:val="left" w:pos="-720"/>
        </w:tabs>
      </w:pPr>
      <w:r w:rsidRPr="00E828BE">
        <w:lastRenderedPageBreak/>
        <w:t>Information used to assess the effects of discharges on federally listed endangered and threatened species, and designated critical habitat;</w:t>
      </w:r>
    </w:p>
    <w:p w14:paraId="062293A7" w14:textId="77777777" w:rsidR="00985651" w:rsidRPr="00E828BE" w:rsidRDefault="00985651" w:rsidP="000D4BF4">
      <w:pPr>
        <w:numPr>
          <w:ilvl w:val="0"/>
          <w:numId w:val="28"/>
        </w:numPr>
        <w:tabs>
          <w:tab w:val="left" w:pos="-1440"/>
          <w:tab w:val="left" w:pos="-720"/>
        </w:tabs>
      </w:pPr>
      <w:r w:rsidRPr="00E828BE">
        <w:t>Information filed or otherwise</w:t>
      </w:r>
      <w:r w:rsidR="00075871" w:rsidRPr="00E828BE">
        <w:t xml:space="preserve"> retained</w:t>
      </w:r>
      <w:r w:rsidRPr="00E828BE">
        <w:t xml:space="preserve"> by the permitting authority including the NOI, adverse incident reports, and annual reports; and</w:t>
      </w:r>
    </w:p>
    <w:p w14:paraId="77872723" w14:textId="77777777" w:rsidR="00985651" w:rsidRPr="00E828BE" w:rsidRDefault="00985651" w:rsidP="000D4BF4">
      <w:pPr>
        <w:numPr>
          <w:ilvl w:val="0"/>
          <w:numId w:val="28"/>
        </w:numPr>
        <w:tabs>
          <w:tab w:val="left" w:pos="-1440"/>
          <w:tab w:val="left" w:pos="-720"/>
        </w:tabs>
      </w:pPr>
      <w:r w:rsidRPr="00E828BE">
        <w:t>Information routinely submitted in an NOT (Notice of Termination) when terminating coverage under the PGP.</w:t>
      </w:r>
    </w:p>
    <w:p w14:paraId="16F54FC5" w14:textId="77777777" w:rsidR="00985651" w:rsidRPr="00E828BE" w:rsidRDefault="00985651" w:rsidP="000D4BF4"/>
    <w:p w14:paraId="5C01FB53" w14:textId="77777777" w:rsidR="00985651" w:rsidRPr="00E828BE" w:rsidRDefault="00985651" w:rsidP="000D4BF4">
      <w:r w:rsidRPr="00E828BE">
        <w:t xml:space="preserve">Information can be categorized into two sets: </w:t>
      </w:r>
      <w:r w:rsidR="00057702">
        <w:t>operator</w:t>
      </w:r>
      <w:r w:rsidR="006D76B7" w:rsidRPr="00E828BE">
        <w:t xml:space="preserve"> </w:t>
      </w:r>
      <w:r w:rsidRPr="00E828BE">
        <w:t xml:space="preserve">identification information and </w:t>
      </w:r>
      <w:r w:rsidR="00057702">
        <w:t>operator</w:t>
      </w:r>
      <w:r w:rsidR="006D76B7" w:rsidRPr="00E828BE">
        <w:t xml:space="preserve"> Discharge and Management Practice Information</w:t>
      </w:r>
      <w:r w:rsidR="001F4874" w:rsidRPr="00E828BE">
        <w:t xml:space="preserve">. </w:t>
      </w:r>
      <w:r w:rsidRPr="00E828BE">
        <w:t>Permitting authorities use the information in the ways discussed below.</w:t>
      </w:r>
    </w:p>
    <w:p w14:paraId="53139949" w14:textId="77777777" w:rsidR="00985651" w:rsidRPr="00E828BE" w:rsidRDefault="00985651" w:rsidP="000D4BF4">
      <w:pPr>
        <w:tabs>
          <w:tab w:val="left" w:pos="-1440"/>
          <w:tab w:val="left" w:pos="-720"/>
        </w:tabs>
      </w:pPr>
    </w:p>
    <w:p w14:paraId="31EC6235" w14:textId="77777777" w:rsidR="00985651" w:rsidRPr="00E828BE" w:rsidRDefault="00985651" w:rsidP="000D4BF4">
      <w:pPr>
        <w:keepNext/>
        <w:keepLines/>
        <w:tabs>
          <w:tab w:val="left" w:pos="-1440"/>
          <w:tab w:val="left" w:pos="-720"/>
        </w:tabs>
      </w:pPr>
      <w:r w:rsidRPr="00E828BE">
        <w:rPr>
          <w:b/>
          <w:bCs/>
        </w:rPr>
        <w:t>Identification Information</w:t>
      </w:r>
    </w:p>
    <w:p w14:paraId="5480592E" w14:textId="77777777" w:rsidR="00BE6B6C" w:rsidRPr="00E828BE" w:rsidRDefault="00985651" w:rsidP="000D4BF4">
      <w:pPr>
        <w:keepLines/>
        <w:tabs>
          <w:tab w:val="left" w:pos="-1440"/>
          <w:tab w:val="left" w:pos="-720"/>
        </w:tabs>
      </w:pPr>
      <w:r w:rsidRPr="00E828BE">
        <w:t>Permitting authorities use information such as the name, location, and description of pest management area to identify entities that are requesting coverage under a general permit</w:t>
      </w:r>
      <w:r w:rsidR="001F4874" w:rsidRPr="00E828BE">
        <w:t xml:space="preserve">. </w:t>
      </w:r>
      <w:r w:rsidRPr="00E828BE">
        <w:t xml:space="preserve">EPA </w:t>
      </w:r>
      <w:r w:rsidR="00272E02" w:rsidRPr="00E828BE">
        <w:t xml:space="preserve">and most </w:t>
      </w:r>
      <w:r w:rsidR="009A164E" w:rsidRPr="00E828BE">
        <w:t>state</w:t>
      </w:r>
      <w:r w:rsidRPr="00E828BE">
        <w:t>s store basic NOI information submitted for coverage under an NPDES general permit in databases that provide an inventory of permit holders.</w:t>
      </w:r>
      <w:r w:rsidR="00A43DF6" w:rsidRPr="00E828BE">
        <w:t xml:space="preserve"> </w:t>
      </w:r>
      <w:r w:rsidRPr="00E828BE">
        <w:t>EPA Headquarters uses the information contained in the NOI databases to develop reports on permit issuance and compliance rates</w:t>
      </w:r>
      <w:r w:rsidR="001F4874" w:rsidRPr="00E828BE">
        <w:t xml:space="preserve">. </w:t>
      </w:r>
      <w:r w:rsidRPr="00E828BE">
        <w:t xml:space="preserve">The </w:t>
      </w:r>
      <w:r w:rsidR="0067212A">
        <w:t>agency</w:t>
      </w:r>
      <w:r w:rsidRPr="00E828BE">
        <w:t xml:space="preserve"> also uses the information to respond to public and Congressional inquiries, develop and guide its policies, and formulate its budgets.</w:t>
      </w:r>
    </w:p>
    <w:p w14:paraId="5AEA0FF4" w14:textId="77777777" w:rsidR="00BE6B6C" w:rsidRPr="00E828BE" w:rsidRDefault="00BE6B6C" w:rsidP="000D4BF4">
      <w:pPr>
        <w:tabs>
          <w:tab w:val="left" w:pos="-1440"/>
          <w:tab w:val="left" w:pos="-720"/>
        </w:tabs>
      </w:pPr>
    </w:p>
    <w:p w14:paraId="6072E01A" w14:textId="77777777" w:rsidR="00BE6B6C" w:rsidRPr="00E828BE" w:rsidRDefault="00BE6B6C" w:rsidP="000D4BF4">
      <w:pPr>
        <w:tabs>
          <w:tab w:val="left" w:pos="-1440"/>
          <w:tab w:val="left" w:pos="-720"/>
        </w:tabs>
      </w:pPr>
      <w:r w:rsidRPr="00E828BE">
        <w:t xml:space="preserve">To meet the </w:t>
      </w:r>
      <w:r w:rsidR="0067212A">
        <w:t>agency</w:t>
      </w:r>
      <w:r w:rsidRPr="00E828BE">
        <w:t xml:space="preserve">’s obligations under the Endangered Species Acts (ESA), EPA must ensure that </w:t>
      </w:r>
      <w:r w:rsidR="005A0C80" w:rsidRPr="00E828BE">
        <w:t>its permit does not jeopardize listed species</w:t>
      </w:r>
      <w:r w:rsidR="00057702">
        <w:t>. Operator</w:t>
      </w:r>
      <w:r w:rsidRPr="00E828BE">
        <w:t>s seeking coverage under EPA’s PGP are required to assess the effects of their pesticide discharges on federally listed endangered and threatened species and designated critical habitat</w:t>
      </w:r>
      <w:r w:rsidR="001F4874" w:rsidRPr="00E828BE">
        <w:t xml:space="preserve">. </w:t>
      </w:r>
      <w:r w:rsidR="00CA45F2" w:rsidRPr="00E828BE">
        <w:t>Similar to other EPA general permit</w:t>
      </w:r>
      <w:r w:rsidR="005A0C80" w:rsidRPr="00E828BE">
        <w:t>s</w:t>
      </w:r>
      <w:r w:rsidR="00CA45F2" w:rsidRPr="00E828BE">
        <w:t xml:space="preserve">, </w:t>
      </w:r>
      <w:r w:rsidR="005A0C80" w:rsidRPr="00E828BE">
        <w:t xml:space="preserve">the </w:t>
      </w:r>
      <w:r w:rsidR="0067212A">
        <w:t>agency</w:t>
      </w:r>
      <w:r w:rsidR="00CA45F2" w:rsidRPr="00E828BE">
        <w:t xml:space="preserve"> assumes for this </w:t>
      </w:r>
      <w:r w:rsidR="00BA2CA5">
        <w:t>ICR</w:t>
      </w:r>
      <w:r w:rsidR="00CA45F2" w:rsidRPr="00E828BE">
        <w:t xml:space="preserve"> that i</w:t>
      </w:r>
      <w:r w:rsidRPr="00E828BE">
        <w:t xml:space="preserve">nformation </w:t>
      </w:r>
      <w:r w:rsidR="00CA45F2" w:rsidRPr="00E828BE">
        <w:t xml:space="preserve">will be </w:t>
      </w:r>
      <w:r w:rsidRPr="00E828BE">
        <w:t>captured on the NOI and therefore contained in the NOI database</w:t>
      </w:r>
      <w:r w:rsidR="001F4874" w:rsidRPr="00E828BE">
        <w:t xml:space="preserve">. </w:t>
      </w:r>
      <w:r w:rsidRPr="00E828BE">
        <w:t xml:space="preserve">NPDES-authorized </w:t>
      </w:r>
      <w:r w:rsidR="009A164E" w:rsidRPr="00E828BE">
        <w:t>state</w:t>
      </w:r>
      <w:r w:rsidRPr="00E828BE">
        <w:t xml:space="preserve">s are not required to meet </w:t>
      </w:r>
      <w:r w:rsidR="005A0C80" w:rsidRPr="00E828BE">
        <w:t>similar</w:t>
      </w:r>
      <w:r w:rsidRPr="00E828BE">
        <w:t xml:space="preserve"> ESA obligations and as such no ESA burden is associated with state-issued </w:t>
      </w:r>
      <w:r w:rsidR="005A0C80" w:rsidRPr="00E828BE">
        <w:t xml:space="preserve">NPDES </w:t>
      </w:r>
      <w:r w:rsidRPr="00E828BE">
        <w:t>general permits.</w:t>
      </w:r>
    </w:p>
    <w:p w14:paraId="320C24D5" w14:textId="77777777" w:rsidR="00BE6B6C" w:rsidRPr="00E828BE" w:rsidRDefault="00BE6B6C" w:rsidP="000D4BF4">
      <w:pPr>
        <w:tabs>
          <w:tab w:val="left" w:pos="-1440"/>
          <w:tab w:val="left" w:pos="-720"/>
        </w:tabs>
      </w:pPr>
    </w:p>
    <w:p w14:paraId="16EDBBA0" w14:textId="77777777" w:rsidR="006D76B7" w:rsidRPr="00E828BE" w:rsidRDefault="00341FBA" w:rsidP="000D4BF4">
      <w:pPr>
        <w:tabs>
          <w:tab w:val="left" w:pos="-1440"/>
          <w:tab w:val="left" w:pos="-720"/>
        </w:tabs>
        <w:rPr>
          <w:b/>
          <w:bCs/>
        </w:rPr>
      </w:pPr>
      <w:r w:rsidRPr="00E828BE">
        <w:rPr>
          <w:b/>
        </w:rPr>
        <w:t>Discharge and Management Practice Information</w:t>
      </w:r>
      <w:r w:rsidR="006D76B7" w:rsidRPr="00E828BE" w:rsidDel="006D76B7">
        <w:rPr>
          <w:b/>
          <w:bCs/>
        </w:rPr>
        <w:t xml:space="preserve"> </w:t>
      </w:r>
    </w:p>
    <w:p w14:paraId="39439E1A" w14:textId="77777777" w:rsidR="00985651" w:rsidRPr="00E828BE" w:rsidRDefault="00985651" w:rsidP="000D4BF4">
      <w:pPr>
        <w:tabs>
          <w:tab w:val="left" w:pos="-1440"/>
          <w:tab w:val="left" w:pos="-720"/>
        </w:tabs>
      </w:pPr>
      <w:r w:rsidRPr="00E828BE">
        <w:t>Permitting authorities use discharge information and management practice information from self-monitoring activities, annual reports, and PDMPs as part of compliance evaluations to ensure that permittees adhere to procedures or conditions as stated in these documents</w:t>
      </w:r>
      <w:r w:rsidR="001F4874" w:rsidRPr="00E828BE">
        <w:t xml:space="preserve">. </w:t>
      </w:r>
      <w:r w:rsidRPr="00E828BE">
        <w:t>Collection and reporting of data to permitting authorities also improves permittee accountability for remaining in compliance with their established permit conditions</w:t>
      </w:r>
      <w:r w:rsidR="001F4874" w:rsidRPr="00E828BE">
        <w:t xml:space="preserve">. </w:t>
      </w:r>
      <w:r w:rsidRPr="00E828BE">
        <w:t>If noncompliance with permit conditions is detected, the permitting authority will determine the appropriate enforcement action response on the basis of the nature and severity of the violation, the overall degree of noncompliance frequency, and degree of seriousness of the violation.</w:t>
      </w:r>
    </w:p>
    <w:p w14:paraId="72150F07" w14:textId="77777777" w:rsidR="00985651" w:rsidRPr="00E828BE" w:rsidRDefault="00985651" w:rsidP="000D4BF4">
      <w:pPr>
        <w:tabs>
          <w:tab w:val="left" w:pos="-1440"/>
          <w:tab w:val="left" w:pos="-720"/>
        </w:tabs>
      </w:pPr>
    </w:p>
    <w:p w14:paraId="2CEE799A" w14:textId="77777777" w:rsidR="00985651" w:rsidRPr="00E828BE" w:rsidRDefault="00985651" w:rsidP="000D4BF4">
      <w:pPr>
        <w:tabs>
          <w:tab w:val="left" w:pos="-1440"/>
          <w:tab w:val="left" w:pos="-720"/>
        </w:tabs>
      </w:pPr>
      <w:r w:rsidRPr="00E828BE">
        <w:t>NPDES permits may not be issued for a period to exceed five years</w:t>
      </w:r>
      <w:r w:rsidR="001F4874" w:rsidRPr="00E828BE">
        <w:t xml:space="preserve">. </w:t>
      </w:r>
      <w:r w:rsidRPr="00E828BE">
        <w:t>Information obtained during the next five years related to discharges and practices could lead the permit writers to take the following actions in the next permit development:</w:t>
      </w:r>
    </w:p>
    <w:p w14:paraId="53BBDEBD" w14:textId="77777777" w:rsidR="00985651" w:rsidRPr="00E828BE" w:rsidRDefault="006D76B7" w:rsidP="000D4BF4">
      <w:pPr>
        <w:numPr>
          <w:ilvl w:val="0"/>
          <w:numId w:val="32"/>
        </w:numPr>
        <w:tabs>
          <w:tab w:val="left" w:pos="-1440"/>
          <w:tab w:val="left" w:pos="-720"/>
        </w:tabs>
      </w:pPr>
      <w:r w:rsidRPr="00E828BE">
        <w:t>S</w:t>
      </w:r>
      <w:r w:rsidR="00985651" w:rsidRPr="00E828BE">
        <w:t>pecify additional permit limitations;</w:t>
      </w:r>
    </w:p>
    <w:p w14:paraId="695CD1AC" w14:textId="77777777" w:rsidR="00075871" w:rsidRPr="00E828BE" w:rsidRDefault="00075871" w:rsidP="000D4BF4">
      <w:pPr>
        <w:numPr>
          <w:ilvl w:val="0"/>
          <w:numId w:val="32"/>
        </w:numPr>
        <w:tabs>
          <w:tab w:val="left" w:pos="-1440"/>
          <w:tab w:val="left" w:pos="-720"/>
        </w:tabs>
      </w:pPr>
      <w:r w:rsidRPr="00E828BE">
        <w:t>Assess adequacy of the permit in protecting water quality;</w:t>
      </w:r>
    </w:p>
    <w:p w14:paraId="28E4AB99" w14:textId="77777777" w:rsidR="00985651" w:rsidRPr="00E828BE" w:rsidRDefault="006D76B7" w:rsidP="000D4BF4">
      <w:pPr>
        <w:numPr>
          <w:ilvl w:val="0"/>
          <w:numId w:val="32"/>
        </w:numPr>
        <w:tabs>
          <w:tab w:val="left" w:pos="-1440"/>
          <w:tab w:val="left" w:pos="-720"/>
        </w:tabs>
      </w:pPr>
      <w:r w:rsidRPr="00E828BE">
        <w:t>A</w:t>
      </w:r>
      <w:r w:rsidR="00985651" w:rsidRPr="00E828BE">
        <w:t>ssess compliance with existing permit limitations and conditions; and</w:t>
      </w:r>
    </w:p>
    <w:p w14:paraId="6797C693" w14:textId="77777777" w:rsidR="00985651" w:rsidRPr="00E828BE" w:rsidRDefault="006D76B7" w:rsidP="000D4BF4">
      <w:pPr>
        <w:numPr>
          <w:ilvl w:val="0"/>
          <w:numId w:val="32"/>
        </w:numPr>
        <w:tabs>
          <w:tab w:val="left" w:pos="-1440"/>
          <w:tab w:val="left" w:pos="-720"/>
        </w:tabs>
      </w:pPr>
      <w:r w:rsidRPr="00E828BE">
        <w:t>P</w:t>
      </w:r>
      <w:r w:rsidR="00985651" w:rsidRPr="00E828BE">
        <w:t>lace appropriate special conditions in permits.</w:t>
      </w:r>
    </w:p>
    <w:p w14:paraId="44A9E5DF" w14:textId="77777777" w:rsidR="00985651" w:rsidRPr="00E828BE" w:rsidRDefault="00985651" w:rsidP="001D6D10">
      <w:pPr>
        <w:autoSpaceDE w:val="0"/>
        <w:autoSpaceDN w:val="0"/>
        <w:adjustRightInd w:val="0"/>
        <w:sectPr w:rsidR="00985651" w:rsidRPr="00E828BE">
          <w:headerReference w:type="even" r:id="rId18"/>
          <w:headerReference w:type="default" r:id="rId19"/>
          <w:headerReference w:type="first" r:id="rId20"/>
          <w:pgSz w:w="12240" w:h="15840" w:code="1"/>
          <w:pgMar w:top="1440" w:right="1440" w:bottom="1440" w:left="1440" w:header="720" w:footer="720" w:gutter="0"/>
          <w:pgNumType w:chapStyle="1"/>
          <w:cols w:space="720"/>
          <w:noEndnote/>
        </w:sectPr>
      </w:pPr>
    </w:p>
    <w:p w14:paraId="44E46824" w14:textId="77777777" w:rsidR="00985651" w:rsidRPr="00E828BE" w:rsidRDefault="00985651" w:rsidP="001D6D10">
      <w:pPr>
        <w:pStyle w:val="Heading1"/>
      </w:pPr>
      <w:bookmarkStart w:id="20" w:name="_Ref199566123"/>
      <w:bookmarkStart w:id="21" w:name="_Toc275242922"/>
      <w:r w:rsidRPr="00E828BE">
        <w:lastRenderedPageBreak/>
        <w:t>3. Non-duplication, Consultations, and Other Collection Criteria</w:t>
      </w:r>
      <w:bookmarkEnd w:id="20"/>
      <w:bookmarkEnd w:id="21"/>
    </w:p>
    <w:p w14:paraId="097BF58A" w14:textId="77777777" w:rsidR="00985651" w:rsidRPr="00E828BE" w:rsidRDefault="00985651" w:rsidP="001D6D10">
      <w:pPr>
        <w:pStyle w:val="Heading2"/>
      </w:pPr>
      <w:bookmarkStart w:id="22" w:name="_Toc275242923"/>
      <w:r w:rsidRPr="00E828BE">
        <w:t>3(a) Non-duplication</w:t>
      </w:r>
      <w:bookmarkEnd w:id="22"/>
    </w:p>
    <w:p w14:paraId="7387550B" w14:textId="77777777" w:rsidR="00985651" w:rsidRPr="00E828BE" w:rsidRDefault="00985651" w:rsidP="000D4BF4">
      <w:r w:rsidRPr="00E828BE">
        <w:t xml:space="preserve">Almost all information requested from respondents under this </w:t>
      </w:r>
      <w:r w:rsidR="00BA2CA5">
        <w:t>ICR</w:t>
      </w:r>
      <w:r w:rsidRPr="00E828BE">
        <w:t xml:space="preserve"> is required by statute or regulation and, in most cases, is not available from other sources</w:t>
      </w:r>
      <w:r w:rsidR="001F4874" w:rsidRPr="00E828BE">
        <w:t xml:space="preserve">. </w:t>
      </w:r>
      <w:r w:rsidRPr="00E828BE">
        <w:t xml:space="preserve">EPA has examined all other reporting and recordkeeping requirements contained in the CWA and 40 CFR </w:t>
      </w:r>
      <w:r w:rsidR="00051EC7">
        <w:t>part</w:t>
      </w:r>
      <w:r w:rsidRPr="00E828BE">
        <w:t>s 122, 123, 124, 125, 403, 501, and 503</w:t>
      </w:r>
      <w:r w:rsidR="001F4874" w:rsidRPr="00E828BE">
        <w:t xml:space="preserve">. </w:t>
      </w:r>
      <w:r w:rsidRPr="00E828BE">
        <w:t>EPA also has consulted the following sources of information to determine if similar or duplicate information is available elsewhere:</w:t>
      </w:r>
    </w:p>
    <w:p w14:paraId="29D683C1" w14:textId="77777777" w:rsidR="00985651" w:rsidRPr="00E828BE" w:rsidRDefault="00985651" w:rsidP="000D4BF4">
      <w:pPr>
        <w:pStyle w:val="Bullet1"/>
        <w:numPr>
          <w:ilvl w:val="0"/>
          <w:numId w:val="33"/>
        </w:numPr>
        <w:spacing w:after="0"/>
      </w:pPr>
      <w:r w:rsidRPr="00E828BE">
        <w:t>The EPA Inventory of ICRs;</w:t>
      </w:r>
    </w:p>
    <w:p w14:paraId="2589473A" w14:textId="77777777" w:rsidR="00985651" w:rsidRPr="00E828BE" w:rsidRDefault="00985651" w:rsidP="000D4BF4">
      <w:pPr>
        <w:pStyle w:val="Bullet1"/>
        <w:numPr>
          <w:ilvl w:val="0"/>
          <w:numId w:val="33"/>
        </w:numPr>
        <w:spacing w:after="0"/>
      </w:pPr>
      <w:r w:rsidRPr="00E828BE">
        <w:t>The Government Information Locator Service; and</w:t>
      </w:r>
    </w:p>
    <w:p w14:paraId="1E7E33D2" w14:textId="77777777" w:rsidR="00985651" w:rsidRPr="00E828BE" w:rsidRDefault="00985651" w:rsidP="000D4BF4">
      <w:pPr>
        <w:pStyle w:val="Bullet1"/>
        <w:numPr>
          <w:ilvl w:val="0"/>
          <w:numId w:val="33"/>
        </w:numPr>
        <w:spacing w:after="0"/>
      </w:pPr>
      <w:r w:rsidRPr="00E828BE">
        <w:t>The Toxic Chemical Release Inventory (TRI).</w:t>
      </w:r>
    </w:p>
    <w:p w14:paraId="6A96B828" w14:textId="77777777" w:rsidR="00985651" w:rsidRPr="00E828BE" w:rsidRDefault="00985651" w:rsidP="000D4BF4"/>
    <w:p w14:paraId="3323D191" w14:textId="77777777" w:rsidR="00985651" w:rsidRPr="00E828BE" w:rsidRDefault="00985651" w:rsidP="000D4BF4">
      <w:r w:rsidRPr="00E828BE">
        <w:t>EPA has also examined potentially similar reporting requirements for notice of spills under the Resource Conservation and Recovery Act (RCRA) for duplication of the CWA requirement. EPA believes that any duplication between NPDES and RCRA reporting of pollutant releases is negligible because they focus on different areas of a facility (RCRA focuses on on-site activities, and NPDES focuses on discharge outfalls and discharge to waters of the United States).</w:t>
      </w:r>
    </w:p>
    <w:p w14:paraId="002B64E5" w14:textId="77777777" w:rsidR="00985651" w:rsidRPr="00E828BE" w:rsidRDefault="00985651" w:rsidP="001D6D10"/>
    <w:p w14:paraId="1BCA6808" w14:textId="77777777" w:rsidR="00985651" w:rsidRPr="00E828BE" w:rsidRDefault="00985651" w:rsidP="001D6D10">
      <w:r w:rsidRPr="00E828BE">
        <w:t>In addition, EPA has examined potentially similar reporting requirements under FIFRA for duplication of the CWA requirement</w:t>
      </w:r>
      <w:r w:rsidR="001F4874" w:rsidRPr="00E828BE">
        <w:t xml:space="preserve">. </w:t>
      </w:r>
      <w:r w:rsidRPr="00E828BE">
        <w:t xml:space="preserve">While some of the information required in these general permits may be similar to that already required under FIFRA, the universe of respondents is different or is only a subset of the universe in this </w:t>
      </w:r>
      <w:r w:rsidR="00BA2CA5">
        <w:t>ICR</w:t>
      </w:r>
      <w:r w:rsidR="001F4874" w:rsidRPr="00E828BE">
        <w:t xml:space="preserve">. </w:t>
      </w:r>
      <w:r w:rsidRPr="00E828BE">
        <w:t xml:space="preserve">For example, adverse incident reporting requirements in the permit are currently required of pesticide registrants under FIFRA but not from </w:t>
      </w:r>
      <w:r w:rsidR="00057702">
        <w:t>operator</w:t>
      </w:r>
      <w:r w:rsidR="004C70DF" w:rsidRPr="00E828BE">
        <w:t>s</w:t>
      </w:r>
      <w:r w:rsidR="001F4874" w:rsidRPr="00E828BE">
        <w:t xml:space="preserve">. </w:t>
      </w:r>
      <w:r w:rsidRPr="00E828BE">
        <w:t xml:space="preserve">EPA believes the expansion of this requirement to </w:t>
      </w:r>
      <w:r w:rsidR="00057702">
        <w:t>operator</w:t>
      </w:r>
      <w:r w:rsidR="004C70DF" w:rsidRPr="00E828BE">
        <w:t xml:space="preserve">s </w:t>
      </w:r>
      <w:r w:rsidRPr="00E828BE">
        <w:t>provides a more comprehensive dataset on which to assess potential impacts from activities covered under these general permits</w:t>
      </w:r>
      <w:r w:rsidR="001F4874" w:rsidRPr="00E828BE">
        <w:t xml:space="preserve">. </w:t>
      </w:r>
      <w:r w:rsidRPr="00E828BE">
        <w:t xml:space="preserve">Another example is the ICR for Certification of Pesticide </w:t>
      </w:r>
      <w:r w:rsidR="008D77A7">
        <w:t>applicator</w:t>
      </w:r>
      <w:r w:rsidRPr="00E828BE">
        <w:t>s (OMB No: 2070-0029, EPA No: 0155.</w:t>
      </w:r>
      <w:r w:rsidR="000C6A2A" w:rsidRPr="00E828BE">
        <w:t>11</w:t>
      </w:r>
      <w:r w:rsidRPr="00E828BE">
        <w:t>) which requires commercial applicators, who are certified by program administered by non-federal agencies, to keep records on restricted-use pesticides</w:t>
      </w:r>
      <w:r w:rsidR="001F4874" w:rsidRPr="00E828BE">
        <w:t xml:space="preserve">. </w:t>
      </w:r>
      <w:r w:rsidRPr="00E828BE">
        <w:t>See 40 CFR 171</w:t>
      </w:r>
      <w:r w:rsidR="001F4874" w:rsidRPr="00E828BE">
        <w:t xml:space="preserve">. </w:t>
      </w:r>
      <w:r w:rsidRPr="00E828BE">
        <w:t>EPA believes that any duplication between activities required under the NPDES general permits and 40 CFR 171 is negligible</w:t>
      </w:r>
      <w:r w:rsidR="001F4874" w:rsidRPr="00E828BE">
        <w:t xml:space="preserve">. </w:t>
      </w:r>
      <w:r w:rsidRPr="00E828BE">
        <w:t xml:space="preserve">The PGP allows </w:t>
      </w:r>
      <w:r w:rsidR="00057702">
        <w:t>operator</w:t>
      </w:r>
      <w:r w:rsidR="004C70DF" w:rsidRPr="00E828BE">
        <w:t xml:space="preserve">s </w:t>
      </w:r>
      <w:r w:rsidRPr="00E828BE">
        <w:t>to rely on records and documents developed for other obligations, such as requirements under FIFRA, and state or local pesticide programs to meet the recordkeeping requirements, provided all requirements of the permit are satisfied</w:t>
      </w:r>
      <w:r w:rsidR="001F4874" w:rsidRPr="00E828BE">
        <w:t xml:space="preserve">. </w:t>
      </w:r>
    </w:p>
    <w:p w14:paraId="3F05AF48" w14:textId="77777777" w:rsidR="00985651" w:rsidRPr="00E828BE" w:rsidRDefault="00985651" w:rsidP="001D6D10">
      <w:pPr>
        <w:pStyle w:val="Heading2"/>
      </w:pPr>
      <w:bookmarkStart w:id="23" w:name="_Toc275242924"/>
      <w:r w:rsidRPr="00E828BE">
        <w:t>3(b) Public Notice Required Prior to ICR Submissions to OMB</w:t>
      </w:r>
      <w:bookmarkEnd w:id="23"/>
    </w:p>
    <w:p w14:paraId="5822441B" w14:textId="5BE004AC" w:rsidR="00F17D63" w:rsidRPr="00706DA7" w:rsidRDefault="00F17D63" w:rsidP="00F17D63">
      <w:pPr>
        <w:rPr>
          <w:strike/>
        </w:rPr>
      </w:pPr>
      <w:bookmarkStart w:id="24" w:name="_Toc275242925"/>
      <w:r w:rsidRPr="00495A90">
        <w:t xml:space="preserve">This ICR was published in the </w:t>
      </w:r>
      <w:r w:rsidRPr="00495A90">
        <w:rPr>
          <w:i/>
        </w:rPr>
        <w:t>Federal Register</w:t>
      </w:r>
      <w:r w:rsidRPr="00495A90">
        <w:t xml:space="preserve"> on </w:t>
      </w:r>
      <w:r>
        <w:t>July 16, 2014, (79 FR 41548</w:t>
      </w:r>
      <w:r w:rsidRPr="00495A90">
        <w:t xml:space="preserve">). The notice included a request for comments on the content and impact of these information collection requirements on the regulated community. </w:t>
      </w:r>
      <w:r w:rsidR="00706DA7">
        <w:t>EPA received one comment in response to the notice which did not relate to the ICR.</w:t>
      </w:r>
    </w:p>
    <w:p w14:paraId="359BAFAD" w14:textId="77777777" w:rsidR="00985651" w:rsidRPr="00E828BE" w:rsidRDefault="00985651" w:rsidP="001D6D10">
      <w:pPr>
        <w:pStyle w:val="Heading2"/>
      </w:pPr>
      <w:r w:rsidRPr="00E828BE">
        <w:lastRenderedPageBreak/>
        <w:t>3(c) Consultations</w:t>
      </w:r>
      <w:bookmarkEnd w:id="24"/>
    </w:p>
    <w:p w14:paraId="30AF60F5" w14:textId="77777777" w:rsidR="00985651" w:rsidRPr="00E828BE" w:rsidRDefault="00985651" w:rsidP="001D6D10">
      <w:pPr>
        <w:keepLines/>
      </w:pPr>
      <w:r w:rsidRPr="00E828BE">
        <w:t xml:space="preserve">EPA headquarters staff responsible for program oversight in NPDES permit and for program oversight in FIFRA was contacted to provide information, data, and review for this </w:t>
      </w:r>
      <w:r w:rsidR="00BA2CA5">
        <w:t>ICR</w:t>
      </w:r>
      <w:r w:rsidR="001F4874" w:rsidRPr="00E828BE">
        <w:t xml:space="preserve">. </w:t>
      </w:r>
    </w:p>
    <w:p w14:paraId="53275A10" w14:textId="77777777" w:rsidR="00985651" w:rsidRPr="00E828BE" w:rsidRDefault="00985651" w:rsidP="001D6D10">
      <w:pPr>
        <w:pStyle w:val="Default"/>
        <w:rPr>
          <w:color w:val="auto"/>
        </w:rPr>
      </w:pPr>
    </w:p>
    <w:p w14:paraId="27B70775" w14:textId="5FB95A63" w:rsidR="00985651" w:rsidRPr="00B416F4" w:rsidRDefault="00985651" w:rsidP="00B416F4">
      <w:pPr>
        <w:pStyle w:val="ListParagraph"/>
        <w:spacing w:line="276" w:lineRule="auto"/>
      </w:pPr>
      <w:r w:rsidRPr="00E828BE">
        <w:t xml:space="preserve">EPA solicited information and data on discharges from pesticide applications to assist in developing the </w:t>
      </w:r>
      <w:r w:rsidR="00721563">
        <w:t>final</w:t>
      </w:r>
      <w:r w:rsidRPr="00E828BE">
        <w:t xml:space="preserve"> NPDES permit for its </w:t>
      </w:r>
      <w:r w:rsidR="00B416F4">
        <w:t xml:space="preserve">2011 </w:t>
      </w:r>
      <w:r w:rsidRPr="00E828BE">
        <w:t>PGP</w:t>
      </w:r>
      <w:r w:rsidR="001F4874" w:rsidRPr="00E828BE">
        <w:t xml:space="preserve">. </w:t>
      </w:r>
      <w:r w:rsidRPr="00E828BE">
        <w:t xml:space="preserve">EPA met with </w:t>
      </w:r>
      <w:r w:rsidR="009A164E" w:rsidRPr="00E828BE">
        <w:t>state</w:t>
      </w:r>
      <w:r w:rsidRPr="00E828BE">
        <w:t>s, industry groups, and environmental groups during permit development</w:t>
      </w:r>
      <w:r w:rsidR="001F4874" w:rsidRPr="00E828BE">
        <w:t xml:space="preserve">. </w:t>
      </w:r>
      <w:r w:rsidRPr="00E828BE">
        <w:t>EPA also hosted several webcasts</w:t>
      </w:r>
      <w:r w:rsidR="001F4874" w:rsidRPr="00E828BE">
        <w:t xml:space="preserve">. </w:t>
      </w:r>
      <w:r w:rsidRPr="00E828BE">
        <w:t xml:space="preserve">EPA published the proposed NPDES </w:t>
      </w:r>
      <w:r w:rsidR="00B416F4">
        <w:t xml:space="preserve">2011 </w:t>
      </w:r>
      <w:r w:rsidRPr="00E828BE">
        <w:t xml:space="preserve">PGP in a </w:t>
      </w:r>
      <w:r w:rsidRPr="00E828BE">
        <w:rPr>
          <w:i/>
        </w:rPr>
        <w:t>Federal Register</w:t>
      </w:r>
      <w:r w:rsidRPr="00E828BE">
        <w:t xml:space="preserve"> notice on June 4, 2010 (75 FR 31775) and received over 700 public comments</w:t>
      </w:r>
      <w:r w:rsidR="001F4874" w:rsidRPr="00E828BE">
        <w:t xml:space="preserve">. </w:t>
      </w:r>
      <w:r w:rsidRPr="00E828BE">
        <w:t>See Docket ID No. EPA-HQ-OW-2010-0257</w:t>
      </w:r>
      <w:r w:rsidR="001F4874" w:rsidRPr="00E828BE">
        <w:t xml:space="preserve">. </w:t>
      </w:r>
      <w:r w:rsidRPr="00E828BE">
        <w:t>Additionally, EPA hosted three public meetings, a webcast, and a public hearing after proposal</w:t>
      </w:r>
      <w:r w:rsidR="001F4874" w:rsidRPr="00E828BE">
        <w:t xml:space="preserve">. </w:t>
      </w:r>
      <w:r w:rsidR="00602BC9" w:rsidRPr="00E828BE">
        <w:t xml:space="preserve">EPA public noticed the </w:t>
      </w:r>
      <w:r w:rsidR="007B3EC2">
        <w:t xml:space="preserve">first </w:t>
      </w:r>
      <w:r w:rsidR="007B3EC2" w:rsidRPr="00E828BE">
        <w:t>ICR</w:t>
      </w:r>
      <w:r w:rsidR="00721563">
        <w:t xml:space="preserve"> for pesticide discharges</w:t>
      </w:r>
      <w:r w:rsidR="00602BC9" w:rsidRPr="00E828BE">
        <w:t xml:space="preserve"> on November 3, 2010 (75 FR 67713)</w:t>
      </w:r>
      <w:r w:rsidR="000A6685">
        <w:t xml:space="preserve"> which related to the proposed PGP at the time</w:t>
      </w:r>
      <w:r w:rsidR="001F4874" w:rsidRPr="00E828BE">
        <w:t xml:space="preserve">. </w:t>
      </w:r>
      <w:r w:rsidR="00602BC9" w:rsidRPr="00E828BE">
        <w:t xml:space="preserve">The </w:t>
      </w:r>
      <w:r w:rsidR="0067212A">
        <w:t>agency</w:t>
      </w:r>
      <w:r w:rsidR="00602BC9" w:rsidRPr="00E828BE">
        <w:t xml:space="preserve"> received 13 sets of comments.</w:t>
      </w:r>
      <w:r w:rsidR="00496CF8">
        <w:t xml:space="preserve"> See Docket ID No. EPA-HQ-OW-</w:t>
      </w:r>
      <w:r w:rsidR="0067212A" w:rsidRPr="0067212A">
        <w:t>2010–0852</w:t>
      </w:r>
      <w:r w:rsidR="00496CF8">
        <w:t>.</w:t>
      </w:r>
      <w:r w:rsidR="001C4827">
        <w:t xml:space="preserve"> The comments generally reflected those submitted on the proposed permit including concerns that the thresholds were too low, the number of respondents were underestimated, and the burden estimates were too low. EPA responded by increasing the thresholds in the final permit. Due to lack of additional data provided during public comments, EPA’s estimates of the number of respondents remained unchanged. Because the burden calculations are generally estimates based on several similar industrial permitting activities, EPA believed the burden calculations were accurate.</w:t>
      </w:r>
    </w:p>
    <w:p w14:paraId="33A5DFB5" w14:textId="77777777" w:rsidR="00985651" w:rsidRPr="00E828BE" w:rsidRDefault="00985651" w:rsidP="001D6D10">
      <w:pPr>
        <w:pStyle w:val="Heading2"/>
      </w:pPr>
      <w:bookmarkStart w:id="25" w:name="_Toc275242926"/>
      <w:r w:rsidRPr="00E828BE">
        <w:t>3(d) Effects of Less Frequent Collection</w:t>
      </w:r>
      <w:bookmarkEnd w:id="25"/>
    </w:p>
    <w:p w14:paraId="7D83F22D" w14:textId="77777777" w:rsidR="00985651" w:rsidRPr="00E828BE" w:rsidRDefault="00985651" w:rsidP="001D6D10">
      <w:r w:rsidRPr="00E828BE">
        <w:t>EPA recognizes the importance of balancing the need for data collection efforts against respondent burden and costs</w:t>
      </w:r>
      <w:r w:rsidR="001F4874" w:rsidRPr="00E828BE">
        <w:t xml:space="preserve">. </w:t>
      </w:r>
      <w:r w:rsidRPr="00E828BE">
        <w:t>From the inception of the NPDES program, cost has been one of the major factors considered in establishing application requirements, monitoring conditions, and report contents and frequencies</w:t>
      </w:r>
      <w:r w:rsidR="001F4874" w:rsidRPr="00E828BE">
        <w:t xml:space="preserve">. </w:t>
      </w:r>
      <w:r w:rsidRPr="00E828BE">
        <w:t xml:space="preserve">In the past </w:t>
      </w:r>
      <w:r w:rsidR="009F205D">
        <w:t>several</w:t>
      </w:r>
      <w:r w:rsidR="009F205D" w:rsidRPr="00E828BE">
        <w:t xml:space="preserve"> </w:t>
      </w:r>
      <w:r w:rsidRPr="00E828BE">
        <w:t>years, the executive and legislative branches of the U.S. government have stressed the need for evaluating the costs and benefits of regulation and the financial impact on the regulated community, state, and local government</w:t>
      </w:r>
      <w:r w:rsidR="001F4874" w:rsidRPr="00E828BE">
        <w:t xml:space="preserve">. </w:t>
      </w:r>
      <w:r w:rsidRPr="00E828BE">
        <w:t>EPA regularly seeks new opportunities to reduce burden on the regulated community.</w:t>
      </w:r>
    </w:p>
    <w:p w14:paraId="49EE96DE" w14:textId="77777777" w:rsidR="00985651" w:rsidRPr="00E828BE" w:rsidRDefault="00985651" w:rsidP="001D6D10"/>
    <w:p w14:paraId="611E997D" w14:textId="77777777" w:rsidR="00985651" w:rsidRPr="00E828BE" w:rsidRDefault="00985651" w:rsidP="001D6D10">
      <w:r w:rsidRPr="00E828BE">
        <w:t xml:space="preserve">Given the vast number of </w:t>
      </w:r>
      <w:r w:rsidR="00057702">
        <w:t>operator</w:t>
      </w:r>
      <w:r w:rsidR="00C76CAE" w:rsidRPr="00E828BE">
        <w:t xml:space="preserve">s </w:t>
      </w:r>
      <w:r w:rsidRPr="00E828BE">
        <w:t xml:space="preserve">requiring NPDES permit coverage and the discharges common to these </w:t>
      </w:r>
      <w:r w:rsidR="00057702">
        <w:t>operator</w:t>
      </w:r>
      <w:r w:rsidR="00C76CAE" w:rsidRPr="00E828BE">
        <w:t>s</w:t>
      </w:r>
      <w:r w:rsidRPr="00E828BE">
        <w:t>, EPA believes that it makes administrative sense to issue a</w:t>
      </w:r>
      <w:r w:rsidR="00BA1BC6" w:rsidRPr="00E828BE">
        <w:t>n NPDES</w:t>
      </w:r>
      <w:r w:rsidRPr="00E828BE">
        <w:t xml:space="preserve"> general permit, rather than issuing </w:t>
      </w:r>
      <w:r w:rsidR="00BA1BC6" w:rsidRPr="00E828BE">
        <w:t xml:space="preserve">NPDES </w:t>
      </w:r>
      <w:r w:rsidRPr="00E828BE">
        <w:t xml:space="preserve">individual permits to each </w:t>
      </w:r>
      <w:r w:rsidR="00057702">
        <w:t>operator</w:t>
      </w:r>
      <w:r w:rsidR="001F4874" w:rsidRPr="00E828BE">
        <w:t xml:space="preserve">. </w:t>
      </w:r>
      <w:r w:rsidRPr="00E828BE">
        <w:t xml:space="preserve">General permits are issued to groups of entities that have similar operating procedures, discharge characteristics, and geographic location (e.g., </w:t>
      </w:r>
      <w:r w:rsidR="009A164E" w:rsidRPr="00E828BE">
        <w:t>state</w:t>
      </w:r>
      <w:r w:rsidRPr="00E828BE">
        <w:t>s)</w:t>
      </w:r>
      <w:r w:rsidR="001F4874" w:rsidRPr="00E828BE">
        <w:t xml:space="preserve">. </w:t>
      </w:r>
      <w:r w:rsidRPr="00E828BE">
        <w:t>In this way, permitting authorities can cover a large number of facilities within one permit and establish a common set of limitations, monitoring requirements, and permit conditions</w:t>
      </w:r>
      <w:r w:rsidR="001F4874" w:rsidRPr="00E828BE">
        <w:t xml:space="preserve">. </w:t>
      </w:r>
    </w:p>
    <w:p w14:paraId="6DF33E41" w14:textId="77777777" w:rsidR="00985651" w:rsidRPr="00E828BE" w:rsidRDefault="00985651" w:rsidP="001D6D10"/>
    <w:p w14:paraId="27A82865" w14:textId="77777777" w:rsidR="00985651" w:rsidRPr="00E828BE" w:rsidRDefault="00985651" w:rsidP="001D6D10">
      <w:r w:rsidRPr="00E828BE">
        <w:t>The information needed to meet permitting, monitoring, reporting, and information collection requirements related to the NPDES Program may be submitted one time, at a regular frequency, or on an as needed basis</w:t>
      </w:r>
      <w:r w:rsidR="001F4874" w:rsidRPr="00E828BE">
        <w:t xml:space="preserve">. </w:t>
      </w:r>
      <w:r w:rsidRPr="00E828BE">
        <w:t xml:space="preserve">EPA and </w:t>
      </w:r>
      <w:r w:rsidR="008E3E56" w:rsidRPr="00E828BE">
        <w:t>NPDES-</w:t>
      </w:r>
      <w:r w:rsidRPr="00E828BE">
        <w:t xml:space="preserve">authorized </w:t>
      </w:r>
      <w:r w:rsidR="009A164E" w:rsidRPr="00E828BE">
        <w:t>state</w:t>
      </w:r>
      <w:r w:rsidRPr="00E828BE">
        <w:t>s need current information about permittees and discharge characteristics to fulfill oversight responsibilities</w:t>
      </w:r>
      <w:r w:rsidR="001F4874" w:rsidRPr="00E828BE">
        <w:t xml:space="preserve">. </w:t>
      </w:r>
      <w:r w:rsidRPr="00E828BE">
        <w:t xml:space="preserve">The NPDES burden described in this </w:t>
      </w:r>
      <w:r w:rsidR="00BA2CA5">
        <w:t>ICR</w:t>
      </w:r>
      <w:r w:rsidRPr="00E828BE">
        <w:t xml:space="preserve"> identifies the burden that EPA has determined as necessary</w:t>
      </w:r>
      <w:r w:rsidR="001F4874" w:rsidRPr="00E828BE">
        <w:t xml:space="preserve">. </w:t>
      </w:r>
      <w:r w:rsidRPr="00E828BE">
        <w:t xml:space="preserve">EPA strives to </w:t>
      </w:r>
      <w:r w:rsidRPr="00E828BE">
        <w:lastRenderedPageBreak/>
        <w:t>minimize burden</w:t>
      </w:r>
      <w:r w:rsidR="001F4874" w:rsidRPr="00E828BE">
        <w:t xml:space="preserve">. </w:t>
      </w:r>
      <w:r w:rsidRPr="00E828BE">
        <w:t>EPA has determined that the information currently required is the minimum that is necessary to adequately evaluate permittee compliance.</w:t>
      </w:r>
    </w:p>
    <w:p w14:paraId="79226A01" w14:textId="77777777" w:rsidR="00985651" w:rsidRPr="00E828BE" w:rsidRDefault="00985651" w:rsidP="001D6D10">
      <w:pPr>
        <w:pStyle w:val="Heading2"/>
      </w:pPr>
      <w:bookmarkStart w:id="26" w:name="_Toc275242927"/>
      <w:r w:rsidRPr="00E828BE">
        <w:t>3(e) General Guidelines</w:t>
      </w:r>
      <w:bookmarkEnd w:id="26"/>
    </w:p>
    <w:p w14:paraId="384994DC" w14:textId="77777777" w:rsidR="00985651" w:rsidRPr="00E828BE" w:rsidRDefault="00985651" w:rsidP="001D6D10">
      <w:r w:rsidRPr="00E828BE">
        <w:t xml:space="preserve">This information collection is consistent with OMB guidelines contained in 5 </w:t>
      </w:r>
      <w:r w:rsidRPr="00E828BE">
        <w:rPr>
          <w:iCs/>
        </w:rPr>
        <w:t>CFR</w:t>
      </w:r>
      <w:r w:rsidRPr="00E828BE">
        <w:t xml:space="preserve"> 1320.5(d)(2). Requests for supplemental information for the purposes of emergency response or enforcement activities are exempt from the Paperwork Reduction Act requirements.</w:t>
      </w:r>
    </w:p>
    <w:p w14:paraId="79E0965B" w14:textId="77777777" w:rsidR="00985651" w:rsidRPr="00E828BE" w:rsidRDefault="00985651" w:rsidP="001D6D10">
      <w:pPr>
        <w:pStyle w:val="Heading2"/>
      </w:pPr>
      <w:bookmarkStart w:id="27" w:name="_Toc275242928"/>
      <w:r w:rsidRPr="00E828BE">
        <w:t>3(f) Confidentiality</w:t>
      </w:r>
      <w:bookmarkEnd w:id="27"/>
    </w:p>
    <w:p w14:paraId="37F52A7A" w14:textId="77777777" w:rsidR="00985651" w:rsidRPr="00E828BE" w:rsidRDefault="00985651" w:rsidP="001D6D10">
      <w:r w:rsidRPr="00E828BE">
        <w:t>Respondent reports can contain confidential business information</w:t>
      </w:r>
      <w:r w:rsidR="001F4874" w:rsidRPr="00E828BE">
        <w:t xml:space="preserve">. </w:t>
      </w:r>
      <w:r w:rsidRPr="00E828BE">
        <w:t>If this is the case, the respondent may request that such information be treated as confidential</w:t>
      </w:r>
      <w:r w:rsidR="001F4874" w:rsidRPr="00E828BE">
        <w:t xml:space="preserve">. </w:t>
      </w:r>
      <w:r w:rsidRPr="00E828BE">
        <w:t xml:space="preserve">All confidential data will be handled in accordance with 40 CFR 122.7, 40 CFR </w:t>
      </w:r>
      <w:r w:rsidR="00051EC7">
        <w:t>part</w:t>
      </w:r>
      <w:r w:rsidRPr="00E828BE">
        <w:t xml:space="preserve"> 2, and EPA’s </w:t>
      </w:r>
      <w:r w:rsidRPr="00E828BE">
        <w:rPr>
          <w:i/>
        </w:rPr>
        <w:t>Security Manual</w:t>
      </w:r>
      <w:r w:rsidRPr="00E828BE">
        <w:t xml:space="preserve"> Part III, Chapter 9, dated August 9, 1976</w:t>
      </w:r>
      <w:r w:rsidR="001F4874" w:rsidRPr="00E828BE">
        <w:t xml:space="preserve">. </w:t>
      </w:r>
      <w:r w:rsidRPr="00E828BE">
        <w:t>Any claim of confidentiality must be asserted at the time of submission</w:t>
      </w:r>
      <w:r w:rsidR="001F4874" w:rsidRPr="00E828BE">
        <w:t xml:space="preserve">. </w:t>
      </w:r>
      <w:r w:rsidRPr="00E828BE">
        <w:t>However, CWA section 308(b) specifically states that effluent data may not be treated as confidential.</w:t>
      </w:r>
    </w:p>
    <w:p w14:paraId="536B6941" w14:textId="77777777" w:rsidR="00985651" w:rsidRPr="00E828BE" w:rsidRDefault="00985651" w:rsidP="001D6D10">
      <w:pPr>
        <w:pStyle w:val="Heading2"/>
      </w:pPr>
      <w:bookmarkStart w:id="28" w:name="_Toc275242929"/>
      <w:r w:rsidRPr="00E828BE">
        <w:t>3(g) Sensitive Questions</w:t>
      </w:r>
      <w:bookmarkEnd w:id="28"/>
    </w:p>
    <w:p w14:paraId="5AB1C1C5" w14:textId="77777777" w:rsidR="00985651" w:rsidRPr="00E828BE" w:rsidRDefault="00985651" w:rsidP="001D6D10">
      <w:r w:rsidRPr="00E828BE">
        <w:t xml:space="preserve">Sensitive questions are defined in EPA’s ICR Handbook, </w:t>
      </w:r>
      <w:r w:rsidRPr="00E828BE">
        <w:rPr>
          <w:i/>
        </w:rPr>
        <w:t>Guide to Writing Information Collection Requests Under the Paperwork Reduction Act of 1995</w:t>
      </w:r>
      <w:r w:rsidRPr="00E828BE">
        <w:t xml:space="preserve"> as “questions concerning sexual behavior or attitudes, religious beliefs, or other matters usually considered private.”</w:t>
      </w:r>
      <w:r w:rsidR="001F4874" w:rsidRPr="00E828BE">
        <w:t xml:space="preserve"> </w:t>
      </w:r>
      <w:r w:rsidRPr="00E828BE">
        <w:t xml:space="preserve">The requirements addressed in this </w:t>
      </w:r>
      <w:r w:rsidR="00BA2CA5">
        <w:t>ICR</w:t>
      </w:r>
      <w:r w:rsidRPr="00E828BE">
        <w:t xml:space="preserve"> do not include sensitive questions.</w:t>
      </w:r>
    </w:p>
    <w:p w14:paraId="706396A1" w14:textId="77777777" w:rsidR="00985651" w:rsidRPr="00E828BE" w:rsidRDefault="00985651" w:rsidP="001D6D10">
      <w:pPr>
        <w:sectPr w:rsidR="00985651" w:rsidRPr="00E828BE">
          <w:headerReference w:type="even" r:id="rId21"/>
          <w:headerReference w:type="default" r:id="rId22"/>
          <w:headerReference w:type="first" r:id="rId23"/>
          <w:pgSz w:w="12240" w:h="15840" w:code="1"/>
          <w:pgMar w:top="1440" w:right="1440" w:bottom="1440" w:left="1440" w:header="720" w:footer="720" w:gutter="0"/>
          <w:pgNumType w:chapStyle="1"/>
          <w:cols w:space="720"/>
          <w:noEndnote/>
        </w:sectPr>
      </w:pPr>
    </w:p>
    <w:p w14:paraId="37968631" w14:textId="77777777" w:rsidR="00985651" w:rsidRPr="00E828BE" w:rsidRDefault="00985651" w:rsidP="001D6D10">
      <w:pPr>
        <w:pStyle w:val="Heading1"/>
      </w:pPr>
      <w:bookmarkStart w:id="29" w:name="_Ref199566140"/>
      <w:bookmarkStart w:id="30" w:name="_Toc275242930"/>
      <w:bookmarkStart w:id="31" w:name="_Toc137695351"/>
      <w:bookmarkStart w:id="32" w:name="_Toc137695818"/>
      <w:r w:rsidRPr="00E828BE">
        <w:lastRenderedPageBreak/>
        <w:t>4. The Respondents and the Information Requested</w:t>
      </w:r>
      <w:bookmarkEnd w:id="29"/>
      <w:bookmarkEnd w:id="30"/>
    </w:p>
    <w:p w14:paraId="24A6C844" w14:textId="77777777" w:rsidR="00985651" w:rsidRPr="00E828BE" w:rsidRDefault="00985651" w:rsidP="001D6D10">
      <w:pPr>
        <w:pStyle w:val="Heading2"/>
      </w:pPr>
      <w:bookmarkStart w:id="33" w:name="_Ref199644552"/>
      <w:bookmarkStart w:id="34" w:name="_Toc275242931"/>
      <w:r w:rsidRPr="00E828BE">
        <w:t>4(a) Respondents/Standard Industrial Classification (SIC) Codes</w:t>
      </w:r>
      <w:bookmarkEnd w:id="33"/>
      <w:bookmarkEnd w:id="34"/>
    </w:p>
    <w:p w14:paraId="2D5D909A" w14:textId="77777777" w:rsidR="00985651" w:rsidRPr="00E828BE" w:rsidRDefault="00985651" w:rsidP="001D6D10">
      <w:r w:rsidRPr="00E828BE">
        <w:t xml:space="preserve">The Clean Water Act (CWA), enacted in 1972, requires </w:t>
      </w:r>
      <w:r w:rsidR="00057702">
        <w:t>operator</w:t>
      </w:r>
      <w:r w:rsidR="00C76CAE" w:rsidRPr="00E828BE">
        <w:t xml:space="preserve">s </w:t>
      </w:r>
      <w:r w:rsidRPr="00E828BE">
        <w:t>of point source discharges of pollutants to waters of the United States to obtain a permit to discharge</w:t>
      </w:r>
      <w:r w:rsidR="001F4874" w:rsidRPr="00E828BE">
        <w:t xml:space="preserve">. </w:t>
      </w:r>
      <w:r w:rsidRPr="00E828BE">
        <w:t xml:space="preserve">EPA issues NPDES permits except where a </w:t>
      </w:r>
      <w:r w:rsidR="009A164E" w:rsidRPr="00E828BE">
        <w:t>state</w:t>
      </w:r>
      <w:r w:rsidRPr="00E828BE">
        <w:t xml:space="preserve"> can demonstrate that it has adequate legal, technical, and financial capabilities in place to administer the NPDES program</w:t>
      </w:r>
      <w:r w:rsidR="001F4874" w:rsidRPr="00E828BE">
        <w:t xml:space="preserve">. </w:t>
      </w:r>
      <w:r w:rsidRPr="00E828BE">
        <w:t xml:space="preserve">To date, </w:t>
      </w:r>
      <w:r w:rsidR="001D4E42" w:rsidRPr="00E828BE">
        <w:t>46</w:t>
      </w:r>
      <w:r w:rsidRPr="00E828BE">
        <w:t xml:space="preserve"> </w:t>
      </w:r>
      <w:r w:rsidR="009A164E" w:rsidRPr="00E828BE">
        <w:t>state</w:t>
      </w:r>
      <w:r w:rsidRPr="00E828BE">
        <w:t>s and one U.S. territory are authorized by EPA to issue, administer, and enforce permits for discharges from pesticide application activities within their borders</w:t>
      </w:r>
      <w:r w:rsidR="001F4874" w:rsidRPr="00E828BE">
        <w:t xml:space="preserve">. </w:t>
      </w:r>
      <w:r w:rsidRPr="00E828BE">
        <w:t xml:space="preserve">EPA continues to be the permitting authority in the other </w:t>
      </w:r>
      <w:r w:rsidR="001D4E42" w:rsidRPr="00E828BE">
        <w:t>4</w:t>
      </w:r>
      <w:r w:rsidRPr="00E828BE">
        <w:t xml:space="preserve"> </w:t>
      </w:r>
      <w:r w:rsidR="009A164E" w:rsidRPr="00E828BE">
        <w:t>state</w:t>
      </w:r>
      <w:r w:rsidRPr="00E828BE">
        <w:t>s and territories</w:t>
      </w:r>
      <w:r w:rsidR="001F4874" w:rsidRPr="00E828BE">
        <w:t xml:space="preserve">. </w:t>
      </w:r>
      <w:r w:rsidRPr="00E828BE">
        <w:t>For the list of areas where EPA is the permitting authority for discharges from application of pesticide, see Table 2.1</w:t>
      </w:r>
      <w:r w:rsidR="001F4874" w:rsidRPr="00E828BE">
        <w:t xml:space="preserve">. </w:t>
      </w:r>
      <w:r w:rsidRPr="00E828BE">
        <w:t xml:space="preserve">The authorized </w:t>
      </w:r>
      <w:r w:rsidR="009A164E" w:rsidRPr="00E828BE">
        <w:t>state</w:t>
      </w:r>
      <w:r w:rsidRPr="00E828BE">
        <w:t xml:space="preserve">s and territories are considered respondents for evaluating paperwork burden in this </w:t>
      </w:r>
      <w:r w:rsidR="00BA2CA5">
        <w:t>ICR</w:t>
      </w:r>
      <w:r w:rsidRPr="00E828BE">
        <w:t>.</w:t>
      </w:r>
    </w:p>
    <w:p w14:paraId="79812AC0" w14:textId="77777777" w:rsidR="00985651" w:rsidRPr="00E828BE" w:rsidRDefault="00985651" w:rsidP="001D6D10"/>
    <w:p w14:paraId="6B51FA8A" w14:textId="77777777" w:rsidR="00985651" w:rsidRPr="00E828BE" w:rsidRDefault="00985651" w:rsidP="001D6D10">
      <w:r w:rsidRPr="00E828BE">
        <w:t xml:space="preserve">All </w:t>
      </w:r>
      <w:r w:rsidR="00057702">
        <w:t>operator</w:t>
      </w:r>
      <w:r w:rsidR="00290A8C" w:rsidRPr="00E828BE">
        <w:t xml:space="preserve">s to be covered under an </w:t>
      </w:r>
      <w:r w:rsidRPr="00E828BE">
        <w:t xml:space="preserve">NPDES </w:t>
      </w:r>
      <w:r w:rsidR="007F4FD4" w:rsidRPr="00E828BE">
        <w:t xml:space="preserve">general </w:t>
      </w:r>
      <w:r w:rsidRPr="00E828BE">
        <w:t>permit</w:t>
      </w:r>
      <w:r w:rsidR="002E7300" w:rsidRPr="00E828BE">
        <w:t>,</w:t>
      </w:r>
      <w:r w:rsidR="000C1328" w:rsidRPr="00E828BE">
        <w:t xml:space="preserve"> </w:t>
      </w:r>
      <w:r w:rsidRPr="00E828BE">
        <w:t xml:space="preserve">whether </w:t>
      </w:r>
      <w:r w:rsidR="002E7300" w:rsidRPr="00E828BE">
        <w:t xml:space="preserve">that permit is </w:t>
      </w:r>
      <w:r w:rsidR="00290A8C" w:rsidRPr="00E828BE">
        <w:t>issued</w:t>
      </w:r>
      <w:r w:rsidRPr="00E828BE">
        <w:t xml:space="preserve"> by EPA or </w:t>
      </w:r>
      <w:r w:rsidR="002E7300" w:rsidRPr="00E828BE">
        <w:t xml:space="preserve">a </w:t>
      </w:r>
      <w:r w:rsidR="009A164E" w:rsidRPr="00E828BE">
        <w:t>state</w:t>
      </w:r>
      <w:r w:rsidR="002E7300" w:rsidRPr="00E828BE">
        <w:t>,</w:t>
      </w:r>
      <w:r w:rsidRPr="00E828BE">
        <w:t xml:space="preserve"> for discharges from the application of pesticides are </w:t>
      </w:r>
      <w:r w:rsidR="00D53DEF">
        <w:t xml:space="preserve">considered </w:t>
      </w:r>
      <w:r w:rsidRPr="00E828BE">
        <w:t xml:space="preserve">respondents in this </w:t>
      </w:r>
      <w:r w:rsidR="00BA2CA5">
        <w:t>ICR</w:t>
      </w:r>
      <w:r w:rsidR="001F4874" w:rsidRPr="00E828BE">
        <w:t xml:space="preserve">. </w:t>
      </w:r>
      <w:r w:rsidRPr="00E828BE">
        <w:t xml:space="preserve">EPA estimates there are approximately 365,000 </w:t>
      </w:r>
      <w:r w:rsidR="00C76CAE" w:rsidRPr="00E828BE">
        <w:t xml:space="preserve">pesticide applicators </w:t>
      </w:r>
      <w:r w:rsidRPr="00E828BE">
        <w:t>nationwide</w:t>
      </w:r>
      <w:r w:rsidR="001F4874" w:rsidRPr="00E828BE">
        <w:t xml:space="preserve">. </w:t>
      </w:r>
      <w:r w:rsidRPr="00E828BE">
        <w:t>See Appendix B</w:t>
      </w:r>
      <w:r w:rsidR="00290A8C" w:rsidRPr="00E828BE">
        <w:t xml:space="preserve"> for EPA’s approach to estimate the universe of pesticide applicators</w:t>
      </w:r>
      <w:r w:rsidR="001F4874" w:rsidRPr="00E828BE">
        <w:t xml:space="preserve">. </w:t>
      </w:r>
      <w:r w:rsidR="00820666">
        <w:t>Entities</w:t>
      </w:r>
      <w:r w:rsidRPr="00E828BE">
        <w:t xml:space="preserve"> potentially covered by the general permits include but are not limited to the following NAICS (North American Industry Classification System) codes: 111 Crop Production; 113110 Timber Tract Operations; 113210 Forest Nurseries Gathering of Forest Products; 221310 Water Supply for Irrigation; 923120 Administration of Public Health Programs; 924110 Administration of Air and Water Resource and Solid Waste Management Programs; 924120 Administration of Conservation Programs; and 221 Utilities</w:t>
      </w:r>
      <w:r w:rsidR="001F4874" w:rsidRPr="00E828BE">
        <w:t xml:space="preserve">. </w:t>
      </w:r>
    </w:p>
    <w:p w14:paraId="43056476" w14:textId="77777777" w:rsidR="00985651" w:rsidRPr="00E828BE" w:rsidRDefault="00985651" w:rsidP="001D6D10">
      <w:pPr>
        <w:sectPr w:rsidR="00985651" w:rsidRPr="00E828BE">
          <w:headerReference w:type="even" r:id="rId24"/>
          <w:headerReference w:type="default" r:id="rId25"/>
          <w:headerReference w:type="first" r:id="rId26"/>
          <w:pgSz w:w="12240" w:h="15840" w:code="1"/>
          <w:pgMar w:top="1440" w:right="1440" w:bottom="1440" w:left="1440" w:header="720" w:footer="720" w:gutter="0"/>
          <w:pgNumType w:chapStyle="1"/>
          <w:cols w:space="720"/>
          <w:noEndnote/>
        </w:sectPr>
      </w:pPr>
    </w:p>
    <w:p w14:paraId="40EBE519" w14:textId="77777777" w:rsidR="00985651" w:rsidRPr="00E828BE" w:rsidRDefault="00985651" w:rsidP="001D6D10">
      <w:pPr>
        <w:pStyle w:val="Heading2"/>
      </w:pPr>
      <w:bookmarkStart w:id="35" w:name="_Ref199644238"/>
      <w:bookmarkStart w:id="36" w:name="_Toc275242932"/>
      <w:r w:rsidRPr="00E828BE">
        <w:lastRenderedPageBreak/>
        <w:t>4(b)</w:t>
      </w:r>
      <w:bookmarkEnd w:id="31"/>
      <w:bookmarkEnd w:id="32"/>
      <w:r w:rsidRPr="00E828BE">
        <w:t xml:space="preserve"> Information Requested</w:t>
      </w:r>
      <w:bookmarkEnd w:id="35"/>
      <w:bookmarkEnd w:id="36"/>
    </w:p>
    <w:p w14:paraId="34C0CEF1" w14:textId="77777777" w:rsidR="00985651" w:rsidRPr="00E828BE" w:rsidRDefault="00985651" w:rsidP="001D6D10">
      <w:r w:rsidRPr="00E828BE">
        <w:t>This section presents the data items, including recordkeeping requirements, and required respondent activities involved in preparing and submitting those data items</w:t>
      </w:r>
      <w:r w:rsidR="001F4874" w:rsidRPr="00E828BE">
        <w:t xml:space="preserve">. </w:t>
      </w:r>
      <w:r w:rsidRPr="00E828BE">
        <w:t xml:space="preserve">It also presents respondent activities for the </w:t>
      </w:r>
      <w:r w:rsidR="003A2FDD" w:rsidRPr="00E828BE">
        <w:t>47</w:t>
      </w:r>
      <w:r w:rsidRPr="00E828BE">
        <w:t xml:space="preserve"> authorized </w:t>
      </w:r>
      <w:r w:rsidR="009A164E" w:rsidRPr="00E828BE">
        <w:t>state</w:t>
      </w:r>
      <w:r w:rsidRPr="00E828BE">
        <w:t>s</w:t>
      </w:r>
      <w:r w:rsidR="00290A8C" w:rsidRPr="00E828BE">
        <w:t xml:space="preserve"> (i.e., </w:t>
      </w:r>
      <w:r w:rsidR="003A2FDD" w:rsidRPr="00E828BE">
        <w:t>46</w:t>
      </w:r>
      <w:r w:rsidR="00290A8C" w:rsidRPr="00E828BE">
        <w:t xml:space="preserve"> authorized </w:t>
      </w:r>
      <w:r w:rsidR="009A164E" w:rsidRPr="00E828BE">
        <w:t>state</w:t>
      </w:r>
      <w:r w:rsidR="00290A8C" w:rsidRPr="00E828BE">
        <w:t>s plus the Virgin Islands)</w:t>
      </w:r>
      <w:r w:rsidRPr="00E828BE">
        <w:t>.</w:t>
      </w:r>
    </w:p>
    <w:p w14:paraId="63CFCBBD" w14:textId="77777777" w:rsidR="00985651" w:rsidRPr="00E828BE" w:rsidRDefault="00985651" w:rsidP="001D6D10"/>
    <w:p w14:paraId="35C809D9" w14:textId="77777777" w:rsidR="00985651" w:rsidRPr="00E828BE" w:rsidRDefault="00985651" w:rsidP="001D6D10">
      <w:pPr>
        <w:spacing w:after="60"/>
      </w:pPr>
      <w:r w:rsidRPr="00E828BE">
        <w:t>All activities reported in this supporting statement were analyzed and allocated to one of five types of activities related to the NPDES program, these are as follows:</w:t>
      </w:r>
    </w:p>
    <w:p w14:paraId="562E8ACB" w14:textId="77777777" w:rsidR="00985651" w:rsidRPr="00E828BE" w:rsidRDefault="00985651" w:rsidP="000D4BF4">
      <w:pPr>
        <w:pStyle w:val="Bullet1"/>
        <w:numPr>
          <w:ilvl w:val="0"/>
          <w:numId w:val="34"/>
        </w:numPr>
        <w:spacing w:after="0"/>
      </w:pPr>
      <w:r w:rsidRPr="00E828BE">
        <w:t>Activities directly related to obtaining permit coverage under a general permit;</w:t>
      </w:r>
    </w:p>
    <w:p w14:paraId="528F7A17" w14:textId="77777777" w:rsidR="00985651" w:rsidRPr="00E828BE" w:rsidRDefault="00985651" w:rsidP="000D4BF4">
      <w:pPr>
        <w:pStyle w:val="Bullet1"/>
        <w:numPr>
          <w:ilvl w:val="0"/>
          <w:numId w:val="34"/>
        </w:numPr>
        <w:spacing w:after="0"/>
        <w:rPr>
          <w:strike/>
        </w:rPr>
      </w:pPr>
      <w:r w:rsidRPr="00E828BE">
        <w:t>Activities associated with development</w:t>
      </w:r>
      <w:r w:rsidR="00290A8C" w:rsidRPr="00E828BE">
        <w:t xml:space="preserve"> of a plan (or worksheet)</w:t>
      </w:r>
      <w:r w:rsidRPr="00E828BE">
        <w:t>;</w:t>
      </w:r>
    </w:p>
    <w:p w14:paraId="654BB738" w14:textId="77777777" w:rsidR="00985651" w:rsidRPr="00E828BE" w:rsidRDefault="00985651" w:rsidP="000D4BF4">
      <w:pPr>
        <w:pStyle w:val="Bullet1"/>
        <w:numPr>
          <w:ilvl w:val="0"/>
          <w:numId w:val="34"/>
        </w:numPr>
        <w:spacing w:after="0"/>
      </w:pPr>
      <w:r w:rsidRPr="00E828BE">
        <w:t>Monitoring;</w:t>
      </w:r>
    </w:p>
    <w:p w14:paraId="24C0CAA5" w14:textId="77777777" w:rsidR="00985651" w:rsidRPr="00E828BE" w:rsidRDefault="00985651" w:rsidP="000D4BF4">
      <w:pPr>
        <w:pStyle w:val="Bullet1"/>
        <w:numPr>
          <w:ilvl w:val="0"/>
          <w:numId w:val="34"/>
        </w:numPr>
        <w:spacing w:after="0"/>
      </w:pPr>
      <w:r w:rsidRPr="00E828BE">
        <w:t>Reporting; and</w:t>
      </w:r>
    </w:p>
    <w:p w14:paraId="132AD39E" w14:textId="77777777" w:rsidR="00985651" w:rsidRPr="00E828BE" w:rsidRDefault="00985651" w:rsidP="000D4BF4">
      <w:pPr>
        <w:pStyle w:val="Bullet1"/>
        <w:numPr>
          <w:ilvl w:val="0"/>
          <w:numId w:val="34"/>
        </w:numPr>
        <w:spacing w:after="0"/>
      </w:pPr>
      <w:r w:rsidRPr="00E828BE">
        <w:t>Recordkeeping.</w:t>
      </w:r>
    </w:p>
    <w:p w14:paraId="6D05064C" w14:textId="77777777" w:rsidR="00985651" w:rsidRPr="00E828BE" w:rsidRDefault="00985651" w:rsidP="000D4BF4"/>
    <w:p w14:paraId="74CF90C3" w14:textId="77777777" w:rsidR="00985651" w:rsidRPr="00E828BE" w:rsidRDefault="00985651" w:rsidP="001D6D10">
      <w:pPr>
        <w:pStyle w:val="Bullet1"/>
        <w:sectPr w:rsidR="00985651" w:rsidRPr="00E828BE">
          <w:headerReference w:type="even" r:id="rId27"/>
          <w:headerReference w:type="default" r:id="rId28"/>
          <w:headerReference w:type="first" r:id="rId29"/>
          <w:type w:val="continuous"/>
          <w:pgSz w:w="12240" w:h="15840" w:code="1"/>
          <w:pgMar w:top="1440" w:right="1440" w:bottom="1440" w:left="1440" w:header="720" w:footer="720" w:gutter="0"/>
          <w:pgNumType w:chapStyle="1"/>
          <w:cols w:space="720"/>
          <w:noEndnote/>
        </w:sectPr>
      </w:pPr>
    </w:p>
    <w:p w14:paraId="59F16C1E" w14:textId="77777777" w:rsidR="00985651" w:rsidRPr="00E828BE" w:rsidRDefault="00985651" w:rsidP="001D6D10">
      <w:pPr>
        <w:pStyle w:val="Heading3"/>
      </w:pPr>
      <w:bookmarkStart w:id="37" w:name="_Ref199644206"/>
      <w:bookmarkStart w:id="38" w:name="_Ref199644254"/>
      <w:bookmarkStart w:id="39" w:name="_Ref199644343"/>
      <w:bookmarkStart w:id="40" w:name="_Toc275242933"/>
      <w:r w:rsidRPr="00E828BE">
        <w:lastRenderedPageBreak/>
        <w:t xml:space="preserve">4(b)(i) </w:t>
      </w:r>
      <w:bookmarkEnd w:id="37"/>
      <w:bookmarkEnd w:id="38"/>
      <w:bookmarkEnd w:id="39"/>
      <w:r w:rsidRPr="00E828BE">
        <w:t>Obtaining Permit Coverage</w:t>
      </w:r>
      <w:bookmarkEnd w:id="40"/>
    </w:p>
    <w:p w14:paraId="1DCDAEAA" w14:textId="77777777" w:rsidR="00985651" w:rsidRPr="00E828BE" w:rsidRDefault="00985651" w:rsidP="001D6D10">
      <w:pPr>
        <w:pStyle w:val="Heading4"/>
        <w:widowControl/>
      </w:pPr>
      <w:r w:rsidRPr="00E828BE">
        <w:t>4(b)(i)(1) Data Items</w:t>
      </w:r>
    </w:p>
    <w:p w14:paraId="76B27B95" w14:textId="77777777" w:rsidR="00985651" w:rsidRPr="00E828BE" w:rsidRDefault="00985651" w:rsidP="001E5FF7">
      <w:r w:rsidRPr="00E828BE">
        <w:t xml:space="preserve">Federal regulations at 40 CFR 122.21 and 122.28 detail the application and </w:t>
      </w:r>
      <w:r w:rsidR="000C1328" w:rsidRPr="00E828BE">
        <w:t xml:space="preserve">Notice </w:t>
      </w:r>
      <w:r w:rsidRPr="00E828BE">
        <w:t xml:space="preserve">of </w:t>
      </w:r>
      <w:r w:rsidR="000C1328" w:rsidRPr="00E828BE">
        <w:t>I</w:t>
      </w:r>
      <w:r w:rsidRPr="00E828BE">
        <w:t>ntent (NOI) requirements</w:t>
      </w:r>
      <w:r w:rsidR="00290A8C" w:rsidRPr="00E828BE">
        <w:t xml:space="preserve"> </w:t>
      </w:r>
      <w:r w:rsidRPr="00E828BE">
        <w:t>for NPDES permits</w:t>
      </w:r>
      <w:r w:rsidR="00290A8C" w:rsidRPr="00E828BE">
        <w:t>, respectively</w:t>
      </w:r>
      <w:r w:rsidR="001F4874" w:rsidRPr="00E828BE">
        <w:t xml:space="preserve">. </w:t>
      </w:r>
      <w:r w:rsidRPr="00E828BE">
        <w:t xml:space="preserve">EPA expects the </w:t>
      </w:r>
      <w:r w:rsidR="00F92C83" w:rsidRPr="00E828BE">
        <w:t xml:space="preserve">overwhelming </w:t>
      </w:r>
      <w:r w:rsidRPr="00E828BE">
        <w:t xml:space="preserve">majority </w:t>
      </w:r>
      <w:r w:rsidRPr="00E828BE">
        <w:lastRenderedPageBreak/>
        <w:t>of discharges from pesticide activities will obtain coverage via an NOI under a</w:t>
      </w:r>
      <w:r w:rsidR="002E7300" w:rsidRPr="00E828BE">
        <w:t>n NPDES</w:t>
      </w:r>
      <w:r w:rsidRPr="00E828BE">
        <w:t xml:space="preserve"> general permit instead</w:t>
      </w:r>
      <w:r w:rsidR="000C1328" w:rsidRPr="00E828BE">
        <w:t xml:space="preserve"> </w:t>
      </w:r>
      <w:r w:rsidRPr="00E828BE">
        <w:t xml:space="preserve">of an </w:t>
      </w:r>
      <w:r w:rsidR="002E7300" w:rsidRPr="00E828BE">
        <w:t xml:space="preserve">NPDES </w:t>
      </w:r>
      <w:r w:rsidRPr="00E828BE">
        <w:t>individual permit</w:t>
      </w:r>
      <w:r w:rsidR="001F4874" w:rsidRPr="00E828BE">
        <w:t xml:space="preserve">. </w:t>
      </w:r>
      <w:r w:rsidRPr="00E828BE">
        <w:t xml:space="preserve">This section addresses only </w:t>
      </w:r>
      <w:r w:rsidR="00057702">
        <w:t>operator</w:t>
      </w:r>
      <w:r w:rsidR="00C76CAE" w:rsidRPr="00E828BE">
        <w:t xml:space="preserve">s </w:t>
      </w:r>
      <w:r w:rsidRPr="00E828BE">
        <w:t>obtaining coverage under general permit</w:t>
      </w:r>
      <w:r w:rsidR="000C1328" w:rsidRPr="00E828BE">
        <w:t>s</w:t>
      </w:r>
      <w:r w:rsidR="001F4874" w:rsidRPr="00E828BE">
        <w:t xml:space="preserve">. </w:t>
      </w:r>
      <w:r w:rsidRPr="00E828BE">
        <w:t xml:space="preserve">As stated previously, EPA expects few discharges to be covered under </w:t>
      </w:r>
      <w:r w:rsidR="002E7300" w:rsidRPr="00E828BE">
        <w:t xml:space="preserve">NPDES </w:t>
      </w:r>
      <w:r w:rsidRPr="00E828BE">
        <w:t>individual</w:t>
      </w:r>
      <w:r w:rsidR="008E3E56" w:rsidRPr="00E828BE">
        <w:t xml:space="preserve"> </w:t>
      </w:r>
      <w:r w:rsidRPr="00E828BE">
        <w:t xml:space="preserve">permits and those </w:t>
      </w:r>
      <w:r w:rsidR="000C1328" w:rsidRPr="00E828BE">
        <w:t xml:space="preserve">burdens </w:t>
      </w:r>
      <w:r w:rsidRPr="00E828BE">
        <w:t>are already addressed in the existing NPDES Program ICR (ICR Number 0229.</w:t>
      </w:r>
      <w:r w:rsidR="00230DEC" w:rsidRPr="00E828BE">
        <w:t>20</w:t>
      </w:r>
      <w:r w:rsidRPr="00E828BE">
        <w:t>, OMB Number 2040-0004).</w:t>
      </w:r>
    </w:p>
    <w:p w14:paraId="383BFC70" w14:textId="77777777" w:rsidR="00985651" w:rsidRPr="00E828BE" w:rsidRDefault="00985651" w:rsidP="001E5FF7"/>
    <w:p w14:paraId="70503185" w14:textId="77777777" w:rsidR="00985651" w:rsidRPr="00E828BE" w:rsidRDefault="00985651" w:rsidP="001E5FF7">
      <w:r w:rsidRPr="00E828BE">
        <w:t xml:space="preserve">According to EPA’s PGP, </w:t>
      </w:r>
      <w:r w:rsidR="006E7B13" w:rsidRPr="00E828BE">
        <w:t xml:space="preserve">certain </w:t>
      </w:r>
      <w:r w:rsidR="008D77A7">
        <w:t>decision-maker</w:t>
      </w:r>
      <w:r w:rsidR="006E7B13" w:rsidRPr="00E828BE">
        <w:t>s are required</w:t>
      </w:r>
      <w:r w:rsidR="00BA000D" w:rsidRPr="00E828BE">
        <w:t xml:space="preserve"> </w:t>
      </w:r>
      <w:r w:rsidRPr="00E828BE">
        <w:t>to submit NOI</w:t>
      </w:r>
      <w:r w:rsidR="001F4874" w:rsidRPr="00E828BE">
        <w:t xml:space="preserve">. </w:t>
      </w:r>
      <w:r w:rsidR="00F92C83" w:rsidRPr="00E828BE">
        <w:t>Those include:</w:t>
      </w:r>
      <w:r w:rsidR="00BA000D" w:rsidRPr="00E828BE">
        <w:t xml:space="preserve"> </w:t>
      </w:r>
      <w:r w:rsidR="00432E6F" w:rsidRPr="00E828BE">
        <w:t xml:space="preserve">1) </w:t>
      </w:r>
      <w:r w:rsidR="00BA000D" w:rsidRPr="00E828BE">
        <w:t xml:space="preserve">Federal and </w:t>
      </w:r>
      <w:r w:rsidR="009A164E" w:rsidRPr="00E828BE">
        <w:t>state</w:t>
      </w:r>
      <w:r w:rsidR="00BA000D" w:rsidRPr="00E828BE">
        <w:t xml:space="preserve"> agencies with a responsibility to control </w:t>
      </w:r>
      <w:r w:rsidR="00F92C83" w:rsidRPr="00E828BE">
        <w:t>pests</w:t>
      </w:r>
      <w:r w:rsidR="00432E6F" w:rsidRPr="00E828BE">
        <w:t xml:space="preserve">; </w:t>
      </w:r>
      <w:r w:rsidR="00F92C83" w:rsidRPr="00E828BE">
        <w:t>2</w:t>
      </w:r>
      <w:r w:rsidR="00432E6F" w:rsidRPr="00E828BE">
        <w:t xml:space="preserve">) </w:t>
      </w:r>
      <w:r w:rsidR="00F92C83" w:rsidRPr="00E828BE">
        <w:t>Pest control districts, irrigation control districts, or similar; 3</w:t>
      </w:r>
      <w:r w:rsidR="00432E6F" w:rsidRPr="00E828BE">
        <w:t xml:space="preserve">) </w:t>
      </w:r>
      <w:r w:rsidR="00F92C83" w:rsidRPr="00E828BE">
        <w:t xml:space="preserve">any </w:t>
      </w:r>
      <w:r w:rsidR="00432E6F" w:rsidRPr="00E828BE">
        <w:t xml:space="preserve">other </w:t>
      </w:r>
      <w:r w:rsidR="008D77A7">
        <w:t>decision-maker</w:t>
      </w:r>
      <w:r w:rsidR="00E038EF" w:rsidRPr="00E828BE">
        <w:t>s</w:t>
      </w:r>
      <w:r w:rsidR="00432E6F" w:rsidRPr="00E828BE">
        <w:t xml:space="preserve"> that exceed the annual treatment area thresholds</w:t>
      </w:r>
      <w:r w:rsidR="006E7B13" w:rsidRPr="00E828BE">
        <w:t xml:space="preserve">; </w:t>
      </w:r>
      <w:r w:rsidR="00F92C83" w:rsidRPr="00E828BE">
        <w:t>4</w:t>
      </w:r>
      <w:r w:rsidR="006E7B13" w:rsidRPr="00E828BE">
        <w:t xml:space="preserve">) </w:t>
      </w:r>
      <w:r w:rsidR="008D77A7">
        <w:t>decision-maker</w:t>
      </w:r>
      <w:r w:rsidR="00E038EF" w:rsidRPr="00E828BE">
        <w:t>s</w:t>
      </w:r>
      <w:r w:rsidR="006E7B13" w:rsidRPr="00E828BE">
        <w:t xml:space="preserve"> that </w:t>
      </w:r>
      <w:r w:rsidR="00F92C83" w:rsidRPr="00E828BE">
        <w:t xml:space="preserve">plan </w:t>
      </w:r>
      <w:r w:rsidR="006E7B13" w:rsidRPr="00E828BE">
        <w:t>to discharge to outstanding natio</w:t>
      </w:r>
      <w:r w:rsidR="008E3E56" w:rsidRPr="00E828BE">
        <w:t>nal resource waters</w:t>
      </w:r>
      <w:r w:rsidR="00F92C83" w:rsidRPr="00E828BE">
        <w:t xml:space="preserve"> (i.e., Tier 3 waters); and 5) </w:t>
      </w:r>
      <w:r w:rsidR="008D77A7">
        <w:t>decision-maker</w:t>
      </w:r>
      <w:r w:rsidR="00E038EF" w:rsidRPr="00E828BE">
        <w:t>s that plan to discharge to waters with certain listed species or its critical habitat</w:t>
      </w:r>
      <w:r w:rsidR="001F4874" w:rsidRPr="00E828BE">
        <w:t xml:space="preserve">. </w:t>
      </w:r>
      <w:r w:rsidR="00432E6F" w:rsidRPr="00E828BE">
        <w:t xml:space="preserve">Other </w:t>
      </w:r>
      <w:r w:rsidR="00057702">
        <w:t>operator</w:t>
      </w:r>
      <w:r w:rsidRPr="00E828BE">
        <w:t>s are covered under the permit automatically without the need to submit an NOI</w:t>
      </w:r>
      <w:r w:rsidR="001F4874" w:rsidRPr="00E828BE">
        <w:t xml:space="preserve">. </w:t>
      </w:r>
      <w:r w:rsidRPr="00E828BE">
        <w:t>EPA drafted an NOI form for its PGP</w:t>
      </w:r>
      <w:r w:rsidR="00520434" w:rsidRPr="00E828BE">
        <w:t xml:space="preserve"> (see Appendix D for a copy of the NOI form)</w:t>
      </w:r>
      <w:r w:rsidR="001F4874" w:rsidRPr="00E828BE">
        <w:t xml:space="preserve">. </w:t>
      </w:r>
      <w:r w:rsidRPr="00E828BE">
        <w:t>The NOI requests basic applicant data as well as pesticide application information such as pesticide use patterns and pest management areas</w:t>
      </w:r>
      <w:r w:rsidR="001F4874" w:rsidRPr="00E828BE">
        <w:t xml:space="preserve">. </w:t>
      </w:r>
    </w:p>
    <w:p w14:paraId="4F88BD8B" w14:textId="77777777" w:rsidR="007B25F3" w:rsidRPr="00E828BE" w:rsidRDefault="007B25F3" w:rsidP="001E5FF7"/>
    <w:p w14:paraId="4BDC4BA5" w14:textId="77777777" w:rsidR="00985651" w:rsidRPr="00E828BE" w:rsidRDefault="00CA45F2" w:rsidP="001E5FF7">
      <w:r w:rsidRPr="00E828BE">
        <w:t>Similar to other EPA general permit</w:t>
      </w:r>
      <w:r w:rsidR="008D77A7">
        <w:t>s</w:t>
      </w:r>
      <w:r w:rsidRPr="00E828BE">
        <w:t xml:space="preserve">, </w:t>
      </w:r>
      <w:r w:rsidR="008E3E56" w:rsidRPr="00E828BE">
        <w:t>E</w:t>
      </w:r>
      <w:r w:rsidR="00F872D1" w:rsidRPr="00E828BE">
        <w:t xml:space="preserve">PA assumes </w:t>
      </w:r>
      <w:r w:rsidRPr="00E828BE">
        <w:t xml:space="preserve">for this </w:t>
      </w:r>
      <w:r w:rsidR="00BA2CA5">
        <w:t>ICR</w:t>
      </w:r>
      <w:r w:rsidRPr="00E828BE">
        <w:t xml:space="preserve"> </w:t>
      </w:r>
      <w:r w:rsidR="008E3E56" w:rsidRPr="00E828BE">
        <w:t xml:space="preserve">that </w:t>
      </w:r>
      <w:r w:rsidR="008D77A7">
        <w:t>decision-maker</w:t>
      </w:r>
      <w:r w:rsidR="008E3E56" w:rsidRPr="00E828BE">
        <w:t xml:space="preserve">s eligible for coverage under the EPA’s PGP are required to submit NOIs if their pesticide activities are in areas where federally listed endangered </w:t>
      </w:r>
      <w:r w:rsidR="008D77A7">
        <w:t>or</w:t>
      </w:r>
      <w:r w:rsidR="008E3E56" w:rsidRPr="00E828BE">
        <w:t xml:space="preserve"> threatened species, </w:t>
      </w:r>
      <w:r w:rsidR="008D77A7">
        <w:t>or</w:t>
      </w:r>
      <w:r w:rsidR="008E3E56" w:rsidRPr="00E828BE">
        <w:t xml:space="preserve"> designate critical habitat may be presented</w:t>
      </w:r>
      <w:r w:rsidR="001F4874" w:rsidRPr="00E828BE">
        <w:t xml:space="preserve">. </w:t>
      </w:r>
    </w:p>
    <w:p w14:paraId="5D4EE416" w14:textId="77777777" w:rsidR="008E3E56" w:rsidRPr="00E828BE" w:rsidRDefault="008E3E56" w:rsidP="001E5FF7"/>
    <w:p w14:paraId="36911674" w14:textId="77777777" w:rsidR="00985651" w:rsidRPr="00E828BE" w:rsidRDefault="00985651" w:rsidP="000D4BF4">
      <w:r w:rsidRPr="00E828BE">
        <w:t>When all discharges associated with pesticide activity authorized by an EPA or state-issued general permit are eliminated</w:t>
      </w:r>
      <w:r w:rsidR="00D53DEF">
        <w:t xml:space="preserve"> and does not expect to discharge for the remainder of the permit term</w:t>
      </w:r>
      <w:r w:rsidRPr="00E828BE">
        <w:t xml:space="preserve">, or when the </w:t>
      </w:r>
      <w:r w:rsidR="008D77A7">
        <w:t>decision-maker</w:t>
      </w:r>
      <w:r w:rsidR="00432E6F" w:rsidRPr="00E828BE">
        <w:t xml:space="preserve"> </w:t>
      </w:r>
      <w:r w:rsidRPr="00E828BE">
        <w:t xml:space="preserve">changes, the </w:t>
      </w:r>
      <w:r w:rsidR="008D77A7">
        <w:t>decision-maker</w:t>
      </w:r>
      <w:r w:rsidRPr="00E828BE">
        <w:t xml:space="preserve"> must submit an NOT (Notice of Termination) to the permitting authority</w:t>
      </w:r>
      <w:r w:rsidR="00520434" w:rsidRPr="00E828BE">
        <w:t xml:space="preserve"> (see Appendix D for a copy of the NOT form)</w:t>
      </w:r>
      <w:r w:rsidR="001F4874" w:rsidRPr="00E828BE">
        <w:t xml:space="preserve">. </w:t>
      </w:r>
      <w:r w:rsidRPr="00E828BE">
        <w:t>Following is the type of information generally required on NOT forms:</w:t>
      </w:r>
    </w:p>
    <w:p w14:paraId="771740A5" w14:textId="77777777" w:rsidR="00985651" w:rsidRPr="00E828BE" w:rsidRDefault="00985651" w:rsidP="000D4BF4">
      <w:pPr>
        <w:pStyle w:val="Bullet1"/>
        <w:numPr>
          <w:ilvl w:val="0"/>
          <w:numId w:val="22"/>
        </w:numPr>
        <w:spacing w:after="0"/>
      </w:pPr>
      <w:r w:rsidRPr="00E828BE">
        <w:t>NPDES permit number;</w:t>
      </w:r>
    </w:p>
    <w:p w14:paraId="5217F858" w14:textId="77777777" w:rsidR="00985651" w:rsidRPr="00E828BE" w:rsidRDefault="00985651" w:rsidP="000D4BF4">
      <w:pPr>
        <w:pStyle w:val="Bullet1"/>
        <w:numPr>
          <w:ilvl w:val="0"/>
          <w:numId w:val="22"/>
        </w:numPr>
        <w:spacing w:after="0"/>
      </w:pPr>
      <w:r w:rsidRPr="00E828BE">
        <w:t xml:space="preserve">Name, address, and phone number of the </w:t>
      </w:r>
      <w:r w:rsidR="008D77A7">
        <w:t>decision-maker</w:t>
      </w:r>
      <w:r w:rsidRPr="00E828BE">
        <w:t>; and</w:t>
      </w:r>
    </w:p>
    <w:p w14:paraId="7C9F324A" w14:textId="77777777" w:rsidR="00985651" w:rsidRPr="00E828BE" w:rsidRDefault="00985651" w:rsidP="000D4BF4">
      <w:pPr>
        <w:pStyle w:val="Bullet1"/>
        <w:numPr>
          <w:ilvl w:val="0"/>
          <w:numId w:val="22"/>
        </w:numPr>
        <w:spacing w:after="0"/>
      </w:pPr>
      <w:r w:rsidRPr="00E828BE">
        <w:t xml:space="preserve">Certification of eligibility for filing the NOT (i.e., the discharge has been eliminated or the person filing the NOT is no longer the </w:t>
      </w:r>
      <w:r w:rsidR="008D77A7">
        <w:t>decision-maker</w:t>
      </w:r>
      <w:r w:rsidRPr="00E828BE">
        <w:t>).</w:t>
      </w:r>
    </w:p>
    <w:p w14:paraId="0259376C" w14:textId="77777777" w:rsidR="00985651" w:rsidRPr="00E828BE" w:rsidRDefault="00985651" w:rsidP="001D6D10">
      <w:pPr>
        <w:pStyle w:val="Heading4"/>
        <w:widowControl/>
      </w:pPr>
      <w:r w:rsidRPr="00E828BE">
        <w:t>4(b)(i)(2) Respondent Activities</w:t>
      </w:r>
    </w:p>
    <w:p w14:paraId="33AFEB7F" w14:textId="77777777" w:rsidR="00985651" w:rsidRPr="00E828BE" w:rsidRDefault="00985651" w:rsidP="001D6D10">
      <w:r w:rsidRPr="00E828BE">
        <w:t xml:space="preserve">This </w:t>
      </w:r>
      <w:r w:rsidR="00BA2CA5">
        <w:t>ICR</w:t>
      </w:r>
      <w:r w:rsidRPr="00E828BE">
        <w:t xml:space="preserve"> explains respondent activities in detail in Section 4(b)(i)(1) above</w:t>
      </w:r>
      <w:r w:rsidR="001F4874" w:rsidRPr="00E828BE">
        <w:t xml:space="preserve">. </w:t>
      </w:r>
      <w:r w:rsidRPr="00E828BE">
        <w:t>Activities can include reading and reviewing instructions and regulatory requirements, gathering general information, consulting technical and legal officials, filling out forms, drafting letters, maintaining records, and mailing completed submissions</w:t>
      </w:r>
      <w:r w:rsidR="001F4874" w:rsidRPr="00E828BE">
        <w:t xml:space="preserve">. </w:t>
      </w:r>
      <w:r w:rsidR="008E3E56" w:rsidRPr="00E828BE">
        <w:t>For pesticide applications in areas where federal listed endangered and threatened species, and designate critical habitat may be presented</w:t>
      </w:r>
      <w:r w:rsidR="00A07B02" w:rsidRPr="00E828BE">
        <w:t xml:space="preserve">, </w:t>
      </w:r>
      <w:r w:rsidR="00CA45F2" w:rsidRPr="00E828BE">
        <w:t>similar to other EPA</w:t>
      </w:r>
      <w:r w:rsidR="007F4FD4" w:rsidRPr="00E828BE">
        <w:t xml:space="preserve"> </w:t>
      </w:r>
      <w:r w:rsidR="00CA45F2" w:rsidRPr="00E828BE">
        <w:t xml:space="preserve">general permit </w:t>
      </w:r>
      <w:r w:rsidR="00A07B02" w:rsidRPr="00E828BE">
        <w:t>activities may include formal or informal evaluation with the Services.</w:t>
      </w:r>
    </w:p>
    <w:p w14:paraId="7EEA48FE" w14:textId="77777777" w:rsidR="00985651" w:rsidRPr="00E828BE" w:rsidRDefault="00985651" w:rsidP="001D6D10"/>
    <w:p w14:paraId="7CFF31A7" w14:textId="77777777" w:rsidR="00985651" w:rsidRPr="00E828BE" w:rsidRDefault="00985651" w:rsidP="001D6D10">
      <w:r w:rsidRPr="00E828BE">
        <w:t xml:space="preserve">Activities for the </w:t>
      </w:r>
      <w:r w:rsidR="007B25F3" w:rsidRPr="00E828BE">
        <w:t>47</w:t>
      </w:r>
      <w:r w:rsidRPr="00E828BE">
        <w:t xml:space="preserve"> authorized </w:t>
      </w:r>
      <w:r w:rsidR="009A164E" w:rsidRPr="00E828BE">
        <w:t>state</w:t>
      </w:r>
      <w:r w:rsidRPr="00E828BE">
        <w:t>s</w:t>
      </w:r>
      <w:r w:rsidR="00230DEC" w:rsidRPr="00E828BE">
        <w:t xml:space="preserve"> and territories</w:t>
      </w:r>
      <w:r w:rsidRPr="00E828BE">
        <w:t xml:space="preserve"> can include reviewing and processing NOI and NOT, determine which dischargers, if any, would be more appropriately governed by </w:t>
      </w:r>
      <w:r w:rsidR="008D77A7">
        <w:t xml:space="preserve">an </w:t>
      </w:r>
      <w:r w:rsidR="00BA1BC6" w:rsidRPr="00E828BE">
        <w:t xml:space="preserve">NPDES </w:t>
      </w:r>
      <w:r w:rsidRPr="00E828BE">
        <w:t>individual permit, and notify dischargers if they need to apply for</w:t>
      </w:r>
      <w:r w:rsidR="008D77A7">
        <w:t xml:space="preserve"> an</w:t>
      </w:r>
      <w:r w:rsidRPr="00E828BE">
        <w:t xml:space="preserve"> </w:t>
      </w:r>
      <w:r w:rsidR="00BA1BC6" w:rsidRPr="00E828BE">
        <w:t>NPDES individual</w:t>
      </w:r>
      <w:r w:rsidR="00A07B02" w:rsidRPr="00E828BE">
        <w:t xml:space="preserve"> </w:t>
      </w:r>
      <w:r w:rsidRPr="00E828BE">
        <w:t>permit.</w:t>
      </w:r>
      <w:r w:rsidR="00A07B02" w:rsidRPr="00E828BE">
        <w:t xml:space="preserve"> NPDES-authorized </w:t>
      </w:r>
      <w:r w:rsidR="009A164E" w:rsidRPr="00E828BE">
        <w:t>state</w:t>
      </w:r>
      <w:r w:rsidR="00A07B02" w:rsidRPr="00E828BE">
        <w:t>s are not required to meet the ESA obligations and as such there are no burden</w:t>
      </w:r>
      <w:r w:rsidR="00CA45F2" w:rsidRPr="00E828BE">
        <w:t>s</w:t>
      </w:r>
      <w:r w:rsidR="00A07B02" w:rsidRPr="00E828BE">
        <w:t xml:space="preserve"> associated with state-issued </w:t>
      </w:r>
      <w:r w:rsidR="00BA1BC6" w:rsidRPr="00E828BE">
        <w:t xml:space="preserve">NPDES </w:t>
      </w:r>
      <w:r w:rsidR="00A07B02" w:rsidRPr="00E828BE">
        <w:t>general permits.</w:t>
      </w:r>
    </w:p>
    <w:p w14:paraId="6520DDC2" w14:textId="77777777" w:rsidR="00985651" w:rsidRPr="00E828BE" w:rsidRDefault="00985651" w:rsidP="001D6D10">
      <w:pPr>
        <w:sectPr w:rsidR="00985651" w:rsidRPr="00E828BE">
          <w:headerReference w:type="even" r:id="rId30"/>
          <w:headerReference w:type="default" r:id="rId31"/>
          <w:headerReference w:type="first" r:id="rId32"/>
          <w:type w:val="continuous"/>
          <w:pgSz w:w="12240" w:h="15840" w:code="1"/>
          <w:pgMar w:top="1440" w:right="1440" w:bottom="1440" w:left="1440" w:header="720" w:footer="720" w:gutter="0"/>
          <w:pgNumType w:chapStyle="1"/>
          <w:cols w:space="720"/>
          <w:noEndnote/>
        </w:sectPr>
      </w:pPr>
    </w:p>
    <w:p w14:paraId="38E852B0" w14:textId="77777777" w:rsidR="00985651" w:rsidRPr="00E828BE" w:rsidRDefault="00985651" w:rsidP="001D6D10">
      <w:pPr>
        <w:pStyle w:val="Heading3"/>
      </w:pPr>
      <w:bookmarkStart w:id="41" w:name="_Ref199644292"/>
      <w:bookmarkStart w:id="42" w:name="_Ref199644398"/>
      <w:bookmarkStart w:id="43" w:name="_Toc275242934"/>
      <w:r w:rsidRPr="00E828BE">
        <w:lastRenderedPageBreak/>
        <w:t>4(b)(ii) Plan Development</w:t>
      </w:r>
      <w:bookmarkEnd w:id="41"/>
      <w:bookmarkEnd w:id="42"/>
      <w:bookmarkEnd w:id="43"/>
    </w:p>
    <w:p w14:paraId="43B90367" w14:textId="77777777" w:rsidR="00985651" w:rsidRPr="00E828BE" w:rsidRDefault="00985651" w:rsidP="001D6D10">
      <w:pPr>
        <w:pStyle w:val="Heading4"/>
        <w:widowControl/>
      </w:pPr>
      <w:r w:rsidRPr="00E828BE">
        <w:t>4(b)(ii)(1) Data Items</w:t>
      </w:r>
    </w:p>
    <w:p w14:paraId="2BC45B9D" w14:textId="77777777" w:rsidR="00985651" w:rsidRPr="00E828BE" w:rsidRDefault="00985651" w:rsidP="001D6D10">
      <w:r w:rsidRPr="00E828BE">
        <w:t xml:space="preserve">According to EPA’s PGP, all </w:t>
      </w:r>
      <w:r w:rsidR="008D77A7">
        <w:t>d</w:t>
      </w:r>
      <w:r w:rsidR="00432E6F" w:rsidRPr="00E828BE">
        <w:t xml:space="preserve">ecision-makers </w:t>
      </w:r>
      <w:r w:rsidR="008D77A7">
        <w:t xml:space="preserve">that are </w:t>
      </w:r>
      <w:r w:rsidRPr="00E828BE">
        <w:t xml:space="preserve">required to submit an NOI </w:t>
      </w:r>
      <w:r w:rsidR="00432E6F" w:rsidRPr="00E828BE">
        <w:t>and are large entities</w:t>
      </w:r>
      <w:r w:rsidR="00D13E52" w:rsidRPr="00E828BE">
        <w:t xml:space="preserve"> </w:t>
      </w:r>
      <w:r w:rsidRPr="00E828BE">
        <w:t>must develop a Pesticide Discharge Management Plan (PDMP)</w:t>
      </w:r>
      <w:r w:rsidR="001F4874" w:rsidRPr="00E828BE">
        <w:t xml:space="preserve">. </w:t>
      </w:r>
      <w:r w:rsidRPr="00E828BE">
        <w:t xml:space="preserve">The PDMP is kept on-site and is not required to be submitted to the </w:t>
      </w:r>
      <w:r w:rsidR="0067212A">
        <w:t>agency</w:t>
      </w:r>
      <w:r w:rsidR="001F4874" w:rsidRPr="00E828BE">
        <w:t xml:space="preserve">. </w:t>
      </w:r>
      <w:r w:rsidRPr="00E828BE">
        <w:t>The development of a PDMP is unique to each pest management area even though it is based on common required elements</w:t>
      </w:r>
      <w:r w:rsidR="001F4874" w:rsidRPr="00E828BE">
        <w:t xml:space="preserve">. </w:t>
      </w:r>
      <w:r w:rsidRPr="00E828BE">
        <w:t>A PDMP must be kept up-to-date and modified whenever necessary to document any corrective actions</w:t>
      </w:r>
      <w:r w:rsidR="001F4874" w:rsidRPr="00E828BE">
        <w:t xml:space="preserve">. </w:t>
      </w:r>
      <w:r w:rsidRPr="00E828BE">
        <w:t xml:space="preserve">According to EPA’s PGP, the following information must be documented in the PDMP: (1) pesticide discharge management team information; (2) </w:t>
      </w:r>
      <w:r w:rsidR="00D13E52" w:rsidRPr="00E828BE">
        <w:t>problem identification</w:t>
      </w:r>
      <w:r w:rsidRPr="00E828BE">
        <w:t xml:space="preserve">; (3) </w:t>
      </w:r>
      <w:r w:rsidR="00D13E52" w:rsidRPr="00E828BE">
        <w:t>pest management options evaluation</w:t>
      </w:r>
      <w:r w:rsidRPr="00E828BE">
        <w:t xml:space="preserve">; (4) </w:t>
      </w:r>
      <w:r w:rsidR="00D13E52" w:rsidRPr="00E828BE">
        <w:t xml:space="preserve">response </w:t>
      </w:r>
      <w:r w:rsidRPr="00E828BE">
        <w:t xml:space="preserve">procedures (e.g., spill response procedures, adverse incident response procedures); and (5) documentation to support eligibility considerations under other </w:t>
      </w:r>
      <w:r w:rsidR="00820666">
        <w:t>f</w:t>
      </w:r>
      <w:r w:rsidRPr="00E828BE">
        <w:t>ederal laws.</w:t>
      </w:r>
    </w:p>
    <w:p w14:paraId="26FB5DAB" w14:textId="77777777" w:rsidR="00985651" w:rsidRPr="00E828BE" w:rsidRDefault="00985651" w:rsidP="001D6D10">
      <w:pPr>
        <w:pStyle w:val="Heading4"/>
        <w:widowControl/>
      </w:pPr>
      <w:r w:rsidRPr="00E828BE">
        <w:t>4(b)(ii)(2) Respondent Activities</w:t>
      </w:r>
    </w:p>
    <w:p w14:paraId="1445357A" w14:textId="77777777" w:rsidR="00592DB5" w:rsidRPr="00E828BE" w:rsidRDefault="00985651" w:rsidP="001D6D10">
      <w:r w:rsidRPr="00E828BE">
        <w:t xml:space="preserve">This </w:t>
      </w:r>
      <w:r w:rsidR="00BA2CA5">
        <w:t>ICR</w:t>
      </w:r>
      <w:r w:rsidRPr="00E828BE">
        <w:t xml:space="preserve"> explains respondent activities in detail in Section 4(b)(ii)(1) above</w:t>
      </w:r>
      <w:r w:rsidR="001F4874" w:rsidRPr="00E828BE">
        <w:t xml:space="preserve">. </w:t>
      </w:r>
      <w:r w:rsidRPr="00E828BE">
        <w:t xml:space="preserve">Activities include reading and reviewing regulatory requirements, gathering general information, consulting technical and legal officials, reviewing guidance materials, drafting the plan, reviewing the plan, and maintaining records. </w:t>
      </w:r>
    </w:p>
    <w:p w14:paraId="3E214051" w14:textId="77777777" w:rsidR="00985651" w:rsidRPr="00E828BE" w:rsidRDefault="00985651" w:rsidP="001D6D10">
      <w:pPr>
        <w:sectPr w:rsidR="00985651" w:rsidRPr="00E828BE">
          <w:headerReference w:type="even" r:id="rId33"/>
          <w:headerReference w:type="default" r:id="rId34"/>
          <w:headerReference w:type="first" r:id="rId35"/>
          <w:type w:val="continuous"/>
          <w:pgSz w:w="12240" w:h="15840" w:code="1"/>
          <w:pgMar w:top="1440" w:right="1440" w:bottom="1440" w:left="1440" w:header="720" w:footer="720" w:gutter="0"/>
          <w:pgNumType w:chapStyle="1"/>
          <w:cols w:space="720"/>
          <w:noEndnote/>
        </w:sectPr>
      </w:pPr>
    </w:p>
    <w:p w14:paraId="1CAD49B5" w14:textId="77777777" w:rsidR="00985651" w:rsidRPr="00E828BE" w:rsidRDefault="00985651" w:rsidP="001D6D10">
      <w:pPr>
        <w:pStyle w:val="Heading3"/>
      </w:pPr>
      <w:bookmarkStart w:id="44" w:name="_Ref199644380"/>
      <w:bookmarkStart w:id="45" w:name="_Ref199644412"/>
      <w:bookmarkStart w:id="46" w:name="_Toc275242935"/>
      <w:r w:rsidRPr="00E828BE">
        <w:lastRenderedPageBreak/>
        <w:t>4(b)(iii) Monitoring</w:t>
      </w:r>
      <w:bookmarkEnd w:id="44"/>
      <w:bookmarkEnd w:id="45"/>
      <w:bookmarkEnd w:id="46"/>
    </w:p>
    <w:p w14:paraId="3EF155E8" w14:textId="77777777" w:rsidR="00985651" w:rsidRPr="00E828BE" w:rsidRDefault="00985651" w:rsidP="001D6D10">
      <w:pPr>
        <w:pStyle w:val="Heading4"/>
        <w:widowControl/>
      </w:pPr>
      <w:r w:rsidRPr="00E828BE">
        <w:t>4(b)(iii)(1) Data Items</w:t>
      </w:r>
    </w:p>
    <w:p w14:paraId="4B79851D" w14:textId="77777777" w:rsidR="00985651" w:rsidRPr="00E828BE" w:rsidRDefault="00985651" w:rsidP="00A07B02">
      <w:pPr>
        <w:spacing w:after="60"/>
      </w:pPr>
      <w:r w:rsidRPr="00E828BE">
        <w:t>Monitoring is required in any NPDES permit specifically for the purpose of demonstrating compliance with the permit conditions</w:t>
      </w:r>
      <w:r w:rsidR="001F4874" w:rsidRPr="00E828BE">
        <w:t xml:space="preserve">. </w:t>
      </w:r>
      <w:r w:rsidRPr="00E828BE">
        <w:t>Federal regulations at 40 CFR 122.44(i) outline the monitoring requirements for permittees</w:t>
      </w:r>
      <w:r w:rsidR="001F4874" w:rsidRPr="00E828BE">
        <w:t xml:space="preserve">. </w:t>
      </w:r>
      <w:r w:rsidRPr="00E828BE">
        <w:t>There are a variety of monitoring methods that a “traditional” NPDES permit may require, including end-of-pipe monitoring to show compliance with relevant effluent limitations prior to discharging to a receiving waterbody</w:t>
      </w:r>
      <w:r w:rsidR="001F4874" w:rsidRPr="00E828BE">
        <w:t xml:space="preserve">. </w:t>
      </w:r>
      <w:r w:rsidRPr="00E828BE">
        <w:t>Monitoring may also pertain to actions taken to ensure that recordkeeping or other permit control activities are being properly implemented</w:t>
      </w:r>
      <w:r w:rsidR="001F4874" w:rsidRPr="00E828BE">
        <w:t xml:space="preserve">. </w:t>
      </w:r>
      <w:r w:rsidRPr="00E828BE">
        <w:t>Pursuant to CWA section 308 and 402(a)(2), 40 CFR 122.43(a), and other applicable implementing regulations, the monitoring requirement</w:t>
      </w:r>
      <w:r w:rsidR="00ED503A" w:rsidRPr="00E828BE">
        <w:t xml:space="preserve"> for the PGP,</w:t>
      </w:r>
      <w:r w:rsidRPr="00E828BE">
        <w:t xml:space="preserve"> </w:t>
      </w:r>
      <w:r w:rsidR="00ED503A" w:rsidRPr="00E828BE">
        <w:t xml:space="preserve">according to </w:t>
      </w:r>
      <w:r w:rsidRPr="00E828BE">
        <w:t>EPA’s</w:t>
      </w:r>
      <w:r w:rsidR="00D13E52" w:rsidRPr="00E828BE">
        <w:t xml:space="preserve"> </w:t>
      </w:r>
      <w:r w:rsidRPr="00E828BE">
        <w:t>PGP</w:t>
      </w:r>
      <w:r w:rsidR="00ED503A" w:rsidRPr="00E828BE">
        <w:t>,</w:t>
      </w:r>
      <w:r w:rsidRPr="00E828BE">
        <w:t xml:space="preserve"> is narrative and demonstrates compliance with permit conditions by</w:t>
      </w:r>
      <w:r w:rsidR="00ED503A" w:rsidRPr="00E828BE">
        <w:t xml:space="preserve"> requiring</w:t>
      </w:r>
      <w:r w:rsidRPr="00E828BE">
        <w:t xml:space="preserve"> </w:t>
      </w:r>
      <w:r w:rsidR="00A07B02" w:rsidRPr="00E828BE">
        <w:t>visual monitoring assessment and documentation requirements</w:t>
      </w:r>
      <w:r w:rsidR="001F4874" w:rsidRPr="00E828BE">
        <w:t xml:space="preserve">. </w:t>
      </w:r>
      <w:r w:rsidR="00A07B02" w:rsidRPr="00E828BE">
        <w:t>V</w:t>
      </w:r>
      <w:r w:rsidRPr="00E828BE">
        <w:t>isual monitoring assessments are required as a means of identifying, for example, instances of detrimental impact to non-target organisms, disruption or degradation of wildlife habitat, or the prevention of designated recreational or municipal uses of a waterbody that may possibly be related to the operator’s use of pesticides in a given area</w:t>
      </w:r>
      <w:r w:rsidR="001F4874" w:rsidRPr="00E828BE">
        <w:t xml:space="preserve">. </w:t>
      </w:r>
    </w:p>
    <w:p w14:paraId="0FF48F97" w14:textId="77777777" w:rsidR="00985651" w:rsidRPr="00E828BE" w:rsidRDefault="00985651" w:rsidP="001D6D10">
      <w:pPr>
        <w:pStyle w:val="Heading4"/>
        <w:widowControl/>
      </w:pPr>
      <w:r w:rsidRPr="00E828BE">
        <w:t>4(b)(iii)(2) Respondent Activities</w:t>
      </w:r>
    </w:p>
    <w:p w14:paraId="34355678" w14:textId="77777777" w:rsidR="00985651" w:rsidRPr="00E828BE" w:rsidRDefault="00985651" w:rsidP="001D6D10">
      <w:r w:rsidRPr="00E828BE">
        <w:t xml:space="preserve">This </w:t>
      </w:r>
      <w:r w:rsidR="00BA2CA5">
        <w:t>ICR</w:t>
      </w:r>
      <w:r w:rsidRPr="00E828BE">
        <w:t xml:space="preserve"> explains respondent activities in detail in Section 4(b)(iii)(1) above</w:t>
      </w:r>
      <w:r w:rsidR="001F4874" w:rsidRPr="00E828BE">
        <w:t xml:space="preserve">. </w:t>
      </w:r>
      <w:r w:rsidRPr="00E828BE">
        <w:rPr>
          <w:bCs/>
        </w:rPr>
        <w:t xml:space="preserve">Activities include </w:t>
      </w:r>
      <w:r w:rsidRPr="00E828BE">
        <w:t>reading and reviewing regulatory requirements, observing impact on non-target organisms, and consulting technical and legal officials</w:t>
      </w:r>
      <w:r w:rsidR="001F4874" w:rsidRPr="00E828BE">
        <w:t xml:space="preserve">. </w:t>
      </w:r>
    </w:p>
    <w:p w14:paraId="7D42FF6C" w14:textId="77777777" w:rsidR="00985651" w:rsidRPr="00E828BE" w:rsidRDefault="00985651" w:rsidP="001D6D10">
      <w:pPr>
        <w:sectPr w:rsidR="00985651" w:rsidRPr="00E828BE">
          <w:headerReference w:type="even" r:id="rId36"/>
          <w:headerReference w:type="default" r:id="rId37"/>
          <w:headerReference w:type="first" r:id="rId38"/>
          <w:type w:val="continuous"/>
          <w:pgSz w:w="12240" w:h="15840" w:code="1"/>
          <w:pgMar w:top="1440" w:right="1440" w:bottom="1440" w:left="1440" w:header="720" w:footer="720" w:gutter="0"/>
          <w:pgNumType w:chapStyle="1"/>
          <w:cols w:space="720"/>
          <w:noEndnote/>
        </w:sectPr>
      </w:pPr>
    </w:p>
    <w:p w14:paraId="0E4DDD88" w14:textId="77777777" w:rsidR="00985651" w:rsidRPr="00E828BE" w:rsidRDefault="00985651" w:rsidP="001D6D10">
      <w:pPr>
        <w:pStyle w:val="Heading3"/>
      </w:pPr>
      <w:bookmarkStart w:id="47" w:name="_Toc275242936"/>
      <w:bookmarkStart w:id="48" w:name="_Ref199644425"/>
      <w:r w:rsidRPr="00E828BE">
        <w:lastRenderedPageBreak/>
        <w:t>4(b)(iv) Reporting</w:t>
      </w:r>
      <w:bookmarkEnd w:id="47"/>
      <w:r w:rsidRPr="00E828BE">
        <w:t xml:space="preserve"> </w:t>
      </w:r>
      <w:bookmarkEnd w:id="48"/>
    </w:p>
    <w:p w14:paraId="5C38514B" w14:textId="77777777" w:rsidR="00985651" w:rsidRPr="00E828BE" w:rsidRDefault="00985651" w:rsidP="001D6D10">
      <w:pPr>
        <w:pStyle w:val="Heading4"/>
        <w:widowControl/>
      </w:pPr>
      <w:r w:rsidRPr="00E828BE">
        <w:t>4(b)(iv)(1) Data Items</w:t>
      </w:r>
    </w:p>
    <w:p w14:paraId="77938E7F" w14:textId="77777777" w:rsidR="00985651" w:rsidRPr="00E828BE" w:rsidRDefault="00985651" w:rsidP="001D6D10">
      <w:pPr>
        <w:keepNext/>
        <w:rPr>
          <w:b/>
        </w:rPr>
      </w:pPr>
      <w:r w:rsidRPr="00E828BE">
        <w:rPr>
          <w:b/>
        </w:rPr>
        <w:t>Annual Report</w:t>
      </w:r>
    </w:p>
    <w:p w14:paraId="72CE9FAF" w14:textId="77777777" w:rsidR="00985651" w:rsidRPr="00E828BE" w:rsidRDefault="00985651" w:rsidP="001D6D10">
      <w:r w:rsidRPr="00E828BE">
        <w:t xml:space="preserve">According to EPA’s PGP, all </w:t>
      </w:r>
      <w:r w:rsidR="008D77A7">
        <w:t>d</w:t>
      </w:r>
      <w:r w:rsidR="00EB4139" w:rsidRPr="00E828BE">
        <w:t>ecision-makers</w:t>
      </w:r>
      <w:r w:rsidR="008D77A7">
        <w:t xml:space="preserve"> that are</w:t>
      </w:r>
      <w:r w:rsidR="00EB4139" w:rsidRPr="00E828BE">
        <w:t xml:space="preserve"> </w:t>
      </w:r>
      <w:r w:rsidRPr="00E828BE">
        <w:t xml:space="preserve">required to submit an NOI </w:t>
      </w:r>
      <w:r w:rsidR="008D77A7">
        <w:t>and which</w:t>
      </w:r>
      <w:r w:rsidR="00573CB5" w:rsidRPr="00E828BE">
        <w:t xml:space="preserve"> </w:t>
      </w:r>
      <w:r w:rsidR="00EB4139" w:rsidRPr="00E828BE">
        <w:t xml:space="preserve">are large entities </w:t>
      </w:r>
      <w:r w:rsidRPr="00E828BE">
        <w:t>must submit an annual report</w:t>
      </w:r>
      <w:r w:rsidR="00C669D9" w:rsidRPr="00E828BE">
        <w:t xml:space="preserve"> (s</w:t>
      </w:r>
      <w:r w:rsidR="00520434" w:rsidRPr="00E828BE">
        <w:t>ee Appendix D for a copy of the Annual Report form)</w:t>
      </w:r>
      <w:r w:rsidR="001F4874" w:rsidRPr="00E828BE">
        <w:t xml:space="preserve">. </w:t>
      </w:r>
      <w:r w:rsidRPr="00E828BE">
        <w:t>The annual report will be used by EPA to assess permit compliance and to determine whether additional controls on pesticide discharges are necessary to protect water quality</w:t>
      </w:r>
      <w:r w:rsidR="001F4874" w:rsidRPr="00E828BE">
        <w:t xml:space="preserve">. </w:t>
      </w:r>
      <w:r w:rsidRPr="00E828BE">
        <w:t xml:space="preserve">Specifically, the report must include identification of any waters or other treatment area, including size, either by name or by location; pesticide use pattern(s) and target pest(s); company name(s) and contact information for pesticide applicator(s), if different from the NOI submitter; total amount of each pesticide product applied for the reporting year by the EPA registration number(s) and by application method; whether the pest control activity was addressed in </w:t>
      </w:r>
      <w:r w:rsidR="008D77A7">
        <w:t>the</w:t>
      </w:r>
      <w:r w:rsidRPr="00E828BE">
        <w:t xml:space="preserve"> PDMP prior to pesticide application; if applicable, an annual report of any adverse incidents as a result of these treatment(s); and a description of any corrective action(s), including spill responses, resulting from pesticide application activities and the rationale for such actions(s).</w:t>
      </w:r>
    </w:p>
    <w:p w14:paraId="7BD0FF05" w14:textId="77777777" w:rsidR="00573CB5" w:rsidRPr="00E828BE" w:rsidRDefault="00573CB5" w:rsidP="001D6D10">
      <w:pPr>
        <w:keepNext/>
      </w:pPr>
    </w:p>
    <w:p w14:paraId="1BD46C2A" w14:textId="77777777" w:rsidR="00985651" w:rsidRPr="00E828BE" w:rsidRDefault="00CA45F2" w:rsidP="001D6D10">
      <w:pPr>
        <w:keepNext/>
      </w:pPr>
      <w:r w:rsidRPr="00E828BE">
        <w:t>Similar to other EPA general permit</w:t>
      </w:r>
      <w:r w:rsidR="008D77A7">
        <w:t>s</w:t>
      </w:r>
      <w:r w:rsidRPr="00E828BE">
        <w:t xml:space="preserve">, </w:t>
      </w:r>
      <w:r w:rsidR="000221ED" w:rsidRPr="00E828BE">
        <w:t xml:space="preserve">EPA assumes </w:t>
      </w:r>
      <w:r w:rsidRPr="00E828BE">
        <w:t xml:space="preserve">for this </w:t>
      </w:r>
      <w:r w:rsidR="00BA2CA5">
        <w:t>ICR</w:t>
      </w:r>
      <w:r w:rsidRPr="00E828BE">
        <w:t xml:space="preserve"> </w:t>
      </w:r>
      <w:r w:rsidR="000221ED" w:rsidRPr="00E828BE">
        <w:t xml:space="preserve">that </w:t>
      </w:r>
      <w:r w:rsidR="008D77A7">
        <w:t>decision-maker</w:t>
      </w:r>
      <w:r w:rsidR="000221ED" w:rsidRPr="00E828BE">
        <w:t xml:space="preserve">s eligible for coverage under the EPA’s PGP are required to file annual reports if their pesticide activities are in areas </w:t>
      </w:r>
      <w:r w:rsidR="008D77A7">
        <w:t>where federally listed endangered or threatened species or designated critical habitat may be presented.</w:t>
      </w:r>
      <w:r w:rsidR="001F4874" w:rsidRPr="00E828BE">
        <w:t xml:space="preserve"> </w:t>
      </w:r>
    </w:p>
    <w:p w14:paraId="3F4638C9" w14:textId="77777777" w:rsidR="000221ED" w:rsidRPr="00E828BE" w:rsidRDefault="000221ED" w:rsidP="001D6D10">
      <w:pPr>
        <w:keepNext/>
      </w:pPr>
    </w:p>
    <w:p w14:paraId="03FD5356" w14:textId="77777777" w:rsidR="00985651" w:rsidRPr="00E828BE" w:rsidRDefault="00985651" w:rsidP="001D6D10">
      <w:pPr>
        <w:rPr>
          <w:b/>
        </w:rPr>
      </w:pPr>
      <w:r w:rsidRPr="00E828BE">
        <w:rPr>
          <w:b/>
        </w:rPr>
        <w:t xml:space="preserve">Permittee Report of Adverse Incident </w:t>
      </w:r>
    </w:p>
    <w:p w14:paraId="2872B554" w14:textId="77777777" w:rsidR="00985651" w:rsidRPr="00E828BE" w:rsidRDefault="00985651" w:rsidP="001D6D10">
      <w:pPr>
        <w:rPr>
          <w:b/>
        </w:rPr>
      </w:pPr>
      <w:r w:rsidRPr="00E828BE">
        <w:t xml:space="preserve">According to EPA’s PGP, all </w:t>
      </w:r>
      <w:r w:rsidR="00057702">
        <w:t>operator</w:t>
      </w:r>
      <w:r w:rsidR="00BE7826" w:rsidRPr="00E828BE">
        <w:t xml:space="preserve">s </w:t>
      </w:r>
      <w:r w:rsidRPr="00E828BE">
        <w:t>are required to report any adverse incident that may have resulted from a discharge from their pesticide application</w:t>
      </w:r>
      <w:r w:rsidR="00057702">
        <w:t>. Operator</w:t>
      </w:r>
      <w:r w:rsidRPr="00E828BE">
        <w:t>s are required to notify their permitting authority by telephone within 24 hours of becoming aware of the adverse incident</w:t>
      </w:r>
      <w:r w:rsidR="001F4874" w:rsidRPr="00E828BE">
        <w:t xml:space="preserve">. </w:t>
      </w:r>
      <w:r w:rsidR="00573CB5" w:rsidRPr="00E828BE">
        <w:t>T</w:t>
      </w:r>
      <w:r w:rsidRPr="00E828BE">
        <w:t xml:space="preserve">he following information </w:t>
      </w:r>
      <w:r w:rsidR="00573CB5" w:rsidRPr="00E828BE">
        <w:t>is to</w:t>
      </w:r>
      <w:r w:rsidRPr="00E828BE">
        <w:t xml:space="preserve"> be provided:</w:t>
      </w:r>
    </w:p>
    <w:p w14:paraId="53A31C00" w14:textId="77777777" w:rsidR="00985651" w:rsidRPr="00E828BE" w:rsidRDefault="00985651" w:rsidP="001D6D10">
      <w:pPr>
        <w:numPr>
          <w:ilvl w:val="0"/>
          <w:numId w:val="5"/>
        </w:numPr>
      </w:pPr>
      <w:r w:rsidRPr="00E828BE">
        <w:t>The caller’s name and telephone number;</w:t>
      </w:r>
    </w:p>
    <w:p w14:paraId="33760697" w14:textId="77777777" w:rsidR="00985651" w:rsidRPr="00E828BE" w:rsidRDefault="00057702" w:rsidP="001D6D10">
      <w:pPr>
        <w:numPr>
          <w:ilvl w:val="0"/>
          <w:numId w:val="5"/>
        </w:numPr>
      </w:pPr>
      <w:r>
        <w:t>operator</w:t>
      </w:r>
      <w:r w:rsidR="00985651" w:rsidRPr="00E828BE">
        <w:t xml:space="preserve"> name and mailing address;</w:t>
      </w:r>
    </w:p>
    <w:p w14:paraId="51E7997C" w14:textId="77777777" w:rsidR="00985651" w:rsidRPr="00E828BE" w:rsidRDefault="00985651" w:rsidP="001D6D10">
      <w:pPr>
        <w:numPr>
          <w:ilvl w:val="0"/>
          <w:numId w:val="5"/>
        </w:numPr>
      </w:pPr>
      <w:r w:rsidRPr="00E828BE">
        <w:t>If covered under an NOI, the NOI NPDES tracking number;</w:t>
      </w:r>
    </w:p>
    <w:p w14:paraId="3CF80097" w14:textId="77777777" w:rsidR="00985651" w:rsidRPr="00E828BE" w:rsidRDefault="00985651" w:rsidP="001D6D10">
      <w:pPr>
        <w:numPr>
          <w:ilvl w:val="0"/>
          <w:numId w:val="5"/>
        </w:numPr>
      </w:pPr>
      <w:r w:rsidRPr="00E828BE">
        <w:t>The name and telephone number of a contact person, if different than the person providing the 24-hour notice;</w:t>
      </w:r>
    </w:p>
    <w:p w14:paraId="113B72D5" w14:textId="77777777" w:rsidR="00985651" w:rsidRPr="00E828BE" w:rsidRDefault="00985651" w:rsidP="001D6D10">
      <w:pPr>
        <w:numPr>
          <w:ilvl w:val="0"/>
          <w:numId w:val="5"/>
        </w:numPr>
      </w:pPr>
      <w:r w:rsidRPr="00E828BE">
        <w:t xml:space="preserve">How and when the </w:t>
      </w:r>
      <w:r w:rsidR="00057702">
        <w:t>operator</w:t>
      </w:r>
      <w:r w:rsidR="0032578E" w:rsidRPr="00E828BE">
        <w:t xml:space="preserve"> </w:t>
      </w:r>
      <w:r w:rsidRPr="00E828BE">
        <w:t>became aware of the adverse incident;</w:t>
      </w:r>
    </w:p>
    <w:p w14:paraId="30B0FDEB" w14:textId="77777777" w:rsidR="00985651" w:rsidRPr="00E828BE" w:rsidRDefault="00985651" w:rsidP="001D6D10">
      <w:pPr>
        <w:numPr>
          <w:ilvl w:val="0"/>
          <w:numId w:val="5"/>
        </w:numPr>
      </w:pPr>
      <w:r w:rsidRPr="00E828BE">
        <w:t>Description of the location of the adverse incident;</w:t>
      </w:r>
    </w:p>
    <w:p w14:paraId="1109DE1D" w14:textId="77777777" w:rsidR="00985651" w:rsidRPr="00E828BE" w:rsidRDefault="00985651" w:rsidP="001D6D10">
      <w:pPr>
        <w:numPr>
          <w:ilvl w:val="0"/>
          <w:numId w:val="5"/>
        </w:numPr>
      </w:pPr>
      <w:r w:rsidRPr="00E828BE">
        <w:t xml:space="preserve">Description of the adverse incident identified and the EPA pesticide registration number for each product the </w:t>
      </w:r>
      <w:r w:rsidR="00057702">
        <w:t>operator</w:t>
      </w:r>
      <w:r w:rsidR="0032578E" w:rsidRPr="00E828BE">
        <w:t xml:space="preserve"> </w:t>
      </w:r>
      <w:r w:rsidRPr="00E828BE">
        <w:t xml:space="preserve">applied in the area of the adverse incident; </w:t>
      </w:r>
    </w:p>
    <w:p w14:paraId="429ACBC9" w14:textId="77777777" w:rsidR="000221ED" w:rsidRPr="00E828BE" w:rsidRDefault="00985651" w:rsidP="001D6D10">
      <w:pPr>
        <w:numPr>
          <w:ilvl w:val="0"/>
          <w:numId w:val="5"/>
        </w:numPr>
      </w:pPr>
      <w:r w:rsidRPr="00E828BE">
        <w:t xml:space="preserve">Description of any steps the </w:t>
      </w:r>
      <w:r w:rsidR="00057702">
        <w:t>operator</w:t>
      </w:r>
      <w:r w:rsidR="0032578E" w:rsidRPr="00E828BE">
        <w:t xml:space="preserve"> </w:t>
      </w:r>
      <w:r w:rsidRPr="00E828BE">
        <w:t>has taken or will take to correct, repair, remedy, cleanup, or otherwise address any adverse effects</w:t>
      </w:r>
      <w:r w:rsidR="000221ED" w:rsidRPr="00E828BE">
        <w:t>; and</w:t>
      </w:r>
    </w:p>
    <w:p w14:paraId="4788C246" w14:textId="77777777" w:rsidR="000221ED" w:rsidRPr="00E828BE" w:rsidRDefault="000221ED" w:rsidP="001D6D10">
      <w:pPr>
        <w:numPr>
          <w:ilvl w:val="0"/>
          <w:numId w:val="5"/>
        </w:numPr>
      </w:pPr>
      <w:r w:rsidRPr="00E828BE">
        <w:t xml:space="preserve">If known, the identity of any other </w:t>
      </w:r>
      <w:r w:rsidR="00057702">
        <w:t>operator</w:t>
      </w:r>
      <w:r w:rsidRPr="00E828BE">
        <w:t>s authorized for coverage under this permit for discharges from the pesticide application activities that resulted in the adverse incident.</w:t>
      </w:r>
    </w:p>
    <w:p w14:paraId="6491D29E" w14:textId="77777777" w:rsidR="00D4354E" w:rsidRPr="00E828BE" w:rsidRDefault="00D4354E" w:rsidP="00D4354E">
      <w:pPr>
        <w:ind w:left="720"/>
      </w:pPr>
    </w:p>
    <w:p w14:paraId="4949D369" w14:textId="77777777" w:rsidR="00D4354E" w:rsidRPr="00E828BE" w:rsidRDefault="00D4354E" w:rsidP="00D4354E">
      <w:pPr>
        <w:ind w:left="360"/>
      </w:pPr>
      <w:r w:rsidRPr="00E828BE">
        <w:t>Reporting of adverse incident is not required under the permit in the following situations:</w:t>
      </w:r>
    </w:p>
    <w:p w14:paraId="30403F15" w14:textId="77777777" w:rsidR="00D4354E" w:rsidRPr="00E828BE" w:rsidRDefault="00D4354E" w:rsidP="00D4354E">
      <w:pPr>
        <w:numPr>
          <w:ilvl w:val="0"/>
          <w:numId w:val="17"/>
        </w:numPr>
      </w:pPr>
      <w:r w:rsidRPr="00E828BE">
        <w:t xml:space="preserve">An </w:t>
      </w:r>
      <w:r w:rsidR="00057702">
        <w:t>operator</w:t>
      </w:r>
      <w:r w:rsidRPr="00E828BE">
        <w:t xml:space="preserve"> is aware of facts that indicate that the adverse incident are not related to toxic effects or exposure from the pesticide application;</w:t>
      </w:r>
    </w:p>
    <w:p w14:paraId="2BC0DD99" w14:textId="77777777" w:rsidR="00D4354E" w:rsidRPr="00E828BE" w:rsidRDefault="00D4354E" w:rsidP="00D4354E">
      <w:pPr>
        <w:numPr>
          <w:ilvl w:val="0"/>
          <w:numId w:val="17"/>
        </w:numPr>
      </w:pPr>
      <w:r w:rsidRPr="00E828BE">
        <w:lastRenderedPageBreak/>
        <w:t xml:space="preserve">An </w:t>
      </w:r>
      <w:r w:rsidR="00057702">
        <w:t>operator</w:t>
      </w:r>
      <w:r w:rsidRPr="00E828BE">
        <w:t xml:space="preserve"> has been notified by EPA, and retains such notification, that the reporting requirement has been waived for this incident or category of incidents;</w:t>
      </w:r>
    </w:p>
    <w:p w14:paraId="21020FAD" w14:textId="77777777" w:rsidR="00D4354E" w:rsidRPr="00E828BE" w:rsidRDefault="00D4354E" w:rsidP="00D4354E">
      <w:pPr>
        <w:numPr>
          <w:ilvl w:val="0"/>
          <w:numId w:val="17"/>
        </w:numPr>
      </w:pPr>
      <w:r w:rsidRPr="00E828BE">
        <w:t xml:space="preserve">An </w:t>
      </w:r>
      <w:r w:rsidR="00057702">
        <w:t>operator</w:t>
      </w:r>
      <w:r w:rsidRPr="00E828BE">
        <w:t xml:space="preserve"> receives information of an adverse incident, but that information is clearly erroneous; or</w:t>
      </w:r>
    </w:p>
    <w:p w14:paraId="67201233" w14:textId="77777777" w:rsidR="00985651" w:rsidRPr="00E828BE" w:rsidRDefault="00D4354E" w:rsidP="00D4354E">
      <w:pPr>
        <w:numPr>
          <w:ilvl w:val="0"/>
          <w:numId w:val="17"/>
        </w:numPr>
      </w:pPr>
      <w:r w:rsidRPr="00E828BE">
        <w:t>An adverse incident occurs to pests that are similar in kind to potential target pests identified on the FIFRA label.</w:t>
      </w:r>
    </w:p>
    <w:p w14:paraId="54670AC3" w14:textId="77777777" w:rsidR="00985651" w:rsidRPr="00E828BE" w:rsidRDefault="00985651" w:rsidP="00A43DF6"/>
    <w:p w14:paraId="1014CBAF" w14:textId="77777777" w:rsidR="00985651" w:rsidRPr="00E828BE" w:rsidRDefault="00985651" w:rsidP="001D6D10">
      <w:r w:rsidRPr="00E828BE">
        <w:t xml:space="preserve">Within </w:t>
      </w:r>
      <w:r w:rsidR="0032578E" w:rsidRPr="00E828BE">
        <w:t xml:space="preserve">30 </w:t>
      </w:r>
      <w:r w:rsidRPr="00E828BE">
        <w:t xml:space="preserve">days of a reportable adverse incident, the </w:t>
      </w:r>
      <w:r w:rsidR="00057702">
        <w:t>operator</w:t>
      </w:r>
      <w:r w:rsidR="0032578E" w:rsidRPr="00E828BE">
        <w:t xml:space="preserve"> </w:t>
      </w:r>
      <w:r w:rsidRPr="00E828BE">
        <w:t>must provide a written report of the adverse incident to the permitting authority</w:t>
      </w:r>
      <w:r w:rsidR="0032578E" w:rsidRPr="00E828BE">
        <w:t xml:space="preserve"> and </w:t>
      </w:r>
      <w:r w:rsidR="0019509D" w:rsidRPr="00E828BE">
        <w:t xml:space="preserve">to all of the other authorized </w:t>
      </w:r>
      <w:r w:rsidR="00057702">
        <w:t>operator</w:t>
      </w:r>
      <w:r w:rsidR="0019509D" w:rsidRPr="00E828BE">
        <w:t xml:space="preserve">s </w:t>
      </w:r>
      <w:r w:rsidR="0032578E" w:rsidRPr="00E828BE">
        <w:t xml:space="preserve">where multiple </w:t>
      </w:r>
      <w:r w:rsidR="00057702">
        <w:t>operator</w:t>
      </w:r>
      <w:r w:rsidR="0032578E" w:rsidRPr="00E828BE">
        <w:t>s are authorized</w:t>
      </w:r>
      <w:r w:rsidR="00573CB5" w:rsidRPr="00E828BE">
        <w:t xml:space="preserve"> for that discharge</w:t>
      </w:r>
      <w:r w:rsidR="001F4874" w:rsidRPr="00E828BE">
        <w:t xml:space="preserve">. </w:t>
      </w:r>
      <w:r w:rsidRPr="00E828BE">
        <w:t>The report must include at least the following information:</w:t>
      </w:r>
    </w:p>
    <w:p w14:paraId="08D6C12F" w14:textId="77777777" w:rsidR="00985651" w:rsidRPr="00E828BE" w:rsidRDefault="00985651" w:rsidP="001D6D10">
      <w:pPr>
        <w:ind w:firstLine="360"/>
      </w:pPr>
      <w:r w:rsidRPr="00E828BE">
        <w:t>a.</w:t>
      </w:r>
      <w:r w:rsidRPr="00E828BE">
        <w:tab/>
        <w:t>Information provided during notification of the adverse incident;</w:t>
      </w:r>
    </w:p>
    <w:p w14:paraId="31BDDBED" w14:textId="77777777" w:rsidR="00985651" w:rsidRPr="00E828BE" w:rsidRDefault="00985651" w:rsidP="001D6D10">
      <w:pPr>
        <w:ind w:left="720" w:hanging="360"/>
      </w:pPr>
      <w:r w:rsidRPr="00E828BE">
        <w:t>b.</w:t>
      </w:r>
      <w:r w:rsidRPr="00E828BE">
        <w:tab/>
        <w:t>Date and time of the notification, any instructions received from the permitting authority, and name of the staff from the permitting authority;</w:t>
      </w:r>
    </w:p>
    <w:p w14:paraId="5BAAE13F" w14:textId="77777777" w:rsidR="00985651" w:rsidRPr="00E828BE" w:rsidRDefault="00985651" w:rsidP="001D6D10">
      <w:pPr>
        <w:ind w:left="720" w:hanging="360"/>
      </w:pPr>
      <w:r w:rsidRPr="00E828BE">
        <w:t>c.</w:t>
      </w:r>
      <w:r w:rsidRPr="00E828BE">
        <w:tab/>
        <w:t>Location of incident, including the names of any waters affected and appearance of those waters;</w:t>
      </w:r>
    </w:p>
    <w:p w14:paraId="45901909" w14:textId="77777777" w:rsidR="00985651" w:rsidRPr="00E828BE" w:rsidRDefault="00985651" w:rsidP="001D6D10">
      <w:pPr>
        <w:ind w:left="720" w:hanging="360"/>
      </w:pPr>
      <w:r w:rsidRPr="00E828BE">
        <w:t>d.</w:t>
      </w:r>
      <w:r w:rsidRPr="00E828BE">
        <w:tab/>
        <w:t>Description of the circumstances of the adverse incident including species affected, estimated number of individuals and approximate size of dead or distressed organisms;</w:t>
      </w:r>
    </w:p>
    <w:p w14:paraId="441D3E5E" w14:textId="77777777" w:rsidR="00985651" w:rsidRPr="00E828BE" w:rsidRDefault="00985651" w:rsidP="001D6D10">
      <w:pPr>
        <w:ind w:left="720" w:hanging="360"/>
      </w:pPr>
      <w:r w:rsidRPr="00E828BE">
        <w:t>e.</w:t>
      </w:r>
      <w:r w:rsidRPr="00E828BE">
        <w:tab/>
        <w:t>Magnitude and scope of the affected area (e.g., aquatic square area or total stream distance affected);</w:t>
      </w:r>
    </w:p>
    <w:p w14:paraId="30EE7CA8" w14:textId="77777777" w:rsidR="00985651" w:rsidRPr="00E828BE" w:rsidRDefault="00985651" w:rsidP="001D6D10">
      <w:pPr>
        <w:ind w:left="720" w:hanging="360"/>
      </w:pPr>
      <w:r w:rsidRPr="00E828BE">
        <w:t xml:space="preserve">f. </w:t>
      </w:r>
      <w:r w:rsidRPr="00E828BE">
        <w:tab/>
        <w:t>Pesticide application rate, intended use site (e.g., banks, above, or direct to water), method of application, and name of pesticide product, description of pesticide ingredients, and EPA registration number;</w:t>
      </w:r>
    </w:p>
    <w:p w14:paraId="48311112" w14:textId="77777777" w:rsidR="00985651" w:rsidRPr="00E828BE" w:rsidRDefault="00985651" w:rsidP="001D6D10">
      <w:pPr>
        <w:ind w:left="720" w:hanging="360"/>
      </w:pPr>
      <w:r w:rsidRPr="00E828BE">
        <w:t>g.</w:t>
      </w:r>
      <w:r w:rsidRPr="00E828BE">
        <w:tab/>
        <w:t>Description of the habitat and the circumstances under which the adverse incident occurred (including any available ambient water data for pesticides applied);</w:t>
      </w:r>
    </w:p>
    <w:p w14:paraId="1D68C9CA" w14:textId="77777777" w:rsidR="00D4354E" w:rsidRPr="00E828BE" w:rsidRDefault="00985651" w:rsidP="00D4354E">
      <w:pPr>
        <w:ind w:left="720" w:hanging="360"/>
      </w:pPr>
      <w:r w:rsidRPr="00E828BE">
        <w:t>h.</w:t>
      </w:r>
      <w:r w:rsidRPr="00E828BE">
        <w:tab/>
        <w:t>If laboratory tests were performed, indicate what test</w:t>
      </w:r>
      <w:r w:rsidR="0032578E" w:rsidRPr="00E828BE">
        <w:t>(</w:t>
      </w:r>
      <w:r w:rsidRPr="00E828BE">
        <w:t>s) were performed, and when, and provide a summary of the test results within 5 days after they become available</w:t>
      </w:r>
      <w:r w:rsidR="00D4354E" w:rsidRPr="00E828BE">
        <w:t xml:space="preserve"> if not available at the time of submission of the 30-day report</w:t>
      </w:r>
      <w:r w:rsidRPr="00E828BE">
        <w:t>;</w:t>
      </w:r>
    </w:p>
    <w:p w14:paraId="58121396" w14:textId="77777777" w:rsidR="00985651" w:rsidRPr="00E828BE" w:rsidRDefault="00D4354E" w:rsidP="00D4354E">
      <w:pPr>
        <w:ind w:left="720" w:hanging="360"/>
      </w:pPr>
      <w:r w:rsidRPr="00E828BE">
        <w:t>i.</w:t>
      </w:r>
      <w:r w:rsidRPr="00E828BE">
        <w:tab/>
        <w:t>Description of a</w:t>
      </w:r>
      <w:r w:rsidR="00985651" w:rsidRPr="00E828BE">
        <w:t>ctions to be taken to prevent recurrence of adverse incidents; and</w:t>
      </w:r>
    </w:p>
    <w:p w14:paraId="48864D17" w14:textId="77777777" w:rsidR="00985651" w:rsidRPr="00E828BE" w:rsidRDefault="00D4354E" w:rsidP="001D6D10">
      <w:pPr>
        <w:ind w:left="720" w:hanging="360"/>
      </w:pPr>
      <w:r w:rsidRPr="00E828BE">
        <w:t>j</w:t>
      </w:r>
      <w:r w:rsidR="00985651" w:rsidRPr="00E828BE">
        <w:t>.</w:t>
      </w:r>
      <w:r w:rsidR="00985651" w:rsidRPr="00E828BE">
        <w:tab/>
        <w:t>Signature</w:t>
      </w:r>
      <w:r w:rsidRPr="00E828BE">
        <w:t xml:space="preserve">, </w:t>
      </w:r>
      <w:r w:rsidR="00985651" w:rsidRPr="00E828BE">
        <w:t>date</w:t>
      </w:r>
      <w:r w:rsidRPr="00E828BE">
        <w:t>, and certification in accordance with Appendix B, Subsection B.11.</w:t>
      </w:r>
    </w:p>
    <w:p w14:paraId="63483EE6" w14:textId="77777777" w:rsidR="00985651" w:rsidRPr="00E828BE" w:rsidRDefault="00985651" w:rsidP="001D6D10"/>
    <w:p w14:paraId="65A1EBB3" w14:textId="77777777" w:rsidR="00985651" w:rsidRPr="00E828BE" w:rsidRDefault="00985651" w:rsidP="001D6D10">
      <w:pPr>
        <w:keepNext/>
        <w:rPr>
          <w:b/>
        </w:rPr>
      </w:pPr>
      <w:r w:rsidRPr="00E828BE">
        <w:rPr>
          <w:b/>
        </w:rPr>
        <w:t>Permittee Report of Adverse Incident to Threatened or Endangered Species or Critical Habitat</w:t>
      </w:r>
    </w:p>
    <w:p w14:paraId="0FDC0C52" w14:textId="77777777" w:rsidR="00985651" w:rsidRPr="00E828BE" w:rsidRDefault="00985651" w:rsidP="001D6D10">
      <w:pPr>
        <w:keepNext/>
      </w:pPr>
      <w:r w:rsidRPr="00E828BE">
        <w:t xml:space="preserve">According to EPA’s PGP, all </w:t>
      </w:r>
      <w:r w:rsidR="00057702">
        <w:t>operator</w:t>
      </w:r>
      <w:r w:rsidR="0032578E" w:rsidRPr="00E828BE">
        <w:t xml:space="preserve">s </w:t>
      </w:r>
      <w:r w:rsidRPr="00E828BE">
        <w:t>are required to report adverse incidents to threatened or endangered species or critical habitat that may have resulted from a discharge from their pesticide application</w:t>
      </w:r>
      <w:r w:rsidR="00057702">
        <w:t>. Operator</w:t>
      </w:r>
      <w:r w:rsidRPr="00E828BE">
        <w:t>s are required to notify the National Marine Fisheries Service or the U.S. Fish and Wildlife Service by telephone immediately upon becoming aware of the adverse incident</w:t>
      </w:r>
      <w:r w:rsidR="001F4874" w:rsidRPr="00E828BE">
        <w:t xml:space="preserve">. </w:t>
      </w:r>
      <w:r w:rsidRPr="00E828BE">
        <w:t>At least the following information must be provided:</w:t>
      </w:r>
    </w:p>
    <w:p w14:paraId="07D1548C" w14:textId="77777777" w:rsidR="00985651" w:rsidRPr="00E828BE" w:rsidRDefault="00985651" w:rsidP="001D6D10">
      <w:pPr>
        <w:keepNext/>
        <w:numPr>
          <w:ilvl w:val="0"/>
          <w:numId w:val="6"/>
        </w:numPr>
        <w:tabs>
          <w:tab w:val="num" w:pos="720"/>
        </w:tabs>
        <w:ind w:left="720"/>
      </w:pPr>
      <w:r w:rsidRPr="00E828BE">
        <w:t>The caller’s name and telephone number;</w:t>
      </w:r>
    </w:p>
    <w:p w14:paraId="04A53F87" w14:textId="77777777" w:rsidR="00985651" w:rsidRPr="00E828BE" w:rsidRDefault="00057702" w:rsidP="00A43DF6">
      <w:pPr>
        <w:numPr>
          <w:ilvl w:val="0"/>
          <w:numId w:val="6"/>
        </w:numPr>
        <w:tabs>
          <w:tab w:val="num" w:pos="720"/>
        </w:tabs>
        <w:ind w:left="720"/>
      </w:pPr>
      <w:r>
        <w:t>operator</w:t>
      </w:r>
      <w:r w:rsidR="00985651" w:rsidRPr="00E828BE">
        <w:t xml:space="preserve"> name and mailing address;</w:t>
      </w:r>
    </w:p>
    <w:p w14:paraId="5282C827" w14:textId="77777777" w:rsidR="00985651" w:rsidRPr="00E828BE" w:rsidRDefault="00985651" w:rsidP="001D6D10">
      <w:pPr>
        <w:keepNext/>
        <w:numPr>
          <w:ilvl w:val="0"/>
          <w:numId w:val="6"/>
        </w:numPr>
        <w:tabs>
          <w:tab w:val="num" w:pos="720"/>
        </w:tabs>
        <w:ind w:left="720"/>
      </w:pPr>
      <w:r w:rsidRPr="00E828BE">
        <w:lastRenderedPageBreak/>
        <w:t>The name of the affected species;</w:t>
      </w:r>
    </w:p>
    <w:p w14:paraId="7E455D27" w14:textId="77777777" w:rsidR="00985651" w:rsidRPr="00E828BE" w:rsidRDefault="00985651" w:rsidP="001D6D10">
      <w:pPr>
        <w:keepNext/>
        <w:numPr>
          <w:ilvl w:val="0"/>
          <w:numId w:val="6"/>
        </w:numPr>
        <w:tabs>
          <w:tab w:val="num" w:pos="720"/>
        </w:tabs>
        <w:ind w:left="720"/>
      </w:pPr>
      <w:r w:rsidRPr="00E828BE">
        <w:t>How and when you became aware of the adverse incident;</w:t>
      </w:r>
    </w:p>
    <w:p w14:paraId="46138AF7" w14:textId="77777777" w:rsidR="00985651" w:rsidRPr="00E828BE" w:rsidRDefault="00985651" w:rsidP="001D6D10">
      <w:pPr>
        <w:keepNext/>
        <w:numPr>
          <w:ilvl w:val="0"/>
          <w:numId w:val="6"/>
        </w:numPr>
        <w:tabs>
          <w:tab w:val="num" w:pos="720"/>
        </w:tabs>
        <w:ind w:left="720"/>
      </w:pPr>
      <w:r w:rsidRPr="00E828BE">
        <w:t>Description of the location of the adverse incident;</w:t>
      </w:r>
    </w:p>
    <w:p w14:paraId="76C711D9" w14:textId="77777777" w:rsidR="00985651" w:rsidRPr="00E828BE" w:rsidRDefault="00985651" w:rsidP="001D6D10">
      <w:pPr>
        <w:keepNext/>
        <w:numPr>
          <w:ilvl w:val="0"/>
          <w:numId w:val="6"/>
        </w:numPr>
        <w:tabs>
          <w:tab w:val="num" w:pos="720"/>
        </w:tabs>
        <w:ind w:left="720"/>
      </w:pPr>
      <w:r w:rsidRPr="00E828BE">
        <w:t>Description of the adverse incident, including the EPA pesticide registration number for each product applied in the area of the adverse incident; and</w:t>
      </w:r>
    </w:p>
    <w:p w14:paraId="4E04B628" w14:textId="77777777" w:rsidR="00985651" w:rsidRPr="00E828BE" w:rsidRDefault="00985651" w:rsidP="001D6D10">
      <w:pPr>
        <w:keepNext/>
        <w:numPr>
          <w:ilvl w:val="0"/>
          <w:numId w:val="6"/>
        </w:numPr>
        <w:tabs>
          <w:tab w:val="num" w:pos="720"/>
        </w:tabs>
        <w:ind w:left="720"/>
      </w:pPr>
      <w:r w:rsidRPr="00E828BE">
        <w:t>Description of any steps</w:t>
      </w:r>
      <w:r w:rsidR="00D4354E" w:rsidRPr="00E828BE">
        <w:t xml:space="preserve"> the </w:t>
      </w:r>
      <w:r w:rsidR="00057702">
        <w:t>operator</w:t>
      </w:r>
      <w:r w:rsidR="00D4354E" w:rsidRPr="00E828BE">
        <w:t>s has</w:t>
      </w:r>
      <w:r w:rsidRPr="00E828BE">
        <w:t xml:space="preserve"> taken or will</w:t>
      </w:r>
      <w:r w:rsidR="001F4874" w:rsidRPr="00E828BE">
        <w:t xml:space="preserve"> </w:t>
      </w:r>
      <w:r w:rsidRPr="00E828BE">
        <w:t>take to alleviate the adverse impact to the species.</w:t>
      </w:r>
    </w:p>
    <w:p w14:paraId="25CCEDFB" w14:textId="77777777" w:rsidR="00985651" w:rsidRPr="00E828BE" w:rsidRDefault="00985651" w:rsidP="001D6D10"/>
    <w:p w14:paraId="41D27AAB" w14:textId="77777777" w:rsidR="00985651" w:rsidRPr="00E828BE" w:rsidRDefault="00985651" w:rsidP="001D6D10">
      <w:pPr>
        <w:rPr>
          <w:b/>
        </w:rPr>
      </w:pPr>
      <w:r w:rsidRPr="00E828BE">
        <w:rPr>
          <w:b/>
        </w:rPr>
        <w:t>Permittee Report of Spill, Leak, or Other Unpermitted Discharge</w:t>
      </w:r>
    </w:p>
    <w:p w14:paraId="42B8CCB6" w14:textId="77777777" w:rsidR="00985651" w:rsidRPr="00E828BE" w:rsidRDefault="00985651" w:rsidP="001D6D10">
      <w:r w:rsidRPr="00E828BE">
        <w:t xml:space="preserve">According to EPA’s PGP, all </w:t>
      </w:r>
      <w:r w:rsidR="00057702">
        <w:t>operator</w:t>
      </w:r>
      <w:r w:rsidR="0032578E" w:rsidRPr="00E828BE">
        <w:t xml:space="preserve">s </w:t>
      </w:r>
      <w:r w:rsidRPr="00E828BE">
        <w:t xml:space="preserve">are required to report leak, spill or other releases containing a hazardous substance or oil in an amount equal to or in excess of a reportable quantity established under either 40 CFR </w:t>
      </w:r>
      <w:r w:rsidR="00051EC7">
        <w:t>part</w:t>
      </w:r>
      <w:r w:rsidRPr="00E828BE">
        <w:t xml:space="preserve"> 110, 40 CFR </w:t>
      </w:r>
      <w:r w:rsidR="00051EC7">
        <w:t>part</w:t>
      </w:r>
      <w:r w:rsidRPr="00E828BE">
        <w:t xml:space="preserve"> 117, or 40 CFR </w:t>
      </w:r>
      <w:r w:rsidR="00051EC7">
        <w:t>part</w:t>
      </w:r>
      <w:r w:rsidRPr="00E828BE">
        <w:t xml:space="preserve"> 302 occurs in any 24-hour period</w:t>
      </w:r>
      <w:r w:rsidR="00057702">
        <w:t>. Operator</w:t>
      </w:r>
      <w:r w:rsidRPr="00E828BE">
        <w:t xml:space="preserve">s must notify the National Response Center immediately in accordance with the requirements of 40 CFR </w:t>
      </w:r>
      <w:r w:rsidR="00051EC7">
        <w:t>part</w:t>
      </w:r>
      <w:r w:rsidRPr="00E828BE">
        <w:t xml:space="preserve"> 110, 40 CFR </w:t>
      </w:r>
      <w:r w:rsidR="00051EC7">
        <w:t>part</w:t>
      </w:r>
      <w:r w:rsidRPr="00E828BE">
        <w:t xml:space="preserve"> 117, and 40 CFR </w:t>
      </w:r>
      <w:r w:rsidR="00051EC7">
        <w:t>part</w:t>
      </w:r>
      <w:r w:rsidRPr="00E828BE">
        <w:t xml:space="preserve"> 302</w:t>
      </w:r>
      <w:r w:rsidR="001F4874" w:rsidRPr="00E828BE">
        <w:t xml:space="preserve">. </w:t>
      </w:r>
    </w:p>
    <w:p w14:paraId="46922CBF" w14:textId="77777777" w:rsidR="00985651" w:rsidRPr="00E828BE" w:rsidRDefault="00985651" w:rsidP="001D6D10"/>
    <w:p w14:paraId="70CB71ED" w14:textId="77777777" w:rsidR="00985651" w:rsidRPr="00E828BE" w:rsidRDefault="00985651" w:rsidP="001D6D10">
      <w:r w:rsidRPr="00E828BE">
        <w:t xml:space="preserve">Within </w:t>
      </w:r>
      <w:r w:rsidR="00807320" w:rsidRPr="00E828BE">
        <w:t xml:space="preserve">30 </w:t>
      </w:r>
      <w:r w:rsidRPr="00E828BE">
        <w:t xml:space="preserve">days of the </w:t>
      </w:r>
      <w:r w:rsidR="00057702">
        <w:t>operator</w:t>
      </w:r>
      <w:r w:rsidR="00807320" w:rsidRPr="00E828BE">
        <w:t xml:space="preserve"> </w:t>
      </w:r>
      <w:r w:rsidRPr="00E828BE">
        <w:t xml:space="preserve">becoming aware of a spill, leak, or other unpermitted discharge, the </w:t>
      </w:r>
      <w:r w:rsidR="00057702">
        <w:t>operator</w:t>
      </w:r>
      <w:r w:rsidR="00807320" w:rsidRPr="00E828BE">
        <w:t xml:space="preserve"> </w:t>
      </w:r>
      <w:r w:rsidRPr="00E828BE">
        <w:t>must document and retain the following information:</w:t>
      </w:r>
    </w:p>
    <w:p w14:paraId="47DE896F" w14:textId="77777777" w:rsidR="00985651" w:rsidRPr="00E828BE" w:rsidRDefault="00985651" w:rsidP="001D6D10">
      <w:pPr>
        <w:numPr>
          <w:ilvl w:val="0"/>
          <w:numId w:val="7"/>
        </w:numPr>
        <w:tabs>
          <w:tab w:val="num" w:pos="720"/>
        </w:tabs>
        <w:ind w:hanging="1080"/>
      </w:pPr>
      <w:r w:rsidRPr="00E828BE">
        <w:t>Information during notification of the spill, leak, or other unpermitted discharge</w:t>
      </w:r>
    </w:p>
    <w:p w14:paraId="3F4B3660" w14:textId="77777777" w:rsidR="00985651" w:rsidRPr="00E828BE" w:rsidRDefault="00985651" w:rsidP="001D6D10">
      <w:pPr>
        <w:numPr>
          <w:ilvl w:val="0"/>
          <w:numId w:val="7"/>
        </w:numPr>
        <w:tabs>
          <w:tab w:val="num" w:pos="720"/>
        </w:tabs>
        <w:ind w:left="720"/>
      </w:pPr>
      <w:r w:rsidRPr="00E828BE">
        <w:t>Summary of corrective action taken or to be taken including date initiated and date completed or expected to be completed;</w:t>
      </w:r>
    </w:p>
    <w:p w14:paraId="4371CC8D" w14:textId="77777777" w:rsidR="00985651" w:rsidRPr="00E828BE" w:rsidRDefault="00985651" w:rsidP="001D6D10">
      <w:pPr>
        <w:numPr>
          <w:ilvl w:val="0"/>
          <w:numId w:val="7"/>
        </w:numPr>
        <w:tabs>
          <w:tab w:val="num" w:pos="720"/>
        </w:tabs>
        <w:ind w:left="720"/>
      </w:pPr>
      <w:r w:rsidRPr="00E828BE">
        <w:t>Any measures to prevent recurrence of such a spill, leak, or other discharge, including notice of whether PDMP modifications are required as a result of the spill or leak.</w:t>
      </w:r>
    </w:p>
    <w:p w14:paraId="7FC12897" w14:textId="77777777" w:rsidR="00985651" w:rsidRPr="00E828BE" w:rsidRDefault="00985651" w:rsidP="001E5FF7"/>
    <w:p w14:paraId="303F3439" w14:textId="77777777" w:rsidR="00985651" w:rsidRPr="00E828BE" w:rsidRDefault="00985651" w:rsidP="001D6D10">
      <w:pPr>
        <w:rPr>
          <w:b/>
        </w:rPr>
      </w:pPr>
      <w:r w:rsidRPr="00E828BE">
        <w:rPr>
          <w:b/>
        </w:rPr>
        <w:t>Permittee Report of Corrective Action</w:t>
      </w:r>
    </w:p>
    <w:p w14:paraId="03C342DB" w14:textId="77777777" w:rsidR="00985651" w:rsidRPr="00E828BE" w:rsidRDefault="00985651" w:rsidP="001D6D10">
      <w:pPr>
        <w:pStyle w:val="Default"/>
        <w:rPr>
          <w:color w:val="auto"/>
        </w:rPr>
      </w:pPr>
      <w:r w:rsidRPr="00E828BE">
        <w:rPr>
          <w:color w:val="auto"/>
        </w:rPr>
        <w:t xml:space="preserve">According to EPA’s PGP, all </w:t>
      </w:r>
      <w:r w:rsidR="00057702">
        <w:rPr>
          <w:color w:val="auto"/>
        </w:rPr>
        <w:t>operator</w:t>
      </w:r>
      <w:r w:rsidR="00807320" w:rsidRPr="00E828BE">
        <w:rPr>
          <w:color w:val="auto"/>
        </w:rPr>
        <w:t xml:space="preserve">s </w:t>
      </w:r>
      <w:r w:rsidRPr="00E828BE">
        <w:rPr>
          <w:color w:val="auto"/>
        </w:rPr>
        <w:t xml:space="preserve">are required to document any situation triggering corrective action and their planned corrective action within </w:t>
      </w:r>
      <w:r w:rsidR="00807320" w:rsidRPr="00E828BE">
        <w:rPr>
          <w:color w:val="auto"/>
        </w:rPr>
        <w:t xml:space="preserve">30 </w:t>
      </w:r>
      <w:r w:rsidRPr="00E828BE">
        <w:rPr>
          <w:color w:val="auto"/>
        </w:rPr>
        <w:t>days of the operator becoming aware of the situation triggering the need for corrective action</w:t>
      </w:r>
      <w:r w:rsidR="001F4874" w:rsidRPr="00E828BE">
        <w:rPr>
          <w:color w:val="auto"/>
        </w:rPr>
        <w:t xml:space="preserve">. </w:t>
      </w:r>
      <w:r w:rsidRPr="00E828BE">
        <w:rPr>
          <w:color w:val="auto"/>
        </w:rPr>
        <w:t xml:space="preserve">The </w:t>
      </w:r>
      <w:r w:rsidR="00057702">
        <w:rPr>
          <w:color w:val="auto"/>
        </w:rPr>
        <w:t>operator</w:t>
      </w:r>
      <w:r w:rsidR="00807320" w:rsidRPr="00E828BE">
        <w:rPr>
          <w:color w:val="auto"/>
        </w:rPr>
        <w:t xml:space="preserve"> </w:t>
      </w:r>
      <w:r w:rsidRPr="00E828BE">
        <w:rPr>
          <w:color w:val="auto"/>
        </w:rPr>
        <w:t>must retain a copy of this documentation</w:t>
      </w:r>
      <w:r w:rsidR="001F4874" w:rsidRPr="00E828BE">
        <w:rPr>
          <w:color w:val="auto"/>
        </w:rPr>
        <w:t xml:space="preserve">. </w:t>
      </w:r>
      <w:r w:rsidRPr="00E828BE">
        <w:rPr>
          <w:color w:val="auto"/>
        </w:rPr>
        <w:t>The documentation must include the following information:</w:t>
      </w:r>
      <w:r w:rsidR="001F4874" w:rsidRPr="00E828BE">
        <w:rPr>
          <w:color w:val="auto"/>
        </w:rPr>
        <w:t xml:space="preserve"> </w:t>
      </w:r>
    </w:p>
    <w:p w14:paraId="74E87E5B" w14:textId="77777777" w:rsidR="00985651" w:rsidRPr="00E828BE" w:rsidRDefault="00985651" w:rsidP="001D6D10">
      <w:pPr>
        <w:pStyle w:val="Default"/>
        <w:ind w:left="720" w:hanging="360"/>
        <w:rPr>
          <w:color w:val="auto"/>
        </w:rPr>
      </w:pPr>
      <w:r w:rsidRPr="00E828BE">
        <w:rPr>
          <w:color w:val="auto"/>
        </w:rPr>
        <w:t>a.</w:t>
      </w:r>
      <w:r w:rsidRPr="00E828BE">
        <w:rPr>
          <w:color w:val="auto"/>
        </w:rPr>
        <w:tab/>
        <w:t>Identification of the condition triggering the need for corrective action review, including any ambient water quality monitoring that assisted in determining that discharges did not meet water quality standards;</w:t>
      </w:r>
    </w:p>
    <w:p w14:paraId="16446F1C" w14:textId="77777777" w:rsidR="00985651" w:rsidRPr="00E828BE" w:rsidRDefault="00985651" w:rsidP="001D6D10">
      <w:pPr>
        <w:pStyle w:val="Default"/>
        <w:ind w:left="720" w:hanging="360"/>
        <w:rPr>
          <w:color w:val="auto"/>
        </w:rPr>
      </w:pPr>
      <w:r w:rsidRPr="00E828BE">
        <w:rPr>
          <w:color w:val="auto"/>
        </w:rPr>
        <w:t>b.</w:t>
      </w:r>
      <w:r w:rsidRPr="00E828BE">
        <w:rPr>
          <w:color w:val="auto"/>
        </w:rPr>
        <w:tab/>
        <w:t>Brief description of the situation;</w:t>
      </w:r>
    </w:p>
    <w:p w14:paraId="5A6736FF" w14:textId="77777777" w:rsidR="00985651" w:rsidRPr="00E828BE" w:rsidRDefault="00985651" w:rsidP="001D6D10">
      <w:pPr>
        <w:pStyle w:val="Default"/>
        <w:ind w:left="720" w:hanging="360"/>
        <w:rPr>
          <w:color w:val="auto"/>
        </w:rPr>
      </w:pPr>
      <w:r w:rsidRPr="00E828BE">
        <w:rPr>
          <w:color w:val="auto"/>
        </w:rPr>
        <w:t>c.</w:t>
      </w:r>
      <w:r w:rsidRPr="00E828BE">
        <w:rPr>
          <w:color w:val="auto"/>
        </w:rPr>
        <w:tab/>
        <w:t>Date the problem was identified.</w:t>
      </w:r>
    </w:p>
    <w:p w14:paraId="44B5CCD2" w14:textId="77777777" w:rsidR="00985651" w:rsidRPr="00E828BE" w:rsidRDefault="00985651" w:rsidP="001D6D10">
      <w:pPr>
        <w:pStyle w:val="Default"/>
        <w:ind w:left="720" w:hanging="360"/>
        <w:rPr>
          <w:color w:val="auto"/>
        </w:rPr>
      </w:pPr>
      <w:r w:rsidRPr="00E828BE">
        <w:rPr>
          <w:color w:val="auto"/>
        </w:rPr>
        <w:t>d.</w:t>
      </w:r>
      <w:r w:rsidRPr="00E828BE">
        <w:rPr>
          <w:color w:val="auto"/>
        </w:rPr>
        <w:tab/>
        <w:t xml:space="preserve">Brief description of how the problem was identified and how the </w:t>
      </w:r>
      <w:r w:rsidR="00057702">
        <w:rPr>
          <w:color w:val="auto"/>
        </w:rPr>
        <w:t>operator</w:t>
      </w:r>
      <w:r w:rsidR="00807320" w:rsidRPr="00E828BE">
        <w:rPr>
          <w:color w:val="auto"/>
        </w:rPr>
        <w:t xml:space="preserve"> </w:t>
      </w:r>
      <w:r w:rsidRPr="00E828BE">
        <w:rPr>
          <w:color w:val="auto"/>
        </w:rPr>
        <w:t xml:space="preserve">learned of the situation and date the </w:t>
      </w:r>
      <w:r w:rsidR="00057702">
        <w:rPr>
          <w:color w:val="auto"/>
        </w:rPr>
        <w:t>operator</w:t>
      </w:r>
      <w:r w:rsidR="00807320" w:rsidRPr="00E828BE">
        <w:rPr>
          <w:color w:val="auto"/>
        </w:rPr>
        <w:t xml:space="preserve"> </w:t>
      </w:r>
      <w:r w:rsidRPr="00E828BE">
        <w:rPr>
          <w:color w:val="auto"/>
        </w:rPr>
        <w:t>learned of the situation;</w:t>
      </w:r>
    </w:p>
    <w:p w14:paraId="0D7F7B9E" w14:textId="77777777" w:rsidR="00985651" w:rsidRPr="00E828BE" w:rsidRDefault="00985651" w:rsidP="001D6D10">
      <w:pPr>
        <w:pStyle w:val="Default"/>
        <w:ind w:left="720" w:hanging="360"/>
        <w:rPr>
          <w:color w:val="auto"/>
        </w:rPr>
      </w:pPr>
      <w:r w:rsidRPr="00E828BE">
        <w:rPr>
          <w:color w:val="auto"/>
        </w:rPr>
        <w:t>e.</w:t>
      </w:r>
      <w:r w:rsidRPr="00E828BE">
        <w:rPr>
          <w:color w:val="auto"/>
        </w:rPr>
        <w:tab/>
        <w:t>Summary of corrective action taken or to be taken including date initiated and date completed or expected to be completed; and</w:t>
      </w:r>
    </w:p>
    <w:p w14:paraId="6EB62261" w14:textId="77777777" w:rsidR="00985651" w:rsidRPr="00E828BE" w:rsidRDefault="00985651" w:rsidP="001D6D10">
      <w:pPr>
        <w:pStyle w:val="Default"/>
        <w:ind w:left="720" w:hanging="360"/>
        <w:rPr>
          <w:color w:val="auto"/>
        </w:rPr>
      </w:pPr>
      <w:r w:rsidRPr="00E828BE">
        <w:rPr>
          <w:color w:val="auto"/>
        </w:rPr>
        <w:t>f.</w:t>
      </w:r>
      <w:r w:rsidRPr="00E828BE">
        <w:rPr>
          <w:color w:val="auto"/>
        </w:rPr>
        <w:tab/>
        <w:t>Any measures to prevent reoccurrence of such an incident, including notice of whether PDMP modifications are required as a result of the incident.</w:t>
      </w:r>
    </w:p>
    <w:p w14:paraId="5C51D61A" w14:textId="77777777" w:rsidR="00985651" w:rsidRPr="00E828BE" w:rsidRDefault="00985651" w:rsidP="001D6D10"/>
    <w:p w14:paraId="4A8F8ED1" w14:textId="77777777" w:rsidR="00985651" w:rsidRPr="00E828BE" w:rsidRDefault="00985651" w:rsidP="001D6D10">
      <w:pPr>
        <w:rPr>
          <w:b/>
        </w:rPr>
      </w:pPr>
      <w:r w:rsidRPr="00E828BE">
        <w:rPr>
          <w:b/>
        </w:rPr>
        <w:t xml:space="preserve">Permittee Report of Planned Facility Changes </w:t>
      </w:r>
    </w:p>
    <w:p w14:paraId="0066CCEF" w14:textId="77777777" w:rsidR="00985651" w:rsidRPr="00E828BE" w:rsidRDefault="00985651" w:rsidP="001D6D10">
      <w:pPr>
        <w:pStyle w:val="Bullet1"/>
        <w:numPr>
          <w:ilvl w:val="0"/>
          <w:numId w:val="0"/>
        </w:numPr>
      </w:pPr>
      <w:r w:rsidRPr="00E828BE">
        <w:t>According to 40 CFR 122.41(l)(1), any planned alteration or addition to a permitted facility must be reported to the permitting authority</w:t>
      </w:r>
      <w:r w:rsidR="001F4874" w:rsidRPr="00E828BE">
        <w:t xml:space="preserve">. </w:t>
      </w:r>
      <w:r w:rsidRPr="00E828BE">
        <w:t>This requirement applies to a change in the discharge of pollutants that are not already subject to the facility’s permit requirements</w:t>
      </w:r>
      <w:r w:rsidR="001F4874" w:rsidRPr="00E828BE">
        <w:t xml:space="preserve">. </w:t>
      </w:r>
      <w:r w:rsidRPr="00E828BE">
        <w:t>For pesticide application activities, planned changes may include but not limited to discharging to a Tier 3 water or discharging pesticides to a water impaired for that pesticide</w:t>
      </w:r>
      <w:r w:rsidR="001F4874" w:rsidRPr="00E828BE">
        <w:t xml:space="preserve">. </w:t>
      </w:r>
      <w:r w:rsidRPr="00E828BE">
        <w:t xml:space="preserve">When reporting planned </w:t>
      </w:r>
      <w:r w:rsidRPr="00E828BE">
        <w:lastRenderedPageBreak/>
        <w:t>changes, a permittee must provide a description of the planned alterations or additions and a statement outlining the anticipated effects of the changes on the discharge</w:t>
      </w:r>
      <w:r w:rsidR="001F4874" w:rsidRPr="00E828BE">
        <w:t xml:space="preserve">. </w:t>
      </w:r>
      <w:r w:rsidRPr="00E828BE">
        <w:t xml:space="preserve">The permitting authority may use the information submitted by the discharger to develop an individual NPDES permit before the planned changes are made. </w:t>
      </w:r>
    </w:p>
    <w:p w14:paraId="02D09A9C" w14:textId="77777777" w:rsidR="00985651" w:rsidRPr="00E828BE" w:rsidRDefault="00985651" w:rsidP="001D6D10"/>
    <w:p w14:paraId="17C8057A" w14:textId="77777777" w:rsidR="00985651" w:rsidRPr="00E828BE" w:rsidRDefault="00985651" w:rsidP="001D6D10">
      <w:pPr>
        <w:keepNext/>
        <w:rPr>
          <w:b/>
        </w:rPr>
      </w:pPr>
      <w:r w:rsidRPr="00E828BE">
        <w:rPr>
          <w:b/>
        </w:rPr>
        <w:t xml:space="preserve">Permittee Report of Anticipated Noncompliance </w:t>
      </w:r>
    </w:p>
    <w:p w14:paraId="6F86E103" w14:textId="77777777" w:rsidR="00985651" w:rsidRPr="00E828BE" w:rsidRDefault="00985651" w:rsidP="001D6D10">
      <w:r w:rsidRPr="00E828BE">
        <w:t>According to 40 CFR 122.41(l)(2) a change in the discharge of pollutants that might result in noncompliance with existing permit limits must be reported to the permitting authority. Permittees typically make this sort of report by submitting a letter that explains the reasons for the anticipated noncompliance</w:t>
      </w:r>
      <w:r w:rsidR="001F4874" w:rsidRPr="00E828BE">
        <w:t xml:space="preserve">. </w:t>
      </w:r>
      <w:r w:rsidRPr="00E828BE">
        <w:t xml:space="preserve">The advance notice provided by this reporting requirement enables the permitting authority to help a permittee mitigate the effects of anticipated noncompliance on the receiving waters. </w:t>
      </w:r>
    </w:p>
    <w:p w14:paraId="247329E3" w14:textId="77777777" w:rsidR="00BA1BC6" w:rsidRPr="00E828BE" w:rsidRDefault="00BA1BC6" w:rsidP="001D6D10"/>
    <w:p w14:paraId="711ABA03" w14:textId="77777777" w:rsidR="00985651" w:rsidRPr="00E828BE" w:rsidRDefault="00985651" w:rsidP="001D6D10">
      <w:pPr>
        <w:keepNext/>
        <w:rPr>
          <w:b/>
        </w:rPr>
      </w:pPr>
      <w:r w:rsidRPr="00E828BE">
        <w:rPr>
          <w:b/>
        </w:rPr>
        <w:t xml:space="preserve">Facility and Permit Transfer Report </w:t>
      </w:r>
    </w:p>
    <w:p w14:paraId="295EE90C" w14:textId="77777777" w:rsidR="00985651" w:rsidRPr="00E828BE" w:rsidRDefault="00985651" w:rsidP="001D6D10">
      <w:r w:rsidRPr="00E828BE">
        <w:t>Federal regulations at 40 CFR 122.41(l)(3) specify that when a facility’s ownership changes, it must notify the permitting authority in a letter stating the date of the transfer and the name of the new permit holder</w:t>
      </w:r>
      <w:r w:rsidR="001F4874" w:rsidRPr="00E828BE">
        <w:t xml:space="preserve">. </w:t>
      </w:r>
      <w:r w:rsidRPr="00E828BE">
        <w:t xml:space="preserve">EPA does not anticipate any respondents for the PGP because </w:t>
      </w:r>
      <w:r w:rsidR="008D77A7">
        <w:t>decision-maker</w:t>
      </w:r>
      <w:r w:rsidR="00807320" w:rsidRPr="00E828BE">
        <w:t xml:space="preserve">s </w:t>
      </w:r>
      <w:r w:rsidRPr="00E828BE">
        <w:t xml:space="preserve">are required to file a NOT (Notice of Termination), which is covered elsewhere in this </w:t>
      </w:r>
      <w:r w:rsidR="00BA2CA5">
        <w:t>ICR</w:t>
      </w:r>
      <w:r w:rsidRPr="00E828BE">
        <w:t>, when they transfer ownership; rather than submitting some other type of documentation</w:t>
      </w:r>
      <w:r w:rsidR="001F4874" w:rsidRPr="00E828BE">
        <w:t xml:space="preserve">. </w:t>
      </w:r>
    </w:p>
    <w:p w14:paraId="391F30D3" w14:textId="77777777" w:rsidR="00985651" w:rsidRPr="00E828BE" w:rsidRDefault="00985651" w:rsidP="001D6D10"/>
    <w:p w14:paraId="7CA0E2B8" w14:textId="77777777" w:rsidR="00985651" w:rsidRPr="00E828BE" w:rsidRDefault="00985651" w:rsidP="001D6D10">
      <w:pPr>
        <w:keepNext/>
        <w:rPr>
          <w:b/>
        </w:rPr>
      </w:pPr>
      <w:r w:rsidRPr="00E828BE">
        <w:rPr>
          <w:b/>
        </w:rPr>
        <w:t xml:space="preserve">Permittee Report of Inaccurate Previous Information </w:t>
      </w:r>
    </w:p>
    <w:p w14:paraId="4326A567" w14:textId="77777777" w:rsidR="00985651" w:rsidRPr="00E828BE" w:rsidRDefault="00985651" w:rsidP="001D6D10">
      <w:r w:rsidRPr="00E828BE">
        <w:t>According to 40 CFR 122.41(l)(8), permittees must correct inaccurate information that has been submitted in a permit application or permit report as soon as the permittee learns of the error(s). Usually, permittees notify the permitting authority by letter</w:t>
      </w:r>
      <w:r w:rsidR="001F4874" w:rsidRPr="00E828BE">
        <w:t xml:space="preserve">. </w:t>
      </w:r>
      <w:r w:rsidRPr="00E828BE">
        <w:t xml:space="preserve">The permitting authority uses this information to update permit records or to execute appropriate enforcement actions. </w:t>
      </w:r>
    </w:p>
    <w:p w14:paraId="3CA4444C" w14:textId="77777777" w:rsidR="00985651" w:rsidRPr="00E828BE" w:rsidRDefault="00985651" w:rsidP="001D6D10"/>
    <w:p w14:paraId="04DCF653" w14:textId="77777777" w:rsidR="00985651" w:rsidRPr="00E828BE" w:rsidRDefault="00985651" w:rsidP="001D6D10">
      <w:pPr>
        <w:rPr>
          <w:b/>
          <w:bCs/>
          <w:iCs/>
        </w:rPr>
      </w:pPr>
      <w:r w:rsidRPr="00E828BE">
        <w:rPr>
          <w:b/>
          <w:bCs/>
          <w:iCs/>
        </w:rPr>
        <w:t xml:space="preserve">Noncompliance Reports </w:t>
      </w:r>
    </w:p>
    <w:p w14:paraId="2BE2720B" w14:textId="77777777" w:rsidR="00985651" w:rsidRPr="00E828BE" w:rsidRDefault="00985651" w:rsidP="001D6D10">
      <w:r w:rsidRPr="00E828BE">
        <w:t xml:space="preserve">Requirements in </w:t>
      </w:r>
      <w:r w:rsidRPr="00E828BE">
        <w:rPr>
          <w:bCs/>
          <w:iCs/>
        </w:rPr>
        <w:t>40 CFR 122.41(l)(6)-(7) specify that a</w:t>
      </w:r>
      <w:r w:rsidRPr="00E828BE">
        <w:t xml:space="preserve"> permittee must provide 24-hour oral reporting of any noncompliance that could endanger human health or the environment (with a written follow-up submission within 5 days)</w:t>
      </w:r>
      <w:r w:rsidR="001F4874" w:rsidRPr="00E828BE">
        <w:t xml:space="preserve">. </w:t>
      </w:r>
      <w:bookmarkStart w:id="49" w:name="_Toc141600913"/>
    </w:p>
    <w:bookmarkEnd w:id="49"/>
    <w:p w14:paraId="293DEA10" w14:textId="77777777" w:rsidR="00985651" w:rsidRPr="00E828BE" w:rsidRDefault="00985651" w:rsidP="001D6D10">
      <w:pPr>
        <w:pStyle w:val="Heading4"/>
        <w:widowControl/>
      </w:pPr>
      <w:r w:rsidRPr="00E828BE">
        <w:t>4(b)(iv)(2) Respondent Activities</w:t>
      </w:r>
    </w:p>
    <w:p w14:paraId="47492807" w14:textId="77777777" w:rsidR="00985651" w:rsidRPr="00E828BE" w:rsidRDefault="00985651" w:rsidP="000D4BF4">
      <w:r w:rsidRPr="00E828BE">
        <w:t xml:space="preserve">This </w:t>
      </w:r>
      <w:r w:rsidR="00BA2CA5">
        <w:t>ICR</w:t>
      </w:r>
      <w:r w:rsidRPr="00E828BE">
        <w:t xml:space="preserve"> explains these activities in detail in Section 4(b)(iv)(1) above</w:t>
      </w:r>
      <w:r w:rsidR="001F4874" w:rsidRPr="00E828BE">
        <w:t xml:space="preserve">. </w:t>
      </w:r>
      <w:r w:rsidRPr="00E828BE">
        <w:t>However, any respondent preparing and submitting reports may engage in the following types of activities:</w:t>
      </w:r>
    </w:p>
    <w:p w14:paraId="5C916191" w14:textId="77777777" w:rsidR="00985651" w:rsidRPr="00E828BE" w:rsidRDefault="00985651" w:rsidP="000D4BF4">
      <w:pPr>
        <w:pStyle w:val="Bullet1"/>
        <w:numPr>
          <w:ilvl w:val="0"/>
          <w:numId w:val="23"/>
        </w:numPr>
        <w:spacing w:after="0"/>
      </w:pPr>
      <w:r w:rsidRPr="00E828BE">
        <w:t>Preparing basic information</w:t>
      </w:r>
      <w:r w:rsidR="001F4874" w:rsidRPr="00E828BE">
        <w:t xml:space="preserve">. </w:t>
      </w:r>
      <w:r w:rsidRPr="00E828BE">
        <w:t>This include</w:t>
      </w:r>
      <w:r w:rsidR="00D53DEF">
        <w:t>s</w:t>
      </w:r>
      <w:r w:rsidRPr="00E828BE">
        <w:t xml:space="preserve"> reading instructions and regulations for report requirements, consulting technical, legal, and political staff, reviewing guidance materials, gathering general information, typing or completing forms or generating reports, and mailing or electronic submission of completed forms or reports to the NPDES permitting authority.</w:t>
      </w:r>
    </w:p>
    <w:p w14:paraId="5058ED63" w14:textId="77777777" w:rsidR="00985651" w:rsidRPr="00E828BE" w:rsidRDefault="00985651" w:rsidP="000D4BF4">
      <w:pPr>
        <w:pStyle w:val="Bullet1"/>
        <w:numPr>
          <w:ilvl w:val="0"/>
          <w:numId w:val="23"/>
        </w:numPr>
        <w:spacing w:after="0"/>
        <w:sectPr w:rsidR="00985651" w:rsidRPr="00E828BE">
          <w:headerReference w:type="even" r:id="rId39"/>
          <w:headerReference w:type="default" r:id="rId40"/>
          <w:headerReference w:type="first" r:id="rId41"/>
          <w:type w:val="continuous"/>
          <w:pgSz w:w="12240" w:h="15840" w:code="1"/>
          <w:pgMar w:top="1440" w:right="1440" w:bottom="1440" w:left="1440" w:header="720" w:footer="720" w:gutter="0"/>
          <w:pgNumType w:chapStyle="1"/>
          <w:cols w:space="720"/>
          <w:noEndnote/>
        </w:sectPr>
      </w:pPr>
      <w:r w:rsidRPr="00E828BE">
        <w:t>Gathering detailed information</w:t>
      </w:r>
      <w:r w:rsidR="001F4874" w:rsidRPr="00E828BE">
        <w:t xml:space="preserve">. </w:t>
      </w:r>
      <w:r w:rsidRPr="00E828BE">
        <w:t>Detailed information gathered include</w:t>
      </w:r>
      <w:r w:rsidR="00D53DEF">
        <w:t>s</w:t>
      </w:r>
      <w:r w:rsidRPr="00E828BE">
        <w:t xml:space="preserve"> any data required by the NPDES permitting authorities as outlined in Section 4(b)(iv)(1).</w:t>
      </w:r>
    </w:p>
    <w:p w14:paraId="7E97D683" w14:textId="77777777" w:rsidR="001E5FF7" w:rsidRPr="00E828BE" w:rsidRDefault="001E5FF7" w:rsidP="000D4BF4"/>
    <w:p w14:paraId="220D60D8" w14:textId="77777777" w:rsidR="00985651" w:rsidRPr="00E828BE" w:rsidRDefault="00985651" w:rsidP="000D4BF4">
      <w:r w:rsidRPr="00E828BE">
        <w:t xml:space="preserve">Activities for the </w:t>
      </w:r>
      <w:r w:rsidR="00DD550E" w:rsidRPr="00E828BE">
        <w:t>47</w:t>
      </w:r>
      <w:r w:rsidRPr="00E828BE">
        <w:t xml:space="preserve"> authorized </w:t>
      </w:r>
      <w:r w:rsidR="009A164E" w:rsidRPr="00E828BE">
        <w:t>state</w:t>
      </w:r>
      <w:r w:rsidRPr="00E828BE">
        <w:t>s can include reviewing and handling reports.</w:t>
      </w:r>
    </w:p>
    <w:p w14:paraId="7648FEAE" w14:textId="77777777" w:rsidR="00985651" w:rsidRPr="00E828BE" w:rsidRDefault="00985651" w:rsidP="001D6D10">
      <w:pPr>
        <w:pStyle w:val="Heading3"/>
      </w:pPr>
      <w:bookmarkStart w:id="50" w:name="_Ref199644439"/>
      <w:bookmarkStart w:id="51" w:name="_Toc275242937"/>
      <w:r w:rsidRPr="00E828BE">
        <w:lastRenderedPageBreak/>
        <w:t>4(b)(v) Recordkeeping</w:t>
      </w:r>
      <w:bookmarkEnd w:id="50"/>
      <w:bookmarkEnd w:id="51"/>
    </w:p>
    <w:p w14:paraId="695F4C99" w14:textId="77777777" w:rsidR="00985651" w:rsidRPr="00E828BE" w:rsidRDefault="00985651" w:rsidP="001D6D10">
      <w:pPr>
        <w:pStyle w:val="Heading4"/>
        <w:widowControl/>
      </w:pPr>
      <w:r w:rsidRPr="00E828BE">
        <w:t>4(b)(v)(1) Data Items</w:t>
      </w:r>
    </w:p>
    <w:p w14:paraId="080A7F4C" w14:textId="77777777" w:rsidR="00985651" w:rsidRPr="00E828BE" w:rsidRDefault="00807320" w:rsidP="001E5FF7">
      <w:pPr>
        <w:pStyle w:val="BodyText"/>
        <w:numPr>
          <w:ilvl w:val="0"/>
          <w:numId w:val="13"/>
        </w:numPr>
        <w:spacing w:after="0"/>
      </w:pPr>
      <w:r w:rsidRPr="00E828BE">
        <w:t>According to EPA’s PGP</w:t>
      </w:r>
      <w:r w:rsidR="00573CB5" w:rsidRPr="00E828BE" w:rsidDel="00573CB5">
        <w:t xml:space="preserve"> </w:t>
      </w:r>
      <w:r w:rsidRPr="00E828BE">
        <w:t xml:space="preserve">, all </w:t>
      </w:r>
      <w:r w:rsidR="00057702">
        <w:t>operator</w:t>
      </w:r>
      <w:r w:rsidRPr="00E828BE">
        <w:t xml:space="preserve">s are required to </w:t>
      </w:r>
      <w:r w:rsidR="00985651" w:rsidRPr="00E828BE">
        <w:t>keep the following records:</w:t>
      </w:r>
    </w:p>
    <w:p w14:paraId="15C247CD" w14:textId="77777777" w:rsidR="00985651" w:rsidRPr="00E828BE" w:rsidRDefault="00985651" w:rsidP="001E5FF7">
      <w:pPr>
        <w:pStyle w:val="ListBullet2"/>
        <w:widowControl/>
        <w:numPr>
          <w:ilvl w:val="0"/>
          <w:numId w:val="24"/>
        </w:numPr>
        <w:autoSpaceDE/>
        <w:autoSpaceDN/>
        <w:adjustRightInd/>
      </w:pPr>
      <w:r w:rsidRPr="00E828BE">
        <w:t xml:space="preserve">A copy of any </w:t>
      </w:r>
      <w:r w:rsidR="00573CB5" w:rsidRPr="00E828BE">
        <w:t>a</w:t>
      </w:r>
      <w:r w:rsidRPr="00E828BE">
        <w:t xml:space="preserve">dverse </w:t>
      </w:r>
      <w:r w:rsidR="00573CB5" w:rsidRPr="00E828BE">
        <w:t>i</w:t>
      </w:r>
      <w:r w:rsidRPr="00E828BE">
        <w:t xml:space="preserve">ncident </w:t>
      </w:r>
      <w:r w:rsidR="00573CB5" w:rsidRPr="00E828BE">
        <w:t>r</w:t>
      </w:r>
      <w:r w:rsidRPr="00E828BE">
        <w:t>eports</w:t>
      </w:r>
    </w:p>
    <w:p w14:paraId="594937FF" w14:textId="77777777" w:rsidR="00985651" w:rsidRPr="00E828BE" w:rsidRDefault="00985651" w:rsidP="001E5FF7">
      <w:pPr>
        <w:pStyle w:val="ListBullet2"/>
        <w:widowControl/>
        <w:numPr>
          <w:ilvl w:val="0"/>
          <w:numId w:val="24"/>
        </w:numPr>
        <w:autoSpaceDE/>
        <w:autoSpaceDN/>
        <w:adjustRightInd/>
      </w:pPr>
      <w:r w:rsidRPr="00E828BE">
        <w:t>Rationale for any determination that reporting of an identified adverse incident is not required consistent with allowances identified in the PGP</w:t>
      </w:r>
    </w:p>
    <w:p w14:paraId="68F61823" w14:textId="77777777" w:rsidR="00985651" w:rsidRPr="00E828BE" w:rsidRDefault="00985651" w:rsidP="001E5FF7">
      <w:pPr>
        <w:pStyle w:val="ListBullet2"/>
        <w:widowControl/>
        <w:numPr>
          <w:ilvl w:val="0"/>
          <w:numId w:val="24"/>
        </w:numPr>
        <w:autoSpaceDE/>
        <w:autoSpaceDN/>
        <w:adjustRightInd/>
      </w:pPr>
      <w:r w:rsidRPr="00E828BE">
        <w:t>A copy of any corrective action documentation</w:t>
      </w:r>
    </w:p>
    <w:p w14:paraId="4408E323" w14:textId="77777777" w:rsidR="00985651" w:rsidRPr="00E828BE" w:rsidRDefault="00985651" w:rsidP="001E5FF7">
      <w:pPr>
        <w:pStyle w:val="ListBullet2"/>
        <w:widowControl/>
        <w:numPr>
          <w:ilvl w:val="0"/>
          <w:numId w:val="24"/>
        </w:numPr>
        <w:autoSpaceDE/>
        <w:autoSpaceDN/>
        <w:adjustRightInd/>
      </w:pPr>
      <w:r w:rsidRPr="00E828BE">
        <w:t>A copy of any spill and leak or other unpermitted discharge documentation.</w:t>
      </w:r>
    </w:p>
    <w:p w14:paraId="23FE8930" w14:textId="77777777" w:rsidR="001E5FF7" w:rsidRPr="00E828BE" w:rsidRDefault="001E5FF7" w:rsidP="001E5FF7">
      <w:pPr>
        <w:pStyle w:val="ListBullet2"/>
        <w:widowControl/>
        <w:tabs>
          <w:tab w:val="clear" w:pos="720"/>
        </w:tabs>
        <w:autoSpaceDE/>
        <w:autoSpaceDN/>
        <w:adjustRightInd/>
      </w:pPr>
    </w:p>
    <w:p w14:paraId="76E1B73F" w14:textId="77777777" w:rsidR="00985651" w:rsidRPr="00E828BE" w:rsidRDefault="00573CB5" w:rsidP="001E5FF7">
      <w:pPr>
        <w:pStyle w:val="BodyText"/>
        <w:spacing w:after="0"/>
      </w:pPr>
      <w:r w:rsidRPr="00E828BE">
        <w:t xml:space="preserve">EPA expects </w:t>
      </w:r>
      <w:r w:rsidR="00057702">
        <w:t>operator</w:t>
      </w:r>
      <w:r w:rsidRPr="00E828BE">
        <w:t>s to incur a relatively minor additional burden for paperwork associated with adverse incidents, corrective action, and spills</w:t>
      </w:r>
      <w:r w:rsidR="001F4874" w:rsidRPr="00E828BE">
        <w:t xml:space="preserve">. </w:t>
      </w:r>
      <w:r w:rsidRPr="00E828BE">
        <w:t xml:space="preserve">EPA expects these </w:t>
      </w:r>
      <w:r w:rsidR="00057702">
        <w:t>operator</w:t>
      </w:r>
      <w:r w:rsidRPr="00E828BE">
        <w:t xml:space="preserve">s </w:t>
      </w:r>
      <w:r w:rsidR="00985651" w:rsidRPr="00E828BE">
        <w:t xml:space="preserve">likely already have filing capacity for paper files including any correspondence with EPA, as well as </w:t>
      </w:r>
      <w:r w:rsidRPr="00E828BE">
        <w:t xml:space="preserve">to </w:t>
      </w:r>
      <w:r w:rsidR="00985651" w:rsidRPr="00E828BE">
        <w:t>prepare and save any adverse incident reports electronically</w:t>
      </w:r>
      <w:r w:rsidR="001F4874" w:rsidRPr="00E828BE">
        <w:t xml:space="preserve">. </w:t>
      </w:r>
      <w:r w:rsidR="00985651" w:rsidRPr="00E828BE">
        <w:t>In addition, entities would only incur these costs in the event of an adverse incident, corrective action, or spill/leak.</w:t>
      </w:r>
    </w:p>
    <w:p w14:paraId="4C3FF0A9" w14:textId="77777777" w:rsidR="001E5FF7" w:rsidRPr="00E828BE" w:rsidRDefault="001E5FF7" w:rsidP="001E5FF7">
      <w:pPr>
        <w:pStyle w:val="BodyText"/>
        <w:spacing w:after="0"/>
      </w:pPr>
    </w:p>
    <w:p w14:paraId="4C005823" w14:textId="77777777" w:rsidR="00C32A9D" w:rsidRPr="00E828BE" w:rsidRDefault="00F32DDD" w:rsidP="001E5FF7">
      <w:pPr>
        <w:pStyle w:val="BodyText"/>
        <w:numPr>
          <w:ilvl w:val="0"/>
          <w:numId w:val="13"/>
        </w:numPr>
        <w:spacing w:after="0"/>
      </w:pPr>
      <w:r w:rsidRPr="00E828BE">
        <w:t xml:space="preserve"> </w:t>
      </w:r>
      <w:r w:rsidR="00C32A9D" w:rsidRPr="00E828BE">
        <w:t xml:space="preserve">According to the EPA’s PGP, all </w:t>
      </w:r>
      <w:r w:rsidR="00057702">
        <w:t>operator</w:t>
      </w:r>
      <w:r w:rsidR="00C32A9D" w:rsidRPr="00E828BE">
        <w:t>s who are for-hire applicators must retain the following records:</w:t>
      </w:r>
    </w:p>
    <w:p w14:paraId="44422143" w14:textId="77777777" w:rsidR="00C32A9D" w:rsidRPr="00E828BE" w:rsidRDefault="00C32A9D" w:rsidP="001E5FF7">
      <w:pPr>
        <w:pStyle w:val="BodyText"/>
        <w:numPr>
          <w:ilvl w:val="0"/>
          <w:numId w:val="11"/>
        </w:numPr>
        <w:spacing w:after="0"/>
      </w:pPr>
      <w:r w:rsidRPr="00E828BE">
        <w:t xml:space="preserve">Documentation of equipment calibration; and </w:t>
      </w:r>
    </w:p>
    <w:p w14:paraId="3802EC6B" w14:textId="77777777" w:rsidR="00C32A9D" w:rsidRPr="00E828BE" w:rsidRDefault="00C32A9D" w:rsidP="001E5FF7">
      <w:pPr>
        <w:pStyle w:val="BodyText"/>
        <w:numPr>
          <w:ilvl w:val="0"/>
          <w:numId w:val="11"/>
        </w:numPr>
        <w:spacing w:after="0"/>
      </w:pPr>
      <w:r w:rsidRPr="00E828BE">
        <w:t>Information on each treatment area to which pesticides are discharged, including:</w:t>
      </w:r>
    </w:p>
    <w:p w14:paraId="63349FFB" w14:textId="77777777" w:rsidR="00C32A9D" w:rsidRPr="00E828BE" w:rsidRDefault="00C32A9D" w:rsidP="001E5FF7">
      <w:pPr>
        <w:pStyle w:val="BodyText"/>
        <w:numPr>
          <w:ilvl w:val="0"/>
          <w:numId w:val="12"/>
        </w:numPr>
        <w:spacing w:after="0"/>
      </w:pPr>
      <w:r w:rsidRPr="00E828BE">
        <w:t>Description of each treatment area, including location and size (acres or linear feet) of treatment area and identification of any waters, either by name or by locations, to which pesticide(s) are discharged;</w:t>
      </w:r>
    </w:p>
    <w:p w14:paraId="74EA5B96" w14:textId="77777777" w:rsidR="00C32A9D" w:rsidRPr="00E828BE" w:rsidRDefault="00C32A9D" w:rsidP="001E5FF7">
      <w:pPr>
        <w:pStyle w:val="BodyText"/>
        <w:numPr>
          <w:ilvl w:val="0"/>
          <w:numId w:val="12"/>
        </w:numPr>
        <w:spacing w:after="0"/>
      </w:pPr>
      <w:r w:rsidRPr="00E828BE">
        <w:t>Pesticide use pattern(s);</w:t>
      </w:r>
    </w:p>
    <w:p w14:paraId="5DC88FE9" w14:textId="77777777" w:rsidR="00C32A9D" w:rsidRPr="00E828BE" w:rsidRDefault="00C32A9D" w:rsidP="001E5FF7">
      <w:pPr>
        <w:pStyle w:val="BodyText"/>
        <w:numPr>
          <w:ilvl w:val="0"/>
          <w:numId w:val="12"/>
        </w:numPr>
        <w:spacing w:after="0"/>
      </w:pPr>
      <w:r w:rsidRPr="00E828BE">
        <w:t>Target pest(s)</w:t>
      </w:r>
    </w:p>
    <w:p w14:paraId="7245D8C0" w14:textId="77777777" w:rsidR="00C32A9D" w:rsidRPr="00E828BE" w:rsidRDefault="00C32A9D" w:rsidP="001E5FF7">
      <w:pPr>
        <w:pStyle w:val="BodyText"/>
        <w:numPr>
          <w:ilvl w:val="0"/>
          <w:numId w:val="12"/>
        </w:numPr>
        <w:spacing w:after="0"/>
      </w:pPr>
      <w:r w:rsidRPr="00E828BE">
        <w:t>Name of each pesticide product used including the EPA registration number;</w:t>
      </w:r>
    </w:p>
    <w:p w14:paraId="7C99284B" w14:textId="77777777" w:rsidR="00C32A9D" w:rsidRPr="00E828BE" w:rsidRDefault="00C32A9D" w:rsidP="001E5FF7">
      <w:pPr>
        <w:pStyle w:val="BodyText"/>
        <w:numPr>
          <w:ilvl w:val="0"/>
          <w:numId w:val="12"/>
        </w:numPr>
        <w:spacing w:after="0"/>
      </w:pPr>
      <w:r w:rsidRPr="00E828BE">
        <w:t>Quantity of each pesticide product applied to each treatment area;</w:t>
      </w:r>
    </w:p>
    <w:p w14:paraId="1AABD0D7" w14:textId="77777777" w:rsidR="00C32A9D" w:rsidRPr="00E828BE" w:rsidRDefault="00C32A9D" w:rsidP="001E5FF7">
      <w:pPr>
        <w:pStyle w:val="BodyText"/>
        <w:numPr>
          <w:ilvl w:val="0"/>
          <w:numId w:val="12"/>
        </w:numPr>
        <w:spacing w:after="0"/>
      </w:pPr>
      <w:r w:rsidRPr="00E828BE">
        <w:t xml:space="preserve">Pesticide application </w:t>
      </w:r>
      <w:r w:rsidR="00F32DDD" w:rsidRPr="00E828BE">
        <w:t>date(</w:t>
      </w:r>
      <w:r w:rsidRPr="00E828BE">
        <w:t xml:space="preserve">s); and </w:t>
      </w:r>
    </w:p>
    <w:p w14:paraId="4C778ADE" w14:textId="77777777" w:rsidR="00C32A9D" w:rsidRPr="00E828BE" w:rsidRDefault="00C32A9D" w:rsidP="001E5FF7">
      <w:pPr>
        <w:pStyle w:val="BodyText"/>
        <w:numPr>
          <w:ilvl w:val="0"/>
          <w:numId w:val="12"/>
        </w:numPr>
        <w:spacing w:after="0"/>
      </w:pPr>
      <w:r w:rsidRPr="00E828BE">
        <w:t>Whether or not visual monitoring was conducted during pesticide application and/or post-application and if not, why not and whether monitoring identified any possible or observable adverse incidents caused by application of pesticides</w:t>
      </w:r>
      <w:r w:rsidR="001F4874" w:rsidRPr="00E828BE">
        <w:t xml:space="preserve">. </w:t>
      </w:r>
    </w:p>
    <w:p w14:paraId="21173A6C" w14:textId="77777777" w:rsidR="001E5FF7" w:rsidRPr="00E828BE" w:rsidRDefault="001E5FF7" w:rsidP="000D4BF4">
      <w:pPr>
        <w:pStyle w:val="BodyText"/>
        <w:spacing w:after="0"/>
      </w:pPr>
    </w:p>
    <w:p w14:paraId="1328F78F" w14:textId="77777777" w:rsidR="00F32DDD" w:rsidRPr="00E828BE" w:rsidRDefault="00F32DDD" w:rsidP="001E5FF7">
      <w:pPr>
        <w:pStyle w:val="BodyText"/>
        <w:widowControl/>
        <w:numPr>
          <w:ilvl w:val="0"/>
          <w:numId w:val="13"/>
        </w:numPr>
        <w:spacing w:after="0"/>
      </w:pPr>
      <w:r w:rsidRPr="00E828BE">
        <w:t xml:space="preserve">According to the EPA’s PGP, any </w:t>
      </w:r>
      <w:r w:rsidR="008D77A7">
        <w:t>decision-maker</w:t>
      </w:r>
      <w:r w:rsidRPr="00E828BE">
        <w:t xml:space="preserve"> </w:t>
      </w:r>
      <w:r w:rsidR="008D77A7">
        <w:t xml:space="preserve">that is </w:t>
      </w:r>
      <w:r w:rsidRPr="00E828BE">
        <w:t>required to submit an NOI and is a small entity must retain the following records:</w:t>
      </w:r>
    </w:p>
    <w:p w14:paraId="25ADF6E0" w14:textId="77777777" w:rsidR="00F32DDD" w:rsidRPr="00E828BE" w:rsidRDefault="00F32DDD" w:rsidP="001E5FF7">
      <w:pPr>
        <w:pStyle w:val="BodyText"/>
        <w:numPr>
          <w:ilvl w:val="0"/>
          <w:numId w:val="15"/>
        </w:numPr>
        <w:spacing w:after="0"/>
      </w:pPr>
      <w:bookmarkStart w:id="52" w:name="_GoBack"/>
      <w:bookmarkEnd w:id="52"/>
      <w:r w:rsidRPr="00E828BE">
        <w:t xml:space="preserve">Copy of the NOI submitted to EPA, any correspondence exchanged between the </w:t>
      </w:r>
      <w:r w:rsidR="008D77A7">
        <w:t>decision-maker</w:t>
      </w:r>
      <w:r w:rsidRPr="00E828BE">
        <w:t xml:space="preserve"> and EPA specific to coverage under this permit, and a copy of the EPA acknowledgment letter with the assigned permit tracking number;</w:t>
      </w:r>
    </w:p>
    <w:p w14:paraId="1DE4C59F" w14:textId="77777777" w:rsidR="00F32DDD" w:rsidRPr="00E828BE" w:rsidRDefault="00F32DDD" w:rsidP="001E5FF7">
      <w:pPr>
        <w:pStyle w:val="BodyText"/>
        <w:numPr>
          <w:ilvl w:val="0"/>
          <w:numId w:val="15"/>
        </w:numPr>
        <w:spacing w:after="0"/>
      </w:pPr>
      <w:r w:rsidRPr="00E828BE">
        <w:t xml:space="preserve">Documentation of equipment calibration (only if </w:t>
      </w:r>
      <w:r w:rsidR="008D77A7">
        <w:t>decision-maker</w:t>
      </w:r>
      <w:r w:rsidRPr="00E828BE">
        <w:t xml:space="preserve"> is also the </w:t>
      </w:r>
      <w:r w:rsidR="008D77A7">
        <w:t>applicator</w:t>
      </w:r>
      <w:r w:rsidRPr="00E828BE">
        <w:t>);</w:t>
      </w:r>
    </w:p>
    <w:p w14:paraId="6C7E1ADC" w14:textId="77777777" w:rsidR="00F32DDD" w:rsidRPr="00E828BE" w:rsidRDefault="00F32DDD" w:rsidP="001E5FF7">
      <w:pPr>
        <w:pStyle w:val="BodyText"/>
        <w:numPr>
          <w:ilvl w:val="0"/>
          <w:numId w:val="15"/>
        </w:numPr>
        <w:spacing w:after="0"/>
      </w:pPr>
      <w:r w:rsidRPr="00E828BE">
        <w:t>Information on each treatment area to which pesticides are discharged, including:</w:t>
      </w:r>
    </w:p>
    <w:p w14:paraId="3CD9494E" w14:textId="77777777" w:rsidR="00F32DDD" w:rsidRPr="00E828BE" w:rsidRDefault="00F32DDD" w:rsidP="000D4BF4">
      <w:pPr>
        <w:pStyle w:val="BodyText"/>
        <w:numPr>
          <w:ilvl w:val="1"/>
          <w:numId w:val="15"/>
        </w:numPr>
        <w:spacing w:after="0"/>
      </w:pPr>
      <w:r w:rsidRPr="00E828BE">
        <w:t>Description of treatment area, including location and size (acres or linear feet) of treatment area and identification of any waters of the United States, either by name or by location, to which pesticide</w:t>
      </w:r>
      <w:r w:rsidR="00396A26" w:rsidRPr="00E828BE">
        <w:t>(</w:t>
      </w:r>
      <w:r w:rsidRPr="00E828BE">
        <w:t>s) are discharged;</w:t>
      </w:r>
    </w:p>
    <w:p w14:paraId="76DE1803" w14:textId="77777777" w:rsidR="00F32DDD" w:rsidRPr="00E828BE" w:rsidRDefault="00F32DDD" w:rsidP="000D4BF4">
      <w:pPr>
        <w:pStyle w:val="BodyText"/>
        <w:numPr>
          <w:ilvl w:val="1"/>
          <w:numId w:val="15"/>
        </w:numPr>
        <w:spacing w:after="0"/>
      </w:pPr>
      <w:r w:rsidRPr="00E828BE">
        <w:t>Pesticide use pattern(s);</w:t>
      </w:r>
    </w:p>
    <w:p w14:paraId="414C33C2" w14:textId="77777777" w:rsidR="00F32DDD" w:rsidRPr="00E828BE" w:rsidRDefault="00F32DDD" w:rsidP="000D4BF4">
      <w:pPr>
        <w:pStyle w:val="BodyText"/>
        <w:numPr>
          <w:ilvl w:val="1"/>
          <w:numId w:val="15"/>
        </w:numPr>
        <w:spacing w:after="0"/>
      </w:pPr>
      <w:r w:rsidRPr="00E828BE">
        <w:t>Target pest(s) and explanation of need for pest control;</w:t>
      </w:r>
    </w:p>
    <w:p w14:paraId="236A7F4E" w14:textId="77777777" w:rsidR="00F32DDD" w:rsidRPr="00E828BE" w:rsidRDefault="007D1F05" w:rsidP="000D4BF4">
      <w:pPr>
        <w:pStyle w:val="BodyText"/>
        <w:numPr>
          <w:ilvl w:val="1"/>
          <w:numId w:val="15"/>
        </w:numPr>
        <w:spacing w:after="0"/>
      </w:pPr>
      <w:r w:rsidRPr="00E828BE">
        <w:t xml:space="preserve">Description of pest management measure(s) implemented prior to the first pesticide application; </w:t>
      </w:r>
    </w:p>
    <w:p w14:paraId="47A2A768" w14:textId="77777777" w:rsidR="007D1F05" w:rsidRPr="00E828BE" w:rsidRDefault="007D1F05" w:rsidP="000D4BF4">
      <w:pPr>
        <w:pStyle w:val="BodyText"/>
        <w:numPr>
          <w:ilvl w:val="1"/>
          <w:numId w:val="15"/>
        </w:numPr>
        <w:spacing w:after="0"/>
      </w:pPr>
      <w:r w:rsidRPr="00E828BE">
        <w:lastRenderedPageBreak/>
        <w:t>Company name and contact information for pesticide applicator;</w:t>
      </w:r>
    </w:p>
    <w:p w14:paraId="45FD12FA" w14:textId="77777777" w:rsidR="007D1F05" w:rsidRPr="00E828BE" w:rsidRDefault="007D1F05" w:rsidP="000D4BF4">
      <w:pPr>
        <w:pStyle w:val="BodyText"/>
        <w:numPr>
          <w:ilvl w:val="1"/>
          <w:numId w:val="15"/>
        </w:numPr>
        <w:spacing w:after="0"/>
      </w:pPr>
      <w:r w:rsidRPr="00E828BE">
        <w:t>Name of each pesticide product used including the EPA registration number;</w:t>
      </w:r>
    </w:p>
    <w:p w14:paraId="18CDE4A1" w14:textId="77777777" w:rsidR="007D1F05" w:rsidRPr="00E828BE" w:rsidRDefault="007D1F05" w:rsidP="000D4BF4">
      <w:pPr>
        <w:pStyle w:val="BodyText"/>
        <w:numPr>
          <w:ilvl w:val="1"/>
          <w:numId w:val="15"/>
        </w:numPr>
        <w:spacing w:after="0"/>
      </w:pPr>
      <w:r w:rsidRPr="00E828BE">
        <w:t>Quantity of each pesticide product applied to each treatment area;</w:t>
      </w:r>
    </w:p>
    <w:p w14:paraId="2DC8A5DE" w14:textId="77777777" w:rsidR="007D1F05" w:rsidRPr="00E828BE" w:rsidRDefault="007D1F05" w:rsidP="000D4BF4">
      <w:pPr>
        <w:pStyle w:val="BodyText"/>
        <w:numPr>
          <w:ilvl w:val="1"/>
          <w:numId w:val="15"/>
        </w:numPr>
        <w:spacing w:after="0"/>
      </w:pPr>
      <w:r w:rsidRPr="00E828BE">
        <w:t>Pesticide Application Start Date;</w:t>
      </w:r>
    </w:p>
    <w:p w14:paraId="05900407" w14:textId="77777777" w:rsidR="007D1F05" w:rsidRPr="00E828BE" w:rsidRDefault="007D1F05" w:rsidP="000D4BF4">
      <w:pPr>
        <w:pStyle w:val="BodyText"/>
        <w:numPr>
          <w:ilvl w:val="1"/>
          <w:numId w:val="15"/>
        </w:numPr>
        <w:spacing w:after="0"/>
      </w:pPr>
      <w:r w:rsidRPr="00E828BE">
        <w:t>Pesticide Application End Date; and</w:t>
      </w:r>
    </w:p>
    <w:p w14:paraId="00F733DF" w14:textId="77777777" w:rsidR="007D1F05" w:rsidRPr="00E828BE" w:rsidRDefault="007D1F05" w:rsidP="000D4BF4">
      <w:pPr>
        <w:pStyle w:val="BodyText"/>
        <w:numPr>
          <w:ilvl w:val="1"/>
          <w:numId w:val="15"/>
        </w:numPr>
        <w:spacing w:after="0"/>
      </w:pPr>
      <w:r w:rsidRPr="00E828BE">
        <w:t>Whether or not visual monitoring was conducted during pesticide application and/or post-application and if not, why not and whether monitoring identified any possible or observable adverse incidents caused by application of pesticides.</w:t>
      </w:r>
    </w:p>
    <w:p w14:paraId="268DB5C0" w14:textId="77777777" w:rsidR="001E5FF7" w:rsidRPr="00E828BE" w:rsidRDefault="001E5FF7" w:rsidP="001E5FF7">
      <w:pPr>
        <w:pStyle w:val="BodyText"/>
        <w:spacing w:after="0"/>
      </w:pPr>
    </w:p>
    <w:p w14:paraId="25824205" w14:textId="77777777" w:rsidR="007D1F05" w:rsidRPr="00E828BE" w:rsidRDefault="007D1F05" w:rsidP="001E5FF7">
      <w:pPr>
        <w:pStyle w:val="BodyText"/>
        <w:spacing w:after="0"/>
      </w:pPr>
      <w:r w:rsidRPr="00E828BE">
        <w:t>A worksheet (Pesticide Discharge Evaluation Worksheet) for documenting this information on each treatment area is provided in the permit</w:t>
      </w:r>
      <w:r w:rsidR="00C669D9" w:rsidRPr="00E828BE">
        <w:t xml:space="preserve"> (see Appendix D for a copy of the Pesticide Discharge Evaluation Worksheet)</w:t>
      </w:r>
      <w:r w:rsidR="001F4874" w:rsidRPr="00E828BE">
        <w:t xml:space="preserve">. </w:t>
      </w:r>
    </w:p>
    <w:p w14:paraId="112B92CC" w14:textId="77777777" w:rsidR="007D1F05" w:rsidRPr="00E828BE" w:rsidRDefault="007D1F05" w:rsidP="001E5FF7">
      <w:pPr>
        <w:pStyle w:val="BodyText"/>
        <w:spacing w:after="0"/>
      </w:pPr>
    </w:p>
    <w:p w14:paraId="4FAB5731" w14:textId="77777777" w:rsidR="00985651" w:rsidRPr="00E828BE" w:rsidRDefault="007D1F05" w:rsidP="001E5FF7">
      <w:pPr>
        <w:pStyle w:val="BodyText"/>
        <w:numPr>
          <w:ilvl w:val="0"/>
          <w:numId w:val="13"/>
        </w:numPr>
        <w:spacing w:after="0"/>
      </w:pPr>
      <w:r w:rsidRPr="00E828BE">
        <w:t xml:space="preserve">According to the EPA’s final permit any </w:t>
      </w:r>
      <w:r w:rsidR="008D77A7">
        <w:t>decision-maker</w:t>
      </w:r>
      <w:r w:rsidRPr="00E828BE">
        <w:t xml:space="preserve"> </w:t>
      </w:r>
      <w:r w:rsidR="008D77A7">
        <w:t xml:space="preserve">that is </w:t>
      </w:r>
      <w:r w:rsidRPr="00E828BE">
        <w:t>required to submit an NOI and is a large entity must retain the following records</w:t>
      </w:r>
      <w:r w:rsidR="00985651" w:rsidRPr="00E828BE">
        <w:t>:</w:t>
      </w:r>
    </w:p>
    <w:p w14:paraId="7B3CC209" w14:textId="77777777" w:rsidR="00985651" w:rsidRPr="00E828BE" w:rsidRDefault="00985651" w:rsidP="001E5FF7">
      <w:pPr>
        <w:pStyle w:val="BodyTextIndent2"/>
        <w:numPr>
          <w:ilvl w:val="0"/>
          <w:numId w:val="14"/>
        </w:numPr>
        <w:spacing w:after="0" w:line="240" w:lineRule="auto"/>
      </w:pPr>
      <w:r w:rsidRPr="00E828BE">
        <w:t xml:space="preserve">Copy of the NOI submitted to EPA, any correspondence exchanged between the </w:t>
      </w:r>
      <w:r w:rsidR="008D77A7">
        <w:t>decision-maker</w:t>
      </w:r>
      <w:r w:rsidRPr="00E828BE">
        <w:t xml:space="preserve"> and EPA specific to coverage under this permit, and a copy of the EPA acknowledgment letter with the assigned permit tracking number; </w:t>
      </w:r>
    </w:p>
    <w:p w14:paraId="64ECC383" w14:textId="77777777" w:rsidR="00985651" w:rsidRPr="00E828BE" w:rsidRDefault="00985651" w:rsidP="001E5FF7">
      <w:pPr>
        <w:pStyle w:val="BodyTextIndent2"/>
        <w:numPr>
          <w:ilvl w:val="0"/>
          <w:numId w:val="14"/>
        </w:numPr>
        <w:spacing w:after="0" w:line="240" w:lineRule="auto"/>
      </w:pPr>
      <w:r w:rsidRPr="00E828BE">
        <w:t>A copy of the PDMP, including any modifications made to the PDMP during the term of this permit;</w:t>
      </w:r>
    </w:p>
    <w:p w14:paraId="6A155653" w14:textId="77777777" w:rsidR="00985651" w:rsidRPr="00E828BE" w:rsidRDefault="00985651" w:rsidP="001E5FF7">
      <w:pPr>
        <w:pStyle w:val="BodyTextIndent2"/>
        <w:numPr>
          <w:ilvl w:val="0"/>
          <w:numId w:val="14"/>
        </w:numPr>
        <w:spacing w:after="0" w:line="240" w:lineRule="auto"/>
      </w:pPr>
      <w:r w:rsidRPr="00E828BE">
        <w:t xml:space="preserve">Copy of annual reports submitted to EPA; </w:t>
      </w:r>
    </w:p>
    <w:p w14:paraId="4F9D90E8" w14:textId="77777777" w:rsidR="00985651" w:rsidRPr="00E828BE" w:rsidRDefault="00985651" w:rsidP="001E5FF7">
      <w:pPr>
        <w:pStyle w:val="BodyTextIndent2"/>
        <w:numPr>
          <w:ilvl w:val="0"/>
          <w:numId w:val="14"/>
        </w:numPr>
        <w:spacing w:after="0" w:line="240" w:lineRule="auto"/>
      </w:pPr>
      <w:r w:rsidRPr="00E828BE">
        <w:t xml:space="preserve">Documentation of equipment calibration (only if </w:t>
      </w:r>
      <w:r w:rsidR="008D77A7">
        <w:t>decision-maker</w:t>
      </w:r>
      <w:r w:rsidRPr="00E828BE">
        <w:t xml:space="preserve"> is also the </w:t>
      </w:r>
      <w:r w:rsidR="008D77A7">
        <w:t>applicator</w:t>
      </w:r>
      <w:r w:rsidRPr="00E828BE">
        <w:t>);</w:t>
      </w:r>
    </w:p>
    <w:p w14:paraId="6ACCFD8E" w14:textId="77777777" w:rsidR="00985651" w:rsidRPr="00E828BE" w:rsidRDefault="00985651" w:rsidP="001E5FF7">
      <w:pPr>
        <w:pStyle w:val="BodyTextIndent2"/>
        <w:numPr>
          <w:ilvl w:val="0"/>
          <w:numId w:val="14"/>
        </w:numPr>
        <w:spacing w:after="0" w:line="240" w:lineRule="auto"/>
      </w:pPr>
      <w:r w:rsidRPr="00E828BE">
        <w:t>Information on each treatment area to which pesticides are discharged, including:</w:t>
      </w:r>
    </w:p>
    <w:p w14:paraId="5528124B" w14:textId="77777777" w:rsidR="00985651" w:rsidRPr="00E828BE" w:rsidRDefault="00985651" w:rsidP="001E5FF7">
      <w:pPr>
        <w:pStyle w:val="BodyTextIndent2"/>
        <w:widowControl/>
        <w:numPr>
          <w:ilvl w:val="1"/>
          <w:numId w:val="9"/>
        </w:numPr>
        <w:autoSpaceDE/>
        <w:autoSpaceDN/>
        <w:adjustRightInd/>
        <w:spacing w:after="0" w:line="240" w:lineRule="auto"/>
      </w:pPr>
      <w:r w:rsidRPr="00E828BE">
        <w:t>Description of each treatment area, including location and size (acres or linear feet) of treatment area and identification of any Waters of the United States, either by name or by location, to which pesticide(s) are discharged;</w:t>
      </w:r>
    </w:p>
    <w:p w14:paraId="7D529BB0" w14:textId="77777777" w:rsidR="00985651" w:rsidRPr="00E828BE" w:rsidRDefault="00985651" w:rsidP="001E5FF7">
      <w:pPr>
        <w:pStyle w:val="BodyTextIndent2"/>
        <w:widowControl/>
        <w:numPr>
          <w:ilvl w:val="1"/>
          <w:numId w:val="9"/>
        </w:numPr>
        <w:autoSpaceDE/>
        <w:autoSpaceDN/>
        <w:adjustRightInd/>
        <w:spacing w:after="0" w:line="240" w:lineRule="auto"/>
      </w:pPr>
      <w:r w:rsidRPr="00E828BE">
        <w:t>Pesticide use pattern(s) (i.e., mosquito and other flying insects, weed and algae, animal pest, or forest canopy);</w:t>
      </w:r>
    </w:p>
    <w:p w14:paraId="652BA3F9" w14:textId="77777777" w:rsidR="00985651" w:rsidRPr="00E828BE" w:rsidRDefault="00985651" w:rsidP="001E5FF7">
      <w:pPr>
        <w:pStyle w:val="BodyTextIndent2"/>
        <w:widowControl/>
        <w:numPr>
          <w:ilvl w:val="1"/>
          <w:numId w:val="9"/>
        </w:numPr>
        <w:autoSpaceDE/>
        <w:autoSpaceDN/>
        <w:adjustRightInd/>
        <w:spacing w:after="0" w:line="240" w:lineRule="auto"/>
      </w:pPr>
      <w:r w:rsidRPr="00E828BE">
        <w:t>Target pest(s) and explanation of need for pest control;</w:t>
      </w:r>
    </w:p>
    <w:p w14:paraId="563E7D2B" w14:textId="77777777" w:rsidR="00985651" w:rsidRPr="00E828BE" w:rsidRDefault="00985651" w:rsidP="001E5FF7">
      <w:pPr>
        <w:pStyle w:val="BodyTextIndent2"/>
        <w:widowControl/>
        <w:numPr>
          <w:ilvl w:val="1"/>
          <w:numId w:val="9"/>
        </w:numPr>
        <w:autoSpaceDE/>
        <w:autoSpaceDN/>
        <w:adjustRightInd/>
        <w:spacing w:after="0" w:line="240" w:lineRule="auto"/>
      </w:pPr>
      <w:r w:rsidRPr="00E828BE">
        <w:t>Action Thresholds;</w:t>
      </w:r>
    </w:p>
    <w:p w14:paraId="3654C22C" w14:textId="77777777" w:rsidR="00985651" w:rsidRPr="00E828BE" w:rsidRDefault="00985651" w:rsidP="001E5FF7">
      <w:pPr>
        <w:pStyle w:val="BodyTextIndent2"/>
        <w:widowControl/>
        <w:numPr>
          <w:ilvl w:val="1"/>
          <w:numId w:val="9"/>
        </w:numPr>
        <w:autoSpaceDE/>
        <w:autoSpaceDN/>
        <w:adjustRightInd/>
        <w:spacing w:after="0" w:line="240" w:lineRule="auto"/>
      </w:pPr>
      <w:r w:rsidRPr="00E828BE">
        <w:t>Method and/or data used to determine that action threshold(s) has been met;</w:t>
      </w:r>
    </w:p>
    <w:p w14:paraId="6CA9ECDF" w14:textId="77777777" w:rsidR="00985651" w:rsidRPr="00E828BE" w:rsidRDefault="00985651" w:rsidP="001E5FF7">
      <w:pPr>
        <w:pStyle w:val="BodyTextIndent2"/>
        <w:widowControl/>
        <w:numPr>
          <w:ilvl w:val="1"/>
          <w:numId w:val="9"/>
        </w:numPr>
        <w:autoSpaceDE/>
        <w:autoSpaceDN/>
        <w:adjustRightInd/>
        <w:spacing w:after="0" w:line="240" w:lineRule="auto"/>
      </w:pPr>
      <w:r w:rsidRPr="00E828BE">
        <w:t>Description of pest management measure(s) implemented prior to the first pesticide application;</w:t>
      </w:r>
      <w:r w:rsidRPr="00E828BE" w:rsidDel="00BB56E9">
        <w:t xml:space="preserve"> </w:t>
      </w:r>
    </w:p>
    <w:p w14:paraId="4DF10D83" w14:textId="77777777" w:rsidR="00985651" w:rsidRPr="00E828BE" w:rsidRDefault="00985651" w:rsidP="001E5FF7">
      <w:pPr>
        <w:pStyle w:val="BodyTextIndent2"/>
        <w:widowControl/>
        <w:numPr>
          <w:ilvl w:val="1"/>
          <w:numId w:val="9"/>
        </w:numPr>
        <w:autoSpaceDE/>
        <w:autoSpaceDN/>
        <w:adjustRightInd/>
        <w:spacing w:after="0" w:line="240" w:lineRule="auto"/>
      </w:pPr>
      <w:r w:rsidRPr="00E828BE">
        <w:t>Company name and contact information for pesticide applicator;</w:t>
      </w:r>
      <w:r w:rsidRPr="00E828BE" w:rsidDel="00BB56E9">
        <w:t xml:space="preserve"> </w:t>
      </w:r>
    </w:p>
    <w:p w14:paraId="33A04703" w14:textId="77777777" w:rsidR="00985651" w:rsidRPr="00E828BE" w:rsidRDefault="00985651" w:rsidP="001E5FF7">
      <w:pPr>
        <w:pStyle w:val="BodyTextIndent2"/>
        <w:widowControl/>
        <w:numPr>
          <w:ilvl w:val="1"/>
          <w:numId w:val="9"/>
        </w:numPr>
        <w:autoSpaceDE/>
        <w:autoSpaceDN/>
        <w:adjustRightInd/>
        <w:spacing w:after="0" w:line="240" w:lineRule="auto"/>
      </w:pPr>
      <w:r w:rsidRPr="00E828BE">
        <w:t>Name of each pesticide product used including the EPA registration number;</w:t>
      </w:r>
    </w:p>
    <w:p w14:paraId="26D11190" w14:textId="77777777" w:rsidR="00985651" w:rsidRPr="00E828BE" w:rsidRDefault="00985651" w:rsidP="001E5FF7">
      <w:pPr>
        <w:pStyle w:val="BodyTextIndent2"/>
        <w:widowControl/>
        <w:numPr>
          <w:ilvl w:val="1"/>
          <w:numId w:val="9"/>
        </w:numPr>
        <w:autoSpaceDE/>
        <w:autoSpaceDN/>
        <w:adjustRightInd/>
        <w:spacing w:after="0" w:line="240" w:lineRule="auto"/>
      </w:pPr>
      <w:r w:rsidRPr="00E828BE">
        <w:t>Quantity of each pesticide product applied to each treatment area;</w:t>
      </w:r>
    </w:p>
    <w:p w14:paraId="3D9B8220" w14:textId="77777777" w:rsidR="00985651" w:rsidRPr="00E828BE" w:rsidRDefault="00985651" w:rsidP="001E5FF7">
      <w:pPr>
        <w:pStyle w:val="BodyTextIndent2"/>
        <w:widowControl/>
        <w:numPr>
          <w:ilvl w:val="1"/>
          <w:numId w:val="9"/>
        </w:numPr>
        <w:autoSpaceDE/>
        <w:autoSpaceDN/>
        <w:adjustRightInd/>
        <w:spacing w:after="0" w:line="240" w:lineRule="auto"/>
      </w:pPr>
      <w:r w:rsidRPr="00E828BE">
        <w:t>Pesticide application date(s); and</w:t>
      </w:r>
    </w:p>
    <w:p w14:paraId="11DBE40A" w14:textId="77777777" w:rsidR="00985651" w:rsidRPr="00E828BE" w:rsidRDefault="00985651" w:rsidP="001E5FF7">
      <w:pPr>
        <w:pStyle w:val="ListBullet2"/>
        <w:widowControl/>
        <w:numPr>
          <w:ilvl w:val="1"/>
          <w:numId w:val="9"/>
        </w:numPr>
        <w:autoSpaceDE/>
        <w:autoSpaceDN/>
        <w:adjustRightInd/>
      </w:pPr>
      <w:r w:rsidRPr="00E828BE">
        <w:t>Whether or not visual monitoring was conducted during pesticide application and/or post-application and if not, why not and whether monitoring identified any possible or observable adverse incidents caused by application of pesticides.</w:t>
      </w:r>
    </w:p>
    <w:p w14:paraId="3BC80204" w14:textId="77777777" w:rsidR="00985651" w:rsidRPr="00E828BE" w:rsidRDefault="00985651" w:rsidP="001D6D10">
      <w:pPr>
        <w:pStyle w:val="Heading4"/>
        <w:widowControl/>
      </w:pPr>
      <w:r w:rsidRPr="00E828BE">
        <w:t>4(b)(v)(2) Respondent Activities</w:t>
      </w:r>
    </w:p>
    <w:p w14:paraId="030217A4" w14:textId="77777777" w:rsidR="00985651" w:rsidRPr="00E828BE" w:rsidRDefault="00985651" w:rsidP="001D6D10">
      <w:pPr>
        <w:spacing w:after="60"/>
        <w:sectPr w:rsidR="00985651" w:rsidRPr="00E828BE">
          <w:headerReference w:type="even" r:id="rId42"/>
          <w:headerReference w:type="default" r:id="rId43"/>
          <w:headerReference w:type="first" r:id="rId44"/>
          <w:type w:val="continuous"/>
          <w:pgSz w:w="12240" w:h="15840" w:code="1"/>
          <w:pgMar w:top="1440" w:right="1440" w:bottom="1440" w:left="1440" w:header="720" w:footer="720" w:gutter="0"/>
          <w:pgNumType w:chapStyle="1"/>
          <w:cols w:space="720"/>
          <w:noEndnote/>
        </w:sectPr>
      </w:pPr>
      <w:r w:rsidRPr="00E828BE">
        <w:t xml:space="preserve">This </w:t>
      </w:r>
      <w:r w:rsidR="00BA2CA5">
        <w:t>ICR</w:t>
      </w:r>
      <w:r w:rsidRPr="00E828BE">
        <w:t xml:space="preserve"> explains respondent activities in detail in Section 4(b)(v)(1) above</w:t>
      </w:r>
      <w:r w:rsidR="001F4874" w:rsidRPr="00E828BE">
        <w:t xml:space="preserve">. </w:t>
      </w:r>
      <w:r w:rsidRPr="00E828BE">
        <w:t>Activities can include developing recordkeeping systems, collecting and entering data, training personnel, and filing information</w:t>
      </w:r>
      <w:r w:rsidR="001F4874" w:rsidRPr="00E828BE">
        <w:t xml:space="preserve">. </w:t>
      </w:r>
      <w:r w:rsidRPr="00E828BE">
        <w:t xml:space="preserve">All permit applicants must retain records for at least 3 years from the date that their coverage under the permit expires or terminated. </w:t>
      </w:r>
    </w:p>
    <w:p w14:paraId="0251AD4C" w14:textId="77777777" w:rsidR="00985651" w:rsidRPr="00E828BE" w:rsidRDefault="00985651" w:rsidP="001D6D10">
      <w:pPr>
        <w:pStyle w:val="Heading1"/>
      </w:pPr>
      <w:bookmarkStart w:id="53" w:name="_Ref199566151"/>
      <w:bookmarkStart w:id="54" w:name="_Toc275242938"/>
      <w:r w:rsidRPr="00E828BE">
        <w:lastRenderedPageBreak/>
        <w:t>5. The Information Collected—Agency Activities, Collection Methodology, and Information Management</w:t>
      </w:r>
      <w:bookmarkEnd w:id="53"/>
      <w:bookmarkEnd w:id="54"/>
    </w:p>
    <w:p w14:paraId="1271F15D" w14:textId="77777777" w:rsidR="00985651" w:rsidRPr="00E828BE" w:rsidRDefault="00985651" w:rsidP="001D6D10">
      <w:pPr>
        <w:pStyle w:val="Heading2"/>
      </w:pPr>
      <w:bookmarkStart w:id="55" w:name="_Toc275242939"/>
      <w:r w:rsidRPr="00E828BE">
        <w:t>5(a) Agency Activities</w:t>
      </w:r>
      <w:bookmarkEnd w:id="55"/>
    </w:p>
    <w:p w14:paraId="38454277" w14:textId="77777777" w:rsidR="00985651" w:rsidRPr="00E828BE" w:rsidRDefault="00985651" w:rsidP="001D6D10">
      <w:r w:rsidRPr="00E828BE">
        <w:t xml:space="preserve">This </w:t>
      </w:r>
      <w:r w:rsidR="00BA2CA5">
        <w:t>ICR</w:t>
      </w:r>
      <w:r w:rsidRPr="00E828BE">
        <w:t xml:space="preserve"> includes all the reporting requirements related to EPA as the NPDES permitting authority for discharges from application of pesticides</w:t>
      </w:r>
      <w:r w:rsidR="001F4874" w:rsidRPr="00E828BE">
        <w:t xml:space="preserve">. </w:t>
      </w:r>
    </w:p>
    <w:p w14:paraId="54139E99" w14:textId="77777777" w:rsidR="00985651" w:rsidRPr="00E828BE" w:rsidRDefault="00985651" w:rsidP="001E5FF7"/>
    <w:p w14:paraId="0FB83345" w14:textId="77777777" w:rsidR="00985651" w:rsidRPr="00E828BE" w:rsidRDefault="00985651" w:rsidP="001E5FF7">
      <w:r w:rsidRPr="00E828BE">
        <w:t xml:space="preserve">EPA’s activities as the NPDES permitting authority for non-NPDES-authorized </w:t>
      </w:r>
      <w:r w:rsidR="009A164E" w:rsidRPr="00E828BE">
        <w:t>state</w:t>
      </w:r>
      <w:r w:rsidRPr="00E828BE">
        <w:t xml:space="preserve">s and territories are the same as the activities performed by the NPDES-authorized </w:t>
      </w:r>
      <w:r w:rsidR="009A164E" w:rsidRPr="00E828BE">
        <w:t>state</w:t>
      </w:r>
      <w:r w:rsidRPr="00E828BE">
        <w:t>s and territories. Some of the key activities permitting authorities will perform are:</w:t>
      </w:r>
    </w:p>
    <w:p w14:paraId="28938FD2" w14:textId="77777777" w:rsidR="00985651" w:rsidRPr="00E828BE" w:rsidRDefault="00985651" w:rsidP="001E5FF7">
      <w:pPr>
        <w:pStyle w:val="Bullet1"/>
        <w:numPr>
          <w:ilvl w:val="0"/>
          <w:numId w:val="25"/>
        </w:numPr>
        <w:spacing w:after="0"/>
      </w:pPr>
      <w:r w:rsidRPr="00E828BE">
        <w:t>Receive NOIs and review them for completeness</w:t>
      </w:r>
      <w:r w:rsidR="001F4874" w:rsidRPr="00E828BE">
        <w:t xml:space="preserve">. </w:t>
      </w:r>
      <w:r w:rsidRPr="00E828BE">
        <w:t>If an NOI is incomplete, the permitting authority will notify the applicant and request the missing information</w:t>
      </w:r>
      <w:r w:rsidR="001F4874" w:rsidRPr="00E828BE">
        <w:t xml:space="preserve">. </w:t>
      </w:r>
      <w:r w:rsidRPr="00E828BE">
        <w:t>If the NOI is complete, an acceptance letter will be sent to the permittee, along with a unique permit number</w:t>
      </w:r>
      <w:r w:rsidR="001F4874" w:rsidRPr="00E828BE">
        <w:t xml:space="preserve">. </w:t>
      </w:r>
      <w:r w:rsidRPr="00E828BE">
        <w:t>For EPA, the NOI data will be maintained in a database at EPA’s Notice Processing Center.</w:t>
      </w:r>
    </w:p>
    <w:p w14:paraId="40013625" w14:textId="77777777" w:rsidR="00985651" w:rsidRPr="00E828BE" w:rsidRDefault="00985651" w:rsidP="001E5FF7">
      <w:pPr>
        <w:pStyle w:val="Bullet1"/>
        <w:numPr>
          <w:ilvl w:val="0"/>
          <w:numId w:val="25"/>
        </w:numPr>
        <w:spacing w:after="0"/>
      </w:pPr>
      <w:r w:rsidRPr="00E828BE">
        <w:t>When a permitting authority issues a general permit, it may notify those dischargers eligible for coverage under the permit</w:t>
      </w:r>
      <w:r w:rsidR="001F4874" w:rsidRPr="00E828BE">
        <w:t xml:space="preserve">. </w:t>
      </w:r>
      <w:r w:rsidRPr="00E828BE">
        <w:t>Notification may include newspaper announcements, direct mailings, or other methods of communication.</w:t>
      </w:r>
    </w:p>
    <w:p w14:paraId="0986EE87" w14:textId="77777777" w:rsidR="00985651" w:rsidRPr="00E828BE" w:rsidRDefault="00985651" w:rsidP="001E5FF7">
      <w:pPr>
        <w:pStyle w:val="Bullet1"/>
        <w:numPr>
          <w:ilvl w:val="0"/>
          <w:numId w:val="25"/>
        </w:numPr>
        <w:spacing w:after="0"/>
      </w:pPr>
      <w:r w:rsidRPr="00E828BE">
        <w:t>When permitting authorities receive notices of intent for general permits, they must determine which dischargers, if any, would be more appropriately governed by individual permits</w:t>
      </w:r>
      <w:r w:rsidR="001F4874" w:rsidRPr="00E828BE">
        <w:t xml:space="preserve">. </w:t>
      </w:r>
      <w:r w:rsidRPr="00E828BE">
        <w:t>As part of these activities, permitting authorities may notify dischargers that they need to apply for individual permits.</w:t>
      </w:r>
    </w:p>
    <w:p w14:paraId="187976A7" w14:textId="77777777" w:rsidR="00985651" w:rsidRPr="00E828BE" w:rsidRDefault="00985651" w:rsidP="001E5FF7">
      <w:pPr>
        <w:pStyle w:val="Bullet1"/>
        <w:numPr>
          <w:ilvl w:val="0"/>
          <w:numId w:val="25"/>
        </w:numPr>
        <w:spacing w:after="0"/>
      </w:pPr>
      <w:r w:rsidRPr="00E828BE">
        <w:t>When permitting authorities receive annual reports, they must review the annual reports for compliance with the general permit</w:t>
      </w:r>
      <w:r w:rsidR="001F4874" w:rsidRPr="00E828BE">
        <w:t xml:space="preserve">. </w:t>
      </w:r>
    </w:p>
    <w:p w14:paraId="06C9B4B2" w14:textId="77777777" w:rsidR="00985651" w:rsidRPr="00E828BE" w:rsidRDefault="00985651" w:rsidP="001E5FF7">
      <w:pPr>
        <w:pStyle w:val="Bullet1"/>
        <w:numPr>
          <w:ilvl w:val="0"/>
          <w:numId w:val="25"/>
        </w:numPr>
        <w:spacing w:after="0"/>
      </w:pPr>
      <w:r w:rsidRPr="00E828BE">
        <w:t>When permitting authorities receive a notice of termination (NOT), they must review and process the notice</w:t>
      </w:r>
      <w:r w:rsidR="001F4874" w:rsidRPr="00E828BE">
        <w:t xml:space="preserve">. </w:t>
      </w:r>
      <w:r w:rsidRPr="00E828BE">
        <w:t xml:space="preserve">EPA will maintain these data in the database at the </w:t>
      </w:r>
      <w:r w:rsidR="0067212A">
        <w:t>agency</w:t>
      </w:r>
      <w:r w:rsidRPr="00E828BE">
        <w:t>’s Notice Processing Center.</w:t>
      </w:r>
    </w:p>
    <w:p w14:paraId="0325C3D8" w14:textId="77777777" w:rsidR="00985651" w:rsidRPr="00E828BE" w:rsidRDefault="00985651" w:rsidP="001E5FF7">
      <w:pPr>
        <w:numPr>
          <w:ilvl w:val="12"/>
          <w:numId w:val="0"/>
        </w:numPr>
      </w:pPr>
    </w:p>
    <w:p w14:paraId="5AD6EB44" w14:textId="77777777" w:rsidR="00985651" w:rsidRPr="00E828BE" w:rsidRDefault="00985651" w:rsidP="001E5FF7">
      <w:pPr>
        <w:pStyle w:val="Bullet1"/>
        <w:numPr>
          <w:ilvl w:val="0"/>
          <w:numId w:val="0"/>
        </w:numPr>
        <w:spacing w:after="0"/>
      </w:pPr>
      <w:r w:rsidRPr="00E828BE">
        <w:t>Permittees are not required to submit PDMPs to permitting authority for review</w:t>
      </w:r>
      <w:r w:rsidR="001F4874" w:rsidRPr="00E828BE">
        <w:t xml:space="preserve">. </w:t>
      </w:r>
      <w:r w:rsidRPr="00E828BE">
        <w:t>These plans are to be maintained on-site where the pesticide activities are taking place and must be available for permitting authority review as requested</w:t>
      </w:r>
      <w:r w:rsidR="001F4874" w:rsidRPr="00E828BE">
        <w:t xml:space="preserve">. </w:t>
      </w:r>
      <w:r w:rsidRPr="00E828BE">
        <w:t xml:space="preserve">Therefore, for the purposes of this </w:t>
      </w:r>
      <w:r w:rsidR="00BA2CA5">
        <w:t>ICR</w:t>
      </w:r>
      <w:r w:rsidRPr="00E828BE">
        <w:t xml:space="preserve">, the plans are integral to the day-to-day operational control of each pest management area but are not included as a component of </w:t>
      </w:r>
      <w:r w:rsidR="0067212A">
        <w:t>agency</w:t>
      </w:r>
      <w:r w:rsidRPr="00E828BE">
        <w:t xml:space="preserve"> activities.</w:t>
      </w:r>
    </w:p>
    <w:p w14:paraId="020C7995" w14:textId="77777777" w:rsidR="00985651" w:rsidRPr="00E828BE" w:rsidRDefault="00985651" w:rsidP="001E5FF7">
      <w:pPr>
        <w:autoSpaceDE w:val="0"/>
        <w:autoSpaceDN w:val="0"/>
        <w:adjustRightInd w:val="0"/>
      </w:pPr>
    </w:p>
    <w:p w14:paraId="33A1067F" w14:textId="77777777" w:rsidR="00985651" w:rsidRPr="00E828BE" w:rsidRDefault="00985651" w:rsidP="001E5FF7">
      <w:r w:rsidRPr="00E828BE">
        <w:t>When reports or forms are submitted, permitting authority review is necessary, and in some instances, may also require follow-up actions</w:t>
      </w:r>
      <w:r w:rsidR="001F4874" w:rsidRPr="00E828BE">
        <w:t xml:space="preserve">. </w:t>
      </w:r>
      <w:r w:rsidRPr="00E828BE">
        <w:t>Data review will vary; however, generally, the permitting authority will screen data to identify permit violations and will conduct a more thorough technical review and follow-up when violations are detected</w:t>
      </w:r>
      <w:r w:rsidR="001F4874" w:rsidRPr="00E828BE">
        <w:t xml:space="preserve">. </w:t>
      </w:r>
      <w:r w:rsidRPr="00E828BE">
        <w:t xml:space="preserve">Follow-up activities can include informal contact with the permittee (by telephone or letter) requesting prompt corrective action, providing technical assistance, performing field inspections to further substantiate violations, or initiating formal enforcement action such as an administrative order or referral to the U.S. attorney general (or state attorney general in the case of authorized </w:t>
      </w:r>
      <w:r w:rsidR="009A164E" w:rsidRPr="00E828BE">
        <w:t>state</w:t>
      </w:r>
      <w:r w:rsidRPr="00E828BE">
        <w:t>s).</w:t>
      </w:r>
    </w:p>
    <w:p w14:paraId="438306E9" w14:textId="77777777" w:rsidR="00985651" w:rsidRPr="00E828BE" w:rsidRDefault="00985651" w:rsidP="001D6D10"/>
    <w:p w14:paraId="14AD0226" w14:textId="77777777" w:rsidR="00985651" w:rsidRPr="00E828BE" w:rsidRDefault="00985651" w:rsidP="001D6D10">
      <w:r w:rsidRPr="00E828BE">
        <w:lastRenderedPageBreak/>
        <w:t>The extent to which permitting authorities review data in assessing permit compliance will vary. For example, permitting authorities often will conduct a more extensive review of permittees that are, or have been, in violation of their permit requirements, than of permittees who have been in full compliance</w:t>
      </w:r>
      <w:r w:rsidR="001F4874" w:rsidRPr="00E828BE">
        <w:t xml:space="preserve">. </w:t>
      </w:r>
    </w:p>
    <w:p w14:paraId="4C3815B0" w14:textId="77777777" w:rsidR="00985651" w:rsidRPr="00E828BE" w:rsidRDefault="00985651" w:rsidP="001D6D10"/>
    <w:p w14:paraId="1EA4EF62" w14:textId="77777777" w:rsidR="00985651" w:rsidRPr="00E828BE" w:rsidRDefault="00985651" w:rsidP="001D6D10">
      <w:r w:rsidRPr="00E828BE">
        <w:t>The extent to which permitting authority reviews data also depends on available resources and the specific review procedures of the permitting authority (</w:t>
      </w:r>
      <w:r w:rsidR="009A164E" w:rsidRPr="00E828BE">
        <w:t>state</w:t>
      </w:r>
      <w:r w:rsidRPr="00E828BE">
        <w:t xml:space="preserve"> or EPA Region)</w:t>
      </w:r>
      <w:r w:rsidR="001F4874" w:rsidRPr="00E828BE">
        <w:t xml:space="preserve">. </w:t>
      </w:r>
      <w:r w:rsidRPr="00E828BE">
        <w:t xml:space="preserve">In authorized </w:t>
      </w:r>
      <w:r w:rsidR="009A164E" w:rsidRPr="00E828BE">
        <w:t>state</w:t>
      </w:r>
      <w:r w:rsidRPr="00E828BE">
        <w:t>s, state environmental agencies generally review permittee data</w:t>
      </w:r>
      <w:r w:rsidR="001F4874" w:rsidRPr="00E828BE">
        <w:t xml:space="preserve">. </w:t>
      </w:r>
      <w:r w:rsidRPr="00E828BE">
        <w:t xml:space="preserve">EPA also may review data from permittees in NPDES-authorized </w:t>
      </w:r>
      <w:r w:rsidR="009A164E" w:rsidRPr="00E828BE">
        <w:t>state</w:t>
      </w:r>
      <w:r w:rsidRPr="00E828BE">
        <w:t>s while performing program oversight functions (i.e., during file audits and when compiling statistical compliance summaries).</w:t>
      </w:r>
    </w:p>
    <w:p w14:paraId="38805267" w14:textId="77777777" w:rsidR="00985651" w:rsidRPr="00E828BE" w:rsidRDefault="00985651" w:rsidP="001D6D10"/>
    <w:p w14:paraId="2DE5FE0E" w14:textId="77777777" w:rsidR="00985651" w:rsidRPr="00E828BE" w:rsidRDefault="00985651" w:rsidP="001D6D10">
      <w:r w:rsidRPr="00E828BE">
        <w:t xml:space="preserve">EPA reviews data in non-NPDES-authorized </w:t>
      </w:r>
      <w:r w:rsidR="009A164E" w:rsidRPr="00E828BE">
        <w:t>state</w:t>
      </w:r>
      <w:r w:rsidRPr="00E828BE">
        <w:t>s</w:t>
      </w:r>
      <w:r w:rsidR="001F4874" w:rsidRPr="00E828BE">
        <w:t xml:space="preserve">. </w:t>
      </w:r>
      <w:r w:rsidRPr="00E828BE">
        <w:t>EPA generally places emphasis on data from major permittees and from minor permittees that can cause water quality problems (i.e., significant minors)</w:t>
      </w:r>
      <w:r w:rsidR="001F4874" w:rsidRPr="00E828BE">
        <w:t xml:space="preserve">. </w:t>
      </w:r>
      <w:r w:rsidRPr="00E828BE">
        <w:t>EPA reviews data from general permittees less frequently</w:t>
      </w:r>
      <w:r w:rsidR="001F4874" w:rsidRPr="00E828BE">
        <w:t xml:space="preserve">. </w:t>
      </w:r>
      <w:r w:rsidRPr="00E828BE">
        <w:t xml:space="preserve">EPA does not require non-NPDES-authorized </w:t>
      </w:r>
      <w:r w:rsidR="009A164E" w:rsidRPr="00E828BE">
        <w:t>state</w:t>
      </w:r>
      <w:r w:rsidRPr="00E828BE">
        <w:t>s to review data, but several states voluntarily review these data and use the results in their own water quality protection programs.</w:t>
      </w:r>
    </w:p>
    <w:p w14:paraId="6B50213F" w14:textId="77777777" w:rsidR="00985651" w:rsidRPr="00E828BE" w:rsidRDefault="00985651" w:rsidP="001D6D10"/>
    <w:p w14:paraId="7C1856A2" w14:textId="77777777" w:rsidR="00985651" w:rsidRPr="00E828BE" w:rsidRDefault="00985651" w:rsidP="001D6D10">
      <w:pPr>
        <w:numPr>
          <w:ilvl w:val="12"/>
          <w:numId w:val="0"/>
        </w:numPr>
      </w:pPr>
      <w:r w:rsidRPr="00E828BE">
        <w:t xml:space="preserve">In collecting and analyzing the information associated with this </w:t>
      </w:r>
      <w:r w:rsidR="00BA2CA5">
        <w:t>ICR</w:t>
      </w:r>
      <w:r w:rsidRPr="00E828BE">
        <w:t>, information for permittees covered under EPA’s PGP will be entered into an NOI database</w:t>
      </w:r>
      <w:r w:rsidR="001F4874" w:rsidRPr="00E828BE">
        <w:t xml:space="preserve">. </w:t>
      </w:r>
      <w:r w:rsidRPr="00E828BE">
        <w:t>EPA uses these data to manage the NPDES program.</w:t>
      </w:r>
    </w:p>
    <w:p w14:paraId="4CC082A8" w14:textId="77777777" w:rsidR="00F64098" w:rsidRPr="00E828BE" w:rsidRDefault="00F64098" w:rsidP="001D6D10">
      <w:pPr>
        <w:numPr>
          <w:ilvl w:val="12"/>
          <w:numId w:val="0"/>
        </w:numPr>
      </w:pPr>
    </w:p>
    <w:p w14:paraId="10613FF9" w14:textId="77777777" w:rsidR="00F64098" w:rsidRPr="00E828BE" w:rsidRDefault="008D77A7" w:rsidP="001D6D10">
      <w:pPr>
        <w:numPr>
          <w:ilvl w:val="12"/>
          <w:numId w:val="0"/>
        </w:numPr>
      </w:pPr>
      <w:r>
        <w:t xml:space="preserve">Similar to other </w:t>
      </w:r>
      <w:r w:rsidR="00D53DEF">
        <w:t>EPA</w:t>
      </w:r>
      <w:r>
        <w:t xml:space="preserve"> general permits</w:t>
      </w:r>
      <w:r w:rsidR="0011555D" w:rsidRPr="00E828BE">
        <w:t xml:space="preserve">, </w:t>
      </w:r>
      <w:r w:rsidR="00F64098" w:rsidRPr="00E828BE">
        <w:t>EPA assumes</w:t>
      </w:r>
      <w:r w:rsidR="0011555D" w:rsidRPr="00E828BE">
        <w:t xml:space="preserve"> for this </w:t>
      </w:r>
      <w:r w:rsidR="00BA2CA5">
        <w:t>ICR</w:t>
      </w:r>
      <w:r w:rsidR="00F64098" w:rsidRPr="00E828BE">
        <w:t xml:space="preserve"> that the Services must help some </w:t>
      </w:r>
      <w:r w:rsidR="00057702">
        <w:t>operator</w:t>
      </w:r>
      <w:r w:rsidR="00F64098" w:rsidRPr="00E828BE">
        <w:t>s obtain information relating to federally listed endangered and threatened species, and designated critical habitat and may participate in informal or formal evaluation</w:t>
      </w:r>
      <w:r w:rsidR="001F4874" w:rsidRPr="00E828BE">
        <w:t xml:space="preserve">. </w:t>
      </w:r>
      <w:r w:rsidR="00F64098" w:rsidRPr="00E828BE">
        <w:t xml:space="preserve">NPDES-authorized states are not required to include this requirement in their NPDES </w:t>
      </w:r>
      <w:r w:rsidR="00BA1BC6" w:rsidRPr="00E828BE">
        <w:t xml:space="preserve">general </w:t>
      </w:r>
      <w:r w:rsidR="00F64098" w:rsidRPr="00E828BE">
        <w:t xml:space="preserve">permits and therefore neither the authorized states </w:t>
      </w:r>
      <w:r w:rsidR="0011555D" w:rsidRPr="00E828BE">
        <w:t>n</w:t>
      </w:r>
      <w:r w:rsidR="00F64098" w:rsidRPr="00E828BE">
        <w:t>or discharges from application of pesticides within those states incur any burden</w:t>
      </w:r>
      <w:r w:rsidR="005177F6" w:rsidRPr="00E828BE">
        <w:t xml:space="preserve"> related to ESA</w:t>
      </w:r>
      <w:r w:rsidR="00F64098" w:rsidRPr="00E828BE">
        <w:t>.</w:t>
      </w:r>
    </w:p>
    <w:p w14:paraId="7DDFFE3B" w14:textId="77777777" w:rsidR="00985651" w:rsidRPr="00E828BE" w:rsidRDefault="00985651" w:rsidP="001D6D10">
      <w:pPr>
        <w:pStyle w:val="Heading2"/>
      </w:pPr>
      <w:bookmarkStart w:id="56" w:name="_Toc275242940"/>
      <w:r w:rsidRPr="00E828BE">
        <w:t>5(b) Collection Methodology and Management</w:t>
      </w:r>
      <w:bookmarkEnd w:id="56"/>
    </w:p>
    <w:p w14:paraId="15292847" w14:textId="77777777" w:rsidR="00985651" w:rsidRPr="00E828BE" w:rsidRDefault="00985651" w:rsidP="001D6D10">
      <w:r w:rsidRPr="00E828BE">
        <w:t>EPA maintains some application data in databases such as ICIS-NPDES, and the NOI database. These systems provide EPA with a nationwide inventory of permit holders</w:t>
      </w:r>
      <w:r w:rsidR="001F4874" w:rsidRPr="00E828BE">
        <w:t xml:space="preserve">. </w:t>
      </w:r>
      <w:r w:rsidRPr="00E828BE">
        <w:t>EPA uses this information to assess permit compliance</w:t>
      </w:r>
      <w:r w:rsidR="001F4874" w:rsidRPr="00E828BE">
        <w:t xml:space="preserve">. </w:t>
      </w:r>
      <w:r w:rsidRPr="00E828BE">
        <w:t>This technology also reduces the burden to EPA and the states for gathering and analyzing national permit and water quality data.</w:t>
      </w:r>
    </w:p>
    <w:p w14:paraId="66FAF598" w14:textId="77777777" w:rsidR="00985651" w:rsidRPr="00E828BE" w:rsidRDefault="00985651" w:rsidP="001D6D10">
      <w:pPr>
        <w:autoSpaceDE w:val="0"/>
        <w:autoSpaceDN w:val="0"/>
        <w:adjustRightInd w:val="0"/>
      </w:pPr>
    </w:p>
    <w:p w14:paraId="44ACC533" w14:textId="77777777" w:rsidR="00985651" w:rsidRPr="00E828BE" w:rsidRDefault="00985651" w:rsidP="001D6D10">
      <w:pPr>
        <w:numPr>
          <w:ilvl w:val="12"/>
          <w:numId w:val="0"/>
        </w:numPr>
      </w:pPr>
      <w:r w:rsidRPr="00E828BE">
        <w:t>In collecting and analyzing the information associated with EPA’s PGP, EPA will use its electronic NOI (eNOI) system to store the information</w:t>
      </w:r>
      <w:r w:rsidR="001F4874" w:rsidRPr="00E828BE">
        <w:t xml:space="preserve">. </w:t>
      </w:r>
      <w:r w:rsidRPr="00E828BE">
        <w:t>EPA will ensure accuracy and completeness of the information by reviewing each submittal upon receipt and is responsible for ensuring that applicable data are entered into eNOI</w:t>
      </w:r>
      <w:r w:rsidR="001F4874" w:rsidRPr="00E828BE">
        <w:t xml:space="preserve">. </w:t>
      </w:r>
      <w:r w:rsidRPr="00E828BE">
        <w:t>Any form that is considered inaccurate or incomplete will not be accepted and will be returned to the sender with a letter requesting the missing or inaccurate information.</w:t>
      </w:r>
    </w:p>
    <w:p w14:paraId="33160E78" w14:textId="77777777" w:rsidR="00985651" w:rsidRPr="00E828BE" w:rsidRDefault="00985651" w:rsidP="001D6D10">
      <w:pPr>
        <w:autoSpaceDE w:val="0"/>
        <w:autoSpaceDN w:val="0"/>
        <w:adjustRightInd w:val="0"/>
      </w:pPr>
    </w:p>
    <w:p w14:paraId="7035DC5F" w14:textId="77777777" w:rsidR="00985651" w:rsidRPr="00E828BE" w:rsidRDefault="00985651" w:rsidP="001D6D10">
      <w:pPr>
        <w:pStyle w:val="Heading2"/>
      </w:pPr>
      <w:bookmarkStart w:id="57" w:name="_Toc275242941"/>
      <w:r w:rsidRPr="00E828BE">
        <w:lastRenderedPageBreak/>
        <w:t>5(c) Small Entity Flexibility</w:t>
      </w:r>
      <w:bookmarkEnd w:id="57"/>
    </w:p>
    <w:p w14:paraId="5D540CFD" w14:textId="77777777" w:rsidR="00985651" w:rsidRPr="00E828BE" w:rsidRDefault="00985651" w:rsidP="001D6D10">
      <w:pPr>
        <w:keepLines/>
      </w:pPr>
      <w:r w:rsidRPr="00E828BE">
        <w:t xml:space="preserve">For many reasons, EPA believes the reporting requirements discussed in this </w:t>
      </w:r>
      <w:r w:rsidR="00BA2CA5">
        <w:t>ICR</w:t>
      </w:r>
      <w:r w:rsidRPr="00E828BE">
        <w:t xml:space="preserve"> do not place an unreasonable burden on small businesses</w:t>
      </w:r>
      <w:r w:rsidR="001F4874" w:rsidRPr="00E828BE">
        <w:t xml:space="preserve">. </w:t>
      </w:r>
      <w:r w:rsidRPr="00E828BE">
        <w:t>The NOI requests minimal information, such as the name and location of the discharge</w:t>
      </w:r>
      <w:r w:rsidR="001F4874" w:rsidRPr="00E828BE">
        <w:t xml:space="preserve">. </w:t>
      </w:r>
      <w:r w:rsidRPr="00E828BE">
        <w:t>Furthermore, operators submit NOIs once every 5 years. The burden represented by the NOI cannot be further reduced for small businesses</w:t>
      </w:r>
      <w:r w:rsidR="001F4874" w:rsidRPr="00E828BE">
        <w:t xml:space="preserve">. </w:t>
      </w:r>
      <w:r w:rsidRPr="00E828BE">
        <w:t>Permitting authorities need certain basic information to make permitting decisions</w:t>
      </w:r>
      <w:r w:rsidR="001F4874" w:rsidRPr="00E828BE">
        <w:t xml:space="preserve">. </w:t>
      </w:r>
      <w:r w:rsidRPr="00E828BE">
        <w:t xml:space="preserve">This basic information is not dependent on an </w:t>
      </w:r>
      <w:r w:rsidR="00057702">
        <w:t>operator</w:t>
      </w:r>
      <w:r w:rsidR="00B70D40" w:rsidRPr="00E828BE">
        <w:t xml:space="preserve">’s </w:t>
      </w:r>
      <w:r w:rsidRPr="00E828BE">
        <w:t>size.</w:t>
      </w:r>
    </w:p>
    <w:p w14:paraId="7C833613" w14:textId="77777777" w:rsidR="00985651" w:rsidRPr="00E828BE" w:rsidRDefault="00985651" w:rsidP="001D6D10"/>
    <w:p w14:paraId="50BE73E2" w14:textId="77777777" w:rsidR="00985651" w:rsidRDefault="00810C45" w:rsidP="001D6D10">
      <w:pPr>
        <w:autoSpaceDE w:val="0"/>
        <w:autoSpaceDN w:val="0"/>
        <w:adjustRightInd w:val="0"/>
      </w:pPr>
      <w:r>
        <w:t>Minimizing the burden on small entities also comes in the form of guidance materials. For example, to assist operators of all sizes, but potentially most useful for small entities, EPA has developed guidance, a PDMP template. The template is designed to guide entities through the PDMP development process and help ensure that the PDMP addresses all the necessary elements stated in the PGP.</w:t>
      </w:r>
    </w:p>
    <w:p w14:paraId="35707E0B" w14:textId="77777777" w:rsidR="00810C45" w:rsidRPr="00E828BE" w:rsidRDefault="00810C45" w:rsidP="001D6D10">
      <w:pPr>
        <w:autoSpaceDE w:val="0"/>
        <w:autoSpaceDN w:val="0"/>
        <w:adjustRightInd w:val="0"/>
      </w:pPr>
    </w:p>
    <w:p w14:paraId="37A036C6" w14:textId="77777777" w:rsidR="00985651" w:rsidRPr="00E828BE" w:rsidRDefault="00985651" w:rsidP="001D6D10">
      <w:pPr>
        <w:autoSpaceDE w:val="0"/>
        <w:autoSpaceDN w:val="0"/>
        <w:adjustRightInd w:val="0"/>
      </w:pPr>
      <w:r w:rsidRPr="00E828BE">
        <w:t>All permittees, regardless of the size of the entity, are required to report instances of noncompliance</w:t>
      </w:r>
      <w:r w:rsidR="001F4874" w:rsidRPr="00E828BE">
        <w:t xml:space="preserve">. </w:t>
      </w:r>
      <w:r w:rsidRPr="00E828BE">
        <w:t>In most cases, these requirements do not impose a large burden on small businesses because the information required is simple and straightforward.</w:t>
      </w:r>
    </w:p>
    <w:p w14:paraId="18622E69" w14:textId="77777777" w:rsidR="00985651" w:rsidRPr="00E828BE" w:rsidRDefault="00985651" w:rsidP="001D6D10">
      <w:pPr>
        <w:pStyle w:val="Heading2"/>
      </w:pPr>
      <w:bookmarkStart w:id="58" w:name="_Toc275242942"/>
      <w:r w:rsidRPr="00E828BE">
        <w:t>5(d) Collection Schedule</w:t>
      </w:r>
      <w:bookmarkEnd w:id="58"/>
    </w:p>
    <w:p w14:paraId="099B3BE1" w14:textId="77777777" w:rsidR="00985651" w:rsidRPr="00E828BE" w:rsidRDefault="00985651" w:rsidP="001D6D10">
      <w:r w:rsidRPr="00E828BE">
        <w:t xml:space="preserve">The collection schedule for the activities presented in this </w:t>
      </w:r>
      <w:r w:rsidR="00BA2CA5">
        <w:t>ICR</w:t>
      </w:r>
      <w:r w:rsidRPr="00E828BE">
        <w:t xml:space="preserve"> varies greatly depending on the type of activity</w:t>
      </w:r>
      <w:r w:rsidR="001F4874" w:rsidRPr="00E828BE">
        <w:t xml:space="preserve">. </w:t>
      </w:r>
      <w:r w:rsidRPr="00E828BE">
        <w:t xml:space="preserve">See Section 6 of this </w:t>
      </w:r>
      <w:r w:rsidR="00BA2CA5">
        <w:t>ICR</w:t>
      </w:r>
      <w:r w:rsidRPr="00E828BE">
        <w:t xml:space="preserve"> for detailed estimates of collection schedules.</w:t>
      </w:r>
    </w:p>
    <w:p w14:paraId="2354D007" w14:textId="77777777" w:rsidR="00985651" w:rsidRPr="00E828BE" w:rsidRDefault="00985651" w:rsidP="001D6D10"/>
    <w:p w14:paraId="07BD533F" w14:textId="77777777" w:rsidR="00985651" w:rsidRPr="00E828BE" w:rsidRDefault="00985651" w:rsidP="001D6D10">
      <w:pPr>
        <w:keepLines/>
      </w:pPr>
      <w:r w:rsidRPr="00E828BE">
        <w:t>Federal regulations require permittees to reapply for permits at least every 5 years because the CWA limits the terms of an NPDES permit to 5 years</w:t>
      </w:r>
      <w:r w:rsidR="001F4874" w:rsidRPr="00E828BE">
        <w:t xml:space="preserve">. </w:t>
      </w:r>
      <w:r w:rsidRPr="00E828BE">
        <w:t>The regulations also grant permit writers the authority to issue permits more frequently</w:t>
      </w:r>
      <w:r w:rsidR="001F4874" w:rsidRPr="00E828BE">
        <w:t xml:space="preserve">. </w:t>
      </w:r>
      <w:r w:rsidRPr="00E828BE">
        <w:t>For those dischargers required to submit notices of intent, those must be submitted every 5 years</w:t>
      </w:r>
      <w:r w:rsidR="001F4874" w:rsidRPr="00E828BE">
        <w:t xml:space="preserve">. </w:t>
      </w:r>
      <w:r w:rsidRPr="00E828BE">
        <w:t>Dischargers submitting a notice of intent that wish to be covered under a reissued general permit must submit a new notice of intent for coverage under that new permit</w:t>
      </w:r>
      <w:r w:rsidR="001F4874" w:rsidRPr="00E828BE">
        <w:t xml:space="preserve">. </w:t>
      </w:r>
      <w:r w:rsidRPr="00E828BE">
        <w:t xml:space="preserve">When calculating burden, this </w:t>
      </w:r>
      <w:r w:rsidR="00BA2CA5">
        <w:t>ICR</w:t>
      </w:r>
      <w:r w:rsidRPr="00E828BE">
        <w:t xml:space="preserve"> assumes that all permit applicants follow this schedule.</w:t>
      </w:r>
    </w:p>
    <w:p w14:paraId="052F3BEE" w14:textId="77777777" w:rsidR="00985651" w:rsidRPr="00E828BE" w:rsidRDefault="00985651" w:rsidP="001D6D10"/>
    <w:p w14:paraId="001ADB1A" w14:textId="77777777" w:rsidR="00985651" w:rsidRPr="00E828BE" w:rsidRDefault="00985651" w:rsidP="001E5FF7">
      <w:r w:rsidRPr="00E828BE">
        <w:t>A notice of termination is submitted once when coverage under the permit is no longer necessary</w:t>
      </w:r>
      <w:r w:rsidR="001F4874" w:rsidRPr="00E828BE">
        <w:t xml:space="preserve">. </w:t>
      </w:r>
    </w:p>
    <w:p w14:paraId="21542C6B" w14:textId="77777777" w:rsidR="00985651" w:rsidRPr="00E828BE" w:rsidRDefault="00985651" w:rsidP="001D6D10">
      <w:pPr>
        <w:autoSpaceDE w:val="0"/>
        <w:autoSpaceDN w:val="0"/>
        <w:adjustRightInd w:val="0"/>
        <w:sectPr w:rsidR="00985651" w:rsidRPr="00E828BE">
          <w:headerReference w:type="even" r:id="rId45"/>
          <w:headerReference w:type="default" r:id="rId46"/>
          <w:headerReference w:type="first" r:id="rId47"/>
          <w:pgSz w:w="12240" w:h="15840" w:code="1"/>
          <w:pgMar w:top="1440" w:right="1440" w:bottom="1440" w:left="1440" w:header="720" w:footer="720" w:gutter="0"/>
          <w:cols w:space="720"/>
          <w:noEndnote/>
        </w:sectPr>
      </w:pPr>
      <w:bookmarkStart w:id="59" w:name="_Toc137695358"/>
      <w:bookmarkStart w:id="60" w:name="_Toc137695825"/>
    </w:p>
    <w:p w14:paraId="3538D2A6" w14:textId="77777777" w:rsidR="00985651" w:rsidRPr="00E828BE" w:rsidRDefault="00985651" w:rsidP="001D6D10">
      <w:pPr>
        <w:pStyle w:val="Heading1"/>
      </w:pPr>
      <w:bookmarkStart w:id="61" w:name="_Ref199566162"/>
      <w:bookmarkStart w:id="62" w:name="_Ref200180733"/>
      <w:bookmarkStart w:id="63" w:name="_Toc275242943"/>
      <w:bookmarkEnd w:id="59"/>
      <w:bookmarkEnd w:id="60"/>
      <w:r w:rsidRPr="00E828BE">
        <w:lastRenderedPageBreak/>
        <w:t>6. Estimating the Burden and Cost of the Collection</w:t>
      </w:r>
      <w:bookmarkEnd w:id="61"/>
      <w:bookmarkEnd w:id="62"/>
      <w:bookmarkEnd w:id="63"/>
    </w:p>
    <w:p w14:paraId="5FF600FF" w14:textId="77777777" w:rsidR="00985651" w:rsidRPr="00E828BE" w:rsidRDefault="00985651" w:rsidP="001D6D10">
      <w:pPr>
        <w:pStyle w:val="Heading2"/>
      </w:pPr>
      <w:bookmarkStart w:id="64" w:name="_Toc137695359"/>
      <w:bookmarkStart w:id="65" w:name="_Toc137695826"/>
      <w:bookmarkStart w:id="66" w:name="_Toc198342252"/>
      <w:bookmarkStart w:id="67" w:name="_Toc275242944"/>
      <w:r w:rsidRPr="00E828BE">
        <w:t>6(a) Estimating Respondent Burden</w:t>
      </w:r>
      <w:bookmarkEnd w:id="64"/>
      <w:bookmarkEnd w:id="65"/>
      <w:bookmarkEnd w:id="66"/>
      <w:bookmarkEnd w:id="67"/>
    </w:p>
    <w:p w14:paraId="7B91168B" w14:textId="77777777" w:rsidR="00985651" w:rsidRPr="00E828BE" w:rsidRDefault="00985651" w:rsidP="001D6D10">
      <w:pPr>
        <w:keepNext/>
        <w:keepLines/>
        <w:numPr>
          <w:ilvl w:val="12"/>
          <w:numId w:val="0"/>
        </w:numPr>
      </w:pPr>
      <w:r w:rsidRPr="00E828BE">
        <w:t>This section presents the estimated respondent burden for each information request</w:t>
      </w:r>
      <w:r w:rsidR="001F4874" w:rsidRPr="00E828BE">
        <w:t xml:space="preserve">. </w:t>
      </w:r>
      <w:r w:rsidRPr="00E828BE">
        <w:t>Data are tabulated in the “Respondents and Agency Activities Table” provided as Appendix A</w:t>
      </w:r>
      <w:r w:rsidR="001F4874" w:rsidRPr="00E828BE">
        <w:t xml:space="preserve">. </w:t>
      </w:r>
      <w:r w:rsidRPr="00E828BE">
        <w:t xml:space="preserve">That table presents all assumptions, calculations, and results discussed in this </w:t>
      </w:r>
      <w:r w:rsidR="00BA2CA5">
        <w:t>ICR</w:t>
      </w:r>
      <w:r w:rsidR="001F4874" w:rsidRPr="00E828BE">
        <w:t xml:space="preserve">. </w:t>
      </w:r>
      <w:r w:rsidRPr="00E828BE">
        <w:t xml:space="preserve">Dischargers covered under the pesticide general permit and </w:t>
      </w:r>
      <w:r w:rsidR="009A164E" w:rsidRPr="00E828BE">
        <w:t>NPDES-</w:t>
      </w:r>
      <w:r w:rsidRPr="00E828BE">
        <w:t xml:space="preserve">authorized </w:t>
      </w:r>
      <w:r w:rsidR="009A164E" w:rsidRPr="00E828BE">
        <w:t>state</w:t>
      </w:r>
      <w:r w:rsidRPr="00E828BE">
        <w:t>s are identified as respondents</w:t>
      </w:r>
      <w:r w:rsidR="001F4874" w:rsidRPr="00E828BE">
        <w:t xml:space="preserve">. </w:t>
      </w:r>
      <w:r w:rsidRPr="00E828BE">
        <w:t>The breakdown of cost and burden by labor category is provided in Section 6(b).</w:t>
      </w:r>
    </w:p>
    <w:p w14:paraId="081ABF85" w14:textId="77777777" w:rsidR="00985651" w:rsidRPr="00E828BE" w:rsidRDefault="00985651" w:rsidP="001D6D10">
      <w:pPr>
        <w:numPr>
          <w:ilvl w:val="12"/>
          <w:numId w:val="0"/>
        </w:numPr>
      </w:pPr>
    </w:p>
    <w:p w14:paraId="05320FE3" w14:textId="77777777" w:rsidR="00985651" w:rsidRPr="00E828BE" w:rsidRDefault="007E22BE" w:rsidP="001D6D10">
      <w:pPr>
        <w:numPr>
          <w:ilvl w:val="12"/>
          <w:numId w:val="0"/>
        </w:numPr>
      </w:pPr>
      <w:r>
        <w:t>In the original ICR, o</w:t>
      </w:r>
      <w:r w:rsidR="00985651" w:rsidRPr="00E828BE">
        <w:t xml:space="preserve">n the basis of information presented in the </w:t>
      </w:r>
      <w:r w:rsidR="00985651" w:rsidRPr="00E828BE">
        <w:rPr>
          <w:i/>
        </w:rPr>
        <w:t>Economic Analysis of the Pesticide General Permit (PGP)</w:t>
      </w:r>
      <w:r w:rsidR="00C1541B" w:rsidRPr="00E828BE">
        <w:rPr>
          <w:i/>
        </w:rPr>
        <w:t xml:space="preserve"> </w:t>
      </w:r>
      <w:r w:rsidR="00B70D40" w:rsidRPr="00E828BE">
        <w:rPr>
          <w:i/>
        </w:rPr>
        <w:t>for Point Source Discharges from the Application of Pesticides</w:t>
      </w:r>
      <w:r w:rsidR="00985651" w:rsidRPr="00E828BE">
        <w:rPr>
          <w:i/>
        </w:rPr>
        <w:t xml:space="preserve">, </w:t>
      </w:r>
      <w:r w:rsidR="00471FC1" w:rsidRPr="00E828BE">
        <w:rPr>
          <w:i/>
        </w:rPr>
        <w:t>May 26</w:t>
      </w:r>
      <w:r w:rsidR="00B70D40" w:rsidRPr="00E828BE">
        <w:rPr>
          <w:i/>
        </w:rPr>
        <w:t>, 2010</w:t>
      </w:r>
      <w:r w:rsidR="00985651" w:rsidRPr="00E828BE">
        <w:t>, EPA assume</w:t>
      </w:r>
      <w:r>
        <w:t>d</w:t>
      </w:r>
      <w:r w:rsidR="00985651" w:rsidRPr="00E828BE">
        <w:t xml:space="preserve"> 90 percent of the total universe of permittees will be covered by NPDES-authorized </w:t>
      </w:r>
      <w:r w:rsidR="009A164E" w:rsidRPr="00E828BE">
        <w:t>state</w:t>
      </w:r>
      <w:r w:rsidR="00985651" w:rsidRPr="00E828BE">
        <w:t>-issued general permits</w:t>
      </w:r>
      <w:r w:rsidR="001F4874" w:rsidRPr="00E828BE">
        <w:t xml:space="preserve">. </w:t>
      </w:r>
      <w:r>
        <w:t xml:space="preserve">For this </w:t>
      </w:r>
      <w:r w:rsidR="00BA2CA5">
        <w:t>ICR</w:t>
      </w:r>
      <w:r>
        <w:t>, EPA compared the number of NOIs</w:t>
      </w:r>
      <w:r w:rsidR="00E40DC0">
        <w:t xml:space="preserve"> EPA</w:t>
      </w:r>
      <w:r>
        <w:t xml:space="preserve"> received against the estimates in the original ICR</w:t>
      </w:r>
      <w:r w:rsidR="00E40DC0">
        <w:t xml:space="preserve"> and found them to be very close</w:t>
      </w:r>
      <w:r>
        <w:t xml:space="preserve">. EPA decided to use the same </w:t>
      </w:r>
      <w:r w:rsidR="00E40DC0">
        <w:t xml:space="preserve">percentage in this </w:t>
      </w:r>
      <w:r w:rsidR="00BA2CA5">
        <w:t>ICR</w:t>
      </w:r>
      <w:r w:rsidR="00E40DC0">
        <w:t xml:space="preserve"> and to continue to use other </w:t>
      </w:r>
      <w:r>
        <w:t>assumption</w:t>
      </w:r>
      <w:r w:rsidR="00E40DC0">
        <w:t xml:space="preserve">s from the original </w:t>
      </w:r>
      <w:r>
        <w:t xml:space="preserve">ICR. </w:t>
      </w:r>
    </w:p>
    <w:p w14:paraId="6C981E46" w14:textId="77777777" w:rsidR="00985651" w:rsidRPr="00E828BE" w:rsidRDefault="00985651" w:rsidP="001D6D10">
      <w:pPr>
        <w:numPr>
          <w:ilvl w:val="12"/>
          <w:numId w:val="0"/>
        </w:numPr>
      </w:pPr>
    </w:p>
    <w:p w14:paraId="22CE6715" w14:textId="77777777" w:rsidR="00230DEC" w:rsidRPr="00E828BE" w:rsidRDefault="00985651" w:rsidP="001D6D10">
      <w:r w:rsidRPr="00E828BE">
        <w:t xml:space="preserve">This </w:t>
      </w:r>
      <w:r w:rsidR="00BA2CA5">
        <w:t>ICR</w:t>
      </w:r>
      <w:r w:rsidRPr="00E828BE">
        <w:t xml:space="preserve"> calculates annual burden and costs to respondents (365,000 permittees and </w:t>
      </w:r>
      <w:r w:rsidR="00C1541B" w:rsidRPr="00E828BE">
        <w:t>47</w:t>
      </w:r>
      <w:r w:rsidRPr="00E828BE">
        <w:t xml:space="preserve"> authorized </w:t>
      </w:r>
      <w:r w:rsidR="009A164E" w:rsidRPr="00E828BE">
        <w:t>state</w:t>
      </w:r>
      <w:r w:rsidRPr="00E828BE">
        <w:t xml:space="preserve">s). These calculations address dischargers obtaining coverage under </w:t>
      </w:r>
      <w:r w:rsidR="00230DEC" w:rsidRPr="00E828BE">
        <w:t>years 4 and 5 of the</w:t>
      </w:r>
      <w:r w:rsidRPr="00E828BE">
        <w:t xml:space="preserve"> </w:t>
      </w:r>
      <w:r w:rsidR="00230DEC" w:rsidRPr="00E828BE">
        <w:t>current</w:t>
      </w:r>
      <w:r w:rsidRPr="00E828BE">
        <w:t xml:space="preserve"> general permit</w:t>
      </w:r>
      <w:r w:rsidR="00230DEC" w:rsidRPr="00E828BE">
        <w:t>, and dischargers seeking permit coverage or renewing their coverage during the first year of a new general permit. Because of the limited activities required to apply for permit coverage, EPA assumes that the burden to renew a permit is very similar to the burde</w:t>
      </w:r>
      <w:r w:rsidR="004C70D6">
        <w:t xml:space="preserve">n to apply for the first time. </w:t>
      </w:r>
    </w:p>
    <w:p w14:paraId="635549A6" w14:textId="77777777" w:rsidR="00985651" w:rsidRPr="00E828BE" w:rsidRDefault="00985651" w:rsidP="001D6D10">
      <w:pPr>
        <w:pStyle w:val="Heading3"/>
      </w:pPr>
      <w:bookmarkStart w:id="68" w:name="_Ref200180799"/>
      <w:bookmarkStart w:id="69" w:name="_Toc275242945"/>
      <w:r w:rsidRPr="00E828BE">
        <w:t>6(a)(i) Obtaining Permit Coverage</w:t>
      </w:r>
      <w:bookmarkEnd w:id="68"/>
      <w:bookmarkEnd w:id="69"/>
    </w:p>
    <w:p w14:paraId="59F747E9" w14:textId="77777777" w:rsidR="00985651" w:rsidRPr="00E828BE" w:rsidRDefault="00985651" w:rsidP="001D6D10">
      <w:r w:rsidRPr="00E828BE">
        <w:t>To calculate the total annual applicant respondent burden, EPA first calculated the annual burden for each information request associated with obtaining permit coverage</w:t>
      </w:r>
      <w:r w:rsidR="001F4874" w:rsidRPr="00E828BE">
        <w:t xml:space="preserve">. </w:t>
      </w:r>
      <w:r w:rsidRPr="00E828BE">
        <w:t>This subsection explains applicant respondent burden estimates for each information request.</w:t>
      </w:r>
    </w:p>
    <w:p w14:paraId="7E8E90FB" w14:textId="77777777" w:rsidR="00985651" w:rsidRPr="00E828BE" w:rsidRDefault="00985651" w:rsidP="001D6D10"/>
    <w:p w14:paraId="3E5CD722" w14:textId="77777777" w:rsidR="00985651" w:rsidRPr="00E828BE" w:rsidRDefault="00985651" w:rsidP="001D6D10">
      <w:r w:rsidRPr="00E828BE">
        <w:t xml:space="preserve">In addition, the Respondents and Agency Activities Table in Appendix A calculates the estimated burden to </w:t>
      </w:r>
      <w:r w:rsidR="009A164E" w:rsidRPr="00E828BE">
        <w:t>NPDES-</w:t>
      </w:r>
      <w:r w:rsidRPr="00E828BE">
        <w:t xml:space="preserve">authorized </w:t>
      </w:r>
      <w:r w:rsidR="009A164E" w:rsidRPr="00E828BE">
        <w:t>state</w:t>
      </w:r>
      <w:r w:rsidRPr="00E828BE">
        <w:t>s for handling and reviewing NOI information discussed in this subsection</w:t>
      </w:r>
      <w:r w:rsidR="001F4874" w:rsidRPr="00E828BE">
        <w:t xml:space="preserve">. </w:t>
      </w:r>
      <w:r w:rsidRPr="00E828BE">
        <w:t>Estimates of the burden do not include analysis of the data because this activity is associated with preparing and issuing the permit</w:t>
      </w:r>
      <w:r w:rsidR="001F4874" w:rsidRPr="00E828BE">
        <w:t xml:space="preserve">. </w:t>
      </w:r>
      <w:r w:rsidRPr="00E828BE">
        <w:t xml:space="preserve">Because most state governments have authority for the NPDES programs, state governments will incur the majority of the permitting authority burden and costs. </w:t>
      </w:r>
    </w:p>
    <w:p w14:paraId="0AB60733" w14:textId="77777777" w:rsidR="00985651" w:rsidRPr="00E828BE" w:rsidRDefault="00985651" w:rsidP="001D6D10"/>
    <w:p w14:paraId="043EECD3" w14:textId="77777777" w:rsidR="00985651" w:rsidRPr="00E828BE" w:rsidRDefault="00985651" w:rsidP="001D6D10">
      <w:pPr>
        <w:keepNext/>
        <w:rPr>
          <w:b/>
        </w:rPr>
      </w:pPr>
      <w:r w:rsidRPr="00E828BE">
        <w:rPr>
          <w:b/>
        </w:rPr>
        <w:t xml:space="preserve">Notice of Intent (NOI) </w:t>
      </w:r>
    </w:p>
    <w:p w14:paraId="7D0FFE17" w14:textId="77777777" w:rsidR="00985651" w:rsidRPr="00E828BE" w:rsidRDefault="00985651" w:rsidP="001D6D10">
      <w:r w:rsidRPr="00E828BE">
        <w:t xml:space="preserve">The NOI filing requirement is applicable only to </w:t>
      </w:r>
      <w:r w:rsidR="00B70D40" w:rsidRPr="00E828BE">
        <w:t xml:space="preserve">certain </w:t>
      </w:r>
      <w:r w:rsidR="006E5425" w:rsidRPr="00E828BE">
        <w:t>permittees</w:t>
      </w:r>
      <w:r w:rsidR="001F4874" w:rsidRPr="00E828BE">
        <w:t xml:space="preserve">. </w:t>
      </w:r>
      <w:r w:rsidRPr="00E828BE">
        <w:t xml:space="preserve">EPA estimates that </w:t>
      </w:r>
      <w:r w:rsidR="00341FBA" w:rsidRPr="00E828BE">
        <w:t>2 hours is required to file an NOI for a general permit</w:t>
      </w:r>
      <w:r w:rsidR="001F4874" w:rsidRPr="00E828BE">
        <w:t xml:space="preserve">. </w:t>
      </w:r>
      <w:r w:rsidR="00341FBA" w:rsidRPr="00E828BE">
        <w:t>This burden estimate includes 1 hour to read and understand the regulation, and 1 hour to fill out and submit the form</w:t>
      </w:r>
      <w:r w:rsidR="001F4874" w:rsidRPr="00E828BE">
        <w:t xml:space="preserve">. </w:t>
      </w:r>
      <w:r w:rsidR="00341FBA" w:rsidRPr="00E828BE">
        <w:t>EPA estimates that 2.5% of the regulated universe would need to file an NOI (</w:t>
      </w:r>
      <w:r w:rsidR="00DA6AA7" w:rsidRPr="00E828BE">
        <w:t>9,125</w:t>
      </w:r>
      <w:r w:rsidRPr="00E828BE">
        <w:t xml:space="preserve"> entities), for an annual average of 1,</w:t>
      </w:r>
      <w:r w:rsidR="00DA6AA7" w:rsidRPr="00E828BE">
        <w:t>825</w:t>
      </w:r>
      <w:r w:rsidRPr="00E828BE">
        <w:t xml:space="preserve"> NOIs (</w:t>
      </w:r>
      <w:r w:rsidR="00DA6AA7" w:rsidRPr="00E828BE">
        <w:t>9,125</w:t>
      </w:r>
      <w:r w:rsidRPr="00E828BE">
        <w:t xml:space="preserve"> divided by the 5-year coverage)</w:t>
      </w:r>
      <w:r w:rsidR="001F4874" w:rsidRPr="00E828BE">
        <w:t xml:space="preserve">. </w:t>
      </w:r>
      <w:r w:rsidRPr="00E828BE">
        <w:t xml:space="preserve">EPA estimates that </w:t>
      </w:r>
      <w:r w:rsidR="004A6161" w:rsidRPr="00E828BE">
        <w:t xml:space="preserve">the </w:t>
      </w:r>
      <w:r w:rsidR="0067212A">
        <w:t>agency</w:t>
      </w:r>
      <w:r w:rsidR="004A6161" w:rsidRPr="00E828BE">
        <w:t xml:space="preserve"> and </w:t>
      </w:r>
      <w:r w:rsidR="009A164E" w:rsidRPr="00E828BE">
        <w:t>NPDES-</w:t>
      </w:r>
      <w:r w:rsidRPr="00E828BE">
        <w:t xml:space="preserve">authorized </w:t>
      </w:r>
      <w:r w:rsidR="009A164E" w:rsidRPr="00E828BE">
        <w:t>state</w:t>
      </w:r>
      <w:r w:rsidRPr="00E828BE">
        <w:t xml:space="preserve">s will spend </w:t>
      </w:r>
      <w:r w:rsidR="00153001" w:rsidRPr="00E828BE">
        <w:t>0.5</w:t>
      </w:r>
      <w:r w:rsidRPr="00E828BE">
        <w:t xml:space="preserve"> hour</w:t>
      </w:r>
      <w:r w:rsidR="00153001" w:rsidRPr="00E828BE">
        <w:t>s</w:t>
      </w:r>
      <w:r w:rsidR="004A6161" w:rsidRPr="00E828BE">
        <w:t xml:space="preserve"> processing these NOIs.</w:t>
      </w:r>
    </w:p>
    <w:p w14:paraId="6993B555" w14:textId="77777777" w:rsidR="00F64098" w:rsidRPr="00E828BE" w:rsidRDefault="00F64098" w:rsidP="001D6D10"/>
    <w:p w14:paraId="62A07D2E" w14:textId="77777777" w:rsidR="00F64098" w:rsidRPr="00E828BE" w:rsidRDefault="005177F6" w:rsidP="00F64098">
      <w:r w:rsidRPr="00E828BE">
        <w:lastRenderedPageBreak/>
        <w:t>Similar to ICRs for other EPA general permit</w:t>
      </w:r>
      <w:r w:rsidR="009B26DF" w:rsidRPr="00E828BE">
        <w:t>s</w:t>
      </w:r>
      <w:r w:rsidRPr="00E828BE">
        <w:t xml:space="preserve">, </w:t>
      </w:r>
      <w:r w:rsidR="00F64098" w:rsidRPr="00E828BE">
        <w:t xml:space="preserve">EPA assumes that the burden for permittees covered under the EPA’s PGP as a result of ESA </w:t>
      </w:r>
      <w:r w:rsidR="0011555D" w:rsidRPr="00E828BE">
        <w:t>obligations</w:t>
      </w:r>
      <w:r w:rsidR="00F64098" w:rsidRPr="00E828BE">
        <w:t xml:space="preserve"> be the following:</w:t>
      </w:r>
    </w:p>
    <w:p w14:paraId="41EF3EDA" w14:textId="77777777" w:rsidR="00F64098" w:rsidRPr="00E828BE" w:rsidRDefault="00F64098" w:rsidP="00F64098">
      <w:pPr>
        <w:numPr>
          <w:ilvl w:val="0"/>
          <w:numId w:val="18"/>
        </w:numPr>
      </w:pPr>
      <w:r w:rsidRPr="00E828BE">
        <w:t xml:space="preserve">Informal assessment needed in </w:t>
      </w:r>
      <w:r w:rsidR="009B26DF" w:rsidRPr="00E828BE">
        <w:t>0.</w:t>
      </w:r>
      <w:r w:rsidRPr="00E828BE">
        <w:t xml:space="preserve">1% of </w:t>
      </w:r>
      <w:r w:rsidR="005F71BF" w:rsidRPr="00E828BE">
        <w:t>the cases</w:t>
      </w:r>
      <w:r w:rsidRPr="00E828BE">
        <w:t>: 6 hours</w:t>
      </w:r>
      <w:r w:rsidR="00DA6AA7" w:rsidRPr="00E828BE">
        <w:t xml:space="preserve"> (3</w:t>
      </w:r>
      <w:r w:rsidR="009B26DF" w:rsidRPr="00E828BE">
        <w:t>7</w:t>
      </w:r>
      <w:r w:rsidR="00DA6AA7" w:rsidRPr="00E828BE">
        <w:t xml:space="preserve"> NOIs with an annual average of </w:t>
      </w:r>
      <w:r w:rsidR="009B26DF" w:rsidRPr="00E828BE">
        <w:t>7</w:t>
      </w:r>
      <w:r w:rsidR="00DA6AA7" w:rsidRPr="00E828BE">
        <w:t xml:space="preserve"> NOIs)</w:t>
      </w:r>
    </w:p>
    <w:p w14:paraId="124B15AD" w14:textId="77777777" w:rsidR="00F64098" w:rsidRPr="00E828BE" w:rsidRDefault="00341FBA" w:rsidP="00F64098">
      <w:pPr>
        <w:numPr>
          <w:ilvl w:val="0"/>
          <w:numId w:val="18"/>
        </w:numPr>
      </w:pPr>
      <w:r w:rsidRPr="00E828BE">
        <w:t xml:space="preserve">Formal assessment needed in 0.05% of the cases: 20 </w:t>
      </w:r>
      <w:r w:rsidR="00F64098" w:rsidRPr="00E828BE">
        <w:t>hours</w:t>
      </w:r>
      <w:r w:rsidR="00DA6AA7" w:rsidRPr="00E828BE">
        <w:t xml:space="preserve"> (18 NOIs with an annual average of 4 NOIs)</w:t>
      </w:r>
    </w:p>
    <w:p w14:paraId="658B5793" w14:textId="77777777" w:rsidR="00D96090" w:rsidRPr="00E828BE" w:rsidRDefault="00D96090" w:rsidP="001D6D10"/>
    <w:p w14:paraId="2DAB986A" w14:textId="77777777" w:rsidR="00985651" w:rsidRPr="00E828BE" w:rsidRDefault="00985651" w:rsidP="001D6D10">
      <w:pPr>
        <w:rPr>
          <w:b/>
        </w:rPr>
      </w:pPr>
      <w:r w:rsidRPr="00E828BE">
        <w:rPr>
          <w:b/>
        </w:rPr>
        <w:t xml:space="preserve">Notice of Termination (NOT) </w:t>
      </w:r>
    </w:p>
    <w:p w14:paraId="2B02F792" w14:textId="77777777" w:rsidR="00985651" w:rsidRPr="00E828BE" w:rsidRDefault="00985651" w:rsidP="001D6D10">
      <w:r w:rsidRPr="00E828BE">
        <w:t>EPA estimates that on average, permittees will spend 0.5 hour</w:t>
      </w:r>
      <w:r w:rsidR="009215C8" w:rsidRPr="00E828BE">
        <w:t>s</w:t>
      </w:r>
      <w:r w:rsidRPr="00E828BE">
        <w:t xml:space="preserve"> filling out an NOT</w:t>
      </w:r>
      <w:r w:rsidR="001F4874" w:rsidRPr="00E828BE">
        <w:t xml:space="preserve">. </w:t>
      </w:r>
      <w:r w:rsidRPr="00E828BE">
        <w:t>EPA estimates the total number of respondents will be 4</w:t>
      </w:r>
      <w:r w:rsidR="00DA6AA7" w:rsidRPr="00E828BE">
        <w:t>56</w:t>
      </w:r>
      <w:r w:rsidRPr="00E828BE">
        <w:t xml:space="preserve"> (5 percent of the </w:t>
      </w:r>
      <w:r w:rsidR="005F71BF" w:rsidRPr="00E828BE">
        <w:t>respondents required to submit NOIs</w:t>
      </w:r>
      <w:r w:rsidRPr="00E828BE">
        <w:t>)</w:t>
      </w:r>
      <w:r w:rsidR="001F4874" w:rsidRPr="00E828BE">
        <w:t xml:space="preserve">. </w:t>
      </w:r>
      <w:r w:rsidRPr="00E828BE">
        <w:t xml:space="preserve">EPA estimates that </w:t>
      </w:r>
      <w:r w:rsidR="00DA6AA7" w:rsidRPr="00E828BE">
        <w:t>91</w:t>
      </w:r>
      <w:r w:rsidRPr="00E828BE">
        <w:t xml:space="preserve"> NOTs will be filed annually</w:t>
      </w:r>
      <w:r w:rsidR="001F4874" w:rsidRPr="00E828BE">
        <w:t xml:space="preserve">. </w:t>
      </w:r>
      <w:r w:rsidRPr="00E828BE">
        <w:t>This assumes that, in general, the universe of dis</w:t>
      </w:r>
      <w:r w:rsidR="00341FBA" w:rsidRPr="00E828BE">
        <w:t>chargers covered under this permit will not change significantly from year to year</w:t>
      </w:r>
      <w:r w:rsidR="001F4874" w:rsidRPr="00E828BE">
        <w:t xml:space="preserve">. </w:t>
      </w:r>
      <w:r w:rsidR="00341FBA" w:rsidRPr="00E828BE">
        <w:t xml:space="preserve">EPA estimates that permitting authorities will spend </w:t>
      </w:r>
      <w:r w:rsidRPr="00E828BE">
        <w:t>0.25 hour</w:t>
      </w:r>
      <w:r w:rsidR="009215C8" w:rsidRPr="00E828BE">
        <w:t>s</w:t>
      </w:r>
      <w:r w:rsidRPr="00E828BE">
        <w:t xml:space="preserve"> processing each NOT.</w:t>
      </w:r>
    </w:p>
    <w:p w14:paraId="2BE06672" w14:textId="77777777" w:rsidR="00985651" w:rsidRPr="00E828BE" w:rsidRDefault="00985651" w:rsidP="001D6D10">
      <w:pPr>
        <w:sectPr w:rsidR="00985651" w:rsidRPr="00E828BE">
          <w:headerReference w:type="even" r:id="rId48"/>
          <w:headerReference w:type="default" r:id="rId49"/>
          <w:headerReference w:type="first" r:id="rId50"/>
          <w:pgSz w:w="12240" w:h="15840" w:code="1"/>
          <w:pgMar w:top="1440" w:right="1440" w:bottom="1440" w:left="1440" w:header="720" w:footer="720" w:gutter="0"/>
          <w:pgNumType w:chapStyle="1"/>
          <w:cols w:space="720"/>
          <w:noEndnote/>
        </w:sectPr>
      </w:pPr>
    </w:p>
    <w:p w14:paraId="5AC6E50D" w14:textId="77777777" w:rsidR="00985651" w:rsidRPr="00E828BE" w:rsidRDefault="00985651" w:rsidP="001D6D10">
      <w:pPr>
        <w:pStyle w:val="Heading3"/>
      </w:pPr>
      <w:bookmarkStart w:id="70" w:name="_Ref200180838"/>
      <w:bookmarkStart w:id="71" w:name="_Toc275242946"/>
      <w:r w:rsidRPr="00E828BE">
        <w:lastRenderedPageBreak/>
        <w:t>6(a)(ii) Plan Development</w:t>
      </w:r>
      <w:bookmarkEnd w:id="70"/>
      <w:bookmarkEnd w:id="71"/>
    </w:p>
    <w:p w14:paraId="1B4E020F" w14:textId="77777777" w:rsidR="00985651" w:rsidRPr="00E828BE" w:rsidRDefault="004D3167" w:rsidP="001E5FF7">
      <w:pPr>
        <w:keepNext/>
      </w:pPr>
      <w:r w:rsidRPr="00E828BE">
        <w:t xml:space="preserve">Certain </w:t>
      </w:r>
      <w:r w:rsidR="006E5425" w:rsidRPr="00E828BE">
        <w:t>permittees</w:t>
      </w:r>
      <w:r w:rsidR="00985651" w:rsidRPr="00E828BE">
        <w:t xml:space="preserve"> will be required to develop a Pesticide Discharge Management Plan (PDMP) and keep it up-to-date</w:t>
      </w:r>
      <w:r w:rsidR="001F4874" w:rsidRPr="00E828BE">
        <w:t xml:space="preserve">. </w:t>
      </w:r>
      <w:r w:rsidR="00985651" w:rsidRPr="00E828BE">
        <w:t xml:space="preserve">PDMPs document the evaluation and selection of </w:t>
      </w:r>
      <w:r w:rsidRPr="00E828BE">
        <w:t xml:space="preserve">pest management </w:t>
      </w:r>
      <w:r w:rsidR="00985651" w:rsidRPr="00E828BE">
        <w:t>measures to meet the technology-based effluent limitations</w:t>
      </w:r>
      <w:r w:rsidR="001F4874" w:rsidRPr="00E828BE">
        <w:t xml:space="preserve">. </w:t>
      </w:r>
      <w:r w:rsidR="00985651" w:rsidRPr="00E828BE">
        <w:t>These plans may cover one or more treatment areas within one plan, and can reference other documents (such as pre-existing integrated pest management plans)</w:t>
      </w:r>
      <w:r w:rsidR="001F4874" w:rsidRPr="00E828BE">
        <w:t xml:space="preserve">. </w:t>
      </w:r>
      <w:r w:rsidR="00985651" w:rsidRPr="00E828BE">
        <w:t>Thus, the cost to develop the PDMP will vary based on the extent of pest problems and pesticide use, as well as existing documentation that may be referenced to fulfill plan requirements</w:t>
      </w:r>
      <w:r w:rsidR="001F4874" w:rsidRPr="00E828BE">
        <w:t xml:space="preserve">. </w:t>
      </w:r>
      <w:r w:rsidRPr="00E828BE">
        <w:t xml:space="preserve">Decision-makers </w:t>
      </w:r>
      <w:r w:rsidR="00985651" w:rsidRPr="00E828BE">
        <w:t xml:space="preserve">that have been evaluating pest problems and alternative management methods may have significant relevant material already compiled and available. In this </w:t>
      </w:r>
      <w:r w:rsidR="00BA2CA5">
        <w:t>ICR</w:t>
      </w:r>
      <w:r w:rsidR="00985651" w:rsidRPr="00E828BE">
        <w:t xml:space="preserve">, EPA assumes that </w:t>
      </w:r>
      <w:r w:rsidR="002011B7" w:rsidRPr="00E828BE">
        <w:t>for the first two years of ICR coverage (corresponding to years 4 and 5 of the permit),</w:t>
      </w:r>
      <w:r w:rsidR="00985651" w:rsidRPr="00E828BE">
        <w:t xml:space="preserve"> </w:t>
      </w:r>
      <w:r w:rsidR="00CA66ED" w:rsidRPr="009113F9">
        <w:t>9</w:t>
      </w:r>
      <w:r w:rsidR="00DA6AA7" w:rsidRPr="009113F9">
        <w:t>67</w:t>
      </w:r>
      <w:r w:rsidR="00985651" w:rsidRPr="009113F9">
        <w:t xml:space="preserve"> </w:t>
      </w:r>
      <w:r w:rsidRPr="009113F9">
        <w:t xml:space="preserve">respondents </w:t>
      </w:r>
      <w:r w:rsidR="00985651" w:rsidRPr="009113F9">
        <w:t>a year will be required to develop a PDMP</w:t>
      </w:r>
      <w:r w:rsidR="00985651" w:rsidRPr="00E828BE">
        <w:t xml:space="preserve"> (5</w:t>
      </w:r>
      <w:r w:rsidR="00DA6AA7" w:rsidRPr="00E828BE">
        <w:t>3</w:t>
      </w:r>
      <w:r w:rsidR="00985651" w:rsidRPr="00E828BE">
        <w:t xml:space="preserve"> percent of the universe</w:t>
      </w:r>
      <w:r w:rsidR="00CA66ED" w:rsidRPr="00E828BE">
        <w:t xml:space="preserve"> </w:t>
      </w:r>
      <w:r w:rsidR="00DA6AA7" w:rsidRPr="00E828BE">
        <w:t>required to file NOIs</w:t>
      </w:r>
      <w:r w:rsidR="00341FBA" w:rsidRPr="00E828BE">
        <w:t>)</w:t>
      </w:r>
      <w:r w:rsidR="001F4874" w:rsidRPr="00E828BE">
        <w:t xml:space="preserve">. </w:t>
      </w:r>
      <w:r w:rsidR="00341FBA" w:rsidRPr="00E828BE">
        <w:t>Although components of a PDMP are similar, pest management area design, size and function, and the level of effort involved will vary for each pest management area</w:t>
      </w:r>
      <w:r w:rsidR="001F4874" w:rsidRPr="00E828BE">
        <w:t xml:space="preserve">. </w:t>
      </w:r>
      <w:r w:rsidR="00341FBA" w:rsidRPr="00E828BE">
        <w:t>EPA estimates the average level of effort that might be required to prepare a PDMP</w:t>
      </w:r>
      <w:r w:rsidR="001F4874" w:rsidRPr="00E828BE">
        <w:t xml:space="preserve">. </w:t>
      </w:r>
      <w:r w:rsidR="00341FBA" w:rsidRPr="00E828BE">
        <w:t>This burden estimate for preparing a PDMP includes 1 hour to select the team, 16 hours to describe sources, 14 hours to develop measures and controls, 8 hours to develop schedules and procedures, and 1 hour to document considerations under other federal laws</w:t>
      </w:r>
      <w:r w:rsidR="001F4874" w:rsidRPr="00E828BE">
        <w:t xml:space="preserve">. </w:t>
      </w:r>
      <w:r w:rsidR="00341FBA" w:rsidRPr="00E828BE">
        <w:t>Thus, EPA estimates that the average time for a respondent to develop a PDMP is 40 hours</w:t>
      </w:r>
      <w:r w:rsidR="001F4874" w:rsidRPr="00E828BE">
        <w:t xml:space="preserve">. </w:t>
      </w:r>
      <w:r w:rsidR="00341FBA" w:rsidRPr="00E828BE">
        <w:t>This is a one-time development activity</w:t>
      </w:r>
      <w:r w:rsidR="001F4874" w:rsidRPr="00E828BE">
        <w:t xml:space="preserve">. </w:t>
      </w:r>
      <w:r w:rsidR="00341FBA" w:rsidRPr="00E828BE">
        <w:t>Decision-makers are required to update the plan as needed</w:t>
      </w:r>
      <w:r w:rsidR="001F4874" w:rsidRPr="00E828BE">
        <w:t xml:space="preserve">. </w:t>
      </w:r>
      <w:r w:rsidR="00341FBA" w:rsidRPr="00E828BE">
        <w:t xml:space="preserve">EPA assumes that </w:t>
      </w:r>
      <w:r w:rsidR="00CA66ED" w:rsidRPr="00E828BE">
        <w:t>1,2</w:t>
      </w:r>
      <w:r w:rsidR="00DA6AA7" w:rsidRPr="00E828BE">
        <w:t>09</w:t>
      </w:r>
      <w:r w:rsidR="00985651" w:rsidRPr="00E828BE">
        <w:t xml:space="preserve"> plans (25 percent of the universe required to develop a plan) will be updated annually wit</w:t>
      </w:r>
      <w:r w:rsidR="00341FBA" w:rsidRPr="00E828BE">
        <w:t>h the average time of 2 hours</w:t>
      </w:r>
      <w:r w:rsidR="001F4874" w:rsidRPr="00E828BE">
        <w:t xml:space="preserve">. </w:t>
      </w:r>
    </w:p>
    <w:p w14:paraId="1AB1C73A" w14:textId="77777777" w:rsidR="00985651" w:rsidRPr="00E828BE" w:rsidRDefault="00985651" w:rsidP="001D6D10">
      <w:pPr>
        <w:spacing w:after="60"/>
        <w:sectPr w:rsidR="00985651" w:rsidRPr="00E828BE">
          <w:headerReference w:type="even" r:id="rId51"/>
          <w:headerReference w:type="default" r:id="rId52"/>
          <w:headerReference w:type="first" r:id="rId53"/>
          <w:type w:val="continuous"/>
          <w:pgSz w:w="12240" w:h="15840" w:code="1"/>
          <w:pgMar w:top="1440" w:right="1440" w:bottom="1440" w:left="1440" w:header="720" w:footer="720" w:gutter="0"/>
          <w:pgNumType w:chapStyle="1"/>
          <w:cols w:space="720"/>
          <w:noEndnote/>
        </w:sectPr>
      </w:pPr>
    </w:p>
    <w:p w14:paraId="3134C461" w14:textId="77777777" w:rsidR="00985651" w:rsidRPr="00E828BE" w:rsidRDefault="00985651" w:rsidP="001D6D10">
      <w:pPr>
        <w:pStyle w:val="Heading3"/>
      </w:pPr>
      <w:bookmarkStart w:id="72" w:name="_Ref200180873"/>
      <w:bookmarkStart w:id="73" w:name="_Toc275242947"/>
      <w:r w:rsidRPr="00E828BE">
        <w:lastRenderedPageBreak/>
        <w:t>6(a)(iii) Monitoring</w:t>
      </w:r>
      <w:bookmarkEnd w:id="72"/>
      <w:bookmarkEnd w:id="73"/>
    </w:p>
    <w:p w14:paraId="505E7B94" w14:textId="77777777" w:rsidR="00985651" w:rsidRPr="00E828BE" w:rsidRDefault="00985651" w:rsidP="001D6D10">
      <w:pPr>
        <w:numPr>
          <w:ilvl w:val="12"/>
          <w:numId w:val="0"/>
        </w:numPr>
      </w:pPr>
      <w:r w:rsidRPr="00E828BE">
        <w:t>All 365,000 permittees are required to conduct monitoring</w:t>
      </w:r>
      <w:r w:rsidR="001F4874" w:rsidRPr="00E828BE">
        <w:t xml:space="preserve">. </w:t>
      </w:r>
      <w:r w:rsidR="00DA6AA7" w:rsidRPr="00E828BE">
        <w:t xml:space="preserve">According to the </w:t>
      </w:r>
      <w:r w:rsidRPr="00E828BE">
        <w:t>EPA’s PGP, this includes visual monitoring</w:t>
      </w:r>
      <w:r w:rsidR="001F4874" w:rsidRPr="00E828BE">
        <w:t xml:space="preserve">. </w:t>
      </w:r>
      <w:r w:rsidRPr="00E828BE">
        <w:t>EPA expects minimal additional burden associated with monitoring under the general permit</w:t>
      </w:r>
      <w:r w:rsidR="001F4874" w:rsidRPr="00E828BE">
        <w:t xml:space="preserve">. </w:t>
      </w:r>
      <w:r w:rsidRPr="00E828BE">
        <w:t>Where required</w:t>
      </w:r>
      <w:r w:rsidR="00B124DD" w:rsidRPr="00E828BE">
        <w:t>,</w:t>
      </w:r>
      <w:r w:rsidRPr="00E828BE">
        <w:t xml:space="preserve"> EPA expects an additional 0.25 hour</w:t>
      </w:r>
      <w:r w:rsidR="009215C8" w:rsidRPr="00E828BE">
        <w:t>s</w:t>
      </w:r>
      <w:r w:rsidRPr="00E828BE">
        <w:t xml:space="preserve"> per site monitored</w:t>
      </w:r>
      <w:r w:rsidR="001F4874" w:rsidRPr="00E828BE">
        <w:t xml:space="preserve">. </w:t>
      </w:r>
      <w:r w:rsidRPr="00E828BE">
        <w:t>EPA assumes larg</w:t>
      </w:r>
      <w:r w:rsidR="00865D5B" w:rsidRPr="00E828BE">
        <w:t xml:space="preserve">e </w:t>
      </w:r>
      <w:r w:rsidRPr="00E828BE">
        <w:t xml:space="preserve">entities </w:t>
      </w:r>
      <w:r w:rsidR="00A3615E" w:rsidRPr="00E828BE">
        <w:t>that</w:t>
      </w:r>
      <w:r w:rsidR="00D243E6" w:rsidRPr="00E828BE">
        <w:t xml:space="preserve"> are required to submit NOIs</w:t>
      </w:r>
      <w:r w:rsidRPr="00E828BE">
        <w:t xml:space="preserve"> conduct an average of </w:t>
      </w:r>
      <w:r w:rsidR="00A1700B" w:rsidRPr="00E828BE">
        <w:t>sixteen</w:t>
      </w:r>
      <w:r w:rsidRPr="00E828BE">
        <w:t xml:space="preserve"> applications annually</w:t>
      </w:r>
      <w:r w:rsidR="00EE2BCE" w:rsidRPr="00E828BE">
        <w:t xml:space="preserve"> (4,836 respondents)</w:t>
      </w:r>
      <w:r w:rsidR="001F4874" w:rsidRPr="00E828BE">
        <w:t xml:space="preserve">. </w:t>
      </w:r>
      <w:r w:rsidRPr="00E828BE">
        <w:t xml:space="preserve">For small </w:t>
      </w:r>
      <w:r w:rsidR="00D243E6" w:rsidRPr="00E828BE">
        <w:t>entities who are required to submit NOIS</w:t>
      </w:r>
      <w:r w:rsidRPr="00E828BE">
        <w:t xml:space="preserve">, pesticide applications are likely to be fewer; </w:t>
      </w:r>
      <w:r w:rsidR="00D243E6" w:rsidRPr="00E828BE">
        <w:t xml:space="preserve">EPA assumes </w:t>
      </w:r>
      <w:r w:rsidRPr="00E828BE">
        <w:t xml:space="preserve">an average of </w:t>
      </w:r>
      <w:r w:rsidR="00A1700B" w:rsidRPr="00E828BE">
        <w:t>four</w:t>
      </w:r>
      <w:r w:rsidRPr="00E828BE">
        <w:t xml:space="preserve"> applications per year</w:t>
      </w:r>
      <w:r w:rsidR="00EE2BCE" w:rsidRPr="00E828BE">
        <w:t xml:space="preserve"> (</w:t>
      </w:r>
      <w:r w:rsidR="00865D5B" w:rsidRPr="00E828BE">
        <w:t>4</w:t>
      </w:r>
      <w:r w:rsidR="00A3615E" w:rsidRPr="00E828BE">
        <w:t>,</w:t>
      </w:r>
      <w:r w:rsidR="00865D5B" w:rsidRPr="00E828BE">
        <w:t>289 respondents)</w:t>
      </w:r>
      <w:r w:rsidR="001F4874" w:rsidRPr="00E828BE">
        <w:t xml:space="preserve">. </w:t>
      </w:r>
      <w:r w:rsidR="00D243E6" w:rsidRPr="00E828BE">
        <w:t xml:space="preserve">EPA assumes </w:t>
      </w:r>
      <w:r w:rsidR="00A1700B" w:rsidRPr="00E828BE">
        <w:t xml:space="preserve">one </w:t>
      </w:r>
      <w:r w:rsidR="00D243E6" w:rsidRPr="00E828BE">
        <w:t xml:space="preserve">monitoring </w:t>
      </w:r>
      <w:r w:rsidR="00A1700B" w:rsidRPr="00E828BE">
        <w:t xml:space="preserve">event per year </w:t>
      </w:r>
      <w:r w:rsidR="006E5425" w:rsidRPr="00E828BE">
        <w:t xml:space="preserve">for </w:t>
      </w:r>
      <w:r w:rsidR="00D243E6" w:rsidRPr="00E828BE">
        <w:t xml:space="preserve">entities </w:t>
      </w:r>
      <w:r w:rsidR="00A3615E" w:rsidRPr="00E828BE">
        <w:t>that</w:t>
      </w:r>
      <w:r w:rsidR="00D243E6" w:rsidRPr="00E828BE">
        <w:t xml:space="preserve"> are not required to submit NOIs</w:t>
      </w:r>
      <w:r w:rsidR="001F4874" w:rsidRPr="00E828BE">
        <w:t xml:space="preserve">. </w:t>
      </w:r>
    </w:p>
    <w:p w14:paraId="53B7BB66" w14:textId="77777777" w:rsidR="00985651" w:rsidRPr="00E828BE" w:rsidRDefault="00985651" w:rsidP="001D6D10">
      <w:pPr>
        <w:sectPr w:rsidR="00985651" w:rsidRPr="00E828BE">
          <w:headerReference w:type="even" r:id="rId54"/>
          <w:headerReference w:type="default" r:id="rId55"/>
          <w:headerReference w:type="first" r:id="rId56"/>
          <w:type w:val="continuous"/>
          <w:pgSz w:w="12240" w:h="15840" w:code="1"/>
          <w:pgMar w:top="1440" w:right="1440" w:bottom="1440" w:left="1440" w:header="720" w:footer="720" w:gutter="0"/>
          <w:pgNumType w:chapStyle="1"/>
          <w:cols w:space="720"/>
          <w:noEndnote/>
        </w:sectPr>
      </w:pPr>
    </w:p>
    <w:p w14:paraId="4A9D21B4" w14:textId="77777777" w:rsidR="00985651" w:rsidRPr="00E828BE" w:rsidRDefault="00985651" w:rsidP="001D6D10">
      <w:pPr>
        <w:pStyle w:val="Heading3"/>
      </w:pPr>
      <w:bookmarkStart w:id="74" w:name="_Toc275242948"/>
      <w:bookmarkStart w:id="75" w:name="_Ref200180888"/>
      <w:r w:rsidRPr="00E828BE">
        <w:lastRenderedPageBreak/>
        <w:t>6(a)(iv) Reporting</w:t>
      </w:r>
      <w:bookmarkEnd w:id="74"/>
      <w:r w:rsidRPr="00E828BE">
        <w:t xml:space="preserve"> </w:t>
      </w:r>
      <w:bookmarkEnd w:id="75"/>
    </w:p>
    <w:p w14:paraId="0922D494" w14:textId="77777777" w:rsidR="00985651" w:rsidRPr="00E828BE" w:rsidRDefault="00985651" w:rsidP="001D6D10">
      <w:pPr>
        <w:keepNext/>
        <w:rPr>
          <w:b/>
        </w:rPr>
      </w:pPr>
      <w:r w:rsidRPr="00E828BE">
        <w:rPr>
          <w:b/>
        </w:rPr>
        <w:t>Annual Report</w:t>
      </w:r>
    </w:p>
    <w:p w14:paraId="1841F19B" w14:textId="77777777" w:rsidR="00985651" w:rsidRPr="00E828BE" w:rsidRDefault="00985651" w:rsidP="001D6D10">
      <w:pPr>
        <w:keepNext/>
      </w:pPr>
      <w:r w:rsidRPr="00E828BE">
        <w:t>Certain permittees are required to submit an annual report to the permitting authority</w:t>
      </w:r>
      <w:r w:rsidR="001F4874" w:rsidRPr="00E828BE">
        <w:t xml:space="preserve">. </w:t>
      </w:r>
      <w:r w:rsidRPr="00E828BE">
        <w:t xml:space="preserve">The respondent </w:t>
      </w:r>
      <w:r w:rsidRPr="00422D1B">
        <w:t>activities include preparing and submitting annual reports</w:t>
      </w:r>
      <w:r w:rsidR="001F4874" w:rsidRPr="00422D1B">
        <w:t xml:space="preserve">. </w:t>
      </w:r>
      <w:r w:rsidRPr="00422D1B">
        <w:t xml:space="preserve">EPA estimates that respondents will spend </w:t>
      </w:r>
      <w:r w:rsidR="00A1700B" w:rsidRPr="00422D1B">
        <w:t>8</w:t>
      </w:r>
      <w:r w:rsidRPr="00422D1B">
        <w:t xml:space="preserve"> hours preparing and submitting annual reports</w:t>
      </w:r>
      <w:r w:rsidR="001F4874" w:rsidRPr="00422D1B">
        <w:t xml:space="preserve">. </w:t>
      </w:r>
      <w:r w:rsidRPr="00422D1B">
        <w:t xml:space="preserve">EPA estimates </w:t>
      </w:r>
      <w:r w:rsidR="002872D2" w:rsidRPr="00422D1B">
        <w:t>4,892</w:t>
      </w:r>
      <w:r w:rsidRPr="00422D1B">
        <w:t xml:space="preserve"> reports) will be submitted annually</w:t>
      </w:r>
      <w:r w:rsidR="001F4874" w:rsidRPr="00422D1B">
        <w:t xml:space="preserve">. </w:t>
      </w:r>
      <w:r w:rsidRPr="00422D1B">
        <w:t>Permitting authorities</w:t>
      </w:r>
      <w:r w:rsidRPr="00E828BE">
        <w:t xml:space="preserve"> will spend approximately 1 hour processing and reviewing these annual reports.</w:t>
      </w:r>
    </w:p>
    <w:p w14:paraId="34DE97DC" w14:textId="77777777" w:rsidR="00985651" w:rsidRPr="00E828BE" w:rsidRDefault="00985651" w:rsidP="001D6D10">
      <w:pPr>
        <w:keepNext/>
      </w:pPr>
    </w:p>
    <w:p w14:paraId="5A749083" w14:textId="77777777" w:rsidR="00985651" w:rsidRPr="00E828BE" w:rsidRDefault="00985651" w:rsidP="001D6D10">
      <w:pPr>
        <w:keepNext/>
        <w:rPr>
          <w:b/>
        </w:rPr>
      </w:pPr>
      <w:r w:rsidRPr="00E828BE">
        <w:rPr>
          <w:b/>
        </w:rPr>
        <w:t>Permittee Report of Adverse Incident</w:t>
      </w:r>
    </w:p>
    <w:p w14:paraId="44D8D744" w14:textId="77777777" w:rsidR="00985651" w:rsidRPr="00E828BE" w:rsidRDefault="00985651" w:rsidP="001D6D10">
      <w:pPr>
        <w:keepNext/>
      </w:pPr>
      <w:r w:rsidRPr="00E828BE">
        <w:t>Permittees are required to notify their permitting authority and provide a written report of adverse incident that may have resulted from a discharge from pesticide application</w:t>
      </w:r>
      <w:r w:rsidR="001F4874" w:rsidRPr="00E828BE">
        <w:t xml:space="preserve">. </w:t>
      </w:r>
      <w:r w:rsidRPr="00E828BE">
        <w:t>EPA reviewed ecological incidents reported by registrants from 1976 to 2008</w:t>
      </w:r>
      <w:r w:rsidR="001F4874" w:rsidRPr="00E828BE">
        <w:t xml:space="preserve">. </w:t>
      </w:r>
      <w:r w:rsidRPr="00E828BE">
        <w:t>They range from 3 to 21 incidents annually</w:t>
      </w:r>
      <w:r w:rsidR="001F4874" w:rsidRPr="00E828BE">
        <w:t xml:space="preserve">. </w:t>
      </w:r>
      <w:r w:rsidRPr="00E828BE">
        <w:t xml:space="preserve">In </w:t>
      </w:r>
      <w:r w:rsidRPr="00422D1B">
        <w:t>the EPA PGP, all permittees are required to report incidents</w:t>
      </w:r>
      <w:r w:rsidR="001F4874" w:rsidRPr="00422D1B">
        <w:t xml:space="preserve">. </w:t>
      </w:r>
      <w:r w:rsidRPr="00422D1B">
        <w:t>EPA assumes that 37 adverse incidents (0.01% of the universe) will be reported annually by permittees</w:t>
      </w:r>
      <w:r w:rsidR="001F4874" w:rsidRPr="00422D1B">
        <w:t xml:space="preserve">. </w:t>
      </w:r>
      <w:r w:rsidRPr="00422D1B">
        <w:t>EPA estimates that respondents will spend 2 hours gathering information and notifying their permitting authority</w:t>
      </w:r>
      <w:r w:rsidR="001F4874" w:rsidRPr="00422D1B">
        <w:t xml:space="preserve">. </w:t>
      </w:r>
      <w:r w:rsidRPr="00422D1B">
        <w:t>EPA estimates that respondents will spend an additional 2 hours preparing and submitting a report</w:t>
      </w:r>
      <w:r w:rsidR="001F4874" w:rsidRPr="00422D1B">
        <w:t xml:space="preserve">. </w:t>
      </w:r>
      <w:r w:rsidRPr="00422D1B">
        <w:t>The activities required</w:t>
      </w:r>
      <w:r w:rsidRPr="00E828BE">
        <w:t xml:space="preserve"> for permitting authorities include processing and reviewing the information from permittees</w:t>
      </w:r>
      <w:r w:rsidR="001F4874" w:rsidRPr="00E828BE">
        <w:t xml:space="preserve">. </w:t>
      </w:r>
      <w:r w:rsidRPr="00E828BE">
        <w:t>EPA estimates that permitting authority will spend 2 hours on this activity for each adverse incident</w:t>
      </w:r>
      <w:r w:rsidR="001F4874" w:rsidRPr="00E828BE">
        <w:t xml:space="preserve">. </w:t>
      </w:r>
    </w:p>
    <w:p w14:paraId="4DC73833" w14:textId="77777777" w:rsidR="00985651" w:rsidRPr="00E828BE" w:rsidRDefault="00985651" w:rsidP="001D6D10">
      <w:pPr>
        <w:keepNext/>
        <w:rPr>
          <w:b/>
        </w:rPr>
      </w:pPr>
    </w:p>
    <w:p w14:paraId="6EC3D6F7" w14:textId="77777777" w:rsidR="00985651" w:rsidRPr="00E828BE" w:rsidRDefault="00985651" w:rsidP="001D6D10">
      <w:pPr>
        <w:keepNext/>
        <w:rPr>
          <w:b/>
        </w:rPr>
      </w:pPr>
      <w:r w:rsidRPr="00E828BE">
        <w:rPr>
          <w:b/>
        </w:rPr>
        <w:t>Permittee Report of Adverse Incident to Threatened or Endangered Species or Critical Habitat</w:t>
      </w:r>
    </w:p>
    <w:p w14:paraId="6A1AA4C9" w14:textId="77777777" w:rsidR="00985651" w:rsidRPr="00E828BE" w:rsidRDefault="00985651" w:rsidP="001D6D10">
      <w:pPr>
        <w:keepNext/>
      </w:pPr>
      <w:r w:rsidRPr="00E828BE">
        <w:t xml:space="preserve">Permittees are </w:t>
      </w:r>
      <w:r w:rsidRPr="00422D1B">
        <w:t>required to notify the National Marine Fisheries Service or the U.S. Fish and Wildlife Service of any adverse incident to threatened or endangered species or critical habitat</w:t>
      </w:r>
      <w:r w:rsidR="001F4874" w:rsidRPr="00422D1B">
        <w:t xml:space="preserve">. </w:t>
      </w:r>
      <w:r w:rsidRPr="00422D1B">
        <w:t>EPA estimates that respondents will spend 2 hours gathering information and reporting any adverse incident and that the Services will spend 2 hours reviewing and documenting each adverse incident</w:t>
      </w:r>
      <w:r w:rsidR="001F4874" w:rsidRPr="00422D1B">
        <w:t xml:space="preserve">. </w:t>
      </w:r>
      <w:r w:rsidRPr="00422D1B">
        <w:t>EPA assumes</w:t>
      </w:r>
      <w:r w:rsidRPr="00E828BE">
        <w:t xml:space="preserve"> 4 adverse incidents (0.001% of the universe) will be reported annually.</w:t>
      </w:r>
    </w:p>
    <w:p w14:paraId="1B3091F5" w14:textId="77777777" w:rsidR="00985651" w:rsidRPr="00E828BE" w:rsidRDefault="00985651" w:rsidP="001D6D10">
      <w:pPr>
        <w:keepNext/>
      </w:pPr>
    </w:p>
    <w:p w14:paraId="315C1CCD" w14:textId="77777777" w:rsidR="00985651" w:rsidRPr="00E828BE" w:rsidRDefault="00985651" w:rsidP="001D6D10">
      <w:pPr>
        <w:rPr>
          <w:b/>
        </w:rPr>
      </w:pPr>
      <w:r w:rsidRPr="00E828BE">
        <w:rPr>
          <w:b/>
        </w:rPr>
        <w:t>Permittee Report of Spill, Leak, or Other Unpermitted Discharge</w:t>
      </w:r>
    </w:p>
    <w:p w14:paraId="35C9B22D" w14:textId="35EBD07C" w:rsidR="00985651" w:rsidRPr="00E828BE" w:rsidRDefault="00985651" w:rsidP="001D6D10">
      <w:r w:rsidRPr="00E828BE">
        <w:t>Permittees are required to notify the National Response Center of any spill, leak, or other release containing a hazardous substance or oil</w:t>
      </w:r>
      <w:r w:rsidR="001F4874" w:rsidRPr="00E828BE">
        <w:t xml:space="preserve">. </w:t>
      </w:r>
      <w:r w:rsidRPr="00E828BE">
        <w:t xml:space="preserve">These activities are already required </w:t>
      </w:r>
      <w:r w:rsidR="00420E4D">
        <w:t xml:space="preserve">and approved </w:t>
      </w:r>
      <w:r w:rsidRPr="00E828BE">
        <w:t xml:space="preserve">under existing regulations and as such, no additional burden is </w:t>
      </w:r>
      <w:r w:rsidR="00420E4D">
        <w:t xml:space="preserve">added to </w:t>
      </w:r>
      <w:r w:rsidRPr="00E828BE">
        <w:t xml:space="preserve">this </w:t>
      </w:r>
      <w:r w:rsidR="00BA2CA5">
        <w:t>ICR</w:t>
      </w:r>
      <w:r w:rsidRPr="00E828BE">
        <w:t xml:space="preserve"> for reporting</w:t>
      </w:r>
      <w:r w:rsidR="001F4874" w:rsidRPr="00E828BE">
        <w:t xml:space="preserve">. </w:t>
      </w:r>
    </w:p>
    <w:p w14:paraId="15C529B0" w14:textId="77777777" w:rsidR="00985651" w:rsidRPr="00E828BE" w:rsidRDefault="00985651" w:rsidP="001D6D10"/>
    <w:p w14:paraId="47DD0766" w14:textId="77777777" w:rsidR="00985651" w:rsidRPr="00266D20" w:rsidRDefault="00985651" w:rsidP="001D6D10">
      <w:r w:rsidRPr="00E828BE">
        <w:t>Permittees are also required to document the spill, leak, or other unpermitted discharge and retain the documentation for their record</w:t>
      </w:r>
      <w:r w:rsidR="001F4874" w:rsidRPr="00E828BE">
        <w:t xml:space="preserve">. </w:t>
      </w:r>
      <w:r w:rsidRPr="00E828BE">
        <w:t xml:space="preserve">EPA estimates that respondents will </w:t>
      </w:r>
      <w:r w:rsidRPr="00266D20">
        <w:t>spend 1 hour to document the activity</w:t>
      </w:r>
      <w:r w:rsidR="001F4874" w:rsidRPr="00266D20">
        <w:t xml:space="preserve">. </w:t>
      </w:r>
      <w:r w:rsidRPr="00266D20">
        <w:t>EPA estimates 365 events (0.1% of the universe) will be reported annually.</w:t>
      </w:r>
    </w:p>
    <w:p w14:paraId="0571B252" w14:textId="77777777" w:rsidR="00985651" w:rsidRPr="00266D20" w:rsidRDefault="00985651" w:rsidP="001D6D10"/>
    <w:p w14:paraId="75D2943B" w14:textId="77777777" w:rsidR="00985651" w:rsidRPr="00266D20" w:rsidRDefault="00985651" w:rsidP="001D6D10">
      <w:pPr>
        <w:rPr>
          <w:b/>
        </w:rPr>
      </w:pPr>
      <w:r w:rsidRPr="00266D20">
        <w:rPr>
          <w:b/>
        </w:rPr>
        <w:t>Permittee Report of Corrective Action</w:t>
      </w:r>
    </w:p>
    <w:p w14:paraId="2A8D8E3A" w14:textId="77777777" w:rsidR="00985651" w:rsidRPr="00266D20" w:rsidRDefault="00985651" w:rsidP="001D6D10">
      <w:r w:rsidRPr="00266D20">
        <w:t>Permittees are required to document any situation triggering corrective action and their planned corrective action</w:t>
      </w:r>
      <w:r w:rsidR="001F4874" w:rsidRPr="00266D20">
        <w:t xml:space="preserve">. </w:t>
      </w:r>
      <w:r w:rsidRPr="00266D20">
        <w:t>EPA estimates that respondents will spend 5 hours on this activity</w:t>
      </w:r>
      <w:r w:rsidR="001F4874" w:rsidRPr="00266D20">
        <w:t xml:space="preserve">. </w:t>
      </w:r>
      <w:r w:rsidRPr="00266D20">
        <w:t>This burden is divided as follows: 1 hour to read and understand the regulation, 1 hour of planning, 1 hour of collecting information, and 2 hours to document the activity</w:t>
      </w:r>
      <w:r w:rsidR="001F4874" w:rsidRPr="00266D20">
        <w:t xml:space="preserve">. </w:t>
      </w:r>
      <w:r w:rsidRPr="00266D20">
        <w:t>EPA estimates 365 events (0.1% of the universe) will be reported annually.</w:t>
      </w:r>
    </w:p>
    <w:p w14:paraId="1396050A" w14:textId="77777777" w:rsidR="00985651" w:rsidRPr="00266D20" w:rsidRDefault="00985651" w:rsidP="001D6D10"/>
    <w:p w14:paraId="7D4C0C6C" w14:textId="77777777" w:rsidR="00985651" w:rsidRPr="00266D20" w:rsidRDefault="00985651" w:rsidP="001D6D10">
      <w:pPr>
        <w:keepNext/>
        <w:rPr>
          <w:b/>
        </w:rPr>
      </w:pPr>
      <w:r w:rsidRPr="00266D20">
        <w:rPr>
          <w:b/>
        </w:rPr>
        <w:t>Permittee Report of Planned Facility Changes</w:t>
      </w:r>
    </w:p>
    <w:p w14:paraId="6985897D" w14:textId="77777777" w:rsidR="00985651" w:rsidRPr="00266D20" w:rsidRDefault="00985651" w:rsidP="001D6D10">
      <w:r w:rsidRPr="00266D20">
        <w:t>Respondents will use an estimated average of 4 hours to complete their notification of planned alterations and additions</w:t>
      </w:r>
      <w:r w:rsidR="001F4874" w:rsidRPr="00266D20">
        <w:t xml:space="preserve">. </w:t>
      </w:r>
      <w:r w:rsidRPr="00266D20">
        <w:t>This burden estimate includes 1 hour to read and understand the regulation, 1 hour to plan the report, and 2 hours to write the report</w:t>
      </w:r>
      <w:r w:rsidR="001F4874" w:rsidRPr="00266D20">
        <w:t xml:space="preserve">. </w:t>
      </w:r>
      <w:r w:rsidRPr="00266D20">
        <w:t>EPA estimates that permitting authority will spend 0.5 hours handling and reviewing each report</w:t>
      </w:r>
      <w:r w:rsidR="001F4874" w:rsidRPr="00266D20">
        <w:t xml:space="preserve">. </w:t>
      </w:r>
      <w:r w:rsidRPr="00266D20">
        <w:t>EPA estimates 365 events (0.1% of the universe) will be reported annually.</w:t>
      </w:r>
    </w:p>
    <w:p w14:paraId="42F85CCC" w14:textId="77777777" w:rsidR="00985651" w:rsidRPr="00266D20" w:rsidRDefault="00985651" w:rsidP="001D6D10"/>
    <w:p w14:paraId="4D0CD686" w14:textId="77777777" w:rsidR="00985651" w:rsidRPr="00266D20" w:rsidRDefault="00985651" w:rsidP="001D6D10">
      <w:pPr>
        <w:keepNext/>
        <w:rPr>
          <w:b/>
        </w:rPr>
      </w:pPr>
      <w:r w:rsidRPr="00266D20">
        <w:rPr>
          <w:b/>
        </w:rPr>
        <w:t xml:space="preserve">Permittee Report of Anticipated Noncompliance </w:t>
      </w:r>
    </w:p>
    <w:p w14:paraId="008EB969" w14:textId="77777777" w:rsidR="00985651" w:rsidRPr="00E828BE" w:rsidRDefault="00985651" w:rsidP="001D6D10">
      <w:r w:rsidRPr="00266D20">
        <w:t>Respondents will use an estimated average of 5 hours of labor for each report of anticipated noncompliance</w:t>
      </w:r>
      <w:r w:rsidR="001F4874" w:rsidRPr="00266D20">
        <w:t xml:space="preserve">. </w:t>
      </w:r>
      <w:r w:rsidRPr="00266D20">
        <w:t>This burden is divided as follows: 1 hour to read and understand the regulation, 1 hour of planning, 1 hour of collecting information, and 2 hours for writing and submitting the report</w:t>
      </w:r>
      <w:r w:rsidR="001F4874" w:rsidRPr="00266D20">
        <w:t xml:space="preserve">. </w:t>
      </w:r>
      <w:r w:rsidRPr="00266D20">
        <w:t>EPA estimates that permitting authority will spend 2 hours handling and reviewing each report</w:t>
      </w:r>
      <w:r w:rsidR="001F4874" w:rsidRPr="00266D20">
        <w:t xml:space="preserve">. </w:t>
      </w:r>
      <w:r w:rsidRPr="00266D20">
        <w:t>EPA estimates 365 events (0.1% of the universe) will be reported</w:t>
      </w:r>
      <w:r w:rsidRPr="00E828BE">
        <w:t xml:space="preserve"> annually.</w:t>
      </w:r>
    </w:p>
    <w:p w14:paraId="7E6BA5BE" w14:textId="77777777" w:rsidR="00985651" w:rsidRPr="00E828BE" w:rsidRDefault="00985651" w:rsidP="001D6D10">
      <w:pPr>
        <w:keepNext/>
        <w:rPr>
          <w:b/>
        </w:rPr>
      </w:pPr>
    </w:p>
    <w:p w14:paraId="02C25780" w14:textId="77777777" w:rsidR="00985651" w:rsidRPr="00E828BE" w:rsidRDefault="00985651" w:rsidP="001D6D10">
      <w:pPr>
        <w:keepNext/>
        <w:rPr>
          <w:b/>
        </w:rPr>
      </w:pPr>
      <w:r w:rsidRPr="00E828BE">
        <w:rPr>
          <w:b/>
        </w:rPr>
        <w:t xml:space="preserve">Facility and Permit Transfer Report </w:t>
      </w:r>
    </w:p>
    <w:p w14:paraId="74A370AF" w14:textId="77777777" w:rsidR="00985651" w:rsidRPr="00E828BE" w:rsidRDefault="00985651" w:rsidP="001D6D10">
      <w:r w:rsidRPr="00E828BE">
        <w:t>EPA does not anticipate any respondents for the PGP because operators are required to file a NOT (Notice of Termination) when they transfer ownership</w:t>
      </w:r>
      <w:r w:rsidR="001F4874" w:rsidRPr="00E828BE">
        <w:t xml:space="preserve">. </w:t>
      </w:r>
      <w:r w:rsidRPr="00E828BE">
        <w:t xml:space="preserve">Burden for NOTs are discussed elsewhere in this </w:t>
      </w:r>
      <w:r w:rsidR="00BA2CA5">
        <w:t>ICR</w:t>
      </w:r>
      <w:r w:rsidRPr="00E828BE">
        <w:t>.</w:t>
      </w:r>
    </w:p>
    <w:p w14:paraId="3D26E9B4" w14:textId="77777777" w:rsidR="00985651" w:rsidRPr="00E828BE" w:rsidRDefault="00985651" w:rsidP="001D6D10"/>
    <w:p w14:paraId="18E0802D" w14:textId="77777777" w:rsidR="00985651" w:rsidRPr="00E828BE" w:rsidRDefault="00985651" w:rsidP="001D6D10">
      <w:pPr>
        <w:keepNext/>
        <w:rPr>
          <w:b/>
        </w:rPr>
      </w:pPr>
      <w:r w:rsidRPr="00E828BE">
        <w:rPr>
          <w:b/>
        </w:rPr>
        <w:t xml:space="preserve">Permittee Report of Inaccurate Previous Information </w:t>
      </w:r>
    </w:p>
    <w:p w14:paraId="77A1F365" w14:textId="77777777" w:rsidR="00985651" w:rsidRPr="00266D20" w:rsidRDefault="00985651" w:rsidP="001D6D10">
      <w:r w:rsidRPr="00E828BE">
        <w:t xml:space="preserve">The respondent burden associated with this reporting requirement includes the time needed to verify the reporting error or omission, to prepare the revised form that details the reporting corrections, and to mail the information to the permitting </w:t>
      </w:r>
      <w:r w:rsidRPr="00266D20">
        <w:t>authority</w:t>
      </w:r>
      <w:r w:rsidR="001F4874" w:rsidRPr="00266D20">
        <w:t xml:space="preserve">. </w:t>
      </w:r>
      <w:r w:rsidRPr="00266D20">
        <w:t>The time required under this regulation will vary depending on the size of the pest management area and the extent of the error or omission</w:t>
      </w:r>
      <w:r w:rsidR="001F4874" w:rsidRPr="00266D20">
        <w:t xml:space="preserve">. </w:t>
      </w:r>
      <w:r w:rsidRPr="00266D20">
        <w:t>EPA estimates that a typical report requires 2 hours to prepare</w:t>
      </w:r>
      <w:r w:rsidR="001F4874" w:rsidRPr="00266D20">
        <w:t xml:space="preserve">. </w:t>
      </w:r>
      <w:r w:rsidRPr="00266D20">
        <w:t>EPA estimates that permitting authority will spend 1 hour handling and reviewing each report</w:t>
      </w:r>
      <w:r w:rsidR="001F4874" w:rsidRPr="00266D20">
        <w:t xml:space="preserve">. </w:t>
      </w:r>
      <w:r w:rsidRPr="00266D20">
        <w:t xml:space="preserve">EPA estimates </w:t>
      </w:r>
      <w:r w:rsidR="00A1700B" w:rsidRPr="00266D20">
        <w:t>183</w:t>
      </w:r>
      <w:r w:rsidRPr="00266D20">
        <w:t xml:space="preserve"> events (0.</w:t>
      </w:r>
      <w:r w:rsidR="00A1700B" w:rsidRPr="00266D20">
        <w:t>05</w:t>
      </w:r>
      <w:r w:rsidRPr="00266D20">
        <w:t>% of the universe) will be reported annually.</w:t>
      </w:r>
    </w:p>
    <w:p w14:paraId="1B035A9C" w14:textId="77777777" w:rsidR="00985651" w:rsidRPr="00266D20" w:rsidRDefault="00985651" w:rsidP="001D6D10"/>
    <w:p w14:paraId="6AB7E252" w14:textId="77777777" w:rsidR="00985651" w:rsidRPr="00266D20" w:rsidRDefault="00985651" w:rsidP="001D6D10">
      <w:pPr>
        <w:keepNext/>
        <w:rPr>
          <w:b/>
          <w:bCs/>
          <w:iCs/>
        </w:rPr>
      </w:pPr>
      <w:r w:rsidRPr="00266D20">
        <w:rPr>
          <w:b/>
          <w:bCs/>
          <w:iCs/>
        </w:rPr>
        <w:t xml:space="preserve">Noncompliance Reports </w:t>
      </w:r>
    </w:p>
    <w:p w14:paraId="2B7240DA" w14:textId="77777777" w:rsidR="00985651" w:rsidRPr="00266D20" w:rsidRDefault="00985651" w:rsidP="001E5FF7">
      <w:pPr>
        <w:numPr>
          <w:ilvl w:val="12"/>
          <w:numId w:val="0"/>
        </w:numPr>
      </w:pPr>
      <w:r w:rsidRPr="00266D20">
        <w:t>When a permittee violates a permit condition, it must submit a noncompliance report to the permitting authority</w:t>
      </w:r>
      <w:r w:rsidR="001F4874" w:rsidRPr="00266D20">
        <w:t xml:space="preserve">. </w:t>
      </w:r>
      <w:r w:rsidRPr="00266D20">
        <w:t>EPA estimates the average burden to be 5 hours per response</w:t>
      </w:r>
      <w:r w:rsidR="001F4874" w:rsidRPr="00266D20">
        <w:t xml:space="preserve">. </w:t>
      </w:r>
      <w:r w:rsidRPr="00266D20">
        <w:t>This burden represents the time required to gather information, prepare and present/conduct the verbal notice, and prepare and submit a written report for noncompliance</w:t>
      </w:r>
      <w:r w:rsidR="001F4874" w:rsidRPr="00266D20">
        <w:t xml:space="preserve">. </w:t>
      </w:r>
      <w:r w:rsidRPr="00266D20">
        <w:t xml:space="preserve">EPA estimates that an average of 2 hours is required for the permitting authority to receive and process each noncompliance report. EPA estimates </w:t>
      </w:r>
      <w:r w:rsidR="00A1700B" w:rsidRPr="00266D20">
        <w:t>183</w:t>
      </w:r>
      <w:r w:rsidRPr="00266D20">
        <w:t xml:space="preserve"> events (0.</w:t>
      </w:r>
      <w:r w:rsidR="00A1700B" w:rsidRPr="00266D20">
        <w:t>05</w:t>
      </w:r>
      <w:r w:rsidRPr="00266D20">
        <w:t>% of the universe) will be reported annually.</w:t>
      </w:r>
    </w:p>
    <w:p w14:paraId="592EB599" w14:textId="77777777" w:rsidR="00985651" w:rsidRPr="00266D20" w:rsidRDefault="00985651" w:rsidP="001D6D10">
      <w:pPr>
        <w:sectPr w:rsidR="00985651" w:rsidRPr="00266D20">
          <w:headerReference w:type="even" r:id="rId57"/>
          <w:headerReference w:type="default" r:id="rId58"/>
          <w:headerReference w:type="first" r:id="rId59"/>
          <w:type w:val="continuous"/>
          <w:pgSz w:w="12240" w:h="15840" w:code="1"/>
          <w:pgMar w:top="1440" w:right="1440" w:bottom="1440" w:left="1440" w:header="720" w:footer="720" w:gutter="0"/>
          <w:pgNumType w:chapStyle="1"/>
          <w:cols w:space="720"/>
          <w:noEndnote/>
        </w:sectPr>
      </w:pPr>
    </w:p>
    <w:p w14:paraId="6FF99694" w14:textId="77777777" w:rsidR="00985651" w:rsidRPr="00266D20" w:rsidRDefault="00985651" w:rsidP="001D6D10">
      <w:pPr>
        <w:pStyle w:val="Heading3"/>
      </w:pPr>
      <w:bookmarkStart w:id="76" w:name="_Hlt215285369"/>
      <w:bookmarkStart w:id="77" w:name="_Ref200180918"/>
      <w:bookmarkStart w:id="78" w:name="_Toc275242949"/>
      <w:bookmarkEnd w:id="76"/>
      <w:r w:rsidRPr="00266D20">
        <w:lastRenderedPageBreak/>
        <w:t>6(a)(v) Record Keeping</w:t>
      </w:r>
      <w:bookmarkEnd w:id="77"/>
      <w:bookmarkEnd w:id="78"/>
    </w:p>
    <w:p w14:paraId="5512B076" w14:textId="77777777" w:rsidR="00521381" w:rsidRPr="00E828BE" w:rsidRDefault="00521381" w:rsidP="001D6D10">
      <w:pPr>
        <w:autoSpaceDE w:val="0"/>
        <w:autoSpaceDN w:val="0"/>
        <w:adjustRightInd w:val="0"/>
      </w:pPr>
      <w:r w:rsidRPr="00266D20">
        <w:t>The burden associated with recordkeeping depends on the pest management area and whether the permittee already has a recordkeeping system</w:t>
      </w:r>
      <w:r w:rsidR="001F4874" w:rsidRPr="00266D20">
        <w:t xml:space="preserve">. </w:t>
      </w:r>
      <w:r w:rsidR="00A1700B" w:rsidRPr="00266D20">
        <w:t xml:space="preserve">EPA expects </w:t>
      </w:r>
      <w:r w:rsidR="00985651" w:rsidRPr="00266D20">
        <w:t xml:space="preserve">all operators </w:t>
      </w:r>
      <w:r w:rsidR="00A1700B" w:rsidRPr="00266D20">
        <w:t>to retain certain basic records related to pesticide applications that result in discharges to waters of the United States</w:t>
      </w:r>
      <w:r w:rsidR="001F4874" w:rsidRPr="00266D20">
        <w:t xml:space="preserve">. </w:t>
      </w:r>
      <w:r w:rsidR="00985651" w:rsidRPr="00266D20">
        <w:t>EPA estimates that</w:t>
      </w:r>
      <w:r w:rsidR="00057702" w:rsidRPr="00266D20">
        <w:t xml:space="preserve"> all 365,000 operators</w:t>
      </w:r>
      <w:r w:rsidR="00985651" w:rsidRPr="00266D20">
        <w:t xml:space="preserve"> </w:t>
      </w:r>
      <w:r w:rsidR="00057702" w:rsidRPr="00266D20">
        <w:t xml:space="preserve">will have a </w:t>
      </w:r>
      <w:r w:rsidR="00985651" w:rsidRPr="00266D20">
        <w:t xml:space="preserve">basic recordkeeping </w:t>
      </w:r>
      <w:r w:rsidR="00057702" w:rsidRPr="00266D20">
        <w:t>burden of</w:t>
      </w:r>
      <w:r w:rsidR="00985651" w:rsidRPr="00266D20">
        <w:t xml:space="preserve"> </w:t>
      </w:r>
      <w:r w:rsidR="006F4228" w:rsidRPr="00266D20">
        <w:t xml:space="preserve">1 </w:t>
      </w:r>
      <w:r w:rsidR="00985651" w:rsidRPr="00266D20">
        <w:t>hour per year</w:t>
      </w:r>
      <w:r w:rsidR="001F4874" w:rsidRPr="00266D20">
        <w:t xml:space="preserve">. </w:t>
      </w:r>
      <w:r w:rsidR="006F4228" w:rsidRPr="00266D20">
        <w:t xml:space="preserve">EPA assumes </w:t>
      </w:r>
      <w:r w:rsidR="0020548D" w:rsidRPr="00266D20">
        <w:t xml:space="preserve">a small </w:t>
      </w:r>
      <w:r w:rsidR="00036A4B" w:rsidRPr="00266D20">
        <w:t xml:space="preserve">additional </w:t>
      </w:r>
      <w:r w:rsidR="006F4228" w:rsidRPr="00266D20">
        <w:t xml:space="preserve">recordkeeping burden for </w:t>
      </w:r>
      <w:r w:rsidR="00057702" w:rsidRPr="00266D20">
        <w:t>operator</w:t>
      </w:r>
      <w:r w:rsidR="0020548D" w:rsidRPr="00266D20">
        <w:t>s</w:t>
      </w:r>
      <w:r w:rsidR="00036A4B" w:rsidRPr="00266D20">
        <w:t xml:space="preserve"> </w:t>
      </w:r>
      <w:r w:rsidR="006F4228" w:rsidRPr="00266D20">
        <w:t>that are not required</w:t>
      </w:r>
      <w:r w:rsidR="006F4228" w:rsidRPr="00E828BE">
        <w:t xml:space="preserve"> to submit NOIs</w:t>
      </w:r>
      <w:r w:rsidR="00036A4B" w:rsidRPr="00E828BE">
        <w:t>, including information such as equipment calibration records</w:t>
      </w:r>
      <w:r w:rsidR="0020548D" w:rsidRPr="00E828BE">
        <w:t xml:space="preserve"> or information on For-Hire </w:t>
      </w:r>
      <w:r w:rsidR="008D77A7">
        <w:t>applicator</w:t>
      </w:r>
      <w:r w:rsidR="0020548D" w:rsidRPr="00E828BE">
        <w:t>s</w:t>
      </w:r>
      <w:r w:rsidR="001F4874" w:rsidRPr="00E828BE">
        <w:t xml:space="preserve">. </w:t>
      </w:r>
      <w:r w:rsidRPr="00E828BE">
        <w:t xml:space="preserve">EPA estimates </w:t>
      </w:r>
      <w:r w:rsidR="00036A4B" w:rsidRPr="00E828BE">
        <w:t>0.5</w:t>
      </w:r>
      <w:r w:rsidRPr="00E828BE">
        <w:t xml:space="preserve"> hour</w:t>
      </w:r>
      <w:r w:rsidR="009215C8" w:rsidRPr="00E828BE">
        <w:t>s</w:t>
      </w:r>
      <w:r w:rsidRPr="00E828BE">
        <w:t xml:space="preserve"> per year</w:t>
      </w:r>
      <w:r w:rsidR="006F4228" w:rsidRPr="00E828BE">
        <w:t xml:space="preserve"> for 355,875 respondents</w:t>
      </w:r>
      <w:r w:rsidR="00A1700B" w:rsidRPr="00E828BE">
        <w:t>.</w:t>
      </w:r>
    </w:p>
    <w:p w14:paraId="49089315" w14:textId="77777777" w:rsidR="00521381" w:rsidRPr="00E828BE" w:rsidRDefault="00521381" w:rsidP="001D6D10">
      <w:pPr>
        <w:autoSpaceDE w:val="0"/>
        <w:autoSpaceDN w:val="0"/>
        <w:adjustRightInd w:val="0"/>
      </w:pPr>
    </w:p>
    <w:p w14:paraId="68FF5BE7" w14:textId="77777777" w:rsidR="00B124DD" w:rsidRPr="00E828BE" w:rsidRDefault="00036A4B" w:rsidP="001D6D10">
      <w:pPr>
        <w:autoSpaceDE w:val="0"/>
        <w:autoSpaceDN w:val="0"/>
        <w:adjustRightInd w:val="0"/>
      </w:pPr>
      <w:r w:rsidRPr="00E828BE">
        <w:lastRenderedPageBreak/>
        <w:t>Small entity p</w:t>
      </w:r>
      <w:r w:rsidR="00521381" w:rsidRPr="00E828BE">
        <w:t xml:space="preserve">ermittees who are required to submit NOIs keep </w:t>
      </w:r>
      <w:r w:rsidRPr="00E828BE">
        <w:t xml:space="preserve">basic </w:t>
      </w:r>
      <w:r w:rsidR="00521381" w:rsidRPr="00E828BE">
        <w:t xml:space="preserve">records </w:t>
      </w:r>
      <w:r w:rsidRPr="00E828BE">
        <w:t>on pest control activities, including pesticide applications</w:t>
      </w:r>
      <w:r w:rsidR="001F4874" w:rsidRPr="00E828BE">
        <w:t xml:space="preserve">. </w:t>
      </w:r>
      <w:r w:rsidR="00521381" w:rsidRPr="00E828BE">
        <w:t xml:space="preserve">EPA </w:t>
      </w:r>
      <w:r w:rsidRPr="00E828BE">
        <w:t xml:space="preserve">estimates </w:t>
      </w:r>
      <w:r w:rsidR="00521381" w:rsidRPr="00E828BE">
        <w:t xml:space="preserve">that it would take approximately </w:t>
      </w:r>
      <w:r w:rsidR="0020548D" w:rsidRPr="00E828BE">
        <w:t xml:space="preserve">1 hour per application (4 applications per year) </w:t>
      </w:r>
      <w:r w:rsidRPr="00E828BE">
        <w:t>for these abbreviated records</w:t>
      </w:r>
      <w:r w:rsidR="00521381" w:rsidRPr="00E828BE">
        <w:t xml:space="preserve">, or </w:t>
      </w:r>
      <w:r w:rsidR="0020548D" w:rsidRPr="00E828BE">
        <w:t>4</w:t>
      </w:r>
      <w:r w:rsidR="00521381" w:rsidRPr="00E828BE">
        <w:t xml:space="preserve"> hours</w:t>
      </w:r>
      <w:r w:rsidR="001F4874" w:rsidRPr="00E828BE">
        <w:t xml:space="preserve">. </w:t>
      </w:r>
      <w:r w:rsidR="00521381" w:rsidRPr="00E828BE">
        <w:t xml:space="preserve">In this </w:t>
      </w:r>
      <w:r w:rsidR="00BA2CA5">
        <w:t>ICR</w:t>
      </w:r>
      <w:r w:rsidR="00521381" w:rsidRPr="00E828BE">
        <w:t xml:space="preserve">, EPA assumes that </w:t>
      </w:r>
      <w:r w:rsidR="00865D5B" w:rsidRPr="00E828BE">
        <w:t>4,289</w:t>
      </w:r>
      <w:r w:rsidR="00521381" w:rsidRPr="00E828BE">
        <w:t xml:space="preserve"> </w:t>
      </w:r>
      <w:r w:rsidRPr="00E828BE">
        <w:t xml:space="preserve">small entities </w:t>
      </w:r>
      <w:r w:rsidR="00521381" w:rsidRPr="00E828BE">
        <w:t xml:space="preserve">a year will be required to </w:t>
      </w:r>
      <w:r w:rsidRPr="00E828BE">
        <w:t xml:space="preserve">perform these recordkeeping activities </w:t>
      </w:r>
      <w:r w:rsidR="00521381" w:rsidRPr="00E828BE">
        <w:t>(4</w:t>
      </w:r>
      <w:r w:rsidR="00865D5B" w:rsidRPr="00E828BE">
        <w:t>7</w:t>
      </w:r>
      <w:r w:rsidR="00521381" w:rsidRPr="00E828BE">
        <w:t xml:space="preserve"> percent of</w:t>
      </w:r>
      <w:r w:rsidR="0084711B" w:rsidRPr="00E828BE">
        <w:t xml:space="preserve"> the permitted universe applying</w:t>
      </w:r>
      <w:r w:rsidR="00521381" w:rsidRPr="00E828BE">
        <w:t xml:space="preserve"> for permit coverage)</w:t>
      </w:r>
      <w:r w:rsidR="001F4874" w:rsidRPr="00E828BE">
        <w:t xml:space="preserve">. </w:t>
      </w:r>
      <w:r w:rsidR="0084711B" w:rsidRPr="00E828BE">
        <w:t xml:space="preserve">Permittees who are required to submit NOIs and </w:t>
      </w:r>
      <w:r w:rsidR="00057702">
        <w:t xml:space="preserve">who </w:t>
      </w:r>
      <w:r w:rsidR="0084711B" w:rsidRPr="00E828BE">
        <w:t xml:space="preserve">are large entities must keep </w:t>
      </w:r>
      <w:r w:rsidRPr="00E828BE">
        <w:t xml:space="preserve">more detailed </w:t>
      </w:r>
      <w:r w:rsidR="0084711B" w:rsidRPr="00E828BE">
        <w:t xml:space="preserve">records </w:t>
      </w:r>
      <w:r w:rsidRPr="00E828BE">
        <w:t>on pest control option assessments and pesticide application activities, consistent with PDMPs</w:t>
      </w:r>
      <w:r w:rsidR="001F4874" w:rsidRPr="00E828BE">
        <w:t xml:space="preserve">. </w:t>
      </w:r>
      <w:r w:rsidR="0084711B" w:rsidRPr="00E828BE">
        <w:t xml:space="preserve">EPA estimates that full recordkeeping </w:t>
      </w:r>
      <w:r w:rsidR="00985651" w:rsidRPr="00E828BE">
        <w:t xml:space="preserve">will </w:t>
      </w:r>
      <w:r w:rsidR="0084711B" w:rsidRPr="00E828BE">
        <w:t>take</w:t>
      </w:r>
      <w:r w:rsidR="00985651" w:rsidRPr="00E828BE">
        <w:t xml:space="preserve"> </w:t>
      </w:r>
      <w:r w:rsidR="0020548D" w:rsidRPr="00E828BE">
        <w:t xml:space="preserve">1 hour per application (16 applications per year) for these large entities, or 16 hours per year for </w:t>
      </w:r>
      <w:r w:rsidR="00865D5B" w:rsidRPr="00E828BE">
        <w:t>4,836</w:t>
      </w:r>
      <w:r w:rsidR="007B6E7F" w:rsidRPr="00E828BE">
        <w:t xml:space="preserve"> respondents</w:t>
      </w:r>
      <w:r w:rsidR="00DA362E" w:rsidRPr="00E828BE">
        <w:t>–which is in addition to the 40 hours to develop the PDMP</w:t>
      </w:r>
      <w:r w:rsidR="00985651" w:rsidRPr="00E828BE">
        <w:t xml:space="preserve">. </w:t>
      </w:r>
    </w:p>
    <w:p w14:paraId="27758D81" w14:textId="77777777" w:rsidR="00985651" w:rsidRPr="00E828BE" w:rsidRDefault="00985651" w:rsidP="001D6D10">
      <w:pPr>
        <w:sectPr w:rsidR="00985651" w:rsidRPr="00E828BE">
          <w:headerReference w:type="even" r:id="rId60"/>
          <w:headerReference w:type="default" r:id="rId61"/>
          <w:headerReference w:type="first" r:id="rId62"/>
          <w:type w:val="continuous"/>
          <w:pgSz w:w="12240" w:h="15840" w:code="1"/>
          <w:pgMar w:top="1440" w:right="1440" w:bottom="1440" w:left="1440" w:header="720" w:footer="720" w:gutter="0"/>
          <w:cols w:space="720"/>
          <w:noEndnote/>
        </w:sectPr>
      </w:pPr>
    </w:p>
    <w:p w14:paraId="63C24682" w14:textId="77777777" w:rsidR="00985651" w:rsidRPr="00E828BE" w:rsidRDefault="00985651" w:rsidP="001D6D10">
      <w:pPr>
        <w:pStyle w:val="Heading2"/>
      </w:pPr>
      <w:bookmarkStart w:id="79" w:name="_Ref199651052"/>
      <w:bookmarkStart w:id="80" w:name="_Toc275242950"/>
      <w:r w:rsidRPr="00E828BE">
        <w:lastRenderedPageBreak/>
        <w:t>6(b) Estimating Respondent Costs</w:t>
      </w:r>
      <w:bookmarkEnd w:id="79"/>
      <w:bookmarkEnd w:id="80"/>
    </w:p>
    <w:p w14:paraId="2F17CF5B" w14:textId="77777777" w:rsidR="00985651" w:rsidRPr="00E828BE" w:rsidRDefault="00985651" w:rsidP="001E5FF7">
      <w:r w:rsidRPr="00E828BE">
        <w:t>With burden hour estimates in place from Section 6(a), the next step is to estimate the labor cost per respondent and the capital costs required to complete each activity</w:t>
      </w:r>
      <w:r w:rsidR="001F4874" w:rsidRPr="00E828BE">
        <w:t xml:space="preserve">. </w:t>
      </w:r>
      <w:r w:rsidRPr="00E828BE">
        <w:t>The total cost for each respondent activity is composed of the following:</w:t>
      </w:r>
    </w:p>
    <w:p w14:paraId="3F7A9FA3" w14:textId="77777777" w:rsidR="00985651" w:rsidRPr="00E828BE" w:rsidRDefault="00985651" w:rsidP="001E5FF7">
      <w:pPr>
        <w:pStyle w:val="Bullet1"/>
        <w:numPr>
          <w:ilvl w:val="0"/>
          <w:numId w:val="26"/>
        </w:numPr>
        <w:spacing w:after="0"/>
      </w:pPr>
      <w:r w:rsidRPr="00E828BE">
        <w:t>Labor Cost;</w:t>
      </w:r>
    </w:p>
    <w:p w14:paraId="5E4B184A" w14:textId="77777777" w:rsidR="00985651" w:rsidRPr="00E828BE" w:rsidRDefault="00985651" w:rsidP="001E5FF7">
      <w:pPr>
        <w:pStyle w:val="Bullet1"/>
        <w:numPr>
          <w:ilvl w:val="0"/>
          <w:numId w:val="26"/>
        </w:numPr>
        <w:spacing w:after="0"/>
      </w:pPr>
      <w:r w:rsidRPr="00E828BE">
        <w:t>Operating and Maintenance (O&amp;M) Cost; and</w:t>
      </w:r>
    </w:p>
    <w:p w14:paraId="01EFB431" w14:textId="77777777" w:rsidR="00985651" w:rsidRPr="00E828BE" w:rsidRDefault="00985651" w:rsidP="001E5FF7">
      <w:pPr>
        <w:pStyle w:val="Bullet1"/>
        <w:numPr>
          <w:ilvl w:val="0"/>
          <w:numId w:val="26"/>
        </w:numPr>
        <w:spacing w:after="0"/>
      </w:pPr>
      <w:r w:rsidRPr="00E828BE">
        <w:t>Capital/Start-up Cost.</w:t>
      </w:r>
    </w:p>
    <w:p w14:paraId="63E05F17" w14:textId="77777777" w:rsidR="00985651" w:rsidRPr="00E828BE" w:rsidRDefault="00985651" w:rsidP="001E5FF7">
      <w:pPr>
        <w:autoSpaceDE w:val="0"/>
        <w:autoSpaceDN w:val="0"/>
        <w:adjustRightInd w:val="0"/>
      </w:pPr>
    </w:p>
    <w:p w14:paraId="31ACE467" w14:textId="77777777" w:rsidR="00985651" w:rsidRPr="00E828BE" w:rsidRDefault="00985651" w:rsidP="001D6D10">
      <w:pPr>
        <w:autoSpaceDE w:val="0"/>
        <w:autoSpaceDN w:val="0"/>
        <w:adjustRightInd w:val="0"/>
      </w:pPr>
      <w:r w:rsidRPr="00E828BE">
        <w:t>The results of the respondents’ costs analysis are presented in the Respondents and Agency Activities Table in Appendix A.</w:t>
      </w:r>
    </w:p>
    <w:p w14:paraId="50C3153D" w14:textId="77777777" w:rsidR="00985651" w:rsidRPr="00E828BE" w:rsidRDefault="00985651" w:rsidP="001D6D10">
      <w:pPr>
        <w:pStyle w:val="Heading3"/>
      </w:pPr>
      <w:bookmarkStart w:id="81" w:name="_Toc275242951"/>
      <w:r w:rsidRPr="00E828BE">
        <w:t>6(b)(i) Estimating Labor Costs</w:t>
      </w:r>
      <w:bookmarkEnd w:id="81"/>
    </w:p>
    <w:p w14:paraId="6712AC7C" w14:textId="77777777" w:rsidR="00985651" w:rsidRPr="00E828BE" w:rsidRDefault="00985651" w:rsidP="001D6D10">
      <w:r w:rsidRPr="00E828BE">
        <w:t>To estimate the potential costs, EPA identified labor categories associated with performing each activity</w:t>
      </w:r>
      <w:r w:rsidR="001F4874" w:rsidRPr="00E828BE">
        <w:t xml:space="preserve">. </w:t>
      </w:r>
      <w:r w:rsidRPr="00E828BE">
        <w:t>Labor categories include managerial, technical, and clerical</w:t>
      </w:r>
      <w:r w:rsidR="001F4874" w:rsidRPr="00E828BE">
        <w:t xml:space="preserve">. </w:t>
      </w:r>
      <w:r w:rsidRPr="00E828BE">
        <w:t xml:space="preserve">The Bureau of Labor Statistics (BLS) publishes base mean annual wage rates in its Occupational Employment Survey (OES, </w:t>
      </w:r>
      <w:r w:rsidR="009B58D6" w:rsidRPr="00E828BE">
        <w:t>2012</w:t>
      </w:r>
      <w:r w:rsidRPr="00E828BE">
        <w:t xml:space="preserve">) and an Employment Cost Index (ECI, </w:t>
      </w:r>
      <w:r w:rsidR="00C61940" w:rsidRPr="00E828BE">
        <w:t>2013</w:t>
      </w:r>
      <w:r w:rsidRPr="00E828BE">
        <w:t xml:space="preserve">) to update the wage rates to </w:t>
      </w:r>
      <w:r w:rsidR="00C61940" w:rsidRPr="00E828BE">
        <w:t>2013</w:t>
      </w:r>
      <w:r w:rsidRPr="00E828BE">
        <w:t xml:space="preserve"> values to account for inflation</w:t>
      </w:r>
      <w:r w:rsidR="001F4874" w:rsidRPr="00E828BE">
        <w:t xml:space="preserve">. </w:t>
      </w:r>
      <w:r w:rsidRPr="00E828BE">
        <w:t xml:space="preserve">EPA used average government and </w:t>
      </w:r>
      <w:r w:rsidR="001F0299" w:rsidRPr="00E828BE">
        <w:t>private</w:t>
      </w:r>
      <w:r w:rsidRPr="00E828BE">
        <w:t xml:space="preserve"> wage rates to estimate respondent labor costs assuming each respondent is equally likely to use either government or commercial labor</w:t>
      </w:r>
      <w:r w:rsidR="001F4874" w:rsidRPr="00E828BE">
        <w:t xml:space="preserve">. </w:t>
      </w:r>
      <w:r w:rsidRPr="00E828BE">
        <w:t xml:space="preserve">When calculating respondent labor costs, EPA makes the following assumptions for the permittees: </w:t>
      </w:r>
    </w:p>
    <w:p w14:paraId="526FFD64" w14:textId="77777777" w:rsidR="00985651" w:rsidRPr="00E828BE" w:rsidRDefault="00985651" w:rsidP="001E5FF7">
      <w:pPr>
        <w:numPr>
          <w:ilvl w:val="0"/>
          <w:numId w:val="27"/>
        </w:numPr>
      </w:pPr>
      <w:r w:rsidRPr="00E828BE">
        <w:t>For state and local governments, EPA included employee benefits in the wage rate, and for commercial applicators, included benefits, overhead, and profit in estimating total labor rates</w:t>
      </w:r>
      <w:r w:rsidR="001F4874" w:rsidRPr="00E828BE">
        <w:t xml:space="preserve">. </w:t>
      </w:r>
      <w:r w:rsidRPr="00E828BE">
        <w:t xml:space="preserve">The BLS Employer Cost for Employee Compensation (ECEC, </w:t>
      </w:r>
      <w:r w:rsidR="0054415E" w:rsidRPr="00E828BE">
        <w:t>September</w:t>
      </w:r>
      <w:r w:rsidR="00C61940" w:rsidRPr="00E828BE">
        <w:t xml:space="preserve"> 2013</w:t>
      </w:r>
      <w:r w:rsidRPr="00E828BE">
        <w:t xml:space="preserve">) provides estimates for benefit markups for governments (benefits account </w:t>
      </w:r>
      <w:r w:rsidR="00C61940" w:rsidRPr="00E828BE">
        <w:t>for 35.6</w:t>
      </w:r>
      <w:r w:rsidRPr="00E828BE">
        <w:t>% of the total labor rate), and PSMJ (</w:t>
      </w:r>
      <w:r w:rsidR="00C61940" w:rsidRPr="00E828BE">
        <w:t>2011</w:t>
      </w:r>
      <w:r w:rsidRPr="00E828BE">
        <w:t xml:space="preserve">) indicates that the </w:t>
      </w:r>
      <w:r w:rsidR="00C61940" w:rsidRPr="00E828BE">
        <w:t xml:space="preserve">median </w:t>
      </w:r>
      <w:r w:rsidRPr="00E828BE">
        <w:t xml:space="preserve">wage rate multiplier is </w:t>
      </w:r>
      <w:r w:rsidR="00C61940" w:rsidRPr="00E828BE">
        <w:t>2.95</w:t>
      </w:r>
      <w:r w:rsidRPr="00E828BE">
        <w:t xml:space="preserve"> for commercial/engineering firms</w:t>
      </w:r>
      <w:r w:rsidR="001F4874" w:rsidRPr="00E828BE">
        <w:t xml:space="preserve">. </w:t>
      </w:r>
    </w:p>
    <w:p w14:paraId="2D58D832" w14:textId="77777777" w:rsidR="00985651" w:rsidRPr="00E828BE" w:rsidRDefault="00985651" w:rsidP="001E5FF7">
      <w:pPr>
        <w:numPr>
          <w:ilvl w:val="0"/>
          <w:numId w:val="27"/>
        </w:numPr>
      </w:pPr>
      <w:r w:rsidRPr="00E828BE">
        <w:t>Rates for managers reflect OES category 11-9121, Natural Sciences Managers</w:t>
      </w:r>
      <w:r w:rsidR="001F4874" w:rsidRPr="00E828BE">
        <w:t xml:space="preserve">. </w:t>
      </w:r>
      <w:r w:rsidRPr="00E828BE">
        <w:t>EPA used an average labor rate of $</w:t>
      </w:r>
      <w:r w:rsidR="009B58D6" w:rsidRPr="00E828BE">
        <w:t>107.56</w:t>
      </w:r>
      <w:r w:rsidRPr="00E828BE">
        <w:t xml:space="preserve"> per hour for managers (state government at $</w:t>
      </w:r>
      <w:r w:rsidR="009B58D6" w:rsidRPr="00E828BE">
        <w:t>48.56</w:t>
      </w:r>
      <w:r w:rsidRPr="00E828BE">
        <w:t>; local government at $</w:t>
      </w:r>
      <w:r w:rsidR="009B58D6" w:rsidRPr="00E828BE">
        <w:t>62.74</w:t>
      </w:r>
      <w:r w:rsidRPr="00E828BE">
        <w:t xml:space="preserve">, and </w:t>
      </w:r>
      <w:r w:rsidR="001F0299" w:rsidRPr="00E828BE">
        <w:t>private</w:t>
      </w:r>
      <w:r w:rsidRPr="00E828BE">
        <w:t xml:space="preserve"> at $</w:t>
      </w:r>
      <w:r w:rsidR="009B58D6" w:rsidRPr="00E828BE">
        <w:t>204.29</w:t>
      </w:r>
      <w:r w:rsidRPr="00E828BE">
        <w:t>)</w:t>
      </w:r>
      <w:r w:rsidR="001F4874" w:rsidRPr="00E828BE">
        <w:t xml:space="preserve">. </w:t>
      </w:r>
      <w:r w:rsidRPr="00E828BE">
        <w:t xml:space="preserve">This rate is mean annual </w:t>
      </w:r>
      <w:r w:rsidR="009B58D6" w:rsidRPr="00E828BE">
        <w:t>2012</w:t>
      </w:r>
      <w:r w:rsidRPr="00E828BE">
        <w:t xml:space="preserve"> wages, updated to </w:t>
      </w:r>
      <w:r w:rsidR="009B58D6" w:rsidRPr="00E828BE">
        <w:t>2013</w:t>
      </w:r>
      <w:r w:rsidRPr="00E828BE">
        <w:t xml:space="preserve"> dollars.</w:t>
      </w:r>
    </w:p>
    <w:p w14:paraId="446ABB19" w14:textId="77777777" w:rsidR="00985651" w:rsidRPr="00E828BE" w:rsidRDefault="00985651" w:rsidP="001E5FF7">
      <w:pPr>
        <w:numPr>
          <w:ilvl w:val="0"/>
          <w:numId w:val="27"/>
        </w:numPr>
      </w:pPr>
      <w:r w:rsidRPr="00E828BE">
        <w:t xml:space="preserve">Rates for technical staff reflect OES category </w:t>
      </w:r>
      <w:r w:rsidR="009B58D6" w:rsidRPr="00E828BE">
        <w:t>1</w:t>
      </w:r>
      <w:r w:rsidRPr="00E828BE">
        <w:t>9-4091, Environmental Science and Protection Technicians, including health</w:t>
      </w:r>
      <w:r w:rsidR="001F4874" w:rsidRPr="00E828BE">
        <w:t xml:space="preserve">. </w:t>
      </w:r>
      <w:r w:rsidRPr="00E828BE">
        <w:t>EPA used an average labor rate of $</w:t>
      </w:r>
      <w:r w:rsidR="009B58D6" w:rsidRPr="00E828BE">
        <w:t>41.61</w:t>
      </w:r>
      <w:r w:rsidRPr="00E828BE">
        <w:t xml:space="preserve"> per hour for technical staff (state government at $</w:t>
      </w:r>
      <w:r w:rsidR="009B58D6" w:rsidRPr="00E828BE">
        <w:t>29.57</w:t>
      </w:r>
      <w:r w:rsidRPr="00E828BE">
        <w:t>; local government at $</w:t>
      </w:r>
      <w:r w:rsidR="009B58D6" w:rsidRPr="00E828BE">
        <w:t>30.60</w:t>
      </w:r>
      <w:r w:rsidRPr="00E828BE">
        <w:t xml:space="preserve">, and </w:t>
      </w:r>
      <w:r w:rsidR="001F0299" w:rsidRPr="00E828BE">
        <w:t xml:space="preserve">private </w:t>
      </w:r>
      <w:r w:rsidRPr="00E828BE">
        <w:t>at $</w:t>
      </w:r>
      <w:r w:rsidR="009B58D6" w:rsidRPr="00E828BE">
        <w:t>61.95</w:t>
      </w:r>
      <w:r w:rsidRPr="00E828BE">
        <w:t>)</w:t>
      </w:r>
      <w:r w:rsidR="001F4874" w:rsidRPr="00E828BE">
        <w:t xml:space="preserve">. </w:t>
      </w:r>
      <w:r w:rsidRPr="00E828BE">
        <w:t xml:space="preserve">This rate is mean annual </w:t>
      </w:r>
      <w:r w:rsidR="009B58D6" w:rsidRPr="00E828BE">
        <w:t>2012</w:t>
      </w:r>
      <w:r w:rsidRPr="00E828BE">
        <w:t xml:space="preserve"> wages, updated to </w:t>
      </w:r>
      <w:r w:rsidR="009B58D6" w:rsidRPr="00E828BE">
        <w:t>2013</w:t>
      </w:r>
      <w:r w:rsidRPr="00E828BE">
        <w:t xml:space="preserve"> dollars.</w:t>
      </w:r>
    </w:p>
    <w:p w14:paraId="4D988C1E" w14:textId="77777777" w:rsidR="00985651" w:rsidRPr="00E828BE" w:rsidRDefault="00985651" w:rsidP="001E5FF7">
      <w:pPr>
        <w:numPr>
          <w:ilvl w:val="0"/>
          <w:numId w:val="27"/>
        </w:numPr>
      </w:pPr>
      <w:r w:rsidRPr="00E828BE">
        <w:lastRenderedPageBreak/>
        <w:t>Rates for clerical staff reflect OES category 43-0000, Office and Administrative Support Occupations State</w:t>
      </w:r>
      <w:r w:rsidR="001F4874" w:rsidRPr="00E828BE">
        <w:t xml:space="preserve">. </w:t>
      </w:r>
      <w:r w:rsidRPr="00E828BE">
        <w:t>EPA used an average labor rate of $</w:t>
      </w:r>
      <w:r w:rsidR="009B58D6" w:rsidRPr="00E828BE">
        <w:t>33.05</w:t>
      </w:r>
      <w:r w:rsidRPr="00E828BE">
        <w:t xml:space="preserve"> per hour for clerical staff (state government at $</w:t>
      </w:r>
      <w:r w:rsidR="009B58D6" w:rsidRPr="00E828BE">
        <w:t>25.45</w:t>
      </w:r>
      <w:r w:rsidRPr="00E828BE">
        <w:t>; local government at $</w:t>
      </w:r>
      <w:r w:rsidR="009B58D6" w:rsidRPr="00E828BE">
        <w:t>23.96</w:t>
      </w:r>
      <w:r w:rsidRPr="00E828BE">
        <w:t xml:space="preserve">; and </w:t>
      </w:r>
      <w:r w:rsidR="001F0299" w:rsidRPr="00E828BE">
        <w:t xml:space="preserve">private </w:t>
      </w:r>
      <w:r w:rsidRPr="00E828BE">
        <w:t>at $</w:t>
      </w:r>
      <w:r w:rsidR="009B58D6" w:rsidRPr="00E828BE">
        <w:t>47.58</w:t>
      </w:r>
      <w:r w:rsidRPr="00E828BE">
        <w:t>)</w:t>
      </w:r>
      <w:r w:rsidR="001F4874" w:rsidRPr="00E828BE">
        <w:t xml:space="preserve">. </w:t>
      </w:r>
      <w:r w:rsidRPr="00E828BE">
        <w:t xml:space="preserve">This rate is mean annual </w:t>
      </w:r>
      <w:r w:rsidR="009B58D6" w:rsidRPr="00E828BE">
        <w:t>2012</w:t>
      </w:r>
      <w:r w:rsidRPr="00E828BE">
        <w:t xml:space="preserve"> wages, updated to </w:t>
      </w:r>
      <w:r w:rsidR="009B58D6" w:rsidRPr="00E828BE">
        <w:t>2013</w:t>
      </w:r>
      <w:r w:rsidRPr="00E828BE">
        <w:t xml:space="preserve"> dollars.</w:t>
      </w:r>
    </w:p>
    <w:p w14:paraId="70443329" w14:textId="77777777" w:rsidR="00985651" w:rsidRPr="00E828BE" w:rsidRDefault="00985651" w:rsidP="001D6D10">
      <w:pPr>
        <w:ind w:left="360"/>
      </w:pPr>
    </w:p>
    <w:p w14:paraId="036BAB0D" w14:textId="77777777" w:rsidR="00F701A7" w:rsidRPr="00E828BE" w:rsidRDefault="00F701A7" w:rsidP="00F701A7">
      <w:r w:rsidRPr="00E828BE">
        <w:t xml:space="preserve">For calculating the authorized </w:t>
      </w:r>
      <w:r w:rsidR="009A164E" w:rsidRPr="00E828BE">
        <w:t>state</w:t>
      </w:r>
      <w:r w:rsidRPr="00E828BE">
        <w:t xml:space="preserve">s’ cost, EPA uses the rate for technical staff (OES category </w:t>
      </w:r>
      <w:r w:rsidR="00C61940" w:rsidRPr="00E828BE">
        <w:t>1</w:t>
      </w:r>
      <w:r w:rsidRPr="00E828BE">
        <w:t>9-4091, Environmental Science and Protection Technicians, including health</w:t>
      </w:r>
      <w:r w:rsidR="0054415E" w:rsidRPr="00E828BE">
        <w:t>, May 2012</w:t>
      </w:r>
      <w:r w:rsidRPr="00E828BE">
        <w:t>)</w:t>
      </w:r>
      <w:r w:rsidR="001F4874" w:rsidRPr="00E828BE">
        <w:t xml:space="preserve">. </w:t>
      </w:r>
      <w:r w:rsidRPr="00E828BE">
        <w:t>EPA uses $</w:t>
      </w:r>
      <w:r w:rsidR="009B58D6" w:rsidRPr="00E828BE">
        <w:t>30.20</w:t>
      </w:r>
      <w:r w:rsidR="0054415E" w:rsidRPr="00E828BE">
        <w:t xml:space="preserve"> </w:t>
      </w:r>
      <w:r w:rsidRPr="00E828BE">
        <w:t xml:space="preserve">per hour, the mean annual </w:t>
      </w:r>
      <w:r w:rsidR="00257734" w:rsidRPr="00E828BE">
        <w:t>2012</w:t>
      </w:r>
      <w:r w:rsidRPr="00E828BE">
        <w:t xml:space="preserve"> wages, updated to </w:t>
      </w:r>
      <w:r w:rsidR="00257734" w:rsidRPr="00E828BE">
        <w:t>2013</w:t>
      </w:r>
      <w:r w:rsidRPr="00E828BE">
        <w:t xml:space="preserve"> dollar.</w:t>
      </w:r>
    </w:p>
    <w:p w14:paraId="548DCEA3" w14:textId="77777777" w:rsidR="00985651" w:rsidRPr="00E828BE" w:rsidRDefault="00985651" w:rsidP="001D6D10">
      <w:pPr>
        <w:pStyle w:val="Heading3"/>
      </w:pPr>
      <w:bookmarkStart w:id="82" w:name="_Toc275242952"/>
      <w:r w:rsidRPr="00E828BE">
        <w:t>6(b)(ii) Operating and Maintenance (O&amp;M) Costs</w:t>
      </w:r>
      <w:bookmarkEnd w:id="82"/>
      <w:r w:rsidRPr="00E828BE">
        <w:t xml:space="preserve"> </w:t>
      </w:r>
    </w:p>
    <w:p w14:paraId="5F3D36E7" w14:textId="77777777" w:rsidR="00985651" w:rsidRPr="00E828BE" w:rsidRDefault="00985651" w:rsidP="001D6D10">
      <w:pPr>
        <w:autoSpaceDE w:val="0"/>
        <w:autoSpaceDN w:val="0"/>
        <w:adjustRightInd w:val="0"/>
      </w:pPr>
      <w:r w:rsidRPr="00E828BE">
        <w:t xml:space="preserve">This </w:t>
      </w:r>
      <w:r w:rsidR="00BA2CA5">
        <w:t>ICR</w:t>
      </w:r>
      <w:r w:rsidRPr="00E828BE">
        <w:t xml:space="preserve"> account</w:t>
      </w:r>
      <w:r w:rsidR="00057702">
        <w:t>s</w:t>
      </w:r>
      <w:r w:rsidRPr="00E828BE">
        <w:t xml:space="preserve"> for labor costs only</w:t>
      </w:r>
      <w:r w:rsidR="001F4874" w:rsidRPr="00E828BE">
        <w:t xml:space="preserve">. </w:t>
      </w:r>
      <w:r w:rsidRPr="00E828BE">
        <w:t>The pesticide general permits do not require respondents to perform activities outside the normal operation practices</w:t>
      </w:r>
      <w:r w:rsidR="001F4874" w:rsidRPr="00E828BE">
        <w:t xml:space="preserve">. </w:t>
      </w:r>
    </w:p>
    <w:p w14:paraId="4A702724" w14:textId="77777777" w:rsidR="00985651" w:rsidRPr="00E828BE" w:rsidRDefault="00985651" w:rsidP="001D6D10">
      <w:pPr>
        <w:pStyle w:val="Heading3"/>
      </w:pPr>
      <w:bookmarkStart w:id="83" w:name="_Toc275242953"/>
      <w:r w:rsidRPr="00E828BE">
        <w:t>6(b)(iii) Capital/Start-up Costs</w:t>
      </w:r>
      <w:bookmarkEnd w:id="83"/>
    </w:p>
    <w:p w14:paraId="4B9A6725" w14:textId="77777777" w:rsidR="00985651" w:rsidRPr="00E828BE" w:rsidRDefault="00985651" w:rsidP="001D6D10">
      <w:pPr>
        <w:autoSpaceDE w:val="0"/>
        <w:autoSpaceDN w:val="0"/>
        <w:adjustRightInd w:val="0"/>
        <w:rPr>
          <w:b/>
        </w:rPr>
      </w:pPr>
      <w:r w:rsidRPr="00E828BE">
        <w:t xml:space="preserve">This </w:t>
      </w:r>
      <w:r w:rsidR="00BA2CA5">
        <w:t>ICR</w:t>
      </w:r>
      <w:r w:rsidRPr="00E828BE">
        <w:t xml:space="preserve"> account</w:t>
      </w:r>
      <w:r w:rsidR="00057702">
        <w:t>s</w:t>
      </w:r>
      <w:r w:rsidRPr="00E828BE">
        <w:t xml:space="preserve"> for labor costs only</w:t>
      </w:r>
      <w:r w:rsidR="001F4874" w:rsidRPr="00E828BE">
        <w:t xml:space="preserve">. </w:t>
      </w:r>
      <w:r w:rsidRPr="00E828BE">
        <w:t xml:space="preserve">The pesticide general permits do not require respondents to perform activities outside the normal operation practices. </w:t>
      </w:r>
    </w:p>
    <w:p w14:paraId="7D73D2D3" w14:textId="77777777" w:rsidR="00985651" w:rsidRPr="00E828BE" w:rsidRDefault="00985651" w:rsidP="001D6D10">
      <w:pPr>
        <w:pStyle w:val="Heading2"/>
      </w:pPr>
      <w:bookmarkStart w:id="84" w:name="_Toc137695367"/>
      <w:bookmarkStart w:id="85" w:name="_Toc137695834"/>
      <w:bookmarkStart w:id="86" w:name="_Toc275242954"/>
      <w:r w:rsidRPr="00E828BE">
        <w:t>6(c) Estimating Agency Burden and Cost</w:t>
      </w:r>
      <w:bookmarkEnd w:id="84"/>
      <w:bookmarkEnd w:id="85"/>
      <w:bookmarkEnd w:id="86"/>
    </w:p>
    <w:p w14:paraId="5F6BE76E" w14:textId="77777777" w:rsidR="00985651" w:rsidRPr="00E828BE" w:rsidRDefault="00985651" w:rsidP="001D6D10">
      <w:r w:rsidRPr="00E828BE">
        <w:t>EPA’s estimate of its burden and costs are from the activities described in Section 5(a)</w:t>
      </w:r>
      <w:r w:rsidR="001F4874" w:rsidRPr="00E828BE">
        <w:t xml:space="preserve">. </w:t>
      </w:r>
      <w:r w:rsidRPr="00E828BE">
        <w:t xml:space="preserve">When calculating the </w:t>
      </w:r>
      <w:r w:rsidR="0067212A">
        <w:t>agency</w:t>
      </w:r>
      <w:r w:rsidRPr="00E828BE">
        <w:t xml:space="preserve"> cost, EPA makes the following assumption:</w:t>
      </w:r>
    </w:p>
    <w:p w14:paraId="499A4DB0" w14:textId="77777777" w:rsidR="00985651" w:rsidRPr="00E828BE" w:rsidRDefault="00985651" w:rsidP="001D6D10"/>
    <w:p w14:paraId="3FA333E7" w14:textId="77777777" w:rsidR="00985651" w:rsidRPr="00E828BE" w:rsidRDefault="00985651" w:rsidP="001D6D10">
      <w:r w:rsidRPr="00E828BE">
        <w:t>EPA determined the hourly employment cost of federal employees using methodology established in previous ICRs</w:t>
      </w:r>
      <w:r w:rsidR="001F4874" w:rsidRPr="00E828BE">
        <w:t xml:space="preserve">. </w:t>
      </w:r>
      <w:r w:rsidRPr="00E828BE">
        <w:t xml:space="preserve">According to the U.S. Office of Personnel Management, </w:t>
      </w:r>
      <w:r w:rsidR="00976A84" w:rsidRPr="00E828BE">
        <w:t>2</w:t>
      </w:r>
      <w:r w:rsidR="009B58D6" w:rsidRPr="00E828BE">
        <w:t>013</w:t>
      </w:r>
      <w:r w:rsidRPr="00E828BE">
        <w:t xml:space="preserve"> General Schedule (</w:t>
      </w:r>
      <w:r w:rsidR="00976A84" w:rsidRPr="00E828BE">
        <w:t>201</w:t>
      </w:r>
      <w:r w:rsidR="009B58D6" w:rsidRPr="00E828BE">
        <w:t>3</w:t>
      </w:r>
      <w:r w:rsidRPr="00E828BE">
        <w:t>-GS), the average annual salary of a government employee at the GS-9, Step 10 level is $</w:t>
      </w:r>
      <w:r w:rsidR="009B58D6" w:rsidRPr="00E828BE">
        <w:t>54,028</w:t>
      </w:r>
      <w:r w:rsidR="001F4874" w:rsidRPr="00E828BE">
        <w:t xml:space="preserve">. </w:t>
      </w:r>
      <w:r w:rsidRPr="00E828BE">
        <w:t>At 2,080 hours per year, the hourly wage is $</w:t>
      </w:r>
      <w:r w:rsidR="009B58D6" w:rsidRPr="00E828BE">
        <w:t>25.98</w:t>
      </w:r>
      <w:r w:rsidR="001F4874" w:rsidRPr="00E828BE">
        <w:t xml:space="preserve">. </w:t>
      </w:r>
      <w:r w:rsidRPr="00E828BE">
        <w:t>Assuming overhead costs of 60 percent, the fully loaded cost of employment for a federal employee is $</w:t>
      </w:r>
      <w:r w:rsidR="00976A84" w:rsidRPr="00E828BE">
        <w:t>41.</w:t>
      </w:r>
      <w:r w:rsidR="009B58D6" w:rsidRPr="00E828BE">
        <w:t>56</w:t>
      </w:r>
      <w:r w:rsidRPr="00E828BE">
        <w:t>.</w:t>
      </w:r>
    </w:p>
    <w:p w14:paraId="730AEC06" w14:textId="77777777" w:rsidR="00985651" w:rsidRPr="00E828BE" w:rsidRDefault="00985651" w:rsidP="001D6D10"/>
    <w:p w14:paraId="050D8A7C" w14:textId="77777777" w:rsidR="00985651" w:rsidRPr="00E828BE" w:rsidRDefault="00985651" w:rsidP="001D6D10">
      <w:r w:rsidRPr="00E828BE">
        <w:t>Burden and costs incurred by EPA are presented in the Respondents and Agency Activities Table in Appendix A.</w:t>
      </w:r>
    </w:p>
    <w:p w14:paraId="73866487" w14:textId="77777777" w:rsidR="00985651" w:rsidRPr="00E828BE" w:rsidRDefault="00985651" w:rsidP="001D6D10"/>
    <w:p w14:paraId="05CB72B4" w14:textId="77777777" w:rsidR="00985651" w:rsidRPr="00E828BE" w:rsidRDefault="00985651" w:rsidP="001D6D10">
      <w:pPr>
        <w:autoSpaceDE w:val="0"/>
        <w:autoSpaceDN w:val="0"/>
        <w:adjustRightInd w:val="0"/>
      </w:pPr>
      <w:r w:rsidRPr="00E828BE">
        <w:t>EPA’s activities as the NPDES permitting authority for non-authorized states and territories are the same as the activities performed by the authorized states and territories</w:t>
      </w:r>
      <w:r w:rsidR="001F4874" w:rsidRPr="00E828BE">
        <w:t xml:space="preserve">. </w:t>
      </w:r>
      <w:r w:rsidRPr="00E828BE">
        <w:t xml:space="preserve">These burdens and costs are identical to those for </w:t>
      </w:r>
      <w:r w:rsidR="001C78AB" w:rsidRPr="00E828BE">
        <w:t>NPDES-</w:t>
      </w:r>
      <w:r w:rsidRPr="00E828BE">
        <w:t>authorized states and territories.</w:t>
      </w:r>
    </w:p>
    <w:p w14:paraId="68FC06FB" w14:textId="77777777" w:rsidR="00985651" w:rsidRPr="00E828BE" w:rsidRDefault="00985651" w:rsidP="001D6D10">
      <w:pPr>
        <w:autoSpaceDE w:val="0"/>
        <w:autoSpaceDN w:val="0"/>
        <w:adjustRightInd w:val="0"/>
      </w:pPr>
    </w:p>
    <w:p w14:paraId="27A4AFBD" w14:textId="77777777" w:rsidR="00985651" w:rsidRPr="00E828BE" w:rsidRDefault="00985651" w:rsidP="007C0FAA">
      <w:pPr>
        <w:keepNext/>
      </w:pPr>
      <w:r w:rsidRPr="00E828BE">
        <w:rPr>
          <w:b/>
        </w:rPr>
        <w:t xml:space="preserve">Pesticide General Permit NOI filing </w:t>
      </w:r>
    </w:p>
    <w:p w14:paraId="73F6B65B" w14:textId="77777777" w:rsidR="00985651" w:rsidRPr="00E828BE" w:rsidRDefault="00985651" w:rsidP="001D6D10">
      <w:r w:rsidRPr="00E828BE">
        <w:t xml:space="preserve">EPA estimates </w:t>
      </w:r>
      <w:r w:rsidR="009215C8" w:rsidRPr="00E828BE">
        <w:t>permitting authorities</w:t>
      </w:r>
      <w:r w:rsidRPr="00E828BE">
        <w:t xml:space="preserve"> will spend </w:t>
      </w:r>
      <w:r w:rsidR="009215C8" w:rsidRPr="00E828BE">
        <w:t>0.5 hours</w:t>
      </w:r>
      <w:r w:rsidRPr="00E828BE">
        <w:t xml:space="preserve"> </w:t>
      </w:r>
      <w:r w:rsidR="009215C8" w:rsidRPr="00E828BE">
        <w:t xml:space="preserve">processing each </w:t>
      </w:r>
      <w:r w:rsidRPr="00E828BE">
        <w:t>NOI</w:t>
      </w:r>
      <w:r w:rsidR="009215C8" w:rsidRPr="00E828BE">
        <w:t xml:space="preserve">. </w:t>
      </w:r>
      <w:r w:rsidR="005823EF" w:rsidRPr="00E828BE">
        <w:t xml:space="preserve">EPA estimates formal </w:t>
      </w:r>
      <w:r w:rsidR="0020548D" w:rsidRPr="00E828BE">
        <w:t xml:space="preserve">ESA-related </w:t>
      </w:r>
      <w:r w:rsidR="005823EF" w:rsidRPr="00E828BE">
        <w:t xml:space="preserve">evaluation </w:t>
      </w:r>
      <w:r w:rsidR="0020548D" w:rsidRPr="00E828BE">
        <w:t xml:space="preserve">by the Services </w:t>
      </w:r>
      <w:r w:rsidR="005823EF" w:rsidRPr="00E828BE">
        <w:t>will take 5 hours and informal evaluation</w:t>
      </w:r>
      <w:r w:rsidR="0020548D" w:rsidRPr="00E828BE">
        <w:t xml:space="preserve"> by the Services</w:t>
      </w:r>
      <w:r w:rsidR="005823EF" w:rsidRPr="00E828BE">
        <w:t xml:space="preserve"> will take 0.5 hour</w:t>
      </w:r>
      <w:r w:rsidR="009215C8" w:rsidRPr="00E828BE">
        <w:t>s</w:t>
      </w:r>
      <w:r w:rsidR="005823EF" w:rsidRPr="00E828BE">
        <w:t>.</w:t>
      </w:r>
    </w:p>
    <w:p w14:paraId="5ABEB2F3" w14:textId="77777777" w:rsidR="00985651" w:rsidRPr="00E828BE" w:rsidRDefault="00985651" w:rsidP="001D6D10"/>
    <w:p w14:paraId="60E3F1B6" w14:textId="77777777" w:rsidR="00985651" w:rsidRPr="00E828BE" w:rsidRDefault="00985651" w:rsidP="001D6D10">
      <w:r w:rsidRPr="00E828BE">
        <w:rPr>
          <w:b/>
        </w:rPr>
        <w:t xml:space="preserve">Pesticide General Permit NOT filing </w:t>
      </w:r>
    </w:p>
    <w:p w14:paraId="23BCC05D" w14:textId="77777777" w:rsidR="00985651" w:rsidRPr="00E828BE" w:rsidRDefault="00985651" w:rsidP="001D6D10">
      <w:r w:rsidRPr="00E828BE">
        <w:t>Permitting authorities will spend 0.25 hour</w:t>
      </w:r>
      <w:r w:rsidR="009215C8" w:rsidRPr="00E828BE">
        <w:t>s</w:t>
      </w:r>
      <w:r w:rsidRPr="00E828BE">
        <w:t xml:space="preserve"> processing each NOTs</w:t>
      </w:r>
      <w:r w:rsidR="001F4874" w:rsidRPr="00E828BE">
        <w:t xml:space="preserve">. </w:t>
      </w:r>
    </w:p>
    <w:p w14:paraId="1B2C832F" w14:textId="77777777" w:rsidR="00985651" w:rsidRPr="00E828BE" w:rsidRDefault="00985651" w:rsidP="001D6D10"/>
    <w:p w14:paraId="15B15BEC" w14:textId="77777777" w:rsidR="00985651" w:rsidRPr="00E828BE" w:rsidRDefault="00985651" w:rsidP="001D6D10">
      <w:pPr>
        <w:rPr>
          <w:b/>
        </w:rPr>
      </w:pPr>
      <w:r w:rsidRPr="00E828BE">
        <w:rPr>
          <w:b/>
        </w:rPr>
        <w:t xml:space="preserve">Pesticide General Permit Standard Permit Conditions </w:t>
      </w:r>
    </w:p>
    <w:p w14:paraId="502028E7" w14:textId="77777777" w:rsidR="00985651" w:rsidRPr="00E828BE" w:rsidRDefault="00985651" w:rsidP="001D6D10">
      <w:r w:rsidRPr="00E828BE">
        <w:t xml:space="preserve">Permitting authorities will handle and review Permittee Report of Planned Facility Changes, Permittee Report of Anticipated Noncompliance, and Permittee Report of Inaccurate Previous </w:t>
      </w:r>
      <w:r w:rsidRPr="00E828BE">
        <w:lastRenderedPageBreak/>
        <w:t>Information</w:t>
      </w:r>
      <w:r w:rsidR="001F4874" w:rsidRPr="00E828BE">
        <w:t xml:space="preserve">. </w:t>
      </w:r>
      <w:r w:rsidRPr="00E828BE">
        <w:t>EPA estimates permitting authorities will spend 0.5 hour</w:t>
      </w:r>
      <w:r w:rsidR="009215C8" w:rsidRPr="00E828BE">
        <w:t>s</w:t>
      </w:r>
      <w:r w:rsidRPr="00E828BE">
        <w:t>, 2 hours, and 1 hour, respectively for this activity.</w:t>
      </w:r>
    </w:p>
    <w:p w14:paraId="7CCDFA49" w14:textId="77777777" w:rsidR="00985651" w:rsidRPr="00E828BE" w:rsidRDefault="00985651" w:rsidP="001D6D10"/>
    <w:p w14:paraId="0507B098" w14:textId="77777777" w:rsidR="00985651" w:rsidRPr="00E828BE" w:rsidRDefault="00985651" w:rsidP="001D6D10">
      <w:r w:rsidRPr="00E828BE">
        <w:rPr>
          <w:b/>
        </w:rPr>
        <w:t xml:space="preserve">Pesticide General Permit Noncompliance Report Review </w:t>
      </w:r>
    </w:p>
    <w:p w14:paraId="130E6441" w14:textId="77777777" w:rsidR="00985651" w:rsidRPr="00E828BE" w:rsidRDefault="00985651" w:rsidP="001D6D10">
      <w:r w:rsidRPr="00E828BE">
        <w:t>Permitting authorities will spend 2 hours handling and reviewing each noncompliance report</w:t>
      </w:r>
      <w:r w:rsidR="001F4874" w:rsidRPr="00E828BE">
        <w:t xml:space="preserve">. </w:t>
      </w:r>
    </w:p>
    <w:p w14:paraId="2A28CB76" w14:textId="77777777" w:rsidR="00985651" w:rsidRPr="00E828BE" w:rsidRDefault="00985651" w:rsidP="001D6D10"/>
    <w:p w14:paraId="7A122A08" w14:textId="77777777" w:rsidR="00985651" w:rsidRPr="00E828BE" w:rsidRDefault="00985651" w:rsidP="001D6D10">
      <w:r w:rsidRPr="00E828BE">
        <w:rPr>
          <w:b/>
        </w:rPr>
        <w:t>Pesticide General Permit Adverse Incident Report Review</w:t>
      </w:r>
    </w:p>
    <w:p w14:paraId="25E36FA4" w14:textId="77777777" w:rsidR="00985651" w:rsidRPr="00E828BE" w:rsidRDefault="00985651" w:rsidP="001D6D10">
      <w:r w:rsidRPr="00E828BE">
        <w:t>Permitting authorities will spend 2 hours handling and reviewing each adverse incident report.</w:t>
      </w:r>
    </w:p>
    <w:p w14:paraId="213EAE70" w14:textId="77777777" w:rsidR="00985651" w:rsidRPr="00E828BE" w:rsidRDefault="00985651" w:rsidP="001D6D10"/>
    <w:p w14:paraId="7CB6B994" w14:textId="77777777" w:rsidR="00985651" w:rsidRPr="00E828BE" w:rsidRDefault="00985651" w:rsidP="001D6D10">
      <w:r w:rsidRPr="00E828BE">
        <w:rPr>
          <w:b/>
        </w:rPr>
        <w:t xml:space="preserve">Pesticide General Permit Annual Report Review </w:t>
      </w:r>
    </w:p>
    <w:p w14:paraId="08FA5A21" w14:textId="77777777" w:rsidR="00985651" w:rsidRPr="00E828BE" w:rsidRDefault="00985651" w:rsidP="001D6D10">
      <w:r w:rsidRPr="00E828BE">
        <w:t>Permitting authorities will spend 1 hour handling and reviewing each annual report.</w:t>
      </w:r>
    </w:p>
    <w:p w14:paraId="0760651B" w14:textId="77777777" w:rsidR="00985651" w:rsidRPr="00E828BE" w:rsidRDefault="00985651" w:rsidP="001D6D10">
      <w:pPr>
        <w:pStyle w:val="Heading2"/>
      </w:pPr>
      <w:bookmarkStart w:id="87" w:name="_Toc275242955"/>
      <w:r w:rsidRPr="00E828BE">
        <w:t>6(d) Estimating the Respondent Universe and Total Burden and Costs</w:t>
      </w:r>
      <w:bookmarkEnd w:id="87"/>
    </w:p>
    <w:p w14:paraId="18136A5E" w14:textId="77777777" w:rsidR="00985651" w:rsidRPr="00E828BE" w:rsidRDefault="00985651" w:rsidP="001D6D10">
      <w:pPr>
        <w:sectPr w:rsidR="00985651" w:rsidRPr="00E828BE">
          <w:headerReference w:type="even" r:id="rId63"/>
          <w:headerReference w:type="default" r:id="rId64"/>
          <w:headerReference w:type="first" r:id="rId65"/>
          <w:type w:val="continuous"/>
          <w:pgSz w:w="12240" w:h="15840" w:code="1"/>
          <w:pgMar w:top="1440" w:right="1440" w:bottom="1440" w:left="1440" w:header="720" w:footer="720" w:gutter="0"/>
          <w:cols w:space="720"/>
          <w:noEndnote/>
        </w:sectPr>
      </w:pPr>
      <w:r w:rsidRPr="00E828BE">
        <w:t>Detailed information describing the universe and basis for burden and costs is provided in Section 6(a)</w:t>
      </w:r>
      <w:r w:rsidR="001F4874" w:rsidRPr="00E828BE">
        <w:t xml:space="preserve">. </w:t>
      </w:r>
      <w:r w:rsidRPr="00E828BE">
        <w:t>Results are presented in the Respondents and Agency Activities Table in Appendix A</w:t>
      </w:r>
      <w:r w:rsidR="001F4874" w:rsidRPr="00E828BE">
        <w:t xml:space="preserve">. </w:t>
      </w:r>
      <w:r w:rsidRPr="00E828BE">
        <w:t xml:space="preserve">That table provides the respondent universe and the source of information for all respondent categories used throughout this </w:t>
      </w:r>
      <w:r w:rsidR="00BA2CA5">
        <w:t>ICR</w:t>
      </w:r>
      <w:r w:rsidRPr="00E828BE">
        <w:t>.</w:t>
      </w:r>
    </w:p>
    <w:p w14:paraId="3BE45C69" w14:textId="77777777" w:rsidR="00985651" w:rsidRPr="00E828BE" w:rsidRDefault="00985651" w:rsidP="001D6D10">
      <w:pPr>
        <w:pStyle w:val="Heading2"/>
        <w:keepLines/>
      </w:pPr>
      <w:bookmarkStart w:id="88" w:name="_Toc275242956"/>
      <w:r w:rsidRPr="00E828BE">
        <w:lastRenderedPageBreak/>
        <w:t>6(e) Bottom Line Burden Hours and Cost Tables</w:t>
      </w:r>
      <w:bookmarkEnd w:id="88"/>
    </w:p>
    <w:p w14:paraId="42B9EDD4" w14:textId="77777777" w:rsidR="00985651" w:rsidRPr="00E828BE" w:rsidRDefault="00985651" w:rsidP="001D6D10">
      <w:pPr>
        <w:pStyle w:val="Heading3"/>
        <w:keepLines/>
      </w:pPr>
      <w:bookmarkStart w:id="89" w:name="_Toc275242957"/>
      <w:r w:rsidRPr="00E828BE">
        <w:t>6(e)(i) Respondent Tally</w:t>
      </w:r>
      <w:bookmarkEnd w:id="89"/>
    </w:p>
    <w:p w14:paraId="71E5B501" w14:textId="77777777" w:rsidR="00F872D1" w:rsidRPr="00E828BE" w:rsidRDefault="00985651" w:rsidP="001D6D10">
      <w:pPr>
        <w:keepNext/>
        <w:keepLines/>
        <w:autoSpaceDE w:val="0"/>
        <w:autoSpaceDN w:val="0"/>
        <w:adjustRightInd w:val="0"/>
      </w:pPr>
      <w:r w:rsidRPr="00E828BE">
        <w:t xml:space="preserve">The bottom line burden hours and costs for facilities and authorized states are the average annual hours and costs collectively incurred for all activities during the 3-year period covered by this </w:t>
      </w:r>
      <w:r w:rsidR="00BA2CA5">
        <w:t>ICR</w:t>
      </w:r>
      <w:r w:rsidR="001F4874" w:rsidRPr="00E828BE">
        <w:t xml:space="preserve">. </w:t>
      </w:r>
      <w:r w:rsidRPr="00E828BE">
        <w:t>Table 6.1 provides a summary of the average annual number of respondents, burden hours, and costs</w:t>
      </w:r>
      <w:r w:rsidR="001F4874" w:rsidRPr="00E828BE">
        <w:t xml:space="preserve">. </w:t>
      </w:r>
      <w:r w:rsidRPr="00E828BE">
        <w:t>A more detailed summary is in the Respondents and Agency Activities Table in Appendix A.</w:t>
      </w:r>
    </w:p>
    <w:p w14:paraId="145DE326" w14:textId="77777777" w:rsidR="00F872D1" w:rsidRPr="00E828BE" w:rsidRDefault="00F872D1" w:rsidP="001D6D10">
      <w:pPr>
        <w:keepNext/>
        <w:keepLines/>
        <w:autoSpaceDE w:val="0"/>
        <w:autoSpaceDN w:val="0"/>
        <w:adjustRightInd w:val="0"/>
      </w:pPr>
    </w:p>
    <w:p w14:paraId="70DFDEFA" w14:textId="77777777" w:rsidR="00985651" w:rsidRPr="00E828BE" w:rsidRDefault="00985651" w:rsidP="001D6D10">
      <w:pPr>
        <w:pStyle w:val="TableTitle"/>
        <w:keepNext/>
        <w:keepLines/>
        <w:widowControl/>
      </w:pPr>
      <w:bookmarkStart w:id="90" w:name="_Toc196714098"/>
      <w:bookmarkStart w:id="91" w:name="_Toc275242962"/>
      <w:r w:rsidRPr="00E828BE">
        <w:t>Table 6.1 Respondent tally</w:t>
      </w:r>
      <w:bookmarkEnd w:id="90"/>
      <w:bookmarkEnd w:id="91"/>
    </w:p>
    <w:tbl>
      <w:tblPr>
        <w:tblW w:w="9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530"/>
        <w:gridCol w:w="1530"/>
        <w:gridCol w:w="1458"/>
      </w:tblGrid>
      <w:tr w:rsidR="00985651" w:rsidRPr="00E828BE" w14:paraId="784F8C70" w14:textId="77777777" w:rsidTr="001D6D10">
        <w:trPr>
          <w:trHeight w:val="255"/>
        </w:trPr>
        <w:tc>
          <w:tcPr>
            <w:tcW w:w="4500" w:type="dxa"/>
            <w:noWrap/>
            <w:vAlign w:val="bottom"/>
          </w:tcPr>
          <w:p w14:paraId="577A032C" w14:textId="77777777" w:rsidR="00985651" w:rsidRPr="00E828BE" w:rsidRDefault="00985651" w:rsidP="001D6D10">
            <w:pPr>
              <w:keepNext/>
              <w:keepLines/>
              <w:rPr>
                <w:rFonts w:ascii="Arial" w:hAnsi="Arial" w:cs="Arial"/>
                <w:b/>
                <w:bCs/>
                <w:sz w:val="20"/>
                <w:szCs w:val="20"/>
              </w:rPr>
            </w:pPr>
          </w:p>
        </w:tc>
        <w:tc>
          <w:tcPr>
            <w:tcW w:w="1530" w:type="dxa"/>
          </w:tcPr>
          <w:p w14:paraId="7ED88D9E" w14:textId="77777777" w:rsidR="00985651" w:rsidRPr="00E828BE" w:rsidRDefault="00985651" w:rsidP="001D6D10">
            <w:pPr>
              <w:keepNext/>
              <w:keepLines/>
              <w:jc w:val="center"/>
              <w:rPr>
                <w:rFonts w:ascii="Arial" w:hAnsi="Arial" w:cs="Arial"/>
                <w:b/>
                <w:sz w:val="20"/>
                <w:szCs w:val="20"/>
              </w:rPr>
            </w:pPr>
            <w:r w:rsidRPr="00E828BE">
              <w:rPr>
                <w:rFonts w:ascii="Arial" w:hAnsi="Arial" w:cs="Arial"/>
                <w:b/>
                <w:sz w:val="20"/>
                <w:szCs w:val="20"/>
              </w:rPr>
              <w:t>Permittees</w:t>
            </w:r>
          </w:p>
        </w:tc>
        <w:tc>
          <w:tcPr>
            <w:tcW w:w="1530" w:type="dxa"/>
          </w:tcPr>
          <w:p w14:paraId="54BDD00C" w14:textId="77777777" w:rsidR="00985651" w:rsidRPr="00E828BE" w:rsidRDefault="00985651" w:rsidP="001D6D10">
            <w:pPr>
              <w:keepNext/>
              <w:keepLines/>
              <w:jc w:val="center"/>
              <w:rPr>
                <w:rFonts w:ascii="Arial" w:hAnsi="Arial" w:cs="Arial"/>
                <w:b/>
                <w:sz w:val="20"/>
                <w:szCs w:val="20"/>
              </w:rPr>
            </w:pPr>
            <w:r w:rsidRPr="00E828BE">
              <w:rPr>
                <w:rFonts w:ascii="Arial" w:hAnsi="Arial" w:cs="Arial"/>
                <w:b/>
                <w:sz w:val="20"/>
                <w:szCs w:val="20"/>
              </w:rPr>
              <w:t>States/tribes/territories*</w:t>
            </w:r>
          </w:p>
        </w:tc>
        <w:tc>
          <w:tcPr>
            <w:tcW w:w="1458" w:type="dxa"/>
          </w:tcPr>
          <w:p w14:paraId="10E33AB3" w14:textId="77777777" w:rsidR="00985651" w:rsidRPr="00E828BE" w:rsidRDefault="00985651" w:rsidP="001D6D10">
            <w:pPr>
              <w:keepNext/>
              <w:keepLines/>
              <w:jc w:val="center"/>
              <w:rPr>
                <w:rFonts w:ascii="Arial" w:hAnsi="Arial" w:cs="Arial"/>
                <w:b/>
                <w:sz w:val="20"/>
                <w:szCs w:val="20"/>
              </w:rPr>
            </w:pPr>
            <w:r w:rsidRPr="00E828BE">
              <w:rPr>
                <w:rFonts w:ascii="Arial" w:hAnsi="Arial" w:cs="Arial"/>
                <w:b/>
                <w:sz w:val="20"/>
                <w:szCs w:val="20"/>
              </w:rPr>
              <w:t>Totals</w:t>
            </w:r>
          </w:p>
        </w:tc>
      </w:tr>
      <w:tr w:rsidR="001E5FF7" w:rsidRPr="00E828BE" w14:paraId="16B533B1" w14:textId="77777777" w:rsidTr="009D4CC5">
        <w:trPr>
          <w:trHeight w:val="285"/>
        </w:trPr>
        <w:tc>
          <w:tcPr>
            <w:tcW w:w="4500" w:type="dxa"/>
            <w:shd w:val="clear" w:color="auto" w:fill="auto"/>
            <w:noWrap/>
            <w:vAlign w:val="bottom"/>
          </w:tcPr>
          <w:p w14:paraId="1ECB935C" w14:textId="77777777" w:rsidR="001E5FF7" w:rsidRPr="00E828BE" w:rsidRDefault="001E5FF7" w:rsidP="001D6D10">
            <w:pPr>
              <w:rPr>
                <w:rFonts w:ascii="Arial" w:hAnsi="Arial" w:cs="Arial"/>
                <w:sz w:val="20"/>
                <w:szCs w:val="20"/>
              </w:rPr>
            </w:pPr>
            <w:r w:rsidRPr="00E828BE">
              <w:rPr>
                <w:rFonts w:ascii="Arial" w:hAnsi="Arial" w:cs="Arial"/>
                <w:sz w:val="20"/>
                <w:szCs w:val="20"/>
              </w:rPr>
              <w:t xml:space="preserve">Respondents (number) </w:t>
            </w:r>
          </w:p>
        </w:tc>
        <w:tc>
          <w:tcPr>
            <w:tcW w:w="1530" w:type="dxa"/>
            <w:shd w:val="clear" w:color="auto" w:fill="auto"/>
            <w:noWrap/>
          </w:tcPr>
          <w:p w14:paraId="02E0EED7" w14:textId="77777777" w:rsidR="001E5FF7" w:rsidRPr="00E828BE" w:rsidRDefault="001E5FF7" w:rsidP="001E5FF7">
            <w:pPr>
              <w:jc w:val="right"/>
              <w:rPr>
                <w:rFonts w:ascii="Arial" w:hAnsi="Arial" w:cs="Arial"/>
                <w:sz w:val="20"/>
                <w:szCs w:val="20"/>
              </w:rPr>
            </w:pPr>
            <w:r w:rsidRPr="00E828BE">
              <w:rPr>
                <w:rFonts w:ascii="Arial" w:hAnsi="Arial" w:cs="Arial"/>
                <w:sz w:val="20"/>
                <w:szCs w:val="20"/>
              </w:rPr>
              <w:t>365,000</w:t>
            </w:r>
          </w:p>
        </w:tc>
        <w:tc>
          <w:tcPr>
            <w:tcW w:w="1530" w:type="dxa"/>
            <w:shd w:val="clear" w:color="auto" w:fill="auto"/>
            <w:noWrap/>
          </w:tcPr>
          <w:p w14:paraId="0A376D59" w14:textId="77777777" w:rsidR="001E5FF7" w:rsidRPr="00E828BE" w:rsidRDefault="001E5FF7" w:rsidP="001E5FF7">
            <w:pPr>
              <w:jc w:val="right"/>
              <w:rPr>
                <w:rFonts w:ascii="Arial" w:hAnsi="Arial" w:cs="Arial"/>
                <w:sz w:val="20"/>
                <w:szCs w:val="20"/>
              </w:rPr>
            </w:pPr>
            <w:r w:rsidRPr="00E828BE">
              <w:rPr>
                <w:rFonts w:ascii="Arial" w:hAnsi="Arial" w:cs="Arial"/>
                <w:sz w:val="20"/>
                <w:szCs w:val="20"/>
              </w:rPr>
              <w:t>47</w:t>
            </w:r>
          </w:p>
        </w:tc>
        <w:tc>
          <w:tcPr>
            <w:tcW w:w="1458" w:type="dxa"/>
            <w:shd w:val="clear" w:color="auto" w:fill="auto"/>
            <w:noWrap/>
          </w:tcPr>
          <w:p w14:paraId="0B6AAE81" w14:textId="77777777" w:rsidR="001E5FF7" w:rsidRPr="00E828BE" w:rsidRDefault="001E5FF7" w:rsidP="001E5FF7">
            <w:pPr>
              <w:jc w:val="right"/>
              <w:rPr>
                <w:rFonts w:ascii="Arial" w:hAnsi="Arial" w:cs="Arial"/>
                <w:sz w:val="20"/>
                <w:szCs w:val="20"/>
              </w:rPr>
            </w:pPr>
            <w:r w:rsidRPr="00E828BE">
              <w:rPr>
                <w:rFonts w:ascii="Arial" w:hAnsi="Arial" w:cs="Arial"/>
                <w:sz w:val="20"/>
                <w:szCs w:val="20"/>
              </w:rPr>
              <w:t>365,047</w:t>
            </w:r>
          </w:p>
        </w:tc>
      </w:tr>
      <w:tr w:rsidR="001E5FF7" w:rsidRPr="00E828BE" w14:paraId="71B7145D" w14:textId="77777777" w:rsidTr="009D4CC5">
        <w:trPr>
          <w:trHeight w:val="255"/>
        </w:trPr>
        <w:tc>
          <w:tcPr>
            <w:tcW w:w="4500" w:type="dxa"/>
            <w:shd w:val="clear" w:color="auto" w:fill="auto"/>
            <w:noWrap/>
            <w:vAlign w:val="bottom"/>
          </w:tcPr>
          <w:p w14:paraId="408CD7A8" w14:textId="77777777" w:rsidR="001E5FF7" w:rsidRPr="00E828BE" w:rsidRDefault="001E5FF7" w:rsidP="001D6D10">
            <w:pPr>
              <w:rPr>
                <w:rFonts w:ascii="Arial" w:hAnsi="Arial" w:cs="Arial"/>
                <w:sz w:val="20"/>
                <w:szCs w:val="20"/>
              </w:rPr>
            </w:pPr>
            <w:r w:rsidRPr="00E828BE">
              <w:rPr>
                <w:rFonts w:ascii="Arial" w:hAnsi="Arial" w:cs="Arial"/>
                <w:sz w:val="20"/>
                <w:szCs w:val="20"/>
              </w:rPr>
              <w:t>Responses (number)</w:t>
            </w:r>
          </w:p>
        </w:tc>
        <w:tc>
          <w:tcPr>
            <w:tcW w:w="1530" w:type="dxa"/>
            <w:shd w:val="clear" w:color="auto" w:fill="auto"/>
            <w:noWrap/>
          </w:tcPr>
          <w:p w14:paraId="763A307A" w14:textId="77777777" w:rsidR="001E5FF7" w:rsidRPr="00E828BE" w:rsidRDefault="001E5FF7" w:rsidP="001E5FF7">
            <w:pPr>
              <w:jc w:val="right"/>
              <w:rPr>
                <w:rFonts w:ascii="Arial" w:hAnsi="Arial" w:cs="Arial"/>
                <w:sz w:val="20"/>
                <w:szCs w:val="20"/>
              </w:rPr>
            </w:pPr>
            <w:r w:rsidRPr="00E828BE">
              <w:rPr>
                <w:rFonts w:ascii="Arial" w:hAnsi="Arial" w:cs="Arial"/>
                <w:sz w:val="20"/>
                <w:szCs w:val="20"/>
              </w:rPr>
              <w:t>1,276,395</w:t>
            </w:r>
          </w:p>
        </w:tc>
        <w:tc>
          <w:tcPr>
            <w:tcW w:w="1530" w:type="dxa"/>
            <w:shd w:val="clear" w:color="auto" w:fill="auto"/>
            <w:noWrap/>
          </w:tcPr>
          <w:p w14:paraId="3162C077" w14:textId="77777777" w:rsidR="001E5FF7" w:rsidRPr="00E828BE" w:rsidRDefault="001E5FF7" w:rsidP="001E5FF7">
            <w:pPr>
              <w:jc w:val="right"/>
              <w:rPr>
                <w:rFonts w:ascii="Arial" w:hAnsi="Arial" w:cs="Arial"/>
                <w:sz w:val="20"/>
                <w:szCs w:val="20"/>
              </w:rPr>
            </w:pPr>
            <w:r w:rsidRPr="00E828BE">
              <w:rPr>
                <w:rFonts w:ascii="Arial" w:hAnsi="Arial" w:cs="Arial"/>
                <w:sz w:val="20"/>
                <w:szCs w:val="20"/>
              </w:rPr>
              <w:t>7,136</w:t>
            </w:r>
          </w:p>
        </w:tc>
        <w:tc>
          <w:tcPr>
            <w:tcW w:w="1458" w:type="dxa"/>
            <w:shd w:val="clear" w:color="auto" w:fill="auto"/>
            <w:noWrap/>
          </w:tcPr>
          <w:p w14:paraId="347E70B8" w14:textId="77777777" w:rsidR="001E5FF7" w:rsidRPr="00E828BE" w:rsidRDefault="00F376DE" w:rsidP="001E5FF7">
            <w:pPr>
              <w:jc w:val="right"/>
              <w:rPr>
                <w:rFonts w:ascii="Arial" w:hAnsi="Arial" w:cs="Arial"/>
                <w:sz w:val="20"/>
                <w:szCs w:val="20"/>
              </w:rPr>
            </w:pPr>
            <w:r>
              <w:rPr>
                <w:rFonts w:ascii="Arial" w:hAnsi="Arial" w:cs="Arial"/>
                <w:sz w:val="20"/>
                <w:szCs w:val="20"/>
              </w:rPr>
              <w:t>1,283,531</w:t>
            </w:r>
          </w:p>
        </w:tc>
      </w:tr>
      <w:tr w:rsidR="001E5FF7" w:rsidRPr="00E828BE" w14:paraId="29D9549B" w14:textId="77777777" w:rsidTr="009D4CC5">
        <w:trPr>
          <w:trHeight w:val="255"/>
        </w:trPr>
        <w:tc>
          <w:tcPr>
            <w:tcW w:w="4500" w:type="dxa"/>
            <w:shd w:val="clear" w:color="auto" w:fill="auto"/>
            <w:noWrap/>
            <w:vAlign w:val="bottom"/>
          </w:tcPr>
          <w:p w14:paraId="1795259B" w14:textId="77777777" w:rsidR="001E5FF7" w:rsidRPr="00E828BE" w:rsidRDefault="001E5FF7" w:rsidP="001D6D10">
            <w:pPr>
              <w:rPr>
                <w:rFonts w:ascii="Arial" w:hAnsi="Arial" w:cs="Arial"/>
                <w:sz w:val="20"/>
                <w:szCs w:val="20"/>
              </w:rPr>
            </w:pPr>
            <w:r w:rsidRPr="00E828BE">
              <w:rPr>
                <w:rFonts w:ascii="Arial" w:hAnsi="Arial" w:cs="Arial"/>
                <w:sz w:val="20"/>
                <w:szCs w:val="20"/>
              </w:rPr>
              <w:t>Burden (hours)</w:t>
            </w:r>
          </w:p>
        </w:tc>
        <w:tc>
          <w:tcPr>
            <w:tcW w:w="1530" w:type="dxa"/>
            <w:shd w:val="clear" w:color="auto" w:fill="auto"/>
            <w:noWrap/>
          </w:tcPr>
          <w:p w14:paraId="4FD05B7D" w14:textId="77777777" w:rsidR="001E5FF7" w:rsidRPr="00E828BE" w:rsidRDefault="001E5FF7" w:rsidP="001E5FF7">
            <w:pPr>
              <w:jc w:val="right"/>
              <w:rPr>
                <w:rFonts w:ascii="Arial" w:hAnsi="Arial" w:cs="Arial"/>
                <w:sz w:val="20"/>
                <w:szCs w:val="20"/>
              </w:rPr>
            </w:pPr>
            <w:r w:rsidRPr="00E828BE">
              <w:rPr>
                <w:rFonts w:ascii="Arial" w:hAnsi="Arial" w:cs="Arial"/>
                <w:sz w:val="20"/>
                <w:szCs w:val="20"/>
              </w:rPr>
              <w:t>828,141</w:t>
            </w:r>
          </w:p>
        </w:tc>
        <w:tc>
          <w:tcPr>
            <w:tcW w:w="1530" w:type="dxa"/>
            <w:shd w:val="clear" w:color="auto" w:fill="auto"/>
            <w:noWrap/>
          </w:tcPr>
          <w:p w14:paraId="07529C63" w14:textId="77777777" w:rsidR="001E5FF7" w:rsidRPr="00E828BE" w:rsidRDefault="001E5FF7" w:rsidP="001E5FF7">
            <w:pPr>
              <w:jc w:val="right"/>
              <w:rPr>
                <w:rFonts w:ascii="Arial" w:hAnsi="Arial" w:cs="Arial"/>
                <w:sz w:val="20"/>
                <w:szCs w:val="20"/>
              </w:rPr>
            </w:pPr>
            <w:r w:rsidRPr="00E828BE">
              <w:rPr>
                <w:rFonts w:ascii="Arial" w:hAnsi="Arial" w:cs="Arial"/>
                <w:sz w:val="20"/>
                <w:szCs w:val="20"/>
              </w:rPr>
              <w:t>6,615</w:t>
            </w:r>
          </w:p>
        </w:tc>
        <w:tc>
          <w:tcPr>
            <w:tcW w:w="1458" w:type="dxa"/>
            <w:shd w:val="clear" w:color="auto" w:fill="auto"/>
            <w:noWrap/>
          </w:tcPr>
          <w:p w14:paraId="07462A81" w14:textId="77777777" w:rsidR="001E5FF7" w:rsidRPr="00E828BE" w:rsidRDefault="001E5FF7" w:rsidP="001E5FF7">
            <w:pPr>
              <w:jc w:val="right"/>
              <w:rPr>
                <w:rFonts w:ascii="Arial" w:hAnsi="Arial" w:cs="Arial"/>
                <w:sz w:val="20"/>
                <w:szCs w:val="20"/>
              </w:rPr>
            </w:pPr>
            <w:r w:rsidRPr="00E828BE">
              <w:rPr>
                <w:rFonts w:ascii="Arial" w:hAnsi="Arial" w:cs="Arial"/>
                <w:sz w:val="20"/>
                <w:szCs w:val="20"/>
              </w:rPr>
              <w:t>834,756</w:t>
            </w:r>
          </w:p>
        </w:tc>
      </w:tr>
      <w:tr w:rsidR="001E5FF7" w:rsidRPr="00E828BE" w14:paraId="0AF979BC" w14:textId="77777777" w:rsidTr="009D4CC5">
        <w:trPr>
          <w:trHeight w:val="255"/>
        </w:trPr>
        <w:tc>
          <w:tcPr>
            <w:tcW w:w="4500" w:type="dxa"/>
            <w:shd w:val="clear" w:color="auto" w:fill="auto"/>
            <w:noWrap/>
            <w:vAlign w:val="bottom"/>
          </w:tcPr>
          <w:p w14:paraId="118F8B90" w14:textId="77777777" w:rsidR="001E5FF7" w:rsidRPr="00E828BE" w:rsidRDefault="001E5FF7" w:rsidP="001D6D10">
            <w:pPr>
              <w:rPr>
                <w:rFonts w:ascii="Arial" w:hAnsi="Arial" w:cs="Arial"/>
                <w:sz w:val="20"/>
                <w:szCs w:val="20"/>
              </w:rPr>
            </w:pPr>
            <w:r w:rsidRPr="00E828BE">
              <w:rPr>
                <w:rFonts w:ascii="Arial" w:hAnsi="Arial" w:cs="Arial"/>
                <w:sz w:val="20"/>
                <w:szCs w:val="20"/>
              </w:rPr>
              <w:t>Costs (labor)</w:t>
            </w:r>
          </w:p>
        </w:tc>
        <w:tc>
          <w:tcPr>
            <w:tcW w:w="1530" w:type="dxa"/>
            <w:shd w:val="clear" w:color="auto" w:fill="auto"/>
            <w:noWrap/>
          </w:tcPr>
          <w:p w14:paraId="4AE9D134" w14:textId="77777777" w:rsidR="001E5FF7" w:rsidRPr="00E828BE" w:rsidRDefault="001E5FF7" w:rsidP="001E5FF7">
            <w:pPr>
              <w:jc w:val="right"/>
              <w:rPr>
                <w:rFonts w:ascii="Arial" w:hAnsi="Arial" w:cs="Arial"/>
                <w:sz w:val="20"/>
                <w:szCs w:val="20"/>
              </w:rPr>
            </w:pPr>
            <w:r w:rsidRPr="00E828BE">
              <w:rPr>
                <w:rFonts w:ascii="Arial" w:hAnsi="Arial" w:cs="Arial"/>
                <w:sz w:val="20"/>
                <w:szCs w:val="20"/>
              </w:rPr>
              <w:t xml:space="preserve">$38,462,682 </w:t>
            </w:r>
          </w:p>
        </w:tc>
        <w:tc>
          <w:tcPr>
            <w:tcW w:w="1530" w:type="dxa"/>
            <w:shd w:val="clear" w:color="auto" w:fill="auto"/>
            <w:noWrap/>
          </w:tcPr>
          <w:p w14:paraId="070B9315" w14:textId="77777777" w:rsidR="001E5FF7" w:rsidRPr="00E828BE" w:rsidRDefault="001E5FF7" w:rsidP="001E5FF7">
            <w:pPr>
              <w:jc w:val="right"/>
              <w:rPr>
                <w:rFonts w:ascii="Arial" w:hAnsi="Arial" w:cs="Arial"/>
                <w:sz w:val="20"/>
                <w:szCs w:val="20"/>
              </w:rPr>
            </w:pPr>
            <w:r w:rsidRPr="00E828BE">
              <w:rPr>
                <w:rFonts w:ascii="Arial" w:hAnsi="Arial" w:cs="Arial"/>
                <w:sz w:val="20"/>
                <w:szCs w:val="20"/>
              </w:rPr>
              <w:t xml:space="preserve">$199,780 </w:t>
            </w:r>
          </w:p>
        </w:tc>
        <w:tc>
          <w:tcPr>
            <w:tcW w:w="1458" w:type="dxa"/>
            <w:shd w:val="clear" w:color="auto" w:fill="auto"/>
            <w:noWrap/>
          </w:tcPr>
          <w:p w14:paraId="62164247" w14:textId="77777777" w:rsidR="001E5FF7" w:rsidRPr="00E828BE" w:rsidRDefault="001E5FF7" w:rsidP="00F376DE">
            <w:pPr>
              <w:jc w:val="right"/>
              <w:rPr>
                <w:rFonts w:ascii="Arial" w:hAnsi="Arial" w:cs="Arial"/>
                <w:sz w:val="20"/>
                <w:szCs w:val="20"/>
              </w:rPr>
            </w:pPr>
            <w:r w:rsidRPr="00E828BE">
              <w:rPr>
                <w:rFonts w:ascii="Arial" w:hAnsi="Arial" w:cs="Arial"/>
                <w:sz w:val="20"/>
                <w:szCs w:val="20"/>
              </w:rPr>
              <w:t>$38,662,46</w:t>
            </w:r>
            <w:r w:rsidR="00F376DE">
              <w:rPr>
                <w:rFonts w:ascii="Arial" w:hAnsi="Arial" w:cs="Arial"/>
                <w:sz w:val="20"/>
                <w:szCs w:val="20"/>
              </w:rPr>
              <w:t>2</w:t>
            </w:r>
            <w:r w:rsidRPr="00E828BE">
              <w:rPr>
                <w:rFonts w:ascii="Arial" w:hAnsi="Arial" w:cs="Arial"/>
                <w:sz w:val="20"/>
                <w:szCs w:val="20"/>
              </w:rPr>
              <w:t xml:space="preserve"> </w:t>
            </w:r>
          </w:p>
        </w:tc>
      </w:tr>
      <w:tr w:rsidR="001E5FF7" w:rsidRPr="00E828BE" w14:paraId="1775FF5E" w14:textId="77777777" w:rsidTr="009D4CC5">
        <w:trPr>
          <w:trHeight w:val="255"/>
        </w:trPr>
        <w:tc>
          <w:tcPr>
            <w:tcW w:w="4500" w:type="dxa"/>
            <w:shd w:val="clear" w:color="auto" w:fill="auto"/>
            <w:noWrap/>
            <w:vAlign w:val="bottom"/>
          </w:tcPr>
          <w:p w14:paraId="1FBFCFE8" w14:textId="77777777" w:rsidR="001E5FF7" w:rsidRPr="00E828BE" w:rsidRDefault="001E5FF7" w:rsidP="001D6D10">
            <w:pPr>
              <w:rPr>
                <w:rFonts w:ascii="Arial" w:hAnsi="Arial" w:cs="Arial"/>
                <w:sz w:val="20"/>
                <w:szCs w:val="20"/>
              </w:rPr>
            </w:pPr>
            <w:r w:rsidRPr="00E828BE">
              <w:rPr>
                <w:rFonts w:ascii="Arial" w:hAnsi="Arial" w:cs="Arial"/>
                <w:sz w:val="20"/>
                <w:szCs w:val="20"/>
              </w:rPr>
              <w:t>Costs (capital)</w:t>
            </w:r>
          </w:p>
        </w:tc>
        <w:tc>
          <w:tcPr>
            <w:tcW w:w="1530" w:type="dxa"/>
            <w:shd w:val="clear" w:color="auto" w:fill="auto"/>
            <w:noWrap/>
          </w:tcPr>
          <w:p w14:paraId="1C97AA03" w14:textId="77777777" w:rsidR="001E5FF7" w:rsidRPr="00E828BE" w:rsidRDefault="001E5FF7" w:rsidP="001E5FF7">
            <w:pPr>
              <w:jc w:val="right"/>
              <w:rPr>
                <w:rFonts w:ascii="Arial" w:hAnsi="Arial" w:cs="Arial"/>
                <w:sz w:val="20"/>
                <w:szCs w:val="20"/>
              </w:rPr>
            </w:pPr>
            <w:r w:rsidRPr="00E828BE">
              <w:rPr>
                <w:rFonts w:ascii="Arial" w:hAnsi="Arial" w:cs="Arial"/>
                <w:sz w:val="20"/>
                <w:szCs w:val="20"/>
              </w:rPr>
              <w:t xml:space="preserve">$0 </w:t>
            </w:r>
          </w:p>
        </w:tc>
        <w:tc>
          <w:tcPr>
            <w:tcW w:w="1530" w:type="dxa"/>
            <w:shd w:val="clear" w:color="auto" w:fill="auto"/>
            <w:noWrap/>
          </w:tcPr>
          <w:p w14:paraId="0161E772" w14:textId="77777777" w:rsidR="001E5FF7" w:rsidRPr="00E828BE" w:rsidRDefault="001E5FF7" w:rsidP="001E5FF7">
            <w:pPr>
              <w:jc w:val="right"/>
              <w:rPr>
                <w:rFonts w:ascii="Arial" w:hAnsi="Arial" w:cs="Arial"/>
                <w:sz w:val="20"/>
                <w:szCs w:val="20"/>
              </w:rPr>
            </w:pPr>
            <w:r w:rsidRPr="00E828BE">
              <w:rPr>
                <w:rFonts w:ascii="Arial" w:hAnsi="Arial" w:cs="Arial"/>
                <w:sz w:val="20"/>
                <w:szCs w:val="20"/>
              </w:rPr>
              <w:t xml:space="preserve">$0 </w:t>
            </w:r>
          </w:p>
        </w:tc>
        <w:tc>
          <w:tcPr>
            <w:tcW w:w="1458" w:type="dxa"/>
            <w:shd w:val="clear" w:color="auto" w:fill="auto"/>
            <w:noWrap/>
          </w:tcPr>
          <w:p w14:paraId="23F8B64A" w14:textId="77777777" w:rsidR="001E5FF7" w:rsidRPr="00E828BE" w:rsidRDefault="001E5FF7" w:rsidP="001E5FF7">
            <w:pPr>
              <w:jc w:val="right"/>
              <w:rPr>
                <w:rFonts w:ascii="Arial" w:hAnsi="Arial" w:cs="Arial"/>
                <w:sz w:val="20"/>
                <w:szCs w:val="20"/>
              </w:rPr>
            </w:pPr>
            <w:r w:rsidRPr="00E828BE">
              <w:rPr>
                <w:rFonts w:ascii="Arial" w:hAnsi="Arial" w:cs="Arial"/>
                <w:sz w:val="20"/>
                <w:szCs w:val="20"/>
              </w:rPr>
              <w:t xml:space="preserve">$0 </w:t>
            </w:r>
          </w:p>
        </w:tc>
      </w:tr>
      <w:tr w:rsidR="001E5FF7" w:rsidRPr="00E828BE" w14:paraId="42C47188" w14:textId="77777777" w:rsidTr="009D4CC5">
        <w:trPr>
          <w:trHeight w:val="255"/>
        </w:trPr>
        <w:tc>
          <w:tcPr>
            <w:tcW w:w="4500" w:type="dxa"/>
            <w:shd w:val="clear" w:color="auto" w:fill="auto"/>
            <w:noWrap/>
            <w:vAlign w:val="bottom"/>
          </w:tcPr>
          <w:p w14:paraId="24D266E5" w14:textId="77777777" w:rsidR="001E5FF7" w:rsidRPr="00E828BE" w:rsidRDefault="001E5FF7" w:rsidP="001D6D10">
            <w:pPr>
              <w:rPr>
                <w:rFonts w:ascii="Arial" w:hAnsi="Arial" w:cs="Arial"/>
                <w:sz w:val="20"/>
                <w:szCs w:val="20"/>
              </w:rPr>
            </w:pPr>
            <w:r w:rsidRPr="00E828BE">
              <w:rPr>
                <w:rFonts w:ascii="Arial" w:hAnsi="Arial" w:cs="Arial"/>
                <w:sz w:val="20"/>
                <w:szCs w:val="20"/>
              </w:rPr>
              <w:t>Costs (O&amp;M)</w:t>
            </w:r>
          </w:p>
        </w:tc>
        <w:tc>
          <w:tcPr>
            <w:tcW w:w="1530" w:type="dxa"/>
            <w:shd w:val="clear" w:color="auto" w:fill="auto"/>
            <w:noWrap/>
          </w:tcPr>
          <w:p w14:paraId="36C221B1" w14:textId="77777777" w:rsidR="001E5FF7" w:rsidRPr="00E828BE" w:rsidRDefault="001E5FF7" w:rsidP="001E5FF7">
            <w:pPr>
              <w:jc w:val="right"/>
              <w:rPr>
                <w:rFonts w:ascii="Arial" w:hAnsi="Arial" w:cs="Arial"/>
                <w:sz w:val="20"/>
                <w:szCs w:val="20"/>
              </w:rPr>
            </w:pPr>
            <w:r w:rsidRPr="00E828BE">
              <w:rPr>
                <w:rFonts w:ascii="Arial" w:hAnsi="Arial" w:cs="Arial"/>
                <w:sz w:val="20"/>
                <w:szCs w:val="20"/>
              </w:rPr>
              <w:t xml:space="preserve">$0 </w:t>
            </w:r>
          </w:p>
        </w:tc>
        <w:tc>
          <w:tcPr>
            <w:tcW w:w="1530" w:type="dxa"/>
            <w:shd w:val="clear" w:color="auto" w:fill="auto"/>
            <w:noWrap/>
          </w:tcPr>
          <w:p w14:paraId="509351DD" w14:textId="77777777" w:rsidR="001E5FF7" w:rsidRPr="00E828BE" w:rsidRDefault="001E5FF7" w:rsidP="001E5FF7">
            <w:pPr>
              <w:jc w:val="right"/>
              <w:rPr>
                <w:rFonts w:ascii="Arial" w:hAnsi="Arial" w:cs="Arial"/>
                <w:sz w:val="20"/>
                <w:szCs w:val="20"/>
              </w:rPr>
            </w:pPr>
            <w:r w:rsidRPr="00E828BE">
              <w:rPr>
                <w:rFonts w:ascii="Arial" w:hAnsi="Arial" w:cs="Arial"/>
                <w:sz w:val="20"/>
                <w:szCs w:val="20"/>
              </w:rPr>
              <w:t xml:space="preserve">$0 </w:t>
            </w:r>
          </w:p>
        </w:tc>
        <w:tc>
          <w:tcPr>
            <w:tcW w:w="1458" w:type="dxa"/>
            <w:shd w:val="clear" w:color="auto" w:fill="auto"/>
            <w:noWrap/>
          </w:tcPr>
          <w:p w14:paraId="3EB86340" w14:textId="77777777" w:rsidR="001E5FF7" w:rsidRPr="00E828BE" w:rsidRDefault="001E5FF7" w:rsidP="001E5FF7">
            <w:pPr>
              <w:jc w:val="right"/>
              <w:rPr>
                <w:rFonts w:ascii="Arial" w:hAnsi="Arial" w:cs="Arial"/>
                <w:sz w:val="20"/>
                <w:szCs w:val="20"/>
              </w:rPr>
            </w:pPr>
            <w:r w:rsidRPr="00E828BE">
              <w:rPr>
                <w:rFonts w:ascii="Arial" w:hAnsi="Arial" w:cs="Arial"/>
                <w:sz w:val="20"/>
                <w:szCs w:val="20"/>
              </w:rPr>
              <w:t xml:space="preserve">$0 </w:t>
            </w:r>
          </w:p>
        </w:tc>
      </w:tr>
      <w:tr w:rsidR="001E5FF7" w:rsidRPr="00E828BE" w14:paraId="22982483" w14:textId="77777777" w:rsidTr="009D4CC5">
        <w:trPr>
          <w:trHeight w:val="255"/>
        </w:trPr>
        <w:tc>
          <w:tcPr>
            <w:tcW w:w="4500" w:type="dxa"/>
            <w:shd w:val="clear" w:color="auto" w:fill="auto"/>
            <w:noWrap/>
            <w:vAlign w:val="bottom"/>
          </w:tcPr>
          <w:p w14:paraId="05443BBC" w14:textId="77777777" w:rsidR="001E5FF7" w:rsidRPr="00E828BE" w:rsidRDefault="001E5FF7" w:rsidP="001D6D10">
            <w:pPr>
              <w:rPr>
                <w:rFonts w:ascii="Arial" w:hAnsi="Arial" w:cs="Arial"/>
                <w:sz w:val="20"/>
                <w:szCs w:val="20"/>
              </w:rPr>
            </w:pPr>
            <w:r w:rsidRPr="00E828BE">
              <w:rPr>
                <w:rFonts w:ascii="Arial" w:hAnsi="Arial" w:cs="Arial"/>
                <w:sz w:val="20"/>
                <w:szCs w:val="20"/>
              </w:rPr>
              <w:t>Total costs</w:t>
            </w:r>
          </w:p>
        </w:tc>
        <w:tc>
          <w:tcPr>
            <w:tcW w:w="1530" w:type="dxa"/>
            <w:shd w:val="clear" w:color="auto" w:fill="auto"/>
            <w:noWrap/>
          </w:tcPr>
          <w:p w14:paraId="25B46028" w14:textId="77777777" w:rsidR="001E5FF7" w:rsidRPr="00E828BE" w:rsidRDefault="001E5FF7" w:rsidP="001E5FF7">
            <w:pPr>
              <w:jc w:val="right"/>
              <w:rPr>
                <w:rFonts w:ascii="Arial" w:hAnsi="Arial" w:cs="Arial"/>
                <w:sz w:val="20"/>
                <w:szCs w:val="20"/>
              </w:rPr>
            </w:pPr>
            <w:r w:rsidRPr="00E828BE">
              <w:rPr>
                <w:rFonts w:ascii="Arial" w:hAnsi="Arial" w:cs="Arial"/>
                <w:sz w:val="20"/>
                <w:szCs w:val="20"/>
              </w:rPr>
              <w:t xml:space="preserve">$38,462,682 </w:t>
            </w:r>
          </w:p>
        </w:tc>
        <w:tc>
          <w:tcPr>
            <w:tcW w:w="1530" w:type="dxa"/>
            <w:shd w:val="clear" w:color="auto" w:fill="auto"/>
            <w:noWrap/>
          </w:tcPr>
          <w:p w14:paraId="13D9B59A" w14:textId="77777777" w:rsidR="001E5FF7" w:rsidRPr="00E828BE" w:rsidRDefault="001E5FF7" w:rsidP="001E5FF7">
            <w:pPr>
              <w:jc w:val="right"/>
              <w:rPr>
                <w:rFonts w:ascii="Arial" w:hAnsi="Arial" w:cs="Arial"/>
                <w:sz w:val="20"/>
                <w:szCs w:val="20"/>
              </w:rPr>
            </w:pPr>
            <w:r w:rsidRPr="00E828BE">
              <w:rPr>
                <w:rFonts w:ascii="Arial" w:hAnsi="Arial" w:cs="Arial"/>
                <w:sz w:val="20"/>
                <w:szCs w:val="20"/>
              </w:rPr>
              <w:t xml:space="preserve">$199,780 </w:t>
            </w:r>
          </w:p>
        </w:tc>
        <w:tc>
          <w:tcPr>
            <w:tcW w:w="1458" w:type="dxa"/>
            <w:shd w:val="clear" w:color="auto" w:fill="auto"/>
            <w:noWrap/>
          </w:tcPr>
          <w:p w14:paraId="22188AF9" w14:textId="77777777" w:rsidR="001E5FF7" w:rsidRPr="00E828BE" w:rsidRDefault="001E5FF7" w:rsidP="00F376DE">
            <w:pPr>
              <w:jc w:val="right"/>
              <w:rPr>
                <w:rFonts w:ascii="Arial" w:hAnsi="Arial" w:cs="Arial"/>
                <w:sz w:val="20"/>
                <w:szCs w:val="20"/>
              </w:rPr>
            </w:pPr>
            <w:r w:rsidRPr="00E828BE">
              <w:rPr>
                <w:rFonts w:ascii="Arial" w:hAnsi="Arial" w:cs="Arial"/>
                <w:sz w:val="20"/>
                <w:szCs w:val="20"/>
              </w:rPr>
              <w:t>$38,662,46</w:t>
            </w:r>
            <w:r w:rsidR="00F376DE">
              <w:rPr>
                <w:rFonts w:ascii="Arial" w:hAnsi="Arial" w:cs="Arial"/>
                <w:sz w:val="20"/>
                <w:szCs w:val="20"/>
              </w:rPr>
              <w:t>2</w:t>
            </w:r>
            <w:r w:rsidRPr="00E828BE">
              <w:rPr>
                <w:rFonts w:ascii="Arial" w:hAnsi="Arial" w:cs="Arial"/>
                <w:sz w:val="20"/>
                <w:szCs w:val="20"/>
              </w:rPr>
              <w:t xml:space="preserve"> </w:t>
            </w:r>
          </w:p>
        </w:tc>
      </w:tr>
      <w:tr w:rsidR="001E5FF7" w:rsidRPr="00E828BE" w14:paraId="37EDA00B" w14:textId="77777777" w:rsidTr="009D4CC5">
        <w:trPr>
          <w:trHeight w:val="255"/>
        </w:trPr>
        <w:tc>
          <w:tcPr>
            <w:tcW w:w="4500" w:type="dxa"/>
            <w:shd w:val="clear" w:color="auto" w:fill="auto"/>
            <w:noWrap/>
            <w:vAlign w:val="bottom"/>
          </w:tcPr>
          <w:p w14:paraId="41BD75F4" w14:textId="77777777" w:rsidR="001E5FF7" w:rsidRPr="00E828BE" w:rsidRDefault="001E5FF7" w:rsidP="001D6D10">
            <w:pPr>
              <w:rPr>
                <w:rFonts w:ascii="Arial" w:hAnsi="Arial" w:cs="Arial"/>
                <w:sz w:val="20"/>
                <w:szCs w:val="20"/>
              </w:rPr>
            </w:pPr>
            <w:r w:rsidRPr="00E828BE">
              <w:rPr>
                <w:rFonts w:ascii="Arial" w:hAnsi="Arial" w:cs="Arial"/>
                <w:sz w:val="20"/>
                <w:szCs w:val="20"/>
              </w:rPr>
              <w:t>Average annual burden per respondent (hours)</w:t>
            </w:r>
          </w:p>
        </w:tc>
        <w:tc>
          <w:tcPr>
            <w:tcW w:w="1530" w:type="dxa"/>
            <w:shd w:val="clear" w:color="auto" w:fill="auto"/>
            <w:noWrap/>
          </w:tcPr>
          <w:p w14:paraId="1C62EC9B" w14:textId="77777777" w:rsidR="001E5FF7" w:rsidRPr="00E828BE" w:rsidRDefault="001E5FF7" w:rsidP="001E5FF7">
            <w:pPr>
              <w:jc w:val="right"/>
              <w:rPr>
                <w:rFonts w:ascii="Arial" w:hAnsi="Arial" w:cs="Arial"/>
                <w:sz w:val="20"/>
                <w:szCs w:val="20"/>
              </w:rPr>
            </w:pPr>
            <w:r w:rsidRPr="00E828BE">
              <w:rPr>
                <w:rFonts w:ascii="Arial" w:hAnsi="Arial" w:cs="Arial"/>
                <w:sz w:val="20"/>
                <w:szCs w:val="20"/>
              </w:rPr>
              <w:t xml:space="preserve"> 2.3 </w:t>
            </w:r>
          </w:p>
        </w:tc>
        <w:tc>
          <w:tcPr>
            <w:tcW w:w="1530" w:type="dxa"/>
            <w:shd w:val="clear" w:color="auto" w:fill="auto"/>
            <w:noWrap/>
          </w:tcPr>
          <w:p w14:paraId="1A1BBD6B" w14:textId="77777777" w:rsidR="001E5FF7" w:rsidRPr="00E828BE" w:rsidRDefault="001E5FF7" w:rsidP="001E5FF7">
            <w:pPr>
              <w:jc w:val="right"/>
              <w:rPr>
                <w:rFonts w:ascii="Arial" w:hAnsi="Arial" w:cs="Arial"/>
                <w:sz w:val="20"/>
                <w:szCs w:val="20"/>
              </w:rPr>
            </w:pPr>
            <w:r w:rsidRPr="00E828BE">
              <w:rPr>
                <w:rFonts w:ascii="Arial" w:hAnsi="Arial" w:cs="Arial"/>
                <w:sz w:val="20"/>
                <w:szCs w:val="20"/>
              </w:rPr>
              <w:t xml:space="preserve"> 140.7 </w:t>
            </w:r>
          </w:p>
        </w:tc>
        <w:tc>
          <w:tcPr>
            <w:tcW w:w="1458" w:type="dxa"/>
            <w:shd w:val="clear" w:color="auto" w:fill="auto"/>
            <w:noWrap/>
          </w:tcPr>
          <w:p w14:paraId="353E73CF" w14:textId="77777777" w:rsidR="001E5FF7" w:rsidRPr="00E828BE" w:rsidRDefault="001E5FF7" w:rsidP="001E5FF7">
            <w:pPr>
              <w:jc w:val="right"/>
              <w:rPr>
                <w:rFonts w:ascii="Arial" w:hAnsi="Arial" w:cs="Arial"/>
                <w:sz w:val="20"/>
                <w:szCs w:val="20"/>
              </w:rPr>
            </w:pPr>
            <w:r w:rsidRPr="00E828BE">
              <w:rPr>
                <w:rFonts w:ascii="Arial" w:hAnsi="Arial" w:cs="Arial"/>
                <w:sz w:val="20"/>
                <w:szCs w:val="20"/>
              </w:rPr>
              <w:t xml:space="preserve"> 2.3 </w:t>
            </w:r>
          </w:p>
        </w:tc>
      </w:tr>
      <w:tr w:rsidR="00985651" w:rsidRPr="00E828BE" w14:paraId="50763579" w14:textId="77777777" w:rsidTr="001D6D10">
        <w:trPr>
          <w:trHeight w:val="468"/>
        </w:trPr>
        <w:tc>
          <w:tcPr>
            <w:tcW w:w="9018" w:type="dxa"/>
            <w:gridSpan w:val="4"/>
            <w:tcBorders>
              <w:left w:val="nil"/>
              <w:bottom w:val="nil"/>
              <w:right w:val="nil"/>
            </w:tcBorders>
            <w:shd w:val="clear" w:color="auto" w:fill="auto"/>
          </w:tcPr>
          <w:p w14:paraId="3221A9A7" w14:textId="77777777" w:rsidR="00985651" w:rsidRPr="00E828BE" w:rsidRDefault="005674FC" w:rsidP="001D6D10">
            <w:pPr>
              <w:keepNext/>
              <w:keepLines/>
              <w:spacing w:before="40"/>
              <w:rPr>
                <w:rFonts w:ascii="Arial" w:hAnsi="Arial" w:cs="Arial"/>
                <w:sz w:val="20"/>
                <w:szCs w:val="20"/>
              </w:rPr>
            </w:pPr>
            <w:r w:rsidRPr="00E828BE">
              <w:rPr>
                <w:rFonts w:ascii="Arial" w:hAnsi="Arial" w:cs="Arial"/>
                <w:sz w:val="20"/>
                <w:szCs w:val="20"/>
              </w:rPr>
              <w:t>*The average annual burden per permitting authority is for responses associated with 90% of the universe of permittees.</w:t>
            </w:r>
          </w:p>
        </w:tc>
      </w:tr>
    </w:tbl>
    <w:p w14:paraId="61EE3993" w14:textId="77777777" w:rsidR="00985651" w:rsidRPr="00E828BE" w:rsidRDefault="00985651" w:rsidP="001D6D10">
      <w:pPr>
        <w:pStyle w:val="Heading3"/>
      </w:pPr>
      <w:bookmarkStart w:id="92" w:name="_Toc275242958"/>
      <w:r w:rsidRPr="00E828BE">
        <w:t>6(e)(ii) The Agency Tally</w:t>
      </w:r>
      <w:bookmarkEnd w:id="92"/>
    </w:p>
    <w:p w14:paraId="0B239559" w14:textId="77777777" w:rsidR="00985651" w:rsidRPr="00E828BE" w:rsidRDefault="00985651" w:rsidP="001D6D10">
      <w:pPr>
        <w:autoSpaceDE w:val="0"/>
        <w:autoSpaceDN w:val="0"/>
        <w:adjustRightInd w:val="0"/>
        <w:rPr>
          <w:b/>
        </w:rPr>
      </w:pPr>
      <w:r w:rsidRPr="00E828BE">
        <w:t xml:space="preserve">The bottom line burden hours and costs for the </w:t>
      </w:r>
      <w:r w:rsidR="0067212A">
        <w:t>agency</w:t>
      </w:r>
      <w:r w:rsidRPr="00E828BE">
        <w:t xml:space="preserve"> are the total annual hours and costs collectively incurred for all activities during the period covered by this </w:t>
      </w:r>
      <w:r w:rsidR="00BA2CA5">
        <w:t>ICR</w:t>
      </w:r>
      <w:r w:rsidR="001F4874" w:rsidRPr="00E828BE">
        <w:t xml:space="preserve">. </w:t>
      </w:r>
      <w:r w:rsidRPr="00E828BE">
        <w:t xml:space="preserve">Table 6.2 provides a summary of the average annual </w:t>
      </w:r>
      <w:r w:rsidR="0067212A">
        <w:t>agency</w:t>
      </w:r>
      <w:r w:rsidRPr="00E828BE">
        <w:t xml:space="preserve"> burden hours and costs</w:t>
      </w:r>
      <w:r w:rsidR="001F4874" w:rsidRPr="00E828BE">
        <w:t xml:space="preserve">. </w:t>
      </w:r>
      <w:r w:rsidRPr="00E828BE">
        <w:t>A more detailed summary is in the Respondents and Agency Activities Table in Appendix A.</w:t>
      </w:r>
    </w:p>
    <w:p w14:paraId="6F251BBF" w14:textId="77777777" w:rsidR="00985651" w:rsidRPr="00E828BE" w:rsidRDefault="00985651" w:rsidP="001D6D10">
      <w:pPr>
        <w:autoSpaceDE w:val="0"/>
        <w:autoSpaceDN w:val="0"/>
        <w:adjustRightInd w:val="0"/>
        <w:rPr>
          <w:b/>
        </w:rPr>
      </w:pPr>
    </w:p>
    <w:p w14:paraId="7DA652DD" w14:textId="77777777" w:rsidR="00985651" w:rsidRPr="00E828BE" w:rsidRDefault="00985651" w:rsidP="001D6D10">
      <w:pPr>
        <w:pStyle w:val="TableTitle"/>
        <w:keepNext/>
        <w:keepLines/>
        <w:widowControl/>
      </w:pPr>
      <w:bookmarkStart w:id="93" w:name="_Toc196714099"/>
      <w:bookmarkStart w:id="94" w:name="_Toc275242963"/>
      <w:r w:rsidRPr="00E828BE">
        <w:t>Table 6.2 Agency tally</w:t>
      </w:r>
      <w:bookmarkEnd w:id="93"/>
      <w:bookmarkEnd w:id="94"/>
    </w:p>
    <w:tbl>
      <w:tblPr>
        <w:tblW w:w="5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6"/>
        <w:gridCol w:w="2316"/>
      </w:tblGrid>
      <w:tr w:rsidR="001E5FF7" w:rsidRPr="00E828BE" w14:paraId="3545BB5D" w14:textId="77777777">
        <w:trPr>
          <w:trHeight w:val="255"/>
        </w:trPr>
        <w:tc>
          <w:tcPr>
            <w:tcW w:w="3156" w:type="dxa"/>
            <w:shd w:val="clear" w:color="auto" w:fill="auto"/>
            <w:noWrap/>
            <w:vAlign w:val="bottom"/>
          </w:tcPr>
          <w:p w14:paraId="70C5D873" w14:textId="77777777" w:rsidR="001E5FF7" w:rsidRPr="00E828BE" w:rsidRDefault="001E5FF7" w:rsidP="001D6D10">
            <w:pPr>
              <w:keepNext/>
              <w:keepLines/>
              <w:rPr>
                <w:rFonts w:ascii="Arial" w:hAnsi="Arial" w:cs="Arial"/>
                <w:sz w:val="20"/>
              </w:rPr>
            </w:pPr>
            <w:r w:rsidRPr="00E828BE">
              <w:rPr>
                <w:rFonts w:ascii="Arial" w:hAnsi="Arial" w:cs="Arial"/>
                <w:sz w:val="20"/>
              </w:rPr>
              <w:t>Responses (number)</w:t>
            </w:r>
          </w:p>
        </w:tc>
        <w:tc>
          <w:tcPr>
            <w:tcW w:w="2316" w:type="dxa"/>
            <w:shd w:val="clear" w:color="auto" w:fill="auto"/>
            <w:noWrap/>
            <w:vAlign w:val="bottom"/>
          </w:tcPr>
          <w:p w14:paraId="710DB0D4" w14:textId="77777777" w:rsidR="001E5FF7" w:rsidRPr="00E828BE" w:rsidRDefault="001E5FF7">
            <w:pPr>
              <w:jc w:val="right"/>
              <w:rPr>
                <w:rFonts w:ascii="Arial" w:hAnsi="Arial" w:cs="Arial"/>
                <w:sz w:val="20"/>
                <w:szCs w:val="20"/>
              </w:rPr>
            </w:pPr>
            <w:r w:rsidRPr="00E828BE">
              <w:rPr>
                <w:rFonts w:ascii="Arial" w:hAnsi="Arial" w:cs="Arial"/>
                <w:sz w:val="20"/>
                <w:szCs w:val="20"/>
              </w:rPr>
              <w:t>820</w:t>
            </w:r>
          </w:p>
        </w:tc>
      </w:tr>
      <w:tr w:rsidR="001E5FF7" w:rsidRPr="00E828BE" w14:paraId="4FFDA036" w14:textId="77777777">
        <w:trPr>
          <w:trHeight w:val="255"/>
        </w:trPr>
        <w:tc>
          <w:tcPr>
            <w:tcW w:w="3156" w:type="dxa"/>
            <w:shd w:val="clear" w:color="auto" w:fill="auto"/>
            <w:noWrap/>
            <w:vAlign w:val="bottom"/>
          </w:tcPr>
          <w:p w14:paraId="4F31AC7C" w14:textId="77777777" w:rsidR="001E5FF7" w:rsidRPr="00E828BE" w:rsidRDefault="001E5FF7" w:rsidP="001D6D10">
            <w:pPr>
              <w:keepNext/>
              <w:keepLines/>
              <w:rPr>
                <w:rFonts w:ascii="Arial" w:hAnsi="Arial" w:cs="Arial"/>
                <w:sz w:val="20"/>
              </w:rPr>
            </w:pPr>
            <w:r w:rsidRPr="00E828BE">
              <w:rPr>
                <w:rFonts w:ascii="Arial" w:hAnsi="Arial" w:cs="Arial"/>
                <w:sz w:val="20"/>
              </w:rPr>
              <w:t>Burden (hours)</w:t>
            </w:r>
          </w:p>
        </w:tc>
        <w:tc>
          <w:tcPr>
            <w:tcW w:w="2316" w:type="dxa"/>
            <w:shd w:val="clear" w:color="auto" w:fill="auto"/>
            <w:noWrap/>
            <w:vAlign w:val="bottom"/>
          </w:tcPr>
          <w:p w14:paraId="3FB2F8BF" w14:textId="77777777" w:rsidR="001E5FF7" w:rsidRPr="00E828BE" w:rsidRDefault="001E5FF7">
            <w:pPr>
              <w:jc w:val="right"/>
              <w:rPr>
                <w:rFonts w:ascii="Arial" w:hAnsi="Arial" w:cs="Arial"/>
                <w:sz w:val="20"/>
                <w:szCs w:val="20"/>
              </w:rPr>
            </w:pPr>
            <w:r w:rsidRPr="00E828BE">
              <w:rPr>
                <w:rFonts w:ascii="Arial" w:hAnsi="Arial" w:cs="Arial"/>
                <w:sz w:val="20"/>
                <w:szCs w:val="20"/>
              </w:rPr>
              <w:t>776</w:t>
            </w:r>
          </w:p>
        </w:tc>
      </w:tr>
      <w:tr w:rsidR="001E5FF7" w:rsidRPr="00E828BE" w14:paraId="7E030A48" w14:textId="77777777">
        <w:trPr>
          <w:trHeight w:val="255"/>
        </w:trPr>
        <w:tc>
          <w:tcPr>
            <w:tcW w:w="3156" w:type="dxa"/>
            <w:shd w:val="clear" w:color="auto" w:fill="auto"/>
            <w:noWrap/>
            <w:vAlign w:val="bottom"/>
          </w:tcPr>
          <w:p w14:paraId="4FF815E0" w14:textId="77777777" w:rsidR="001E5FF7" w:rsidRPr="00E828BE" w:rsidRDefault="001E5FF7" w:rsidP="001D6D10">
            <w:pPr>
              <w:keepNext/>
              <w:keepLines/>
              <w:rPr>
                <w:rFonts w:ascii="Arial" w:hAnsi="Arial" w:cs="Arial"/>
                <w:sz w:val="20"/>
              </w:rPr>
            </w:pPr>
            <w:r w:rsidRPr="00E828BE">
              <w:rPr>
                <w:rFonts w:ascii="Arial" w:hAnsi="Arial" w:cs="Arial"/>
                <w:sz w:val="20"/>
              </w:rPr>
              <w:t>Costs (labor)</w:t>
            </w:r>
          </w:p>
        </w:tc>
        <w:tc>
          <w:tcPr>
            <w:tcW w:w="2316" w:type="dxa"/>
            <w:shd w:val="clear" w:color="auto" w:fill="auto"/>
            <w:noWrap/>
            <w:vAlign w:val="bottom"/>
          </w:tcPr>
          <w:p w14:paraId="7B6C1F8B" w14:textId="77777777" w:rsidR="001E5FF7" w:rsidRPr="00E828BE" w:rsidRDefault="001E5FF7">
            <w:pPr>
              <w:jc w:val="right"/>
              <w:rPr>
                <w:rFonts w:ascii="Arial" w:hAnsi="Arial" w:cs="Arial"/>
                <w:sz w:val="20"/>
                <w:szCs w:val="20"/>
              </w:rPr>
            </w:pPr>
            <w:bookmarkStart w:id="95" w:name="RANGE!B18"/>
            <w:r w:rsidRPr="00E828BE">
              <w:rPr>
                <w:rFonts w:ascii="Arial" w:hAnsi="Arial" w:cs="Arial"/>
                <w:sz w:val="20"/>
                <w:szCs w:val="20"/>
              </w:rPr>
              <w:t xml:space="preserve">$32,268 </w:t>
            </w:r>
            <w:bookmarkEnd w:id="95"/>
          </w:p>
        </w:tc>
      </w:tr>
      <w:tr w:rsidR="001E5FF7" w:rsidRPr="00E828BE" w14:paraId="54F055AC" w14:textId="77777777">
        <w:trPr>
          <w:trHeight w:val="255"/>
        </w:trPr>
        <w:tc>
          <w:tcPr>
            <w:tcW w:w="3156" w:type="dxa"/>
            <w:shd w:val="clear" w:color="auto" w:fill="auto"/>
            <w:noWrap/>
            <w:vAlign w:val="bottom"/>
          </w:tcPr>
          <w:p w14:paraId="55AE76D9" w14:textId="77777777" w:rsidR="001E5FF7" w:rsidRPr="00E828BE" w:rsidRDefault="001E5FF7" w:rsidP="001D6D10">
            <w:pPr>
              <w:keepNext/>
              <w:keepLines/>
              <w:rPr>
                <w:rFonts w:ascii="Arial" w:hAnsi="Arial" w:cs="Arial"/>
                <w:sz w:val="20"/>
              </w:rPr>
            </w:pPr>
            <w:r w:rsidRPr="00E828BE">
              <w:rPr>
                <w:rFonts w:ascii="Arial" w:hAnsi="Arial" w:cs="Arial"/>
                <w:sz w:val="20"/>
              </w:rPr>
              <w:t>Costs (capital)</w:t>
            </w:r>
          </w:p>
        </w:tc>
        <w:tc>
          <w:tcPr>
            <w:tcW w:w="2316" w:type="dxa"/>
            <w:shd w:val="clear" w:color="auto" w:fill="auto"/>
            <w:noWrap/>
            <w:vAlign w:val="bottom"/>
          </w:tcPr>
          <w:p w14:paraId="21124511" w14:textId="77777777" w:rsidR="001E5FF7" w:rsidRPr="00E828BE" w:rsidRDefault="001E5FF7">
            <w:pPr>
              <w:jc w:val="right"/>
              <w:rPr>
                <w:rFonts w:ascii="Arial" w:hAnsi="Arial" w:cs="Arial"/>
                <w:sz w:val="20"/>
                <w:szCs w:val="20"/>
              </w:rPr>
            </w:pPr>
            <w:r w:rsidRPr="00E828BE">
              <w:rPr>
                <w:rFonts w:ascii="Arial" w:hAnsi="Arial" w:cs="Arial"/>
                <w:sz w:val="20"/>
                <w:szCs w:val="20"/>
              </w:rPr>
              <w:t xml:space="preserve">$0 </w:t>
            </w:r>
          </w:p>
        </w:tc>
      </w:tr>
      <w:tr w:rsidR="001E5FF7" w:rsidRPr="00E828BE" w14:paraId="687F4472" w14:textId="77777777">
        <w:trPr>
          <w:trHeight w:val="255"/>
        </w:trPr>
        <w:tc>
          <w:tcPr>
            <w:tcW w:w="3156" w:type="dxa"/>
            <w:shd w:val="clear" w:color="auto" w:fill="auto"/>
            <w:noWrap/>
            <w:vAlign w:val="bottom"/>
          </w:tcPr>
          <w:p w14:paraId="23137FAD" w14:textId="77777777" w:rsidR="001E5FF7" w:rsidRPr="00E828BE" w:rsidRDefault="001E5FF7" w:rsidP="001D6D10">
            <w:pPr>
              <w:keepNext/>
              <w:keepLines/>
              <w:rPr>
                <w:rFonts w:ascii="Arial" w:hAnsi="Arial" w:cs="Arial"/>
                <w:sz w:val="20"/>
              </w:rPr>
            </w:pPr>
            <w:r w:rsidRPr="00E828BE">
              <w:rPr>
                <w:rFonts w:ascii="Arial" w:hAnsi="Arial" w:cs="Arial"/>
                <w:sz w:val="20"/>
              </w:rPr>
              <w:t>Costs (O&amp;M)</w:t>
            </w:r>
          </w:p>
        </w:tc>
        <w:tc>
          <w:tcPr>
            <w:tcW w:w="2316" w:type="dxa"/>
            <w:shd w:val="clear" w:color="auto" w:fill="auto"/>
            <w:noWrap/>
            <w:vAlign w:val="bottom"/>
          </w:tcPr>
          <w:p w14:paraId="3E15E1AB" w14:textId="77777777" w:rsidR="001E5FF7" w:rsidRPr="00E828BE" w:rsidRDefault="001E5FF7">
            <w:pPr>
              <w:jc w:val="right"/>
              <w:rPr>
                <w:rFonts w:ascii="Arial" w:hAnsi="Arial" w:cs="Arial"/>
                <w:sz w:val="20"/>
                <w:szCs w:val="20"/>
              </w:rPr>
            </w:pPr>
            <w:r w:rsidRPr="00E828BE">
              <w:rPr>
                <w:rFonts w:ascii="Arial" w:hAnsi="Arial" w:cs="Arial"/>
                <w:sz w:val="20"/>
                <w:szCs w:val="20"/>
              </w:rPr>
              <w:t xml:space="preserve">$0 </w:t>
            </w:r>
          </w:p>
        </w:tc>
      </w:tr>
      <w:tr w:rsidR="001E5FF7" w:rsidRPr="00E828BE" w14:paraId="6A03E2FA" w14:textId="77777777">
        <w:trPr>
          <w:trHeight w:val="255"/>
        </w:trPr>
        <w:tc>
          <w:tcPr>
            <w:tcW w:w="3156" w:type="dxa"/>
            <w:shd w:val="clear" w:color="auto" w:fill="auto"/>
            <w:noWrap/>
            <w:vAlign w:val="bottom"/>
          </w:tcPr>
          <w:p w14:paraId="7571B5C2" w14:textId="77777777" w:rsidR="001E5FF7" w:rsidRPr="00E828BE" w:rsidRDefault="001E5FF7" w:rsidP="001D6D10">
            <w:pPr>
              <w:keepNext/>
              <w:keepLines/>
              <w:rPr>
                <w:rFonts w:ascii="Arial" w:hAnsi="Arial" w:cs="Arial"/>
                <w:sz w:val="20"/>
              </w:rPr>
            </w:pPr>
            <w:r w:rsidRPr="00E828BE">
              <w:rPr>
                <w:rFonts w:ascii="Arial" w:hAnsi="Arial" w:cs="Arial"/>
                <w:sz w:val="20"/>
              </w:rPr>
              <w:t>Total costs</w:t>
            </w:r>
          </w:p>
        </w:tc>
        <w:tc>
          <w:tcPr>
            <w:tcW w:w="2316" w:type="dxa"/>
            <w:shd w:val="clear" w:color="auto" w:fill="auto"/>
            <w:noWrap/>
            <w:vAlign w:val="bottom"/>
          </w:tcPr>
          <w:p w14:paraId="2656C658" w14:textId="77777777" w:rsidR="001E5FF7" w:rsidRPr="00E828BE" w:rsidRDefault="001E5FF7">
            <w:pPr>
              <w:jc w:val="right"/>
              <w:rPr>
                <w:rFonts w:ascii="Arial" w:hAnsi="Arial" w:cs="Arial"/>
                <w:sz w:val="20"/>
                <w:szCs w:val="20"/>
              </w:rPr>
            </w:pPr>
            <w:r w:rsidRPr="00E828BE">
              <w:rPr>
                <w:rFonts w:ascii="Arial" w:hAnsi="Arial" w:cs="Arial"/>
                <w:sz w:val="20"/>
                <w:szCs w:val="20"/>
              </w:rPr>
              <w:t xml:space="preserve">$32,268 </w:t>
            </w:r>
          </w:p>
        </w:tc>
      </w:tr>
    </w:tbl>
    <w:p w14:paraId="322775D3" w14:textId="77777777" w:rsidR="00985651" w:rsidRPr="00E828BE" w:rsidRDefault="00985651" w:rsidP="001D6D10">
      <w:pPr>
        <w:keepNext/>
        <w:keepLines/>
        <w:autoSpaceDE w:val="0"/>
        <w:autoSpaceDN w:val="0"/>
        <w:adjustRightInd w:val="0"/>
        <w:rPr>
          <w:b/>
        </w:rPr>
        <w:sectPr w:rsidR="00985651" w:rsidRPr="00E828BE">
          <w:headerReference w:type="even" r:id="rId66"/>
          <w:headerReference w:type="default" r:id="rId67"/>
          <w:headerReference w:type="first" r:id="rId68"/>
          <w:type w:val="continuous"/>
          <w:pgSz w:w="12240" w:h="15840" w:code="1"/>
          <w:pgMar w:top="1440" w:right="1440" w:bottom="1440" w:left="1440" w:header="720" w:footer="720" w:gutter="0"/>
          <w:cols w:space="720"/>
          <w:noEndnote/>
        </w:sectPr>
      </w:pPr>
    </w:p>
    <w:p w14:paraId="2EDFF3CC" w14:textId="77777777" w:rsidR="00985651" w:rsidRPr="00E828BE" w:rsidRDefault="00985651" w:rsidP="001D6D10">
      <w:pPr>
        <w:pStyle w:val="Heading2"/>
      </w:pPr>
      <w:bookmarkStart w:id="96" w:name="_Ref199565658"/>
      <w:bookmarkStart w:id="97" w:name="_Toc275242959"/>
      <w:r w:rsidRPr="00E828BE">
        <w:lastRenderedPageBreak/>
        <w:t>6(f) Reasons for Change in Burden</w:t>
      </w:r>
      <w:bookmarkEnd w:id="96"/>
      <w:bookmarkEnd w:id="97"/>
    </w:p>
    <w:p w14:paraId="6098B246" w14:textId="77777777" w:rsidR="00815720" w:rsidRDefault="004D1B5A" w:rsidP="001D6D10">
      <w:pPr>
        <w:autoSpaceDE w:val="0"/>
        <w:autoSpaceDN w:val="0"/>
        <w:adjustRightInd w:val="0"/>
      </w:pPr>
      <w:r w:rsidRPr="00E828BE">
        <w:t xml:space="preserve">The current burden approved by OMB for the existing ICR is 847,652. That is 12,896 (2%) more hours than are being requested in this </w:t>
      </w:r>
      <w:r w:rsidR="00BA2CA5">
        <w:t>ICR</w:t>
      </w:r>
      <w:r w:rsidRPr="00E828BE">
        <w:t>.</w:t>
      </w:r>
      <w:r w:rsidR="00815720" w:rsidRPr="00815720">
        <w:t xml:space="preserve"> All of the decrease in burden is attributable to the shift from the 2011 PGP to the 2016 PGP in year 3 of this </w:t>
      </w:r>
      <w:r w:rsidR="00BA2CA5">
        <w:t>ICR</w:t>
      </w:r>
      <w:r w:rsidR="00815720" w:rsidRPr="00815720">
        <w:t xml:space="preserve"> when permittees renewing their coverage would not need to develop a new </w:t>
      </w:r>
      <w:r w:rsidR="00815720">
        <w:t>PDMP</w:t>
      </w:r>
      <w:r w:rsidR="00815720" w:rsidRPr="00815720">
        <w:t>, assuming the 2016 PGP will be similar to the 2011 PGP.</w:t>
      </w:r>
    </w:p>
    <w:p w14:paraId="5CFC071D" w14:textId="77777777" w:rsidR="00985651" w:rsidRPr="00E828BE" w:rsidRDefault="00985651" w:rsidP="001D6D10">
      <w:pPr>
        <w:pStyle w:val="Heading2"/>
        <w:keepLines/>
      </w:pPr>
      <w:bookmarkStart w:id="98" w:name="_Ref199565660"/>
      <w:bookmarkStart w:id="99" w:name="_Toc275242960"/>
      <w:r w:rsidRPr="00E828BE">
        <w:t>6(g) Burden Statement</w:t>
      </w:r>
      <w:bookmarkEnd w:id="98"/>
      <w:bookmarkEnd w:id="99"/>
    </w:p>
    <w:p w14:paraId="4BA9BBA7" w14:textId="77777777" w:rsidR="00985651" w:rsidRPr="00E828BE" w:rsidRDefault="00985651" w:rsidP="001D6D10">
      <w:r w:rsidRPr="00E828BE">
        <w:t xml:space="preserve">The calculations made for this </w:t>
      </w:r>
      <w:r w:rsidR="00BA2CA5">
        <w:t>ICR</w:t>
      </w:r>
      <w:r w:rsidRPr="00E828BE">
        <w:t xml:space="preserve"> cover the burden and costs for EPA and other </w:t>
      </w:r>
      <w:r w:rsidR="00820666">
        <w:t>f</w:t>
      </w:r>
      <w:r w:rsidRPr="00E828BE">
        <w:t xml:space="preserve">ederal </w:t>
      </w:r>
      <w:r w:rsidR="00820666">
        <w:t>a</w:t>
      </w:r>
      <w:r w:rsidRPr="00E828BE">
        <w:t xml:space="preserve">gencies, NPDES-authorized </w:t>
      </w:r>
      <w:r w:rsidR="009A164E" w:rsidRPr="00E828BE">
        <w:t>state</w:t>
      </w:r>
      <w:r w:rsidRPr="00E828BE">
        <w:t>s, and operators of pesticide activities</w:t>
      </w:r>
      <w:r w:rsidR="001F4874" w:rsidRPr="00E828BE">
        <w:t xml:space="preserve">. </w:t>
      </w:r>
      <w:r w:rsidRPr="00E828BE">
        <w:t xml:space="preserve">This </w:t>
      </w:r>
      <w:r w:rsidR="00BA2CA5">
        <w:t>ICR</w:t>
      </w:r>
      <w:r w:rsidRPr="00E828BE">
        <w:t xml:space="preserve"> estimates an annual burden of </w:t>
      </w:r>
      <w:r w:rsidR="001E5FF7" w:rsidRPr="00E828BE">
        <w:t xml:space="preserve">828,141 </w:t>
      </w:r>
      <w:r w:rsidRPr="00E828BE">
        <w:t>hours for 365,000 respondents (permittees) at a labor cost of $</w:t>
      </w:r>
      <w:r w:rsidR="001E5FF7" w:rsidRPr="00E828BE">
        <w:t>38.5</w:t>
      </w:r>
      <w:r w:rsidRPr="00E828BE">
        <w:t xml:space="preserve"> million</w:t>
      </w:r>
      <w:r w:rsidR="001F4874" w:rsidRPr="00E828BE">
        <w:t xml:space="preserve">. </w:t>
      </w:r>
      <w:r w:rsidRPr="00E828BE">
        <w:t xml:space="preserve">Burden for the </w:t>
      </w:r>
      <w:r w:rsidR="009A164E" w:rsidRPr="00E828BE">
        <w:t>state</w:t>
      </w:r>
      <w:r w:rsidRPr="00E828BE">
        <w:t xml:space="preserve"> respondents is </w:t>
      </w:r>
      <w:r w:rsidR="00B10A71" w:rsidRPr="00E828BE">
        <w:t>6,615</w:t>
      </w:r>
      <w:r w:rsidRPr="00E828BE">
        <w:t xml:space="preserve"> hours annually at a labor cost of $</w:t>
      </w:r>
      <w:r w:rsidR="001D6D10" w:rsidRPr="00E828BE">
        <w:t>0.</w:t>
      </w:r>
      <w:r w:rsidR="001E5FF7" w:rsidRPr="00E828BE">
        <w:t>2</w:t>
      </w:r>
      <w:r w:rsidRPr="00E828BE">
        <w:t xml:space="preserve"> million</w:t>
      </w:r>
      <w:r w:rsidR="001F4874" w:rsidRPr="00E828BE">
        <w:t xml:space="preserve">. </w:t>
      </w:r>
      <w:r w:rsidR="0067212A">
        <w:t>Agency</w:t>
      </w:r>
      <w:r w:rsidRPr="00E828BE">
        <w:t xml:space="preserve"> burden is </w:t>
      </w:r>
      <w:r w:rsidR="00B10A71" w:rsidRPr="00E828BE">
        <w:t>776</w:t>
      </w:r>
      <w:r w:rsidR="001D6D10" w:rsidRPr="00E828BE">
        <w:t xml:space="preserve"> </w:t>
      </w:r>
      <w:r w:rsidRPr="00E828BE">
        <w:t>hours annually at a labor cost of $</w:t>
      </w:r>
      <w:r w:rsidR="001E5FF7" w:rsidRPr="00E828BE">
        <w:t>32,268</w:t>
      </w:r>
      <w:r w:rsidR="001F4874" w:rsidRPr="00E828BE">
        <w:t xml:space="preserve">. </w:t>
      </w:r>
      <w:r w:rsidRPr="00E828BE">
        <w:t xml:space="preserve">The annual reporting and recordkeeping burden for this collection of information is estimated to average </w:t>
      </w:r>
      <w:r w:rsidR="007A546D" w:rsidRPr="00E828BE">
        <w:t>0.7</w:t>
      </w:r>
      <w:r w:rsidRPr="00E828BE">
        <w:t xml:space="preserve"> hour</w:t>
      </w:r>
      <w:r w:rsidR="009215C8" w:rsidRPr="00E828BE">
        <w:t>s</w:t>
      </w:r>
      <w:r w:rsidRPr="00E828BE">
        <w:t xml:space="preserve"> per response.</w:t>
      </w:r>
    </w:p>
    <w:p w14:paraId="4990C085" w14:textId="77777777" w:rsidR="00985651" w:rsidRPr="00E828BE" w:rsidRDefault="00985651" w:rsidP="001D6D10"/>
    <w:p w14:paraId="513699C3" w14:textId="77777777" w:rsidR="00985651" w:rsidRPr="00E828BE" w:rsidRDefault="00985651" w:rsidP="001D6D10">
      <w:r w:rsidRPr="00E828BE">
        <w:t xml:space="preserve">Burden means the total time, effort, or financial resources expended by persons to generate, maintain,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information. An agency may not conduct or sponsor, and a person is not required to respond to, a collection of information unless it displays a currently valid OMB control number. The OMB control numbers for EPA’s regulations are listed in 40 CFR </w:t>
      </w:r>
      <w:r w:rsidR="00051EC7">
        <w:t>part</w:t>
      </w:r>
      <w:r w:rsidRPr="00E828BE">
        <w:t xml:space="preserve"> 9 and 48 CFR Chapter 15.</w:t>
      </w:r>
    </w:p>
    <w:p w14:paraId="36B5B9D0" w14:textId="77777777" w:rsidR="00985651" w:rsidRDefault="00985651" w:rsidP="001D6D10"/>
    <w:p w14:paraId="74A63095" w14:textId="77777777" w:rsidR="00103ECB" w:rsidRDefault="00103ECB" w:rsidP="001D6D10">
      <w:r w:rsidRPr="00103ECB">
        <w:t xml:space="preserve">To comment on EPA’s need for this information, the accuracy of the provided burden estimates, and any suggested methods for minimizing respondent burden, including the use of automated collection techniques, the </w:t>
      </w:r>
      <w:r w:rsidR="0067212A">
        <w:t>agency</w:t>
      </w:r>
      <w:r w:rsidRPr="00103ECB">
        <w:t xml:space="preserve"> has established a public docket for this </w:t>
      </w:r>
      <w:r w:rsidR="00BA2CA5">
        <w:t>ICR</w:t>
      </w:r>
      <w:r w:rsidRPr="00103ECB">
        <w:t xml:space="preserve"> under Docket ID No. EPA-HQ-OW-2008-0719, which is available for public viewing at the Water Docket in the EPA Docket Center-Public Reading Room, WJC West Building, Room 3334, 1301 Constitution Avenue, NW, Washington, DC 20004. The EPA Docket Center Public Reading Room is open from 8:30 a.m. to 4:30 p.m., Monday through Friday, excluding legal holidays. The telephone number for the Reading Room is 202-566-1744, and the telephone number for the Water Docket </w:t>
      </w:r>
      <w:r w:rsidRPr="00103ECB">
        <w:lastRenderedPageBreak/>
        <w:t>is 202-566-2426. An electronic version of the public docket is available through the Federal Docket Management System (FDMS) at http://www.regulations.gov/. Use FDMS to submit or view public comments, to access the index listing of the contents of the public docket, and to access documents in the public docket that are available electronically. Once in the system, key in the docket ID number identified above. You can also send comments to the Office of Information and Regulatory Affairs, Office of Management and Budget, 725 17th Street, NW, Washington, DC 20503, Attention: Desk Office for EPA. Please include the EPA Docket ID No. EPA-HQ-OW-2008-0719 and OMB Control No. 2040-0284 in any correspondence.</w:t>
      </w:r>
    </w:p>
    <w:p w14:paraId="26A2C409" w14:textId="77777777" w:rsidR="00103ECB" w:rsidRPr="00E828BE" w:rsidRDefault="00103ECB" w:rsidP="001D6D10"/>
    <w:sectPr w:rsidR="00103ECB" w:rsidRPr="00E828BE" w:rsidSect="00FF5DF3">
      <w:headerReference w:type="even" r:id="rId69"/>
      <w:headerReference w:type="default" r:id="rId70"/>
      <w:headerReference w:type="first" r:id="rId71"/>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16495" w14:textId="77777777" w:rsidR="00CF6550" w:rsidRDefault="00CF6550">
      <w:r>
        <w:separator/>
      </w:r>
    </w:p>
  </w:endnote>
  <w:endnote w:type="continuationSeparator" w:id="0">
    <w:p w14:paraId="27A1381F" w14:textId="77777777" w:rsidR="00CF6550" w:rsidRDefault="00CF6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MLOJ J+ Melior">
    <w:altName w:val="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9F1A0" w14:textId="77777777" w:rsidR="001C4827" w:rsidRDefault="001C4827" w:rsidP="005268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129</w:t>
    </w:r>
    <w:r>
      <w:rPr>
        <w:rStyle w:val="PageNumber"/>
      </w:rPr>
      <w:fldChar w:fldCharType="end"/>
    </w:r>
  </w:p>
  <w:p w14:paraId="48976190" w14:textId="77777777" w:rsidR="001C4827" w:rsidRDefault="001C48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258EF" w14:textId="77777777" w:rsidR="001C4827" w:rsidRDefault="001C4827" w:rsidP="001E113C">
    <w:pPr>
      <w:pStyle w:val="Footer"/>
      <w:tabs>
        <w:tab w:val="clear" w:pos="4320"/>
        <w:tab w:val="clear" w:pos="8640"/>
        <w:tab w:val="center" w:pos="4680"/>
        <w:tab w:val="right" w:pos="936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B990D" w14:textId="77777777" w:rsidR="001C4827" w:rsidRDefault="001C4827" w:rsidP="001E113C">
    <w:pPr>
      <w:pStyle w:val="Footer"/>
      <w:tabs>
        <w:tab w:val="clear" w:pos="4320"/>
        <w:tab w:val="clear" w:pos="8640"/>
        <w:tab w:val="center" w:pos="4680"/>
        <w:tab w:val="right" w:pos="9360"/>
      </w:tabs>
    </w:pPr>
    <w:r>
      <w:tab/>
    </w:r>
    <w:r>
      <w:rPr>
        <w:rStyle w:val="PageNumber"/>
      </w:rPr>
      <w:fldChar w:fldCharType="begin"/>
    </w:r>
    <w:r>
      <w:rPr>
        <w:rStyle w:val="PageNumber"/>
      </w:rPr>
      <w:instrText xml:space="preserve"> PAGE </w:instrText>
    </w:r>
    <w:r>
      <w:rPr>
        <w:rStyle w:val="PageNumber"/>
      </w:rPr>
      <w:fldChar w:fldCharType="separate"/>
    </w:r>
    <w:r w:rsidR="00AD079D">
      <w:rPr>
        <w:rStyle w:val="PageNumber"/>
        <w:noProof/>
      </w:rPr>
      <w:t>iii</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FEC5A" w14:textId="77777777" w:rsidR="001C4827" w:rsidRDefault="001C4827" w:rsidP="001E113C">
    <w:pPr>
      <w:pStyle w:val="Footer"/>
      <w:tabs>
        <w:tab w:val="clear" w:pos="4320"/>
        <w:tab w:val="clear" w:pos="8640"/>
        <w:tab w:val="center" w:pos="4680"/>
        <w:tab w:val="right" w:pos="9360"/>
      </w:tabs>
    </w:pPr>
    <w:r>
      <w:tab/>
    </w:r>
    <w:r>
      <w:rPr>
        <w:rStyle w:val="PageNumber"/>
      </w:rPr>
      <w:fldChar w:fldCharType="begin"/>
    </w:r>
    <w:r>
      <w:rPr>
        <w:rStyle w:val="PageNumber"/>
      </w:rPr>
      <w:instrText xml:space="preserve"> PAGE </w:instrText>
    </w:r>
    <w:r>
      <w:rPr>
        <w:rStyle w:val="PageNumber"/>
      </w:rPr>
      <w:fldChar w:fldCharType="separate"/>
    </w:r>
    <w:r w:rsidR="00AD079D">
      <w:rPr>
        <w:rStyle w:val="PageNumber"/>
        <w:noProof/>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00B84" w14:textId="77777777" w:rsidR="00CF6550" w:rsidRDefault="00CF6550">
      <w:r>
        <w:separator/>
      </w:r>
    </w:p>
  </w:footnote>
  <w:footnote w:type="continuationSeparator" w:id="0">
    <w:p w14:paraId="33A73A73" w14:textId="77777777" w:rsidR="00CF6550" w:rsidRDefault="00CF6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7742C" w14:textId="77777777" w:rsidR="001C4827" w:rsidRDefault="001C482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1923A" w14:textId="77777777" w:rsidR="001C4827" w:rsidRDefault="001C482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64C79" w14:textId="66A7B063" w:rsidR="001C4827" w:rsidRDefault="002C5064" w:rsidP="00EE046B">
    <w:pPr>
      <w:pStyle w:val="Header"/>
    </w:pPr>
    <w:fldSimple w:instr=" REF _Ref199566123  \* MERGEFORMAT ">
      <w:r w:rsidRPr="00AD079D">
        <w:rPr>
          <w:rFonts w:ascii="Arial" w:hAnsi="Arial" w:cs="Arial"/>
          <w:sz w:val="20"/>
        </w:rPr>
        <w:t>3. Non-duplication, Consultations, and Other Collection Criteria</w:t>
      </w:r>
    </w:fldSimple>
    <w:r w:rsidR="001C4827" w:rsidRPr="00EE046B">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B918" w14:textId="77777777" w:rsidR="001C4827" w:rsidRDefault="001C482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95B81" w14:textId="77777777" w:rsidR="001C4827" w:rsidRDefault="001C4827">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DCCD3" w14:textId="4A26C5DE" w:rsidR="001C4827" w:rsidRDefault="002C5064" w:rsidP="00EE046B">
    <w:pPr>
      <w:pStyle w:val="Header"/>
    </w:pPr>
    <w:fldSimple w:instr=" REF _Ref199566140  \* MERGEFORMAT ">
      <w:r w:rsidRPr="00AD079D">
        <w:rPr>
          <w:rFonts w:ascii="Arial" w:hAnsi="Arial" w:cs="Arial"/>
          <w:sz w:val="20"/>
        </w:rPr>
        <w:t>4. The Respondents and the Information Requested</w:t>
      </w:r>
    </w:fldSimple>
    <w:r w:rsidR="001C4827" w:rsidRPr="00EE046B">
      <w:t xml:space="preserve"> </w:t>
    </w:r>
  </w:p>
  <w:p w14:paraId="347781D6" w14:textId="77777777" w:rsidR="001C4827" w:rsidRDefault="001C4827" w:rsidP="006E5CD8">
    <w:pPr>
      <w:pStyle w:val="Header"/>
      <w:rPr>
        <w:rFonts w:ascii="Arial" w:hAnsi="Arial" w:cs="Arial"/>
        <w:sz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E2B07" w14:textId="77777777" w:rsidR="001C4827" w:rsidRDefault="001C4827">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1C0AF" w14:textId="77777777" w:rsidR="001C4827" w:rsidRDefault="001C4827">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E0217" w14:textId="4C81B1CF" w:rsidR="001C4827" w:rsidRPr="006E5CD8" w:rsidRDefault="002C5064" w:rsidP="00140F20">
    <w:pPr>
      <w:pStyle w:val="Header"/>
      <w:rPr>
        <w:rFonts w:ascii="Arial" w:hAnsi="Arial" w:cs="Arial"/>
        <w:sz w:val="20"/>
      </w:rPr>
    </w:pPr>
    <w:fldSimple w:instr=" REF _Ref199566140  \* MERGEFORMAT ">
      <w:r w:rsidRPr="00AD079D">
        <w:rPr>
          <w:rFonts w:ascii="Arial" w:hAnsi="Arial" w:cs="Arial"/>
          <w:sz w:val="20"/>
        </w:rPr>
        <w:t>4. The Respondents and the Information Requested</w:t>
      </w:r>
    </w:fldSimple>
  </w:p>
  <w:p w14:paraId="79530BE3" w14:textId="77777777" w:rsidR="001C4827" w:rsidRPr="00140F20" w:rsidRDefault="001C4827" w:rsidP="006E5CD8">
    <w:pPr>
      <w:pStyle w:val="Header"/>
      <w:rPr>
        <w:rFonts w:ascii="Arial" w:hAnsi="Arial" w:cs="Arial"/>
        <w:sz w:val="20"/>
      </w:rPr>
    </w:pPr>
    <w:r>
      <w:fldChar w:fldCharType="begin"/>
    </w:r>
    <w:r>
      <w:instrText xml:space="preserve"> REF _Ref199644238 \h  \* MERGEFORMAT </w:instrText>
    </w:r>
    <w:r>
      <w:fldChar w:fldCharType="separate"/>
    </w:r>
    <w:r w:rsidR="002C5064" w:rsidRPr="00E828BE">
      <w:t>4(b) Information Requested</w:t>
    </w:r>
    <w: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CC3F9" w14:textId="77777777" w:rsidR="001C4827" w:rsidRDefault="001C4827">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75658" w14:textId="77777777" w:rsidR="001C4827" w:rsidRDefault="001C48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981CE" w14:textId="77777777" w:rsidR="001C4827" w:rsidRDefault="001C4827">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CFA1D" w14:textId="268F3C13" w:rsidR="001C4827" w:rsidRDefault="002C5064" w:rsidP="00EE046B">
    <w:pPr>
      <w:pStyle w:val="Header"/>
    </w:pPr>
    <w:fldSimple w:instr=" REF _Ref199566140  \* MERGEFORMAT ">
      <w:r w:rsidRPr="00AD079D">
        <w:rPr>
          <w:rFonts w:ascii="Arial" w:hAnsi="Arial" w:cs="Arial"/>
          <w:sz w:val="20"/>
        </w:rPr>
        <w:t>4. The Respondents and the Information Requested</w:t>
      </w:r>
    </w:fldSimple>
    <w:r w:rsidR="001C4827" w:rsidRPr="00EE046B">
      <w:t xml:space="preserve"> </w:t>
    </w:r>
  </w:p>
  <w:p w14:paraId="55A40798" w14:textId="77777777" w:rsidR="001C4827" w:rsidRPr="00140F20" w:rsidRDefault="001C4827" w:rsidP="00140F20">
    <w:pPr>
      <w:pStyle w:val="Header"/>
      <w:rPr>
        <w:rFonts w:ascii="Arial" w:hAnsi="Arial" w:cs="Arial"/>
        <w:sz w:val="20"/>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AA58C" w14:textId="77777777" w:rsidR="001C4827" w:rsidRDefault="001C4827">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2ADF0" w14:textId="77777777" w:rsidR="001C4827" w:rsidRDefault="001C4827">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1BC43" w14:textId="600071A1" w:rsidR="001C4827" w:rsidRDefault="002C5064" w:rsidP="00EE046B">
    <w:pPr>
      <w:pStyle w:val="Header"/>
    </w:pPr>
    <w:fldSimple w:instr=" REF _Ref199566140  \* MERGEFORMAT ">
      <w:r w:rsidRPr="00AD079D">
        <w:rPr>
          <w:rFonts w:ascii="Arial" w:hAnsi="Arial" w:cs="Arial"/>
          <w:sz w:val="20"/>
        </w:rPr>
        <w:t>4. The Respondents and the Information Requested</w:t>
      </w:r>
    </w:fldSimple>
    <w:r w:rsidR="001C4827" w:rsidRPr="00EE046B">
      <w:t xml:space="preserve"> </w:t>
    </w:r>
  </w:p>
  <w:p w14:paraId="296034FA" w14:textId="77777777" w:rsidR="001C4827" w:rsidRPr="00140F20" w:rsidRDefault="001C4827" w:rsidP="00140F20">
    <w:pPr>
      <w:pStyle w:val="Header"/>
      <w:rPr>
        <w:rFonts w:ascii="Arial" w:hAnsi="Arial" w:cs="Arial"/>
        <w:sz w:val="20"/>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8CFFE" w14:textId="77777777" w:rsidR="001C4827" w:rsidRDefault="001C4827">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6DDBD" w14:textId="77777777" w:rsidR="001C4827" w:rsidRDefault="001C4827">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F76D3" w14:textId="0C140755" w:rsidR="001C4827" w:rsidRPr="00140F20" w:rsidRDefault="002C5064" w:rsidP="00140F20">
    <w:pPr>
      <w:pStyle w:val="Header"/>
      <w:rPr>
        <w:rFonts w:ascii="Arial" w:hAnsi="Arial" w:cs="Arial"/>
        <w:sz w:val="20"/>
      </w:rPr>
    </w:pPr>
    <w:fldSimple w:instr=" REF _Ref199566140  \* MERGEFORMAT ">
      <w:r w:rsidRPr="00AD079D">
        <w:rPr>
          <w:rFonts w:ascii="Arial" w:hAnsi="Arial" w:cs="Arial"/>
          <w:sz w:val="20"/>
        </w:rPr>
        <w:t>4. The Respondents and the Information Requested</w:t>
      </w:r>
    </w:fldSimple>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D9752" w14:textId="77777777" w:rsidR="001C4827" w:rsidRDefault="001C4827">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8A505" w14:textId="77777777" w:rsidR="001C4827" w:rsidRDefault="001C4827">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B5AC0" w14:textId="7769F32F" w:rsidR="001C4827" w:rsidRDefault="002C5064" w:rsidP="00EE046B">
    <w:pPr>
      <w:pStyle w:val="Header"/>
    </w:pPr>
    <w:fldSimple w:instr=" REF _Ref199566140  \* MERGEFORMAT ">
      <w:r w:rsidRPr="00AD079D">
        <w:rPr>
          <w:rFonts w:ascii="Arial" w:hAnsi="Arial" w:cs="Arial"/>
          <w:sz w:val="20"/>
        </w:rPr>
        <w:t>4. The Respondents and the Information Requested</w:t>
      </w:r>
    </w:fldSimple>
    <w:r w:rsidR="001C4827" w:rsidRPr="00EE046B">
      <w:t xml:space="preserve"> </w:t>
    </w:r>
  </w:p>
  <w:p w14:paraId="330579C0" w14:textId="77777777" w:rsidR="001C4827" w:rsidRPr="00140F20" w:rsidRDefault="001C4827" w:rsidP="00140F20">
    <w:pPr>
      <w:pStyle w:val="Header"/>
      <w:rPr>
        <w:rFonts w:ascii="Arial" w:hAnsi="Arial" w:cs="Arial"/>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6FA30" w14:textId="77777777" w:rsidR="001C4827" w:rsidRDefault="001C4827">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7ACB4" w14:textId="77777777" w:rsidR="001C4827" w:rsidRDefault="001C4827">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4A9B3" w14:textId="77777777" w:rsidR="001C4827" w:rsidRDefault="001C4827">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6E62B" w14:textId="36A351D4" w:rsidR="001C4827" w:rsidRDefault="002C5064" w:rsidP="00EE046B">
    <w:pPr>
      <w:pStyle w:val="Header"/>
    </w:pPr>
    <w:fldSimple w:instr=" REF _Ref199566140  \* MERGEFORMAT ">
      <w:r w:rsidRPr="00AD079D">
        <w:rPr>
          <w:rFonts w:ascii="Arial" w:hAnsi="Arial" w:cs="Arial"/>
          <w:sz w:val="20"/>
        </w:rPr>
        <w:t>4. The Respondents and the Information Requested</w:t>
      </w:r>
    </w:fldSimple>
    <w:r w:rsidR="001C4827" w:rsidRPr="00EE046B">
      <w:t xml:space="preserve"> </w:t>
    </w:r>
  </w:p>
  <w:p w14:paraId="5938D556" w14:textId="77777777" w:rsidR="001C4827" w:rsidRPr="00140F20" w:rsidRDefault="001C4827" w:rsidP="00140F20">
    <w:pPr>
      <w:pStyle w:val="Header"/>
      <w:rPr>
        <w:rFonts w:ascii="Arial" w:hAnsi="Arial" w:cs="Arial"/>
        <w:sz w:val="20"/>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CA889" w14:textId="77777777" w:rsidR="001C4827" w:rsidRDefault="001C4827">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3CC7A" w14:textId="77777777" w:rsidR="001C4827" w:rsidRDefault="001C4827">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17CAE" w14:textId="32870051" w:rsidR="001C4827" w:rsidRDefault="002C5064" w:rsidP="00EE046B">
    <w:pPr>
      <w:pStyle w:val="Header"/>
    </w:pPr>
    <w:fldSimple w:instr=" REF _Ref199566151  \* MERGEFORMAT ">
      <w:r w:rsidRPr="00AD079D">
        <w:rPr>
          <w:rFonts w:ascii="Arial" w:hAnsi="Arial" w:cs="Arial"/>
          <w:sz w:val="20"/>
        </w:rPr>
        <w:t>5. The Information Collected—Agency Activities, Collection Methodology, and Information Management</w:t>
      </w:r>
    </w:fldSimple>
    <w:r w:rsidR="001C4827" w:rsidRPr="00EE046B">
      <w:t xml:space="preserve"> </w:t>
    </w:r>
  </w:p>
  <w:p w14:paraId="4498F60E" w14:textId="77777777" w:rsidR="001C4827" w:rsidRPr="006E5CD8" w:rsidRDefault="001C4827" w:rsidP="006E5CD8">
    <w:pPr>
      <w:pStyle w:val="Header"/>
      <w:rPr>
        <w:rFonts w:ascii="Arial" w:hAnsi="Arial" w:cs="Arial"/>
        <w:sz w:val="20"/>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12574" w14:textId="77777777" w:rsidR="001C4827" w:rsidRDefault="001C4827">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A368E" w14:textId="77777777" w:rsidR="001C4827" w:rsidRDefault="001C4827">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0E457" w14:textId="0023F627" w:rsidR="001C4827" w:rsidRDefault="001C4827" w:rsidP="00EE046B">
    <w:pPr>
      <w:pStyle w:val="Header"/>
    </w:pPr>
    <w:r>
      <w:fldChar w:fldCharType="begin"/>
    </w:r>
    <w:r>
      <w:instrText xml:space="preserve"> REF _Ref200180733 \h  \* MERGEFORMAT </w:instrText>
    </w:r>
    <w:r>
      <w:fldChar w:fldCharType="separate"/>
    </w:r>
    <w:r w:rsidR="002C5064" w:rsidRPr="00AD079D">
      <w:rPr>
        <w:rFonts w:ascii="Arial" w:hAnsi="Arial" w:cs="Arial"/>
        <w:sz w:val="20"/>
      </w:rPr>
      <w:t>6. Estimating the Burden and Cost of the Collection</w:t>
    </w:r>
    <w:r>
      <w:fldChar w:fldCharType="end"/>
    </w:r>
    <w:r w:rsidRPr="00EE046B">
      <w:t xml:space="preserve"> </w:t>
    </w:r>
  </w:p>
  <w:p w14:paraId="106499A0" w14:textId="77777777" w:rsidR="001C4827" w:rsidRPr="00DA23FB" w:rsidRDefault="001C4827" w:rsidP="00281878">
    <w:pPr>
      <w:pStyle w:val="Header"/>
      <w:rPr>
        <w:rFonts w:ascii="Arial" w:hAnsi="Arial" w:cs="Arial"/>
        <w:sz w:val="20"/>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1EE6" w14:textId="77777777" w:rsidR="001C4827" w:rsidRDefault="001C482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AED52" w14:textId="77777777" w:rsidR="001C4827" w:rsidRDefault="001C4827">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0FBC8" w14:textId="77777777" w:rsidR="001C4827" w:rsidRDefault="001C4827">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9251B" w14:textId="7EA6D7A8" w:rsidR="001C4827" w:rsidRPr="00DA23FB" w:rsidRDefault="001C4827" w:rsidP="00DA23FB">
    <w:pPr>
      <w:pStyle w:val="Header"/>
      <w:rPr>
        <w:rFonts w:ascii="Arial" w:hAnsi="Arial" w:cs="Arial"/>
        <w:sz w:val="20"/>
      </w:rPr>
    </w:pPr>
    <w:r>
      <w:fldChar w:fldCharType="begin"/>
    </w:r>
    <w:r>
      <w:instrText xml:space="preserve"> REF _Ref200180733 \h  \* MERGEFORMAT </w:instrText>
    </w:r>
    <w:r>
      <w:fldChar w:fldCharType="separate"/>
    </w:r>
    <w:r w:rsidR="002C5064" w:rsidRPr="00AD079D">
      <w:rPr>
        <w:rFonts w:ascii="Arial" w:hAnsi="Arial" w:cs="Arial"/>
        <w:sz w:val="20"/>
      </w:rPr>
      <w:t>6. Estimating the Burden and Cost of the Collection</w:t>
    </w:r>
    <w:r>
      <w:fldChar w:fldCharType="end"/>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5697F" w14:textId="77777777" w:rsidR="001C4827" w:rsidRDefault="001C4827">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00782" w14:textId="77777777" w:rsidR="001C4827" w:rsidRDefault="001C4827">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4F1A2" w14:textId="61AC4FA7" w:rsidR="001C4827" w:rsidRPr="00DA23FB" w:rsidRDefault="001C4827" w:rsidP="00DA23FB">
    <w:pPr>
      <w:pStyle w:val="Header"/>
      <w:rPr>
        <w:rFonts w:ascii="Arial" w:hAnsi="Arial" w:cs="Arial"/>
        <w:sz w:val="20"/>
      </w:rPr>
    </w:pPr>
    <w:r>
      <w:fldChar w:fldCharType="begin"/>
    </w:r>
    <w:r>
      <w:instrText xml:space="preserve"> REF _Ref200180733 \h  \* MERGEFORMAT </w:instrText>
    </w:r>
    <w:r>
      <w:fldChar w:fldCharType="separate"/>
    </w:r>
    <w:r w:rsidR="002C5064" w:rsidRPr="00AD079D">
      <w:rPr>
        <w:rFonts w:ascii="Arial" w:hAnsi="Arial" w:cs="Arial"/>
        <w:sz w:val="20"/>
      </w:rPr>
      <w:t>6. Estimating the Burden and Cost of the Collection</w:t>
    </w:r>
    <w:r>
      <w:fldChar w:fldCharType="end"/>
    </w:r>
  </w:p>
  <w:p w14:paraId="2746BDF4" w14:textId="1BDF2B02" w:rsidR="001C4827" w:rsidRPr="00DA23FB" w:rsidRDefault="001C4827" w:rsidP="00DA23FB">
    <w:pPr>
      <w:pStyle w:val="Header"/>
      <w:rPr>
        <w:rFonts w:ascii="Arial" w:hAnsi="Arial" w:cs="Arial"/>
        <w:sz w:val="20"/>
      </w:rPr>
    </w:pPr>
    <w:r>
      <w:fldChar w:fldCharType="begin"/>
    </w:r>
    <w:r>
      <w:instrText xml:space="preserve"> REF _Ref200180873 \h  \* MERGEFORMAT </w:instrText>
    </w:r>
    <w:r>
      <w:fldChar w:fldCharType="separate"/>
    </w:r>
    <w:r w:rsidR="002C5064" w:rsidRPr="00AD079D">
      <w:rPr>
        <w:rFonts w:ascii="Arial" w:hAnsi="Arial" w:cs="Arial"/>
        <w:sz w:val="20"/>
      </w:rPr>
      <w:t>6(a)(iii) Monitoring</w:t>
    </w:r>
    <w:r>
      <w:fldChar w:fldCharType="end"/>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D5C1E" w14:textId="77777777" w:rsidR="001C4827" w:rsidRDefault="001C4827">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0E246" w14:textId="77777777" w:rsidR="001C4827" w:rsidRDefault="001C4827">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5B00D" w14:textId="5B81BD79" w:rsidR="001C4827" w:rsidRDefault="001C4827" w:rsidP="00EE046B">
    <w:pPr>
      <w:pStyle w:val="Header"/>
    </w:pPr>
    <w:r>
      <w:fldChar w:fldCharType="begin"/>
    </w:r>
    <w:r>
      <w:instrText xml:space="preserve"> REF _Ref200180733 \h  \* MERGEFORMAT </w:instrText>
    </w:r>
    <w:r>
      <w:fldChar w:fldCharType="separate"/>
    </w:r>
    <w:r w:rsidR="002C5064" w:rsidRPr="00AD079D">
      <w:rPr>
        <w:rFonts w:ascii="Arial" w:hAnsi="Arial" w:cs="Arial"/>
        <w:sz w:val="20"/>
      </w:rPr>
      <w:t>6. Estimating the Burden and Cost of the Collection</w:t>
    </w:r>
    <w:r>
      <w:fldChar w:fldCharType="end"/>
    </w:r>
    <w:r w:rsidRPr="00EE046B">
      <w:t xml:space="preserve"> </w:t>
    </w:r>
  </w:p>
  <w:p w14:paraId="341FA064" w14:textId="77777777" w:rsidR="001C4827" w:rsidRPr="00DA23FB" w:rsidRDefault="001C4827" w:rsidP="00DA23FB">
    <w:pPr>
      <w:pStyle w:val="Header"/>
      <w:rPr>
        <w:rFonts w:ascii="Arial" w:hAnsi="Arial" w:cs="Arial"/>
        <w:sz w:val="20"/>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A630C" w14:textId="77777777" w:rsidR="001C4827" w:rsidRDefault="001C4827">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EDD85" w14:textId="77777777" w:rsidR="001C4827" w:rsidRDefault="001C482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92F36" w14:textId="32A9EA22" w:rsidR="001C4827" w:rsidRPr="006E5CD8" w:rsidRDefault="002C5064" w:rsidP="006E5CD8">
    <w:pPr>
      <w:pStyle w:val="Header"/>
      <w:rPr>
        <w:rFonts w:ascii="Arial" w:hAnsi="Arial" w:cs="Arial"/>
        <w:sz w:val="20"/>
      </w:rPr>
    </w:pPr>
    <w:fldSimple w:instr=" REF _Ref199566095  \* MERGEFORMAT ">
      <w:r w:rsidRPr="00AD079D">
        <w:rPr>
          <w:rFonts w:ascii="Arial" w:hAnsi="Arial" w:cs="Arial"/>
          <w:sz w:val="20"/>
        </w:rPr>
        <w:t>1. Identification of the Information Collection</w:t>
      </w:r>
    </w:fldSimple>
    <w:r w:rsidR="001C4827" w:rsidRPr="00EE046B">
      <w:t xml:space="preserve"> </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A1819" w14:textId="1B4EAB51" w:rsidR="001C4827" w:rsidRDefault="001C4827" w:rsidP="00EE046B">
    <w:pPr>
      <w:pStyle w:val="Header"/>
    </w:pPr>
    <w:r>
      <w:fldChar w:fldCharType="begin"/>
    </w:r>
    <w:r>
      <w:instrText xml:space="preserve"> REF _Ref200180733 \h  \* MERGEFORMAT </w:instrText>
    </w:r>
    <w:r>
      <w:fldChar w:fldCharType="separate"/>
    </w:r>
    <w:r w:rsidR="002C5064" w:rsidRPr="00AD079D">
      <w:rPr>
        <w:rFonts w:ascii="Arial" w:hAnsi="Arial" w:cs="Arial"/>
        <w:sz w:val="20"/>
      </w:rPr>
      <w:t>6. Estimating the Burden and Cost of the Collection</w:t>
    </w:r>
    <w:r>
      <w:fldChar w:fldCharType="end"/>
    </w:r>
    <w:r w:rsidRPr="00EE046B">
      <w:t xml:space="preserve"> </w:t>
    </w:r>
  </w:p>
  <w:p w14:paraId="72FB8405" w14:textId="77777777" w:rsidR="001C4827" w:rsidRPr="00DA23FB" w:rsidRDefault="001C4827" w:rsidP="00DA23FB">
    <w:pPr>
      <w:pStyle w:val="Header"/>
      <w:rPr>
        <w:rFonts w:ascii="Arial" w:hAnsi="Arial" w:cs="Arial"/>
        <w:sz w:val="20"/>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24B8C" w14:textId="77777777" w:rsidR="001C4827" w:rsidRDefault="001C4827">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0CF1E" w14:textId="77777777" w:rsidR="001C4827" w:rsidRDefault="001C4827">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8B2E8" w14:textId="340F0C88" w:rsidR="001C4827" w:rsidRDefault="002C5064" w:rsidP="00EE046B">
    <w:pPr>
      <w:pStyle w:val="Header"/>
    </w:pPr>
    <w:fldSimple w:instr=" REF _Ref199566162  \* MERGEFORMAT ">
      <w:r w:rsidRPr="00AD079D">
        <w:rPr>
          <w:rFonts w:ascii="Arial" w:hAnsi="Arial" w:cs="Arial"/>
          <w:sz w:val="20"/>
        </w:rPr>
        <w:t>6. Estimating the Burden and Cost of the Collection</w:t>
      </w:r>
    </w:fldSimple>
    <w:r w:rsidR="001C4827" w:rsidRPr="00EE046B">
      <w:t xml:space="preserve"> </w:t>
    </w:r>
  </w:p>
  <w:p w14:paraId="53C45562" w14:textId="77777777" w:rsidR="001C4827" w:rsidRDefault="001C4827" w:rsidP="006E5CD8">
    <w:pPr>
      <w:pStyle w:val="Header"/>
      <w:rPr>
        <w:rFonts w:ascii="Arial" w:hAnsi="Arial" w:cs="Arial"/>
        <w:sz w:val="20"/>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046DD" w14:textId="77777777" w:rsidR="001C4827" w:rsidRDefault="001C4827">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C9152" w14:textId="77777777" w:rsidR="001C4827" w:rsidRDefault="001C4827">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B1E9D" w14:textId="40608989" w:rsidR="001C4827" w:rsidRDefault="002C5064" w:rsidP="00EE046B">
    <w:pPr>
      <w:pStyle w:val="Header"/>
    </w:pPr>
    <w:fldSimple w:instr=" REF _Ref199566162  \* MERGEFORMAT ">
      <w:r w:rsidRPr="00AD079D">
        <w:rPr>
          <w:rFonts w:ascii="Arial" w:hAnsi="Arial" w:cs="Arial"/>
          <w:sz w:val="20"/>
        </w:rPr>
        <w:t>6. Estimating the Burden and Cost of the Collection</w:t>
      </w:r>
    </w:fldSimple>
    <w:r w:rsidR="001C4827" w:rsidRPr="00EE046B">
      <w:t xml:space="preserve"> </w:t>
    </w:r>
    <w:sdt>
      <w:sdtPr>
        <w:id w:val="1894852376"/>
        <w:docPartObj>
          <w:docPartGallery w:val="Watermarks"/>
          <w:docPartUnique/>
        </w:docPartObj>
      </w:sdtPr>
      <w:sdtEndPr/>
      <w:sdtContent>
        <w:r w:rsidR="001C4827">
          <w:rPr>
            <w:noProof/>
          </w:rPr>
          <mc:AlternateContent>
            <mc:Choice Requires="wps">
              <w:drawing>
                <wp:anchor distT="0" distB="0" distL="114300" distR="114300" simplePos="0" relativeHeight="251664384" behindDoc="1" locked="0" layoutInCell="0" allowOverlap="1" wp14:anchorId="00F8E4F2" wp14:editId="6773BA01">
                  <wp:simplePos x="0" y="0"/>
                  <wp:positionH relativeFrom="margin">
                    <wp:align>center</wp:align>
                  </wp:positionH>
                  <wp:positionV relativeFrom="margin">
                    <wp:align>center</wp:align>
                  </wp:positionV>
                  <wp:extent cx="5237480" cy="3142615"/>
                  <wp:effectExtent l="0" t="1143000" r="0" b="657860"/>
                  <wp:wrapNone/>
                  <wp:docPr id="2" name="WordArt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B3AB01" w14:textId="77777777" w:rsidR="001C4827" w:rsidRDefault="001C4827" w:rsidP="00057702">
                              <w:pPr>
                                <w:pStyle w:val="NormalWeb"/>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0F8E4F2" id="_x0000_t202" coordsize="21600,21600" o:spt="202" path="m,l,21600r21600,l21600,xe">
                  <v:stroke joinstyle="miter"/>
                  <v:path gradientshapeok="t" o:connecttype="rect"/>
                </v:shapetype>
                <v:shape id="WordArt 39" o:spid="_x0000_s1026" type="#_x0000_t202" style="position:absolute;margin-left:0;margin-top:0;width:412.4pt;height:247.45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LkqhwIAAP0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NKVE&#10;sQ4lesSJXhpHTnM/nV7bApMeNKa54QoGVDl0avUdVN8sUXDdMLUTl8ZA3wjGkV2CWFM49LA5agQO&#10;0Y0Y3C2XKETi4aNX+GMx6ytt+4/A8RW2dxCqDbXpiAH/2jKP/S+EcYAEGaGyx2c1sQCpMDhPT8+y&#10;JR5VeHaaZOkimYeSrPBoXi1trPsgoCN+U1KDdgmw7HBnnWf3kuLTERnj026U90eepFl8leaz9WJ5&#10;NsvW2XyWn8XLWZzkV/kizvLsZv3TgyZZ0UjOhbqTSjxZLcn+TsrJ9KNJgtlIX9J8ns4DXwut5GvZ&#10;tp6bNbvtdWvIgXnPj7Mae3mTZmCvOMZZ4UW7nfaOyXbcR28Zh2HgAJ7+wyCCel6wUTo3bAdE9JJu&#10;gR9Rxx5vVknt9z0zAj2x764BSaERagPdZDT/7Gl4DTbDIzN6ksNhufv26WYFTXzejk9GZfwrAnUt&#10;XljslcyDK8ZOp+RJvxE1zEZfoqPWMoj7wnPyId6x0N70PfCX+PVzyHr5aq1+AQAA//8DAFBLAwQU&#10;AAYACAAAACEAOy2kaNsAAAAFAQAADwAAAGRycy9kb3ducmV2LnhtbEyPwU7DMBBE70j8g7VI3KjT&#10;EqE2xKkQEYce2yLObrxNQu11iJ0m5etZuNDLSKtZzbzJ15Oz4ox9aD0pmM8SEEiVNy3VCt73bw9L&#10;ECFqMtp6QgUXDLAubm9ynRk/0hbPu1gLDqGQaQVNjF0mZagadDrMfIfE3tH3Tkc++1qaXo8c7qxc&#10;JMmTdLolbmh0h68NVqfd4BSY7+OlexzH/WazLYcv25YlfnwqdX83vTyDiDjF/2f4xWd0KJjp4Acy&#10;QVgFPCT+KXvLRcozDgrSVboCWeTymr74AQAA//8DAFBLAQItABQABgAIAAAAIQC2gziS/gAAAOEB&#10;AAATAAAAAAAAAAAAAAAAAAAAAABbQ29udGVudF9UeXBlc10ueG1sUEsBAi0AFAAGAAgAAAAhADj9&#10;If/WAAAAlAEAAAsAAAAAAAAAAAAAAAAALwEAAF9yZWxzLy5yZWxzUEsBAi0AFAAGAAgAAAAhAE18&#10;uSqHAgAA/QQAAA4AAAAAAAAAAAAAAAAALgIAAGRycy9lMm9Eb2MueG1sUEsBAi0AFAAGAAgAAAAh&#10;ADstpGjbAAAABQEAAA8AAAAAAAAAAAAAAAAA4QQAAGRycy9kb3ducmV2LnhtbFBLBQYAAAAABAAE&#10;APMAAADpBQAAAAA=&#10;" o:allowincell="f" filled="f" stroked="f">
                  <v:stroke joinstyle="round"/>
                  <o:lock v:ext="edit" shapetype="t"/>
                  <v:textbox style="mso-fit-shape-to-text:t">
                    <w:txbxContent>
                      <w:p w14:paraId="5DB3AB01" w14:textId="77777777" w:rsidR="001C4827" w:rsidRDefault="001C4827" w:rsidP="00057702">
                        <w:pPr>
                          <w:pStyle w:val="NormalWeb"/>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p w14:paraId="37A23857" w14:textId="77777777" w:rsidR="001C4827" w:rsidRPr="00B246EF" w:rsidRDefault="001C4827" w:rsidP="006369D9">
    <w:pPr>
      <w:pStyle w:val="Heade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7CC43" w14:textId="77777777" w:rsidR="001C4827" w:rsidRDefault="001C4827">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5443D" w14:textId="77777777" w:rsidR="001C4827" w:rsidRDefault="001C4827">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A926F" w14:textId="3C897D48" w:rsidR="001C4827" w:rsidRDefault="002C5064" w:rsidP="00EE046B">
    <w:pPr>
      <w:pStyle w:val="Header"/>
    </w:pPr>
    <w:fldSimple w:instr=" REF _Ref199566162  \* MERGEFORMAT ">
      <w:r w:rsidRPr="00AD079D">
        <w:rPr>
          <w:rFonts w:ascii="Arial" w:hAnsi="Arial" w:cs="Arial"/>
          <w:sz w:val="20"/>
        </w:rPr>
        <w:t>6. Estimating the Burden and Cost of the Collection</w:t>
      </w:r>
    </w:fldSimple>
    <w:r w:rsidR="001C4827" w:rsidRPr="00EE046B">
      <w:t xml:space="preserve"> </w:t>
    </w:r>
  </w:p>
  <w:p w14:paraId="0620821F" w14:textId="77777777" w:rsidR="001C4827" w:rsidRDefault="001C4827" w:rsidP="006E5CD8">
    <w:pPr>
      <w:pStyle w:val="Header"/>
      <w:rPr>
        <w:rFonts w:ascii="Arial" w:hAnsi="Arial" w:cs="Arial"/>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F10F7" w14:textId="77777777" w:rsidR="001C4827" w:rsidRDefault="001C4827">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68FC1" w14:textId="77777777" w:rsidR="001C4827" w:rsidRDefault="001C482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C58E7" w14:textId="77777777" w:rsidR="001C4827" w:rsidRDefault="001C482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ABAC6" w14:textId="3B87DFF6" w:rsidR="001C4827" w:rsidRPr="006E5CD8" w:rsidRDefault="002C5064" w:rsidP="006E5CD8">
    <w:pPr>
      <w:pStyle w:val="Header"/>
      <w:rPr>
        <w:rFonts w:ascii="Arial" w:hAnsi="Arial" w:cs="Arial"/>
        <w:sz w:val="20"/>
      </w:rPr>
    </w:pPr>
    <w:fldSimple w:instr=" REF _Ref199566114  \* MERGEFORMAT ">
      <w:r w:rsidRPr="00AD079D">
        <w:rPr>
          <w:rFonts w:ascii="Arial" w:hAnsi="Arial" w:cs="Arial"/>
          <w:sz w:val="20"/>
        </w:rPr>
        <w:t>2. Need For and Use of the Collection</w:t>
      </w:r>
    </w:fldSimple>
    <w:r w:rsidR="001C4827" w:rsidRPr="00EE046B">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334B7" w14:textId="77777777" w:rsidR="001C4827" w:rsidRDefault="001C48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86875"/>
    <w:multiLevelType w:val="hybridMultilevel"/>
    <w:tmpl w:val="7EC26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3A5909"/>
    <w:multiLevelType w:val="hybridMultilevel"/>
    <w:tmpl w:val="C6B6ED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452D3"/>
    <w:multiLevelType w:val="hybridMultilevel"/>
    <w:tmpl w:val="4C0841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3249E9"/>
    <w:multiLevelType w:val="hybridMultilevel"/>
    <w:tmpl w:val="CAAA74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570E1"/>
    <w:multiLevelType w:val="hybridMultilevel"/>
    <w:tmpl w:val="5FF6F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44E4D"/>
    <w:multiLevelType w:val="hybridMultilevel"/>
    <w:tmpl w:val="574ECFD2"/>
    <w:lvl w:ilvl="0" w:tplc="66DEE74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2C219F"/>
    <w:multiLevelType w:val="hybridMultilevel"/>
    <w:tmpl w:val="116A7A26"/>
    <w:lvl w:ilvl="0" w:tplc="66DEE74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A4A204B"/>
    <w:multiLevelType w:val="hybridMultilevel"/>
    <w:tmpl w:val="1E9A5C9A"/>
    <w:lvl w:ilvl="0" w:tplc="CD4A3876">
      <w:start w:val="1"/>
      <w:numFmt w:val="bullet"/>
      <w:lvlText w:val=""/>
      <w:lvlJc w:val="left"/>
      <w:pPr>
        <w:tabs>
          <w:tab w:val="num" w:pos="360"/>
        </w:tabs>
        <w:ind w:left="360" w:hanging="360"/>
      </w:pPr>
      <w:rPr>
        <w:rFonts w:ascii="Symbol" w:hAnsi="Symbol" w:hint="default"/>
        <w:sz w:val="20"/>
      </w:rPr>
    </w:lvl>
    <w:lvl w:ilvl="1" w:tplc="04090003">
      <w:start w:val="1"/>
      <w:numFmt w:val="bullet"/>
      <w:pStyle w:val="Bullet2"/>
      <w:lvlText w:val="o"/>
      <w:lvlJc w:val="left"/>
      <w:pPr>
        <w:tabs>
          <w:tab w:val="num" w:pos="1080"/>
        </w:tabs>
        <w:ind w:left="1080" w:hanging="360"/>
      </w:pPr>
      <w:rPr>
        <w:rFonts w:ascii="Courier New" w:hAnsi="Courier New" w:hint="default"/>
        <w:sz w:val="20"/>
      </w:rPr>
    </w:lvl>
    <w:lvl w:ilvl="2" w:tplc="D2C2E828">
      <w:numFmt w:val="bullet"/>
      <w:lvlText w:val=""/>
      <w:lvlJc w:val="left"/>
      <w:pPr>
        <w:tabs>
          <w:tab w:val="num" w:pos="1800"/>
        </w:tabs>
        <w:ind w:left="1800" w:hanging="360"/>
      </w:pPr>
      <w:rPr>
        <w:rFonts w:ascii="Wingdings" w:eastAsia="Times New Roman"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756C07"/>
    <w:multiLevelType w:val="hybridMultilevel"/>
    <w:tmpl w:val="BBD0C13C"/>
    <w:lvl w:ilvl="0" w:tplc="CD4A3876">
      <w:start w:val="1"/>
      <w:numFmt w:val="bullet"/>
      <w:lvlText w:val=""/>
      <w:lvlJc w:val="left"/>
      <w:pPr>
        <w:tabs>
          <w:tab w:val="num" w:pos="720"/>
        </w:tabs>
        <w:ind w:left="720" w:hanging="360"/>
      </w:pPr>
      <w:rPr>
        <w:rFonts w:ascii="Symbol" w:hAnsi="Symbol" w:hint="default"/>
        <w:sz w:val="24"/>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34392C13"/>
    <w:multiLevelType w:val="hybridMultilevel"/>
    <w:tmpl w:val="FCD4FFA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4B245D4"/>
    <w:multiLevelType w:val="hybridMultilevel"/>
    <w:tmpl w:val="429CCD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855B8F"/>
    <w:multiLevelType w:val="hybridMultilevel"/>
    <w:tmpl w:val="6A0E0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8F42C1"/>
    <w:multiLevelType w:val="hybridMultilevel"/>
    <w:tmpl w:val="70CA86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FA4E97"/>
    <w:multiLevelType w:val="hybridMultilevel"/>
    <w:tmpl w:val="8222F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946615"/>
    <w:multiLevelType w:val="hybridMultilevel"/>
    <w:tmpl w:val="FDA8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56DE7"/>
    <w:multiLevelType w:val="hybridMultilevel"/>
    <w:tmpl w:val="1BF84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EB3B63"/>
    <w:multiLevelType w:val="hybridMultilevel"/>
    <w:tmpl w:val="2ED0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AC622C"/>
    <w:multiLevelType w:val="hybridMultilevel"/>
    <w:tmpl w:val="1D5CC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8073B"/>
    <w:multiLevelType w:val="hybridMultilevel"/>
    <w:tmpl w:val="FFE0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5220E1"/>
    <w:multiLevelType w:val="hybridMultilevel"/>
    <w:tmpl w:val="259E7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5A5684"/>
    <w:multiLevelType w:val="hybridMultilevel"/>
    <w:tmpl w:val="A5FA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847665"/>
    <w:multiLevelType w:val="hybridMultilevel"/>
    <w:tmpl w:val="B27CF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36842"/>
    <w:multiLevelType w:val="hybridMultilevel"/>
    <w:tmpl w:val="CF82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145D0B"/>
    <w:multiLevelType w:val="hybridMultilevel"/>
    <w:tmpl w:val="8096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D133B"/>
    <w:multiLevelType w:val="hybridMultilevel"/>
    <w:tmpl w:val="346437D0"/>
    <w:lvl w:ilvl="0" w:tplc="943EB2AC">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92059C"/>
    <w:multiLevelType w:val="hybridMultilevel"/>
    <w:tmpl w:val="B30A3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2B07B0"/>
    <w:multiLevelType w:val="hybridMultilevel"/>
    <w:tmpl w:val="7C821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065D0C"/>
    <w:multiLevelType w:val="hybridMultilevel"/>
    <w:tmpl w:val="B346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6B40AA"/>
    <w:multiLevelType w:val="hybridMultilevel"/>
    <w:tmpl w:val="3AE24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37358B"/>
    <w:multiLevelType w:val="hybridMultilevel"/>
    <w:tmpl w:val="AD3C5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FA307C6"/>
    <w:multiLevelType w:val="hybridMultilevel"/>
    <w:tmpl w:val="E4BA2FE8"/>
    <w:lvl w:ilvl="0" w:tplc="5576EFF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8F6EEB"/>
    <w:multiLevelType w:val="hybridMultilevel"/>
    <w:tmpl w:val="EF3C6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B86D5D"/>
    <w:multiLevelType w:val="hybridMultilevel"/>
    <w:tmpl w:val="B2FA8FA6"/>
    <w:lvl w:ilvl="0" w:tplc="CAE8B216">
      <w:start w:val="1"/>
      <w:numFmt w:val="bullet"/>
      <w:lvlText w:val=""/>
      <w:lvlJc w:val="left"/>
      <w:pPr>
        <w:tabs>
          <w:tab w:val="num" w:pos="720"/>
        </w:tabs>
        <w:ind w:left="720" w:hanging="360"/>
      </w:pPr>
      <w:rPr>
        <w:rFonts w:ascii="Symbol" w:hAnsi="Symbol" w:hint="default"/>
        <w:sz w:val="24"/>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3" w15:restartNumberingAfterBreak="0">
    <w:nsid w:val="7B9E2DFA"/>
    <w:multiLevelType w:val="hybridMultilevel"/>
    <w:tmpl w:val="555890D4"/>
    <w:lvl w:ilvl="0" w:tplc="E27671B2">
      <w:start w:val="1"/>
      <w:numFmt w:val="upperLetter"/>
      <w:lvlText w:val="%1."/>
      <w:lvlJc w:val="left"/>
      <w:pPr>
        <w:ind w:left="605" w:hanging="360"/>
      </w:pPr>
      <w:rPr>
        <w:rFonts w:hint="default"/>
      </w:rPr>
    </w:lvl>
    <w:lvl w:ilvl="1" w:tplc="04090019">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34" w15:restartNumberingAfterBreak="0">
    <w:nsid w:val="7F943600"/>
    <w:multiLevelType w:val="hybridMultilevel"/>
    <w:tmpl w:val="94FA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0"/>
  </w:num>
  <w:num w:numId="4">
    <w:abstractNumId w:val="34"/>
  </w:num>
  <w:num w:numId="5">
    <w:abstractNumId w:val="1"/>
  </w:num>
  <w:num w:numId="6">
    <w:abstractNumId w:val="6"/>
  </w:num>
  <w:num w:numId="7">
    <w:abstractNumId w:val="5"/>
  </w:num>
  <w:num w:numId="8">
    <w:abstractNumId w:val="33"/>
  </w:num>
  <w:num w:numId="9">
    <w:abstractNumId w:val="30"/>
  </w:num>
  <w:num w:numId="10">
    <w:abstractNumId w:val="21"/>
  </w:num>
  <w:num w:numId="11">
    <w:abstractNumId w:val="3"/>
  </w:num>
  <w:num w:numId="12">
    <w:abstractNumId w:val="12"/>
  </w:num>
  <w:num w:numId="13">
    <w:abstractNumId w:val="9"/>
  </w:num>
  <w:num w:numId="14">
    <w:abstractNumId w:val="26"/>
  </w:num>
  <w:num w:numId="15">
    <w:abstractNumId w:val="31"/>
  </w:num>
  <w:num w:numId="16">
    <w:abstractNumId w:val="2"/>
  </w:num>
  <w:num w:numId="17">
    <w:abstractNumId w:val="10"/>
  </w:num>
  <w:num w:numId="18">
    <w:abstractNumId w:val="13"/>
  </w:num>
  <w:num w:numId="19">
    <w:abstractNumId w:val="8"/>
  </w:num>
  <w:num w:numId="20">
    <w:abstractNumId w:val="25"/>
  </w:num>
  <w:num w:numId="21">
    <w:abstractNumId w:val="32"/>
  </w:num>
  <w:num w:numId="22">
    <w:abstractNumId w:val="4"/>
  </w:num>
  <w:num w:numId="23">
    <w:abstractNumId w:val="14"/>
  </w:num>
  <w:num w:numId="24">
    <w:abstractNumId w:val="17"/>
  </w:num>
  <w:num w:numId="25">
    <w:abstractNumId w:val="18"/>
  </w:num>
  <w:num w:numId="26">
    <w:abstractNumId w:val="20"/>
  </w:num>
  <w:num w:numId="27">
    <w:abstractNumId w:val="19"/>
  </w:num>
  <w:num w:numId="28">
    <w:abstractNumId w:val="16"/>
  </w:num>
  <w:num w:numId="29">
    <w:abstractNumId w:val="22"/>
  </w:num>
  <w:num w:numId="30">
    <w:abstractNumId w:val="27"/>
  </w:num>
  <w:num w:numId="31">
    <w:abstractNumId w:val="29"/>
  </w:num>
  <w:num w:numId="32">
    <w:abstractNumId w:val="23"/>
  </w:num>
  <w:num w:numId="33">
    <w:abstractNumId w:val="11"/>
  </w:num>
  <w:num w:numId="34">
    <w:abstractNumId w:val="15"/>
  </w:num>
  <w:num w:numId="35">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213"/>
    <w:rsid w:val="000005A9"/>
    <w:rsid w:val="000007CC"/>
    <w:rsid w:val="000013CA"/>
    <w:rsid w:val="000017E5"/>
    <w:rsid w:val="00002345"/>
    <w:rsid w:val="00002C36"/>
    <w:rsid w:val="00005230"/>
    <w:rsid w:val="00005627"/>
    <w:rsid w:val="00005753"/>
    <w:rsid w:val="0000591C"/>
    <w:rsid w:val="00005CFB"/>
    <w:rsid w:val="000061EA"/>
    <w:rsid w:val="000069F1"/>
    <w:rsid w:val="000072CE"/>
    <w:rsid w:val="00007519"/>
    <w:rsid w:val="000075E9"/>
    <w:rsid w:val="0000760F"/>
    <w:rsid w:val="0000798C"/>
    <w:rsid w:val="00007A94"/>
    <w:rsid w:val="00007E7F"/>
    <w:rsid w:val="00010679"/>
    <w:rsid w:val="00010C52"/>
    <w:rsid w:val="00011CFD"/>
    <w:rsid w:val="00011F29"/>
    <w:rsid w:val="00013024"/>
    <w:rsid w:val="00013300"/>
    <w:rsid w:val="000133C1"/>
    <w:rsid w:val="0001356F"/>
    <w:rsid w:val="0001385E"/>
    <w:rsid w:val="00013CD2"/>
    <w:rsid w:val="0001472E"/>
    <w:rsid w:val="000157E1"/>
    <w:rsid w:val="000159E3"/>
    <w:rsid w:val="00015A6C"/>
    <w:rsid w:val="00015E79"/>
    <w:rsid w:val="00016157"/>
    <w:rsid w:val="000162E9"/>
    <w:rsid w:val="00017657"/>
    <w:rsid w:val="00017BDC"/>
    <w:rsid w:val="00017EDC"/>
    <w:rsid w:val="00020200"/>
    <w:rsid w:val="0002021E"/>
    <w:rsid w:val="000202E5"/>
    <w:rsid w:val="0002070E"/>
    <w:rsid w:val="000216D0"/>
    <w:rsid w:val="00021CC0"/>
    <w:rsid w:val="00021DC0"/>
    <w:rsid w:val="00022059"/>
    <w:rsid w:val="000221ED"/>
    <w:rsid w:val="0002254D"/>
    <w:rsid w:val="0002276E"/>
    <w:rsid w:val="00022D4F"/>
    <w:rsid w:val="000232BB"/>
    <w:rsid w:val="0002384E"/>
    <w:rsid w:val="00023A91"/>
    <w:rsid w:val="00026157"/>
    <w:rsid w:val="0002669A"/>
    <w:rsid w:val="00026958"/>
    <w:rsid w:val="00026C6C"/>
    <w:rsid w:val="00026C6F"/>
    <w:rsid w:val="0002729A"/>
    <w:rsid w:val="000272DE"/>
    <w:rsid w:val="00027930"/>
    <w:rsid w:val="00030CB6"/>
    <w:rsid w:val="00030DC6"/>
    <w:rsid w:val="00031B14"/>
    <w:rsid w:val="000324C0"/>
    <w:rsid w:val="00032561"/>
    <w:rsid w:val="00032B23"/>
    <w:rsid w:val="00032DD9"/>
    <w:rsid w:val="000331C8"/>
    <w:rsid w:val="00033B95"/>
    <w:rsid w:val="0003461D"/>
    <w:rsid w:val="00035D1E"/>
    <w:rsid w:val="000362D1"/>
    <w:rsid w:val="000368A5"/>
    <w:rsid w:val="00036A4B"/>
    <w:rsid w:val="00036FE5"/>
    <w:rsid w:val="00037FB7"/>
    <w:rsid w:val="00040AA4"/>
    <w:rsid w:val="000419A9"/>
    <w:rsid w:val="00041A45"/>
    <w:rsid w:val="00042126"/>
    <w:rsid w:val="00042574"/>
    <w:rsid w:val="00042F14"/>
    <w:rsid w:val="000433B2"/>
    <w:rsid w:val="00044008"/>
    <w:rsid w:val="00044303"/>
    <w:rsid w:val="000447CE"/>
    <w:rsid w:val="000447E7"/>
    <w:rsid w:val="00044962"/>
    <w:rsid w:val="00044E31"/>
    <w:rsid w:val="00045133"/>
    <w:rsid w:val="00045E1B"/>
    <w:rsid w:val="00046547"/>
    <w:rsid w:val="00046891"/>
    <w:rsid w:val="00046A46"/>
    <w:rsid w:val="00047A1F"/>
    <w:rsid w:val="00047CD5"/>
    <w:rsid w:val="000507F6"/>
    <w:rsid w:val="00050B8D"/>
    <w:rsid w:val="00050C87"/>
    <w:rsid w:val="00051004"/>
    <w:rsid w:val="0005100E"/>
    <w:rsid w:val="000511B9"/>
    <w:rsid w:val="000512A9"/>
    <w:rsid w:val="00051B64"/>
    <w:rsid w:val="00051EC7"/>
    <w:rsid w:val="000528B6"/>
    <w:rsid w:val="000530C1"/>
    <w:rsid w:val="0005318E"/>
    <w:rsid w:val="00053768"/>
    <w:rsid w:val="00053ABB"/>
    <w:rsid w:val="00054539"/>
    <w:rsid w:val="000545FF"/>
    <w:rsid w:val="00054A25"/>
    <w:rsid w:val="00055405"/>
    <w:rsid w:val="000556FC"/>
    <w:rsid w:val="00055A35"/>
    <w:rsid w:val="00055DE5"/>
    <w:rsid w:val="00055E74"/>
    <w:rsid w:val="00056106"/>
    <w:rsid w:val="0005669E"/>
    <w:rsid w:val="00056B17"/>
    <w:rsid w:val="000570FB"/>
    <w:rsid w:val="00057677"/>
    <w:rsid w:val="000576EE"/>
    <w:rsid w:val="00057702"/>
    <w:rsid w:val="00060059"/>
    <w:rsid w:val="0006056A"/>
    <w:rsid w:val="00060A33"/>
    <w:rsid w:val="0006142C"/>
    <w:rsid w:val="00061758"/>
    <w:rsid w:val="00061872"/>
    <w:rsid w:val="00061EE8"/>
    <w:rsid w:val="00062204"/>
    <w:rsid w:val="000622B1"/>
    <w:rsid w:val="0006272A"/>
    <w:rsid w:val="00062A89"/>
    <w:rsid w:val="00063606"/>
    <w:rsid w:val="00063679"/>
    <w:rsid w:val="000638D0"/>
    <w:rsid w:val="000638DA"/>
    <w:rsid w:val="00063B74"/>
    <w:rsid w:val="00063CAE"/>
    <w:rsid w:val="000642E2"/>
    <w:rsid w:val="000655F3"/>
    <w:rsid w:val="0006574C"/>
    <w:rsid w:val="000659E2"/>
    <w:rsid w:val="00065AB0"/>
    <w:rsid w:val="000660EE"/>
    <w:rsid w:val="00066346"/>
    <w:rsid w:val="00066763"/>
    <w:rsid w:val="00066BDE"/>
    <w:rsid w:val="00066E16"/>
    <w:rsid w:val="00067409"/>
    <w:rsid w:val="000675D0"/>
    <w:rsid w:val="00070695"/>
    <w:rsid w:val="00071283"/>
    <w:rsid w:val="00071CF4"/>
    <w:rsid w:val="00071EA5"/>
    <w:rsid w:val="00072093"/>
    <w:rsid w:val="000721F3"/>
    <w:rsid w:val="00072AAA"/>
    <w:rsid w:val="000734B5"/>
    <w:rsid w:val="00073FA6"/>
    <w:rsid w:val="000741C8"/>
    <w:rsid w:val="000753A9"/>
    <w:rsid w:val="00075871"/>
    <w:rsid w:val="00075AC9"/>
    <w:rsid w:val="00075BF8"/>
    <w:rsid w:val="00075E49"/>
    <w:rsid w:val="000762BB"/>
    <w:rsid w:val="00076763"/>
    <w:rsid w:val="00076B80"/>
    <w:rsid w:val="00077884"/>
    <w:rsid w:val="00077DD0"/>
    <w:rsid w:val="000803C0"/>
    <w:rsid w:val="00080865"/>
    <w:rsid w:val="00080C3A"/>
    <w:rsid w:val="000810EF"/>
    <w:rsid w:val="000815BA"/>
    <w:rsid w:val="000818B7"/>
    <w:rsid w:val="00081DBC"/>
    <w:rsid w:val="00082203"/>
    <w:rsid w:val="00082A36"/>
    <w:rsid w:val="00083109"/>
    <w:rsid w:val="00083647"/>
    <w:rsid w:val="0008399A"/>
    <w:rsid w:val="0008407E"/>
    <w:rsid w:val="0008433B"/>
    <w:rsid w:val="0008436B"/>
    <w:rsid w:val="000846EA"/>
    <w:rsid w:val="00084B92"/>
    <w:rsid w:val="000866E2"/>
    <w:rsid w:val="000868EF"/>
    <w:rsid w:val="00086B49"/>
    <w:rsid w:val="00086C25"/>
    <w:rsid w:val="00087087"/>
    <w:rsid w:val="00090206"/>
    <w:rsid w:val="00090247"/>
    <w:rsid w:val="00090A74"/>
    <w:rsid w:val="00090D84"/>
    <w:rsid w:val="000918AD"/>
    <w:rsid w:val="00091983"/>
    <w:rsid w:val="00092F0C"/>
    <w:rsid w:val="000930B4"/>
    <w:rsid w:val="000931F1"/>
    <w:rsid w:val="00093686"/>
    <w:rsid w:val="00093AC4"/>
    <w:rsid w:val="000945B2"/>
    <w:rsid w:val="000945C0"/>
    <w:rsid w:val="0009487D"/>
    <w:rsid w:val="00094A7B"/>
    <w:rsid w:val="00094A8B"/>
    <w:rsid w:val="00094FFC"/>
    <w:rsid w:val="000954AF"/>
    <w:rsid w:val="00095E9C"/>
    <w:rsid w:val="00096BB5"/>
    <w:rsid w:val="00096F06"/>
    <w:rsid w:val="000973A3"/>
    <w:rsid w:val="000976B0"/>
    <w:rsid w:val="000A06C8"/>
    <w:rsid w:val="000A0A65"/>
    <w:rsid w:val="000A0DDB"/>
    <w:rsid w:val="000A0E36"/>
    <w:rsid w:val="000A0EB0"/>
    <w:rsid w:val="000A123B"/>
    <w:rsid w:val="000A16E3"/>
    <w:rsid w:val="000A276F"/>
    <w:rsid w:val="000A2CC3"/>
    <w:rsid w:val="000A4768"/>
    <w:rsid w:val="000A50EB"/>
    <w:rsid w:val="000A5D3A"/>
    <w:rsid w:val="000A63A9"/>
    <w:rsid w:val="000A6685"/>
    <w:rsid w:val="000A6C34"/>
    <w:rsid w:val="000A7360"/>
    <w:rsid w:val="000A7AB1"/>
    <w:rsid w:val="000B03EA"/>
    <w:rsid w:val="000B11C0"/>
    <w:rsid w:val="000B121C"/>
    <w:rsid w:val="000B14CE"/>
    <w:rsid w:val="000B16F6"/>
    <w:rsid w:val="000B1FC3"/>
    <w:rsid w:val="000B21FB"/>
    <w:rsid w:val="000B2B85"/>
    <w:rsid w:val="000B30FA"/>
    <w:rsid w:val="000B38EF"/>
    <w:rsid w:val="000B4088"/>
    <w:rsid w:val="000B469F"/>
    <w:rsid w:val="000B4783"/>
    <w:rsid w:val="000B4C68"/>
    <w:rsid w:val="000B55B2"/>
    <w:rsid w:val="000B573E"/>
    <w:rsid w:val="000B5794"/>
    <w:rsid w:val="000B6343"/>
    <w:rsid w:val="000B6BA0"/>
    <w:rsid w:val="000B7FE7"/>
    <w:rsid w:val="000C01AA"/>
    <w:rsid w:val="000C1328"/>
    <w:rsid w:val="000C14E0"/>
    <w:rsid w:val="000C24D9"/>
    <w:rsid w:val="000C2530"/>
    <w:rsid w:val="000C344C"/>
    <w:rsid w:val="000C39F2"/>
    <w:rsid w:val="000C4009"/>
    <w:rsid w:val="000C4A54"/>
    <w:rsid w:val="000C50A9"/>
    <w:rsid w:val="000C5620"/>
    <w:rsid w:val="000C5CA8"/>
    <w:rsid w:val="000C6118"/>
    <w:rsid w:val="000C6866"/>
    <w:rsid w:val="000C68CD"/>
    <w:rsid w:val="000C6A2A"/>
    <w:rsid w:val="000C6A32"/>
    <w:rsid w:val="000C6D48"/>
    <w:rsid w:val="000C734E"/>
    <w:rsid w:val="000C7F7A"/>
    <w:rsid w:val="000D01A9"/>
    <w:rsid w:val="000D0CFC"/>
    <w:rsid w:val="000D13B3"/>
    <w:rsid w:val="000D1959"/>
    <w:rsid w:val="000D2507"/>
    <w:rsid w:val="000D2A45"/>
    <w:rsid w:val="000D2FE6"/>
    <w:rsid w:val="000D3186"/>
    <w:rsid w:val="000D359E"/>
    <w:rsid w:val="000D3DAB"/>
    <w:rsid w:val="000D46DA"/>
    <w:rsid w:val="000D4797"/>
    <w:rsid w:val="000D4BF4"/>
    <w:rsid w:val="000D4DCD"/>
    <w:rsid w:val="000D5000"/>
    <w:rsid w:val="000D5962"/>
    <w:rsid w:val="000D5A43"/>
    <w:rsid w:val="000D6110"/>
    <w:rsid w:val="000D6935"/>
    <w:rsid w:val="000D6DA0"/>
    <w:rsid w:val="000D71C6"/>
    <w:rsid w:val="000D7737"/>
    <w:rsid w:val="000E0839"/>
    <w:rsid w:val="000E08DB"/>
    <w:rsid w:val="000E1BAF"/>
    <w:rsid w:val="000E1BD2"/>
    <w:rsid w:val="000E1E72"/>
    <w:rsid w:val="000E2099"/>
    <w:rsid w:val="000E25A5"/>
    <w:rsid w:val="000E2944"/>
    <w:rsid w:val="000E3009"/>
    <w:rsid w:val="000E48BD"/>
    <w:rsid w:val="000E5039"/>
    <w:rsid w:val="000E643F"/>
    <w:rsid w:val="000E6A38"/>
    <w:rsid w:val="000E6C21"/>
    <w:rsid w:val="000E6D23"/>
    <w:rsid w:val="000E7DC8"/>
    <w:rsid w:val="000E7F3F"/>
    <w:rsid w:val="000F0544"/>
    <w:rsid w:val="000F0DAD"/>
    <w:rsid w:val="000F1574"/>
    <w:rsid w:val="000F169F"/>
    <w:rsid w:val="000F16E0"/>
    <w:rsid w:val="000F2E03"/>
    <w:rsid w:val="000F3181"/>
    <w:rsid w:val="000F340A"/>
    <w:rsid w:val="000F39F1"/>
    <w:rsid w:val="000F3E9A"/>
    <w:rsid w:val="000F4AFF"/>
    <w:rsid w:val="000F5356"/>
    <w:rsid w:val="000F5D35"/>
    <w:rsid w:val="000F5D71"/>
    <w:rsid w:val="000F67CA"/>
    <w:rsid w:val="000F6F6F"/>
    <w:rsid w:val="000F7283"/>
    <w:rsid w:val="000F79DA"/>
    <w:rsid w:val="000F7F02"/>
    <w:rsid w:val="00100311"/>
    <w:rsid w:val="0010117F"/>
    <w:rsid w:val="00101290"/>
    <w:rsid w:val="00101771"/>
    <w:rsid w:val="001019CB"/>
    <w:rsid w:val="00101A9F"/>
    <w:rsid w:val="00102874"/>
    <w:rsid w:val="00102D5B"/>
    <w:rsid w:val="001030A5"/>
    <w:rsid w:val="00103674"/>
    <w:rsid w:val="00103B8E"/>
    <w:rsid w:val="00103E68"/>
    <w:rsid w:val="00103ECB"/>
    <w:rsid w:val="0010420D"/>
    <w:rsid w:val="001044BF"/>
    <w:rsid w:val="00104B65"/>
    <w:rsid w:val="00104C0B"/>
    <w:rsid w:val="001051E5"/>
    <w:rsid w:val="00105652"/>
    <w:rsid w:val="001056BF"/>
    <w:rsid w:val="00105AC1"/>
    <w:rsid w:val="0010628B"/>
    <w:rsid w:val="001062B8"/>
    <w:rsid w:val="00106B7D"/>
    <w:rsid w:val="00106C65"/>
    <w:rsid w:val="00107A4F"/>
    <w:rsid w:val="001103BF"/>
    <w:rsid w:val="001106E2"/>
    <w:rsid w:val="00110CB1"/>
    <w:rsid w:val="00110D2A"/>
    <w:rsid w:val="00111A53"/>
    <w:rsid w:val="00111D6D"/>
    <w:rsid w:val="0011221B"/>
    <w:rsid w:val="00112740"/>
    <w:rsid w:val="00113127"/>
    <w:rsid w:val="001132B5"/>
    <w:rsid w:val="00113595"/>
    <w:rsid w:val="0011397C"/>
    <w:rsid w:val="00113D7A"/>
    <w:rsid w:val="00114052"/>
    <w:rsid w:val="00114078"/>
    <w:rsid w:val="0011410D"/>
    <w:rsid w:val="0011439E"/>
    <w:rsid w:val="0011461A"/>
    <w:rsid w:val="00114CA5"/>
    <w:rsid w:val="001152DF"/>
    <w:rsid w:val="0011540E"/>
    <w:rsid w:val="0011555D"/>
    <w:rsid w:val="0011594C"/>
    <w:rsid w:val="00115C79"/>
    <w:rsid w:val="00115F17"/>
    <w:rsid w:val="00117EDC"/>
    <w:rsid w:val="0012028D"/>
    <w:rsid w:val="001202AC"/>
    <w:rsid w:val="001204B4"/>
    <w:rsid w:val="00120F2C"/>
    <w:rsid w:val="001218CC"/>
    <w:rsid w:val="00122BDE"/>
    <w:rsid w:val="0012361C"/>
    <w:rsid w:val="001236DF"/>
    <w:rsid w:val="00123797"/>
    <w:rsid w:val="00123E12"/>
    <w:rsid w:val="00124912"/>
    <w:rsid w:val="00124FDC"/>
    <w:rsid w:val="0012504D"/>
    <w:rsid w:val="0012505F"/>
    <w:rsid w:val="001250C7"/>
    <w:rsid w:val="00125DCC"/>
    <w:rsid w:val="00125E46"/>
    <w:rsid w:val="00126824"/>
    <w:rsid w:val="0012689E"/>
    <w:rsid w:val="0012735E"/>
    <w:rsid w:val="00130555"/>
    <w:rsid w:val="0013109C"/>
    <w:rsid w:val="00131B2F"/>
    <w:rsid w:val="00131B85"/>
    <w:rsid w:val="00131F6D"/>
    <w:rsid w:val="00132381"/>
    <w:rsid w:val="0013255D"/>
    <w:rsid w:val="00132623"/>
    <w:rsid w:val="00132C28"/>
    <w:rsid w:val="00132D57"/>
    <w:rsid w:val="00132E53"/>
    <w:rsid w:val="00132EEF"/>
    <w:rsid w:val="00133132"/>
    <w:rsid w:val="001331BB"/>
    <w:rsid w:val="001331E7"/>
    <w:rsid w:val="0013326E"/>
    <w:rsid w:val="001339F5"/>
    <w:rsid w:val="00134338"/>
    <w:rsid w:val="001348BF"/>
    <w:rsid w:val="001349E1"/>
    <w:rsid w:val="00134D1D"/>
    <w:rsid w:val="001350D5"/>
    <w:rsid w:val="00135998"/>
    <w:rsid w:val="00135A8F"/>
    <w:rsid w:val="00135B0A"/>
    <w:rsid w:val="00135FE6"/>
    <w:rsid w:val="001365F1"/>
    <w:rsid w:val="00136E77"/>
    <w:rsid w:val="001370C3"/>
    <w:rsid w:val="00140160"/>
    <w:rsid w:val="001401FA"/>
    <w:rsid w:val="001406E5"/>
    <w:rsid w:val="00140D69"/>
    <w:rsid w:val="00140F20"/>
    <w:rsid w:val="0014193A"/>
    <w:rsid w:val="00143115"/>
    <w:rsid w:val="001437D7"/>
    <w:rsid w:val="00143B37"/>
    <w:rsid w:val="00143E91"/>
    <w:rsid w:val="001444A8"/>
    <w:rsid w:val="001455CE"/>
    <w:rsid w:val="0014570A"/>
    <w:rsid w:val="001465E8"/>
    <w:rsid w:val="001468F3"/>
    <w:rsid w:val="00146DA7"/>
    <w:rsid w:val="001479BB"/>
    <w:rsid w:val="00147A55"/>
    <w:rsid w:val="00147A66"/>
    <w:rsid w:val="00147D1D"/>
    <w:rsid w:val="00150084"/>
    <w:rsid w:val="00150D42"/>
    <w:rsid w:val="0015101F"/>
    <w:rsid w:val="0015107E"/>
    <w:rsid w:val="00151F2C"/>
    <w:rsid w:val="00152BD1"/>
    <w:rsid w:val="00153001"/>
    <w:rsid w:val="0015313D"/>
    <w:rsid w:val="001539D7"/>
    <w:rsid w:val="00153B68"/>
    <w:rsid w:val="00154A6D"/>
    <w:rsid w:val="00155372"/>
    <w:rsid w:val="00155FA6"/>
    <w:rsid w:val="00156812"/>
    <w:rsid w:val="00156E6B"/>
    <w:rsid w:val="00156FD6"/>
    <w:rsid w:val="00156FDE"/>
    <w:rsid w:val="00160143"/>
    <w:rsid w:val="001605C5"/>
    <w:rsid w:val="001613EC"/>
    <w:rsid w:val="00161610"/>
    <w:rsid w:val="00161F51"/>
    <w:rsid w:val="001623E6"/>
    <w:rsid w:val="001636A1"/>
    <w:rsid w:val="0016372D"/>
    <w:rsid w:val="0016377B"/>
    <w:rsid w:val="001643B0"/>
    <w:rsid w:val="0016497A"/>
    <w:rsid w:val="00164CF7"/>
    <w:rsid w:val="0016515C"/>
    <w:rsid w:val="001651E8"/>
    <w:rsid w:val="00165665"/>
    <w:rsid w:val="00165C83"/>
    <w:rsid w:val="001664F7"/>
    <w:rsid w:val="00166577"/>
    <w:rsid w:val="0016662C"/>
    <w:rsid w:val="00166E53"/>
    <w:rsid w:val="00167FF2"/>
    <w:rsid w:val="001702A1"/>
    <w:rsid w:val="0017057B"/>
    <w:rsid w:val="001709B3"/>
    <w:rsid w:val="00170A41"/>
    <w:rsid w:val="00170EAC"/>
    <w:rsid w:val="00171710"/>
    <w:rsid w:val="00171976"/>
    <w:rsid w:val="0017227A"/>
    <w:rsid w:val="0017280D"/>
    <w:rsid w:val="0017350C"/>
    <w:rsid w:val="0017381E"/>
    <w:rsid w:val="00174B86"/>
    <w:rsid w:val="00174F9B"/>
    <w:rsid w:val="00174FE9"/>
    <w:rsid w:val="00175100"/>
    <w:rsid w:val="00175104"/>
    <w:rsid w:val="00175220"/>
    <w:rsid w:val="001753C6"/>
    <w:rsid w:val="00175717"/>
    <w:rsid w:val="001770D3"/>
    <w:rsid w:val="0017770C"/>
    <w:rsid w:val="0017778B"/>
    <w:rsid w:val="0017779D"/>
    <w:rsid w:val="00177A8E"/>
    <w:rsid w:val="00177D26"/>
    <w:rsid w:val="00180574"/>
    <w:rsid w:val="00181233"/>
    <w:rsid w:val="0018134E"/>
    <w:rsid w:val="00181F95"/>
    <w:rsid w:val="001821E6"/>
    <w:rsid w:val="001826D8"/>
    <w:rsid w:val="0018374E"/>
    <w:rsid w:val="00183E4A"/>
    <w:rsid w:val="00183F3C"/>
    <w:rsid w:val="001841F2"/>
    <w:rsid w:val="0018593F"/>
    <w:rsid w:val="00185A35"/>
    <w:rsid w:val="00185DF9"/>
    <w:rsid w:val="0018610F"/>
    <w:rsid w:val="0018636B"/>
    <w:rsid w:val="00186C78"/>
    <w:rsid w:val="00187224"/>
    <w:rsid w:val="001873D6"/>
    <w:rsid w:val="001876EB"/>
    <w:rsid w:val="00187A65"/>
    <w:rsid w:val="0019102D"/>
    <w:rsid w:val="001911D5"/>
    <w:rsid w:val="00191582"/>
    <w:rsid w:val="001924D6"/>
    <w:rsid w:val="00192950"/>
    <w:rsid w:val="00192F9F"/>
    <w:rsid w:val="00193027"/>
    <w:rsid w:val="00194539"/>
    <w:rsid w:val="001947FA"/>
    <w:rsid w:val="0019485F"/>
    <w:rsid w:val="00194ACB"/>
    <w:rsid w:val="0019509D"/>
    <w:rsid w:val="001960C1"/>
    <w:rsid w:val="001961EA"/>
    <w:rsid w:val="001968D1"/>
    <w:rsid w:val="00196D07"/>
    <w:rsid w:val="00197B50"/>
    <w:rsid w:val="00197DC8"/>
    <w:rsid w:val="001A096F"/>
    <w:rsid w:val="001A09DF"/>
    <w:rsid w:val="001A0B6D"/>
    <w:rsid w:val="001A1132"/>
    <w:rsid w:val="001A143C"/>
    <w:rsid w:val="001A17CF"/>
    <w:rsid w:val="001A2424"/>
    <w:rsid w:val="001A2687"/>
    <w:rsid w:val="001A2903"/>
    <w:rsid w:val="001A2B05"/>
    <w:rsid w:val="001A2C66"/>
    <w:rsid w:val="001A414F"/>
    <w:rsid w:val="001A45CD"/>
    <w:rsid w:val="001A5763"/>
    <w:rsid w:val="001A5A73"/>
    <w:rsid w:val="001A5F90"/>
    <w:rsid w:val="001A7A97"/>
    <w:rsid w:val="001B096F"/>
    <w:rsid w:val="001B0E33"/>
    <w:rsid w:val="001B1565"/>
    <w:rsid w:val="001B165C"/>
    <w:rsid w:val="001B16AE"/>
    <w:rsid w:val="001B2023"/>
    <w:rsid w:val="001B2048"/>
    <w:rsid w:val="001B27E6"/>
    <w:rsid w:val="001B283B"/>
    <w:rsid w:val="001B2A4F"/>
    <w:rsid w:val="001B2BF1"/>
    <w:rsid w:val="001B2EDA"/>
    <w:rsid w:val="001B32C2"/>
    <w:rsid w:val="001B3782"/>
    <w:rsid w:val="001B38CC"/>
    <w:rsid w:val="001B39AB"/>
    <w:rsid w:val="001B3C85"/>
    <w:rsid w:val="001B3D3F"/>
    <w:rsid w:val="001B3E11"/>
    <w:rsid w:val="001B473B"/>
    <w:rsid w:val="001B4A84"/>
    <w:rsid w:val="001B5627"/>
    <w:rsid w:val="001B562A"/>
    <w:rsid w:val="001B5CC0"/>
    <w:rsid w:val="001B61F1"/>
    <w:rsid w:val="001B623A"/>
    <w:rsid w:val="001B6C02"/>
    <w:rsid w:val="001B6FB4"/>
    <w:rsid w:val="001B7049"/>
    <w:rsid w:val="001C044A"/>
    <w:rsid w:val="001C12C5"/>
    <w:rsid w:val="001C1450"/>
    <w:rsid w:val="001C1A40"/>
    <w:rsid w:val="001C291A"/>
    <w:rsid w:val="001C2F79"/>
    <w:rsid w:val="001C36CA"/>
    <w:rsid w:val="001C3813"/>
    <w:rsid w:val="001C3EF9"/>
    <w:rsid w:val="001C4003"/>
    <w:rsid w:val="001C4827"/>
    <w:rsid w:val="001C4D61"/>
    <w:rsid w:val="001C4F61"/>
    <w:rsid w:val="001C5F96"/>
    <w:rsid w:val="001C61A1"/>
    <w:rsid w:val="001C74DD"/>
    <w:rsid w:val="001C78AB"/>
    <w:rsid w:val="001D0592"/>
    <w:rsid w:val="001D135B"/>
    <w:rsid w:val="001D14D6"/>
    <w:rsid w:val="001D18C6"/>
    <w:rsid w:val="001D1A7C"/>
    <w:rsid w:val="001D2229"/>
    <w:rsid w:val="001D23CD"/>
    <w:rsid w:val="001D25E9"/>
    <w:rsid w:val="001D26B8"/>
    <w:rsid w:val="001D3669"/>
    <w:rsid w:val="001D37A0"/>
    <w:rsid w:val="001D4101"/>
    <w:rsid w:val="001D4E0B"/>
    <w:rsid w:val="001D4E42"/>
    <w:rsid w:val="001D4FDF"/>
    <w:rsid w:val="001D5815"/>
    <w:rsid w:val="001D59F8"/>
    <w:rsid w:val="001D5EF3"/>
    <w:rsid w:val="001D6316"/>
    <w:rsid w:val="001D6A7C"/>
    <w:rsid w:val="001D6D10"/>
    <w:rsid w:val="001D7D69"/>
    <w:rsid w:val="001E08DD"/>
    <w:rsid w:val="001E0AB3"/>
    <w:rsid w:val="001E0B11"/>
    <w:rsid w:val="001E113C"/>
    <w:rsid w:val="001E174A"/>
    <w:rsid w:val="001E2379"/>
    <w:rsid w:val="001E2A7D"/>
    <w:rsid w:val="001E2B83"/>
    <w:rsid w:val="001E36DC"/>
    <w:rsid w:val="001E4209"/>
    <w:rsid w:val="001E4211"/>
    <w:rsid w:val="001E4F16"/>
    <w:rsid w:val="001E58DF"/>
    <w:rsid w:val="001E5E6F"/>
    <w:rsid w:val="001E5EE7"/>
    <w:rsid w:val="001E5FF7"/>
    <w:rsid w:val="001E77B1"/>
    <w:rsid w:val="001E7867"/>
    <w:rsid w:val="001E7CDC"/>
    <w:rsid w:val="001F024F"/>
    <w:rsid w:val="001F0254"/>
    <w:rsid w:val="001F0299"/>
    <w:rsid w:val="001F02D5"/>
    <w:rsid w:val="001F06E4"/>
    <w:rsid w:val="001F08C7"/>
    <w:rsid w:val="001F0B61"/>
    <w:rsid w:val="001F0DBD"/>
    <w:rsid w:val="001F209B"/>
    <w:rsid w:val="001F22D3"/>
    <w:rsid w:val="001F23ED"/>
    <w:rsid w:val="001F2402"/>
    <w:rsid w:val="001F289F"/>
    <w:rsid w:val="001F3253"/>
    <w:rsid w:val="001F335E"/>
    <w:rsid w:val="001F33B7"/>
    <w:rsid w:val="001F42CD"/>
    <w:rsid w:val="001F43EF"/>
    <w:rsid w:val="001F4874"/>
    <w:rsid w:val="001F508E"/>
    <w:rsid w:val="001F52E5"/>
    <w:rsid w:val="001F5841"/>
    <w:rsid w:val="001F6DD8"/>
    <w:rsid w:val="001F7B59"/>
    <w:rsid w:val="001F7C55"/>
    <w:rsid w:val="00200079"/>
    <w:rsid w:val="002000F1"/>
    <w:rsid w:val="002001B6"/>
    <w:rsid w:val="002007D7"/>
    <w:rsid w:val="002009B9"/>
    <w:rsid w:val="002011B7"/>
    <w:rsid w:val="00201656"/>
    <w:rsid w:val="00202015"/>
    <w:rsid w:val="0020210F"/>
    <w:rsid w:val="00202203"/>
    <w:rsid w:val="002023F7"/>
    <w:rsid w:val="00202E97"/>
    <w:rsid w:val="002031CC"/>
    <w:rsid w:val="002032EE"/>
    <w:rsid w:val="00203631"/>
    <w:rsid w:val="002040CC"/>
    <w:rsid w:val="00204A50"/>
    <w:rsid w:val="0020548D"/>
    <w:rsid w:val="002054B3"/>
    <w:rsid w:val="00205FFD"/>
    <w:rsid w:val="0020683C"/>
    <w:rsid w:val="00206DF2"/>
    <w:rsid w:val="002071B4"/>
    <w:rsid w:val="002076A2"/>
    <w:rsid w:val="002076C0"/>
    <w:rsid w:val="002078A1"/>
    <w:rsid w:val="00210440"/>
    <w:rsid w:val="00210620"/>
    <w:rsid w:val="00212814"/>
    <w:rsid w:val="0021294A"/>
    <w:rsid w:val="00212E72"/>
    <w:rsid w:val="002130CB"/>
    <w:rsid w:val="0021313B"/>
    <w:rsid w:val="00213F0F"/>
    <w:rsid w:val="00213F4D"/>
    <w:rsid w:val="00214114"/>
    <w:rsid w:val="0021413B"/>
    <w:rsid w:val="002149F1"/>
    <w:rsid w:val="00214B5D"/>
    <w:rsid w:val="00214E96"/>
    <w:rsid w:val="002151F9"/>
    <w:rsid w:val="0021535A"/>
    <w:rsid w:val="00216817"/>
    <w:rsid w:val="00216BDA"/>
    <w:rsid w:val="0021769E"/>
    <w:rsid w:val="00217BB7"/>
    <w:rsid w:val="00217E05"/>
    <w:rsid w:val="00217FE9"/>
    <w:rsid w:val="00220E38"/>
    <w:rsid w:val="00220FE5"/>
    <w:rsid w:val="00221CC1"/>
    <w:rsid w:val="00223188"/>
    <w:rsid w:val="0022320F"/>
    <w:rsid w:val="0022343D"/>
    <w:rsid w:val="002234BB"/>
    <w:rsid w:val="002234D2"/>
    <w:rsid w:val="00223585"/>
    <w:rsid w:val="00223664"/>
    <w:rsid w:val="00223A9B"/>
    <w:rsid w:val="00223CD3"/>
    <w:rsid w:val="00224644"/>
    <w:rsid w:val="00224ABD"/>
    <w:rsid w:val="00224AC7"/>
    <w:rsid w:val="0022507D"/>
    <w:rsid w:val="002255B8"/>
    <w:rsid w:val="00225D96"/>
    <w:rsid w:val="00225F93"/>
    <w:rsid w:val="0022700C"/>
    <w:rsid w:val="0022740C"/>
    <w:rsid w:val="0022756D"/>
    <w:rsid w:val="002278F0"/>
    <w:rsid w:val="00227C07"/>
    <w:rsid w:val="00230242"/>
    <w:rsid w:val="00230DEC"/>
    <w:rsid w:val="002310B3"/>
    <w:rsid w:val="00231617"/>
    <w:rsid w:val="00231D4D"/>
    <w:rsid w:val="0023232F"/>
    <w:rsid w:val="00233926"/>
    <w:rsid w:val="00233A67"/>
    <w:rsid w:val="0023552D"/>
    <w:rsid w:val="00235907"/>
    <w:rsid w:val="00235AB4"/>
    <w:rsid w:val="00236084"/>
    <w:rsid w:val="00236DC9"/>
    <w:rsid w:val="00236F94"/>
    <w:rsid w:val="002371F2"/>
    <w:rsid w:val="002374FD"/>
    <w:rsid w:val="00237595"/>
    <w:rsid w:val="002401C0"/>
    <w:rsid w:val="00240541"/>
    <w:rsid w:val="00241004"/>
    <w:rsid w:val="00241CEA"/>
    <w:rsid w:val="00241FE0"/>
    <w:rsid w:val="00242862"/>
    <w:rsid w:val="00242BFE"/>
    <w:rsid w:val="00243C0E"/>
    <w:rsid w:val="00243D2D"/>
    <w:rsid w:val="00244766"/>
    <w:rsid w:val="00244F32"/>
    <w:rsid w:val="00245628"/>
    <w:rsid w:val="002456DA"/>
    <w:rsid w:val="00245B35"/>
    <w:rsid w:val="00245E03"/>
    <w:rsid w:val="00246DA3"/>
    <w:rsid w:val="0024738F"/>
    <w:rsid w:val="00251423"/>
    <w:rsid w:val="002519E9"/>
    <w:rsid w:val="00251E2A"/>
    <w:rsid w:val="00251F02"/>
    <w:rsid w:val="00252227"/>
    <w:rsid w:val="00252CB5"/>
    <w:rsid w:val="002531B8"/>
    <w:rsid w:val="00253279"/>
    <w:rsid w:val="00253C84"/>
    <w:rsid w:val="0025411A"/>
    <w:rsid w:val="0025472F"/>
    <w:rsid w:val="00254B5C"/>
    <w:rsid w:val="00254F09"/>
    <w:rsid w:val="002566BE"/>
    <w:rsid w:val="00256C54"/>
    <w:rsid w:val="002575B6"/>
    <w:rsid w:val="00257734"/>
    <w:rsid w:val="00257813"/>
    <w:rsid w:val="00257AE3"/>
    <w:rsid w:val="00257DA3"/>
    <w:rsid w:val="00257F17"/>
    <w:rsid w:val="00257FAA"/>
    <w:rsid w:val="002600AB"/>
    <w:rsid w:val="002603AD"/>
    <w:rsid w:val="002614D7"/>
    <w:rsid w:val="00261A79"/>
    <w:rsid w:val="00262613"/>
    <w:rsid w:val="00262BF7"/>
    <w:rsid w:val="00262D60"/>
    <w:rsid w:val="00262FA6"/>
    <w:rsid w:val="00263356"/>
    <w:rsid w:val="002636F8"/>
    <w:rsid w:val="00263A0D"/>
    <w:rsid w:val="00263AE6"/>
    <w:rsid w:val="00264289"/>
    <w:rsid w:val="00264647"/>
    <w:rsid w:val="00264835"/>
    <w:rsid w:val="00264C45"/>
    <w:rsid w:val="0026521E"/>
    <w:rsid w:val="00265244"/>
    <w:rsid w:val="00265650"/>
    <w:rsid w:val="00265690"/>
    <w:rsid w:val="002657A4"/>
    <w:rsid w:val="00266059"/>
    <w:rsid w:val="002660C3"/>
    <w:rsid w:val="002662FB"/>
    <w:rsid w:val="002665C4"/>
    <w:rsid w:val="00266D20"/>
    <w:rsid w:val="0026707D"/>
    <w:rsid w:val="0026762B"/>
    <w:rsid w:val="002677E7"/>
    <w:rsid w:val="00267946"/>
    <w:rsid w:val="002701E1"/>
    <w:rsid w:val="00270807"/>
    <w:rsid w:val="00270D6A"/>
    <w:rsid w:val="00270DE3"/>
    <w:rsid w:val="00271112"/>
    <w:rsid w:val="002713C8"/>
    <w:rsid w:val="002716A8"/>
    <w:rsid w:val="0027203E"/>
    <w:rsid w:val="00272E02"/>
    <w:rsid w:val="00273DD1"/>
    <w:rsid w:val="00274022"/>
    <w:rsid w:val="00274904"/>
    <w:rsid w:val="00275520"/>
    <w:rsid w:val="00275CFF"/>
    <w:rsid w:val="0027693C"/>
    <w:rsid w:val="00276F77"/>
    <w:rsid w:val="00277069"/>
    <w:rsid w:val="0027733D"/>
    <w:rsid w:val="00277941"/>
    <w:rsid w:val="00277948"/>
    <w:rsid w:val="00277B41"/>
    <w:rsid w:val="00280044"/>
    <w:rsid w:val="002805B3"/>
    <w:rsid w:val="0028073C"/>
    <w:rsid w:val="0028096B"/>
    <w:rsid w:val="00280AB3"/>
    <w:rsid w:val="00281878"/>
    <w:rsid w:val="002818FB"/>
    <w:rsid w:val="00281EE2"/>
    <w:rsid w:val="00281F37"/>
    <w:rsid w:val="00282680"/>
    <w:rsid w:val="00282893"/>
    <w:rsid w:val="002829FA"/>
    <w:rsid w:val="002836FF"/>
    <w:rsid w:val="00283A02"/>
    <w:rsid w:val="00283E8F"/>
    <w:rsid w:val="00283EF4"/>
    <w:rsid w:val="002841AD"/>
    <w:rsid w:val="0028476F"/>
    <w:rsid w:val="0028481D"/>
    <w:rsid w:val="00284B7F"/>
    <w:rsid w:val="00284BFB"/>
    <w:rsid w:val="00284D9B"/>
    <w:rsid w:val="002854BD"/>
    <w:rsid w:val="00285EEE"/>
    <w:rsid w:val="0028601D"/>
    <w:rsid w:val="0028678D"/>
    <w:rsid w:val="00286A39"/>
    <w:rsid w:val="00287285"/>
    <w:rsid w:val="002872D2"/>
    <w:rsid w:val="002879E8"/>
    <w:rsid w:val="00290A8C"/>
    <w:rsid w:val="00290F90"/>
    <w:rsid w:val="002917F2"/>
    <w:rsid w:val="00291A33"/>
    <w:rsid w:val="00293293"/>
    <w:rsid w:val="00295020"/>
    <w:rsid w:val="00295430"/>
    <w:rsid w:val="00295D5F"/>
    <w:rsid w:val="002962E3"/>
    <w:rsid w:val="00296880"/>
    <w:rsid w:val="002968B9"/>
    <w:rsid w:val="002968EC"/>
    <w:rsid w:val="0029696E"/>
    <w:rsid w:val="002969C2"/>
    <w:rsid w:val="00297727"/>
    <w:rsid w:val="002978FE"/>
    <w:rsid w:val="002979FC"/>
    <w:rsid w:val="00297B3D"/>
    <w:rsid w:val="00297BED"/>
    <w:rsid w:val="00297DE5"/>
    <w:rsid w:val="002A0595"/>
    <w:rsid w:val="002A07FE"/>
    <w:rsid w:val="002A0F56"/>
    <w:rsid w:val="002A13CB"/>
    <w:rsid w:val="002A1534"/>
    <w:rsid w:val="002A1A04"/>
    <w:rsid w:val="002A1B25"/>
    <w:rsid w:val="002A2037"/>
    <w:rsid w:val="002A20EF"/>
    <w:rsid w:val="002A2718"/>
    <w:rsid w:val="002A2962"/>
    <w:rsid w:val="002A2C91"/>
    <w:rsid w:val="002A30FF"/>
    <w:rsid w:val="002A34B0"/>
    <w:rsid w:val="002A4C1B"/>
    <w:rsid w:val="002A5B53"/>
    <w:rsid w:val="002A5E1B"/>
    <w:rsid w:val="002A6634"/>
    <w:rsid w:val="002A7235"/>
    <w:rsid w:val="002A74BB"/>
    <w:rsid w:val="002A7905"/>
    <w:rsid w:val="002A7912"/>
    <w:rsid w:val="002A7FF7"/>
    <w:rsid w:val="002B01E9"/>
    <w:rsid w:val="002B088E"/>
    <w:rsid w:val="002B0A50"/>
    <w:rsid w:val="002B0BEE"/>
    <w:rsid w:val="002B1C7E"/>
    <w:rsid w:val="002B2029"/>
    <w:rsid w:val="002B2211"/>
    <w:rsid w:val="002B2750"/>
    <w:rsid w:val="002B2883"/>
    <w:rsid w:val="002B2B4B"/>
    <w:rsid w:val="002B30DB"/>
    <w:rsid w:val="002B36EC"/>
    <w:rsid w:val="002B37C8"/>
    <w:rsid w:val="002B38BB"/>
    <w:rsid w:val="002B3977"/>
    <w:rsid w:val="002B3B61"/>
    <w:rsid w:val="002B41FE"/>
    <w:rsid w:val="002B4680"/>
    <w:rsid w:val="002B4B51"/>
    <w:rsid w:val="002B4BE0"/>
    <w:rsid w:val="002B4D36"/>
    <w:rsid w:val="002B55F3"/>
    <w:rsid w:val="002B5B75"/>
    <w:rsid w:val="002B5CD5"/>
    <w:rsid w:val="002B69AD"/>
    <w:rsid w:val="002B6EB3"/>
    <w:rsid w:val="002B6F11"/>
    <w:rsid w:val="002B7013"/>
    <w:rsid w:val="002B757E"/>
    <w:rsid w:val="002B7731"/>
    <w:rsid w:val="002B77C6"/>
    <w:rsid w:val="002B7ACD"/>
    <w:rsid w:val="002C0075"/>
    <w:rsid w:val="002C0401"/>
    <w:rsid w:val="002C06CC"/>
    <w:rsid w:val="002C0F40"/>
    <w:rsid w:val="002C1D8A"/>
    <w:rsid w:val="002C1DF3"/>
    <w:rsid w:val="002C2096"/>
    <w:rsid w:val="002C237B"/>
    <w:rsid w:val="002C23AE"/>
    <w:rsid w:val="002C31E6"/>
    <w:rsid w:val="002C3FDD"/>
    <w:rsid w:val="002C4C47"/>
    <w:rsid w:val="002C4F4C"/>
    <w:rsid w:val="002C4F95"/>
    <w:rsid w:val="002C5064"/>
    <w:rsid w:val="002C5222"/>
    <w:rsid w:val="002C52DA"/>
    <w:rsid w:val="002C57AC"/>
    <w:rsid w:val="002C59C9"/>
    <w:rsid w:val="002C5F11"/>
    <w:rsid w:val="002C610E"/>
    <w:rsid w:val="002C6582"/>
    <w:rsid w:val="002C6585"/>
    <w:rsid w:val="002C6848"/>
    <w:rsid w:val="002C7127"/>
    <w:rsid w:val="002C7AFB"/>
    <w:rsid w:val="002C7DB4"/>
    <w:rsid w:val="002C7DBE"/>
    <w:rsid w:val="002D0349"/>
    <w:rsid w:val="002D11F7"/>
    <w:rsid w:val="002D171B"/>
    <w:rsid w:val="002D186D"/>
    <w:rsid w:val="002D189F"/>
    <w:rsid w:val="002D1D03"/>
    <w:rsid w:val="002D1EC5"/>
    <w:rsid w:val="002D23BA"/>
    <w:rsid w:val="002D395D"/>
    <w:rsid w:val="002D3DD4"/>
    <w:rsid w:val="002D474E"/>
    <w:rsid w:val="002D4756"/>
    <w:rsid w:val="002D5CD9"/>
    <w:rsid w:val="002D67C8"/>
    <w:rsid w:val="002D6809"/>
    <w:rsid w:val="002D69B2"/>
    <w:rsid w:val="002D6E48"/>
    <w:rsid w:val="002D73CF"/>
    <w:rsid w:val="002D75CE"/>
    <w:rsid w:val="002E022D"/>
    <w:rsid w:val="002E0894"/>
    <w:rsid w:val="002E1D83"/>
    <w:rsid w:val="002E2006"/>
    <w:rsid w:val="002E246F"/>
    <w:rsid w:val="002E25A0"/>
    <w:rsid w:val="002E25C7"/>
    <w:rsid w:val="002E2930"/>
    <w:rsid w:val="002E2C61"/>
    <w:rsid w:val="002E33C2"/>
    <w:rsid w:val="002E34E2"/>
    <w:rsid w:val="002E37B1"/>
    <w:rsid w:val="002E39A0"/>
    <w:rsid w:val="002E3F27"/>
    <w:rsid w:val="002E4279"/>
    <w:rsid w:val="002E45E7"/>
    <w:rsid w:val="002E4A00"/>
    <w:rsid w:val="002E5250"/>
    <w:rsid w:val="002E5E93"/>
    <w:rsid w:val="002E6133"/>
    <w:rsid w:val="002E65AE"/>
    <w:rsid w:val="002E6A7F"/>
    <w:rsid w:val="002E6C84"/>
    <w:rsid w:val="002E6D93"/>
    <w:rsid w:val="002E7300"/>
    <w:rsid w:val="002E743A"/>
    <w:rsid w:val="002F0250"/>
    <w:rsid w:val="002F057F"/>
    <w:rsid w:val="002F1D5A"/>
    <w:rsid w:val="002F2F3B"/>
    <w:rsid w:val="002F37A3"/>
    <w:rsid w:val="002F3961"/>
    <w:rsid w:val="002F4E04"/>
    <w:rsid w:val="002F55F3"/>
    <w:rsid w:val="002F5988"/>
    <w:rsid w:val="002F59BE"/>
    <w:rsid w:val="002F618C"/>
    <w:rsid w:val="002F6FBB"/>
    <w:rsid w:val="002F726E"/>
    <w:rsid w:val="003002A1"/>
    <w:rsid w:val="00300360"/>
    <w:rsid w:val="003008DC"/>
    <w:rsid w:val="00301189"/>
    <w:rsid w:val="003014DE"/>
    <w:rsid w:val="00301961"/>
    <w:rsid w:val="00301996"/>
    <w:rsid w:val="003019F9"/>
    <w:rsid w:val="00302200"/>
    <w:rsid w:val="00302E02"/>
    <w:rsid w:val="00303577"/>
    <w:rsid w:val="003041FC"/>
    <w:rsid w:val="0030427D"/>
    <w:rsid w:val="003054CE"/>
    <w:rsid w:val="00305813"/>
    <w:rsid w:val="003058B4"/>
    <w:rsid w:val="00305BAB"/>
    <w:rsid w:val="00305EE6"/>
    <w:rsid w:val="003063F7"/>
    <w:rsid w:val="003077D7"/>
    <w:rsid w:val="00310405"/>
    <w:rsid w:val="00310BCC"/>
    <w:rsid w:val="00311410"/>
    <w:rsid w:val="003117DC"/>
    <w:rsid w:val="00311E20"/>
    <w:rsid w:val="003120B3"/>
    <w:rsid w:val="00312811"/>
    <w:rsid w:val="003130EE"/>
    <w:rsid w:val="00313372"/>
    <w:rsid w:val="003155EA"/>
    <w:rsid w:val="00315902"/>
    <w:rsid w:val="0031615C"/>
    <w:rsid w:val="00317AD1"/>
    <w:rsid w:val="00317AF3"/>
    <w:rsid w:val="00317CDD"/>
    <w:rsid w:val="00317D17"/>
    <w:rsid w:val="00320386"/>
    <w:rsid w:val="003208BA"/>
    <w:rsid w:val="00320FD1"/>
    <w:rsid w:val="00321908"/>
    <w:rsid w:val="00321A65"/>
    <w:rsid w:val="00321AA2"/>
    <w:rsid w:val="00322C98"/>
    <w:rsid w:val="0032337B"/>
    <w:rsid w:val="003233FA"/>
    <w:rsid w:val="00323B26"/>
    <w:rsid w:val="003240F2"/>
    <w:rsid w:val="00324167"/>
    <w:rsid w:val="003245AA"/>
    <w:rsid w:val="003248E4"/>
    <w:rsid w:val="00324B91"/>
    <w:rsid w:val="00325071"/>
    <w:rsid w:val="00325077"/>
    <w:rsid w:val="0032547C"/>
    <w:rsid w:val="003256B8"/>
    <w:rsid w:val="0032578E"/>
    <w:rsid w:val="003257E8"/>
    <w:rsid w:val="00325A86"/>
    <w:rsid w:val="00325EB9"/>
    <w:rsid w:val="003261BB"/>
    <w:rsid w:val="003268D6"/>
    <w:rsid w:val="003279F2"/>
    <w:rsid w:val="003302A0"/>
    <w:rsid w:val="0033080A"/>
    <w:rsid w:val="003313C1"/>
    <w:rsid w:val="0033176C"/>
    <w:rsid w:val="003318F1"/>
    <w:rsid w:val="00332174"/>
    <w:rsid w:val="0033220F"/>
    <w:rsid w:val="00332C5F"/>
    <w:rsid w:val="00333033"/>
    <w:rsid w:val="0033330D"/>
    <w:rsid w:val="003333E5"/>
    <w:rsid w:val="003335CC"/>
    <w:rsid w:val="00333D20"/>
    <w:rsid w:val="003346D7"/>
    <w:rsid w:val="00334DE1"/>
    <w:rsid w:val="003352E3"/>
    <w:rsid w:val="00335AB5"/>
    <w:rsid w:val="003361A3"/>
    <w:rsid w:val="0033629E"/>
    <w:rsid w:val="00336306"/>
    <w:rsid w:val="00336319"/>
    <w:rsid w:val="003364A2"/>
    <w:rsid w:val="0033672F"/>
    <w:rsid w:val="0033693B"/>
    <w:rsid w:val="00336955"/>
    <w:rsid w:val="00337C5C"/>
    <w:rsid w:val="003408FA"/>
    <w:rsid w:val="003410EB"/>
    <w:rsid w:val="00341898"/>
    <w:rsid w:val="00341FBA"/>
    <w:rsid w:val="0034241F"/>
    <w:rsid w:val="003427F3"/>
    <w:rsid w:val="003429FF"/>
    <w:rsid w:val="00342F69"/>
    <w:rsid w:val="0034323D"/>
    <w:rsid w:val="003433D5"/>
    <w:rsid w:val="00343D4C"/>
    <w:rsid w:val="003441CF"/>
    <w:rsid w:val="00344351"/>
    <w:rsid w:val="003444AB"/>
    <w:rsid w:val="00344D33"/>
    <w:rsid w:val="00344E57"/>
    <w:rsid w:val="003458BD"/>
    <w:rsid w:val="003463BB"/>
    <w:rsid w:val="003466AC"/>
    <w:rsid w:val="003466B7"/>
    <w:rsid w:val="003469D5"/>
    <w:rsid w:val="00346D90"/>
    <w:rsid w:val="003506A0"/>
    <w:rsid w:val="00350A8F"/>
    <w:rsid w:val="00351160"/>
    <w:rsid w:val="00351BBF"/>
    <w:rsid w:val="00352300"/>
    <w:rsid w:val="003528CB"/>
    <w:rsid w:val="003529A7"/>
    <w:rsid w:val="00353A81"/>
    <w:rsid w:val="00353F70"/>
    <w:rsid w:val="003542E6"/>
    <w:rsid w:val="0035495B"/>
    <w:rsid w:val="00354F45"/>
    <w:rsid w:val="003555BC"/>
    <w:rsid w:val="00355DBB"/>
    <w:rsid w:val="00356DCB"/>
    <w:rsid w:val="00357109"/>
    <w:rsid w:val="003574CC"/>
    <w:rsid w:val="003577D8"/>
    <w:rsid w:val="00357ADE"/>
    <w:rsid w:val="00357BE5"/>
    <w:rsid w:val="0036009E"/>
    <w:rsid w:val="00361771"/>
    <w:rsid w:val="00362200"/>
    <w:rsid w:val="003625B0"/>
    <w:rsid w:val="003626D8"/>
    <w:rsid w:val="00362784"/>
    <w:rsid w:val="0036310C"/>
    <w:rsid w:val="003634A0"/>
    <w:rsid w:val="00364A76"/>
    <w:rsid w:val="00364ACE"/>
    <w:rsid w:val="003662A1"/>
    <w:rsid w:val="0036689C"/>
    <w:rsid w:val="00366F39"/>
    <w:rsid w:val="0036748F"/>
    <w:rsid w:val="00367CE5"/>
    <w:rsid w:val="00370291"/>
    <w:rsid w:val="003704E9"/>
    <w:rsid w:val="0037072A"/>
    <w:rsid w:val="00370B4C"/>
    <w:rsid w:val="003712B3"/>
    <w:rsid w:val="00371346"/>
    <w:rsid w:val="003725AD"/>
    <w:rsid w:val="00372D51"/>
    <w:rsid w:val="00372E23"/>
    <w:rsid w:val="00373B0D"/>
    <w:rsid w:val="00373FCA"/>
    <w:rsid w:val="00374200"/>
    <w:rsid w:val="0037485A"/>
    <w:rsid w:val="00374B71"/>
    <w:rsid w:val="00374F05"/>
    <w:rsid w:val="00375A10"/>
    <w:rsid w:val="00375B17"/>
    <w:rsid w:val="00375C9E"/>
    <w:rsid w:val="00376370"/>
    <w:rsid w:val="00376FCB"/>
    <w:rsid w:val="0037798C"/>
    <w:rsid w:val="00380388"/>
    <w:rsid w:val="003806FE"/>
    <w:rsid w:val="003811BE"/>
    <w:rsid w:val="00381E91"/>
    <w:rsid w:val="003822B2"/>
    <w:rsid w:val="00382D1D"/>
    <w:rsid w:val="003830AB"/>
    <w:rsid w:val="00383A2F"/>
    <w:rsid w:val="00384F63"/>
    <w:rsid w:val="00386BD8"/>
    <w:rsid w:val="00387759"/>
    <w:rsid w:val="00387DFD"/>
    <w:rsid w:val="00387FEA"/>
    <w:rsid w:val="00390A2F"/>
    <w:rsid w:val="00390ADB"/>
    <w:rsid w:val="00390B3E"/>
    <w:rsid w:val="00390DCA"/>
    <w:rsid w:val="00390F7E"/>
    <w:rsid w:val="00392AD8"/>
    <w:rsid w:val="00392B14"/>
    <w:rsid w:val="00392B40"/>
    <w:rsid w:val="00392CE3"/>
    <w:rsid w:val="00393C42"/>
    <w:rsid w:val="00394187"/>
    <w:rsid w:val="00394193"/>
    <w:rsid w:val="0039463D"/>
    <w:rsid w:val="0039577B"/>
    <w:rsid w:val="00395DAF"/>
    <w:rsid w:val="00396A26"/>
    <w:rsid w:val="0039709B"/>
    <w:rsid w:val="00397D80"/>
    <w:rsid w:val="003A01BD"/>
    <w:rsid w:val="003A0366"/>
    <w:rsid w:val="003A0FC9"/>
    <w:rsid w:val="003A27F8"/>
    <w:rsid w:val="003A2FDD"/>
    <w:rsid w:val="003A311D"/>
    <w:rsid w:val="003A322C"/>
    <w:rsid w:val="003A3AA3"/>
    <w:rsid w:val="003A4123"/>
    <w:rsid w:val="003A460F"/>
    <w:rsid w:val="003A592A"/>
    <w:rsid w:val="003A5AD7"/>
    <w:rsid w:val="003A5B6A"/>
    <w:rsid w:val="003A6035"/>
    <w:rsid w:val="003A6689"/>
    <w:rsid w:val="003A66BC"/>
    <w:rsid w:val="003A77FE"/>
    <w:rsid w:val="003A7D0D"/>
    <w:rsid w:val="003B12D1"/>
    <w:rsid w:val="003B187D"/>
    <w:rsid w:val="003B1BBE"/>
    <w:rsid w:val="003B1BF3"/>
    <w:rsid w:val="003B1F99"/>
    <w:rsid w:val="003B2125"/>
    <w:rsid w:val="003B2F7C"/>
    <w:rsid w:val="003B3AB5"/>
    <w:rsid w:val="003B47FD"/>
    <w:rsid w:val="003B527C"/>
    <w:rsid w:val="003B579B"/>
    <w:rsid w:val="003B5C25"/>
    <w:rsid w:val="003B6511"/>
    <w:rsid w:val="003B6980"/>
    <w:rsid w:val="003B6FDD"/>
    <w:rsid w:val="003B727F"/>
    <w:rsid w:val="003B746D"/>
    <w:rsid w:val="003B75CB"/>
    <w:rsid w:val="003C009B"/>
    <w:rsid w:val="003C030A"/>
    <w:rsid w:val="003C0966"/>
    <w:rsid w:val="003C102D"/>
    <w:rsid w:val="003C1846"/>
    <w:rsid w:val="003C1D99"/>
    <w:rsid w:val="003C2570"/>
    <w:rsid w:val="003C25EB"/>
    <w:rsid w:val="003C26D6"/>
    <w:rsid w:val="003C2763"/>
    <w:rsid w:val="003C33D8"/>
    <w:rsid w:val="003C39BC"/>
    <w:rsid w:val="003C4107"/>
    <w:rsid w:val="003C41D9"/>
    <w:rsid w:val="003C4857"/>
    <w:rsid w:val="003C4ADF"/>
    <w:rsid w:val="003C5586"/>
    <w:rsid w:val="003C59E7"/>
    <w:rsid w:val="003C69A3"/>
    <w:rsid w:val="003C6C46"/>
    <w:rsid w:val="003C73A8"/>
    <w:rsid w:val="003C7844"/>
    <w:rsid w:val="003C7963"/>
    <w:rsid w:val="003D0C93"/>
    <w:rsid w:val="003D0CE1"/>
    <w:rsid w:val="003D0D5C"/>
    <w:rsid w:val="003D0F42"/>
    <w:rsid w:val="003D18BD"/>
    <w:rsid w:val="003D18FC"/>
    <w:rsid w:val="003D1BA2"/>
    <w:rsid w:val="003D29AA"/>
    <w:rsid w:val="003D2E6B"/>
    <w:rsid w:val="003D2E9D"/>
    <w:rsid w:val="003D2EAB"/>
    <w:rsid w:val="003D3176"/>
    <w:rsid w:val="003D32C2"/>
    <w:rsid w:val="003D35A9"/>
    <w:rsid w:val="003D3F51"/>
    <w:rsid w:val="003D40AF"/>
    <w:rsid w:val="003D4814"/>
    <w:rsid w:val="003D4973"/>
    <w:rsid w:val="003D4C36"/>
    <w:rsid w:val="003D4EBE"/>
    <w:rsid w:val="003D5075"/>
    <w:rsid w:val="003D56F9"/>
    <w:rsid w:val="003D57B2"/>
    <w:rsid w:val="003D5F55"/>
    <w:rsid w:val="003D609B"/>
    <w:rsid w:val="003D66F0"/>
    <w:rsid w:val="003D6EB3"/>
    <w:rsid w:val="003D6FB2"/>
    <w:rsid w:val="003E04DE"/>
    <w:rsid w:val="003E0709"/>
    <w:rsid w:val="003E0C7C"/>
    <w:rsid w:val="003E0FA7"/>
    <w:rsid w:val="003E108E"/>
    <w:rsid w:val="003E16C0"/>
    <w:rsid w:val="003E206D"/>
    <w:rsid w:val="003E22D8"/>
    <w:rsid w:val="003E2B31"/>
    <w:rsid w:val="003E2C9E"/>
    <w:rsid w:val="003E2FE4"/>
    <w:rsid w:val="003E317E"/>
    <w:rsid w:val="003E39A7"/>
    <w:rsid w:val="003E42D0"/>
    <w:rsid w:val="003E4576"/>
    <w:rsid w:val="003E4A1D"/>
    <w:rsid w:val="003E4C6C"/>
    <w:rsid w:val="003E54E1"/>
    <w:rsid w:val="003E5742"/>
    <w:rsid w:val="003E5A09"/>
    <w:rsid w:val="003E5DC4"/>
    <w:rsid w:val="003E606B"/>
    <w:rsid w:val="003E64CF"/>
    <w:rsid w:val="003E70C9"/>
    <w:rsid w:val="003E7306"/>
    <w:rsid w:val="003F0499"/>
    <w:rsid w:val="003F08FB"/>
    <w:rsid w:val="003F1986"/>
    <w:rsid w:val="003F2947"/>
    <w:rsid w:val="003F30FA"/>
    <w:rsid w:val="003F3AF6"/>
    <w:rsid w:val="003F46EF"/>
    <w:rsid w:val="003F48D1"/>
    <w:rsid w:val="003F569C"/>
    <w:rsid w:val="003F5774"/>
    <w:rsid w:val="003F5977"/>
    <w:rsid w:val="003F5E1B"/>
    <w:rsid w:val="003F5E1E"/>
    <w:rsid w:val="003F5E2D"/>
    <w:rsid w:val="003F6263"/>
    <w:rsid w:val="003F6359"/>
    <w:rsid w:val="003F63DC"/>
    <w:rsid w:val="003F6451"/>
    <w:rsid w:val="003F65AD"/>
    <w:rsid w:val="003F6654"/>
    <w:rsid w:val="003F755A"/>
    <w:rsid w:val="003F782A"/>
    <w:rsid w:val="003F78DC"/>
    <w:rsid w:val="00400693"/>
    <w:rsid w:val="00400BD1"/>
    <w:rsid w:val="00400E37"/>
    <w:rsid w:val="00401213"/>
    <w:rsid w:val="0040162D"/>
    <w:rsid w:val="004016EF"/>
    <w:rsid w:val="00401D3E"/>
    <w:rsid w:val="0040239B"/>
    <w:rsid w:val="004025F5"/>
    <w:rsid w:val="00402640"/>
    <w:rsid w:val="00402DA6"/>
    <w:rsid w:val="004030AA"/>
    <w:rsid w:val="00403668"/>
    <w:rsid w:val="00403FA8"/>
    <w:rsid w:val="00404988"/>
    <w:rsid w:val="00404FF3"/>
    <w:rsid w:val="00405637"/>
    <w:rsid w:val="00406699"/>
    <w:rsid w:val="00406703"/>
    <w:rsid w:val="0040679B"/>
    <w:rsid w:val="00407121"/>
    <w:rsid w:val="00407B47"/>
    <w:rsid w:val="00407C7D"/>
    <w:rsid w:val="00411E15"/>
    <w:rsid w:val="00412224"/>
    <w:rsid w:val="00413352"/>
    <w:rsid w:val="0041366F"/>
    <w:rsid w:val="00413829"/>
    <w:rsid w:val="004139C7"/>
    <w:rsid w:val="00413A91"/>
    <w:rsid w:val="0041423C"/>
    <w:rsid w:val="004145D8"/>
    <w:rsid w:val="004146F0"/>
    <w:rsid w:val="00414AEF"/>
    <w:rsid w:val="00414CFA"/>
    <w:rsid w:val="00414F3D"/>
    <w:rsid w:val="0041597D"/>
    <w:rsid w:val="00415A14"/>
    <w:rsid w:val="00416303"/>
    <w:rsid w:val="0041666F"/>
    <w:rsid w:val="004166DC"/>
    <w:rsid w:val="00417004"/>
    <w:rsid w:val="00417618"/>
    <w:rsid w:val="00417622"/>
    <w:rsid w:val="00417E97"/>
    <w:rsid w:val="00420C8E"/>
    <w:rsid w:val="00420E4D"/>
    <w:rsid w:val="004214D5"/>
    <w:rsid w:val="00422343"/>
    <w:rsid w:val="00422D1B"/>
    <w:rsid w:val="004231F7"/>
    <w:rsid w:val="00423AF3"/>
    <w:rsid w:val="00424438"/>
    <w:rsid w:val="0042449E"/>
    <w:rsid w:val="004247AD"/>
    <w:rsid w:val="00424C98"/>
    <w:rsid w:val="00424FBC"/>
    <w:rsid w:val="00425311"/>
    <w:rsid w:val="004254E0"/>
    <w:rsid w:val="00425719"/>
    <w:rsid w:val="0042598C"/>
    <w:rsid w:val="00425AA5"/>
    <w:rsid w:val="00425F9C"/>
    <w:rsid w:val="00427608"/>
    <w:rsid w:val="00427E3B"/>
    <w:rsid w:val="004308FF"/>
    <w:rsid w:val="00430C47"/>
    <w:rsid w:val="00430EB8"/>
    <w:rsid w:val="004312F9"/>
    <w:rsid w:val="004318E1"/>
    <w:rsid w:val="004318EE"/>
    <w:rsid w:val="00431EDD"/>
    <w:rsid w:val="00431F5D"/>
    <w:rsid w:val="00432303"/>
    <w:rsid w:val="00432E6F"/>
    <w:rsid w:val="00433398"/>
    <w:rsid w:val="00433959"/>
    <w:rsid w:val="00433B57"/>
    <w:rsid w:val="00433C67"/>
    <w:rsid w:val="00434415"/>
    <w:rsid w:val="00434873"/>
    <w:rsid w:val="0043489F"/>
    <w:rsid w:val="004348C3"/>
    <w:rsid w:val="00434E13"/>
    <w:rsid w:val="004352D1"/>
    <w:rsid w:val="00435DDE"/>
    <w:rsid w:val="00435FA7"/>
    <w:rsid w:val="004365FC"/>
    <w:rsid w:val="004365FE"/>
    <w:rsid w:val="004366AC"/>
    <w:rsid w:val="0043726E"/>
    <w:rsid w:val="00437720"/>
    <w:rsid w:val="00437DC3"/>
    <w:rsid w:val="00440438"/>
    <w:rsid w:val="0044077F"/>
    <w:rsid w:val="004408A8"/>
    <w:rsid w:val="00441852"/>
    <w:rsid w:val="00441E11"/>
    <w:rsid w:val="004423BB"/>
    <w:rsid w:val="0044286C"/>
    <w:rsid w:val="00442D65"/>
    <w:rsid w:val="004436F4"/>
    <w:rsid w:val="00445263"/>
    <w:rsid w:val="00445554"/>
    <w:rsid w:val="00445CFC"/>
    <w:rsid w:val="00445DC5"/>
    <w:rsid w:val="00446EFA"/>
    <w:rsid w:val="0044736C"/>
    <w:rsid w:val="004473C8"/>
    <w:rsid w:val="00447C86"/>
    <w:rsid w:val="00447D06"/>
    <w:rsid w:val="00447F86"/>
    <w:rsid w:val="00450460"/>
    <w:rsid w:val="00450CF5"/>
    <w:rsid w:val="00450D44"/>
    <w:rsid w:val="00450F13"/>
    <w:rsid w:val="00450F52"/>
    <w:rsid w:val="00451424"/>
    <w:rsid w:val="0045156E"/>
    <w:rsid w:val="0045193B"/>
    <w:rsid w:val="00452071"/>
    <w:rsid w:val="004525A2"/>
    <w:rsid w:val="004525CF"/>
    <w:rsid w:val="00452657"/>
    <w:rsid w:val="00452A28"/>
    <w:rsid w:val="00454034"/>
    <w:rsid w:val="004550A0"/>
    <w:rsid w:val="004558B3"/>
    <w:rsid w:val="00455985"/>
    <w:rsid w:val="0045631E"/>
    <w:rsid w:val="0045637A"/>
    <w:rsid w:val="004568F5"/>
    <w:rsid w:val="004569F2"/>
    <w:rsid w:val="00457947"/>
    <w:rsid w:val="004612C1"/>
    <w:rsid w:val="00461823"/>
    <w:rsid w:val="004627C9"/>
    <w:rsid w:val="00462AE8"/>
    <w:rsid w:val="00462BBC"/>
    <w:rsid w:val="00463807"/>
    <w:rsid w:val="00463B51"/>
    <w:rsid w:val="00463FE1"/>
    <w:rsid w:val="0046438A"/>
    <w:rsid w:val="00464406"/>
    <w:rsid w:val="004648FA"/>
    <w:rsid w:val="0046490D"/>
    <w:rsid w:val="00464F29"/>
    <w:rsid w:val="004650C4"/>
    <w:rsid w:val="00465975"/>
    <w:rsid w:val="00465B96"/>
    <w:rsid w:val="00467823"/>
    <w:rsid w:val="00467AA0"/>
    <w:rsid w:val="00467E79"/>
    <w:rsid w:val="00467FE4"/>
    <w:rsid w:val="0047052F"/>
    <w:rsid w:val="00470A31"/>
    <w:rsid w:val="00470B42"/>
    <w:rsid w:val="00471111"/>
    <w:rsid w:val="00471E1D"/>
    <w:rsid w:val="00471FC1"/>
    <w:rsid w:val="00472B9D"/>
    <w:rsid w:val="00473419"/>
    <w:rsid w:val="00473F3A"/>
    <w:rsid w:val="00474131"/>
    <w:rsid w:val="004744CE"/>
    <w:rsid w:val="00474516"/>
    <w:rsid w:val="00475600"/>
    <w:rsid w:val="00475673"/>
    <w:rsid w:val="00475818"/>
    <w:rsid w:val="00475903"/>
    <w:rsid w:val="00475E1F"/>
    <w:rsid w:val="0047627D"/>
    <w:rsid w:val="00476A7D"/>
    <w:rsid w:val="004775E4"/>
    <w:rsid w:val="0047785F"/>
    <w:rsid w:val="00477D81"/>
    <w:rsid w:val="00477EDC"/>
    <w:rsid w:val="00480E17"/>
    <w:rsid w:val="004812DB"/>
    <w:rsid w:val="004814A3"/>
    <w:rsid w:val="00481A33"/>
    <w:rsid w:val="00481EFE"/>
    <w:rsid w:val="00482407"/>
    <w:rsid w:val="0048251A"/>
    <w:rsid w:val="0048254B"/>
    <w:rsid w:val="00483755"/>
    <w:rsid w:val="00483EE8"/>
    <w:rsid w:val="004847BD"/>
    <w:rsid w:val="00484896"/>
    <w:rsid w:val="00484960"/>
    <w:rsid w:val="00484BF1"/>
    <w:rsid w:val="00485016"/>
    <w:rsid w:val="0048576B"/>
    <w:rsid w:val="00485DAC"/>
    <w:rsid w:val="00486AEA"/>
    <w:rsid w:val="00486C93"/>
    <w:rsid w:val="00486E11"/>
    <w:rsid w:val="00487195"/>
    <w:rsid w:val="004873A1"/>
    <w:rsid w:val="00487B18"/>
    <w:rsid w:val="00487FEC"/>
    <w:rsid w:val="004904E2"/>
    <w:rsid w:val="00491154"/>
    <w:rsid w:val="004912A9"/>
    <w:rsid w:val="00491567"/>
    <w:rsid w:val="00491CE4"/>
    <w:rsid w:val="004921C8"/>
    <w:rsid w:val="004921FB"/>
    <w:rsid w:val="00493665"/>
    <w:rsid w:val="00493C46"/>
    <w:rsid w:val="004940F0"/>
    <w:rsid w:val="00494260"/>
    <w:rsid w:val="00494788"/>
    <w:rsid w:val="00494CC4"/>
    <w:rsid w:val="00495284"/>
    <w:rsid w:val="0049607F"/>
    <w:rsid w:val="0049657A"/>
    <w:rsid w:val="0049676C"/>
    <w:rsid w:val="0049686B"/>
    <w:rsid w:val="00496CF8"/>
    <w:rsid w:val="00497D69"/>
    <w:rsid w:val="00497FAF"/>
    <w:rsid w:val="004A0571"/>
    <w:rsid w:val="004A0AB8"/>
    <w:rsid w:val="004A0BE3"/>
    <w:rsid w:val="004A1644"/>
    <w:rsid w:val="004A174B"/>
    <w:rsid w:val="004A1ED2"/>
    <w:rsid w:val="004A2579"/>
    <w:rsid w:val="004A28E0"/>
    <w:rsid w:val="004A28EC"/>
    <w:rsid w:val="004A2F7B"/>
    <w:rsid w:val="004A3A5D"/>
    <w:rsid w:val="004A51EE"/>
    <w:rsid w:val="004A5297"/>
    <w:rsid w:val="004A6161"/>
    <w:rsid w:val="004A687B"/>
    <w:rsid w:val="004A6C4A"/>
    <w:rsid w:val="004A75AE"/>
    <w:rsid w:val="004A7B45"/>
    <w:rsid w:val="004A7D5C"/>
    <w:rsid w:val="004A7E61"/>
    <w:rsid w:val="004B03C3"/>
    <w:rsid w:val="004B0645"/>
    <w:rsid w:val="004B08C6"/>
    <w:rsid w:val="004B0E81"/>
    <w:rsid w:val="004B133E"/>
    <w:rsid w:val="004B138A"/>
    <w:rsid w:val="004B2026"/>
    <w:rsid w:val="004B21A3"/>
    <w:rsid w:val="004B24AB"/>
    <w:rsid w:val="004B28AC"/>
    <w:rsid w:val="004B2EB2"/>
    <w:rsid w:val="004B338E"/>
    <w:rsid w:val="004B3F20"/>
    <w:rsid w:val="004B4AA5"/>
    <w:rsid w:val="004B4ADC"/>
    <w:rsid w:val="004B4E4C"/>
    <w:rsid w:val="004B4FE1"/>
    <w:rsid w:val="004B5312"/>
    <w:rsid w:val="004B54A8"/>
    <w:rsid w:val="004B58A9"/>
    <w:rsid w:val="004B6797"/>
    <w:rsid w:val="004B77F9"/>
    <w:rsid w:val="004B78A2"/>
    <w:rsid w:val="004B7D87"/>
    <w:rsid w:val="004C02B0"/>
    <w:rsid w:val="004C06B1"/>
    <w:rsid w:val="004C0DEC"/>
    <w:rsid w:val="004C1C03"/>
    <w:rsid w:val="004C2933"/>
    <w:rsid w:val="004C2B5D"/>
    <w:rsid w:val="004C348E"/>
    <w:rsid w:val="004C3624"/>
    <w:rsid w:val="004C48D6"/>
    <w:rsid w:val="004C4B65"/>
    <w:rsid w:val="004C575E"/>
    <w:rsid w:val="004C5F80"/>
    <w:rsid w:val="004C6241"/>
    <w:rsid w:val="004C6B8D"/>
    <w:rsid w:val="004C70D6"/>
    <w:rsid w:val="004C70DF"/>
    <w:rsid w:val="004C76FE"/>
    <w:rsid w:val="004C78BB"/>
    <w:rsid w:val="004C7BDF"/>
    <w:rsid w:val="004C7D9A"/>
    <w:rsid w:val="004D0637"/>
    <w:rsid w:val="004D15B3"/>
    <w:rsid w:val="004D1B5A"/>
    <w:rsid w:val="004D1C0E"/>
    <w:rsid w:val="004D2519"/>
    <w:rsid w:val="004D3167"/>
    <w:rsid w:val="004D3216"/>
    <w:rsid w:val="004D32B7"/>
    <w:rsid w:val="004D38AC"/>
    <w:rsid w:val="004D3BFC"/>
    <w:rsid w:val="004D419C"/>
    <w:rsid w:val="004D419F"/>
    <w:rsid w:val="004D4277"/>
    <w:rsid w:val="004D4E42"/>
    <w:rsid w:val="004D5113"/>
    <w:rsid w:val="004D51CE"/>
    <w:rsid w:val="004D5264"/>
    <w:rsid w:val="004D537A"/>
    <w:rsid w:val="004D59C7"/>
    <w:rsid w:val="004D5B9B"/>
    <w:rsid w:val="004D61A2"/>
    <w:rsid w:val="004D63A0"/>
    <w:rsid w:val="004D6A48"/>
    <w:rsid w:val="004D6AE9"/>
    <w:rsid w:val="004D6EEE"/>
    <w:rsid w:val="004D6F12"/>
    <w:rsid w:val="004D6F59"/>
    <w:rsid w:val="004E0638"/>
    <w:rsid w:val="004E07CB"/>
    <w:rsid w:val="004E08FF"/>
    <w:rsid w:val="004E0978"/>
    <w:rsid w:val="004E0EC2"/>
    <w:rsid w:val="004E0FC4"/>
    <w:rsid w:val="004E12F0"/>
    <w:rsid w:val="004E2339"/>
    <w:rsid w:val="004E3A67"/>
    <w:rsid w:val="004E3E00"/>
    <w:rsid w:val="004E3E95"/>
    <w:rsid w:val="004E40DE"/>
    <w:rsid w:val="004E45EC"/>
    <w:rsid w:val="004E4A50"/>
    <w:rsid w:val="004E4D10"/>
    <w:rsid w:val="004E4E0B"/>
    <w:rsid w:val="004E4F1B"/>
    <w:rsid w:val="004E4FB0"/>
    <w:rsid w:val="004E5845"/>
    <w:rsid w:val="004E59CA"/>
    <w:rsid w:val="004E5AE4"/>
    <w:rsid w:val="004E7143"/>
    <w:rsid w:val="004E7282"/>
    <w:rsid w:val="004E736B"/>
    <w:rsid w:val="004E7842"/>
    <w:rsid w:val="004F0C0A"/>
    <w:rsid w:val="004F0C13"/>
    <w:rsid w:val="004F1069"/>
    <w:rsid w:val="004F10E2"/>
    <w:rsid w:val="004F18EE"/>
    <w:rsid w:val="004F2865"/>
    <w:rsid w:val="004F2B8A"/>
    <w:rsid w:val="004F2C98"/>
    <w:rsid w:val="004F3110"/>
    <w:rsid w:val="004F3667"/>
    <w:rsid w:val="004F451A"/>
    <w:rsid w:val="004F50F9"/>
    <w:rsid w:val="004F5BC8"/>
    <w:rsid w:val="004F5E0E"/>
    <w:rsid w:val="004F67E8"/>
    <w:rsid w:val="004F6AE7"/>
    <w:rsid w:val="004F77A0"/>
    <w:rsid w:val="00500094"/>
    <w:rsid w:val="00500900"/>
    <w:rsid w:val="005009CA"/>
    <w:rsid w:val="005012D8"/>
    <w:rsid w:val="005025A1"/>
    <w:rsid w:val="0050289B"/>
    <w:rsid w:val="00502A78"/>
    <w:rsid w:val="00502D41"/>
    <w:rsid w:val="00502F3C"/>
    <w:rsid w:val="00503665"/>
    <w:rsid w:val="00503830"/>
    <w:rsid w:val="0050453E"/>
    <w:rsid w:val="00504B74"/>
    <w:rsid w:val="00504B7B"/>
    <w:rsid w:val="00504FE4"/>
    <w:rsid w:val="005056E3"/>
    <w:rsid w:val="00505818"/>
    <w:rsid w:val="00505AC3"/>
    <w:rsid w:val="00506150"/>
    <w:rsid w:val="00506343"/>
    <w:rsid w:val="005064C7"/>
    <w:rsid w:val="0050654D"/>
    <w:rsid w:val="005066B4"/>
    <w:rsid w:val="0050683F"/>
    <w:rsid w:val="0051030F"/>
    <w:rsid w:val="00512155"/>
    <w:rsid w:val="00512905"/>
    <w:rsid w:val="00512A04"/>
    <w:rsid w:val="00512AA8"/>
    <w:rsid w:val="00512DEF"/>
    <w:rsid w:val="0051319C"/>
    <w:rsid w:val="0051338D"/>
    <w:rsid w:val="00513516"/>
    <w:rsid w:val="0051360D"/>
    <w:rsid w:val="0051439D"/>
    <w:rsid w:val="005146C2"/>
    <w:rsid w:val="00514D26"/>
    <w:rsid w:val="005156ED"/>
    <w:rsid w:val="0051573C"/>
    <w:rsid w:val="0051630A"/>
    <w:rsid w:val="005168E4"/>
    <w:rsid w:val="00517086"/>
    <w:rsid w:val="00517589"/>
    <w:rsid w:val="005176AC"/>
    <w:rsid w:val="005177F6"/>
    <w:rsid w:val="00517925"/>
    <w:rsid w:val="00517EBC"/>
    <w:rsid w:val="0052016A"/>
    <w:rsid w:val="00520434"/>
    <w:rsid w:val="005206DD"/>
    <w:rsid w:val="00521381"/>
    <w:rsid w:val="005219D0"/>
    <w:rsid w:val="00521EA3"/>
    <w:rsid w:val="00522127"/>
    <w:rsid w:val="00523312"/>
    <w:rsid w:val="00523B0A"/>
    <w:rsid w:val="005248AA"/>
    <w:rsid w:val="00524BC2"/>
    <w:rsid w:val="00524C0A"/>
    <w:rsid w:val="00524F52"/>
    <w:rsid w:val="0052563C"/>
    <w:rsid w:val="005256A9"/>
    <w:rsid w:val="005256FC"/>
    <w:rsid w:val="00525B98"/>
    <w:rsid w:val="00525DCC"/>
    <w:rsid w:val="00525E07"/>
    <w:rsid w:val="0052608D"/>
    <w:rsid w:val="005265A9"/>
    <w:rsid w:val="005268C2"/>
    <w:rsid w:val="0052707B"/>
    <w:rsid w:val="005270E3"/>
    <w:rsid w:val="00527237"/>
    <w:rsid w:val="00527379"/>
    <w:rsid w:val="00527899"/>
    <w:rsid w:val="00527A46"/>
    <w:rsid w:val="00527DFF"/>
    <w:rsid w:val="0053021A"/>
    <w:rsid w:val="00530D95"/>
    <w:rsid w:val="00530E01"/>
    <w:rsid w:val="0053111B"/>
    <w:rsid w:val="00531269"/>
    <w:rsid w:val="00531B0B"/>
    <w:rsid w:val="00532603"/>
    <w:rsid w:val="0053275C"/>
    <w:rsid w:val="00532FC0"/>
    <w:rsid w:val="0053323B"/>
    <w:rsid w:val="005333BE"/>
    <w:rsid w:val="0053419D"/>
    <w:rsid w:val="00534656"/>
    <w:rsid w:val="00534C62"/>
    <w:rsid w:val="00534DDB"/>
    <w:rsid w:val="00534EAB"/>
    <w:rsid w:val="00535009"/>
    <w:rsid w:val="005352E1"/>
    <w:rsid w:val="005366BA"/>
    <w:rsid w:val="00536B90"/>
    <w:rsid w:val="005370EF"/>
    <w:rsid w:val="0053720A"/>
    <w:rsid w:val="0053732A"/>
    <w:rsid w:val="0053786A"/>
    <w:rsid w:val="00537AC6"/>
    <w:rsid w:val="00537C17"/>
    <w:rsid w:val="005402BB"/>
    <w:rsid w:val="00540C77"/>
    <w:rsid w:val="00540F69"/>
    <w:rsid w:val="00540FDD"/>
    <w:rsid w:val="00541147"/>
    <w:rsid w:val="005417BC"/>
    <w:rsid w:val="0054190B"/>
    <w:rsid w:val="00541A65"/>
    <w:rsid w:val="00541BF6"/>
    <w:rsid w:val="00542467"/>
    <w:rsid w:val="00542535"/>
    <w:rsid w:val="005427E7"/>
    <w:rsid w:val="00542C14"/>
    <w:rsid w:val="00543510"/>
    <w:rsid w:val="005435FC"/>
    <w:rsid w:val="0054415E"/>
    <w:rsid w:val="00545113"/>
    <w:rsid w:val="005458A9"/>
    <w:rsid w:val="00545F3E"/>
    <w:rsid w:val="0055071C"/>
    <w:rsid w:val="00550804"/>
    <w:rsid w:val="00550A27"/>
    <w:rsid w:val="00550C60"/>
    <w:rsid w:val="00550DB9"/>
    <w:rsid w:val="0055166B"/>
    <w:rsid w:val="00551688"/>
    <w:rsid w:val="00551FDD"/>
    <w:rsid w:val="00552180"/>
    <w:rsid w:val="005526E1"/>
    <w:rsid w:val="0055307A"/>
    <w:rsid w:val="005534CD"/>
    <w:rsid w:val="0055396A"/>
    <w:rsid w:val="00553D23"/>
    <w:rsid w:val="00553DBE"/>
    <w:rsid w:val="00553FF3"/>
    <w:rsid w:val="005543BA"/>
    <w:rsid w:val="00554F3F"/>
    <w:rsid w:val="005554CE"/>
    <w:rsid w:val="00555523"/>
    <w:rsid w:val="005557E0"/>
    <w:rsid w:val="0055596A"/>
    <w:rsid w:val="005559DB"/>
    <w:rsid w:val="00555DF3"/>
    <w:rsid w:val="00556060"/>
    <w:rsid w:val="005563FA"/>
    <w:rsid w:val="00556F5D"/>
    <w:rsid w:val="00557A4C"/>
    <w:rsid w:val="00557EDD"/>
    <w:rsid w:val="00560863"/>
    <w:rsid w:val="00560901"/>
    <w:rsid w:val="005611FB"/>
    <w:rsid w:val="005616D4"/>
    <w:rsid w:val="00561B11"/>
    <w:rsid w:val="00561E25"/>
    <w:rsid w:val="00561F37"/>
    <w:rsid w:val="00562918"/>
    <w:rsid w:val="00562EED"/>
    <w:rsid w:val="00563843"/>
    <w:rsid w:val="00563D0C"/>
    <w:rsid w:val="005649D1"/>
    <w:rsid w:val="0056513E"/>
    <w:rsid w:val="0056521E"/>
    <w:rsid w:val="005660CF"/>
    <w:rsid w:val="005661E8"/>
    <w:rsid w:val="00566476"/>
    <w:rsid w:val="00566C98"/>
    <w:rsid w:val="00566D09"/>
    <w:rsid w:val="00566F87"/>
    <w:rsid w:val="005674A0"/>
    <w:rsid w:val="005674FC"/>
    <w:rsid w:val="005677AB"/>
    <w:rsid w:val="005704FA"/>
    <w:rsid w:val="00570A73"/>
    <w:rsid w:val="0057115E"/>
    <w:rsid w:val="0057182A"/>
    <w:rsid w:val="00571D3D"/>
    <w:rsid w:val="005727DA"/>
    <w:rsid w:val="005728F6"/>
    <w:rsid w:val="00572922"/>
    <w:rsid w:val="00572BD5"/>
    <w:rsid w:val="0057314D"/>
    <w:rsid w:val="00573207"/>
    <w:rsid w:val="00573459"/>
    <w:rsid w:val="00573A4A"/>
    <w:rsid w:val="00573CB5"/>
    <w:rsid w:val="00573D2C"/>
    <w:rsid w:val="00573E20"/>
    <w:rsid w:val="00574239"/>
    <w:rsid w:val="00574495"/>
    <w:rsid w:val="005745C5"/>
    <w:rsid w:val="005751C1"/>
    <w:rsid w:val="005753EB"/>
    <w:rsid w:val="00575B0F"/>
    <w:rsid w:val="00575F19"/>
    <w:rsid w:val="00576110"/>
    <w:rsid w:val="00576585"/>
    <w:rsid w:val="005773EE"/>
    <w:rsid w:val="00580168"/>
    <w:rsid w:val="00580279"/>
    <w:rsid w:val="005802AC"/>
    <w:rsid w:val="0058170A"/>
    <w:rsid w:val="00581826"/>
    <w:rsid w:val="005823EF"/>
    <w:rsid w:val="00583160"/>
    <w:rsid w:val="00583C69"/>
    <w:rsid w:val="00585212"/>
    <w:rsid w:val="0058523E"/>
    <w:rsid w:val="005853AB"/>
    <w:rsid w:val="00585A46"/>
    <w:rsid w:val="00585F40"/>
    <w:rsid w:val="00585FA2"/>
    <w:rsid w:val="005867A1"/>
    <w:rsid w:val="00586BFA"/>
    <w:rsid w:val="00586CCF"/>
    <w:rsid w:val="00586D3A"/>
    <w:rsid w:val="00586E6E"/>
    <w:rsid w:val="00587CA5"/>
    <w:rsid w:val="00587EBB"/>
    <w:rsid w:val="00590827"/>
    <w:rsid w:val="005908DF"/>
    <w:rsid w:val="0059208B"/>
    <w:rsid w:val="00592B2B"/>
    <w:rsid w:val="00592DB5"/>
    <w:rsid w:val="0059323D"/>
    <w:rsid w:val="0059354E"/>
    <w:rsid w:val="0059386F"/>
    <w:rsid w:val="005938D5"/>
    <w:rsid w:val="00594692"/>
    <w:rsid w:val="00596322"/>
    <w:rsid w:val="00597055"/>
    <w:rsid w:val="005A0331"/>
    <w:rsid w:val="005A03B6"/>
    <w:rsid w:val="005A078A"/>
    <w:rsid w:val="005A07AB"/>
    <w:rsid w:val="005A0851"/>
    <w:rsid w:val="005A0A60"/>
    <w:rsid w:val="005A0C80"/>
    <w:rsid w:val="005A0ED2"/>
    <w:rsid w:val="005A159B"/>
    <w:rsid w:val="005A18CA"/>
    <w:rsid w:val="005A18DB"/>
    <w:rsid w:val="005A1FB9"/>
    <w:rsid w:val="005A2473"/>
    <w:rsid w:val="005A2AD0"/>
    <w:rsid w:val="005A3366"/>
    <w:rsid w:val="005A36F5"/>
    <w:rsid w:val="005A420E"/>
    <w:rsid w:val="005A456D"/>
    <w:rsid w:val="005A473E"/>
    <w:rsid w:val="005A50A1"/>
    <w:rsid w:val="005A559E"/>
    <w:rsid w:val="005A5D38"/>
    <w:rsid w:val="005A61DB"/>
    <w:rsid w:val="005A71FE"/>
    <w:rsid w:val="005A7626"/>
    <w:rsid w:val="005B09DB"/>
    <w:rsid w:val="005B12F8"/>
    <w:rsid w:val="005B1474"/>
    <w:rsid w:val="005B161F"/>
    <w:rsid w:val="005B163D"/>
    <w:rsid w:val="005B1B27"/>
    <w:rsid w:val="005B2735"/>
    <w:rsid w:val="005B2996"/>
    <w:rsid w:val="005B2D58"/>
    <w:rsid w:val="005B2EAA"/>
    <w:rsid w:val="005B33AF"/>
    <w:rsid w:val="005B3622"/>
    <w:rsid w:val="005B3F06"/>
    <w:rsid w:val="005B41AF"/>
    <w:rsid w:val="005B44CC"/>
    <w:rsid w:val="005B454A"/>
    <w:rsid w:val="005B4602"/>
    <w:rsid w:val="005B5586"/>
    <w:rsid w:val="005B5A0F"/>
    <w:rsid w:val="005B5C97"/>
    <w:rsid w:val="005B60F7"/>
    <w:rsid w:val="005B64D2"/>
    <w:rsid w:val="005B667D"/>
    <w:rsid w:val="005B69BC"/>
    <w:rsid w:val="005B6A3D"/>
    <w:rsid w:val="005B6ECA"/>
    <w:rsid w:val="005B7D73"/>
    <w:rsid w:val="005C055A"/>
    <w:rsid w:val="005C08BD"/>
    <w:rsid w:val="005C0E74"/>
    <w:rsid w:val="005C14AF"/>
    <w:rsid w:val="005C1670"/>
    <w:rsid w:val="005C16A5"/>
    <w:rsid w:val="005C29D9"/>
    <w:rsid w:val="005C374E"/>
    <w:rsid w:val="005C3A1C"/>
    <w:rsid w:val="005C3B49"/>
    <w:rsid w:val="005C3CB2"/>
    <w:rsid w:val="005C4A02"/>
    <w:rsid w:val="005C5020"/>
    <w:rsid w:val="005C53CD"/>
    <w:rsid w:val="005C5A4A"/>
    <w:rsid w:val="005C5D6A"/>
    <w:rsid w:val="005C618E"/>
    <w:rsid w:val="005C785D"/>
    <w:rsid w:val="005C7CC1"/>
    <w:rsid w:val="005C7FF5"/>
    <w:rsid w:val="005D0AA7"/>
    <w:rsid w:val="005D0B52"/>
    <w:rsid w:val="005D0E86"/>
    <w:rsid w:val="005D12E4"/>
    <w:rsid w:val="005D1B2C"/>
    <w:rsid w:val="005D1BE1"/>
    <w:rsid w:val="005D1DB8"/>
    <w:rsid w:val="005D22AB"/>
    <w:rsid w:val="005D2CE2"/>
    <w:rsid w:val="005D3975"/>
    <w:rsid w:val="005D3E31"/>
    <w:rsid w:val="005D4574"/>
    <w:rsid w:val="005D51AC"/>
    <w:rsid w:val="005D5B96"/>
    <w:rsid w:val="005D5DD2"/>
    <w:rsid w:val="005D7035"/>
    <w:rsid w:val="005D7184"/>
    <w:rsid w:val="005D75EC"/>
    <w:rsid w:val="005E0137"/>
    <w:rsid w:val="005E05EE"/>
    <w:rsid w:val="005E06F8"/>
    <w:rsid w:val="005E080D"/>
    <w:rsid w:val="005E0FAD"/>
    <w:rsid w:val="005E1E6F"/>
    <w:rsid w:val="005E2A0C"/>
    <w:rsid w:val="005E3349"/>
    <w:rsid w:val="005E3A0C"/>
    <w:rsid w:val="005E3F53"/>
    <w:rsid w:val="005E43A1"/>
    <w:rsid w:val="005E4ABC"/>
    <w:rsid w:val="005E570A"/>
    <w:rsid w:val="005E57FF"/>
    <w:rsid w:val="005E5AF4"/>
    <w:rsid w:val="005E5BEA"/>
    <w:rsid w:val="005E5F6F"/>
    <w:rsid w:val="005E6480"/>
    <w:rsid w:val="005E7B24"/>
    <w:rsid w:val="005F0B2C"/>
    <w:rsid w:val="005F1784"/>
    <w:rsid w:val="005F17C0"/>
    <w:rsid w:val="005F2AF3"/>
    <w:rsid w:val="005F2E74"/>
    <w:rsid w:val="005F31CA"/>
    <w:rsid w:val="005F3421"/>
    <w:rsid w:val="005F37A2"/>
    <w:rsid w:val="005F380B"/>
    <w:rsid w:val="005F3E30"/>
    <w:rsid w:val="005F4B7D"/>
    <w:rsid w:val="005F501C"/>
    <w:rsid w:val="005F5ED7"/>
    <w:rsid w:val="005F5F6C"/>
    <w:rsid w:val="005F60FA"/>
    <w:rsid w:val="005F673D"/>
    <w:rsid w:val="005F71BF"/>
    <w:rsid w:val="005F74D9"/>
    <w:rsid w:val="005F76CF"/>
    <w:rsid w:val="005F7E98"/>
    <w:rsid w:val="0060082A"/>
    <w:rsid w:val="006009EC"/>
    <w:rsid w:val="00600C59"/>
    <w:rsid w:val="00602BC9"/>
    <w:rsid w:val="006042E7"/>
    <w:rsid w:val="0060439A"/>
    <w:rsid w:val="00604A68"/>
    <w:rsid w:val="00606AE5"/>
    <w:rsid w:val="00607697"/>
    <w:rsid w:val="00607C3B"/>
    <w:rsid w:val="00610044"/>
    <w:rsid w:val="0061023C"/>
    <w:rsid w:val="006105D5"/>
    <w:rsid w:val="00610964"/>
    <w:rsid w:val="00611070"/>
    <w:rsid w:val="00611343"/>
    <w:rsid w:val="006123A3"/>
    <w:rsid w:val="00612D17"/>
    <w:rsid w:val="0061388E"/>
    <w:rsid w:val="00613A60"/>
    <w:rsid w:val="00613BF2"/>
    <w:rsid w:val="00614162"/>
    <w:rsid w:val="00614500"/>
    <w:rsid w:val="0061523C"/>
    <w:rsid w:val="0061523F"/>
    <w:rsid w:val="0061579A"/>
    <w:rsid w:val="00615CC6"/>
    <w:rsid w:val="00615D6A"/>
    <w:rsid w:val="00616680"/>
    <w:rsid w:val="00616E02"/>
    <w:rsid w:val="0061799F"/>
    <w:rsid w:val="00617A53"/>
    <w:rsid w:val="00617DA0"/>
    <w:rsid w:val="00617F2C"/>
    <w:rsid w:val="00617FAE"/>
    <w:rsid w:val="00620A41"/>
    <w:rsid w:val="0062139A"/>
    <w:rsid w:val="00621B94"/>
    <w:rsid w:val="00621BA7"/>
    <w:rsid w:val="00622184"/>
    <w:rsid w:val="00622A5A"/>
    <w:rsid w:val="00622C62"/>
    <w:rsid w:val="006238FE"/>
    <w:rsid w:val="00623929"/>
    <w:rsid w:val="0062404F"/>
    <w:rsid w:val="00624090"/>
    <w:rsid w:val="0062457B"/>
    <w:rsid w:val="0062467E"/>
    <w:rsid w:val="00624723"/>
    <w:rsid w:val="006252E9"/>
    <w:rsid w:val="00625491"/>
    <w:rsid w:val="00625580"/>
    <w:rsid w:val="006262A6"/>
    <w:rsid w:val="00626537"/>
    <w:rsid w:val="006265FE"/>
    <w:rsid w:val="0062764C"/>
    <w:rsid w:val="00630164"/>
    <w:rsid w:val="00631E47"/>
    <w:rsid w:val="0063226E"/>
    <w:rsid w:val="0063248F"/>
    <w:rsid w:val="00632DE5"/>
    <w:rsid w:val="006334B0"/>
    <w:rsid w:val="006343FB"/>
    <w:rsid w:val="006344AE"/>
    <w:rsid w:val="0063462C"/>
    <w:rsid w:val="00634D99"/>
    <w:rsid w:val="00635B8B"/>
    <w:rsid w:val="00635DD0"/>
    <w:rsid w:val="00635E59"/>
    <w:rsid w:val="006360C4"/>
    <w:rsid w:val="006369D9"/>
    <w:rsid w:val="00636A65"/>
    <w:rsid w:val="00637F87"/>
    <w:rsid w:val="00640496"/>
    <w:rsid w:val="00640D80"/>
    <w:rsid w:val="00640F77"/>
    <w:rsid w:val="006414DF"/>
    <w:rsid w:val="0064182A"/>
    <w:rsid w:val="00642360"/>
    <w:rsid w:val="00642EA6"/>
    <w:rsid w:val="00643075"/>
    <w:rsid w:val="00643243"/>
    <w:rsid w:val="006432DF"/>
    <w:rsid w:val="0064453B"/>
    <w:rsid w:val="00644557"/>
    <w:rsid w:val="00644F91"/>
    <w:rsid w:val="0064588F"/>
    <w:rsid w:val="00645BB6"/>
    <w:rsid w:val="00647922"/>
    <w:rsid w:val="00647C77"/>
    <w:rsid w:val="00647D60"/>
    <w:rsid w:val="0065181F"/>
    <w:rsid w:val="00651B61"/>
    <w:rsid w:val="00652526"/>
    <w:rsid w:val="006526CA"/>
    <w:rsid w:val="006528E7"/>
    <w:rsid w:val="00652A03"/>
    <w:rsid w:val="0065347B"/>
    <w:rsid w:val="00653CEB"/>
    <w:rsid w:val="0065415E"/>
    <w:rsid w:val="006543D6"/>
    <w:rsid w:val="0065517D"/>
    <w:rsid w:val="0065521F"/>
    <w:rsid w:val="006555CB"/>
    <w:rsid w:val="00655A0F"/>
    <w:rsid w:val="00655C5A"/>
    <w:rsid w:val="00655F20"/>
    <w:rsid w:val="00655F2D"/>
    <w:rsid w:val="00657CB2"/>
    <w:rsid w:val="00657D2B"/>
    <w:rsid w:val="00660199"/>
    <w:rsid w:val="006602A0"/>
    <w:rsid w:val="0066034C"/>
    <w:rsid w:val="00660466"/>
    <w:rsid w:val="0066067D"/>
    <w:rsid w:val="00660CEB"/>
    <w:rsid w:val="0066205A"/>
    <w:rsid w:val="00662BD3"/>
    <w:rsid w:val="006630C0"/>
    <w:rsid w:val="00663712"/>
    <w:rsid w:val="006639EB"/>
    <w:rsid w:val="00663B16"/>
    <w:rsid w:val="00663DE1"/>
    <w:rsid w:val="00663F2B"/>
    <w:rsid w:val="00664A5B"/>
    <w:rsid w:val="0066685E"/>
    <w:rsid w:val="00666C47"/>
    <w:rsid w:val="00666E21"/>
    <w:rsid w:val="00667570"/>
    <w:rsid w:val="0067061E"/>
    <w:rsid w:val="006712B5"/>
    <w:rsid w:val="006713EE"/>
    <w:rsid w:val="00671822"/>
    <w:rsid w:val="0067212A"/>
    <w:rsid w:val="00672590"/>
    <w:rsid w:val="006728EF"/>
    <w:rsid w:val="00672A37"/>
    <w:rsid w:val="00672AE6"/>
    <w:rsid w:val="00672BA8"/>
    <w:rsid w:val="00673565"/>
    <w:rsid w:val="0067418B"/>
    <w:rsid w:val="00675268"/>
    <w:rsid w:val="006754F3"/>
    <w:rsid w:val="0067562B"/>
    <w:rsid w:val="00675781"/>
    <w:rsid w:val="00675A58"/>
    <w:rsid w:val="00675B7E"/>
    <w:rsid w:val="00675F7E"/>
    <w:rsid w:val="00676137"/>
    <w:rsid w:val="00676204"/>
    <w:rsid w:val="00676BA3"/>
    <w:rsid w:val="00676E32"/>
    <w:rsid w:val="00677082"/>
    <w:rsid w:val="0067739B"/>
    <w:rsid w:val="006774E7"/>
    <w:rsid w:val="0067766B"/>
    <w:rsid w:val="006776C7"/>
    <w:rsid w:val="00677B71"/>
    <w:rsid w:val="00681098"/>
    <w:rsid w:val="00681578"/>
    <w:rsid w:val="0068187F"/>
    <w:rsid w:val="006823B0"/>
    <w:rsid w:val="00682581"/>
    <w:rsid w:val="00682696"/>
    <w:rsid w:val="00682845"/>
    <w:rsid w:val="006835C5"/>
    <w:rsid w:val="00684066"/>
    <w:rsid w:val="0068415B"/>
    <w:rsid w:val="0068425A"/>
    <w:rsid w:val="00684423"/>
    <w:rsid w:val="00684475"/>
    <w:rsid w:val="00684693"/>
    <w:rsid w:val="00685094"/>
    <w:rsid w:val="00685524"/>
    <w:rsid w:val="00685607"/>
    <w:rsid w:val="00685646"/>
    <w:rsid w:val="00685F8C"/>
    <w:rsid w:val="00686E0B"/>
    <w:rsid w:val="0068764E"/>
    <w:rsid w:val="00687A48"/>
    <w:rsid w:val="00687C59"/>
    <w:rsid w:val="00687C72"/>
    <w:rsid w:val="00687CA1"/>
    <w:rsid w:val="006914A1"/>
    <w:rsid w:val="006915B4"/>
    <w:rsid w:val="006918D7"/>
    <w:rsid w:val="00692516"/>
    <w:rsid w:val="00692A17"/>
    <w:rsid w:val="00693C5E"/>
    <w:rsid w:val="0069465D"/>
    <w:rsid w:val="006949BC"/>
    <w:rsid w:val="00694E3F"/>
    <w:rsid w:val="006954F4"/>
    <w:rsid w:val="00696246"/>
    <w:rsid w:val="00697747"/>
    <w:rsid w:val="006A0023"/>
    <w:rsid w:val="006A059C"/>
    <w:rsid w:val="006A12A5"/>
    <w:rsid w:val="006A1490"/>
    <w:rsid w:val="006A2512"/>
    <w:rsid w:val="006A2803"/>
    <w:rsid w:val="006A41AF"/>
    <w:rsid w:val="006A4383"/>
    <w:rsid w:val="006A6032"/>
    <w:rsid w:val="006A618A"/>
    <w:rsid w:val="006A61AC"/>
    <w:rsid w:val="006A6442"/>
    <w:rsid w:val="006A6BC8"/>
    <w:rsid w:val="006A73E7"/>
    <w:rsid w:val="006A76EB"/>
    <w:rsid w:val="006A7F85"/>
    <w:rsid w:val="006B00C3"/>
    <w:rsid w:val="006B0908"/>
    <w:rsid w:val="006B10B1"/>
    <w:rsid w:val="006B117B"/>
    <w:rsid w:val="006B1764"/>
    <w:rsid w:val="006B1B6A"/>
    <w:rsid w:val="006B1FD3"/>
    <w:rsid w:val="006B2D08"/>
    <w:rsid w:val="006B3044"/>
    <w:rsid w:val="006B3181"/>
    <w:rsid w:val="006B400C"/>
    <w:rsid w:val="006B48E6"/>
    <w:rsid w:val="006B59E3"/>
    <w:rsid w:val="006B5F06"/>
    <w:rsid w:val="006B6D24"/>
    <w:rsid w:val="006B6EBA"/>
    <w:rsid w:val="006B7009"/>
    <w:rsid w:val="006B71D4"/>
    <w:rsid w:val="006B73FA"/>
    <w:rsid w:val="006B746A"/>
    <w:rsid w:val="006B790E"/>
    <w:rsid w:val="006C0224"/>
    <w:rsid w:val="006C050B"/>
    <w:rsid w:val="006C0773"/>
    <w:rsid w:val="006C0898"/>
    <w:rsid w:val="006C1155"/>
    <w:rsid w:val="006C1788"/>
    <w:rsid w:val="006C1ED7"/>
    <w:rsid w:val="006C22D5"/>
    <w:rsid w:val="006C257D"/>
    <w:rsid w:val="006C2667"/>
    <w:rsid w:val="006C2A23"/>
    <w:rsid w:val="006C343D"/>
    <w:rsid w:val="006C3C51"/>
    <w:rsid w:val="006C3D39"/>
    <w:rsid w:val="006C3F42"/>
    <w:rsid w:val="006C4ACB"/>
    <w:rsid w:val="006C52D1"/>
    <w:rsid w:val="006C5ECC"/>
    <w:rsid w:val="006C6C07"/>
    <w:rsid w:val="006C793F"/>
    <w:rsid w:val="006C7AA4"/>
    <w:rsid w:val="006C7CBB"/>
    <w:rsid w:val="006D0002"/>
    <w:rsid w:val="006D054B"/>
    <w:rsid w:val="006D0DCA"/>
    <w:rsid w:val="006D1823"/>
    <w:rsid w:val="006D1D97"/>
    <w:rsid w:val="006D32A3"/>
    <w:rsid w:val="006D33F1"/>
    <w:rsid w:val="006D38B2"/>
    <w:rsid w:val="006D39EA"/>
    <w:rsid w:val="006D4A58"/>
    <w:rsid w:val="006D5107"/>
    <w:rsid w:val="006D561A"/>
    <w:rsid w:val="006D59F6"/>
    <w:rsid w:val="006D71DE"/>
    <w:rsid w:val="006D750D"/>
    <w:rsid w:val="006D76B7"/>
    <w:rsid w:val="006D7D90"/>
    <w:rsid w:val="006E0004"/>
    <w:rsid w:val="006E083C"/>
    <w:rsid w:val="006E0989"/>
    <w:rsid w:val="006E0D27"/>
    <w:rsid w:val="006E0DBC"/>
    <w:rsid w:val="006E1467"/>
    <w:rsid w:val="006E1D41"/>
    <w:rsid w:val="006E2DED"/>
    <w:rsid w:val="006E2E30"/>
    <w:rsid w:val="006E2F5E"/>
    <w:rsid w:val="006E3065"/>
    <w:rsid w:val="006E30F2"/>
    <w:rsid w:val="006E3F59"/>
    <w:rsid w:val="006E4B12"/>
    <w:rsid w:val="006E511E"/>
    <w:rsid w:val="006E513D"/>
    <w:rsid w:val="006E5425"/>
    <w:rsid w:val="006E5C85"/>
    <w:rsid w:val="006E5CD8"/>
    <w:rsid w:val="006E75F2"/>
    <w:rsid w:val="006E7B13"/>
    <w:rsid w:val="006E7D17"/>
    <w:rsid w:val="006F04E6"/>
    <w:rsid w:val="006F077E"/>
    <w:rsid w:val="006F0822"/>
    <w:rsid w:val="006F08F8"/>
    <w:rsid w:val="006F0AAC"/>
    <w:rsid w:val="006F153D"/>
    <w:rsid w:val="006F1A7B"/>
    <w:rsid w:val="006F20E1"/>
    <w:rsid w:val="006F26B5"/>
    <w:rsid w:val="006F270D"/>
    <w:rsid w:val="006F3664"/>
    <w:rsid w:val="006F4228"/>
    <w:rsid w:val="006F434E"/>
    <w:rsid w:val="006F4407"/>
    <w:rsid w:val="006F4461"/>
    <w:rsid w:val="006F4EF1"/>
    <w:rsid w:val="006F5B74"/>
    <w:rsid w:val="006F5F6F"/>
    <w:rsid w:val="006F643E"/>
    <w:rsid w:val="006F7487"/>
    <w:rsid w:val="006F765E"/>
    <w:rsid w:val="006F7BE8"/>
    <w:rsid w:val="006F7C41"/>
    <w:rsid w:val="006F7E4E"/>
    <w:rsid w:val="006F7F20"/>
    <w:rsid w:val="00700FD3"/>
    <w:rsid w:val="00701922"/>
    <w:rsid w:val="00701EED"/>
    <w:rsid w:val="0070297E"/>
    <w:rsid w:val="00702AF9"/>
    <w:rsid w:val="007039E8"/>
    <w:rsid w:val="00703BD8"/>
    <w:rsid w:val="00703C89"/>
    <w:rsid w:val="0070477C"/>
    <w:rsid w:val="00704D71"/>
    <w:rsid w:val="00705061"/>
    <w:rsid w:val="007051E3"/>
    <w:rsid w:val="007053B4"/>
    <w:rsid w:val="00705C43"/>
    <w:rsid w:val="00705C6B"/>
    <w:rsid w:val="007061C4"/>
    <w:rsid w:val="0070670F"/>
    <w:rsid w:val="007067CB"/>
    <w:rsid w:val="007069B4"/>
    <w:rsid w:val="00706DA7"/>
    <w:rsid w:val="00707AEF"/>
    <w:rsid w:val="00710A56"/>
    <w:rsid w:val="00710DB5"/>
    <w:rsid w:val="00711257"/>
    <w:rsid w:val="007112C9"/>
    <w:rsid w:val="0071197C"/>
    <w:rsid w:val="0071197F"/>
    <w:rsid w:val="00711EFD"/>
    <w:rsid w:val="007126EE"/>
    <w:rsid w:val="00712730"/>
    <w:rsid w:val="00712846"/>
    <w:rsid w:val="00712A05"/>
    <w:rsid w:val="00712B10"/>
    <w:rsid w:val="0071334F"/>
    <w:rsid w:val="007138DD"/>
    <w:rsid w:val="0071410D"/>
    <w:rsid w:val="00714229"/>
    <w:rsid w:val="007146BB"/>
    <w:rsid w:val="007151D6"/>
    <w:rsid w:val="00715386"/>
    <w:rsid w:val="0071565B"/>
    <w:rsid w:val="00715C84"/>
    <w:rsid w:val="007165C9"/>
    <w:rsid w:val="007169C6"/>
    <w:rsid w:val="0071706F"/>
    <w:rsid w:val="007170FD"/>
    <w:rsid w:val="007171CD"/>
    <w:rsid w:val="00717F46"/>
    <w:rsid w:val="007200EF"/>
    <w:rsid w:val="0072039F"/>
    <w:rsid w:val="00720571"/>
    <w:rsid w:val="007206B9"/>
    <w:rsid w:val="00720CDE"/>
    <w:rsid w:val="00721313"/>
    <w:rsid w:val="00721563"/>
    <w:rsid w:val="00721697"/>
    <w:rsid w:val="00721741"/>
    <w:rsid w:val="0072231C"/>
    <w:rsid w:val="00723645"/>
    <w:rsid w:val="00724153"/>
    <w:rsid w:val="00724388"/>
    <w:rsid w:val="00724DCD"/>
    <w:rsid w:val="00724F04"/>
    <w:rsid w:val="007251E6"/>
    <w:rsid w:val="00725529"/>
    <w:rsid w:val="00725B02"/>
    <w:rsid w:val="00725C13"/>
    <w:rsid w:val="00725CD1"/>
    <w:rsid w:val="007269D3"/>
    <w:rsid w:val="007269FC"/>
    <w:rsid w:val="007271C4"/>
    <w:rsid w:val="00727A84"/>
    <w:rsid w:val="00727E89"/>
    <w:rsid w:val="00730273"/>
    <w:rsid w:val="00730C87"/>
    <w:rsid w:val="007312DE"/>
    <w:rsid w:val="007313E4"/>
    <w:rsid w:val="0073194F"/>
    <w:rsid w:val="00731C09"/>
    <w:rsid w:val="007323D5"/>
    <w:rsid w:val="00732566"/>
    <w:rsid w:val="00733476"/>
    <w:rsid w:val="00733678"/>
    <w:rsid w:val="00733818"/>
    <w:rsid w:val="00733E12"/>
    <w:rsid w:val="0073419E"/>
    <w:rsid w:val="007342B3"/>
    <w:rsid w:val="00734367"/>
    <w:rsid w:val="00734720"/>
    <w:rsid w:val="00734994"/>
    <w:rsid w:val="0073523D"/>
    <w:rsid w:val="00735A1D"/>
    <w:rsid w:val="00735D4A"/>
    <w:rsid w:val="00736908"/>
    <w:rsid w:val="00736D27"/>
    <w:rsid w:val="00737D96"/>
    <w:rsid w:val="007404CE"/>
    <w:rsid w:val="007407E2"/>
    <w:rsid w:val="0074121A"/>
    <w:rsid w:val="007413CF"/>
    <w:rsid w:val="007413E8"/>
    <w:rsid w:val="00741A02"/>
    <w:rsid w:val="007423ED"/>
    <w:rsid w:val="00742546"/>
    <w:rsid w:val="00743432"/>
    <w:rsid w:val="0074375F"/>
    <w:rsid w:val="0074541E"/>
    <w:rsid w:val="00745879"/>
    <w:rsid w:val="007459C3"/>
    <w:rsid w:val="00745B94"/>
    <w:rsid w:val="00746289"/>
    <w:rsid w:val="00746787"/>
    <w:rsid w:val="007469AF"/>
    <w:rsid w:val="00747616"/>
    <w:rsid w:val="00747F74"/>
    <w:rsid w:val="007501F8"/>
    <w:rsid w:val="0075038A"/>
    <w:rsid w:val="0075042A"/>
    <w:rsid w:val="00751367"/>
    <w:rsid w:val="007513C6"/>
    <w:rsid w:val="00751B0A"/>
    <w:rsid w:val="0075233D"/>
    <w:rsid w:val="007525FA"/>
    <w:rsid w:val="007526CE"/>
    <w:rsid w:val="00752A2C"/>
    <w:rsid w:val="00752CBA"/>
    <w:rsid w:val="007532CE"/>
    <w:rsid w:val="00754442"/>
    <w:rsid w:val="00754A12"/>
    <w:rsid w:val="00754FE6"/>
    <w:rsid w:val="00755233"/>
    <w:rsid w:val="00755256"/>
    <w:rsid w:val="007562CC"/>
    <w:rsid w:val="00756CAF"/>
    <w:rsid w:val="00756ECD"/>
    <w:rsid w:val="00756F56"/>
    <w:rsid w:val="0075709B"/>
    <w:rsid w:val="007572C7"/>
    <w:rsid w:val="00761A45"/>
    <w:rsid w:val="00762228"/>
    <w:rsid w:val="0076318D"/>
    <w:rsid w:val="007639F1"/>
    <w:rsid w:val="0076427A"/>
    <w:rsid w:val="007642A8"/>
    <w:rsid w:val="00764340"/>
    <w:rsid w:val="00764CDA"/>
    <w:rsid w:val="00765569"/>
    <w:rsid w:val="0076581D"/>
    <w:rsid w:val="00765D7A"/>
    <w:rsid w:val="0076628D"/>
    <w:rsid w:val="00766417"/>
    <w:rsid w:val="007673FB"/>
    <w:rsid w:val="007679C3"/>
    <w:rsid w:val="00767C6A"/>
    <w:rsid w:val="007702A1"/>
    <w:rsid w:val="007704E4"/>
    <w:rsid w:val="0077073A"/>
    <w:rsid w:val="00771256"/>
    <w:rsid w:val="007712FC"/>
    <w:rsid w:val="0077200D"/>
    <w:rsid w:val="00772361"/>
    <w:rsid w:val="00772B67"/>
    <w:rsid w:val="00773523"/>
    <w:rsid w:val="0077353A"/>
    <w:rsid w:val="0077397E"/>
    <w:rsid w:val="00773C94"/>
    <w:rsid w:val="00773D11"/>
    <w:rsid w:val="007747AB"/>
    <w:rsid w:val="00774963"/>
    <w:rsid w:val="00774ABF"/>
    <w:rsid w:val="00774D7C"/>
    <w:rsid w:val="00774EEA"/>
    <w:rsid w:val="00774F9E"/>
    <w:rsid w:val="00775790"/>
    <w:rsid w:val="00775B1B"/>
    <w:rsid w:val="00776E24"/>
    <w:rsid w:val="00776FDB"/>
    <w:rsid w:val="0078022D"/>
    <w:rsid w:val="007803E4"/>
    <w:rsid w:val="00780806"/>
    <w:rsid w:val="0078088B"/>
    <w:rsid w:val="00780A8E"/>
    <w:rsid w:val="00781462"/>
    <w:rsid w:val="00781F5E"/>
    <w:rsid w:val="00782251"/>
    <w:rsid w:val="00782635"/>
    <w:rsid w:val="007826DA"/>
    <w:rsid w:val="007827DF"/>
    <w:rsid w:val="007839B9"/>
    <w:rsid w:val="00783D66"/>
    <w:rsid w:val="007849C9"/>
    <w:rsid w:val="007857E8"/>
    <w:rsid w:val="00785E29"/>
    <w:rsid w:val="00786A10"/>
    <w:rsid w:val="00787414"/>
    <w:rsid w:val="007900E0"/>
    <w:rsid w:val="00790997"/>
    <w:rsid w:val="00790A75"/>
    <w:rsid w:val="007911C1"/>
    <w:rsid w:val="00791666"/>
    <w:rsid w:val="00791C62"/>
    <w:rsid w:val="00792839"/>
    <w:rsid w:val="007928DC"/>
    <w:rsid w:val="00793701"/>
    <w:rsid w:val="00793CB7"/>
    <w:rsid w:val="0079438E"/>
    <w:rsid w:val="007944C6"/>
    <w:rsid w:val="00794517"/>
    <w:rsid w:val="00794C8E"/>
    <w:rsid w:val="00795009"/>
    <w:rsid w:val="00795018"/>
    <w:rsid w:val="00795FDA"/>
    <w:rsid w:val="007960D8"/>
    <w:rsid w:val="007973A3"/>
    <w:rsid w:val="00797EC1"/>
    <w:rsid w:val="007A2C73"/>
    <w:rsid w:val="007A334D"/>
    <w:rsid w:val="007A44C4"/>
    <w:rsid w:val="007A45A8"/>
    <w:rsid w:val="007A49C7"/>
    <w:rsid w:val="007A4B6F"/>
    <w:rsid w:val="007A546D"/>
    <w:rsid w:val="007A5D43"/>
    <w:rsid w:val="007A60D8"/>
    <w:rsid w:val="007A62FB"/>
    <w:rsid w:val="007A6CC3"/>
    <w:rsid w:val="007A7DE9"/>
    <w:rsid w:val="007B00D2"/>
    <w:rsid w:val="007B02A1"/>
    <w:rsid w:val="007B0CC9"/>
    <w:rsid w:val="007B13FF"/>
    <w:rsid w:val="007B1846"/>
    <w:rsid w:val="007B1B77"/>
    <w:rsid w:val="007B1CF4"/>
    <w:rsid w:val="007B25F3"/>
    <w:rsid w:val="007B2713"/>
    <w:rsid w:val="007B2A38"/>
    <w:rsid w:val="007B307A"/>
    <w:rsid w:val="007B3DAD"/>
    <w:rsid w:val="007B3DE6"/>
    <w:rsid w:val="007B3EC2"/>
    <w:rsid w:val="007B447D"/>
    <w:rsid w:val="007B4712"/>
    <w:rsid w:val="007B51C3"/>
    <w:rsid w:val="007B5474"/>
    <w:rsid w:val="007B5E95"/>
    <w:rsid w:val="007B6E7F"/>
    <w:rsid w:val="007B6EDE"/>
    <w:rsid w:val="007B7015"/>
    <w:rsid w:val="007B73C8"/>
    <w:rsid w:val="007B781A"/>
    <w:rsid w:val="007C0777"/>
    <w:rsid w:val="007C0903"/>
    <w:rsid w:val="007C0FAA"/>
    <w:rsid w:val="007C106B"/>
    <w:rsid w:val="007C2162"/>
    <w:rsid w:val="007C2308"/>
    <w:rsid w:val="007C2606"/>
    <w:rsid w:val="007C2649"/>
    <w:rsid w:val="007C39E5"/>
    <w:rsid w:val="007C3DE2"/>
    <w:rsid w:val="007C410A"/>
    <w:rsid w:val="007C481C"/>
    <w:rsid w:val="007C4C35"/>
    <w:rsid w:val="007C4D01"/>
    <w:rsid w:val="007C4F02"/>
    <w:rsid w:val="007C4F6A"/>
    <w:rsid w:val="007C4F7A"/>
    <w:rsid w:val="007C50A5"/>
    <w:rsid w:val="007C555C"/>
    <w:rsid w:val="007C5D9D"/>
    <w:rsid w:val="007C6045"/>
    <w:rsid w:val="007C67CC"/>
    <w:rsid w:val="007C6A20"/>
    <w:rsid w:val="007C6AA3"/>
    <w:rsid w:val="007C708F"/>
    <w:rsid w:val="007C7234"/>
    <w:rsid w:val="007C7430"/>
    <w:rsid w:val="007C7A20"/>
    <w:rsid w:val="007C7BE4"/>
    <w:rsid w:val="007C7E09"/>
    <w:rsid w:val="007D0374"/>
    <w:rsid w:val="007D043B"/>
    <w:rsid w:val="007D0574"/>
    <w:rsid w:val="007D09ED"/>
    <w:rsid w:val="007D0AA5"/>
    <w:rsid w:val="007D12AC"/>
    <w:rsid w:val="007D163B"/>
    <w:rsid w:val="007D16B9"/>
    <w:rsid w:val="007D1E15"/>
    <w:rsid w:val="007D1F05"/>
    <w:rsid w:val="007D2921"/>
    <w:rsid w:val="007D2CA8"/>
    <w:rsid w:val="007D35A5"/>
    <w:rsid w:val="007D38FB"/>
    <w:rsid w:val="007D40E4"/>
    <w:rsid w:val="007D46C4"/>
    <w:rsid w:val="007D4DDD"/>
    <w:rsid w:val="007D54C8"/>
    <w:rsid w:val="007D55C5"/>
    <w:rsid w:val="007D58BB"/>
    <w:rsid w:val="007D6581"/>
    <w:rsid w:val="007D6688"/>
    <w:rsid w:val="007D693C"/>
    <w:rsid w:val="007D69D1"/>
    <w:rsid w:val="007D70C3"/>
    <w:rsid w:val="007D70D3"/>
    <w:rsid w:val="007D7C57"/>
    <w:rsid w:val="007E0DFA"/>
    <w:rsid w:val="007E1088"/>
    <w:rsid w:val="007E14F3"/>
    <w:rsid w:val="007E1778"/>
    <w:rsid w:val="007E1C87"/>
    <w:rsid w:val="007E1E02"/>
    <w:rsid w:val="007E2273"/>
    <w:rsid w:val="007E22BE"/>
    <w:rsid w:val="007E3F56"/>
    <w:rsid w:val="007E4A85"/>
    <w:rsid w:val="007E4CA4"/>
    <w:rsid w:val="007E4DDB"/>
    <w:rsid w:val="007E5261"/>
    <w:rsid w:val="007E5CE0"/>
    <w:rsid w:val="007E5DC6"/>
    <w:rsid w:val="007E6B58"/>
    <w:rsid w:val="007E7E5B"/>
    <w:rsid w:val="007F08DB"/>
    <w:rsid w:val="007F256F"/>
    <w:rsid w:val="007F2CA5"/>
    <w:rsid w:val="007F2DA0"/>
    <w:rsid w:val="007F3B85"/>
    <w:rsid w:val="007F486C"/>
    <w:rsid w:val="007F4FD4"/>
    <w:rsid w:val="007F5907"/>
    <w:rsid w:val="007F5A53"/>
    <w:rsid w:val="007F5CC9"/>
    <w:rsid w:val="007F5FC6"/>
    <w:rsid w:val="007F647C"/>
    <w:rsid w:val="007F6564"/>
    <w:rsid w:val="007F6E34"/>
    <w:rsid w:val="007F7041"/>
    <w:rsid w:val="007F79F7"/>
    <w:rsid w:val="00800583"/>
    <w:rsid w:val="00800A5E"/>
    <w:rsid w:val="00800A6D"/>
    <w:rsid w:val="008010A8"/>
    <w:rsid w:val="00801186"/>
    <w:rsid w:val="00801F8D"/>
    <w:rsid w:val="0080207E"/>
    <w:rsid w:val="008025A1"/>
    <w:rsid w:val="00802917"/>
    <w:rsid w:val="00802DDB"/>
    <w:rsid w:val="00802DE6"/>
    <w:rsid w:val="00803DCE"/>
    <w:rsid w:val="00803EB2"/>
    <w:rsid w:val="00803F8A"/>
    <w:rsid w:val="00803FA4"/>
    <w:rsid w:val="00804C48"/>
    <w:rsid w:val="00805402"/>
    <w:rsid w:val="00805E40"/>
    <w:rsid w:val="00806C28"/>
    <w:rsid w:val="00807320"/>
    <w:rsid w:val="0080738F"/>
    <w:rsid w:val="00807FA7"/>
    <w:rsid w:val="008100F4"/>
    <w:rsid w:val="00810121"/>
    <w:rsid w:val="00810906"/>
    <w:rsid w:val="00810C45"/>
    <w:rsid w:val="00810EDE"/>
    <w:rsid w:val="0081112D"/>
    <w:rsid w:val="008116EB"/>
    <w:rsid w:val="00811BBC"/>
    <w:rsid w:val="00811D73"/>
    <w:rsid w:val="008120E7"/>
    <w:rsid w:val="00813414"/>
    <w:rsid w:val="00814022"/>
    <w:rsid w:val="00814C0E"/>
    <w:rsid w:val="00815720"/>
    <w:rsid w:val="00815935"/>
    <w:rsid w:val="008159FD"/>
    <w:rsid w:val="00816151"/>
    <w:rsid w:val="008164D2"/>
    <w:rsid w:val="00816571"/>
    <w:rsid w:val="00816A0C"/>
    <w:rsid w:val="00816C0C"/>
    <w:rsid w:val="00816C92"/>
    <w:rsid w:val="00816D07"/>
    <w:rsid w:val="00817422"/>
    <w:rsid w:val="00817786"/>
    <w:rsid w:val="0081799C"/>
    <w:rsid w:val="00817A97"/>
    <w:rsid w:val="00820666"/>
    <w:rsid w:val="008206A4"/>
    <w:rsid w:val="00820E6D"/>
    <w:rsid w:val="0082156A"/>
    <w:rsid w:val="00821D52"/>
    <w:rsid w:val="008222BC"/>
    <w:rsid w:val="008223DA"/>
    <w:rsid w:val="008227DF"/>
    <w:rsid w:val="00823759"/>
    <w:rsid w:val="0082378C"/>
    <w:rsid w:val="00823BD2"/>
    <w:rsid w:val="00824738"/>
    <w:rsid w:val="00824CAA"/>
    <w:rsid w:val="00824F52"/>
    <w:rsid w:val="0082568C"/>
    <w:rsid w:val="00826012"/>
    <w:rsid w:val="0082613F"/>
    <w:rsid w:val="00826241"/>
    <w:rsid w:val="0082649A"/>
    <w:rsid w:val="00826712"/>
    <w:rsid w:val="00826BA1"/>
    <w:rsid w:val="00826FD3"/>
    <w:rsid w:val="0082738C"/>
    <w:rsid w:val="008273FF"/>
    <w:rsid w:val="00827950"/>
    <w:rsid w:val="00827D50"/>
    <w:rsid w:val="008302D7"/>
    <w:rsid w:val="00830D61"/>
    <w:rsid w:val="00831250"/>
    <w:rsid w:val="0083183B"/>
    <w:rsid w:val="00831F00"/>
    <w:rsid w:val="00832501"/>
    <w:rsid w:val="008325FC"/>
    <w:rsid w:val="00832B3A"/>
    <w:rsid w:val="0083319F"/>
    <w:rsid w:val="008341D6"/>
    <w:rsid w:val="00834722"/>
    <w:rsid w:val="00834B58"/>
    <w:rsid w:val="00834C68"/>
    <w:rsid w:val="0083502B"/>
    <w:rsid w:val="00837585"/>
    <w:rsid w:val="0083783C"/>
    <w:rsid w:val="00837C85"/>
    <w:rsid w:val="00840006"/>
    <w:rsid w:val="00840280"/>
    <w:rsid w:val="00840926"/>
    <w:rsid w:val="0084096E"/>
    <w:rsid w:val="00840BAE"/>
    <w:rsid w:val="008419D0"/>
    <w:rsid w:val="00841E92"/>
    <w:rsid w:val="00841F0C"/>
    <w:rsid w:val="0084298B"/>
    <w:rsid w:val="00844420"/>
    <w:rsid w:val="00844484"/>
    <w:rsid w:val="00844718"/>
    <w:rsid w:val="00844F4C"/>
    <w:rsid w:val="00845308"/>
    <w:rsid w:val="0084572F"/>
    <w:rsid w:val="00845E93"/>
    <w:rsid w:val="0084711B"/>
    <w:rsid w:val="008475F5"/>
    <w:rsid w:val="00847659"/>
    <w:rsid w:val="00850498"/>
    <w:rsid w:val="008504DB"/>
    <w:rsid w:val="00851A76"/>
    <w:rsid w:val="00851E66"/>
    <w:rsid w:val="0085222F"/>
    <w:rsid w:val="0085317C"/>
    <w:rsid w:val="0085330F"/>
    <w:rsid w:val="008535F3"/>
    <w:rsid w:val="00853976"/>
    <w:rsid w:val="008539F3"/>
    <w:rsid w:val="00854440"/>
    <w:rsid w:val="008544FD"/>
    <w:rsid w:val="00854775"/>
    <w:rsid w:val="00854C04"/>
    <w:rsid w:val="00854D71"/>
    <w:rsid w:val="0085518E"/>
    <w:rsid w:val="008553C5"/>
    <w:rsid w:val="00855566"/>
    <w:rsid w:val="008556F8"/>
    <w:rsid w:val="00855936"/>
    <w:rsid w:val="00855A2F"/>
    <w:rsid w:val="00855DE7"/>
    <w:rsid w:val="00856020"/>
    <w:rsid w:val="008562E4"/>
    <w:rsid w:val="008562E7"/>
    <w:rsid w:val="008563C1"/>
    <w:rsid w:val="0085664E"/>
    <w:rsid w:val="008567D3"/>
    <w:rsid w:val="008567FC"/>
    <w:rsid w:val="008572BE"/>
    <w:rsid w:val="008572ED"/>
    <w:rsid w:val="008574A3"/>
    <w:rsid w:val="00857F76"/>
    <w:rsid w:val="00860021"/>
    <w:rsid w:val="008604BE"/>
    <w:rsid w:val="00860A8F"/>
    <w:rsid w:val="00860B19"/>
    <w:rsid w:val="008611B4"/>
    <w:rsid w:val="00861221"/>
    <w:rsid w:val="008616C2"/>
    <w:rsid w:val="00861915"/>
    <w:rsid w:val="00862434"/>
    <w:rsid w:val="00862779"/>
    <w:rsid w:val="00862EA1"/>
    <w:rsid w:val="00863FF6"/>
    <w:rsid w:val="0086486E"/>
    <w:rsid w:val="00865295"/>
    <w:rsid w:val="0086532E"/>
    <w:rsid w:val="008653C3"/>
    <w:rsid w:val="008654A5"/>
    <w:rsid w:val="008656D0"/>
    <w:rsid w:val="00865D5B"/>
    <w:rsid w:val="00865D67"/>
    <w:rsid w:val="00866744"/>
    <w:rsid w:val="008667EA"/>
    <w:rsid w:val="008674B8"/>
    <w:rsid w:val="00867F85"/>
    <w:rsid w:val="008702E8"/>
    <w:rsid w:val="0087040C"/>
    <w:rsid w:val="00870B7A"/>
    <w:rsid w:val="00870C48"/>
    <w:rsid w:val="00870EB5"/>
    <w:rsid w:val="008712A3"/>
    <w:rsid w:val="00871A51"/>
    <w:rsid w:val="00871EB4"/>
    <w:rsid w:val="00872261"/>
    <w:rsid w:val="008727AC"/>
    <w:rsid w:val="00872DC9"/>
    <w:rsid w:val="008733EB"/>
    <w:rsid w:val="00874024"/>
    <w:rsid w:val="0087404B"/>
    <w:rsid w:val="0087491D"/>
    <w:rsid w:val="00874D8F"/>
    <w:rsid w:val="0087641A"/>
    <w:rsid w:val="0087667C"/>
    <w:rsid w:val="008769A1"/>
    <w:rsid w:val="00876A62"/>
    <w:rsid w:val="00877F43"/>
    <w:rsid w:val="00880DE8"/>
    <w:rsid w:val="0088135E"/>
    <w:rsid w:val="0088205D"/>
    <w:rsid w:val="0088248F"/>
    <w:rsid w:val="0088278D"/>
    <w:rsid w:val="00882B32"/>
    <w:rsid w:val="008832AD"/>
    <w:rsid w:val="00883687"/>
    <w:rsid w:val="008838AD"/>
    <w:rsid w:val="0088498C"/>
    <w:rsid w:val="00884A70"/>
    <w:rsid w:val="00885F4A"/>
    <w:rsid w:val="00886367"/>
    <w:rsid w:val="0088681B"/>
    <w:rsid w:val="008874D5"/>
    <w:rsid w:val="00887CEF"/>
    <w:rsid w:val="00887D99"/>
    <w:rsid w:val="0089022B"/>
    <w:rsid w:val="00890578"/>
    <w:rsid w:val="0089167A"/>
    <w:rsid w:val="00892338"/>
    <w:rsid w:val="00894AE2"/>
    <w:rsid w:val="00894DA7"/>
    <w:rsid w:val="00894EFF"/>
    <w:rsid w:val="008954DB"/>
    <w:rsid w:val="0089576F"/>
    <w:rsid w:val="00895E46"/>
    <w:rsid w:val="00896153"/>
    <w:rsid w:val="008967AD"/>
    <w:rsid w:val="00896F8E"/>
    <w:rsid w:val="008975C2"/>
    <w:rsid w:val="008A19FD"/>
    <w:rsid w:val="008A1ABC"/>
    <w:rsid w:val="008A27DB"/>
    <w:rsid w:val="008A2E37"/>
    <w:rsid w:val="008A31A1"/>
    <w:rsid w:val="008A37B1"/>
    <w:rsid w:val="008A38F9"/>
    <w:rsid w:val="008A3B31"/>
    <w:rsid w:val="008A469E"/>
    <w:rsid w:val="008A4831"/>
    <w:rsid w:val="008A4A40"/>
    <w:rsid w:val="008A4BBD"/>
    <w:rsid w:val="008A4CFF"/>
    <w:rsid w:val="008A509B"/>
    <w:rsid w:val="008A5879"/>
    <w:rsid w:val="008A5D93"/>
    <w:rsid w:val="008A728A"/>
    <w:rsid w:val="008B036B"/>
    <w:rsid w:val="008B06A9"/>
    <w:rsid w:val="008B0A82"/>
    <w:rsid w:val="008B0E2B"/>
    <w:rsid w:val="008B12CF"/>
    <w:rsid w:val="008B13D8"/>
    <w:rsid w:val="008B1507"/>
    <w:rsid w:val="008B22C7"/>
    <w:rsid w:val="008B2A57"/>
    <w:rsid w:val="008B2C37"/>
    <w:rsid w:val="008B2E85"/>
    <w:rsid w:val="008B2FDD"/>
    <w:rsid w:val="008B3192"/>
    <w:rsid w:val="008B35BB"/>
    <w:rsid w:val="008B393A"/>
    <w:rsid w:val="008B3ABA"/>
    <w:rsid w:val="008B3BA3"/>
    <w:rsid w:val="008B3D2C"/>
    <w:rsid w:val="008B3F3B"/>
    <w:rsid w:val="008B4959"/>
    <w:rsid w:val="008B4C8E"/>
    <w:rsid w:val="008B5229"/>
    <w:rsid w:val="008B57DF"/>
    <w:rsid w:val="008B614D"/>
    <w:rsid w:val="008B633D"/>
    <w:rsid w:val="008B6461"/>
    <w:rsid w:val="008B6625"/>
    <w:rsid w:val="008B68DB"/>
    <w:rsid w:val="008B6F04"/>
    <w:rsid w:val="008B7935"/>
    <w:rsid w:val="008B795C"/>
    <w:rsid w:val="008C0890"/>
    <w:rsid w:val="008C139C"/>
    <w:rsid w:val="008C157F"/>
    <w:rsid w:val="008C21B9"/>
    <w:rsid w:val="008C21D6"/>
    <w:rsid w:val="008C23F7"/>
    <w:rsid w:val="008C2D69"/>
    <w:rsid w:val="008C3609"/>
    <w:rsid w:val="008C3B03"/>
    <w:rsid w:val="008C44E9"/>
    <w:rsid w:val="008C4795"/>
    <w:rsid w:val="008C567A"/>
    <w:rsid w:val="008C5A6B"/>
    <w:rsid w:val="008C623C"/>
    <w:rsid w:val="008C64FF"/>
    <w:rsid w:val="008C663D"/>
    <w:rsid w:val="008C681C"/>
    <w:rsid w:val="008C7084"/>
    <w:rsid w:val="008C73C4"/>
    <w:rsid w:val="008C76D8"/>
    <w:rsid w:val="008C7823"/>
    <w:rsid w:val="008C78E3"/>
    <w:rsid w:val="008C79C3"/>
    <w:rsid w:val="008C7B67"/>
    <w:rsid w:val="008C7F2F"/>
    <w:rsid w:val="008D030D"/>
    <w:rsid w:val="008D0F12"/>
    <w:rsid w:val="008D153D"/>
    <w:rsid w:val="008D160B"/>
    <w:rsid w:val="008D175D"/>
    <w:rsid w:val="008D2F96"/>
    <w:rsid w:val="008D313B"/>
    <w:rsid w:val="008D3225"/>
    <w:rsid w:val="008D331E"/>
    <w:rsid w:val="008D35FA"/>
    <w:rsid w:val="008D36A2"/>
    <w:rsid w:val="008D422C"/>
    <w:rsid w:val="008D4C14"/>
    <w:rsid w:val="008D546E"/>
    <w:rsid w:val="008D54C7"/>
    <w:rsid w:val="008D57B5"/>
    <w:rsid w:val="008D58B1"/>
    <w:rsid w:val="008D72BA"/>
    <w:rsid w:val="008D77A7"/>
    <w:rsid w:val="008D7855"/>
    <w:rsid w:val="008E00E2"/>
    <w:rsid w:val="008E0547"/>
    <w:rsid w:val="008E1417"/>
    <w:rsid w:val="008E1758"/>
    <w:rsid w:val="008E1CD7"/>
    <w:rsid w:val="008E221A"/>
    <w:rsid w:val="008E256D"/>
    <w:rsid w:val="008E260A"/>
    <w:rsid w:val="008E3109"/>
    <w:rsid w:val="008E36CE"/>
    <w:rsid w:val="008E3D0A"/>
    <w:rsid w:val="008E3E56"/>
    <w:rsid w:val="008E635F"/>
    <w:rsid w:val="008E68D5"/>
    <w:rsid w:val="008E6EFE"/>
    <w:rsid w:val="008E7904"/>
    <w:rsid w:val="008F0711"/>
    <w:rsid w:val="008F0B24"/>
    <w:rsid w:val="008F108D"/>
    <w:rsid w:val="008F12B4"/>
    <w:rsid w:val="008F1966"/>
    <w:rsid w:val="008F1D0B"/>
    <w:rsid w:val="008F1D8A"/>
    <w:rsid w:val="008F28A1"/>
    <w:rsid w:val="008F2906"/>
    <w:rsid w:val="008F30C5"/>
    <w:rsid w:val="008F3123"/>
    <w:rsid w:val="008F337A"/>
    <w:rsid w:val="008F495E"/>
    <w:rsid w:val="008F4BBA"/>
    <w:rsid w:val="008F4BD9"/>
    <w:rsid w:val="008F4D79"/>
    <w:rsid w:val="008F5388"/>
    <w:rsid w:val="008F55E8"/>
    <w:rsid w:val="008F59DF"/>
    <w:rsid w:val="008F5AB9"/>
    <w:rsid w:val="008F5C28"/>
    <w:rsid w:val="008F5F5D"/>
    <w:rsid w:val="008F5F7C"/>
    <w:rsid w:val="008F66BD"/>
    <w:rsid w:val="008F682C"/>
    <w:rsid w:val="008F6C87"/>
    <w:rsid w:val="008F6D52"/>
    <w:rsid w:val="008F6FCA"/>
    <w:rsid w:val="008F7652"/>
    <w:rsid w:val="008F77BD"/>
    <w:rsid w:val="008F7859"/>
    <w:rsid w:val="009000F1"/>
    <w:rsid w:val="009002FC"/>
    <w:rsid w:val="00900592"/>
    <w:rsid w:val="0090087D"/>
    <w:rsid w:val="00900A9B"/>
    <w:rsid w:val="00900DF8"/>
    <w:rsid w:val="00901367"/>
    <w:rsid w:val="009016CD"/>
    <w:rsid w:val="00901827"/>
    <w:rsid w:val="00901E66"/>
    <w:rsid w:val="009021D3"/>
    <w:rsid w:val="009025B2"/>
    <w:rsid w:val="009027EE"/>
    <w:rsid w:val="00902C94"/>
    <w:rsid w:val="009034B6"/>
    <w:rsid w:val="009036AF"/>
    <w:rsid w:val="009037ED"/>
    <w:rsid w:val="009046F6"/>
    <w:rsid w:val="00905732"/>
    <w:rsid w:val="00905ECF"/>
    <w:rsid w:val="0090617A"/>
    <w:rsid w:val="0090624F"/>
    <w:rsid w:val="0090648B"/>
    <w:rsid w:val="00906A89"/>
    <w:rsid w:val="00906BE4"/>
    <w:rsid w:val="00906C3D"/>
    <w:rsid w:val="00906C6A"/>
    <w:rsid w:val="00907520"/>
    <w:rsid w:val="00907742"/>
    <w:rsid w:val="009079F1"/>
    <w:rsid w:val="00907BFE"/>
    <w:rsid w:val="00907F60"/>
    <w:rsid w:val="009101DD"/>
    <w:rsid w:val="00910B24"/>
    <w:rsid w:val="00910C15"/>
    <w:rsid w:val="00910DAC"/>
    <w:rsid w:val="009110E4"/>
    <w:rsid w:val="009113F9"/>
    <w:rsid w:val="00911571"/>
    <w:rsid w:val="00912412"/>
    <w:rsid w:val="009124F5"/>
    <w:rsid w:val="0091373B"/>
    <w:rsid w:val="009137FB"/>
    <w:rsid w:val="00913AAE"/>
    <w:rsid w:val="00913BF0"/>
    <w:rsid w:val="009144D7"/>
    <w:rsid w:val="00914C09"/>
    <w:rsid w:val="00914FB4"/>
    <w:rsid w:val="009158AD"/>
    <w:rsid w:val="00916516"/>
    <w:rsid w:val="00916597"/>
    <w:rsid w:val="00916EC7"/>
    <w:rsid w:val="00916EE5"/>
    <w:rsid w:val="009172D6"/>
    <w:rsid w:val="00917FCE"/>
    <w:rsid w:val="009208DC"/>
    <w:rsid w:val="009215C8"/>
    <w:rsid w:val="00921F42"/>
    <w:rsid w:val="00922076"/>
    <w:rsid w:val="009233D1"/>
    <w:rsid w:val="009246FA"/>
    <w:rsid w:val="00924AF4"/>
    <w:rsid w:val="00924C96"/>
    <w:rsid w:val="00924FB4"/>
    <w:rsid w:val="00925133"/>
    <w:rsid w:val="0092573E"/>
    <w:rsid w:val="00926153"/>
    <w:rsid w:val="00926210"/>
    <w:rsid w:val="00926A30"/>
    <w:rsid w:val="00926A95"/>
    <w:rsid w:val="00926C5D"/>
    <w:rsid w:val="0092704D"/>
    <w:rsid w:val="00927914"/>
    <w:rsid w:val="00927A1B"/>
    <w:rsid w:val="00931AA0"/>
    <w:rsid w:val="00931DB0"/>
    <w:rsid w:val="009320D2"/>
    <w:rsid w:val="00932567"/>
    <w:rsid w:val="0093257C"/>
    <w:rsid w:val="00932E53"/>
    <w:rsid w:val="009331DC"/>
    <w:rsid w:val="0093348A"/>
    <w:rsid w:val="00933F8D"/>
    <w:rsid w:val="00934494"/>
    <w:rsid w:val="00934A5B"/>
    <w:rsid w:val="00935248"/>
    <w:rsid w:val="0093541E"/>
    <w:rsid w:val="00935426"/>
    <w:rsid w:val="00935AC4"/>
    <w:rsid w:val="00935E2D"/>
    <w:rsid w:val="00935EFE"/>
    <w:rsid w:val="009363A3"/>
    <w:rsid w:val="00936860"/>
    <w:rsid w:val="00936891"/>
    <w:rsid w:val="00936A42"/>
    <w:rsid w:val="00936C2B"/>
    <w:rsid w:val="00936FA5"/>
    <w:rsid w:val="0093721A"/>
    <w:rsid w:val="009377A1"/>
    <w:rsid w:val="00937862"/>
    <w:rsid w:val="00937AE3"/>
    <w:rsid w:val="00940186"/>
    <w:rsid w:val="0094077E"/>
    <w:rsid w:val="00940DEB"/>
    <w:rsid w:val="0094122F"/>
    <w:rsid w:val="009416CB"/>
    <w:rsid w:val="009418E8"/>
    <w:rsid w:val="00941C9C"/>
    <w:rsid w:val="00941F12"/>
    <w:rsid w:val="00942936"/>
    <w:rsid w:val="00942ADF"/>
    <w:rsid w:val="00943BB0"/>
    <w:rsid w:val="00943EAE"/>
    <w:rsid w:val="00944215"/>
    <w:rsid w:val="009444F6"/>
    <w:rsid w:val="00944882"/>
    <w:rsid w:val="00944969"/>
    <w:rsid w:val="00944B79"/>
    <w:rsid w:val="00944C8A"/>
    <w:rsid w:val="00946009"/>
    <w:rsid w:val="009466A3"/>
    <w:rsid w:val="0094693F"/>
    <w:rsid w:val="009473AE"/>
    <w:rsid w:val="009479EB"/>
    <w:rsid w:val="009500C9"/>
    <w:rsid w:val="00950252"/>
    <w:rsid w:val="00951820"/>
    <w:rsid w:val="0095219A"/>
    <w:rsid w:val="0095233E"/>
    <w:rsid w:val="0095256C"/>
    <w:rsid w:val="00952708"/>
    <w:rsid w:val="00952CBB"/>
    <w:rsid w:val="0095356B"/>
    <w:rsid w:val="00953ECF"/>
    <w:rsid w:val="0095455B"/>
    <w:rsid w:val="0095525C"/>
    <w:rsid w:val="00955A4C"/>
    <w:rsid w:val="00955E4B"/>
    <w:rsid w:val="009573D4"/>
    <w:rsid w:val="00957B37"/>
    <w:rsid w:val="00960743"/>
    <w:rsid w:val="00960EB7"/>
    <w:rsid w:val="009614E0"/>
    <w:rsid w:val="00961B9A"/>
    <w:rsid w:val="00962C04"/>
    <w:rsid w:val="009639D5"/>
    <w:rsid w:val="00963E74"/>
    <w:rsid w:val="009641DC"/>
    <w:rsid w:val="00964B8E"/>
    <w:rsid w:val="00964BE4"/>
    <w:rsid w:val="009657F2"/>
    <w:rsid w:val="00965974"/>
    <w:rsid w:val="00965A8A"/>
    <w:rsid w:val="00965FB8"/>
    <w:rsid w:val="009671D2"/>
    <w:rsid w:val="009671F3"/>
    <w:rsid w:val="00967E9A"/>
    <w:rsid w:val="00967EE8"/>
    <w:rsid w:val="00970408"/>
    <w:rsid w:val="009707DE"/>
    <w:rsid w:val="009707E6"/>
    <w:rsid w:val="00972FF6"/>
    <w:rsid w:val="00973ECD"/>
    <w:rsid w:val="0097448A"/>
    <w:rsid w:val="009745FB"/>
    <w:rsid w:val="00974729"/>
    <w:rsid w:val="00974871"/>
    <w:rsid w:val="0097487D"/>
    <w:rsid w:val="009759DE"/>
    <w:rsid w:val="00975DAA"/>
    <w:rsid w:val="0097625A"/>
    <w:rsid w:val="00976511"/>
    <w:rsid w:val="00976A84"/>
    <w:rsid w:val="00976AAB"/>
    <w:rsid w:val="00977B64"/>
    <w:rsid w:val="00980147"/>
    <w:rsid w:val="009804C2"/>
    <w:rsid w:val="00980689"/>
    <w:rsid w:val="009817D7"/>
    <w:rsid w:val="00981D1F"/>
    <w:rsid w:val="00981D2B"/>
    <w:rsid w:val="0098200C"/>
    <w:rsid w:val="00982304"/>
    <w:rsid w:val="009824B5"/>
    <w:rsid w:val="009828F6"/>
    <w:rsid w:val="00984346"/>
    <w:rsid w:val="00984454"/>
    <w:rsid w:val="009845A3"/>
    <w:rsid w:val="0098467D"/>
    <w:rsid w:val="00984F74"/>
    <w:rsid w:val="009852C3"/>
    <w:rsid w:val="00985651"/>
    <w:rsid w:val="00985AD3"/>
    <w:rsid w:val="00985CBB"/>
    <w:rsid w:val="009870FD"/>
    <w:rsid w:val="009876AD"/>
    <w:rsid w:val="0099021E"/>
    <w:rsid w:val="00990221"/>
    <w:rsid w:val="009903E0"/>
    <w:rsid w:val="0099043D"/>
    <w:rsid w:val="009907B8"/>
    <w:rsid w:val="00990F5F"/>
    <w:rsid w:val="009914BE"/>
    <w:rsid w:val="0099189C"/>
    <w:rsid w:val="00991C9A"/>
    <w:rsid w:val="00992144"/>
    <w:rsid w:val="00992260"/>
    <w:rsid w:val="00992418"/>
    <w:rsid w:val="00992713"/>
    <w:rsid w:val="0099293A"/>
    <w:rsid w:val="009929AC"/>
    <w:rsid w:val="00992D60"/>
    <w:rsid w:val="00992E0C"/>
    <w:rsid w:val="00993A82"/>
    <w:rsid w:val="009944C2"/>
    <w:rsid w:val="00994AAE"/>
    <w:rsid w:val="00995795"/>
    <w:rsid w:val="00995963"/>
    <w:rsid w:val="009964F1"/>
    <w:rsid w:val="0099653F"/>
    <w:rsid w:val="00996F7A"/>
    <w:rsid w:val="00997185"/>
    <w:rsid w:val="00997975"/>
    <w:rsid w:val="009A0460"/>
    <w:rsid w:val="009A0C0C"/>
    <w:rsid w:val="009A12C4"/>
    <w:rsid w:val="009A164E"/>
    <w:rsid w:val="009A1702"/>
    <w:rsid w:val="009A17C5"/>
    <w:rsid w:val="009A1996"/>
    <w:rsid w:val="009A2286"/>
    <w:rsid w:val="009A32FE"/>
    <w:rsid w:val="009A3DB5"/>
    <w:rsid w:val="009A5161"/>
    <w:rsid w:val="009A5560"/>
    <w:rsid w:val="009A55EA"/>
    <w:rsid w:val="009A6C95"/>
    <w:rsid w:val="009A7812"/>
    <w:rsid w:val="009A7D17"/>
    <w:rsid w:val="009A7D3E"/>
    <w:rsid w:val="009B0201"/>
    <w:rsid w:val="009B05A7"/>
    <w:rsid w:val="009B0B3B"/>
    <w:rsid w:val="009B0E11"/>
    <w:rsid w:val="009B1332"/>
    <w:rsid w:val="009B1AC8"/>
    <w:rsid w:val="009B26DF"/>
    <w:rsid w:val="009B2DFA"/>
    <w:rsid w:val="009B46C5"/>
    <w:rsid w:val="009B48E8"/>
    <w:rsid w:val="009B50A4"/>
    <w:rsid w:val="009B5667"/>
    <w:rsid w:val="009B58D6"/>
    <w:rsid w:val="009B6444"/>
    <w:rsid w:val="009B6CF0"/>
    <w:rsid w:val="009B6D01"/>
    <w:rsid w:val="009B7185"/>
    <w:rsid w:val="009B7691"/>
    <w:rsid w:val="009B7A28"/>
    <w:rsid w:val="009C0207"/>
    <w:rsid w:val="009C037B"/>
    <w:rsid w:val="009C0533"/>
    <w:rsid w:val="009C088E"/>
    <w:rsid w:val="009C1694"/>
    <w:rsid w:val="009C1DDD"/>
    <w:rsid w:val="009C1F49"/>
    <w:rsid w:val="009C2537"/>
    <w:rsid w:val="009C26FC"/>
    <w:rsid w:val="009C28C3"/>
    <w:rsid w:val="009C3A84"/>
    <w:rsid w:val="009C442D"/>
    <w:rsid w:val="009C4EAC"/>
    <w:rsid w:val="009C4F13"/>
    <w:rsid w:val="009C5170"/>
    <w:rsid w:val="009C59A2"/>
    <w:rsid w:val="009C5AF5"/>
    <w:rsid w:val="009C5C32"/>
    <w:rsid w:val="009C5F2B"/>
    <w:rsid w:val="009C6075"/>
    <w:rsid w:val="009C6588"/>
    <w:rsid w:val="009C6881"/>
    <w:rsid w:val="009C6C6B"/>
    <w:rsid w:val="009C6CD1"/>
    <w:rsid w:val="009C6D8B"/>
    <w:rsid w:val="009C6EE6"/>
    <w:rsid w:val="009C768E"/>
    <w:rsid w:val="009C7B81"/>
    <w:rsid w:val="009C7BF0"/>
    <w:rsid w:val="009C7DD5"/>
    <w:rsid w:val="009D01C4"/>
    <w:rsid w:val="009D08C4"/>
    <w:rsid w:val="009D0FB9"/>
    <w:rsid w:val="009D1087"/>
    <w:rsid w:val="009D18E8"/>
    <w:rsid w:val="009D2321"/>
    <w:rsid w:val="009D237D"/>
    <w:rsid w:val="009D29D1"/>
    <w:rsid w:val="009D2CBD"/>
    <w:rsid w:val="009D3E61"/>
    <w:rsid w:val="009D4630"/>
    <w:rsid w:val="009D475C"/>
    <w:rsid w:val="009D4C5D"/>
    <w:rsid w:val="009D4CC5"/>
    <w:rsid w:val="009D527A"/>
    <w:rsid w:val="009D5477"/>
    <w:rsid w:val="009D54EF"/>
    <w:rsid w:val="009D5618"/>
    <w:rsid w:val="009D5FED"/>
    <w:rsid w:val="009D606C"/>
    <w:rsid w:val="009D66DC"/>
    <w:rsid w:val="009D6892"/>
    <w:rsid w:val="009D6FC1"/>
    <w:rsid w:val="009D701E"/>
    <w:rsid w:val="009D7C11"/>
    <w:rsid w:val="009E14C8"/>
    <w:rsid w:val="009E198D"/>
    <w:rsid w:val="009E19FA"/>
    <w:rsid w:val="009E24F6"/>
    <w:rsid w:val="009E2B15"/>
    <w:rsid w:val="009E31E9"/>
    <w:rsid w:val="009E3EDC"/>
    <w:rsid w:val="009E4427"/>
    <w:rsid w:val="009E444D"/>
    <w:rsid w:val="009E4B06"/>
    <w:rsid w:val="009E4B6C"/>
    <w:rsid w:val="009E5069"/>
    <w:rsid w:val="009E52A2"/>
    <w:rsid w:val="009E5775"/>
    <w:rsid w:val="009E6A08"/>
    <w:rsid w:val="009E72FB"/>
    <w:rsid w:val="009E7A7E"/>
    <w:rsid w:val="009E7DFD"/>
    <w:rsid w:val="009F05D1"/>
    <w:rsid w:val="009F0FCE"/>
    <w:rsid w:val="009F1869"/>
    <w:rsid w:val="009F205D"/>
    <w:rsid w:val="009F21D3"/>
    <w:rsid w:val="009F2863"/>
    <w:rsid w:val="009F2B26"/>
    <w:rsid w:val="009F3603"/>
    <w:rsid w:val="009F3D19"/>
    <w:rsid w:val="009F3F7E"/>
    <w:rsid w:val="009F440E"/>
    <w:rsid w:val="009F4EEB"/>
    <w:rsid w:val="009F55D1"/>
    <w:rsid w:val="009F5788"/>
    <w:rsid w:val="009F5A4D"/>
    <w:rsid w:val="009F6980"/>
    <w:rsid w:val="009F78DB"/>
    <w:rsid w:val="009F7BD5"/>
    <w:rsid w:val="00A00191"/>
    <w:rsid w:val="00A00CC6"/>
    <w:rsid w:val="00A01A27"/>
    <w:rsid w:val="00A01A5E"/>
    <w:rsid w:val="00A01AD9"/>
    <w:rsid w:val="00A02638"/>
    <w:rsid w:val="00A02F10"/>
    <w:rsid w:val="00A03099"/>
    <w:rsid w:val="00A03FDE"/>
    <w:rsid w:val="00A042B9"/>
    <w:rsid w:val="00A04EAA"/>
    <w:rsid w:val="00A066FF"/>
    <w:rsid w:val="00A07B02"/>
    <w:rsid w:val="00A07C62"/>
    <w:rsid w:val="00A10B12"/>
    <w:rsid w:val="00A10C53"/>
    <w:rsid w:val="00A1146C"/>
    <w:rsid w:val="00A114F7"/>
    <w:rsid w:val="00A11716"/>
    <w:rsid w:val="00A1188F"/>
    <w:rsid w:val="00A11A2F"/>
    <w:rsid w:val="00A11A68"/>
    <w:rsid w:val="00A11F6D"/>
    <w:rsid w:val="00A11F73"/>
    <w:rsid w:val="00A121AC"/>
    <w:rsid w:val="00A127C0"/>
    <w:rsid w:val="00A12891"/>
    <w:rsid w:val="00A12AB7"/>
    <w:rsid w:val="00A12EE3"/>
    <w:rsid w:val="00A13280"/>
    <w:rsid w:val="00A135FE"/>
    <w:rsid w:val="00A13BB5"/>
    <w:rsid w:val="00A14109"/>
    <w:rsid w:val="00A14465"/>
    <w:rsid w:val="00A15450"/>
    <w:rsid w:val="00A15AEF"/>
    <w:rsid w:val="00A15B6D"/>
    <w:rsid w:val="00A15DC5"/>
    <w:rsid w:val="00A16A6B"/>
    <w:rsid w:val="00A1700B"/>
    <w:rsid w:val="00A172A3"/>
    <w:rsid w:val="00A17B5F"/>
    <w:rsid w:val="00A2005D"/>
    <w:rsid w:val="00A2021D"/>
    <w:rsid w:val="00A20DE3"/>
    <w:rsid w:val="00A2181B"/>
    <w:rsid w:val="00A21E42"/>
    <w:rsid w:val="00A22B0C"/>
    <w:rsid w:val="00A23934"/>
    <w:rsid w:val="00A2430C"/>
    <w:rsid w:val="00A246FB"/>
    <w:rsid w:val="00A247CC"/>
    <w:rsid w:val="00A24982"/>
    <w:rsid w:val="00A24D91"/>
    <w:rsid w:val="00A25194"/>
    <w:rsid w:val="00A2626E"/>
    <w:rsid w:val="00A263D8"/>
    <w:rsid w:val="00A26911"/>
    <w:rsid w:val="00A26DED"/>
    <w:rsid w:val="00A3016E"/>
    <w:rsid w:val="00A30273"/>
    <w:rsid w:val="00A30846"/>
    <w:rsid w:val="00A311F3"/>
    <w:rsid w:val="00A326DF"/>
    <w:rsid w:val="00A3286F"/>
    <w:rsid w:val="00A32E5A"/>
    <w:rsid w:val="00A32EFE"/>
    <w:rsid w:val="00A32FCA"/>
    <w:rsid w:val="00A337F9"/>
    <w:rsid w:val="00A3402A"/>
    <w:rsid w:val="00A345B1"/>
    <w:rsid w:val="00A34DE5"/>
    <w:rsid w:val="00A34F53"/>
    <w:rsid w:val="00A355DC"/>
    <w:rsid w:val="00A3615E"/>
    <w:rsid w:val="00A361E3"/>
    <w:rsid w:val="00A36399"/>
    <w:rsid w:val="00A36877"/>
    <w:rsid w:val="00A37C02"/>
    <w:rsid w:val="00A37F05"/>
    <w:rsid w:val="00A40A66"/>
    <w:rsid w:val="00A41418"/>
    <w:rsid w:val="00A4173B"/>
    <w:rsid w:val="00A41BC3"/>
    <w:rsid w:val="00A41CBF"/>
    <w:rsid w:val="00A4365B"/>
    <w:rsid w:val="00A43A70"/>
    <w:rsid w:val="00A43CAC"/>
    <w:rsid w:val="00A43CD8"/>
    <w:rsid w:val="00A43DF6"/>
    <w:rsid w:val="00A4440C"/>
    <w:rsid w:val="00A44BB2"/>
    <w:rsid w:val="00A44E00"/>
    <w:rsid w:val="00A45225"/>
    <w:rsid w:val="00A4524A"/>
    <w:rsid w:val="00A45B09"/>
    <w:rsid w:val="00A45D37"/>
    <w:rsid w:val="00A46157"/>
    <w:rsid w:val="00A477AE"/>
    <w:rsid w:val="00A47B11"/>
    <w:rsid w:val="00A47EED"/>
    <w:rsid w:val="00A5045B"/>
    <w:rsid w:val="00A505D7"/>
    <w:rsid w:val="00A50911"/>
    <w:rsid w:val="00A50D2C"/>
    <w:rsid w:val="00A50D43"/>
    <w:rsid w:val="00A510B1"/>
    <w:rsid w:val="00A51C7D"/>
    <w:rsid w:val="00A52167"/>
    <w:rsid w:val="00A5217A"/>
    <w:rsid w:val="00A52709"/>
    <w:rsid w:val="00A52B48"/>
    <w:rsid w:val="00A53056"/>
    <w:rsid w:val="00A53364"/>
    <w:rsid w:val="00A53455"/>
    <w:rsid w:val="00A5348D"/>
    <w:rsid w:val="00A53FCD"/>
    <w:rsid w:val="00A54ACF"/>
    <w:rsid w:val="00A54CB9"/>
    <w:rsid w:val="00A54DBC"/>
    <w:rsid w:val="00A551AE"/>
    <w:rsid w:val="00A5527A"/>
    <w:rsid w:val="00A564A7"/>
    <w:rsid w:val="00A569E0"/>
    <w:rsid w:val="00A56D83"/>
    <w:rsid w:val="00A57085"/>
    <w:rsid w:val="00A57380"/>
    <w:rsid w:val="00A60EBE"/>
    <w:rsid w:val="00A6157E"/>
    <w:rsid w:val="00A617CF"/>
    <w:rsid w:val="00A61AC6"/>
    <w:rsid w:val="00A61E59"/>
    <w:rsid w:val="00A62172"/>
    <w:rsid w:val="00A622DB"/>
    <w:rsid w:val="00A624A5"/>
    <w:rsid w:val="00A62804"/>
    <w:rsid w:val="00A62A34"/>
    <w:rsid w:val="00A637EA"/>
    <w:rsid w:val="00A63FC4"/>
    <w:rsid w:val="00A64818"/>
    <w:rsid w:val="00A64D7D"/>
    <w:rsid w:val="00A64EAE"/>
    <w:rsid w:val="00A65524"/>
    <w:rsid w:val="00A65632"/>
    <w:rsid w:val="00A657DD"/>
    <w:rsid w:val="00A65E9F"/>
    <w:rsid w:val="00A66C4F"/>
    <w:rsid w:val="00A670E5"/>
    <w:rsid w:val="00A67224"/>
    <w:rsid w:val="00A673EE"/>
    <w:rsid w:val="00A67E47"/>
    <w:rsid w:val="00A67FB0"/>
    <w:rsid w:val="00A70D59"/>
    <w:rsid w:val="00A70EF9"/>
    <w:rsid w:val="00A714BE"/>
    <w:rsid w:val="00A7234D"/>
    <w:rsid w:val="00A7248B"/>
    <w:rsid w:val="00A7288E"/>
    <w:rsid w:val="00A7296C"/>
    <w:rsid w:val="00A732BC"/>
    <w:rsid w:val="00A73CD5"/>
    <w:rsid w:val="00A74343"/>
    <w:rsid w:val="00A74596"/>
    <w:rsid w:val="00A74B13"/>
    <w:rsid w:val="00A74F8E"/>
    <w:rsid w:val="00A75049"/>
    <w:rsid w:val="00A75288"/>
    <w:rsid w:val="00A75BB5"/>
    <w:rsid w:val="00A75EBF"/>
    <w:rsid w:val="00A760B9"/>
    <w:rsid w:val="00A763DE"/>
    <w:rsid w:val="00A76964"/>
    <w:rsid w:val="00A775BE"/>
    <w:rsid w:val="00A77870"/>
    <w:rsid w:val="00A77D05"/>
    <w:rsid w:val="00A80650"/>
    <w:rsid w:val="00A80E40"/>
    <w:rsid w:val="00A81019"/>
    <w:rsid w:val="00A81256"/>
    <w:rsid w:val="00A81D62"/>
    <w:rsid w:val="00A81FFE"/>
    <w:rsid w:val="00A8250B"/>
    <w:rsid w:val="00A825C1"/>
    <w:rsid w:val="00A82D9A"/>
    <w:rsid w:val="00A848A8"/>
    <w:rsid w:val="00A85201"/>
    <w:rsid w:val="00A86173"/>
    <w:rsid w:val="00A86356"/>
    <w:rsid w:val="00A86424"/>
    <w:rsid w:val="00A8764A"/>
    <w:rsid w:val="00A876F2"/>
    <w:rsid w:val="00A904CA"/>
    <w:rsid w:val="00A90709"/>
    <w:rsid w:val="00A913C2"/>
    <w:rsid w:val="00A914BB"/>
    <w:rsid w:val="00A916FE"/>
    <w:rsid w:val="00A918B3"/>
    <w:rsid w:val="00A92116"/>
    <w:rsid w:val="00A9235D"/>
    <w:rsid w:val="00A9295B"/>
    <w:rsid w:val="00A93690"/>
    <w:rsid w:val="00A945A2"/>
    <w:rsid w:val="00A94BFA"/>
    <w:rsid w:val="00A94E6D"/>
    <w:rsid w:val="00A955A9"/>
    <w:rsid w:val="00A958B2"/>
    <w:rsid w:val="00A95B38"/>
    <w:rsid w:val="00A9648C"/>
    <w:rsid w:val="00A9729F"/>
    <w:rsid w:val="00A972DE"/>
    <w:rsid w:val="00A97330"/>
    <w:rsid w:val="00A977EF"/>
    <w:rsid w:val="00A97DB1"/>
    <w:rsid w:val="00A97E23"/>
    <w:rsid w:val="00A97F9E"/>
    <w:rsid w:val="00AA1315"/>
    <w:rsid w:val="00AA1ED0"/>
    <w:rsid w:val="00AA21C0"/>
    <w:rsid w:val="00AA222D"/>
    <w:rsid w:val="00AA283E"/>
    <w:rsid w:val="00AA2A24"/>
    <w:rsid w:val="00AA348E"/>
    <w:rsid w:val="00AA4C0A"/>
    <w:rsid w:val="00AA5395"/>
    <w:rsid w:val="00AA58E0"/>
    <w:rsid w:val="00AA60D6"/>
    <w:rsid w:val="00AA6474"/>
    <w:rsid w:val="00AA6B36"/>
    <w:rsid w:val="00AA6F40"/>
    <w:rsid w:val="00AA6F5C"/>
    <w:rsid w:val="00AA7209"/>
    <w:rsid w:val="00AB0589"/>
    <w:rsid w:val="00AB0B5C"/>
    <w:rsid w:val="00AB174B"/>
    <w:rsid w:val="00AB2188"/>
    <w:rsid w:val="00AB2671"/>
    <w:rsid w:val="00AB2768"/>
    <w:rsid w:val="00AB27CD"/>
    <w:rsid w:val="00AB27EF"/>
    <w:rsid w:val="00AB36D9"/>
    <w:rsid w:val="00AB396E"/>
    <w:rsid w:val="00AB3E7A"/>
    <w:rsid w:val="00AB46B5"/>
    <w:rsid w:val="00AB46BC"/>
    <w:rsid w:val="00AB4A7E"/>
    <w:rsid w:val="00AB5428"/>
    <w:rsid w:val="00AB5B86"/>
    <w:rsid w:val="00AB5F39"/>
    <w:rsid w:val="00AB61AE"/>
    <w:rsid w:val="00AB79DC"/>
    <w:rsid w:val="00AC042F"/>
    <w:rsid w:val="00AC0C6D"/>
    <w:rsid w:val="00AC0D90"/>
    <w:rsid w:val="00AC0F33"/>
    <w:rsid w:val="00AC0FBA"/>
    <w:rsid w:val="00AC1079"/>
    <w:rsid w:val="00AC17D4"/>
    <w:rsid w:val="00AC1BC3"/>
    <w:rsid w:val="00AC240A"/>
    <w:rsid w:val="00AC2FB0"/>
    <w:rsid w:val="00AC34E3"/>
    <w:rsid w:val="00AC3C0A"/>
    <w:rsid w:val="00AC3D9B"/>
    <w:rsid w:val="00AC3DA5"/>
    <w:rsid w:val="00AC4195"/>
    <w:rsid w:val="00AC44A1"/>
    <w:rsid w:val="00AC5673"/>
    <w:rsid w:val="00AC5692"/>
    <w:rsid w:val="00AC6110"/>
    <w:rsid w:val="00AC642B"/>
    <w:rsid w:val="00AC75B1"/>
    <w:rsid w:val="00AC7E80"/>
    <w:rsid w:val="00AD0057"/>
    <w:rsid w:val="00AD079D"/>
    <w:rsid w:val="00AD0923"/>
    <w:rsid w:val="00AD0CE9"/>
    <w:rsid w:val="00AD0F4F"/>
    <w:rsid w:val="00AD1473"/>
    <w:rsid w:val="00AD1BF5"/>
    <w:rsid w:val="00AD1E72"/>
    <w:rsid w:val="00AD20D6"/>
    <w:rsid w:val="00AD2295"/>
    <w:rsid w:val="00AD25C7"/>
    <w:rsid w:val="00AD2658"/>
    <w:rsid w:val="00AD2A9A"/>
    <w:rsid w:val="00AD36BF"/>
    <w:rsid w:val="00AD379E"/>
    <w:rsid w:val="00AD45BD"/>
    <w:rsid w:val="00AD4C84"/>
    <w:rsid w:val="00AD4D9C"/>
    <w:rsid w:val="00AD4DFC"/>
    <w:rsid w:val="00AD55FD"/>
    <w:rsid w:val="00AD5EC6"/>
    <w:rsid w:val="00AD62B5"/>
    <w:rsid w:val="00AD64D5"/>
    <w:rsid w:val="00AD6A89"/>
    <w:rsid w:val="00AD6BBE"/>
    <w:rsid w:val="00AD7723"/>
    <w:rsid w:val="00AD7763"/>
    <w:rsid w:val="00AD7AAD"/>
    <w:rsid w:val="00AE0354"/>
    <w:rsid w:val="00AE0C1B"/>
    <w:rsid w:val="00AE0F5A"/>
    <w:rsid w:val="00AE1E79"/>
    <w:rsid w:val="00AE1FC9"/>
    <w:rsid w:val="00AE259C"/>
    <w:rsid w:val="00AE2CE8"/>
    <w:rsid w:val="00AE2E61"/>
    <w:rsid w:val="00AE3858"/>
    <w:rsid w:val="00AE3B7C"/>
    <w:rsid w:val="00AE3C61"/>
    <w:rsid w:val="00AE3CBC"/>
    <w:rsid w:val="00AE3F93"/>
    <w:rsid w:val="00AE53A6"/>
    <w:rsid w:val="00AE5D62"/>
    <w:rsid w:val="00AE5EFF"/>
    <w:rsid w:val="00AE62EB"/>
    <w:rsid w:val="00AE7783"/>
    <w:rsid w:val="00AF0152"/>
    <w:rsid w:val="00AF0190"/>
    <w:rsid w:val="00AF0343"/>
    <w:rsid w:val="00AF08E8"/>
    <w:rsid w:val="00AF08ED"/>
    <w:rsid w:val="00AF1AA1"/>
    <w:rsid w:val="00AF1FDE"/>
    <w:rsid w:val="00AF20EF"/>
    <w:rsid w:val="00AF2BA0"/>
    <w:rsid w:val="00AF303D"/>
    <w:rsid w:val="00AF430B"/>
    <w:rsid w:val="00AF4664"/>
    <w:rsid w:val="00AF53A2"/>
    <w:rsid w:val="00AF563B"/>
    <w:rsid w:val="00AF5655"/>
    <w:rsid w:val="00AF5A29"/>
    <w:rsid w:val="00AF5D89"/>
    <w:rsid w:val="00AF695E"/>
    <w:rsid w:val="00AF74BA"/>
    <w:rsid w:val="00AF78AD"/>
    <w:rsid w:val="00B00ABD"/>
    <w:rsid w:val="00B00C0F"/>
    <w:rsid w:val="00B00F5F"/>
    <w:rsid w:val="00B01430"/>
    <w:rsid w:val="00B01543"/>
    <w:rsid w:val="00B01CF3"/>
    <w:rsid w:val="00B02399"/>
    <w:rsid w:val="00B02655"/>
    <w:rsid w:val="00B02C5C"/>
    <w:rsid w:val="00B0305F"/>
    <w:rsid w:val="00B035DC"/>
    <w:rsid w:val="00B0390E"/>
    <w:rsid w:val="00B03A09"/>
    <w:rsid w:val="00B0403D"/>
    <w:rsid w:val="00B0435B"/>
    <w:rsid w:val="00B04706"/>
    <w:rsid w:val="00B04C8D"/>
    <w:rsid w:val="00B055CC"/>
    <w:rsid w:val="00B0578C"/>
    <w:rsid w:val="00B0639D"/>
    <w:rsid w:val="00B063AA"/>
    <w:rsid w:val="00B06711"/>
    <w:rsid w:val="00B07193"/>
    <w:rsid w:val="00B105F8"/>
    <w:rsid w:val="00B10A71"/>
    <w:rsid w:val="00B10E98"/>
    <w:rsid w:val="00B12066"/>
    <w:rsid w:val="00B124DD"/>
    <w:rsid w:val="00B127DA"/>
    <w:rsid w:val="00B12D9C"/>
    <w:rsid w:val="00B134C5"/>
    <w:rsid w:val="00B137DF"/>
    <w:rsid w:val="00B13857"/>
    <w:rsid w:val="00B13F77"/>
    <w:rsid w:val="00B1415E"/>
    <w:rsid w:val="00B14F32"/>
    <w:rsid w:val="00B1503D"/>
    <w:rsid w:val="00B1579D"/>
    <w:rsid w:val="00B15FF2"/>
    <w:rsid w:val="00B165EF"/>
    <w:rsid w:val="00B167DF"/>
    <w:rsid w:val="00B16EA0"/>
    <w:rsid w:val="00B1765D"/>
    <w:rsid w:val="00B17730"/>
    <w:rsid w:val="00B20075"/>
    <w:rsid w:val="00B20741"/>
    <w:rsid w:val="00B20D8B"/>
    <w:rsid w:val="00B21127"/>
    <w:rsid w:val="00B2127A"/>
    <w:rsid w:val="00B2190D"/>
    <w:rsid w:val="00B21DB8"/>
    <w:rsid w:val="00B221FC"/>
    <w:rsid w:val="00B222D2"/>
    <w:rsid w:val="00B222E8"/>
    <w:rsid w:val="00B22B25"/>
    <w:rsid w:val="00B22BD2"/>
    <w:rsid w:val="00B22F84"/>
    <w:rsid w:val="00B23020"/>
    <w:rsid w:val="00B2352F"/>
    <w:rsid w:val="00B235CE"/>
    <w:rsid w:val="00B246EF"/>
    <w:rsid w:val="00B25148"/>
    <w:rsid w:val="00B25672"/>
    <w:rsid w:val="00B25818"/>
    <w:rsid w:val="00B25868"/>
    <w:rsid w:val="00B25CBF"/>
    <w:rsid w:val="00B25D63"/>
    <w:rsid w:val="00B26D53"/>
    <w:rsid w:val="00B26E3A"/>
    <w:rsid w:val="00B2784A"/>
    <w:rsid w:val="00B3021F"/>
    <w:rsid w:val="00B30443"/>
    <w:rsid w:val="00B30A04"/>
    <w:rsid w:val="00B30F1E"/>
    <w:rsid w:val="00B312E3"/>
    <w:rsid w:val="00B314A8"/>
    <w:rsid w:val="00B31CC5"/>
    <w:rsid w:val="00B31D31"/>
    <w:rsid w:val="00B3269A"/>
    <w:rsid w:val="00B32ED8"/>
    <w:rsid w:val="00B3326E"/>
    <w:rsid w:val="00B33B33"/>
    <w:rsid w:val="00B34DEB"/>
    <w:rsid w:val="00B35A8D"/>
    <w:rsid w:val="00B35E37"/>
    <w:rsid w:val="00B366A0"/>
    <w:rsid w:val="00B369C9"/>
    <w:rsid w:val="00B375B8"/>
    <w:rsid w:val="00B377FD"/>
    <w:rsid w:val="00B37EBE"/>
    <w:rsid w:val="00B37FA8"/>
    <w:rsid w:val="00B400A7"/>
    <w:rsid w:val="00B4041C"/>
    <w:rsid w:val="00B40509"/>
    <w:rsid w:val="00B4054F"/>
    <w:rsid w:val="00B4155B"/>
    <w:rsid w:val="00B416F4"/>
    <w:rsid w:val="00B4177E"/>
    <w:rsid w:val="00B41DA6"/>
    <w:rsid w:val="00B42241"/>
    <w:rsid w:val="00B4253E"/>
    <w:rsid w:val="00B426D0"/>
    <w:rsid w:val="00B42BAD"/>
    <w:rsid w:val="00B42E41"/>
    <w:rsid w:val="00B440A6"/>
    <w:rsid w:val="00B4460B"/>
    <w:rsid w:val="00B44AE8"/>
    <w:rsid w:val="00B455C9"/>
    <w:rsid w:val="00B46305"/>
    <w:rsid w:val="00B46E61"/>
    <w:rsid w:val="00B470EB"/>
    <w:rsid w:val="00B474B5"/>
    <w:rsid w:val="00B47C3F"/>
    <w:rsid w:val="00B50426"/>
    <w:rsid w:val="00B51150"/>
    <w:rsid w:val="00B514AE"/>
    <w:rsid w:val="00B5190A"/>
    <w:rsid w:val="00B52428"/>
    <w:rsid w:val="00B52F47"/>
    <w:rsid w:val="00B5440F"/>
    <w:rsid w:val="00B54B61"/>
    <w:rsid w:val="00B55447"/>
    <w:rsid w:val="00B557CB"/>
    <w:rsid w:val="00B558AC"/>
    <w:rsid w:val="00B558BA"/>
    <w:rsid w:val="00B56326"/>
    <w:rsid w:val="00B56572"/>
    <w:rsid w:val="00B577F0"/>
    <w:rsid w:val="00B57A4E"/>
    <w:rsid w:val="00B57BA3"/>
    <w:rsid w:val="00B57FA0"/>
    <w:rsid w:val="00B60475"/>
    <w:rsid w:val="00B6068F"/>
    <w:rsid w:val="00B61389"/>
    <w:rsid w:val="00B618F9"/>
    <w:rsid w:val="00B61C17"/>
    <w:rsid w:val="00B623DA"/>
    <w:rsid w:val="00B6273C"/>
    <w:rsid w:val="00B6279A"/>
    <w:rsid w:val="00B62C55"/>
    <w:rsid w:val="00B640CC"/>
    <w:rsid w:val="00B64B60"/>
    <w:rsid w:val="00B64D13"/>
    <w:rsid w:val="00B65001"/>
    <w:rsid w:val="00B66070"/>
    <w:rsid w:val="00B66A89"/>
    <w:rsid w:val="00B66C6A"/>
    <w:rsid w:val="00B6730F"/>
    <w:rsid w:val="00B67348"/>
    <w:rsid w:val="00B67691"/>
    <w:rsid w:val="00B676D7"/>
    <w:rsid w:val="00B67708"/>
    <w:rsid w:val="00B67F0B"/>
    <w:rsid w:val="00B70149"/>
    <w:rsid w:val="00B703BE"/>
    <w:rsid w:val="00B70615"/>
    <w:rsid w:val="00B70D40"/>
    <w:rsid w:val="00B71853"/>
    <w:rsid w:val="00B71881"/>
    <w:rsid w:val="00B718A2"/>
    <w:rsid w:val="00B72006"/>
    <w:rsid w:val="00B723B0"/>
    <w:rsid w:val="00B72F3B"/>
    <w:rsid w:val="00B73871"/>
    <w:rsid w:val="00B73C22"/>
    <w:rsid w:val="00B7445E"/>
    <w:rsid w:val="00B74D54"/>
    <w:rsid w:val="00B74F22"/>
    <w:rsid w:val="00B7656B"/>
    <w:rsid w:val="00B76C6E"/>
    <w:rsid w:val="00B76E82"/>
    <w:rsid w:val="00B77182"/>
    <w:rsid w:val="00B77A3E"/>
    <w:rsid w:val="00B77F05"/>
    <w:rsid w:val="00B801B9"/>
    <w:rsid w:val="00B80597"/>
    <w:rsid w:val="00B81517"/>
    <w:rsid w:val="00B815E6"/>
    <w:rsid w:val="00B817C5"/>
    <w:rsid w:val="00B81B47"/>
    <w:rsid w:val="00B82FD3"/>
    <w:rsid w:val="00B83030"/>
    <w:rsid w:val="00B847F2"/>
    <w:rsid w:val="00B848BB"/>
    <w:rsid w:val="00B850F7"/>
    <w:rsid w:val="00B851C2"/>
    <w:rsid w:val="00B854FF"/>
    <w:rsid w:val="00B86044"/>
    <w:rsid w:val="00B862A4"/>
    <w:rsid w:val="00B862E4"/>
    <w:rsid w:val="00B86593"/>
    <w:rsid w:val="00B86DCD"/>
    <w:rsid w:val="00B87520"/>
    <w:rsid w:val="00B87806"/>
    <w:rsid w:val="00B90FE2"/>
    <w:rsid w:val="00B91527"/>
    <w:rsid w:val="00B91706"/>
    <w:rsid w:val="00B92177"/>
    <w:rsid w:val="00B9240E"/>
    <w:rsid w:val="00B92F41"/>
    <w:rsid w:val="00B93712"/>
    <w:rsid w:val="00B937D4"/>
    <w:rsid w:val="00B94350"/>
    <w:rsid w:val="00B951B4"/>
    <w:rsid w:val="00B952DE"/>
    <w:rsid w:val="00B95310"/>
    <w:rsid w:val="00B956EC"/>
    <w:rsid w:val="00B95C48"/>
    <w:rsid w:val="00B96299"/>
    <w:rsid w:val="00B96702"/>
    <w:rsid w:val="00BA000D"/>
    <w:rsid w:val="00BA0045"/>
    <w:rsid w:val="00BA0108"/>
    <w:rsid w:val="00BA0B1B"/>
    <w:rsid w:val="00BA0DE0"/>
    <w:rsid w:val="00BA15F4"/>
    <w:rsid w:val="00BA1BC6"/>
    <w:rsid w:val="00BA2135"/>
    <w:rsid w:val="00BA2CA5"/>
    <w:rsid w:val="00BA37FC"/>
    <w:rsid w:val="00BA3B2D"/>
    <w:rsid w:val="00BA4305"/>
    <w:rsid w:val="00BA48A1"/>
    <w:rsid w:val="00BA4A0A"/>
    <w:rsid w:val="00BA4A0B"/>
    <w:rsid w:val="00BA500D"/>
    <w:rsid w:val="00BA50C2"/>
    <w:rsid w:val="00BA56EF"/>
    <w:rsid w:val="00BA584C"/>
    <w:rsid w:val="00BA69C8"/>
    <w:rsid w:val="00BA77C9"/>
    <w:rsid w:val="00BB002E"/>
    <w:rsid w:val="00BB135D"/>
    <w:rsid w:val="00BB1DC6"/>
    <w:rsid w:val="00BB26BC"/>
    <w:rsid w:val="00BB291D"/>
    <w:rsid w:val="00BB311F"/>
    <w:rsid w:val="00BB36C7"/>
    <w:rsid w:val="00BB393D"/>
    <w:rsid w:val="00BB550E"/>
    <w:rsid w:val="00BB56E9"/>
    <w:rsid w:val="00BB5727"/>
    <w:rsid w:val="00BB5B56"/>
    <w:rsid w:val="00BB5EC4"/>
    <w:rsid w:val="00BB623D"/>
    <w:rsid w:val="00BB6FC8"/>
    <w:rsid w:val="00BB7425"/>
    <w:rsid w:val="00BC02C2"/>
    <w:rsid w:val="00BC0EA8"/>
    <w:rsid w:val="00BC11DF"/>
    <w:rsid w:val="00BC2337"/>
    <w:rsid w:val="00BC2542"/>
    <w:rsid w:val="00BC29B3"/>
    <w:rsid w:val="00BC2F31"/>
    <w:rsid w:val="00BC3077"/>
    <w:rsid w:val="00BC37C7"/>
    <w:rsid w:val="00BC455B"/>
    <w:rsid w:val="00BC4B8E"/>
    <w:rsid w:val="00BC4BCD"/>
    <w:rsid w:val="00BC4DFF"/>
    <w:rsid w:val="00BC4ED1"/>
    <w:rsid w:val="00BC509B"/>
    <w:rsid w:val="00BC7401"/>
    <w:rsid w:val="00BC75F3"/>
    <w:rsid w:val="00BC761F"/>
    <w:rsid w:val="00BC765D"/>
    <w:rsid w:val="00BD0615"/>
    <w:rsid w:val="00BD0E88"/>
    <w:rsid w:val="00BD21E7"/>
    <w:rsid w:val="00BD261C"/>
    <w:rsid w:val="00BD2918"/>
    <w:rsid w:val="00BD2E90"/>
    <w:rsid w:val="00BD3EC0"/>
    <w:rsid w:val="00BD4186"/>
    <w:rsid w:val="00BD4A7A"/>
    <w:rsid w:val="00BD5731"/>
    <w:rsid w:val="00BD58B8"/>
    <w:rsid w:val="00BD5C33"/>
    <w:rsid w:val="00BD5E53"/>
    <w:rsid w:val="00BD5F1A"/>
    <w:rsid w:val="00BD6692"/>
    <w:rsid w:val="00BD6AD1"/>
    <w:rsid w:val="00BD6C43"/>
    <w:rsid w:val="00BD7167"/>
    <w:rsid w:val="00BD7329"/>
    <w:rsid w:val="00BD75C6"/>
    <w:rsid w:val="00BD7659"/>
    <w:rsid w:val="00BD78B4"/>
    <w:rsid w:val="00BD7A49"/>
    <w:rsid w:val="00BD7F65"/>
    <w:rsid w:val="00BE0BF3"/>
    <w:rsid w:val="00BE0C62"/>
    <w:rsid w:val="00BE1E15"/>
    <w:rsid w:val="00BE252A"/>
    <w:rsid w:val="00BE26D6"/>
    <w:rsid w:val="00BE26F6"/>
    <w:rsid w:val="00BE29A7"/>
    <w:rsid w:val="00BE2A95"/>
    <w:rsid w:val="00BE2B8F"/>
    <w:rsid w:val="00BE2C98"/>
    <w:rsid w:val="00BE2ECD"/>
    <w:rsid w:val="00BE3125"/>
    <w:rsid w:val="00BE36B5"/>
    <w:rsid w:val="00BE3DCF"/>
    <w:rsid w:val="00BE4538"/>
    <w:rsid w:val="00BE4F62"/>
    <w:rsid w:val="00BE5B10"/>
    <w:rsid w:val="00BE6795"/>
    <w:rsid w:val="00BE687C"/>
    <w:rsid w:val="00BE6903"/>
    <w:rsid w:val="00BE6A5F"/>
    <w:rsid w:val="00BE6B6C"/>
    <w:rsid w:val="00BE754F"/>
    <w:rsid w:val="00BE7826"/>
    <w:rsid w:val="00BF07D4"/>
    <w:rsid w:val="00BF10D9"/>
    <w:rsid w:val="00BF16FB"/>
    <w:rsid w:val="00BF1796"/>
    <w:rsid w:val="00BF1B5A"/>
    <w:rsid w:val="00BF1EB9"/>
    <w:rsid w:val="00BF1F6D"/>
    <w:rsid w:val="00BF2110"/>
    <w:rsid w:val="00BF283E"/>
    <w:rsid w:val="00BF2D19"/>
    <w:rsid w:val="00BF30C0"/>
    <w:rsid w:val="00BF38EE"/>
    <w:rsid w:val="00BF3950"/>
    <w:rsid w:val="00BF39B1"/>
    <w:rsid w:val="00BF39E5"/>
    <w:rsid w:val="00BF3A43"/>
    <w:rsid w:val="00BF42ED"/>
    <w:rsid w:val="00BF4979"/>
    <w:rsid w:val="00BF49E4"/>
    <w:rsid w:val="00BF4B36"/>
    <w:rsid w:val="00BF4F36"/>
    <w:rsid w:val="00BF5807"/>
    <w:rsid w:val="00BF638B"/>
    <w:rsid w:val="00BF7F6E"/>
    <w:rsid w:val="00C00CAB"/>
    <w:rsid w:val="00C01A51"/>
    <w:rsid w:val="00C01FC1"/>
    <w:rsid w:val="00C02609"/>
    <w:rsid w:val="00C02722"/>
    <w:rsid w:val="00C02F84"/>
    <w:rsid w:val="00C03137"/>
    <w:rsid w:val="00C03592"/>
    <w:rsid w:val="00C036DE"/>
    <w:rsid w:val="00C0383E"/>
    <w:rsid w:val="00C04277"/>
    <w:rsid w:val="00C0433D"/>
    <w:rsid w:val="00C04E70"/>
    <w:rsid w:val="00C0564C"/>
    <w:rsid w:val="00C05682"/>
    <w:rsid w:val="00C05957"/>
    <w:rsid w:val="00C05B05"/>
    <w:rsid w:val="00C05F11"/>
    <w:rsid w:val="00C0628E"/>
    <w:rsid w:val="00C0642C"/>
    <w:rsid w:val="00C0706B"/>
    <w:rsid w:val="00C0722E"/>
    <w:rsid w:val="00C07573"/>
    <w:rsid w:val="00C07AD1"/>
    <w:rsid w:val="00C07B9A"/>
    <w:rsid w:val="00C07C6F"/>
    <w:rsid w:val="00C07E84"/>
    <w:rsid w:val="00C10860"/>
    <w:rsid w:val="00C10F08"/>
    <w:rsid w:val="00C111C2"/>
    <w:rsid w:val="00C1129D"/>
    <w:rsid w:val="00C112BE"/>
    <w:rsid w:val="00C113B2"/>
    <w:rsid w:val="00C11E14"/>
    <w:rsid w:val="00C124EB"/>
    <w:rsid w:val="00C12DEA"/>
    <w:rsid w:val="00C12E13"/>
    <w:rsid w:val="00C132CE"/>
    <w:rsid w:val="00C13503"/>
    <w:rsid w:val="00C136DB"/>
    <w:rsid w:val="00C13A77"/>
    <w:rsid w:val="00C13F0E"/>
    <w:rsid w:val="00C13FC9"/>
    <w:rsid w:val="00C14043"/>
    <w:rsid w:val="00C1456A"/>
    <w:rsid w:val="00C145A3"/>
    <w:rsid w:val="00C14ACF"/>
    <w:rsid w:val="00C1511D"/>
    <w:rsid w:val="00C15237"/>
    <w:rsid w:val="00C1541B"/>
    <w:rsid w:val="00C158AE"/>
    <w:rsid w:val="00C15B86"/>
    <w:rsid w:val="00C1654C"/>
    <w:rsid w:val="00C165AB"/>
    <w:rsid w:val="00C16702"/>
    <w:rsid w:val="00C16EE7"/>
    <w:rsid w:val="00C174A6"/>
    <w:rsid w:val="00C17BFF"/>
    <w:rsid w:val="00C21BBA"/>
    <w:rsid w:val="00C21E7A"/>
    <w:rsid w:val="00C22252"/>
    <w:rsid w:val="00C236BB"/>
    <w:rsid w:val="00C24763"/>
    <w:rsid w:val="00C25DE4"/>
    <w:rsid w:val="00C2662D"/>
    <w:rsid w:val="00C266E5"/>
    <w:rsid w:val="00C26B6D"/>
    <w:rsid w:val="00C272FF"/>
    <w:rsid w:val="00C2763A"/>
    <w:rsid w:val="00C278DB"/>
    <w:rsid w:val="00C27B04"/>
    <w:rsid w:val="00C27B50"/>
    <w:rsid w:val="00C27DF4"/>
    <w:rsid w:val="00C30327"/>
    <w:rsid w:val="00C306EC"/>
    <w:rsid w:val="00C30E19"/>
    <w:rsid w:val="00C30F11"/>
    <w:rsid w:val="00C318CA"/>
    <w:rsid w:val="00C321CE"/>
    <w:rsid w:val="00C32A9D"/>
    <w:rsid w:val="00C33485"/>
    <w:rsid w:val="00C3354A"/>
    <w:rsid w:val="00C33A01"/>
    <w:rsid w:val="00C33B1B"/>
    <w:rsid w:val="00C33F52"/>
    <w:rsid w:val="00C33FCA"/>
    <w:rsid w:val="00C344F7"/>
    <w:rsid w:val="00C34D6F"/>
    <w:rsid w:val="00C3541E"/>
    <w:rsid w:val="00C36389"/>
    <w:rsid w:val="00C364B5"/>
    <w:rsid w:val="00C36ABE"/>
    <w:rsid w:val="00C36DB0"/>
    <w:rsid w:val="00C3727E"/>
    <w:rsid w:val="00C37C4A"/>
    <w:rsid w:val="00C37E41"/>
    <w:rsid w:val="00C40B3C"/>
    <w:rsid w:val="00C41A76"/>
    <w:rsid w:val="00C41C14"/>
    <w:rsid w:val="00C41E7A"/>
    <w:rsid w:val="00C41EE9"/>
    <w:rsid w:val="00C42594"/>
    <w:rsid w:val="00C4280E"/>
    <w:rsid w:val="00C42D97"/>
    <w:rsid w:val="00C437D2"/>
    <w:rsid w:val="00C445F5"/>
    <w:rsid w:val="00C44FBD"/>
    <w:rsid w:val="00C45809"/>
    <w:rsid w:val="00C45952"/>
    <w:rsid w:val="00C459F0"/>
    <w:rsid w:val="00C45AF2"/>
    <w:rsid w:val="00C47640"/>
    <w:rsid w:val="00C47B0A"/>
    <w:rsid w:val="00C47F40"/>
    <w:rsid w:val="00C50254"/>
    <w:rsid w:val="00C50E76"/>
    <w:rsid w:val="00C51122"/>
    <w:rsid w:val="00C513E6"/>
    <w:rsid w:val="00C51691"/>
    <w:rsid w:val="00C5174F"/>
    <w:rsid w:val="00C52103"/>
    <w:rsid w:val="00C5216F"/>
    <w:rsid w:val="00C52616"/>
    <w:rsid w:val="00C5308C"/>
    <w:rsid w:val="00C53B14"/>
    <w:rsid w:val="00C53DD3"/>
    <w:rsid w:val="00C54310"/>
    <w:rsid w:val="00C5440E"/>
    <w:rsid w:val="00C54604"/>
    <w:rsid w:val="00C54B04"/>
    <w:rsid w:val="00C54F44"/>
    <w:rsid w:val="00C56079"/>
    <w:rsid w:val="00C5651F"/>
    <w:rsid w:val="00C56944"/>
    <w:rsid w:val="00C56CC7"/>
    <w:rsid w:val="00C575F5"/>
    <w:rsid w:val="00C578B8"/>
    <w:rsid w:val="00C57F4A"/>
    <w:rsid w:val="00C6002C"/>
    <w:rsid w:val="00C602AB"/>
    <w:rsid w:val="00C606CE"/>
    <w:rsid w:val="00C60F3A"/>
    <w:rsid w:val="00C61940"/>
    <w:rsid w:val="00C622AF"/>
    <w:rsid w:val="00C62BBE"/>
    <w:rsid w:val="00C633B7"/>
    <w:rsid w:val="00C634D1"/>
    <w:rsid w:val="00C63545"/>
    <w:rsid w:val="00C639E0"/>
    <w:rsid w:val="00C6413F"/>
    <w:rsid w:val="00C64762"/>
    <w:rsid w:val="00C6540A"/>
    <w:rsid w:val="00C655C0"/>
    <w:rsid w:val="00C66824"/>
    <w:rsid w:val="00C669D9"/>
    <w:rsid w:val="00C66E29"/>
    <w:rsid w:val="00C6738D"/>
    <w:rsid w:val="00C67BD3"/>
    <w:rsid w:val="00C7045F"/>
    <w:rsid w:val="00C704D1"/>
    <w:rsid w:val="00C70680"/>
    <w:rsid w:val="00C717A6"/>
    <w:rsid w:val="00C71815"/>
    <w:rsid w:val="00C71895"/>
    <w:rsid w:val="00C72D8F"/>
    <w:rsid w:val="00C72E61"/>
    <w:rsid w:val="00C73268"/>
    <w:rsid w:val="00C7341A"/>
    <w:rsid w:val="00C734B6"/>
    <w:rsid w:val="00C739D9"/>
    <w:rsid w:val="00C73B98"/>
    <w:rsid w:val="00C74A8B"/>
    <w:rsid w:val="00C74C8C"/>
    <w:rsid w:val="00C74DD5"/>
    <w:rsid w:val="00C75550"/>
    <w:rsid w:val="00C75A4C"/>
    <w:rsid w:val="00C76961"/>
    <w:rsid w:val="00C76BB7"/>
    <w:rsid w:val="00C76CAE"/>
    <w:rsid w:val="00C779FB"/>
    <w:rsid w:val="00C77CD4"/>
    <w:rsid w:val="00C80141"/>
    <w:rsid w:val="00C80142"/>
    <w:rsid w:val="00C80473"/>
    <w:rsid w:val="00C8105F"/>
    <w:rsid w:val="00C83121"/>
    <w:rsid w:val="00C8439C"/>
    <w:rsid w:val="00C84649"/>
    <w:rsid w:val="00C848CB"/>
    <w:rsid w:val="00C849F7"/>
    <w:rsid w:val="00C84EE3"/>
    <w:rsid w:val="00C85334"/>
    <w:rsid w:val="00C8573C"/>
    <w:rsid w:val="00C859B7"/>
    <w:rsid w:val="00C86077"/>
    <w:rsid w:val="00C86707"/>
    <w:rsid w:val="00C87646"/>
    <w:rsid w:val="00C90155"/>
    <w:rsid w:val="00C90881"/>
    <w:rsid w:val="00C909C2"/>
    <w:rsid w:val="00C90A98"/>
    <w:rsid w:val="00C90DC4"/>
    <w:rsid w:val="00C9104C"/>
    <w:rsid w:val="00C91983"/>
    <w:rsid w:val="00C91C53"/>
    <w:rsid w:val="00C92389"/>
    <w:rsid w:val="00C92D39"/>
    <w:rsid w:val="00C92F15"/>
    <w:rsid w:val="00C93991"/>
    <w:rsid w:val="00C94631"/>
    <w:rsid w:val="00C94CE0"/>
    <w:rsid w:val="00C94DB0"/>
    <w:rsid w:val="00C94F59"/>
    <w:rsid w:val="00C9559F"/>
    <w:rsid w:val="00C956A8"/>
    <w:rsid w:val="00C95BC6"/>
    <w:rsid w:val="00C95DF5"/>
    <w:rsid w:val="00C95F56"/>
    <w:rsid w:val="00C97347"/>
    <w:rsid w:val="00CA0176"/>
    <w:rsid w:val="00CA01D3"/>
    <w:rsid w:val="00CA03CD"/>
    <w:rsid w:val="00CA0513"/>
    <w:rsid w:val="00CA0EB7"/>
    <w:rsid w:val="00CA0F9E"/>
    <w:rsid w:val="00CA121F"/>
    <w:rsid w:val="00CA16A0"/>
    <w:rsid w:val="00CA1848"/>
    <w:rsid w:val="00CA2B43"/>
    <w:rsid w:val="00CA3BA5"/>
    <w:rsid w:val="00CA3EB7"/>
    <w:rsid w:val="00CA42E7"/>
    <w:rsid w:val="00CA45F2"/>
    <w:rsid w:val="00CA4F3F"/>
    <w:rsid w:val="00CA5180"/>
    <w:rsid w:val="00CA5217"/>
    <w:rsid w:val="00CA5254"/>
    <w:rsid w:val="00CA5412"/>
    <w:rsid w:val="00CA5456"/>
    <w:rsid w:val="00CA56F7"/>
    <w:rsid w:val="00CA5837"/>
    <w:rsid w:val="00CA5D06"/>
    <w:rsid w:val="00CA6184"/>
    <w:rsid w:val="00CA66ED"/>
    <w:rsid w:val="00CA68CD"/>
    <w:rsid w:val="00CA69CD"/>
    <w:rsid w:val="00CA6D30"/>
    <w:rsid w:val="00CA6FEC"/>
    <w:rsid w:val="00CA7F9D"/>
    <w:rsid w:val="00CB0D11"/>
    <w:rsid w:val="00CB0DC7"/>
    <w:rsid w:val="00CB156D"/>
    <w:rsid w:val="00CB19DE"/>
    <w:rsid w:val="00CB1C55"/>
    <w:rsid w:val="00CB3099"/>
    <w:rsid w:val="00CB33FB"/>
    <w:rsid w:val="00CB35BB"/>
    <w:rsid w:val="00CB41F6"/>
    <w:rsid w:val="00CB44E7"/>
    <w:rsid w:val="00CB48A0"/>
    <w:rsid w:val="00CB5123"/>
    <w:rsid w:val="00CB5BA5"/>
    <w:rsid w:val="00CB5CB3"/>
    <w:rsid w:val="00CB62DE"/>
    <w:rsid w:val="00CB65F7"/>
    <w:rsid w:val="00CB66A4"/>
    <w:rsid w:val="00CB6865"/>
    <w:rsid w:val="00CB7972"/>
    <w:rsid w:val="00CC0939"/>
    <w:rsid w:val="00CC0973"/>
    <w:rsid w:val="00CC0C6A"/>
    <w:rsid w:val="00CC0D73"/>
    <w:rsid w:val="00CC0E64"/>
    <w:rsid w:val="00CC0F89"/>
    <w:rsid w:val="00CC0FDB"/>
    <w:rsid w:val="00CC1A77"/>
    <w:rsid w:val="00CC1C0D"/>
    <w:rsid w:val="00CC2009"/>
    <w:rsid w:val="00CC2207"/>
    <w:rsid w:val="00CC26BF"/>
    <w:rsid w:val="00CC2C9B"/>
    <w:rsid w:val="00CC3028"/>
    <w:rsid w:val="00CC322A"/>
    <w:rsid w:val="00CC3249"/>
    <w:rsid w:val="00CC371D"/>
    <w:rsid w:val="00CC40C1"/>
    <w:rsid w:val="00CC40C9"/>
    <w:rsid w:val="00CC40D7"/>
    <w:rsid w:val="00CC42E5"/>
    <w:rsid w:val="00CC431F"/>
    <w:rsid w:val="00CC48C9"/>
    <w:rsid w:val="00CC4EB2"/>
    <w:rsid w:val="00CC5348"/>
    <w:rsid w:val="00CC5792"/>
    <w:rsid w:val="00CC5D69"/>
    <w:rsid w:val="00CC7013"/>
    <w:rsid w:val="00CC7A9E"/>
    <w:rsid w:val="00CC7E57"/>
    <w:rsid w:val="00CD0048"/>
    <w:rsid w:val="00CD025F"/>
    <w:rsid w:val="00CD05B0"/>
    <w:rsid w:val="00CD0713"/>
    <w:rsid w:val="00CD1A67"/>
    <w:rsid w:val="00CD24B1"/>
    <w:rsid w:val="00CD25CD"/>
    <w:rsid w:val="00CD28FA"/>
    <w:rsid w:val="00CD34B8"/>
    <w:rsid w:val="00CD3665"/>
    <w:rsid w:val="00CD376D"/>
    <w:rsid w:val="00CD3A69"/>
    <w:rsid w:val="00CD4170"/>
    <w:rsid w:val="00CD44C5"/>
    <w:rsid w:val="00CD47DE"/>
    <w:rsid w:val="00CD4AD2"/>
    <w:rsid w:val="00CD5517"/>
    <w:rsid w:val="00CD560E"/>
    <w:rsid w:val="00CD5F06"/>
    <w:rsid w:val="00CD6252"/>
    <w:rsid w:val="00CD64A5"/>
    <w:rsid w:val="00CD67CD"/>
    <w:rsid w:val="00CD6F25"/>
    <w:rsid w:val="00CD70C0"/>
    <w:rsid w:val="00CD713E"/>
    <w:rsid w:val="00CE04DD"/>
    <w:rsid w:val="00CE092E"/>
    <w:rsid w:val="00CE0970"/>
    <w:rsid w:val="00CE144E"/>
    <w:rsid w:val="00CE17A8"/>
    <w:rsid w:val="00CE1825"/>
    <w:rsid w:val="00CE1A4F"/>
    <w:rsid w:val="00CE1A6C"/>
    <w:rsid w:val="00CE1C49"/>
    <w:rsid w:val="00CE2110"/>
    <w:rsid w:val="00CE3507"/>
    <w:rsid w:val="00CE3646"/>
    <w:rsid w:val="00CE40AA"/>
    <w:rsid w:val="00CE4D87"/>
    <w:rsid w:val="00CE5213"/>
    <w:rsid w:val="00CE6ECA"/>
    <w:rsid w:val="00CE719D"/>
    <w:rsid w:val="00CE78CE"/>
    <w:rsid w:val="00CE7BC6"/>
    <w:rsid w:val="00CF0544"/>
    <w:rsid w:val="00CF0DB7"/>
    <w:rsid w:val="00CF2D93"/>
    <w:rsid w:val="00CF35A2"/>
    <w:rsid w:val="00CF3803"/>
    <w:rsid w:val="00CF4E53"/>
    <w:rsid w:val="00CF540D"/>
    <w:rsid w:val="00CF55DB"/>
    <w:rsid w:val="00CF5C4B"/>
    <w:rsid w:val="00CF60B8"/>
    <w:rsid w:val="00CF6550"/>
    <w:rsid w:val="00CF680B"/>
    <w:rsid w:val="00CF68EA"/>
    <w:rsid w:val="00CF6C44"/>
    <w:rsid w:val="00CF6F13"/>
    <w:rsid w:val="00CF6F27"/>
    <w:rsid w:val="00CF707A"/>
    <w:rsid w:val="00CF7953"/>
    <w:rsid w:val="00CF7A77"/>
    <w:rsid w:val="00D0066C"/>
    <w:rsid w:val="00D00C88"/>
    <w:rsid w:val="00D00ECF"/>
    <w:rsid w:val="00D01850"/>
    <w:rsid w:val="00D021BB"/>
    <w:rsid w:val="00D02908"/>
    <w:rsid w:val="00D02A38"/>
    <w:rsid w:val="00D02D70"/>
    <w:rsid w:val="00D03302"/>
    <w:rsid w:val="00D0393D"/>
    <w:rsid w:val="00D03942"/>
    <w:rsid w:val="00D03C07"/>
    <w:rsid w:val="00D03F3D"/>
    <w:rsid w:val="00D04C67"/>
    <w:rsid w:val="00D05D53"/>
    <w:rsid w:val="00D07003"/>
    <w:rsid w:val="00D070CA"/>
    <w:rsid w:val="00D10BDE"/>
    <w:rsid w:val="00D113D7"/>
    <w:rsid w:val="00D11639"/>
    <w:rsid w:val="00D12249"/>
    <w:rsid w:val="00D12266"/>
    <w:rsid w:val="00D12975"/>
    <w:rsid w:val="00D13046"/>
    <w:rsid w:val="00D13443"/>
    <w:rsid w:val="00D13D39"/>
    <w:rsid w:val="00D13D48"/>
    <w:rsid w:val="00D13E52"/>
    <w:rsid w:val="00D149ED"/>
    <w:rsid w:val="00D14E16"/>
    <w:rsid w:val="00D15587"/>
    <w:rsid w:val="00D155AF"/>
    <w:rsid w:val="00D15BD0"/>
    <w:rsid w:val="00D15D63"/>
    <w:rsid w:val="00D16A4A"/>
    <w:rsid w:val="00D172FB"/>
    <w:rsid w:val="00D173EC"/>
    <w:rsid w:val="00D176C3"/>
    <w:rsid w:val="00D179FA"/>
    <w:rsid w:val="00D203BC"/>
    <w:rsid w:val="00D213B5"/>
    <w:rsid w:val="00D214DF"/>
    <w:rsid w:val="00D21654"/>
    <w:rsid w:val="00D219E1"/>
    <w:rsid w:val="00D21BF7"/>
    <w:rsid w:val="00D22C71"/>
    <w:rsid w:val="00D243E6"/>
    <w:rsid w:val="00D25511"/>
    <w:rsid w:val="00D25547"/>
    <w:rsid w:val="00D256A0"/>
    <w:rsid w:val="00D256D5"/>
    <w:rsid w:val="00D260E7"/>
    <w:rsid w:val="00D26A2A"/>
    <w:rsid w:val="00D271C6"/>
    <w:rsid w:val="00D27440"/>
    <w:rsid w:val="00D30089"/>
    <w:rsid w:val="00D30805"/>
    <w:rsid w:val="00D30A63"/>
    <w:rsid w:val="00D30E55"/>
    <w:rsid w:val="00D31B67"/>
    <w:rsid w:val="00D31F89"/>
    <w:rsid w:val="00D32059"/>
    <w:rsid w:val="00D32196"/>
    <w:rsid w:val="00D32283"/>
    <w:rsid w:val="00D326F4"/>
    <w:rsid w:val="00D32716"/>
    <w:rsid w:val="00D330C0"/>
    <w:rsid w:val="00D3318C"/>
    <w:rsid w:val="00D3332B"/>
    <w:rsid w:val="00D33A00"/>
    <w:rsid w:val="00D34033"/>
    <w:rsid w:val="00D34F4B"/>
    <w:rsid w:val="00D35354"/>
    <w:rsid w:val="00D353EB"/>
    <w:rsid w:val="00D35D9C"/>
    <w:rsid w:val="00D369E4"/>
    <w:rsid w:val="00D36BA2"/>
    <w:rsid w:val="00D36FDC"/>
    <w:rsid w:val="00D37BB5"/>
    <w:rsid w:val="00D40303"/>
    <w:rsid w:val="00D40F43"/>
    <w:rsid w:val="00D40FCB"/>
    <w:rsid w:val="00D416E6"/>
    <w:rsid w:val="00D41A78"/>
    <w:rsid w:val="00D41B75"/>
    <w:rsid w:val="00D41BD4"/>
    <w:rsid w:val="00D41DE8"/>
    <w:rsid w:val="00D42598"/>
    <w:rsid w:val="00D42B65"/>
    <w:rsid w:val="00D4354E"/>
    <w:rsid w:val="00D43B69"/>
    <w:rsid w:val="00D44D0B"/>
    <w:rsid w:val="00D453D7"/>
    <w:rsid w:val="00D4565A"/>
    <w:rsid w:val="00D45DB0"/>
    <w:rsid w:val="00D466E3"/>
    <w:rsid w:val="00D46708"/>
    <w:rsid w:val="00D4676E"/>
    <w:rsid w:val="00D467A7"/>
    <w:rsid w:val="00D47730"/>
    <w:rsid w:val="00D5040D"/>
    <w:rsid w:val="00D508F6"/>
    <w:rsid w:val="00D51149"/>
    <w:rsid w:val="00D51459"/>
    <w:rsid w:val="00D51515"/>
    <w:rsid w:val="00D516E4"/>
    <w:rsid w:val="00D52145"/>
    <w:rsid w:val="00D526B2"/>
    <w:rsid w:val="00D52D8F"/>
    <w:rsid w:val="00D531EB"/>
    <w:rsid w:val="00D536BA"/>
    <w:rsid w:val="00D53845"/>
    <w:rsid w:val="00D53926"/>
    <w:rsid w:val="00D53DEF"/>
    <w:rsid w:val="00D54A24"/>
    <w:rsid w:val="00D54DB4"/>
    <w:rsid w:val="00D556FB"/>
    <w:rsid w:val="00D557E1"/>
    <w:rsid w:val="00D55F9F"/>
    <w:rsid w:val="00D561D4"/>
    <w:rsid w:val="00D5621C"/>
    <w:rsid w:val="00D574E6"/>
    <w:rsid w:val="00D576FF"/>
    <w:rsid w:val="00D5771C"/>
    <w:rsid w:val="00D57720"/>
    <w:rsid w:val="00D5772C"/>
    <w:rsid w:val="00D5784B"/>
    <w:rsid w:val="00D57B43"/>
    <w:rsid w:val="00D6023C"/>
    <w:rsid w:val="00D60427"/>
    <w:rsid w:val="00D6080E"/>
    <w:rsid w:val="00D61290"/>
    <w:rsid w:val="00D6149A"/>
    <w:rsid w:val="00D61B0C"/>
    <w:rsid w:val="00D61D89"/>
    <w:rsid w:val="00D61E82"/>
    <w:rsid w:val="00D62D0A"/>
    <w:rsid w:val="00D62DF8"/>
    <w:rsid w:val="00D638F9"/>
    <w:rsid w:val="00D63F17"/>
    <w:rsid w:val="00D64A39"/>
    <w:rsid w:val="00D657CD"/>
    <w:rsid w:val="00D66DC4"/>
    <w:rsid w:val="00D673BE"/>
    <w:rsid w:val="00D70C83"/>
    <w:rsid w:val="00D7160F"/>
    <w:rsid w:val="00D71939"/>
    <w:rsid w:val="00D719B8"/>
    <w:rsid w:val="00D71C9A"/>
    <w:rsid w:val="00D72106"/>
    <w:rsid w:val="00D72617"/>
    <w:rsid w:val="00D72A2B"/>
    <w:rsid w:val="00D72AEA"/>
    <w:rsid w:val="00D73003"/>
    <w:rsid w:val="00D74500"/>
    <w:rsid w:val="00D74587"/>
    <w:rsid w:val="00D74A98"/>
    <w:rsid w:val="00D74BCF"/>
    <w:rsid w:val="00D74E3A"/>
    <w:rsid w:val="00D75B17"/>
    <w:rsid w:val="00D7661A"/>
    <w:rsid w:val="00D769DA"/>
    <w:rsid w:val="00D771EC"/>
    <w:rsid w:val="00D7757D"/>
    <w:rsid w:val="00D779BC"/>
    <w:rsid w:val="00D77DD4"/>
    <w:rsid w:val="00D80D7A"/>
    <w:rsid w:val="00D81904"/>
    <w:rsid w:val="00D81A39"/>
    <w:rsid w:val="00D83232"/>
    <w:rsid w:val="00D834C9"/>
    <w:rsid w:val="00D83B32"/>
    <w:rsid w:val="00D83DE6"/>
    <w:rsid w:val="00D841CC"/>
    <w:rsid w:val="00D8492E"/>
    <w:rsid w:val="00D8499E"/>
    <w:rsid w:val="00D84EE7"/>
    <w:rsid w:val="00D8576A"/>
    <w:rsid w:val="00D857A4"/>
    <w:rsid w:val="00D85B47"/>
    <w:rsid w:val="00D860FC"/>
    <w:rsid w:val="00D86224"/>
    <w:rsid w:val="00D86360"/>
    <w:rsid w:val="00D86669"/>
    <w:rsid w:val="00D86C09"/>
    <w:rsid w:val="00D86C82"/>
    <w:rsid w:val="00D86DC3"/>
    <w:rsid w:val="00D86F5C"/>
    <w:rsid w:val="00D8709C"/>
    <w:rsid w:val="00D87A80"/>
    <w:rsid w:val="00D90093"/>
    <w:rsid w:val="00D911A7"/>
    <w:rsid w:val="00D91515"/>
    <w:rsid w:val="00D919B2"/>
    <w:rsid w:val="00D919B8"/>
    <w:rsid w:val="00D91A27"/>
    <w:rsid w:val="00D91DD2"/>
    <w:rsid w:val="00D9242A"/>
    <w:rsid w:val="00D928DE"/>
    <w:rsid w:val="00D92E92"/>
    <w:rsid w:val="00D93018"/>
    <w:rsid w:val="00D93199"/>
    <w:rsid w:val="00D93B3B"/>
    <w:rsid w:val="00D93D98"/>
    <w:rsid w:val="00D945AE"/>
    <w:rsid w:val="00D95CFF"/>
    <w:rsid w:val="00D95DFA"/>
    <w:rsid w:val="00D96090"/>
    <w:rsid w:val="00D96188"/>
    <w:rsid w:val="00D964C0"/>
    <w:rsid w:val="00D9738B"/>
    <w:rsid w:val="00D975B1"/>
    <w:rsid w:val="00D97814"/>
    <w:rsid w:val="00D97F95"/>
    <w:rsid w:val="00DA0915"/>
    <w:rsid w:val="00DA0DB0"/>
    <w:rsid w:val="00DA1159"/>
    <w:rsid w:val="00DA1D02"/>
    <w:rsid w:val="00DA2189"/>
    <w:rsid w:val="00DA23FB"/>
    <w:rsid w:val="00DA2937"/>
    <w:rsid w:val="00DA2E00"/>
    <w:rsid w:val="00DA362E"/>
    <w:rsid w:val="00DA3921"/>
    <w:rsid w:val="00DA4081"/>
    <w:rsid w:val="00DA470A"/>
    <w:rsid w:val="00DA4B13"/>
    <w:rsid w:val="00DA52E9"/>
    <w:rsid w:val="00DA536F"/>
    <w:rsid w:val="00DA64CB"/>
    <w:rsid w:val="00DA6609"/>
    <w:rsid w:val="00DA6AA7"/>
    <w:rsid w:val="00DA7154"/>
    <w:rsid w:val="00DA7D8A"/>
    <w:rsid w:val="00DA7E9C"/>
    <w:rsid w:val="00DB1250"/>
    <w:rsid w:val="00DB1691"/>
    <w:rsid w:val="00DB2536"/>
    <w:rsid w:val="00DB2F89"/>
    <w:rsid w:val="00DB314B"/>
    <w:rsid w:val="00DB4119"/>
    <w:rsid w:val="00DB4B2F"/>
    <w:rsid w:val="00DB4C1F"/>
    <w:rsid w:val="00DB4D3E"/>
    <w:rsid w:val="00DB5167"/>
    <w:rsid w:val="00DB6F75"/>
    <w:rsid w:val="00DB74E6"/>
    <w:rsid w:val="00DB7C02"/>
    <w:rsid w:val="00DB7C7A"/>
    <w:rsid w:val="00DB7D74"/>
    <w:rsid w:val="00DC0BC2"/>
    <w:rsid w:val="00DC0CBD"/>
    <w:rsid w:val="00DC0F3F"/>
    <w:rsid w:val="00DC129D"/>
    <w:rsid w:val="00DC1C1B"/>
    <w:rsid w:val="00DC1E76"/>
    <w:rsid w:val="00DC28F6"/>
    <w:rsid w:val="00DC293F"/>
    <w:rsid w:val="00DC30CA"/>
    <w:rsid w:val="00DC329C"/>
    <w:rsid w:val="00DC36DA"/>
    <w:rsid w:val="00DC3F5D"/>
    <w:rsid w:val="00DC40E4"/>
    <w:rsid w:val="00DC4639"/>
    <w:rsid w:val="00DC4719"/>
    <w:rsid w:val="00DC4FCF"/>
    <w:rsid w:val="00DC52D8"/>
    <w:rsid w:val="00DC57ED"/>
    <w:rsid w:val="00DC589C"/>
    <w:rsid w:val="00DC5A35"/>
    <w:rsid w:val="00DC5C27"/>
    <w:rsid w:val="00DC6036"/>
    <w:rsid w:val="00DC6138"/>
    <w:rsid w:val="00DC63B2"/>
    <w:rsid w:val="00DC6451"/>
    <w:rsid w:val="00DC6950"/>
    <w:rsid w:val="00DC7671"/>
    <w:rsid w:val="00DC7CD7"/>
    <w:rsid w:val="00DD0783"/>
    <w:rsid w:val="00DD0B7D"/>
    <w:rsid w:val="00DD1265"/>
    <w:rsid w:val="00DD1944"/>
    <w:rsid w:val="00DD2140"/>
    <w:rsid w:val="00DD258F"/>
    <w:rsid w:val="00DD3237"/>
    <w:rsid w:val="00DD3A06"/>
    <w:rsid w:val="00DD3CCC"/>
    <w:rsid w:val="00DD4A6B"/>
    <w:rsid w:val="00DD4BE2"/>
    <w:rsid w:val="00DD4BEE"/>
    <w:rsid w:val="00DD500B"/>
    <w:rsid w:val="00DD550E"/>
    <w:rsid w:val="00DD5969"/>
    <w:rsid w:val="00DD5E54"/>
    <w:rsid w:val="00DD66E0"/>
    <w:rsid w:val="00DD6C28"/>
    <w:rsid w:val="00DD708E"/>
    <w:rsid w:val="00DD7156"/>
    <w:rsid w:val="00DD78E0"/>
    <w:rsid w:val="00DE0469"/>
    <w:rsid w:val="00DE0583"/>
    <w:rsid w:val="00DE1B71"/>
    <w:rsid w:val="00DE27FA"/>
    <w:rsid w:val="00DE3417"/>
    <w:rsid w:val="00DE3535"/>
    <w:rsid w:val="00DE3CE3"/>
    <w:rsid w:val="00DE4E10"/>
    <w:rsid w:val="00DE557C"/>
    <w:rsid w:val="00DE5850"/>
    <w:rsid w:val="00DE704D"/>
    <w:rsid w:val="00DE751D"/>
    <w:rsid w:val="00DF0477"/>
    <w:rsid w:val="00DF0C54"/>
    <w:rsid w:val="00DF183F"/>
    <w:rsid w:val="00DF22D0"/>
    <w:rsid w:val="00DF255D"/>
    <w:rsid w:val="00DF2822"/>
    <w:rsid w:val="00DF2887"/>
    <w:rsid w:val="00DF31B7"/>
    <w:rsid w:val="00DF3634"/>
    <w:rsid w:val="00DF3E43"/>
    <w:rsid w:val="00DF3F82"/>
    <w:rsid w:val="00DF46A2"/>
    <w:rsid w:val="00DF4DFC"/>
    <w:rsid w:val="00DF59A6"/>
    <w:rsid w:val="00DF613B"/>
    <w:rsid w:val="00DF64B5"/>
    <w:rsid w:val="00DF6FCC"/>
    <w:rsid w:val="00DF727B"/>
    <w:rsid w:val="00DF74AF"/>
    <w:rsid w:val="00DF75BC"/>
    <w:rsid w:val="00DF77CC"/>
    <w:rsid w:val="00DF7AF1"/>
    <w:rsid w:val="00E001FD"/>
    <w:rsid w:val="00E00503"/>
    <w:rsid w:val="00E00515"/>
    <w:rsid w:val="00E015E7"/>
    <w:rsid w:val="00E015EB"/>
    <w:rsid w:val="00E01A81"/>
    <w:rsid w:val="00E01DFF"/>
    <w:rsid w:val="00E02C1F"/>
    <w:rsid w:val="00E02D0F"/>
    <w:rsid w:val="00E033B1"/>
    <w:rsid w:val="00E038EF"/>
    <w:rsid w:val="00E03BA3"/>
    <w:rsid w:val="00E03BF4"/>
    <w:rsid w:val="00E04A3D"/>
    <w:rsid w:val="00E05C2F"/>
    <w:rsid w:val="00E05C58"/>
    <w:rsid w:val="00E0707D"/>
    <w:rsid w:val="00E074F1"/>
    <w:rsid w:val="00E07531"/>
    <w:rsid w:val="00E079F1"/>
    <w:rsid w:val="00E07D1B"/>
    <w:rsid w:val="00E10370"/>
    <w:rsid w:val="00E10851"/>
    <w:rsid w:val="00E10CB5"/>
    <w:rsid w:val="00E1148A"/>
    <w:rsid w:val="00E1178E"/>
    <w:rsid w:val="00E12286"/>
    <w:rsid w:val="00E1235D"/>
    <w:rsid w:val="00E129A9"/>
    <w:rsid w:val="00E12B2B"/>
    <w:rsid w:val="00E12C6A"/>
    <w:rsid w:val="00E12FD2"/>
    <w:rsid w:val="00E13322"/>
    <w:rsid w:val="00E13A31"/>
    <w:rsid w:val="00E13C60"/>
    <w:rsid w:val="00E13CF2"/>
    <w:rsid w:val="00E1422B"/>
    <w:rsid w:val="00E14C67"/>
    <w:rsid w:val="00E14DEF"/>
    <w:rsid w:val="00E1589F"/>
    <w:rsid w:val="00E159B8"/>
    <w:rsid w:val="00E16624"/>
    <w:rsid w:val="00E17010"/>
    <w:rsid w:val="00E17E39"/>
    <w:rsid w:val="00E20166"/>
    <w:rsid w:val="00E203FB"/>
    <w:rsid w:val="00E2091A"/>
    <w:rsid w:val="00E21273"/>
    <w:rsid w:val="00E21308"/>
    <w:rsid w:val="00E21A07"/>
    <w:rsid w:val="00E237E1"/>
    <w:rsid w:val="00E23B4F"/>
    <w:rsid w:val="00E24780"/>
    <w:rsid w:val="00E247D8"/>
    <w:rsid w:val="00E24AB0"/>
    <w:rsid w:val="00E24D92"/>
    <w:rsid w:val="00E24FB0"/>
    <w:rsid w:val="00E25A23"/>
    <w:rsid w:val="00E25A98"/>
    <w:rsid w:val="00E2623D"/>
    <w:rsid w:val="00E26C4B"/>
    <w:rsid w:val="00E26F4D"/>
    <w:rsid w:val="00E27C2D"/>
    <w:rsid w:val="00E305CD"/>
    <w:rsid w:val="00E30DA2"/>
    <w:rsid w:val="00E30E9B"/>
    <w:rsid w:val="00E316D1"/>
    <w:rsid w:val="00E317C4"/>
    <w:rsid w:val="00E31C49"/>
    <w:rsid w:val="00E320B7"/>
    <w:rsid w:val="00E327E9"/>
    <w:rsid w:val="00E32D4F"/>
    <w:rsid w:val="00E32DBC"/>
    <w:rsid w:val="00E32EBF"/>
    <w:rsid w:val="00E334CB"/>
    <w:rsid w:val="00E34057"/>
    <w:rsid w:val="00E34743"/>
    <w:rsid w:val="00E35A68"/>
    <w:rsid w:val="00E35B31"/>
    <w:rsid w:val="00E36048"/>
    <w:rsid w:val="00E3624E"/>
    <w:rsid w:val="00E363A8"/>
    <w:rsid w:val="00E363BA"/>
    <w:rsid w:val="00E36E15"/>
    <w:rsid w:val="00E3754F"/>
    <w:rsid w:val="00E3796C"/>
    <w:rsid w:val="00E37DAE"/>
    <w:rsid w:val="00E40357"/>
    <w:rsid w:val="00E40AC7"/>
    <w:rsid w:val="00E40DC0"/>
    <w:rsid w:val="00E41816"/>
    <w:rsid w:val="00E41C6F"/>
    <w:rsid w:val="00E4340C"/>
    <w:rsid w:val="00E4432A"/>
    <w:rsid w:val="00E45651"/>
    <w:rsid w:val="00E45909"/>
    <w:rsid w:val="00E46439"/>
    <w:rsid w:val="00E46DA0"/>
    <w:rsid w:val="00E46E9F"/>
    <w:rsid w:val="00E478AF"/>
    <w:rsid w:val="00E47C1E"/>
    <w:rsid w:val="00E47D2C"/>
    <w:rsid w:val="00E50A1F"/>
    <w:rsid w:val="00E50B80"/>
    <w:rsid w:val="00E51CB7"/>
    <w:rsid w:val="00E51F27"/>
    <w:rsid w:val="00E529D2"/>
    <w:rsid w:val="00E52E14"/>
    <w:rsid w:val="00E52EEA"/>
    <w:rsid w:val="00E53C54"/>
    <w:rsid w:val="00E549CD"/>
    <w:rsid w:val="00E54F32"/>
    <w:rsid w:val="00E557EF"/>
    <w:rsid w:val="00E560DC"/>
    <w:rsid w:val="00E56586"/>
    <w:rsid w:val="00E574B5"/>
    <w:rsid w:val="00E57A20"/>
    <w:rsid w:val="00E57B4C"/>
    <w:rsid w:val="00E57DF2"/>
    <w:rsid w:val="00E57E2C"/>
    <w:rsid w:val="00E600EF"/>
    <w:rsid w:val="00E603CB"/>
    <w:rsid w:val="00E60943"/>
    <w:rsid w:val="00E610EC"/>
    <w:rsid w:val="00E61353"/>
    <w:rsid w:val="00E61AC2"/>
    <w:rsid w:val="00E62068"/>
    <w:rsid w:val="00E6270D"/>
    <w:rsid w:val="00E62BE3"/>
    <w:rsid w:val="00E630EB"/>
    <w:rsid w:val="00E63246"/>
    <w:rsid w:val="00E6343D"/>
    <w:rsid w:val="00E635AF"/>
    <w:rsid w:val="00E636C6"/>
    <w:rsid w:val="00E63808"/>
    <w:rsid w:val="00E64881"/>
    <w:rsid w:val="00E66290"/>
    <w:rsid w:val="00E6652E"/>
    <w:rsid w:val="00E6687E"/>
    <w:rsid w:val="00E6700E"/>
    <w:rsid w:val="00E67453"/>
    <w:rsid w:val="00E702B0"/>
    <w:rsid w:val="00E70524"/>
    <w:rsid w:val="00E70A40"/>
    <w:rsid w:val="00E71355"/>
    <w:rsid w:val="00E719F4"/>
    <w:rsid w:val="00E72187"/>
    <w:rsid w:val="00E72252"/>
    <w:rsid w:val="00E7230B"/>
    <w:rsid w:val="00E7242C"/>
    <w:rsid w:val="00E72986"/>
    <w:rsid w:val="00E739A2"/>
    <w:rsid w:val="00E73A09"/>
    <w:rsid w:val="00E73DD4"/>
    <w:rsid w:val="00E73F60"/>
    <w:rsid w:val="00E74518"/>
    <w:rsid w:val="00E745B2"/>
    <w:rsid w:val="00E749D7"/>
    <w:rsid w:val="00E74BEB"/>
    <w:rsid w:val="00E74CF9"/>
    <w:rsid w:val="00E754E8"/>
    <w:rsid w:val="00E76340"/>
    <w:rsid w:val="00E77345"/>
    <w:rsid w:val="00E7778D"/>
    <w:rsid w:val="00E804FF"/>
    <w:rsid w:val="00E81045"/>
    <w:rsid w:val="00E81469"/>
    <w:rsid w:val="00E81A33"/>
    <w:rsid w:val="00E81A4A"/>
    <w:rsid w:val="00E82817"/>
    <w:rsid w:val="00E828BE"/>
    <w:rsid w:val="00E8296B"/>
    <w:rsid w:val="00E83E01"/>
    <w:rsid w:val="00E845E2"/>
    <w:rsid w:val="00E84A2A"/>
    <w:rsid w:val="00E85389"/>
    <w:rsid w:val="00E8544C"/>
    <w:rsid w:val="00E8556E"/>
    <w:rsid w:val="00E855A1"/>
    <w:rsid w:val="00E85FA4"/>
    <w:rsid w:val="00E85FE5"/>
    <w:rsid w:val="00E8640B"/>
    <w:rsid w:val="00E864C4"/>
    <w:rsid w:val="00E8660D"/>
    <w:rsid w:val="00E869E8"/>
    <w:rsid w:val="00E8710B"/>
    <w:rsid w:val="00E87833"/>
    <w:rsid w:val="00E87A8C"/>
    <w:rsid w:val="00E87EA9"/>
    <w:rsid w:val="00E90879"/>
    <w:rsid w:val="00E909AA"/>
    <w:rsid w:val="00E90D88"/>
    <w:rsid w:val="00E91174"/>
    <w:rsid w:val="00E919AB"/>
    <w:rsid w:val="00E91EF4"/>
    <w:rsid w:val="00E929C3"/>
    <w:rsid w:val="00E92C25"/>
    <w:rsid w:val="00E93722"/>
    <w:rsid w:val="00E9379F"/>
    <w:rsid w:val="00E93B2D"/>
    <w:rsid w:val="00E93D53"/>
    <w:rsid w:val="00E944BE"/>
    <w:rsid w:val="00E947D5"/>
    <w:rsid w:val="00E95330"/>
    <w:rsid w:val="00E95B76"/>
    <w:rsid w:val="00E962F8"/>
    <w:rsid w:val="00E963AF"/>
    <w:rsid w:val="00E971DC"/>
    <w:rsid w:val="00E97207"/>
    <w:rsid w:val="00E979D0"/>
    <w:rsid w:val="00E97DBA"/>
    <w:rsid w:val="00EA141E"/>
    <w:rsid w:val="00EA1C60"/>
    <w:rsid w:val="00EA1F9C"/>
    <w:rsid w:val="00EA2052"/>
    <w:rsid w:val="00EA235C"/>
    <w:rsid w:val="00EA25CC"/>
    <w:rsid w:val="00EA2889"/>
    <w:rsid w:val="00EA2F1F"/>
    <w:rsid w:val="00EA32A8"/>
    <w:rsid w:val="00EA32AD"/>
    <w:rsid w:val="00EA4582"/>
    <w:rsid w:val="00EA53F6"/>
    <w:rsid w:val="00EA5842"/>
    <w:rsid w:val="00EA58D6"/>
    <w:rsid w:val="00EA59BA"/>
    <w:rsid w:val="00EA59F1"/>
    <w:rsid w:val="00EA62E5"/>
    <w:rsid w:val="00EA6848"/>
    <w:rsid w:val="00EA6A8A"/>
    <w:rsid w:val="00EA6B6C"/>
    <w:rsid w:val="00EA6CCE"/>
    <w:rsid w:val="00EA768D"/>
    <w:rsid w:val="00EB08B1"/>
    <w:rsid w:val="00EB0CED"/>
    <w:rsid w:val="00EB1A6D"/>
    <w:rsid w:val="00EB1A85"/>
    <w:rsid w:val="00EB25A0"/>
    <w:rsid w:val="00EB2718"/>
    <w:rsid w:val="00EB2839"/>
    <w:rsid w:val="00EB28CB"/>
    <w:rsid w:val="00EB3EBA"/>
    <w:rsid w:val="00EB3FB9"/>
    <w:rsid w:val="00EB4139"/>
    <w:rsid w:val="00EB42FA"/>
    <w:rsid w:val="00EB469A"/>
    <w:rsid w:val="00EB4D9B"/>
    <w:rsid w:val="00EB574B"/>
    <w:rsid w:val="00EB5920"/>
    <w:rsid w:val="00EB63AA"/>
    <w:rsid w:val="00EB66B0"/>
    <w:rsid w:val="00EB67F4"/>
    <w:rsid w:val="00EB7023"/>
    <w:rsid w:val="00EC0478"/>
    <w:rsid w:val="00EC05CD"/>
    <w:rsid w:val="00EC098E"/>
    <w:rsid w:val="00EC10A7"/>
    <w:rsid w:val="00EC1585"/>
    <w:rsid w:val="00EC2B4E"/>
    <w:rsid w:val="00EC35FB"/>
    <w:rsid w:val="00EC384F"/>
    <w:rsid w:val="00EC4014"/>
    <w:rsid w:val="00EC4334"/>
    <w:rsid w:val="00EC4449"/>
    <w:rsid w:val="00EC4704"/>
    <w:rsid w:val="00EC4895"/>
    <w:rsid w:val="00EC4A75"/>
    <w:rsid w:val="00EC4B05"/>
    <w:rsid w:val="00EC5077"/>
    <w:rsid w:val="00EC53F5"/>
    <w:rsid w:val="00EC574C"/>
    <w:rsid w:val="00EC580A"/>
    <w:rsid w:val="00EC58E3"/>
    <w:rsid w:val="00EC6BCF"/>
    <w:rsid w:val="00EC7AA6"/>
    <w:rsid w:val="00ED163F"/>
    <w:rsid w:val="00ED1A15"/>
    <w:rsid w:val="00ED1E36"/>
    <w:rsid w:val="00ED3139"/>
    <w:rsid w:val="00ED34E0"/>
    <w:rsid w:val="00ED37FB"/>
    <w:rsid w:val="00ED415C"/>
    <w:rsid w:val="00ED48F9"/>
    <w:rsid w:val="00ED4A33"/>
    <w:rsid w:val="00ED503A"/>
    <w:rsid w:val="00ED5144"/>
    <w:rsid w:val="00ED5148"/>
    <w:rsid w:val="00ED54DB"/>
    <w:rsid w:val="00ED593A"/>
    <w:rsid w:val="00ED6729"/>
    <w:rsid w:val="00ED6A2B"/>
    <w:rsid w:val="00ED72A4"/>
    <w:rsid w:val="00ED7995"/>
    <w:rsid w:val="00ED7DFF"/>
    <w:rsid w:val="00EE046B"/>
    <w:rsid w:val="00EE04D0"/>
    <w:rsid w:val="00EE1A21"/>
    <w:rsid w:val="00EE1A97"/>
    <w:rsid w:val="00EE1AE6"/>
    <w:rsid w:val="00EE1B86"/>
    <w:rsid w:val="00EE1C9F"/>
    <w:rsid w:val="00EE27F8"/>
    <w:rsid w:val="00EE2A16"/>
    <w:rsid w:val="00EE2BCE"/>
    <w:rsid w:val="00EE31AB"/>
    <w:rsid w:val="00EE3CAB"/>
    <w:rsid w:val="00EE4381"/>
    <w:rsid w:val="00EE4924"/>
    <w:rsid w:val="00EE4B76"/>
    <w:rsid w:val="00EE55BF"/>
    <w:rsid w:val="00EE570D"/>
    <w:rsid w:val="00EE59E6"/>
    <w:rsid w:val="00EE5FB7"/>
    <w:rsid w:val="00EE5FF6"/>
    <w:rsid w:val="00EE6F8F"/>
    <w:rsid w:val="00EE71D0"/>
    <w:rsid w:val="00EE7585"/>
    <w:rsid w:val="00EE78DF"/>
    <w:rsid w:val="00EE7EC3"/>
    <w:rsid w:val="00EF004E"/>
    <w:rsid w:val="00EF09B9"/>
    <w:rsid w:val="00EF09E8"/>
    <w:rsid w:val="00EF0C93"/>
    <w:rsid w:val="00EF1032"/>
    <w:rsid w:val="00EF1115"/>
    <w:rsid w:val="00EF2AA7"/>
    <w:rsid w:val="00EF375B"/>
    <w:rsid w:val="00EF396F"/>
    <w:rsid w:val="00EF39E4"/>
    <w:rsid w:val="00EF3B18"/>
    <w:rsid w:val="00EF3F22"/>
    <w:rsid w:val="00EF5E3D"/>
    <w:rsid w:val="00EF6093"/>
    <w:rsid w:val="00EF6D10"/>
    <w:rsid w:val="00EF6FDE"/>
    <w:rsid w:val="00EF7100"/>
    <w:rsid w:val="00EF7112"/>
    <w:rsid w:val="00EF7139"/>
    <w:rsid w:val="00EF7B17"/>
    <w:rsid w:val="00EF7C40"/>
    <w:rsid w:val="00F00005"/>
    <w:rsid w:val="00F00A7F"/>
    <w:rsid w:val="00F00B7A"/>
    <w:rsid w:val="00F00C2E"/>
    <w:rsid w:val="00F010CA"/>
    <w:rsid w:val="00F0139F"/>
    <w:rsid w:val="00F013F5"/>
    <w:rsid w:val="00F014AE"/>
    <w:rsid w:val="00F01891"/>
    <w:rsid w:val="00F0282E"/>
    <w:rsid w:val="00F03469"/>
    <w:rsid w:val="00F03BC2"/>
    <w:rsid w:val="00F03D71"/>
    <w:rsid w:val="00F03F9E"/>
    <w:rsid w:val="00F04054"/>
    <w:rsid w:val="00F0447A"/>
    <w:rsid w:val="00F0465B"/>
    <w:rsid w:val="00F04E64"/>
    <w:rsid w:val="00F05417"/>
    <w:rsid w:val="00F054EB"/>
    <w:rsid w:val="00F0618E"/>
    <w:rsid w:val="00F06681"/>
    <w:rsid w:val="00F06CB0"/>
    <w:rsid w:val="00F06EF6"/>
    <w:rsid w:val="00F0724E"/>
    <w:rsid w:val="00F075E7"/>
    <w:rsid w:val="00F07A87"/>
    <w:rsid w:val="00F07B81"/>
    <w:rsid w:val="00F07C05"/>
    <w:rsid w:val="00F07CAB"/>
    <w:rsid w:val="00F07CEA"/>
    <w:rsid w:val="00F07E60"/>
    <w:rsid w:val="00F1046E"/>
    <w:rsid w:val="00F11161"/>
    <w:rsid w:val="00F116DF"/>
    <w:rsid w:val="00F1193B"/>
    <w:rsid w:val="00F11DA1"/>
    <w:rsid w:val="00F12612"/>
    <w:rsid w:val="00F13330"/>
    <w:rsid w:val="00F1355C"/>
    <w:rsid w:val="00F13607"/>
    <w:rsid w:val="00F13885"/>
    <w:rsid w:val="00F14661"/>
    <w:rsid w:val="00F1528A"/>
    <w:rsid w:val="00F159D1"/>
    <w:rsid w:val="00F15E7A"/>
    <w:rsid w:val="00F171D7"/>
    <w:rsid w:val="00F17D63"/>
    <w:rsid w:val="00F20143"/>
    <w:rsid w:val="00F20337"/>
    <w:rsid w:val="00F203EF"/>
    <w:rsid w:val="00F2095F"/>
    <w:rsid w:val="00F209CF"/>
    <w:rsid w:val="00F20A0B"/>
    <w:rsid w:val="00F218EE"/>
    <w:rsid w:val="00F21A9C"/>
    <w:rsid w:val="00F22AD9"/>
    <w:rsid w:val="00F23130"/>
    <w:rsid w:val="00F236BA"/>
    <w:rsid w:val="00F23BCB"/>
    <w:rsid w:val="00F24720"/>
    <w:rsid w:val="00F24C85"/>
    <w:rsid w:val="00F24DD1"/>
    <w:rsid w:val="00F2548B"/>
    <w:rsid w:val="00F2588D"/>
    <w:rsid w:val="00F25C9E"/>
    <w:rsid w:val="00F26860"/>
    <w:rsid w:val="00F275C1"/>
    <w:rsid w:val="00F27D62"/>
    <w:rsid w:val="00F3011E"/>
    <w:rsid w:val="00F306AE"/>
    <w:rsid w:val="00F30A63"/>
    <w:rsid w:val="00F30D06"/>
    <w:rsid w:val="00F3116B"/>
    <w:rsid w:val="00F313CE"/>
    <w:rsid w:val="00F318FE"/>
    <w:rsid w:val="00F32650"/>
    <w:rsid w:val="00F32D13"/>
    <w:rsid w:val="00F32DDD"/>
    <w:rsid w:val="00F33246"/>
    <w:rsid w:val="00F33481"/>
    <w:rsid w:val="00F33685"/>
    <w:rsid w:val="00F33778"/>
    <w:rsid w:val="00F344EF"/>
    <w:rsid w:val="00F348EC"/>
    <w:rsid w:val="00F35085"/>
    <w:rsid w:val="00F35243"/>
    <w:rsid w:val="00F363DC"/>
    <w:rsid w:val="00F365A7"/>
    <w:rsid w:val="00F36C76"/>
    <w:rsid w:val="00F376DE"/>
    <w:rsid w:val="00F37C34"/>
    <w:rsid w:val="00F4005C"/>
    <w:rsid w:val="00F40C49"/>
    <w:rsid w:val="00F4138B"/>
    <w:rsid w:val="00F41673"/>
    <w:rsid w:val="00F41739"/>
    <w:rsid w:val="00F41AED"/>
    <w:rsid w:val="00F42754"/>
    <w:rsid w:val="00F4283B"/>
    <w:rsid w:val="00F42BDA"/>
    <w:rsid w:val="00F430BD"/>
    <w:rsid w:val="00F433B0"/>
    <w:rsid w:val="00F43424"/>
    <w:rsid w:val="00F43CC0"/>
    <w:rsid w:val="00F44580"/>
    <w:rsid w:val="00F4519F"/>
    <w:rsid w:val="00F46801"/>
    <w:rsid w:val="00F46B70"/>
    <w:rsid w:val="00F46D2B"/>
    <w:rsid w:val="00F470E2"/>
    <w:rsid w:val="00F4712E"/>
    <w:rsid w:val="00F47261"/>
    <w:rsid w:val="00F4744F"/>
    <w:rsid w:val="00F47EB8"/>
    <w:rsid w:val="00F506F2"/>
    <w:rsid w:val="00F50F15"/>
    <w:rsid w:val="00F51312"/>
    <w:rsid w:val="00F51530"/>
    <w:rsid w:val="00F5168B"/>
    <w:rsid w:val="00F52767"/>
    <w:rsid w:val="00F52819"/>
    <w:rsid w:val="00F53206"/>
    <w:rsid w:val="00F53278"/>
    <w:rsid w:val="00F5380C"/>
    <w:rsid w:val="00F53DF1"/>
    <w:rsid w:val="00F546C0"/>
    <w:rsid w:val="00F54AB6"/>
    <w:rsid w:val="00F54EAF"/>
    <w:rsid w:val="00F55260"/>
    <w:rsid w:val="00F55987"/>
    <w:rsid w:val="00F55C8B"/>
    <w:rsid w:val="00F55FA3"/>
    <w:rsid w:val="00F561E5"/>
    <w:rsid w:val="00F5652E"/>
    <w:rsid w:val="00F56E5A"/>
    <w:rsid w:val="00F5717E"/>
    <w:rsid w:val="00F5760C"/>
    <w:rsid w:val="00F57773"/>
    <w:rsid w:val="00F5789B"/>
    <w:rsid w:val="00F6004B"/>
    <w:rsid w:val="00F60052"/>
    <w:rsid w:val="00F607AC"/>
    <w:rsid w:val="00F60A61"/>
    <w:rsid w:val="00F60BA6"/>
    <w:rsid w:val="00F6102D"/>
    <w:rsid w:val="00F611FE"/>
    <w:rsid w:val="00F615B6"/>
    <w:rsid w:val="00F61678"/>
    <w:rsid w:val="00F616DF"/>
    <w:rsid w:val="00F61815"/>
    <w:rsid w:val="00F62511"/>
    <w:rsid w:val="00F6282C"/>
    <w:rsid w:val="00F62D48"/>
    <w:rsid w:val="00F62FE8"/>
    <w:rsid w:val="00F630A7"/>
    <w:rsid w:val="00F635D0"/>
    <w:rsid w:val="00F637DD"/>
    <w:rsid w:val="00F63BAF"/>
    <w:rsid w:val="00F64098"/>
    <w:rsid w:val="00F64794"/>
    <w:rsid w:val="00F647BA"/>
    <w:rsid w:val="00F64864"/>
    <w:rsid w:val="00F64928"/>
    <w:rsid w:val="00F64986"/>
    <w:rsid w:val="00F6514A"/>
    <w:rsid w:val="00F6534C"/>
    <w:rsid w:val="00F656D5"/>
    <w:rsid w:val="00F65B41"/>
    <w:rsid w:val="00F6606C"/>
    <w:rsid w:val="00F66642"/>
    <w:rsid w:val="00F668E6"/>
    <w:rsid w:val="00F671B4"/>
    <w:rsid w:val="00F701A7"/>
    <w:rsid w:val="00F70A83"/>
    <w:rsid w:val="00F70A8E"/>
    <w:rsid w:val="00F70ACC"/>
    <w:rsid w:val="00F70AEC"/>
    <w:rsid w:val="00F70EB8"/>
    <w:rsid w:val="00F71018"/>
    <w:rsid w:val="00F716F8"/>
    <w:rsid w:val="00F71E8C"/>
    <w:rsid w:val="00F724EE"/>
    <w:rsid w:val="00F72CAB"/>
    <w:rsid w:val="00F73762"/>
    <w:rsid w:val="00F739B8"/>
    <w:rsid w:val="00F73A43"/>
    <w:rsid w:val="00F73C4C"/>
    <w:rsid w:val="00F73F08"/>
    <w:rsid w:val="00F74232"/>
    <w:rsid w:val="00F74B97"/>
    <w:rsid w:val="00F74E62"/>
    <w:rsid w:val="00F751D3"/>
    <w:rsid w:val="00F75CFF"/>
    <w:rsid w:val="00F76129"/>
    <w:rsid w:val="00F764C0"/>
    <w:rsid w:val="00F769A5"/>
    <w:rsid w:val="00F76AA1"/>
    <w:rsid w:val="00F7703A"/>
    <w:rsid w:val="00F7732D"/>
    <w:rsid w:val="00F773CC"/>
    <w:rsid w:val="00F77A4C"/>
    <w:rsid w:val="00F77DFC"/>
    <w:rsid w:val="00F77F37"/>
    <w:rsid w:val="00F77F8B"/>
    <w:rsid w:val="00F80270"/>
    <w:rsid w:val="00F805CE"/>
    <w:rsid w:val="00F80D1A"/>
    <w:rsid w:val="00F812EB"/>
    <w:rsid w:val="00F8197C"/>
    <w:rsid w:val="00F8295E"/>
    <w:rsid w:val="00F82E16"/>
    <w:rsid w:val="00F8385B"/>
    <w:rsid w:val="00F83AEE"/>
    <w:rsid w:val="00F83C9C"/>
    <w:rsid w:val="00F83E73"/>
    <w:rsid w:val="00F854DB"/>
    <w:rsid w:val="00F85B46"/>
    <w:rsid w:val="00F85CF7"/>
    <w:rsid w:val="00F85E0A"/>
    <w:rsid w:val="00F85E0B"/>
    <w:rsid w:val="00F86175"/>
    <w:rsid w:val="00F867B7"/>
    <w:rsid w:val="00F86D2C"/>
    <w:rsid w:val="00F86DC6"/>
    <w:rsid w:val="00F86DD9"/>
    <w:rsid w:val="00F87100"/>
    <w:rsid w:val="00F872D1"/>
    <w:rsid w:val="00F879D7"/>
    <w:rsid w:val="00F909A0"/>
    <w:rsid w:val="00F91431"/>
    <w:rsid w:val="00F914AB"/>
    <w:rsid w:val="00F91653"/>
    <w:rsid w:val="00F91E81"/>
    <w:rsid w:val="00F91F6E"/>
    <w:rsid w:val="00F922A1"/>
    <w:rsid w:val="00F92AC3"/>
    <w:rsid w:val="00F92B7F"/>
    <w:rsid w:val="00F92C83"/>
    <w:rsid w:val="00F9371D"/>
    <w:rsid w:val="00F9467B"/>
    <w:rsid w:val="00F94809"/>
    <w:rsid w:val="00F94CE5"/>
    <w:rsid w:val="00F958E2"/>
    <w:rsid w:val="00F95919"/>
    <w:rsid w:val="00F95B59"/>
    <w:rsid w:val="00F95C46"/>
    <w:rsid w:val="00F96600"/>
    <w:rsid w:val="00F97928"/>
    <w:rsid w:val="00F97A4E"/>
    <w:rsid w:val="00F97BAF"/>
    <w:rsid w:val="00F97D9B"/>
    <w:rsid w:val="00FA022D"/>
    <w:rsid w:val="00FA02D9"/>
    <w:rsid w:val="00FA0B64"/>
    <w:rsid w:val="00FA1437"/>
    <w:rsid w:val="00FA1D44"/>
    <w:rsid w:val="00FA1F09"/>
    <w:rsid w:val="00FA204E"/>
    <w:rsid w:val="00FA2356"/>
    <w:rsid w:val="00FA27FC"/>
    <w:rsid w:val="00FA28A6"/>
    <w:rsid w:val="00FA29ED"/>
    <w:rsid w:val="00FA2DC6"/>
    <w:rsid w:val="00FA2F9F"/>
    <w:rsid w:val="00FA303C"/>
    <w:rsid w:val="00FA3780"/>
    <w:rsid w:val="00FA3934"/>
    <w:rsid w:val="00FA5050"/>
    <w:rsid w:val="00FA6CB3"/>
    <w:rsid w:val="00FA771B"/>
    <w:rsid w:val="00FA7C86"/>
    <w:rsid w:val="00FB0023"/>
    <w:rsid w:val="00FB09B6"/>
    <w:rsid w:val="00FB0B73"/>
    <w:rsid w:val="00FB0C20"/>
    <w:rsid w:val="00FB1838"/>
    <w:rsid w:val="00FB1AFE"/>
    <w:rsid w:val="00FB25CB"/>
    <w:rsid w:val="00FB2652"/>
    <w:rsid w:val="00FB26C3"/>
    <w:rsid w:val="00FB2973"/>
    <w:rsid w:val="00FB2BE3"/>
    <w:rsid w:val="00FB2D41"/>
    <w:rsid w:val="00FB30CA"/>
    <w:rsid w:val="00FB33D9"/>
    <w:rsid w:val="00FB3986"/>
    <w:rsid w:val="00FB3A7B"/>
    <w:rsid w:val="00FB4265"/>
    <w:rsid w:val="00FB450D"/>
    <w:rsid w:val="00FB4842"/>
    <w:rsid w:val="00FB66A4"/>
    <w:rsid w:val="00FC0266"/>
    <w:rsid w:val="00FC1847"/>
    <w:rsid w:val="00FC1BF9"/>
    <w:rsid w:val="00FC297D"/>
    <w:rsid w:val="00FC2ACB"/>
    <w:rsid w:val="00FC2C80"/>
    <w:rsid w:val="00FC3685"/>
    <w:rsid w:val="00FC43D5"/>
    <w:rsid w:val="00FC457A"/>
    <w:rsid w:val="00FC540A"/>
    <w:rsid w:val="00FC59D4"/>
    <w:rsid w:val="00FC6242"/>
    <w:rsid w:val="00FC6314"/>
    <w:rsid w:val="00FC6A56"/>
    <w:rsid w:val="00FC726F"/>
    <w:rsid w:val="00FC7298"/>
    <w:rsid w:val="00FC7419"/>
    <w:rsid w:val="00FC7A64"/>
    <w:rsid w:val="00FC7A69"/>
    <w:rsid w:val="00FC7AAC"/>
    <w:rsid w:val="00FC7BD2"/>
    <w:rsid w:val="00FC7D5E"/>
    <w:rsid w:val="00FD0249"/>
    <w:rsid w:val="00FD056C"/>
    <w:rsid w:val="00FD098B"/>
    <w:rsid w:val="00FD1546"/>
    <w:rsid w:val="00FD2643"/>
    <w:rsid w:val="00FD280D"/>
    <w:rsid w:val="00FD2D9F"/>
    <w:rsid w:val="00FD3201"/>
    <w:rsid w:val="00FD4162"/>
    <w:rsid w:val="00FD4341"/>
    <w:rsid w:val="00FD4348"/>
    <w:rsid w:val="00FD4965"/>
    <w:rsid w:val="00FD4D3C"/>
    <w:rsid w:val="00FD55AB"/>
    <w:rsid w:val="00FD60D7"/>
    <w:rsid w:val="00FD6243"/>
    <w:rsid w:val="00FD6DBD"/>
    <w:rsid w:val="00FD6E15"/>
    <w:rsid w:val="00FD71E6"/>
    <w:rsid w:val="00FD7467"/>
    <w:rsid w:val="00FD784A"/>
    <w:rsid w:val="00FD7CB0"/>
    <w:rsid w:val="00FD7E1F"/>
    <w:rsid w:val="00FD7FF8"/>
    <w:rsid w:val="00FE0296"/>
    <w:rsid w:val="00FE0A33"/>
    <w:rsid w:val="00FE0C21"/>
    <w:rsid w:val="00FE1476"/>
    <w:rsid w:val="00FE16F8"/>
    <w:rsid w:val="00FE1FD7"/>
    <w:rsid w:val="00FE259D"/>
    <w:rsid w:val="00FE2FEC"/>
    <w:rsid w:val="00FE340A"/>
    <w:rsid w:val="00FE365A"/>
    <w:rsid w:val="00FE3879"/>
    <w:rsid w:val="00FE3B12"/>
    <w:rsid w:val="00FE478B"/>
    <w:rsid w:val="00FE48AF"/>
    <w:rsid w:val="00FE5646"/>
    <w:rsid w:val="00FE6F2E"/>
    <w:rsid w:val="00FE75E9"/>
    <w:rsid w:val="00FE76B8"/>
    <w:rsid w:val="00FE7DC3"/>
    <w:rsid w:val="00FF007A"/>
    <w:rsid w:val="00FF02B7"/>
    <w:rsid w:val="00FF03AF"/>
    <w:rsid w:val="00FF07C7"/>
    <w:rsid w:val="00FF08CD"/>
    <w:rsid w:val="00FF0C34"/>
    <w:rsid w:val="00FF0C4F"/>
    <w:rsid w:val="00FF1094"/>
    <w:rsid w:val="00FF14FF"/>
    <w:rsid w:val="00FF1747"/>
    <w:rsid w:val="00FF1B2C"/>
    <w:rsid w:val="00FF1B94"/>
    <w:rsid w:val="00FF2A2E"/>
    <w:rsid w:val="00FF3DAC"/>
    <w:rsid w:val="00FF3E54"/>
    <w:rsid w:val="00FF42AC"/>
    <w:rsid w:val="00FF4838"/>
    <w:rsid w:val="00FF486E"/>
    <w:rsid w:val="00FF4FD1"/>
    <w:rsid w:val="00FF516F"/>
    <w:rsid w:val="00FF51EB"/>
    <w:rsid w:val="00FF5DF3"/>
    <w:rsid w:val="00FF6552"/>
    <w:rsid w:val="00FF6F55"/>
    <w:rsid w:val="00FF6FC1"/>
    <w:rsid w:val="00FF7875"/>
    <w:rsid w:val="00FF79A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3FD50"/>
  <w15:docId w15:val="{AD283E67-A712-4794-9FC0-7CFC7EBE7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FF7"/>
    <w:rPr>
      <w:sz w:val="24"/>
      <w:szCs w:val="24"/>
    </w:rPr>
  </w:style>
  <w:style w:type="paragraph" w:styleId="Heading1">
    <w:name w:val="heading 1"/>
    <w:basedOn w:val="Normal"/>
    <w:next w:val="Normal"/>
    <w:link w:val="Heading1Char"/>
    <w:uiPriority w:val="99"/>
    <w:qFormat/>
    <w:rsid w:val="00F348EC"/>
    <w:pPr>
      <w:keepNext/>
      <w:spacing w:before="240" w:after="120"/>
      <w:outlineLvl w:val="0"/>
    </w:pPr>
    <w:rPr>
      <w:rFonts w:ascii="Arial" w:hAnsi="Arial"/>
      <w:b/>
      <w:bCs/>
      <w:kern w:val="32"/>
      <w:sz w:val="32"/>
      <w:szCs w:val="20"/>
    </w:rPr>
  </w:style>
  <w:style w:type="paragraph" w:styleId="Heading2">
    <w:name w:val="heading 2"/>
    <w:basedOn w:val="Normal"/>
    <w:next w:val="Normal"/>
    <w:link w:val="Heading2Char"/>
    <w:uiPriority w:val="99"/>
    <w:qFormat/>
    <w:rsid w:val="00E0707D"/>
    <w:pPr>
      <w:keepNext/>
      <w:spacing w:before="240" w:after="120"/>
      <w:outlineLvl w:val="1"/>
    </w:pPr>
    <w:rPr>
      <w:rFonts w:ascii="Arial" w:hAnsi="Arial"/>
      <w:b/>
      <w:bCs/>
      <w:i/>
      <w:iCs/>
      <w:sz w:val="28"/>
      <w:szCs w:val="20"/>
    </w:rPr>
  </w:style>
  <w:style w:type="paragraph" w:styleId="Heading3">
    <w:name w:val="heading 3"/>
    <w:basedOn w:val="Normal"/>
    <w:next w:val="Normal"/>
    <w:link w:val="Heading3Char"/>
    <w:uiPriority w:val="99"/>
    <w:qFormat/>
    <w:rsid w:val="00E0707D"/>
    <w:pPr>
      <w:keepNext/>
      <w:spacing w:before="240" w:after="80"/>
      <w:outlineLvl w:val="2"/>
    </w:pPr>
    <w:rPr>
      <w:rFonts w:ascii="Arial" w:hAnsi="Arial"/>
      <w:b/>
      <w:bCs/>
      <w:sz w:val="26"/>
      <w:szCs w:val="20"/>
    </w:rPr>
  </w:style>
  <w:style w:type="paragraph" w:styleId="Heading4">
    <w:name w:val="heading 4"/>
    <w:basedOn w:val="Normal"/>
    <w:next w:val="Normal"/>
    <w:link w:val="Heading4Char"/>
    <w:uiPriority w:val="99"/>
    <w:qFormat/>
    <w:rsid w:val="00E0707D"/>
    <w:pPr>
      <w:keepNext/>
      <w:widowControl w:val="0"/>
      <w:autoSpaceDE w:val="0"/>
      <w:autoSpaceDN w:val="0"/>
      <w:adjustRightInd w:val="0"/>
      <w:spacing w:before="240" w:after="60"/>
      <w:outlineLvl w:val="3"/>
    </w:pPr>
    <w:rPr>
      <w:rFonts w:ascii="Arial" w:hAnsi="Arial"/>
      <w:b/>
      <w:bCs/>
      <w:sz w:val="28"/>
      <w:szCs w:val="20"/>
    </w:rPr>
  </w:style>
  <w:style w:type="paragraph" w:styleId="Heading5">
    <w:name w:val="heading 5"/>
    <w:basedOn w:val="Normal"/>
    <w:next w:val="Normal"/>
    <w:link w:val="Heading5Char"/>
    <w:uiPriority w:val="99"/>
    <w:qFormat/>
    <w:rsid w:val="00036FE5"/>
    <w:pPr>
      <w:widowControl w:val="0"/>
      <w:autoSpaceDE w:val="0"/>
      <w:autoSpaceDN w:val="0"/>
      <w:adjustRightInd w:val="0"/>
      <w:spacing w:before="240" w:after="60"/>
      <w:outlineLvl w:val="4"/>
    </w:pPr>
    <w:rPr>
      <w:b/>
      <w:bCs/>
      <w:i/>
      <w:iCs/>
      <w:sz w:val="26"/>
      <w:szCs w:val="20"/>
    </w:rPr>
  </w:style>
  <w:style w:type="paragraph" w:styleId="Heading6">
    <w:name w:val="heading 6"/>
    <w:basedOn w:val="Normal"/>
    <w:next w:val="Normal"/>
    <w:link w:val="Heading6Char"/>
    <w:uiPriority w:val="99"/>
    <w:qFormat/>
    <w:rsid w:val="00036FE5"/>
    <w:pPr>
      <w:widowControl w:val="0"/>
      <w:autoSpaceDE w:val="0"/>
      <w:autoSpaceDN w:val="0"/>
      <w:adjustRightInd w:val="0"/>
      <w:spacing w:before="240" w:after="60"/>
      <w:outlineLvl w:val="5"/>
    </w:pPr>
    <w:rPr>
      <w:b/>
      <w:bCs/>
      <w:sz w:val="22"/>
      <w:szCs w:val="20"/>
    </w:rPr>
  </w:style>
  <w:style w:type="paragraph" w:styleId="Heading7">
    <w:name w:val="heading 7"/>
    <w:basedOn w:val="Normal"/>
    <w:next w:val="Normal"/>
    <w:link w:val="Heading7Char"/>
    <w:uiPriority w:val="99"/>
    <w:qFormat/>
    <w:rsid w:val="00036FE5"/>
    <w:pPr>
      <w:widowControl w:val="0"/>
      <w:autoSpaceDE w:val="0"/>
      <w:autoSpaceDN w:val="0"/>
      <w:adjustRightInd w:val="0"/>
      <w:spacing w:before="240" w:after="60"/>
      <w:outlineLvl w:val="6"/>
    </w:pPr>
    <w:rPr>
      <w:szCs w:val="20"/>
    </w:rPr>
  </w:style>
  <w:style w:type="paragraph" w:styleId="Heading8">
    <w:name w:val="heading 8"/>
    <w:basedOn w:val="Normal"/>
    <w:next w:val="Normal"/>
    <w:link w:val="Heading8Char"/>
    <w:uiPriority w:val="99"/>
    <w:qFormat/>
    <w:rsid w:val="00036FE5"/>
    <w:pPr>
      <w:widowControl w:val="0"/>
      <w:autoSpaceDE w:val="0"/>
      <w:autoSpaceDN w:val="0"/>
      <w:adjustRightInd w:val="0"/>
      <w:spacing w:before="240" w:after="60"/>
      <w:outlineLvl w:val="7"/>
    </w:pPr>
    <w:rPr>
      <w:i/>
      <w:iCs/>
      <w:szCs w:val="20"/>
    </w:rPr>
  </w:style>
  <w:style w:type="paragraph" w:styleId="Heading9">
    <w:name w:val="heading 9"/>
    <w:basedOn w:val="Normal"/>
    <w:next w:val="Normal"/>
    <w:link w:val="Heading9Char"/>
    <w:uiPriority w:val="99"/>
    <w:qFormat/>
    <w:rsid w:val="00036FE5"/>
    <w:pPr>
      <w:widowControl w:val="0"/>
      <w:autoSpaceDE w:val="0"/>
      <w:autoSpaceDN w:val="0"/>
      <w:adjustRightInd w:val="0"/>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F348EC"/>
    <w:rPr>
      <w:rFonts w:ascii="Arial" w:hAnsi="Arial" w:cs="Arial"/>
      <w:b/>
      <w:bCs/>
      <w:kern w:val="32"/>
      <w:sz w:val="32"/>
      <w:lang w:val="en-US" w:eastAsia="en-US"/>
    </w:rPr>
  </w:style>
  <w:style w:type="character" w:customStyle="1" w:styleId="Heading2Char">
    <w:name w:val="Heading 2 Char"/>
    <w:link w:val="Heading2"/>
    <w:uiPriority w:val="99"/>
    <w:rsid w:val="00CD44C5"/>
    <w:rPr>
      <w:rFonts w:ascii="Arial" w:hAnsi="Arial" w:cs="Arial"/>
      <w:b/>
      <w:bCs/>
      <w:i/>
      <w:iCs/>
      <w:sz w:val="28"/>
      <w:lang w:val="en-US" w:eastAsia="en-US"/>
    </w:rPr>
  </w:style>
  <w:style w:type="character" w:customStyle="1" w:styleId="Heading3Char">
    <w:name w:val="Heading 3 Char"/>
    <w:link w:val="Heading3"/>
    <w:uiPriority w:val="99"/>
    <w:rsid w:val="00CD44C5"/>
    <w:rPr>
      <w:rFonts w:ascii="Arial" w:hAnsi="Arial" w:cs="Arial"/>
      <w:b/>
      <w:bCs/>
      <w:sz w:val="26"/>
      <w:lang w:val="en-US" w:eastAsia="en-US"/>
    </w:rPr>
  </w:style>
  <w:style w:type="character" w:customStyle="1" w:styleId="Heading4Char">
    <w:name w:val="Heading 4 Char"/>
    <w:link w:val="Heading4"/>
    <w:uiPriority w:val="99"/>
    <w:rsid w:val="00CD44C5"/>
    <w:rPr>
      <w:rFonts w:ascii="Arial" w:hAnsi="Arial" w:cs="Times New Roman"/>
      <w:b/>
      <w:bCs/>
      <w:sz w:val="28"/>
      <w:lang w:val="en-US" w:eastAsia="en-US"/>
    </w:rPr>
  </w:style>
  <w:style w:type="character" w:customStyle="1" w:styleId="Heading5Char">
    <w:name w:val="Heading 5 Char"/>
    <w:link w:val="Heading5"/>
    <w:uiPriority w:val="99"/>
    <w:rsid w:val="00CD44C5"/>
    <w:rPr>
      <w:rFonts w:cs="Times New Roman"/>
      <w:b/>
      <w:bCs/>
      <w:i/>
      <w:iCs/>
      <w:sz w:val="26"/>
      <w:lang w:val="en-US" w:eastAsia="en-US"/>
    </w:rPr>
  </w:style>
  <w:style w:type="character" w:customStyle="1" w:styleId="Heading6Char">
    <w:name w:val="Heading 6 Char"/>
    <w:link w:val="Heading6"/>
    <w:uiPriority w:val="99"/>
    <w:rsid w:val="00CD44C5"/>
    <w:rPr>
      <w:rFonts w:cs="Times New Roman"/>
      <w:b/>
      <w:bCs/>
      <w:sz w:val="22"/>
      <w:lang w:val="en-US" w:eastAsia="en-US"/>
    </w:rPr>
  </w:style>
  <w:style w:type="character" w:customStyle="1" w:styleId="Heading7Char">
    <w:name w:val="Heading 7 Char"/>
    <w:link w:val="Heading7"/>
    <w:uiPriority w:val="99"/>
    <w:rsid w:val="00CD44C5"/>
    <w:rPr>
      <w:rFonts w:cs="Times New Roman"/>
      <w:sz w:val="24"/>
      <w:lang w:val="en-US" w:eastAsia="en-US"/>
    </w:rPr>
  </w:style>
  <w:style w:type="character" w:customStyle="1" w:styleId="Heading8Char">
    <w:name w:val="Heading 8 Char"/>
    <w:link w:val="Heading8"/>
    <w:uiPriority w:val="99"/>
    <w:rsid w:val="00CD44C5"/>
    <w:rPr>
      <w:rFonts w:cs="Times New Roman"/>
      <w:i/>
      <w:iCs/>
      <w:sz w:val="24"/>
      <w:lang w:val="en-US" w:eastAsia="en-US"/>
    </w:rPr>
  </w:style>
  <w:style w:type="character" w:customStyle="1" w:styleId="Heading9Char">
    <w:name w:val="Heading 9 Char"/>
    <w:link w:val="Heading9"/>
    <w:uiPriority w:val="99"/>
    <w:rsid w:val="00CD44C5"/>
    <w:rPr>
      <w:rFonts w:ascii="Arial" w:hAnsi="Arial" w:cs="Arial"/>
      <w:sz w:val="22"/>
      <w:lang w:val="en-US" w:eastAsia="en-US"/>
    </w:rPr>
  </w:style>
  <w:style w:type="table" w:styleId="TableGrid">
    <w:name w:val="Table Grid"/>
    <w:basedOn w:val="TableNormal"/>
    <w:uiPriority w:val="99"/>
    <w:rsid w:val="00660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uiPriority w:val="99"/>
    <w:rsid w:val="004525A2"/>
    <w:tblPr>
      <w:tblBorders>
        <w:top w:val="single" w:sz="12" w:space="0" w:color="000000"/>
        <w:bottom w:val="single" w:sz="12" w:space="0" w:color="000000"/>
      </w:tblBorders>
    </w:tblPr>
    <w:tblStylePr w:type="firstRow">
      <w:rPr>
        <w:rFonts w:cs="Times New Roman"/>
        <w:i/>
        <w:iCs/>
        <w:shd w:val="clear" w:color="auto" w:fill="auto"/>
      </w:rPr>
      <w:tblPr/>
      <w:tcPr>
        <w:tcBorders>
          <w:bottom w:val="single" w:sz="6" w:space="0" w:color="000000"/>
          <w:tl2br w:val="none" w:sz="0" w:space="0" w:color="auto"/>
          <w:tr2bl w:val="none" w:sz="0" w:space="0" w:color="auto"/>
        </w:tcBorders>
      </w:tcPr>
    </w:tblStylePr>
    <w:tblStylePr w:type="lastRow">
      <w:rPr>
        <w:rFonts w:cs="Times New Roman"/>
        <w:color w:val="auto"/>
        <w:shd w:val="clear" w:color="auto" w:fill="auto"/>
      </w:rPr>
      <w:tblPr/>
      <w:tcPr>
        <w:tcBorders>
          <w:top w:val="single" w:sz="6" w:space="0" w:color="000000"/>
          <w:tl2br w:val="none" w:sz="0" w:space="0" w:color="auto"/>
          <w:tr2bl w:val="none" w:sz="0" w:space="0" w:color="auto"/>
        </w:tcBorders>
      </w:tcPr>
    </w:tblStylePr>
    <w:tblStylePr w:type="firstCol">
      <w:rPr>
        <w:rFonts w:cs="Times New Roman"/>
        <w:shd w:val="clear" w:color="auto" w:fill="auto"/>
      </w:rPr>
      <w:tblPr/>
      <w:tcPr>
        <w:tcBorders>
          <w:right w:val="single" w:sz="6" w:space="0" w:color="000000"/>
          <w:tl2br w:val="none" w:sz="0" w:space="0" w:color="auto"/>
          <w:tr2bl w:val="none" w:sz="0" w:space="0" w:color="auto"/>
        </w:tcBorders>
      </w:tcPr>
    </w:tblStylePr>
    <w:tblStylePr w:type="neCell">
      <w:rPr>
        <w:rFonts w:cs="Times New Roman"/>
        <w:b/>
        <w:bCs/>
        <w:i w:val="0"/>
        <w:iCs w:val="0"/>
        <w:shd w:val="clear" w:color="auto" w:fill="auto"/>
      </w:rPr>
      <w:tblPr/>
      <w:tcPr>
        <w:tcBorders>
          <w:tl2br w:val="none" w:sz="0" w:space="0" w:color="auto"/>
          <w:tr2bl w:val="none" w:sz="0" w:space="0" w:color="auto"/>
        </w:tcBorders>
      </w:tcPr>
    </w:tblStylePr>
    <w:tblStylePr w:type="swCell">
      <w:rPr>
        <w:rFonts w:cs="Times New Roman"/>
        <w:b/>
        <w:bCs/>
        <w:shd w:val="clear" w:color="auto" w:fill="auto"/>
      </w:rPr>
      <w:tblPr/>
      <w:tcPr>
        <w:tcBorders>
          <w:tl2br w:val="none" w:sz="0" w:space="0" w:color="auto"/>
          <w:tr2bl w:val="none" w:sz="0" w:space="0" w:color="auto"/>
        </w:tcBorders>
      </w:tcPr>
    </w:tblStylePr>
  </w:style>
  <w:style w:type="character" w:styleId="FootnoteReference">
    <w:name w:val="footnote reference"/>
    <w:uiPriority w:val="99"/>
    <w:semiHidden/>
    <w:rsid w:val="004525A2"/>
    <w:rPr>
      <w:rFonts w:ascii="Times New Roman" w:hAnsi="Times New Roman" w:cs="Times New Roman"/>
      <w:sz w:val="24"/>
      <w:vertAlign w:val="superscript"/>
    </w:rPr>
  </w:style>
  <w:style w:type="paragraph" w:styleId="FootnoteText">
    <w:name w:val="footnote text"/>
    <w:basedOn w:val="Normal"/>
    <w:next w:val="Normal"/>
    <w:link w:val="FootnoteTextChar"/>
    <w:uiPriority w:val="99"/>
    <w:semiHidden/>
    <w:rsid w:val="00D945AE"/>
    <w:pPr>
      <w:keepLines/>
      <w:widowControl w:val="0"/>
      <w:autoSpaceDE w:val="0"/>
      <w:autoSpaceDN w:val="0"/>
      <w:adjustRightInd w:val="0"/>
    </w:pPr>
    <w:rPr>
      <w:sz w:val="20"/>
      <w:szCs w:val="20"/>
      <w:vertAlign w:val="superscript"/>
    </w:rPr>
  </w:style>
  <w:style w:type="character" w:customStyle="1" w:styleId="FootnoteTextChar">
    <w:name w:val="Footnote Text Char"/>
    <w:link w:val="FootnoteText"/>
    <w:uiPriority w:val="99"/>
    <w:rsid w:val="004525A2"/>
    <w:rPr>
      <w:rFonts w:cs="Times New Roman"/>
      <w:vertAlign w:val="superscript"/>
      <w:lang w:val="en-US" w:eastAsia="en-US"/>
    </w:rPr>
  </w:style>
  <w:style w:type="character" w:customStyle="1" w:styleId="FootnoteTextChar1">
    <w:name w:val="Footnote Text Char1"/>
    <w:uiPriority w:val="99"/>
    <w:rsid w:val="00D945AE"/>
    <w:rPr>
      <w:rFonts w:cs="Times New Roman"/>
      <w:lang w:val="en-US" w:eastAsia="en-US"/>
    </w:rPr>
  </w:style>
  <w:style w:type="paragraph" w:customStyle="1" w:styleId="Heading40">
    <w:name w:val="Heading4"/>
    <w:basedOn w:val="Normal"/>
    <w:uiPriority w:val="99"/>
    <w:rsid w:val="00E0707D"/>
    <w:pPr>
      <w:keepNext/>
      <w:widowControl w:val="0"/>
      <w:autoSpaceDE w:val="0"/>
      <w:autoSpaceDN w:val="0"/>
      <w:adjustRightInd w:val="0"/>
      <w:spacing w:before="240" w:after="40"/>
    </w:pPr>
    <w:rPr>
      <w:rFonts w:ascii="Arial" w:hAnsi="Arial"/>
      <w:b/>
    </w:rPr>
  </w:style>
  <w:style w:type="paragraph" w:customStyle="1" w:styleId="Level1">
    <w:name w:val="Level 1"/>
    <w:basedOn w:val="Normal"/>
    <w:uiPriority w:val="99"/>
    <w:semiHidden/>
    <w:rsid w:val="004525A2"/>
    <w:pPr>
      <w:widowControl w:val="0"/>
      <w:autoSpaceDE w:val="0"/>
      <w:autoSpaceDN w:val="0"/>
      <w:adjustRightInd w:val="0"/>
      <w:ind w:left="720" w:hanging="720"/>
    </w:pPr>
  </w:style>
  <w:style w:type="paragraph" w:customStyle="1" w:styleId="Style3">
    <w:name w:val="Style3"/>
    <w:basedOn w:val="TOC2"/>
    <w:uiPriority w:val="99"/>
    <w:rsid w:val="004525A2"/>
    <w:pPr>
      <w:tabs>
        <w:tab w:val="left" w:pos="720"/>
        <w:tab w:val="left" w:pos="1080"/>
        <w:tab w:val="right" w:leader="dot" w:pos="9360"/>
      </w:tabs>
      <w:ind w:left="0"/>
    </w:pPr>
    <w:rPr>
      <w:bCs/>
      <w:noProof/>
      <w:szCs w:val="20"/>
    </w:rPr>
  </w:style>
  <w:style w:type="paragraph" w:styleId="TOC2">
    <w:name w:val="toc 2"/>
    <w:basedOn w:val="Normal"/>
    <w:next w:val="Normal"/>
    <w:uiPriority w:val="99"/>
    <w:semiHidden/>
    <w:rsid w:val="004525A2"/>
    <w:pPr>
      <w:widowControl w:val="0"/>
      <w:autoSpaceDE w:val="0"/>
      <w:autoSpaceDN w:val="0"/>
      <w:adjustRightInd w:val="0"/>
      <w:ind w:left="240"/>
    </w:pPr>
  </w:style>
  <w:style w:type="paragraph" w:customStyle="1" w:styleId="Level2">
    <w:name w:val="Level 2"/>
    <w:basedOn w:val="Normal"/>
    <w:uiPriority w:val="99"/>
    <w:semiHidden/>
    <w:rsid w:val="004525A2"/>
    <w:pPr>
      <w:widowControl w:val="0"/>
      <w:autoSpaceDE w:val="0"/>
      <w:autoSpaceDN w:val="0"/>
      <w:adjustRightInd w:val="0"/>
      <w:ind w:left="1075" w:hanging="355"/>
    </w:pPr>
  </w:style>
  <w:style w:type="paragraph" w:customStyle="1" w:styleId="Tables">
    <w:name w:val="Tables"/>
    <w:basedOn w:val="Normal"/>
    <w:uiPriority w:val="99"/>
    <w:semiHidden/>
    <w:rsid w:val="004525A2"/>
    <w:pPr>
      <w:keepNext/>
      <w:keepLines/>
      <w:autoSpaceDE w:val="0"/>
      <w:autoSpaceDN w:val="0"/>
      <w:adjustRightInd w:val="0"/>
    </w:pPr>
    <w:rPr>
      <w:rFonts w:ascii="Arial" w:hAnsi="Arial"/>
      <w:b/>
      <w:sz w:val="20"/>
      <w:szCs w:val="22"/>
    </w:rPr>
  </w:style>
  <w:style w:type="character" w:customStyle="1" w:styleId="TablesChar">
    <w:name w:val="Tables Char"/>
    <w:uiPriority w:val="99"/>
    <w:rsid w:val="004525A2"/>
    <w:rPr>
      <w:rFonts w:ascii="Arial" w:hAnsi="Arial" w:cs="Times New Roman"/>
      <w:b/>
      <w:sz w:val="22"/>
      <w:lang w:val="en-US" w:eastAsia="en-US"/>
    </w:rPr>
  </w:style>
  <w:style w:type="paragraph" w:customStyle="1" w:styleId="BodyTextIn">
    <w:name w:val="Body Text In"/>
    <w:uiPriority w:val="99"/>
    <w:rsid w:val="004525A2"/>
    <w:pPr>
      <w:widowControl w:val="0"/>
      <w:autoSpaceDE w:val="0"/>
      <w:autoSpaceDN w:val="0"/>
      <w:adjustRightInd w:val="0"/>
      <w:ind w:firstLine="720"/>
      <w:jc w:val="both"/>
    </w:pPr>
    <w:rPr>
      <w:rFonts w:ascii="Book Antiqua" w:hAnsi="Book Antiqua" w:cs="Book Antiqua"/>
      <w:sz w:val="24"/>
      <w:szCs w:val="24"/>
    </w:rPr>
  </w:style>
  <w:style w:type="paragraph" w:customStyle="1" w:styleId="BulletedTxt">
    <w:name w:val="Bulleted Txt"/>
    <w:basedOn w:val="Normal"/>
    <w:uiPriority w:val="99"/>
    <w:rsid w:val="004525A2"/>
    <w:pPr>
      <w:widowControl w:val="0"/>
      <w:autoSpaceDE w:val="0"/>
      <w:autoSpaceDN w:val="0"/>
      <w:adjustRightInd w:val="0"/>
      <w:ind w:left="360" w:hanging="360"/>
    </w:pPr>
  </w:style>
  <w:style w:type="paragraph" w:customStyle="1" w:styleId="StyleHeading4After1075pt">
    <w:name w:val="Style Heading 4 + After:  10.75 pt"/>
    <w:basedOn w:val="Heading4"/>
    <w:uiPriority w:val="99"/>
    <w:rsid w:val="004525A2"/>
    <w:pPr>
      <w:keepNext w:val="0"/>
      <w:spacing w:before="160" w:after="160"/>
    </w:pPr>
    <w:rPr>
      <w:i/>
      <w:iCs/>
    </w:rPr>
  </w:style>
  <w:style w:type="paragraph" w:customStyle="1" w:styleId="StyleHeading4Left025After1075pt">
    <w:name w:val="Style Heading 4 + Left:  0.25&quot; After:  10.75 pt"/>
    <w:basedOn w:val="Heading4"/>
    <w:uiPriority w:val="99"/>
    <w:rsid w:val="004525A2"/>
    <w:pPr>
      <w:keepNext w:val="0"/>
      <w:spacing w:before="160" w:after="160"/>
      <w:ind w:left="360"/>
    </w:pPr>
    <w:rPr>
      <w:i/>
      <w:iCs/>
    </w:rPr>
  </w:style>
  <w:style w:type="paragraph" w:customStyle="1" w:styleId="BulletText">
    <w:name w:val="Bullet Text"/>
    <w:basedOn w:val="Normal"/>
    <w:uiPriority w:val="99"/>
    <w:semiHidden/>
    <w:rsid w:val="004525A2"/>
    <w:pPr>
      <w:widowControl w:val="0"/>
      <w:autoSpaceDE w:val="0"/>
      <w:autoSpaceDN w:val="0"/>
      <w:adjustRightInd w:val="0"/>
      <w:spacing w:after="110"/>
      <w:ind w:left="774" w:right="432" w:hanging="342"/>
      <w:jc w:val="both"/>
    </w:pPr>
    <w:rPr>
      <w:rFonts w:ascii="Shruti" w:hAnsi="Shruti" w:cs="Shruti"/>
      <w:sz w:val="22"/>
      <w:szCs w:val="22"/>
    </w:rPr>
  </w:style>
  <w:style w:type="paragraph" w:customStyle="1" w:styleId="TableTitle">
    <w:name w:val="Table Title"/>
    <w:basedOn w:val="Normal"/>
    <w:uiPriority w:val="99"/>
    <w:rsid w:val="004525A2"/>
    <w:pPr>
      <w:widowControl w:val="0"/>
      <w:autoSpaceDE w:val="0"/>
      <w:autoSpaceDN w:val="0"/>
      <w:adjustRightInd w:val="0"/>
    </w:pPr>
    <w:rPr>
      <w:rFonts w:ascii="Arial" w:hAnsi="Arial"/>
      <w:b/>
      <w:sz w:val="20"/>
    </w:rPr>
  </w:style>
  <w:style w:type="character" w:styleId="CommentReference">
    <w:name w:val="annotation reference"/>
    <w:uiPriority w:val="99"/>
    <w:semiHidden/>
    <w:rsid w:val="004525A2"/>
    <w:rPr>
      <w:rFonts w:cs="Times New Roman"/>
      <w:sz w:val="16"/>
    </w:rPr>
  </w:style>
  <w:style w:type="paragraph" w:styleId="CommentText">
    <w:name w:val="annotation text"/>
    <w:basedOn w:val="Normal"/>
    <w:link w:val="CommentTextChar"/>
    <w:uiPriority w:val="99"/>
    <w:semiHidden/>
    <w:rsid w:val="004525A2"/>
    <w:pPr>
      <w:widowControl w:val="0"/>
      <w:autoSpaceDE w:val="0"/>
      <w:autoSpaceDN w:val="0"/>
      <w:adjustRightInd w:val="0"/>
    </w:pPr>
    <w:rPr>
      <w:rFonts w:ascii="Verdana" w:hAnsi="Verdana"/>
      <w:sz w:val="18"/>
      <w:szCs w:val="20"/>
    </w:rPr>
  </w:style>
  <w:style w:type="character" w:customStyle="1" w:styleId="CommentTextChar">
    <w:name w:val="Comment Text Char"/>
    <w:link w:val="CommentText"/>
    <w:uiPriority w:val="99"/>
    <w:semiHidden/>
    <w:rsid w:val="00CD44C5"/>
    <w:rPr>
      <w:rFonts w:ascii="Verdana" w:hAnsi="Verdana" w:cs="Times New Roman"/>
      <w:sz w:val="18"/>
      <w:lang w:val="en-US" w:eastAsia="en-US"/>
    </w:rPr>
  </w:style>
  <w:style w:type="paragraph" w:styleId="CommentSubject">
    <w:name w:val="annotation subject"/>
    <w:basedOn w:val="CommentText"/>
    <w:next w:val="CommentText"/>
    <w:link w:val="CommentSubjectChar"/>
    <w:uiPriority w:val="99"/>
    <w:semiHidden/>
    <w:rsid w:val="004525A2"/>
    <w:rPr>
      <w:b/>
      <w:bCs/>
    </w:rPr>
  </w:style>
  <w:style w:type="character" w:customStyle="1" w:styleId="CommentSubjectChar">
    <w:name w:val="Comment Subject Char"/>
    <w:link w:val="CommentSubject"/>
    <w:uiPriority w:val="99"/>
    <w:semiHidden/>
    <w:rsid w:val="00CD44C5"/>
    <w:rPr>
      <w:rFonts w:ascii="Verdana" w:hAnsi="Verdana" w:cs="Times New Roman"/>
      <w:b/>
      <w:bCs/>
      <w:sz w:val="18"/>
      <w:lang w:val="en-US" w:eastAsia="en-US"/>
    </w:rPr>
  </w:style>
  <w:style w:type="paragraph" w:styleId="BalloonText">
    <w:name w:val="Balloon Text"/>
    <w:basedOn w:val="Normal"/>
    <w:link w:val="BalloonTextChar"/>
    <w:uiPriority w:val="99"/>
    <w:semiHidden/>
    <w:rsid w:val="004525A2"/>
    <w:pPr>
      <w:widowControl w:val="0"/>
      <w:autoSpaceDE w:val="0"/>
      <w:autoSpaceDN w:val="0"/>
      <w:adjustRightInd w:val="0"/>
    </w:pPr>
    <w:rPr>
      <w:rFonts w:ascii="Tahoma" w:hAnsi="Tahoma"/>
      <w:sz w:val="16"/>
      <w:szCs w:val="20"/>
    </w:rPr>
  </w:style>
  <w:style w:type="character" w:customStyle="1" w:styleId="BalloonTextChar">
    <w:name w:val="Balloon Text Char"/>
    <w:link w:val="BalloonText"/>
    <w:uiPriority w:val="99"/>
    <w:semiHidden/>
    <w:rsid w:val="00CD44C5"/>
    <w:rPr>
      <w:rFonts w:ascii="Tahoma" w:hAnsi="Tahoma" w:cs="Tahoma"/>
      <w:sz w:val="16"/>
      <w:lang w:val="en-US" w:eastAsia="en-US"/>
    </w:rPr>
  </w:style>
  <w:style w:type="paragraph" w:styleId="TOC1">
    <w:name w:val="toc 1"/>
    <w:basedOn w:val="Normal"/>
    <w:next w:val="Normal"/>
    <w:uiPriority w:val="99"/>
    <w:semiHidden/>
    <w:rsid w:val="00AD6BBE"/>
    <w:pPr>
      <w:widowControl w:val="0"/>
      <w:tabs>
        <w:tab w:val="left" w:pos="990"/>
        <w:tab w:val="right" w:leader="dot" w:pos="9350"/>
      </w:tabs>
      <w:autoSpaceDE w:val="0"/>
      <w:autoSpaceDN w:val="0"/>
      <w:adjustRightInd w:val="0"/>
      <w:ind w:left="990" w:hanging="990"/>
    </w:pPr>
    <w:rPr>
      <w:bCs/>
      <w:szCs w:val="20"/>
    </w:rPr>
  </w:style>
  <w:style w:type="paragraph" w:styleId="List">
    <w:name w:val="List"/>
    <w:basedOn w:val="Normal"/>
    <w:uiPriority w:val="99"/>
    <w:semiHidden/>
    <w:rsid w:val="00036FE5"/>
    <w:pPr>
      <w:widowControl w:val="0"/>
      <w:autoSpaceDE w:val="0"/>
      <w:autoSpaceDN w:val="0"/>
      <w:adjustRightInd w:val="0"/>
      <w:ind w:left="720" w:hanging="720"/>
    </w:pPr>
  </w:style>
  <w:style w:type="character" w:customStyle="1" w:styleId="a">
    <w:name w:val="_"/>
    <w:uiPriority w:val="99"/>
    <w:semiHidden/>
    <w:rsid w:val="00036FE5"/>
  </w:style>
  <w:style w:type="paragraph" w:styleId="Header">
    <w:name w:val="header"/>
    <w:basedOn w:val="Normal"/>
    <w:link w:val="HeaderChar"/>
    <w:semiHidden/>
    <w:rsid w:val="00036FE5"/>
    <w:pPr>
      <w:widowControl w:val="0"/>
      <w:tabs>
        <w:tab w:val="center" w:pos="4320"/>
        <w:tab w:val="right" w:pos="8640"/>
      </w:tabs>
      <w:autoSpaceDE w:val="0"/>
      <w:autoSpaceDN w:val="0"/>
      <w:adjustRightInd w:val="0"/>
    </w:pPr>
    <w:rPr>
      <w:szCs w:val="20"/>
    </w:rPr>
  </w:style>
  <w:style w:type="character" w:customStyle="1" w:styleId="HeaderChar">
    <w:name w:val="Header Char"/>
    <w:link w:val="Header"/>
    <w:semiHidden/>
    <w:rsid w:val="00CD44C5"/>
    <w:rPr>
      <w:rFonts w:cs="Times New Roman"/>
      <w:sz w:val="24"/>
      <w:lang w:val="en-US" w:eastAsia="en-US"/>
    </w:rPr>
  </w:style>
  <w:style w:type="paragraph" w:styleId="Footer">
    <w:name w:val="footer"/>
    <w:basedOn w:val="Normal"/>
    <w:link w:val="FooterChar"/>
    <w:uiPriority w:val="99"/>
    <w:semiHidden/>
    <w:rsid w:val="00036FE5"/>
    <w:pPr>
      <w:widowControl w:val="0"/>
      <w:tabs>
        <w:tab w:val="center" w:pos="4320"/>
        <w:tab w:val="right" w:pos="8640"/>
      </w:tabs>
      <w:autoSpaceDE w:val="0"/>
      <w:autoSpaceDN w:val="0"/>
      <w:adjustRightInd w:val="0"/>
    </w:pPr>
    <w:rPr>
      <w:szCs w:val="20"/>
    </w:rPr>
  </w:style>
  <w:style w:type="character" w:customStyle="1" w:styleId="FooterChar">
    <w:name w:val="Footer Char"/>
    <w:link w:val="Footer"/>
    <w:uiPriority w:val="99"/>
    <w:rsid w:val="00D945AE"/>
    <w:rPr>
      <w:rFonts w:cs="Times New Roman"/>
      <w:sz w:val="24"/>
      <w:lang w:val="en-US" w:eastAsia="en-US"/>
    </w:rPr>
  </w:style>
  <w:style w:type="character" w:styleId="PageNumber">
    <w:name w:val="page number"/>
    <w:uiPriority w:val="99"/>
    <w:semiHidden/>
    <w:rsid w:val="00036FE5"/>
    <w:rPr>
      <w:rFonts w:cs="Times New Roman"/>
    </w:rPr>
  </w:style>
  <w:style w:type="paragraph" w:styleId="BlockText">
    <w:name w:val="Block Text"/>
    <w:basedOn w:val="Normal"/>
    <w:uiPriority w:val="99"/>
    <w:semiHidden/>
    <w:rsid w:val="00036FE5"/>
    <w:pPr>
      <w:widowControl w:val="0"/>
      <w:autoSpaceDE w:val="0"/>
      <w:autoSpaceDN w:val="0"/>
      <w:adjustRightInd w:val="0"/>
      <w:spacing w:after="120"/>
      <w:ind w:left="1440" w:right="1440"/>
    </w:pPr>
  </w:style>
  <w:style w:type="paragraph" w:styleId="BodyText">
    <w:name w:val="Body Text"/>
    <w:basedOn w:val="Normal"/>
    <w:link w:val="BodyTextChar"/>
    <w:uiPriority w:val="99"/>
    <w:semiHidden/>
    <w:rsid w:val="00036FE5"/>
    <w:pPr>
      <w:widowControl w:val="0"/>
      <w:autoSpaceDE w:val="0"/>
      <w:autoSpaceDN w:val="0"/>
      <w:adjustRightInd w:val="0"/>
      <w:spacing w:after="120"/>
    </w:pPr>
    <w:rPr>
      <w:szCs w:val="20"/>
    </w:rPr>
  </w:style>
  <w:style w:type="character" w:customStyle="1" w:styleId="BodyTextChar">
    <w:name w:val="Body Text Char"/>
    <w:link w:val="BodyText"/>
    <w:uiPriority w:val="99"/>
    <w:semiHidden/>
    <w:rsid w:val="00CD44C5"/>
    <w:rPr>
      <w:rFonts w:cs="Times New Roman"/>
      <w:sz w:val="24"/>
      <w:lang w:val="en-US" w:eastAsia="en-US"/>
    </w:rPr>
  </w:style>
  <w:style w:type="paragraph" w:styleId="BodyText2">
    <w:name w:val="Body Text 2"/>
    <w:basedOn w:val="Normal"/>
    <w:link w:val="BodyText2Char"/>
    <w:uiPriority w:val="99"/>
    <w:semiHidden/>
    <w:rsid w:val="00036FE5"/>
    <w:pPr>
      <w:widowControl w:val="0"/>
      <w:autoSpaceDE w:val="0"/>
      <w:autoSpaceDN w:val="0"/>
      <w:adjustRightInd w:val="0"/>
      <w:spacing w:after="120" w:line="480" w:lineRule="auto"/>
    </w:pPr>
    <w:rPr>
      <w:szCs w:val="20"/>
    </w:rPr>
  </w:style>
  <w:style w:type="character" w:customStyle="1" w:styleId="BodyText2Char">
    <w:name w:val="Body Text 2 Char"/>
    <w:link w:val="BodyText2"/>
    <w:uiPriority w:val="99"/>
    <w:semiHidden/>
    <w:rsid w:val="00CD44C5"/>
    <w:rPr>
      <w:rFonts w:cs="Times New Roman"/>
      <w:sz w:val="24"/>
      <w:lang w:val="en-US" w:eastAsia="en-US"/>
    </w:rPr>
  </w:style>
  <w:style w:type="paragraph" w:styleId="BodyText3">
    <w:name w:val="Body Text 3"/>
    <w:basedOn w:val="Normal"/>
    <w:link w:val="BodyText3Char"/>
    <w:uiPriority w:val="99"/>
    <w:semiHidden/>
    <w:rsid w:val="00036FE5"/>
    <w:pPr>
      <w:widowControl w:val="0"/>
      <w:autoSpaceDE w:val="0"/>
      <w:autoSpaceDN w:val="0"/>
      <w:adjustRightInd w:val="0"/>
      <w:spacing w:after="120"/>
    </w:pPr>
    <w:rPr>
      <w:sz w:val="16"/>
      <w:szCs w:val="20"/>
    </w:rPr>
  </w:style>
  <w:style w:type="character" w:customStyle="1" w:styleId="BodyText3Char">
    <w:name w:val="Body Text 3 Char"/>
    <w:link w:val="BodyText3"/>
    <w:uiPriority w:val="99"/>
    <w:semiHidden/>
    <w:rsid w:val="00CD44C5"/>
    <w:rPr>
      <w:rFonts w:cs="Times New Roman"/>
      <w:sz w:val="16"/>
      <w:lang w:val="en-US" w:eastAsia="en-US"/>
    </w:rPr>
  </w:style>
  <w:style w:type="paragraph" w:styleId="BodyTextFirstIndent">
    <w:name w:val="Body Text First Indent"/>
    <w:basedOn w:val="BodyText"/>
    <w:link w:val="BodyTextFirstIndentChar"/>
    <w:uiPriority w:val="99"/>
    <w:semiHidden/>
    <w:rsid w:val="00036FE5"/>
    <w:pPr>
      <w:ind w:firstLine="210"/>
    </w:pPr>
  </w:style>
  <w:style w:type="character" w:customStyle="1" w:styleId="BodyTextFirstIndentChar">
    <w:name w:val="Body Text First Indent Char"/>
    <w:basedOn w:val="BodyTextChar"/>
    <w:link w:val="BodyTextFirstIndent"/>
    <w:uiPriority w:val="99"/>
    <w:semiHidden/>
    <w:rsid w:val="00CD44C5"/>
    <w:rPr>
      <w:rFonts w:cs="Times New Roman"/>
      <w:sz w:val="24"/>
      <w:lang w:val="en-US" w:eastAsia="en-US"/>
    </w:rPr>
  </w:style>
  <w:style w:type="paragraph" w:styleId="BodyTextIndent">
    <w:name w:val="Body Text Indent"/>
    <w:basedOn w:val="Normal"/>
    <w:link w:val="BodyTextIndentChar"/>
    <w:uiPriority w:val="99"/>
    <w:semiHidden/>
    <w:rsid w:val="00036FE5"/>
    <w:pPr>
      <w:widowControl w:val="0"/>
      <w:autoSpaceDE w:val="0"/>
      <w:autoSpaceDN w:val="0"/>
      <w:adjustRightInd w:val="0"/>
      <w:spacing w:after="120"/>
      <w:ind w:left="360"/>
    </w:pPr>
    <w:rPr>
      <w:szCs w:val="20"/>
    </w:rPr>
  </w:style>
  <w:style w:type="character" w:customStyle="1" w:styleId="BodyTextIndentChar">
    <w:name w:val="Body Text Indent Char"/>
    <w:link w:val="BodyTextIndent"/>
    <w:uiPriority w:val="99"/>
    <w:semiHidden/>
    <w:rsid w:val="00CD44C5"/>
    <w:rPr>
      <w:rFonts w:cs="Times New Roman"/>
      <w:sz w:val="24"/>
      <w:lang w:val="en-US" w:eastAsia="en-US"/>
    </w:rPr>
  </w:style>
  <w:style w:type="paragraph" w:styleId="BodyTextFirstIndent2">
    <w:name w:val="Body Text First Indent 2"/>
    <w:basedOn w:val="BodyTextIndent"/>
    <w:link w:val="BodyTextFirstIndent2Char"/>
    <w:uiPriority w:val="99"/>
    <w:semiHidden/>
    <w:rsid w:val="00036FE5"/>
    <w:pPr>
      <w:ind w:firstLine="210"/>
    </w:pPr>
  </w:style>
  <w:style w:type="character" w:customStyle="1" w:styleId="BodyTextFirstIndent2Char">
    <w:name w:val="Body Text First Indent 2 Char"/>
    <w:basedOn w:val="BodyTextIndentChar"/>
    <w:link w:val="BodyTextFirstIndent2"/>
    <w:uiPriority w:val="99"/>
    <w:semiHidden/>
    <w:rsid w:val="00CD44C5"/>
    <w:rPr>
      <w:rFonts w:cs="Times New Roman"/>
      <w:sz w:val="24"/>
      <w:lang w:val="en-US" w:eastAsia="en-US"/>
    </w:rPr>
  </w:style>
  <w:style w:type="paragraph" w:styleId="BodyTextIndent2">
    <w:name w:val="Body Text Indent 2"/>
    <w:basedOn w:val="Normal"/>
    <w:link w:val="BodyTextIndent2Char"/>
    <w:uiPriority w:val="99"/>
    <w:semiHidden/>
    <w:rsid w:val="00036FE5"/>
    <w:pPr>
      <w:widowControl w:val="0"/>
      <w:autoSpaceDE w:val="0"/>
      <w:autoSpaceDN w:val="0"/>
      <w:adjustRightInd w:val="0"/>
      <w:spacing w:after="120" w:line="480" w:lineRule="auto"/>
      <w:ind w:left="360"/>
    </w:pPr>
    <w:rPr>
      <w:szCs w:val="20"/>
    </w:rPr>
  </w:style>
  <w:style w:type="character" w:customStyle="1" w:styleId="BodyTextIndent2Char">
    <w:name w:val="Body Text Indent 2 Char"/>
    <w:link w:val="BodyTextIndent2"/>
    <w:uiPriority w:val="99"/>
    <w:semiHidden/>
    <w:rsid w:val="00CD44C5"/>
    <w:rPr>
      <w:rFonts w:cs="Times New Roman"/>
      <w:sz w:val="24"/>
      <w:lang w:val="en-US" w:eastAsia="en-US"/>
    </w:rPr>
  </w:style>
  <w:style w:type="paragraph" w:styleId="BodyTextIndent3">
    <w:name w:val="Body Text Indent 3"/>
    <w:basedOn w:val="Normal"/>
    <w:link w:val="BodyTextIndent3Char"/>
    <w:uiPriority w:val="99"/>
    <w:semiHidden/>
    <w:rsid w:val="00036FE5"/>
    <w:pPr>
      <w:widowControl w:val="0"/>
      <w:autoSpaceDE w:val="0"/>
      <w:autoSpaceDN w:val="0"/>
      <w:adjustRightInd w:val="0"/>
      <w:spacing w:after="120"/>
      <w:ind w:left="360"/>
    </w:pPr>
    <w:rPr>
      <w:sz w:val="16"/>
      <w:szCs w:val="20"/>
    </w:rPr>
  </w:style>
  <w:style w:type="character" w:customStyle="1" w:styleId="BodyTextIndent3Char">
    <w:name w:val="Body Text Indent 3 Char"/>
    <w:link w:val="BodyTextIndent3"/>
    <w:uiPriority w:val="99"/>
    <w:semiHidden/>
    <w:rsid w:val="00CD44C5"/>
    <w:rPr>
      <w:rFonts w:cs="Times New Roman"/>
      <w:sz w:val="16"/>
      <w:lang w:val="en-US" w:eastAsia="en-US"/>
    </w:rPr>
  </w:style>
  <w:style w:type="paragraph" w:styleId="Closing">
    <w:name w:val="Closing"/>
    <w:basedOn w:val="Normal"/>
    <w:link w:val="ClosingChar"/>
    <w:uiPriority w:val="99"/>
    <w:semiHidden/>
    <w:rsid w:val="00036FE5"/>
    <w:pPr>
      <w:widowControl w:val="0"/>
      <w:autoSpaceDE w:val="0"/>
      <w:autoSpaceDN w:val="0"/>
      <w:adjustRightInd w:val="0"/>
      <w:ind w:left="4320"/>
    </w:pPr>
    <w:rPr>
      <w:szCs w:val="20"/>
    </w:rPr>
  </w:style>
  <w:style w:type="character" w:customStyle="1" w:styleId="ClosingChar">
    <w:name w:val="Closing Char"/>
    <w:link w:val="Closing"/>
    <w:uiPriority w:val="99"/>
    <w:semiHidden/>
    <w:rsid w:val="00CD44C5"/>
    <w:rPr>
      <w:rFonts w:cs="Times New Roman"/>
      <w:sz w:val="24"/>
      <w:lang w:val="en-US" w:eastAsia="en-US"/>
    </w:rPr>
  </w:style>
  <w:style w:type="paragraph" w:styleId="Date">
    <w:name w:val="Date"/>
    <w:basedOn w:val="Normal"/>
    <w:next w:val="Normal"/>
    <w:link w:val="DateChar"/>
    <w:uiPriority w:val="99"/>
    <w:semiHidden/>
    <w:rsid w:val="00036FE5"/>
    <w:pPr>
      <w:widowControl w:val="0"/>
      <w:autoSpaceDE w:val="0"/>
      <w:autoSpaceDN w:val="0"/>
      <w:adjustRightInd w:val="0"/>
    </w:pPr>
    <w:rPr>
      <w:szCs w:val="20"/>
    </w:rPr>
  </w:style>
  <w:style w:type="character" w:customStyle="1" w:styleId="DateChar">
    <w:name w:val="Date Char"/>
    <w:link w:val="Date"/>
    <w:uiPriority w:val="99"/>
    <w:semiHidden/>
    <w:rsid w:val="00CD44C5"/>
    <w:rPr>
      <w:rFonts w:cs="Times New Roman"/>
      <w:sz w:val="24"/>
      <w:lang w:val="en-US" w:eastAsia="en-US"/>
    </w:rPr>
  </w:style>
  <w:style w:type="paragraph" w:styleId="E-mailSignature">
    <w:name w:val="E-mail Signature"/>
    <w:basedOn w:val="Normal"/>
    <w:link w:val="E-mailSignatureChar"/>
    <w:semiHidden/>
    <w:rsid w:val="00036FE5"/>
    <w:pPr>
      <w:widowControl w:val="0"/>
      <w:autoSpaceDE w:val="0"/>
      <w:autoSpaceDN w:val="0"/>
      <w:adjustRightInd w:val="0"/>
    </w:pPr>
    <w:rPr>
      <w:szCs w:val="20"/>
    </w:rPr>
  </w:style>
  <w:style w:type="character" w:customStyle="1" w:styleId="E-mailSignatureChar">
    <w:name w:val="E-mail Signature Char"/>
    <w:link w:val="E-mailSignature"/>
    <w:semiHidden/>
    <w:rsid w:val="00CD44C5"/>
    <w:rPr>
      <w:rFonts w:cs="Times New Roman"/>
      <w:sz w:val="24"/>
      <w:lang w:val="en-US" w:eastAsia="en-US"/>
    </w:rPr>
  </w:style>
  <w:style w:type="character" w:styleId="Emphasis">
    <w:name w:val="Emphasis"/>
    <w:uiPriority w:val="99"/>
    <w:qFormat/>
    <w:rsid w:val="00036FE5"/>
    <w:rPr>
      <w:rFonts w:cs="Times New Roman"/>
      <w:i/>
      <w:iCs/>
    </w:rPr>
  </w:style>
  <w:style w:type="paragraph" w:styleId="EnvelopeAddress">
    <w:name w:val="envelope address"/>
    <w:basedOn w:val="Normal"/>
    <w:uiPriority w:val="99"/>
    <w:semiHidden/>
    <w:rsid w:val="00036FE5"/>
    <w:pPr>
      <w:framePr w:w="7920" w:h="1980" w:hRule="exact" w:hSpace="180" w:wrap="auto" w:hAnchor="page" w:xAlign="center" w:yAlign="bottom"/>
      <w:widowControl w:val="0"/>
      <w:autoSpaceDE w:val="0"/>
      <w:autoSpaceDN w:val="0"/>
      <w:adjustRightInd w:val="0"/>
      <w:ind w:left="2880"/>
    </w:pPr>
    <w:rPr>
      <w:rFonts w:ascii="Arial" w:hAnsi="Arial" w:cs="Arial"/>
    </w:rPr>
  </w:style>
  <w:style w:type="paragraph" w:styleId="EnvelopeReturn">
    <w:name w:val="envelope return"/>
    <w:basedOn w:val="Normal"/>
    <w:uiPriority w:val="99"/>
    <w:semiHidden/>
    <w:rsid w:val="00036FE5"/>
    <w:pPr>
      <w:widowControl w:val="0"/>
      <w:autoSpaceDE w:val="0"/>
      <w:autoSpaceDN w:val="0"/>
      <w:adjustRightInd w:val="0"/>
    </w:pPr>
    <w:rPr>
      <w:rFonts w:ascii="Arial" w:hAnsi="Arial" w:cs="Arial"/>
      <w:sz w:val="20"/>
      <w:szCs w:val="20"/>
    </w:rPr>
  </w:style>
  <w:style w:type="character" w:styleId="FollowedHyperlink">
    <w:name w:val="FollowedHyperlink"/>
    <w:uiPriority w:val="99"/>
    <w:semiHidden/>
    <w:rsid w:val="00036FE5"/>
    <w:rPr>
      <w:rFonts w:cs="Times New Roman"/>
      <w:color w:val="800080"/>
      <w:u w:val="single"/>
    </w:rPr>
  </w:style>
  <w:style w:type="character" w:styleId="HTMLAcronym">
    <w:name w:val="HTML Acronym"/>
    <w:uiPriority w:val="99"/>
    <w:semiHidden/>
    <w:rsid w:val="00036FE5"/>
    <w:rPr>
      <w:rFonts w:cs="Times New Roman"/>
    </w:rPr>
  </w:style>
  <w:style w:type="paragraph" w:styleId="HTMLAddress">
    <w:name w:val="HTML Address"/>
    <w:basedOn w:val="Normal"/>
    <w:link w:val="HTMLAddressChar"/>
    <w:uiPriority w:val="99"/>
    <w:semiHidden/>
    <w:rsid w:val="00036FE5"/>
    <w:pPr>
      <w:widowControl w:val="0"/>
      <w:autoSpaceDE w:val="0"/>
      <w:autoSpaceDN w:val="0"/>
      <w:adjustRightInd w:val="0"/>
    </w:pPr>
    <w:rPr>
      <w:i/>
      <w:iCs/>
      <w:szCs w:val="20"/>
    </w:rPr>
  </w:style>
  <w:style w:type="character" w:customStyle="1" w:styleId="HTMLAddressChar">
    <w:name w:val="HTML Address Char"/>
    <w:link w:val="HTMLAddress"/>
    <w:uiPriority w:val="99"/>
    <w:semiHidden/>
    <w:rsid w:val="00CD44C5"/>
    <w:rPr>
      <w:rFonts w:cs="Times New Roman"/>
      <w:i/>
      <w:iCs/>
      <w:sz w:val="24"/>
      <w:lang w:val="en-US" w:eastAsia="en-US"/>
    </w:rPr>
  </w:style>
  <w:style w:type="character" w:styleId="HTMLCite">
    <w:name w:val="HTML Cite"/>
    <w:uiPriority w:val="99"/>
    <w:semiHidden/>
    <w:rsid w:val="00036FE5"/>
    <w:rPr>
      <w:rFonts w:cs="Times New Roman"/>
      <w:i/>
      <w:iCs/>
    </w:rPr>
  </w:style>
  <w:style w:type="character" w:styleId="HTMLCode">
    <w:name w:val="HTML Code"/>
    <w:uiPriority w:val="99"/>
    <w:semiHidden/>
    <w:rsid w:val="00036FE5"/>
    <w:rPr>
      <w:rFonts w:ascii="Courier New" w:hAnsi="Courier New" w:cs="Courier New"/>
      <w:sz w:val="20"/>
    </w:rPr>
  </w:style>
  <w:style w:type="character" w:styleId="HTMLDefinition">
    <w:name w:val="HTML Definition"/>
    <w:uiPriority w:val="99"/>
    <w:semiHidden/>
    <w:rsid w:val="00036FE5"/>
    <w:rPr>
      <w:rFonts w:cs="Times New Roman"/>
      <w:i/>
      <w:iCs/>
    </w:rPr>
  </w:style>
  <w:style w:type="character" w:styleId="HTMLKeyboard">
    <w:name w:val="HTML Keyboard"/>
    <w:uiPriority w:val="99"/>
    <w:semiHidden/>
    <w:rsid w:val="00036FE5"/>
    <w:rPr>
      <w:rFonts w:ascii="Courier New" w:hAnsi="Courier New" w:cs="Courier New"/>
      <w:sz w:val="20"/>
    </w:rPr>
  </w:style>
  <w:style w:type="paragraph" w:styleId="HTMLPreformatted">
    <w:name w:val="HTML Preformatted"/>
    <w:basedOn w:val="Normal"/>
    <w:link w:val="HTMLPreformattedChar"/>
    <w:uiPriority w:val="99"/>
    <w:semiHidden/>
    <w:rsid w:val="00036FE5"/>
    <w:pPr>
      <w:widowControl w:val="0"/>
      <w:autoSpaceDE w:val="0"/>
      <w:autoSpaceDN w:val="0"/>
      <w:adjustRightInd w:val="0"/>
    </w:pPr>
    <w:rPr>
      <w:rFonts w:ascii="Courier New" w:hAnsi="Courier New"/>
      <w:sz w:val="20"/>
      <w:szCs w:val="20"/>
    </w:rPr>
  </w:style>
  <w:style w:type="character" w:customStyle="1" w:styleId="HTMLPreformattedChar">
    <w:name w:val="HTML Preformatted Char"/>
    <w:link w:val="HTMLPreformatted"/>
    <w:uiPriority w:val="99"/>
    <w:semiHidden/>
    <w:rsid w:val="00CD44C5"/>
    <w:rPr>
      <w:rFonts w:ascii="Courier New" w:hAnsi="Courier New" w:cs="Courier New"/>
      <w:lang w:val="en-US" w:eastAsia="en-US"/>
    </w:rPr>
  </w:style>
  <w:style w:type="character" w:styleId="HTMLSample">
    <w:name w:val="HTML Sample"/>
    <w:semiHidden/>
    <w:rsid w:val="00036FE5"/>
    <w:rPr>
      <w:rFonts w:ascii="Courier New" w:hAnsi="Courier New" w:cs="Courier New"/>
    </w:rPr>
  </w:style>
  <w:style w:type="character" w:styleId="HTMLTypewriter">
    <w:name w:val="HTML Typewriter"/>
    <w:uiPriority w:val="99"/>
    <w:semiHidden/>
    <w:rsid w:val="00036FE5"/>
    <w:rPr>
      <w:rFonts w:ascii="Courier New" w:hAnsi="Courier New" w:cs="Courier New"/>
      <w:sz w:val="20"/>
    </w:rPr>
  </w:style>
  <w:style w:type="character" w:styleId="HTMLVariable">
    <w:name w:val="HTML Variable"/>
    <w:uiPriority w:val="99"/>
    <w:semiHidden/>
    <w:rsid w:val="00036FE5"/>
    <w:rPr>
      <w:rFonts w:cs="Times New Roman"/>
      <w:i/>
      <w:iCs/>
    </w:rPr>
  </w:style>
  <w:style w:type="character" w:styleId="Hyperlink">
    <w:name w:val="Hyperlink"/>
    <w:uiPriority w:val="99"/>
    <w:rsid w:val="00036FE5"/>
    <w:rPr>
      <w:rFonts w:cs="Times New Roman"/>
      <w:color w:val="0000FF"/>
      <w:u w:val="single"/>
    </w:rPr>
  </w:style>
  <w:style w:type="character" w:styleId="LineNumber">
    <w:name w:val="line number"/>
    <w:uiPriority w:val="99"/>
    <w:semiHidden/>
    <w:rsid w:val="00036FE5"/>
    <w:rPr>
      <w:rFonts w:cs="Times New Roman"/>
    </w:rPr>
  </w:style>
  <w:style w:type="paragraph" w:styleId="List2">
    <w:name w:val="List 2"/>
    <w:basedOn w:val="Normal"/>
    <w:uiPriority w:val="99"/>
    <w:semiHidden/>
    <w:rsid w:val="00036FE5"/>
    <w:pPr>
      <w:widowControl w:val="0"/>
      <w:autoSpaceDE w:val="0"/>
      <w:autoSpaceDN w:val="0"/>
      <w:adjustRightInd w:val="0"/>
      <w:ind w:left="720" w:hanging="360"/>
    </w:pPr>
  </w:style>
  <w:style w:type="paragraph" w:styleId="List3">
    <w:name w:val="List 3"/>
    <w:basedOn w:val="Normal"/>
    <w:uiPriority w:val="99"/>
    <w:semiHidden/>
    <w:rsid w:val="00036FE5"/>
    <w:pPr>
      <w:widowControl w:val="0"/>
      <w:autoSpaceDE w:val="0"/>
      <w:autoSpaceDN w:val="0"/>
      <w:adjustRightInd w:val="0"/>
      <w:ind w:left="1080" w:hanging="360"/>
    </w:pPr>
  </w:style>
  <w:style w:type="paragraph" w:styleId="List4">
    <w:name w:val="List 4"/>
    <w:basedOn w:val="Normal"/>
    <w:uiPriority w:val="99"/>
    <w:semiHidden/>
    <w:rsid w:val="00036FE5"/>
    <w:pPr>
      <w:widowControl w:val="0"/>
      <w:autoSpaceDE w:val="0"/>
      <w:autoSpaceDN w:val="0"/>
      <w:adjustRightInd w:val="0"/>
      <w:ind w:left="1440" w:hanging="360"/>
    </w:pPr>
  </w:style>
  <w:style w:type="paragraph" w:styleId="List5">
    <w:name w:val="List 5"/>
    <w:basedOn w:val="Normal"/>
    <w:uiPriority w:val="99"/>
    <w:semiHidden/>
    <w:rsid w:val="00036FE5"/>
    <w:pPr>
      <w:widowControl w:val="0"/>
      <w:autoSpaceDE w:val="0"/>
      <w:autoSpaceDN w:val="0"/>
      <w:adjustRightInd w:val="0"/>
      <w:ind w:left="1800" w:hanging="360"/>
    </w:pPr>
  </w:style>
  <w:style w:type="paragraph" w:styleId="ListBullet">
    <w:name w:val="List Bullet"/>
    <w:basedOn w:val="Normal"/>
    <w:uiPriority w:val="99"/>
    <w:semiHidden/>
    <w:rsid w:val="00036FE5"/>
    <w:pPr>
      <w:widowControl w:val="0"/>
      <w:tabs>
        <w:tab w:val="num" w:pos="360"/>
      </w:tabs>
      <w:autoSpaceDE w:val="0"/>
      <w:autoSpaceDN w:val="0"/>
      <w:adjustRightInd w:val="0"/>
      <w:ind w:left="360" w:hanging="360"/>
    </w:pPr>
  </w:style>
  <w:style w:type="paragraph" w:styleId="ListBullet2">
    <w:name w:val="List Bullet 2"/>
    <w:basedOn w:val="Normal"/>
    <w:uiPriority w:val="99"/>
    <w:semiHidden/>
    <w:rsid w:val="00036FE5"/>
    <w:pPr>
      <w:widowControl w:val="0"/>
      <w:tabs>
        <w:tab w:val="num" w:pos="720"/>
      </w:tabs>
      <w:autoSpaceDE w:val="0"/>
      <w:autoSpaceDN w:val="0"/>
      <w:adjustRightInd w:val="0"/>
      <w:ind w:left="720" w:hanging="360"/>
    </w:pPr>
  </w:style>
  <w:style w:type="paragraph" w:styleId="ListBullet3">
    <w:name w:val="List Bullet 3"/>
    <w:basedOn w:val="Normal"/>
    <w:uiPriority w:val="99"/>
    <w:semiHidden/>
    <w:rsid w:val="00036FE5"/>
    <w:pPr>
      <w:widowControl w:val="0"/>
      <w:tabs>
        <w:tab w:val="num" w:pos="1080"/>
      </w:tabs>
      <w:autoSpaceDE w:val="0"/>
      <w:autoSpaceDN w:val="0"/>
      <w:adjustRightInd w:val="0"/>
      <w:ind w:left="1080" w:hanging="360"/>
    </w:pPr>
  </w:style>
  <w:style w:type="paragraph" w:styleId="ListBullet4">
    <w:name w:val="List Bullet 4"/>
    <w:basedOn w:val="Normal"/>
    <w:uiPriority w:val="99"/>
    <w:semiHidden/>
    <w:rsid w:val="00036FE5"/>
    <w:pPr>
      <w:widowControl w:val="0"/>
      <w:tabs>
        <w:tab w:val="num" w:pos="1440"/>
      </w:tabs>
      <w:autoSpaceDE w:val="0"/>
      <w:autoSpaceDN w:val="0"/>
      <w:adjustRightInd w:val="0"/>
      <w:ind w:left="1440" w:hanging="360"/>
    </w:pPr>
  </w:style>
  <w:style w:type="paragraph" w:styleId="ListBullet5">
    <w:name w:val="List Bullet 5"/>
    <w:basedOn w:val="Normal"/>
    <w:uiPriority w:val="99"/>
    <w:semiHidden/>
    <w:rsid w:val="00036FE5"/>
    <w:pPr>
      <w:widowControl w:val="0"/>
      <w:tabs>
        <w:tab w:val="num" w:pos="1800"/>
      </w:tabs>
      <w:autoSpaceDE w:val="0"/>
      <w:autoSpaceDN w:val="0"/>
      <w:adjustRightInd w:val="0"/>
      <w:ind w:left="1800" w:hanging="360"/>
    </w:pPr>
  </w:style>
  <w:style w:type="paragraph" w:styleId="ListContinue">
    <w:name w:val="List Continue"/>
    <w:basedOn w:val="Normal"/>
    <w:uiPriority w:val="99"/>
    <w:semiHidden/>
    <w:rsid w:val="00036FE5"/>
    <w:pPr>
      <w:widowControl w:val="0"/>
      <w:autoSpaceDE w:val="0"/>
      <w:autoSpaceDN w:val="0"/>
      <w:adjustRightInd w:val="0"/>
      <w:spacing w:after="120"/>
      <w:ind w:left="360"/>
    </w:pPr>
  </w:style>
  <w:style w:type="paragraph" w:styleId="ListContinue2">
    <w:name w:val="List Continue 2"/>
    <w:basedOn w:val="Normal"/>
    <w:uiPriority w:val="99"/>
    <w:semiHidden/>
    <w:rsid w:val="00036FE5"/>
    <w:pPr>
      <w:widowControl w:val="0"/>
      <w:autoSpaceDE w:val="0"/>
      <w:autoSpaceDN w:val="0"/>
      <w:adjustRightInd w:val="0"/>
      <w:spacing w:after="120"/>
      <w:ind w:left="720"/>
    </w:pPr>
  </w:style>
  <w:style w:type="paragraph" w:styleId="ListContinue3">
    <w:name w:val="List Continue 3"/>
    <w:basedOn w:val="Normal"/>
    <w:uiPriority w:val="99"/>
    <w:semiHidden/>
    <w:rsid w:val="00036FE5"/>
    <w:pPr>
      <w:widowControl w:val="0"/>
      <w:autoSpaceDE w:val="0"/>
      <w:autoSpaceDN w:val="0"/>
      <w:adjustRightInd w:val="0"/>
      <w:spacing w:after="120"/>
      <w:ind w:left="1080"/>
    </w:pPr>
  </w:style>
  <w:style w:type="paragraph" w:styleId="ListContinue4">
    <w:name w:val="List Continue 4"/>
    <w:basedOn w:val="Normal"/>
    <w:uiPriority w:val="99"/>
    <w:semiHidden/>
    <w:rsid w:val="00036FE5"/>
    <w:pPr>
      <w:widowControl w:val="0"/>
      <w:autoSpaceDE w:val="0"/>
      <w:autoSpaceDN w:val="0"/>
      <w:adjustRightInd w:val="0"/>
      <w:spacing w:after="120"/>
      <w:ind w:left="1440"/>
    </w:pPr>
  </w:style>
  <w:style w:type="paragraph" w:styleId="ListContinue5">
    <w:name w:val="List Continue 5"/>
    <w:basedOn w:val="Normal"/>
    <w:uiPriority w:val="99"/>
    <w:semiHidden/>
    <w:rsid w:val="00036FE5"/>
    <w:pPr>
      <w:widowControl w:val="0"/>
      <w:autoSpaceDE w:val="0"/>
      <w:autoSpaceDN w:val="0"/>
      <w:adjustRightInd w:val="0"/>
      <w:spacing w:after="120"/>
      <w:ind w:left="1800"/>
    </w:pPr>
  </w:style>
  <w:style w:type="paragraph" w:styleId="ListNumber">
    <w:name w:val="List Number"/>
    <w:basedOn w:val="Normal"/>
    <w:uiPriority w:val="99"/>
    <w:semiHidden/>
    <w:rsid w:val="00036FE5"/>
    <w:pPr>
      <w:widowControl w:val="0"/>
      <w:tabs>
        <w:tab w:val="num" w:pos="360"/>
      </w:tabs>
      <w:autoSpaceDE w:val="0"/>
      <w:autoSpaceDN w:val="0"/>
      <w:adjustRightInd w:val="0"/>
      <w:ind w:left="360" w:hanging="360"/>
    </w:pPr>
  </w:style>
  <w:style w:type="paragraph" w:styleId="ListNumber2">
    <w:name w:val="List Number 2"/>
    <w:basedOn w:val="Normal"/>
    <w:uiPriority w:val="99"/>
    <w:semiHidden/>
    <w:rsid w:val="00036FE5"/>
    <w:pPr>
      <w:widowControl w:val="0"/>
      <w:tabs>
        <w:tab w:val="num" w:pos="720"/>
      </w:tabs>
      <w:autoSpaceDE w:val="0"/>
      <w:autoSpaceDN w:val="0"/>
      <w:adjustRightInd w:val="0"/>
      <w:ind w:left="720" w:hanging="360"/>
    </w:pPr>
  </w:style>
  <w:style w:type="paragraph" w:styleId="ListNumber3">
    <w:name w:val="List Number 3"/>
    <w:basedOn w:val="Normal"/>
    <w:uiPriority w:val="99"/>
    <w:semiHidden/>
    <w:rsid w:val="00036FE5"/>
    <w:pPr>
      <w:widowControl w:val="0"/>
      <w:tabs>
        <w:tab w:val="num" w:pos="1080"/>
      </w:tabs>
      <w:autoSpaceDE w:val="0"/>
      <w:autoSpaceDN w:val="0"/>
      <w:adjustRightInd w:val="0"/>
      <w:ind w:left="1080" w:hanging="360"/>
    </w:pPr>
  </w:style>
  <w:style w:type="paragraph" w:styleId="ListNumber4">
    <w:name w:val="List Number 4"/>
    <w:basedOn w:val="Normal"/>
    <w:uiPriority w:val="99"/>
    <w:semiHidden/>
    <w:rsid w:val="00036FE5"/>
    <w:pPr>
      <w:widowControl w:val="0"/>
      <w:tabs>
        <w:tab w:val="num" w:pos="1440"/>
      </w:tabs>
      <w:autoSpaceDE w:val="0"/>
      <w:autoSpaceDN w:val="0"/>
      <w:adjustRightInd w:val="0"/>
      <w:ind w:left="1440" w:hanging="360"/>
    </w:pPr>
  </w:style>
  <w:style w:type="paragraph" w:styleId="ListNumber5">
    <w:name w:val="List Number 5"/>
    <w:basedOn w:val="Normal"/>
    <w:uiPriority w:val="99"/>
    <w:semiHidden/>
    <w:rsid w:val="00036FE5"/>
    <w:pPr>
      <w:widowControl w:val="0"/>
      <w:tabs>
        <w:tab w:val="num" w:pos="1800"/>
      </w:tabs>
      <w:autoSpaceDE w:val="0"/>
      <w:autoSpaceDN w:val="0"/>
      <w:adjustRightInd w:val="0"/>
      <w:ind w:left="1800" w:hanging="360"/>
    </w:pPr>
  </w:style>
  <w:style w:type="paragraph" w:styleId="MessageHeader">
    <w:name w:val="Message Header"/>
    <w:basedOn w:val="Normal"/>
    <w:link w:val="MessageHeaderChar"/>
    <w:uiPriority w:val="99"/>
    <w:semiHidden/>
    <w:rsid w:val="00036FE5"/>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080" w:hanging="1080"/>
    </w:pPr>
    <w:rPr>
      <w:rFonts w:ascii="Arial" w:hAnsi="Arial"/>
      <w:szCs w:val="20"/>
    </w:rPr>
  </w:style>
  <w:style w:type="character" w:customStyle="1" w:styleId="MessageHeaderChar">
    <w:name w:val="Message Header Char"/>
    <w:link w:val="MessageHeader"/>
    <w:uiPriority w:val="99"/>
    <w:semiHidden/>
    <w:rsid w:val="00CD44C5"/>
    <w:rPr>
      <w:rFonts w:ascii="Arial" w:hAnsi="Arial" w:cs="Arial"/>
      <w:sz w:val="24"/>
      <w:lang w:val="en-US" w:eastAsia="en-US"/>
    </w:rPr>
  </w:style>
  <w:style w:type="paragraph" w:styleId="NormalWeb">
    <w:name w:val="Normal (Web)"/>
    <w:basedOn w:val="Normal"/>
    <w:uiPriority w:val="99"/>
    <w:semiHidden/>
    <w:rsid w:val="00036FE5"/>
    <w:pPr>
      <w:widowControl w:val="0"/>
      <w:autoSpaceDE w:val="0"/>
      <w:autoSpaceDN w:val="0"/>
      <w:adjustRightInd w:val="0"/>
    </w:pPr>
  </w:style>
  <w:style w:type="paragraph" w:styleId="NormalIndent">
    <w:name w:val="Normal Indent"/>
    <w:basedOn w:val="Normal"/>
    <w:uiPriority w:val="99"/>
    <w:semiHidden/>
    <w:rsid w:val="00036FE5"/>
    <w:pPr>
      <w:widowControl w:val="0"/>
      <w:autoSpaceDE w:val="0"/>
      <w:autoSpaceDN w:val="0"/>
      <w:adjustRightInd w:val="0"/>
      <w:ind w:left="720"/>
    </w:pPr>
  </w:style>
  <w:style w:type="paragraph" w:styleId="NoteHeading">
    <w:name w:val="Note Heading"/>
    <w:basedOn w:val="Normal"/>
    <w:next w:val="Normal"/>
    <w:link w:val="NoteHeadingChar"/>
    <w:uiPriority w:val="99"/>
    <w:semiHidden/>
    <w:rsid w:val="00036FE5"/>
    <w:pPr>
      <w:widowControl w:val="0"/>
      <w:autoSpaceDE w:val="0"/>
      <w:autoSpaceDN w:val="0"/>
      <w:adjustRightInd w:val="0"/>
    </w:pPr>
    <w:rPr>
      <w:szCs w:val="20"/>
    </w:rPr>
  </w:style>
  <w:style w:type="character" w:customStyle="1" w:styleId="NoteHeadingChar">
    <w:name w:val="Note Heading Char"/>
    <w:link w:val="NoteHeading"/>
    <w:uiPriority w:val="99"/>
    <w:semiHidden/>
    <w:rsid w:val="00CD44C5"/>
    <w:rPr>
      <w:rFonts w:cs="Times New Roman"/>
      <w:sz w:val="24"/>
      <w:lang w:val="en-US" w:eastAsia="en-US"/>
    </w:rPr>
  </w:style>
  <w:style w:type="paragraph" w:styleId="PlainText">
    <w:name w:val="Plain Text"/>
    <w:basedOn w:val="Normal"/>
    <w:link w:val="PlainTextChar"/>
    <w:uiPriority w:val="99"/>
    <w:semiHidden/>
    <w:rsid w:val="00036FE5"/>
    <w:pPr>
      <w:widowControl w:val="0"/>
      <w:autoSpaceDE w:val="0"/>
      <w:autoSpaceDN w:val="0"/>
      <w:adjustRightInd w:val="0"/>
    </w:pPr>
    <w:rPr>
      <w:rFonts w:ascii="Courier New" w:hAnsi="Courier New"/>
      <w:sz w:val="20"/>
      <w:szCs w:val="20"/>
    </w:rPr>
  </w:style>
  <w:style w:type="character" w:customStyle="1" w:styleId="PlainTextChar">
    <w:name w:val="Plain Text Char"/>
    <w:link w:val="PlainText"/>
    <w:uiPriority w:val="99"/>
    <w:semiHidden/>
    <w:rsid w:val="00CD44C5"/>
    <w:rPr>
      <w:rFonts w:ascii="Courier New" w:hAnsi="Courier New" w:cs="Courier New"/>
      <w:lang w:val="en-US" w:eastAsia="en-US"/>
    </w:rPr>
  </w:style>
  <w:style w:type="paragraph" w:styleId="Salutation">
    <w:name w:val="Salutation"/>
    <w:basedOn w:val="Normal"/>
    <w:next w:val="Normal"/>
    <w:link w:val="SalutationChar"/>
    <w:uiPriority w:val="99"/>
    <w:semiHidden/>
    <w:rsid w:val="00036FE5"/>
    <w:pPr>
      <w:widowControl w:val="0"/>
      <w:autoSpaceDE w:val="0"/>
      <w:autoSpaceDN w:val="0"/>
      <w:adjustRightInd w:val="0"/>
    </w:pPr>
    <w:rPr>
      <w:szCs w:val="20"/>
    </w:rPr>
  </w:style>
  <w:style w:type="character" w:customStyle="1" w:styleId="SalutationChar">
    <w:name w:val="Salutation Char"/>
    <w:link w:val="Salutation"/>
    <w:uiPriority w:val="99"/>
    <w:semiHidden/>
    <w:rsid w:val="00CD44C5"/>
    <w:rPr>
      <w:rFonts w:cs="Times New Roman"/>
      <w:sz w:val="24"/>
      <w:lang w:val="en-US" w:eastAsia="en-US"/>
    </w:rPr>
  </w:style>
  <w:style w:type="paragraph" w:styleId="Signature">
    <w:name w:val="Signature"/>
    <w:basedOn w:val="Normal"/>
    <w:link w:val="SignatureChar"/>
    <w:uiPriority w:val="99"/>
    <w:semiHidden/>
    <w:rsid w:val="00036FE5"/>
    <w:pPr>
      <w:widowControl w:val="0"/>
      <w:autoSpaceDE w:val="0"/>
      <w:autoSpaceDN w:val="0"/>
      <w:adjustRightInd w:val="0"/>
      <w:ind w:left="4320"/>
    </w:pPr>
    <w:rPr>
      <w:szCs w:val="20"/>
    </w:rPr>
  </w:style>
  <w:style w:type="character" w:customStyle="1" w:styleId="SignatureChar">
    <w:name w:val="Signature Char"/>
    <w:link w:val="Signature"/>
    <w:uiPriority w:val="99"/>
    <w:semiHidden/>
    <w:rsid w:val="00CD44C5"/>
    <w:rPr>
      <w:rFonts w:cs="Times New Roman"/>
      <w:sz w:val="24"/>
      <w:lang w:val="en-US" w:eastAsia="en-US"/>
    </w:rPr>
  </w:style>
  <w:style w:type="character" w:styleId="Strong">
    <w:name w:val="Strong"/>
    <w:uiPriority w:val="99"/>
    <w:qFormat/>
    <w:rsid w:val="00036FE5"/>
    <w:rPr>
      <w:rFonts w:cs="Times New Roman"/>
      <w:b/>
      <w:bCs/>
    </w:rPr>
  </w:style>
  <w:style w:type="paragraph" w:styleId="Subtitle">
    <w:name w:val="Subtitle"/>
    <w:basedOn w:val="Normal"/>
    <w:link w:val="SubtitleChar"/>
    <w:uiPriority w:val="11"/>
    <w:qFormat/>
    <w:rsid w:val="00036FE5"/>
    <w:pPr>
      <w:widowControl w:val="0"/>
      <w:autoSpaceDE w:val="0"/>
      <w:autoSpaceDN w:val="0"/>
      <w:adjustRightInd w:val="0"/>
      <w:spacing w:after="60"/>
      <w:jc w:val="center"/>
      <w:outlineLvl w:val="1"/>
    </w:pPr>
    <w:rPr>
      <w:rFonts w:ascii="Calibri" w:hAnsi="Calibri"/>
      <w:lang w:val="x-none" w:eastAsia="x-none"/>
    </w:rPr>
  </w:style>
  <w:style w:type="character" w:customStyle="1" w:styleId="SubtitleChar">
    <w:name w:val="Subtitle Char"/>
    <w:link w:val="Subtitle"/>
    <w:uiPriority w:val="11"/>
    <w:rsid w:val="0025721B"/>
    <w:rPr>
      <w:rFonts w:ascii="Calibri" w:eastAsia="Times New Roman" w:hAnsi="Calibri" w:cs="Times New Roman"/>
      <w:sz w:val="24"/>
      <w:szCs w:val="24"/>
    </w:rPr>
  </w:style>
  <w:style w:type="table" w:styleId="Table3Deffects1">
    <w:name w:val="Table 3D effects 1"/>
    <w:basedOn w:val="TableNormal"/>
    <w:uiPriority w:val="99"/>
    <w:semiHidden/>
    <w:rsid w:val="00036FE5"/>
    <w:pPr>
      <w:widowControl w:val="0"/>
      <w:autoSpaceDE w:val="0"/>
      <w:autoSpaceDN w:val="0"/>
      <w:adjustRightInd w:val="0"/>
    </w:pPr>
    <w:tblPr/>
    <w:tcPr>
      <w:shd w:val="solid" w:color="C0C0C0" w:fill="FFFFFF"/>
    </w:tcPr>
    <w:tblStylePr w:type="firstRow">
      <w:rPr>
        <w:rFonts w:cs="Times New Roman"/>
        <w:b/>
        <w:bCs/>
        <w:color w:val="800080"/>
        <w:shd w:val="clear" w:color="auto" w:fill="auto"/>
      </w:rPr>
      <w:tblPr/>
      <w:tcPr>
        <w:tcBorders>
          <w:bottom w:val="single" w:sz="6" w:space="0" w:color="808080"/>
          <w:tl2br w:val="none" w:sz="0" w:space="0" w:color="auto"/>
          <w:tr2bl w:val="none" w:sz="0" w:space="0" w:color="auto"/>
        </w:tcBorders>
      </w:tcPr>
    </w:tblStylePr>
    <w:tblStylePr w:type="lastRow">
      <w:rPr>
        <w:rFonts w:cs="Times New Roman"/>
        <w:shd w:val="clear" w:color="auto" w:fill="auto"/>
      </w:rPr>
      <w:tblPr/>
      <w:tcPr>
        <w:tcBorders>
          <w:top w:val="single" w:sz="6" w:space="0" w:color="FFFFFF"/>
          <w:tl2br w:val="none" w:sz="0" w:space="0" w:color="auto"/>
          <w:tr2bl w:val="none" w:sz="0" w:space="0" w:color="auto"/>
        </w:tcBorders>
      </w:tcPr>
    </w:tblStylePr>
    <w:tblStylePr w:type="firstCol">
      <w:rPr>
        <w:rFonts w:cs="Times New Roman"/>
        <w:b/>
        <w:bCs/>
        <w:shd w:val="clear" w:color="auto" w:fill="auto"/>
      </w:rPr>
      <w:tblPr/>
      <w:tcPr>
        <w:tcBorders>
          <w:right w:val="single" w:sz="6" w:space="0" w:color="808080"/>
          <w:tl2br w:val="none" w:sz="0" w:space="0" w:color="auto"/>
          <w:tr2bl w:val="none" w:sz="0" w:space="0" w:color="auto"/>
        </w:tcBorders>
      </w:tcPr>
    </w:tblStylePr>
    <w:tblStylePr w:type="lastCol">
      <w:rPr>
        <w:rFonts w:cs="Times New Roman"/>
        <w:shd w:val="clear" w:color="auto" w:fill="auto"/>
      </w:rPr>
      <w:tblPr/>
      <w:tcPr>
        <w:tcBorders>
          <w:left w:val="single" w:sz="6" w:space="0" w:color="FFFFFF"/>
          <w:tl2br w:val="none" w:sz="0" w:space="0" w:color="auto"/>
          <w:tr2bl w:val="none" w:sz="0" w:space="0" w:color="auto"/>
        </w:tcBorders>
      </w:tcPr>
    </w:tblStylePr>
    <w:tblStylePr w:type="neCell">
      <w:rPr>
        <w:rFonts w:cs="Times New Roman"/>
        <w:shd w:val="clear" w:color="auto" w:fill="auto"/>
      </w:rPr>
      <w:tblPr/>
      <w:tcPr>
        <w:tcBorders>
          <w:left w:val="none" w:sz="0" w:space="0" w:color="auto"/>
          <w:bottom w:val="none" w:sz="0" w:space="0" w:color="auto"/>
          <w:tl2br w:val="none" w:sz="0" w:space="0" w:color="auto"/>
          <w:tr2bl w:val="none" w:sz="0" w:space="0" w:color="auto"/>
        </w:tcBorders>
      </w:tcPr>
    </w:tblStylePr>
    <w:tblStylePr w:type="nwCell">
      <w:rPr>
        <w:rFonts w:cs="Times New Roman"/>
        <w:shd w:val="clear" w:color="auto" w:fill="auto"/>
      </w:rPr>
      <w:tblPr/>
      <w:tcPr>
        <w:tcBorders>
          <w:bottom w:val="none" w:sz="0" w:space="0" w:color="auto"/>
          <w:right w:val="none" w:sz="0" w:space="0" w:color="auto"/>
          <w:tl2br w:val="none" w:sz="0" w:space="0" w:color="auto"/>
          <w:tr2bl w:val="none" w:sz="0" w:space="0" w:color="auto"/>
        </w:tcBorders>
      </w:tcPr>
    </w:tblStylePr>
    <w:tblStylePr w:type="seCell">
      <w:rPr>
        <w:rFonts w:cs="Times New Roman"/>
        <w:shd w:val="clear" w:color="auto" w:fill="auto"/>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shd w:val="clear" w:color="auto" w:fill="auto"/>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36FE5"/>
    <w:pPr>
      <w:widowControl w:val="0"/>
      <w:autoSpaceDE w:val="0"/>
      <w:autoSpaceDN w:val="0"/>
      <w:adjustRightInd w:val="0"/>
    </w:pPr>
    <w:tblPr>
      <w:tblStyleRowBandSize w:val="1"/>
    </w:tblPr>
    <w:tcPr>
      <w:shd w:val="solid" w:color="C0C0C0" w:fill="FFFFFF"/>
    </w:tcPr>
    <w:tblStylePr w:type="firstRow">
      <w:rPr>
        <w:rFonts w:cs="Times New Roman"/>
        <w:b/>
        <w:bCs/>
        <w:shd w:val="clear" w:color="auto" w:fill="auto"/>
      </w:rPr>
      <w:tblPr/>
      <w:tcPr>
        <w:tcBorders>
          <w:tl2br w:val="none" w:sz="0" w:space="0" w:color="auto"/>
          <w:tr2bl w:val="none" w:sz="0" w:space="0" w:color="auto"/>
        </w:tcBorders>
      </w:tcPr>
    </w:tblStylePr>
    <w:tblStylePr w:type="firstCol">
      <w:rPr>
        <w:rFonts w:cs="Times New Roman"/>
        <w:shd w:val="clear" w:color="auto" w:fill="auto"/>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shd w:val="clear" w:color="auto" w:fill="auto"/>
      </w:rPr>
      <w:tblPr/>
      <w:tcPr>
        <w:tcBorders>
          <w:right w:val="single" w:sz="6" w:space="0" w:color="FFFFFF"/>
          <w:tl2br w:val="none" w:sz="0" w:space="0" w:color="auto"/>
          <w:tr2bl w:val="none" w:sz="0" w:space="0" w:color="auto"/>
        </w:tcBorders>
      </w:tcPr>
    </w:tblStylePr>
    <w:tblStylePr w:type="band1Horz">
      <w:rPr>
        <w:rFonts w:cs="Times New Roman"/>
        <w:shd w:val="clear" w:color="auto" w:fill="auto"/>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shd w:val="clear" w:color="auto" w:fill="auto"/>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36FE5"/>
    <w:pPr>
      <w:widowControl w:val="0"/>
      <w:autoSpaceDE w:val="0"/>
      <w:autoSpaceDN w:val="0"/>
      <w:adjustRightInd w:val="0"/>
    </w:pPr>
    <w:tblPr>
      <w:tblStyleRowBandSize w:val="1"/>
      <w:tblStyleColBandSize w:val="1"/>
    </w:tblPr>
    <w:tblStylePr w:type="firstRow">
      <w:rPr>
        <w:rFonts w:cs="Times New Roman"/>
        <w:b/>
        <w:bCs/>
        <w:shd w:val="clear" w:color="auto" w:fill="auto"/>
      </w:rPr>
      <w:tblPr/>
      <w:tcPr>
        <w:tcBorders>
          <w:tl2br w:val="none" w:sz="0" w:space="0" w:color="auto"/>
          <w:tr2bl w:val="none" w:sz="0" w:space="0" w:color="auto"/>
        </w:tcBorders>
      </w:tcPr>
    </w:tblStylePr>
    <w:tblStylePr w:type="firstCol">
      <w:rPr>
        <w:rFonts w:cs="Times New Roman"/>
        <w:shd w:val="clear" w:color="auto" w:fill="auto"/>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shd w:val="clear" w:color="auto" w:fill="auto"/>
      </w:rPr>
      <w:tblPr/>
      <w:tcPr>
        <w:tcBorders>
          <w:right w:val="single" w:sz="6" w:space="0" w:color="FFFFFF"/>
          <w:tl2br w:val="none" w:sz="0" w:space="0" w:color="auto"/>
          <w:tr2bl w:val="none" w:sz="0" w:space="0" w:color="auto"/>
        </w:tcBorders>
      </w:tcPr>
    </w:tblStylePr>
    <w:tblStylePr w:type="band1Vert">
      <w:rPr>
        <w:rFonts w:cs="Times New Roman"/>
        <w:color w:val="auto"/>
        <w:shd w:val="clear" w:color="auto" w:fill="auto"/>
      </w:rPr>
      <w:tblPr/>
      <w:tcPr>
        <w:shd w:val="solid" w:color="C0C0C0" w:fill="FFFFFF"/>
      </w:tcPr>
    </w:tblStylePr>
    <w:tblStylePr w:type="band2Vert">
      <w:rPr>
        <w:rFonts w:cs="Times New Roman"/>
        <w:color w:val="auto"/>
        <w:shd w:val="clear" w:color="auto" w:fill="auto"/>
      </w:rPr>
      <w:tblPr/>
      <w:tcPr>
        <w:shd w:val="pct50" w:color="C0C0C0" w:fill="FFFFFF"/>
      </w:tcPr>
    </w:tblStylePr>
    <w:tblStylePr w:type="band1Horz">
      <w:rPr>
        <w:rFonts w:cs="Times New Roman"/>
        <w:shd w:val="clear" w:color="auto" w:fill="auto"/>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shd w:val="clear" w:color="auto" w:fill="auto"/>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36FE5"/>
    <w:pPr>
      <w:widowControl w:val="0"/>
      <w:autoSpaceDE w:val="0"/>
      <w:autoSpaceDN w:val="0"/>
      <w:adjustRightInd w:val="0"/>
    </w:pPr>
    <w:tblPr>
      <w:tblBorders>
        <w:top w:val="single" w:sz="12" w:space="0" w:color="000000"/>
        <w:bottom w:val="single" w:sz="12" w:space="0" w:color="000000"/>
      </w:tblBorders>
    </w:tblPr>
    <w:tblStylePr w:type="firstRow">
      <w:rPr>
        <w:rFonts w:cs="Times New Roman"/>
        <w:color w:val="FFFFFF"/>
        <w:shd w:val="clear" w:color="auto" w:fill="auto"/>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shd w:val="clear" w:color="auto" w:fill="auto"/>
      </w:rPr>
      <w:tblPr/>
      <w:tcPr>
        <w:tcBorders>
          <w:top w:val="single" w:sz="6" w:space="0" w:color="000000"/>
          <w:tl2br w:val="none" w:sz="0" w:space="0" w:color="auto"/>
          <w:tr2bl w:val="none" w:sz="0" w:space="0" w:color="auto"/>
        </w:tcBorders>
      </w:tcPr>
    </w:tblStylePr>
    <w:tblStylePr w:type="firstCol">
      <w:rPr>
        <w:rFonts w:cs="Times New Roman"/>
        <w:b/>
        <w:bCs/>
        <w:shd w:val="clear" w:color="auto" w:fill="auto"/>
      </w:rPr>
      <w:tblPr/>
      <w:tcPr>
        <w:tcBorders>
          <w:tl2br w:val="none" w:sz="0" w:space="0" w:color="auto"/>
          <w:tr2bl w:val="none" w:sz="0" w:space="0" w:color="auto"/>
        </w:tcBorders>
        <w:shd w:val="solid" w:color="C0C0C0" w:fill="FFFFFF"/>
      </w:tcPr>
    </w:tblStylePr>
    <w:tblStylePr w:type="neCell">
      <w:rPr>
        <w:rFonts w:cs="Times New Roman"/>
        <w:b/>
        <w:bCs/>
        <w:shd w:val="clear" w:color="auto" w:fill="auto"/>
      </w:rPr>
      <w:tblPr/>
      <w:tcPr>
        <w:tcBorders>
          <w:tl2br w:val="none" w:sz="0" w:space="0" w:color="auto"/>
          <w:tr2bl w:val="none" w:sz="0" w:space="0" w:color="auto"/>
        </w:tcBorders>
      </w:tcPr>
    </w:tblStylePr>
    <w:tblStylePr w:type="nwCell">
      <w:rPr>
        <w:rFonts w:cs="Times New Roman"/>
        <w:shd w:val="clear" w:color="auto" w:fill="auto"/>
      </w:rPr>
      <w:tblPr/>
      <w:tcPr>
        <w:tcBorders>
          <w:tl2br w:val="none" w:sz="0" w:space="0" w:color="auto"/>
          <w:tr2bl w:val="none" w:sz="0" w:space="0" w:color="auto"/>
        </w:tcBorders>
        <w:shd w:val="solid" w:color="800080" w:fill="FFFFFF"/>
      </w:tcPr>
    </w:tblStylePr>
    <w:tblStylePr w:type="swCell">
      <w:rPr>
        <w:rFonts w:cs="Times New Roman"/>
        <w:color w:val="000080"/>
        <w:shd w:val="clear" w:color="auto" w:fill="auto"/>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36FE5"/>
    <w:pPr>
      <w:widowControl w:val="0"/>
      <w:autoSpaceDE w:val="0"/>
      <w:autoSpaceDN w:val="0"/>
      <w:adjustRightInd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shd w:val="clear" w:color="auto" w:fill="auto"/>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shd w:val="clear" w:color="auto" w:fill="auto"/>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shd w:val="clear" w:color="auto" w:fill="auto"/>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36FE5"/>
    <w:pPr>
      <w:widowControl w:val="0"/>
      <w:autoSpaceDE w:val="0"/>
      <w:autoSpaceDN w:val="0"/>
      <w:adjustRightInd w:val="0"/>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shd w:val="clear" w:color="auto" w:fill="auto"/>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shd w:val="clear" w:color="auto" w:fill="auto"/>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shd w:val="clear" w:color="auto" w:fill="auto"/>
      </w:rPr>
      <w:tblPr/>
      <w:tcPr>
        <w:tcBorders>
          <w:tl2br w:val="none" w:sz="0" w:space="0" w:color="auto"/>
          <w:tr2bl w:val="none" w:sz="0" w:space="0" w:color="auto"/>
        </w:tcBorders>
      </w:tcPr>
    </w:tblStylePr>
    <w:tblStylePr w:type="nwCell">
      <w:rPr>
        <w:rFonts w:cs="Times New Roman"/>
        <w:b/>
        <w:bCs/>
        <w:shd w:val="clear" w:color="auto" w:fill="auto"/>
      </w:rPr>
      <w:tblPr/>
      <w:tcPr>
        <w:tcBorders>
          <w:tl2br w:val="none" w:sz="0" w:space="0" w:color="auto"/>
          <w:tr2bl w:val="none" w:sz="0" w:space="0" w:color="auto"/>
        </w:tcBorders>
      </w:tcPr>
    </w:tblStylePr>
    <w:tblStylePr w:type="swCell">
      <w:rPr>
        <w:rFonts w:cs="Times New Roman"/>
        <w:color w:val="000080"/>
        <w:shd w:val="clear" w:color="auto" w:fill="auto"/>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36FE5"/>
    <w:pPr>
      <w:widowControl w:val="0"/>
      <w:autoSpaceDE w:val="0"/>
      <w:autoSpaceDN w:val="0"/>
      <w:adjustRightInd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shd w:val="clear" w:color="auto" w:fill="auto"/>
      </w:rPr>
      <w:tblPr/>
      <w:tcPr>
        <w:tcBorders>
          <w:tl2br w:val="none" w:sz="0" w:space="0" w:color="auto"/>
          <w:tr2bl w:val="none" w:sz="0" w:space="0" w:color="auto"/>
        </w:tcBorders>
        <w:shd w:val="solid" w:color="000000" w:fill="FFFFFF"/>
      </w:tcPr>
    </w:tblStylePr>
    <w:tblStylePr w:type="firstCol">
      <w:rPr>
        <w:rFonts w:cs="Times New Roman"/>
        <w:b/>
        <w:bCs/>
        <w:i/>
        <w:iCs/>
        <w:shd w:val="clear" w:color="auto" w:fill="auto"/>
      </w:rPr>
      <w:tblPr/>
      <w:tcPr>
        <w:tcBorders>
          <w:tl2br w:val="none" w:sz="0" w:space="0" w:color="auto"/>
          <w:tr2bl w:val="none" w:sz="0" w:space="0" w:color="auto"/>
        </w:tcBorders>
        <w:shd w:val="solid" w:color="000080" w:fill="FFFFFF"/>
      </w:tcPr>
    </w:tblStylePr>
    <w:tblStylePr w:type="nwCell">
      <w:rPr>
        <w:rFonts w:cs="Times New Roman"/>
        <w:shd w:val="clear" w:color="auto" w:fill="auto"/>
      </w:rPr>
      <w:tblPr/>
      <w:tcPr>
        <w:tcBorders>
          <w:tl2br w:val="none" w:sz="0" w:space="0" w:color="auto"/>
          <w:tr2bl w:val="none" w:sz="0" w:space="0" w:color="auto"/>
        </w:tcBorders>
        <w:shd w:val="solid" w:color="000000" w:fill="FFFFFF"/>
      </w:tcPr>
    </w:tblStylePr>
    <w:tblStylePr w:type="swCell">
      <w:rPr>
        <w:rFonts w:cs="Times New Roman"/>
        <w:b/>
        <w:bCs/>
        <w:i w:val="0"/>
        <w:iCs w:val="0"/>
        <w:shd w:val="clear" w:color="auto" w:fill="auto"/>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36FE5"/>
    <w:pPr>
      <w:widowControl w:val="0"/>
      <w:autoSpaceDE w:val="0"/>
      <w:autoSpaceDN w:val="0"/>
      <w:adjustRightInd w:val="0"/>
    </w:pPr>
    <w:tblPr>
      <w:tblBorders>
        <w:bottom w:val="single" w:sz="12" w:space="0" w:color="000000"/>
      </w:tblBorders>
    </w:tblPr>
    <w:tcPr>
      <w:shd w:val="pct20" w:color="FFFF00" w:fill="FFFFFF"/>
    </w:tcPr>
    <w:tblStylePr w:type="firstRow">
      <w:rPr>
        <w:rFonts w:cs="Times New Roman"/>
        <w:b/>
        <w:bCs/>
        <w:i/>
        <w:iCs/>
        <w:color w:val="FFFFFF"/>
        <w:shd w:val="clear" w:color="auto" w:fill="auto"/>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shd w:val="clear" w:color="auto" w:fill="auto"/>
      </w:rPr>
      <w:tblPr/>
      <w:tcPr>
        <w:tcBorders>
          <w:tl2br w:val="none" w:sz="0" w:space="0" w:color="auto"/>
          <w:tr2bl w:val="none" w:sz="0" w:space="0" w:color="auto"/>
        </w:tcBorders>
      </w:tcPr>
    </w:tblStylePr>
    <w:tblStylePr w:type="lastCol">
      <w:rPr>
        <w:rFonts w:cs="Times New Roman"/>
        <w:shd w:val="clear" w:color="auto" w:fill="auto"/>
      </w:rPr>
      <w:tblPr/>
      <w:tcPr>
        <w:tcBorders>
          <w:tl2br w:val="none" w:sz="0" w:space="0" w:color="auto"/>
          <w:tr2bl w:val="none" w:sz="0" w:space="0" w:color="auto"/>
        </w:tcBorders>
        <w:shd w:val="solid" w:color="C0C0C0" w:fill="FFFFFF"/>
      </w:tcPr>
    </w:tblStylePr>
    <w:tblStylePr w:type="swCell">
      <w:rPr>
        <w:rFonts w:cs="Times New Roman"/>
        <w:b/>
        <w:bCs/>
        <w:i w:val="0"/>
        <w:iCs w:val="0"/>
        <w:shd w:val="clear" w:color="auto" w:fill="auto"/>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36FE5"/>
    <w:pPr>
      <w:widowControl w:val="0"/>
      <w:autoSpaceDE w:val="0"/>
      <w:autoSpaceDN w:val="0"/>
      <w:adjustRightInd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shd w:val="clear" w:color="auto" w:fill="auto"/>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shd w:val="clear" w:color="auto" w:fill="auto"/>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shd w:val="clear" w:color="auto" w:fil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36FE5"/>
    <w:pPr>
      <w:widowControl w:val="0"/>
      <w:autoSpaceDE w:val="0"/>
      <w:autoSpaceDN w:val="0"/>
      <w:adjustRightIn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shd w:val="clear" w:color="auto" w:fill="auto"/>
      </w:rPr>
      <w:tblPr/>
      <w:tcPr>
        <w:tcBorders>
          <w:bottom w:val="double" w:sz="6" w:space="0" w:color="000000"/>
          <w:tl2br w:val="none" w:sz="0" w:space="0" w:color="auto"/>
          <w:tr2bl w:val="none" w:sz="0" w:space="0" w:color="auto"/>
        </w:tcBorders>
      </w:tcPr>
    </w:tblStylePr>
    <w:tblStylePr w:type="lastRow">
      <w:rPr>
        <w:rFonts w:cs="Times New Roman"/>
        <w:b w:val="0"/>
        <w:bCs w:val="0"/>
        <w:shd w:val="clear" w:color="auto" w:fill="auto"/>
      </w:rPr>
      <w:tblPr/>
      <w:tcPr>
        <w:tcBorders>
          <w:tl2br w:val="none" w:sz="0" w:space="0" w:color="auto"/>
          <w:tr2bl w:val="none" w:sz="0" w:space="0" w:color="auto"/>
        </w:tcBorders>
      </w:tcPr>
    </w:tblStylePr>
    <w:tblStylePr w:type="firstCol">
      <w:rPr>
        <w:rFonts w:cs="Times New Roman"/>
        <w:b w:val="0"/>
        <w:bCs w:val="0"/>
        <w:shd w:val="clear" w:color="auto" w:fill="auto"/>
      </w:rPr>
      <w:tblPr/>
      <w:tcPr>
        <w:tcBorders>
          <w:tl2br w:val="none" w:sz="0" w:space="0" w:color="auto"/>
          <w:tr2bl w:val="none" w:sz="0" w:space="0" w:color="auto"/>
        </w:tcBorders>
      </w:tcPr>
    </w:tblStylePr>
    <w:tblStylePr w:type="lastCol">
      <w:rPr>
        <w:rFonts w:cs="Times New Roman"/>
        <w:b w:val="0"/>
        <w:bCs w:val="0"/>
        <w:shd w:val="clear" w:color="auto" w:fill="auto"/>
      </w:rPr>
      <w:tblPr/>
      <w:tcPr>
        <w:tcBorders>
          <w:tl2br w:val="none" w:sz="0" w:space="0" w:color="auto"/>
          <w:tr2bl w:val="none" w:sz="0" w:space="0" w:color="auto"/>
        </w:tcBorders>
      </w:tcPr>
    </w:tblStylePr>
    <w:tblStylePr w:type="band1Vert">
      <w:rPr>
        <w:rFonts w:cs="Times New Roman"/>
        <w:color w:val="auto"/>
        <w:shd w:val="clear" w:color="auto" w:fill="auto"/>
      </w:rPr>
      <w:tblPr/>
      <w:tcPr>
        <w:shd w:val="pct25" w:color="000000" w:fill="FFFFFF"/>
      </w:tcPr>
    </w:tblStylePr>
    <w:tblStylePr w:type="band2Vert">
      <w:rPr>
        <w:rFonts w:cs="Times New Roman"/>
        <w:color w:val="auto"/>
        <w:shd w:val="clear" w:color="auto" w:fill="auto"/>
      </w:rPr>
      <w:tblPr/>
      <w:tcPr>
        <w:shd w:val="pct25" w:color="FFFF00" w:fill="FFFFFF"/>
      </w:tcPr>
    </w:tblStylePr>
    <w:tblStylePr w:type="neCell">
      <w:rPr>
        <w:rFonts w:cs="Times New Roman"/>
        <w:b/>
        <w:bCs/>
        <w:shd w:val="clear" w:color="auto" w:fill="auto"/>
      </w:rPr>
      <w:tblPr/>
      <w:tcPr>
        <w:tcBorders>
          <w:tl2br w:val="none" w:sz="0" w:space="0" w:color="auto"/>
          <w:tr2bl w:val="none" w:sz="0" w:space="0" w:color="auto"/>
        </w:tcBorders>
      </w:tcPr>
    </w:tblStylePr>
    <w:tblStylePr w:type="swCell">
      <w:rPr>
        <w:rFonts w:cs="Times New Roman"/>
        <w:b/>
        <w:bCs/>
        <w:shd w:val="clear" w:color="auto" w:fill="auto"/>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36FE5"/>
    <w:pPr>
      <w:widowControl w:val="0"/>
      <w:autoSpaceDE w:val="0"/>
      <w:autoSpaceDN w:val="0"/>
      <w:adjustRightInd w:val="0"/>
    </w:pPr>
    <w:rPr>
      <w:b/>
      <w:bCs/>
    </w:rPr>
    <w:tblPr>
      <w:tblStyleColBandSize w:val="1"/>
    </w:tblPr>
    <w:tblStylePr w:type="firstRow">
      <w:rPr>
        <w:rFonts w:cs="Times New Roman"/>
        <w:color w:val="FFFFFF"/>
        <w:shd w:val="clear" w:color="auto" w:fill="auto"/>
      </w:rPr>
      <w:tblPr/>
      <w:tcPr>
        <w:tcBorders>
          <w:tl2br w:val="none" w:sz="0" w:space="0" w:color="auto"/>
          <w:tr2bl w:val="none" w:sz="0" w:space="0" w:color="auto"/>
        </w:tcBorders>
        <w:shd w:val="solid" w:color="000080" w:fill="FFFFFF"/>
      </w:tcPr>
    </w:tblStylePr>
    <w:tblStylePr w:type="lastRow">
      <w:rPr>
        <w:rFonts w:cs="Times New Roman"/>
        <w:b w:val="0"/>
        <w:bCs w:val="0"/>
        <w:shd w:val="clear" w:color="auto" w:fill="auto"/>
      </w:rPr>
      <w:tblPr/>
      <w:tcPr>
        <w:tcBorders>
          <w:tl2br w:val="none" w:sz="0" w:space="0" w:color="auto"/>
          <w:tr2bl w:val="none" w:sz="0" w:space="0" w:color="auto"/>
        </w:tcBorders>
      </w:tcPr>
    </w:tblStylePr>
    <w:tblStylePr w:type="firstCol">
      <w:rPr>
        <w:rFonts w:cs="Times New Roman"/>
        <w:b w:val="0"/>
        <w:bCs w:val="0"/>
        <w:color w:val="000000"/>
        <w:shd w:val="clear" w:color="auto" w:fill="auto"/>
      </w:rPr>
      <w:tblPr/>
      <w:tcPr>
        <w:tcBorders>
          <w:tl2br w:val="none" w:sz="0" w:space="0" w:color="auto"/>
          <w:tr2bl w:val="none" w:sz="0" w:space="0" w:color="auto"/>
        </w:tcBorders>
      </w:tcPr>
    </w:tblStylePr>
    <w:tblStylePr w:type="lastCol">
      <w:rPr>
        <w:rFonts w:cs="Times New Roman"/>
        <w:b w:val="0"/>
        <w:bCs w:val="0"/>
        <w:shd w:val="clear" w:color="auto" w:fill="auto"/>
      </w:rPr>
      <w:tblPr/>
      <w:tcPr>
        <w:tcBorders>
          <w:tl2br w:val="none" w:sz="0" w:space="0" w:color="auto"/>
          <w:tr2bl w:val="none" w:sz="0" w:space="0" w:color="auto"/>
        </w:tcBorders>
      </w:tcPr>
    </w:tblStylePr>
    <w:tblStylePr w:type="band1Vert">
      <w:rPr>
        <w:rFonts w:cs="Times New Roman"/>
        <w:color w:val="auto"/>
        <w:shd w:val="clear" w:color="auto" w:fill="auto"/>
      </w:rPr>
      <w:tblPr/>
      <w:tcPr>
        <w:shd w:val="pct30" w:color="000000" w:fill="FFFFFF"/>
      </w:tcPr>
    </w:tblStylePr>
    <w:tblStylePr w:type="band2Vert">
      <w:rPr>
        <w:rFonts w:cs="Times New Roman"/>
        <w:color w:val="auto"/>
        <w:shd w:val="clear" w:color="auto" w:fill="auto"/>
      </w:rPr>
      <w:tblPr/>
      <w:tcPr>
        <w:shd w:val="pct25" w:color="00FF00" w:fill="FFFFFF"/>
      </w:tcPr>
    </w:tblStylePr>
    <w:tblStylePr w:type="neCell">
      <w:rPr>
        <w:rFonts w:cs="Times New Roman"/>
        <w:b/>
        <w:bCs/>
        <w:shd w:val="clear" w:color="auto" w:fill="auto"/>
      </w:rPr>
      <w:tblPr/>
      <w:tcPr>
        <w:tcBorders>
          <w:tl2br w:val="none" w:sz="0" w:space="0" w:color="auto"/>
          <w:tr2bl w:val="none" w:sz="0" w:space="0" w:color="auto"/>
        </w:tcBorders>
      </w:tcPr>
    </w:tblStylePr>
    <w:tblStylePr w:type="swCell">
      <w:rPr>
        <w:rFonts w:cs="Times New Roman"/>
        <w:b/>
        <w:bCs/>
        <w:shd w:val="clear" w:color="auto" w:fill="auto"/>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36FE5"/>
    <w:pPr>
      <w:widowControl w:val="0"/>
      <w:autoSpaceDE w:val="0"/>
      <w:autoSpaceDN w:val="0"/>
      <w:adjustRightInd w:val="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shd w:val="clear" w:color="auto" w:fill="auto"/>
      </w:rPr>
      <w:tblPr/>
      <w:tcPr>
        <w:tcBorders>
          <w:tl2br w:val="none" w:sz="0" w:space="0" w:color="auto"/>
          <w:tr2bl w:val="none" w:sz="0" w:space="0" w:color="auto"/>
        </w:tcBorders>
        <w:shd w:val="solid" w:color="000080" w:fill="FFFFFF"/>
      </w:tcPr>
    </w:tblStylePr>
    <w:tblStylePr w:type="lastRow">
      <w:rPr>
        <w:rFonts w:cs="Times New Roman"/>
        <w:b w:val="0"/>
        <w:bCs w:val="0"/>
        <w:shd w:val="clear" w:color="auto" w:fill="auto"/>
      </w:rPr>
      <w:tblPr/>
      <w:tcPr>
        <w:tcBorders>
          <w:top w:val="single" w:sz="6" w:space="0" w:color="000080"/>
          <w:tl2br w:val="none" w:sz="0" w:space="0" w:color="auto"/>
          <w:tr2bl w:val="none" w:sz="0" w:space="0" w:color="auto"/>
        </w:tcBorders>
      </w:tcPr>
    </w:tblStylePr>
    <w:tblStylePr w:type="firstCol">
      <w:rPr>
        <w:rFonts w:cs="Times New Roman"/>
        <w:b w:val="0"/>
        <w:bCs w:val="0"/>
        <w:shd w:val="clear" w:color="auto" w:fill="auto"/>
      </w:rPr>
      <w:tblPr/>
      <w:tcPr>
        <w:tcBorders>
          <w:tl2br w:val="none" w:sz="0" w:space="0" w:color="auto"/>
          <w:tr2bl w:val="none" w:sz="0" w:space="0" w:color="auto"/>
        </w:tcBorders>
      </w:tcPr>
    </w:tblStylePr>
    <w:tblStylePr w:type="lastCol">
      <w:rPr>
        <w:rFonts w:cs="Times New Roman"/>
        <w:b w:val="0"/>
        <w:bCs w:val="0"/>
        <w:shd w:val="clear" w:color="auto" w:fill="auto"/>
      </w:rPr>
      <w:tblPr/>
      <w:tcPr>
        <w:tcBorders>
          <w:tl2br w:val="none" w:sz="0" w:space="0" w:color="auto"/>
          <w:tr2bl w:val="none" w:sz="0" w:space="0" w:color="auto"/>
        </w:tcBorders>
      </w:tcPr>
    </w:tblStylePr>
    <w:tblStylePr w:type="band1Vert">
      <w:rPr>
        <w:rFonts w:cs="Times New Roman"/>
        <w:color w:val="auto"/>
        <w:shd w:val="clear" w:color="auto" w:fill="auto"/>
      </w:rPr>
      <w:tblPr/>
      <w:tcPr>
        <w:shd w:val="solid" w:color="C0C0C0" w:fill="FFFFFF"/>
      </w:tcPr>
    </w:tblStylePr>
    <w:tblStylePr w:type="band2Vert">
      <w:rPr>
        <w:rFonts w:cs="Times New Roman"/>
        <w:color w:val="auto"/>
        <w:shd w:val="clear" w:color="auto" w:fill="auto"/>
      </w:rPr>
      <w:tblPr/>
      <w:tcPr>
        <w:shd w:val="pct10" w:color="000000" w:fill="FFFFFF"/>
      </w:tcPr>
    </w:tblStylePr>
    <w:tblStylePr w:type="neCell">
      <w:rPr>
        <w:rFonts w:cs="Times New Roman"/>
        <w:b/>
        <w:bCs/>
        <w:shd w:val="clear" w:color="auto" w:fill="auto"/>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36FE5"/>
    <w:pPr>
      <w:widowControl w:val="0"/>
      <w:autoSpaceDE w:val="0"/>
      <w:autoSpaceDN w:val="0"/>
      <w:adjustRightInd w:val="0"/>
    </w:pPr>
    <w:tblPr>
      <w:tblStyleColBandSize w:val="1"/>
    </w:tblPr>
    <w:tblStylePr w:type="firstRow">
      <w:rPr>
        <w:rFonts w:cs="Times New Roman"/>
        <w:color w:val="FFFFFF"/>
        <w:shd w:val="clear" w:color="auto" w:fill="auto"/>
      </w:rPr>
      <w:tblPr/>
      <w:tcPr>
        <w:tcBorders>
          <w:tl2br w:val="none" w:sz="0" w:space="0" w:color="auto"/>
          <w:tr2bl w:val="none" w:sz="0" w:space="0" w:color="auto"/>
        </w:tcBorders>
        <w:shd w:val="solid" w:color="000000" w:fill="FFFFFF"/>
      </w:tcPr>
    </w:tblStylePr>
    <w:tblStylePr w:type="lastRow">
      <w:rPr>
        <w:rFonts w:cs="Times New Roman"/>
        <w:b/>
        <w:bCs/>
        <w:shd w:val="clear" w:color="auto" w:fill="auto"/>
      </w:rPr>
      <w:tblPr/>
      <w:tcPr>
        <w:tcBorders>
          <w:tl2br w:val="none" w:sz="0" w:space="0" w:color="auto"/>
          <w:tr2bl w:val="none" w:sz="0" w:space="0" w:color="auto"/>
        </w:tcBorders>
      </w:tcPr>
    </w:tblStylePr>
    <w:tblStylePr w:type="lastCol">
      <w:rPr>
        <w:rFonts w:cs="Times New Roman"/>
        <w:b/>
        <w:bCs/>
        <w:shd w:val="clear" w:color="auto" w:fill="auto"/>
      </w:rPr>
      <w:tblPr/>
      <w:tcPr>
        <w:tcBorders>
          <w:tl2br w:val="none" w:sz="0" w:space="0" w:color="auto"/>
          <w:tr2bl w:val="none" w:sz="0" w:space="0" w:color="auto"/>
        </w:tcBorders>
      </w:tcPr>
    </w:tblStylePr>
    <w:tblStylePr w:type="band1Vert">
      <w:rPr>
        <w:rFonts w:cs="Times New Roman"/>
        <w:color w:val="auto"/>
        <w:shd w:val="clear" w:color="auto" w:fill="auto"/>
      </w:rPr>
      <w:tblPr/>
      <w:tcPr>
        <w:shd w:val="pct50" w:color="008080" w:fill="FFFFFF"/>
      </w:tcPr>
    </w:tblStylePr>
    <w:tblStylePr w:type="band2Vert">
      <w:rPr>
        <w:rFonts w:cs="Times New Roman"/>
        <w:color w:val="auto"/>
        <w:shd w:val="clear" w:color="auto" w:fill="auto"/>
      </w:rPr>
      <w:tblPr/>
      <w:tcPr>
        <w:shd w:val="pct10" w:color="000000" w:fill="FFFFFF"/>
      </w:tcPr>
    </w:tblStylePr>
  </w:style>
  <w:style w:type="table" w:styleId="TableColumns5">
    <w:name w:val="Table Columns 5"/>
    <w:basedOn w:val="TableNormal"/>
    <w:uiPriority w:val="99"/>
    <w:semiHidden/>
    <w:rsid w:val="00036FE5"/>
    <w:pPr>
      <w:widowControl w:val="0"/>
      <w:autoSpaceDE w:val="0"/>
      <w:autoSpaceDN w:val="0"/>
      <w:adjustRightInd w:val="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shd w:val="clear" w:color="auto" w:fill="auto"/>
      </w:rPr>
      <w:tblPr/>
      <w:tcPr>
        <w:tcBorders>
          <w:bottom w:val="single" w:sz="6" w:space="0" w:color="808080"/>
          <w:tl2br w:val="none" w:sz="0" w:space="0" w:color="auto"/>
          <w:tr2bl w:val="none" w:sz="0" w:space="0" w:color="auto"/>
        </w:tcBorders>
      </w:tcPr>
    </w:tblStylePr>
    <w:tblStylePr w:type="lastRow">
      <w:rPr>
        <w:rFonts w:cs="Times New Roman"/>
        <w:b/>
        <w:bCs/>
        <w:shd w:val="clear" w:color="auto" w:fill="auto"/>
      </w:rPr>
      <w:tblPr/>
      <w:tcPr>
        <w:tcBorders>
          <w:top w:val="single" w:sz="6" w:space="0" w:color="808080"/>
          <w:tl2br w:val="none" w:sz="0" w:space="0" w:color="auto"/>
          <w:tr2bl w:val="none" w:sz="0" w:space="0" w:color="auto"/>
        </w:tcBorders>
      </w:tcPr>
    </w:tblStylePr>
    <w:tblStylePr w:type="firstCol">
      <w:rPr>
        <w:rFonts w:cs="Times New Roman"/>
        <w:b/>
        <w:bCs/>
        <w:shd w:val="clear" w:color="auto" w:fill="auto"/>
      </w:rPr>
      <w:tblPr/>
      <w:tcPr>
        <w:tcBorders>
          <w:tl2br w:val="none" w:sz="0" w:space="0" w:color="auto"/>
          <w:tr2bl w:val="none" w:sz="0" w:space="0" w:color="auto"/>
        </w:tcBorders>
      </w:tcPr>
    </w:tblStylePr>
    <w:tblStylePr w:type="lastCol">
      <w:rPr>
        <w:rFonts w:cs="Times New Roman"/>
        <w:b/>
        <w:bCs/>
        <w:shd w:val="clear" w:color="auto" w:fill="auto"/>
      </w:rPr>
      <w:tblPr/>
      <w:tcPr>
        <w:tcBorders>
          <w:tl2br w:val="none" w:sz="0" w:space="0" w:color="auto"/>
          <w:tr2bl w:val="none" w:sz="0" w:space="0" w:color="auto"/>
        </w:tcBorders>
      </w:tcPr>
    </w:tblStylePr>
    <w:tblStylePr w:type="band1Vert">
      <w:rPr>
        <w:rFonts w:cs="Times New Roman"/>
        <w:color w:val="auto"/>
        <w:shd w:val="clear" w:color="auto" w:fill="auto"/>
      </w:rPr>
      <w:tblPr/>
      <w:tcPr>
        <w:shd w:val="solid" w:color="C0C0C0" w:fill="FFFFFF"/>
      </w:tcPr>
    </w:tblStylePr>
    <w:tblStylePr w:type="band2Vert">
      <w:rPr>
        <w:rFonts w:cs="Times New Roman"/>
        <w:color w:val="auto"/>
        <w:shd w:val="clear" w:color="auto" w:fill="auto"/>
      </w:rPr>
    </w:tblStylePr>
  </w:style>
  <w:style w:type="table" w:styleId="TableContemporary">
    <w:name w:val="Table Contemporary"/>
    <w:basedOn w:val="TableNormal"/>
    <w:uiPriority w:val="99"/>
    <w:semiHidden/>
    <w:rsid w:val="00036FE5"/>
    <w:pPr>
      <w:widowControl w:val="0"/>
      <w:autoSpaceDE w:val="0"/>
      <w:autoSpaceDN w:val="0"/>
      <w:adjustRightInd w:val="0"/>
    </w:pPr>
    <w:tblPr>
      <w:tblStyleRowBandSize w:val="1"/>
      <w:tblBorders>
        <w:insideH w:val="single" w:sz="18" w:space="0" w:color="FFFFFF"/>
        <w:insideV w:val="single" w:sz="18" w:space="0" w:color="FFFFFF"/>
      </w:tblBorders>
    </w:tblPr>
    <w:tblStylePr w:type="firstRow">
      <w:rPr>
        <w:rFonts w:cs="Times New Roman"/>
        <w:b/>
        <w:bCs/>
        <w:color w:val="auto"/>
        <w:shd w:val="clear" w:color="auto" w:fill="auto"/>
      </w:rPr>
      <w:tblPr/>
      <w:tcPr>
        <w:tcBorders>
          <w:tl2br w:val="none" w:sz="0" w:space="0" w:color="auto"/>
          <w:tr2bl w:val="none" w:sz="0" w:space="0" w:color="auto"/>
        </w:tcBorders>
        <w:shd w:val="pct20" w:color="000000" w:fill="FFFFFF"/>
      </w:tcPr>
    </w:tblStylePr>
    <w:tblStylePr w:type="band1Horz">
      <w:rPr>
        <w:rFonts w:cs="Times New Roman"/>
        <w:color w:val="auto"/>
        <w:shd w:val="clear" w:color="auto" w:fill="auto"/>
      </w:rPr>
      <w:tblPr/>
      <w:tcPr>
        <w:tcBorders>
          <w:tl2br w:val="none" w:sz="0" w:space="0" w:color="auto"/>
          <w:tr2bl w:val="none" w:sz="0" w:space="0" w:color="auto"/>
        </w:tcBorders>
        <w:shd w:val="pct5" w:color="000000" w:fill="FFFFFF"/>
      </w:tcPr>
    </w:tblStylePr>
    <w:tblStylePr w:type="band2Horz">
      <w:rPr>
        <w:rFonts w:cs="Times New Roman"/>
        <w:color w:val="auto"/>
        <w:shd w:val="clear" w:color="auto" w:fil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36FE5"/>
    <w:pPr>
      <w:widowControl w:val="0"/>
      <w:autoSpaceDE w:val="0"/>
      <w:autoSpaceDN w:val="0"/>
      <w:adjustRightInd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shd w:val="clear" w:color="auto" w:fil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36FE5"/>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shd w:val="clear" w:color="auto" w:fill="auto"/>
      </w:rPr>
      <w:tblPr/>
      <w:tcPr>
        <w:tcBorders>
          <w:tl2br w:val="none" w:sz="0" w:space="0" w:color="auto"/>
          <w:tr2bl w:val="none" w:sz="0" w:space="0" w:color="auto"/>
        </w:tcBorders>
      </w:tcPr>
    </w:tblStylePr>
    <w:tblStylePr w:type="lastCol">
      <w:rPr>
        <w:rFonts w:cs="Times New Roman"/>
        <w:i/>
        <w:iCs/>
        <w:shd w:val="clear" w:color="auto" w:fill="auto"/>
      </w:rPr>
      <w:tblPr/>
      <w:tcPr>
        <w:tcBorders>
          <w:tl2br w:val="none" w:sz="0" w:space="0" w:color="auto"/>
          <w:tr2bl w:val="none" w:sz="0" w:space="0" w:color="auto"/>
        </w:tcBorders>
      </w:tcPr>
    </w:tblStylePr>
  </w:style>
  <w:style w:type="table" w:styleId="TableGrid2">
    <w:name w:val="Table Grid 2"/>
    <w:basedOn w:val="TableNormal"/>
    <w:uiPriority w:val="99"/>
    <w:semiHidden/>
    <w:rsid w:val="00036FE5"/>
    <w:pPr>
      <w:widowControl w:val="0"/>
      <w:autoSpaceDE w:val="0"/>
      <w:autoSpaceDN w:val="0"/>
      <w:adjustRightInd w:val="0"/>
    </w:pPr>
    <w:tblPr>
      <w:tblBorders>
        <w:insideH w:val="single" w:sz="6" w:space="0" w:color="000000"/>
        <w:insideV w:val="single" w:sz="6" w:space="0" w:color="000000"/>
      </w:tblBorders>
    </w:tblPr>
    <w:tblStylePr w:type="firstRow">
      <w:rPr>
        <w:rFonts w:cs="Times New Roman"/>
        <w:b/>
        <w:bCs/>
        <w:shd w:val="clear" w:color="auto" w:fill="auto"/>
      </w:rPr>
      <w:tblPr/>
      <w:tcPr>
        <w:tcBorders>
          <w:tl2br w:val="none" w:sz="0" w:space="0" w:color="auto"/>
          <w:tr2bl w:val="none" w:sz="0" w:space="0" w:color="auto"/>
        </w:tcBorders>
      </w:tcPr>
    </w:tblStylePr>
    <w:tblStylePr w:type="lastRow">
      <w:rPr>
        <w:rFonts w:cs="Times New Roman"/>
        <w:b/>
        <w:bCs/>
        <w:shd w:val="clear" w:color="auto" w:fill="auto"/>
      </w:rPr>
      <w:tblPr/>
      <w:tcPr>
        <w:tcBorders>
          <w:top w:val="single" w:sz="6" w:space="0" w:color="000000"/>
          <w:tl2br w:val="none" w:sz="0" w:space="0" w:color="auto"/>
          <w:tr2bl w:val="none" w:sz="0" w:space="0" w:color="auto"/>
        </w:tcBorders>
      </w:tcPr>
    </w:tblStylePr>
    <w:tblStylePr w:type="firstCol">
      <w:rPr>
        <w:rFonts w:cs="Times New Roman"/>
        <w:b/>
        <w:bCs/>
        <w:shd w:val="clear" w:color="auto" w:fill="auto"/>
      </w:rPr>
      <w:tblPr/>
      <w:tcPr>
        <w:tcBorders>
          <w:tl2br w:val="none" w:sz="0" w:space="0" w:color="auto"/>
          <w:tr2bl w:val="none" w:sz="0" w:space="0" w:color="auto"/>
        </w:tcBorders>
      </w:tcPr>
    </w:tblStylePr>
    <w:tblStylePr w:type="lastCol">
      <w:rPr>
        <w:rFonts w:cs="Times New Roman"/>
        <w:b/>
        <w:bCs/>
        <w:shd w:val="clear" w:color="auto" w:fill="auto"/>
      </w:rPr>
      <w:tblPr/>
      <w:tcPr>
        <w:tcBorders>
          <w:tl2br w:val="none" w:sz="0" w:space="0" w:color="auto"/>
          <w:tr2bl w:val="none" w:sz="0" w:space="0" w:color="auto"/>
        </w:tcBorders>
      </w:tcPr>
    </w:tblStylePr>
  </w:style>
  <w:style w:type="table" w:styleId="TableGrid3">
    <w:name w:val="Table Grid 3"/>
    <w:basedOn w:val="TableNormal"/>
    <w:uiPriority w:val="99"/>
    <w:semiHidden/>
    <w:rsid w:val="00036FE5"/>
    <w:pPr>
      <w:widowControl w:val="0"/>
      <w:autoSpaceDE w:val="0"/>
      <w:autoSpaceDN w:val="0"/>
      <w:adjustRightInd w:val="0"/>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shd w:val="clear" w:color="auto" w:fil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shd w:val="clear" w:color="auto" w:fill="auto"/>
      </w:rPr>
      <w:tblPr/>
      <w:tcPr>
        <w:tcBorders>
          <w:tl2br w:val="none" w:sz="0" w:space="0" w:color="auto"/>
          <w:tr2bl w:val="none" w:sz="0" w:space="0" w:color="auto"/>
        </w:tcBorders>
      </w:tcPr>
    </w:tblStylePr>
    <w:tblStylePr w:type="lastCol">
      <w:rPr>
        <w:rFonts w:cs="Times New Roman"/>
        <w:b/>
        <w:bCs/>
        <w:shd w:val="clear" w:color="auto" w:fill="auto"/>
      </w:rPr>
      <w:tblPr/>
      <w:tcPr>
        <w:tcBorders>
          <w:tl2br w:val="none" w:sz="0" w:space="0" w:color="auto"/>
          <w:tr2bl w:val="none" w:sz="0" w:space="0" w:color="auto"/>
        </w:tcBorders>
      </w:tcPr>
    </w:tblStylePr>
  </w:style>
  <w:style w:type="table" w:styleId="TableGrid4">
    <w:name w:val="Table Grid 4"/>
    <w:basedOn w:val="TableNormal"/>
    <w:uiPriority w:val="99"/>
    <w:semiHidden/>
    <w:rsid w:val="00036FE5"/>
    <w:pPr>
      <w:widowControl w:val="0"/>
      <w:autoSpaceDE w:val="0"/>
      <w:autoSpaceDN w:val="0"/>
      <w:adjustRightInd w:val="0"/>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shd w:val="clear" w:color="auto" w:fil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shd w:val="clear" w:color="auto" w:fil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shd w:val="clear" w:color="auto" w:fil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36FE5"/>
    <w:pPr>
      <w:widowControl w:val="0"/>
      <w:autoSpaceDE w:val="0"/>
      <w:autoSpaceDN w:val="0"/>
      <w:adjustRightInd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shd w:val="clear" w:color="auto" w:fill="auto"/>
      </w:rPr>
      <w:tblPr/>
      <w:tcPr>
        <w:tcBorders>
          <w:bottom w:val="single" w:sz="12" w:space="0" w:color="000000"/>
          <w:tl2br w:val="none" w:sz="0" w:space="0" w:color="auto"/>
          <w:tr2bl w:val="none" w:sz="0" w:space="0" w:color="auto"/>
        </w:tcBorders>
      </w:tcPr>
    </w:tblStylePr>
    <w:tblStylePr w:type="lastRow">
      <w:rPr>
        <w:rFonts w:cs="Times New Roman"/>
        <w:b/>
        <w:bCs/>
        <w:shd w:val="clear" w:color="auto" w:fill="auto"/>
      </w:rPr>
      <w:tblPr/>
      <w:tcPr>
        <w:tcBorders>
          <w:tl2br w:val="none" w:sz="0" w:space="0" w:color="auto"/>
          <w:tr2bl w:val="none" w:sz="0" w:space="0" w:color="auto"/>
        </w:tcBorders>
      </w:tcPr>
    </w:tblStylePr>
    <w:tblStylePr w:type="lastCol">
      <w:rPr>
        <w:rFonts w:cs="Times New Roman"/>
        <w:b/>
        <w:bCs/>
        <w:shd w:val="clear" w:color="auto" w:fill="auto"/>
      </w:rPr>
      <w:tblPr/>
      <w:tcPr>
        <w:tcBorders>
          <w:tl2br w:val="none" w:sz="0" w:space="0" w:color="auto"/>
          <w:tr2bl w:val="none" w:sz="0" w:space="0" w:color="auto"/>
        </w:tcBorders>
      </w:tcPr>
    </w:tblStylePr>
    <w:tblStylePr w:type="nwCell">
      <w:rPr>
        <w:rFonts w:cs="Times New Roman"/>
        <w:shd w:val="clear" w:color="auto" w:fill="auto"/>
      </w:rPr>
      <w:tblPr/>
      <w:tcPr>
        <w:tcBorders>
          <w:tl2br w:val="single" w:sz="6" w:space="0" w:color="000000"/>
          <w:tr2bl w:val="none" w:sz="0" w:space="0" w:color="auto"/>
        </w:tcBorders>
      </w:tcPr>
    </w:tblStylePr>
  </w:style>
  <w:style w:type="table" w:styleId="TableGrid6">
    <w:name w:val="Table Grid 6"/>
    <w:basedOn w:val="TableNormal"/>
    <w:uiPriority w:val="99"/>
    <w:semiHidden/>
    <w:rsid w:val="00036FE5"/>
    <w:pPr>
      <w:widowControl w:val="0"/>
      <w:autoSpaceDE w:val="0"/>
      <w:autoSpaceDN w:val="0"/>
      <w:adjustRightInd w:val="0"/>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shd w:val="clear" w:color="auto" w:fill="auto"/>
      </w:rPr>
      <w:tblPr/>
      <w:tcPr>
        <w:tcBorders>
          <w:bottom w:val="single" w:sz="6" w:space="0" w:color="000000"/>
          <w:tl2br w:val="none" w:sz="0" w:space="0" w:color="auto"/>
          <w:tr2bl w:val="none" w:sz="0" w:space="0" w:color="auto"/>
        </w:tcBorders>
      </w:tcPr>
    </w:tblStylePr>
    <w:tblStylePr w:type="lastRow">
      <w:rPr>
        <w:rFonts w:cs="Times New Roman"/>
        <w:color w:val="auto"/>
        <w:shd w:val="clear" w:color="auto" w:fill="auto"/>
      </w:rPr>
      <w:tblPr/>
      <w:tcPr>
        <w:tcBorders>
          <w:top w:val="single" w:sz="6" w:space="0" w:color="000000"/>
          <w:tl2br w:val="none" w:sz="0" w:space="0" w:color="auto"/>
          <w:tr2bl w:val="none" w:sz="0" w:space="0" w:color="auto"/>
        </w:tcBorders>
      </w:tcPr>
    </w:tblStylePr>
    <w:tblStylePr w:type="firstCol">
      <w:rPr>
        <w:rFonts w:cs="Times New Roman"/>
        <w:b/>
        <w:bCs/>
        <w:shd w:val="clear" w:color="auto" w:fill="auto"/>
      </w:rPr>
      <w:tblPr/>
      <w:tcPr>
        <w:tcBorders>
          <w:tl2br w:val="none" w:sz="0" w:space="0" w:color="auto"/>
          <w:tr2bl w:val="none" w:sz="0" w:space="0" w:color="auto"/>
        </w:tcBorders>
      </w:tcPr>
    </w:tblStylePr>
    <w:tblStylePr w:type="nwCell">
      <w:rPr>
        <w:rFonts w:cs="Times New Roman"/>
        <w:shd w:val="clear" w:color="auto" w:fill="auto"/>
      </w:rPr>
      <w:tblPr/>
      <w:tcPr>
        <w:tcBorders>
          <w:tl2br w:val="single" w:sz="6" w:space="0" w:color="000000"/>
          <w:tr2bl w:val="none" w:sz="0" w:space="0" w:color="auto"/>
        </w:tcBorders>
      </w:tcPr>
    </w:tblStylePr>
  </w:style>
  <w:style w:type="table" w:styleId="TableGrid7">
    <w:name w:val="Table Grid 7"/>
    <w:basedOn w:val="TableNormal"/>
    <w:uiPriority w:val="99"/>
    <w:semiHidden/>
    <w:rsid w:val="00036FE5"/>
    <w:pPr>
      <w:widowControl w:val="0"/>
      <w:autoSpaceDE w:val="0"/>
      <w:autoSpaceDN w:val="0"/>
      <w:adjustRightInd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shd w:val="clear" w:color="auto" w:fill="auto"/>
      </w:rPr>
      <w:tblPr/>
      <w:tcPr>
        <w:tcBorders>
          <w:bottom w:val="single" w:sz="12" w:space="0" w:color="000000"/>
          <w:tl2br w:val="none" w:sz="0" w:space="0" w:color="auto"/>
          <w:tr2bl w:val="none" w:sz="0" w:space="0" w:color="auto"/>
        </w:tcBorders>
      </w:tcPr>
    </w:tblStylePr>
    <w:tblStylePr w:type="lastRow">
      <w:rPr>
        <w:rFonts w:cs="Times New Roman"/>
        <w:b w:val="0"/>
        <w:bCs w:val="0"/>
        <w:shd w:val="clear" w:color="auto" w:fill="auto"/>
      </w:rPr>
      <w:tblPr/>
      <w:tcPr>
        <w:tcBorders>
          <w:top w:val="single" w:sz="6" w:space="0" w:color="000000"/>
          <w:tl2br w:val="none" w:sz="0" w:space="0" w:color="auto"/>
          <w:tr2bl w:val="none" w:sz="0" w:space="0" w:color="auto"/>
        </w:tcBorders>
      </w:tcPr>
    </w:tblStylePr>
    <w:tblStylePr w:type="firstCol">
      <w:rPr>
        <w:rFonts w:cs="Times New Roman"/>
        <w:b w:val="0"/>
        <w:bCs w:val="0"/>
        <w:shd w:val="clear" w:color="auto" w:fill="auto"/>
      </w:rPr>
      <w:tblPr/>
      <w:tcPr>
        <w:tcBorders>
          <w:tl2br w:val="none" w:sz="0" w:space="0" w:color="auto"/>
          <w:tr2bl w:val="none" w:sz="0" w:space="0" w:color="auto"/>
        </w:tcBorders>
      </w:tcPr>
    </w:tblStylePr>
    <w:tblStylePr w:type="lastCol">
      <w:rPr>
        <w:rFonts w:cs="Times New Roman"/>
        <w:b w:val="0"/>
        <w:bCs w:val="0"/>
        <w:shd w:val="clear" w:color="auto" w:fill="auto"/>
      </w:rPr>
      <w:tblPr/>
      <w:tcPr>
        <w:tcBorders>
          <w:tl2br w:val="none" w:sz="0" w:space="0" w:color="auto"/>
          <w:tr2bl w:val="none" w:sz="0" w:space="0" w:color="auto"/>
        </w:tcBorders>
      </w:tcPr>
    </w:tblStylePr>
    <w:tblStylePr w:type="nwCell">
      <w:rPr>
        <w:rFonts w:cs="Times New Roman"/>
        <w:shd w:val="clear" w:color="auto" w:fill="auto"/>
      </w:rPr>
      <w:tblPr/>
      <w:tcPr>
        <w:tcBorders>
          <w:tl2br w:val="single" w:sz="6" w:space="0" w:color="000000"/>
          <w:tr2bl w:val="none" w:sz="0" w:space="0" w:color="auto"/>
        </w:tcBorders>
      </w:tcPr>
    </w:tblStylePr>
  </w:style>
  <w:style w:type="table" w:styleId="TableGrid8">
    <w:name w:val="Table Grid 8"/>
    <w:basedOn w:val="TableNormal"/>
    <w:uiPriority w:val="99"/>
    <w:semiHidden/>
    <w:rsid w:val="00036FE5"/>
    <w:pPr>
      <w:widowControl w:val="0"/>
      <w:autoSpaceDE w:val="0"/>
      <w:autoSpaceDN w:val="0"/>
      <w:adjustRightInd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shd w:val="clear" w:color="auto" w:fill="auto"/>
      </w:rPr>
      <w:tblPr/>
      <w:tcPr>
        <w:tcBorders>
          <w:tl2br w:val="none" w:sz="0" w:space="0" w:color="auto"/>
          <w:tr2bl w:val="none" w:sz="0" w:space="0" w:color="auto"/>
        </w:tcBorders>
        <w:shd w:val="solid" w:color="000080" w:fill="FFFFFF"/>
      </w:tcPr>
    </w:tblStylePr>
    <w:tblStylePr w:type="lastRow">
      <w:rPr>
        <w:rFonts w:cs="Times New Roman"/>
        <w:b/>
        <w:bCs/>
        <w:color w:val="auto"/>
        <w:shd w:val="clear" w:color="auto" w:fill="auto"/>
      </w:rPr>
      <w:tblPr/>
      <w:tcPr>
        <w:tcBorders>
          <w:tl2br w:val="none" w:sz="0" w:space="0" w:color="auto"/>
          <w:tr2bl w:val="none" w:sz="0" w:space="0" w:color="auto"/>
        </w:tcBorders>
      </w:tcPr>
    </w:tblStylePr>
    <w:tblStylePr w:type="lastCol">
      <w:rPr>
        <w:rFonts w:cs="Times New Roman"/>
        <w:b/>
        <w:bCs/>
        <w:color w:val="auto"/>
        <w:shd w:val="clear" w:color="auto" w:fil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36FE5"/>
    <w:pPr>
      <w:widowControl w:val="0"/>
      <w:autoSpaceDE w:val="0"/>
      <w:autoSpaceDN w:val="0"/>
      <w:adjustRightInd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shd w:val="clear" w:color="auto" w:fill="auto"/>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shd w:val="clear" w:color="auto" w:fill="auto"/>
      </w:rPr>
      <w:tblPr/>
      <w:tcPr>
        <w:tcBorders>
          <w:top w:val="single" w:sz="6" w:space="0" w:color="000000"/>
          <w:tl2br w:val="none" w:sz="0" w:space="0" w:color="auto"/>
          <w:tr2bl w:val="none" w:sz="0" w:space="0" w:color="auto"/>
        </w:tcBorders>
      </w:tcPr>
    </w:tblStylePr>
    <w:tblStylePr w:type="band1Horz">
      <w:rPr>
        <w:rFonts w:cs="Times New Roman"/>
        <w:color w:val="auto"/>
        <w:shd w:val="clear" w:color="auto" w:fill="auto"/>
      </w:rPr>
      <w:tblPr/>
      <w:tcPr>
        <w:tcBorders>
          <w:tl2br w:val="none" w:sz="0" w:space="0" w:color="auto"/>
          <w:tr2bl w:val="none" w:sz="0" w:space="0" w:color="auto"/>
        </w:tcBorders>
        <w:shd w:val="solid" w:color="C0C0C0" w:fill="FFFFFF"/>
      </w:tcPr>
    </w:tblStylePr>
    <w:tblStylePr w:type="band2Horz">
      <w:rPr>
        <w:rFonts w:cs="Times New Roman"/>
        <w:color w:val="auto"/>
        <w:shd w:val="clear" w:color="auto" w:fill="auto"/>
      </w:rPr>
      <w:tblPr/>
      <w:tcPr>
        <w:tcBorders>
          <w:tl2br w:val="none" w:sz="0" w:space="0" w:color="auto"/>
          <w:tr2bl w:val="none" w:sz="0" w:space="0" w:color="auto"/>
        </w:tcBorders>
      </w:tcPr>
    </w:tblStylePr>
    <w:tblStylePr w:type="swCell">
      <w:rPr>
        <w:rFonts w:cs="Times New Roman"/>
        <w:b/>
        <w:bCs/>
        <w:shd w:val="clear" w:color="auto" w:fill="auto"/>
      </w:rPr>
      <w:tblPr/>
      <w:tcPr>
        <w:tcBorders>
          <w:tl2br w:val="none" w:sz="0" w:space="0" w:color="auto"/>
          <w:tr2bl w:val="none" w:sz="0" w:space="0" w:color="auto"/>
        </w:tcBorders>
      </w:tcPr>
    </w:tblStylePr>
  </w:style>
  <w:style w:type="table" w:styleId="TableList2">
    <w:name w:val="Table List 2"/>
    <w:basedOn w:val="TableNormal"/>
    <w:uiPriority w:val="99"/>
    <w:semiHidden/>
    <w:rsid w:val="00036FE5"/>
    <w:pPr>
      <w:widowControl w:val="0"/>
      <w:autoSpaceDE w:val="0"/>
      <w:autoSpaceDN w:val="0"/>
      <w:adjustRightInd w:val="0"/>
    </w:pPr>
    <w:tblPr>
      <w:tblStyleRowBandSize w:val="2"/>
      <w:tblBorders>
        <w:bottom w:val="single" w:sz="12" w:space="0" w:color="808080"/>
      </w:tblBorders>
    </w:tblPr>
    <w:tblStylePr w:type="firstRow">
      <w:rPr>
        <w:rFonts w:cs="Times New Roman"/>
        <w:b/>
        <w:bCs/>
        <w:color w:val="FFFFFF"/>
        <w:shd w:val="clear" w:color="auto" w:fill="auto"/>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shd w:val="clear" w:color="auto" w:fill="auto"/>
      </w:rPr>
      <w:tblPr/>
      <w:tcPr>
        <w:tcBorders>
          <w:top w:val="single" w:sz="6" w:space="0" w:color="000000"/>
          <w:tl2br w:val="none" w:sz="0" w:space="0" w:color="auto"/>
          <w:tr2bl w:val="none" w:sz="0" w:space="0" w:color="auto"/>
        </w:tcBorders>
      </w:tcPr>
    </w:tblStylePr>
    <w:tblStylePr w:type="band1Horz">
      <w:rPr>
        <w:rFonts w:cs="Times New Roman"/>
        <w:color w:val="auto"/>
        <w:shd w:val="clear" w:color="auto" w:fill="auto"/>
      </w:rPr>
      <w:tblPr/>
      <w:tcPr>
        <w:tcBorders>
          <w:tl2br w:val="none" w:sz="0" w:space="0" w:color="auto"/>
          <w:tr2bl w:val="none" w:sz="0" w:space="0" w:color="auto"/>
        </w:tcBorders>
        <w:shd w:val="pct20" w:color="00FF00" w:fill="FFFFFF"/>
      </w:tcPr>
    </w:tblStylePr>
    <w:tblStylePr w:type="band2Horz">
      <w:rPr>
        <w:rFonts w:cs="Times New Roman"/>
        <w:color w:val="auto"/>
        <w:shd w:val="clear" w:color="auto" w:fill="auto"/>
      </w:rPr>
      <w:tblPr/>
      <w:tcPr>
        <w:tcBorders>
          <w:tl2br w:val="none" w:sz="0" w:space="0" w:color="auto"/>
          <w:tr2bl w:val="none" w:sz="0" w:space="0" w:color="auto"/>
        </w:tcBorders>
      </w:tcPr>
    </w:tblStylePr>
    <w:tblStylePr w:type="swCell">
      <w:rPr>
        <w:rFonts w:cs="Times New Roman"/>
        <w:b/>
        <w:bCs/>
        <w:shd w:val="clear" w:color="auto" w:fill="auto"/>
      </w:rPr>
      <w:tblPr/>
      <w:tcPr>
        <w:tcBorders>
          <w:tl2br w:val="none" w:sz="0" w:space="0" w:color="auto"/>
          <w:tr2bl w:val="none" w:sz="0" w:space="0" w:color="auto"/>
        </w:tcBorders>
      </w:tcPr>
    </w:tblStylePr>
  </w:style>
  <w:style w:type="table" w:styleId="TableList3">
    <w:name w:val="Table List 3"/>
    <w:basedOn w:val="TableNormal"/>
    <w:uiPriority w:val="99"/>
    <w:semiHidden/>
    <w:rsid w:val="00036FE5"/>
    <w:pPr>
      <w:widowControl w:val="0"/>
      <w:autoSpaceDE w:val="0"/>
      <w:autoSpaceDN w:val="0"/>
      <w:adjustRightInd w:val="0"/>
    </w:pPr>
    <w:tblPr>
      <w:tblBorders>
        <w:top w:val="single" w:sz="12" w:space="0" w:color="000000"/>
        <w:bottom w:val="single" w:sz="12" w:space="0" w:color="000000"/>
        <w:insideH w:val="single" w:sz="6" w:space="0" w:color="000000"/>
      </w:tblBorders>
    </w:tblPr>
    <w:tblStylePr w:type="firstRow">
      <w:rPr>
        <w:rFonts w:cs="Times New Roman"/>
        <w:b/>
        <w:bCs/>
        <w:color w:val="000080"/>
        <w:shd w:val="clear" w:color="auto" w:fill="auto"/>
      </w:rPr>
      <w:tblPr/>
      <w:tcPr>
        <w:tcBorders>
          <w:bottom w:val="single" w:sz="12" w:space="0" w:color="000000"/>
          <w:tl2br w:val="none" w:sz="0" w:space="0" w:color="auto"/>
          <w:tr2bl w:val="none" w:sz="0" w:space="0" w:color="auto"/>
        </w:tcBorders>
      </w:tcPr>
    </w:tblStylePr>
    <w:tblStylePr w:type="lastRow">
      <w:rPr>
        <w:rFonts w:cs="Times New Roman"/>
        <w:shd w:val="clear" w:color="auto" w:fill="auto"/>
      </w:rPr>
      <w:tblPr/>
      <w:tcPr>
        <w:tcBorders>
          <w:top w:val="single" w:sz="12" w:space="0" w:color="000000"/>
          <w:tl2br w:val="none" w:sz="0" w:space="0" w:color="auto"/>
          <w:tr2bl w:val="none" w:sz="0" w:space="0" w:color="auto"/>
        </w:tcBorders>
      </w:tcPr>
    </w:tblStylePr>
    <w:tblStylePr w:type="swCell">
      <w:rPr>
        <w:rFonts w:cs="Times New Roman"/>
        <w:i/>
        <w:iCs/>
        <w:color w:val="000080"/>
        <w:shd w:val="clear" w:color="auto" w:fill="auto"/>
      </w:rPr>
      <w:tblPr/>
      <w:tcPr>
        <w:tcBorders>
          <w:tl2br w:val="none" w:sz="0" w:space="0" w:color="auto"/>
          <w:tr2bl w:val="none" w:sz="0" w:space="0" w:color="auto"/>
        </w:tcBorders>
      </w:tcPr>
    </w:tblStylePr>
  </w:style>
  <w:style w:type="table" w:styleId="TableList4">
    <w:name w:val="Table List 4"/>
    <w:basedOn w:val="TableNormal"/>
    <w:uiPriority w:val="99"/>
    <w:semiHidden/>
    <w:rsid w:val="00036FE5"/>
    <w:pPr>
      <w:widowControl w:val="0"/>
      <w:autoSpaceDE w:val="0"/>
      <w:autoSpaceDN w:val="0"/>
      <w:adjustRightInd w:val="0"/>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shd w:val="clear" w:color="auto" w:fill="auto"/>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36FE5"/>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shd w:val="clear" w:color="auto" w:fill="auto"/>
      </w:rPr>
      <w:tblPr/>
      <w:tcPr>
        <w:tcBorders>
          <w:bottom w:val="single" w:sz="12" w:space="0" w:color="000000"/>
          <w:tl2br w:val="none" w:sz="0" w:space="0" w:color="auto"/>
          <w:tr2bl w:val="none" w:sz="0" w:space="0" w:color="auto"/>
        </w:tcBorders>
      </w:tcPr>
    </w:tblStylePr>
    <w:tblStylePr w:type="firstCol">
      <w:rPr>
        <w:rFonts w:cs="Times New Roman"/>
        <w:b/>
        <w:bCs/>
        <w:shd w:val="clear" w:color="auto" w:fill="auto"/>
      </w:rPr>
      <w:tblPr/>
      <w:tcPr>
        <w:tcBorders>
          <w:tl2br w:val="none" w:sz="0" w:space="0" w:color="auto"/>
          <w:tr2bl w:val="none" w:sz="0" w:space="0" w:color="auto"/>
        </w:tcBorders>
      </w:tcPr>
    </w:tblStylePr>
  </w:style>
  <w:style w:type="table" w:styleId="TableList6">
    <w:name w:val="Table List 6"/>
    <w:basedOn w:val="TableNormal"/>
    <w:uiPriority w:val="99"/>
    <w:semiHidden/>
    <w:rsid w:val="00036FE5"/>
    <w:pPr>
      <w:widowControl w:val="0"/>
      <w:autoSpaceDE w:val="0"/>
      <w:autoSpaceDN w:val="0"/>
      <w:adjustRightInd w:val="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shd w:val="clear" w:color="auto" w:fill="auto"/>
      </w:rPr>
      <w:tblPr/>
      <w:tcPr>
        <w:tcBorders>
          <w:bottom w:val="single" w:sz="12" w:space="0" w:color="000000"/>
          <w:tl2br w:val="none" w:sz="0" w:space="0" w:color="auto"/>
          <w:tr2bl w:val="none" w:sz="0" w:space="0" w:color="auto"/>
        </w:tcBorders>
      </w:tcPr>
    </w:tblStylePr>
    <w:tblStylePr w:type="firstCol">
      <w:rPr>
        <w:rFonts w:cs="Times New Roman"/>
        <w:b/>
        <w:bCs/>
        <w:shd w:val="clear" w:color="auto" w:fill="auto"/>
      </w:rPr>
      <w:tblPr/>
      <w:tcPr>
        <w:tcBorders>
          <w:right w:val="single" w:sz="12" w:space="0" w:color="000000"/>
          <w:tl2br w:val="none" w:sz="0" w:space="0" w:color="auto"/>
          <w:tr2bl w:val="none" w:sz="0" w:space="0" w:color="auto"/>
        </w:tcBorders>
      </w:tcPr>
    </w:tblStylePr>
    <w:tblStylePr w:type="band1Horz">
      <w:rPr>
        <w:rFonts w:cs="Times New Roman"/>
        <w:shd w:val="clear" w:color="auto" w:fill="auto"/>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36FE5"/>
    <w:pPr>
      <w:widowControl w:val="0"/>
      <w:autoSpaceDE w:val="0"/>
      <w:autoSpaceDN w:val="0"/>
      <w:adjustRightInd w:val="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shd w:val="clear" w:color="auto" w:fill="auto"/>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shd w:val="clear" w:color="auto" w:fill="auto"/>
      </w:rPr>
      <w:tblPr/>
      <w:tcPr>
        <w:tcBorders>
          <w:top w:val="single" w:sz="12" w:space="0" w:color="008000"/>
          <w:tl2br w:val="none" w:sz="0" w:space="0" w:color="auto"/>
          <w:tr2bl w:val="none" w:sz="0" w:space="0" w:color="auto"/>
        </w:tcBorders>
      </w:tcPr>
    </w:tblStylePr>
    <w:tblStylePr w:type="firstCol">
      <w:rPr>
        <w:rFonts w:cs="Times New Roman"/>
        <w:b/>
        <w:bCs/>
        <w:shd w:val="clear" w:color="auto" w:fill="auto"/>
      </w:rPr>
      <w:tblPr/>
      <w:tcPr>
        <w:tcBorders>
          <w:tl2br w:val="none" w:sz="0" w:space="0" w:color="auto"/>
          <w:tr2bl w:val="none" w:sz="0" w:space="0" w:color="auto"/>
        </w:tcBorders>
      </w:tcPr>
    </w:tblStylePr>
    <w:tblStylePr w:type="lastCol">
      <w:rPr>
        <w:rFonts w:cs="Times New Roman"/>
        <w:b/>
        <w:bCs/>
        <w:shd w:val="clear" w:color="auto" w:fill="auto"/>
      </w:rPr>
      <w:tblPr/>
      <w:tcPr>
        <w:tcBorders>
          <w:tl2br w:val="none" w:sz="0" w:space="0" w:color="auto"/>
          <w:tr2bl w:val="none" w:sz="0" w:space="0" w:color="auto"/>
        </w:tcBorders>
      </w:tcPr>
    </w:tblStylePr>
    <w:tblStylePr w:type="band1Horz">
      <w:rPr>
        <w:rFonts w:cs="Times New Roman"/>
        <w:color w:val="auto"/>
        <w:shd w:val="clear" w:color="auto" w:fill="auto"/>
      </w:rPr>
      <w:tblPr/>
      <w:tcPr>
        <w:tcBorders>
          <w:tl2br w:val="none" w:sz="0" w:space="0" w:color="auto"/>
          <w:tr2bl w:val="none" w:sz="0" w:space="0" w:color="auto"/>
        </w:tcBorders>
        <w:shd w:val="pct20" w:color="000000" w:fill="FFFFFF"/>
      </w:tcPr>
    </w:tblStylePr>
    <w:tblStylePr w:type="band2Horz">
      <w:rPr>
        <w:rFonts w:cs="Times New Roman"/>
        <w:shd w:val="clear" w:color="auto" w:fill="auto"/>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36FE5"/>
    <w:pPr>
      <w:widowControl w:val="0"/>
      <w:autoSpaceDE w:val="0"/>
      <w:autoSpaceDN w:val="0"/>
      <w:adjustRightInd w:val="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shd w:val="clear" w:color="auto" w:fill="auto"/>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shd w:val="clear" w:color="auto" w:fill="auto"/>
      </w:rPr>
      <w:tblPr/>
      <w:tcPr>
        <w:tcBorders>
          <w:top w:val="single" w:sz="6" w:space="0" w:color="000000"/>
          <w:tl2br w:val="none" w:sz="0" w:space="0" w:color="auto"/>
          <w:tr2bl w:val="none" w:sz="0" w:space="0" w:color="auto"/>
        </w:tcBorders>
      </w:tcPr>
    </w:tblStylePr>
    <w:tblStylePr w:type="firstCol">
      <w:rPr>
        <w:rFonts w:cs="Times New Roman"/>
        <w:b/>
        <w:bCs/>
        <w:shd w:val="clear" w:color="auto" w:fill="auto"/>
      </w:rPr>
      <w:tblPr/>
      <w:tcPr>
        <w:tcBorders>
          <w:tl2br w:val="none" w:sz="0" w:space="0" w:color="auto"/>
          <w:tr2bl w:val="none" w:sz="0" w:space="0" w:color="auto"/>
        </w:tcBorders>
      </w:tcPr>
    </w:tblStylePr>
    <w:tblStylePr w:type="lastCol">
      <w:rPr>
        <w:rFonts w:cs="Times New Roman"/>
        <w:b/>
        <w:bCs/>
        <w:shd w:val="clear" w:color="auto" w:fill="auto"/>
      </w:rPr>
      <w:tblPr/>
      <w:tcPr>
        <w:tcBorders>
          <w:tl2br w:val="none" w:sz="0" w:space="0" w:color="auto"/>
          <w:tr2bl w:val="none" w:sz="0" w:space="0" w:color="auto"/>
        </w:tcBorders>
      </w:tcPr>
    </w:tblStylePr>
    <w:tblStylePr w:type="band1Horz">
      <w:rPr>
        <w:rFonts w:cs="Times New Roman"/>
        <w:color w:val="auto"/>
        <w:shd w:val="clear" w:color="auto" w:fill="auto"/>
      </w:rPr>
      <w:tblPr/>
      <w:tcPr>
        <w:tcBorders>
          <w:tl2br w:val="none" w:sz="0" w:space="0" w:color="auto"/>
          <w:tr2bl w:val="none" w:sz="0" w:space="0" w:color="auto"/>
        </w:tcBorders>
        <w:shd w:val="pct25" w:color="FFFF00" w:fill="FFFFFF"/>
      </w:tcPr>
    </w:tblStylePr>
    <w:tblStylePr w:type="band2Horz">
      <w:rPr>
        <w:rFonts w:cs="Times New Roman"/>
        <w:shd w:val="clear" w:color="auto" w:fill="auto"/>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036FE5"/>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shd w:val="clear" w:color="auto" w:fil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36FE5"/>
    <w:pPr>
      <w:widowControl w:val="0"/>
      <w:autoSpaceDE w:val="0"/>
      <w:autoSpaceDN w:val="0"/>
      <w:adjustRightInd w:val="0"/>
    </w:pPr>
    <w:tblPr>
      <w:tblBorders>
        <w:top w:val="single" w:sz="12" w:space="0" w:color="008000"/>
        <w:bottom w:val="single" w:sz="12" w:space="0" w:color="008000"/>
      </w:tblBorders>
    </w:tblPr>
    <w:tblStylePr w:type="firstRow">
      <w:rPr>
        <w:rFonts w:cs="Times New Roman"/>
        <w:shd w:val="clear" w:color="auto" w:fill="auto"/>
      </w:rPr>
      <w:tblPr/>
      <w:tcPr>
        <w:tcBorders>
          <w:bottom w:val="single" w:sz="6" w:space="0" w:color="008000"/>
          <w:tl2br w:val="none" w:sz="0" w:space="0" w:color="auto"/>
          <w:tr2bl w:val="none" w:sz="0" w:space="0" w:color="auto"/>
        </w:tcBorders>
      </w:tcPr>
    </w:tblStylePr>
    <w:tblStylePr w:type="lastRow">
      <w:rPr>
        <w:rFonts w:cs="Times New Roman"/>
        <w:shd w:val="clear" w:color="auto" w:fill="auto"/>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36FE5"/>
    <w:pPr>
      <w:widowControl w:val="0"/>
      <w:autoSpaceDE w:val="0"/>
      <w:autoSpaceDN w:val="0"/>
      <w:adjustRightInd w:val="0"/>
    </w:pPr>
    <w:tblPr/>
    <w:tblStylePr w:type="firstRow">
      <w:rPr>
        <w:rFonts w:cs="Times New Roman"/>
        <w:b/>
        <w:bCs/>
        <w:shd w:val="clear" w:color="auto" w:fill="auto"/>
      </w:rPr>
      <w:tblPr/>
      <w:tcPr>
        <w:tcBorders>
          <w:bottom w:val="single" w:sz="12" w:space="0" w:color="000000"/>
          <w:tl2br w:val="none" w:sz="0" w:space="0" w:color="auto"/>
          <w:tr2bl w:val="none" w:sz="0" w:space="0" w:color="auto"/>
        </w:tcBorders>
      </w:tcPr>
    </w:tblStylePr>
    <w:tblStylePr w:type="lastRow">
      <w:rPr>
        <w:rFonts w:cs="Times New Roman"/>
        <w:b/>
        <w:bCs/>
        <w:color w:val="auto"/>
        <w:shd w:val="clear" w:color="auto" w:fill="auto"/>
      </w:rPr>
      <w:tblPr/>
      <w:tcPr>
        <w:tcBorders>
          <w:top w:val="single" w:sz="6" w:space="0" w:color="000000"/>
          <w:tl2br w:val="none" w:sz="0" w:space="0" w:color="auto"/>
          <w:tr2bl w:val="none" w:sz="0" w:space="0" w:color="auto"/>
        </w:tcBorders>
      </w:tcPr>
    </w:tblStylePr>
    <w:tblStylePr w:type="firstCol">
      <w:rPr>
        <w:rFonts w:cs="Times New Roman"/>
        <w:b/>
        <w:bCs/>
        <w:shd w:val="clear" w:color="auto" w:fill="auto"/>
      </w:rPr>
      <w:tblPr/>
      <w:tcPr>
        <w:tcBorders>
          <w:right w:val="single" w:sz="12" w:space="0" w:color="000000"/>
          <w:tl2br w:val="none" w:sz="0" w:space="0" w:color="auto"/>
          <w:tr2bl w:val="none" w:sz="0" w:space="0" w:color="auto"/>
        </w:tcBorders>
      </w:tcPr>
    </w:tblStylePr>
    <w:tblStylePr w:type="lastCol">
      <w:rPr>
        <w:rFonts w:cs="Times New Roman"/>
        <w:b/>
        <w:bCs/>
        <w:shd w:val="clear" w:color="auto" w:fill="auto"/>
      </w:rPr>
      <w:tblPr/>
      <w:tcPr>
        <w:tcBorders>
          <w:left w:val="single" w:sz="6" w:space="0" w:color="000000"/>
          <w:tl2br w:val="none" w:sz="0" w:space="0" w:color="auto"/>
          <w:tr2bl w:val="none" w:sz="0" w:space="0" w:color="auto"/>
        </w:tcBorders>
      </w:tcPr>
    </w:tblStylePr>
    <w:tblStylePr w:type="neCell">
      <w:rPr>
        <w:rFonts w:cs="Times New Roman"/>
        <w:b/>
        <w:bCs/>
        <w:shd w:val="clear" w:color="auto" w:fill="auto"/>
      </w:rPr>
      <w:tblPr/>
      <w:tcPr>
        <w:tcBorders>
          <w:left w:val="none" w:sz="0" w:space="0" w:color="auto"/>
          <w:tl2br w:val="none" w:sz="0" w:space="0" w:color="auto"/>
          <w:tr2bl w:val="none" w:sz="0" w:space="0" w:color="auto"/>
        </w:tcBorders>
      </w:tcPr>
    </w:tblStylePr>
    <w:tblStylePr w:type="swCell">
      <w:rPr>
        <w:rFonts w:cs="Times New Roman"/>
        <w:b/>
        <w:bCs/>
        <w:shd w:val="clear" w:color="auto" w:fill="auto"/>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36FE5"/>
    <w:pPr>
      <w:widowControl w:val="0"/>
      <w:autoSpaceDE w:val="0"/>
      <w:autoSpaceDN w:val="0"/>
      <w:adjustRightInd w:val="0"/>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shd w:val="clear" w:color="auto" w:fil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36FE5"/>
    <w:pPr>
      <w:widowControl w:val="0"/>
      <w:autoSpaceDE w:val="0"/>
      <w:autoSpaceDN w:val="0"/>
      <w:adjustRightInd w:val="0"/>
    </w:pPr>
    <w:tblPr>
      <w:tblStyleRowBandSize w:val="1"/>
    </w:tblPr>
    <w:tblStylePr w:type="firstRow">
      <w:rPr>
        <w:rFonts w:cs="Times New Roman"/>
        <w:shd w:val="clear" w:color="auto" w:fill="auto"/>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shd w:val="clear" w:color="auto" w:fill="auto"/>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shd w:val="clear" w:color="auto" w:fill="auto"/>
      </w:rPr>
      <w:tblPr/>
      <w:tcPr>
        <w:tcBorders>
          <w:right w:val="single" w:sz="12" w:space="0" w:color="000000"/>
          <w:tl2br w:val="none" w:sz="0" w:space="0" w:color="auto"/>
          <w:tr2bl w:val="none" w:sz="0" w:space="0" w:color="auto"/>
        </w:tcBorders>
      </w:tcPr>
    </w:tblStylePr>
    <w:tblStylePr w:type="lastCol">
      <w:rPr>
        <w:rFonts w:cs="Times New Roman"/>
        <w:shd w:val="clear" w:color="auto" w:fill="auto"/>
      </w:rPr>
      <w:tblPr/>
      <w:tcPr>
        <w:tcBorders>
          <w:left w:val="single" w:sz="12" w:space="0" w:color="000000"/>
          <w:tl2br w:val="none" w:sz="0" w:space="0" w:color="auto"/>
          <w:tr2bl w:val="none" w:sz="0" w:space="0" w:color="auto"/>
        </w:tcBorders>
      </w:tcPr>
    </w:tblStylePr>
    <w:tblStylePr w:type="band1Horz">
      <w:rPr>
        <w:rFonts w:cs="Times New Roman"/>
        <w:shd w:val="clear" w:color="auto" w:fill="auto"/>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shd w:val="clear" w:color="auto" w:fill="auto"/>
      </w:rPr>
      <w:tblPr/>
      <w:tcPr>
        <w:tcBorders>
          <w:tl2br w:val="none" w:sz="0" w:space="0" w:color="auto"/>
          <w:tr2bl w:val="none" w:sz="0" w:space="0" w:color="auto"/>
        </w:tcBorders>
      </w:tcPr>
    </w:tblStylePr>
    <w:tblStylePr w:type="swCell">
      <w:rPr>
        <w:rFonts w:cs="Times New Roman"/>
        <w:b/>
        <w:bCs/>
        <w:shd w:val="clear" w:color="auto" w:fill="auto"/>
      </w:rPr>
      <w:tblPr/>
      <w:tcPr>
        <w:tcBorders>
          <w:tl2br w:val="none" w:sz="0" w:space="0" w:color="auto"/>
          <w:tr2bl w:val="none" w:sz="0" w:space="0" w:color="auto"/>
        </w:tcBorders>
      </w:tcPr>
    </w:tblStylePr>
  </w:style>
  <w:style w:type="table" w:styleId="TableSubtle2">
    <w:name w:val="Table Subtle 2"/>
    <w:basedOn w:val="TableNormal"/>
    <w:uiPriority w:val="99"/>
    <w:semiHidden/>
    <w:rsid w:val="00036FE5"/>
    <w:pPr>
      <w:widowControl w:val="0"/>
      <w:autoSpaceDE w:val="0"/>
      <w:autoSpaceDN w:val="0"/>
      <w:adjustRightInd w:val="0"/>
    </w:pPr>
    <w:tblPr>
      <w:tblBorders>
        <w:left w:val="single" w:sz="6" w:space="0" w:color="000000"/>
        <w:right w:val="single" w:sz="6" w:space="0" w:color="000000"/>
      </w:tblBorders>
    </w:tblPr>
    <w:tblStylePr w:type="firstRow">
      <w:rPr>
        <w:rFonts w:cs="Times New Roman"/>
        <w:shd w:val="clear" w:color="auto" w:fill="auto"/>
      </w:rPr>
      <w:tblPr/>
      <w:tcPr>
        <w:tcBorders>
          <w:bottom w:val="single" w:sz="12" w:space="0" w:color="000000"/>
          <w:tl2br w:val="none" w:sz="0" w:space="0" w:color="auto"/>
          <w:tr2bl w:val="none" w:sz="0" w:space="0" w:color="auto"/>
        </w:tcBorders>
      </w:tcPr>
    </w:tblStylePr>
    <w:tblStylePr w:type="lastRow">
      <w:rPr>
        <w:rFonts w:cs="Times New Roman"/>
        <w:shd w:val="clear" w:color="auto" w:fill="auto"/>
      </w:rPr>
      <w:tblPr/>
      <w:tcPr>
        <w:tcBorders>
          <w:top w:val="single" w:sz="12" w:space="0" w:color="000000"/>
          <w:tl2br w:val="none" w:sz="0" w:space="0" w:color="auto"/>
          <w:tr2bl w:val="none" w:sz="0" w:space="0" w:color="auto"/>
        </w:tcBorders>
      </w:tcPr>
    </w:tblStylePr>
    <w:tblStylePr w:type="firstCol">
      <w:rPr>
        <w:rFonts w:cs="Times New Roman"/>
        <w:shd w:val="clear" w:color="auto" w:fill="auto"/>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shd w:val="clear" w:color="auto" w:fill="auto"/>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shd w:val="clear" w:color="auto" w:fill="auto"/>
      </w:rPr>
      <w:tblPr/>
      <w:tcPr>
        <w:tcBorders>
          <w:tl2br w:val="none" w:sz="0" w:space="0" w:color="auto"/>
          <w:tr2bl w:val="none" w:sz="0" w:space="0" w:color="auto"/>
        </w:tcBorders>
      </w:tcPr>
    </w:tblStylePr>
    <w:tblStylePr w:type="swCell">
      <w:rPr>
        <w:rFonts w:cs="Times New Roman"/>
        <w:b/>
        <w:bCs/>
        <w:shd w:val="clear" w:color="auto" w:fill="auto"/>
      </w:rPr>
      <w:tblPr/>
      <w:tcPr>
        <w:tcBorders>
          <w:tl2br w:val="none" w:sz="0" w:space="0" w:color="auto"/>
          <w:tr2bl w:val="none" w:sz="0" w:space="0" w:color="auto"/>
        </w:tcBorders>
      </w:tcPr>
    </w:tblStylePr>
  </w:style>
  <w:style w:type="table" w:styleId="TableTheme">
    <w:name w:val="Table Theme"/>
    <w:basedOn w:val="TableNormal"/>
    <w:uiPriority w:val="99"/>
    <w:semiHidden/>
    <w:rsid w:val="00036FE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36FE5"/>
    <w:pPr>
      <w:widowControl w:val="0"/>
      <w:autoSpaceDE w:val="0"/>
      <w:autoSpaceDN w:val="0"/>
      <w:adjustRightInd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shd w:val="clear" w:color="auto" w:fill="auto"/>
      </w:rPr>
      <w:tblPr/>
      <w:tcPr>
        <w:tcBorders>
          <w:tl2br w:val="none" w:sz="0" w:space="0" w:color="auto"/>
          <w:tr2bl w:val="none" w:sz="0" w:space="0" w:color="auto"/>
        </w:tcBorders>
      </w:tcPr>
    </w:tblStylePr>
  </w:style>
  <w:style w:type="table" w:styleId="TableWeb2">
    <w:name w:val="Table Web 2"/>
    <w:basedOn w:val="TableNormal"/>
    <w:uiPriority w:val="99"/>
    <w:semiHidden/>
    <w:rsid w:val="00036FE5"/>
    <w:pPr>
      <w:widowControl w:val="0"/>
      <w:autoSpaceDE w:val="0"/>
      <w:autoSpaceDN w:val="0"/>
      <w:adjustRightInd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shd w:val="clear" w:color="auto" w:fill="auto"/>
      </w:rPr>
      <w:tblPr/>
      <w:tcPr>
        <w:tcBorders>
          <w:tl2br w:val="none" w:sz="0" w:space="0" w:color="auto"/>
          <w:tr2bl w:val="none" w:sz="0" w:space="0" w:color="auto"/>
        </w:tcBorders>
      </w:tcPr>
    </w:tblStylePr>
  </w:style>
  <w:style w:type="table" w:styleId="TableWeb3">
    <w:name w:val="Table Web 3"/>
    <w:basedOn w:val="TableNormal"/>
    <w:uiPriority w:val="99"/>
    <w:semiHidden/>
    <w:rsid w:val="00036FE5"/>
    <w:pPr>
      <w:widowControl w:val="0"/>
      <w:autoSpaceDE w:val="0"/>
      <w:autoSpaceDN w:val="0"/>
      <w:adjustRightInd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shd w:val="clear" w:color="auto" w:fil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036FE5"/>
    <w:pPr>
      <w:widowControl w:val="0"/>
      <w:autoSpaceDE w:val="0"/>
      <w:autoSpaceDN w:val="0"/>
      <w:adjustRightInd w:val="0"/>
      <w:spacing w:before="240" w:after="60"/>
      <w:jc w:val="center"/>
      <w:outlineLvl w:val="0"/>
    </w:pPr>
    <w:rPr>
      <w:rFonts w:ascii="Calibri" w:hAnsi="Calibri"/>
      <w:b/>
      <w:bCs/>
      <w:kern w:val="28"/>
      <w:sz w:val="32"/>
      <w:szCs w:val="32"/>
      <w:lang w:val="x-none" w:eastAsia="x-none"/>
    </w:rPr>
  </w:style>
  <w:style w:type="character" w:customStyle="1" w:styleId="TitleChar">
    <w:name w:val="Title Char"/>
    <w:link w:val="Title"/>
    <w:uiPriority w:val="10"/>
    <w:rsid w:val="0025721B"/>
    <w:rPr>
      <w:rFonts w:ascii="Calibri" w:eastAsia="Times New Roman" w:hAnsi="Calibri" w:cs="Times New Roman"/>
      <w:b/>
      <w:bCs/>
      <w:kern w:val="28"/>
      <w:sz w:val="32"/>
      <w:szCs w:val="32"/>
    </w:rPr>
  </w:style>
  <w:style w:type="paragraph" w:styleId="TOC3">
    <w:name w:val="toc 3"/>
    <w:basedOn w:val="Normal"/>
    <w:next w:val="Normal"/>
    <w:uiPriority w:val="99"/>
    <w:semiHidden/>
    <w:rsid w:val="00624723"/>
    <w:pPr>
      <w:widowControl w:val="0"/>
      <w:autoSpaceDE w:val="0"/>
      <w:autoSpaceDN w:val="0"/>
      <w:adjustRightInd w:val="0"/>
      <w:ind w:left="480"/>
    </w:pPr>
    <w:rPr>
      <w:szCs w:val="20"/>
    </w:rPr>
  </w:style>
  <w:style w:type="paragraph" w:styleId="TOC4">
    <w:name w:val="toc 4"/>
    <w:basedOn w:val="Normal"/>
    <w:next w:val="Normal"/>
    <w:autoRedefine/>
    <w:uiPriority w:val="99"/>
    <w:semiHidden/>
    <w:rsid w:val="00036FE5"/>
    <w:pPr>
      <w:widowControl w:val="0"/>
      <w:autoSpaceDE w:val="0"/>
      <w:autoSpaceDN w:val="0"/>
      <w:adjustRightInd w:val="0"/>
      <w:ind w:left="720"/>
    </w:pPr>
    <w:rPr>
      <w:sz w:val="20"/>
      <w:szCs w:val="20"/>
    </w:rPr>
  </w:style>
  <w:style w:type="paragraph" w:styleId="TOC5">
    <w:name w:val="toc 5"/>
    <w:basedOn w:val="Normal"/>
    <w:next w:val="Normal"/>
    <w:autoRedefine/>
    <w:uiPriority w:val="99"/>
    <w:semiHidden/>
    <w:rsid w:val="00036FE5"/>
    <w:pPr>
      <w:widowControl w:val="0"/>
      <w:autoSpaceDE w:val="0"/>
      <w:autoSpaceDN w:val="0"/>
      <w:adjustRightInd w:val="0"/>
      <w:ind w:left="960"/>
    </w:pPr>
    <w:rPr>
      <w:sz w:val="20"/>
      <w:szCs w:val="20"/>
    </w:rPr>
  </w:style>
  <w:style w:type="paragraph" w:styleId="TOC6">
    <w:name w:val="toc 6"/>
    <w:basedOn w:val="Normal"/>
    <w:next w:val="Normal"/>
    <w:autoRedefine/>
    <w:uiPriority w:val="99"/>
    <w:semiHidden/>
    <w:rsid w:val="00036FE5"/>
    <w:pPr>
      <w:widowControl w:val="0"/>
      <w:autoSpaceDE w:val="0"/>
      <w:autoSpaceDN w:val="0"/>
      <w:adjustRightInd w:val="0"/>
      <w:ind w:left="1200"/>
    </w:pPr>
    <w:rPr>
      <w:sz w:val="20"/>
      <w:szCs w:val="20"/>
    </w:rPr>
  </w:style>
  <w:style w:type="paragraph" w:styleId="TOC7">
    <w:name w:val="toc 7"/>
    <w:basedOn w:val="Normal"/>
    <w:next w:val="Normal"/>
    <w:autoRedefine/>
    <w:uiPriority w:val="99"/>
    <w:semiHidden/>
    <w:rsid w:val="00036FE5"/>
    <w:pPr>
      <w:widowControl w:val="0"/>
      <w:autoSpaceDE w:val="0"/>
      <w:autoSpaceDN w:val="0"/>
      <w:adjustRightInd w:val="0"/>
      <w:ind w:left="1440"/>
    </w:pPr>
    <w:rPr>
      <w:sz w:val="20"/>
      <w:szCs w:val="20"/>
    </w:rPr>
  </w:style>
  <w:style w:type="paragraph" w:styleId="TOC8">
    <w:name w:val="toc 8"/>
    <w:basedOn w:val="Normal"/>
    <w:next w:val="Normal"/>
    <w:autoRedefine/>
    <w:uiPriority w:val="99"/>
    <w:semiHidden/>
    <w:rsid w:val="00036FE5"/>
    <w:pPr>
      <w:widowControl w:val="0"/>
      <w:autoSpaceDE w:val="0"/>
      <w:autoSpaceDN w:val="0"/>
      <w:adjustRightInd w:val="0"/>
      <w:ind w:left="1680"/>
    </w:pPr>
    <w:rPr>
      <w:sz w:val="20"/>
      <w:szCs w:val="20"/>
    </w:rPr>
  </w:style>
  <w:style w:type="paragraph" w:styleId="TOC9">
    <w:name w:val="toc 9"/>
    <w:basedOn w:val="Normal"/>
    <w:next w:val="Normal"/>
    <w:autoRedefine/>
    <w:uiPriority w:val="99"/>
    <w:semiHidden/>
    <w:rsid w:val="00036FE5"/>
    <w:pPr>
      <w:widowControl w:val="0"/>
      <w:autoSpaceDE w:val="0"/>
      <w:autoSpaceDN w:val="0"/>
      <w:adjustRightInd w:val="0"/>
      <w:ind w:left="1920"/>
    </w:pPr>
    <w:rPr>
      <w:sz w:val="20"/>
      <w:szCs w:val="20"/>
    </w:rPr>
  </w:style>
  <w:style w:type="paragraph" w:customStyle="1" w:styleId="CM14">
    <w:name w:val="CM14"/>
    <w:basedOn w:val="Normal"/>
    <w:next w:val="Normal"/>
    <w:uiPriority w:val="99"/>
    <w:rsid w:val="00036FE5"/>
    <w:pPr>
      <w:autoSpaceDE w:val="0"/>
      <w:autoSpaceDN w:val="0"/>
      <w:adjustRightInd w:val="0"/>
      <w:spacing w:after="90"/>
    </w:pPr>
    <w:rPr>
      <w:rFonts w:ascii="AMLOJ J+ Melior" w:hAnsi="AMLOJ J+ Melior"/>
    </w:rPr>
  </w:style>
  <w:style w:type="paragraph" w:styleId="TableofFigures">
    <w:name w:val="table of figures"/>
    <w:basedOn w:val="Normal"/>
    <w:next w:val="Normal"/>
    <w:uiPriority w:val="99"/>
    <w:semiHidden/>
    <w:rsid w:val="00036FE5"/>
    <w:pPr>
      <w:widowControl w:val="0"/>
      <w:autoSpaceDE w:val="0"/>
      <w:autoSpaceDN w:val="0"/>
      <w:adjustRightInd w:val="0"/>
    </w:pPr>
  </w:style>
  <w:style w:type="paragraph" w:customStyle="1" w:styleId="Table">
    <w:name w:val="Table"/>
    <w:basedOn w:val="Normal"/>
    <w:uiPriority w:val="99"/>
    <w:rsid w:val="00036FE5"/>
    <w:pPr>
      <w:numPr>
        <w:ilvl w:val="12"/>
      </w:numPr>
      <w:autoSpaceDE w:val="0"/>
      <w:autoSpaceDN w:val="0"/>
      <w:adjustRightInd w:val="0"/>
    </w:pPr>
    <w:rPr>
      <w:b/>
      <w:bCs/>
    </w:rPr>
  </w:style>
  <w:style w:type="paragraph" w:customStyle="1" w:styleId="Exhibit">
    <w:name w:val="Exhibit"/>
    <w:basedOn w:val="Normal"/>
    <w:uiPriority w:val="99"/>
    <w:rsid w:val="00036FE5"/>
    <w:pPr>
      <w:widowControl w:val="0"/>
      <w:autoSpaceDE w:val="0"/>
      <w:autoSpaceDN w:val="0"/>
      <w:adjustRightInd w:val="0"/>
    </w:pPr>
    <w:rPr>
      <w:b/>
    </w:rPr>
  </w:style>
  <w:style w:type="character" w:customStyle="1" w:styleId="ExhibitChar">
    <w:name w:val="Exhibit Char"/>
    <w:uiPriority w:val="99"/>
    <w:rsid w:val="00036FE5"/>
    <w:rPr>
      <w:rFonts w:cs="Times New Roman"/>
      <w:b/>
      <w:sz w:val="24"/>
      <w:lang w:val="en-US" w:eastAsia="en-US"/>
    </w:rPr>
  </w:style>
  <w:style w:type="paragraph" w:customStyle="1" w:styleId="Subhead1">
    <w:name w:val="Subhead 1"/>
    <w:basedOn w:val="Normal"/>
    <w:uiPriority w:val="99"/>
    <w:semiHidden/>
    <w:rsid w:val="00036FE5"/>
    <w:pPr>
      <w:widowControl w:val="0"/>
      <w:autoSpaceDE w:val="0"/>
      <w:autoSpaceDN w:val="0"/>
      <w:adjustRightInd w:val="0"/>
      <w:spacing w:after="110"/>
      <w:ind w:left="432"/>
    </w:pPr>
    <w:rPr>
      <w:rFonts w:ascii="Shruti" w:hAnsi="Shruti" w:cs="Shruti"/>
      <w:sz w:val="22"/>
      <w:szCs w:val="22"/>
      <w:u w:val="single"/>
    </w:rPr>
  </w:style>
  <w:style w:type="paragraph" w:customStyle="1" w:styleId="4Exhibit">
    <w:name w:val="4Exhibit"/>
    <w:basedOn w:val="Normal"/>
    <w:uiPriority w:val="99"/>
    <w:rsid w:val="00036FE5"/>
    <w:pPr>
      <w:tabs>
        <w:tab w:val="right" w:pos="9360"/>
      </w:tabs>
      <w:autoSpaceDE w:val="0"/>
      <w:autoSpaceDN w:val="0"/>
      <w:adjustRightInd w:val="0"/>
    </w:pPr>
    <w:rPr>
      <w:b/>
      <w:iCs/>
    </w:rPr>
  </w:style>
  <w:style w:type="paragraph" w:customStyle="1" w:styleId="Normal12pt">
    <w:name w:val="Normal + 12 pt"/>
    <w:basedOn w:val="Normal"/>
    <w:uiPriority w:val="99"/>
    <w:rsid w:val="00036FE5"/>
    <w:pPr>
      <w:numPr>
        <w:ilvl w:val="12"/>
      </w:numPr>
      <w:tabs>
        <w:tab w:val="left" w:pos="-720"/>
        <w:tab w:val="left" w:pos="0"/>
        <w:tab w:val="left" w:pos="720"/>
        <w:tab w:val="left" w:pos="1152"/>
        <w:tab w:val="left" w:pos="1584"/>
      </w:tabs>
      <w:autoSpaceDE w:val="0"/>
      <w:autoSpaceDN w:val="0"/>
      <w:adjustRightInd w:val="0"/>
    </w:pPr>
  </w:style>
  <w:style w:type="paragraph" w:customStyle="1" w:styleId="3Header">
    <w:name w:val="3Header"/>
    <w:basedOn w:val="Normal"/>
    <w:uiPriority w:val="99"/>
    <w:rsid w:val="00036FE5"/>
    <w:pPr>
      <w:tabs>
        <w:tab w:val="left" w:pos="-720"/>
        <w:tab w:val="left" w:pos="0"/>
        <w:tab w:val="left" w:pos="720"/>
        <w:tab w:val="left" w:pos="1152"/>
        <w:tab w:val="left" w:pos="1584"/>
      </w:tabs>
      <w:autoSpaceDE w:val="0"/>
      <w:autoSpaceDN w:val="0"/>
      <w:adjustRightInd w:val="0"/>
      <w:spacing w:before="120" w:after="60"/>
      <w:ind w:left="720" w:hanging="720"/>
    </w:pPr>
    <w:rPr>
      <w:b/>
      <w:bCs/>
      <w:i/>
      <w:iCs/>
    </w:rPr>
  </w:style>
  <w:style w:type="paragraph" w:customStyle="1" w:styleId="Bullet1">
    <w:name w:val="Bullet 1"/>
    <w:basedOn w:val="Normal"/>
    <w:rsid w:val="004E40DE"/>
    <w:pPr>
      <w:keepNext/>
      <w:numPr>
        <w:numId w:val="2"/>
      </w:numPr>
      <w:spacing w:after="40"/>
    </w:pPr>
  </w:style>
  <w:style w:type="paragraph" w:customStyle="1" w:styleId="Bullet2">
    <w:name w:val="Bullet 2"/>
    <w:basedOn w:val="Normal"/>
    <w:uiPriority w:val="99"/>
    <w:rsid w:val="004D6A48"/>
    <w:pPr>
      <w:numPr>
        <w:ilvl w:val="1"/>
        <w:numId w:val="1"/>
      </w:numPr>
      <w:autoSpaceDE w:val="0"/>
      <w:autoSpaceDN w:val="0"/>
      <w:adjustRightInd w:val="0"/>
      <w:spacing w:after="40"/>
    </w:pPr>
  </w:style>
  <w:style w:type="character" w:customStyle="1" w:styleId="CharChar1">
    <w:name w:val="Char Char1"/>
    <w:uiPriority w:val="99"/>
    <w:rsid w:val="008572ED"/>
    <w:rPr>
      <w:rFonts w:cs="Times New Roman"/>
      <w:lang w:val="en-US" w:eastAsia="en-US"/>
    </w:rPr>
  </w:style>
  <w:style w:type="character" w:customStyle="1" w:styleId="CharChar25">
    <w:name w:val="Char Char25"/>
    <w:uiPriority w:val="99"/>
    <w:rsid w:val="00CD44C5"/>
    <w:rPr>
      <w:rFonts w:cs="Times New Roman"/>
      <w:lang w:val="en-US" w:eastAsia="en-US"/>
    </w:rPr>
  </w:style>
  <w:style w:type="character" w:customStyle="1" w:styleId="CharChar34">
    <w:name w:val="Char Char34"/>
    <w:uiPriority w:val="99"/>
    <w:rsid w:val="00CD44C5"/>
    <w:rPr>
      <w:rFonts w:ascii="Arial" w:hAnsi="Arial" w:cs="Arial"/>
      <w:b/>
      <w:bCs/>
      <w:kern w:val="32"/>
      <w:sz w:val="32"/>
      <w:lang w:val="en-US" w:eastAsia="en-US"/>
    </w:rPr>
  </w:style>
  <w:style w:type="character" w:customStyle="1" w:styleId="CharChar20">
    <w:name w:val="Char Char20"/>
    <w:uiPriority w:val="99"/>
    <w:rsid w:val="00CD44C5"/>
    <w:rPr>
      <w:rFonts w:cs="Times New Roman"/>
      <w:sz w:val="24"/>
      <w:lang w:val="en-US" w:eastAsia="en-US"/>
    </w:rPr>
  </w:style>
  <w:style w:type="paragraph" w:styleId="EndnoteText">
    <w:name w:val="endnote text"/>
    <w:basedOn w:val="Normal"/>
    <w:link w:val="EndnoteTextChar"/>
    <w:uiPriority w:val="99"/>
    <w:semiHidden/>
    <w:rsid w:val="0076581D"/>
    <w:rPr>
      <w:lang w:val="x-none" w:eastAsia="x-none"/>
    </w:rPr>
  </w:style>
  <w:style w:type="character" w:customStyle="1" w:styleId="EndnoteTextChar">
    <w:name w:val="Endnote Text Char"/>
    <w:link w:val="EndnoteText"/>
    <w:uiPriority w:val="99"/>
    <w:semiHidden/>
    <w:rsid w:val="0025721B"/>
    <w:rPr>
      <w:sz w:val="24"/>
      <w:szCs w:val="24"/>
    </w:rPr>
  </w:style>
  <w:style w:type="character" w:styleId="EndnoteReference">
    <w:name w:val="endnote reference"/>
    <w:uiPriority w:val="99"/>
    <w:semiHidden/>
    <w:rsid w:val="0076581D"/>
    <w:rPr>
      <w:rFonts w:cs="Times New Roman"/>
      <w:vertAlign w:val="superscript"/>
    </w:rPr>
  </w:style>
  <w:style w:type="paragraph" w:customStyle="1" w:styleId="Default">
    <w:name w:val="Default"/>
    <w:uiPriority w:val="99"/>
    <w:rsid w:val="006C1788"/>
    <w:pPr>
      <w:autoSpaceDE w:val="0"/>
      <w:autoSpaceDN w:val="0"/>
      <w:adjustRightInd w:val="0"/>
    </w:pPr>
    <w:rPr>
      <w:color w:val="000000"/>
      <w:sz w:val="24"/>
      <w:szCs w:val="24"/>
    </w:rPr>
  </w:style>
  <w:style w:type="paragraph" w:styleId="Revision">
    <w:name w:val="Revision"/>
    <w:hidden/>
    <w:uiPriority w:val="99"/>
    <w:semiHidden/>
    <w:rsid w:val="002B757E"/>
    <w:rPr>
      <w:sz w:val="24"/>
      <w:szCs w:val="24"/>
    </w:rPr>
  </w:style>
  <w:style w:type="paragraph" w:styleId="ListParagraph">
    <w:name w:val="List Paragraph"/>
    <w:basedOn w:val="Normal"/>
    <w:uiPriority w:val="34"/>
    <w:qFormat/>
    <w:rsid w:val="00B41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eader" Target="header28.xml"/><Relationship Id="rId21" Type="http://schemas.openxmlformats.org/officeDocument/2006/relationships/header" Target="header10.xml"/><Relationship Id="rId34" Type="http://schemas.openxmlformats.org/officeDocument/2006/relationships/header" Target="header23.xml"/><Relationship Id="rId42" Type="http://schemas.openxmlformats.org/officeDocument/2006/relationships/header" Target="header31.xml"/><Relationship Id="rId47" Type="http://schemas.openxmlformats.org/officeDocument/2006/relationships/header" Target="header36.xml"/><Relationship Id="rId50" Type="http://schemas.openxmlformats.org/officeDocument/2006/relationships/header" Target="header39.xml"/><Relationship Id="rId55" Type="http://schemas.openxmlformats.org/officeDocument/2006/relationships/header" Target="header44.xml"/><Relationship Id="rId63" Type="http://schemas.openxmlformats.org/officeDocument/2006/relationships/header" Target="header52.xml"/><Relationship Id="rId68" Type="http://schemas.openxmlformats.org/officeDocument/2006/relationships/header" Target="header57.xml"/><Relationship Id="rId7" Type="http://schemas.openxmlformats.org/officeDocument/2006/relationships/endnotes" Target="endnotes.xml"/><Relationship Id="rId71" Type="http://schemas.openxmlformats.org/officeDocument/2006/relationships/header" Target="header60.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18.xml"/><Relationship Id="rId11" Type="http://schemas.openxmlformats.org/officeDocument/2006/relationships/header" Target="header2.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45" Type="http://schemas.openxmlformats.org/officeDocument/2006/relationships/header" Target="header34.xml"/><Relationship Id="rId53" Type="http://schemas.openxmlformats.org/officeDocument/2006/relationships/header" Target="header42.xml"/><Relationship Id="rId58" Type="http://schemas.openxmlformats.org/officeDocument/2006/relationships/header" Target="header47.xml"/><Relationship Id="rId66" Type="http://schemas.openxmlformats.org/officeDocument/2006/relationships/header" Target="header5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49" Type="http://schemas.openxmlformats.org/officeDocument/2006/relationships/header" Target="header38.xml"/><Relationship Id="rId57" Type="http://schemas.openxmlformats.org/officeDocument/2006/relationships/header" Target="header46.xml"/><Relationship Id="rId61" Type="http://schemas.openxmlformats.org/officeDocument/2006/relationships/header" Target="header50.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20.xml"/><Relationship Id="rId44" Type="http://schemas.openxmlformats.org/officeDocument/2006/relationships/header" Target="header33.xml"/><Relationship Id="rId52" Type="http://schemas.openxmlformats.org/officeDocument/2006/relationships/header" Target="header41.xml"/><Relationship Id="rId60" Type="http://schemas.openxmlformats.org/officeDocument/2006/relationships/header" Target="header49.xml"/><Relationship Id="rId65" Type="http://schemas.openxmlformats.org/officeDocument/2006/relationships/header" Target="header54.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header" Target="header32.xml"/><Relationship Id="rId48" Type="http://schemas.openxmlformats.org/officeDocument/2006/relationships/header" Target="header37.xml"/><Relationship Id="rId56" Type="http://schemas.openxmlformats.org/officeDocument/2006/relationships/header" Target="header45.xml"/><Relationship Id="rId64" Type="http://schemas.openxmlformats.org/officeDocument/2006/relationships/header" Target="header53.xml"/><Relationship Id="rId69" Type="http://schemas.openxmlformats.org/officeDocument/2006/relationships/header" Target="header58.xml"/><Relationship Id="rId8" Type="http://schemas.openxmlformats.org/officeDocument/2006/relationships/footer" Target="footer1.xml"/><Relationship Id="rId51" Type="http://schemas.openxmlformats.org/officeDocument/2006/relationships/header" Target="header40.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7.xml"/><Relationship Id="rId46" Type="http://schemas.openxmlformats.org/officeDocument/2006/relationships/header" Target="header35.xml"/><Relationship Id="rId59" Type="http://schemas.openxmlformats.org/officeDocument/2006/relationships/header" Target="header48.xml"/><Relationship Id="rId67" Type="http://schemas.openxmlformats.org/officeDocument/2006/relationships/header" Target="header56.xml"/><Relationship Id="rId20" Type="http://schemas.openxmlformats.org/officeDocument/2006/relationships/header" Target="header9.xml"/><Relationship Id="rId41" Type="http://schemas.openxmlformats.org/officeDocument/2006/relationships/header" Target="header30.xml"/><Relationship Id="rId54" Type="http://schemas.openxmlformats.org/officeDocument/2006/relationships/header" Target="header43.xml"/><Relationship Id="rId62" Type="http://schemas.openxmlformats.org/officeDocument/2006/relationships/header" Target="header51.xml"/><Relationship Id="rId70" Type="http://schemas.openxmlformats.org/officeDocument/2006/relationships/header" Target="header59.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F0259-B9E4-44BD-B5EA-81D1F92EF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13003</Words>
  <Characters>74119</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1</vt:lpstr>
    </vt:vector>
  </TitlesOfParts>
  <Company>Tetra Tech Inc.</Company>
  <LinksUpToDate>false</LinksUpToDate>
  <CharactersWithSpaces>86949</CharactersWithSpaces>
  <SharedDoc>false</SharedDoc>
  <HLinks>
    <vt:vector size="288" baseType="variant">
      <vt:variant>
        <vt:i4>1441850</vt:i4>
      </vt:variant>
      <vt:variant>
        <vt:i4>287</vt:i4>
      </vt:variant>
      <vt:variant>
        <vt:i4>0</vt:i4>
      </vt:variant>
      <vt:variant>
        <vt:i4>5</vt:i4>
      </vt:variant>
      <vt:variant>
        <vt:lpwstr/>
      </vt:variant>
      <vt:variant>
        <vt:lpwstr>_Toc275242963</vt:lpwstr>
      </vt:variant>
      <vt:variant>
        <vt:i4>1441850</vt:i4>
      </vt:variant>
      <vt:variant>
        <vt:i4>281</vt:i4>
      </vt:variant>
      <vt:variant>
        <vt:i4>0</vt:i4>
      </vt:variant>
      <vt:variant>
        <vt:i4>5</vt:i4>
      </vt:variant>
      <vt:variant>
        <vt:lpwstr/>
      </vt:variant>
      <vt:variant>
        <vt:lpwstr>_Toc275242962</vt:lpwstr>
      </vt:variant>
      <vt:variant>
        <vt:i4>1441850</vt:i4>
      </vt:variant>
      <vt:variant>
        <vt:i4>275</vt:i4>
      </vt:variant>
      <vt:variant>
        <vt:i4>0</vt:i4>
      </vt:variant>
      <vt:variant>
        <vt:i4>5</vt:i4>
      </vt:variant>
      <vt:variant>
        <vt:lpwstr/>
      </vt:variant>
      <vt:variant>
        <vt:lpwstr>_Toc275242961</vt:lpwstr>
      </vt:variant>
      <vt:variant>
        <vt:i4>1441850</vt:i4>
      </vt:variant>
      <vt:variant>
        <vt:i4>266</vt:i4>
      </vt:variant>
      <vt:variant>
        <vt:i4>0</vt:i4>
      </vt:variant>
      <vt:variant>
        <vt:i4>5</vt:i4>
      </vt:variant>
      <vt:variant>
        <vt:lpwstr/>
      </vt:variant>
      <vt:variant>
        <vt:lpwstr>_Toc275242960</vt:lpwstr>
      </vt:variant>
      <vt:variant>
        <vt:i4>1376314</vt:i4>
      </vt:variant>
      <vt:variant>
        <vt:i4>260</vt:i4>
      </vt:variant>
      <vt:variant>
        <vt:i4>0</vt:i4>
      </vt:variant>
      <vt:variant>
        <vt:i4>5</vt:i4>
      </vt:variant>
      <vt:variant>
        <vt:lpwstr/>
      </vt:variant>
      <vt:variant>
        <vt:lpwstr>_Toc275242959</vt:lpwstr>
      </vt:variant>
      <vt:variant>
        <vt:i4>1376314</vt:i4>
      </vt:variant>
      <vt:variant>
        <vt:i4>254</vt:i4>
      </vt:variant>
      <vt:variant>
        <vt:i4>0</vt:i4>
      </vt:variant>
      <vt:variant>
        <vt:i4>5</vt:i4>
      </vt:variant>
      <vt:variant>
        <vt:lpwstr/>
      </vt:variant>
      <vt:variant>
        <vt:lpwstr>_Toc275242958</vt:lpwstr>
      </vt:variant>
      <vt:variant>
        <vt:i4>1376314</vt:i4>
      </vt:variant>
      <vt:variant>
        <vt:i4>248</vt:i4>
      </vt:variant>
      <vt:variant>
        <vt:i4>0</vt:i4>
      </vt:variant>
      <vt:variant>
        <vt:i4>5</vt:i4>
      </vt:variant>
      <vt:variant>
        <vt:lpwstr/>
      </vt:variant>
      <vt:variant>
        <vt:lpwstr>_Toc275242957</vt:lpwstr>
      </vt:variant>
      <vt:variant>
        <vt:i4>1376314</vt:i4>
      </vt:variant>
      <vt:variant>
        <vt:i4>242</vt:i4>
      </vt:variant>
      <vt:variant>
        <vt:i4>0</vt:i4>
      </vt:variant>
      <vt:variant>
        <vt:i4>5</vt:i4>
      </vt:variant>
      <vt:variant>
        <vt:lpwstr/>
      </vt:variant>
      <vt:variant>
        <vt:lpwstr>_Toc275242956</vt:lpwstr>
      </vt:variant>
      <vt:variant>
        <vt:i4>1376314</vt:i4>
      </vt:variant>
      <vt:variant>
        <vt:i4>236</vt:i4>
      </vt:variant>
      <vt:variant>
        <vt:i4>0</vt:i4>
      </vt:variant>
      <vt:variant>
        <vt:i4>5</vt:i4>
      </vt:variant>
      <vt:variant>
        <vt:lpwstr/>
      </vt:variant>
      <vt:variant>
        <vt:lpwstr>_Toc275242955</vt:lpwstr>
      </vt:variant>
      <vt:variant>
        <vt:i4>1376314</vt:i4>
      </vt:variant>
      <vt:variant>
        <vt:i4>230</vt:i4>
      </vt:variant>
      <vt:variant>
        <vt:i4>0</vt:i4>
      </vt:variant>
      <vt:variant>
        <vt:i4>5</vt:i4>
      </vt:variant>
      <vt:variant>
        <vt:lpwstr/>
      </vt:variant>
      <vt:variant>
        <vt:lpwstr>_Toc275242954</vt:lpwstr>
      </vt:variant>
      <vt:variant>
        <vt:i4>1376314</vt:i4>
      </vt:variant>
      <vt:variant>
        <vt:i4>224</vt:i4>
      </vt:variant>
      <vt:variant>
        <vt:i4>0</vt:i4>
      </vt:variant>
      <vt:variant>
        <vt:i4>5</vt:i4>
      </vt:variant>
      <vt:variant>
        <vt:lpwstr/>
      </vt:variant>
      <vt:variant>
        <vt:lpwstr>_Toc275242953</vt:lpwstr>
      </vt:variant>
      <vt:variant>
        <vt:i4>1376314</vt:i4>
      </vt:variant>
      <vt:variant>
        <vt:i4>218</vt:i4>
      </vt:variant>
      <vt:variant>
        <vt:i4>0</vt:i4>
      </vt:variant>
      <vt:variant>
        <vt:i4>5</vt:i4>
      </vt:variant>
      <vt:variant>
        <vt:lpwstr/>
      </vt:variant>
      <vt:variant>
        <vt:lpwstr>_Toc275242952</vt:lpwstr>
      </vt:variant>
      <vt:variant>
        <vt:i4>1376314</vt:i4>
      </vt:variant>
      <vt:variant>
        <vt:i4>212</vt:i4>
      </vt:variant>
      <vt:variant>
        <vt:i4>0</vt:i4>
      </vt:variant>
      <vt:variant>
        <vt:i4>5</vt:i4>
      </vt:variant>
      <vt:variant>
        <vt:lpwstr/>
      </vt:variant>
      <vt:variant>
        <vt:lpwstr>_Toc275242951</vt:lpwstr>
      </vt:variant>
      <vt:variant>
        <vt:i4>1376314</vt:i4>
      </vt:variant>
      <vt:variant>
        <vt:i4>206</vt:i4>
      </vt:variant>
      <vt:variant>
        <vt:i4>0</vt:i4>
      </vt:variant>
      <vt:variant>
        <vt:i4>5</vt:i4>
      </vt:variant>
      <vt:variant>
        <vt:lpwstr/>
      </vt:variant>
      <vt:variant>
        <vt:lpwstr>_Toc275242950</vt:lpwstr>
      </vt:variant>
      <vt:variant>
        <vt:i4>1310778</vt:i4>
      </vt:variant>
      <vt:variant>
        <vt:i4>200</vt:i4>
      </vt:variant>
      <vt:variant>
        <vt:i4>0</vt:i4>
      </vt:variant>
      <vt:variant>
        <vt:i4>5</vt:i4>
      </vt:variant>
      <vt:variant>
        <vt:lpwstr/>
      </vt:variant>
      <vt:variant>
        <vt:lpwstr>_Toc275242949</vt:lpwstr>
      </vt:variant>
      <vt:variant>
        <vt:i4>1310778</vt:i4>
      </vt:variant>
      <vt:variant>
        <vt:i4>194</vt:i4>
      </vt:variant>
      <vt:variant>
        <vt:i4>0</vt:i4>
      </vt:variant>
      <vt:variant>
        <vt:i4>5</vt:i4>
      </vt:variant>
      <vt:variant>
        <vt:lpwstr/>
      </vt:variant>
      <vt:variant>
        <vt:lpwstr>_Toc275242948</vt:lpwstr>
      </vt:variant>
      <vt:variant>
        <vt:i4>1310778</vt:i4>
      </vt:variant>
      <vt:variant>
        <vt:i4>188</vt:i4>
      </vt:variant>
      <vt:variant>
        <vt:i4>0</vt:i4>
      </vt:variant>
      <vt:variant>
        <vt:i4>5</vt:i4>
      </vt:variant>
      <vt:variant>
        <vt:lpwstr/>
      </vt:variant>
      <vt:variant>
        <vt:lpwstr>_Toc275242947</vt:lpwstr>
      </vt:variant>
      <vt:variant>
        <vt:i4>1310778</vt:i4>
      </vt:variant>
      <vt:variant>
        <vt:i4>182</vt:i4>
      </vt:variant>
      <vt:variant>
        <vt:i4>0</vt:i4>
      </vt:variant>
      <vt:variant>
        <vt:i4>5</vt:i4>
      </vt:variant>
      <vt:variant>
        <vt:lpwstr/>
      </vt:variant>
      <vt:variant>
        <vt:lpwstr>_Toc275242946</vt:lpwstr>
      </vt:variant>
      <vt:variant>
        <vt:i4>1310778</vt:i4>
      </vt:variant>
      <vt:variant>
        <vt:i4>176</vt:i4>
      </vt:variant>
      <vt:variant>
        <vt:i4>0</vt:i4>
      </vt:variant>
      <vt:variant>
        <vt:i4>5</vt:i4>
      </vt:variant>
      <vt:variant>
        <vt:lpwstr/>
      </vt:variant>
      <vt:variant>
        <vt:lpwstr>_Toc275242945</vt:lpwstr>
      </vt:variant>
      <vt:variant>
        <vt:i4>1310778</vt:i4>
      </vt:variant>
      <vt:variant>
        <vt:i4>170</vt:i4>
      </vt:variant>
      <vt:variant>
        <vt:i4>0</vt:i4>
      </vt:variant>
      <vt:variant>
        <vt:i4>5</vt:i4>
      </vt:variant>
      <vt:variant>
        <vt:lpwstr/>
      </vt:variant>
      <vt:variant>
        <vt:lpwstr>_Toc275242944</vt:lpwstr>
      </vt:variant>
      <vt:variant>
        <vt:i4>1310778</vt:i4>
      </vt:variant>
      <vt:variant>
        <vt:i4>164</vt:i4>
      </vt:variant>
      <vt:variant>
        <vt:i4>0</vt:i4>
      </vt:variant>
      <vt:variant>
        <vt:i4>5</vt:i4>
      </vt:variant>
      <vt:variant>
        <vt:lpwstr/>
      </vt:variant>
      <vt:variant>
        <vt:lpwstr>_Toc275242943</vt:lpwstr>
      </vt:variant>
      <vt:variant>
        <vt:i4>1310778</vt:i4>
      </vt:variant>
      <vt:variant>
        <vt:i4>158</vt:i4>
      </vt:variant>
      <vt:variant>
        <vt:i4>0</vt:i4>
      </vt:variant>
      <vt:variant>
        <vt:i4>5</vt:i4>
      </vt:variant>
      <vt:variant>
        <vt:lpwstr/>
      </vt:variant>
      <vt:variant>
        <vt:lpwstr>_Toc275242942</vt:lpwstr>
      </vt:variant>
      <vt:variant>
        <vt:i4>1310778</vt:i4>
      </vt:variant>
      <vt:variant>
        <vt:i4>152</vt:i4>
      </vt:variant>
      <vt:variant>
        <vt:i4>0</vt:i4>
      </vt:variant>
      <vt:variant>
        <vt:i4>5</vt:i4>
      </vt:variant>
      <vt:variant>
        <vt:lpwstr/>
      </vt:variant>
      <vt:variant>
        <vt:lpwstr>_Toc275242941</vt:lpwstr>
      </vt:variant>
      <vt:variant>
        <vt:i4>1310778</vt:i4>
      </vt:variant>
      <vt:variant>
        <vt:i4>146</vt:i4>
      </vt:variant>
      <vt:variant>
        <vt:i4>0</vt:i4>
      </vt:variant>
      <vt:variant>
        <vt:i4>5</vt:i4>
      </vt:variant>
      <vt:variant>
        <vt:lpwstr/>
      </vt:variant>
      <vt:variant>
        <vt:lpwstr>_Toc275242940</vt:lpwstr>
      </vt:variant>
      <vt:variant>
        <vt:i4>1245242</vt:i4>
      </vt:variant>
      <vt:variant>
        <vt:i4>140</vt:i4>
      </vt:variant>
      <vt:variant>
        <vt:i4>0</vt:i4>
      </vt:variant>
      <vt:variant>
        <vt:i4>5</vt:i4>
      </vt:variant>
      <vt:variant>
        <vt:lpwstr/>
      </vt:variant>
      <vt:variant>
        <vt:lpwstr>_Toc275242939</vt:lpwstr>
      </vt:variant>
      <vt:variant>
        <vt:i4>1245242</vt:i4>
      </vt:variant>
      <vt:variant>
        <vt:i4>134</vt:i4>
      </vt:variant>
      <vt:variant>
        <vt:i4>0</vt:i4>
      </vt:variant>
      <vt:variant>
        <vt:i4>5</vt:i4>
      </vt:variant>
      <vt:variant>
        <vt:lpwstr/>
      </vt:variant>
      <vt:variant>
        <vt:lpwstr>_Toc275242938</vt:lpwstr>
      </vt:variant>
      <vt:variant>
        <vt:i4>1245242</vt:i4>
      </vt:variant>
      <vt:variant>
        <vt:i4>128</vt:i4>
      </vt:variant>
      <vt:variant>
        <vt:i4>0</vt:i4>
      </vt:variant>
      <vt:variant>
        <vt:i4>5</vt:i4>
      </vt:variant>
      <vt:variant>
        <vt:lpwstr/>
      </vt:variant>
      <vt:variant>
        <vt:lpwstr>_Toc275242937</vt:lpwstr>
      </vt:variant>
      <vt:variant>
        <vt:i4>1245242</vt:i4>
      </vt:variant>
      <vt:variant>
        <vt:i4>122</vt:i4>
      </vt:variant>
      <vt:variant>
        <vt:i4>0</vt:i4>
      </vt:variant>
      <vt:variant>
        <vt:i4>5</vt:i4>
      </vt:variant>
      <vt:variant>
        <vt:lpwstr/>
      </vt:variant>
      <vt:variant>
        <vt:lpwstr>_Toc275242936</vt:lpwstr>
      </vt:variant>
      <vt:variant>
        <vt:i4>1245242</vt:i4>
      </vt:variant>
      <vt:variant>
        <vt:i4>116</vt:i4>
      </vt:variant>
      <vt:variant>
        <vt:i4>0</vt:i4>
      </vt:variant>
      <vt:variant>
        <vt:i4>5</vt:i4>
      </vt:variant>
      <vt:variant>
        <vt:lpwstr/>
      </vt:variant>
      <vt:variant>
        <vt:lpwstr>_Toc275242935</vt:lpwstr>
      </vt:variant>
      <vt:variant>
        <vt:i4>1245242</vt:i4>
      </vt:variant>
      <vt:variant>
        <vt:i4>110</vt:i4>
      </vt:variant>
      <vt:variant>
        <vt:i4>0</vt:i4>
      </vt:variant>
      <vt:variant>
        <vt:i4>5</vt:i4>
      </vt:variant>
      <vt:variant>
        <vt:lpwstr/>
      </vt:variant>
      <vt:variant>
        <vt:lpwstr>_Toc275242934</vt:lpwstr>
      </vt:variant>
      <vt:variant>
        <vt:i4>1245242</vt:i4>
      </vt:variant>
      <vt:variant>
        <vt:i4>104</vt:i4>
      </vt:variant>
      <vt:variant>
        <vt:i4>0</vt:i4>
      </vt:variant>
      <vt:variant>
        <vt:i4>5</vt:i4>
      </vt:variant>
      <vt:variant>
        <vt:lpwstr/>
      </vt:variant>
      <vt:variant>
        <vt:lpwstr>_Toc275242933</vt:lpwstr>
      </vt:variant>
      <vt:variant>
        <vt:i4>1245242</vt:i4>
      </vt:variant>
      <vt:variant>
        <vt:i4>98</vt:i4>
      </vt:variant>
      <vt:variant>
        <vt:i4>0</vt:i4>
      </vt:variant>
      <vt:variant>
        <vt:i4>5</vt:i4>
      </vt:variant>
      <vt:variant>
        <vt:lpwstr/>
      </vt:variant>
      <vt:variant>
        <vt:lpwstr>_Toc275242932</vt:lpwstr>
      </vt:variant>
      <vt:variant>
        <vt:i4>1245242</vt:i4>
      </vt:variant>
      <vt:variant>
        <vt:i4>92</vt:i4>
      </vt:variant>
      <vt:variant>
        <vt:i4>0</vt:i4>
      </vt:variant>
      <vt:variant>
        <vt:i4>5</vt:i4>
      </vt:variant>
      <vt:variant>
        <vt:lpwstr/>
      </vt:variant>
      <vt:variant>
        <vt:lpwstr>_Toc275242931</vt:lpwstr>
      </vt:variant>
      <vt:variant>
        <vt:i4>1245242</vt:i4>
      </vt:variant>
      <vt:variant>
        <vt:i4>86</vt:i4>
      </vt:variant>
      <vt:variant>
        <vt:i4>0</vt:i4>
      </vt:variant>
      <vt:variant>
        <vt:i4>5</vt:i4>
      </vt:variant>
      <vt:variant>
        <vt:lpwstr/>
      </vt:variant>
      <vt:variant>
        <vt:lpwstr>_Toc275242930</vt:lpwstr>
      </vt:variant>
      <vt:variant>
        <vt:i4>1179706</vt:i4>
      </vt:variant>
      <vt:variant>
        <vt:i4>80</vt:i4>
      </vt:variant>
      <vt:variant>
        <vt:i4>0</vt:i4>
      </vt:variant>
      <vt:variant>
        <vt:i4>5</vt:i4>
      </vt:variant>
      <vt:variant>
        <vt:lpwstr/>
      </vt:variant>
      <vt:variant>
        <vt:lpwstr>_Toc275242929</vt:lpwstr>
      </vt:variant>
      <vt:variant>
        <vt:i4>1179706</vt:i4>
      </vt:variant>
      <vt:variant>
        <vt:i4>74</vt:i4>
      </vt:variant>
      <vt:variant>
        <vt:i4>0</vt:i4>
      </vt:variant>
      <vt:variant>
        <vt:i4>5</vt:i4>
      </vt:variant>
      <vt:variant>
        <vt:lpwstr/>
      </vt:variant>
      <vt:variant>
        <vt:lpwstr>_Toc275242928</vt:lpwstr>
      </vt:variant>
      <vt:variant>
        <vt:i4>1179706</vt:i4>
      </vt:variant>
      <vt:variant>
        <vt:i4>68</vt:i4>
      </vt:variant>
      <vt:variant>
        <vt:i4>0</vt:i4>
      </vt:variant>
      <vt:variant>
        <vt:i4>5</vt:i4>
      </vt:variant>
      <vt:variant>
        <vt:lpwstr/>
      </vt:variant>
      <vt:variant>
        <vt:lpwstr>_Toc275242927</vt:lpwstr>
      </vt:variant>
      <vt:variant>
        <vt:i4>1179706</vt:i4>
      </vt:variant>
      <vt:variant>
        <vt:i4>62</vt:i4>
      </vt:variant>
      <vt:variant>
        <vt:i4>0</vt:i4>
      </vt:variant>
      <vt:variant>
        <vt:i4>5</vt:i4>
      </vt:variant>
      <vt:variant>
        <vt:lpwstr/>
      </vt:variant>
      <vt:variant>
        <vt:lpwstr>_Toc275242926</vt:lpwstr>
      </vt:variant>
      <vt:variant>
        <vt:i4>1179706</vt:i4>
      </vt:variant>
      <vt:variant>
        <vt:i4>56</vt:i4>
      </vt:variant>
      <vt:variant>
        <vt:i4>0</vt:i4>
      </vt:variant>
      <vt:variant>
        <vt:i4>5</vt:i4>
      </vt:variant>
      <vt:variant>
        <vt:lpwstr/>
      </vt:variant>
      <vt:variant>
        <vt:lpwstr>_Toc275242925</vt:lpwstr>
      </vt:variant>
      <vt:variant>
        <vt:i4>1179706</vt:i4>
      </vt:variant>
      <vt:variant>
        <vt:i4>50</vt:i4>
      </vt:variant>
      <vt:variant>
        <vt:i4>0</vt:i4>
      </vt:variant>
      <vt:variant>
        <vt:i4>5</vt:i4>
      </vt:variant>
      <vt:variant>
        <vt:lpwstr/>
      </vt:variant>
      <vt:variant>
        <vt:lpwstr>_Toc275242924</vt:lpwstr>
      </vt:variant>
      <vt:variant>
        <vt:i4>1179706</vt:i4>
      </vt:variant>
      <vt:variant>
        <vt:i4>44</vt:i4>
      </vt:variant>
      <vt:variant>
        <vt:i4>0</vt:i4>
      </vt:variant>
      <vt:variant>
        <vt:i4>5</vt:i4>
      </vt:variant>
      <vt:variant>
        <vt:lpwstr/>
      </vt:variant>
      <vt:variant>
        <vt:lpwstr>_Toc275242923</vt:lpwstr>
      </vt:variant>
      <vt:variant>
        <vt:i4>1179706</vt:i4>
      </vt:variant>
      <vt:variant>
        <vt:i4>38</vt:i4>
      </vt:variant>
      <vt:variant>
        <vt:i4>0</vt:i4>
      </vt:variant>
      <vt:variant>
        <vt:i4>5</vt:i4>
      </vt:variant>
      <vt:variant>
        <vt:lpwstr/>
      </vt:variant>
      <vt:variant>
        <vt:lpwstr>_Toc275242922</vt:lpwstr>
      </vt:variant>
      <vt:variant>
        <vt:i4>1179706</vt:i4>
      </vt:variant>
      <vt:variant>
        <vt:i4>32</vt:i4>
      </vt:variant>
      <vt:variant>
        <vt:i4>0</vt:i4>
      </vt:variant>
      <vt:variant>
        <vt:i4>5</vt:i4>
      </vt:variant>
      <vt:variant>
        <vt:lpwstr/>
      </vt:variant>
      <vt:variant>
        <vt:lpwstr>_Toc275242921</vt:lpwstr>
      </vt:variant>
      <vt:variant>
        <vt:i4>1179706</vt:i4>
      </vt:variant>
      <vt:variant>
        <vt:i4>26</vt:i4>
      </vt:variant>
      <vt:variant>
        <vt:i4>0</vt:i4>
      </vt:variant>
      <vt:variant>
        <vt:i4>5</vt:i4>
      </vt:variant>
      <vt:variant>
        <vt:lpwstr/>
      </vt:variant>
      <vt:variant>
        <vt:lpwstr>_Toc275242920</vt:lpwstr>
      </vt:variant>
      <vt:variant>
        <vt:i4>1114170</vt:i4>
      </vt:variant>
      <vt:variant>
        <vt:i4>20</vt:i4>
      </vt:variant>
      <vt:variant>
        <vt:i4>0</vt:i4>
      </vt:variant>
      <vt:variant>
        <vt:i4>5</vt:i4>
      </vt:variant>
      <vt:variant>
        <vt:lpwstr/>
      </vt:variant>
      <vt:variant>
        <vt:lpwstr>_Toc275242919</vt:lpwstr>
      </vt:variant>
      <vt:variant>
        <vt:i4>1114170</vt:i4>
      </vt:variant>
      <vt:variant>
        <vt:i4>14</vt:i4>
      </vt:variant>
      <vt:variant>
        <vt:i4>0</vt:i4>
      </vt:variant>
      <vt:variant>
        <vt:i4>5</vt:i4>
      </vt:variant>
      <vt:variant>
        <vt:lpwstr/>
      </vt:variant>
      <vt:variant>
        <vt:lpwstr>_Toc275242918</vt:lpwstr>
      </vt:variant>
      <vt:variant>
        <vt:i4>1114170</vt:i4>
      </vt:variant>
      <vt:variant>
        <vt:i4>8</vt:i4>
      </vt:variant>
      <vt:variant>
        <vt:i4>0</vt:i4>
      </vt:variant>
      <vt:variant>
        <vt:i4>5</vt:i4>
      </vt:variant>
      <vt:variant>
        <vt:lpwstr/>
      </vt:variant>
      <vt:variant>
        <vt:lpwstr>_Toc275242917</vt:lpwstr>
      </vt:variant>
      <vt:variant>
        <vt:i4>1114170</vt:i4>
      </vt:variant>
      <vt:variant>
        <vt:i4>2</vt:i4>
      </vt:variant>
      <vt:variant>
        <vt:i4>0</vt:i4>
      </vt:variant>
      <vt:variant>
        <vt:i4>5</vt:i4>
      </vt:variant>
      <vt:variant>
        <vt:lpwstr/>
      </vt:variant>
      <vt:variant>
        <vt:lpwstr>_Toc275242916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EPA</dc:creator>
  <cp:lastModifiedBy>Clark, Spencer</cp:lastModifiedBy>
  <cp:revision>2</cp:revision>
  <cp:lastPrinted>2016-02-11T16:27:00Z</cp:lastPrinted>
  <dcterms:created xsi:type="dcterms:W3CDTF">2016-03-03T16:42:00Z</dcterms:created>
  <dcterms:modified xsi:type="dcterms:W3CDTF">2016-03-03T16:42:00Z</dcterms:modified>
</cp:coreProperties>
</file>