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9C0511"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843418" w:rsidP="00843418">
      <w:pPr>
        <w:rPr>
          <w:color w:val="000000"/>
        </w:rPr>
      </w:pPr>
      <w:r>
        <w:rPr>
          <w:b/>
          <w:bCs/>
        </w:rPr>
        <w:t>NSPS for Municipal Waste Combustors</w:t>
      </w:r>
      <w:r w:rsidRPr="00236DB3">
        <w:rPr>
          <w:b/>
        </w:rPr>
        <w:t xml:space="preserve"> </w:t>
      </w:r>
      <w:r w:rsidR="002B29A5" w:rsidRPr="00236DB3">
        <w:rPr>
          <w:b/>
        </w:rPr>
        <w:t>(40 CFR</w:t>
      </w:r>
      <w:r w:rsidR="002B29A5" w:rsidRPr="00236DB3">
        <w:rPr>
          <w:b/>
          <w:color w:val="FF0000"/>
        </w:rPr>
        <w:t xml:space="preserve"> </w:t>
      </w:r>
      <w:r w:rsidR="002B29A5" w:rsidRPr="00843418">
        <w:rPr>
          <w:b/>
        </w:rPr>
        <w:t>Part 6</w:t>
      </w:r>
      <w:r w:rsidRPr="00843418">
        <w:rPr>
          <w:b/>
        </w:rPr>
        <w:t>0</w:t>
      </w:r>
      <w:r w:rsidR="002B29A5" w:rsidRPr="00843418">
        <w:rPr>
          <w:b/>
        </w:rPr>
        <w:t xml:space="preserve">, Subpart </w:t>
      </w:r>
      <w:r w:rsidRPr="00843418">
        <w:rPr>
          <w:b/>
        </w:rPr>
        <w:t>Ea and Eb</w:t>
      </w:r>
      <w:r w:rsidR="002B29A5" w:rsidRPr="00843418">
        <w:rPr>
          <w:b/>
        </w:rPr>
        <w:t>)</w:t>
      </w:r>
      <w:r w:rsidR="002B29A5" w:rsidRPr="00236DB3">
        <w:rPr>
          <w:b/>
          <w:color w:val="FF0000"/>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843418" w:rsidRDefault="00843418" w:rsidP="002B29A5">
      <w:pPr>
        <w:rPr>
          <w:color w:val="000000"/>
        </w:rPr>
      </w:pPr>
      <w:r w:rsidRPr="00843418">
        <w:rPr>
          <w:bCs/>
        </w:rPr>
        <w:t>NSPS for Municipal Waste Combustors</w:t>
      </w:r>
      <w:r w:rsidRPr="00843418">
        <w:t xml:space="preserve"> (40 CFR</w:t>
      </w:r>
      <w:r w:rsidRPr="00843418">
        <w:rPr>
          <w:color w:val="FF0000"/>
        </w:rPr>
        <w:t xml:space="preserve"> </w:t>
      </w:r>
      <w:r w:rsidRPr="00843418">
        <w:t>Part 60, Subpart Ea and Eb)</w:t>
      </w:r>
      <w:r w:rsidRPr="00843418">
        <w:rPr>
          <w:color w:val="FF0000"/>
        </w:rPr>
        <w:t xml:space="preserve"> </w:t>
      </w:r>
      <w:r w:rsidRPr="00843418">
        <w:t>(Renewal)</w:t>
      </w:r>
      <w:r w:rsidR="002B29A5" w:rsidRPr="004C5E95">
        <w:rPr>
          <w:bCs/>
        </w:rPr>
        <w:t xml:space="preserve">, EPA ICR Number </w:t>
      </w:r>
      <w:r>
        <w:rPr>
          <w:bCs/>
        </w:rPr>
        <w:t>1506.13</w:t>
      </w:r>
      <w:r w:rsidR="002B29A5" w:rsidRPr="00843418">
        <w:rPr>
          <w:bCs/>
        </w:rPr>
        <w:t>,</w:t>
      </w:r>
      <w:r w:rsidR="002B29A5">
        <w:rPr>
          <w:bCs/>
          <w:color w:val="FF0000"/>
        </w:rPr>
        <w:t xml:space="preserve"> </w:t>
      </w:r>
      <w:r w:rsidR="002B29A5" w:rsidRPr="004C5E95">
        <w:rPr>
          <w:bCs/>
        </w:rPr>
        <w:t>OMB Control Number 2060-</w:t>
      </w:r>
      <w:r>
        <w:rPr>
          <w:bCs/>
        </w:rPr>
        <w:t>0210</w:t>
      </w:r>
      <w:r w:rsidR="002B29A5" w:rsidRPr="00843418">
        <w:rPr>
          <w:bCs/>
        </w:rPr>
        <w:t>.</w:t>
      </w:r>
      <w:r w:rsidR="002B29A5">
        <w:rPr>
          <w:bCs/>
          <w:color w:val="FF0000"/>
        </w:rPr>
        <w:t xml:space="preserve"> </w:t>
      </w:r>
    </w:p>
    <w:p w:rsidR="00CA4CD6" w:rsidRDefault="00CA4CD6">
      <w:pPr>
        <w:rPr>
          <w:b/>
          <w:bCs/>
          <w:color w:val="000000"/>
        </w:rPr>
      </w:pPr>
    </w:p>
    <w:p w:rsidR="00CA4CD6" w:rsidRDefault="00CA4CD6" w:rsidP="00DD15A5">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r>
        <w:rPr>
          <w:color w:val="FF0000"/>
        </w:rPr>
        <w:tab/>
      </w:r>
      <w:r>
        <w:rPr>
          <w:color w:val="FF0000"/>
        </w:rPr>
        <w:tab/>
      </w:r>
    </w:p>
    <w:p w:rsidR="00CA4CD6" w:rsidRDefault="00CA4CD6">
      <w:pPr>
        <w:rPr>
          <w:color w:val="000000"/>
        </w:rPr>
      </w:pPr>
    </w:p>
    <w:p w:rsidR="00CA4CD6" w:rsidRDefault="00CA4CD6">
      <w:pPr>
        <w:ind w:firstLine="720"/>
        <w:rPr>
          <w:color w:val="000000"/>
        </w:rPr>
      </w:pPr>
      <w:r>
        <w:rPr>
          <w:color w:val="000000"/>
        </w:rPr>
        <w:t xml:space="preserve">The </w:t>
      </w:r>
      <w:r w:rsidRPr="00843418">
        <w:t>New Source Performance Standards (NSPS)</w:t>
      </w:r>
      <w:r>
        <w:rPr>
          <w:color w:val="FF0000"/>
        </w:rPr>
        <w:t xml:space="preserve"> </w:t>
      </w:r>
      <w:r>
        <w:rPr>
          <w:color w:val="000000"/>
        </w:rPr>
        <w:t xml:space="preserve">for </w:t>
      </w:r>
      <w:r w:rsidR="00843418" w:rsidRPr="00843418">
        <w:rPr>
          <w:bCs/>
        </w:rPr>
        <w:t>Municipal Waste Combustors</w:t>
      </w:r>
      <w:r>
        <w:rPr>
          <w:color w:val="000000"/>
        </w:rPr>
        <w:t xml:space="preserve"> were proposed on </w:t>
      </w:r>
      <w:r w:rsidR="00CF7BFF">
        <w:t>December 20, 1980 and September 20, 1994, respectively, and promulgated on February 11, 1991 and December 19, 1995 (respectively).</w:t>
      </w:r>
      <w:r w:rsidR="00E66D25">
        <w:rPr>
          <w:color w:val="000000"/>
        </w:rPr>
        <w:t xml:space="preserve">  </w:t>
      </w:r>
      <w:r>
        <w:rPr>
          <w:color w:val="000000"/>
        </w:rPr>
        <w:t xml:space="preserve">These regulations apply </w:t>
      </w:r>
      <w:r w:rsidR="00724BC7">
        <w:rPr>
          <w:color w:val="000000"/>
        </w:rPr>
        <w:t xml:space="preserve">to existing and new </w:t>
      </w:r>
      <w:r>
        <w:rPr>
          <w:color w:val="000000"/>
        </w:rPr>
        <w:t xml:space="preserve">facilities </w:t>
      </w:r>
      <w:r w:rsidR="007E56F3">
        <w:rPr>
          <w:color w:val="000000"/>
        </w:rPr>
        <w:t xml:space="preserve">with a municipal waste combustor unit capacity greater than 225 </w:t>
      </w:r>
      <w:proofErr w:type="spellStart"/>
      <w:r w:rsidR="007E56F3">
        <w:rPr>
          <w:color w:val="000000"/>
        </w:rPr>
        <w:t>megagrams</w:t>
      </w:r>
      <w:proofErr w:type="spellEnd"/>
      <w:r w:rsidR="007E56F3">
        <w:rPr>
          <w:color w:val="000000"/>
        </w:rPr>
        <w:t xml:space="preserve"> per day of municipal solid waste</w:t>
      </w:r>
      <w:r>
        <w:rPr>
          <w:color w:val="000000"/>
        </w:rPr>
        <w:t xml:space="preserve">.  </w:t>
      </w:r>
      <w:r w:rsidR="007E56F3">
        <w:t>Municipal waste combustor (MWC) facilities that commenced construction after December 20, 1989 and on or before September 20, 1994, or commenced modification or reconstruction after December 20, 1989 and on or before June 19, 1996, are subject to the regulations in 40 CFR Part 60, Subpart Ea.  M</w:t>
      </w:r>
      <w:bookmarkStart w:id="0" w:name="_GoBack"/>
      <w:bookmarkEnd w:id="0"/>
      <w:r w:rsidR="007E56F3">
        <w:t>WC facilities which commenced construction after September 20, 1994, or commenced modification or reconstruction after June 19, 1996, are subject to the regulations in 40 CFR Part 60, Subpart Eb.</w:t>
      </w:r>
      <w:r>
        <w:rPr>
          <w:color w:val="000000"/>
        </w:rPr>
        <w:t xml:space="preserve"> This information is being collected to assure compliance with 40 CFR </w:t>
      </w:r>
      <w:r w:rsidR="006810C3">
        <w:rPr>
          <w:color w:val="000000"/>
        </w:rPr>
        <w:t xml:space="preserve">Part </w:t>
      </w:r>
      <w:r w:rsidR="00767D60" w:rsidRPr="00767D60">
        <w:t>60</w:t>
      </w:r>
      <w:r>
        <w:rPr>
          <w:color w:val="000000"/>
        </w:rPr>
        <w:t xml:space="preserve">, </w:t>
      </w:r>
      <w:r w:rsidR="006810C3">
        <w:rPr>
          <w:color w:val="000000"/>
        </w:rPr>
        <w:t xml:space="preserve">Subpart </w:t>
      </w:r>
      <w:r w:rsidR="00CF7BFF">
        <w:rPr>
          <w:color w:val="000000"/>
        </w:rPr>
        <w:t>Ea and Eb</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767D60" w:rsidRPr="00767D60">
        <w:t>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767D60" w:rsidRPr="00767D60">
        <w:t>NSPS.</w:t>
      </w:r>
    </w:p>
    <w:p w:rsidR="00CA4CD6" w:rsidRDefault="00CA4CD6">
      <w:pPr>
        <w:rPr>
          <w:color w:val="000000"/>
        </w:rPr>
      </w:pPr>
    </w:p>
    <w:p w:rsidR="00CA4CD6" w:rsidRDefault="00CA4CD6" w:rsidP="00DD15A5">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 </w:t>
      </w:r>
      <w:r w:rsidR="007A71CB">
        <w:rPr>
          <w:color w:val="000000"/>
        </w:rPr>
        <w:t xml:space="preserve">Over the next three years, an average of 8 respondents </w:t>
      </w:r>
      <w:r>
        <w:rPr>
          <w:color w:val="000000"/>
        </w:rPr>
        <w:t xml:space="preserve">of </w:t>
      </w:r>
      <w:r w:rsidR="007E56F3">
        <w:rPr>
          <w:color w:val="000000"/>
        </w:rPr>
        <w:t>sub</w:t>
      </w:r>
      <w:r>
        <w:rPr>
          <w:color w:val="000000"/>
        </w:rPr>
        <w:t>part</w:t>
      </w:r>
      <w:r w:rsidR="007E56F3">
        <w:rPr>
          <w:color w:val="000000"/>
        </w:rPr>
        <w:t xml:space="preserve"> Ea </w:t>
      </w:r>
      <w:r>
        <w:rPr>
          <w:color w:val="000000"/>
        </w:rPr>
        <w:t xml:space="preserve">shall maintain a file of these measurements, and retain the file for at </w:t>
      </w:r>
      <w:r w:rsidR="00767D60" w:rsidRPr="00767D60">
        <w:t xml:space="preserve">least two years following the date of such measurements, maintenance reports, and records. </w:t>
      </w:r>
      <w:r w:rsidR="007A71CB">
        <w:t>An average of 5 respondents</w:t>
      </w:r>
      <w:r w:rsidR="00767D60" w:rsidRPr="00767D60">
        <w:t xml:space="preserve"> of subpart </w:t>
      </w:r>
      <w:proofErr w:type="spellStart"/>
      <w:r w:rsidR="00767D60" w:rsidRPr="00767D60">
        <w:t>Eb</w:t>
      </w:r>
      <w:proofErr w:type="spellEnd"/>
      <w:r w:rsidR="007A71CB">
        <w:t xml:space="preserve"> </w:t>
      </w:r>
      <w:r w:rsidR="00767D60" w:rsidRPr="00767D60">
        <w:t xml:space="preserve">shall maintain a file of these measurements, and retain the file for at least five years following the date of such measurements, maintenance reports, and records. </w:t>
      </w:r>
      <w:r w:rsidR="007A71CB">
        <w:rPr>
          <w:color w:val="000000"/>
        </w:rPr>
        <w:t xml:space="preserve">We expect one plant (respondent) to startup in 2015 which will become subject to Subpart Eb.  </w:t>
      </w:r>
      <w:r w:rsidR="007A71CB" w:rsidRPr="007A0341">
        <w:rPr>
          <w:color w:val="000000"/>
        </w:rPr>
        <w:t>No additional respondent per year will become subject</w:t>
      </w:r>
      <w:r w:rsidR="00E85542">
        <w:rPr>
          <w:color w:val="000000"/>
        </w:rPr>
        <w:t xml:space="preserve"> during the three</w:t>
      </w:r>
      <w:r w:rsidR="007A71CB">
        <w:rPr>
          <w:color w:val="000000"/>
        </w:rPr>
        <w:t xml:space="preserve"> year period of this ICR</w:t>
      </w:r>
      <w:r w:rsidR="007A71CB" w:rsidRPr="007A0341">
        <w:rPr>
          <w:color w:val="000000"/>
        </w:rPr>
        <w:t>.</w:t>
      </w:r>
      <w:r w:rsidR="00767D60" w:rsidRPr="00767D60">
        <w:t xml:space="preserve"> </w:t>
      </w:r>
      <w:r w:rsidR="007A71CB">
        <w:rPr>
          <w:color w:val="000000"/>
        </w:rPr>
        <w:t xml:space="preserve"> Information required by the NSPS is necessary to ensure that emission standards are attained and that MWC’s are properly operated and maintained. </w:t>
      </w:r>
    </w:p>
    <w:p w:rsidR="00CA4CD6" w:rsidRDefault="00CA4CD6" w:rsidP="00DD15A5">
      <w:pPr>
        <w:pBdr>
          <w:top w:val="single" w:sz="6" w:space="0" w:color="FFFFFF"/>
          <w:left w:val="single" w:sz="6" w:space="1" w:color="FFFFFF"/>
          <w:bottom w:val="single" w:sz="6" w:space="0" w:color="FFFFFF"/>
          <w:right w:val="single" w:sz="6" w:space="0" w:color="FFFFFF"/>
        </w:pBdr>
        <w:rPr>
          <w:color w:val="000000"/>
        </w:rPr>
      </w:pPr>
    </w:p>
    <w:p w:rsidR="009D6567" w:rsidRPr="006E6013" w:rsidRDefault="00F46396" w:rsidP="006E6013">
      <w:pPr>
        <w:pBdr>
          <w:top w:val="single" w:sz="6" w:space="0" w:color="FFFFFF"/>
          <w:left w:val="single" w:sz="6" w:space="1" w:color="FFFFFF"/>
          <w:bottom w:val="single" w:sz="6" w:space="0" w:color="FFFFFF"/>
          <w:right w:val="single" w:sz="6" w:space="0" w:color="FFFFFF"/>
        </w:pBdr>
        <w:ind w:firstLine="720"/>
        <w:rPr>
          <w:color w:val="000000"/>
        </w:rPr>
      </w:pPr>
      <w:r>
        <w:t xml:space="preserve">The Office of </w:t>
      </w:r>
      <w:r w:rsidRPr="00F80DE6">
        <w:t>Management and Budget (OMB) approved the currently active ICR without any “Terms of Clearance.”</w:t>
      </w:r>
      <w:r w:rsidR="00CA4CD6" w:rsidRPr="009D6567">
        <w:rPr>
          <w:color w:val="FF0000"/>
        </w:rPr>
        <w:t xml:space="preserve"> </w:t>
      </w:r>
    </w:p>
    <w:p w:rsidR="006E6013" w:rsidRDefault="000E6FAA" w:rsidP="002B29A5">
      <w:r>
        <w:tab/>
      </w:r>
    </w:p>
    <w:p w:rsidR="006E6013" w:rsidRDefault="006E6013" w:rsidP="006E6013">
      <w:pPr>
        <w:ind w:firstLine="720"/>
      </w:pPr>
    </w:p>
    <w:p w:rsidR="00CA4CD6" w:rsidRPr="000A7A85" w:rsidRDefault="000E6FAA" w:rsidP="006E6013">
      <w:pPr>
        <w:ind w:firstLine="720"/>
      </w:pPr>
      <w:r>
        <w:lastRenderedPageBreak/>
        <w:t>In the United States, there are approximately 1</w:t>
      </w:r>
      <w:r w:rsidR="002B07B0">
        <w:t>3</w:t>
      </w:r>
      <w:r>
        <w:t xml:space="preserve"> </w:t>
      </w:r>
      <w:r w:rsidR="00926154">
        <w:t>MWC</w:t>
      </w:r>
      <w:r>
        <w:t xml:space="preserve"> plants</w:t>
      </w:r>
      <w:r w:rsidR="00926154">
        <w:t xml:space="preserve">; all of which are privately-owned, for-profit businesses.  </w:t>
      </w:r>
      <w:r>
        <w:t xml:space="preserve">None of these facilities are owned by state, local, tribal, or the Federal governments.  </w:t>
      </w:r>
      <w:r w:rsidR="00767D60" w:rsidRPr="00767D60">
        <w:t xml:space="preserve">The burden to the “Affected Public” may be found in Table </w:t>
      </w:r>
      <w:r w:rsidR="00E66D25">
        <w:t>1</w:t>
      </w:r>
      <w:r w:rsidR="00767D60" w:rsidRPr="00767D60">
        <w:t xml:space="preserve">: Annual Respondent Burden and Cost – </w:t>
      </w:r>
      <w:r>
        <w:rPr>
          <w:bCs/>
        </w:rPr>
        <w:t>NSPS for Municipal Waste Combustors (40 CFR Part 60, Subparts Ea and Eb) (Renewal)</w:t>
      </w:r>
      <w:r w:rsidR="00767D60" w:rsidRPr="00767D60">
        <w:t xml:space="preserve">.  The “Federal Government” burden is attributed entirely to work performed by federal employees or government contractors and may be found in Table 2: Average Annual EPA Burden and Cost – </w:t>
      </w:r>
      <w:r>
        <w:rPr>
          <w:bCs/>
        </w:rPr>
        <w:t>NSPS for Municipal Waste Combustors (40 CFR Part 60, Subparts Ea and Eb) (Renewal)</w:t>
      </w:r>
      <w:r w:rsidR="00767D60" w:rsidRPr="00767D60">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109BA" w:rsidRDefault="00767D60">
      <w:pPr>
        <w:pBdr>
          <w:top w:val="single" w:sz="6" w:space="0" w:color="FFFFFF"/>
          <w:left w:val="single" w:sz="6" w:space="0" w:color="FFFFFF"/>
          <w:bottom w:val="single" w:sz="6" w:space="0" w:color="FFFFFF"/>
          <w:right w:val="single" w:sz="6" w:space="0" w:color="FFFFFF"/>
        </w:pBdr>
        <w:ind w:firstLine="720"/>
      </w:pPr>
      <w:r w:rsidRPr="00767D60">
        <w:t xml:space="preserve">The EPA is charged under Section 111 of the Clean Air Act (CAA), as amended, to establish standards of performance for new stationary sources that reflect: </w:t>
      </w:r>
    </w:p>
    <w:p w:rsidR="00CA4CD6" w:rsidRPr="006109BA" w:rsidRDefault="00CA4CD6">
      <w:pPr>
        <w:pBdr>
          <w:top w:val="single" w:sz="6" w:space="0" w:color="FFFFFF"/>
          <w:left w:val="single" w:sz="6" w:space="0" w:color="FFFFFF"/>
          <w:bottom w:val="single" w:sz="6" w:space="0" w:color="FFFFFF"/>
          <w:right w:val="single" w:sz="6" w:space="0" w:color="FFFFFF"/>
        </w:pBdr>
      </w:pPr>
    </w:p>
    <w:p w:rsidR="00CA4CD6" w:rsidRPr="006109BA" w:rsidRDefault="00767D60">
      <w:pPr>
        <w:pBdr>
          <w:top w:val="single" w:sz="6" w:space="0" w:color="FFFFFF"/>
          <w:left w:val="single" w:sz="6" w:space="0" w:color="FFFFFF"/>
          <w:bottom w:val="single" w:sz="6" w:space="0" w:color="FFFFFF"/>
          <w:right w:val="single" w:sz="6" w:space="0" w:color="FFFFFF"/>
        </w:pBdr>
        <w:ind w:left="1440" w:right="1440"/>
      </w:pPr>
      <w:r w:rsidRPr="00767D60">
        <w:rPr>
          <w:b/>
          <w:bCs/>
        </w:rPr>
        <w:t>. . .</w:t>
      </w:r>
      <w:r w:rsidRPr="00767D60">
        <w:t xml:space="preserve"> </w:t>
      </w:r>
      <w:proofErr w:type="gramStart"/>
      <w:r w:rsidRPr="00767D60">
        <w:t>application</w:t>
      </w:r>
      <w:proofErr w:type="gramEnd"/>
      <w:r w:rsidRPr="00767D60">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767D60">
        <w:t>)(</w:t>
      </w:r>
      <w:proofErr w:type="gramEnd"/>
      <w:r w:rsidRPr="00767D60">
        <w:t>l).</w:t>
      </w:r>
    </w:p>
    <w:p w:rsidR="00CA4CD6" w:rsidRPr="006109BA" w:rsidRDefault="00CA4CD6">
      <w:pPr>
        <w:pBdr>
          <w:top w:val="single" w:sz="6" w:space="0" w:color="FFFFFF"/>
          <w:left w:val="single" w:sz="6" w:space="0" w:color="FFFFFF"/>
          <w:bottom w:val="single" w:sz="6" w:space="0" w:color="FFFFFF"/>
          <w:right w:val="single" w:sz="6" w:space="0" w:color="FFFFFF"/>
        </w:pBdr>
      </w:pPr>
    </w:p>
    <w:p w:rsidR="002C336A" w:rsidRDefault="00767D60">
      <w:pPr>
        <w:pBdr>
          <w:top w:val="single" w:sz="6" w:space="0" w:color="FFFFFF"/>
          <w:left w:val="single" w:sz="6" w:space="0" w:color="FFFFFF"/>
          <w:bottom w:val="single" w:sz="6" w:space="0" w:color="FFFFFF"/>
          <w:right w:val="single" w:sz="6" w:space="0" w:color="FFFFFF"/>
        </w:pBdr>
      </w:pPr>
      <w:r w:rsidRPr="00767D60">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rsidR="00CA4CD6" w:rsidRPr="006109BA" w:rsidRDefault="00CA4CD6">
      <w:pPr>
        <w:pBdr>
          <w:top w:val="single" w:sz="6" w:space="0" w:color="FFFFFF"/>
          <w:left w:val="single" w:sz="6" w:space="0" w:color="FFFFFF"/>
          <w:bottom w:val="single" w:sz="6" w:space="0" w:color="FFFFFF"/>
          <w:right w:val="single" w:sz="6" w:space="0" w:color="FFFFFF"/>
        </w:pBdr>
      </w:pPr>
    </w:p>
    <w:p w:rsidR="00CA4CD6" w:rsidRDefault="00767D60">
      <w:pPr>
        <w:pBdr>
          <w:top w:val="single" w:sz="6" w:space="0" w:color="FFFFFF"/>
          <w:left w:val="single" w:sz="6" w:space="0" w:color="FFFFFF"/>
          <w:bottom w:val="single" w:sz="6" w:space="0" w:color="FFFFFF"/>
          <w:right w:val="single" w:sz="6" w:space="0" w:color="FFFFFF"/>
        </w:pBdr>
        <w:ind w:left="1440" w:right="1440"/>
        <w:rPr>
          <w:color w:val="FF0000"/>
        </w:rPr>
      </w:pPr>
      <w:r w:rsidRPr="00767D6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6109BA">
        <w:t>organic, acid gas, and nitrogen oxide</w:t>
      </w:r>
      <w:r w:rsidR="006109BA" w:rsidDel="006109BA">
        <w:rPr>
          <w:color w:val="FF0000"/>
        </w:rPr>
        <w:t xml:space="preserve"> </w:t>
      </w:r>
      <w:r>
        <w:rPr>
          <w:color w:val="000000"/>
        </w:rPr>
        <w:t xml:space="preserve">emissions from </w:t>
      </w:r>
      <w:r w:rsidR="006109BA">
        <w:t>MWCs</w:t>
      </w:r>
      <w:r>
        <w:rPr>
          <w:color w:val="000000"/>
        </w:rPr>
        <w:t xml:space="preserve"> cause or contribute to air pollution that may reasonably be anticipated to endanger public health or welfare.  Therefore, the </w:t>
      </w:r>
      <w:r w:rsidR="00767D60" w:rsidRPr="00767D60">
        <w:t>NSPS</w:t>
      </w:r>
      <w:r w:rsidR="000A7A85">
        <w:rPr>
          <w:color w:val="FF0000"/>
        </w:rPr>
        <w:t xml:space="preserve"> </w:t>
      </w:r>
      <w:r>
        <w:rPr>
          <w:color w:val="000000"/>
        </w:rPr>
        <w:t xml:space="preserve">were promulgated for this source category at 40 CFR </w:t>
      </w:r>
      <w:r w:rsidR="006810C3">
        <w:rPr>
          <w:color w:val="000000"/>
        </w:rPr>
        <w:lastRenderedPageBreak/>
        <w:t xml:space="preserve">Part </w:t>
      </w:r>
      <w:r>
        <w:rPr>
          <w:color w:val="000000"/>
        </w:rPr>
        <w:t>60,</w:t>
      </w:r>
      <w:r>
        <w:rPr>
          <w:b/>
          <w:bCs/>
          <w:i/>
          <w:iCs/>
          <w:color w:val="000000"/>
        </w:rPr>
        <w:t xml:space="preserve"> </w:t>
      </w:r>
      <w:r w:rsidR="006810C3">
        <w:rPr>
          <w:color w:val="000000"/>
        </w:rPr>
        <w:t>Subpart</w:t>
      </w:r>
      <w:r w:rsidR="000A7A85">
        <w:rPr>
          <w:color w:val="000000"/>
        </w:rPr>
        <w:t xml:space="preserve"> Ea and Eb</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EE7D48">
        <w:rPr>
          <w:color w:val="000000"/>
        </w:rPr>
        <w:t>ng requirements in the standards</w:t>
      </w:r>
      <w:r>
        <w:rPr>
          <w:color w:val="000000"/>
        </w:rPr>
        <w:t xml:space="preserve"> ensure compliance with the applicable regulations which were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w:t>
      </w:r>
      <w:r w:rsidR="00EE7D48">
        <w:rPr>
          <w:color w:val="000000"/>
        </w:rPr>
        <w:t>mply with the emission standards</w:t>
      </w:r>
      <w:r>
        <w:rPr>
          <w:color w:val="000000"/>
        </w:rPr>
        <w:t xml:space="preserve">. Continuous emission monitors are used to ensure compliance </w:t>
      </w:r>
      <w:r w:rsidR="00EE7D48">
        <w:rPr>
          <w:color w:val="000000"/>
        </w:rPr>
        <w:t>with the standards</w:t>
      </w:r>
      <w:r>
        <w:rPr>
          <w:color w:val="000000"/>
        </w:rPr>
        <w:t xml:space="preserve"> at all times. </w:t>
      </w:r>
      <w:r w:rsidRPr="00EE7D48">
        <w:t>During the performance test a record of the operating parameters under which compliance was achieved may be recorded and used to determine compliance in place of a continuous emission monitor</w:t>
      </w:r>
      <w:r w:rsidR="00EE7D48" w:rsidRPr="00EE7D48">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w:t>
      </w:r>
      <w:r w:rsidR="00EE7D48">
        <w:rPr>
          <w:color w:val="000000"/>
        </w:rPr>
        <w:t>red in the standards</w:t>
      </w:r>
      <w:r>
        <w:rPr>
          <w:color w:val="000000"/>
        </w:rPr>
        <w:t xml:space="preserve"> are used to inform the Agency or delegated authority when a source becomes subject to the requirements of the regulations.  The reviewing authority may then inspect the source to check if </w:t>
      </w:r>
      <w:r w:rsidRPr="00EE7D48">
        <w:t>the pollution control devices are properly i</w:t>
      </w:r>
      <w:r w:rsidR="00EE7D48" w:rsidRPr="00EE7D48">
        <w:t>nstalled and operated,</w:t>
      </w:r>
      <w:r w:rsidRPr="00EE7D48">
        <w:t xml:space="preserve"> leaks are being detected and repaired</w:t>
      </w:r>
      <w:r w:rsidR="00EE7D48" w:rsidRPr="00EE7D48">
        <w:t>,</w:t>
      </w:r>
      <w:r w:rsidR="00EE7D48">
        <w:rPr>
          <w:color w:val="000000"/>
        </w:rPr>
        <w:t xml:space="preserve"> and the standards</w:t>
      </w:r>
      <w:r>
        <w:rPr>
          <w:color w:val="000000"/>
        </w:rPr>
        <w:t xml:space="preserve">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767D60" w:rsidRPr="00767D60">
        <w:t>quarterly and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 xml:space="preserve">3.  </w:t>
      </w:r>
      <w:proofErr w:type="spellStart"/>
      <w:r>
        <w:rPr>
          <w:b/>
          <w:bCs/>
          <w:color w:val="000000"/>
        </w:rPr>
        <w:t>Nonduplication</w:t>
      </w:r>
      <w:proofErr w:type="spellEnd"/>
      <w:r>
        <w:rPr>
          <w:b/>
          <w:bCs/>
          <w:color w:val="000000"/>
        </w:rPr>
        <w:t>,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767D60" w:rsidRPr="00767D60">
        <w:t>60</w:t>
      </w:r>
      <w:r>
        <w:rPr>
          <w:color w:val="000000"/>
        </w:rPr>
        <w:t xml:space="preserve">, </w:t>
      </w:r>
      <w:r w:rsidR="006810C3">
        <w:rPr>
          <w:color w:val="000000"/>
        </w:rPr>
        <w:t>Subpart</w:t>
      </w:r>
      <w:r w:rsidR="003F1AFC">
        <w:rPr>
          <w:color w:val="000000"/>
        </w:rPr>
        <w:t xml:space="preserve"> </w:t>
      </w:r>
      <w:r w:rsidR="00767D60" w:rsidRPr="00767D60">
        <w:t>Ea and Eb</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xml:space="preserve">)  </w:t>
      </w:r>
      <w:proofErr w:type="spellStart"/>
      <w:r>
        <w:rPr>
          <w:b/>
          <w:bCs/>
          <w:color w:val="000000"/>
        </w:rPr>
        <w:t>Nonduplication</w:t>
      </w:r>
      <w:proofErr w:type="spellEnd"/>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767D60" w:rsidRPr="00767D60">
        <w:t xml:space="preserve">79 </w:t>
      </w:r>
      <w:r w:rsidR="00767D60" w:rsidRPr="00767D60">
        <w:rPr>
          <w:u w:val="single"/>
        </w:rPr>
        <w:t>FR</w:t>
      </w:r>
      <w:r w:rsidR="00767D60" w:rsidRPr="00767D60">
        <w:t xml:space="preserve"> 30117</w:t>
      </w:r>
      <w:r>
        <w:rPr>
          <w:color w:val="000000"/>
        </w:rPr>
        <w:t xml:space="preserve">) on </w:t>
      </w:r>
      <w:r w:rsidR="001B29DD">
        <w:rPr>
          <w:color w:val="000000"/>
        </w:rPr>
        <w:t>May 27, 2014</w:t>
      </w:r>
      <w:r>
        <w:rPr>
          <w:color w:val="000000"/>
        </w:rPr>
        <w:t>.</w:t>
      </w:r>
      <w:r>
        <w:rPr>
          <w:color w:val="FF0000"/>
        </w:rPr>
        <w:t xml:space="preserve">  </w:t>
      </w:r>
      <w:r w:rsidR="00767D60" w:rsidRPr="00767D60">
        <w:t xml:space="preserve">No comments were received on the burden published in the </w:t>
      </w:r>
      <w:r w:rsidR="00767D60" w:rsidRPr="00767D60">
        <w:rPr>
          <w:u w:val="single"/>
        </w:rPr>
        <w:t>Federal Register</w:t>
      </w:r>
      <w:r w:rsidR="00767D60" w:rsidRPr="00767D60">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proofErr w:type="gramStart"/>
      <w:r>
        <w:rPr>
          <w:b/>
          <w:bCs/>
          <w:color w:val="000000"/>
        </w:rPr>
        <w:t>)  Consultations</w:t>
      </w:r>
      <w:proofErr w:type="gramEnd"/>
    </w:p>
    <w:p w:rsidR="00E53137" w:rsidRDefault="00E53137" w:rsidP="00D92F66">
      <w:pPr>
        <w:spacing w:line="244" w:lineRule="exact"/>
        <w:rPr>
          <w:color w:val="FF0000"/>
        </w:rPr>
      </w:pPr>
    </w:p>
    <w:p w:rsidR="00EE7D48" w:rsidRPr="00895D0F" w:rsidRDefault="00EE7D48" w:rsidP="00EE7D48">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EE7D48" w:rsidRPr="00895D0F" w:rsidRDefault="00EE7D48" w:rsidP="00EE7D48"/>
    <w:p w:rsidR="00EE7D48" w:rsidRPr="00EE7D48" w:rsidRDefault="00EE7D48" w:rsidP="00EE7D48">
      <w:pPr>
        <w:ind w:firstLine="720"/>
        <w:rPr>
          <w:color w:val="000000"/>
        </w:rPr>
      </w:pPr>
      <w:r w:rsidRPr="00895D0F">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t>. In developing this ICR, we contacted both the</w:t>
      </w:r>
      <w:r w:rsidR="001B29DD">
        <w:t xml:space="preserve"> Energy Recovery Council</w:t>
      </w:r>
      <w:r>
        <w:t xml:space="preserve"> at</w:t>
      </w:r>
      <w:r w:rsidR="001B29DD">
        <w:t xml:space="preserve"> (202) 467-6240</w:t>
      </w:r>
      <w:r>
        <w:t xml:space="preserve"> and the</w:t>
      </w:r>
      <w:r w:rsidR="001B29DD">
        <w:t xml:space="preserve"> Solid Waste Association of North America</w:t>
      </w:r>
      <w:r>
        <w:t xml:space="preserve"> at</w:t>
      </w:r>
      <w:r w:rsidR="001B29DD">
        <w:t xml:space="preserve"> (800) 467-9262.</w:t>
      </w:r>
      <w:r>
        <w:t xml:space="preserve"> </w:t>
      </w:r>
    </w:p>
    <w:p w:rsidR="00EE7D48" w:rsidRPr="00895D0F" w:rsidRDefault="00EE7D48" w:rsidP="00EE7D48">
      <w:pPr>
        <w:ind w:firstLine="720"/>
      </w:pPr>
    </w:p>
    <w:p w:rsidR="00EE7D48" w:rsidRDefault="00EE7D48" w:rsidP="00EE7D48">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C336A" w:rsidRDefault="00767D60">
      <w:pPr>
        <w:pBdr>
          <w:top w:val="single" w:sz="6" w:space="0" w:color="FFFFFF"/>
          <w:left w:val="single" w:sz="6" w:space="0" w:color="FFFFFF"/>
          <w:bottom w:val="single" w:sz="6" w:space="0" w:color="FFFFFF"/>
          <w:right w:val="single" w:sz="6" w:space="0" w:color="FFFFFF"/>
        </w:pBdr>
        <w:ind w:firstLine="720"/>
      </w:pPr>
      <w:r w:rsidRPr="00767D60">
        <w:t>These standards require the respondents to maintain all records, including reports and notifications for at least five years.  This is consistent with the General Provisions as applied to the standards.  EPA believes that the five year records retention requirement is consistent the Part 70 permit program and the five 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6109BA">
        <w:t>MWCs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926154">
        <w:rPr>
          <w:color w:val="000000"/>
        </w:rPr>
        <w:t>s</w:t>
      </w:r>
      <w:r>
        <w:rPr>
          <w:color w:val="000000"/>
        </w:rPr>
        <w:t xml:space="preserve"> for the respondents affected by the standards </w:t>
      </w:r>
      <w:r w:rsidR="002916DA">
        <w:rPr>
          <w:color w:val="000000"/>
        </w:rPr>
        <w:t xml:space="preserve">and </w:t>
      </w:r>
      <w:r w:rsidR="00926154">
        <w:rPr>
          <w:color w:val="000000"/>
        </w:rPr>
        <w:t xml:space="preserve">the </w:t>
      </w:r>
      <w:r w:rsidR="002916DA">
        <w:rPr>
          <w:color w:val="000000"/>
        </w:rPr>
        <w:t>cor</w:t>
      </w:r>
      <w:r w:rsidR="00767D60" w:rsidRPr="00767D60">
        <w:t xml:space="preserve">responding North American Industry Classification System (NAICS) </w:t>
      </w:r>
      <w:r w:rsidR="00926154">
        <w:t xml:space="preserve">codes </w:t>
      </w:r>
      <w:r w:rsidR="00767D60" w:rsidRPr="00767D60">
        <w:t>are listed in the table below</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5580"/>
        <w:gridCol w:w="1890"/>
        <w:gridCol w:w="1890"/>
      </w:tblGrid>
      <w:tr w:rsidR="00CA4CD6" w:rsidTr="00926154">
        <w:tc>
          <w:tcPr>
            <w:tcW w:w="558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color w:val="000000"/>
              </w:rPr>
            </w:pPr>
          </w:p>
          <w:p w:rsidR="003509A6" w:rsidRDefault="00926154">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005B5354" w:rsidRPr="005B5354">
              <w:rPr>
                <w:b/>
                <w:bCs/>
                <w:color w:val="000000"/>
              </w:rPr>
              <w:t xml:space="preserve">40 CFR Part 60, Subpart </w:t>
            </w:r>
            <w:r w:rsidR="005B5354">
              <w:rPr>
                <w:b/>
                <w:bCs/>
                <w:color w:val="000000"/>
              </w:rPr>
              <w:t>Ea and Eb</w:t>
            </w:r>
            <w:r>
              <w:rPr>
                <w:b/>
                <w:bCs/>
                <w:color w:val="000000"/>
              </w:rPr>
              <w:t>)</w:t>
            </w:r>
            <w:r w:rsidR="004C701D">
              <w:rPr>
                <w:b/>
                <w:bCs/>
                <w:color w:val="000000"/>
              </w:rPr>
              <w:t xml:space="preserve"> </w:t>
            </w:r>
          </w:p>
        </w:tc>
        <w:tc>
          <w:tcPr>
            <w:tcW w:w="1890" w:type="dxa"/>
            <w:tcBorders>
              <w:top w:val="single" w:sz="7" w:space="0" w:color="000000"/>
              <w:left w:val="single" w:sz="7" w:space="0" w:color="000000"/>
              <w:bottom w:val="single" w:sz="6" w:space="0" w:color="FFFFFF"/>
              <w:right w:val="single" w:sz="6" w:space="0" w:color="FFFFFF"/>
            </w:tcBorders>
          </w:tcPr>
          <w:p w:rsidR="00CA4CD6" w:rsidRDefault="00CA4CD6" w:rsidP="00926154">
            <w:pPr>
              <w:spacing w:line="120" w:lineRule="exact"/>
              <w:jc w:val="center"/>
              <w:rPr>
                <w:b/>
                <w:bCs/>
                <w:color w:val="000000"/>
              </w:rPr>
            </w:pPr>
          </w:p>
          <w:p w:rsidR="00CA4CD6" w:rsidRDefault="00CA4CD6" w:rsidP="00926154">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90" w:type="dxa"/>
            <w:tcBorders>
              <w:top w:val="single" w:sz="7" w:space="0" w:color="000000"/>
              <w:left w:val="single" w:sz="7" w:space="0" w:color="000000"/>
              <w:bottom w:val="single" w:sz="6" w:space="0" w:color="FFFFFF"/>
              <w:right w:val="single" w:sz="7" w:space="0" w:color="000000"/>
            </w:tcBorders>
          </w:tcPr>
          <w:p w:rsidR="00CA4CD6" w:rsidRDefault="00CA4CD6" w:rsidP="00926154">
            <w:pPr>
              <w:spacing w:line="120" w:lineRule="exact"/>
              <w:jc w:val="center"/>
              <w:rPr>
                <w:b/>
                <w:bCs/>
                <w:color w:val="000000"/>
              </w:rPr>
            </w:pPr>
          </w:p>
          <w:p w:rsidR="00CA4CD6" w:rsidRDefault="00CA4CD6" w:rsidP="00926154">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0236B" w:rsidTr="00926154">
        <w:tc>
          <w:tcPr>
            <w:tcW w:w="5580" w:type="dxa"/>
            <w:tcBorders>
              <w:top w:val="single" w:sz="7" w:space="0" w:color="000000"/>
              <w:left w:val="single" w:sz="7" w:space="0" w:color="000000"/>
              <w:bottom w:val="single" w:sz="6" w:space="0" w:color="FFFFFF"/>
              <w:right w:val="single" w:sz="6" w:space="0" w:color="FFFFFF"/>
            </w:tcBorders>
          </w:tcPr>
          <w:p w:rsidR="00C0236B" w:rsidRDefault="00C0236B" w:rsidP="005B5354">
            <w:pPr>
              <w:spacing w:line="120" w:lineRule="exact"/>
              <w:rPr>
                <w:b/>
                <w:bCs/>
              </w:rPr>
            </w:pPr>
          </w:p>
          <w:p w:rsidR="00C0236B" w:rsidRDefault="00776CA1" w:rsidP="004C701D">
            <w:pPr>
              <w:pBdr>
                <w:top w:val="single" w:sz="6" w:space="0" w:color="FFFFFF"/>
                <w:left w:val="single" w:sz="6" w:space="0" w:color="FFFFFF"/>
                <w:bottom w:val="single" w:sz="6" w:space="0" w:color="FFFFFF"/>
                <w:right w:val="single" w:sz="6" w:space="0" w:color="FFFFFF"/>
              </w:pBdr>
              <w:spacing w:after="54"/>
              <w:rPr>
                <w:color w:val="000000"/>
              </w:rPr>
            </w:pPr>
            <w:r>
              <w:t xml:space="preserve">Administration of </w:t>
            </w:r>
            <w:r w:rsidR="00C0236B">
              <w:t>Air and Water Resource and Solid Waste Management</w:t>
            </w:r>
          </w:p>
        </w:tc>
        <w:tc>
          <w:tcPr>
            <w:tcW w:w="1890" w:type="dxa"/>
            <w:tcBorders>
              <w:top w:val="single" w:sz="7" w:space="0" w:color="000000"/>
              <w:left w:val="single" w:sz="7" w:space="0" w:color="000000"/>
              <w:bottom w:val="single" w:sz="6" w:space="0" w:color="FFFFFF"/>
              <w:right w:val="single" w:sz="6" w:space="0" w:color="FFFFFF"/>
            </w:tcBorders>
          </w:tcPr>
          <w:p w:rsidR="00C0236B" w:rsidRDefault="00C0236B" w:rsidP="00926154">
            <w:pPr>
              <w:spacing w:line="120" w:lineRule="exact"/>
              <w:jc w:val="center"/>
            </w:pPr>
          </w:p>
          <w:p w:rsidR="00C0236B" w:rsidRDefault="00C0236B" w:rsidP="00926154">
            <w:pPr>
              <w:pBdr>
                <w:top w:val="single" w:sz="6" w:space="0" w:color="FFFFFF"/>
                <w:left w:val="single" w:sz="6" w:space="0" w:color="FFFFFF"/>
                <w:bottom w:val="single" w:sz="6" w:space="0" w:color="FFFFFF"/>
                <w:right w:val="single" w:sz="6" w:space="0" w:color="FFFFFF"/>
              </w:pBdr>
              <w:spacing w:after="54"/>
              <w:jc w:val="center"/>
              <w:rPr>
                <w:color w:val="000000"/>
              </w:rPr>
            </w:pPr>
            <w:r>
              <w:t>9511</w:t>
            </w:r>
          </w:p>
        </w:tc>
        <w:tc>
          <w:tcPr>
            <w:tcW w:w="1890" w:type="dxa"/>
            <w:tcBorders>
              <w:top w:val="single" w:sz="7" w:space="0" w:color="000000"/>
              <w:left w:val="single" w:sz="7" w:space="0" w:color="000000"/>
              <w:bottom w:val="single" w:sz="6" w:space="0" w:color="FFFFFF"/>
              <w:right w:val="single" w:sz="7" w:space="0" w:color="000000"/>
            </w:tcBorders>
          </w:tcPr>
          <w:p w:rsidR="00C0236B" w:rsidRDefault="00C0236B" w:rsidP="00926154">
            <w:pPr>
              <w:spacing w:line="120" w:lineRule="exact"/>
              <w:jc w:val="center"/>
            </w:pPr>
          </w:p>
          <w:p w:rsidR="00C0236B" w:rsidRDefault="00C0236B" w:rsidP="00926154">
            <w:pPr>
              <w:pBdr>
                <w:top w:val="single" w:sz="6" w:space="0" w:color="FFFFFF"/>
                <w:left w:val="single" w:sz="6" w:space="0" w:color="FFFFFF"/>
                <w:bottom w:val="single" w:sz="6" w:space="0" w:color="FFFFFF"/>
                <w:right w:val="single" w:sz="6" w:space="0" w:color="FFFFFF"/>
              </w:pBdr>
              <w:spacing w:after="54"/>
              <w:jc w:val="center"/>
              <w:rPr>
                <w:color w:val="000000"/>
              </w:rPr>
            </w:pPr>
            <w:r>
              <w:t>924110</w:t>
            </w:r>
          </w:p>
        </w:tc>
      </w:tr>
      <w:tr w:rsidR="00C0236B" w:rsidTr="00926154">
        <w:tc>
          <w:tcPr>
            <w:tcW w:w="5580" w:type="dxa"/>
            <w:tcBorders>
              <w:top w:val="single" w:sz="7" w:space="0" w:color="000000"/>
              <w:left w:val="single" w:sz="7" w:space="0" w:color="000000"/>
              <w:bottom w:val="single" w:sz="6" w:space="0" w:color="FFFFFF"/>
              <w:right w:val="single" w:sz="6" w:space="0" w:color="FFFFFF"/>
            </w:tcBorders>
          </w:tcPr>
          <w:p w:rsidR="00C0236B" w:rsidRDefault="00C0236B" w:rsidP="005B5354">
            <w:pPr>
              <w:spacing w:line="120" w:lineRule="exact"/>
            </w:pPr>
          </w:p>
          <w:p w:rsidR="00C0236B" w:rsidDel="007A3426" w:rsidRDefault="00776CA1" w:rsidP="00776CA1">
            <w:pPr>
              <w:pBdr>
                <w:top w:val="single" w:sz="6" w:space="0" w:color="FFFFFF"/>
                <w:left w:val="single" w:sz="6" w:space="0" w:color="FFFFFF"/>
                <w:bottom w:val="single" w:sz="6" w:space="0" w:color="FFFFFF"/>
                <w:right w:val="single" w:sz="6" w:space="0" w:color="FFFFFF"/>
              </w:pBdr>
              <w:spacing w:after="54"/>
              <w:rPr>
                <w:color w:val="000000"/>
              </w:rPr>
            </w:pPr>
            <w:r>
              <w:t>H</w:t>
            </w:r>
            <w:r w:rsidR="00C0236B">
              <w:t>azardo</w:t>
            </w:r>
            <w:r>
              <w:t>us Waste Treatment and Disposal</w:t>
            </w:r>
          </w:p>
        </w:tc>
        <w:tc>
          <w:tcPr>
            <w:tcW w:w="1890" w:type="dxa"/>
            <w:tcBorders>
              <w:top w:val="single" w:sz="7" w:space="0" w:color="000000"/>
              <w:left w:val="single" w:sz="7" w:space="0" w:color="000000"/>
              <w:bottom w:val="single" w:sz="6" w:space="0" w:color="FFFFFF"/>
              <w:right w:val="single" w:sz="6" w:space="0" w:color="FFFFFF"/>
            </w:tcBorders>
          </w:tcPr>
          <w:p w:rsidR="00C0236B" w:rsidRDefault="00C0236B" w:rsidP="00926154">
            <w:pPr>
              <w:spacing w:line="120" w:lineRule="exact"/>
              <w:jc w:val="center"/>
            </w:pPr>
          </w:p>
          <w:p w:rsidR="00C0236B" w:rsidDel="007A3426" w:rsidRDefault="00C0236B" w:rsidP="00926154">
            <w:pPr>
              <w:pBdr>
                <w:top w:val="single" w:sz="6" w:space="0" w:color="FFFFFF"/>
                <w:left w:val="single" w:sz="6" w:space="0" w:color="FFFFFF"/>
                <w:bottom w:val="single" w:sz="6" w:space="0" w:color="FFFFFF"/>
                <w:right w:val="single" w:sz="6" w:space="0" w:color="FFFFFF"/>
              </w:pBdr>
              <w:spacing w:after="54"/>
              <w:jc w:val="center"/>
              <w:rPr>
                <w:color w:val="000000"/>
              </w:rPr>
            </w:pPr>
            <w:r>
              <w:t>4953</w:t>
            </w:r>
          </w:p>
        </w:tc>
        <w:tc>
          <w:tcPr>
            <w:tcW w:w="1890" w:type="dxa"/>
            <w:tcBorders>
              <w:top w:val="single" w:sz="7" w:space="0" w:color="000000"/>
              <w:left w:val="single" w:sz="7" w:space="0" w:color="000000"/>
              <w:bottom w:val="single" w:sz="6" w:space="0" w:color="FFFFFF"/>
              <w:right w:val="single" w:sz="7" w:space="0" w:color="000000"/>
            </w:tcBorders>
          </w:tcPr>
          <w:p w:rsidR="00C0236B" w:rsidRDefault="00C0236B" w:rsidP="00926154">
            <w:pPr>
              <w:spacing w:line="120" w:lineRule="exact"/>
              <w:jc w:val="center"/>
            </w:pPr>
          </w:p>
          <w:p w:rsidR="00C0236B" w:rsidDel="007A3426" w:rsidRDefault="00C0236B" w:rsidP="00926154">
            <w:pPr>
              <w:pBdr>
                <w:top w:val="single" w:sz="6" w:space="0" w:color="FFFFFF"/>
                <w:left w:val="single" w:sz="6" w:space="0" w:color="FFFFFF"/>
                <w:bottom w:val="single" w:sz="6" w:space="0" w:color="FFFFFF"/>
                <w:right w:val="single" w:sz="6" w:space="0" w:color="FFFFFF"/>
              </w:pBdr>
              <w:spacing w:after="54"/>
              <w:jc w:val="center"/>
              <w:rPr>
                <w:color w:val="000000"/>
              </w:rPr>
            </w:pPr>
            <w:r>
              <w:t>562211</w:t>
            </w:r>
          </w:p>
        </w:tc>
      </w:tr>
      <w:tr w:rsidR="00C0236B" w:rsidTr="00926154">
        <w:tc>
          <w:tcPr>
            <w:tcW w:w="5580" w:type="dxa"/>
            <w:tcBorders>
              <w:top w:val="single" w:sz="7" w:space="0" w:color="000000"/>
              <w:left w:val="single" w:sz="7" w:space="0" w:color="000000"/>
              <w:bottom w:val="single" w:sz="6" w:space="0" w:color="FFFFFF"/>
              <w:right w:val="single" w:sz="6" w:space="0" w:color="FFFFFF"/>
            </w:tcBorders>
          </w:tcPr>
          <w:p w:rsidR="00C0236B" w:rsidRDefault="00C0236B" w:rsidP="005B5354">
            <w:pPr>
              <w:spacing w:line="120" w:lineRule="exact"/>
            </w:pPr>
          </w:p>
          <w:p w:rsidR="00C0236B" w:rsidRDefault="00776CA1" w:rsidP="00776CA1">
            <w:pPr>
              <w:pBdr>
                <w:top w:val="single" w:sz="6" w:space="0" w:color="FFFFFF"/>
                <w:left w:val="single" w:sz="6" w:space="0" w:color="FFFFFF"/>
                <w:bottom w:val="single" w:sz="6" w:space="0" w:color="FFFFFF"/>
                <w:right w:val="single" w:sz="6" w:space="0" w:color="FFFFFF"/>
              </w:pBdr>
              <w:spacing w:after="54"/>
              <w:rPr>
                <w:color w:val="000000"/>
              </w:rPr>
            </w:pPr>
            <w:r>
              <w:t>M</w:t>
            </w:r>
            <w:r w:rsidR="00C0236B">
              <w:t>aterial</w:t>
            </w:r>
            <w:r>
              <w:t>s</w:t>
            </w:r>
            <w:r w:rsidR="00C0236B">
              <w:t xml:space="preserve"> </w:t>
            </w:r>
            <w:r>
              <w:t>R</w:t>
            </w:r>
            <w:r w:rsidR="00C0236B">
              <w:t xml:space="preserve">ecovery </w:t>
            </w:r>
            <w:r>
              <w:t>F</w:t>
            </w:r>
            <w:r w:rsidR="00C0236B">
              <w:t>acilities</w:t>
            </w:r>
          </w:p>
        </w:tc>
        <w:tc>
          <w:tcPr>
            <w:tcW w:w="1890" w:type="dxa"/>
            <w:tcBorders>
              <w:top w:val="single" w:sz="7" w:space="0" w:color="000000"/>
              <w:left w:val="single" w:sz="7" w:space="0" w:color="000000"/>
              <w:bottom w:val="single" w:sz="6" w:space="0" w:color="FFFFFF"/>
              <w:right w:val="single" w:sz="6" w:space="0" w:color="FFFFFF"/>
            </w:tcBorders>
          </w:tcPr>
          <w:p w:rsidR="00C0236B" w:rsidRDefault="00C0236B" w:rsidP="00926154">
            <w:pPr>
              <w:spacing w:line="120" w:lineRule="exact"/>
              <w:jc w:val="center"/>
            </w:pPr>
          </w:p>
          <w:p w:rsidR="00C0236B" w:rsidRDefault="00C0236B" w:rsidP="00926154">
            <w:pPr>
              <w:pBdr>
                <w:top w:val="single" w:sz="6" w:space="0" w:color="FFFFFF"/>
                <w:left w:val="single" w:sz="6" w:space="0" w:color="FFFFFF"/>
                <w:bottom w:val="single" w:sz="6" w:space="0" w:color="FFFFFF"/>
                <w:right w:val="single" w:sz="6" w:space="0" w:color="FFFFFF"/>
              </w:pBdr>
              <w:spacing w:after="54"/>
              <w:jc w:val="center"/>
              <w:rPr>
                <w:color w:val="000000"/>
              </w:rPr>
            </w:pPr>
            <w:r>
              <w:t>4953</w:t>
            </w:r>
          </w:p>
        </w:tc>
        <w:tc>
          <w:tcPr>
            <w:tcW w:w="1890" w:type="dxa"/>
            <w:tcBorders>
              <w:top w:val="single" w:sz="7" w:space="0" w:color="000000"/>
              <w:left w:val="single" w:sz="7" w:space="0" w:color="000000"/>
              <w:bottom w:val="single" w:sz="6" w:space="0" w:color="FFFFFF"/>
              <w:right w:val="single" w:sz="7" w:space="0" w:color="000000"/>
            </w:tcBorders>
          </w:tcPr>
          <w:p w:rsidR="00C0236B" w:rsidRDefault="00C0236B" w:rsidP="00926154">
            <w:pPr>
              <w:spacing w:line="120" w:lineRule="exact"/>
              <w:jc w:val="center"/>
            </w:pPr>
          </w:p>
          <w:p w:rsidR="00C0236B" w:rsidRDefault="00C0236B" w:rsidP="00926154">
            <w:pPr>
              <w:pBdr>
                <w:top w:val="single" w:sz="6" w:space="0" w:color="FFFFFF"/>
                <w:left w:val="single" w:sz="6" w:space="0" w:color="FFFFFF"/>
                <w:bottom w:val="single" w:sz="6" w:space="0" w:color="FFFFFF"/>
                <w:right w:val="single" w:sz="6" w:space="0" w:color="FFFFFF"/>
              </w:pBdr>
              <w:spacing w:after="54"/>
              <w:jc w:val="center"/>
              <w:rPr>
                <w:color w:val="000000"/>
              </w:rPr>
            </w:pPr>
            <w:r>
              <w:t>562920</w:t>
            </w:r>
          </w:p>
        </w:tc>
      </w:tr>
      <w:tr w:rsidR="00C0236B" w:rsidTr="00926154">
        <w:tc>
          <w:tcPr>
            <w:tcW w:w="5580" w:type="dxa"/>
            <w:tcBorders>
              <w:top w:val="single" w:sz="7" w:space="0" w:color="000000"/>
              <w:left w:val="single" w:sz="7" w:space="0" w:color="000000"/>
              <w:bottom w:val="single" w:sz="6" w:space="0" w:color="FFFFFF"/>
              <w:right w:val="single" w:sz="6" w:space="0" w:color="FFFFFF"/>
            </w:tcBorders>
          </w:tcPr>
          <w:p w:rsidR="00C0236B" w:rsidRDefault="00C0236B" w:rsidP="005B5354">
            <w:pPr>
              <w:spacing w:line="120" w:lineRule="exact"/>
            </w:pPr>
          </w:p>
          <w:p w:rsidR="00C0236B" w:rsidRDefault="00776CA1" w:rsidP="00776CA1">
            <w:pPr>
              <w:pBdr>
                <w:top w:val="single" w:sz="6" w:space="0" w:color="FFFFFF"/>
                <w:left w:val="single" w:sz="6" w:space="0" w:color="FFFFFF"/>
                <w:bottom w:val="single" w:sz="6" w:space="0" w:color="FFFFFF"/>
                <w:right w:val="single" w:sz="6" w:space="0" w:color="FFFFFF"/>
              </w:pBdr>
              <w:spacing w:after="54"/>
              <w:rPr>
                <w:color w:val="000000"/>
              </w:rPr>
            </w:pPr>
            <w:r>
              <w:t>O</w:t>
            </w:r>
            <w:r w:rsidR="00C0236B">
              <w:t xml:space="preserve">ther </w:t>
            </w:r>
            <w:r>
              <w:t>H</w:t>
            </w:r>
            <w:r w:rsidR="00C0236B">
              <w:t xml:space="preserve">azardous </w:t>
            </w:r>
            <w:r>
              <w:t>W</w:t>
            </w:r>
            <w:r w:rsidR="00C0236B">
              <w:t xml:space="preserve">aste </w:t>
            </w:r>
            <w:r>
              <w:t>T</w:t>
            </w:r>
            <w:r w:rsidR="00C0236B">
              <w:t xml:space="preserve">reatment and </w:t>
            </w:r>
            <w:r>
              <w:t>D</w:t>
            </w:r>
            <w:r w:rsidR="00C0236B">
              <w:t>isposal</w:t>
            </w:r>
          </w:p>
        </w:tc>
        <w:tc>
          <w:tcPr>
            <w:tcW w:w="1890" w:type="dxa"/>
            <w:tcBorders>
              <w:top w:val="single" w:sz="7" w:space="0" w:color="000000"/>
              <w:left w:val="single" w:sz="7" w:space="0" w:color="000000"/>
              <w:bottom w:val="single" w:sz="6" w:space="0" w:color="FFFFFF"/>
              <w:right w:val="single" w:sz="6" w:space="0" w:color="FFFFFF"/>
            </w:tcBorders>
          </w:tcPr>
          <w:p w:rsidR="00C0236B" w:rsidRDefault="00C0236B" w:rsidP="00926154">
            <w:pPr>
              <w:spacing w:line="120" w:lineRule="exact"/>
              <w:jc w:val="center"/>
            </w:pPr>
          </w:p>
          <w:p w:rsidR="00C0236B" w:rsidRDefault="00C0236B" w:rsidP="00926154">
            <w:pPr>
              <w:pBdr>
                <w:top w:val="single" w:sz="6" w:space="0" w:color="FFFFFF"/>
                <w:left w:val="single" w:sz="6" w:space="0" w:color="FFFFFF"/>
                <w:bottom w:val="single" w:sz="6" w:space="0" w:color="FFFFFF"/>
                <w:right w:val="single" w:sz="6" w:space="0" w:color="FFFFFF"/>
              </w:pBdr>
              <w:spacing w:after="54"/>
              <w:jc w:val="center"/>
              <w:rPr>
                <w:color w:val="000000"/>
              </w:rPr>
            </w:pPr>
            <w:r>
              <w:t>4953</w:t>
            </w:r>
          </w:p>
        </w:tc>
        <w:tc>
          <w:tcPr>
            <w:tcW w:w="1890" w:type="dxa"/>
            <w:tcBorders>
              <w:top w:val="single" w:sz="7" w:space="0" w:color="000000"/>
              <w:left w:val="single" w:sz="7" w:space="0" w:color="000000"/>
              <w:bottom w:val="single" w:sz="6" w:space="0" w:color="FFFFFF"/>
              <w:right w:val="single" w:sz="7" w:space="0" w:color="000000"/>
            </w:tcBorders>
          </w:tcPr>
          <w:p w:rsidR="00C0236B" w:rsidRDefault="00C0236B" w:rsidP="00926154">
            <w:pPr>
              <w:spacing w:line="120" w:lineRule="exact"/>
              <w:jc w:val="center"/>
            </w:pPr>
          </w:p>
          <w:p w:rsidR="00C0236B" w:rsidRDefault="00C0236B" w:rsidP="00926154">
            <w:pPr>
              <w:pBdr>
                <w:top w:val="single" w:sz="6" w:space="0" w:color="FFFFFF"/>
                <w:left w:val="single" w:sz="6" w:space="0" w:color="FFFFFF"/>
                <w:bottom w:val="single" w:sz="6" w:space="0" w:color="FFFFFF"/>
                <w:right w:val="single" w:sz="6" w:space="0" w:color="FFFFFF"/>
              </w:pBdr>
              <w:spacing w:after="54"/>
              <w:jc w:val="center"/>
              <w:rPr>
                <w:color w:val="000000"/>
              </w:rPr>
            </w:pPr>
            <w:r>
              <w:t>562219</w:t>
            </w:r>
          </w:p>
        </w:tc>
      </w:tr>
      <w:tr w:rsidR="00C0236B" w:rsidTr="00926154">
        <w:tc>
          <w:tcPr>
            <w:tcW w:w="5580" w:type="dxa"/>
            <w:tcBorders>
              <w:top w:val="single" w:sz="7" w:space="0" w:color="000000"/>
              <w:left w:val="single" w:sz="7" w:space="0" w:color="000000"/>
              <w:bottom w:val="single" w:sz="6" w:space="0" w:color="FFFFFF"/>
              <w:right w:val="single" w:sz="6" w:space="0" w:color="FFFFFF"/>
            </w:tcBorders>
          </w:tcPr>
          <w:p w:rsidR="00C0236B" w:rsidRDefault="00C0236B" w:rsidP="005B5354">
            <w:pPr>
              <w:spacing w:line="120" w:lineRule="exact"/>
            </w:pPr>
          </w:p>
          <w:p w:rsidR="00C0236B" w:rsidRDefault="00776CA1" w:rsidP="00776CA1">
            <w:pPr>
              <w:pBdr>
                <w:top w:val="single" w:sz="6" w:space="0" w:color="FFFFFF"/>
                <w:left w:val="single" w:sz="6" w:space="0" w:color="FFFFFF"/>
                <w:bottom w:val="single" w:sz="6" w:space="0" w:color="FFFFFF"/>
                <w:right w:val="single" w:sz="6" w:space="0" w:color="FFFFFF"/>
              </w:pBdr>
              <w:spacing w:after="54"/>
              <w:rPr>
                <w:color w:val="000000"/>
              </w:rPr>
            </w:pPr>
            <w:r>
              <w:t>S</w:t>
            </w:r>
            <w:r w:rsidR="00C0236B">
              <w:t xml:space="preserve">olid </w:t>
            </w:r>
            <w:r>
              <w:t>W</w:t>
            </w:r>
            <w:r w:rsidR="00C0236B">
              <w:t xml:space="preserve">aste </w:t>
            </w:r>
            <w:r>
              <w:t>C</w:t>
            </w:r>
            <w:r w:rsidR="00C0236B">
              <w:t xml:space="preserve">ombustors and </w:t>
            </w:r>
            <w:r>
              <w:t>I</w:t>
            </w:r>
            <w:r w:rsidR="00C0236B">
              <w:t>ncinerators</w:t>
            </w:r>
          </w:p>
        </w:tc>
        <w:tc>
          <w:tcPr>
            <w:tcW w:w="1890" w:type="dxa"/>
            <w:tcBorders>
              <w:top w:val="single" w:sz="7" w:space="0" w:color="000000"/>
              <w:left w:val="single" w:sz="7" w:space="0" w:color="000000"/>
              <w:bottom w:val="single" w:sz="6" w:space="0" w:color="FFFFFF"/>
              <w:right w:val="single" w:sz="6" w:space="0" w:color="FFFFFF"/>
            </w:tcBorders>
          </w:tcPr>
          <w:p w:rsidR="00C0236B" w:rsidRDefault="00C0236B" w:rsidP="00926154">
            <w:pPr>
              <w:spacing w:line="120" w:lineRule="exact"/>
              <w:jc w:val="center"/>
            </w:pPr>
          </w:p>
          <w:p w:rsidR="00C0236B" w:rsidRDefault="00C0236B" w:rsidP="00926154">
            <w:pPr>
              <w:pBdr>
                <w:top w:val="single" w:sz="6" w:space="0" w:color="FFFFFF"/>
                <w:left w:val="single" w:sz="6" w:space="0" w:color="FFFFFF"/>
                <w:bottom w:val="single" w:sz="6" w:space="0" w:color="FFFFFF"/>
                <w:right w:val="single" w:sz="6" w:space="0" w:color="FFFFFF"/>
              </w:pBdr>
              <w:spacing w:after="54"/>
              <w:jc w:val="center"/>
              <w:rPr>
                <w:color w:val="000000"/>
              </w:rPr>
            </w:pPr>
            <w:r>
              <w:t>4953</w:t>
            </w:r>
          </w:p>
        </w:tc>
        <w:tc>
          <w:tcPr>
            <w:tcW w:w="1890" w:type="dxa"/>
            <w:tcBorders>
              <w:top w:val="single" w:sz="7" w:space="0" w:color="000000"/>
              <w:left w:val="single" w:sz="7" w:space="0" w:color="000000"/>
              <w:bottom w:val="single" w:sz="6" w:space="0" w:color="FFFFFF"/>
              <w:right w:val="single" w:sz="7" w:space="0" w:color="000000"/>
            </w:tcBorders>
          </w:tcPr>
          <w:p w:rsidR="00C0236B" w:rsidRDefault="00C0236B" w:rsidP="00926154">
            <w:pPr>
              <w:spacing w:line="120" w:lineRule="exact"/>
              <w:jc w:val="center"/>
            </w:pPr>
          </w:p>
          <w:p w:rsidR="00C0236B" w:rsidRDefault="00C0236B" w:rsidP="00926154">
            <w:pPr>
              <w:pBdr>
                <w:top w:val="single" w:sz="6" w:space="0" w:color="FFFFFF"/>
                <w:left w:val="single" w:sz="6" w:space="0" w:color="FFFFFF"/>
                <w:bottom w:val="single" w:sz="6" w:space="0" w:color="FFFFFF"/>
                <w:right w:val="single" w:sz="6" w:space="0" w:color="FFFFFF"/>
              </w:pBdr>
              <w:spacing w:after="54"/>
              <w:jc w:val="center"/>
              <w:rPr>
                <w:color w:val="000000"/>
              </w:rPr>
            </w:pPr>
            <w:r>
              <w:t>562213</w:t>
            </w:r>
          </w:p>
        </w:tc>
      </w:tr>
      <w:tr w:rsidR="00C0236B" w:rsidTr="00926154">
        <w:tc>
          <w:tcPr>
            <w:tcW w:w="5580" w:type="dxa"/>
            <w:tcBorders>
              <w:top w:val="single" w:sz="7" w:space="0" w:color="000000"/>
              <w:left w:val="single" w:sz="7" w:space="0" w:color="000000"/>
              <w:bottom w:val="single" w:sz="7" w:space="0" w:color="000000"/>
              <w:right w:val="single" w:sz="6" w:space="0" w:color="FFFFFF"/>
            </w:tcBorders>
          </w:tcPr>
          <w:p w:rsidR="00C0236B" w:rsidRDefault="00C0236B" w:rsidP="005B5354">
            <w:pPr>
              <w:spacing w:line="120" w:lineRule="exact"/>
            </w:pPr>
          </w:p>
          <w:p w:rsidR="00C0236B" w:rsidRDefault="00776CA1" w:rsidP="00776CA1">
            <w:pPr>
              <w:pBdr>
                <w:top w:val="single" w:sz="6" w:space="0" w:color="FFFFFF"/>
                <w:left w:val="single" w:sz="6" w:space="0" w:color="FFFFFF"/>
                <w:bottom w:val="single" w:sz="6" w:space="0" w:color="FFFFFF"/>
                <w:right w:val="single" w:sz="6" w:space="0" w:color="FFFFFF"/>
              </w:pBdr>
              <w:spacing w:after="73"/>
              <w:rPr>
                <w:color w:val="000000"/>
              </w:rPr>
            </w:pPr>
            <w:r>
              <w:t>S</w:t>
            </w:r>
            <w:r w:rsidR="00C0236B">
              <w:t xml:space="preserve">olid </w:t>
            </w:r>
            <w:r>
              <w:t>W</w:t>
            </w:r>
            <w:r w:rsidR="00C0236B">
              <w:t xml:space="preserve">aste </w:t>
            </w:r>
            <w:r>
              <w:t>L</w:t>
            </w:r>
            <w:r w:rsidR="00C0236B">
              <w:t>andfills</w:t>
            </w:r>
          </w:p>
        </w:tc>
        <w:tc>
          <w:tcPr>
            <w:tcW w:w="1890" w:type="dxa"/>
            <w:tcBorders>
              <w:top w:val="single" w:sz="7" w:space="0" w:color="000000"/>
              <w:left w:val="single" w:sz="7" w:space="0" w:color="000000"/>
              <w:bottom w:val="single" w:sz="7" w:space="0" w:color="000000"/>
              <w:right w:val="single" w:sz="6" w:space="0" w:color="FFFFFF"/>
            </w:tcBorders>
          </w:tcPr>
          <w:p w:rsidR="00C0236B" w:rsidRDefault="00C0236B" w:rsidP="00926154">
            <w:pPr>
              <w:spacing w:line="120" w:lineRule="exact"/>
              <w:jc w:val="center"/>
            </w:pPr>
          </w:p>
          <w:p w:rsidR="00C0236B" w:rsidRDefault="00C0236B" w:rsidP="00926154">
            <w:pPr>
              <w:pBdr>
                <w:top w:val="single" w:sz="6" w:space="0" w:color="FFFFFF"/>
                <w:left w:val="single" w:sz="6" w:space="0" w:color="FFFFFF"/>
                <w:bottom w:val="single" w:sz="6" w:space="0" w:color="FFFFFF"/>
                <w:right w:val="single" w:sz="6" w:space="0" w:color="FFFFFF"/>
              </w:pBdr>
              <w:spacing w:after="73"/>
              <w:jc w:val="center"/>
              <w:rPr>
                <w:color w:val="000000"/>
              </w:rPr>
            </w:pPr>
            <w:r>
              <w:t>4953</w:t>
            </w:r>
          </w:p>
        </w:tc>
        <w:tc>
          <w:tcPr>
            <w:tcW w:w="1890" w:type="dxa"/>
            <w:tcBorders>
              <w:top w:val="single" w:sz="7" w:space="0" w:color="000000"/>
              <w:left w:val="single" w:sz="7" w:space="0" w:color="000000"/>
              <w:bottom w:val="single" w:sz="7" w:space="0" w:color="000000"/>
              <w:right w:val="single" w:sz="7" w:space="0" w:color="000000"/>
            </w:tcBorders>
          </w:tcPr>
          <w:p w:rsidR="00C0236B" w:rsidRDefault="00C0236B" w:rsidP="00926154">
            <w:pPr>
              <w:spacing w:line="120" w:lineRule="exact"/>
              <w:jc w:val="center"/>
            </w:pPr>
          </w:p>
          <w:p w:rsidR="00C0236B" w:rsidRDefault="00C0236B" w:rsidP="00926154">
            <w:pPr>
              <w:pBdr>
                <w:top w:val="single" w:sz="6" w:space="0" w:color="FFFFFF"/>
                <w:left w:val="single" w:sz="6" w:space="0" w:color="FFFFFF"/>
                <w:bottom w:val="single" w:sz="6" w:space="0" w:color="FFFFFF"/>
                <w:right w:val="single" w:sz="6" w:space="0" w:color="FFFFFF"/>
              </w:pBdr>
              <w:spacing w:after="73"/>
              <w:jc w:val="center"/>
              <w:rPr>
                <w:color w:val="000000"/>
              </w:rPr>
            </w:pPr>
            <w:r>
              <w:t>562212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C336A"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w:t>
      </w:r>
      <w:r w:rsidR="00CA4CD6" w:rsidRPr="00776CA1">
        <w:t xml:space="preserve">uired by </w:t>
      </w:r>
      <w:r w:rsidR="00776CA1" w:rsidRPr="00776CA1">
        <w:t>the</w:t>
      </w:r>
      <w:r w:rsidR="00776CA1">
        <w:rPr>
          <w:color w:val="FF0000"/>
        </w:rPr>
        <w:t xml:space="preserve"> </w:t>
      </w:r>
      <w:r w:rsidR="005B5354" w:rsidRPr="00843418">
        <w:rPr>
          <w:bCs/>
        </w:rPr>
        <w:t>NSPS for Municipal Waste Combustors</w:t>
      </w:r>
      <w:r w:rsidR="005B5354" w:rsidRPr="00843418">
        <w:t xml:space="preserve"> (40 CFR</w:t>
      </w:r>
      <w:r w:rsidR="005B5354" w:rsidRPr="00843418">
        <w:rPr>
          <w:color w:val="FF0000"/>
        </w:rPr>
        <w:t xml:space="preserve"> </w:t>
      </w:r>
      <w:r w:rsidR="005B5354" w:rsidRPr="00843418">
        <w:t>Part 60, Subpart Ea and Eb)</w:t>
      </w:r>
      <w:r w:rsidR="00767D60" w:rsidRPr="00767D60">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5B535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B5354"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Notification of construction/reconstruction or modification</w:t>
            </w:r>
          </w:p>
        </w:tc>
        <w:tc>
          <w:tcPr>
            <w:tcW w:w="234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60.7(a)(1), 60.59a(a), 60.59b(a-c)</w:t>
            </w:r>
          </w:p>
        </w:tc>
      </w:tr>
      <w:tr w:rsidR="005B5354"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Notification of preconstruction plans and public meeting material</w:t>
            </w:r>
          </w:p>
        </w:tc>
        <w:tc>
          <w:tcPr>
            <w:tcW w:w="234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60.59b(a)</w:t>
            </w:r>
          </w:p>
        </w:tc>
      </w:tr>
      <w:tr w:rsidR="005B5354"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60.7(a)(3), 60.59a(a), 60.9b(c)</w:t>
            </w:r>
          </w:p>
        </w:tc>
      </w:tr>
      <w:tr w:rsidR="005B5354"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Notification related to siting analysis</w:t>
            </w:r>
          </w:p>
        </w:tc>
        <w:tc>
          <w:tcPr>
            <w:tcW w:w="234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60.59b(a)</w:t>
            </w:r>
          </w:p>
        </w:tc>
      </w:tr>
      <w:tr w:rsidR="005B5354"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60.8(d)</w:t>
            </w:r>
          </w:p>
        </w:tc>
      </w:tr>
      <w:tr w:rsidR="005B5354"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Notification of initial performance tests results</w:t>
            </w:r>
          </w:p>
        </w:tc>
        <w:tc>
          <w:tcPr>
            <w:tcW w:w="234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60.8(a)</w:t>
            </w:r>
          </w:p>
        </w:tc>
      </w:tr>
      <w:tr w:rsidR="005B5354"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Notification of 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60.7(a)(5)</w:t>
            </w:r>
          </w:p>
        </w:tc>
      </w:tr>
      <w:tr w:rsidR="005B5354"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60.7(a)(4)</w:t>
            </w:r>
          </w:p>
        </w:tc>
      </w:tr>
      <w:tr w:rsidR="005B5354"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Notification related to opacity</w:t>
            </w:r>
          </w:p>
        </w:tc>
        <w:tc>
          <w:tcPr>
            <w:tcW w:w="234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60.7(a)(6), 60.59b(c)</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rsidTr="005B535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B5354"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Report on initial performance test results</w:t>
            </w:r>
          </w:p>
        </w:tc>
        <w:tc>
          <w:tcPr>
            <w:tcW w:w="207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60.8(a), 60.59a(c), 60.59b(f)</w:t>
            </w:r>
          </w:p>
        </w:tc>
      </w:tr>
      <w:tr w:rsidR="005B5354"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Report on public meeting (notification and transcript)</w:t>
            </w:r>
          </w:p>
        </w:tc>
        <w:tc>
          <w:tcPr>
            <w:tcW w:w="207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 xml:space="preserve">60.59b(a)(2-3), </w:t>
            </w:r>
          </w:p>
        </w:tc>
      </w:tr>
      <w:tr w:rsidR="005B5354"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Report on responses to public comment</w:t>
            </w:r>
          </w:p>
        </w:tc>
        <w:tc>
          <w:tcPr>
            <w:tcW w:w="207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60.59b(a)(4)</w:t>
            </w:r>
          </w:p>
        </w:tc>
      </w:tr>
      <w:tr w:rsidR="005B5354"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Report on preliminary and final draft materials separation plans</w:t>
            </w:r>
          </w:p>
        </w:tc>
        <w:tc>
          <w:tcPr>
            <w:tcW w:w="207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60.59b(a)(1)</w:t>
            </w:r>
          </w:p>
        </w:tc>
      </w:tr>
      <w:tr w:rsidR="005B5354"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Report on weights of municipal solid waste and other fuels fired</w:t>
            </w:r>
          </w:p>
        </w:tc>
        <w:tc>
          <w:tcPr>
            <w:tcW w:w="207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60.59a(b)(3)</w:t>
            </w:r>
          </w:p>
        </w:tc>
      </w:tr>
      <w:tr w:rsidR="005B5354"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Report on performance tests/compliance report</w:t>
            </w:r>
          </w:p>
        </w:tc>
        <w:tc>
          <w:tcPr>
            <w:tcW w:w="207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60.8(a), 60.59a(e), 60.59a(g), 60.59b(g)</w:t>
            </w:r>
          </w:p>
        </w:tc>
      </w:tr>
      <w:tr w:rsidR="005B5354"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Report excess emissions</w:t>
            </w:r>
          </w:p>
        </w:tc>
        <w:tc>
          <w:tcPr>
            <w:tcW w:w="207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60.59a(f), 60.59b(h)</w:t>
            </w:r>
          </w:p>
        </w:tc>
      </w:tr>
      <w:tr w:rsidR="005B5354"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Report on continuous emission monitoring system (CEMS) demonstration and test data</w:t>
            </w:r>
          </w:p>
        </w:tc>
        <w:tc>
          <w:tcPr>
            <w:tcW w:w="207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60.8(a), 60.59b(f)</w:t>
            </w:r>
          </w:p>
        </w:tc>
      </w:tr>
      <w:tr w:rsidR="005B5354"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Report of emission levels during annual test (if necessary)</w:t>
            </w:r>
          </w:p>
        </w:tc>
        <w:tc>
          <w:tcPr>
            <w:tcW w:w="207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60.59b(d)</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5B535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B5354"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Initial performance tests and annual performance tests</w:t>
            </w:r>
          </w:p>
        </w:tc>
        <w:tc>
          <w:tcPr>
            <w:tcW w:w="2250" w:type="dxa"/>
            <w:tcBorders>
              <w:top w:val="single" w:sz="7" w:space="0" w:color="000000"/>
              <w:left w:val="single" w:sz="7" w:space="0" w:color="000000"/>
              <w:bottom w:val="single" w:sz="7" w:space="0" w:color="000000"/>
              <w:right w:val="single" w:sz="7" w:space="0" w:color="000000"/>
            </w:tcBorders>
          </w:tcPr>
          <w:p w:rsidR="005B5354" w:rsidRDefault="005B5354" w:rsidP="005B5354">
            <w:pPr>
              <w:spacing w:line="120" w:lineRule="exact"/>
            </w:pPr>
          </w:p>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60.59b(d)</w:t>
            </w:r>
          </w:p>
        </w:tc>
      </w:tr>
      <w:tr w:rsidR="005B5354"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Records of periodic testing for fugitive ash emissions</w:t>
            </w:r>
          </w:p>
        </w:tc>
        <w:tc>
          <w:tcPr>
            <w:tcW w:w="225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60.59b(d)</w:t>
            </w:r>
          </w:p>
        </w:tc>
      </w:tr>
      <w:tr w:rsidR="005B5354"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Startup, shutdown, malfunction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60.7(b)</w:t>
            </w:r>
          </w:p>
        </w:tc>
      </w:tr>
      <w:tr w:rsidR="005B5354"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Occurrence, duration of interruption in operation</w:t>
            </w:r>
          </w:p>
        </w:tc>
        <w:tc>
          <w:tcPr>
            <w:tcW w:w="225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60.7(b)</w:t>
            </w:r>
          </w:p>
        </w:tc>
      </w:tr>
      <w:tr w:rsidR="005B5354"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Records of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60.59a(i)</w:t>
            </w:r>
          </w:p>
        </w:tc>
      </w:tr>
      <w:tr w:rsidR="005B5354"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Results of daily CEMs drift tests and Appendix F accuracy assessment</w:t>
            </w:r>
          </w:p>
        </w:tc>
        <w:tc>
          <w:tcPr>
            <w:tcW w:w="225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60.59b(d)</w:t>
            </w:r>
          </w:p>
        </w:tc>
      </w:tr>
      <w:tr w:rsidR="005B5354"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Amounts of sorbent used for mercury (Hg) control</w:t>
            </w:r>
          </w:p>
        </w:tc>
        <w:tc>
          <w:tcPr>
            <w:tcW w:w="225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60.59b(d)</w:t>
            </w:r>
          </w:p>
        </w:tc>
      </w:tr>
      <w:tr w:rsidR="005B5354"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Persons reviewing operating material</w:t>
            </w:r>
          </w:p>
        </w:tc>
        <w:tc>
          <w:tcPr>
            <w:tcW w:w="225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60.59a(j), 60.59b(d)</w:t>
            </w:r>
          </w:p>
        </w:tc>
      </w:tr>
      <w:tr w:rsidR="005B5354"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Records are required to be retained for two years (subpart Ea)</w:t>
            </w:r>
          </w:p>
        </w:tc>
        <w:tc>
          <w:tcPr>
            <w:tcW w:w="225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60.59a(b)</w:t>
            </w:r>
          </w:p>
        </w:tc>
      </w:tr>
      <w:tr w:rsidR="005B5354"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Records are required to be retained for five years (subpart Eb)</w:t>
            </w:r>
          </w:p>
        </w:tc>
        <w:tc>
          <w:tcPr>
            <w:tcW w:w="2250" w:type="dxa"/>
            <w:tcBorders>
              <w:top w:val="single" w:sz="7" w:space="0" w:color="000000"/>
              <w:left w:val="single" w:sz="7" w:space="0" w:color="000000"/>
              <w:bottom w:val="single" w:sz="7" w:space="0" w:color="000000"/>
              <w:right w:val="single" w:sz="7" w:space="0" w:color="000000"/>
            </w:tcBorders>
          </w:tcPr>
          <w:p w:rsidR="005B5354" w:rsidRPr="00CF2B37" w:rsidRDefault="005B5354">
            <w:pPr>
              <w:pBdr>
                <w:top w:val="single" w:sz="6" w:space="0" w:color="FFFFFF"/>
                <w:left w:val="single" w:sz="6" w:space="0" w:color="FFFFFF"/>
                <w:bottom w:val="single" w:sz="6" w:space="0" w:color="FFFFFF"/>
                <w:right w:val="single" w:sz="6" w:space="0" w:color="FFFFFF"/>
              </w:pBdr>
              <w:spacing w:after="58"/>
            </w:pPr>
            <w:r>
              <w:t>60.59b(d-e)</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767D60" w:rsidRPr="00767D60">
        <w:t xml:space="preserve">10 </w:t>
      </w:r>
      <w:r>
        <w:rPr>
          <w:color w:val="000000"/>
        </w:rPr>
        <w:t>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3509A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767D60" w:rsidRPr="00767D60">
              <w:t xml:space="preserve">control device.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3509A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CB1B09">
              <w:rPr>
                <w:color w:val="000000"/>
              </w:rPr>
              <w:t>19</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9111ED" w:rsidTr="007A0341">
        <w:trPr>
          <w:jc w:val="center"/>
        </w:trPr>
        <w:tc>
          <w:tcPr>
            <w:tcW w:w="9360" w:type="dxa"/>
            <w:tcBorders>
              <w:top w:val="single" w:sz="7" w:space="0" w:color="000000"/>
              <w:left w:val="single" w:sz="7" w:space="0" w:color="000000"/>
              <w:bottom w:val="single" w:sz="7" w:space="0" w:color="000000"/>
              <w:right w:val="single" w:sz="7" w:space="0" w:color="000000"/>
            </w:tcBorders>
          </w:tcPr>
          <w:p w:rsidR="009111ED" w:rsidRDefault="009111ED" w:rsidP="007A0341">
            <w:pPr>
              <w:spacing w:line="120" w:lineRule="exact"/>
              <w:rPr>
                <w:color w:val="000000"/>
              </w:rPr>
            </w:pPr>
          </w:p>
          <w:p w:rsidR="009111ED" w:rsidRDefault="009111ED" w:rsidP="007A0341">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r w:rsidR="009111ED" w:rsidTr="007A0341">
        <w:trPr>
          <w:jc w:val="center"/>
        </w:trPr>
        <w:tc>
          <w:tcPr>
            <w:tcW w:w="9360" w:type="dxa"/>
            <w:tcBorders>
              <w:top w:val="single" w:sz="7" w:space="0" w:color="000000"/>
              <w:left w:val="single" w:sz="7" w:space="0" w:color="000000"/>
              <w:bottom w:val="single" w:sz="7" w:space="0" w:color="000000"/>
              <w:right w:val="single" w:sz="7" w:space="0" w:color="000000"/>
            </w:tcBorders>
          </w:tcPr>
          <w:p w:rsidR="009111ED" w:rsidRDefault="009111ED" w:rsidP="007A0341">
            <w:pPr>
              <w:spacing w:line="120" w:lineRule="exact"/>
              <w:rPr>
                <w:color w:val="000000"/>
              </w:rPr>
            </w:pPr>
          </w:p>
          <w:p w:rsidR="009111ED" w:rsidRDefault="009111ED" w:rsidP="007A0341">
            <w:pPr>
              <w:pBdr>
                <w:top w:val="single" w:sz="6" w:space="0" w:color="FFFFFF"/>
                <w:left w:val="single" w:sz="6" w:space="0" w:color="FFFFFF"/>
                <w:bottom w:val="single" w:sz="6" w:space="0" w:color="FFFFFF"/>
                <w:right w:val="single" w:sz="6" w:space="0" w:color="FFFFFF"/>
              </w:pBdr>
              <w:spacing w:after="74"/>
              <w:rPr>
                <w:color w:val="000000"/>
              </w:rPr>
            </w:pPr>
            <w:r>
              <w:t>Perform site selection analysis.</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9111ED">
            <w:pPr>
              <w:pBdr>
                <w:top w:val="single" w:sz="6" w:space="0" w:color="FFFFFF"/>
                <w:left w:val="single" w:sz="6" w:space="0" w:color="FFFFFF"/>
                <w:bottom w:val="single" w:sz="6" w:space="0" w:color="FFFFFF"/>
                <w:right w:val="single" w:sz="6" w:space="0" w:color="FFFFFF"/>
              </w:pBdr>
              <w:spacing w:after="74"/>
              <w:rPr>
                <w:color w:val="000000"/>
              </w:rPr>
            </w:pPr>
            <w:r>
              <w:t>Hold public meeting on site analysis and material separation plan.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CB1B09" w:rsidRDefault="00767D60" w:rsidP="00CF2B37">
      <w:pPr>
        <w:pBdr>
          <w:top w:val="single" w:sz="6" w:space="0" w:color="FFFFFF"/>
          <w:left w:val="single" w:sz="6" w:space="0" w:color="FFFFFF"/>
          <w:bottom w:val="single" w:sz="6" w:space="0" w:color="FFFFFF"/>
          <w:right w:val="single" w:sz="6" w:space="0" w:color="FFFFFF"/>
        </w:pBdr>
        <w:ind w:firstLine="720"/>
      </w:pPr>
      <w:r w:rsidRPr="00767D60">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CF2B37" w:rsidRPr="00CB1B09" w:rsidRDefault="00CF2B37">
      <w:pPr>
        <w:pBdr>
          <w:top w:val="single" w:sz="6" w:space="0" w:color="FFFFFF"/>
          <w:left w:val="single" w:sz="6" w:space="0" w:color="FFFFFF"/>
          <w:bottom w:val="single" w:sz="6" w:space="0" w:color="FFFFFF"/>
          <w:right w:val="single" w:sz="6" w:space="0" w:color="FFFFFF"/>
        </w:pBdr>
        <w:rPr>
          <w:b/>
          <w:bCs/>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E7D48">
        <w:t xml:space="preserve">Following notification of startup, the reviewing authority </w:t>
      </w:r>
      <w:r w:rsidR="002B29A7" w:rsidRPr="00EE7D48">
        <w:t xml:space="preserve">could </w:t>
      </w:r>
      <w:r w:rsidRPr="00EE7D48">
        <w:t>inspect the source to determine whether the pollution control devices are p</w:t>
      </w:r>
      <w:r w:rsidR="00EE7D48" w:rsidRPr="00EE7D48">
        <w:t xml:space="preserve">roperly installed and operated.  </w:t>
      </w:r>
      <w:r w:rsidRPr="00EE7D48">
        <w:t>Performance test reports are used by the Agency to discern a source</w:t>
      </w:r>
      <w:r w:rsidR="004C701D" w:rsidRPr="00EE7D48">
        <w:t>’</w:t>
      </w:r>
      <w:r w:rsidRPr="00EE7D48">
        <w:t>s initial capability to co</w:t>
      </w:r>
      <w:r w:rsidR="00EE7D48" w:rsidRPr="00EE7D48">
        <w:t>mply with the emission standard</w:t>
      </w:r>
      <w:r w:rsidR="009111ED">
        <w:t>, and</w:t>
      </w:r>
      <w:r w:rsidR="00EE7D48" w:rsidRPr="00EE7D48">
        <w:t xml:space="preserve"> </w:t>
      </w:r>
      <w:r w:rsidRPr="00EE7D48">
        <w:t>note the operating conditions under which compl</w:t>
      </w:r>
      <w:r w:rsidR="009111ED">
        <w:t>iance was achieved.</w:t>
      </w:r>
      <w:r w:rsidRPr="00EE7D48">
        <w:t xml:space="preserve">  </w:t>
      </w:r>
      <w:r>
        <w:rPr>
          <w:color w:val="000000"/>
        </w:rPr>
        <w:t xml:space="preserve">Data and records maintained by the respondents are tabulated and published for use in compliance and enforcement programs.  </w:t>
      </w:r>
      <w:r w:rsidRPr="00EE7D48">
        <w:t xml:space="preserve">The </w:t>
      </w:r>
      <w:r w:rsidR="00CB1B09">
        <w:t xml:space="preserve">quarterly and </w:t>
      </w:r>
      <w:r w:rsidR="00767D60" w:rsidRPr="00767D60">
        <w:t>semiannual reports</w:t>
      </w:r>
      <w:r>
        <w:rPr>
          <w:color w:val="FF0000"/>
        </w:rPr>
        <w:t xml:space="preserve"> </w:t>
      </w:r>
      <w:r w:rsidRPr="00EE7D48">
        <w:t>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767D60" w:rsidRPr="00767D60">
        <w:t xml:space="preserve">five </w:t>
      </w:r>
      <w:r w:rsidR="00F43AF7">
        <w:rPr>
          <w:color w:val="000000"/>
        </w:rPr>
        <w:t>years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Pr="00AB0FAA" w:rsidRDefault="00767D60" w:rsidP="00AF625F">
      <w:pPr>
        <w:pBdr>
          <w:top w:val="single" w:sz="6" w:space="0" w:color="FFFFFF"/>
          <w:left w:val="single" w:sz="6" w:space="0" w:color="FFFFFF"/>
          <w:bottom w:val="single" w:sz="6" w:space="0" w:color="FFFFFF"/>
          <w:right w:val="single" w:sz="6" w:space="0" w:color="FFFFFF"/>
        </w:pBdr>
        <w:ind w:firstLine="720"/>
      </w:pPr>
      <w:r w:rsidRPr="00767D60">
        <w:t xml:space="preserve">A majority of the respondents are large entities (i.e., large businesses).  However, the impact on small entities (i.e., small businesses) was taken into consideration during the development of the regulation. </w:t>
      </w:r>
      <w:r w:rsidR="00AF625F">
        <w:t xml:space="preserve"> </w:t>
      </w:r>
      <w:r w:rsidRPr="00767D60">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AB0FAA" w:rsidRPr="000A7A85">
        <w:t xml:space="preserve">Table </w:t>
      </w:r>
      <w:r w:rsidR="00E66D25">
        <w:t>1</w:t>
      </w:r>
      <w:r w:rsidR="00AB0FAA" w:rsidRPr="000A7A85">
        <w:t xml:space="preserve">: Annual Respondent Burden and Cost – </w:t>
      </w:r>
      <w:r w:rsidR="00AB0FAA" w:rsidRPr="000A7A85">
        <w:rPr>
          <w:bCs/>
        </w:rPr>
        <w:t>NSPS for Municipal Waste Combustors (40 CFR Part 60, Subparts Ea and Eb)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2B07B0">
        <w:rPr>
          <w:color w:val="000000"/>
        </w:rPr>
        <w:t>20,272</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767D60" w:rsidRPr="00767D60">
        <w:t xml:space="preserve">NSPS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8724BC" w:rsidRPr="008724BC" w:rsidRDefault="008724BC">
      <w:pPr>
        <w:pBdr>
          <w:top w:val="single" w:sz="6" w:space="0" w:color="FFFFFF"/>
          <w:left w:val="single" w:sz="6" w:space="0" w:color="FFFFFF"/>
          <w:bottom w:val="single" w:sz="6" w:space="0" w:color="FFFFFF"/>
          <w:right w:val="single" w:sz="6" w:space="0" w:color="FFFFFF"/>
        </w:pBdr>
        <w:ind w:firstLine="720"/>
      </w:pPr>
    </w:p>
    <w:p w:rsidR="00CA4CD6" w:rsidRPr="003F1AFC" w:rsidRDefault="00767D60">
      <w:pPr>
        <w:pBdr>
          <w:top w:val="single" w:sz="6" w:space="0" w:color="FFFFFF"/>
          <w:left w:val="single" w:sz="6" w:space="0" w:color="FFFFFF"/>
          <w:bottom w:val="single" w:sz="6" w:space="0" w:color="FFFFFF"/>
          <w:right w:val="single" w:sz="6" w:space="0" w:color="FFFFFF"/>
        </w:pBdr>
        <w:ind w:firstLine="720"/>
        <w:rPr>
          <w:color w:val="FF0000"/>
        </w:rPr>
      </w:pPr>
      <w:r w:rsidRPr="00767D60">
        <w:t xml:space="preserve">The type of industry costs associated with the information collection activities in the subject standards are both labor costs which are addressed elsewhere in this ICR and the costs associated with continuous monitoring.  The capital/startup costs are </w:t>
      </w:r>
      <w:proofErr w:type="spellStart"/>
      <w:r w:rsidRPr="00767D60">
        <w:t>one time</w:t>
      </w:r>
      <w:proofErr w:type="spellEnd"/>
      <w:r w:rsidRPr="00767D60">
        <w:t xml:space="preserv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4734A5">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rsidP="002B07B0">
            <w:pPr>
              <w:keepNext/>
              <w:keepLines/>
              <w:spacing w:line="120" w:lineRule="exact"/>
              <w:rPr>
                <w:color w:val="000000"/>
              </w:rPr>
            </w:pPr>
          </w:p>
          <w:p w:rsidR="00CA4CD6" w:rsidRDefault="00CA4CD6" w:rsidP="002B07B0">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rsidP="002B07B0">
            <w:pPr>
              <w:keepNext/>
              <w:keepLines/>
              <w:spacing w:line="120" w:lineRule="exact"/>
              <w:rPr>
                <w:b/>
                <w:bCs/>
                <w:color w:val="000000"/>
              </w:rPr>
            </w:pPr>
          </w:p>
          <w:p w:rsidR="00CA4CD6" w:rsidRDefault="00CA4CD6" w:rsidP="002B07B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2B07B0">
            <w:pPr>
              <w:keepNext/>
              <w:keepLines/>
              <w:spacing w:line="120" w:lineRule="exact"/>
              <w:rPr>
                <w:color w:val="000000"/>
                <w:sz w:val="20"/>
                <w:szCs w:val="20"/>
              </w:rPr>
            </w:pPr>
          </w:p>
          <w:p w:rsidR="00CA4CD6" w:rsidRDefault="00CA4CD6" w:rsidP="002B07B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2B07B0">
            <w:pPr>
              <w:keepNext/>
              <w:keepLines/>
              <w:spacing w:line="120" w:lineRule="exact"/>
              <w:rPr>
                <w:color w:val="000000"/>
                <w:sz w:val="20"/>
                <w:szCs w:val="20"/>
              </w:rPr>
            </w:pPr>
          </w:p>
          <w:p w:rsidR="00CA4CD6" w:rsidRDefault="00CA4CD6" w:rsidP="002B07B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2B07B0">
            <w:pPr>
              <w:keepNext/>
              <w:keepLines/>
              <w:spacing w:line="120" w:lineRule="exact"/>
              <w:rPr>
                <w:color w:val="000000"/>
                <w:sz w:val="20"/>
                <w:szCs w:val="20"/>
              </w:rPr>
            </w:pPr>
          </w:p>
          <w:p w:rsidR="00CA4CD6" w:rsidRDefault="00CA4CD6" w:rsidP="002B07B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2B07B0">
            <w:pPr>
              <w:keepNext/>
              <w:keepLines/>
              <w:spacing w:line="120" w:lineRule="exact"/>
              <w:rPr>
                <w:color w:val="000000"/>
                <w:sz w:val="20"/>
                <w:szCs w:val="20"/>
              </w:rPr>
            </w:pPr>
          </w:p>
          <w:p w:rsidR="00CA4CD6" w:rsidRDefault="00CA4CD6" w:rsidP="002B07B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2B07B0">
            <w:pPr>
              <w:keepNext/>
              <w:keepLines/>
              <w:spacing w:line="120" w:lineRule="exact"/>
              <w:rPr>
                <w:color w:val="000000"/>
                <w:sz w:val="20"/>
                <w:szCs w:val="20"/>
              </w:rPr>
            </w:pPr>
          </w:p>
          <w:p w:rsidR="00CA4CD6" w:rsidRDefault="00CA4CD6" w:rsidP="002B07B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2B07B0">
            <w:pPr>
              <w:keepNext/>
              <w:keepLines/>
              <w:spacing w:line="120" w:lineRule="exact"/>
              <w:rPr>
                <w:color w:val="000000"/>
                <w:sz w:val="20"/>
                <w:szCs w:val="20"/>
              </w:rPr>
            </w:pPr>
          </w:p>
          <w:p w:rsidR="00CA4CD6" w:rsidRDefault="00CA4CD6" w:rsidP="002B07B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2B07B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4734A5" w:rsidTr="00E66D25">
        <w:tc>
          <w:tcPr>
            <w:tcW w:w="1170" w:type="dxa"/>
            <w:tcBorders>
              <w:top w:val="single" w:sz="7" w:space="0" w:color="000000"/>
              <w:left w:val="single" w:sz="7" w:space="0" w:color="000000"/>
              <w:bottom w:val="single" w:sz="6" w:space="0" w:color="FFFFFF"/>
              <w:right w:val="single" w:sz="6" w:space="0" w:color="FFFFFF"/>
            </w:tcBorders>
            <w:vAlign w:val="center"/>
          </w:tcPr>
          <w:p w:rsidR="002C336A" w:rsidRDefault="004734A5"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 xml:space="preserve">CEMs for </w:t>
            </w:r>
            <w:r w:rsidR="00AF625F">
              <w:rPr>
                <w:sz w:val="20"/>
                <w:szCs w:val="20"/>
              </w:rPr>
              <w:t>S</w:t>
            </w:r>
            <w:r>
              <w:rPr>
                <w:sz w:val="20"/>
                <w:szCs w:val="20"/>
              </w:rPr>
              <w:t>ubpart Ea</w:t>
            </w:r>
          </w:p>
        </w:tc>
        <w:tc>
          <w:tcPr>
            <w:tcW w:w="1440" w:type="dxa"/>
            <w:tcBorders>
              <w:top w:val="single" w:sz="7" w:space="0" w:color="000000"/>
              <w:left w:val="single" w:sz="7" w:space="0" w:color="000000"/>
              <w:bottom w:val="single" w:sz="6" w:space="0" w:color="FFFFFF"/>
              <w:right w:val="single" w:sz="6" w:space="0" w:color="FFFFFF"/>
            </w:tcBorders>
            <w:vAlign w:val="center"/>
          </w:tcPr>
          <w:p w:rsidR="004734A5" w:rsidRDefault="004734A5"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$60,000</w:t>
            </w:r>
          </w:p>
        </w:tc>
        <w:tc>
          <w:tcPr>
            <w:tcW w:w="1350" w:type="dxa"/>
            <w:tcBorders>
              <w:top w:val="single" w:sz="7" w:space="0" w:color="000000"/>
              <w:left w:val="single" w:sz="7" w:space="0" w:color="000000"/>
              <w:bottom w:val="single" w:sz="6" w:space="0" w:color="FFFFFF"/>
              <w:right w:val="single" w:sz="6" w:space="0" w:color="FFFFFF"/>
            </w:tcBorders>
            <w:vAlign w:val="center"/>
          </w:tcPr>
          <w:p w:rsidR="004734A5" w:rsidRDefault="004734A5"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4734A5" w:rsidRDefault="004734A5"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4734A5" w:rsidRDefault="004734A5"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$8,972</w:t>
            </w:r>
          </w:p>
        </w:tc>
        <w:tc>
          <w:tcPr>
            <w:tcW w:w="1260" w:type="dxa"/>
            <w:tcBorders>
              <w:top w:val="single" w:sz="7" w:space="0" w:color="000000"/>
              <w:left w:val="single" w:sz="7" w:space="0" w:color="000000"/>
              <w:bottom w:val="single" w:sz="6" w:space="0" w:color="FFFFFF"/>
              <w:right w:val="single" w:sz="6" w:space="0" w:color="FFFFFF"/>
            </w:tcBorders>
            <w:vAlign w:val="center"/>
          </w:tcPr>
          <w:p w:rsidR="004734A5" w:rsidRDefault="007A0341"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rsidR="004734A5" w:rsidRDefault="004734A5"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w:t>
            </w:r>
            <w:r w:rsidR="007A0341">
              <w:rPr>
                <w:sz w:val="20"/>
                <w:szCs w:val="20"/>
              </w:rPr>
              <w:t>71,776</w:t>
            </w:r>
          </w:p>
        </w:tc>
      </w:tr>
      <w:tr w:rsidR="004734A5" w:rsidTr="00E66D25">
        <w:tc>
          <w:tcPr>
            <w:tcW w:w="1170" w:type="dxa"/>
            <w:tcBorders>
              <w:top w:val="single" w:sz="7" w:space="0" w:color="000000"/>
              <w:left w:val="single" w:sz="7" w:space="0" w:color="000000"/>
              <w:bottom w:val="single" w:sz="6" w:space="0" w:color="FFFFFF"/>
              <w:right w:val="single" w:sz="6" w:space="0" w:color="FFFFFF"/>
            </w:tcBorders>
          </w:tcPr>
          <w:p w:rsidR="004734A5" w:rsidRDefault="004734A5"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 xml:space="preserve">CEMs for </w:t>
            </w:r>
            <w:r w:rsidR="00AF625F">
              <w:rPr>
                <w:sz w:val="20"/>
                <w:szCs w:val="20"/>
              </w:rPr>
              <w:t>S</w:t>
            </w:r>
            <w:r>
              <w:rPr>
                <w:sz w:val="20"/>
                <w:szCs w:val="20"/>
              </w:rPr>
              <w:t>ubpart Eb</w:t>
            </w:r>
          </w:p>
        </w:tc>
        <w:tc>
          <w:tcPr>
            <w:tcW w:w="1440" w:type="dxa"/>
            <w:tcBorders>
              <w:top w:val="single" w:sz="7" w:space="0" w:color="000000"/>
              <w:left w:val="single" w:sz="7" w:space="0" w:color="000000"/>
              <w:bottom w:val="single" w:sz="6" w:space="0" w:color="FFFFFF"/>
              <w:right w:val="single" w:sz="6" w:space="0" w:color="FFFFFF"/>
            </w:tcBorders>
            <w:vAlign w:val="center"/>
          </w:tcPr>
          <w:p w:rsidR="004734A5" w:rsidRDefault="004734A5"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$60,000</w:t>
            </w:r>
          </w:p>
        </w:tc>
        <w:tc>
          <w:tcPr>
            <w:tcW w:w="1350" w:type="dxa"/>
            <w:tcBorders>
              <w:top w:val="single" w:sz="7" w:space="0" w:color="000000"/>
              <w:left w:val="single" w:sz="7" w:space="0" w:color="000000"/>
              <w:bottom w:val="single" w:sz="6" w:space="0" w:color="FFFFFF"/>
              <w:right w:val="single" w:sz="6" w:space="0" w:color="FFFFFF"/>
            </w:tcBorders>
            <w:vAlign w:val="center"/>
          </w:tcPr>
          <w:p w:rsidR="004734A5" w:rsidRDefault="007A0341"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0.33</w:t>
            </w:r>
          </w:p>
        </w:tc>
        <w:tc>
          <w:tcPr>
            <w:tcW w:w="1440" w:type="dxa"/>
            <w:tcBorders>
              <w:top w:val="single" w:sz="7" w:space="0" w:color="000000"/>
              <w:left w:val="single" w:sz="7" w:space="0" w:color="000000"/>
              <w:bottom w:val="single" w:sz="6" w:space="0" w:color="FFFFFF"/>
              <w:right w:val="single" w:sz="6" w:space="0" w:color="FFFFFF"/>
            </w:tcBorders>
            <w:vAlign w:val="center"/>
          </w:tcPr>
          <w:p w:rsidR="004734A5" w:rsidRDefault="004734A5"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w:t>
            </w:r>
            <w:r w:rsidR="007A0341">
              <w:rPr>
                <w:sz w:val="20"/>
                <w:szCs w:val="20"/>
              </w:rPr>
              <w:t>20,000</w:t>
            </w:r>
          </w:p>
        </w:tc>
        <w:tc>
          <w:tcPr>
            <w:tcW w:w="1350" w:type="dxa"/>
            <w:tcBorders>
              <w:top w:val="single" w:sz="7" w:space="0" w:color="000000"/>
              <w:left w:val="single" w:sz="7" w:space="0" w:color="000000"/>
              <w:bottom w:val="single" w:sz="6" w:space="0" w:color="FFFFFF"/>
              <w:right w:val="single" w:sz="6" w:space="0" w:color="FFFFFF"/>
            </w:tcBorders>
            <w:vAlign w:val="center"/>
          </w:tcPr>
          <w:p w:rsidR="004734A5" w:rsidRDefault="00E66D25"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$8,</w:t>
            </w:r>
            <w:r w:rsidR="004734A5">
              <w:rPr>
                <w:sz w:val="20"/>
                <w:szCs w:val="20"/>
              </w:rPr>
              <w:t>972</w:t>
            </w:r>
          </w:p>
        </w:tc>
        <w:tc>
          <w:tcPr>
            <w:tcW w:w="1260" w:type="dxa"/>
            <w:tcBorders>
              <w:top w:val="single" w:sz="7" w:space="0" w:color="000000"/>
              <w:left w:val="single" w:sz="7" w:space="0" w:color="000000"/>
              <w:bottom w:val="single" w:sz="6" w:space="0" w:color="FFFFFF"/>
              <w:right w:val="single" w:sz="6" w:space="0" w:color="FFFFFF"/>
            </w:tcBorders>
            <w:vAlign w:val="center"/>
          </w:tcPr>
          <w:p w:rsidR="004734A5" w:rsidRDefault="002B07B0" w:rsidP="002B07B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5</w:t>
            </w:r>
          </w:p>
        </w:tc>
        <w:tc>
          <w:tcPr>
            <w:tcW w:w="1350" w:type="dxa"/>
            <w:tcBorders>
              <w:top w:val="single" w:sz="7" w:space="0" w:color="000000"/>
              <w:left w:val="single" w:sz="7" w:space="0" w:color="000000"/>
              <w:bottom w:val="single" w:sz="6" w:space="0" w:color="FFFFFF"/>
              <w:right w:val="single" w:sz="7" w:space="0" w:color="000000"/>
            </w:tcBorders>
            <w:vAlign w:val="center"/>
          </w:tcPr>
          <w:p w:rsidR="004734A5" w:rsidRDefault="004734A5" w:rsidP="00E1200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w:t>
            </w:r>
            <w:r w:rsidR="00E12008">
              <w:rPr>
                <w:sz w:val="20"/>
                <w:szCs w:val="20"/>
              </w:rPr>
              <w:t>44</w:t>
            </w:r>
            <w:r>
              <w:rPr>
                <w:sz w:val="20"/>
                <w:szCs w:val="20"/>
              </w:rPr>
              <w:t>,8</w:t>
            </w:r>
            <w:r w:rsidR="00E12008">
              <w:rPr>
                <w:sz w:val="20"/>
                <w:szCs w:val="20"/>
              </w:rPr>
              <w:t>60</w:t>
            </w:r>
          </w:p>
        </w:tc>
      </w:tr>
      <w:tr w:rsidR="004734A5" w:rsidTr="00E66D25">
        <w:tc>
          <w:tcPr>
            <w:tcW w:w="1170" w:type="dxa"/>
            <w:tcBorders>
              <w:top w:val="single" w:sz="7" w:space="0" w:color="000000"/>
              <w:left w:val="single" w:sz="7" w:space="0" w:color="000000"/>
              <w:bottom w:val="single" w:sz="7" w:space="0" w:color="000000"/>
              <w:right w:val="single" w:sz="6" w:space="0" w:color="FFFFFF"/>
            </w:tcBorders>
          </w:tcPr>
          <w:p w:rsidR="004734A5" w:rsidRDefault="004734A5" w:rsidP="002B07B0">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4734A5" w:rsidRDefault="004734A5" w:rsidP="002B07B0">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4734A5" w:rsidRDefault="004734A5" w:rsidP="002B07B0">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4734A5" w:rsidRDefault="004734A5" w:rsidP="002B07B0">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sz w:val="20"/>
                <w:szCs w:val="20"/>
              </w:rPr>
              <w:t>$</w:t>
            </w:r>
            <w:r w:rsidR="007A0341">
              <w:rPr>
                <w:sz w:val="20"/>
                <w:szCs w:val="20"/>
              </w:rPr>
              <w:t>2</w:t>
            </w:r>
            <w:r>
              <w:rPr>
                <w:sz w:val="20"/>
                <w:szCs w:val="20"/>
              </w:rPr>
              <w:t>0,000</w:t>
            </w:r>
          </w:p>
        </w:tc>
        <w:tc>
          <w:tcPr>
            <w:tcW w:w="1350" w:type="dxa"/>
            <w:tcBorders>
              <w:top w:val="single" w:sz="7" w:space="0" w:color="000000"/>
              <w:left w:val="single" w:sz="7" w:space="0" w:color="000000"/>
              <w:bottom w:val="single" w:sz="7" w:space="0" w:color="000000"/>
              <w:right w:val="single" w:sz="6" w:space="0" w:color="FFFFFF"/>
            </w:tcBorders>
            <w:vAlign w:val="center"/>
          </w:tcPr>
          <w:p w:rsidR="004734A5" w:rsidRDefault="004734A5" w:rsidP="002B07B0">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4734A5" w:rsidRDefault="004734A5" w:rsidP="002B07B0">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734A5" w:rsidRPr="00E12008" w:rsidRDefault="00E12008" w:rsidP="002B07B0">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sidRPr="00E12008">
              <w:rPr>
                <w:color w:val="000000"/>
                <w:sz w:val="20"/>
                <w:szCs w:val="20"/>
              </w:rPr>
              <w:t>$116,636</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12008">
        <w:rPr>
          <w:color w:val="000000"/>
        </w:rPr>
        <w:t>2</w:t>
      </w:r>
      <w:r w:rsidR="00E66D25">
        <w:rPr>
          <w:color w:val="000000"/>
        </w:rPr>
        <w:t>0,000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E12008">
        <w:rPr>
          <w:color w:val="000000"/>
        </w:rPr>
        <w:t>116</w:t>
      </w:r>
      <w:r w:rsidR="00E66D25">
        <w:rPr>
          <w:color w:val="000000"/>
        </w:rPr>
        <w:t>,6</w:t>
      </w:r>
      <w:r w:rsidR="00E12008">
        <w:rPr>
          <w:color w:val="000000"/>
        </w:rPr>
        <w:t>36</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E66D25">
        <w:rPr>
          <w:color w:val="000000"/>
        </w:rPr>
        <w:t>1</w:t>
      </w:r>
      <w:r w:rsidR="00E12008">
        <w:rPr>
          <w:color w:val="000000"/>
        </w:rPr>
        <w:t>36</w:t>
      </w:r>
      <w:r w:rsidR="00E66D25">
        <w:rPr>
          <w:color w:val="000000"/>
        </w:rPr>
        <w:t>,6</w:t>
      </w:r>
      <w:r w:rsidR="00E12008">
        <w:rPr>
          <w:color w:val="000000"/>
        </w:rPr>
        <w:t>36</w:t>
      </w:r>
      <w:r>
        <w:rPr>
          <w:color w:val="000000"/>
        </w:rPr>
        <w:t xml:space="preserve">. </w:t>
      </w:r>
      <w:r w:rsidR="001C5991">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12008">
        <w:rPr>
          <w:color w:val="000000"/>
        </w:rPr>
        <w:t>38,853</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43AF7"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F43AF7" w:rsidRPr="000A7A85">
        <w:t xml:space="preserve">Table 2: Average Annual EPA Burden and Cost – </w:t>
      </w:r>
      <w:r w:rsidR="00F43AF7" w:rsidRPr="000A7A85">
        <w:rPr>
          <w:bCs/>
        </w:rPr>
        <w:t>NSPS for Municipal Waste Combustors (40 CFR Part 60, Subparts Ea and Eb) (Renewal)</w:t>
      </w:r>
      <w:r w:rsidR="00F43AF7">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12008">
        <w:rPr>
          <w:color w:val="000000"/>
        </w:rPr>
        <w:t xml:space="preserve">Based on our research for this ICR, on average over the next three years, approximately </w:t>
      </w:r>
      <w:r w:rsidR="00767D60" w:rsidRPr="00E12008">
        <w:t>1</w:t>
      </w:r>
      <w:r w:rsidR="00E12008" w:rsidRPr="00E12008">
        <w:t>3</w:t>
      </w:r>
      <w:r w:rsidR="00BF4BDF" w:rsidRPr="00E12008">
        <w:rPr>
          <w:color w:val="FF0000"/>
        </w:rPr>
        <w:t xml:space="preserve"> </w:t>
      </w:r>
      <w:r w:rsidRPr="00E12008">
        <w:rPr>
          <w:color w:val="000000"/>
        </w:rPr>
        <w:t xml:space="preserve">existing respondents will be subject to the standard.  It is estimated that </w:t>
      </w:r>
      <w:r w:rsidR="00BF4BDF" w:rsidRPr="00E12008">
        <w:rPr>
          <w:color w:val="000000"/>
        </w:rPr>
        <w:t xml:space="preserve">one </w:t>
      </w:r>
      <w:r w:rsidR="00E12008" w:rsidRPr="00E12008">
        <w:rPr>
          <w:color w:val="000000"/>
        </w:rPr>
        <w:t>respondent</w:t>
      </w:r>
      <w:r w:rsidRPr="00E12008">
        <w:rPr>
          <w:color w:val="000000"/>
        </w:rPr>
        <w:t xml:space="preserve"> will become subject</w:t>
      </w:r>
      <w:r w:rsidR="00E12008" w:rsidRPr="00E12008">
        <w:rPr>
          <w:color w:val="000000"/>
        </w:rPr>
        <w:t xml:space="preserve"> to Subpart Eb during the first year of the ICR period, but no additional respondents will become subject</w:t>
      </w:r>
      <w:r w:rsidRPr="00E12008">
        <w:rPr>
          <w:color w:val="000000"/>
        </w:rPr>
        <w:t>.  The overall average number of responden</w:t>
      </w:r>
      <w:r w:rsidR="0035325B" w:rsidRPr="00E12008">
        <w:rPr>
          <w:color w:val="000000"/>
        </w:rPr>
        <w:t>ts, as shown in the table below,</w:t>
      </w:r>
      <w:r w:rsidRPr="00E12008">
        <w:rPr>
          <w:color w:val="000000"/>
        </w:rPr>
        <w:t xml:space="preserve"> is </w:t>
      </w:r>
      <w:r w:rsidR="00FF3C08" w:rsidRPr="00E12008">
        <w:rPr>
          <w:color w:val="000000"/>
        </w:rPr>
        <w:t>1</w:t>
      </w:r>
      <w:r w:rsidR="00E12008" w:rsidRPr="00E12008">
        <w:rPr>
          <w:color w:val="000000"/>
        </w:rPr>
        <w:t>3</w:t>
      </w:r>
      <w:r w:rsidRPr="00E12008">
        <w:rPr>
          <w:color w:val="000000"/>
        </w:rPr>
        <w:t xml:space="preserve"> per year.</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430" w:type="dxa"/>
        <w:tblLayout w:type="fixed"/>
        <w:tblCellMar>
          <w:left w:w="110" w:type="dxa"/>
          <w:right w:w="110" w:type="dxa"/>
        </w:tblCellMar>
        <w:tblLook w:val="0000" w:firstRow="0" w:lastRow="0" w:firstColumn="0" w:lastColumn="0" w:noHBand="0" w:noVBand="0"/>
      </w:tblPr>
      <w:tblGrid>
        <w:gridCol w:w="1440"/>
        <w:gridCol w:w="1597"/>
        <w:gridCol w:w="1282"/>
        <w:gridCol w:w="2070"/>
        <w:gridCol w:w="1800"/>
        <w:gridCol w:w="1710"/>
      </w:tblGrid>
      <w:tr w:rsidR="00A73600" w:rsidTr="0083284E">
        <w:trPr>
          <w:tblHeader/>
        </w:trPr>
        <w:tc>
          <w:tcPr>
            <w:tcW w:w="9899" w:type="dxa"/>
            <w:gridSpan w:val="6"/>
            <w:tcBorders>
              <w:top w:val="single" w:sz="7" w:space="0" w:color="000000"/>
              <w:left w:val="single" w:sz="7" w:space="0" w:color="000000"/>
              <w:bottom w:val="single" w:sz="6" w:space="0" w:color="FFFFFF"/>
              <w:right w:val="single" w:sz="7" w:space="0" w:color="000000"/>
            </w:tcBorders>
          </w:tcPr>
          <w:p w:rsidR="00CA4CD6" w:rsidRDefault="00CA4CD6" w:rsidP="00D928D8">
            <w:pPr>
              <w:keepNext/>
              <w:keepLines/>
              <w:spacing w:line="120" w:lineRule="exact"/>
              <w:rPr>
                <w:color w:val="000000"/>
              </w:rPr>
            </w:pPr>
          </w:p>
          <w:p w:rsidR="00CA4CD6" w:rsidRDefault="00CA4CD6" w:rsidP="00D928D8">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83284E">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D928D8">
            <w:pPr>
              <w:keepNext/>
              <w:keepLines/>
              <w:spacing w:line="120" w:lineRule="exact"/>
              <w:rPr>
                <w:b/>
                <w:bCs/>
                <w:color w:val="000000"/>
              </w:rPr>
            </w:pPr>
          </w:p>
          <w:p w:rsidR="00CA4CD6" w:rsidRDefault="00CA4CD6" w:rsidP="00D928D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rsidP="00D928D8">
            <w:pPr>
              <w:keepNext/>
              <w:keepLines/>
              <w:spacing w:line="120" w:lineRule="exact"/>
              <w:rPr>
                <w:color w:val="000000"/>
                <w:sz w:val="18"/>
                <w:szCs w:val="18"/>
              </w:rPr>
            </w:pPr>
          </w:p>
          <w:p w:rsidR="00CA4CD6" w:rsidRDefault="00CA4CD6" w:rsidP="00D928D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D928D8">
            <w:pPr>
              <w:keepNext/>
              <w:keepLines/>
              <w:spacing w:line="120" w:lineRule="exact"/>
              <w:rPr>
                <w:color w:val="000000"/>
                <w:sz w:val="18"/>
                <w:szCs w:val="18"/>
              </w:rPr>
            </w:pPr>
          </w:p>
          <w:p w:rsidR="00CA4CD6" w:rsidRDefault="00CA4CD6" w:rsidP="00D928D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Default="00CA4CD6" w:rsidP="00D928D8">
            <w:pPr>
              <w:keepNext/>
              <w:keepLines/>
              <w:spacing w:line="120" w:lineRule="exact"/>
              <w:rPr>
                <w:color w:val="000000"/>
                <w:sz w:val="18"/>
                <w:szCs w:val="18"/>
              </w:rPr>
            </w:pPr>
          </w:p>
          <w:p w:rsidR="00CA4CD6" w:rsidRDefault="00CA4CD6" w:rsidP="00D928D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83284E">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D928D8">
            <w:pPr>
              <w:keepNext/>
              <w:keepLines/>
              <w:spacing w:line="120" w:lineRule="exact"/>
              <w:rPr>
                <w:color w:val="000000"/>
                <w:sz w:val="18"/>
                <w:szCs w:val="18"/>
              </w:rPr>
            </w:pPr>
          </w:p>
          <w:p w:rsidR="00CA4CD6" w:rsidRDefault="00CA4CD6" w:rsidP="00D928D8">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D928D8">
            <w:pPr>
              <w:keepNext/>
              <w:keepLines/>
              <w:spacing w:line="120" w:lineRule="exact"/>
              <w:rPr>
                <w:color w:val="000000"/>
                <w:sz w:val="20"/>
                <w:szCs w:val="20"/>
              </w:rPr>
            </w:pPr>
          </w:p>
          <w:p w:rsidR="00CA4CD6" w:rsidRDefault="00CA4CD6" w:rsidP="00D928D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D928D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D928D8">
            <w:pPr>
              <w:keepNext/>
              <w:keepLines/>
              <w:spacing w:line="120" w:lineRule="exact"/>
              <w:rPr>
                <w:color w:val="000000"/>
                <w:sz w:val="20"/>
                <w:szCs w:val="20"/>
              </w:rPr>
            </w:pPr>
          </w:p>
          <w:p w:rsidR="00CA4CD6" w:rsidRDefault="00CA4CD6" w:rsidP="00D928D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D928D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rsidP="00D928D8">
            <w:pPr>
              <w:keepNext/>
              <w:keepLines/>
              <w:spacing w:line="120" w:lineRule="exact"/>
              <w:rPr>
                <w:color w:val="000000"/>
                <w:sz w:val="20"/>
                <w:szCs w:val="20"/>
              </w:rPr>
            </w:pPr>
          </w:p>
          <w:p w:rsidR="00CA4CD6" w:rsidRDefault="00CA4CD6" w:rsidP="00D928D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D928D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rsidP="00D928D8">
            <w:pPr>
              <w:keepNext/>
              <w:keepLines/>
              <w:spacing w:line="120" w:lineRule="exact"/>
              <w:rPr>
                <w:color w:val="000000"/>
                <w:sz w:val="20"/>
                <w:szCs w:val="20"/>
              </w:rPr>
            </w:pPr>
          </w:p>
          <w:p w:rsidR="00CA4CD6" w:rsidRDefault="00CA4CD6" w:rsidP="00D928D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D928D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rsidP="00D928D8">
            <w:pPr>
              <w:keepNext/>
              <w:keepLines/>
              <w:spacing w:line="120" w:lineRule="exact"/>
              <w:rPr>
                <w:color w:val="000000"/>
                <w:sz w:val="20"/>
                <w:szCs w:val="20"/>
              </w:rPr>
            </w:pPr>
          </w:p>
          <w:p w:rsidR="00CA4CD6" w:rsidRDefault="00CA4CD6" w:rsidP="00D928D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D928D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rsidP="00D928D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9841FD" w:rsidTr="0083284E">
        <w:tc>
          <w:tcPr>
            <w:tcW w:w="1440" w:type="dxa"/>
            <w:tcBorders>
              <w:top w:val="single" w:sz="8" w:space="0" w:color="000000"/>
              <w:left w:val="single" w:sz="8" w:space="0" w:color="000000"/>
              <w:bottom w:val="single" w:sz="6" w:space="0" w:color="000000"/>
              <w:right w:val="single" w:sz="6" w:space="0" w:color="000000"/>
            </w:tcBorders>
            <w:vAlign w:val="center"/>
          </w:tcPr>
          <w:p w:rsidR="002C336A"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1526">
              <w:rPr>
                <w:sz w:val="20"/>
                <w:szCs w:val="20"/>
              </w:rPr>
              <w:t>1</w:t>
            </w:r>
            <w:r>
              <w:rPr>
                <w:sz w:val="20"/>
                <w:szCs w:val="20"/>
              </w:rPr>
              <w:t>-Ea</w:t>
            </w:r>
          </w:p>
        </w:tc>
        <w:tc>
          <w:tcPr>
            <w:tcW w:w="1597" w:type="dxa"/>
            <w:tcBorders>
              <w:top w:val="single" w:sz="8" w:space="0" w:color="000000"/>
              <w:left w:val="single" w:sz="6" w:space="0" w:color="000000"/>
              <w:bottom w:val="single" w:sz="6" w:space="0" w:color="000000"/>
              <w:right w:val="single" w:sz="6" w:space="0" w:color="000000"/>
            </w:tcBorders>
            <w:vAlign w:val="center"/>
          </w:tcPr>
          <w:p w:rsidR="002C336A"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2C336A" w:rsidRDefault="007A0341"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w:t>
            </w:r>
          </w:p>
        </w:tc>
        <w:tc>
          <w:tcPr>
            <w:tcW w:w="2070" w:type="dxa"/>
            <w:tcBorders>
              <w:top w:val="single" w:sz="8" w:space="0" w:color="000000"/>
              <w:left w:val="single" w:sz="6" w:space="0" w:color="000000"/>
              <w:bottom w:val="single" w:sz="6" w:space="0" w:color="000000"/>
              <w:right w:val="single" w:sz="6" w:space="0" w:color="000000"/>
            </w:tcBorders>
            <w:vAlign w:val="center"/>
          </w:tcPr>
          <w:p w:rsidR="002C336A"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2C336A"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2C336A" w:rsidRDefault="007A0341"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w:t>
            </w:r>
          </w:p>
        </w:tc>
      </w:tr>
      <w:tr w:rsidR="009841FD" w:rsidTr="0083284E">
        <w:tc>
          <w:tcPr>
            <w:tcW w:w="1440" w:type="dxa"/>
            <w:tcBorders>
              <w:top w:val="single" w:sz="8" w:space="0" w:color="000000"/>
              <w:left w:val="single" w:sz="8" w:space="0" w:color="000000"/>
              <w:bottom w:val="single" w:sz="6" w:space="0" w:color="000000"/>
              <w:right w:val="single" w:sz="6" w:space="0" w:color="000000"/>
            </w:tcBorders>
            <w:vAlign w:val="center"/>
          </w:tcPr>
          <w:p w:rsidR="002C336A"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51526">
              <w:rPr>
                <w:sz w:val="20"/>
                <w:szCs w:val="20"/>
              </w:rPr>
              <w:t>2</w:t>
            </w:r>
            <w:r>
              <w:rPr>
                <w:sz w:val="20"/>
                <w:szCs w:val="20"/>
              </w:rPr>
              <w:t>-Ea</w:t>
            </w:r>
          </w:p>
        </w:tc>
        <w:tc>
          <w:tcPr>
            <w:tcW w:w="1597" w:type="dxa"/>
            <w:tcBorders>
              <w:top w:val="single" w:sz="8" w:space="0" w:color="000000"/>
              <w:left w:val="single" w:sz="6" w:space="0" w:color="000000"/>
              <w:bottom w:val="single" w:sz="6" w:space="0" w:color="000000"/>
              <w:right w:val="single" w:sz="6" w:space="0" w:color="000000"/>
            </w:tcBorders>
            <w:vAlign w:val="center"/>
          </w:tcPr>
          <w:p w:rsidR="002C336A"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2C336A" w:rsidRDefault="007A0341"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w:t>
            </w:r>
          </w:p>
        </w:tc>
        <w:tc>
          <w:tcPr>
            <w:tcW w:w="2070" w:type="dxa"/>
            <w:tcBorders>
              <w:top w:val="single" w:sz="8" w:space="0" w:color="000000"/>
              <w:left w:val="single" w:sz="6" w:space="0" w:color="000000"/>
              <w:bottom w:val="single" w:sz="6" w:space="0" w:color="000000"/>
              <w:right w:val="single" w:sz="6" w:space="0" w:color="000000"/>
            </w:tcBorders>
            <w:vAlign w:val="center"/>
          </w:tcPr>
          <w:p w:rsidR="002C336A"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2C336A"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2C336A" w:rsidRDefault="007A0341"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w:t>
            </w:r>
          </w:p>
        </w:tc>
      </w:tr>
      <w:tr w:rsidR="009841FD" w:rsidTr="0083284E">
        <w:tc>
          <w:tcPr>
            <w:tcW w:w="1440" w:type="dxa"/>
            <w:tcBorders>
              <w:top w:val="single" w:sz="8" w:space="0" w:color="000000"/>
              <w:left w:val="single" w:sz="8" w:space="0" w:color="000000"/>
              <w:bottom w:val="single" w:sz="6" w:space="0" w:color="000000"/>
              <w:right w:val="single" w:sz="6" w:space="0" w:color="000000"/>
            </w:tcBorders>
            <w:vAlign w:val="center"/>
          </w:tcPr>
          <w:p w:rsidR="002C336A"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3-Ea</w:t>
            </w:r>
          </w:p>
        </w:tc>
        <w:tc>
          <w:tcPr>
            <w:tcW w:w="1597" w:type="dxa"/>
            <w:tcBorders>
              <w:top w:val="single" w:sz="8" w:space="0" w:color="000000"/>
              <w:left w:val="single" w:sz="6" w:space="0" w:color="000000"/>
              <w:bottom w:val="single" w:sz="6" w:space="0" w:color="000000"/>
              <w:right w:val="single" w:sz="6" w:space="0" w:color="000000"/>
            </w:tcBorders>
            <w:vAlign w:val="center"/>
          </w:tcPr>
          <w:p w:rsidR="002C336A"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2C336A" w:rsidRDefault="007A0341"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w:t>
            </w:r>
          </w:p>
        </w:tc>
        <w:tc>
          <w:tcPr>
            <w:tcW w:w="2070" w:type="dxa"/>
            <w:tcBorders>
              <w:top w:val="single" w:sz="8" w:space="0" w:color="000000"/>
              <w:left w:val="single" w:sz="6" w:space="0" w:color="000000"/>
              <w:bottom w:val="single" w:sz="6" w:space="0" w:color="000000"/>
              <w:right w:val="single" w:sz="6" w:space="0" w:color="000000"/>
            </w:tcBorders>
            <w:vAlign w:val="center"/>
          </w:tcPr>
          <w:p w:rsidR="002C336A"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2C336A"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2C336A" w:rsidRDefault="007A0341"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w:t>
            </w:r>
          </w:p>
        </w:tc>
      </w:tr>
      <w:tr w:rsidR="0083284E" w:rsidRPr="0083284E" w:rsidTr="0083284E">
        <w:tc>
          <w:tcPr>
            <w:tcW w:w="1440" w:type="dxa"/>
            <w:tcBorders>
              <w:top w:val="single" w:sz="6" w:space="0" w:color="000000"/>
              <w:left w:val="single" w:sz="8" w:space="0" w:color="000000"/>
              <w:bottom w:val="single" w:sz="8" w:space="0" w:color="000000"/>
              <w:right w:val="single" w:sz="6" w:space="0" w:color="000000"/>
            </w:tcBorders>
            <w:vAlign w:val="center"/>
          </w:tcPr>
          <w:p w:rsidR="0083284E" w:rsidRPr="0083284E" w:rsidRDefault="0083284E" w:rsidP="00E04822">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83284E">
              <w:rPr>
                <w:b/>
                <w:sz w:val="20"/>
                <w:szCs w:val="20"/>
              </w:rPr>
              <w:t>Average - Ea</w:t>
            </w:r>
          </w:p>
        </w:tc>
        <w:tc>
          <w:tcPr>
            <w:tcW w:w="1597" w:type="dxa"/>
            <w:tcBorders>
              <w:top w:val="single" w:sz="6" w:space="0" w:color="000000"/>
              <w:left w:val="single" w:sz="6" w:space="0" w:color="000000"/>
              <w:bottom w:val="single" w:sz="8" w:space="0" w:color="000000"/>
              <w:right w:val="single" w:sz="6" w:space="0" w:color="000000"/>
            </w:tcBorders>
            <w:vAlign w:val="center"/>
          </w:tcPr>
          <w:p w:rsidR="0083284E" w:rsidRPr="0083284E" w:rsidRDefault="0083284E" w:rsidP="00E04822">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83284E">
              <w:rPr>
                <w:b/>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83284E" w:rsidRPr="0083284E" w:rsidRDefault="0083284E" w:rsidP="00E04822">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Pr>
                <w:b/>
                <w:sz w:val="20"/>
                <w:szCs w:val="20"/>
              </w:rPr>
              <w:t>8</w:t>
            </w:r>
          </w:p>
        </w:tc>
        <w:tc>
          <w:tcPr>
            <w:tcW w:w="2070" w:type="dxa"/>
            <w:tcBorders>
              <w:top w:val="single" w:sz="6" w:space="0" w:color="000000"/>
              <w:left w:val="single" w:sz="6" w:space="0" w:color="000000"/>
              <w:bottom w:val="single" w:sz="8" w:space="0" w:color="000000"/>
              <w:right w:val="single" w:sz="6" w:space="0" w:color="000000"/>
            </w:tcBorders>
            <w:vAlign w:val="center"/>
          </w:tcPr>
          <w:p w:rsidR="0083284E" w:rsidRPr="0083284E" w:rsidRDefault="0083284E" w:rsidP="00E04822">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83284E">
              <w:rPr>
                <w:b/>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83284E" w:rsidRPr="0083284E" w:rsidRDefault="0083284E" w:rsidP="00E04822">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Pr>
                <w:b/>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83284E" w:rsidRPr="0083284E" w:rsidRDefault="0083284E" w:rsidP="00E04822">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Pr>
                <w:b/>
                <w:sz w:val="20"/>
                <w:szCs w:val="20"/>
              </w:rPr>
              <w:t>8</w:t>
            </w:r>
          </w:p>
        </w:tc>
      </w:tr>
      <w:tr w:rsidR="009841FD" w:rsidTr="0083284E">
        <w:tc>
          <w:tcPr>
            <w:tcW w:w="1440" w:type="dxa"/>
            <w:tcBorders>
              <w:top w:val="single" w:sz="8" w:space="0" w:color="000000"/>
              <w:left w:val="single" w:sz="8" w:space="0" w:color="000000"/>
              <w:bottom w:val="single" w:sz="6" w:space="0" w:color="000000"/>
              <w:right w:val="single" w:sz="6" w:space="0" w:color="000000"/>
            </w:tcBorders>
            <w:vAlign w:val="center"/>
          </w:tcPr>
          <w:p w:rsidR="003509A6"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 xml:space="preserve">1-Eb </w:t>
            </w:r>
          </w:p>
        </w:tc>
        <w:tc>
          <w:tcPr>
            <w:tcW w:w="1597" w:type="dxa"/>
            <w:tcBorders>
              <w:top w:val="single" w:sz="8" w:space="0" w:color="000000"/>
              <w:left w:val="single" w:sz="6" w:space="0" w:color="000000"/>
              <w:bottom w:val="single" w:sz="6" w:space="0" w:color="000000"/>
              <w:right w:val="single" w:sz="6" w:space="0" w:color="000000"/>
            </w:tcBorders>
            <w:vAlign w:val="center"/>
          </w:tcPr>
          <w:p w:rsidR="003509A6"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282" w:type="dxa"/>
            <w:tcBorders>
              <w:top w:val="single" w:sz="8" w:space="0" w:color="000000"/>
              <w:left w:val="single" w:sz="6" w:space="0" w:color="000000"/>
              <w:bottom w:val="single" w:sz="6" w:space="0" w:color="000000"/>
              <w:right w:val="single" w:sz="6" w:space="0" w:color="000000"/>
            </w:tcBorders>
            <w:vAlign w:val="center"/>
          </w:tcPr>
          <w:p w:rsidR="003509A6" w:rsidRDefault="0083284E"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w:t>
            </w:r>
          </w:p>
        </w:tc>
        <w:tc>
          <w:tcPr>
            <w:tcW w:w="2070" w:type="dxa"/>
            <w:tcBorders>
              <w:top w:val="single" w:sz="8" w:space="0" w:color="000000"/>
              <w:left w:val="single" w:sz="6" w:space="0" w:color="000000"/>
              <w:bottom w:val="single" w:sz="6" w:space="0" w:color="000000"/>
              <w:right w:val="single" w:sz="6" w:space="0" w:color="000000"/>
            </w:tcBorders>
            <w:vAlign w:val="center"/>
          </w:tcPr>
          <w:p w:rsidR="003509A6"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3509A6" w:rsidRDefault="0083284E"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3509A6"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w:t>
            </w:r>
          </w:p>
        </w:tc>
      </w:tr>
      <w:tr w:rsidR="009841FD" w:rsidTr="0083284E">
        <w:tc>
          <w:tcPr>
            <w:tcW w:w="1440" w:type="dxa"/>
            <w:tcBorders>
              <w:top w:val="single" w:sz="6" w:space="0" w:color="000000"/>
              <w:left w:val="single" w:sz="8" w:space="0" w:color="000000"/>
              <w:bottom w:val="single" w:sz="6" w:space="0" w:color="000000"/>
              <w:right w:val="single" w:sz="6" w:space="0" w:color="000000"/>
            </w:tcBorders>
            <w:vAlign w:val="center"/>
          </w:tcPr>
          <w:p w:rsidR="003509A6"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2-Eb</w:t>
            </w:r>
          </w:p>
        </w:tc>
        <w:tc>
          <w:tcPr>
            <w:tcW w:w="1597" w:type="dxa"/>
            <w:tcBorders>
              <w:top w:val="single" w:sz="6" w:space="0" w:color="000000"/>
              <w:left w:val="single" w:sz="6" w:space="0" w:color="000000"/>
              <w:bottom w:val="single" w:sz="6" w:space="0" w:color="000000"/>
              <w:right w:val="single" w:sz="6" w:space="0" w:color="000000"/>
            </w:tcBorders>
            <w:vAlign w:val="center"/>
          </w:tcPr>
          <w:p w:rsidR="003509A6" w:rsidRDefault="0083284E"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3509A6"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w:t>
            </w:r>
          </w:p>
        </w:tc>
        <w:tc>
          <w:tcPr>
            <w:tcW w:w="2070" w:type="dxa"/>
            <w:tcBorders>
              <w:top w:val="single" w:sz="6" w:space="0" w:color="000000"/>
              <w:left w:val="single" w:sz="6" w:space="0" w:color="000000"/>
              <w:bottom w:val="single" w:sz="6" w:space="0" w:color="000000"/>
              <w:right w:val="single" w:sz="6" w:space="0" w:color="000000"/>
            </w:tcBorders>
            <w:vAlign w:val="center"/>
          </w:tcPr>
          <w:p w:rsidR="003509A6"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3509A6" w:rsidRDefault="0083284E"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3509A6" w:rsidRDefault="009841FD" w:rsidP="00D928D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w:t>
            </w:r>
          </w:p>
        </w:tc>
      </w:tr>
      <w:tr w:rsidR="009841FD" w:rsidTr="0083284E">
        <w:tc>
          <w:tcPr>
            <w:tcW w:w="1440" w:type="dxa"/>
            <w:tcBorders>
              <w:top w:val="single" w:sz="6" w:space="0" w:color="000000"/>
              <w:left w:val="single" w:sz="8" w:space="0" w:color="000000"/>
              <w:bottom w:val="single" w:sz="6" w:space="0" w:color="000000"/>
              <w:right w:val="single" w:sz="6" w:space="0" w:color="000000"/>
            </w:tcBorders>
            <w:vAlign w:val="center"/>
          </w:tcPr>
          <w:p w:rsidR="003509A6" w:rsidRDefault="009841FD" w:rsidP="00D928D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D51526">
              <w:rPr>
                <w:sz w:val="20"/>
                <w:szCs w:val="20"/>
              </w:rPr>
              <w:t>3</w:t>
            </w:r>
            <w:r>
              <w:rPr>
                <w:sz w:val="20"/>
                <w:szCs w:val="20"/>
              </w:rPr>
              <w:t>-Eb</w:t>
            </w:r>
          </w:p>
        </w:tc>
        <w:tc>
          <w:tcPr>
            <w:tcW w:w="1597" w:type="dxa"/>
            <w:tcBorders>
              <w:top w:val="single" w:sz="6" w:space="0" w:color="000000"/>
              <w:left w:val="single" w:sz="6" w:space="0" w:color="000000"/>
              <w:bottom w:val="single" w:sz="6" w:space="0" w:color="000000"/>
              <w:right w:val="single" w:sz="6" w:space="0" w:color="000000"/>
            </w:tcBorders>
            <w:vAlign w:val="center"/>
          </w:tcPr>
          <w:p w:rsidR="003509A6" w:rsidRDefault="0083284E" w:rsidP="00D928D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3509A6" w:rsidRDefault="009841FD" w:rsidP="00D928D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5</w:t>
            </w:r>
          </w:p>
        </w:tc>
        <w:tc>
          <w:tcPr>
            <w:tcW w:w="2070" w:type="dxa"/>
            <w:tcBorders>
              <w:top w:val="single" w:sz="6" w:space="0" w:color="000000"/>
              <w:left w:val="single" w:sz="6" w:space="0" w:color="000000"/>
              <w:bottom w:val="single" w:sz="6" w:space="0" w:color="000000"/>
              <w:right w:val="single" w:sz="6" w:space="0" w:color="000000"/>
            </w:tcBorders>
            <w:vAlign w:val="center"/>
          </w:tcPr>
          <w:p w:rsidR="003509A6" w:rsidRDefault="009841FD" w:rsidP="00D928D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3509A6" w:rsidRDefault="0083284E" w:rsidP="00D928D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3509A6" w:rsidRDefault="009841FD" w:rsidP="00D928D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5</w:t>
            </w:r>
          </w:p>
        </w:tc>
      </w:tr>
      <w:tr w:rsidR="009841FD" w:rsidRPr="0083284E" w:rsidTr="0083284E">
        <w:tc>
          <w:tcPr>
            <w:tcW w:w="1440" w:type="dxa"/>
            <w:tcBorders>
              <w:top w:val="single" w:sz="6" w:space="0" w:color="000000"/>
              <w:left w:val="single" w:sz="8" w:space="0" w:color="000000"/>
              <w:bottom w:val="single" w:sz="8" w:space="0" w:color="000000"/>
              <w:right w:val="single" w:sz="6" w:space="0" w:color="000000"/>
            </w:tcBorders>
            <w:vAlign w:val="center"/>
          </w:tcPr>
          <w:p w:rsidR="003509A6" w:rsidRPr="0083284E" w:rsidRDefault="009841FD" w:rsidP="00D928D8">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83284E">
              <w:rPr>
                <w:b/>
                <w:sz w:val="20"/>
                <w:szCs w:val="20"/>
              </w:rPr>
              <w:t>Average</w:t>
            </w:r>
            <w:r w:rsidR="0083284E" w:rsidRPr="0083284E">
              <w:rPr>
                <w:b/>
                <w:sz w:val="20"/>
                <w:szCs w:val="20"/>
              </w:rPr>
              <w:t xml:space="preserve"> - Eb</w:t>
            </w:r>
          </w:p>
        </w:tc>
        <w:tc>
          <w:tcPr>
            <w:tcW w:w="1597" w:type="dxa"/>
            <w:tcBorders>
              <w:top w:val="single" w:sz="6" w:space="0" w:color="000000"/>
              <w:left w:val="single" w:sz="6" w:space="0" w:color="000000"/>
              <w:bottom w:val="single" w:sz="8" w:space="0" w:color="000000"/>
              <w:right w:val="single" w:sz="6" w:space="0" w:color="000000"/>
            </w:tcBorders>
            <w:vAlign w:val="center"/>
          </w:tcPr>
          <w:p w:rsidR="003509A6" w:rsidRPr="0083284E" w:rsidRDefault="0083284E" w:rsidP="00D928D8">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83284E">
              <w:rPr>
                <w:b/>
                <w:sz w:val="20"/>
                <w:szCs w:val="20"/>
              </w:rPr>
              <w:t>0.33</w:t>
            </w:r>
          </w:p>
        </w:tc>
        <w:tc>
          <w:tcPr>
            <w:tcW w:w="1282" w:type="dxa"/>
            <w:tcBorders>
              <w:top w:val="single" w:sz="6" w:space="0" w:color="000000"/>
              <w:left w:val="single" w:sz="6" w:space="0" w:color="000000"/>
              <w:bottom w:val="single" w:sz="8" w:space="0" w:color="000000"/>
              <w:right w:val="single" w:sz="6" w:space="0" w:color="000000"/>
            </w:tcBorders>
            <w:vAlign w:val="center"/>
          </w:tcPr>
          <w:p w:rsidR="003509A6" w:rsidRPr="0083284E" w:rsidRDefault="0083284E" w:rsidP="00D928D8">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83284E">
              <w:rPr>
                <w:b/>
                <w:sz w:val="20"/>
                <w:szCs w:val="20"/>
              </w:rPr>
              <w:t>5</w:t>
            </w:r>
          </w:p>
        </w:tc>
        <w:tc>
          <w:tcPr>
            <w:tcW w:w="2070" w:type="dxa"/>
            <w:tcBorders>
              <w:top w:val="single" w:sz="6" w:space="0" w:color="000000"/>
              <w:left w:val="single" w:sz="6" w:space="0" w:color="000000"/>
              <w:bottom w:val="single" w:sz="8" w:space="0" w:color="000000"/>
              <w:right w:val="single" w:sz="6" w:space="0" w:color="000000"/>
            </w:tcBorders>
            <w:vAlign w:val="center"/>
          </w:tcPr>
          <w:p w:rsidR="003509A6" w:rsidRPr="0083284E" w:rsidRDefault="009841FD" w:rsidP="00D928D8">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83284E">
              <w:rPr>
                <w:b/>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3509A6" w:rsidRPr="0083284E" w:rsidRDefault="0083284E" w:rsidP="00D928D8">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83284E">
              <w:rPr>
                <w:b/>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3509A6" w:rsidRPr="0083284E" w:rsidRDefault="0083284E" w:rsidP="00D928D8">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83284E">
              <w:rPr>
                <w:b/>
                <w:sz w:val="20"/>
                <w:szCs w:val="20"/>
              </w:rPr>
              <w:t>5</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FF3C08">
        <w:rPr>
          <w:color w:val="000000"/>
        </w:rPr>
        <w:t>1</w:t>
      </w:r>
      <w:r w:rsidR="0083284E">
        <w:rPr>
          <w:color w:val="000000"/>
        </w:rPr>
        <w:t>3</w:t>
      </w:r>
      <w:r w:rsidR="00507EC5">
        <w:rPr>
          <w:color w:val="000000"/>
        </w:rPr>
        <w:t xml:space="preserve">. </w:t>
      </w:r>
    </w:p>
    <w:p w:rsidR="00CA4CD6" w:rsidRDefault="00CA4CD6" w:rsidP="00EE7D48">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FF3C08">
        <w:trPr>
          <w:tblHeader/>
        </w:trPr>
        <w:tc>
          <w:tcPr>
            <w:tcW w:w="9180" w:type="dxa"/>
            <w:gridSpan w:val="5"/>
          </w:tcPr>
          <w:p w:rsidR="00CA4CD6" w:rsidRDefault="00CA4CD6" w:rsidP="00E12008">
            <w:pPr>
              <w:keepNext/>
              <w:keepLines/>
              <w:spacing w:line="120" w:lineRule="exact"/>
              <w:rPr>
                <w:color w:val="000000"/>
              </w:rPr>
            </w:pPr>
          </w:p>
          <w:p w:rsidR="00CA4CD6" w:rsidRDefault="00CA4CD6" w:rsidP="00E12008">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FF3C08">
        <w:trPr>
          <w:trHeight w:val="1263"/>
        </w:trPr>
        <w:tc>
          <w:tcPr>
            <w:tcW w:w="2700" w:type="dxa"/>
          </w:tcPr>
          <w:p w:rsidR="00CA4CD6" w:rsidRDefault="00CA4CD6" w:rsidP="00E12008">
            <w:pPr>
              <w:keepNext/>
              <w:keepLines/>
              <w:spacing w:line="120" w:lineRule="exact"/>
              <w:jc w:val="center"/>
              <w:rPr>
                <w:b/>
                <w:bCs/>
                <w:color w:val="000000"/>
                <w:sz w:val="18"/>
                <w:szCs w:val="18"/>
              </w:rPr>
            </w:pPr>
          </w:p>
          <w:p w:rsidR="00CA4CD6" w:rsidRDefault="00CA4CD6" w:rsidP="00E1200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E1200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E12008">
            <w:pPr>
              <w:keepNext/>
              <w:keepLines/>
              <w:spacing w:line="120" w:lineRule="exact"/>
              <w:jc w:val="center"/>
              <w:rPr>
                <w:color w:val="000000"/>
                <w:sz w:val="18"/>
                <w:szCs w:val="18"/>
              </w:rPr>
            </w:pPr>
          </w:p>
          <w:p w:rsidR="00CA4CD6" w:rsidRDefault="00CA4CD6" w:rsidP="00E1200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E1200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E12008">
            <w:pPr>
              <w:keepNext/>
              <w:keepLines/>
              <w:spacing w:line="120" w:lineRule="exact"/>
              <w:jc w:val="center"/>
              <w:rPr>
                <w:color w:val="000000"/>
                <w:sz w:val="18"/>
                <w:szCs w:val="18"/>
              </w:rPr>
            </w:pPr>
          </w:p>
          <w:p w:rsidR="00CA4CD6" w:rsidRDefault="00CA4CD6" w:rsidP="00E1200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E1200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E12008">
            <w:pPr>
              <w:keepNext/>
              <w:keepLines/>
              <w:spacing w:line="120" w:lineRule="exact"/>
              <w:jc w:val="center"/>
              <w:rPr>
                <w:color w:val="000000"/>
                <w:sz w:val="18"/>
                <w:szCs w:val="18"/>
              </w:rPr>
            </w:pPr>
          </w:p>
          <w:p w:rsidR="00CA4CD6" w:rsidRDefault="00CA4CD6" w:rsidP="00E1200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E12008">
            <w:pPr>
              <w:keepNext/>
              <w:keepLines/>
              <w:spacing w:line="120" w:lineRule="exact"/>
              <w:jc w:val="center"/>
              <w:rPr>
                <w:color w:val="000000"/>
                <w:sz w:val="18"/>
                <w:szCs w:val="18"/>
              </w:rPr>
            </w:pPr>
          </w:p>
          <w:p w:rsidR="00CA4CD6" w:rsidRDefault="00CA4CD6" w:rsidP="00E1200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E1200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FF3C08" w:rsidTr="0083284E">
        <w:tc>
          <w:tcPr>
            <w:tcW w:w="2700" w:type="dxa"/>
          </w:tcPr>
          <w:p w:rsidR="00FF3C08" w:rsidDel="00FF3C08" w:rsidRDefault="00FF3C08"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initial performance test for Ea</w:t>
            </w:r>
          </w:p>
        </w:tc>
        <w:tc>
          <w:tcPr>
            <w:tcW w:w="126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9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FF3C08" w:rsidTr="0083284E">
        <w:tc>
          <w:tcPr>
            <w:tcW w:w="2700" w:type="dxa"/>
          </w:tcPr>
          <w:p w:rsidR="00FF3C08" w:rsidDel="00FF3C08" w:rsidRDefault="00FF3C08"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CMS demonstration for Ea</w:t>
            </w:r>
          </w:p>
        </w:tc>
        <w:tc>
          <w:tcPr>
            <w:tcW w:w="126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6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9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r>
      <w:tr w:rsidR="00FF3C08" w:rsidTr="0083284E">
        <w:tc>
          <w:tcPr>
            <w:tcW w:w="2700" w:type="dxa"/>
          </w:tcPr>
          <w:p w:rsidR="00FF3C08" w:rsidDel="00FF3C08" w:rsidRDefault="00FF3C08"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Compliance reports for Ea</w:t>
            </w:r>
          </w:p>
        </w:tc>
        <w:tc>
          <w:tcPr>
            <w:tcW w:w="1260" w:type="dxa"/>
            <w:vAlign w:val="center"/>
          </w:tcPr>
          <w:p w:rsidR="002C336A"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w:t>
            </w:r>
          </w:p>
        </w:tc>
        <w:tc>
          <w:tcPr>
            <w:tcW w:w="126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2C336A"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w:t>
            </w:r>
          </w:p>
        </w:tc>
      </w:tr>
      <w:tr w:rsidR="00FF3C08" w:rsidTr="0083284E">
        <w:tc>
          <w:tcPr>
            <w:tcW w:w="2700" w:type="dxa"/>
          </w:tcPr>
          <w:p w:rsidR="00FF3C08" w:rsidDel="00FF3C08" w:rsidRDefault="00FF3C08"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Opacity reports for Ea (no excess emission)</w:t>
            </w:r>
          </w:p>
        </w:tc>
        <w:tc>
          <w:tcPr>
            <w:tcW w:w="1260" w:type="dxa"/>
            <w:vAlign w:val="center"/>
          </w:tcPr>
          <w:p w:rsidR="002C336A"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6.4</w:t>
            </w:r>
          </w:p>
        </w:tc>
        <w:tc>
          <w:tcPr>
            <w:tcW w:w="126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2C336A"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6.4</w:t>
            </w:r>
          </w:p>
        </w:tc>
      </w:tr>
      <w:tr w:rsidR="00FF3C08" w:rsidTr="0083284E">
        <w:tc>
          <w:tcPr>
            <w:tcW w:w="2700" w:type="dxa"/>
          </w:tcPr>
          <w:p w:rsidR="00FF3C08" w:rsidDel="00FF3C08" w:rsidRDefault="00FF3C08"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Opacity reports for Ea (excess emission)</w:t>
            </w:r>
          </w:p>
        </w:tc>
        <w:tc>
          <w:tcPr>
            <w:tcW w:w="126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r w:rsidR="0083284E">
              <w:rPr>
                <w:sz w:val="20"/>
                <w:szCs w:val="20"/>
              </w:rPr>
              <w:t>6</w:t>
            </w:r>
          </w:p>
        </w:tc>
        <w:tc>
          <w:tcPr>
            <w:tcW w:w="126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r w:rsidR="0083284E">
              <w:rPr>
                <w:sz w:val="20"/>
                <w:szCs w:val="20"/>
              </w:rPr>
              <w:t>6</w:t>
            </w:r>
          </w:p>
        </w:tc>
      </w:tr>
      <w:tr w:rsidR="00FF3C08" w:rsidTr="0083284E">
        <w:tc>
          <w:tcPr>
            <w:tcW w:w="2700" w:type="dxa"/>
          </w:tcPr>
          <w:p w:rsidR="00FF3C08" w:rsidDel="00FF3C08" w:rsidRDefault="00FF3C08"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Report of daily weight of municipal solid waste (MSW) and fuel for Ea</w:t>
            </w:r>
          </w:p>
        </w:tc>
        <w:tc>
          <w:tcPr>
            <w:tcW w:w="1260" w:type="dxa"/>
            <w:vAlign w:val="center"/>
          </w:tcPr>
          <w:p w:rsidR="002C336A"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w:t>
            </w:r>
          </w:p>
        </w:tc>
        <w:tc>
          <w:tcPr>
            <w:tcW w:w="126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w:t>
            </w:r>
          </w:p>
        </w:tc>
        <w:tc>
          <w:tcPr>
            <w:tcW w:w="189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2C336A"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32</w:t>
            </w:r>
          </w:p>
        </w:tc>
      </w:tr>
      <w:tr w:rsidR="00FF3C08" w:rsidTr="0083284E">
        <w:tc>
          <w:tcPr>
            <w:tcW w:w="2700" w:type="dxa"/>
          </w:tcPr>
          <w:p w:rsidR="00FF3C08" w:rsidDel="00FF3C08" w:rsidRDefault="00FF3C08"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Appendix F reports for Ea</w:t>
            </w:r>
          </w:p>
        </w:tc>
        <w:tc>
          <w:tcPr>
            <w:tcW w:w="1260" w:type="dxa"/>
            <w:vAlign w:val="center"/>
          </w:tcPr>
          <w:p w:rsidR="002C336A"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8</w:t>
            </w:r>
          </w:p>
        </w:tc>
        <w:tc>
          <w:tcPr>
            <w:tcW w:w="126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w:t>
            </w:r>
          </w:p>
        </w:tc>
        <w:tc>
          <w:tcPr>
            <w:tcW w:w="189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2C336A"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32</w:t>
            </w:r>
          </w:p>
        </w:tc>
      </w:tr>
      <w:tr w:rsidR="00FF3C08" w:rsidTr="0083284E">
        <w:tc>
          <w:tcPr>
            <w:tcW w:w="2700" w:type="dxa"/>
          </w:tcPr>
          <w:p w:rsidR="00FF3C08" w:rsidDel="00FF3C08" w:rsidRDefault="00FF3C08"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construction/reconstruction for Eb</w:t>
            </w:r>
          </w:p>
        </w:tc>
        <w:tc>
          <w:tcPr>
            <w:tcW w:w="1260" w:type="dxa"/>
            <w:vAlign w:val="center"/>
          </w:tcPr>
          <w:p w:rsidR="002C336A"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c>
          <w:tcPr>
            <w:tcW w:w="126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2C336A"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0.33</w:t>
            </w:r>
          </w:p>
        </w:tc>
      </w:tr>
      <w:tr w:rsidR="0083284E" w:rsidTr="0083284E">
        <w:tc>
          <w:tcPr>
            <w:tcW w:w="2700" w:type="dxa"/>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initial performance test for Eb</w:t>
            </w:r>
          </w:p>
        </w:tc>
        <w:tc>
          <w:tcPr>
            <w:tcW w:w="1260" w:type="dxa"/>
            <w:vAlign w:val="center"/>
          </w:tcPr>
          <w:p w:rsidR="0083284E" w:rsidRDefault="0083284E" w:rsidP="00E12008">
            <w:pPr>
              <w:keepNext/>
              <w:keepLines/>
              <w:jc w:val="center"/>
            </w:pPr>
            <w:r w:rsidRPr="00F46159">
              <w:rPr>
                <w:sz w:val="20"/>
                <w:szCs w:val="20"/>
              </w:rPr>
              <w:t>0.33</w:t>
            </w:r>
          </w:p>
        </w:tc>
        <w:tc>
          <w:tcPr>
            <w:tcW w:w="1260" w:type="dxa"/>
            <w:vAlign w:val="center"/>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83284E" w:rsidRDefault="0083284E" w:rsidP="00E12008">
            <w:pPr>
              <w:keepNext/>
              <w:keepLines/>
              <w:jc w:val="center"/>
            </w:pPr>
            <w:r w:rsidRPr="00C20814">
              <w:rPr>
                <w:sz w:val="20"/>
                <w:szCs w:val="20"/>
              </w:rPr>
              <w:t>0.33</w:t>
            </w:r>
          </w:p>
        </w:tc>
      </w:tr>
      <w:tr w:rsidR="0083284E" w:rsidTr="0083284E">
        <w:tc>
          <w:tcPr>
            <w:tcW w:w="2700" w:type="dxa"/>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Notification of CMS demonstration for Eb</w:t>
            </w:r>
          </w:p>
        </w:tc>
        <w:tc>
          <w:tcPr>
            <w:tcW w:w="1260" w:type="dxa"/>
            <w:vAlign w:val="center"/>
          </w:tcPr>
          <w:p w:rsidR="0083284E" w:rsidRDefault="0083284E" w:rsidP="00E12008">
            <w:pPr>
              <w:keepNext/>
              <w:keepLines/>
              <w:jc w:val="center"/>
            </w:pPr>
            <w:r w:rsidRPr="00F46159">
              <w:rPr>
                <w:sz w:val="20"/>
                <w:szCs w:val="20"/>
              </w:rPr>
              <w:t>0.33</w:t>
            </w:r>
          </w:p>
        </w:tc>
        <w:tc>
          <w:tcPr>
            <w:tcW w:w="1260" w:type="dxa"/>
            <w:vAlign w:val="center"/>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83284E" w:rsidRDefault="0083284E" w:rsidP="00E12008">
            <w:pPr>
              <w:keepNext/>
              <w:keepLines/>
              <w:jc w:val="center"/>
            </w:pPr>
            <w:r w:rsidRPr="00C20814">
              <w:rPr>
                <w:sz w:val="20"/>
                <w:szCs w:val="20"/>
              </w:rPr>
              <w:t>0.33</w:t>
            </w:r>
          </w:p>
        </w:tc>
      </w:tr>
      <w:tr w:rsidR="0083284E" w:rsidTr="0083284E">
        <w:tc>
          <w:tcPr>
            <w:tcW w:w="2700" w:type="dxa"/>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Initial compliance reports for Eb</w:t>
            </w:r>
          </w:p>
        </w:tc>
        <w:tc>
          <w:tcPr>
            <w:tcW w:w="1260" w:type="dxa"/>
            <w:vAlign w:val="center"/>
          </w:tcPr>
          <w:p w:rsidR="0083284E" w:rsidRDefault="0083284E" w:rsidP="00E12008">
            <w:pPr>
              <w:keepNext/>
              <w:keepLines/>
              <w:jc w:val="center"/>
            </w:pPr>
            <w:r w:rsidRPr="00F46159">
              <w:rPr>
                <w:sz w:val="20"/>
                <w:szCs w:val="20"/>
              </w:rPr>
              <w:t>0.33</w:t>
            </w:r>
          </w:p>
        </w:tc>
        <w:tc>
          <w:tcPr>
            <w:tcW w:w="1260" w:type="dxa"/>
            <w:vAlign w:val="center"/>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83284E" w:rsidRDefault="0083284E" w:rsidP="00E12008">
            <w:pPr>
              <w:keepNext/>
              <w:keepLines/>
              <w:jc w:val="center"/>
            </w:pPr>
            <w:r w:rsidRPr="00C20814">
              <w:rPr>
                <w:sz w:val="20"/>
                <w:szCs w:val="20"/>
              </w:rPr>
              <w:t>0.33</w:t>
            </w:r>
          </w:p>
        </w:tc>
      </w:tr>
      <w:tr w:rsidR="00FF3C08" w:rsidTr="0083284E">
        <w:tc>
          <w:tcPr>
            <w:tcW w:w="2700" w:type="dxa"/>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Annual compliance reports for Eb</w:t>
            </w:r>
          </w:p>
        </w:tc>
        <w:tc>
          <w:tcPr>
            <w:tcW w:w="1260" w:type="dxa"/>
            <w:vAlign w:val="center"/>
          </w:tcPr>
          <w:p w:rsidR="003509A6"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w:t>
            </w:r>
          </w:p>
        </w:tc>
        <w:tc>
          <w:tcPr>
            <w:tcW w:w="1260" w:type="dxa"/>
            <w:vAlign w:val="center"/>
          </w:tcPr>
          <w:p w:rsidR="003509A6"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3509A6"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3509A6"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w:t>
            </w:r>
          </w:p>
        </w:tc>
      </w:tr>
      <w:tr w:rsidR="00FF3C08" w:rsidTr="0083284E">
        <w:tc>
          <w:tcPr>
            <w:tcW w:w="2700" w:type="dxa"/>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Semiannual excess emission reports Eb</w:t>
            </w:r>
          </w:p>
        </w:tc>
        <w:tc>
          <w:tcPr>
            <w:tcW w:w="1260" w:type="dxa"/>
            <w:vAlign w:val="center"/>
          </w:tcPr>
          <w:p w:rsidR="003509A6"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w:t>
            </w:r>
          </w:p>
        </w:tc>
        <w:tc>
          <w:tcPr>
            <w:tcW w:w="1260" w:type="dxa"/>
            <w:vAlign w:val="center"/>
          </w:tcPr>
          <w:p w:rsidR="003509A6"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rsidR="003509A6"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3509A6"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10</w:t>
            </w:r>
          </w:p>
        </w:tc>
      </w:tr>
      <w:tr w:rsidR="00FF3C08" w:rsidTr="0083284E">
        <w:tc>
          <w:tcPr>
            <w:tcW w:w="2700" w:type="dxa"/>
          </w:tcPr>
          <w:p w:rsidR="002C336A" w:rsidRDefault="00FF3C08"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Appendix F quarterly reports for Eb</w:t>
            </w:r>
          </w:p>
        </w:tc>
        <w:tc>
          <w:tcPr>
            <w:tcW w:w="1260" w:type="dxa"/>
            <w:vAlign w:val="center"/>
          </w:tcPr>
          <w:p w:rsidR="003509A6"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w:t>
            </w:r>
          </w:p>
        </w:tc>
        <w:tc>
          <w:tcPr>
            <w:tcW w:w="1260" w:type="dxa"/>
            <w:vAlign w:val="center"/>
          </w:tcPr>
          <w:p w:rsidR="003509A6"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w:t>
            </w:r>
          </w:p>
        </w:tc>
        <w:tc>
          <w:tcPr>
            <w:tcW w:w="1890" w:type="dxa"/>
            <w:vAlign w:val="center"/>
          </w:tcPr>
          <w:p w:rsidR="003509A6"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3509A6"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20</w:t>
            </w:r>
          </w:p>
        </w:tc>
      </w:tr>
      <w:tr w:rsidR="0083284E" w:rsidTr="0083284E">
        <w:tc>
          <w:tcPr>
            <w:tcW w:w="2700" w:type="dxa"/>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Initial report on site selection analysis for Eb</w:t>
            </w:r>
          </w:p>
        </w:tc>
        <w:tc>
          <w:tcPr>
            <w:tcW w:w="1260" w:type="dxa"/>
            <w:vAlign w:val="center"/>
          </w:tcPr>
          <w:p w:rsidR="0083284E" w:rsidRDefault="0083284E" w:rsidP="00E12008">
            <w:pPr>
              <w:keepNext/>
              <w:keepLines/>
              <w:jc w:val="center"/>
            </w:pPr>
            <w:r w:rsidRPr="00DE10B3">
              <w:rPr>
                <w:sz w:val="20"/>
                <w:szCs w:val="20"/>
              </w:rPr>
              <w:t>0.33</w:t>
            </w:r>
          </w:p>
        </w:tc>
        <w:tc>
          <w:tcPr>
            <w:tcW w:w="1260" w:type="dxa"/>
            <w:vAlign w:val="center"/>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rsidR="0083284E" w:rsidRDefault="0083284E" w:rsidP="00E12008">
            <w:pPr>
              <w:keepNext/>
              <w:keepLines/>
              <w:jc w:val="center"/>
            </w:pPr>
            <w:r w:rsidRPr="00400AE5">
              <w:rPr>
                <w:sz w:val="20"/>
                <w:szCs w:val="20"/>
              </w:rPr>
              <w:t>0.33</w:t>
            </w:r>
          </w:p>
        </w:tc>
      </w:tr>
      <w:tr w:rsidR="0083284E" w:rsidTr="0083284E">
        <w:tc>
          <w:tcPr>
            <w:tcW w:w="2700" w:type="dxa"/>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Public meetings and comment responses for Eb</w:t>
            </w:r>
          </w:p>
        </w:tc>
        <w:tc>
          <w:tcPr>
            <w:tcW w:w="1260" w:type="dxa"/>
            <w:vAlign w:val="center"/>
          </w:tcPr>
          <w:p w:rsidR="0083284E" w:rsidRDefault="0083284E" w:rsidP="00E12008">
            <w:pPr>
              <w:keepNext/>
              <w:keepLines/>
              <w:jc w:val="center"/>
            </w:pPr>
            <w:r w:rsidRPr="00DE10B3">
              <w:rPr>
                <w:sz w:val="20"/>
                <w:szCs w:val="20"/>
              </w:rPr>
              <w:t>0.33</w:t>
            </w:r>
          </w:p>
        </w:tc>
        <w:tc>
          <w:tcPr>
            <w:tcW w:w="1260" w:type="dxa"/>
            <w:vAlign w:val="center"/>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890" w:type="dxa"/>
            <w:vAlign w:val="center"/>
          </w:tcPr>
          <w:p w:rsidR="0083284E" w:rsidRDefault="0083284E" w:rsidP="00E12008">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N/A</w:t>
            </w:r>
          </w:p>
        </w:tc>
        <w:tc>
          <w:tcPr>
            <w:tcW w:w="2070" w:type="dxa"/>
            <w:vAlign w:val="center"/>
          </w:tcPr>
          <w:p w:rsidR="0083284E" w:rsidRDefault="0083284E" w:rsidP="00E12008">
            <w:pPr>
              <w:keepNext/>
              <w:keepLines/>
              <w:jc w:val="center"/>
            </w:pPr>
            <w:r w:rsidRPr="00400AE5">
              <w:rPr>
                <w:sz w:val="20"/>
                <w:szCs w:val="20"/>
              </w:rPr>
              <w:t>0.33</w:t>
            </w:r>
          </w:p>
        </w:tc>
      </w:tr>
      <w:tr w:rsidR="00FF3C08" w:rsidRPr="0083284E" w:rsidTr="00E66D25">
        <w:tc>
          <w:tcPr>
            <w:tcW w:w="2700" w:type="dxa"/>
          </w:tcPr>
          <w:p w:rsidR="00FF3C08" w:rsidRPr="0083284E" w:rsidRDefault="00FF3C08" w:rsidP="00E12008">
            <w:pPr>
              <w:keepNext/>
              <w:keepLines/>
              <w:pBdr>
                <w:top w:val="single" w:sz="6" w:space="0" w:color="FFFFFF"/>
                <w:left w:val="single" w:sz="6" w:space="0" w:color="FFFFFF"/>
                <w:bottom w:val="single" w:sz="6" w:space="0" w:color="FFFFFF"/>
                <w:right w:val="single" w:sz="6" w:space="0" w:color="FFFFFF"/>
              </w:pBdr>
              <w:spacing w:after="52"/>
              <w:rPr>
                <w:b/>
                <w:sz w:val="20"/>
                <w:szCs w:val="20"/>
              </w:rPr>
            </w:pPr>
          </w:p>
        </w:tc>
        <w:tc>
          <w:tcPr>
            <w:tcW w:w="1260" w:type="dxa"/>
          </w:tcPr>
          <w:p w:rsidR="00FF3C08" w:rsidRPr="0083284E"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p>
        </w:tc>
        <w:tc>
          <w:tcPr>
            <w:tcW w:w="1260" w:type="dxa"/>
          </w:tcPr>
          <w:p w:rsidR="00FF3C08" w:rsidRPr="0083284E"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p>
        </w:tc>
        <w:tc>
          <w:tcPr>
            <w:tcW w:w="1890" w:type="dxa"/>
          </w:tcPr>
          <w:p w:rsidR="00FF3C08" w:rsidRPr="0083284E" w:rsidRDefault="00FF3C08" w:rsidP="00E12008">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sidRPr="0083284E">
              <w:rPr>
                <w:b/>
                <w:color w:val="000000"/>
                <w:sz w:val="20"/>
                <w:szCs w:val="20"/>
              </w:rPr>
              <w:t>Total</w:t>
            </w:r>
          </w:p>
        </w:tc>
        <w:tc>
          <w:tcPr>
            <w:tcW w:w="2070" w:type="dxa"/>
          </w:tcPr>
          <w:p w:rsidR="00FF3C08" w:rsidRPr="0083284E" w:rsidRDefault="00E12008" w:rsidP="00E12008">
            <w:pPr>
              <w:keepNext/>
              <w:keepLines/>
              <w:pBdr>
                <w:top w:val="single" w:sz="6" w:space="0" w:color="FFFFFF"/>
                <w:left w:val="single" w:sz="6" w:space="0" w:color="FFFFFF"/>
                <w:bottom w:val="single" w:sz="6" w:space="0" w:color="FFFFFF"/>
                <w:right w:val="single" w:sz="6" w:space="0" w:color="FFFFFF"/>
              </w:pBdr>
              <w:spacing w:after="52"/>
              <w:jc w:val="center"/>
              <w:rPr>
                <w:b/>
                <w:sz w:val="20"/>
                <w:szCs w:val="20"/>
              </w:rPr>
            </w:pPr>
            <w:r>
              <w:rPr>
                <w:b/>
                <w:sz w:val="20"/>
                <w:szCs w:val="20"/>
              </w:rPr>
              <w:t>117</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83284E">
        <w:rPr>
          <w:color w:val="000000"/>
        </w:rPr>
        <w:t>117</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E7D48" w:rsidRDefault="00CA4CD6" w:rsidP="00EE7D4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E66D25">
        <w:rPr>
          <w:color w:val="000000"/>
        </w:rPr>
        <w:t xml:space="preserve"> $1,</w:t>
      </w:r>
      <w:r w:rsidR="00E12008">
        <w:rPr>
          <w:color w:val="000000"/>
        </w:rPr>
        <w:t>761</w:t>
      </w:r>
      <w:r w:rsidR="00E66D25">
        <w:rPr>
          <w:color w:val="000000"/>
        </w:rPr>
        <w:t>,</w:t>
      </w:r>
      <w:r w:rsidR="00E12008">
        <w:rPr>
          <w:color w:val="000000"/>
        </w:rPr>
        <w:t>25</w:t>
      </w:r>
      <w:r w:rsidR="0058789B">
        <w:rPr>
          <w:color w:val="000000"/>
        </w:rPr>
        <w:t>2</w:t>
      </w:r>
      <w:r>
        <w:rPr>
          <w:color w:val="000000"/>
        </w:rPr>
        <w:t>.</w:t>
      </w:r>
      <w:r w:rsidR="00507EC5">
        <w:rPr>
          <w:color w:val="000000"/>
        </w:rPr>
        <w:t xml:space="preserve">  </w:t>
      </w:r>
      <w:r>
        <w:rPr>
          <w:color w:val="000000"/>
        </w:rPr>
        <w:t xml:space="preserve">Details regarding these estimates may be </w:t>
      </w:r>
      <w:r>
        <w:rPr>
          <w:color w:val="000000"/>
        </w:rPr>
        <w:lastRenderedPageBreak/>
        <w:t xml:space="preserve">found </w:t>
      </w:r>
      <w:r w:rsidR="007A458D">
        <w:rPr>
          <w:color w:val="000000"/>
        </w:rPr>
        <w:t xml:space="preserve">below </w:t>
      </w:r>
      <w:r w:rsidR="0035325B">
        <w:rPr>
          <w:color w:val="000000"/>
        </w:rPr>
        <w:t xml:space="preserve">in </w:t>
      </w:r>
      <w:r w:rsidR="00AB0FAA" w:rsidRPr="000A7A85">
        <w:t xml:space="preserve">Table </w:t>
      </w:r>
      <w:r w:rsidR="00E66D25">
        <w:t>1</w:t>
      </w:r>
      <w:r w:rsidR="00AB0FAA" w:rsidRPr="000A7A85">
        <w:t xml:space="preserve">: Annual Respondent Burden and Cost – </w:t>
      </w:r>
      <w:r w:rsidR="00AB0FAA" w:rsidRPr="000A7A85">
        <w:rPr>
          <w:bCs/>
        </w:rPr>
        <w:t>NSPS for Municipal Waste Combustors (40 CFR Part 60, Subparts Ea and Eb)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767D60" w:rsidRPr="00767D60">
        <w:t xml:space="preserve"> below,</w:t>
      </w:r>
      <w:r>
        <w:rPr>
          <w:color w:val="000000"/>
        </w:rPr>
        <w:t xml:space="preserve">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B0FAA"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E12008">
        <w:rPr>
          <w:color w:val="000000"/>
        </w:rPr>
        <w:t>20</w:t>
      </w:r>
      <w:r w:rsidR="00E66D25">
        <w:rPr>
          <w:color w:val="000000"/>
        </w:rPr>
        <w:t>,</w:t>
      </w:r>
      <w:r w:rsidR="00E12008">
        <w:rPr>
          <w:color w:val="000000"/>
        </w:rPr>
        <w:t>272</w:t>
      </w:r>
      <w:r>
        <w:rPr>
          <w:color w:val="000000"/>
        </w:rPr>
        <w:t>.</w:t>
      </w:r>
      <w:r w:rsidR="00507EC5">
        <w:rPr>
          <w:color w:val="000000"/>
        </w:rPr>
        <w:t xml:space="preserve">  </w:t>
      </w:r>
      <w:r>
        <w:rPr>
          <w:color w:val="000000"/>
        </w:rPr>
        <w:t xml:space="preserve">Details regarding these estimates may be found in </w:t>
      </w:r>
      <w:r w:rsidR="00AB0FAA" w:rsidRPr="000A7A85">
        <w:t xml:space="preserve">Table </w:t>
      </w:r>
      <w:r w:rsidR="00E66D25">
        <w:t>1</w:t>
      </w:r>
      <w:r w:rsidR="00AB0FAA" w:rsidRPr="000A7A85">
        <w:t xml:space="preserve">: Annual Respondent Burden and Cost – </w:t>
      </w:r>
      <w:r w:rsidR="00AB0FAA" w:rsidRPr="000A7A85">
        <w:rPr>
          <w:bCs/>
        </w:rPr>
        <w:t>NSPS for Municipal Waste Combustors (40 CFR Part 60, Subparts Ea and Eb) (Renewal)</w:t>
      </w:r>
      <w:r>
        <w:rPr>
          <w:color w:val="000000"/>
        </w:rPr>
        <w:t>.</w:t>
      </w:r>
    </w:p>
    <w:p w:rsidR="00144F35" w:rsidRDefault="00AB0FAA" w:rsidP="0021722B">
      <w:pPr>
        <w:pBdr>
          <w:top w:val="single" w:sz="6" w:space="0" w:color="FFFFFF"/>
          <w:left w:val="single" w:sz="6" w:space="0" w:color="FFFFFF"/>
          <w:bottom w:val="single" w:sz="6" w:space="0" w:color="FFFFFF"/>
          <w:right w:val="single" w:sz="6" w:space="0" w:color="FFFFFF"/>
        </w:pBdr>
        <w:ind w:firstLine="720"/>
        <w:rPr>
          <w:color w:val="000000"/>
        </w:rPr>
      </w:pPr>
      <w:r w:rsidDel="00AB0FAA">
        <w:rPr>
          <w:color w:val="000000"/>
        </w:rPr>
        <w:t xml:space="preserve"> </w:t>
      </w: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w:t>
      </w:r>
      <w:r w:rsidRPr="00E12008">
        <w:rPr>
          <w:color w:val="000000"/>
        </w:rPr>
        <w:t xml:space="preserve">l public reporting and recordkeeping burden for this collection of information is estimated to average </w:t>
      </w:r>
      <w:r w:rsidR="00E66D25" w:rsidRPr="00E12008">
        <w:rPr>
          <w:color w:val="000000"/>
        </w:rPr>
        <w:t>1</w:t>
      </w:r>
      <w:r w:rsidR="00E12008" w:rsidRPr="00E12008">
        <w:rPr>
          <w:color w:val="000000"/>
        </w:rPr>
        <w:t>73</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66D25">
        <w:rPr>
          <w:color w:val="000000"/>
        </w:rPr>
        <w:t>$1</w:t>
      </w:r>
      <w:r w:rsidR="00E12008">
        <w:rPr>
          <w:color w:val="000000"/>
        </w:rPr>
        <w:t>36</w:t>
      </w:r>
      <w:r w:rsidR="00E66D25">
        <w:rPr>
          <w:color w:val="000000"/>
        </w:rPr>
        <w:t>,</w:t>
      </w:r>
      <w:r w:rsidR="00E12008">
        <w:rPr>
          <w:color w:val="000000"/>
        </w:rPr>
        <w:t>636</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E12008">
        <w:rPr>
          <w:color w:val="000000"/>
        </w:rPr>
        <w:t>854</w:t>
      </w:r>
      <w:r>
        <w:rPr>
          <w:color w:val="000000"/>
        </w:rPr>
        <w:t xml:space="preserve"> labor hours at a cost of</w:t>
      </w:r>
      <w:r w:rsidR="00E66D25">
        <w:rPr>
          <w:color w:val="000000"/>
        </w:rPr>
        <w:t xml:space="preserve"> $</w:t>
      </w:r>
      <w:r w:rsidR="00E12008">
        <w:rPr>
          <w:color w:val="000000"/>
        </w:rPr>
        <w:t>38,853</w:t>
      </w:r>
      <w:r w:rsidR="00144F35">
        <w:rPr>
          <w:color w:val="000000"/>
        </w:rPr>
        <w:t xml:space="preserve">.  See </w:t>
      </w:r>
      <w:r w:rsidR="00F43AF7" w:rsidRPr="000A7A85">
        <w:t xml:space="preserve">Table 2: Average Annual EPA Burden and Cost – </w:t>
      </w:r>
      <w:r w:rsidR="00F43AF7" w:rsidRPr="000A7A85">
        <w:rPr>
          <w:bCs/>
        </w:rPr>
        <w:t>NSPS for Municipal Waste Combustors (40 CFR Part 60, Subparts Ea and Eb) (Renewal)</w:t>
      </w:r>
      <w:r w:rsidRPr="00B16C07">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819EB" w:rsidRPr="009A22C1" w:rsidRDefault="005819EB" w:rsidP="00A564A4">
      <w:pPr>
        <w:pBdr>
          <w:top w:val="single" w:sz="6" w:space="0" w:color="FFFFFF"/>
          <w:left w:val="single" w:sz="6" w:space="0" w:color="FFFFFF"/>
          <w:bottom w:val="single" w:sz="6" w:space="0" w:color="FFFFFF"/>
          <w:right w:val="single" w:sz="6" w:space="0" w:color="FFFFFF"/>
        </w:pBdr>
        <w:ind w:firstLine="720"/>
      </w:pPr>
      <w:r w:rsidRPr="009A22C1">
        <w:t xml:space="preserve">There is a decrease in the respondent burden, but an increase in the number of responses and the Agency burden.  These changes are due to the following adjustments: 1) The number of sources subject to each Subpart was revised to reflect more recent information obtained through the Agency’s research within the MWC sector; 2) </w:t>
      </w:r>
      <w:r w:rsidR="009A22C1" w:rsidRPr="009A22C1">
        <w:t>the number of sources required to submit initial notification and siting analysis was correct</w:t>
      </w:r>
      <w:r w:rsidR="009A22C1">
        <w:t>ed</w:t>
      </w:r>
      <w:r w:rsidR="009A22C1" w:rsidRPr="009A22C1">
        <w:t xml:space="preserve"> to reflect this activity as a burden only for new sources, rather than </w:t>
      </w:r>
      <w:r w:rsidR="009A22C1">
        <w:t xml:space="preserve">for </w:t>
      </w:r>
      <w:r w:rsidR="009A22C1" w:rsidRPr="009A22C1">
        <w:t xml:space="preserve">existing sources; 3) several mathematical errors in calculating burden costs were corrected; and 4) all estimates were updated using more recent labor rates.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487500">
        <w:rPr>
          <w:color w:val="000000"/>
        </w:rPr>
        <w:t>1</w:t>
      </w:r>
      <w:r w:rsidR="009A22C1">
        <w:rPr>
          <w:color w:val="000000"/>
        </w:rPr>
        <w:t>73</w:t>
      </w:r>
      <w:r w:rsidR="00EC4EAC">
        <w:rPr>
          <w:color w:val="000000"/>
        </w:rPr>
        <w:t xml:space="preserve"> </w:t>
      </w:r>
      <w:r>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w:t>
      </w:r>
      <w:r>
        <w:rPr>
          <w:color w:val="000000"/>
        </w:rPr>
        <w:lastRenderedPageBreak/>
        <w:t>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EC4EAC">
        <w:rPr>
          <w:b/>
          <w:bCs/>
        </w:rPr>
        <w:t xml:space="preserve"> </w:t>
      </w:r>
      <w:r w:rsidR="00767D60" w:rsidRPr="00767D60">
        <w:rPr>
          <w:bCs/>
        </w:rPr>
        <w:t>EPA-HQ-OECA-2014-0045</w:t>
      </w:r>
      <w:r w:rsidR="00767D60" w:rsidRPr="00767D60">
        <w:t>.</w:t>
      </w:r>
      <w:r w:rsidR="00354C15">
        <w:rPr>
          <w:color w:val="FF0000"/>
        </w:rPr>
        <w:t xml:space="preserve">  </w:t>
      </w:r>
      <w:r w:rsidR="00354C15" w:rsidRPr="00354C15">
        <w:t xml:space="preserve">An electronic version of the public docket is available at </w:t>
      </w:r>
      <w:hyperlink r:id="rId8" w:history="1">
        <w:r w:rsidR="00377D7F" w:rsidRPr="006E6013">
          <w:rPr>
            <w:rStyle w:val="Hyperlink"/>
            <w:color w:val="000000" w:themeColor="text1"/>
            <w:u w:val="none"/>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EC4EAC" w:rsidRPr="00EC4EAC">
        <w:rPr>
          <w:bCs/>
        </w:rPr>
        <w:t>EPA-HQ-OECA-2014-0045</w:t>
      </w:r>
      <w:r w:rsidR="00CA4CD6">
        <w:t xml:space="preserve"> and OMB Control Number</w:t>
      </w:r>
      <w:r w:rsidR="00EC4EAC">
        <w:t xml:space="preserve"> 2060-0210</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Default="00F43AF7" w:rsidP="00487500">
      <w:pPr>
        <w:jc w:val="center"/>
        <w:outlineLvl w:val="0"/>
        <w:rPr>
          <w:b/>
          <w:bCs/>
          <w:color w:val="000000"/>
        </w:rPr>
      </w:pPr>
      <w:r w:rsidRPr="00F43AF7">
        <w:rPr>
          <w:b/>
          <w:bCs/>
          <w:color w:val="000000"/>
        </w:rPr>
        <w:lastRenderedPageBreak/>
        <w:t xml:space="preserve">Table </w:t>
      </w:r>
      <w:r w:rsidR="00E66D25">
        <w:rPr>
          <w:b/>
          <w:bCs/>
          <w:color w:val="000000"/>
        </w:rPr>
        <w:t>1</w:t>
      </w:r>
      <w:r w:rsidRPr="00F43AF7">
        <w:rPr>
          <w:b/>
          <w:bCs/>
          <w:color w:val="000000"/>
        </w:rPr>
        <w:t xml:space="preserve">: Annual Respondent Burden and </w:t>
      </w:r>
      <w:r w:rsidRPr="00E04822">
        <w:rPr>
          <w:b/>
          <w:bCs/>
          <w:color w:val="000000"/>
        </w:rPr>
        <w:t>Cost – NSPS for Municipal Waste Combustors (40 CFR Part 60, Subparts Ea and Eb) (Renewal)</w:t>
      </w:r>
    </w:p>
    <w:p w:rsidR="003D6951" w:rsidRDefault="003D6951" w:rsidP="003D6951">
      <w:pPr>
        <w:rPr>
          <w:color w:val="FF0000"/>
        </w:rPr>
      </w:pPr>
    </w:p>
    <w:tbl>
      <w:tblPr>
        <w:tblW w:w="14840" w:type="dxa"/>
        <w:jc w:val="center"/>
        <w:tblLook w:val="04A0" w:firstRow="1" w:lastRow="0" w:firstColumn="1" w:lastColumn="0" w:noHBand="0" w:noVBand="1"/>
      </w:tblPr>
      <w:tblGrid>
        <w:gridCol w:w="2930"/>
        <w:gridCol w:w="1216"/>
        <w:gridCol w:w="1238"/>
        <w:gridCol w:w="1215"/>
        <w:gridCol w:w="1306"/>
        <w:gridCol w:w="1050"/>
        <w:gridCol w:w="1338"/>
        <w:gridCol w:w="894"/>
        <w:gridCol w:w="1216"/>
        <w:gridCol w:w="1200"/>
        <w:gridCol w:w="1237"/>
      </w:tblGrid>
      <w:tr w:rsidR="00E04822" w:rsidRPr="00E04822" w:rsidTr="00E04822">
        <w:trPr>
          <w:trHeight w:val="1845"/>
          <w:jc w:val="center"/>
        </w:trPr>
        <w:tc>
          <w:tcPr>
            <w:tcW w:w="29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Burden item</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 xml:space="preserve">(A) </w:t>
            </w:r>
            <w:r w:rsidRPr="00E04822">
              <w:rPr>
                <w:b/>
                <w:bCs/>
                <w:color w:val="000000"/>
                <w:sz w:val="20"/>
                <w:szCs w:val="20"/>
              </w:rPr>
              <w:br/>
              <w:t>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 xml:space="preserve">(B) </w:t>
            </w:r>
            <w:r w:rsidRPr="00E04822">
              <w:rPr>
                <w:b/>
                <w:bCs/>
                <w:color w:val="000000"/>
                <w:sz w:val="20"/>
                <w:szCs w:val="20"/>
              </w:rPr>
              <w:br/>
              <w:t>No. of occurrences per respondent per year</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 xml:space="preserve">(C) </w:t>
            </w:r>
            <w:r w:rsidRPr="00E04822">
              <w:rPr>
                <w:b/>
                <w:bCs/>
                <w:color w:val="000000"/>
                <w:sz w:val="20"/>
                <w:szCs w:val="20"/>
              </w:rPr>
              <w:br/>
              <w:t>Person hours per respondent per year (C=</w:t>
            </w:r>
            <w:proofErr w:type="spellStart"/>
            <w:r w:rsidRPr="00E04822">
              <w:rPr>
                <w:b/>
                <w:bCs/>
                <w:color w:val="000000"/>
                <w:sz w:val="20"/>
                <w:szCs w:val="20"/>
              </w:rPr>
              <w:t>AxB</w:t>
            </w:r>
            <w:proofErr w:type="spellEnd"/>
            <w:r w:rsidRPr="00E04822">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 xml:space="preserve">(D) Respondents per year  </w:t>
            </w:r>
            <w:r w:rsidRPr="00E04822">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(E) Technical person- hours per year (E=</w:t>
            </w:r>
            <w:proofErr w:type="spellStart"/>
            <w:r w:rsidRPr="00E04822">
              <w:rPr>
                <w:b/>
                <w:bCs/>
                <w:color w:val="000000"/>
                <w:sz w:val="20"/>
                <w:szCs w:val="20"/>
              </w:rPr>
              <w:t>CxD</w:t>
            </w:r>
            <w:proofErr w:type="spellEnd"/>
            <w:r w:rsidRPr="00E04822">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(F) Management person hours per year (Ex0.05)</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(G) Clerical person hours per year (Ex0.1)</w:t>
            </w:r>
          </w:p>
        </w:tc>
        <w:tc>
          <w:tcPr>
            <w:tcW w:w="1216" w:type="dxa"/>
            <w:tcBorders>
              <w:top w:val="single" w:sz="4" w:space="0" w:color="auto"/>
              <w:left w:val="nil"/>
              <w:bottom w:val="single" w:sz="4" w:space="0" w:color="auto"/>
              <w:right w:val="single" w:sz="4" w:space="0" w:color="auto"/>
            </w:tcBorders>
            <w:shd w:val="clear" w:color="auto" w:fill="auto"/>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 xml:space="preserve">(H) </w:t>
            </w:r>
            <w:r w:rsidRPr="00E04822">
              <w:rPr>
                <w:b/>
                <w:bCs/>
                <w:color w:val="000000"/>
                <w:sz w:val="20"/>
                <w:szCs w:val="20"/>
              </w:rPr>
              <w:br/>
              <w:t>Emission Test Person- Hours per Occurrence</w:t>
            </w:r>
          </w:p>
        </w:tc>
        <w:tc>
          <w:tcPr>
            <w:tcW w:w="1200" w:type="dxa"/>
            <w:tcBorders>
              <w:top w:val="single" w:sz="4" w:space="0" w:color="auto"/>
              <w:left w:val="nil"/>
              <w:bottom w:val="single" w:sz="4" w:space="0" w:color="auto"/>
              <w:right w:val="single" w:sz="4" w:space="0" w:color="auto"/>
            </w:tcBorders>
            <w:shd w:val="clear" w:color="auto" w:fill="auto"/>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 xml:space="preserve">(I) </w:t>
            </w:r>
            <w:r w:rsidRPr="00E04822">
              <w:rPr>
                <w:b/>
                <w:bCs/>
                <w:color w:val="000000"/>
                <w:sz w:val="20"/>
                <w:szCs w:val="20"/>
              </w:rPr>
              <w:br/>
              <w:t>Emission Testing Contractor Person-Hours per Year (</w:t>
            </w:r>
            <w:proofErr w:type="spellStart"/>
            <w:r w:rsidRPr="00E04822">
              <w:rPr>
                <w:b/>
                <w:bCs/>
                <w:color w:val="000000"/>
                <w:sz w:val="20"/>
                <w:szCs w:val="20"/>
              </w:rPr>
              <w:t>HxD</w:t>
            </w:r>
            <w:proofErr w:type="spellEnd"/>
            <w:r w:rsidRPr="00E04822">
              <w:rPr>
                <w:b/>
                <w:bCs/>
                <w:color w:val="000000"/>
                <w:sz w:val="20"/>
                <w:szCs w:val="20"/>
              </w:rPr>
              <w:t xml:space="preserve">) </w:t>
            </w:r>
            <w:r w:rsidRPr="00E04822">
              <w:rPr>
                <w:b/>
                <w:bCs/>
                <w:color w:val="000000"/>
                <w:sz w:val="20"/>
                <w:szCs w:val="20"/>
                <w:vertAlign w:val="superscript"/>
              </w:rPr>
              <w:t>c</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 xml:space="preserve">(J) </w:t>
            </w:r>
            <w:r w:rsidRPr="00E04822">
              <w:rPr>
                <w:b/>
                <w:bCs/>
                <w:color w:val="000000"/>
                <w:sz w:val="20"/>
                <w:szCs w:val="20"/>
              </w:rPr>
              <w:br/>
              <w:t>Total Cost per year</w:t>
            </w:r>
            <w:r w:rsidRPr="00E04822">
              <w:rPr>
                <w:b/>
                <w:bCs/>
                <w:color w:val="000000"/>
                <w:sz w:val="20"/>
                <w:szCs w:val="20"/>
                <w:vertAlign w:val="superscript"/>
              </w:rPr>
              <w:t xml:space="preserve"> b</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1. Applications</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N/A</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2. Survey and Studies</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N/A</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3. Reporting requirements</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A.  Read instructions</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0.33</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0.33</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0.0</w:t>
            </w:r>
            <w:r w:rsidR="009A22C1">
              <w:rPr>
                <w:color w:val="000000"/>
                <w:sz w:val="16"/>
                <w:szCs w:val="16"/>
              </w:rPr>
              <w:t>2</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0.03</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0.33</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$63.55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B.  Required activities</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Initial performance test for Eb </w:t>
            </w:r>
            <w:r w:rsidRPr="00E04822">
              <w:rPr>
                <w:color w:val="000000"/>
                <w:sz w:val="16"/>
                <w:szCs w:val="16"/>
                <w:vertAlign w:val="superscript"/>
              </w:rPr>
              <w:t>d, e</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24</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24</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0.33</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7.92</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r w:rsidR="009A22C1">
              <w:rPr>
                <w:color w:val="000000"/>
                <w:sz w:val="16"/>
                <w:szCs w:val="16"/>
              </w:rPr>
              <w:t>40</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r w:rsidR="009A22C1">
              <w:rPr>
                <w:color w:val="000000"/>
                <w:sz w:val="16"/>
                <w:szCs w:val="16"/>
              </w:rPr>
              <w:t>79</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1,053</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347</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$28,690.90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Repeat performance test for Eb </w:t>
            </w:r>
            <w:r w:rsidRPr="00E04822">
              <w:rPr>
                <w:color w:val="000000"/>
                <w:sz w:val="16"/>
                <w:szCs w:val="16"/>
                <w:vertAlign w:val="superscript"/>
              </w:rPr>
              <w:t xml:space="preserve">f, e   </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24</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24</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0.07</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1.68</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0.08</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0.1</w:t>
            </w:r>
            <w:r w:rsidR="009A22C1">
              <w:rPr>
                <w:color w:val="000000"/>
                <w:sz w:val="16"/>
                <w:szCs w:val="16"/>
              </w:rPr>
              <w:t>7</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1,053</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73.71</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$6,085.95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Demonstration/CEMS for Eb</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24</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24</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0.33</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7.92</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r w:rsidR="009A22C1">
              <w:rPr>
                <w:color w:val="000000"/>
                <w:sz w:val="16"/>
                <w:szCs w:val="16"/>
              </w:rPr>
              <w:t>40</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9A22C1" w:rsidP="00E04822">
            <w:pPr>
              <w:widowControl/>
              <w:autoSpaceDE/>
              <w:autoSpaceDN/>
              <w:adjustRightInd/>
              <w:jc w:val="center"/>
              <w:rPr>
                <w:color w:val="000000"/>
                <w:sz w:val="16"/>
                <w:szCs w:val="16"/>
              </w:rPr>
            </w:pPr>
            <w:r>
              <w:rPr>
                <w:color w:val="000000"/>
                <w:sz w:val="16"/>
                <w:szCs w:val="16"/>
              </w:rPr>
              <w:t>0.79</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470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155.1</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$13,299.70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Repeat CEM demonstration Eb </w:t>
            </w:r>
            <w:r w:rsidRPr="00E04822">
              <w:rPr>
                <w:color w:val="000000"/>
                <w:sz w:val="16"/>
                <w:szCs w:val="16"/>
                <w:vertAlign w:val="subscript"/>
              </w:rPr>
              <w:t>g</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24</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24</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0.07</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1.68</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0.08</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0.1</w:t>
            </w:r>
            <w:r w:rsidR="009A22C1">
              <w:rPr>
                <w:color w:val="000000"/>
                <w:sz w:val="16"/>
                <w:szCs w:val="16"/>
              </w:rPr>
              <w:t>7</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470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32.9</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$2,821.15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Annual compliance test for </w:t>
            </w:r>
            <w:proofErr w:type="spellStart"/>
            <w:r w:rsidRPr="00E04822">
              <w:rPr>
                <w:color w:val="000000"/>
                <w:sz w:val="16"/>
                <w:szCs w:val="16"/>
              </w:rPr>
              <w:t>Ea</w:t>
            </w:r>
            <w:proofErr w:type="spellEnd"/>
            <w:r w:rsidRPr="00E04822">
              <w:rPr>
                <w:color w:val="000000"/>
                <w:sz w:val="16"/>
                <w:szCs w:val="16"/>
                <w:vertAlign w:val="superscript"/>
              </w:rPr>
              <w:t xml:space="preserve"> h, i</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24</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24</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192</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9.6</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19.2</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826</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6,608</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$550,256.90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Annual compliance test for Eb </w:t>
            </w:r>
            <w:r w:rsidRPr="00E04822">
              <w:rPr>
                <w:color w:val="000000"/>
                <w:sz w:val="16"/>
                <w:szCs w:val="16"/>
                <w:vertAlign w:val="superscript"/>
              </w:rPr>
              <w:t>j, e</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24</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24</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5</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120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6</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12</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1,053</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5,265</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$434,710.56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Appendix F audit for Ea (in-situ)</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125</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1,000</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$0</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Appendix F audit for Ea (extractive)</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36</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288</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$0</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C.  Create Information</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See 3B</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w:t>
            </w:r>
          </w:p>
        </w:tc>
      </w:tr>
      <w:tr w:rsidR="00E04822" w:rsidRPr="00E04822" w:rsidTr="00E04822">
        <w:trPr>
          <w:trHeight w:val="48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D.  Gather information </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See 3B</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E.  Write report  </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Notification of  construction/reconstruction for Ea       </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$0</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Notification of actual startup – Ea</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$0</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lastRenderedPageBreak/>
              <w:t xml:space="preserve">      Notification of initial performance test – Ea </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$0</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Notification of CMS demonstration – Ea       </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$0</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Notification of construction/reconstruction – Eb</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0.33</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0.66</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0.03</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0.07</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$74.31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Notification of initial performance test – Eb</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0.33</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0.66</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0.03</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0.07</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$74.31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Notification of CMS demonstration – Eb       </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0.33</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0.66</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0.03</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0.07</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$74.31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Annual compliance reports for Ea</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16</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16</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128</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6.4</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12.8</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$14,411.26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Annual opacity report of no excess emission for Ea </w:t>
            </w:r>
            <w:r w:rsidRPr="00E04822">
              <w:rPr>
                <w:color w:val="000000"/>
                <w:sz w:val="16"/>
                <w:szCs w:val="16"/>
                <w:vertAlign w:val="superscript"/>
              </w:rPr>
              <w:t>k</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6.4</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51.2</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2.56</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5.12</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$5,764.51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Annual opacity report for excess emission for Ea </w:t>
            </w:r>
            <w:r w:rsidRPr="00E04822">
              <w:rPr>
                <w:color w:val="000000"/>
                <w:sz w:val="16"/>
                <w:szCs w:val="16"/>
                <w:vertAlign w:val="superscript"/>
              </w:rPr>
              <w:t>l</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16</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16</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1.6</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25.6</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1.28</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2.56</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$2,882.25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Report of daily weight of MSW and fuel for Ea</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34</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136</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1088</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54.4</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108.8</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$122,495.74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Appendix F reports for Ea</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11</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44</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352</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17.6</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35.2</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$39,630.98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Initial compliance report for Eb</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40</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40</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0.33</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13.2</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0.66</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1.32</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$1,486.16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Annual compliance report for Eb</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40</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40</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5</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200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10</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20</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$22,517.60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Semiannual excess emission report Eb </w:t>
            </w:r>
            <w:r w:rsidRPr="00E04822">
              <w:rPr>
                <w:color w:val="000000"/>
                <w:sz w:val="16"/>
                <w:szCs w:val="16"/>
                <w:vertAlign w:val="superscript"/>
              </w:rPr>
              <w:t>m</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17</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34</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5</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170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8.5</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17</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$19,139.96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Appendix F reports for Eb </w:t>
            </w:r>
            <w:r w:rsidRPr="00E04822">
              <w:rPr>
                <w:color w:val="000000"/>
                <w:sz w:val="16"/>
                <w:szCs w:val="16"/>
                <w:vertAlign w:val="superscript"/>
              </w:rPr>
              <w:t>n</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11</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44</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5</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220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11</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22</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$24,769.36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Initial site selection analysis/report for Eb</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270</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270</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0.33</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89</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4.4</w:t>
            </w:r>
            <w:r w:rsidR="009A22C1">
              <w:rPr>
                <w:color w:val="000000"/>
                <w:sz w:val="16"/>
                <w:szCs w:val="16"/>
              </w:rPr>
              <w:t>6</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8.91</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$10,031.59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Public meeting and comment response for Eb</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140</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140</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0.33</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46.2</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2.31</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4.62</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$5,201.57 </w:t>
            </w:r>
          </w:p>
        </w:tc>
      </w:tr>
      <w:tr w:rsidR="00E04822" w:rsidRPr="00E04822" w:rsidTr="00E04822">
        <w:trPr>
          <w:trHeight w:val="300"/>
          <w:jc w:val="center"/>
        </w:trPr>
        <w:tc>
          <w:tcPr>
            <w:tcW w:w="29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b/>
                <w:bCs/>
                <w:color w:val="000000"/>
                <w:sz w:val="18"/>
                <w:szCs w:val="18"/>
              </w:rPr>
            </w:pPr>
            <w:r w:rsidRPr="00E04822">
              <w:rPr>
                <w:b/>
                <w:bCs/>
                <w:color w:val="000000"/>
                <w:sz w:val="18"/>
                <w:szCs w:val="18"/>
              </w:rPr>
              <w:t>Subtotal for Reporting Requirements</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3282" w:type="dxa"/>
            <w:gridSpan w:val="3"/>
            <w:tcBorders>
              <w:top w:val="single" w:sz="4" w:space="0" w:color="auto"/>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3,124</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12,483</w:t>
            </w:r>
          </w:p>
        </w:tc>
        <w:tc>
          <w:tcPr>
            <w:tcW w:w="12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b/>
                <w:bCs/>
                <w:color w:val="000000"/>
                <w:sz w:val="16"/>
                <w:szCs w:val="16"/>
              </w:rPr>
            </w:pPr>
            <w:r w:rsidRPr="00E04822">
              <w:rPr>
                <w:b/>
                <w:bCs/>
                <w:color w:val="000000"/>
                <w:sz w:val="16"/>
                <w:szCs w:val="16"/>
              </w:rPr>
              <w:t>$1,304,482.6</w:t>
            </w:r>
          </w:p>
        </w:tc>
      </w:tr>
      <w:tr w:rsidR="00E04822" w:rsidRPr="00E04822" w:rsidTr="00E04822">
        <w:trPr>
          <w:trHeight w:val="300"/>
          <w:jc w:val="center"/>
        </w:trPr>
        <w:tc>
          <w:tcPr>
            <w:tcW w:w="2930" w:type="dxa"/>
            <w:vMerge/>
            <w:tcBorders>
              <w:top w:val="nil"/>
              <w:left w:val="single" w:sz="4" w:space="0" w:color="auto"/>
              <w:bottom w:val="single" w:sz="4" w:space="0" w:color="000000"/>
              <w:right w:val="single" w:sz="4" w:space="0" w:color="auto"/>
            </w:tcBorders>
            <w:vAlign w:val="center"/>
            <w:hideMark/>
          </w:tcPr>
          <w:p w:rsidR="00E04822" w:rsidRPr="00E04822" w:rsidRDefault="00E04822" w:rsidP="00E04822">
            <w:pPr>
              <w:widowControl/>
              <w:autoSpaceDE/>
              <w:autoSpaceDN/>
              <w:adjustRightInd/>
              <w:rPr>
                <w:b/>
                <w:bCs/>
                <w:color w:val="000000"/>
                <w:sz w:val="18"/>
                <w:szCs w:val="18"/>
              </w:rPr>
            </w:pP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569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04822" w:rsidRPr="00E04822" w:rsidRDefault="00E04822" w:rsidP="00E04822">
            <w:pPr>
              <w:widowControl/>
              <w:autoSpaceDE/>
              <w:autoSpaceDN/>
              <w:adjustRightInd/>
              <w:jc w:val="center"/>
              <w:rPr>
                <w:b/>
                <w:bCs/>
                <w:color w:val="000000"/>
                <w:sz w:val="16"/>
                <w:szCs w:val="16"/>
              </w:rPr>
            </w:pPr>
            <w:r w:rsidRPr="00E04822">
              <w:rPr>
                <w:b/>
                <w:bCs/>
                <w:color w:val="000000"/>
                <w:sz w:val="16"/>
                <w:szCs w:val="16"/>
              </w:rPr>
              <w:t>15,607</w:t>
            </w:r>
          </w:p>
        </w:tc>
        <w:tc>
          <w:tcPr>
            <w:tcW w:w="1237" w:type="dxa"/>
            <w:vMerge/>
            <w:tcBorders>
              <w:top w:val="nil"/>
              <w:left w:val="single" w:sz="4" w:space="0" w:color="auto"/>
              <w:bottom w:val="single" w:sz="4" w:space="0" w:color="auto"/>
              <w:right w:val="single" w:sz="4" w:space="0" w:color="auto"/>
            </w:tcBorders>
            <w:vAlign w:val="center"/>
            <w:hideMark/>
          </w:tcPr>
          <w:p w:rsidR="00E04822" w:rsidRPr="00E04822" w:rsidRDefault="00E04822" w:rsidP="00E04822">
            <w:pPr>
              <w:widowControl/>
              <w:autoSpaceDE/>
              <w:autoSpaceDN/>
              <w:adjustRightInd/>
              <w:rPr>
                <w:b/>
                <w:bCs/>
                <w:color w:val="000000"/>
                <w:sz w:val="16"/>
                <w:szCs w:val="16"/>
              </w:rPr>
            </w:pP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4.  Recordkeeping  requirements</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A.  Read instructions</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See 3A</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B.  Plan activities</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See 4E</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C.  Implement activities</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See 4E</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D.  Develop record system </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See 4E</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E.  Time to enter information</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Records of SSM for Ea </w:t>
            </w:r>
            <w:r w:rsidRPr="00E04822">
              <w:rPr>
                <w:color w:val="000000"/>
                <w:sz w:val="16"/>
                <w:szCs w:val="16"/>
                <w:vertAlign w:val="superscript"/>
              </w:rPr>
              <w:t>o</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1.5</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104</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156</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1,248</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62.4</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124.8</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$140,509.82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lastRenderedPageBreak/>
              <w:t xml:space="preserve"> Record emission  measurements Ea </w:t>
            </w:r>
            <w:r w:rsidRPr="00E04822">
              <w:rPr>
                <w:color w:val="000000"/>
                <w:sz w:val="16"/>
                <w:szCs w:val="16"/>
                <w:vertAlign w:val="superscript"/>
              </w:rPr>
              <w:t>o</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1.5</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104</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156</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1,248</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62.4</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124.8</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$140,509.82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Record of employee  review of operation for Ea </w:t>
            </w:r>
            <w:r w:rsidRPr="00E04822">
              <w:rPr>
                <w:color w:val="000000"/>
                <w:sz w:val="16"/>
                <w:szCs w:val="16"/>
                <w:vertAlign w:val="superscript"/>
              </w:rPr>
              <w:t>p</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64</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3.2</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6.4</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$7,205.63 </w:t>
            </w:r>
          </w:p>
        </w:tc>
      </w:tr>
      <w:tr w:rsidR="00E04822" w:rsidRPr="00E04822" w:rsidTr="00E04822">
        <w:trPr>
          <w:trHeight w:val="51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Record of emission rates, and computation tests for Eb </w:t>
            </w:r>
            <w:r w:rsidRPr="00E04822">
              <w:rPr>
                <w:color w:val="000000"/>
                <w:sz w:val="16"/>
                <w:szCs w:val="16"/>
                <w:vertAlign w:val="superscript"/>
              </w:rPr>
              <w:t xml:space="preserve">q </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1.5</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94</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141</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5</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705</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35.25</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70.5</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$79,374.54 </w:t>
            </w:r>
          </w:p>
        </w:tc>
      </w:tr>
      <w:tr w:rsidR="00E04822" w:rsidRPr="00E04822" w:rsidTr="00E04822">
        <w:trPr>
          <w:trHeight w:val="51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Record of SSM for Eb </w:t>
            </w:r>
            <w:r w:rsidRPr="00E04822">
              <w:rPr>
                <w:color w:val="000000"/>
                <w:sz w:val="16"/>
                <w:szCs w:val="16"/>
                <w:vertAlign w:val="superscript"/>
              </w:rPr>
              <w:t>q</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1.5</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94</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141</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5</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705</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35.25</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70.5</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$79,374.54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Record of employee review of operation for Eb </w:t>
            </w:r>
            <w:r w:rsidRPr="00E04822">
              <w:rPr>
                <w:color w:val="000000"/>
                <w:sz w:val="16"/>
                <w:szCs w:val="16"/>
                <w:vertAlign w:val="superscript"/>
              </w:rPr>
              <w:t>r</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8</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5</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$4,503.52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Record amount of  sorbent for Hg control for Eb </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0.1</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94</w:t>
            </w:r>
          </w:p>
        </w:tc>
        <w:tc>
          <w:tcPr>
            <w:tcW w:w="12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9.4</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5</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47</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2.35</w:t>
            </w:r>
          </w:p>
        </w:tc>
        <w:tc>
          <w:tcPr>
            <w:tcW w:w="894"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4.7</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0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xml:space="preserve">$5,291.64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F.  Train personnel</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See 4E</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xml:space="preserve">    G.  Audits</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See 4E</w:t>
            </w:r>
          </w:p>
        </w:tc>
        <w:tc>
          <w:tcPr>
            <w:tcW w:w="12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38"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894"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6"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center"/>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 </w:t>
            </w:r>
          </w:p>
        </w:tc>
      </w:tr>
      <w:tr w:rsidR="00E04822" w:rsidRPr="00E04822" w:rsidTr="00E04822">
        <w:trPr>
          <w:trHeight w:val="300"/>
          <w:jc w:val="center"/>
        </w:trPr>
        <w:tc>
          <w:tcPr>
            <w:tcW w:w="29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04822" w:rsidRPr="00E04822" w:rsidRDefault="00E04822" w:rsidP="00E04822">
            <w:pPr>
              <w:widowControl/>
              <w:autoSpaceDE/>
              <w:autoSpaceDN/>
              <w:adjustRightInd/>
              <w:rPr>
                <w:b/>
                <w:bCs/>
                <w:color w:val="000000"/>
                <w:sz w:val="18"/>
                <w:szCs w:val="18"/>
              </w:rPr>
            </w:pPr>
            <w:r w:rsidRPr="00E04822">
              <w:rPr>
                <w:b/>
                <w:bCs/>
                <w:color w:val="000000"/>
                <w:sz w:val="18"/>
                <w:szCs w:val="18"/>
              </w:rPr>
              <w:t>Subtotal for Recordkeeping Requirements</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3282" w:type="dxa"/>
            <w:gridSpan w:val="3"/>
            <w:tcBorders>
              <w:top w:val="single" w:sz="4" w:space="0" w:color="auto"/>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4,666</w:t>
            </w:r>
          </w:p>
        </w:tc>
        <w:tc>
          <w:tcPr>
            <w:tcW w:w="1216"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rPr>
                <w:color w:val="000000"/>
                <w:sz w:val="16"/>
                <w:szCs w:val="16"/>
              </w:rPr>
            </w:pPr>
            <w:r w:rsidRPr="00E04822">
              <w:rPr>
                <w:color w:val="000000"/>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right"/>
              <w:rPr>
                <w:color w:val="000000"/>
                <w:sz w:val="16"/>
                <w:szCs w:val="16"/>
              </w:rPr>
            </w:pPr>
            <w:r w:rsidRPr="00E04822">
              <w:rPr>
                <w:color w:val="000000"/>
                <w:sz w:val="16"/>
                <w:szCs w:val="16"/>
              </w:rPr>
              <w:t>0</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rFonts w:ascii="Calibri" w:hAnsi="Calibri"/>
                <w:color w:val="000000"/>
                <w:sz w:val="22"/>
                <w:szCs w:val="22"/>
              </w:rPr>
            </w:pPr>
            <w:r w:rsidRPr="00E04822">
              <w:rPr>
                <w:rFonts w:ascii="Calibri" w:hAnsi="Calibri"/>
                <w:color w:val="000000"/>
                <w:sz w:val="22"/>
                <w:szCs w:val="22"/>
              </w:rPr>
              <w:t> </w:t>
            </w:r>
          </w:p>
        </w:tc>
      </w:tr>
      <w:tr w:rsidR="00E04822" w:rsidRPr="00E04822" w:rsidTr="00E04822">
        <w:trPr>
          <w:trHeight w:val="300"/>
          <w:jc w:val="center"/>
        </w:trPr>
        <w:tc>
          <w:tcPr>
            <w:tcW w:w="2930" w:type="dxa"/>
            <w:vMerge/>
            <w:tcBorders>
              <w:top w:val="nil"/>
              <w:left w:val="single" w:sz="4" w:space="0" w:color="auto"/>
              <w:bottom w:val="single" w:sz="4" w:space="0" w:color="000000"/>
              <w:right w:val="single" w:sz="4" w:space="0" w:color="auto"/>
            </w:tcBorders>
            <w:vAlign w:val="center"/>
            <w:hideMark/>
          </w:tcPr>
          <w:p w:rsidR="00E04822" w:rsidRPr="00E04822" w:rsidRDefault="00E04822" w:rsidP="00E04822">
            <w:pPr>
              <w:widowControl/>
              <w:autoSpaceDE/>
              <w:autoSpaceDN/>
              <w:adjustRightInd/>
              <w:rPr>
                <w:b/>
                <w:bCs/>
                <w:color w:val="000000"/>
                <w:sz w:val="18"/>
                <w:szCs w:val="18"/>
              </w:rPr>
            </w:pP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5698" w:type="dxa"/>
            <w:gridSpan w:val="5"/>
            <w:tcBorders>
              <w:top w:val="single" w:sz="4" w:space="0" w:color="auto"/>
              <w:left w:val="nil"/>
              <w:bottom w:val="single" w:sz="4" w:space="0" w:color="auto"/>
              <w:right w:val="single" w:sz="4" w:space="0" w:color="000000"/>
            </w:tcBorders>
            <w:shd w:val="clear" w:color="auto" w:fill="auto"/>
            <w:noWrap/>
            <w:hideMark/>
          </w:tcPr>
          <w:p w:rsidR="00E04822" w:rsidRPr="00E04822" w:rsidRDefault="00E04822" w:rsidP="00E04822">
            <w:pPr>
              <w:widowControl/>
              <w:autoSpaceDE/>
              <w:autoSpaceDN/>
              <w:adjustRightInd/>
              <w:jc w:val="center"/>
              <w:rPr>
                <w:b/>
                <w:bCs/>
                <w:color w:val="000000"/>
                <w:sz w:val="16"/>
                <w:szCs w:val="16"/>
              </w:rPr>
            </w:pPr>
            <w:r w:rsidRPr="00E04822">
              <w:rPr>
                <w:b/>
                <w:bCs/>
                <w:color w:val="000000"/>
                <w:sz w:val="16"/>
                <w:szCs w:val="16"/>
              </w:rPr>
              <w:t>4,666</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b/>
                <w:bCs/>
                <w:color w:val="000000"/>
                <w:sz w:val="16"/>
                <w:szCs w:val="16"/>
              </w:rPr>
            </w:pPr>
            <w:r w:rsidRPr="00E04822">
              <w:rPr>
                <w:b/>
                <w:bCs/>
                <w:color w:val="000000"/>
                <w:sz w:val="16"/>
                <w:szCs w:val="16"/>
              </w:rPr>
              <w:t>$456,769.52</w:t>
            </w:r>
          </w:p>
        </w:tc>
      </w:tr>
      <w:tr w:rsidR="00E04822" w:rsidRPr="00E04822" w:rsidTr="00E04822">
        <w:trPr>
          <w:trHeight w:val="300"/>
          <w:jc w:val="center"/>
        </w:trPr>
        <w:tc>
          <w:tcPr>
            <w:tcW w:w="2930" w:type="dxa"/>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b/>
                <w:bCs/>
                <w:color w:val="000000"/>
                <w:sz w:val="18"/>
                <w:szCs w:val="18"/>
              </w:rPr>
            </w:pPr>
            <w:r w:rsidRPr="00E04822">
              <w:rPr>
                <w:b/>
                <w:bCs/>
                <w:color w:val="000000"/>
                <w:sz w:val="18"/>
                <w:szCs w:val="18"/>
              </w:rPr>
              <w:t>TOTAL LABOR BURDEN AND COST</w:t>
            </w:r>
          </w:p>
        </w:tc>
        <w:tc>
          <w:tcPr>
            <w:tcW w:w="121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2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130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6"/>
                <w:szCs w:val="16"/>
              </w:rPr>
            </w:pPr>
            <w:r w:rsidRPr="00E04822">
              <w:rPr>
                <w:color w:val="000000"/>
                <w:sz w:val="16"/>
                <w:szCs w:val="16"/>
              </w:rPr>
              <w:t> </w:t>
            </w:r>
          </w:p>
        </w:tc>
        <w:tc>
          <w:tcPr>
            <w:tcW w:w="5698" w:type="dxa"/>
            <w:gridSpan w:val="5"/>
            <w:tcBorders>
              <w:top w:val="single" w:sz="4" w:space="0" w:color="auto"/>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b/>
                <w:bCs/>
                <w:color w:val="000000"/>
                <w:sz w:val="16"/>
                <w:szCs w:val="16"/>
              </w:rPr>
            </w:pPr>
            <w:r w:rsidRPr="00E04822">
              <w:rPr>
                <w:b/>
                <w:bCs/>
                <w:color w:val="000000"/>
                <w:sz w:val="16"/>
                <w:szCs w:val="16"/>
              </w:rPr>
              <w:t>20,272</w:t>
            </w:r>
          </w:p>
        </w:tc>
        <w:tc>
          <w:tcPr>
            <w:tcW w:w="1237"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b/>
                <w:bCs/>
                <w:color w:val="000000"/>
                <w:sz w:val="16"/>
                <w:szCs w:val="16"/>
              </w:rPr>
            </w:pPr>
            <w:r w:rsidRPr="00E04822">
              <w:rPr>
                <w:b/>
                <w:bCs/>
                <w:color w:val="000000"/>
                <w:sz w:val="16"/>
                <w:szCs w:val="16"/>
              </w:rPr>
              <w:t xml:space="preserve">$1,761,252.12 </w:t>
            </w:r>
          </w:p>
        </w:tc>
      </w:tr>
    </w:tbl>
    <w:p w:rsidR="00C55638" w:rsidRDefault="00C55638" w:rsidP="003D6951">
      <w:pPr>
        <w:rPr>
          <w:color w:val="FF0000"/>
        </w:rPr>
      </w:pPr>
    </w:p>
    <w:p w:rsidR="00487500" w:rsidRPr="003F1AFC" w:rsidRDefault="00487500" w:rsidP="003D6951">
      <w:pPr>
        <w:rPr>
          <w:color w:val="FF0000"/>
        </w:rPr>
      </w:pPr>
    </w:p>
    <w:tbl>
      <w:tblPr>
        <w:tblW w:w="13140" w:type="dxa"/>
        <w:tblInd w:w="108" w:type="dxa"/>
        <w:tblLook w:val="0000" w:firstRow="0" w:lastRow="0" w:firstColumn="0" w:lastColumn="0" w:noHBand="0" w:noVBand="0"/>
      </w:tblPr>
      <w:tblGrid>
        <w:gridCol w:w="13140"/>
      </w:tblGrid>
      <w:tr w:rsidR="007D012C" w:rsidRPr="00C96741" w:rsidTr="00B64E37">
        <w:trPr>
          <w:trHeight w:val="255"/>
        </w:trPr>
        <w:tc>
          <w:tcPr>
            <w:tcW w:w="13140" w:type="dxa"/>
            <w:tcBorders>
              <w:top w:val="nil"/>
              <w:left w:val="nil"/>
              <w:bottom w:val="nil"/>
              <w:right w:val="nil"/>
            </w:tcBorders>
            <w:shd w:val="clear" w:color="auto" w:fill="auto"/>
            <w:noWrap/>
            <w:vAlign w:val="center"/>
          </w:tcPr>
          <w:p w:rsidR="007D012C" w:rsidRPr="007D012C" w:rsidRDefault="00767D60" w:rsidP="00B64E37">
            <w:pPr>
              <w:widowControl/>
              <w:autoSpaceDE/>
              <w:autoSpaceDN/>
              <w:adjustRightInd/>
              <w:rPr>
                <w:rFonts w:cs="Arial"/>
                <w:b/>
                <w:sz w:val="18"/>
                <w:szCs w:val="20"/>
              </w:rPr>
            </w:pPr>
            <w:r w:rsidRPr="00767D60">
              <w:rPr>
                <w:rFonts w:cs="Arial"/>
                <w:b/>
                <w:sz w:val="18"/>
                <w:szCs w:val="20"/>
              </w:rPr>
              <w:t>Assumptions:</w:t>
            </w:r>
          </w:p>
        </w:tc>
      </w:tr>
      <w:tr w:rsidR="007D012C" w:rsidRPr="00C96741" w:rsidTr="00B64E37">
        <w:trPr>
          <w:trHeight w:val="255"/>
        </w:trPr>
        <w:tc>
          <w:tcPr>
            <w:tcW w:w="13140" w:type="dxa"/>
            <w:tcBorders>
              <w:top w:val="nil"/>
              <w:left w:val="nil"/>
              <w:bottom w:val="nil"/>
              <w:right w:val="nil"/>
            </w:tcBorders>
            <w:shd w:val="clear" w:color="auto" w:fill="auto"/>
            <w:noWrap/>
            <w:vAlign w:val="center"/>
          </w:tcPr>
          <w:p w:rsidR="007D012C" w:rsidRDefault="007D012C" w:rsidP="00B64E37">
            <w:pPr>
              <w:tabs>
                <w:tab w:val="left" w:pos="-288"/>
                <w:tab w:val="left" w:pos="192"/>
                <w:tab w:val="left" w:pos="912"/>
                <w:tab w:val="left" w:pos="1632"/>
                <w:tab w:val="left" w:pos="2352"/>
                <w:tab w:val="left" w:pos="3072"/>
                <w:tab w:val="left" w:pos="3792"/>
                <w:tab w:val="left" w:pos="4512"/>
                <w:tab w:val="left" w:pos="5232"/>
                <w:tab w:val="left" w:pos="5952"/>
                <w:tab w:val="left" w:pos="6672"/>
                <w:tab w:val="left" w:pos="7392"/>
                <w:tab w:val="left" w:pos="8112"/>
                <w:tab w:val="left" w:pos="8832"/>
                <w:tab w:val="left" w:pos="9552"/>
                <w:tab w:val="left" w:pos="10272"/>
                <w:tab w:val="left" w:pos="10992"/>
                <w:tab w:val="left" w:pos="11712"/>
                <w:tab w:val="left" w:pos="12432"/>
                <w:tab w:val="left" w:pos="13152"/>
                <w:tab w:val="left" w:pos="13872"/>
                <w:tab w:val="left" w:pos="14592"/>
              </w:tabs>
              <w:ind w:right="-1080"/>
              <w:rPr>
                <w:color w:val="000000"/>
                <w:sz w:val="18"/>
                <w:szCs w:val="18"/>
              </w:rPr>
            </w:pPr>
            <w:proofErr w:type="spellStart"/>
            <w:proofErr w:type="gramStart"/>
            <w:r w:rsidRPr="00420F85">
              <w:rPr>
                <w:rFonts w:cs="Arial"/>
                <w:sz w:val="20"/>
                <w:szCs w:val="20"/>
                <w:vertAlign w:val="superscript"/>
              </w:rPr>
              <w:t>a</w:t>
            </w:r>
            <w:proofErr w:type="spellEnd"/>
            <w:r>
              <w:rPr>
                <w:rFonts w:cs="Arial"/>
                <w:sz w:val="18"/>
                <w:szCs w:val="20"/>
              </w:rPr>
              <w:t xml:space="preserve">  </w:t>
            </w:r>
            <w:r>
              <w:rPr>
                <w:color w:val="000000"/>
                <w:sz w:val="18"/>
                <w:szCs w:val="18"/>
              </w:rPr>
              <w:t>We</w:t>
            </w:r>
            <w:proofErr w:type="gramEnd"/>
            <w:r>
              <w:rPr>
                <w:color w:val="000000"/>
                <w:sz w:val="18"/>
                <w:szCs w:val="18"/>
              </w:rPr>
              <w:t xml:space="preserve"> have estimated that an average of 1</w:t>
            </w:r>
            <w:r w:rsidR="0083284E">
              <w:rPr>
                <w:color w:val="000000"/>
                <w:sz w:val="18"/>
                <w:szCs w:val="18"/>
              </w:rPr>
              <w:t>3</w:t>
            </w:r>
            <w:r>
              <w:rPr>
                <w:color w:val="000000"/>
                <w:sz w:val="18"/>
                <w:szCs w:val="18"/>
              </w:rPr>
              <w:t xml:space="preserve"> sources are subject to subparts Ea and Eb.  </w:t>
            </w:r>
            <w:r w:rsidR="0083284E">
              <w:rPr>
                <w:color w:val="000000"/>
                <w:sz w:val="18"/>
                <w:szCs w:val="18"/>
              </w:rPr>
              <w:t>Eight</w:t>
            </w:r>
            <w:r>
              <w:rPr>
                <w:color w:val="000000"/>
                <w:sz w:val="18"/>
                <w:szCs w:val="18"/>
              </w:rPr>
              <w:t xml:space="preserve"> of these sources are currently subject to subpart Ea, with no additional sources</w:t>
            </w:r>
          </w:p>
          <w:p w:rsidR="007D012C" w:rsidRDefault="007D012C" w:rsidP="00B64E37">
            <w:pPr>
              <w:tabs>
                <w:tab w:val="left" w:pos="-288"/>
                <w:tab w:val="left" w:pos="192"/>
                <w:tab w:val="left" w:pos="912"/>
                <w:tab w:val="left" w:pos="1632"/>
                <w:tab w:val="left" w:pos="2352"/>
                <w:tab w:val="left" w:pos="3072"/>
                <w:tab w:val="left" w:pos="3792"/>
                <w:tab w:val="left" w:pos="4512"/>
                <w:tab w:val="left" w:pos="5232"/>
                <w:tab w:val="left" w:pos="5952"/>
                <w:tab w:val="left" w:pos="6672"/>
                <w:tab w:val="left" w:pos="7392"/>
                <w:tab w:val="left" w:pos="8112"/>
                <w:tab w:val="left" w:pos="8832"/>
                <w:tab w:val="left" w:pos="9552"/>
                <w:tab w:val="left" w:pos="10272"/>
                <w:tab w:val="left" w:pos="10992"/>
                <w:tab w:val="left" w:pos="11712"/>
                <w:tab w:val="left" w:pos="12432"/>
                <w:tab w:val="left" w:pos="13152"/>
                <w:tab w:val="left" w:pos="13872"/>
                <w:tab w:val="left" w:pos="14592"/>
              </w:tabs>
              <w:ind w:right="-1080"/>
              <w:rPr>
                <w:color w:val="000000"/>
                <w:sz w:val="18"/>
                <w:szCs w:val="18"/>
              </w:rPr>
            </w:pPr>
            <w:proofErr w:type="gramStart"/>
            <w:r>
              <w:rPr>
                <w:color w:val="000000"/>
                <w:sz w:val="18"/>
                <w:szCs w:val="18"/>
              </w:rPr>
              <w:t>becoming</w:t>
            </w:r>
            <w:proofErr w:type="gramEnd"/>
            <w:r>
              <w:rPr>
                <w:color w:val="000000"/>
                <w:sz w:val="18"/>
                <w:szCs w:val="18"/>
              </w:rPr>
              <w:t xml:space="preserve"> subject to the regulation in the next three years.  The remaining five sources are subject to subpart Eb.  We have assumed that one additional</w:t>
            </w:r>
          </w:p>
          <w:p w:rsidR="007D012C" w:rsidRPr="00C96741" w:rsidRDefault="007D012C" w:rsidP="0083284E">
            <w:pPr>
              <w:widowControl/>
              <w:autoSpaceDE/>
              <w:autoSpaceDN/>
              <w:adjustRightInd/>
              <w:rPr>
                <w:rFonts w:cs="Arial"/>
                <w:sz w:val="18"/>
                <w:szCs w:val="20"/>
              </w:rPr>
            </w:pPr>
            <w:proofErr w:type="gramStart"/>
            <w:r>
              <w:rPr>
                <w:color w:val="000000"/>
                <w:sz w:val="18"/>
                <w:szCs w:val="18"/>
              </w:rPr>
              <w:t>source</w:t>
            </w:r>
            <w:proofErr w:type="gramEnd"/>
            <w:r>
              <w:rPr>
                <w:color w:val="000000"/>
                <w:sz w:val="18"/>
                <w:szCs w:val="18"/>
              </w:rPr>
              <w:t xml:space="preserve"> </w:t>
            </w:r>
            <w:r w:rsidR="0083284E">
              <w:rPr>
                <w:color w:val="000000"/>
                <w:sz w:val="18"/>
                <w:szCs w:val="18"/>
              </w:rPr>
              <w:t xml:space="preserve">will start up in 2015, which is the first year of the ICR renewal period. No additional sources will become subject to Eb. </w:t>
            </w:r>
          </w:p>
        </w:tc>
      </w:tr>
      <w:tr w:rsidR="007D012C" w:rsidRPr="00C96741" w:rsidTr="00B64E37">
        <w:trPr>
          <w:trHeight w:val="255"/>
        </w:trPr>
        <w:tc>
          <w:tcPr>
            <w:tcW w:w="13140" w:type="dxa"/>
            <w:tcBorders>
              <w:top w:val="nil"/>
              <w:left w:val="nil"/>
              <w:bottom w:val="nil"/>
              <w:right w:val="nil"/>
            </w:tcBorders>
            <w:shd w:val="clear" w:color="auto" w:fill="auto"/>
            <w:noWrap/>
            <w:vAlign w:val="center"/>
          </w:tcPr>
          <w:p w:rsidR="007D012C" w:rsidRPr="000150E2" w:rsidRDefault="007D012C" w:rsidP="00B64E37">
            <w:pPr>
              <w:ind w:left="-180" w:right="270" w:hanging="90"/>
              <w:rPr>
                <w:sz w:val="18"/>
                <w:szCs w:val="18"/>
              </w:rPr>
            </w:pPr>
            <w:r w:rsidRPr="001C6841">
              <w:rPr>
                <w:rFonts w:cs="Arial"/>
                <w:sz w:val="20"/>
                <w:szCs w:val="20"/>
                <w:vertAlign w:val="superscript"/>
              </w:rPr>
              <w:t>b</w:t>
            </w:r>
            <w:r w:rsidRPr="001C6841">
              <w:rPr>
                <w:rFonts w:cs="Arial"/>
                <w:sz w:val="18"/>
                <w:szCs w:val="20"/>
                <w:vertAlign w:val="superscript"/>
              </w:rPr>
              <w:t xml:space="preserve">    </w:t>
            </w:r>
            <w:r>
              <w:rPr>
                <w:rFonts w:cs="Arial"/>
                <w:sz w:val="18"/>
                <w:szCs w:val="20"/>
                <w:vertAlign w:val="superscript"/>
              </w:rPr>
              <w:t xml:space="preserve">  </w:t>
            </w:r>
            <w:r w:rsidRPr="001C6841">
              <w:rPr>
                <w:rFonts w:cs="Arial"/>
                <w:sz w:val="18"/>
                <w:szCs w:val="20"/>
                <w:vertAlign w:val="superscript"/>
              </w:rPr>
              <w:t xml:space="preserve"> </w:t>
            </w:r>
            <w:proofErr w:type="spellStart"/>
            <w:r w:rsidRPr="001C6841">
              <w:rPr>
                <w:rFonts w:cs="Arial"/>
                <w:sz w:val="18"/>
                <w:szCs w:val="20"/>
                <w:vertAlign w:val="superscript"/>
              </w:rPr>
              <w:t>b</w:t>
            </w:r>
            <w:proofErr w:type="spellEnd"/>
            <w:r>
              <w:rPr>
                <w:rFonts w:cs="Arial"/>
                <w:sz w:val="18"/>
                <w:szCs w:val="20"/>
              </w:rPr>
              <w:t xml:space="preserve">  </w:t>
            </w:r>
            <w:r w:rsidRPr="000150E2">
              <w:rPr>
                <w:sz w:val="18"/>
                <w:szCs w:val="18"/>
              </w:rPr>
              <w:t>This ICR uses the following labor rates:  $</w:t>
            </w:r>
            <w:r w:rsidR="00C77623">
              <w:rPr>
                <w:sz w:val="18"/>
                <w:szCs w:val="18"/>
              </w:rPr>
              <w:t>128.02</w:t>
            </w:r>
            <w:r w:rsidRPr="000150E2">
              <w:rPr>
                <w:sz w:val="18"/>
                <w:szCs w:val="18"/>
              </w:rPr>
              <w:t xml:space="preserve"> per hour for Executive, Administrative, and Managerial labor; $</w:t>
            </w:r>
            <w:r w:rsidR="00C77623">
              <w:rPr>
                <w:sz w:val="18"/>
                <w:szCs w:val="18"/>
              </w:rPr>
              <w:t>101.05</w:t>
            </w:r>
            <w:r w:rsidRPr="000150E2">
              <w:rPr>
                <w:sz w:val="18"/>
                <w:szCs w:val="18"/>
              </w:rPr>
              <w:t xml:space="preserve"> per hour for Technical labor, and $</w:t>
            </w:r>
            <w:r w:rsidR="00C77623">
              <w:rPr>
                <w:sz w:val="18"/>
                <w:szCs w:val="18"/>
              </w:rPr>
              <w:t>51.37</w:t>
            </w:r>
            <w:r w:rsidRPr="000150E2">
              <w:rPr>
                <w:sz w:val="18"/>
                <w:szCs w:val="18"/>
              </w:rPr>
              <w:t xml:space="preserve"> per hour</w:t>
            </w:r>
          </w:p>
          <w:p w:rsidR="007D012C" w:rsidRPr="000150E2" w:rsidRDefault="007D012C" w:rsidP="00B64E37">
            <w:pPr>
              <w:ind w:left="-180" w:right="270" w:hanging="90"/>
              <w:rPr>
                <w:sz w:val="18"/>
                <w:szCs w:val="18"/>
              </w:rPr>
            </w:pPr>
            <w:r>
              <w:rPr>
                <w:sz w:val="18"/>
                <w:szCs w:val="18"/>
              </w:rPr>
              <w:t xml:space="preserve">     </w:t>
            </w:r>
            <w:r w:rsidRPr="000150E2">
              <w:rPr>
                <w:sz w:val="18"/>
                <w:szCs w:val="18"/>
              </w:rPr>
              <w:t xml:space="preserve"> </w:t>
            </w:r>
            <w:proofErr w:type="gramStart"/>
            <w:r>
              <w:rPr>
                <w:sz w:val="18"/>
                <w:szCs w:val="18"/>
              </w:rPr>
              <w:t>f</w:t>
            </w:r>
            <w:r w:rsidRPr="000150E2">
              <w:rPr>
                <w:sz w:val="18"/>
                <w:szCs w:val="18"/>
              </w:rPr>
              <w:t>or</w:t>
            </w:r>
            <w:proofErr w:type="gramEnd"/>
            <w:r w:rsidRPr="000150E2">
              <w:rPr>
                <w:sz w:val="18"/>
                <w:szCs w:val="18"/>
              </w:rPr>
              <w:t xml:space="preserve"> Clerical labor.  These rates are from the United States Department of Labor, Bureau of </w:t>
            </w:r>
            <w:r w:rsidR="00C77623">
              <w:rPr>
                <w:sz w:val="18"/>
                <w:szCs w:val="18"/>
              </w:rPr>
              <w:t>Labor Statistics, March 2014</w:t>
            </w:r>
            <w:r w:rsidRPr="000150E2">
              <w:rPr>
                <w:sz w:val="18"/>
                <w:szCs w:val="18"/>
              </w:rPr>
              <w:t>, Table 2. Civilian Workers, by Occupational</w:t>
            </w:r>
          </w:p>
          <w:p w:rsidR="007D012C" w:rsidRPr="000150E2" w:rsidRDefault="007D012C" w:rsidP="00B64E37">
            <w:pPr>
              <w:ind w:left="-180" w:right="270" w:hanging="90"/>
              <w:rPr>
                <w:sz w:val="18"/>
                <w:szCs w:val="18"/>
              </w:rPr>
            </w:pPr>
            <w:r>
              <w:rPr>
                <w:sz w:val="18"/>
                <w:szCs w:val="18"/>
              </w:rPr>
              <w:t xml:space="preserve">      </w:t>
            </w:r>
            <w:proofErr w:type="gramStart"/>
            <w:r>
              <w:rPr>
                <w:sz w:val="18"/>
                <w:szCs w:val="18"/>
              </w:rPr>
              <w:t>a</w:t>
            </w:r>
            <w:r w:rsidRPr="000150E2">
              <w:rPr>
                <w:sz w:val="18"/>
                <w:szCs w:val="18"/>
              </w:rPr>
              <w:t>nd</w:t>
            </w:r>
            <w:proofErr w:type="gramEnd"/>
            <w:r w:rsidRPr="000150E2">
              <w:rPr>
                <w:sz w:val="18"/>
                <w:szCs w:val="18"/>
              </w:rPr>
              <w:t xml:space="preserve"> Industry groups.  The rates are from column 1, Total Compensation.  The rates have been increased by 110 percent to account for the benefit packages available to</w:t>
            </w:r>
          </w:p>
          <w:p w:rsidR="007D012C" w:rsidRPr="000150E2" w:rsidRDefault="007D012C" w:rsidP="00B64E37">
            <w:pPr>
              <w:ind w:left="-180" w:right="270" w:hanging="90"/>
              <w:rPr>
                <w:sz w:val="16"/>
                <w:szCs w:val="16"/>
              </w:rPr>
            </w:pPr>
            <w:r w:rsidRPr="000150E2">
              <w:rPr>
                <w:sz w:val="18"/>
                <w:szCs w:val="18"/>
              </w:rPr>
              <w:t xml:space="preserve">    </w:t>
            </w:r>
            <w:r>
              <w:rPr>
                <w:sz w:val="18"/>
                <w:szCs w:val="18"/>
              </w:rPr>
              <w:t xml:space="preserve">  </w:t>
            </w:r>
            <w:proofErr w:type="gramStart"/>
            <w:r w:rsidRPr="000150E2">
              <w:rPr>
                <w:sz w:val="18"/>
                <w:szCs w:val="18"/>
              </w:rPr>
              <w:t>those</w:t>
            </w:r>
            <w:proofErr w:type="gramEnd"/>
            <w:r w:rsidRPr="000150E2">
              <w:rPr>
                <w:sz w:val="18"/>
                <w:szCs w:val="18"/>
              </w:rPr>
              <w:t xml:space="preserve"> employed by private industry</w:t>
            </w:r>
            <w:r w:rsidRPr="000150E2">
              <w:rPr>
                <w:sz w:val="16"/>
                <w:szCs w:val="16"/>
              </w:rPr>
              <w:t>.</w:t>
            </w:r>
          </w:p>
          <w:p w:rsidR="007D012C" w:rsidRDefault="007D012C" w:rsidP="00B64E37">
            <w:pPr>
              <w:widowControl/>
              <w:autoSpaceDE/>
              <w:autoSpaceDN/>
              <w:adjustRightInd/>
              <w:rPr>
                <w:rFonts w:cs="Arial"/>
                <w:sz w:val="18"/>
                <w:szCs w:val="20"/>
              </w:rPr>
            </w:pPr>
            <w:proofErr w:type="gramStart"/>
            <w:r w:rsidRPr="00420F85">
              <w:rPr>
                <w:rFonts w:cs="Arial"/>
                <w:sz w:val="20"/>
                <w:szCs w:val="20"/>
                <w:vertAlign w:val="superscript"/>
              </w:rPr>
              <w:t>c</w:t>
            </w:r>
            <w:r>
              <w:rPr>
                <w:rFonts w:cs="Arial"/>
                <w:sz w:val="18"/>
                <w:szCs w:val="20"/>
                <w:vertAlign w:val="superscript"/>
              </w:rPr>
              <w:t xml:space="preserve"> </w:t>
            </w:r>
            <w:r>
              <w:rPr>
                <w:rFonts w:cs="Arial"/>
                <w:sz w:val="18"/>
                <w:szCs w:val="20"/>
              </w:rPr>
              <w:t xml:space="preserve"> We</w:t>
            </w:r>
            <w:proofErr w:type="gramEnd"/>
            <w:r>
              <w:rPr>
                <w:rFonts w:cs="Arial"/>
                <w:sz w:val="18"/>
                <w:szCs w:val="20"/>
              </w:rPr>
              <w:t xml:space="preserve"> have estimated that the contractors’ rate for emission testing would be $80.00 per hour.</w:t>
            </w:r>
          </w:p>
          <w:p w:rsidR="007D012C" w:rsidRDefault="007D012C" w:rsidP="00B64E37">
            <w:pPr>
              <w:widowControl/>
              <w:autoSpaceDE/>
              <w:autoSpaceDN/>
              <w:adjustRightInd/>
              <w:rPr>
                <w:rFonts w:cs="Arial"/>
                <w:sz w:val="18"/>
                <w:szCs w:val="20"/>
              </w:rPr>
            </w:pPr>
            <w:proofErr w:type="gramStart"/>
            <w:r w:rsidRPr="00EF0E94">
              <w:rPr>
                <w:rFonts w:cs="Arial"/>
                <w:sz w:val="18"/>
                <w:szCs w:val="20"/>
                <w:vertAlign w:val="superscript"/>
              </w:rPr>
              <w:t>d</w:t>
            </w:r>
            <w:r>
              <w:rPr>
                <w:rFonts w:cs="Arial"/>
                <w:sz w:val="18"/>
                <w:szCs w:val="20"/>
              </w:rPr>
              <w:t xml:space="preserve">  We</w:t>
            </w:r>
            <w:proofErr w:type="gramEnd"/>
            <w:r>
              <w:rPr>
                <w:rFonts w:cs="Arial"/>
                <w:sz w:val="18"/>
                <w:szCs w:val="20"/>
              </w:rPr>
              <w:t xml:space="preserve"> have assumed that </w:t>
            </w:r>
            <w:r w:rsidR="0083284E">
              <w:rPr>
                <w:rFonts w:cs="Arial"/>
                <w:sz w:val="18"/>
                <w:szCs w:val="20"/>
              </w:rPr>
              <w:t xml:space="preserve">the </w:t>
            </w:r>
            <w:r>
              <w:rPr>
                <w:rFonts w:cs="Arial"/>
                <w:sz w:val="18"/>
                <w:szCs w:val="20"/>
              </w:rPr>
              <w:t xml:space="preserve">one </w:t>
            </w:r>
            <w:r w:rsidR="0083284E">
              <w:rPr>
                <w:rFonts w:cs="Arial"/>
                <w:sz w:val="18"/>
                <w:szCs w:val="20"/>
              </w:rPr>
              <w:t xml:space="preserve">new </w:t>
            </w:r>
            <w:r>
              <w:rPr>
                <w:rFonts w:cs="Arial"/>
                <w:sz w:val="18"/>
                <w:szCs w:val="20"/>
              </w:rPr>
              <w:t>respondent will take 24 hours to perform initial performance test.</w:t>
            </w:r>
          </w:p>
          <w:p w:rsidR="007D012C" w:rsidRPr="00C96741" w:rsidRDefault="007D012C" w:rsidP="00B64E37">
            <w:pPr>
              <w:widowControl/>
              <w:autoSpaceDE/>
              <w:autoSpaceDN/>
              <w:adjustRightInd/>
              <w:rPr>
                <w:rFonts w:cs="Arial"/>
                <w:sz w:val="18"/>
                <w:szCs w:val="20"/>
              </w:rPr>
            </w:pPr>
            <w:r w:rsidRPr="00EF0E94">
              <w:rPr>
                <w:rFonts w:cs="Arial"/>
                <w:sz w:val="18"/>
                <w:szCs w:val="20"/>
                <w:vertAlign w:val="superscript"/>
              </w:rPr>
              <w:t>e</w:t>
            </w:r>
            <w:r>
              <w:rPr>
                <w:rFonts w:cs="Arial"/>
                <w:sz w:val="18"/>
                <w:szCs w:val="20"/>
                <w:vertAlign w:val="superscript"/>
              </w:rPr>
              <w:t xml:space="preserve"> </w:t>
            </w:r>
            <w:r>
              <w:rPr>
                <w:rFonts w:cs="Arial"/>
                <w:sz w:val="18"/>
                <w:szCs w:val="20"/>
              </w:rPr>
              <w:t xml:space="preserve"> We have assume that it will take an emission testing contractor 1,053 hours to perform both initial performance test and repeat performance test for subpart Eb.</w:t>
            </w:r>
          </w:p>
        </w:tc>
      </w:tr>
      <w:tr w:rsidR="007D012C" w:rsidRPr="00C96741" w:rsidTr="00B64E37">
        <w:trPr>
          <w:trHeight w:val="255"/>
        </w:trPr>
        <w:tc>
          <w:tcPr>
            <w:tcW w:w="13140" w:type="dxa"/>
            <w:tcBorders>
              <w:top w:val="nil"/>
              <w:left w:val="nil"/>
              <w:bottom w:val="nil"/>
              <w:right w:val="nil"/>
            </w:tcBorders>
            <w:shd w:val="clear" w:color="auto" w:fill="auto"/>
            <w:noWrap/>
            <w:vAlign w:val="center"/>
          </w:tcPr>
          <w:p w:rsidR="007D012C" w:rsidRDefault="007D012C" w:rsidP="00B64E37">
            <w:pPr>
              <w:widowControl/>
              <w:autoSpaceDE/>
              <w:autoSpaceDN/>
              <w:adjustRightInd/>
              <w:rPr>
                <w:rFonts w:cs="Arial"/>
                <w:sz w:val="18"/>
                <w:szCs w:val="20"/>
              </w:rPr>
            </w:pPr>
            <w:proofErr w:type="gramStart"/>
            <w:r>
              <w:rPr>
                <w:rFonts w:cs="Arial"/>
                <w:sz w:val="20"/>
                <w:szCs w:val="20"/>
                <w:vertAlign w:val="superscript"/>
              </w:rPr>
              <w:t xml:space="preserve">f </w:t>
            </w:r>
            <w:r>
              <w:rPr>
                <w:rFonts w:cs="Arial"/>
                <w:sz w:val="18"/>
                <w:szCs w:val="20"/>
              </w:rPr>
              <w:t xml:space="preserve"> We</w:t>
            </w:r>
            <w:proofErr w:type="gramEnd"/>
            <w:r>
              <w:rPr>
                <w:rFonts w:cs="Arial"/>
                <w:sz w:val="18"/>
                <w:szCs w:val="20"/>
              </w:rPr>
              <w:t xml:space="preserve"> have assumed that 20 percent of the respondents will repeat performance test for Eb.</w:t>
            </w:r>
          </w:p>
          <w:p w:rsidR="007D012C" w:rsidRDefault="007D012C" w:rsidP="00B64E37">
            <w:pPr>
              <w:widowControl/>
              <w:autoSpaceDE/>
              <w:autoSpaceDN/>
              <w:adjustRightInd/>
              <w:rPr>
                <w:rFonts w:cs="Arial"/>
                <w:sz w:val="18"/>
                <w:szCs w:val="20"/>
              </w:rPr>
            </w:pPr>
            <w:proofErr w:type="gramStart"/>
            <w:r w:rsidRPr="00921F01">
              <w:rPr>
                <w:rFonts w:cs="Arial"/>
                <w:sz w:val="18"/>
                <w:szCs w:val="20"/>
                <w:vertAlign w:val="superscript"/>
              </w:rPr>
              <w:t xml:space="preserve">g </w:t>
            </w:r>
            <w:r>
              <w:rPr>
                <w:rFonts w:cs="Arial"/>
                <w:sz w:val="18"/>
                <w:szCs w:val="20"/>
              </w:rPr>
              <w:t xml:space="preserve"> We</w:t>
            </w:r>
            <w:proofErr w:type="gramEnd"/>
            <w:r>
              <w:rPr>
                <w:rFonts w:cs="Arial"/>
                <w:sz w:val="18"/>
                <w:szCs w:val="20"/>
              </w:rPr>
              <w:t xml:space="preserve"> have assumed that 20 percent of respondents will repeat CEM demonstration activity for Eb.</w:t>
            </w:r>
          </w:p>
          <w:p w:rsidR="007D012C" w:rsidRDefault="007D012C" w:rsidP="00B64E37">
            <w:pPr>
              <w:widowControl/>
              <w:autoSpaceDE/>
              <w:autoSpaceDN/>
              <w:adjustRightInd/>
              <w:rPr>
                <w:rFonts w:cs="Arial"/>
                <w:sz w:val="18"/>
                <w:szCs w:val="20"/>
              </w:rPr>
            </w:pPr>
            <w:proofErr w:type="gramStart"/>
            <w:r w:rsidRPr="00484E8A">
              <w:rPr>
                <w:rFonts w:cs="Arial"/>
                <w:sz w:val="18"/>
                <w:szCs w:val="20"/>
                <w:vertAlign w:val="superscript"/>
              </w:rPr>
              <w:t>h</w:t>
            </w:r>
            <w:r>
              <w:rPr>
                <w:rFonts w:cs="Arial"/>
                <w:sz w:val="18"/>
                <w:szCs w:val="20"/>
              </w:rPr>
              <w:t xml:space="preserve">  We</w:t>
            </w:r>
            <w:proofErr w:type="gramEnd"/>
            <w:r>
              <w:rPr>
                <w:rFonts w:cs="Arial"/>
                <w:sz w:val="18"/>
                <w:szCs w:val="20"/>
              </w:rPr>
              <w:t xml:space="preserve"> have assumed that all of the </w:t>
            </w:r>
            <w:r w:rsidR="0083284E">
              <w:rPr>
                <w:rFonts w:cs="Arial"/>
                <w:sz w:val="18"/>
                <w:szCs w:val="20"/>
              </w:rPr>
              <w:t>8</w:t>
            </w:r>
            <w:r>
              <w:rPr>
                <w:rFonts w:cs="Arial"/>
                <w:sz w:val="18"/>
                <w:szCs w:val="20"/>
              </w:rPr>
              <w:t xml:space="preserve"> respondents for subpart Ea will have to complete an annual compliance test.</w:t>
            </w:r>
          </w:p>
          <w:p w:rsidR="007D012C" w:rsidRDefault="007D012C" w:rsidP="00B64E37">
            <w:pPr>
              <w:widowControl/>
              <w:autoSpaceDE/>
              <w:autoSpaceDN/>
              <w:adjustRightInd/>
              <w:rPr>
                <w:rFonts w:cs="Arial"/>
                <w:sz w:val="18"/>
                <w:szCs w:val="20"/>
              </w:rPr>
            </w:pPr>
            <w:proofErr w:type="gramStart"/>
            <w:r w:rsidRPr="00484E8A">
              <w:rPr>
                <w:rFonts w:cs="Arial"/>
                <w:sz w:val="18"/>
                <w:szCs w:val="20"/>
                <w:vertAlign w:val="superscript"/>
              </w:rPr>
              <w:t xml:space="preserve">i </w:t>
            </w:r>
            <w:r>
              <w:rPr>
                <w:rFonts w:cs="Arial"/>
                <w:sz w:val="18"/>
                <w:szCs w:val="20"/>
              </w:rPr>
              <w:t xml:space="preserve"> We</w:t>
            </w:r>
            <w:proofErr w:type="gramEnd"/>
            <w:r>
              <w:rPr>
                <w:rFonts w:cs="Arial"/>
                <w:sz w:val="18"/>
                <w:szCs w:val="20"/>
              </w:rPr>
              <w:t xml:space="preserve"> have assumed that it will take an emission testing contractor 826 hours to complete an annual compliance test for Eb.</w:t>
            </w:r>
          </w:p>
          <w:p w:rsidR="007D012C" w:rsidRPr="00C96741" w:rsidRDefault="007D012C" w:rsidP="00B64E37">
            <w:pPr>
              <w:widowControl/>
              <w:autoSpaceDE/>
              <w:autoSpaceDN/>
              <w:adjustRightInd/>
              <w:rPr>
                <w:rFonts w:cs="Arial"/>
                <w:sz w:val="18"/>
                <w:szCs w:val="20"/>
              </w:rPr>
            </w:pPr>
            <w:proofErr w:type="gramStart"/>
            <w:r w:rsidRPr="00484E8A">
              <w:rPr>
                <w:rFonts w:cs="Arial"/>
                <w:sz w:val="18"/>
                <w:szCs w:val="20"/>
                <w:vertAlign w:val="superscript"/>
              </w:rPr>
              <w:t>j</w:t>
            </w:r>
            <w:r>
              <w:rPr>
                <w:rFonts w:cs="Arial"/>
                <w:sz w:val="18"/>
                <w:szCs w:val="20"/>
              </w:rPr>
              <w:t xml:space="preserve">  We</w:t>
            </w:r>
            <w:proofErr w:type="gramEnd"/>
            <w:r>
              <w:rPr>
                <w:rFonts w:cs="Arial"/>
                <w:sz w:val="18"/>
                <w:szCs w:val="20"/>
              </w:rPr>
              <w:t xml:space="preserve"> have assume that </w:t>
            </w:r>
            <w:r w:rsidR="0083284E">
              <w:rPr>
                <w:rFonts w:cs="Arial"/>
                <w:sz w:val="18"/>
                <w:szCs w:val="20"/>
              </w:rPr>
              <w:t>5</w:t>
            </w:r>
            <w:r>
              <w:rPr>
                <w:rFonts w:cs="Arial"/>
                <w:sz w:val="18"/>
                <w:szCs w:val="20"/>
              </w:rPr>
              <w:t xml:space="preserve"> respondents for subpart Eb will have to complete an annual compliance test.</w:t>
            </w:r>
          </w:p>
          <w:p w:rsidR="007D012C" w:rsidRDefault="007D012C" w:rsidP="00B64E37">
            <w:pPr>
              <w:widowControl/>
              <w:autoSpaceDE/>
              <w:autoSpaceDN/>
              <w:adjustRightInd/>
              <w:rPr>
                <w:rFonts w:cs="Arial"/>
                <w:sz w:val="18"/>
                <w:szCs w:val="20"/>
              </w:rPr>
            </w:pPr>
            <w:proofErr w:type="gramStart"/>
            <w:r w:rsidRPr="00484E8A">
              <w:rPr>
                <w:rFonts w:cs="Arial"/>
                <w:sz w:val="18"/>
                <w:szCs w:val="20"/>
                <w:vertAlign w:val="superscript"/>
              </w:rPr>
              <w:t>k</w:t>
            </w:r>
            <w:r>
              <w:rPr>
                <w:rFonts w:cs="Arial"/>
                <w:sz w:val="18"/>
                <w:szCs w:val="20"/>
                <w:vertAlign w:val="superscript"/>
              </w:rPr>
              <w:t xml:space="preserve"> </w:t>
            </w:r>
            <w:r>
              <w:rPr>
                <w:rFonts w:cs="Arial"/>
                <w:sz w:val="18"/>
                <w:szCs w:val="20"/>
              </w:rPr>
              <w:t xml:space="preserve"> We</w:t>
            </w:r>
            <w:proofErr w:type="gramEnd"/>
            <w:r>
              <w:rPr>
                <w:rFonts w:cs="Arial"/>
                <w:sz w:val="18"/>
                <w:szCs w:val="20"/>
              </w:rPr>
              <w:t xml:space="preserve"> have assumed that 80 percent of respondents will file an opacity report of no excess emission for Ea.</w:t>
            </w:r>
          </w:p>
          <w:p w:rsidR="007D012C" w:rsidRPr="00C96741" w:rsidRDefault="007D012C" w:rsidP="00B64E37">
            <w:pPr>
              <w:widowControl/>
              <w:autoSpaceDE/>
              <w:autoSpaceDN/>
              <w:adjustRightInd/>
              <w:rPr>
                <w:rFonts w:cs="Arial"/>
                <w:sz w:val="18"/>
                <w:szCs w:val="20"/>
              </w:rPr>
            </w:pPr>
            <w:proofErr w:type="gramStart"/>
            <w:r w:rsidRPr="00850F8E">
              <w:rPr>
                <w:rFonts w:cs="Arial"/>
                <w:sz w:val="18"/>
                <w:szCs w:val="20"/>
                <w:vertAlign w:val="superscript"/>
              </w:rPr>
              <w:t xml:space="preserve">l </w:t>
            </w:r>
            <w:r>
              <w:rPr>
                <w:rFonts w:cs="Arial"/>
                <w:sz w:val="18"/>
                <w:szCs w:val="20"/>
              </w:rPr>
              <w:t xml:space="preserve"> We</w:t>
            </w:r>
            <w:proofErr w:type="gramEnd"/>
            <w:r>
              <w:rPr>
                <w:rFonts w:cs="Arial"/>
                <w:sz w:val="18"/>
                <w:szCs w:val="20"/>
              </w:rPr>
              <w:t xml:space="preserve"> have assumed that 20 percent of respondents will file an opacity report of excess emission for Ea.</w:t>
            </w:r>
          </w:p>
          <w:p w:rsidR="007D012C" w:rsidRPr="00C96741" w:rsidRDefault="007D012C" w:rsidP="00B64E37">
            <w:pPr>
              <w:widowControl/>
              <w:autoSpaceDE/>
              <w:autoSpaceDN/>
              <w:adjustRightInd/>
              <w:rPr>
                <w:rFonts w:cs="Arial"/>
                <w:sz w:val="18"/>
                <w:szCs w:val="20"/>
              </w:rPr>
            </w:pPr>
            <w:r w:rsidRPr="00E60907">
              <w:rPr>
                <w:rFonts w:cs="Arial"/>
                <w:sz w:val="18"/>
                <w:szCs w:val="20"/>
                <w:vertAlign w:val="superscript"/>
              </w:rPr>
              <w:lastRenderedPageBreak/>
              <w:t xml:space="preserve">m </w:t>
            </w:r>
            <w:r>
              <w:rPr>
                <w:rFonts w:cs="Arial"/>
                <w:sz w:val="18"/>
                <w:szCs w:val="20"/>
              </w:rPr>
              <w:t xml:space="preserve"> We have assumed that </w:t>
            </w:r>
            <w:r w:rsidR="0083284E">
              <w:rPr>
                <w:rFonts w:cs="Arial"/>
                <w:sz w:val="18"/>
                <w:szCs w:val="20"/>
              </w:rPr>
              <w:t xml:space="preserve">5 </w:t>
            </w:r>
            <w:r>
              <w:rPr>
                <w:rFonts w:cs="Arial"/>
                <w:sz w:val="18"/>
                <w:szCs w:val="20"/>
              </w:rPr>
              <w:t>of the respondents will be required to write semiannual excess emission report for Eb two times per year.</w:t>
            </w:r>
          </w:p>
          <w:p w:rsidR="007D012C" w:rsidRPr="00C96741" w:rsidRDefault="007D012C" w:rsidP="0083284E">
            <w:pPr>
              <w:widowControl/>
              <w:autoSpaceDE/>
              <w:autoSpaceDN/>
              <w:adjustRightInd/>
              <w:rPr>
                <w:rFonts w:cs="Arial"/>
                <w:sz w:val="18"/>
                <w:szCs w:val="20"/>
              </w:rPr>
            </w:pPr>
            <w:proofErr w:type="gramStart"/>
            <w:r w:rsidRPr="00E60907">
              <w:rPr>
                <w:rFonts w:cs="Arial"/>
                <w:sz w:val="18"/>
                <w:szCs w:val="20"/>
                <w:vertAlign w:val="superscript"/>
              </w:rPr>
              <w:t>n</w:t>
            </w:r>
            <w:r>
              <w:rPr>
                <w:rFonts w:cs="Arial"/>
                <w:sz w:val="18"/>
                <w:szCs w:val="20"/>
              </w:rPr>
              <w:t xml:space="preserve">  We</w:t>
            </w:r>
            <w:proofErr w:type="gramEnd"/>
            <w:r>
              <w:rPr>
                <w:rFonts w:cs="Arial"/>
                <w:sz w:val="18"/>
                <w:szCs w:val="20"/>
              </w:rPr>
              <w:t xml:space="preserve"> have assumed that </w:t>
            </w:r>
            <w:r w:rsidR="0083284E">
              <w:rPr>
                <w:rFonts w:cs="Arial"/>
                <w:sz w:val="18"/>
                <w:szCs w:val="20"/>
              </w:rPr>
              <w:t>5</w:t>
            </w:r>
            <w:r>
              <w:rPr>
                <w:rFonts w:cs="Arial"/>
                <w:sz w:val="18"/>
                <w:szCs w:val="20"/>
              </w:rPr>
              <w:t xml:space="preserve"> of the respondents will write the appendix F reports four times per year.</w:t>
            </w:r>
          </w:p>
        </w:tc>
      </w:tr>
      <w:tr w:rsidR="007D012C" w:rsidRPr="00C96741" w:rsidTr="00B64E37">
        <w:trPr>
          <w:trHeight w:val="255"/>
        </w:trPr>
        <w:tc>
          <w:tcPr>
            <w:tcW w:w="13140" w:type="dxa"/>
            <w:tcBorders>
              <w:top w:val="nil"/>
              <w:left w:val="nil"/>
              <w:bottom w:val="nil"/>
              <w:right w:val="nil"/>
            </w:tcBorders>
            <w:shd w:val="clear" w:color="auto" w:fill="auto"/>
            <w:noWrap/>
            <w:vAlign w:val="center"/>
          </w:tcPr>
          <w:p w:rsidR="007D012C" w:rsidRPr="00C96741" w:rsidRDefault="007D012C" w:rsidP="00B64E37">
            <w:pPr>
              <w:widowControl/>
              <w:autoSpaceDE/>
              <w:autoSpaceDN/>
              <w:adjustRightInd/>
              <w:rPr>
                <w:rFonts w:cs="Arial"/>
                <w:sz w:val="18"/>
                <w:szCs w:val="20"/>
              </w:rPr>
            </w:pPr>
            <w:proofErr w:type="gramStart"/>
            <w:r>
              <w:rPr>
                <w:rFonts w:cs="Arial"/>
                <w:sz w:val="20"/>
                <w:szCs w:val="20"/>
                <w:vertAlign w:val="superscript"/>
              </w:rPr>
              <w:lastRenderedPageBreak/>
              <w:t>o</w:t>
            </w:r>
            <w:r>
              <w:rPr>
                <w:rFonts w:cs="Arial"/>
                <w:sz w:val="18"/>
                <w:szCs w:val="20"/>
              </w:rPr>
              <w:t xml:space="preserve">  We</w:t>
            </w:r>
            <w:proofErr w:type="gramEnd"/>
            <w:r>
              <w:rPr>
                <w:rFonts w:cs="Arial"/>
                <w:sz w:val="18"/>
                <w:szCs w:val="20"/>
              </w:rPr>
              <w:t xml:space="preserve"> have assumed that all </w:t>
            </w:r>
            <w:r w:rsidR="0083284E">
              <w:rPr>
                <w:rFonts w:cs="Arial"/>
                <w:sz w:val="18"/>
                <w:szCs w:val="20"/>
              </w:rPr>
              <w:t>8</w:t>
            </w:r>
            <w:r>
              <w:rPr>
                <w:rFonts w:cs="Arial"/>
                <w:sz w:val="18"/>
                <w:szCs w:val="20"/>
              </w:rPr>
              <w:t xml:space="preserve"> respondents for subpart Ea will each take 104 hours to complete task.</w:t>
            </w:r>
          </w:p>
          <w:p w:rsidR="007D012C" w:rsidRPr="00C96741" w:rsidRDefault="007D012C" w:rsidP="00B64E37">
            <w:pPr>
              <w:widowControl/>
              <w:autoSpaceDE/>
              <w:autoSpaceDN/>
              <w:adjustRightInd/>
              <w:rPr>
                <w:rFonts w:cs="Arial"/>
                <w:sz w:val="18"/>
                <w:szCs w:val="20"/>
              </w:rPr>
            </w:pPr>
            <w:r>
              <w:rPr>
                <w:rFonts w:cs="Arial"/>
                <w:sz w:val="20"/>
                <w:szCs w:val="20"/>
                <w:vertAlign w:val="superscript"/>
              </w:rPr>
              <w:t>p</w:t>
            </w:r>
            <w:r>
              <w:rPr>
                <w:rFonts w:cs="Arial"/>
                <w:sz w:val="18"/>
                <w:szCs w:val="20"/>
              </w:rPr>
              <w:t xml:space="preserve">  We have assumed that all respondents for subpart Ea will each take 4 hours two times per year to record employee review of operations.</w:t>
            </w:r>
          </w:p>
          <w:p w:rsidR="007D012C" w:rsidRPr="00C96741" w:rsidRDefault="007D012C" w:rsidP="00B64E37">
            <w:pPr>
              <w:widowControl/>
              <w:autoSpaceDE/>
              <w:autoSpaceDN/>
              <w:adjustRightInd/>
              <w:rPr>
                <w:rFonts w:cs="Arial"/>
                <w:sz w:val="18"/>
                <w:szCs w:val="20"/>
              </w:rPr>
            </w:pPr>
            <w:proofErr w:type="gramStart"/>
            <w:r w:rsidRPr="00AD229C">
              <w:rPr>
                <w:rFonts w:cs="Arial"/>
                <w:sz w:val="20"/>
                <w:szCs w:val="20"/>
                <w:vertAlign w:val="superscript"/>
              </w:rPr>
              <w:t>q</w:t>
            </w:r>
            <w:r w:rsidRPr="00AD229C">
              <w:rPr>
                <w:rFonts w:cs="Arial"/>
                <w:sz w:val="18"/>
                <w:szCs w:val="20"/>
                <w:vertAlign w:val="superscript"/>
              </w:rPr>
              <w:t xml:space="preserve"> </w:t>
            </w:r>
            <w:r>
              <w:rPr>
                <w:rFonts w:cs="Arial"/>
                <w:sz w:val="18"/>
                <w:szCs w:val="20"/>
              </w:rPr>
              <w:t xml:space="preserve"> We</w:t>
            </w:r>
            <w:proofErr w:type="gramEnd"/>
            <w:r>
              <w:rPr>
                <w:rFonts w:cs="Arial"/>
                <w:sz w:val="18"/>
                <w:szCs w:val="20"/>
              </w:rPr>
              <w:t xml:space="preserve"> have assumed that each of the </w:t>
            </w:r>
            <w:r w:rsidR="0083284E">
              <w:rPr>
                <w:rFonts w:cs="Arial"/>
                <w:sz w:val="18"/>
                <w:szCs w:val="20"/>
              </w:rPr>
              <w:t>5</w:t>
            </w:r>
            <w:r>
              <w:rPr>
                <w:rFonts w:cs="Arial"/>
                <w:sz w:val="18"/>
                <w:szCs w:val="20"/>
              </w:rPr>
              <w:t xml:space="preserve"> respondents will take 1.5 hours 94 times per year to enter information.</w:t>
            </w:r>
          </w:p>
          <w:p w:rsidR="007D012C" w:rsidRPr="00C96741" w:rsidRDefault="007D012C" w:rsidP="000F57DC">
            <w:pPr>
              <w:widowControl/>
              <w:autoSpaceDE/>
              <w:autoSpaceDN/>
              <w:adjustRightInd/>
              <w:rPr>
                <w:rFonts w:cs="Arial"/>
                <w:sz w:val="18"/>
                <w:szCs w:val="20"/>
              </w:rPr>
            </w:pPr>
            <w:r>
              <w:rPr>
                <w:rFonts w:cs="Arial"/>
                <w:sz w:val="18"/>
                <w:szCs w:val="20"/>
                <w:vertAlign w:val="superscript"/>
              </w:rPr>
              <w:t>r</w:t>
            </w:r>
            <w:r w:rsidRPr="00C96741">
              <w:rPr>
                <w:rFonts w:cs="Arial"/>
                <w:sz w:val="18"/>
                <w:szCs w:val="20"/>
              </w:rPr>
              <w:t xml:space="preserve">  </w:t>
            </w:r>
            <w:r>
              <w:rPr>
                <w:rFonts w:cs="Arial"/>
                <w:sz w:val="18"/>
                <w:szCs w:val="20"/>
              </w:rPr>
              <w:t xml:space="preserve">We have assumed that each of the </w:t>
            </w:r>
            <w:r w:rsidR="000F57DC">
              <w:rPr>
                <w:rFonts w:cs="Arial"/>
                <w:sz w:val="18"/>
                <w:szCs w:val="20"/>
              </w:rPr>
              <w:t>5</w:t>
            </w:r>
            <w:r>
              <w:rPr>
                <w:rFonts w:cs="Arial"/>
                <w:sz w:val="18"/>
                <w:szCs w:val="20"/>
              </w:rPr>
              <w:t xml:space="preserve"> respondents for subpart Eb will take four hours two times per year to enter employee review of operation information.</w:t>
            </w:r>
          </w:p>
        </w:tc>
      </w:tr>
    </w:tbl>
    <w:p w:rsidR="002C336A" w:rsidRDefault="00144F35" w:rsidP="00487500">
      <w:pPr>
        <w:jc w:val="center"/>
        <w:outlineLvl w:val="0"/>
        <w:rPr>
          <w:bCs/>
          <w:color w:val="FF0000"/>
        </w:rPr>
      </w:pPr>
      <w:r>
        <w:rPr>
          <w:b/>
          <w:bCs/>
          <w:color w:val="000000"/>
        </w:rPr>
        <w:br w:type="page"/>
      </w:r>
      <w:r w:rsidR="00F43AF7" w:rsidRPr="00F43AF7">
        <w:rPr>
          <w:b/>
          <w:bCs/>
          <w:color w:val="000000"/>
        </w:rPr>
        <w:lastRenderedPageBreak/>
        <w:t xml:space="preserve">Table 2: Average Annual EPA Burden and Cost – </w:t>
      </w:r>
      <w:r w:rsidR="00F43AF7" w:rsidRPr="00E04822">
        <w:rPr>
          <w:b/>
          <w:bCs/>
          <w:color w:val="000000"/>
        </w:rPr>
        <w:t>NSPS for Municipal Waste Combustors (40 CFR Part 60, Subparts Ea and Eb) (Renewal)</w:t>
      </w:r>
    </w:p>
    <w:p w:rsidR="00144F35" w:rsidRDefault="00144F35" w:rsidP="00F340DF">
      <w:pPr>
        <w:rPr>
          <w:color w:val="000000"/>
        </w:rPr>
      </w:pPr>
    </w:p>
    <w:tbl>
      <w:tblPr>
        <w:tblW w:w="13334" w:type="dxa"/>
        <w:tblInd w:w="94" w:type="dxa"/>
        <w:tblLayout w:type="fixed"/>
        <w:tblLook w:val="04A0" w:firstRow="1" w:lastRow="0" w:firstColumn="1" w:lastColumn="0" w:noHBand="0" w:noVBand="1"/>
      </w:tblPr>
      <w:tblGrid>
        <w:gridCol w:w="9"/>
        <w:gridCol w:w="3695"/>
        <w:gridCol w:w="1260"/>
        <w:gridCol w:w="1080"/>
        <w:gridCol w:w="1166"/>
        <w:gridCol w:w="889"/>
        <w:gridCol w:w="1050"/>
        <w:gridCol w:w="1338"/>
        <w:gridCol w:w="915"/>
        <w:gridCol w:w="1169"/>
        <w:gridCol w:w="763"/>
      </w:tblGrid>
      <w:tr w:rsidR="00E04822" w:rsidRPr="00E04822" w:rsidTr="00E04822">
        <w:trPr>
          <w:gridAfter w:val="1"/>
          <w:wAfter w:w="763" w:type="dxa"/>
          <w:trHeight w:val="1530"/>
        </w:trPr>
        <w:tc>
          <w:tcPr>
            <w:tcW w:w="37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Activity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04822" w:rsidRDefault="00E04822" w:rsidP="00E04822">
            <w:pPr>
              <w:widowControl/>
              <w:autoSpaceDE/>
              <w:autoSpaceDN/>
              <w:adjustRightInd/>
              <w:jc w:val="center"/>
              <w:rPr>
                <w:b/>
                <w:bCs/>
                <w:color w:val="000000"/>
                <w:sz w:val="20"/>
                <w:szCs w:val="20"/>
              </w:rPr>
            </w:pPr>
            <w:r w:rsidRPr="00E04822">
              <w:rPr>
                <w:b/>
                <w:bCs/>
                <w:color w:val="000000"/>
                <w:sz w:val="20"/>
                <w:szCs w:val="20"/>
              </w:rPr>
              <w:t xml:space="preserve">(A) </w:t>
            </w:r>
          </w:p>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EPA person-hours per occurrence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04822" w:rsidRDefault="00E04822" w:rsidP="00E04822">
            <w:pPr>
              <w:widowControl/>
              <w:autoSpaceDE/>
              <w:autoSpaceDN/>
              <w:adjustRightInd/>
              <w:jc w:val="center"/>
              <w:rPr>
                <w:b/>
                <w:bCs/>
                <w:color w:val="000000"/>
                <w:sz w:val="20"/>
                <w:szCs w:val="20"/>
              </w:rPr>
            </w:pPr>
            <w:r w:rsidRPr="00E04822">
              <w:rPr>
                <w:b/>
                <w:bCs/>
                <w:color w:val="000000"/>
                <w:sz w:val="20"/>
                <w:szCs w:val="20"/>
              </w:rPr>
              <w:t xml:space="preserve">(B) </w:t>
            </w:r>
          </w:p>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No. of occurrences per plant per year</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E04822" w:rsidRDefault="00E04822" w:rsidP="00E04822">
            <w:pPr>
              <w:widowControl/>
              <w:autoSpaceDE/>
              <w:autoSpaceDN/>
              <w:adjustRightInd/>
              <w:jc w:val="center"/>
              <w:rPr>
                <w:b/>
                <w:bCs/>
                <w:color w:val="000000"/>
                <w:sz w:val="20"/>
                <w:szCs w:val="20"/>
              </w:rPr>
            </w:pPr>
            <w:r w:rsidRPr="00E04822">
              <w:rPr>
                <w:b/>
                <w:bCs/>
                <w:color w:val="000000"/>
                <w:sz w:val="20"/>
                <w:szCs w:val="20"/>
              </w:rPr>
              <w:t xml:space="preserve">(C) </w:t>
            </w:r>
          </w:p>
          <w:p w:rsidR="00E04822" w:rsidRDefault="00E04822" w:rsidP="00E04822">
            <w:pPr>
              <w:widowControl/>
              <w:autoSpaceDE/>
              <w:autoSpaceDN/>
              <w:adjustRightInd/>
              <w:jc w:val="center"/>
              <w:rPr>
                <w:b/>
                <w:bCs/>
                <w:color w:val="000000"/>
                <w:sz w:val="20"/>
                <w:szCs w:val="20"/>
              </w:rPr>
            </w:pPr>
            <w:r w:rsidRPr="00E04822">
              <w:rPr>
                <w:b/>
                <w:bCs/>
                <w:color w:val="000000"/>
                <w:sz w:val="20"/>
                <w:szCs w:val="20"/>
              </w:rPr>
              <w:t xml:space="preserve">EPA person hours per plant per year </w:t>
            </w:r>
          </w:p>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w:t>
            </w:r>
            <w:proofErr w:type="spellStart"/>
            <w:r w:rsidRPr="00E04822">
              <w:rPr>
                <w:b/>
                <w:bCs/>
                <w:color w:val="000000"/>
                <w:sz w:val="20"/>
                <w:szCs w:val="20"/>
              </w:rPr>
              <w:t>AxB</w:t>
            </w:r>
            <w:proofErr w:type="spellEnd"/>
            <w:r w:rsidRPr="00E04822">
              <w:rPr>
                <w:b/>
                <w:bCs/>
                <w:color w:val="000000"/>
                <w:sz w:val="20"/>
                <w:szCs w:val="20"/>
              </w:rPr>
              <w:t>)</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 xml:space="preserve">(D) Plants per year </w:t>
            </w:r>
            <w:r w:rsidRPr="00E04822">
              <w:rPr>
                <w:b/>
                <w:bCs/>
                <w:color w:val="000000"/>
                <w:sz w:val="20"/>
                <w:szCs w:val="20"/>
                <w:vertAlign w:val="superscript"/>
              </w:rPr>
              <w:t>b</w:t>
            </w:r>
            <w:r w:rsidRPr="00E04822">
              <w:rPr>
                <w:b/>
                <w:bCs/>
                <w:color w:val="000000"/>
                <w:sz w:val="20"/>
                <w:szCs w:val="20"/>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(E) Technical person-hours per year (</w:t>
            </w:r>
            <w:proofErr w:type="spellStart"/>
            <w:r w:rsidRPr="00E04822">
              <w:rPr>
                <w:b/>
                <w:bCs/>
                <w:color w:val="000000"/>
                <w:sz w:val="20"/>
                <w:szCs w:val="20"/>
              </w:rPr>
              <w:t>CxD</w:t>
            </w:r>
            <w:proofErr w:type="spellEnd"/>
            <w:r w:rsidRPr="00E04822">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(F) Management person-hours per year (Ex0.05)</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(G) Clerical person-hours per year (Ex0.1)</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E04822" w:rsidRDefault="00E04822" w:rsidP="00E04822">
            <w:pPr>
              <w:widowControl/>
              <w:autoSpaceDE/>
              <w:autoSpaceDN/>
              <w:adjustRightInd/>
              <w:jc w:val="center"/>
              <w:rPr>
                <w:b/>
                <w:bCs/>
                <w:color w:val="000000"/>
                <w:sz w:val="20"/>
                <w:szCs w:val="20"/>
              </w:rPr>
            </w:pPr>
            <w:r w:rsidRPr="00E04822">
              <w:rPr>
                <w:b/>
                <w:bCs/>
                <w:color w:val="000000"/>
                <w:sz w:val="20"/>
                <w:szCs w:val="20"/>
              </w:rPr>
              <w:t xml:space="preserve">(H) </w:t>
            </w:r>
          </w:p>
          <w:p w:rsidR="00E04822" w:rsidRPr="00E04822" w:rsidRDefault="00E04822" w:rsidP="00E04822">
            <w:pPr>
              <w:widowControl/>
              <w:autoSpaceDE/>
              <w:autoSpaceDN/>
              <w:adjustRightInd/>
              <w:jc w:val="center"/>
              <w:rPr>
                <w:b/>
                <w:bCs/>
                <w:color w:val="000000"/>
                <w:sz w:val="20"/>
                <w:szCs w:val="20"/>
              </w:rPr>
            </w:pPr>
            <w:r w:rsidRPr="00E04822">
              <w:rPr>
                <w:b/>
                <w:bCs/>
                <w:color w:val="000000"/>
                <w:sz w:val="20"/>
                <w:szCs w:val="20"/>
              </w:rPr>
              <w:t xml:space="preserve">Cost, $ </w:t>
            </w:r>
            <w:r w:rsidRPr="00E04822">
              <w:rPr>
                <w:b/>
                <w:bCs/>
                <w:color w:val="000000"/>
                <w:sz w:val="20"/>
                <w:szCs w:val="20"/>
                <w:vertAlign w:val="superscript"/>
              </w:rPr>
              <w:t>a</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Initial performance tests for Ea</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180</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180</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 xml:space="preserve">$0 </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Review report of initial performance test for Ea</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24</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24</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 xml:space="preserve">$0 </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Repeat performance test for Ea</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12</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 xml:space="preserve">$0 </w:t>
            </w:r>
          </w:p>
        </w:tc>
      </w:tr>
      <w:tr w:rsidR="00E04822" w:rsidRPr="00E04822" w:rsidTr="00E04822">
        <w:trPr>
          <w:gridAfter w:val="1"/>
          <w:wAfter w:w="763" w:type="dxa"/>
          <w:trHeight w:val="33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Repeat performance test for Eb </w:t>
            </w:r>
            <w:r w:rsidRPr="00E04822">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12</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0.07</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0.84</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0.04</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0.08</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$43.97</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Report review for Ea</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9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    Notification of construction</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 xml:space="preserve">$0 </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    Notification of actual startup</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 xml:space="preserve">$0 </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    Notification of initial test                      </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 xml:space="preserve">$0 </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    Notification of CMS demonstration</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12</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 xml:space="preserve">$0 </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Review of CEMS demonstration for Ea</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96</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96</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 xml:space="preserve">$0 </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Review excess emission reports for Ea</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9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w:t>
            </w:r>
          </w:p>
        </w:tc>
      </w:tr>
      <w:tr w:rsidR="00E04822" w:rsidRPr="00E04822" w:rsidTr="00E04822">
        <w:trPr>
          <w:gridAfter w:val="1"/>
          <w:wAfter w:w="763" w:type="dxa"/>
          <w:trHeight w:val="33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    No excess emission report </w:t>
            </w:r>
            <w:r w:rsidRPr="00E04822">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8</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8</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6.4</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51.2</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2.56</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5.12</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$2,679.81</w:t>
            </w:r>
          </w:p>
        </w:tc>
      </w:tr>
      <w:tr w:rsidR="00E04822" w:rsidRPr="00E04822" w:rsidTr="00E04822">
        <w:trPr>
          <w:gridAfter w:val="1"/>
          <w:wAfter w:w="763" w:type="dxa"/>
          <w:trHeight w:val="33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    Excess emission report </w:t>
            </w:r>
            <w:r w:rsidRPr="00E04822">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1.6</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3.2</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0.16</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0.32</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$167.49</w:t>
            </w:r>
          </w:p>
        </w:tc>
      </w:tr>
      <w:tr w:rsidR="00E04822" w:rsidRPr="00E04822" w:rsidTr="00E04822">
        <w:trPr>
          <w:gridAfter w:val="1"/>
          <w:wAfter w:w="763" w:type="dxa"/>
          <w:trHeight w:val="33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Review quarterly appendix F reports for Ea </w:t>
            </w:r>
            <w:r w:rsidRPr="00E04822">
              <w:rPr>
                <w:color w:val="000000"/>
                <w:sz w:val="20"/>
                <w:szCs w:val="20"/>
                <w:vertAlign w:val="superscript"/>
              </w:rPr>
              <w:t>h</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4</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8</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16</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0.8</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1.6</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$837.44</w:t>
            </w:r>
          </w:p>
        </w:tc>
      </w:tr>
      <w:tr w:rsidR="00E04822" w:rsidRPr="00E04822" w:rsidTr="00E04822">
        <w:trPr>
          <w:gridAfter w:val="1"/>
          <w:wAfter w:w="763" w:type="dxa"/>
          <w:trHeight w:val="33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Review quarterly compliance report for Ea </w:t>
            </w:r>
            <w:r w:rsidRPr="00E04822">
              <w:rPr>
                <w:color w:val="000000"/>
                <w:sz w:val="20"/>
                <w:szCs w:val="20"/>
                <w:vertAlign w:val="superscript"/>
              </w:rPr>
              <w:t>h</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8</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4</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32</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8</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256</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12.8</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25.6</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$13,399.04</w:t>
            </w:r>
          </w:p>
        </w:tc>
      </w:tr>
      <w:tr w:rsidR="00E04822" w:rsidRPr="00E04822" w:rsidTr="00E04822">
        <w:trPr>
          <w:gridAfter w:val="1"/>
          <w:wAfter w:w="763" w:type="dxa"/>
          <w:trHeight w:val="33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Review annual compliance tests for Ea </w:t>
            </w:r>
            <w:r w:rsidRPr="00E04822">
              <w:rPr>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18</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18</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8</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144</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7.2</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14.4</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$7,536.96</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Report review for Eb </w:t>
            </w:r>
            <w:r w:rsidRPr="00E04822">
              <w:rPr>
                <w:color w:val="000000"/>
                <w:sz w:val="18"/>
                <w:szCs w:val="18"/>
                <w:vertAlign w:val="superscript"/>
              </w:rPr>
              <w:t>d</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915" w:type="dxa"/>
            <w:tcBorders>
              <w:top w:val="nil"/>
              <w:left w:val="nil"/>
              <w:bottom w:val="single" w:sz="4" w:space="0" w:color="auto"/>
              <w:right w:val="single" w:sz="4" w:space="0" w:color="auto"/>
            </w:tcBorders>
            <w:shd w:val="clear" w:color="auto" w:fill="auto"/>
            <w:noWrap/>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    Notification of construction</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0.33</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0.66</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0.03</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0.07</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$34.54</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    Notification of initial performance test</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8</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8</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0.33</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2.64</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0.13</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0.26</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$138.18</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lastRenderedPageBreak/>
              <w:t xml:space="preserve">    Notification of CEMS demonstration</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5</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5</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0.33</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1.65</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0.08</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0.17</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$86.36</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Review CEMS demonstration for Eb</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40</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0.33</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13.2</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0.66</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1.32</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$690.89</w:t>
            </w:r>
          </w:p>
        </w:tc>
      </w:tr>
      <w:tr w:rsidR="00E04822" w:rsidRPr="00E04822" w:rsidTr="00E04822">
        <w:trPr>
          <w:gridAfter w:val="1"/>
          <w:wAfter w:w="763" w:type="dxa"/>
          <w:trHeight w:val="33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Review semiannual excess emission reports for Eb </w:t>
            </w:r>
            <w:r w:rsidRPr="00E04822">
              <w:rPr>
                <w:color w:val="000000"/>
                <w:sz w:val="20"/>
                <w:szCs w:val="20"/>
                <w:vertAlign w:val="superscript"/>
              </w:rPr>
              <w:t>g</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24</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5</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6</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12</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$6,280.80</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Review of quarterly Appendix F reports for Eb</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5</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4</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20</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5</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5</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10</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$5,234.00</w:t>
            </w:r>
          </w:p>
        </w:tc>
      </w:tr>
      <w:tr w:rsidR="00E04822" w:rsidRPr="00E04822" w:rsidTr="00E04822">
        <w:trPr>
          <w:gridAfter w:val="1"/>
          <w:wAfter w:w="763" w:type="dxa"/>
          <w:trHeight w:val="33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Review annual compliance reports for </w:t>
            </w:r>
            <w:proofErr w:type="spellStart"/>
            <w:r w:rsidRPr="00E04822">
              <w:rPr>
                <w:color w:val="000000"/>
                <w:sz w:val="18"/>
                <w:szCs w:val="18"/>
              </w:rPr>
              <w:t>Eb</w:t>
            </w:r>
            <w:proofErr w:type="spellEnd"/>
            <w:r w:rsidRPr="00E04822">
              <w:rPr>
                <w:color w:val="000000"/>
                <w:sz w:val="18"/>
                <w:szCs w:val="18"/>
              </w:rPr>
              <w:t xml:space="preserve"> </w:t>
            </w:r>
            <w:r w:rsidRPr="00E04822">
              <w:rPr>
                <w:color w:val="000000"/>
                <w:sz w:val="20"/>
                <w:szCs w:val="20"/>
                <w:vertAlign w:val="superscript"/>
              </w:rPr>
              <w:t>i</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5</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5</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5</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25</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1.25</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2.5</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$1,308.50</w:t>
            </w:r>
          </w:p>
        </w:tc>
      </w:tr>
      <w:tr w:rsidR="00E04822" w:rsidRPr="00E04822" w:rsidTr="00E04822">
        <w:trPr>
          <w:gridAfter w:val="1"/>
          <w:wAfter w:w="763" w:type="dxa"/>
          <w:trHeight w:val="33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 xml:space="preserve">Review siting requirements study for Eb </w:t>
            </w:r>
            <w:r w:rsidRPr="00E04822">
              <w:rPr>
                <w:color w:val="000000"/>
                <w:sz w:val="20"/>
                <w:szCs w:val="20"/>
                <w:vertAlign w:val="superscript"/>
              </w:rPr>
              <w:t>k</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24</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24</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0.33</w:t>
            </w:r>
          </w:p>
        </w:tc>
        <w:tc>
          <w:tcPr>
            <w:tcW w:w="105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7.92</w:t>
            </w:r>
          </w:p>
        </w:tc>
        <w:tc>
          <w:tcPr>
            <w:tcW w:w="1338"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0.40</w:t>
            </w:r>
          </w:p>
        </w:tc>
        <w:tc>
          <w:tcPr>
            <w:tcW w:w="915"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0.79</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color w:val="000000"/>
                <w:sz w:val="18"/>
                <w:szCs w:val="18"/>
              </w:rPr>
            </w:pPr>
            <w:r w:rsidRPr="00E04822">
              <w:rPr>
                <w:color w:val="000000"/>
                <w:sz w:val="18"/>
                <w:szCs w:val="18"/>
              </w:rPr>
              <w:t>$414.53</w:t>
            </w:r>
          </w:p>
        </w:tc>
      </w:tr>
      <w:tr w:rsidR="00E04822" w:rsidRPr="00E04822" w:rsidTr="00E04822">
        <w:trPr>
          <w:gridAfter w:val="1"/>
          <w:wAfter w:w="763" w:type="dxa"/>
          <w:trHeight w:val="300"/>
        </w:trPr>
        <w:tc>
          <w:tcPr>
            <w:tcW w:w="3704" w:type="dxa"/>
            <w:gridSpan w:val="2"/>
            <w:tcBorders>
              <w:top w:val="nil"/>
              <w:left w:val="single" w:sz="4" w:space="0" w:color="auto"/>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rPr>
                <w:color w:val="000000"/>
                <w:sz w:val="18"/>
                <w:szCs w:val="18"/>
              </w:rPr>
            </w:pPr>
            <w:r w:rsidRPr="00E04822">
              <w:rPr>
                <w:color w:val="000000"/>
                <w:sz w:val="18"/>
                <w:szCs w:val="18"/>
              </w:rPr>
              <w:t>TOTAL ANNUAL BURDEN AND COST</w:t>
            </w:r>
          </w:p>
        </w:tc>
        <w:tc>
          <w:tcPr>
            <w:tcW w:w="126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1166"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88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color w:val="000000"/>
                <w:sz w:val="18"/>
                <w:szCs w:val="18"/>
              </w:rPr>
            </w:pPr>
            <w:r w:rsidRPr="00E04822">
              <w:rPr>
                <w:color w:val="000000"/>
                <w:sz w:val="18"/>
                <w:szCs w:val="18"/>
              </w:rPr>
              <w:t> </w:t>
            </w:r>
          </w:p>
        </w:tc>
        <w:tc>
          <w:tcPr>
            <w:tcW w:w="3303" w:type="dxa"/>
            <w:gridSpan w:val="3"/>
            <w:tcBorders>
              <w:top w:val="single" w:sz="4" w:space="0" w:color="auto"/>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center"/>
              <w:rPr>
                <w:b/>
                <w:bCs/>
                <w:color w:val="000000"/>
                <w:sz w:val="18"/>
                <w:szCs w:val="18"/>
              </w:rPr>
            </w:pPr>
            <w:r w:rsidRPr="00E04822">
              <w:rPr>
                <w:b/>
                <w:bCs/>
                <w:color w:val="000000"/>
                <w:sz w:val="18"/>
                <w:szCs w:val="18"/>
              </w:rPr>
              <w:t>854</w:t>
            </w:r>
          </w:p>
        </w:tc>
        <w:tc>
          <w:tcPr>
            <w:tcW w:w="1169" w:type="dxa"/>
            <w:tcBorders>
              <w:top w:val="nil"/>
              <w:left w:val="nil"/>
              <w:bottom w:val="single" w:sz="4" w:space="0" w:color="auto"/>
              <w:right w:val="single" w:sz="4" w:space="0" w:color="auto"/>
            </w:tcBorders>
            <w:shd w:val="clear" w:color="auto" w:fill="auto"/>
            <w:noWrap/>
            <w:vAlign w:val="bottom"/>
            <w:hideMark/>
          </w:tcPr>
          <w:p w:rsidR="00E04822" w:rsidRPr="00E04822" w:rsidRDefault="00E04822" w:rsidP="00E04822">
            <w:pPr>
              <w:widowControl/>
              <w:autoSpaceDE/>
              <w:autoSpaceDN/>
              <w:adjustRightInd/>
              <w:jc w:val="right"/>
              <w:rPr>
                <w:b/>
                <w:bCs/>
                <w:color w:val="000000"/>
                <w:sz w:val="18"/>
                <w:szCs w:val="18"/>
              </w:rPr>
            </w:pPr>
            <w:r w:rsidRPr="00E04822">
              <w:rPr>
                <w:b/>
                <w:bCs/>
                <w:color w:val="000000"/>
                <w:sz w:val="18"/>
                <w:szCs w:val="18"/>
              </w:rPr>
              <w:t xml:space="preserve">$38,852.51 </w:t>
            </w:r>
          </w:p>
        </w:tc>
      </w:tr>
      <w:tr w:rsidR="007D012C" w:rsidRPr="00C96741" w:rsidTr="00E04822">
        <w:tblPrEx>
          <w:tblLook w:val="0000" w:firstRow="0" w:lastRow="0" w:firstColumn="0" w:lastColumn="0" w:noHBand="0" w:noVBand="0"/>
        </w:tblPrEx>
        <w:trPr>
          <w:gridBefore w:val="1"/>
          <w:wBefore w:w="9" w:type="dxa"/>
          <w:trHeight w:val="255"/>
        </w:trPr>
        <w:tc>
          <w:tcPr>
            <w:tcW w:w="13325" w:type="dxa"/>
            <w:gridSpan w:val="10"/>
            <w:tcBorders>
              <w:top w:val="nil"/>
              <w:left w:val="nil"/>
              <w:bottom w:val="nil"/>
              <w:right w:val="nil"/>
            </w:tcBorders>
            <w:shd w:val="clear" w:color="auto" w:fill="auto"/>
            <w:noWrap/>
            <w:vAlign w:val="center"/>
          </w:tcPr>
          <w:p w:rsidR="007D012C" w:rsidRPr="00C96741" w:rsidRDefault="007D012C" w:rsidP="00B64E37">
            <w:pPr>
              <w:widowControl/>
              <w:autoSpaceDE/>
              <w:autoSpaceDN/>
              <w:adjustRightInd/>
              <w:rPr>
                <w:rFonts w:cs="Arial"/>
                <w:sz w:val="18"/>
                <w:szCs w:val="20"/>
              </w:rPr>
            </w:pPr>
          </w:p>
          <w:p w:rsidR="007D012C" w:rsidRPr="007D012C" w:rsidRDefault="00767D60" w:rsidP="00B64E37">
            <w:pPr>
              <w:widowControl/>
              <w:autoSpaceDE/>
              <w:autoSpaceDN/>
              <w:adjustRightInd/>
              <w:rPr>
                <w:rFonts w:cs="Arial"/>
                <w:b/>
                <w:sz w:val="18"/>
                <w:szCs w:val="20"/>
              </w:rPr>
            </w:pPr>
            <w:r w:rsidRPr="00767D60">
              <w:rPr>
                <w:rFonts w:cs="Arial"/>
                <w:b/>
                <w:sz w:val="18"/>
                <w:szCs w:val="20"/>
              </w:rPr>
              <w:t>Assumptions:</w:t>
            </w:r>
          </w:p>
        </w:tc>
      </w:tr>
      <w:tr w:rsidR="007D012C" w:rsidRPr="00C96741" w:rsidTr="00E04822">
        <w:tblPrEx>
          <w:tblLook w:val="0000" w:firstRow="0" w:lastRow="0" w:firstColumn="0" w:lastColumn="0" w:noHBand="0" w:noVBand="0"/>
        </w:tblPrEx>
        <w:trPr>
          <w:gridBefore w:val="1"/>
          <w:wBefore w:w="9" w:type="dxa"/>
          <w:trHeight w:val="255"/>
        </w:trPr>
        <w:tc>
          <w:tcPr>
            <w:tcW w:w="13325" w:type="dxa"/>
            <w:gridSpan w:val="10"/>
            <w:tcBorders>
              <w:top w:val="nil"/>
              <w:left w:val="nil"/>
              <w:bottom w:val="nil"/>
              <w:right w:val="nil"/>
            </w:tcBorders>
            <w:shd w:val="clear" w:color="auto" w:fill="auto"/>
            <w:noWrap/>
            <w:vAlign w:val="center"/>
          </w:tcPr>
          <w:p w:rsidR="007D012C" w:rsidRDefault="007D012C" w:rsidP="00B64E37">
            <w:pPr>
              <w:tabs>
                <w:tab w:val="left" w:pos="-288"/>
                <w:tab w:val="left" w:pos="192"/>
                <w:tab w:val="left" w:pos="912"/>
                <w:tab w:val="left" w:pos="1632"/>
                <w:tab w:val="left" w:pos="2352"/>
                <w:tab w:val="left" w:pos="3072"/>
                <w:tab w:val="left" w:pos="3792"/>
                <w:tab w:val="left" w:pos="4512"/>
                <w:tab w:val="left" w:pos="5232"/>
                <w:tab w:val="left" w:pos="5952"/>
                <w:tab w:val="left" w:pos="6672"/>
                <w:tab w:val="left" w:pos="7392"/>
                <w:tab w:val="left" w:pos="8112"/>
                <w:tab w:val="left" w:pos="8832"/>
                <w:tab w:val="left" w:pos="9552"/>
                <w:tab w:val="left" w:pos="10272"/>
                <w:tab w:val="left" w:pos="10992"/>
                <w:tab w:val="left" w:pos="11712"/>
                <w:tab w:val="left" w:pos="12432"/>
                <w:tab w:val="left" w:pos="13152"/>
                <w:tab w:val="left" w:pos="13872"/>
                <w:tab w:val="left" w:pos="14592"/>
              </w:tabs>
              <w:ind w:right="-1080"/>
              <w:rPr>
                <w:color w:val="000000"/>
                <w:sz w:val="18"/>
                <w:szCs w:val="18"/>
              </w:rPr>
            </w:pPr>
            <w:proofErr w:type="gramStart"/>
            <w:r w:rsidRPr="00C96741">
              <w:rPr>
                <w:rFonts w:cs="Arial"/>
                <w:sz w:val="18"/>
                <w:szCs w:val="20"/>
                <w:vertAlign w:val="superscript"/>
              </w:rPr>
              <w:t>a.</w:t>
            </w:r>
            <w:r w:rsidRPr="00C96741">
              <w:rPr>
                <w:rFonts w:cs="Arial"/>
                <w:sz w:val="18"/>
                <w:szCs w:val="20"/>
              </w:rPr>
              <w:t xml:space="preserve">  </w:t>
            </w:r>
            <w:r>
              <w:rPr>
                <w:color w:val="000000"/>
                <w:sz w:val="18"/>
                <w:szCs w:val="18"/>
              </w:rPr>
              <w:t>We</w:t>
            </w:r>
            <w:proofErr w:type="gramEnd"/>
            <w:r>
              <w:rPr>
                <w:color w:val="000000"/>
                <w:sz w:val="18"/>
                <w:szCs w:val="18"/>
              </w:rPr>
              <w:t xml:space="preserve"> have estimated that an average of 1</w:t>
            </w:r>
            <w:r w:rsidR="000F57DC">
              <w:rPr>
                <w:color w:val="000000"/>
                <w:sz w:val="18"/>
                <w:szCs w:val="18"/>
              </w:rPr>
              <w:t>3</w:t>
            </w:r>
            <w:r>
              <w:rPr>
                <w:color w:val="000000"/>
                <w:sz w:val="18"/>
                <w:szCs w:val="18"/>
              </w:rPr>
              <w:t xml:space="preserve"> sources are subject to subparts Ea and Eb.  </w:t>
            </w:r>
            <w:r w:rsidR="000F57DC">
              <w:rPr>
                <w:color w:val="000000"/>
                <w:sz w:val="18"/>
                <w:szCs w:val="18"/>
              </w:rPr>
              <w:t>Eight</w:t>
            </w:r>
            <w:r>
              <w:rPr>
                <w:color w:val="000000"/>
                <w:sz w:val="18"/>
                <w:szCs w:val="18"/>
              </w:rPr>
              <w:t xml:space="preserve"> of these sources are currently subject to subpart Ea, with no additional sources</w:t>
            </w:r>
          </w:p>
          <w:p w:rsidR="007D012C" w:rsidRPr="00C96741" w:rsidRDefault="007D012C" w:rsidP="000F57DC">
            <w:pPr>
              <w:tabs>
                <w:tab w:val="left" w:pos="-288"/>
                <w:tab w:val="left" w:pos="192"/>
                <w:tab w:val="left" w:pos="912"/>
                <w:tab w:val="left" w:pos="1632"/>
                <w:tab w:val="left" w:pos="2352"/>
                <w:tab w:val="left" w:pos="3072"/>
                <w:tab w:val="left" w:pos="3792"/>
                <w:tab w:val="left" w:pos="4512"/>
                <w:tab w:val="left" w:pos="5232"/>
                <w:tab w:val="left" w:pos="5952"/>
                <w:tab w:val="left" w:pos="6672"/>
                <w:tab w:val="left" w:pos="7392"/>
                <w:tab w:val="left" w:pos="8112"/>
                <w:tab w:val="left" w:pos="8832"/>
                <w:tab w:val="left" w:pos="9552"/>
                <w:tab w:val="left" w:pos="10272"/>
                <w:tab w:val="left" w:pos="10992"/>
                <w:tab w:val="left" w:pos="11712"/>
                <w:tab w:val="left" w:pos="12432"/>
                <w:tab w:val="left" w:pos="13152"/>
                <w:tab w:val="left" w:pos="13872"/>
                <w:tab w:val="left" w:pos="14592"/>
              </w:tabs>
              <w:ind w:right="-1080"/>
              <w:rPr>
                <w:rFonts w:cs="Arial"/>
                <w:sz w:val="18"/>
                <w:szCs w:val="20"/>
              </w:rPr>
            </w:pPr>
            <w:proofErr w:type="gramStart"/>
            <w:r>
              <w:rPr>
                <w:color w:val="000000"/>
                <w:sz w:val="18"/>
                <w:szCs w:val="18"/>
              </w:rPr>
              <w:t>becoming</w:t>
            </w:r>
            <w:proofErr w:type="gramEnd"/>
            <w:r>
              <w:rPr>
                <w:color w:val="000000"/>
                <w:sz w:val="18"/>
                <w:szCs w:val="18"/>
              </w:rPr>
              <w:t xml:space="preserve"> subject to the regulation in the next three years.  The remaining five sources are subject to subpart Eb </w:t>
            </w:r>
            <w:r w:rsidR="000F57DC">
              <w:rPr>
                <w:color w:val="000000"/>
                <w:sz w:val="18"/>
                <w:szCs w:val="18"/>
              </w:rPr>
              <w:t>(with one source startup in 2015)</w:t>
            </w:r>
            <w:r>
              <w:rPr>
                <w:color w:val="000000"/>
                <w:sz w:val="18"/>
                <w:szCs w:val="18"/>
              </w:rPr>
              <w:t>.</w:t>
            </w:r>
          </w:p>
        </w:tc>
      </w:tr>
      <w:tr w:rsidR="007D012C" w:rsidRPr="00C96741" w:rsidTr="00E04822">
        <w:tblPrEx>
          <w:tblLook w:val="0000" w:firstRow="0" w:lastRow="0" w:firstColumn="0" w:lastColumn="0" w:noHBand="0" w:noVBand="0"/>
        </w:tblPrEx>
        <w:trPr>
          <w:gridBefore w:val="1"/>
          <w:wBefore w:w="9" w:type="dxa"/>
          <w:trHeight w:val="255"/>
        </w:trPr>
        <w:tc>
          <w:tcPr>
            <w:tcW w:w="13325" w:type="dxa"/>
            <w:gridSpan w:val="10"/>
            <w:tcBorders>
              <w:top w:val="nil"/>
              <w:left w:val="nil"/>
              <w:bottom w:val="nil"/>
              <w:right w:val="nil"/>
            </w:tcBorders>
            <w:shd w:val="clear" w:color="auto" w:fill="auto"/>
            <w:noWrap/>
            <w:vAlign w:val="center"/>
          </w:tcPr>
          <w:p w:rsidR="002C336A" w:rsidRDefault="007D012C">
            <w:pPr>
              <w:widowControl/>
              <w:autoSpaceDE/>
              <w:autoSpaceDN/>
              <w:adjustRightInd/>
              <w:rPr>
                <w:rFonts w:cs="Arial"/>
                <w:sz w:val="18"/>
                <w:szCs w:val="20"/>
              </w:rPr>
            </w:pPr>
            <w:proofErr w:type="gramStart"/>
            <w:r w:rsidRPr="00C96741">
              <w:rPr>
                <w:rFonts w:cs="Arial"/>
                <w:sz w:val="18"/>
                <w:szCs w:val="20"/>
                <w:vertAlign w:val="superscript"/>
              </w:rPr>
              <w:t>b</w:t>
            </w:r>
            <w:r>
              <w:rPr>
                <w:rFonts w:cs="Arial"/>
                <w:sz w:val="18"/>
                <w:szCs w:val="20"/>
                <w:vertAlign w:val="superscript"/>
              </w:rPr>
              <w:t xml:space="preserve"> </w:t>
            </w:r>
            <w:r>
              <w:rPr>
                <w:sz w:val="18"/>
                <w:szCs w:val="18"/>
              </w:rPr>
              <w:t xml:space="preserve"> </w:t>
            </w:r>
            <w:r w:rsidRPr="00F52ED5">
              <w:rPr>
                <w:sz w:val="18"/>
                <w:szCs w:val="18"/>
              </w:rPr>
              <w:t>This</w:t>
            </w:r>
            <w:proofErr w:type="gramEnd"/>
            <w:r w:rsidRPr="00F52ED5">
              <w:rPr>
                <w:sz w:val="18"/>
                <w:szCs w:val="18"/>
              </w:rPr>
              <w:t xml:space="preserve"> cost is based on the following labor rates which incorporates a 1.6 benefits multiplication factor to account for government overhead expenses: $62.</w:t>
            </w:r>
            <w:r w:rsidR="00DA4779">
              <w:rPr>
                <w:sz w:val="18"/>
                <w:szCs w:val="18"/>
              </w:rPr>
              <w:t>90</w:t>
            </w:r>
            <w:r w:rsidRPr="00F52ED5">
              <w:rPr>
                <w:sz w:val="18"/>
                <w:szCs w:val="18"/>
              </w:rPr>
              <w:t xml:space="preserve"> Managerial rate (GS-13, Step 5, $</w:t>
            </w:r>
            <w:r w:rsidR="00DA4779">
              <w:rPr>
                <w:sz w:val="18"/>
                <w:szCs w:val="18"/>
              </w:rPr>
              <w:t>39.31</w:t>
            </w:r>
            <w:r w:rsidRPr="00F52ED5">
              <w:rPr>
                <w:sz w:val="18"/>
                <w:szCs w:val="18"/>
              </w:rPr>
              <w:t xml:space="preserve"> x 1.6), $</w:t>
            </w:r>
            <w:r w:rsidR="00DA4779">
              <w:rPr>
                <w:sz w:val="18"/>
                <w:szCs w:val="18"/>
              </w:rPr>
              <w:t>46.67</w:t>
            </w:r>
            <w:r w:rsidRPr="00F52ED5">
              <w:rPr>
                <w:sz w:val="18"/>
                <w:szCs w:val="18"/>
              </w:rPr>
              <w:t xml:space="preserve"> Technical rate (GS-12, Step 1, $</w:t>
            </w:r>
            <w:r w:rsidR="00DA4779">
              <w:rPr>
                <w:sz w:val="18"/>
                <w:szCs w:val="18"/>
              </w:rPr>
              <w:t>29.17</w:t>
            </w:r>
            <w:r w:rsidRPr="00F52ED5">
              <w:rPr>
                <w:sz w:val="18"/>
                <w:szCs w:val="18"/>
              </w:rPr>
              <w:t xml:space="preserve"> x 1.6), and $</w:t>
            </w:r>
            <w:r w:rsidR="00DA4779">
              <w:rPr>
                <w:sz w:val="18"/>
                <w:szCs w:val="18"/>
              </w:rPr>
              <w:t>25.25</w:t>
            </w:r>
            <w:r w:rsidRPr="00F52ED5">
              <w:rPr>
                <w:sz w:val="18"/>
                <w:szCs w:val="18"/>
              </w:rPr>
              <w:t xml:space="preserve"> Clerical rate (GS-6, Step 3, $</w:t>
            </w:r>
            <w:r w:rsidR="00DA4779">
              <w:rPr>
                <w:sz w:val="18"/>
                <w:szCs w:val="18"/>
              </w:rPr>
              <w:t>15.78</w:t>
            </w:r>
            <w:r w:rsidRPr="00F52ED5">
              <w:rPr>
                <w:sz w:val="18"/>
                <w:szCs w:val="18"/>
              </w:rPr>
              <w:t xml:space="preserve"> x 1.6).  These rates are from the Office of Personnel Management (OPM) 201</w:t>
            </w:r>
            <w:r w:rsidR="00DA4779">
              <w:rPr>
                <w:sz w:val="18"/>
                <w:szCs w:val="18"/>
              </w:rPr>
              <w:t>4</w:t>
            </w:r>
            <w:r w:rsidRPr="00F52ED5">
              <w:rPr>
                <w:sz w:val="18"/>
                <w:szCs w:val="18"/>
              </w:rPr>
              <w:t xml:space="preserve"> General Schedule which excludes locality rates of pay</w:t>
            </w:r>
          </w:p>
        </w:tc>
      </w:tr>
      <w:tr w:rsidR="007D012C" w:rsidRPr="00C96741" w:rsidTr="00E04822">
        <w:tblPrEx>
          <w:tblLook w:val="0000" w:firstRow="0" w:lastRow="0" w:firstColumn="0" w:lastColumn="0" w:noHBand="0" w:noVBand="0"/>
        </w:tblPrEx>
        <w:trPr>
          <w:gridBefore w:val="1"/>
          <w:wBefore w:w="9" w:type="dxa"/>
          <w:trHeight w:val="255"/>
        </w:trPr>
        <w:tc>
          <w:tcPr>
            <w:tcW w:w="13325" w:type="dxa"/>
            <w:gridSpan w:val="10"/>
            <w:tcBorders>
              <w:top w:val="nil"/>
              <w:left w:val="nil"/>
              <w:bottom w:val="nil"/>
              <w:right w:val="nil"/>
            </w:tcBorders>
            <w:shd w:val="clear" w:color="auto" w:fill="auto"/>
            <w:noWrap/>
            <w:vAlign w:val="center"/>
          </w:tcPr>
          <w:p w:rsidR="007D012C" w:rsidRDefault="007D012C" w:rsidP="00B64E37">
            <w:pPr>
              <w:widowControl/>
              <w:autoSpaceDE/>
              <w:autoSpaceDN/>
              <w:adjustRightInd/>
              <w:rPr>
                <w:rFonts w:cs="Arial"/>
                <w:sz w:val="18"/>
                <w:szCs w:val="20"/>
              </w:rPr>
            </w:pPr>
            <w:proofErr w:type="gramStart"/>
            <w:r w:rsidRPr="00C96741">
              <w:rPr>
                <w:rFonts w:cs="Arial"/>
                <w:sz w:val="18"/>
                <w:szCs w:val="20"/>
                <w:vertAlign w:val="superscript"/>
              </w:rPr>
              <w:t>c</w:t>
            </w:r>
            <w:r>
              <w:rPr>
                <w:rFonts w:cs="Arial"/>
                <w:sz w:val="18"/>
                <w:szCs w:val="20"/>
                <w:vertAlign w:val="superscript"/>
              </w:rPr>
              <w:t xml:space="preserve"> </w:t>
            </w:r>
            <w:r>
              <w:rPr>
                <w:rFonts w:cs="Arial"/>
                <w:sz w:val="18"/>
                <w:szCs w:val="20"/>
              </w:rPr>
              <w:t xml:space="preserve"> It</w:t>
            </w:r>
            <w:proofErr w:type="gramEnd"/>
            <w:r>
              <w:rPr>
                <w:rFonts w:cs="Arial"/>
                <w:sz w:val="18"/>
                <w:szCs w:val="20"/>
              </w:rPr>
              <w:t xml:space="preserve"> is estimated that respondents will take 12 hours once per year to perform retest preparations and observance for subpart Eb.</w:t>
            </w:r>
          </w:p>
          <w:p w:rsidR="007D012C" w:rsidRPr="00C96741" w:rsidRDefault="007D012C" w:rsidP="00B64E37">
            <w:pPr>
              <w:widowControl/>
              <w:autoSpaceDE/>
              <w:autoSpaceDN/>
              <w:adjustRightInd/>
              <w:rPr>
                <w:rFonts w:cs="Arial"/>
                <w:sz w:val="18"/>
                <w:szCs w:val="20"/>
              </w:rPr>
            </w:pPr>
            <w:proofErr w:type="gramStart"/>
            <w:r w:rsidRPr="00A5421C">
              <w:rPr>
                <w:rFonts w:cs="Arial"/>
                <w:sz w:val="18"/>
                <w:szCs w:val="20"/>
                <w:vertAlign w:val="superscript"/>
              </w:rPr>
              <w:t>d</w:t>
            </w:r>
            <w:r>
              <w:rPr>
                <w:rFonts w:cs="Arial"/>
                <w:sz w:val="18"/>
                <w:szCs w:val="20"/>
                <w:vertAlign w:val="superscript"/>
              </w:rPr>
              <w:t xml:space="preserve"> </w:t>
            </w:r>
            <w:r>
              <w:rPr>
                <w:rFonts w:cs="Arial"/>
                <w:sz w:val="18"/>
                <w:szCs w:val="20"/>
              </w:rPr>
              <w:t xml:space="preserve"> We</w:t>
            </w:r>
            <w:proofErr w:type="gramEnd"/>
            <w:r>
              <w:rPr>
                <w:rFonts w:cs="Arial"/>
                <w:sz w:val="18"/>
                <w:szCs w:val="20"/>
              </w:rPr>
              <w:t xml:space="preserve"> have assumed that only one respondent will be required to perform report review for Eb.</w:t>
            </w:r>
          </w:p>
        </w:tc>
      </w:tr>
      <w:tr w:rsidR="007D012C" w:rsidRPr="00C96741" w:rsidTr="00E04822">
        <w:tblPrEx>
          <w:tblLook w:val="0000" w:firstRow="0" w:lastRow="0" w:firstColumn="0" w:lastColumn="0" w:noHBand="0" w:noVBand="0"/>
        </w:tblPrEx>
        <w:trPr>
          <w:gridBefore w:val="1"/>
          <w:wBefore w:w="9" w:type="dxa"/>
          <w:trHeight w:val="255"/>
        </w:trPr>
        <w:tc>
          <w:tcPr>
            <w:tcW w:w="13325" w:type="dxa"/>
            <w:gridSpan w:val="10"/>
            <w:tcBorders>
              <w:top w:val="nil"/>
              <w:left w:val="nil"/>
              <w:bottom w:val="nil"/>
              <w:right w:val="nil"/>
            </w:tcBorders>
            <w:shd w:val="clear" w:color="auto" w:fill="auto"/>
            <w:noWrap/>
            <w:vAlign w:val="center"/>
          </w:tcPr>
          <w:p w:rsidR="007D012C" w:rsidRPr="00C96741" w:rsidRDefault="007D012C" w:rsidP="00B64E37">
            <w:pPr>
              <w:widowControl/>
              <w:autoSpaceDE/>
              <w:autoSpaceDN/>
              <w:adjustRightInd/>
              <w:rPr>
                <w:rFonts w:cs="Arial"/>
                <w:sz w:val="18"/>
                <w:szCs w:val="20"/>
              </w:rPr>
            </w:pPr>
            <w:r>
              <w:rPr>
                <w:rFonts w:cs="Arial"/>
                <w:sz w:val="18"/>
                <w:szCs w:val="20"/>
                <w:vertAlign w:val="superscript"/>
              </w:rPr>
              <w:t>e</w:t>
            </w:r>
            <w:r w:rsidRPr="00C96741">
              <w:rPr>
                <w:rFonts w:cs="Arial"/>
                <w:sz w:val="18"/>
                <w:szCs w:val="20"/>
                <w:vertAlign w:val="superscript"/>
              </w:rPr>
              <w:t>.</w:t>
            </w:r>
            <w:r w:rsidRPr="00C96741">
              <w:rPr>
                <w:rFonts w:cs="Arial"/>
                <w:sz w:val="18"/>
                <w:szCs w:val="20"/>
              </w:rPr>
              <w:t xml:space="preserve"> </w:t>
            </w:r>
            <w:r>
              <w:rPr>
                <w:rFonts w:cs="Arial"/>
                <w:sz w:val="18"/>
                <w:szCs w:val="20"/>
              </w:rPr>
              <w:t>It is estimated that 80 percent of respondents will review reports for no excess emission for subpart Ea.</w:t>
            </w:r>
          </w:p>
          <w:p w:rsidR="007D012C" w:rsidRPr="00C96741" w:rsidRDefault="007D012C" w:rsidP="00B64E37">
            <w:pPr>
              <w:widowControl/>
              <w:autoSpaceDE/>
              <w:autoSpaceDN/>
              <w:adjustRightInd/>
              <w:rPr>
                <w:rFonts w:cs="Arial"/>
                <w:sz w:val="18"/>
                <w:szCs w:val="20"/>
              </w:rPr>
            </w:pPr>
            <w:proofErr w:type="spellStart"/>
            <w:proofErr w:type="gramStart"/>
            <w:r>
              <w:rPr>
                <w:rFonts w:cs="Arial"/>
                <w:sz w:val="18"/>
                <w:szCs w:val="20"/>
                <w:vertAlign w:val="superscript"/>
              </w:rPr>
              <w:t>f</w:t>
            </w:r>
            <w:proofErr w:type="spellEnd"/>
            <w:r>
              <w:rPr>
                <w:rFonts w:cs="Arial"/>
                <w:sz w:val="18"/>
                <w:szCs w:val="20"/>
                <w:vertAlign w:val="superscript"/>
              </w:rPr>
              <w:t xml:space="preserve"> </w:t>
            </w:r>
            <w:r>
              <w:rPr>
                <w:rFonts w:cs="Arial"/>
                <w:sz w:val="18"/>
                <w:szCs w:val="20"/>
              </w:rPr>
              <w:t xml:space="preserve"> It</w:t>
            </w:r>
            <w:proofErr w:type="gramEnd"/>
            <w:r>
              <w:rPr>
                <w:rFonts w:cs="Arial"/>
                <w:sz w:val="18"/>
                <w:szCs w:val="20"/>
              </w:rPr>
              <w:t xml:space="preserve"> is assumed that 20 percent of respondents will review reports for excess emission for subpart Ea.</w:t>
            </w:r>
          </w:p>
          <w:p w:rsidR="007D012C" w:rsidRPr="00C96741" w:rsidRDefault="007D012C" w:rsidP="00B64E37">
            <w:pPr>
              <w:widowControl/>
              <w:autoSpaceDE/>
              <w:autoSpaceDN/>
              <w:adjustRightInd/>
              <w:rPr>
                <w:rFonts w:cs="Arial"/>
                <w:sz w:val="18"/>
                <w:szCs w:val="20"/>
              </w:rPr>
            </w:pPr>
            <w:proofErr w:type="gramStart"/>
            <w:r>
              <w:rPr>
                <w:rFonts w:cs="Arial"/>
                <w:sz w:val="18"/>
                <w:szCs w:val="20"/>
                <w:vertAlign w:val="superscript"/>
              </w:rPr>
              <w:t>g</w:t>
            </w:r>
            <w:r w:rsidRPr="00C96741">
              <w:rPr>
                <w:rFonts w:cs="Arial"/>
                <w:sz w:val="18"/>
                <w:szCs w:val="20"/>
                <w:vertAlign w:val="superscript"/>
              </w:rPr>
              <w:t>.</w:t>
            </w:r>
            <w:r w:rsidRPr="00C96741">
              <w:rPr>
                <w:rFonts w:cs="Arial"/>
                <w:sz w:val="18"/>
                <w:szCs w:val="20"/>
              </w:rPr>
              <w:t xml:space="preserve">  We</w:t>
            </w:r>
            <w:proofErr w:type="gramEnd"/>
            <w:r w:rsidRPr="00C96741">
              <w:rPr>
                <w:rFonts w:cs="Arial"/>
                <w:sz w:val="18"/>
                <w:szCs w:val="20"/>
              </w:rPr>
              <w:t xml:space="preserve"> have assumed that </w:t>
            </w:r>
            <w:r>
              <w:rPr>
                <w:rFonts w:cs="Arial"/>
                <w:sz w:val="18"/>
                <w:szCs w:val="20"/>
              </w:rPr>
              <w:t xml:space="preserve">all </w:t>
            </w:r>
            <w:r w:rsidR="000F57DC">
              <w:rPr>
                <w:rFonts w:cs="Arial"/>
                <w:sz w:val="18"/>
                <w:szCs w:val="20"/>
              </w:rPr>
              <w:t>5</w:t>
            </w:r>
            <w:r>
              <w:rPr>
                <w:rFonts w:cs="Arial"/>
                <w:sz w:val="18"/>
                <w:szCs w:val="20"/>
              </w:rPr>
              <w:t xml:space="preserve"> respondents that are subject to subpart EB will review semiannual excess emission reports</w:t>
            </w:r>
            <w:r w:rsidRPr="00C96741">
              <w:rPr>
                <w:rFonts w:cs="Arial"/>
                <w:sz w:val="18"/>
                <w:szCs w:val="20"/>
              </w:rPr>
              <w:t>.</w:t>
            </w:r>
          </w:p>
          <w:p w:rsidR="007D012C" w:rsidRDefault="007D012C" w:rsidP="00B64E37">
            <w:pPr>
              <w:widowControl/>
              <w:autoSpaceDE/>
              <w:autoSpaceDN/>
              <w:adjustRightInd/>
              <w:rPr>
                <w:rFonts w:cs="Arial"/>
                <w:sz w:val="18"/>
                <w:szCs w:val="20"/>
              </w:rPr>
            </w:pPr>
            <w:proofErr w:type="gramStart"/>
            <w:r>
              <w:rPr>
                <w:rFonts w:cs="Arial"/>
                <w:sz w:val="18"/>
                <w:szCs w:val="20"/>
                <w:vertAlign w:val="superscript"/>
              </w:rPr>
              <w:t>h</w:t>
            </w:r>
            <w:r w:rsidRPr="00C96741">
              <w:rPr>
                <w:rFonts w:cs="Arial"/>
                <w:sz w:val="18"/>
                <w:szCs w:val="20"/>
                <w:vertAlign w:val="superscript"/>
              </w:rPr>
              <w:t>.</w:t>
            </w:r>
            <w:r w:rsidRPr="00C96741">
              <w:rPr>
                <w:rFonts w:cs="Arial"/>
                <w:sz w:val="18"/>
                <w:szCs w:val="20"/>
              </w:rPr>
              <w:t xml:space="preserve">  We</w:t>
            </w:r>
            <w:proofErr w:type="gramEnd"/>
            <w:r w:rsidRPr="00C96741">
              <w:rPr>
                <w:rFonts w:cs="Arial"/>
                <w:sz w:val="18"/>
                <w:szCs w:val="20"/>
              </w:rPr>
              <w:t xml:space="preserve"> have assumed that </w:t>
            </w:r>
            <w:r>
              <w:rPr>
                <w:rFonts w:cs="Arial"/>
                <w:sz w:val="18"/>
                <w:szCs w:val="20"/>
              </w:rPr>
              <w:t xml:space="preserve">all </w:t>
            </w:r>
            <w:r w:rsidR="000F57DC">
              <w:rPr>
                <w:rFonts w:cs="Arial"/>
                <w:sz w:val="18"/>
                <w:szCs w:val="20"/>
              </w:rPr>
              <w:t>8</w:t>
            </w:r>
            <w:r>
              <w:rPr>
                <w:rFonts w:cs="Arial"/>
                <w:sz w:val="18"/>
                <w:szCs w:val="20"/>
              </w:rPr>
              <w:t xml:space="preserve"> respondents that are currently subject to subpart Ea will have to review quarterly reports.</w:t>
            </w:r>
          </w:p>
          <w:p w:rsidR="007D012C" w:rsidRDefault="007D012C" w:rsidP="00B64E37">
            <w:pPr>
              <w:widowControl/>
              <w:autoSpaceDE/>
              <w:autoSpaceDN/>
              <w:adjustRightInd/>
              <w:rPr>
                <w:rFonts w:cs="Arial"/>
                <w:sz w:val="18"/>
                <w:szCs w:val="20"/>
              </w:rPr>
            </w:pPr>
            <w:proofErr w:type="gramStart"/>
            <w:r>
              <w:rPr>
                <w:rFonts w:cs="Arial"/>
                <w:sz w:val="20"/>
                <w:szCs w:val="20"/>
                <w:vertAlign w:val="superscript"/>
              </w:rPr>
              <w:t>i</w:t>
            </w:r>
            <w:r>
              <w:rPr>
                <w:rFonts w:cs="Arial"/>
                <w:sz w:val="18"/>
                <w:szCs w:val="20"/>
              </w:rPr>
              <w:t xml:space="preserve">  We</w:t>
            </w:r>
            <w:proofErr w:type="gramEnd"/>
            <w:r>
              <w:rPr>
                <w:rFonts w:cs="Arial"/>
                <w:sz w:val="18"/>
                <w:szCs w:val="20"/>
              </w:rPr>
              <w:t xml:space="preserve"> have assumed that all </w:t>
            </w:r>
            <w:r w:rsidR="000F57DC">
              <w:rPr>
                <w:rFonts w:cs="Arial"/>
                <w:sz w:val="18"/>
                <w:szCs w:val="20"/>
              </w:rPr>
              <w:t>5</w:t>
            </w:r>
            <w:r>
              <w:rPr>
                <w:rFonts w:cs="Arial"/>
                <w:sz w:val="18"/>
                <w:szCs w:val="20"/>
              </w:rPr>
              <w:t xml:space="preserve"> respondents that are subject to subpart Eb will have to review annual compliance reports.</w:t>
            </w:r>
          </w:p>
          <w:p w:rsidR="007D012C" w:rsidRDefault="007D012C" w:rsidP="00B64E37">
            <w:pPr>
              <w:widowControl/>
              <w:autoSpaceDE/>
              <w:autoSpaceDN/>
              <w:adjustRightInd/>
              <w:rPr>
                <w:rFonts w:cs="Arial"/>
                <w:sz w:val="18"/>
                <w:szCs w:val="20"/>
              </w:rPr>
            </w:pPr>
            <w:proofErr w:type="gramStart"/>
            <w:r w:rsidRPr="00A5421C">
              <w:rPr>
                <w:rFonts w:cs="Arial"/>
                <w:sz w:val="18"/>
                <w:szCs w:val="20"/>
                <w:vertAlign w:val="superscript"/>
              </w:rPr>
              <w:t xml:space="preserve">j </w:t>
            </w:r>
            <w:r>
              <w:rPr>
                <w:rFonts w:cs="Arial"/>
                <w:sz w:val="18"/>
                <w:szCs w:val="20"/>
              </w:rPr>
              <w:t xml:space="preserve"> We</w:t>
            </w:r>
            <w:proofErr w:type="gramEnd"/>
            <w:r>
              <w:rPr>
                <w:rFonts w:cs="Arial"/>
                <w:sz w:val="18"/>
                <w:szCs w:val="20"/>
              </w:rPr>
              <w:t xml:space="preserve"> have assumed that it will take 18 hours to review the annual compliance test for Ea.</w:t>
            </w:r>
          </w:p>
          <w:p w:rsidR="007D012C" w:rsidRPr="00C96741" w:rsidRDefault="007D012C" w:rsidP="000F57DC">
            <w:pPr>
              <w:widowControl/>
              <w:autoSpaceDE/>
              <w:autoSpaceDN/>
              <w:adjustRightInd/>
              <w:rPr>
                <w:rFonts w:cs="Arial"/>
                <w:sz w:val="18"/>
                <w:szCs w:val="20"/>
              </w:rPr>
            </w:pPr>
            <w:proofErr w:type="gramStart"/>
            <w:r>
              <w:rPr>
                <w:rFonts w:cs="Arial"/>
                <w:sz w:val="20"/>
                <w:szCs w:val="20"/>
                <w:vertAlign w:val="superscript"/>
              </w:rPr>
              <w:t>k</w:t>
            </w:r>
            <w:r>
              <w:rPr>
                <w:rFonts w:cs="Arial"/>
                <w:sz w:val="18"/>
                <w:szCs w:val="20"/>
              </w:rPr>
              <w:t xml:space="preserve">  All</w:t>
            </w:r>
            <w:proofErr w:type="gramEnd"/>
            <w:r>
              <w:rPr>
                <w:rFonts w:cs="Arial"/>
                <w:sz w:val="18"/>
                <w:szCs w:val="20"/>
              </w:rPr>
              <w:t xml:space="preserve"> of the </w:t>
            </w:r>
            <w:r w:rsidR="000F57DC">
              <w:rPr>
                <w:rFonts w:cs="Arial"/>
                <w:sz w:val="18"/>
                <w:szCs w:val="20"/>
              </w:rPr>
              <w:t>5</w:t>
            </w:r>
            <w:r>
              <w:rPr>
                <w:rFonts w:cs="Arial"/>
                <w:sz w:val="18"/>
                <w:szCs w:val="20"/>
              </w:rPr>
              <w:t xml:space="preserve"> respondents that are subject to subpart Eb will have to review the siting requirement’s study.</w:t>
            </w:r>
          </w:p>
        </w:tc>
      </w:tr>
    </w:tbl>
    <w:p w:rsidR="007D012C" w:rsidRDefault="007D012C" w:rsidP="00F340DF">
      <w:pPr>
        <w:rPr>
          <w:color w:val="000000"/>
        </w:rPr>
      </w:pPr>
    </w:p>
    <w:sectPr w:rsidR="007D012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FAE" w:rsidRDefault="00814FAE">
      <w:r>
        <w:separator/>
      </w:r>
    </w:p>
  </w:endnote>
  <w:endnote w:type="continuationSeparator" w:id="0">
    <w:p w:rsidR="00814FAE" w:rsidRDefault="008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FAE" w:rsidRDefault="00814FAE">
      <w:r>
        <w:separator/>
      </w:r>
    </w:p>
  </w:footnote>
  <w:footnote w:type="continuationSeparator" w:id="0">
    <w:p w:rsidR="00814FAE" w:rsidRDefault="00814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1CB" w:rsidRDefault="007A71CB">
    <w:pPr>
      <w:framePr w:w="9361" w:wrap="notBeside" w:vAnchor="text" w:hAnchor="text" w:x="1" w:y="1"/>
      <w:jc w:val="center"/>
    </w:pPr>
    <w:r>
      <w:fldChar w:fldCharType="begin"/>
    </w:r>
    <w:r>
      <w:instrText xml:space="preserve">PAGE </w:instrText>
    </w:r>
    <w:r>
      <w:fldChar w:fldCharType="separate"/>
    </w:r>
    <w:r w:rsidR="0014228A">
      <w:rPr>
        <w:noProof/>
      </w:rPr>
      <w:t>6</w:t>
    </w:r>
    <w:r>
      <w:rPr>
        <w:noProof/>
      </w:rPr>
      <w:fldChar w:fldCharType="end"/>
    </w:r>
  </w:p>
  <w:p w:rsidR="007A71CB" w:rsidRDefault="007A71CB"/>
  <w:p w:rsidR="007A71CB" w:rsidRDefault="007A71C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3E92"/>
    <w:rsid w:val="00055BDF"/>
    <w:rsid w:val="00055DC5"/>
    <w:rsid w:val="00067542"/>
    <w:rsid w:val="000A1FBB"/>
    <w:rsid w:val="000A51E1"/>
    <w:rsid w:val="000A687C"/>
    <w:rsid w:val="000A7A85"/>
    <w:rsid w:val="000D2272"/>
    <w:rsid w:val="000E6FAA"/>
    <w:rsid w:val="000F57DC"/>
    <w:rsid w:val="000F772C"/>
    <w:rsid w:val="00101B40"/>
    <w:rsid w:val="00102B52"/>
    <w:rsid w:val="0010697C"/>
    <w:rsid w:val="00123889"/>
    <w:rsid w:val="00126A7C"/>
    <w:rsid w:val="001356D4"/>
    <w:rsid w:val="0014079D"/>
    <w:rsid w:val="0014228A"/>
    <w:rsid w:val="00144978"/>
    <w:rsid w:val="00144A82"/>
    <w:rsid w:val="00144F35"/>
    <w:rsid w:val="0015433E"/>
    <w:rsid w:val="00186DA3"/>
    <w:rsid w:val="00195753"/>
    <w:rsid w:val="001A0B41"/>
    <w:rsid w:val="001B0B9A"/>
    <w:rsid w:val="001B29DD"/>
    <w:rsid w:val="001B35F2"/>
    <w:rsid w:val="001C5991"/>
    <w:rsid w:val="001D762C"/>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16DA"/>
    <w:rsid w:val="00294B37"/>
    <w:rsid w:val="002976E9"/>
    <w:rsid w:val="002B07B0"/>
    <w:rsid w:val="002B29A5"/>
    <w:rsid w:val="002B29A7"/>
    <w:rsid w:val="002B517F"/>
    <w:rsid w:val="002B6993"/>
    <w:rsid w:val="002C1F95"/>
    <w:rsid w:val="002C336A"/>
    <w:rsid w:val="002C416A"/>
    <w:rsid w:val="002C77DF"/>
    <w:rsid w:val="002D68B3"/>
    <w:rsid w:val="002D7683"/>
    <w:rsid w:val="002F674B"/>
    <w:rsid w:val="002F6DB3"/>
    <w:rsid w:val="003139FC"/>
    <w:rsid w:val="00341540"/>
    <w:rsid w:val="003509A6"/>
    <w:rsid w:val="003511C6"/>
    <w:rsid w:val="0035325B"/>
    <w:rsid w:val="00354C15"/>
    <w:rsid w:val="00377D7F"/>
    <w:rsid w:val="003B384B"/>
    <w:rsid w:val="003C4B46"/>
    <w:rsid w:val="003C5023"/>
    <w:rsid w:val="003D536B"/>
    <w:rsid w:val="003D6951"/>
    <w:rsid w:val="003E30B5"/>
    <w:rsid w:val="003E3BD0"/>
    <w:rsid w:val="003E4C18"/>
    <w:rsid w:val="003F1AFC"/>
    <w:rsid w:val="0040391F"/>
    <w:rsid w:val="0044133C"/>
    <w:rsid w:val="00455557"/>
    <w:rsid w:val="00473407"/>
    <w:rsid w:val="004734A5"/>
    <w:rsid w:val="00484A45"/>
    <w:rsid w:val="00487500"/>
    <w:rsid w:val="004A4B25"/>
    <w:rsid w:val="004B1B06"/>
    <w:rsid w:val="004C5E95"/>
    <w:rsid w:val="004C701D"/>
    <w:rsid w:val="004F1469"/>
    <w:rsid w:val="004F6FCD"/>
    <w:rsid w:val="00504745"/>
    <w:rsid w:val="00507EC5"/>
    <w:rsid w:val="00516952"/>
    <w:rsid w:val="005253D4"/>
    <w:rsid w:val="00551815"/>
    <w:rsid w:val="00560AD2"/>
    <w:rsid w:val="00565A51"/>
    <w:rsid w:val="00571260"/>
    <w:rsid w:val="005819EB"/>
    <w:rsid w:val="00583626"/>
    <w:rsid w:val="0058789B"/>
    <w:rsid w:val="005A1986"/>
    <w:rsid w:val="005B5354"/>
    <w:rsid w:val="005B5DE8"/>
    <w:rsid w:val="005C3665"/>
    <w:rsid w:val="005C42AC"/>
    <w:rsid w:val="005D385C"/>
    <w:rsid w:val="005E194B"/>
    <w:rsid w:val="005F17BC"/>
    <w:rsid w:val="005F42F8"/>
    <w:rsid w:val="00601205"/>
    <w:rsid w:val="00606DEF"/>
    <w:rsid w:val="006109BA"/>
    <w:rsid w:val="00611C5E"/>
    <w:rsid w:val="00631517"/>
    <w:rsid w:val="00631A0F"/>
    <w:rsid w:val="00635DBD"/>
    <w:rsid w:val="00655BD0"/>
    <w:rsid w:val="006741F7"/>
    <w:rsid w:val="006810C3"/>
    <w:rsid w:val="00694B55"/>
    <w:rsid w:val="006D1B12"/>
    <w:rsid w:val="006E4A6E"/>
    <w:rsid w:val="006E6013"/>
    <w:rsid w:val="006E642B"/>
    <w:rsid w:val="00724BC7"/>
    <w:rsid w:val="00763160"/>
    <w:rsid w:val="00767D60"/>
    <w:rsid w:val="00776CA1"/>
    <w:rsid w:val="00780612"/>
    <w:rsid w:val="00786A20"/>
    <w:rsid w:val="007A0341"/>
    <w:rsid w:val="007A0634"/>
    <w:rsid w:val="007A16F4"/>
    <w:rsid w:val="007A458D"/>
    <w:rsid w:val="007A71CB"/>
    <w:rsid w:val="007B16F9"/>
    <w:rsid w:val="007C0FAA"/>
    <w:rsid w:val="007D012C"/>
    <w:rsid w:val="007E56F3"/>
    <w:rsid w:val="007E6FF4"/>
    <w:rsid w:val="007F07FB"/>
    <w:rsid w:val="007F1273"/>
    <w:rsid w:val="00810507"/>
    <w:rsid w:val="00813E69"/>
    <w:rsid w:val="00814FAE"/>
    <w:rsid w:val="00817E8B"/>
    <w:rsid w:val="0083284E"/>
    <w:rsid w:val="008338D4"/>
    <w:rsid w:val="00835231"/>
    <w:rsid w:val="00837642"/>
    <w:rsid w:val="0084255D"/>
    <w:rsid w:val="00843418"/>
    <w:rsid w:val="00850ACF"/>
    <w:rsid w:val="00852038"/>
    <w:rsid w:val="00861489"/>
    <w:rsid w:val="008724BC"/>
    <w:rsid w:val="0088639E"/>
    <w:rsid w:val="008A46EB"/>
    <w:rsid w:val="008B407C"/>
    <w:rsid w:val="008C4C84"/>
    <w:rsid w:val="008E65E6"/>
    <w:rsid w:val="008F285B"/>
    <w:rsid w:val="008F4564"/>
    <w:rsid w:val="009018EC"/>
    <w:rsid w:val="0090235D"/>
    <w:rsid w:val="00906EDB"/>
    <w:rsid w:val="009111ED"/>
    <w:rsid w:val="00912E00"/>
    <w:rsid w:val="00923C46"/>
    <w:rsid w:val="00926154"/>
    <w:rsid w:val="009711DB"/>
    <w:rsid w:val="009841FD"/>
    <w:rsid w:val="009A0F50"/>
    <w:rsid w:val="009A16CD"/>
    <w:rsid w:val="009A22C1"/>
    <w:rsid w:val="009C0511"/>
    <w:rsid w:val="009C06F5"/>
    <w:rsid w:val="009D6567"/>
    <w:rsid w:val="009E0F31"/>
    <w:rsid w:val="00A007F5"/>
    <w:rsid w:val="00A038EC"/>
    <w:rsid w:val="00A145B0"/>
    <w:rsid w:val="00A15172"/>
    <w:rsid w:val="00A227E7"/>
    <w:rsid w:val="00A26EF7"/>
    <w:rsid w:val="00A277D6"/>
    <w:rsid w:val="00A379F8"/>
    <w:rsid w:val="00A422CA"/>
    <w:rsid w:val="00A54EEA"/>
    <w:rsid w:val="00A564A4"/>
    <w:rsid w:val="00A56BFF"/>
    <w:rsid w:val="00A73600"/>
    <w:rsid w:val="00A74C1E"/>
    <w:rsid w:val="00A7661C"/>
    <w:rsid w:val="00A949F7"/>
    <w:rsid w:val="00A95BC7"/>
    <w:rsid w:val="00A962DF"/>
    <w:rsid w:val="00AA4008"/>
    <w:rsid w:val="00AB0FAA"/>
    <w:rsid w:val="00AD7E1F"/>
    <w:rsid w:val="00AF625F"/>
    <w:rsid w:val="00AF70A1"/>
    <w:rsid w:val="00B07F79"/>
    <w:rsid w:val="00B16C07"/>
    <w:rsid w:val="00B24842"/>
    <w:rsid w:val="00B46A57"/>
    <w:rsid w:val="00B64E37"/>
    <w:rsid w:val="00B65754"/>
    <w:rsid w:val="00B66231"/>
    <w:rsid w:val="00B75855"/>
    <w:rsid w:val="00B769F1"/>
    <w:rsid w:val="00B82025"/>
    <w:rsid w:val="00BA0A91"/>
    <w:rsid w:val="00BA4887"/>
    <w:rsid w:val="00BB3390"/>
    <w:rsid w:val="00BB3C1A"/>
    <w:rsid w:val="00BC6DEF"/>
    <w:rsid w:val="00BD7CAE"/>
    <w:rsid w:val="00BE2989"/>
    <w:rsid w:val="00BE7A11"/>
    <w:rsid w:val="00BF4BDF"/>
    <w:rsid w:val="00BF722F"/>
    <w:rsid w:val="00C0236B"/>
    <w:rsid w:val="00C1383F"/>
    <w:rsid w:val="00C13FE8"/>
    <w:rsid w:val="00C15922"/>
    <w:rsid w:val="00C30A60"/>
    <w:rsid w:val="00C33ABA"/>
    <w:rsid w:val="00C37BB6"/>
    <w:rsid w:val="00C52EFD"/>
    <w:rsid w:val="00C55638"/>
    <w:rsid w:val="00C64378"/>
    <w:rsid w:val="00C75CF0"/>
    <w:rsid w:val="00C77623"/>
    <w:rsid w:val="00C808B5"/>
    <w:rsid w:val="00C82DB6"/>
    <w:rsid w:val="00CA056F"/>
    <w:rsid w:val="00CA4CD6"/>
    <w:rsid w:val="00CA7DA0"/>
    <w:rsid w:val="00CB1B09"/>
    <w:rsid w:val="00CB323B"/>
    <w:rsid w:val="00CC48AB"/>
    <w:rsid w:val="00CC58F6"/>
    <w:rsid w:val="00CD2069"/>
    <w:rsid w:val="00CD280D"/>
    <w:rsid w:val="00CF0F57"/>
    <w:rsid w:val="00CF2B37"/>
    <w:rsid w:val="00CF7BFF"/>
    <w:rsid w:val="00D043CA"/>
    <w:rsid w:val="00D13D9A"/>
    <w:rsid w:val="00D14A8D"/>
    <w:rsid w:val="00D21198"/>
    <w:rsid w:val="00D2273E"/>
    <w:rsid w:val="00D42D52"/>
    <w:rsid w:val="00D46FA2"/>
    <w:rsid w:val="00D5080D"/>
    <w:rsid w:val="00D56F5F"/>
    <w:rsid w:val="00D61B37"/>
    <w:rsid w:val="00D63B96"/>
    <w:rsid w:val="00D928D8"/>
    <w:rsid w:val="00D92F66"/>
    <w:rsid w:val="00D95819"/>
    <w:rsid w:val="00DA4779"/>
    <w:rsid w:val="00DA7285"/>
    <w:rsid w:val="00DB59E1"/>
    <w:rsid w:val="00DD0312"/>
    <w:rsid w:val="00DD15A5"/>
    <w:rsid w:val="00DD1AC1"/>
    <w:rsid w:val="00DD7D49"/>
    <w:rsid w:val="00DF5C4E"/>
    <w:rsid w:val="00E04822"/>
    <w:rsid w:val="00E10DA7"/>
    <w:rsid w:val="00E12008"/>
    <w:rsid w:val="00E1538C"/>
    <w:rsid w:val="00E25DB6"/>
    <w:rsid w:val="00E276CD"/>
    <w:rsid w:val="00E32EDA"/>
    <w:rsid w:val="00E40F16"/>
    <w:rsid w:val="00E53137"/>
    <w:rsid w:val="00E56C5F"/>
    <w:rsid w:val="00E66D25"/>
    <w:rsid w:val="00E702F6"/>
    <w:rsid w:val="00E72D70"/>
    <w:rsid w:val="00E77D5E"/>
    <w:rsid w:val="00E85542"/>
    <w:rsid w:val="00E868BB"/>
    <w:rsid w:val="00EA37A9"/>
    <w:rsid w:val="00EA7026"/>
    <w:rsid w:val="00EC4074"/>
    <w:rsid w:val="00EC4EAC"/>
    <w:rsid w:val="00ED741E"/>
    <w:rsid w:val="00EE7D48"/>
    <w:rsid w:val="00EF113F"/>
    <w:rsid w:val="00F02EB3"/>
    <w:rsid w:val="00F033F0"/>
    <w:rsid w:val="00F03803"/>
    <w:rsid w:val="00F05210"/>
    <w:rsid w:val="00F066C9"/>
    <w:rsid w:val="00F20822"/>
    <w:rsid w:val="00F340DF"/>
    <w:rsid w:val="00F43AF7"/>
    <w:rsid w:val="00F46396"/>
    <w:rsid w:val="00F538BC"/>
    <w:rsid w:val="00F87E6A"/>
    <w:rsid w:val="00F9092B"/>
    <w:rsid w:val="00F92D22"/>
    <w:rsid w:val="00FA1DDC"/>
    <w:rsid w:val="00FA4A5B"/>
    <w:rsid w:val="00FB0650"/>
    <w:rsid w:val="00FB4D98"/>
    <w:rsid w:val="00FB6378"/>
    <w:rsid w:val="00FB7BCE"/>
    <w:rsid w:val="00FC4E09"/>
    <w:rsid w:val="00FD72B2"/>
    <w:rsid w:val="00FE2099"/>
    <w:rsid w:val="00FF1B85"/>
    <w:rsid w:val="00FF1F0C"/>
    <w:rsid w:val="00FF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48287E9-BA03-4743-A52D-4CE08C74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0134841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48218556">
      <w:bodyDiv w:val="1"/>
      <w:marLeft w:val="0"/>
      <w:marRight w:val="0"/>
      <w:marTop w:val="0"/>
      <w:marBottom w:val="0"/>
      <w:divBdr>
        <w:top w:val="none" w:sz="0" w:space="0" w:color="auto"/>
        <w:left w:val="none" w:sz="0" w:space="0" w:color="auto"/>
        <w:bottom w:val="none" w:sz="0" w:space="0" w:color="auto"/>
        <w:right w:val="none" w:sz="0" w:space="0" w:color="auto"/>
      </w:divBdr>
    </w:div>
    <w:div w:id="1175152216">
      <w:bodyDiv w:val="1"/>
      <w:marLeft w:val="0"/>
      <w:marRight w:val="0"/>
      <w:marTop w:val="0"/>
      <w:marBottom w:val="0"/>
      <w:divBdr>
        <w:top w:val="none" w:sz="0" w:space="0" w:color="auto"/>
        <w:left w:val="none" w:sz="0" w:space="0" w:color="auto"/>
        <w:bottom w:val="none" w:sz="0" w:space="0" w:color="auto"/>
        <w:right w:val="none" w:sz="0" w:space="0" w:color="auto"/>
      </w:divBdr>
    </w:div>
    <w:div w:id="193632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3EE5-9A52-4091-BC45-19899D79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6260</Words>
  <Characters>35685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Szabo, Aaron</cp:lastModifiedBy>
  <cp:revision>2</cp:revision>
  <dcterms:created xsi:type="dcterms:W3CDTF">2015-12-01T14:51:00Z</dcterms:created>
  <dcterms:modified xsi:type="dcterms:W3CDTF">2015-12-01T14:51:00Z</dcterms:modified>
</cp:coreProperties>
</file>