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D3" w:rsidRPr="001F79D3" w:rsidRDefault="001F79D3" w:rsidP="001F79D3">
      <w:pPr>
        <w:spacing w:before="100" w:beforeAutospacing="1" w:after="100" w:afterAutospacing="1"/>
        <w:outlineLvl w:val="1"/>
        <w:rPr>
          <w:rFonts w:ascii="Verdana" w:eastAsia="Times New Roman" w:hAnsi="Verdana"/>
          <w:b/>
          <w:bCs/>
          <w:color w:val="003366"/>
          <w:sz w:val="23"/>
          <w:szCs w:val="23"/>
          <w:lang w:bidi="ar-SA"/>
        </w:rPr>
      </w:pPr>
      <w:r w:rsidRPr="001F79D3">
        <w:rPr>
          <w:rFonts w:ascii="Verdana" w:eastAsia="Times New Roman" w:hAnsi="Verdana"/>
          <w:b/>
          <w:bCs/>
          <w:color w:val="003366"/>
          <w:sz w:val="23"/>
          <w:szCs w:val="23"/>
          <w:lang w:bidi="ar-SA"/>
        </w:rPr>
        <w:t>Domestic Indemnity: Recent Exhibitions</w:t>
      </w:r>
    </w:p>
    <w:tbl>
      <w:tblPr>
        <w:tblW w:w="97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9"/>
        <w:gridCol w:w="3762"/>
        <w:gridCol w:w="4065"/>
        <w:gridCol w:w="964"/>
      </w:tblGrid>
      <w:tr w:rsidR="001F79D3" w:rsidRPr="001F79D3" w:rsidTr="00D73422">
        <w:trPr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9D3" w:rsidRPr="001F79D3" w:rsidRDefault="001F79D3" w:rsidP="001F79D3">
            <w:pPr>
              <w:spacing w:before="100" w:beforeAutospacing="1" w:after="100" w:afterAutospacing="1" w:line="336" w:lineRule="auto"/>
              <w:jc w:val="center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 w:rsidRPr="001F79D3">
              <w:rPr>
                <w:rFonts w:ascii="Verdana" w:eastAsia="Times New Roman" w:hAnsi="Verdana"/>
                <w:b/>
                <w:bCs/>
                <w:color w:val="003366"/>
                <w:sz w:val="17"/>
                <w:szCs w:val="17"/>
                <w:lang w:bidi="ar-SA"/>
              </w:rPr>
              <w:t>Opens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9D3" w:rsidRPr="001F79D3" w:rsidRDefault="001F79D3" w:rsidP="001F79D3">
            <w:pPr>
              <w:spacing w:before="100" w:beforeAutospacing="1" w:after="100" w:afterAutospacing="1" w:line="336" w:lineRule="auto"/>
              <w:jc w:val="center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 w:rsidRPr="001F79D3">
              <w:rPr>
                <w:rFonts w:ascii="Verdana" w:eastAsia="Times New Roman" w:hAnsi="Verdana"/>
                <w:b/>
                <w:bCs/>
                <w:color w:val="003366"/>
                <w:sz w:val="17"/>
                <w:szCs w:val="17"/>
                <w:lang w:bidi="ar-SA"/>
              </w:rPr>
              <w:t>Venue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9D3" w:rsidRPr="00681E51" w:rsidRDefault="001F79D3" w:rsidP="001F79D3">
            <w:pPr>
              <w:spacing w:before="100" w:beforeAutospacing="1" w:after="100" w:afterAutospacing="1" w:line="336" w:lineRule="auto"/>
              <w:jc w:val="center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 w:rsidRPr="00681E51">
              <w:rPr>
                <w:rFonts w:ascii="Verdana" w:eastAsia="Times New Roman" w:hAnsi="Verdana"/>
                <w:b/>
                <w:bCs/>
                <w:iCs/>
                <w:color w:val="003366"/>
                <w:sz w:val="17"/>
                <w:szCs w:val="17"/>
                <w:lang w:bidi="ar-SA"/>
              </w:rPr>
              <w:t>Exhibition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9D3" w:rsidRPr="001F79D3" w:rsidRDefault="001F79D3" w:rsidP="001F79D3">
            <w:pPr>
              <w:spacing w:before="100" w:beforeAutospacing="1" w:after="100" w:afterAutospacing="1" w:line="336" w:lineRule="auto"/>
              <w:jc w:val="center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 w:rsidRPr="001F79D3">
              <w:rPr>
                <w:rFonts w:ascii="Verdana" w:eastAsia="Times New Roman" w:hAnsi="Verdana"/>
                <w:b/>
                <w:bCs/>
                <w:color w:val="003366"/>
                <w:sz w:val="17"/>
                <w:szCs w:val="17"/>
                <w:lang w:bidi="ar-SA"/>
              </w:rPr>
              <w:t>Closes</w:t>
            </w:r>
          </w:p>
        </w:tc>
      </w:tr>
      <w:tr w:rsidR="0073769A" w:rsidTr="0073769A">
        <w:trPr>
          <w:trHeight w:val="300"/>
          <w:tblCellSpacing w:w="15" w:type="dxa"/>
        </w:trPr>
        <w:tc>
          <w:tcPr>
            <w:tcW w:w="9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73769A" w:rsidP="000E6B7D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 w:rsidRPr="002C5FB4">
              <w:rPr>
                <w:rFonts w:ascii="Verdana" w:eastAsia="Times New Roman" w:hAnsi="Verdana"/>
                <w:b/>
                <w:color w:val="003366"/>
                <w:sz w:val="20"/>
                <w:szCs w:val="20"/>
                <w:lang w:bidi="ar-SA"/>
              </w:rPr>
              <w:t>201</w:t>
            </w:r>
            <w:r>
              <w:rPr>
                <w:rFonts w:ascii="Verdana" w:eastAsia="Times New Roman" w:hAnsi="Verdana"/>
                <w:b/>
                <w:color w:val="003366"/>
                <w:sz w:val="20"/>
                <w:szCs w:val="20"/>
                <w:lang w:bidi="ar-SA"/>
              </w:rPr>
              <w:t>4</w:t>
            </w:r>
          </w:p>
        </w:tc>
      </w:tr>
      <w:tr w:rsidR="004D522E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22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Amon Carter Museum of American Art (Fort Worth, TX)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"Art and Appetite: American Painting, Culture and Cuisine"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18</w:t>
            </w:r>
          </w:p>
        </w:tc>
      </w:tr>
      <w:tr w:rsidR="00D73422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23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Minneapolis Institute of Art (MN)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9900D6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</w:t>
            </w:r>
            <w:r w:rsidR="00D73422"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Matisse, Life in Color: Masterworks from the Baltimore Museum of Art"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18</w:t>
            </w:r>
          </w:p>
        </w:tc>
      </w:tr>
      <w:tr w:rsidR="00BC7159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23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Museum of Art | Fort Lauderdale (FL)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"William Glackens"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BF4BB5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1</w:t>
            </w:r>
          </w:p>
        </w:tc>
      </w:tr>
      <w:tr w:rsidR="004D522E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Denver Art Museum (CO)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Pr="00161E39" w:rsidRDefault="004D522E" w:rsidP="00161E39">
            <w:pPr>
              <w:rPr>
                <w:rFonts w:ascii="Verdana" w:eastAsia="Times New Roman" w:hAnsi="Verdana" w:cstheme="minorHAnsi"/>
                <w:iCs/>
                <w:color w:val="17365D" w:themeColor="text2" w:themeShade="BF"/>
                <w:sz w:val="17"/>
                <w:szCs w:val="17"/>
                <w:lang w:bidi="ar-SA"/>
              </w:rPr>
            </w:pPr>
            <w:r w:rsidRPr="00161E39">
              <w:rPr>
                <w:rFonts w:ascii="Verdana" w:eastAsia="Times New Roman" w:hAnsi="Verdana" w:cstheme="minorHAnsi"/>
                <w:iCs/>
                <w:color w:val="17365D" w:themeColor="text2" w:themeShade="BF"/>
                <w:sz w:val="17"/>
                <w:szCs w:val="17"/>
                <w:lang w:bidi="ar-SA"/>
              </w:rPr>
              <w:t>"</w:t>
            </w:r>
            <w:r w:rsidR="00161E39" w:rsidRPr="00161E39">
              <w:rPr>
                <w:rFonts w:ascii="Verdana" w:hAnsi="Verdana" w:cstheme="minorHAnsi"/>
                <w:iCs/>
                <w:color w:val="17365D" w:themeColor="text2" w:themeShade="BF"/>
                <w:sz w:val="17"/>
                <w:szCs w:val="17"/>
              </w:rPr>
              <w:t>Modern Masters: 20</w:t>
            </w:r>
            <w:r w:rsidR="00161E39" w:rsidRPr="00161E39">
              <w:rPr>
                <w:rFonts w:ascii="Verdana" w:hAnsi="Verdana" w:cstheme="minorHAnsi"/>
                <w:iCs/>
                <w:color w:val="17365D" w:themeColor="text2" w:themeShade="BF"/>
                <w:sz w:val="17"/>
                <w:szCs w:val="17"/>
                <w:vertAlign w:val="superscript"/>
              </w:rPr>
              <w:t>th</w:t>
            </w:r>
            <w:r w:rsidR="00161E39" w:rsidRPr="00161E39">
              <w:rPr>
                <w:rFonts w:ascii="Verdana" w:hAnsi="Verdana" w:cstheme="minorHAnsi"/>
                <w:iCs/>
                <w:color w:val="17365D" w:themeColor="text2" w:themeShade="BF"/>
                <w:sz w:val="17"/>
                <w:szCs w:val="17"/>
              </w:rPr>
              <w:t xml:space="preserve"> Century Icons from the Albright-Knox Art Gallery</w:t>
            </w:r>
            <w:r w:rsidRPr="00161E39">
              <w:rPr>
                <w:rFonts w:ascii="Verdana" w:eastAsia="Times New Roman" w:hAnsi="Verdana" w:cstheme="minorHAnsi"/>
                <w:iCs/>
                <w:color w:val="17365D" w:themeColor="text2" w:themeShade="BF"/>
                <w:sz w:val="17"/>
                <w:szCs w:val="17"/>
                <w:lang w:bidi="ar-SA"/>
              </w:rPr>
              <w:t>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BF4BB5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</w:t>
            </w:r>
            <w:r w:rsidR="004D522E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 xml:space="preserve"> 8</w:t>
            </w:r>
          </w:p>
        </w:tc>
      </w:tr>
      <w:tr w:rsidR="0073769A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73769A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13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73769A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Crystal Bridges Museum of American Art (Bentonville, AR)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Pr="00681E51" w:rsidRDefault="00681E5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</w:t>
            </w:r>
            <w:r w:rsidR="0073769A" w:rsidRPr="00681E51"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The William S. Paley Collection</w:t>
            </w:r>
            <w:r w:rsidR="005D0B6B"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: A Taste for Modernism</w:t>
            </w: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BF4BB5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Jul</w:t>
            </w:r>
            <w:r w:rsidR="0073769A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 xml:space="preserve"> 17</w:t>
            </w:r>
          </w:p>
        </w:tc>
      </w:tr>
      <w:tr w:rsidR="0073769A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73769A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15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73769A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Walker Art Center (Minneapolis, MN)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Pr="00681E51" w:rsidRDefault="00681E5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</w:t>
            </w:r>
            <w:r w:rsidR="0073769A" w:rsidRPr="00681E51"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Hopper Drawing</w:t>
            </w: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73769A" w:rsidP="00BF4BB5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22</w:t>
            </w:r>
          </w:p>
        </w:tc>
      </w:tr>
      <w:tr w:rsidR="0073769A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73769A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16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73769A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Saint Louis Art Museum (MO)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Pr="00681E51" w:rsidRDefault="00681E5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</w:t>
            </w:r>
            <w:r w:rsidR="0073769A" w:rsidRPr="00681E51"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Impressionist France: Visions of Nation from Le Gray to Monet</w:t>
            </w: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69A" w:rsidRDefault="0073769A" w:rsidP="00BF4BB5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 xml:space="preserve">Jul </w:t>
            </w:r>
            <w:r w:rsidR="00BF7297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14</w:t>
            </w:r>
          </w:p>
        </w:tc>
      </w:tr>
      <w:tr w:rsidR="00756E10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11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</w:rPr>
              <w:t>National Gallery of Art (Washington, DC)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9900D6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"Degas/Cassatt"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5</w:t>
            </w:r>
          </w:p>
        </w:tc>
      </w:tr>
      <w:tr w:rsidR="00A53C8D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BF4BB5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7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</w:rPr>
              <w:t>The Fine Arts Museums of San Francisco, M.H. de Young Memorial Museum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756E10" w:rsidP="009900D6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"Modernism from the National Gallery of Art: The Robert and Jane Meyerhoff Collection"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12</w:t>
            </w:r>
          </w:p>
        </w:tc>
      </w:tr>
      <w:tr w:rsidR="00756E10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BF4BB5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13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Taft Museum of Art (Cincinnati, OH)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9900D6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"America's Eden: Thomas Cole and The Voyage of Life"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BF4BB5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</w:t>
            </w:r>
            <w:r w:rsidR="00756E10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 xml:space="preserve"> 14</w:t>
            </w:r>
          </w:p>
        </w:tc>
      </w:tr>
      <w:tr w:rsidR="00D73422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BF4BB5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15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San Antonio Museum of Art (TX)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9900D6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"Matisse, Life in Color: Masterworks from the Baltimore Museum of Art"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BF4BB5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7</w:t>
            </w:r>
          </w:p>
        </w:tc>
      </w:tr>
      <w:tr w:rsidR="00A53C8D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BF4BB5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Jul 13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Denver Art Museum (CO)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"Beyond Pop Art: A Tom Wesselmann Retrospective"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BF4BB5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 xml:space="preserve">Sep </w:t>
            </w:r>
            <w:r w:rsidR="00052D46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14</w:t>
            </w:r>
          </w:p>
        </w:tc>
      </w:tr>
      <w:tr w:rsidR="00BC7159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BF4BB5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Jul 20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Parrish Art Museum (Water Mill, NY)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"William Glackens"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13</w:t>
            </w:r>
          </w:p>
        </w:tc>
      </w:tr>
      <w:tr w:rsidR="00756E10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Aug 3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Los Angeles County Museum of Art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"Marsden Hartley: The German Paintings"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Nov 30</w:t>
            </w:r>
          </w:p>
        </w:tc>
      </w:tr>
      <w:tr w:rsidR="00D73422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BF4BB5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6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Peabody Essex Museum (Salem, MA)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"Calder and Abstraction: From Avant-Garde to Iconic"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4, 2015</w:t>
            </w:r>
          </w:p>
        </w:tc>
      </w:tr>
      <w:tr w:rsidR="004D522E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lastRenderedPageBreak/>
              <w:t>Oct 4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San Diego Museum of Art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D55171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</w:t>
            </w:r>
            <w:r w:rsidR="00D55171"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 xml:space="preserve">Gauguin to Warhol: 20th Century Icons from the Albright-Knox Art </w:t>
            </w: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Gallery"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22E" w:rsidRDefault="004D522E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27, 2015</w:t>
            </w:r>
          </w:p>
        </w:tc>
      </w:tr>
      <w:tr w:rsidR="00F06824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824" w:rsidRDefault="00F06824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4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824" w:rsidRDefault="00F06824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Amon Carter Museum of American Art (Fort Worth, TX)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824" w:rsidRDefault="00F06824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"Navigating the West: George Caleb Bingham and the River"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824" w:rsidRDefault="00F06824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18, 2015</w:t>
            </w:r>
          </w:p>
        </w:tc>
      </w:tr>
      <w:tr w:rsidR="00756E10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9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Seattle Art Museum (WA)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"Pop Departures"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11, 2015</w:t>
            </w:r>
          </w:p>
        </w:tc>
      </w:tr>
      <w:tr w:rsidR="00756E10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12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Denver Art Museum (CO)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"Matisse and Friends: Selected Masterworks from the National Gallery of Art"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8, 2015</w:t>
            </w:r>
          </w:p>
        </w:tc>
      </w:tr>
      <w:tr w:rsidR="00756E10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20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Metropolitan Museum of Art (New York, NY)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"Cubism: The Leonard A. Lauder Collection"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16, 2015</w:t>
            </w:r>
          </w:p>
        </w:tc>
      </w:tr>
      <w:tr w:rsidR="00756E10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22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Chrysler Museum of Art (Norfolk, VA)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"America's Eden: Thomas Cole and The Voyage of Life"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14, 2015</w:t>
            </w:r>
          </w:p>
        </w:tc>
      </w:tr>
      <w:tr w:rsidR="005D25A1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25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High Museum of Art (Atlanta, GA)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"Cézanne and the Modern: Masterpieces of European Art from the Pearlman Collection"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11, 2015</w:t>
            </w:r>
          </w:p>
        </w:tc>
      </w:tr>
      <w:tr w:rsidR="00A53C8D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31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Cincinnati Art Museum (OH)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"Beyond Pop Art: A Tom Wesselmann Retrospective"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18, 2015</w:t>
            </w:r>
          </w:p>
        </w:tc>
      </w:tr>
      <w:tr w:rsidR="00BC7159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Nov 8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Barnes Foundation (Philadelphia, PA)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"William Glackens"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159" w:rsidRDefault="00BC7159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2, 2015</w:t>
            </w:r>
          </w:p>
        </w:tc>
      </w:tr>
      <w:tr w:rsidR="005D25A1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Nov 8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</w:rPr>
              <w:t>The Fine Arts Museums of San Francisco, M.H. de Young Memorial Museum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"Keith Haring: The Political Line"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16, 2015</w:t>
            </w:r>
          </w:p>
        </w:tc>
      </w:tr>
      <w:tr w:rsidR="005D25A1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Dec 7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Los Angeles County Museum of Art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5F3A6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 Nature and the American Vision</w:t>
            </w:r>
            <w:r w:rsidR="005F3A64"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: The Hudson River School</w:t>
            </w: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A1" w:rsidRDefault="005D25A1" w:rsidP="00CF10B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7, 2015</w:t>
            </w:r>
          </w:p>
        </w:tc>
      </w:tr>
      <w:tr w:rsidR="00D73422" w:rsidTr="00D73422">
        <w:trPr>
          <w:trHeight w:val="300"/>
          <w:tblCellSpacing w:w="15" w:type="dxa"/>
        </w:trPr>
        <w:tc>
          <w:tcPr>
            <w:tcW w:w="9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 w:rsidRPr="002C5FB4">
              <w:rPr>
                <w:rFonts w:ascii="Verdana" w:eastAsia="Times New Roman" w:hAnsi="Verdana"/>
                <w:b/>
                <w:color w:val="003366"/>
                <w:sz w:val="20"/>
                <w:szCs w:val="20"/>
                <w:lang w:bidi="ar-SA"/>
              </w:rPr>
              <w:t>201</w:t>
            </w:r>
            <w:r>
              <w:rPr>
                <w:rFonts w:ascii="Verdana" w:eastAsia="Times New Roman" w:hAnsi="Verdana"/>
                <w:b/>
                <w:color w:val="003366"/>
                <w:sz w:val="20"/>
                <w:szCs w:val="20"/>
                <w:lang w:bidi="ar-SA"/>
              </w:rPr>
              <w:t>5</w:t>
            </w:r>
          </w:p>
        </w:tc>
      </w:tr>
      <w:tr w:rsidR="00D73422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D73422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19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Crystal Bridges Museum of American Art (Bentonville, AR)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"Picasso to Pollock: Modern Masterworks from the Albright-Knox Art Gallery"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BF4BB5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1</w:t>
            </w:r>
          </w:p>
        </w:tc>
      </w:tr>
      <w:tr w:rsidR="00A53C8D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D73422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22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Saint Louis Art Museum (MO)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"Navigating the West: George Caleb Bingham and the River"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17</w:t>
            </w:r>
          </w:p>
        </w:tc>
      </w:tr>
      <w:tr w:rsidR="00A53C8D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BF4BB5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16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Metropolitan Museum of Art (New York, NY)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A53C8D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"Navigating the West: George Caleb Bingham and the River"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C8D" w:rsidRDefault="00BF4BB5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</w:t>
            </w:r>
            <w:r w:rsidR="00A53C8D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 xml:space="preserve"> 20</w:t>
            </w:r>
          </w:p>
        </w:tc>
      </w:tr>
      <w:tr w:rsidR="00D73422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BF4BB5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 xml:space="preserve">Jun </w:t>
            </w:r>
            <w:r w:rsidR="00FA4949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19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Milwaukee Art Museum (WI)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D73422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"Picasso to Pollock: Modern Art from the Albright-Knox Art Gallery"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422" w:rsidRDefault="00BF4BB5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</w:t>
            </w:r>
            <w:r w:rsidR="00D73422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 xml:space="preserve"> 20</w:t>
            </w:r>
          </w:p>
        </w:tc>
      </w:tr>
      <w:tr w:rsidR="00756E10" w:rsidTr="00D73422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BF4BB5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lastRenderedPageBreak/>
              <w:t>Jun 28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Saint Louis Art Museum (MO)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D7342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"America's Eden: Thomas Cole and The Voyage of Life"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BF4BB5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7</w:t>
            </w:r>
          </w:p>
        </w:tc>
      </w:tr>
      <w:tr w:rsidR="00756E10" w:rsidTr="00C1375F">
        <w:trPr>
          <w:trHeight w:val="300"/>
          <w:tblCellSpacing w:w="15" w:type="dxa"/>
        </w:trPr>
        <w:tc>
          <w:tcPr>
            <w:tcW w:w="9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1375F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 w:rsidRPr="002C5FB4">
              <w:rPr>
                <w:rFonts w:ascii="Verdana" w:eastAsia="Times New Roman" w:hAnsi="Verdana"/>
                <w:b/>
                <w:color w:val="003366"/>
                <w:sz w:val="20"/>
                <w:szCs w:val="20"/>
                <w:lang w:bidi="ar-SA"/>
              </w:rPr>
              <w:t>201</w:t>
            </w:r>
            <w:r>
              <w:rPr>
                <w:rFonts w:ascii="Verdana" w:eastAsia="Times New Roman" w:hAnsi="Verdana"/>
                <w:b/>
                <w:color w:val="003366"/>
                <w:sz w:val="20"/>
                <w:szCs w:val="20"/>
                <w:lang w:bidi="ar-SA"/>
              </w:rPr>
              <w:t>6</w:t>
            </w:r>
          </w:p>
        </w:tc>
      </w:tr>
      <w:tr w:rsidR="00756E10" w:rsidTr="00C1375F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1375F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17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1375F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Dixon Gallery and Gardens (Memphis, TN)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1375F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Cs/>
                <w:color w:val="003366"/>
                <w:sz w:val="17"/>
                <w:szCs w:val="17"/>
                <w:lang w:bidi="ar-SA"/>
              </w:rPr>
              <w:t>"America's Eden: Thomas Cole and The Voyage of Life"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E10" w:rsidRDefault="00756E10" w:rsidP="00C1375F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Apr 10</w:t>
            </w:r>
          </w:p>
        </w:tc>
      </w:tr>
    </w:tbl>
    <w:p w:rsidR="004D522E" w:rsidRDefault="004D522E" w:rsidP="00E74064"/>
    <w:p w:rsidR="00882A38" w:rsidRPr="004D522E" w:rsidRDefault="00882A38" w:rsidP="004D522E"/>
    <w:sectPr w:rsidR="00882A38" w:rsidRPr="004D522E" w:rsidSect="00731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79D3"/>
    <w:rsid w:val="00052D46"/>
    <w:rsid w:val="00054F5E"/>
    <w:rsid w:val="00071AC5"/>
    <w:rsid w:val="00085E06"/>
    <w:rsid w:val="000D083A"/>
    <w:rsid w:val="000E6B7D"/>
    <w:rsid w:val="000E708D"/>
    <w:rsid w:val="00161E39"/>
    <w:rsid w:val="001732F8"/>
    <w:rsid w:val="00197A24"/>
    <w:rsid w:val="001A7AA6"/>
    <w:rsid w:val="001D2F1F"/>
    <w:rsid w:val="001D4439"/>
    <w:rsid w:val="001F69DD"/>
    <w:rsid w:val="001F79D3"/>
    <w:rsid w:val="00206151"/>
    <w:rsid w:val="00233B7B"/>
    <w:rsid w:val="00291810"/>
    <w:rsid w:val="002C5FB4"/>
    <w:rsid w:val="0030053D"/>
    <w:rsid w:val="00317D1D"/>
    <w:rsid w:val="00323287"/>
    <w:rsid w:val="00323C50"/>
    <w:rsid w:val="0035528B"/>
    <w:rsid w:val="00382364"/>
    <w:rsid w:val="00384347"/>
    <w:rsid w:val="003965C5"/>
    <w:rsid w:val="003A0907"/>
    <w:rsid w:val="003B06AF"/>
    <w:rsid w:val="00401EA5"/>
    <w:rsid w:val="00413F2A"/>
    <w:rsid w:val="004221BB"/>
    <w:rsid w:val="00425EE4"/>
    <w:rsid w:val="00462512"/>
    <w:rsid w:val="004860FA"/>
    <w:rsid w:val="004B7FD0"/>
    <w:rsid w:val="004D522E"/>
    <w:rsid w:val="00500641"/>
    <w:rsid w:val="00504BED"/>
    <w:rsid w:val="005447EE"/>
    <w:rsid w:val="00561936"/>
    <w:rsid w:val="00591A28"/>
    <w:rsid w:val="005A1F03"/>
    <w:rsid w:val="005D0B6B"/>
    <w:rsid w:val="005D25A1"/>
    <w:rsid w:val="005E019B"/>
    <w:rsid w:val="005F3A64"/>
    <w:rsid w:val="00606BB6"/>
    <w:rsid w:val="00681E51"/>
    <w:rsid w:val="006A2807"/>
    <w:rsid w:val="006A7F42"/>
    <w:rsid w:val="006C017F"/>
    <w:rsid w:val="006F2ED4"/>
    <w:rsid w:val="00731794"/>
    <w:rsid w:val="007356B0"/>
    <w:rsid w:val="0073769A"/>
    <w:rsid w:val="00756E10"/>
    <w:rsid w:val="007B3F35"/>
    <w:rsid w:val="0080235D"/>
    <w:rsid w:val="008430A4"/>
    <w:rsid w:val="00881E8F"/>
    <w:rsid w:val="00882A38"/>
    <w:rsid w:val="00893251"/>
    <w:rsid w:val="008D4304"/>
    <w:rsid w:val="008F05E6"/>
    <w:rsid w:val="00916EE9"/>
    <w:rsid w:val="00950116"/>
    <w:rsid w:val="00961B5F"/>
    <w:rsid w:val="009708FE"/>
    <w:rsid w:val="009900D6"/>
    <w:rsid w:val="009A12FC"/>
    <w:rsid w:val="009A7DD6"/>
    <w:rsid w:val="00A53C8D"/>
    <w:rsid w:val="00A9256B"/>
    <w:rsid w:val="00AA6EA8"/>
    <w:rsid w:val="00B460C3"/>
    <w:rsid w:val="00B9659C"/>
    <w:rsid w:val="00BA23BD"/>
    <w:rsid w:val="00BC7159"/>
    <w:rsid w:val="00BD099F"/>
    <w:rsid w:val="00BD1B40"/>
    <w:rsid w:val="00BF4BB5"/>
    <w:rsid w:val="00BF7297"/>
    <w:rsid w:val="00C000D2"/>
    <w:rsid w:val="00C00AEC"/>
    <w:rsid w:val="00C15728"/>
    <w:rsid w:val="00CF0E71"/>
    <w:rsid w:val="00CF10B9"/>
    <w:rsid w:val="00D55171"/>
    <w:rsid w:val="00D73422"/>
    <w:rsid w:val="00DA5783"/>
    <w:rsid w:val="00DC5EB7"/>
    <w:rsid w:val="00DD1D73"/>
    <w:rsid w:val="00DE39AB"/>
    <w:rsid w:val="00DF13AE"/>
    <w:rsid w:val="00E02509"/>
    <w:rsid w:val="00E059E3"/>
    <w:rsid w:val="00E35BC6"/>
    <w:rsid w:val="00E74064"/>
    <w:rsid w:val="00E76B47"/>
    <w:rsid w:val="00E8252D"/>
    <w:rsid w:val="00ED7D00"/>
    <w:rsid w:val="00EF594E"/>
    <w:rsid w:val="00F00038"/>
    <w:rsid w:val="00F06824"/>
    <w:rsid w:val="00F15581"/>
    <w:rsid w:val="00F4435A"/>
    <w:rsid w:val="00F458F6"/>
    <w:rsid w:val="00FA4949"/>
    <w:rsid w:val="00FC0EB9"/>
    <w:rsid w:val="00FD4C9D"/>
    <w:rsid w:val="00FE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F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F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F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F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F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F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F3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F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F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F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3F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F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B3F3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F3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F3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F3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F3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F3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B3F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3F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F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B3F3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B3F35"/>
    <w:rPr>
      <w:b/>
      <w:bCs/>
    </w:rPr>
  </w:style>
  <w:style w:type="character" w:styleId="Emphasis">
    <w:name w:val="Emphasis"/>
    <w:basedOn w:val="DefaultParagraphFont"/>
    <w:uiPriority w:val="20"/>
    <w:qFormat/>
    <w:rsid w:val="007B3F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B3F35"/>
    <w:rPr>
      <w:szCs w:val="32"/>
    </w:rPr>
  </w:style>
  <w:style w:type="paragraph" w:styleId="ListParagraph">
    <w:name w:val="List Paragraph"/>
    <w:basedOn w:val="Normal"/>
    <w:uiPriority w:val="34"/>
    <w:qFormat/>
    <w:rsid w:val="007B3F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3F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3F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F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F35"/>
    <w:rPr>
      <w:b/>
      <w:i/>
      <w:sz w:val="24"/>
    </w:rPr>
  </w:style>
  <w:style w:type="character" w:styleId="SubtleEmphasis">
    <w:name w:val="Subtle Emphasis"/>
    <w:uiPriority w:val="19"/>
    <w:qFormat/>
    <w:rsid w:val="007B3F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B3F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B3F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B3F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B3F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F35"/>
    <w:pPr>
      <w:outlineLvl w:val="9"/>
    </w:pPr>
  </w:style>
  <w:style w:type="paragraph" w:styleId="NormalWeb">
    <w:name w:val="Normal (Web)"/>
    <w:basedOn w:val="Normal"/>
    <w:uiPriority w:val="99"/>
    <w:unhideWhenUsed/>
    <w:rsid w:val="001F79D3"/>
    <w:pPr>
      <w:spacing w:before="100" w:beforeAutospacing="1" w:after="100" w:afterAutospacing="1" w:line="336" w:lineRule="auto"/>
    </w:pPr>
    <w:rPr>
      <w:rFonts w:ascii="Verdana" w:eastAsia="Times New Roman" w:hAnsi="Verdana"/>
      <w:color w:val="003366"/>
      <w:sz w:val="17"/>
      <w:szCs w:val="17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8E8B-57C9-4BE9-868B-9C3F14F8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neaprofile</dc:creator>
  <cp:lastModifiedBy>Patricia Loiko</cp:lastModifiedBy>
  <cp:revision>2</cp:revision>
  <dcterms:created xsi:type="dcterms:W3CDTF">2014-11-12T19:36:00Z</dcterms:created>
  <dcterms:modified xsi:type="dcterms:W3CDTF">2014-11-12T19:36:00Z</dcterms:modified>
</cp:coreProperties>
</file>