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53AC9" w14:textId="77777777" w:rsidR="00716F94" w:rsidRDefault="00716F94" w:rsidP="004A1DE8">
      <w:pPr>
        <w:rPr>
          <w:rFonts w:asciiTheme="majorHAnsi" w:hAnsiTheme="majorHAnsi"/>
          <w:b/>
        </w:rPr>
      </w:pPr>
    </w:p>
    <w:p w14:paraId="550D2814" w14:textId="77777777" w:rsidR="009B4A51" w:rsidRDefault="009B4A51" w:rsidP="00716F94">
      <w:pPr>
        <w:spacing w:after="0"/>
        <w:rPr>
          <w:rFonts w:asciiTheme="majorHAnsi" w:hAnsiTheme="majorHAnsi"/>
          <w:b/>
        </w:rPr>
      </w:pPr>
    </w:p>
    <w:p w14:paraId="74C77927" w14:textId="77777777" w:rsidR="009B4A51" w:rsidRDefault="009B4A51" w:rsidP="009B4A51">
      <w:pPr>
        <w:spacing w:after="0"/>
        <w:jc w:val="center"/>
        <w:rPr>
          <w:rFonts w:asciiTheme="majorHAnsi" w:hAnsiTheme="majorHAnsi"/>
          <w:b/>
        </w:rPr>
      </w:pPr>
    </w:p>
    <w:p w14:paraId="237FD0F8" w14:textId="77777777" w:rsidR="009B4A51" w:rsidRDefault="009B4A51" w:rsidP="009B4A51">
      <w:pPr>
        <w:spacing w:after="0"/>
        <w:jc w:val="center"/>
        <w:rPr>
          <w:rFonts w:asciiTheme="majorHAnsi" w:hAnsiTheme="majorHAnsi"/>
          <w:b/>
        </w:rPr>
      </w:pPr>
    </w:p>
    <w:p w14:paraId="7980810C" w14:textId="77777777" w:rsidR="009B4A51" w:rsidRDefault="009B4A51" w:rsidP="009B4A51">
      <w:pPr>
        <w:spacing w:after="0"/>
        <w:jc w:val="center"/>
        <w:rPr>
          <w:rFonts w:asciiTheme="majorHAnsi" w:hAnsiTheme="majorHAnsi"/>
          <w:color w:val="0033CC"/>
          <w:sz w:val="28"/>
        </w:rPr>
      </w:pPr>
    </w:p>
    <w:p w14:paraId="51E3AA16" w14:textId="77777777" w:rsidR="00667C89" w:rsidRDefault="00667C89" w:rsidP="009B4A51">
      <w:pPr>
        <w:spacing w:after="0"/>
        <w:jc w:val="center"/>
        <w:rPr>
          <w:rFonts w:asciiTheme="majorHAnsi" w:hAnsiTheme="majorHAnsi"/>
          <w:color w:val="0033CC"/>
          <w:sz w:val="28"/>
        </w:rPr>
      </w:pPr>
    </w:p>
    <w:p w14:paraId="2600EA3B" w14:textId="77777777" w:rsidR="009B4A51" w:rsidRDefault="009B4A51" w:rsidP="009B4A51">
      <w:pPr>
        <w:spacing w:after="0"/>
        <w:jc w:val="center"/>
        <w:rPr>
          <w:rFonts w:asciiTheme="majorHAnsi" w:hAnsiTheme="majorHAnsi"/>
          <w:sz w:val="32"/>
        </w:rPr>
      </w:pPr>
    </w:p>
    <w:p w14:paraId="0C26A3EA" w14:textId="77777777" w:rsidR="009B4A51" w:rsidRPr="00007CDB" w:rsidRDefault="009B4A51" w:rsidP="009B4A51">
      <w:pPr>
        <w:spacing w:after="0"/>
        <w:jc w:val="center"/>
        <w:rPr>
          <w:rFonts w:asciiTheme="majorHAnsi" w:hAnsiTheme="majorHAnsi"/>
          <w:sz w:val="32"/>
        </w:rPr>
      </w:pPr>
    </w:p>
    <w:p w14:paraId="0F6FE12D" w14:textId="16B0DE62" w:rsidR="00130451" w:rsidRDefault="005968E3" w:rsidP="00130451">
      <w:pPr>
        <w:jc w:val="center"/>
        <w:rPr>
          <w:rFonts w:asciiTheme="majorHAnsi" w:hAnsiTheme="majorHAnsi"/>
          <w:b/>
          <w:sz w:val="40"/>
          <w:szCs w:val="40"/>
        </w:rPr>
      </w:pPr>
      <w:r w:rsidRPr="004A1DE8">
        <w:rPr>
          <w:rFonts w:asciiTheme="majorHAnsi" w:hAnsiTheme="majorHAnsi"/>
          <w:b/>
          <w:sz w:val="40"/>
          <w:szCs w:val="40"/>
        </w:rPr>
        <w:t>Interventions to Prevent Exposure to Contaminants in Drinking Water</w:t>
      </w:r>
    </w:p>
    <w:p w14:paraId="44257A76" w14:textId="77777777" w:rsidR="00130451" w:rsidRDefault="00484011" w:rsidP="00130451">
      <w:pPr>
        <w:jc w:val="center"/>
        <w:rPr>
          <w:rFonts w:asciiTheme="majorHAnsi" w:hAnsiTheme="majorHAnsi"/>
        </w:rPr>
      </w:pPr>
      <w:r w:rsidRPr="00007CDB">
        <w:rPr>
          <w:rFonts w:asciiTheme="majorHAnsi" w:hAnsiTheme="majorHAnsi"/>
        </w:rPr>
        <w:t>OSTL</w:t>
      </w:r>
      <w:r w:rsidR="00316F00" w:rsidRPr="00007CDB">
        <w:rPr>
          <w:rFonts w:asciiTheme="majorHAnsi" w:hAnsiTheme="majorHAnsi"/>
        </w:rPr>
        <w:t xml:space="preserve">TS Generic </w:t>
      </w:r>
      <w:r w:rsidR="00B02859">
        <w:rPr>
          <w:rFonts w:asciiTheme="majorHAnsi" w:hAnsiTheme="majorHAnsi"/>
        </w:rPr>
        <w:t>Information Collection Request</w:t>
      </w:r>
    </w:p>
    <w:p w14:paraId="6B015E33" w14:textId="6CD7E498" w:rsidR="00484011" w:rsidRPr="00130451" w:rsidRDefault="00484011" w:rsidP="00130451">
      <w:pPr>
        <w:jc w:val="center"/>
        <w:rPr>
          <w:rFonts w:asciiTheme="majorHAnsi" w:hAnsiTheme="majorHAnsi"/>
          <w:b/>
          <w:sz w:val="40"/>
          <w:szCs w:val="40"/>
        </w:rPr>
      </w:pPr>
      <w:r w:rsidRPr="008C1B86">
        <w:rPr>
          <w:rFonts w:asciiTheme="majorHAnsi" w:hAnsiTheme="majorHAnsi"/>
        </w:rPr>
        <w:t>OMB No. 0920-0879</w:t>
      </w:r>
    </w:p>
    <w:p w14:paraId="2E87C0FE" w14:textId="77777777" w:rsidR="009B4A51" w:rsidRPr="00007CDB" w:rsidRDefault="009B4A51" w:rsidP="00716F94">
      <w:pPr>
        <w:spacing w:after="0"/>
        <w:rPr>
          <w:rFonts w:asciiTheme="majorHAnsi" w:hAnsiTheme="majorHAnsi"/>
          <w:b/>
        </w:rPr>
      </w:pPr>
    </w:p>
    <w:p w14:paraId="29038A7F" w14:textId="77777777" w:rsidR="009B4A51" w:rsidRPr="00007CDB" w:rsidRDefault="009B4A51" w:rsidP="00716F94">
      <w:pPr>
        <w:spacing w:after="0"/>
        <w:rPr>
          <w:rFonts w:asciiTheme="majorHAnsi" w:hAnsiTheme="majorHAnsi"/>
          <w:b/>
        </w:rPr>
      </w:pPr>
    </w:p>
    <w:p w14:paraId="07E4E2C9" w14:textId="77777777" w:rsidR="00AA3192" w:rsidRPr="00007CDB" w:rsidRDefault="00AA3192" w:rsidP="00716F94">
      <w:pPr>
        <w:spacing w:after="0"/>
        <w:rPr>
          <w:rFonts w:asciiTheme="majorHAnsi" w:hAnsiTheme="majorHAnsi"/>
          <w:b/>
        </w:rPr>
      </w:pPr>
    </w:p>
    <w:p w14:paraId="72DCF8C8" w14:textId="77777777" w:rsidR="00AA3192" w:rsidRPr="00007CDB" w:rsidRDefault="00AA3192" w:rsidP="00716F94">
      <w:pPr>
        <w:spacing w:after="0"/>
        <w:rPr>
          <w:rFonts w:asciiTheme="majorHAnsi" w:hAnsiTheme="majorHAnsi"/>
          <w:b/>
        </w:rPr>
      </w:pPr>
    </w:p>
    <w:p w14:paraId="2241009A" w14:textId="77777777" w:rsidR="009B4A51" w:rsidRPr="00007CDB" w:rsidRDefault="009B4A51" w:rsidP="009B4A51">
      <w:pPr>
        <w:spacing w:after="0"/>
        <w:jc w:val="center"/>
        <w:rPr>
          <w:rFonts w:asciiTheme="majorHAnsi" w:hAnsiTheme="majorHAnsi"/>
          <w:sz w:val="32"/>
        </w:rPr>
      </w:pPr>
      <w:r w:rsidRPr="00007CDB">
        <w:rPr>
          <w:rFonts w:asciiTheme="majorHAnsi" w:hAnsiTheme="majorHAnsi"/>
          <w:b/>
          <w:sz w:val="32"/>
        </w:rPr>
        <w:t>Supporting Statement – Section A</w:t>
      </w:r>
    </w:p>
    <w:p w14:paraId="32C0D5CF" w14:textId="77777777" w:rsidR="009B4A51" w:rsidRPr="00007CDB" w:rsidRDefault="009B4A51" w:rsidP="00716F94">
      <w:pPr>
        <w:spacing w:after="0"/>
        <w:rPr>
          <w:rFonts w:asciiTheme="majorHAnsi" w:hAnsiTheme="majorHAnsi"/>
          <w:b/>
        </w:rPr>
      </w:pPr>
    </w:p>
    <w:p w14:paraId="2AD73314" w14:textId="77777777" w:rsidR="00484011" w:rsidRPr="00007CDB" w:rsidRDefault="00484011" w:rsidP="00716F94">
      <w:pPr>
        <w:spacing w:after="0"/>
        <w:rPr>
          <w:rFonts w:asciiTheme="majorHAnsi" w:hAnsiTheme="majorHAnsi"/>
          <w:b/>
        </w:rPr>
      </w:pPr>
    </w:p>
    <w:p w14:paraId="1CCF47AE" w14:textId="77777777" w:rsidR="00AA3192" w:rsidRPr="00007CDB" w:rsidRDefault="00AA3192" w:rsidP="00716F94">
      <w:pPr>
        <w:spacing w:after="0"/>
        <w:rPr>
          <w:rFonts w:asciiTheme="majorHAnsi" w:hAnsiTheme="majorHAnsi"/>
          <w:b/>
        </w:rPr>
      </w:pPr>
    </w:p>
    <w:p w14:paraId="56FDA7A4" w14:textId="77777777" w:rsidR="009B4A51" w:rsidRPr="00007CDB" w:rsidRDefault="009B4A51" w:rsidP="00716F94">
      <w:pPr>
        <w:spacing w:after="0"/>
        <w:rPr>
          <w:rFonts w:asciiTheme="majorHAnsi" w:hAnsiTheme="majorHAnsi"/>
          <w:b/>
        </w:rPr>
      </w:pPr>
    </w:p>
    <w:p w14:paraId="5C1518B7" w14:textId="77777777" w:rsidR="009B4A51" w:rsidRPr="00007CDB" w:rsidRDefault="009B4A51" w:rsidP="00716F94">
      <w:pPr>
        <w:spacing w:after="0"/>
        <w:rPr>
          <w:rFonts w:asciiTheme="majorHAnsi" w:hAnsiTheme="majorHAnsi"/>
          <w:b/>
        </w:rPr>
      </w:pPr>
    </w:p>
    <w:p w14:paraId="30621207" w14:textId="77777777" w:rsidR="00187D5A" w:rsidRPr="00007CDB" w:rsidRDefault="00187D5A" w:rsidP="00716F94">
      <w:pPr>
        <w:spacing w:after="0"/>
        <w:rPr>
          <w:rFonts w:asciiTheme="majorHAnsi" w:hAnsiTheme="majorHAnsi"/>
          <w:b/>
        </w:rPr>
      </w:pPr>
    </w:p>
    <w:p w14:paraId="4F0C8E80" w14:textId="440FABC2" w:rsidR="009B4A51" w:rsidRDefault="009B4A51" w:rsidP="00ED169D">
      <w:pPr>
        <w:spacing w:after="0"/>
        <w:jc w:val="center"/>
        <w:rPr>
          <w:rFonts w:asciiTheme="majorHAnsi" w:hAnsiTheme="majorHAnsi"/>
        </w:rPr>
      </w:pPr>
      <w:r w:rsidRPr="00007CDB">
        <w:rPr>
          <w:rFonts w:asciiTheme="majorHAnsi" w:hAnsiTheme="majorHAnsi"/>
          <w:b/>
        </w:rPr>
        <w:t>Submitted:</w:t>
      </w:r>
      <w:r w:rsidRPr="00007CDB">
        <w:rPr>
          <w:rFonts w:asciiTheme="majorHAnsi" w:hAnsiTheme="majorHAnsi"/>
        </w:rPr>
        <w:t xml:space="preserve"> </w:t>
      </w:r>
      <w:r w:rsidR="00DF3E35">
        <w:rPr>
          <w:rFonts w:asciiTheme="majorHAnsi" w:hAnsiTheme="majorHAnsi"/>
        </w:rPr>
        <w:t>March</w:t>
      </w:r>
      <w:r w:rsidR="004F00EE">
        <w:rPr>
          <w:rFonts w:asciiTheme="majorHAnsi" w:hAnsiTheme="majorHAnsi"/>
        </w:rPr>
        <w:t xml:space="preserve"> </w:t>
      </w:r>
      <w:r w:rsidR="00033054">
        <w:rPr>
          <w:rFonts w:asciiTheme="majorHAnsi" w:hAnsiTheme="majorHAnsi"/>
        </w:rPr>
        <w:t>9</w:t>
      </w:r>
      <w:r w:rsidR="0053236F">
        <w:rPr>
          <w:rFonts w:asciiTheme="majorHAnsi" w:hAnsiTheme="majorHAnsi"/>
        </w:rPr>
        <w:t>, 2015</w:t>
      </w:r>
    </w:p>
    <w:p w14:paraId="05C14C01" w14:textId="77777777" w:rsidR="00ED169D" w:rsidRPr="00007CDB" w:rsidRDefault="00ED169D" w:rsidP="00ED169D">
      <w:pPr>
        <w:spacing w:after="0"/>
        <w:jc w:val="center"/>
        <w:rPr>
          <w:rFonts w:asciiTheme="majorHAnsi" w:hAnsiTheme="majorHAnsi"/>
          <w:b/>
        </w:rPr>
      </w:pPr>
    </w:p>
    <w:p w14:paraId="2FC3A888" w14:textId="77777777" w:rsidR="009B4A51" w:rsidRPr="00007CDB" w:rsidRDefault="009B4A51" w:rsidP="00716F94">
      <w:pPr>
        <w:spacing w:after="0"/>
        <w:rPr>
          <w:rFonts w:asciiTheme="majorHAnsi" w:hAnsiTheme="majorHAnsi"/>
          <w:b/>
        </w:rPr>
      </w:pPr>
    </w:p>
    <w:p w14:paraId="00252FB1" w14:textId="77777777" w:rsidR="009B4A51" w:rsidRPr="00007CDB" w:rsidRDefault="009B4A51" w:rsidP="00716F94">
      <w:pPr>
        <w:spacing w:after="0"/>
        <w:rPr>
          <w:rFonts w:asciiTheme="majorHAnsi" w:hAnsiTheme="majorHAnsi"/>
          <w:b/>
        </w:rPr>
      </w:pPr>
    </w:p>
    <w:p w14:paraId="6EF2E6E0" w14:textId="77777777" w:rsidR="00AA3192" w:rsidRPr="00007CDB" w:rsidRDefault="00AA3192" w:rsidP="00716F94">
      <w:pPr>
        <w:spacing w:after="0"/>
        <w:rPr>
          <w:rFonts w:asciiTheme="majorHAnsi" w:hAnsiTheme="majorHAnsi"/>
          <w:b/>
        </w:rPr>
      </w:pPr>
    </w:p>
    <w:p w14:paraId="77900D4B" w14:textId="77777777" w:rsidR="009B4A51" w:rsidRPr="00007CDB" w:rsidRDefault="009B4A51" w:rsidP="00716F94">
      <w:pPr>
        <w:spacing w:after="0"/>
        <w:rPr>
          <w:rFonts w:asciiTheme="majorHAnsi" w:hAnsiTheme="majorHAnsi"/>
          <w:b/>
        </w:rPr>
      </w:pPr>
    </w:p>
    <w:p w14:paraId="6C5AE211" w14:textId="77777777" w:rsidR="00321B51" w:rsidRPr="008C1B86" w:rsidRDefault="00716F94" w:rsidP="000B0962">
      <w:pPr>
        <w:spacing w:after="0"/>
        <w:rPr>
          <w:rFonts w:asciiTheme="majorHAnsi" w:hAnsiTheme="majorHAnsi"/>
        </w:rPr>
      </w:pPr>
      <w:r w:rsidRPr="00007CDB">
        <w:rPr>
          <w:rFonts w:asciiTheme="majorHAnsi" w:hAnsiTheme="majorHAnsi"/>
          <w:b/>
          <w:u w:val="single"/>
        </w:rPr>
        <w:t>P</w:t>
      </w:r>
      <w:r w:rsidR="00667C89" w:rsidRPr="00007CDB">
        <w:rPr>
          <w:rFonts w:asciiTheme="majorHAnsi" w:hAnsiTheme="majorHAnsi"/>
          <w:b/>
          <w:u w:val="single"/>
        </w:rPr>
        <w:t>rogram Official/Project Officer</w:t>
      </w:r>
      <w:r w:rsidR="000B0962" w:rsidRPr="008C1B86">
        <w:rPr>
          <w:rFonts w:asciiTheme="majorHAnsi" w:hAnsiTheme="majorHAnsi"/>
        </w:rPr>
        <w:tab/>
      </w:r>
    </w:p>
    <w:p w14:paraId="759F8EB3" w14:textId="77777777" w:rsidR="00321B51" w:rsidRPr="008C1B86" w:rsidRDefault="005962E5" w:rsidP="000B0962">
      <w:pPr>
        <w:spacing w:after="0" w:line="240" w:lineRule="auto"/>
        <w:rPr>
          <w:rFonts w:asciiTheme="majorHAnsi" w:hAnsiTheme="majorHAnsi" w:cs="Times New Roman"/>
          <w:bCs/>
        </w:rPr>
      </w:pPr>
      <w:r w:rsidRPr="008C1B86">
        <w:rPr>
          <w:rFonts w:asciiTheme="majorHAnsi" w:hAnsiTheme="majorHAnsi" w:cs="Times New Roman"/>
          <w:bCs/>
        </w:rPr>
        <w:t>Angela Salazar</w:t>
      </w:r>
    </w:p>
    <w:p w14:paraId="053251DB" w14:textId="77777777" w:rsidR="00321B51" w:rsidRPr="008C1B86" w:rsidRDefault="005962E5" w:rsidP="000B0962">
      <w:pPr>
        <w:spacing w:after="0" w:line="240" w:lineRule="auto"/>
        <w:rPr>
          <w:rFonts w:asciiTheme="majorHAnsi" w:hAnsiTheme="majorHAnsi" w:cs="Times New Roman"/>
        </w:rPr>
      </w:pPr>
      <w:r w:rsidRPr="008C1B86">
        <w:rPr>
          <w:rFonts w:asciiTheme="majorHAnsi" w:hAnsiTheme="majorHAnsi" w:cs="Times New Roman"/>
        </w:rPr>
        <w:t>Public Health Advisor</w:t>
      </w:r>
    </w:p>
    <w:p w14:paraId="767AF687" w14:textId="77777777" w:rsidR="00321B51" w:rsidRPr="008C1B86" w:rsidRDefault="005962E5" w:rsidP="000B0962">
      <w:pPr>
        <w:spacing w:after="0" w:line="240" w:lineRule="auto"/>
        <w:rPr>
          <w:rFonts w:asciiTheme="majorHAnsi" w:hAnsiTheme="majorHAnsi" w:cs="Times New Roman"/>
        </w:rPr>
      </w:pPr>
      <w:r w:rsidRPr="008C1B86">
        <w:rPr>
          <w:rFonts w:asciiTheme="majorHAnsi" w:hAnsiTheme="majorHAnsi" w:cs="Times New Roman"/>
        </w:rPr>
        <w:t>Health Studies Branch, NCEH, CDC</w:t>
      </w:r>
    </w:p>
    <w:p w14:paraId="66508D2E" w14:textId="77777777" w:rsidR="00321B51" w:rsidRPr="008C1B86" w:rsidRDefault="00B975F7" w:rsidP="000B0962">
      <w:pPr>
        <w:spacing w:after="0" w:line="240" w:lineRule="auto"/>
        <w:rPr>
          <w:rFonts w:asciiTheme="majorHAnsi" w:hAnsiTheme="majorHAnsi" w:cs="Times New Roman"/>
        </w:rPr>
      </w:pPr>
      <w:r w:rsidRPr="008C1B86">
        <w:rPr>
          <w:rFonts w:asciiTheme="majorHAnsi" w:hAnsiTheme="majorHAnsi" w:cs="Times New Roman"/>
        </w:rPr>
        <w:t>4770 Buford Highway NE, MS-F60</w:t>
      </w:r>
    </w:p>
    <w:p w14:paraId="3B450C88" w14:textId="77777777" w:rsidR="00321B51" w:rsidRPr="008C1B86" w:rsidRDefault="00533D96" w:rsidP="000B0962">
      <w:pPr>
        <w:spacing w:after="0" w:line="240" w:lineRule="auto"/>
        <w:rPr>
          <w:rFonts w:asciiTheme="majorHAnsi" w:hAnsiTheme="majorHAnsi" w:cs="Times New Roman"/>
        </w:rPr>
      </w:pPr>
      <w:r w:rsidRPr="008C1B86">
        <w:rPr>
          <w:rFonts w:asciiTheme="majorHAnsi" w:hAnsiTheme="majorHAnsi" w:cs="Times New Roman"/>
        </w:rPr>
        <w:t xml:space="preserve">Phone:  </w:t>
      </w:r>
      <w:r w:rsidR="005962E5" w:rsidRPr="008C1B86">
        <w:rPr>
          <w:rFonts w:asciiTheme="majorHAnsi" w:hAnsiTheme="majorHAnsi" w:cs="Times New Roman"/>
        </w:rPr>
        <w:t>770.488.3949</w:t>
      </w:r>
    </w:p>
    <w:p w14:paraId="62FE89AE" w14:textId="77777777" w:rsidR="00321B51" w:rsidRPr="008C1B86" w:rsidRDefault="00533D96" w:rsidP="000B0962">
      <w:pPr>
        <w:spacing w:after="0" w:line="240" w:lineRule="auto"/>
        <w:rPr>
          <w:rFonts w:asciiTheme="majorHAnsi" w:hAnsiTheme="majorHAnsi" w:cs="Times New Roman"/>
        </w:rPr>
      </w:pPr>
      <w:r w:rsidRPr="008C1B86">
        <w:rPr>
          <w:rFonts w:asciiTheme="majorHAnsi" w:hAnsiTheme="majorHAnsi" w:cs="Times New Roman"/>
        </w:rPr>
        <w:t xml:space="preserve">Email:  </w:t>
      </w:r>
      <w:hyperlink r:id="rId14" w:history="1">
        <w:r w:rsidRPr="008C1B86">
          <w:rPr>
            <w:rStyle w:val="Hyperlink"/>
            <w:rFonts w:asciiTheme="majorHAnsi" w:hAnsiTheme="majorHAnsi" w:cs="Times New Roman"/>
          </w:rPr>
          <w:t>Aos9@cdc.gov</w:t>
        </w:r>
      </w:hyperlink>
    </w:p>
    <w:p w14:paraId="59F4D4F7" w14:textId="77777777" w:rsidR="00533D96" w:rsidRPr="008C1B86" w:rsidRDefault="00533D96" w:rsidP="000B0962">
      <w:pPr>
        <w:spacing w:after="0" w:line="240" w:lineRule="auto"/>
        <w:rPr>
          <w:rFonts w:asciiTheme="majorHAnsi" w:hAnsiTheme="majorHAnsi" w:cs="Times New Roman"/>
        </w:rPr>
      </w:pPr>
      <w:r w:rsidRPr="008C1B86">
        <w:rPr>
          <w:rFonts w:asciiTheme="majorHAnsi" w:hAnsiTheme="majorHAnsi" w:cs="Times New Roman"/>
        </w:rPr>
        <w:t xml:space="preserve">Fax:  </w:t>
      </w:r>
      <w:r w:rsidR="0061018C" w:rsidRPr="008C1B86">
        <w:rPr>
          <w:rFonts w:asciiTheme="majorHAnsi" w:hAnsiTheme="majorHAnsi" w:cs="Times New Roman"/>
        </w:rPr>
        <w:t xml:space="preserve">   </w:t>
      </w:r>
      <w:r w:rsidRPr="008C1B86">
        <w:rPr>
          <w:rFonts w:asciiTheme="majorHAnsi" w:hAnsiTheme="majorHAnsi" w:cs="Times New Roman"/>
        </w:rPr>
        <w:t>770.488.3450</w:t>
      </w:r>
    </w:p>
    <w:p w14:paraId="209AF222" w14:textId="77777777" w:rsidR="000B0962" w:rsidRPr="00B975F7" w:rsidRDefault="000B0962" w:rsidP="00716F94">
      <w:pPr>
        <w:spacing w:after="0"/>
        <w:rPr>
          <w:rFonts w:asciiTheme="majorHAnsi" w:hAnsiTheme="majorHAnsi"/>
        </w:rPr>
      </w:pPr>
    </w:p>
    <w:p w14:paraId="7347B321" w14:textId="77777777" w:rsidR="00B975F7" w:rsidRPr="00B975F7" w:rsidRDefault="00B975F7" w:rsidP="00716F94">
      <w:pPr>
        <w:spacing w:after="0"/>
        <w:rPr>
          <w:rFonts w:asciiTheme="majorHAnsi" w:hAnsiTheme="majorHAnsi"/>
        </w:rPr>
      </w:pPr>
    </w:p>
    <w:p w14:paraId="20AFDC58" w14:textId="6B999AB6" w:rsidR="00B12F51" w:rsidRPr="00D45ED8" w:rsidRDefault="00CD1EA8" w:rsidP="00D45ED8">
      <w:pPr>
        <w:rPr>
          <w:rFonts w:asciiTheme="majorHAnsi" w:hAnsiTheme="majorHAnsi"/>
        </w:rPr>
      </w:pPr>
      <w:r w:rsidRPr="00F52BCC">
        <w:rPr>
          <w:rFonts w:asciiTheme="majorHAnsi" w:hAnsiTheme="majorHAnsi"/>
          <w:b/>
          <w:sz w:val="28"/>
        </w:rPr>
        <w:t>Section A</w:t>
      </w:r>
      <w:r w:rsidR="004876A2">
        <w:rPr>
          <w:rFonts w:asciiTheme="majorHAnsi" w:hAnsiTheme="majorHAnsi"/>
          <w:b/>
          <w:sz w:val="28"/>
        </w:rPr>
        <w:t xml:space="preserve"> – JUSTIFICATION</w:t>
      </w:r>
    </w:p>
    <w:p w14:paraId="7DC45BD4" w14:textId="6DDBE777" w:rsidR="001B27D4" w:rsidRPr="001B27D4" w:rsidRDefault="001B27D4" w:rsidP="001B27D4">
      <w:pPr>
        <w:spacing w:after="0"/>
        <w:rPr>
          <w:rFonts w:asciiTheme="majorHAnsi" w:hAnsiTheme="majorHAnsi"/>
          <w:b/>
        </w:rPr>
      </w:pPr>
      <w:r>
        <w:rPr>
          <w:noProof/>
        </w:rPr>
        <mc:AlternateContent>
          <mc:Choice Requires="wps">
            <w:drawing>
              <wp:inline distT="0" distB="0" distL="0" distR="0" wp14:anchorId="7F389CE6" wp14:editId="642A410F">
                <wp:extent cx="5943600" cy="2994660"/>
                <wp:effectExtent l="0" t="0" r="19050"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94660"/>
                        </a:xfrm>
                        <a:prstGeom prst="rect">
                          <a:avLst/>
                        </a:prstGeom>
                        <a:solidFill>
                          <a:srgbClr val="FFFFFF"/>
                        </a:solidFill>
                        <a:ln w="9525">
                          <a:solidFill>
                            <a:srgbClr val="000000"/>
                          </a:solidFill>
                          <a:miter lim="800000"/>
                          <a:headEnd/>
                          <a:tailEnd/>
                        </a:ln>
                      </wps:spPr>
                      <wps:txbx>
                        <w:txbxContent>
                          <w:p w14:paraId="175AB620" w14:textId="4DE7E10F" w:rsidR="001B27D4" w:rsidRPr="001B27D4" w:rsidRDefault="001B27D4" w:rsidP="001B27D4">
                            <w:pPr>
                              <w:pStyle w:val="ListParagraph"/>
                              <w:numPr>
                                <w:ilvl w:val="0"/>
                                <w:numId w:val="45"/>
                              </w:numPr>
                              <w:rPr>
                                <w:rFonts w:asciiTheme="majorHAnsi" w:hAnsiTheme="majorHAnsi"/>
                              </w:rPr>
                            </w:pPr>
                            <w:r w:rsidRPr="001B27D4">
                              <w:rPr>
                                <w:rFonts w:asciiTheme="majorHAnsi" w:hAnsiTheme="majorHAnsi"/>
                                <w:b/>
                              </w:rPr>
                              <w:t>Goal of the study:</w:t>
                            </w:r>
                            <w:r w:rsidRPr="001B27D4">
                              <w:rPr>
                                <w:rFonts w:asciiTheme="majorHAnsi" w:hAnsiTheme="majorHAnsi"/>
                              </w:rPr>
                              <w:t xml:space="preserve"> </w:t>
                            </w:r>
                            <w:r>
                              <w:rPr>
                                <w:rFonts w:asciiTheme="majorHAnsi" w:hAnsiTheme="majorHAnsi"/>
                              </w:rPr>
                              <w:t>I</w:t>
                            </w:r>
                            <w:r w:rsidRPr="00934DE8">
                              <w:rPr>
                                <w:rFonts w:asciiTheme="majorHAnsi" w:hAnsiTheme="majorHAnsi"/>
                              </w:rPr>
                              <w:t xml:space="preserve">dentify and describe existing public outreach campaigns that promote </w:t>
                            </w:r>
                            <w:r>
                              <w:rPr>
                                <w:rFonts w:asciiTheme="majorHAnsi" w:hAnsiTheme="majorHAnsi"/>
                              </w:rPr>
                              <w:t xml:space="preserve">well testing and treatment and </w:t>
                            </w:r>
                            <w:r w:rsidRPr="00934DE8">
                              <w:rPr>
                                <w:rFonts w:asciiTheme="majorHAnsi" w:hAnsiTheme="majorHAnsi"/>
                              </w:rPr>
                              <w:t>gather some data from the program managers that are indicative of program success from their perspective</w:t>
                            </w:r>
                            <w:r>
                              <w:rPr>
                                <w:rFonts w:asciiTheme="majorHAnsi" w:hAnsiTheme="majorHAnsi"/>
                              </w:rPr>
                              <w:t xml:space="preserve"> (</w:t>
                            </w:r>
                            <w:r>
                              <w:rPr>
                                <w:rFonts w:asciiTheme="majorHAnsi" w:eastAsia="Calibri" w:hAnsiTheme="majorHAnsi"/>
                              </w:rPr>
                              <w:t>builds upon prior study in 2014)</w:t>
                            </w:r>
                          </w:p>
                          <w:p w14:paraId="0E09B0CF" w14:textId="77777777" w:rsidR="001B27D4" w:rsidRPr="001B27D4" w:rsidRDefault="001B27D4" w:rsidP="001B27D4">
                            <w:pPr>
                              <w:pStyle w:val="ListParagraph"/>
                              <w:ind w:left="360"/>
                              <w:rPr>
                                <w:rFonts w:asciiTheme="majorHAnsi" w:hAnsiTheme="majorHAnsi"/>
                              </w:rPr>
                            </w:pPr>
                          </w:p>
                          <w:p w14:paraId="3E2F2840" w14:textId="46A11D4F" w:rsidR="001B27D4" w:rsidRPr="001B27D4" w:rsidRDefault="001B27D4" w:rsidP="001B27D4">
                            <w:pPr>
                              <w:pStyle w:val="ListParagraph"/>
                              <w:numPr>
                                <w:ilvl w:val="0"/>
                                <w:numId w:val="45"/>
                              </w:numPr>
                              <w:rPr>
                                <w:rFonts w:asciiTheme="majorHAnsi" w:hAnsiTheme="majorHAnsi" w:cs="Arial"/>
                              </w:rPr>
                            </w:pPr>
                            <w:r w:rsidRPr="001B27D4">
                              <w:rPr>
                                <w:rFonts w:asciiTheme="majorHAnsi" w:hAnsiTheme="majorHAnsi"/>
                                <w:b/>
                              </w:rPr>
                              <w:t>Intended use of the resulting data:</w:t>
                            </w:r>
                            <w:r w:rsidRPr="001B27D4">
                              <w:rPr>
                                <w:rFonts w:asciiTheme="majorHAnsi" w:hAnsiTheme="majorHAnsi"/>
                              </w:rPr>
                              <w:t xml:space="preserve"> </w:t>
                            </w:r>
                            <w:r>
                              <w:rPr>
                                <w:rFonts w:asciiTheme="majorHAnsi" w:hAnsiTheme="majorHAnsi" w:cs="Arial"/>
                              </w:rPr>
                              <w:t>P</w:t>
                            </w:r>
                            <w:r w:rsidRPr="001B27D4">
                              <w:rPr>
                                <w:rFonts w:asciiTheme="majorHAnsi" w:hAnsiTheme="majorHAnsi" w:cs="Arial"/>
                              </w:rPr>
                              <w:t xml:space="preserve">rovide participants case examples of various program approaches and insights and wisdom gleaned from veteran program managers, and inform the development of </w:t>
                            </w:r>
                            <w:r>
                              <w:rPr>
                                <w:rFonts w:asciiTheme="majorHAnsi" w:hAnsiTheme="majorHAnsi" w:cs="Arial"/>
                              </w:rPr>
                              <w:t>future well owner interventions</w:t>
                            </w:r>
                          </w:p>
                          <w:p w14:paraId="28F6E7BC" w14:textId="77777777" w:rsidR="001B27D4" w:rsidRPr="001B27D4" w:rsidRDefault="001B27D4" w:rsidP="001B27D4">
                            <w:pPr>
                              <w:pStyle w:val="ListParagraph"/>
                              <w:ind w:left="360"/>
                              <w:rPr>
                                <w:rFonts w:asciiTheme="majorHAnsi" w:hAnsiTheme="majorHAnsi"/>
                              </w:rPr>
                            </w:pPr>
                          </w:p>
                          <w:p w14:paraId="36EE0270" w14:textId="128BE32C" w:rsidR="001B27D4" w:rsidRPr="001B27D4" w:rsidRDefault="001B27D4" w:rsidP="001B27D4">
                            <w:pPr>
                              <w:pStyle w:val="ListParagraph"/>
                              <w:numPr>
                                <w:ilvl w:val="0"/>
                                <w:numId w:val="45"/>
                              </w:numPr>
                              <w:rPr>
                                <w:rFonts w:asciiTheme="majorHAnsi" w:hAnsiTheme="majorHAnsi"/>
                              </w:rPr>
                            </w:pPr>
                            <w:r w:rsidRPr="001B27D4">
                              <w:rPr>
                                <w:rFonts w:asciiTheme="majorHAnsi" w:hAnsiTheme="majorHAnsi"/>
                                <w:b/>
                              </w:rPr>
                              <w:t>Methods to be used to collect:</w:t>
                            </w:r>
                            <w:r w:rsidRPr="001B27D4">
                              <w:rPr>
                                <w:rFonts w:asciiTheme="majorHAnsi" w:hAnsiTheme="majorHAnsi"/>
                              </w:rPr>
                              <w:t xml:space="preserve"> </w:t>
                            </w:r>
                            <w:r>
                              <w:rPr>
                                <w:rFonts w:asciiTheme="majorHAnsi" w:hAnsiTheme="majorHAnsi"/>
                              </w:rPr>
                              <w:t>Telephone and in-person interviews</w:t>
                            </w:r>
                            <w:r w:rsidRPr="001B27D4">
                              <w:rPr>
                                <w:rFonts w:asciiTheme="majorHAnsi" w:hAnsiTheme="majorHAnsi"/>
                              </w:rPr>
                              <w:t>; convenience sampling</w:t>
                            </w:r>
                          </w:p>
                          <w:p w14:paraId="63E0490B" w14:textId="77777777" w:rsidR="001B27D4" w:rsidRPr="001B27D4" w:rsidRDefault="001B27D4" w:rsidP="001B27D4">
                            <w:pPr>
                              <w:pStyle w:val="ListParagraph"/>
                              <w:ind w:left="360"/>
                              <w:rPr>
                                <w:rFonts w:asciiTheme="majorHAnsi" w:hAnsiTheme="majorHAnsi"/>
                              </w:rPr>
                            </w:pPr>
                          </w:p>
                          <w:p w14:paraId="2E5F1A57" w14:textId="113A32C5" w:rsidR="001B27D4" w:rsidRPr="001B27D4" w:rsidRDefault="001B27D4" w:rsidP="001B27D4">
                            <w:pPr>
                              <w:pStyle w:val="ListParagraph"/>
                              <w:numPr>
                                <w:ilvl w:val="0"/>
                                <w:numId w:val="45"/>
                              </w:numPr>
                              <w:rPr>
                                <w:rFonts w:asciiTheme="majorHAnsi" w:hAnsiTheme="majorHAnsi"/>
                              </w:rPr>
                            </w:pPr>
                            <w:r w:rsidRPr="001B27D4">
                              <w:rPr>
                                <w:rFonts w:asciiTheme="majorHAnsi" w:hAnsiTheme="majorHAnsi"/>
                                <w:b/>
                              </w:rPr>
                              <w:t>The subpopulation to be studied:</w:t>
                            </w:r>
                            <w:r w:rsidRPr="001B27D4">
                              <w:rPr>
                                <w:rFonts w:asciiTheme="majorHAnsi" w:hAnsiTheme="majorHAnsi"/>
                              </w:rPr>
                              <w:t xml:space="preserve"> 30 state and local environmental health staff acting in their official capacities, who have been involved in </w:t>
                            </w:r>
                            <w:r>
                              <w:rPr>
                                <w:rFonts w:asciiTheme="majorHAnsi" w:hAnsiTheme="majorHAnsi"/>
                              </w:rPr>
                              <w:t>outreach to private well owners</w:t>
                            </w:r>
                          </w:p>
                          <w:p w14:paraId="1182524D" w14:textId="77777777" w:rsidR="001B27D4" w:rsidRPr="001B27D4" w:rsidRDefault="001B27D4" w:rsidP="001B27D4">
                            <w:pPr>
                              <w:pStyle w:val="ListParagraph"/>
                              <w:ind w:left="360"/>
                              <w:rPr>
                                <w:rFonts w:asciiTheme="majorHAnsi" w:hAnsiTheme="majorHAnsi"/>
                              </w:rPr>
                            </w:pPr>
                          </w:p>
                          <w:p w14:paraId="4F9C0D84" w14:textId="77AA6113" w:rsidR="001B27D4" w:rsidRPr="001B27D4" w:rsidRDefault="001B27D4" w:rsidP="001B27D4">
                            <w:pPr>
                              <w:pStyle w:val="ListParagraph"/>
                              <w:numPr>
                                <w:ilvl w:val="0"/>
                                <w:numId w:val="45"/>
                              </w:numPr>
                              <w:rPr>
                                <w:rFonts w:asciiTheme="majorHAnsi" w:hAnsiTheme="majorHAnsi"/>
                              </w:rPr>
                            </w:pPr>
                            <w:r w:rsidRPr="001B27D4">
                              <w:rPr>
                                <w:rFonts w:asciiTheme="majorHAnsi" w:hAnsiTheme="majorHAnsi"/>
                                <w:b/>
                              </w:rPr>
                              <w:t>How data will be analyzed:</w:t>
                            </w:r>
                            <w:r w:rsidRPr="001B27D4">
                              <w:rPr>
                                <w:rFonts w:asciiTheme="majorHAnsi" w:hAnsiTheme="majorHAnsi"/>
                              </w:rPr>
                              <w:t xml:space="preserve"> Descriptive statistics</w:t>
                            </w:r>
                            <w:r>
                              <w:rPr>
                                <w:rFonts w:asciiTheme="majorHAnsi" w:hAnsiTheme="majorHAnsi"/>
                              </w:rPr>
                              <w:t xml:space="preserve">; </w:t>
                            </w:r>
                            <w:r>
                              <w:rPr>
                                <w:rFonts w:asciiTheme="majorHAnsi" w:hAnsiTheme="majorHAnsi" w:cs="Times New Roman"/>
                              </w:rPr>
                              <w:t xml:space="preserve">analyses of </w:t>
                            </w:r>
                            <w:r w:rsidRPr="00CF280B">
                              <w:rPr>
                                <w:rFonts w:asciiTheme="majorHAnsi" w:hAnsiTheme="majorHAnsi" w:cs="Times New Roman"/>
                              </w:rPr>
                              <w:t>narrative responses and appropriate findings from those responses</w:t>
                            </w:r>
                          </w:p>
                          <w:p w14:paraId="30BF6DFA" w14:textId="77777777" w:rsidR="001B27D4" w:rsidRDefault="001B27D4" w:rsidP="001B27D4"/>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2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">
                <v:textbox>
                  <w:txbxContent>
                    <w:p w14:paraId="175AB620" w14:textId="4DE7E10F" w:rsidR="001B27D4" w:rsidRPr="001B27D4" w:rsidRDefault="001B27D4" w:rsidP="001B27D4">
                      <w:pPr>
                        <w:pStyle w:val="ListParagraph"/>
                        <w:numPr>
                          <w:ilvl w:val="0"/>
                          <w:numId w:val="45"/>
                        </w:numPr>
                        <w:rPr>
                          <w:rFonts w:asciiTheme="majorHAnsi" w:hAnsiTheme="majorHAnsi"/>
                        </w:rPr>
                      </w:pPr>
                      <w:r w:rsidRPr="001B27D4">
                        <w:rPr>
                          <w:rFonts w:asciiTheme="majorHAnsi" w:hAnsiTheme="majorHAnsi"/>
                          <w:b/>
                        </w:rPr>
                        <w:t>Goal of the study:</w:t>
                      </w:r>
                      <w:r w:rsidRPr="001B27D4">
                        <w:rPr>
                          <w:rFonts w:asciiTheme="majorHAnsi" w:hAnsiTheme="majorHAnsi"/>
                        </w:rPr>
                        <w:t xml:space="preserve"> </w:t>
                      </w:r>
                      <w:r>
                        <w:rPr>
                          <w:rFonts w:asciiTheme="majorHAnsi" w:hAnsiTheme="majorHAnsi"/>
                        </w:rPr>
                        <w:t>I</w:t>
                      </w:r>
                      <w:r w:rsidRPr="00934DE8">
                        <w:rPr>
                          <w:rFonts w:asciiTheme="majorHAnsi" w:hAnsiTheme="majorHAnsi"/>
                        </w:rPr>
                        <w:t xml:space="preserve">dentify and describe existing public outreach campaigns that promote </w:t>
                      </w:r>
                      <w:r>
                        <w:rPr>
                          <w:rFonts w:asciiTheme="majorHAnsi" w:hAnsiTheme="majorHAnsi"/>
                        </w:rPr>
                        <w:t xml:space="preserve">well testing and treatment and </w:t>
                      </w:r>
                      <w:r w:rsidRPr="00934DE8">
                        <w:rPr>
                          <w:rFonts w:asciiTheme="majorHAnsi" w:hAnsiTheme="majorHAnsi"/>
                        </w:rPr>
                        <w:t>gather some data from the program managers that are indicative of program success from their perspective</w:t>
                      </w:r>
                      <w:r>
                        <w:rPr>
                          <w:rFonts w:asciiTheme="majorHAnsi" w:hAnsiTheme="majorHAnsi"/>
                        </w:rPr>
                        <w:t xml:space="preserve"> (</w:t>
                      </w:r>
                      <w:r>
                        <w:rPr>
                          <w:rFonts w:asciiTheme="majorHAnsi" w:eastAsia="Calibri" w:hAnsiTheme="majorHAnsi"/>
                        </w:rPr>
                        <w:t>build</w:t>
                      </w:r>
                      <w:r>
                        <w:rPr>
                          <w:rFonts w:asciiTheme="majorHAnsi" w:eastAsia="Calibri" w:hAnsiTheme="majorHAnsi"/>
                        </w:rPr>
                        <w:t>s</w:t>
                      </w:r>
                      <w:r>
                        <w:rPr>
                          <w:rFonts w:asciiTheme="majorHAnsi" w:eastAsia="Calibri" w:hAnsiTheme="majorHAnsi"/>
                        </w:rPr>
                        <w:t xml:space="preserve"> upon prior </w:t>
                      </w:r>
                      <w:r>
                        <w:rPr>
                          <w:rFonts w:asciiTheme="majorHAnsi" w:eastAsia="Calibri" w:hAnsiTheme="majorHAnsi"/>
                        </w:rPr>
                        <w:t>study</w:t>
                      </w:r>
                      <w:r>
                        <w:rPr>
                          <w:rFonts w:asciiTheme="majorHAnsi" w:eastAsia="Calibri" w:hAnsiTheme="majorHAnsi"/>
                        </w:rPr>
                        <w:t xml:space="preserve"> in 2014</w:t>
                      </w:r>
                      <w:r>
                        <w:rPr>
                          <w:rFonts w:asciiTheme="majorHAnsi" w:eastAsia="Calibri" w:hAnsiTheme="majorHAnsi"/>
                        </w:rPr>
                        <w:t>)</w:t>
                      </w:r>
                    </w:p>
                    <w:p w14:paraId="0E09B0CF" w14:textId="77777777" w:rsidR="001B27D4" w:rsidRPr="001B27D4" w:rsidRDefault="001B27D4" w:rsidP="001B27D4">
                      <w:pPr>
                        <w:pStyle w:val="ListParagraph"/>
                        <w:ind w:left="360"/>
                        <w:rPr>
                          <w:rFonts w:asciiTheme="majorHAnsi" w:hAnsiTheme="majorHAnsi"/>
                        </w:rPr>
                      </w:pPr>
                    </w:p>
                    <w:p w14:paraId="3E2F2840" w14:textId="46A11D4F" w:rsidR="001B27D4" w:rsidRPr="001B27D4" w:rsidRDefault="001B27D4" w:rsidP="001B27D4">
                      <w:pPr>
                        <w:pStyle w:val="ListParagraph"/>
                        <w:numPr>
                          <w:ilvl w:val="0"/>
                          <w:numId w:val="45"/>
                        </w:numPr>
                        <w:rPr>
                          <w:rFonts w:asciiTheme="majorHAnsi" w:hAnsiTheme="majorHAnsi" w:cs="Arial"/>
                        </w:rPr>
                      </w:pPr>
                      <w:r w:rsidRPr="001B27D4">
                        <w:rPr>
                          <w:rFonts w:asciiTheme="majorHAnsi" w:hAnsiTheme="majorHAnsi"/>
                          <w:b/>
                        </w:rPr>
                        <w:t>Intended use of the resulting data:</w:t>
                      </w:r>
                      <w:r w:rsidRPr="001B27D4">
                        <w:rPr>
                          <w:rFonts w:asciiTheme="majorHAnsi" w:hAnsiTheme="majorHAnsi"/>
                        </w:rPr>
                        <w:t xml:space="preserve"> </w:t>
                      </w:r>
                      <w:r>
                        <w:rPr>
                          <w:rFonts w:asciiTheme="majorHAnsi" w:hAnsiTheme="majorHAnsi" w:cs="Arial"/>
                        </w:rPr>
                        <w:t>P</w:t>
                      </w:r>
                      <w:r w:rsidRPr="001B27D4">
                        <w:rPr>
                          <w:rFonts w:asciiTheme="majorHAnsi" w:hAnsiTheme="majorHAnsi" w:cs="Arial"/>
                        </w:rPr>
                        <w:t>rovide participants c</w:t>
                      </w:r>
                      <w:r w:rsidRPr="001B27D4">
                        <w:rPr>
                          <w:rFonts w:asciiTheme="majorHAnsi" w:hAnsiTheme="majorHAnsi" w:cs="Arial"/>
                        </w:rPr>
                        <w:t>ase examples of various program approaches</w:t>
                      </w:r>
                      <w:r w:rsidRPr="001B27D4">
                        <w:rPr>
                          <w:rFonts w:asciiTheme="majorHAnsi" w:hAnsiTheme="majorHAnsi" w:cs="Arial"/>
                        </w:rPr>
                        <w:t xml:space="preserve"> and i</w:t>
                      </w:r>
                      <w:r w:rsidRPr="001B27D4">
                        <w:rPr>
                          <w:rFonts w:asciiTheme="majorHAnsi" w:hAnsiTheme="majorHAnsi" w:cs="Arial"/>
                        </w:rPr>
                        <w:t>nsights and wisdom gleaned from veteran program managers</w:t>
                      </w:r>
                      <w:r w:rsidRPr="001B27D4">
                        <w:rPr>
                          <w:rFonts w:asciiTheme="majorHAnsi" w:hAnsiTheme="majorHAnsi" w:cs="Arial"/>
                        </w:rPr>
                        <w:t xml:space="preserve">, and </w:t>
                      </w:r>
                      <w:r w:rsidRPr="001B27D4">
                        <w:rPr>
                          <w:rFonts w:asciiTheme="majorHAnsi" w:hAnsiTheme="majorHAnsi" w:cs="Arial"/>
                        </w:rPr>
                        <w:t xml:space="preserve">inform the development of </w:t>
                      </w:r>
                      <w:r>
                        <w:rPr>
                          <w:rFonts w:asciiTheme="majorHAnsi" w:hAnsiTheme="majorHAnsi" w:cs="Arial"/>
                        </w:rPr>
                        <w:t>future well owner interventions</w:t>
                      </w:r>
                    </w:p>
                    <w:p w14:paraId="28F6E7BC" w14:textId="77777777" w:rsidR="001B27D4" w:rsidRPr="001B27D4" w:rsidRDefault="001B27D4" w:rsidP="001B27D4">
                      <w:pPr>
                        <w:pStyle w:val="ListParagraph"/>
                        <w:ind w:left="360"/>
                        <w:rPr>
                          <w:rFonts w:asciiTheme="majorHAnsi" w:hAnsiTheme="majorHAnsi"/>
                        </w:rPr>
                      </w:pPr>
                    </w:p>
                    <w:p w14:paraId="36EE0270" w14:textId="128BE32C" w:rsidR="001B27D4" w:rsidRPr="001B27D4" w:rsidRDefault="001B27D4" w:rsidP="001B27D4">
                      <w:pPr>
                        <w:pStyle w:val="ListParagraph"/>
                        <w:numPr>
                          <w:ilvl w:val="0"/>
                          <w:numId w:val="45"/>
                        </w:numPr>
                        <w:rPr>
                          <w:rFonts w:asciiTheme="majorHAnsi" w:hAnsiTheme="majorHAnsi"/>
                        </w:rPr>
                      </w:pPr>
                      <w:r w:rsidRPr="001B27D4">
                        <w:rPr>
                          <w:rFonts w:asciiTheme="majorHAnsi" w:hAnsiTheme="majorHAnsi"/>
                          <w:b/>
                        </w:rPr>
                        <w:t>Methods to be used to collect:</w:t>
                      </w:r>
                      <w:r w:rsidRPr="001B27D4">
                        <w:rPr>
                          <w:rFonts w:asciiTheme="majorHAnsi" w:hAnsiTheme="majorHAnsi"/>
                        </w:rPr>
                        <w:t xml:space="preserve"> </w:t>
                      </w:r>
                      <w:r>
                        <w:rPr>
                          <w:rFonts w:asciiTheme="majorHAnsi" w:hAnsiTheme="majorHAnsi"/>
                        </w:rPr>
                        <w:t>Telephone and in-person interviews</w:t>
                      </w:r>
                      <w:r w:rsidRPr="001B27D4">
                        <w:rPr>
                          <w:rFonts w:asciiTheme="majorHAnsi" w:hAnsiTheme="majorHAnsi"/>
                        </w:rPr>
                        <w:t>; convenience sampling</w:t>
                      </w:r>
                    </w:p>
                    <w:p w14:paraId="63E0490B" w14:textId="77777777" w:rsidR="001B27D4" w:rsidRPr="001B27D4" w:rsidRDefault="001B27D4" w:rsidP="001B27D4">
                      <w:pPr>
                        <w:pStyle w:val="ListParagraph"/>
                        <w:ind w:left="360"/>
                        <w:rPr>
                          <w:rFonts w:asciiTheme="majorHAnsi" w:hAnsiTheme="majorHAnsi"/>
                        </w:rPr>
                      </w:pPr>
                    </w:p>
                    <w:p w14:paraId="2E5F1A57" w14:textId="113A32C5" w:rsidR="001B27D4" w:rsidRPr="001B27D4" w:rsidRDefault="001B27D4" w:rsidP="001B27D4">
                      <w:pPr>
                        <w:pStyle w:val="ListParagraph"/>
                        <w:numPr>
                          <w:ilvl w:val="0"/>
                          <w:numId w:val="45"/>
                        </w:numPr>
                        <w:rPr>
                          <w:rFonts w:asciiTheme="majorHAnsi" w:hAnsiTheme="majorHAnsi"/>
                        </w:rPr>
                      </w:pPr>
                      <w:r w:rsidRPr="001B27D4">
                        <w:rPr>
                          <w:rFonts w:asciiTheme="majorHAnsi" w:hAnsiTheme="majorHAnsi"/>
                          <w:b/>
                        </w:rPr>
                        <w:t>The subpopulation to be studied:</w:t>
                      </w:r>
                      <w:r w:rsidRPr="001B27D4">
                        <w:rPr>
                          <w:rFonts w:asciiTheme="majorHAnsi" w:hAnsiTheme="majorHAnsi"/>
                        </w:rPr>
                        <w:t xml:space="preserve"> </w:t>
                      </w:r>
                      <w:r w:rsidRPr="001B27D4">
                        <w:rPr>
                          <w:rFonts w:asciiTheme="majorHAnsi" w:hAnsiTheme="majorHAnsi"/>
                        </w:rPr>
                        <w:t xml:space="preserve">30 state and local environmental health staff acting in their official capacities, who have been involved in </w:t>
                      </w:r>
                      <w:r>
                        <w:rPr>
                          <w:rFonts w:asciiTheme="majorHAnsi" w:hAnsiTheme="majorHAnsi"/>
                        </w:rPr>
                        <w:t>outreach to private well owners</w:t>
                      </w:r>
                    </w:p>
                    <w:p w14:paraId="1182524D" w14:textId="77777777" w:rsidR="001B27D4" w:rsidRPr="001B27D4" w:rsidRDefault="001B27D4" w:rsidP="001B27D4">
                      <w:pPr>
                        <w:pStyle w:val="ListParagraph"/>
                        <w:ind w:left="360"/>
                        <w:rPr>
                          <w:rFonts w:asciiTheme="majorHAnsi" w:hAnsiTheme="majorHAnsi"/>
                        </w:rPr>
                      </w:pPr>
                    </w:p>
                    <w:p w14:paraId="4F9C0D84" w14:textId="77AA6113" w:rsidR="001B27D4" w:rsidRPr="001B27D4" w:rsidRDefault="001B27D4" w:rsidP="001B27D4">
                      <w:pPr>
                        <w:pStyle w:val="ListParagraph"/>
                        <w:numPr>
                          <w:ilvl w:val="0"/>
                          <w:numId w:val="45"/>
                        </w:numPr>
                        <w:rPr>
                          <w:rFonts w:asciiTheme="majorHAnsi" w:hAnsiTheme="majorHAnsi"/>
                        </w:rPr>
                      </w:pPr>
                      <w:r w:rsidRPr="001B27D4">
                        <w:rPr>
                          <w:rFonts w:asciiTheme="majorHAnsi" w:hAnsiTheme="majorHAnsi"/>
                          <w:b/>
                        </w:rPr>
                        <w:t>How data will be analyzed:</w:t>
                      </w:r>
                      <w:r w:rsidRPr="001B27D4">
                        <w:rPr>
                          <w:rFonts w:asciiTheme="majorHAnsi" w:hAnsiTheme="majorHAnsi"/>
                        </w:rPr>
                        <w:t xml:space="preserve"> Descriptive statistics</w:t>
                      </w:r>
                      <w:r>
                        <w:rPr>
                          <w:rFonts w:asciiTheme="majorHAnsi" w:hAnsiTheme="majorHAnsi"/>
                        </w:rPr>
                        <w:t xml:space="preserve">; </w:t>
                      </w:r>
                      <w:r>
                        <w:rPr>
                          <w:rFonts w:asciiTheme="majorHAnsi" w:hAnsiTheme="majorHAnsi" w:cs="Times New Roman"/>
                        </w:rPr>
                        <w:t xml:space="preserve">analyses of </w:t>
                      </w:r>
                      <w:r w:rsidRPr="00CF280B">
                        <w:rPr>
                          <w:rFonts w:asciiTheme="majorHAnsi" w:hAnsiTheme="majorHAnsi" w:cs="Times New Roman"/>
                        </w:rPr>
                        <w:t>narrative responses and appropriate findings from those responses</w:t>
                      </w:r>
                    </w:p>
                    <w:p w14:paraId="30BF6DFA" w14:textId="77777777" w:rsidR="001B27D4" w:rsidRDefault="001B27D4" w:rsidP="001B27D4"/>
                  </w:txbxContent>
                </v:textbox>
                <w10:anchorlock/>
              </v:shape>
            </w:pict>
          </mc:Fallback>
        </mc:AlternateContent>
      </w:r>
    </w:p>
    <w:p w14:paraId="73AB8971" w14:textId="77777777" w:rsidR="00A242FC" w:rsidRDefault="00A242FC" w:rsidP="00A242FC">
      <w:pPr>
        <w:pStyle w:val="ListParagraph"/>
        <w:spacing w:after="0"/>
        <w:ind w:left="360"/>
        <w:rPr>
          <w:rFonts w:asciiTheme="majorHAnsi" w:hAnsiTheme="majorHAnsi"/>
          <w:b/>
        </w:rPr>
      </w:pPr>
    </w:p>
    <w:p w14:paraId="15A4F06A" w14:textId="77777777" w:rsidR="00CD1EA8" w:rsidRPr="00C96DD1" w:rsidRDefault="00B12F51" w:rsidP="001636E7">
      <w:pPr>
        <w:pStyle w:val="ListParagraph"/>
        <w:numPr>
          <w:ilvl w:val="0"/>
          <w:numId w:val="2"/>
        </w:numPr>
        <w:spacing w:after="0"/>
        <w:rPr>
          <w:rFonts w:asciiTheme="majorHAnsi" w:hAnsiTheme="majorHAnsi"/>
          <w:b/>
        </w:rPr>
      </w:pPr>
      <w:r w:rsidRPr="00C96DD1">
        <w:rPr>
          <w:rFonts w:asciiTheme="majorHAnsi" w:hAnsiTheme="majorHAnsi"/>
          <w:b/>
        </w:rPr>
        <w:t>Circumstances Making the Collection of Information Necessary</w:t>
      </w:r>
    </w:p>
    <w:p w14:paraId="73A7E12E" w14:textId="77777777" w:rsidR="00E33E1B" w:rsidRPr="00C96DD1" w:rsidRDefault="00E33E1B" w:rsidP="001636E7">
      <w:pPr>
        <w:spacing w:after="0"/>
        <w:ind w:left="270"/>
        <w:rPr>
          <w:rFonts w:asciiTheme="majorHAnsi" w:hAnsiTheme="majorHAnsi"/>
          <w:b/>
        </w:rPr>
      </w:pPr>
    </w:p>
    <w:p w14:paraId="0A769747" w14:textId="62B9EFBA" w:rsidR="00E33E1B" w:rsidRDefault="00E33E1B" w:rsidP="001636E7">
      <w:pPr>
        <w:spacing w:after="0"/>
        <w:rPr>
          <w:rFonts w:asciiTheme="majorHAnsi" w:hAnsiTheme="majorHAnsi"/>
          <w:b/>
        </w:rPr>
      </w:pPr>
      <w:r w:rsidRPr="00C96DD1">
        <w:rPr>
          <w:rFonts w:asciiTheme="majorHAnsi" w:hAnsiTheme="majorHAnsi"/>
          <w:b/>
        </w:rPr>
        <w:t>Background</w:t>
      </w:r>
    </w:p>
    <w:p w14:paraId="0296321F" w14:textId="4CD09ADB" w:rsidR="00D03F47" w:rsidRPr="00C96DD1" w:rsidRDefault="004F67A8" w:rsidP="001636E7">
      <w:pPr>
        <w:pStyle w:val="Header"/>
        <w:tabs>
          <w:tab w:val="clear" w:pos="4680"/>
        </w:tabs>
        <w:spacing w:line="276" w:lineRule="auto"/>
        <w:rPr>
          <w:rFonts w:asciiTheme="majorHAnsi" w:hAnsiTheme="majorHAnsi"/>
        </w:rPr>
      </w:pPr>
      <w:r w:rsidRPr="00C96DD1">
        <w:rPr>
          <w:rFonts w:asciiTheme="majorHAnsi" w:hAnsiTheme="majorHAnsi"/>
        </w:rPr>
        <w:t>This data collection</w:t>
      </w:r>
      <w:r w:rsidR="00484011" w:rsidRPr="00C96DD1">
        <w:rPr>
          <w:rFonts w:asciiTheme="majorHAnsi" w:hAnsiTheme="majorHAnsi"/>
        </w:rPr>
        <w:t xml:space="preserve"> is being conducted </w:t>
      </w:r>
      <w:r w:rsidR="009252DC" w:rsidRPr="00C96DD1">
        <w:rPr>
          <w:rFonts w:asciiTheme="majorHAnsi" w:hAnsiTheme="majorHAnsi"/>
        </w:rPr>
        <w:t>using</w:t>
      </w:r>
      <w:r w:rsidR="00484011" w:rsidRPr="00C96DD1">
        <w:rPr>
          <w:rFonts w:asciiTheme="majorHAnsi" w:hAnsiTheme="majorHAnsi"/>
        </w:rPr>
        <w:t xml:space="preserve"> the Generic Information Collection mechanism </w:t>
      </w:r>
      <w:r w:rsidR="009252DC" w:rsidRPr="00C96DD1">
        <w:rPr>
          <w:rFonts w:asciiTheme="majorHAnsi" w:hAnsiTheme="majorHAnsi"/>
        </w:rPr>
        <w:t xml:space="preserve">of the OSTLTS </w:t>
      </w:r>
      <w:r w:rsidR="00C3652C" w:rsidRPr="00C96DD1">
        <w:rPr>
          <w:rFonts w:asciiTheme="majorHAnsi" w:hAnsiTheme="majorHAnsi"/>
        </w:rPr>
        <w:t>OMB Clearance</w:t>
      </w:r>
      <w:r w:rsidR="009252DC" w:rsidRPr="00C96DD1">
        <w:rPr>
          <w:rFonts w:asciiTheme="majorHAnsi" w:hAnsiTheme="majorHAnsi"/>
        </w:rPr>
        <w:t xml:space="preserve"> Center (O</w:t>
      </w:r>
      <w:r w:rsidR="00C3652C" w:rsidRPr="00C96DD1">
        <w:rPr>
          <w:rFonts w:asciiTheme="majorHAnsi" w:hAnsiTheme="majorHAnsi"/>
        </w:rPr>
        <w:t>2</w:t>
      </w:r>
      <w:r w:rsidR="009252DC" w:rsidRPr="00C96DD1">
        <w:rPr>
          <w:rFonts w:asciiTheme="majorHAnsi" w:hAnsiTheme="majorHAnsi"/>
        </w:rPr>
        <w:t>C</w:t>
      </w:r>
      <w:r w:rsidR="00C3652C" w:rsidRPr="00C96DD1">
        <w:rPr>
          <w:rFonts w:asciiTheme="majorHAnsi" w:hAnsiTheme="majorHAnsi"/>
        </w:rPr>
        <w:t>2</w:t>
      </w:r>
      <w:r w:rsidR="00130451">
        <w:rPr>
          <w:rFonts w:asciiTheme="majorHAnsi" w:hAnsiTheme="majorHAnsi"/>
        </w:rPr>
        <w:t>)</w:t>
      </w:r>
      <w:r w:rsidR="0069009D">
        <w:rPr>
          <w:rFonts w:asciiTheme="majorHAnsi" w:hAnsiTheme="majorHAnsi"/>
        </w:rPr>
        <w:t>–</w:t>
      </w:r>
      <w:r w:rsidR="00484011" w:rsidRPr="00C96DD1">
        <w:rPr>
          <w:rFonts w:asciiTheme="majorHAnsi" w:hAnsiTheme="majorHAnsi"/>
        </w:rPr>
        <w:t>OMB No. 0920-0879</w:t>
      </w:r>
      <w:r w:rsidRPr="00C96DD1">
        <w:rPr>
          <w:rFonts w:asciiTheme="majorHAnsi" w:hAnsiTheme="majorHAnsi"/>
        </w:rPr>
        <w:t>.</w:t>
      </w:r>
      <w:r w:rsidR="009252DC" w:rsidRPr="00C96DD1">
        <w:rPr>
          <w:rFonts w:asciiTheme="majorHAnsi" w:hAnsiTheme="majorHAnsi"/>
        </w:rPr>
        <w:t xml:space="preserve"> </w:t>
      </w:r>
      <w:r w:rsidR="006374E8" w:rsidRPr="00D20807">
        <w:rPr>
          <w:rFonts w:asciiTheme="majorHAnsi" w:hAnsiTheme="majorHAnsi"/>
        </w:rPr>
        <w:t>The respondent universe for this information collectio</w:t>
      </w:r>
      <w:r w:rsidR="006374E8">
        <w:rPr>
          <w:rFonts w:asciiTheme="majorHAnsi" w:hAnsiTheme="majorHAnsi"/>
        </w:rPr>
        <w:t>n aligns with that of the O2C2.</w:t>
      </w:r>
      <w:r w:rsidR="002B4606" w:rsidRPr="00C96DD1">
        <w:rPr>
          <w:rFonts w:asciiTheme="majorHAnsi" w:hAnsiTheme="majorHAnsi"/>
        </w:rPr>
        <w:t xml:space="preserve">  </w:t>
      </w:r>
      <w:r w:rsidR="009252DC" w:rsidRPr="00C96DD1">
        <w:rPr>
          <w:rFonts w:asciiTheme="majorHAnsi" w:hAnsiTheme="majorHAnsi"/>
        </w:rPr>
        <w:t xml:space="preserve">Data will be collected </w:t>
      </w:r>
      <w:r w:rsidR="00140318" w:rsidRPr="00C96DD1">
        <w:rPr>
          <w:rFonts w:asciiTheme="majorHAnsi" w:hAnsiTheme="majorHAnsi"/>
        </w:rPr>
        <w:t xml:space="preserve">in </w:t>
      </w:r>
      <w:r w:rsidR="00F36437">
        <w:rPr>
          <w:rFonts w:asciiTheme="majorHAnsi" w:hAnsiTheme="majorHAnsi"/>
        </w:rPr>
        <w:t>multiple</w:t>
      </w:r>
      <w:r w:rsidR="0072436B" w:rsidRPr="00C96DD1">
        <w:rPr>
          <w:rFonts w:asciiTheme="majorHAnsi" w:hAnsiTheme="majorHAnsi"/>
        </w:rPr>
        <w:t xml:space="preserve"> states from </w:t>
      </w:r>
      <w:r w:rsidR="00F36437">
        <w:rPr>
          <w:rFonts w:asciiTheme="majorHAnsi" w:hAnsiTheme="majorHAnsi"/>
        </w:rPr>
        <w:t>30</w:t>
      </w:r>
      <w:r w:rsidR="005E7780" w:rsidRPr="00C96DD1">
        <w:rPr>
          <w:rFonts w:asciiTheme="majorHAnsi" w:hAnsiTheme="majorHAnsi"/>
        </w:rPr>
        <w:t xml:space="preserve"> </w:t>
      </w:r>
      <w:r w:rsidR="00140318" w:rsidRPr="00C96DD1">
        <w:rPr>
          <w:rFonts w:asciiTheme="majorHAnsi" w:hAnsiTheme="majorHAnsi"/>
        </w:rPr>
        <w:t>state</w:t>
      </w:r>
      <w:r w:rsidR="0069009D">
        <w:rPr>
          <w:rFonts w:asciiTheme="majorHAnsi" w:hAnsiTheme="majorHAnsi"/>
        </w:rPr>
        <w:t xml:space="preserve"> and local</w:t>
      </w:r>
      <w:r w:rsidR="006374E8">
        <w:rPr>
          <w:rFonts w:asciiTheme="majorHAnsi" w:hAnsiTheme="majorHAnsi"/>
        </w:rPr>
        <w:t xml:space="preserve"> </w:t>
      </w:r>
      <w:r w:rsidR="00B96F1E">
        <w:rPr>
          <w:rFonts w:asciiTheme="majorHAnsi" w:hAnsiTheme="majorHAnsi"/>
        </w:rPr>
        <w:t>e</w:t>
      </w:r>
      <w:r w:rsidR="00B96F1E" w:rsidRPr="00C96DD1">
        <w:rPr>
          <w:rFonts w:asciiTheme="majorHAnsi" w:hAnsiTheme="majorHAnsi"/>
        </w:rPr>
        <w:t xml:space="preserve">nvironmental health staff </w:t>
      </w:r>
      <w:r w:rsidR="0069009D">
        <w:rPr>
          <w:rFonts w:asciiTheme="majorHAnsi" w:hAnsiTheme="majorHAnsi"/>
        </w:rPr>
        <w:t>acting in their official capacities</w:t>
      </w:r>
      <w:r w:rsidR="00E7574D">
        <w:rPr>
          <w:rFonts w:asciiTheme="majorHAnsi" w:hAnsiTheme="majorHAnsi"/>
        </w:rPr>
        <w:t>,</w:t>
      </w:r>
      <w:r w:rsidR="0069009D">
        <w:rPr>
          <w:rFonts w:asciiTheme="majorHAnsi" w:hAnsiTheme="majorHAnsi"/>
        </w:rPr>
        <w:t xml:space="preserve"> w</w:t>
      </w:r>
      <w:r w:rsidR="00943562" w:rsidRPr="00C96DD1">
        <w:rPr>
          <w:rFonts w:asciiTheme="majorHAnsi" w:hAnsiTheme="majorHAnsi"/>
        </w:rPr>
        <w:t xml:space="preserve">ho </w:t>
      </w:r>
      <w:r w:rsidR="00140318" w:rsidRPr="00C96DD1">
        <w:rPr>
          <w:rFonts w:asciiTheme="majorHAnsi" w:hAnsiTheme="majorHAnsi"/>
        </w:rPr>
        <w:t xml:space="preserve">have been involved in </w:t>
      </w:r>
      <w:r w:rsidR="00943562" w:rsidRPr="00C96DD1">
        <w:rPr>
          <w:rFonts w:asciiTheme="majorHAnsi" w:hAnsiTheme="majorHAnsi"/>
        </w:rPr>
        <w:t>outreach to private well owners</w:t>
      </w:r>
      <w:r w:rsidR="005C1769" w:rsidRPr="00C96DD1">
        <w:rPr>
          <w:rFonts w:asciiTheme="majorHAnsi" w:hAnsiTheme="majorHAnsi"/>
        </w:rPr>
        <w:t>.</w:t>
      </w:r>
      <w:r w:rsidR="00956E28" w:rsidRPr="00C96DD1">
        <w:rPr>
          <w:rFonts w:asciiTheme="majorHAnsi" w:hAnsiTheme="majorHAnsi"/>
        </w:rPr>
        <w:t xml:space="preserve"> </w:t>
      </w:r>
    </w:p>
    <w:p w14:paraId="570D92FF" w14:textId="77777777" w:rsidR="00D03F47" w:rsidRPr="00C96DD1" w:rsidRDefault="00D03F47" w:rsidP="001636E7">
      <w:pPr>
        <w:pStyle w:val="Header"/>
        <w:tabs>
          <w:tab w:val="clear" w:pos="4680"/>
        </w:tabs>
        <w:spacing w:line="276" w:lineRule="auto"/>
        <w:rPr>
          <w:rFonts w:asciiTheme="majorHAnsi" w:hAnsiTheme="majorHAnsi"/>
        </w:rPr>
      </w:pPr>
    </w:p>
    <w:p w14:paraId="3ECD2245" w14:textId="77777777" w:rsidR="00EB03AB" w:rsidRPr="00C96DD1" w:rsidRDefault="00812256" w:rsidP="001636E7">
      <w:pPr>
        <w:pStyle w:val="Header"/>
        <w:tabs>
          <w:tab w:val="clear" w:pos="4680"/>
        </w:tabs>
        <w:spacing w:line="276" w:lineRule="auto"/>
        <w:rPr>
          <w:rFonts w:asciiTheme="majorHAnsi" w:hAnsiTheme="majorHAnsi"/>
        </w:rPr>
      </w:pPr>
      <w:r w:rsidRPr="00C96DD1">
        <w:rPr>
          <w:rFonts w:asciiTheme="majorHAnsi" w:hAnsiTheme="majorHAnsi"/>
        </w:rPr>
        <w:t xml:space="preserve">As a drinking water source, groundwater may be generally safe, but there are many instances where groundwater or a </w:t>
      </w:r>
      <w:r w:rsidR="00DF0202" w:rsidRPr="00C96DD1">
        <w:rPr>
          <w:rFonts w:asciiTheme="majorHAnsi" w:hAnsiTheme="majorHAnsi"/>
        </w:rPr>
        <w:t xml:space="preserve">drinking water </w:t>
      </w:r>
      <w:r w:rsidRPr="00C96DD1">
        <w:rPr>
          <w:rFonts w:asciiTheme="majorHAnsi" w:hAnsiTheme="majorHAnsi"/>
        </w:rPr>
        <w:t>well have been contaminated from anthropogenic sources</w:t>
      </w:r>
      <w:r w:rsidR="00636732" w:rsidRPr="00C96DD1">
        <w:rPr>
          <w:rFonts w:asciiTheme="majorHAnsi" w:hAnsiTheme="majorHAnsi"/>
          <w:vertAlign w:val="superscript"/>
        </w:rPr>
        <w:t>1,2,3,4</w:t>
      </w:r>
      <w:r w:rsidR="00636732" w:rsidRPr="00C96DD1">
        <w:rPr>
          <w:rFonts w:asciiTheme="majorHAnsi" w:hAnsiTheme="majorHAnsi"/>
        </w:rPr>
        <w:t xml:space="preserve">, </w:t>
      </w:r>
      <w:r w:rsidRPr="00C96DD1">
        <w:rPr>
          <w:rFonts w:asciiTheme="majorHAnsi" w:hAnsiTheme="majorHAnsi"/>
        </w:rPr>
        <w:t>where contaminants exist naturally in groundwater and can cause adverse health effects</w:t>
      </w:r>
      <w:r w:rsidR="00636732" w:rsidRPr="00C96DD1">
        <w:rPr>
          <w:rFonts w:asciiTheme="majorHAnsi" w:hAnsiTheme="majorHAnsi"/>
          <w:vertAlign w:val="superscript"/>
        </w:rPr>
        <w:t>5,6</w:t>
      </w:r>
      <w:r w:rsidR="001908F4" w:rsidRPr="00C96DD1">
        <w:rPr>
          <w:rFonts w:asciiTheme="majorHAnsi" w:hAnsiTheme="majorHAnsi"/>
        </w:rPr>
        <w:t xml:space="preserve">, </w:t>
      </w:r>
      <w:r w:rsidR="00246CAA" w:rsidRPr="00C96DD1">
        <w:rPr>
          <w:rFonts w:asciiTheme="majorHAnsi" w:hAnsiTheme="majorHAnsi"/>
        </w:rPr>
        <w:t>or where a well has been compromised allowing contaminants to enter the well</w:t>
      </w:r>
      <w:r w:rsidR="001908F4" w:rsidRPr="00C96DD1">
        <w:rPr>
          <w:rFonts w:asciiTheme="majorHAnsi" w:hAnsiTheme="majorHAnsi"/>
          <w:vertAlign w:val="superscript"/>
        </w:rPr>
        <w:t>7</w:t>
      </w:r>
      <w:r w:rsidRPr="00C96DD1">
        <w:rPr>
          <w:rFonts w:asciiTheme="majorHAnsi" w:hAnsiTheme="majorHAnsi"/>
        </w:rPr>
        <w:t xml:space="preserve">. </w:t>
      </w:r>
      <w:r w:rsidR="00140318" w:rsidRPr="00C96DD1">
        <w:rPr>
          <w:rFonts w:asciiTheme="majorHAnsi" w:hAnsiTheme="majorHAnsi"/>
        </w:rPr>
        <w:t>P</w:t>
      </w:r>
      <w:r w:rsidR="00D03F47" w:rsidRPr="00C96DD1">
        <w:rPr>
          <w:rFonts w:asciiTheme="majorHAnsi" w:hAnsiTheme="majorHAnsi"/>
        </w:rPr>
        <w:t>rivate well owners have historically assumed that their well water is safe to drink</w:t>
      </w:r>
      <w:r w:rsidR="001908F4" w:rsidRPr="00C96DD1">
        <w:rPr>
          <w:rFonts w:asciiTheme="majorHAnsi" w:hAnsiTheme="majorHAnsi"/>
          <w:vertAlign w:val="superscript"/>
        </w:rPr>
        <w:t>8,</w:t>
      </w:r>
      <w:r w:rsidR="002B4972" w:rsidRPr="00C96DD1">
        <w:rPr>
          <w:rFonts w:asciiTheme="majorHAnsi" w:hAnsiTheme="majorHAnsi"/>
          <w:vertAlign w:val="superscript"/>
        </w:rPr>
        <w:t xml:space="preserve"> </w:t>
      </w:r>
      <w:r w:rsidR="001908F4" w:rsidRPr="00C96DD1">
        <w:rPr>
          <w:rFonts w:asciiTheme="majorHAnsi" w:hAnsiTheme="majorHAnsi"/>
          <w:vertAlign w:val="superscript"/>
        </w:rPr>
        <w:t>9</w:t>
      </w:r>
      <w:r w:rsidR="00AB66C8" w:rsidRPr="00C96DD1">
        <w:rPr>
          <w:rFonts w:asciiTheme="majorHAnsi" w:hAnsiTheme="majorHAnsi"/>
        </w:rPr>
        <w:t xml:space="preserve">. </w:t>
      </w:r>
      <w:r w:rsidR="00D03F47" w:rsidRPr="00C96DD1">
        <w:rPr>
          <w:rFonts w:asciiTheme="majorHAnsi" w:hAnsiTheme="majorHAnsi"/>
        </w:rPr>
        <w:t xml:space="preserve">This happens for various reasons, including a long history of using the well, the assumption that groundwater is a protected resource, </w:t>
      </w:r>
      <w:r w:rsidRPr="00C96DD1">
        <w:rPr>
          <w:rFonts w:asciiTheme="majorHAnsi" w:hAnsiTheme="majorHAnsi"/>
        </w:rPr>
        <w:t>or that being in a rural setting protects their drinking water source, to name a few</w:t>
      </w:r>
      <w:r w:rsidR="001908F4" w:rsidRPr="00C96DD1">
        <w:rPr>
          <w:rFonts w:asciiTheme="majorHAnsi" w:hAnsiTheme="majorHAnsi"/>
          <w:vertAlign w:val="superscript"/>
        </w:rPr>
        <w:t>8</w:t>
      </w:r>
      <w:r w:rsidRPr="00C96DD1">
        <w:rPr>
          <w:rFonts w:asciiTheme="majorHAnsi" w:hAnsiTheme="majorHAnsi"/>
        </w:rPr>
        <w:t xml:space="preserve">. </w:t>
      </w:r>
      <w:r w:rsidR="00EB03AB" w:rsidRPr="00C96DD1">
        <w:rPr>
          <w:rFonts w:asciiTheme="majorHAnsi" w:hAnsiTheme="majorHAnsi"/>
        </w:rPr>
        <w:t>Because of these and other reasons</w:t>
      </w:r>
      <w:r w:rsidR="00DB4040" w:rsidRPr="00C96DD1">
        <w:rPr>
          <w:rFonts w:asciiTheme="majorHAnsi" w:hAnsiTheme="majorHAnsi"/>
        </w:rPr>
        <w:t xml:space="preserve"> that are not well understood</w:t>
      </w:r>
      <w:r w:rsidR="00F776E8" w:rsidRPr="00C96DD1">
        <w:rPr>
          <w:rFonts w:asciiTheme="majorHAnsi" w:hAnsiTheme="majorHAnsi"/>
        </w:rPr>
        <w:t>, well owners often don’t</w:t>
      </w:r>
      <w:r w:rsidR="00EB03AB" w:rsidRPr="00C96DD1">
        <w:rPr>
          <w:rFonts w:asciiTheme="majorHAnsi" w:hAnsiTheme="majorHAnsi"/>
        </w:rPr>
        <w:t xml:space="preserve"> test their well water, even when efforts to promote testing or</w:t>
      </w:r>
      <w:r w:rsidR="004A26D6" w:rsidRPr="00C96DD1">
        <w:rPr>
          <w:rFonts w:asciiTheme="majorHAnsi" w:hAnsiTheme="majorHAnsi"/>
        </w:rPr>
        <w:t xml:space="preserve"> to</w:t>
      </w:r>
      <w:r w:rsidR="00EB03AB" w:rsidRPr="00C96DD1">
        <w:rPr>
          <w:rFonts w:asciiTheme="majorHAnsi" w:hAnsiTheme="majorHAnsi"/>
        </w:rPr>
        <w:t xml:space="preserve"> provide testing have been undertaken.</w:t>
      </w:r>
    </w:p>
    <w:p w14:paraId="5EA8958B" w14:textId="77777777" w:rsidR="00EB03AB" w:rsidRPr="00C96DD1" w:rsidRDefault="00EB03AB" w:rsidP="001636E7">
      <w:pPr>
        <w:pStyle w:val="Header"/>
        <w:tabs>
          <w:tab w:val="clear" w:pos="4680"/>
        </w:tabs>
        <w:spacing w:line="276" w:lineRule="auto"/>
        <w:rPr>
          <w:rFonts w:asciiTheme="majorHAnsi" w:hAnsiTheme="majorHAnsi"/>
        </w:rPr>
      </w:pPr>
    </w:p>
    <w:p w14:paraId="047DE598" w14:textId="4B3613B8" w:rsidR="00753476" w:rsidRPr="00C96DD1" w:rsidRDefault="00D03F47" w:rsidP="001636E7">
      <w:pPr>
        <w:pStyle w:val="Header"/>
        <w:tabs>
          <w:tab w:val="clear" w:pos="4680"/>
        </w:tabs>
        <w:spacing w:line="276" w:lineRule="auto"/>
        <w:rPr>
          <w:rFonts w:asciiTheme="majorHAnsi" w:hAnsiTheme="majorHAnsi"/>
        </w:rPr>
      </w:pPr>
      <w:r w:rsidRPr="00C96DD1">
        <w:rPr>
          <w:rFonts w:asciiTheme="majorHAnsi" w:hAnsiTheme="majorHAnsi"/>
        </w:rPr>
        <w:t xml:space="preserve">There is a great need among </w:t>
      </w:r>
      <w:r w:rsidR="00943562" w:rsidRPr="00C96DD1">
        <w:rPr>
          <w:rFonts w:asciiTheme="majorHAnsi" w:hAnsiTheme="majorHAnsi"/>
        </w:rPr>
        <w:t xml:space="preserve">environmental health staff at state, local, and tribal environmental health and agricultural </w:t>
      </w:r>
      <w:r w:rsidR="00B42C1B" w:rsidRPr="00C96DD1">
        <w:rPr>
          <w:rFonts w:asciiTheme="majorHAnsi" w:hAnsiTheme="majorHAnsi"/>
        </w:rPr>
        <w:t>departments</w:t>
      </w:r>
      <w:r w:rsidR="00943562" w:rsidRPr="00C96DD1">
        <w:rPr>
          <w:rFonts w:asciiTheme="majorHAnsi" w:hAnsiTheme="majorHAnsi"/>
        </w:rPr>
        <w:t xml:space="preserve"> who conduct outreach to private well owners </w:t>
      </w:r>
      <w:r w:rsidRPr="00C96DD1">
        <w:rPr>
          <w:rFonts w:asciiTheme="majorHAnsi" w:hAnsiTheme="majorHAnsi"/>
        </w:rPr>
        <w:t xml:space="preserve">to </w:t>
      </w:r>
      <w:r w:rsidR="00943562" w:rsidRPr="00C96DD1">
        <w:rPr>
          <w:rFonts w:asciiTheme="majorHAnsi" w:hAnsiTheme="majorHAnsi"/>
        </w:rPr>
        <w:t xml:space="preserve">1) </w:t>
      </w:r>
      <w:r w:rsidRPr="00C96DD1">
        <w:rPr>
          <w:rFonts w:asciiTheme="majorHAnsi" w:hAnsiTheme="majorHAnsi"/>
        </w:rPr>
        <w:t xml:space="preserve">better understand </w:t>
      </w:r>
      <w:r w:rsidR="00C90AC9">
        <w:rPr>
          <w:rFonts w:asciiTheme="majorHAnsi" w:hAnsiTheme="majorHAnsi"/>
        </w:rPr>
        <w:t>private well owners’</w:t>
      </w:r>
      <w:r w:rsidR="00C90AC9" w:rsidRPr="00C96DD1">
        <w:rPr>
          <w:rFonts w:asciiTheme="majorHAnsi" w:hAnsiTheme="majorHAnsi"/>
        </w:rPr>
        <w:t xml:space="preserve"> </w:t>
      </w:r>
      <w:r w:rsidR="00812256" w:rsidRPr="00C96DD1">
        <w:rPr>
          <w:rFonts w:asciiTheme="majorHAnsi" w:hAnsiTheme="majorHAnsi"/>
        </w:rPr>
        <w:t>motivations</w:t>
      </w:r>
      <w:r w:rsidR="00420FB9" w:rsidRPr="00C96DD1">
        <w:rPr>
          <w:rFonts w:asciiTheme="majorHAnsi" w:hAnsiTheme="majorHAnsi"/>
        </w:rPr>
        <w:t xml:space="preserve"> </w:t>
      </w:r>
      <w:r w:rsidR="00812256" w:rsidRPr="00C96DD1">
        <w:rPr>
          <w:rFonts w:asciiTheme="majorHAnsi" w:hAnsiTheme="majorHAnsi"/>
        </w:rPr>
        <w:t xml:space="preserve">for testing </w:t>
      </w:r>
      <w:r w:rsidR="00C90AC9">
        <w:rPr>
          <w:rFonts w:asciiTheme="majorHAnsi" w:hAnsiTheme="majorHAnsi"/>
        </w:rPr>
        <w:t>their</w:t>
      </w:r>
      <w:r w:rsidR="00C90AC9" w:rsidRPr="00C96DD1">
        <w:rPr>
          <w:rFonts w:asciiTheme="majorHAnsi" w:hAnsiTheme="majorHAnsi"/>
        </w:rPr>
        <w:t xml:space="preserve"> </w:t>
      </w:r>
      <w:r w:rsidR="00812256" w:rsidRPr="00C96DD1">
        <w:rPr>
          <w:rFonts w:asciiTheme="majorHAnsi" w:hAnsiTheme="majorHAnsi"/>
        </w:rPr>
        <w:t xml:space="preserve">wells and </w:t>
      </w:r>
      <w:r w:rsidR="00943562" w:rsidRPr="00C96DD1">
        <w:rPr>
          <w:rFonts w:asciiTheme="majorHAnsi" w:hAnsiTheme="majorHAnsi"/>
        </w:rPr>
        <w:t xml:space="preserve">2) </w:t>
      </w:r>
      <w:r w:rsidR="00812256" w:rsidRPr="00C96DD1">
        <w:rPr>
          <w:rFonts w:asciiTheme="majorHAnsi" w:hAnsiTheme="majorHAnsi"/>
        </w:rPr>
        <w:t xml:space="preserve">what methods might be most effective at encouraging private well owners to test their well water. </w:t>
      </w:r>
      <w:r w:rsidR="00D57DA8" w:rsidRPr="00C96DD1">
        <w:rPr>
          <w:rFonts w:asciiTheme="majorHAnsi" w:hAnsiTheme="majorHAnsi"/>
        </w:rPr>
        <w:t xml:space="preserve">Well owners </w:t>
      </w:r>
      <w:r w:rsidR="00C90AC9">
        <w:rPr>
          <w:rFonts w:asciiTheme="majorHAnsi" w:hAnsiTheme="majorHAnsi"/>
        </w:rPr>
        <w:t>may</w:t>
      </w:r>
      <w:r w:rsidR="00D57DA8" w:rsidRPr="00C96DD1">
        <w:rPr>
          <w:rFonts w:asciiTheme="majorHAnsi" w:hAnsiTheme="majorHAnsi"/>
        </w:rPr>
        <w:t xml:space="preserve"> </w:t>
      </w:r>
      <w:r w:rsidR="00D57DA8" w:rsidRPr="00C96DD1">
        <w:rPr>
          <w:rFonts w:asciiTheme="majorHAnsi" w:hAnsiTheme="majorHAnsi"/>
        </w:rPr>
        <w:lastRenderedPageBreak/>
        <w:t>perceive their well water to be safe, or they lack awareness of the issues associated with private well water quality</w:t>
      </w:r>
      <w:r w:rsidR="00177222" w:rsidRPr="00C96DD1">
        <w:rPr>
          <w:rFonts w:asciiTheme="majorHAnsi" w:hAnsiTheme="majorHAnsi"/>
          <w:vertAlign w:val="superscript"/>
        </w:rPr>
        <w:t>8,</w:t>
      </w:r>
      <w:r w:rsidR="00C54555" w:rsidRPr="00C96DD1">
        <w:rPr>
          <w:rFonts w:asciiTheme="majorHAnsi" w:hAnsiTheme="majorHAnsi"/>
          <w:vertAlign w:val="superscript"/>
        </w:rPr>
        <w:t xml:space="preserve"> </w:t>
      </w:r>
      <w:r w:rsidR="0072436B" w:rsidRPr="00C96DD1">
        <w:rPr>
          <w:rFonts w:asciiTheme="majorHAnsi" w:hAnsiTheme="majorHAnsi"/>
          <w:vertAlign w:val="superscript"/>
        </w:rPr>
        <w:t>10</w:t>
      </w:r>
      <w:r w:rsidR="00177222" w:rsidRPr="00C96DD1">
        <w:rPr>
          <w:rFonts w:asciiTheme="majorHAnsi" w:hAnsiTheme="majorHAnsi"/>
          <w:vertAlign w:val="superscript"/>
        </w:rPr>
        <w:t>,</w:t>
      </w:r>
      <w:r w:rsidR="00C54555" w:rsidRPr="00C96DD1">
        <w:rPr>
          <w:rFonts w:asciiTheme="majorHAnsi" w:hAnsiTheme="majorHAnsi"/>
          <w:vertAlign w:val="superscript"/>
        </w:rPr>
        <w:t xml:space="preserve"> </w:t>
      </w:r>
      <w:r w:rsidR="0072436B" w:rsidRPr="00C96DD1">
        <w:rPr>
          <w:rFonts w:asciiTheme="majorHAnsi" w:hAnsiTheme="majorHAnsi"/>
          <w:vertAlign w:val="superscript"/>
        </w:rPr>
        <w:t>11</w:t>
      </w:r>
      <w:r w:rsidR="00D57DA8" w:rsidRPr="00C96DD1">
        <w:rPr>
          <w:rFonts w:asciiTheme="majorHAnsi" w:hAnsiTheme="majorHAnsi"/>
        </w:rPr>
        <w:t>.  In other cases, well owners</w:t>
      </w:r>
      <w:r w:rsidR="00812256" w:rsidRPr="00C96DD1">
        <w:rPr>
          <w:rFonts w:asciiTheme="majorHAnsi" w:hAnsiTheme="majorHAnsi"/>
        </w:rPr>
        <w:t xml:space="preserve"> </w:t>
      </w:r>
      <w:r w:rsidR="00E764A4" w:rsidRPr="00C96DD1">
        <w:rPr>
          <w:rFonts w:asciiTheme="majorHAnsi" w:hAnsiTheme="majorHAnsi"/>
        </w:rPr>
        <w:t>might not be able to</w:t>
      </w:r>
      <w:r w:rsidR="00D57DA8" w:rsidRPr="00C96DD1">
        <w:rPr>
          <w:rFonts w:asciiTheme="majorHAnsi" w:hAnsiTheme="majorHAnsi"/>
        </w:rPr>
        <w:t xml:space="preserve"> afford to test their well water</w:t>
      </w:r>
      <w:r w:rsidR="00E764A4" w:rsidRPr="00C96DD1">
        <w:rPr>
          <w:rFonts w:asciiTheme="majorHAnsi" w:hAnsiTheme="majorHAnsi"/>
        </w:rPr>
        <w:t>,</w:t>
      </w:r>
      <w:r w:rsidR="00D57DA8" w:rsidRPr="00C96DD1">
        <w:rPr>
          <w:rFonts w:asciiTheme="majorHAnsi" w:hAnsiTheme="majorHAnsi"/>
        </w:rPr>
        <w:t xml:space="preserve"> or </w:t>
      </w:r>
      <w:r w:rsidR="00E764A4" w:rsidRPr="00C96DD1">
        <w:rPr>
          <w:rFonts w:asciiTheme="majorHAnsi" w:hAnsiTheme="majorHAnsi"/>
        </w:rPr>
        <w:t xml:space="preserve">they might </w:t>
      </w:r>
      <w:r w:rsidR="00D57DA8" w:rsidRPr="00C96DD1">
        <w:rPr>
          <w:rFonts w:asciiTheme="majorHAnsi" w:hAnsiTheme="majorHAnsi"/>
        </w:rPr>
        <w:t xml:space="preserve">procrastinate because of the fear of costs, findings, or </w:t>
      </w:r>
      <w:r w:rsidR="00E764A4" w:rsidRPr="00C96DD1">
        <w:rPr>
          <w:rFonts w:asciiTheme="majorHAnsi" w:hAnsiTheme="majorHAnsi"/>
        </w:rPr>
        <w:t>a lack of</w:t>
      </w:r>
      <w:r w:rsidR="00D57DA8" w:rsidRPr="00C96DD1">
        <w:rPr>
          <w:rFonts w:asciiTheme="majorHAnsi" w:hAnsiTheme="majorHAnsi"/>
        </w:rPr>
        <w:t xml:space="preserve"> understand</w:t>
      </w:r>
      <w:r w:rsidR="00E764A4" w:rsidRPr="00C96DD1">
        <w:rPr>
          <w:rFonts w:asciiTheme="majorHAnsi" w:hAnsiTheme="majorHAnsi"/>
        </w:rPr>
        <w:t>ing that</w:t>
      </w:r>
      <w:r w:rsidR="00D57DA8" w:rsidRPr="00C96DD1">
        <w:rPr>
          <w:rFonts w:asciiTheme="majorHAnsi" w:hAnsiTheme="majorHAnsi"/>
        </w:rPr>
        <w:t xml:space="preserve"> </w:t>
      </w:r>
      <w:r w:rsidR="00C90AC9">
        <w:rPr>
          <w:rFonts w:asciiTheme="majorHAnsi" w:hAnsiTheme="majorHAnsi"/>
        </w:rPr>
        <w:t xml:space="preserve">their water might be contaminated </w:t>
      </w:r>
      <w:r w:rsidR="00D57DA8" w:rsidRPr="00C96DD1">
        <w:rPr>
          <w:rFonts w:asciiTheme="majorHAnsi" w:hAnsiTheme="majorHAnsi"/>
          <w:vertAlign w:val="superscript"/>
        </w:rPr>
        <w:t>8,</w:t>
      </w:r>
      <w:r w:rsidR="00C54555" w:rsidRPr="00C96DD1">
        <w:rPr>
          <w:rFonts w:asciiTheme="majorHAnsi" w:hAnsiTheme="majorHAnsi"/>
          <w:vertAlign w:val="superscript"/>
        </w:rPr>
        <w:t xml:space="preserve"> </w:t>
      </w:r>
      <w:r w:rsidR="0072436B" w:rsidRPr="00C96DD1">
        <w:rPr>
          <w:rFonts w:asciiTheme="majorHAnsi" w:hAnsiTheme="majorHAnsi"/>
          <w:vertAlign w:val="superscript"/>
        </w:rPr>
        <w:t>11, 12</w:t>
      </w:r>
      <w:r w:rsidR="00D57DA8" w:rsidRPr="00C96DD1">
        <w:rPr>
          <w:rFonts w:asciiTheme="majorHAnsi" w:hAnsiTheme="majorHAnsi"/>
        </w:rPr>
        <w:t xml:space="preserve">. </w:t>
      </w:r>
    </w:p>
    <w:p w14:paraId="6CDDA180" w14:textId="77777777" w:rsidR="00753476" w:rsidRPr="00C96DD1" w:rsidRDefault="00753476" w:rsidP="001636E7">
      <w:pPr>
        <w:pStyle w:val="Header"/>
        <w:tabs>
          <w:tab w:val="clear" w:pos="4680"/>
        </w:tabs>
        <w:spacing w:line="276" w:lineRule="auto"/>
        <w:rPr>
          <w:rFonts w:asciiTheme="majorHAnsi" w:hAnsiTheme="majorHAnsi"/>
        </w:rPr>
      </w:pPr>
    </w:p>
    <w:p w14:paraId="0D89AEED" w14:textId="1A8AB64E" w:rsidR="00753476" w:rsidRDefault="00812256" w:rsidP="001636E7">
      <w:pPr>
        <w:pStyle w:val="Header"/>
        <w:tabs>
          <w:tab w:val="clear" w:pos="4680"/>
        </w:tabs>
        <w:spacing w:line="276" w:lineRule="auto"/>
        <w:rPr>
          <w:rFonts w:asciiTheme="majorHAnsi" w:hAnsiTheme="majorHAnsi"/>
        </w:rPr>
      </w:pPr>
      <w:r w:rsidRPr="00C96DD1">
        <w:rPr>
          <w:rFonts w:asciiTheme="majorHAnsi" w:hAnsiTheme="majorHAnsi"/>
        </w:rPr>
        <w:t xml:space="preserve">There have been many </w:t>
      </w:r>
      <w:r w:rsidR="00943562" w:rsidRPr="00C96DD1">
        <w:rPr>
          <w:rFonts w:asciiTheme="majorHAnsi" w:hAnsiTheme="majorHAnsi"/>
        </w:rPr>
        <w:t>state, local, and tribal</w:t>
      </w:r>
      <w:r w:rsidRPr="00C96DD1">
        <w:rPr>
          <w:rFonts w:asciiTheme="majorHAnsi" w:hAnsiTheme="majorHAnsi"/>
        </w:rPr>
        <w:t xml:space="preserve"> </w:t>
      </w:r>
      <w:r w:rsidR="00943562" w:rsidRPr="00C96DD1">
        <w:rPr>
          <w:rFonts w:asciiTheme="majorHAnsi" w:hAnsiTheme="majorHAnsi"/>
        </w:rPr>
        <w:t xml:space="preserve">outreach programs conducted by environmental health staff </w:t>
      </w:r>
      <w:r w:rsidRPr="00C96DD1">
        <w:rPr>
          <w:rFonts w:asciiTheme="majorHAnsi" w:hAnsiTheme="majorHAnsi"/>
        </w:rPr>
        <w:t xml:space="preserve">to educate the owners of private wells about the risks involved with well water. </w:t>
      </w:r>
      <w:r w:rsidR="00F776E8" w:rsidRPr="00C96DD1">
        <w:rPr>
          <w:rFonts w:asciiTheme="majorHAnsi" w:hAnsiTheme="majorHAnsi"/>
        </w:rPr>
        <w:t xml:space="preserve"> </w:t>
      </w:r>
      <w:r w:rsidR="00604971" w:rsidRPr="00C96DD1">
        <w:rPr>
          <w:rFonts w:asciiTheme="majorHAnsi" w:hAnsiTheme="majorHAnsi"/>
        </w:rPr>
        <w:t xml:space="preserve">In most cases, information on the success of these programs is not available. They are often local in scope and the results of their efforts are not published. Because of this, the success of many of these programs is unknown, except to the environmental health staff at state, local, and tribal environmental health and agricultural departments who are government employees and who conduct outreach to private well owners who conducted the program.  </w:t>
      </w:r>
      <w:r w:rsidR="004B0E6D" w:rsidRPr="00C96DD1">
        <w:rPr>
          <w:rFonts w:asciiTheme="majorHAnsi" w:hAnsiTheme="majorHAnsi"/>
        </w:rPr>
        <w:t xml:space="preserve">Therefore, knowledge regarding which </w:t>
      </w:r>
      <w:r w:rsidR="00AF62A8" w:rsidRPr="00C96DD1">
        <w:rPr>
          <w:rFonts w:asciiTheme="majorHAnsi" w:hAnsiTheme="majorHAnsi"/>
        </w:rPr>
        <w:t xml:space="preserve">public outreach </w:t>
      </w:r>
      <w:r w:rsidR="0014656C" w:rsidRPr="00C96DD1">
        <w:rPr>
          <w:rFonts w:asciiTheme="majorHAnsi" w:hAnsiTheme="majorHAnsi"/>
        </w:rPr>
        <w:t>strategies and tactics work</w:t>
      </w:r>
      <w:r w:rsidR="0082016D" w:rsidRPr="00C96DD1">
        <w:rPr>
          <w:rFonts w:asciiTheme="majorHAnsi" w:hAnsiTheme="majorHAnsi"/>
        </w:rPr>
        <w:t xml:space="preserve"> </w:t>
      </w:r>
      <w:r w:rsidR="00927CD5" w:rsidRPr="00C96DD1">
        <w:rPr>
          <w:rFonts w:asciiTheme="majorHAnsi" w:hAnsiTheme="majorHAnsi"/>
        </w:rPr>
        <w:t xml:space="preserve">best in moving </w:t>
      </w:r>
      <w:r w:rsidR="00753476" w:rsidRPr="00C96DD1">
        <w:rPr>
          <w:rFonts w:asciiTheme="majorHAnsi" w:hAnsiTheme="majorHAnsi"/>
        </w:rPr>
        <w:t>private well owners</w:t>
      </w:r>
      <w:r w:rsidR="0082016D" w:rsidRPr="00C96DD1">
        <w:rPr>
          <w:rFonts w:asciiTheme="majorHAnsi" w:hAnsiTheme="majorHAnsi"/>
        </w:rPr>
        <w:t xml:space="preserve"> to action</w:t>
      </w:r>
      <w:r w:rsidR="00160F38" w:rsidRPr="00C96DD1">
        <w:rPr>
          <w:rFonts w:asciiTheme="majorHAnsi" w:hAnsiTheme="majorHAnsi"/>
        </w:rPr>
        <w:t xml:space="preserve"> and why</w:t>
      </w:r>
      <w:r w:rsidR="004B0E6D" w:rsidRPr="00C96DD1">
        <w:rPr>
          <w:rFonts w:asciiTheme="majorHAnsi" w:hAnsiTheme="majorHAnsi"/>
        </w:rPr>
        <w:t xml:space="preserve"> is largely unknown</w:t>
      </w:r>
      <w:r w:rsidR="00753476" w:rsidRPr="00C96DD1">
        <w:rPr>
          <w:rFonts w:asciiTheme="majorHAnsi" w:hAnsiTheme="majorHAnsi"/>
        </w:rPr>
        <w:t xml:space="preserve">. </w:t>
      </w:r>
    </w:p>
    <w:p w14:paraId="424919A9" w14:textId="77777777" w:rsidR="00FE35F8" w:rsidRDefault="00FE35F8" w:rsidP="001636E7">
      <w:pPr>
        <w:pStyle w:val="Header"/>
        <w:tabs>
          <w:tab w:val="clear" w:pos="4680"/>
        </w:tabs>
        <w:spacing w:line="276" w:lineRule="auto"/>
        <w:rPr>
          <w:rFonts w:asciiTheme="majorHAnsi" w:hAnsiTheme="majorHAnsi"/>
        </w:rPr>
      </w:pPr>
    </w:p>
    <w:p w14:paraId="7C43C49E" w14:textId="1E09E161" w:rsidR="004C22CB" w:rsidRDefault="00FE35F8" w:rsidP="004C22CB">
      <w:pPr>
        <w:pStyle w:val="ListParagraph"/>
        <w:ind w:left="0"/>
        <w:rPr>
          <w:rFonts w:asciiTheme="majorHAnsi" w:hAnsiTheme="majorHAnsi"/>
        </w:rPr>
      </w:pPr>
      <w:r w:rsidRPr="006374E8">
        <w:rPr>
          <w:rFonts w:asciiTheme="majorHAnsi" w:hAnsiTheme="majorHAnsi"/>
        </w:rPr>
        <w:t xml:space="preserve">The University of Illinois, under a contract from CDC, surveyed </w:t>
      </w:r>
      <w:r w:rsidR="003812DD">
        <w:rPr>
          <w:rFonts w:asciiTheme="majorHAnsi" w:hAnsiTheme="majorHAnsi"/>
        </w:rPr>
        <w:t xml:space="preserve">during 2014 </w:t>
      </w:r>
      <w:r w:rsidRPr="006374E8">
        <w:rPr>
          <w:rFonts w:asciiTheme="majorHAnsi" w:hAnsiTheme="majorHAnsi"/>
        </w:rPr>
        <w:t>gov</w:t>
      </w:r>
      <w:r w:rsidR="00966D5E" w:rsidRPr="006374E8">
        <w:rPr>
          <w:rFonts w:asciiTheme="majorHAnsi" w:hAnsiTheme="majorHAnsi"/>
        </w:rPr>
        <w:t>ernment employees that have conducted outreach and testing programs with private well owners</w:t>
      </w:r>
      <w:r w:rsidRPr="006374E8">
        <w:rPr>
          <w:rFonts w:asciiTheme="majorHAnsi" w:hAnsiTheme="majorHAnsi"/>
        </w:rPr>
        <w:t xml:space="preserve"> </w:t>
      </w:r>
      <w:r w:rsidR="00966D5E" w:rsidRPr="006374E8">
        <w:rPr>
          <w:rFonts w:asciiTheme="majorHAnsi" w:hAnsiTheme="majorHAnsi"/>
        </w:rPr>
        <w:t>to learn what types of educational campaigns are most effective at getting homeowners to regularly test their wells</w:t>
      </w:r>
      <w:r w:rsidR="00B96F1E">
        <w:rPr>
          <w:rFonts w:asciiTheme="majorHAnsi" w:hAnsiTheme="majorHAnsi"/>
        </w:rPr>
        <w:t xml:space="preserve"> (</w:t>
      </w:r>
      <w:r w:rsidR="00B96F1E" w:rsidRPr="00554FC6">
        <w:rPr>
          <w:rFonts w:asciiTheme="majorHAnsi" w:hAnsiTheme="majorHAnsi"/>
          <w:i/>
        </w:rPr>
        <w:t>Effective Educational Campaigns for Private Well Owners</w:t>
      </w:r>
      <w:r w:rsidR="00B96F1E">
        <w:rPr>
          <w:rFonts w:asciiTheme="majorHAnsi" w:hAnsiTheme="majorHAnsi"/>
          <w:i/>
        </w:rPr>
        <w:t xml:space="preserve">, </w:t>
      </w:r>
      <w:r w:rsidR="00B96F1E">
        <w:rPr>
          <w:rFonts w:asciiTheme="majorHAnsi" w:hAnsiTheme="majorHAnsi"/>
        </w:rPr>
        <w:t>OMB 0920-0879, approved 5/29/14)</w:t>
      </w:r>
      <w:r w:rsidR="00966D5E" w:rsidRPr="006374E8">
        <w:rPr>
          <w:rFonts w:asciiTheme="majorHAnsi" w:hAnsiTheme="majorHAnsi"/>
        </w:rPr>
        <w:t xml:space="preserve">. The preliminary results of the </w:t>
      </w:r>
      <w:r w:rsidR="006374E8">
        <w:rPr>
          <w:rFonts w:asciiTheme="majorHAnsi" w:hAnsiTheme="majorHAnsi"/>
        </w:rPr>
        <w:t>assessment</w:t>
      </w:r>
      <w:r w:rsidR="00966D5E" w:rsidRPr="006374E8">
        <w:rPr>
          <w:rFonts w:asciiTheme="majorHAnsi" w:hAnsiTheme="majorHAnsi"/>
        </w:rPr>
        <w:t xml:space="preserve"> are presented in Attachment A</w:t>
      </w:r>
      <w:r w:rsidR="008851ED" w:rsidRPr="006374E8">
        <w:rPr>
          <w:rFonts w:asciiTheme="majorHAnsi" w:hAnsiTheme="majorHAnsi"/>
        </w:rPr>
        <w:t xml:space="preserve"> </w:t>
      </w:r>
      <w:r w:rsidR="00D52202">
        <w:rPr>
          <w:rFonts w:asciiTheme="majorHAnsi" w:hAnsiTheme="majorHAnsi"/>
        </w:rPr>
        <w:t xml:space="preserve">and B </w:t>
      </w:r>
      <w:r w:rsidR="008851ED" w:rsidRPr="00841EDC">
        <w:rPr>
          <w:rFonts w:asciiTheme="majorHAnsi" w:hAnsiTheme="majorHAnsi"/>
        </w:rPr>
        <w:t>(</w:t>
      </w:r>
      <w:r w:rsidR="00841EDC" w:rsidRPr="00841EDC">
        <w:rPr>
          <w:rFonts w:asciiTheme="majorHAnsi" w:hAnsiTheme="majorHAnsi"/>
        </w:rPr>
        <w:t xml:space="preserve">see </w:t>
      </w:r>
      <w:r w:rsidR="008851ED" w:rsidRPr="006374E8">
        <w:rPr>
          <w:rFonts w:asciiTheme="majorHAnsi" w:hAnsiTheme="majorHAnsi"/>
          <w:b/>
        </w:rPr>
        <w:t xml:space="preserve">Attachment A: University of Illinois’ Online </w:t>
      </w:r>
      <w:r w:rsidR="00841EDC">
        <w:rPr>
          <w:rFonts w:asciiTheme="majorHAnsi" w:hAnsiTheme="majorHAnsi"/>
          <w:b/>
        </w:rPr>
        <w:t>Assessment</w:t>
      </w:r>
      <w:r w:rsidR="00ED169D">
        <w:rPr>
          <w:rFonts w:asciiTheme="majorHAnsi" w:hAnsiTheme="majorHAnsi"/>
          <w:b/>
        </w:rPr>
        <w:t xml:space="preserve"> Results</w:t>
      </w:r>
      <w:r w:rsidR="005A134C">
        <w:rPr>
          <w:rFonts w:asciiTheme="majorHAnsi" w:hAnsiTheme="majorHAnsi"/>
          <w:b/>
        </w:rPr>
        <w:t xml:space="preserve"> Table</w:t>
      </w:r>
      <w:r w:rsidR="00D52202">
        <w:rPr>
          <w:rFonts w:asciiTheme="majorHAnsi" w:hAnsiTheme="majorHAnsi"/>
          <w:b/>
        </w:rPr>
        <w:t>, Attachment B: University of Illinois’ Online Assessment Results</w:t>
      </w:r>
      <w:r w:rsidR="005A134C" w:rsidRPr="005A134C">
        <w:rPr>
          <w:rFonts w:asciiTheme="majorHAnsi" w:hAnsiTheme="majorHAnsi"/>
          <w:b/>
        </w:rPr>
        <w:t xml:space="preserve"> </w:t>
      </w:r>
      <w:r w:rsidR="005A134C">
        <w:rPr>
          <w:rFonts w:asciiTheme="majorHAnsi" w:hAnsiTheme="majorHAnsi"/>
          <w:b/>
        </w:rPr>
        <w:t>PowerPoint Presentation</w:t>
      </w:r>
      <w:r w:rsidR="008851ED" w:rsidRPr="00841EDC">
        <w:rPr>
          <w:rFonts w:asciiTheme="majorHAnsi" w:hAnsiTheme="majorHAnsi"/>
        </w:rPr>
        <w:t>)</w:t>
      </w:r>
      <w:r w:rsidR="00966D5E" w:rsidRPr="006374E8">
        <w:rPr>
          <w:rFonts w:asciiTheme="majorHAnsi" w:hAnsiTheme="majorHAnsi"/>
        </w:rPr>
        <w:t>.</w:t>
      </w:r>
      <w:r w:rsidR="006525B9" w:rsidRPr="006374E8">
        <w:rPr>
          <w:rFonts w:asciiTheme="majorHAnsi" w:hAnsiTheme="majorHAnsi"/>
        </w:rPr>
        <w:t xml:space="preserve"> The response rate for the </w:t>
      </w:r>
      <w:r w:rsidR="006374E8">
        <w:rPr>
          <w:rFonts w:asciiTheme="majorHAnsi" w:hAnsiTheme="majorHAnsi"/>
        </w:rPr>
        <w:t>assessment</w:t>
      </w:r>
      <w:r w:rsidR="006525B9" w:rsidRPr="006374E8">
        <w:rPr>
          <w:rFonts w:asciiTheme="majorHAnsi" w:hAnsiTheme="majorHAnsi"/>
        </w:rPr>
        <w:t xml:space="preserve"> was excellent at </w:t>
      </w:r>
      <w:r w:rsidR="00B06AEA" w:rsidRPr="006374E8">
        <w:rPr>
          <w:rFonts w:asciiTheme="majorHAnsi" w:hAnsiTheme="majorHAnsi"/>
        </w:rPr>
        <w:t>91</w:t>
      </w:r>
      <w:r w:rsidR="006525B9" w:rsidRPr="006374E8">
        <w:rPr>
          <w:rFonts w:asciiTheme="majorHAnsi" w:hAnsiTheme="majorHAnsi"/>
        </w:rPr>
        <w:t>%</w:t>
      </w:r>
      <w:r w:rsidR="004E6FAE" w:rsidRPr="006374E8">
        <w:rPr>
          <w:rFonts w:asciiTheme="majorHAnsi" w:hAnsiTheme="majorHAnsi"/>
        </w:rPr>
        <w:t>. Results of the survey showed</w:t>
      </w:r>
      <w:r w:rsidR="00B06AEA" w:rsidRPr="006374E8">
        <w:rPr>
          <w:rFonts w:asciiTheme="majorHAnsi" w:hAnsiTheme="majorHAnsi"/>
        </w:rPr>
        <w:t xml:space="preserve"> 92% </w:t>
      </w:r>
      <w:r w:rsidR="00AE19E6" w:rsidRPr="006374E8">
        <w:rPr>
          <w:rFonts w:asciiTheme="majorHAnsi" w:hAnsiTheme="majorHAnsi"/>
        </w:rPr>
        <w:t xml:space="preserve">of </w:t>
      </w:r>
      <w:r w:rsidR="00B06AEA" w:rsidRPr="006374E8">
        <w:rPr>
          <w:rFonts w:asciiTheme="majorHAnsi" w:hAnsiTheme="majorHAnsi"/>
        </w:rPr>
        <w:t>participants reported their program was successful, very successful or extremely successful</w:t>
      </w:r>
      <w:r w:rsidR="0063675F" w:rsidRPr="006374E8">
        <w:rPr>
          <w:rFonts w:asciiTheme="majorHAnsi" w:hAnsiTheme="majorHAnsi"/>
        </w:rPr>
        <w:t>.  Many of the programs used incentives, most commonly free testing (69.62%)</w:t>
      </w:r>
      <w:r w:rsidR="00AE19E6" w:rsidRPr="006374E8">
        <w:rPr>
          <w:rFonts w:asciiTheme="majorHAnsi" w:hAnsiTheme="majorHAnsi"/>
        </w:rPr>
        <w:t>,</w:t>
      </w:r>
      <w:r w:rsidR="0063675F" w:rsidRPr="006374E8">
        <w:rPr>
          <w:rFonts w:asciiTheme="majorHAnsi" w:hAnsiTheme="majorHAnsi"/>
        </w:rPr>
        <w:t xml:space="preserve"> to encourage participation.</w:t>
      </w:r>
      <w:r w:rsidR="00841EDC">
        <w:rPr>
          <w:rFonts w:asciiTheme="majorHAnsi" w:hAnsiTheme="majorHAnsi"/>
        </w:rPr>
        <w:t xml:space="preserve"> </w:t>
      </w:r>
    </w:p>
    <w:p w14:paraId="6B4FF22E" w14:textId="77777777" w:rsidR="004C22CB" w:rsidRDefault="004C22CB" w:rsidP="004C22CB">
      <w:pPr>
        <w:pStyle w:val="ListParagraph"/>
        <w:ind w:left="0"/>
        <w:rPr>
          <w:rFonts w:asciiTheme="majorHAnsi" w:hAnsiTheme="majorHAnsi"/>
        </w:rPr>
      </w:pPr>
    </w:p>
    <w:p w14:paraId="05FE74E5" w14:textId="237EB8E0" w:rsidR="004C22CB" w:rsidRPr="00C96DD1" w:rsidRDefault="00841EDC" w:rsidP="00496957">
      <w:pPr>
        <w:pStyle w:val="ListParagraph"/>
        <w:ind w:left="0"/>
        <w:rPr>
          <w:rFonts w:asciiTheme="majorHAnsi" w:eastAsia="Calibri" w:hAnsiTheme="majorHAnsi"/>
        </w:rPr>
      </w:pPr>
      <w:r>
        <w:rPr>
          <w:rFonts w:asciiTheme="majorHAnsi" w:hAnsiTheme="majorHAnsi"/>
        </w:rPr>
        <w:t>For this data collection request,</w:t>
      </w:r>
      <w:r w:rsidR="0063675F" w:rsidRPr="006374E8">
        <w:rPr>
          <w:rFonts w:asciiTheme="majorHAnsi" w:hAnsiTheme="majorHAnsi"/>
        </w:rPr>
        <w:t xml:space="preserve"> </w:t>
      </w:r>
      <w:r>
        <w:rPr>
          <w:rFonts w:asciiTheme="majorHAnsi" w:hAnsiTheme="majorHAnsi"/>
        </w:rPr>
        <w:t>w</w:t>
      </w:r>
      <w:r w:rsidR="0063675F" w:rsidRPr="006374E8">
        <w:rPr>
          <w:rFonts w:asciiTheme="majorHAnsi" w:hAnsiTheme="majorHAnsi"/>
        </w:rPr>
        <w:t xml:space="preserve">e would like to learn more about </w:t>
      </w:r>
      <w:r w:rsidR="00B06AEA" w:rsidRPr="006374E8">
        <w:rPr>
          <w:rFonts w:asciiTheme="majorHAnsi" w:hAnsiTheme="majorHAnsi"/>
        </w:rPr>
        <w:t xml:space="preserve">what </w:t>
      </w:r>
      <w:r w:rsidR="0063675F" w:rsidRPr="006374E8">
        <w:rPr>
          <w:rFonts w:asciiTheme="majorHAnsi" w:hAnsiTheme="majorHAnsi"/>
        </w:rPr>
        <w:t xml:space="preserve">participants believe </w:t>
      </w:r>
      <w:r w:rsidR="00B06AEA" w:rsidRPr="006374E8">
        <w:rPr>
          <w:rFonts w:asciiTheme="majorHAnsi" w:hAnsiTheme="majorHAnsi"/>
        </w:rPr>
        <w:t xml:space="preserve">made their programs </w:t>
      </w:r>
      <w:r w:rsidR="0063675F" w:rsidRPr="006374E8">
        <w:rPr>
          <w:rFonts w:asciiTheme="majorHAnsi" w:hAnsiTheme="majorHAnsi"/>
        </w:rPr>
        <w:t xml:space="preserve">so </w:t>
      </w:r>
      <w:r w:rsidR="00B06AEA" w:rsidRPr="006374E8">
        <w:rPr>
          <w:rFonts w:asciiTheme="majorHAnsi" w:hAnsiTheme="majorHAnsi"/>
        </w:rPr>
        <w:t>success</w:t>
      </w:r>
      <w:r w:rsidR="0063675F" w:rsidRPr="006374E8">
        <w:rPr>
          <w:rFonts w:asciiTheme="majorHAnsi" w:hAnsiTheme="majorHAnsi"/>
        </w:rPr>
        <w:t>ful</w:t>
      </w:r>
      <w:r w:rsidR="00B06AEA" w:rsidRPr="006374E8">
        <w:rPr>
          <w:rFonts w:asciiTheme="majorHAnsi" w:hAnsiTheme="majorHAnsi"/>
        </w:rPr>
        <w:t xml:space="preserve">. </w:t>
      </w:r>
      <w:r w:rsidR="004E6FAE" w:rsidRPr="006374E8">
        <w:rPr>
          <w:rFonts w:asciiTheme="majorHAnsi" w:hAnsiTheme="majorHAnsi"/>
        </w:rPr>
        <w:t xml:space="preserve">After completion of the </w:t>
      </w:r>
      <w:r w:rsidR="00F36437">
        <w:rPr>
          <w:rFonts w:asciiTheme="majorHAnsi" w:hAnsiTheme="majorHAnsi"/>
        </w:rPr>
        <w:t xml:space="preserve">previous </w:t>
      </w:r>
      <w:r w:rsidR="006374E8">
        <w:rPr>
          <w:rFonts w:asciiTheme="majorHAnsi" w:hAnsiTheme="majorHAnsi"/>
        </w:rPr>
        <w:t>assessment</w:t>
      </w:r>
      <w:r w:rsidR="004E6FAE" w:rsidRPr="006374E8">
        <w:rPr>
          <w:rFonts w:asciiTheme="majorHAnsi" w:hAnsiTheme="majorHAnsi"/>
        </w:rPr>
        <w:t xml:space="preserve"> p</w:t>
      </w:r>
      <w:r w:rsidR="006525B9" w:rsidRPr="006374E8">
        <w:rPr>
          <w:rFonts w:asciiTheme="majorHAnsi" w:hAnsiTheme="majorHAnsi"/>
        </w:rPr>
        <w:t xml:space="preserve">articipants </w:t>
      </w:r>
      <w:r w:rsidR="004E6FAE" w:rsidRPr="006374E8">
        <w:rPr>
          <w:rFonts w:asciiTheme="majorHAnsi" w:hAnsiTheme="majorHAnsi"/>
        </w:rPr>
        <w:t xml:space="preserve">reported they had more </w:t>
      </w:r>
      <w:r w:rsidR="000F6286">
        <w:rPr>
          <w:rFonts w:asciiTheme="majorHAnsi" w:hAnsiTheme="majorHAnsi"/>
        </w:rPr>
        <w:t>information</w:t>
      </w:r>
      <w:r w:rsidR="000F6286" w:rsidRPr="006374E8">
        <w:rPr>
          <w:rFonts w:asciiTheme="majorHAnsi" w:hAnsiTheme="majorHAnsi"/>
        </w:rPr>
        <w:t xml:space="preserve"> </w:t>
      </w:r>
      <w:r w:rsidR="006525B9" w:rsidRPr="006374E8">
        <w:rPr>
          <w:rFonts w:asciiTheme="majorHAnsi" w:hAnsiTheme="majorHAnsi"/>
        </w:rPr>
        <w:t xml:space="preserve">to share </w:t>
      </w:r>
      <w:r w:rsidR="004E6FAE" w:rsidRPr="006374E8">
        <w:rPr>
          <w:rFonts w:asciiTheme="majorHAnsi" w:hAnsiTheme="majorHAnsi"/>
        </w:rPr>
        <w:t>regarding</w:t>
      </w:r>
      <w:r w:rsidR="006525B9" w:rsidRPr="006374E8">
        <w:rPr>
          <w:rFonts w:asciiTheme="majorHAnsi" w:hAnsiTheme="majorHAnsi"/>
        </w:rPr>
        <w:t xml:space="preserve"> successful programs that wa</w:t>
      </w:r>
      <w:r w:rsidR="00496957">
        <w:rPr>
          <w:rFonts w:asciiTheme="majorHAnsi" w:hAnsiTheme="majorHAnsi"/>
        </w:rPr>
        <w:t>s not easily captured in the on</w:t>
      </w:r>
      <w:r w:rsidR="006525B9" w:rsidRPr="006374E8">
        <w:rPr>
          <w:rFonts w:asciiTheme="majorHAnsi" w:hAnsiTheme="majorHAnsi"/>
        </w:rPr>
        <w:t xml:space="preserve">line </w:t>
      </w:r>
      <w:r w:rsidR="00496957">
        <w:rPr>
          <w:rFonts w:asciiTheme="majorHAnsi" w:hAnsiTheme="majorHAnsi"/>
        </w:rPr>
        <w:t>f</w:t>
      </w:r>
      <w:r w:rsidR="004E6FAE" w:rsidRPr="006374E8">
        <w:rPr>
          <w:rFonts w:asciiTheme="majorHAnsi" w:hAnsiTheme="majorHAnsi"/>
        </w:rPr>
        <w:t>ormat</w:t>
      </w:r>
      <w:r w:rsidR="006525B9" w:rsidRPr="006374E8">
        <w:rPr>
          <w:rFonts w:asciiTheme="majorHAnsi" w:hAnsiTheme="majorHAnsi"/>
        </w:rPr>
        <w:t xml:space="preserve">. </w:t>
      </w:r>
      <w:r w:rsidR="00AE19E6" w:rsidRPr="006374E8">
        <w:rPr>
          <w:rFonts w:asciiTheme="majorHAnsi" w:hAnsiTheme="majorHAnsi"/>
        </w:rPr>
        <w:t xml:space="preserve">As such, the National Ground Water Association (NGWA) secured a contract from CDC to </w:t>
      </w:r>
      <w:r w:rsidR="00496957">
        <w:rPr>
          <w:rFonts w:asciiTheme="majorHAnsi" w:hAnsiTheme="majorHAnsi"/>
        </w:rPr>
        <w:t>build upon the previous assessment and gain</w:t>
      </w:r>
      <w:r w:rsidR="00AE19E6" w:rsidRPr="006374E8">
        <w:rPr>
          <w:rFonts w:asciiTheme="majorHAnsi" w:hAnsiTheme="majorHAnsi"/>
        </w:rPr>
        <w:t xml:space="preserve"> </w:t>
      </w:r>
      <w:r>
        <w:rPr>
          <w:rFonts w:asciiTheme="majorHAnsi" w:hAnsiTheme="majorHAnsi"/>
        </w:rPr>
        <w:t>better</w:t>
      </w:r>
      <w:r w:rsidR="00AE19E6" w:rsidRPr="006374E8">
        <w:rPr>
          <w:rFonts w:asciiTheme="majorHAnsi" w:hAnsiTheme="majorHAnsi"/>
        </w:rPr>
        <w:t xml:space="preserve"> understanding of successful educational campaigns for well owners from program managers</w:t>
      </w:r>
      <w:r>
        <w:rPr>
          <w:rFonts w:asciiTheme="majorHAnsi" w:hAnsiTheme="majorHAnsi"/>
        </w:rPr>
        <w:t>,</w:t>
      </w:r>
      <w:r w:rsidR="007F05C8" w:rsidRPr="006374E8">
        <w:rPr>
          <w:rFonts w:asciiTheme="majorHAnsi" w:hAnsiTheme="majorHAnsi"/>
        </w:rPr>
        <w:t xml:space="preserve"> using in-person and telephone format to allow for collection of rich, in-depth information.</w:t>
      </w:r>
      <w:r w:rsidR="00AE19E6" w:rsidRPr="006374E8">
        <w:rPr>
          <w:rFonts w:asciiTheme="majorHAnsi" w:hAnsiTheme="majorHAnsi"/>
        </w:rPr>
        <w:t xml:space="preserve"> </w:t>
      </w:r>
      <w:r w:rsidR="00ED169D">
        <w:rPr>
          <w:rFonts w:asciiTheme="majorHAnsi" w:hAnsiTheme="majorHAnsi"/>
        </w:rPr>
        <w:t>U</w:t>
      </w:r>
      <w:r w:rsidR="004C22CB">
        <w:rPr>
          <w:rFonts w:asciiTheme="majorHAnsi" w:hAnsiTheme="majorHAnsi"/>
        </w:rPr>
        <w:t>ltimately, t</w:t>
      </w:r>
      <w:r w:rsidR="004C22CB" w:rsidRPr="00C96DD1">
        <w:rPr>
          <w:rFonts w:asciiTheme="majorHAnsi" w:eastAsia="Calibri" w:hAnsiTheme="majorHAnsi"/>
        </w:rPr>
        <w:t>his information collection and analysis is designed to give the CDC and state/local/tribal envi</w:t>
      </w:r>
      <w:r w:rsidR="004C22CB">
        <w:rPr>
          <w:rFonts w:asciiTheme="majorHAnsi" w:eastAsia="Calibri" w:hAnsiTheme="majorHAnsi"/>
        </w:rPr>
        <w:t xml:space="preserve">ronmental health staff </w:t>
      </w:r>
      <w:r w:rsidR="004C22CB" w:rsidRPr="00C96DD1">
        <w:rPr>
          <w:rFonts w:asciiTheme="majorHAnsi" w:eastAsia="Calibri" w:hAnsiTheme="majorHAnsi"/>
        </w:rPr>
        <w:t>useful information to consider in future private well owner education programs. These findings will provide:</w:t>
      </w:r>
    </w:p>
    <w:p w14:paraId="0DD72C1E" w14:textId="77777777" w:rsidR="004C22CB" w:rsidRPr="00C96DD1" w:rsidRDefault="004C22CB" w:rsidP="004C22CB">
      <w:pPr>
        <w:pStyle w:val="ListParagraph"/>
        <w:numPr>
          <w:ilvl w:val="0"/>
          <w:numId w:val="30"/>
        </w:numPr>
        <w:spacing w:after="0"/>
        <w:ind w:left="1080"/>
        <w:rPr>
          <w:rFonts w:asciiTheme="majorHAnsi" w:eastAsia="Calibri" w:hAnsiTheme="majorHAnsi"/>
        </w:rPr>
      </w:pPr>
      <w:r w:rsidRPr="00C96DD1">
        <w:rPr>
          <w:rFonts w:asciiTheme="majorHAnsi" w:eastAsia="Calibri" w:hAnsiTheme="majorHAnsi"/>
        </w:rPr>
        <w:t>Case examples of various program approaches</w:t>
      </w:r>
    </w:p>
    <w:p w14:paraId="12C433D9" w14:textId="77777777" w:rsidR="004C22CB" w:rsidRPr="00C96DD1" w:rsidRDefault="004C22CB" w:rsidP="004C22CB">
      <w:pPr>
        <w:pStyle w:val="ListParagraph"/>
        <w:numPr>
          <w:ilvl w:val="0"/>
          <w:numId w:val="30"/>
        </w:numPr>
        <w:spacing w:after="0"/>
        <w:ind w:left="1080"/>
        <w:rPr>
          <w:rFonts w:asciiTheme="majorHAnsi" w:eastAsia="Calibri" w:hAnsiTheme="majorHAnsi"/>
        </w:rPr>
      </w:pPr>
      <w:r w:rsidRPr="00C96DD1">
        <w:rPr>
          <w:rFonts w:asciiTheme="majorHAnsi" w:eastAsia="Calibri" w:hAnsiTheme="majorHAnsi"/>
        </w:rPr>
        <w:t>Insights and wisdom gleaned from veteran program managers</w:t>
      </w:r>
    </w:p>
    <w:p w14:paraId="3B760F8D" w14:textId="4209CE2A" w:rsidR="00C30216" w:rsidRDefault="004C22CB" w:rsidP="00F36437">
      <w:pPr>
        <w:pStyle w:val="ListParagraph"/>
        <w:numPr>
          <w:ilvl w:val="0"/>
          <w:numId w:val="30"/>
        </w:numPr>
        <w:spacing w:after="0"/>
        <w:ind w:left="1080"/>
        <w:rPr>
          <w:rFonts w:asciiTheme="majorHAnsi" w:eastAsia="Calibri" w:hAnsiTheme="majorHAnsi"/>
        </w:rPr>
      </w:pPr>
      <w:r w:rsidRPr="00C96DD1">
        <w:rPr>
          <w:rFonts w:asciiTheme="majorHAnsi" w:eastAsia="Calibri" w:hAnsiTheme="majorHAnsi"/>
        </w:rPr>
        <w:t>Additional information for our evaluation partner</w:t>
      </w:r>
    </w:p>
    <w:p w14:paraId="70026C1C" w14:textId="11F25F90" w:rsidR="004C22CB" w:rsidRPr="00F36437" w:rsidRDefault="00293660" w:rsidP="00F36437">
      <w:pPr>
        <w:pStyle w:val="ListParagraph"/>
        <w:numPr>
          <w:ilvl w:val="0"/>
          <w:numId w:val="30"/>
        </w:numPr>
        <w:spacing w:after="0"/>
        <w:ind w:left="1080"/>
        <w:rPr>
          <w:rFonts w:asciiTheme="majorHAnsi" w:eastAsia="Calibri" w:hAnsiTheme="majorHAnsi"/>
        </w:rPr>
      </w:pPr>
      <w:r w:rsidRPr="00F36437">
        <w:rPr>
          <w:rFonts w:asciiTheme="majorHAnsi" w:eastAsia="Calibri" w:hAnsiTheme="majorHAnsi"/>
        </w:rPr>
        <w:t xml:space="preserve">Insight on </w:t>
      </w:r>
      <w:r w:rsidR="000F6286">
        <w:rPr>
          <w:rFonts w:asciiTheme="majorHAnsi" w:eastAsia="Calibri" w:hAnsiTheme="majorHAnsi"/>
        </w:rPr>
        <w:t xml:space="preserve">current </w:t>
      </w:r>
      <w:r w:rsidRPr="00F36437">
        <w:rPr>
          <w:rFonts w:asciiTheme="majorHAnsi" w:eastAsia="Calibri" w:hAnsiTheme="majorHAnsi"/>
        </w:rPr>
        <w:t>data gaps</w:t>
      </w:r>
      <w:r w:rsidR="000F6286">
        <w:rPr>
          <w:rFonts w:asciiTheme="majorHAnsi" w:eastAsia="Calibri" w:hAnsiTheme="majorHAnsi"/>
        </w:rPr>
        <w:t xml:space="preserve"> regarding what is known about successful programs</w:t>
      </w:r>
      <w:r w:rsidRPr="00F36437">
        <w:rPr>
          <w:rFonts w:asciiTheme="majorHAnsi" w:eastAsia="Calibri" w:hAnsiTheme="majorHAnsi"/>
        </w:rPr>
        <w:t xml:space="preserve"> that, if filled, could inform the development of future well owner interventions.</w:t>
      </w:r>
    </w:p>
    <w:p w14:paraId="6A1A4A4B" w14:textId="77777777" w:rsidR="00F36437" w:rsidRDefault="00F36437" w:rsidP="009F3A54">
      <w:pPr>
        <w:spacing w:after="0"/>
        <w:rPr>
          <w:rFonts w:asciiTheme="majorHAnsi" w:hAnsiTheme="majorHAnsi"/>
        </w:rPr>
      </w:pPr>
    </w:p>
    <w:p w14:paraId="33D13563" w14:textId="0AB1D3B5" w:rsidR="00ED169D" w:rsidRPr="00D20807" w:rsidRDefault="00ED169D" w:rsidP="009F3A54">
      <w:pPr>
        <w:spacing w:after="0"/>
        <w:rPr>
          <w:rFonts w:asciiTheme="majorHAnsi" w:hAnsiTheme="majorHAnsi"/>
          <w:iCs/>
        </w:rPr>
      </w:pPr>
      <w:r w:rsidRPr="00207271">
        <w:rPr>
          <w:rFonts w:asciiTheme="majorHAnsi" w:hAnsiTheme="majorHAnsi"/>
        </w:rPr>
        <w:t xml:space="preserve">This data collection is authorized by Section 301 of the Public Health Service Act (42 U.S.C. 241). </w:t>
      </w:r>
      <w:r w:rsidRPr="00207271">
        <w:rPr>
          <w:rFonts w:asciiTheme="majorHAnsi" w:hAnsiTheme="majorHAnsi"/>
          <w:iCs/>
        </w:rPr>
        <w:t>This information collection falls under the essential public health service(s) of</w:t>
      </w:r>
      <w:r w:rsidR="009F3A54" w:rsidRPr="00207271">
        <w:rPr>
          <w:rFonts w:asciiTheme="majorHAnsi" w:hAnsiTheme="majorHAnsi"/>
          <w:iCs/>
        </w:rPr>
        <w:t xml:space="preserve"> evaluating effectiveness, accessibility, and quality of personal and population-based health services.</w:t>
      </w:r>
      <w:r w:rsidRPr="00207271">
        <w:rPr>
          <w:rFonts w:asciiTheme="majorHAnsi" w:hAnsiTheme="majorHAnsi"/>
          <w:iCs/>
          <w:vertAlign w:val="superscript"/>
        </w:rPr>
        <w:t>13</w:t>
      </w:r>
    </w:p>
    <w:p w14:paraId="746825CB" w14:textId="77777777" w:rsidR="00ED169D" w:rsidRPr="00513741" w:rsidRDefault="00ED169D" w:rsidP="002B618F">
      <w:pPr>
        <w:pStyle w:val="Header"/>
        <w:tabs>
          <w:tab w:val="clear" w:pos="4680"/>
        </w:tabs>
        <w:spacing w:line="276" w:lineRule="auto"/>
        <w:rPr>
          <w:rFonts w:asciiTheme="majorHAnsi" w:hAnsiTheme="majorHAnsi"/>
        </w:rPr>
      </w:pPr>
    </w:p>
    <w:p w14:paraId="5ABBA399" w14:textId="111FD3B2" w:rsidR="00FC6772" w:rsidRDefault="00FC6772" w:rsidP="00FC6772">
      <w:pPr>
        <w:spacing w:after="0"/>
        <w:rPr>
          <w:rFonts w:asciiTheme="majorHAnsi" w:hAnsiTheme="majorHAnsi"/>
          <w:b/>
        </w:rPr>
      </w:pPr>
      <w:r w:rsidRPr="00513741">
        <w:rPr>
          <w:rFonts w:asciiTheme="majorHAnsi" w:hAnsiTheme="majorHAnsi"/>
          <w:b/>
        </w:rPr>
        <w:t>Overview of the Data Collection System</w:t>
      </w:r>
    </w:p>
    <w:p w14:paraId="65765E05" w14:textId="3517308A" w:rsidR="003212F0" w:rsidRPr="003E4302" w:rsidRDefault="00FC6772" w:rsidP="003212F0">
      <w:pPr>
        <w:spacing w:after="0"/>
        <w:rPr>
          <w:rFonts w:asciiTheme="majorHAnsi" w:hAnsiTheme="majorHAnsi"/>
        </w:rPr>
      </w:pPr>
      <w:r w:rsidRPr="00513741">
        <w:rPr>
          <w:rFonts w:asciiTheme="majorHAnsi" w:hAnsiTheme="majorHAnsi"/>
        </w:rPr>
        <w:t xml:space="preserve">We will collect data using a paper-based instrument </w:t>
      </w:r>
      <w:r w:rsidRPr="004C22CB">
        <w:rPr>
          <w:rFonts w:asciiTheme="majorHAnsi" w:hAnsiTheme="majorHAnsi"/>
        </w:rPr>
        <w:t>(</w:t>
      </w:r>
      <w:r w:rsidR="004C22CB" w:rsidRPr="004C22CB">
        <w:rPr>
          <w:rFonts w:asciiTheme="majorHAnsi" w:hAnsiTheme="majorHAnsi"/>
        </w:rPr>
        <w:t>see</w:t>
      </w:r>
      <w:r w:rsidR="004C22CB">
        <w:rPr>
          <w:rFonts w:asciiTheme="majorHAnsi" w:hAnsiTheme="majorHAnsi"/>
          <w:b/>
        </w:rPr>
        <w:t xml:space="preserve"> </w:t>
      </w:r>
      <w:r w:rsidRPr="00513741">
        <w:rPr>
          <w:rFonts w:asciiTheme="majorHAnsi" w:hAnsiTheme="majorHAnsi"/>
          <w:b/>
        </w:rPr>
        <w:t xml:space="preserve">Attachment </w:t>
      </w:r>
      <w:r w:rsidR="00D52202">
        <w:rPr>
          <w:rFonts w:asciiTheme="majorHAnsi" w:hAnsiTheme="majorHAnsi"/>
          <w:b/>
        </w:rPr>
        <w:t>C</w:t>
      </w:r>
      <w:r w:rsidR="00E7574D">
        <w:rPr>
          <w:rFonts w:asciiTheme="majorHAnsi" w:hAnsiTheme="majorHAnsi"/>
          <w:b/>
        </w:rPr>
        <w:t xml:space="preserve">: </w:t>
      </w:r>
      <w:r w:rsidR="00E7574D" w:rsidRPr="00C96DD1">
        <w:rPr>
          <w:rFonts w:asciiTheme="majorHAnsi" w:hAnsiTheme="majorHAnsi"/>
          <w:b/>
        </w:rPr>
        <w:t>Data Collection Instrument</w:t>
      </w:r>
      <w:r w:rsidRPr="004C22CB">
        <w:rPr>
          <w:rFonts w:asciiTheme="majorHAnsi" w:hAnsiTheme="majorHAnsi"/>
        </w:rPr>
        <w:t>)</w:t>
      </w:r>
      <w:r w:rsidRPr="00513741">
        <w:rPr>
          <w:rFonts w:asciiTheme="majorHAnsi" w:hAnsiTheme="majorHAnsi"/>
        </w:rPr>
        <w:t xml:space="preserve"> to elicit information from environmental health staff at state, local, and tribal environmental health and agricultural departments who are government employees and who conduct outreach to private well owners. The information will be collected through interviews conducted </w:t>
      </w:r>
      <w:r w:rsidR="00E6442D">
        <w:rPr>
          <w:rFonts w:asciiTheme="majorHAnsi" w:hAnsiTheme="majorHAnsi"/>
        </w:rPr>
        <w:t xml:space="preserve">both </w:t>
      </w:r>
      <w:r w:rsidRPr="00513741">
        <w:rPr>
          <w:rFonts w:asciiTheme="majorHAnsi" w:hAnsiTheme="majorHAnsi"/>
        </w:rPr>
        <w:t>in</w:t>
      </w:r>
      <w:r w:rsidR="000F6286">
        <w:rPr>
          <w:rFonts w:asciiTheme="majorHAnsi" w:hAnsiTheme="majorHAnsi"/>
        </w:rPr>
        <w:t>-</w:t>
      </w:r>
      <w:r w:rsidRPr="00513741">
        <w:rPr>
          <w:rFonts w:asciiTheme="majorHAnsi" w:hAnsiTheme="majorHAnsi"/>
        </w:rPr>
        <w:t xml:space="preserve">person </w:t>
      </w:r>
      <w:r w:rsidR="00E6442D">
        <w:rPr>
          <w:rFonts w:asciiTheme="majorHAnsi" w:hAnsiTheme="majorHAnsi"/>
        </w:rPr>
        <w:t>and</w:t>
      </w:r>
      <w:r w:rsidR="00E6442D" w:rsidRPr="00513741">
        <w:rPr>
          <w:rFonts w:asciiTheme="majorHAnsi" w:hAnsiTheme="majorHAnsi"/>
        </w:rPr>
        <w:t xml:space="preserve"> </w:t>
      </w:r>
      <w:r w:rsidRPr="00513741">
        <w:rPr>
          <w:rFonts w:asciiTheme="majorHAnsi" w:hAnsiTheme="majorHAnsi"/>
        </w:rPr>
        <w:t xml:space="preserve">by telephone. </w:t>
      </w:r>
      <w:r w:rsidR="003212F0">
        <w:rPr>
          <w:rFonts w:asciiTheme="majorHAnsi" w:hAnsiTheme="majorHAnsi"/>
        </w:rPr>
        <w:t xml:space="preserve">Whether </w:t>
      </w:r>
      <w:r w:rsidR="001C2D8D">
        <w:rPr>
          <w:rFonts w:asciiTheme="majorHAnsi" w:hAnsiTheme="majorHAnsi"/>
        </w:rPr>
        <w:t>in</w:t>
      </w:r>
      <w:r w:rsidR="000F6286">
        <w:rPr>
          <w:rFonts w:asciiTheme="majorHAnsi" w:hAnsiTheme="majorHAnsi"/>
        </w:rPr>
        <w:t>-person</w:t>
      </w:r>
      <w:r w:rsidR="003212F0">
        <w:rPr>
          <w:rFonts w:asciiTheme="majorHAnsi" w:hAnsiTheme="majorHAnsi"/>
        </w:rPr>
        <w:t xml:space="preserve"> or </w:t>
      </w:r>
      <w:r w:rsidR="000F6286">
        <w:rPr>
          <w:rFonts w:asciiTheme="majorHAnsi" w:hAnsiTheme="majorHAnsi"/>
        </w:rPr>
        <w:t xml:space="preserve">by </w:t>
      </w:r>
      <w:r w:rsidR="003212F0">
        <w:rPr>
          <w:rFonts w:asciiTheme="majorHAnsi" w:hAnsiTheme="majorHAnsi"/>
        </w:rPr>
        <w:t>telephone</w:t>
      </w:r>
      <w:r w:rsidR="000F6286">
        <w:rPr>
          <w:rFonts w:asciiTheme="majorHAnsi" w:hAnsiTheme="majorHAnsi"/>
        </w:rPr>
        <w:t>,</w:t>
      </w:r>
      <w:r w:rsidR="003212F0">
        <w:rPr>
          <w:rFonts w:asciiTheme="majorHAnsi" w:hAnsiTheme="majorHAnsi"/>
        </w:rPr>
        <w:t xml:space="preserve"> </w:t>
      </w:r>
      <w:r w:rsidR="000F6286">
        <w:rPr>
          <w:rFonts w:asciiTheme="majorHAnsi" w:hAnsiTheme="majorHAnsi"/>
        </w:rPr>
        <w:t xml:space="preserve">the data collection instrument will </w:t>
      </w:r>
      <w:r w:rsidR="003212F0" w:rsidRPr="003E4302">
        <w:rPr>
          <w:rFonts w:asciiTheme="majorHAnsi" w:hAnsiTheme="majorHAnsi"/>
        </w:rPr>
        <w:t>allow for respondents to adequately explain their programs, their target populations, and their results</w:t>
      </w:r>
      <w:r w:rsidR="000F6286">
        <w:rPr>
          <w:rFonts w:asciiTheme="majorHAnsi" w:hAnsiTheme="majorHAnsi"/>
        </w:rPr>
        <w:t>. The instrument includes some close-ended questions, but also includes a number of open-ended questions</w:t>
      </w:r>
      <w:r w:rsidR="003212F0" w:rsidRPr="003E4302">
        <w:rPr>
          <w:rFonts w:asciiTheme="majorHAnsi" w:hAnsiTheme="majorHAnsi"/>
        </w:rPr>
        <w:t xml:space="preserve"> because </w:t>
      </w:r>
      <w:r w:rsidR="000F6286">
        <w:rPr>
          <w:rFonts w:asciiTheme="majorHAnsi" w:hAnsiTheme="majorHAnsi"/>
        </w:rPr>
        <w:t>close-ended questions may not adequately</w:t>
      </w:r>
      <w:r w:rsidR="003212F0" w:rsidRPr="003E4302">
        <w:rPr>
          <w:rFonts w:asciiTheme="majorHAnsi" w:hAnsiTheme="majorHAnsi"/>
        </w:rPr>
        <w:t xml:space="preserve"> </w:t>
      </w:r>
      <w:r w:rsidR="000F6286">
        <w:rPr>
          <w:rFonts w:asciiTheme="majorHAnsi" w:hAnsiTheme="majorHAnsi"/>
        </w:rPr>
        <w:t>allow for</w:t>
      </w:r>
      <w:r w:rsidR="003212F0" w:rsidRPr="003E4302">
        <w:rPr>
          <w:rFonts w:asciiTheme="majorHAnsi" w:hAnsiTheme="majorHAnsi"/>
        </w:rPr>
        <w:t xml:space="preserve"> responses that are novel, innovative, or based on local knowledge and program managers’ insights. This type of information tends to come out through dialogue</w:t>
      </w:r>
      <w:r w:rsidR="000F6286">
        <w:rPr>
          <w:rFonts w:asciiTheme="majorHAnsi" w:hAnsiTheme="majorHAnsi"/>
        </w:rPr>
        <w:t xml:space="preserve"> using open-ended questions</w:t>
      </w:r>
      <w:r w:rsidR="003212F0" w:rsidRPr="003E4302">
        <w:rPr>
          <w:rFonts w:asciiTheme="majorHAnsi" w:hAnsiTheme="majorHAnsi"/>
        </w:rPr>
        <w:t xml:space="preserve"> as a relationship is established between the interviewer and the respondents.</w:t>
      </w:r>
    </w:p>
    <w:p w14:paraId="3B322CD4" w14:textId="1F7372C4" w:rsidR="003212F0" w:rsidRDefault="003212F0" w:rsidP="00E6442D">
      <w:pPr>
        <w:spacing w:after="0"/>
        <w:rPr>
          <w:rFonts w:asciiTheme="majorHAnsi" w:hAnsiTheme="majorHAnsi"/>
        </w:rPr>
      </w:pPr>
    </w:p>
    <w:p w14:paraId="37D30DCB" w14:textId="0677BDB1" w:rsidR="00AE391E" w:rsidRPr="00ED5847" w:rsidRDefault="00E6442D" w:rsidP="00AE391E">
      <w:pPr>
        <w:spacing w:after="0"/>
        <w:rPr>
          <w:rFonts w:asciiTheme="majorHAnsi" w:hAnsiTheme="majorHAnsi"/>
        </w:rPr>
      </w:pPr>
      <w:r w:rsidRPr="00ED5847">
        <w:rPr>
          <w:rFonts w:asciiTheme="majorHAnsi" w:hAnsiTheme="majorHAnsi" w:cs="Times New Roman"/>
        </w:rPr>
        <w:t xml:space="preserve">We have chosen </w:t>
      </w:r>
      <w:r w:rsidR="000F6286" w:rsidRPr="00ED5847">
        <w:rPr>
          <w:rFonts w:asciiTheme="majorHAnsi" w:hAnsiTheme="majorHAnsi" w:cs="Times New Roman"/>
        </w:rPr>
        <w:t>in-person</w:t>
      </w:r>
      <w:r w:rsidRPr="00ED5847">
        <w:rPr>
          <w:rFonts w:asciiTheme="majorHAnsi" w:hAnsiTheme="majorHAnsi" w:cs="Times New Roman"/>
        </w:rPr>
        <w:t xml:space="preserve"> interviews for two regional well owner intervention programs involving a total of six program managers. The </w:t>
      </w:r>
      <w:r w:rsidR="000F6286" w:rsidRPr="00ED5847">
        <w:rPr>
          <w:rFonts w:asciiTheme="majorHAnsi" w:hAnsiTheme="majorHAnsi" w:cs="Times New Roman"/>
        </w:rPr>
        <w:t>in-person</w:t>
      </w:r>
      <w:r w:rsidRPr="00ED5847">
        <w:rPr>
          <w:rFonts w:asciiTheme="majorHAnsi" w:hAnsiTheme="majorHAnsi" w:cs="Times New Roman"/>
        </w:rPr>
        <w:t xml:space="preserve"> approach enhances our ability to gather the information we desire from these relatively large and complex programs.  Green et. al. has stated “the rapport developed in face-to-face interviews inspires respondents to work harder at providing high quality data.”</w:t>
      </w:r>
      <w:r w:rsidRPr="00ED5847">
        <w:rPr>
          <w:rFonts w:asciiTheme="majorHAnsi" w:hAnsiTheme="majorHAnsi" w:cs="Times New Roman"/>
          <w:vertAlign w:val="superscript"/>
        </w:rPr>
        <w:t>14</w:t>
      </w:r>
      <w:r w:rsidRPr="00ED5847">
        <w:rPr>
          <w:rFonts w:asciiTheme="majorHAnsi" w:hAnsiTheme="majorHAnsi" w:cs="Times New Roman"/>
        </w:rPr>
        <w:t xml:space="preserve"> </w:t>
      </w:r>
      <w:r w:rsidRPr="00ED5847">
        <w:rPr>
          <w:rFonts w:asciiTheme="majorHAnsi" w:hAnsiTheme="majorHAnsi"/>
        </w:rPr>
        <w:t xml:space="preserve">Additionally, </w:t>
      </w:r>
      <w:r w:rsidR="000F6286" w:rsidRPr="00ED5847">
        <w:rPr>
          <w:rFonts w:asciiTheme="majorHAnsi" w:hAnsiTheme="majorHAnsi"/>
        </w:rPr>
        <w:t>in-person</w:t>
      </w:r>
      <w:r w:rsidR="003E4302" w:rsidRPr="00ED5847">
        <w:rPr>
          <w:rFonts w:asciiTheme="majorHAnsi" w:hAnsiTheme="majorHAnsi"/>
        </w:rPr>
        <w:t xml:space="preserve"> interviews have some distinct advantages</w:t>
      </w:r>
      <w:r w:rsidR="00AE391E" w:rsidRPr="00ED5847">
        <w:rPr>
          <w:rFonts w:asciiTheme="majorHAnsi" w:hAnsiTheme="majorHAnsi"/>
        </w:rPr>
        <w:t xml:space="preserve"> d</w:t>
      </w:r>
      <w:r w:rsidR="003E4302" w:rsidRPr="00ED5847">
        <w:rPr>
          <w:rFonts w:asciiTheme="majorHAnsi" w:hAnsiTheme="majorHAnsi"/>
        </w:rPr>
        <w:t xml:space="preserve">ue to synchronous communication in time </w:t>
      </w:r>
      <w:r w:rsidR="00AE391E" w:rsidRPr="00ED5847">
        <w:rPr>
          <w:rFonts w:asciiTheme="majorHAnsi" w:hAnsiTheme="majorHAnsi"/>
        </w:rPr>
        <w:t>and place</w:t>
      </w:r>
      <w:r w:rsidR="00D52202" w:rsidRPr="00ED5847">
        <w:rPr>
          <w:rFonts w:asciiTheme="majorHAnsi" w:hAnsiTheme="majorHAnsi"/>
          <w:vertAlign w:val="superscript"/>
        </w:rPr>
        <w:t>13</w:t>
      </w:r>
      <w:r w:rsidR="00AE391E" w:rsidRPr="00ED5847">
        <w:rPr>
          <w:rFonts w:asciiTheme="majorHAnsi" w:hAnsiTheme="majorHAnsi"/>
        </w:rPr>
        <w:t>:</w:t>
      </w:r>
    </w:p>
    <w:p w14:paraId="5216271A" w14:textId="7224850E" w:rsidR="00AE391E" w:rsidRPr="00ED5847" w:rsidRDefault="000F6286" w:rsidP="00AE391E">
      <w:pPr>
        <w:pStyle w:val="ListParagraph"/>
        <w:numPr>
          <w:ilvl w:val="0"/>
          <w:numId w:val="43"/>
        </w:numPr>
        <w:spacing w:after="0"/>
        <w:rPr>
          <w:rFonts w:asciiTheme="majorHAnsi" w:hAnsiTheme="majorHAnsi"/>
        </w:rPr>
      </w:pPr>
      <w:r w:rsidRPr="00ED5847">
        <w:rPr>
          <w:rFonts w:asciiTheme="majorHAnsi" w:hAnsiTheme="majorHAnsi"/>
        </w:rPr>
        <w:t>In-person</w:t>
      </w:r>
      <w:r w:rsidR="00977620" w:rsidRPr="00ED5847">
        <w:rPr>
          <w:rFonts w:asciiTheme="majorHAnsi" w:hAnsiTheme="majorHAnsi"/>
        </w:rPr>
        <w:t xml:space="preserve"> interviews,</w:t>
      </w:r>
      <w:r w:rsidRPr="00ED5847">
        <w:rPr>
          <w:rFonts w:asciiTheme="majorHAnsi" w:hAnsiTheme="majorHAnsi"/>
        </w:rPr>
        <w:t xml:space="preserve"> like</w:t>
      </w:r>
      <w:r w:rsidR="00977620" w:rsidRPr="00ED5847">
        <w:rPr>
          <w:rFonts w:asciiTheme="majorHAnsi" w:hAnsiTheme="majorHAnsi"/>
        </w:rPr>
        <w:t xml:space="preserve">s no other interview method, </w:t>
      </w:r>
      <w:r w:rsidR="003E4302" w:rsidRPr="00ED5847">
        <w:rPr>
          <w:rFonts w:asciiTheme="majorHAnsi" w:hAnsiTheme="majorHAnsi"/>
        </w:rPr>
        <w:t xml:space="preserve">can take advantage of social cues such as voice, intonation, body language etc. </w:t>
      </w:r>
      <w:r w:rsidR="00EF5D0E" w:rsidRPr="00ED5847">
        <w:rPr>
          <w:rFonts w:asciiTheme="majorHAnsi" w:hAnsiTheme="majorHAnsi"/>
        </w:rPr>
        <w:t>that</w:t>
      </w:r>
      <w:r w:rsidR="00977620" w:rsidRPr="00ED5847">
        <w:rPr>
          <w:rFonts w:asciiTheme="majorHAnsi" w:hAnsiTheme="majorHAnsi"/>
        </w:rPr>
        <w:t xml:space="preserve"> yiel</w:t>
      </w:r>
      <w:r w:rsidR="00EF5D0E" w:rsidRPr="00ED5847">
        <w:rPr>
          <w:rFonts w:asciiTheme="majorHAnsi" w:hAnsiTheme="majorHAnsi"/>
        </w:rPr>
        <w:t>d significant additional</w:t>
      </w:r>
      <w:r w:rsidR="00977620" w:rsidRPr="00ED5847">
        <w:rPr>
          <w:rFonts w:asciiTheme="majorHAnsi" w:hAnsiTheme="majorHAnsi"/>
        </w:rPr>
        <w:t xml:space="preserve"> information</w:t>
      </w:r>
      <w:r w:rsidR="00977620" w:rsidRPr="00ED5847">
        <w:rPr>
          <w:rFonts w:asciiTheme="majorHAnsi" w:hAnsiTheme="majorHAnsi" w:cs="Times New Roman"/>
        </w:rPr>
        <w:t>.</w:t>
      </w:r>
    </w:p>
    <w:p w14:paraId="6ABE0A41" w14:textId="5998C996" w:rsidR="00AE391E" w:rsidRPr="00ED5847" w:rsidRDefault="00AE391E" w:rsidP="00AE391E">
      <w:pPr>
        <w:pStyle w:val="ListParagraph"/>
        <w:numPr>
          <w:ilvl w:val="0"/>
          <w:numId w:val="43"/>
        </w:numPr>
        <w:spacing w:after="0"/>
        <w:rPr>
          <w:rFonts w:asciiTheme="majorHAnsi" w:hAnsiTheme="majorHAnsi"/>
        </w:rPr>
      </w:pPr>
      <w:r w:rsidRPr="00ED5847">
        <w:rPr>
          <w:rFonts w:asciiTheme="majorHAnsi" w:hAnsiTheme="majorHAnsi" w:cs="Times New Roman"/>
        </w:rPr>
        <w:t>The intervi</w:t>
      </w:r>
      <w:r w:rsidR="00EF5D0E" w:rsidRPr="00ED5847">
        <w:rPr>
          <w:rFonts w:asciiTheme="majorHAnsi" w:hAnsiTheme="majorHAnsi" w:cs="Times New Roman"/>
        </w:rPr>
        <w:t>ewee is more spontaneous</w:t>
      </w:r>
      <w:r w:rsidRPr="00ED5847">
        <w:rPr>
          <w:rFonts w:asciiTheme="majorHAnsi" w:hAnsiTheme="majorHAnsi" w:cs="Times New Roman"/>
        </w:rPr>
        <w:t>.</w:t>
      </w:r>
    </w:p>
    <w:p w14:paraId="5198A902" w14:textId="0E8C0EE4" w:rsidR="00AE391E" w:rsidRPr="00ED5847" w:rsidRDefault="00AE391E" w:rsidP="00AE391E">
      <w:pPr>
        <w:pStyle w:val="ListParagraph"/>
        <w:numPr>
          <w:ilvl w:val="0"/>
          <w:numId w:val="43"/>
        </w:numPr>
        <w:spacing w:after="0"/>
        <w:rPr>
          <w:rFonts w:asciiTheme="majorHAnsi" w:hAnsiTheme="majorHAnsi"/>
        </w:rPr>
      </w:pPr>
      <w:r w:rsidRPr="00ED5847">
        <w:rPr>
          <w:rFonts w:asciiTheme="majorHAnsi" w:hAnsiTheme="majorHAnsi" w:cs="Times New Roman"/>
        </w:rPr>
        <w:t xml:space="preserve">The interviewer </w:t>
      </w:r>
      <w:r w:rsidR="00EF5D0E" w:rsidRPr="00ED5847">
        <w:rPr>
          <w:rFonts w:asciiTheme="majorHAnsi" w:hAnsiTheme="majorHAnsi" w:cs="Times New Roman"/>
        </w:rPr>
        <w:t>can</w:t>
      </w:r>
      <w:r w:rsidRPr="00ED5847">
        <w:rPr>
          <w:rFonts w:asciiTheme="majorHAnsi" w:hAnsiTheme="majorHAnsi" w:cs="Times New Roman"/>
        </w:rPr>
        <w:t xml:space="preserve"> create a good interview ambience</w:t>
      </w:r>
      <w:r w:rsidR="00EF5D0E" w:rsidRPr="00ED5847">
        <w:rPr>
          <w:rFonts w:asciiTheme="majorHAnsi" w:hAnsiTheme="majorHAnsi" w:cs="Times New Roman"/>
        </w:rPr>
        <w:t xml:space="preserve"> that is productive</w:t>
      </w:r>
      <w:r w:rsidRPr="00ED5847">
        <w:rPr>
          <w:rFonts w:asciiTheme="majorHAnsi" w:hAnsiTheme="majorHAnsi" w:cs="Times New Roman"/>
        </w:rPr>
        <w:t xml:space="preserve">. </w:t>
      </w:r>
    </w:p>
    <w:p w14:paraId="601B4BF5" w14:textId="77777777" w:rsidR="00E13DED" w:rsidRPr="00ED5847" w:rsidRDefault="00E13DED" w:rsidP="00AE391E">
      <w:pPr>
        <w:spacing w:after="0"/>
        <w:rPr>
          <w:rFonts w:asciiTheme="majorHAnsi" w:hAnsiTheme="majorHAnsi" w:cs="Times New Roman"/>
        </w:rPr>
      </w:pPr>
    </w:p>
    <w:p w14:paraId="2F2A3A1D" w14:textId="1C40B0F7" w:rsidR="00E13DED" w:rsidRPr="00ED5847" w:rsidRDefault="00B243F5" w:rsidP="003E4302">
      <w:pPr>
        <w:spacing w:after="0"/>
        <w:rPr>
          <w:rFonts w:asciiTheme="majorHAnsi" w:hAnsiTheme="majorHAnsi"/>
        </w:rPr>
      </w:pPr>
      <w:r w:rsidRPr="00ED5847">
        <w:rPr>
          <w:rFonts w:asciiTheme="majorHAnsi" w:hAnsiTheme="majorHAnsi" w:cs="Times New Roman"/>
        </w:rPr>
        <w:t>We will use telephone interviews to obtain information from</w:t>
      </w:r>
      <w:r w:rsidR="00F36437" w:rsidRPr="00ED5847">
        <w:rPr>
          <w:rFonts w:asciiTheme="majorHAnsi" w:hAnsiTheme="majorHAnsi" w:cs="Times New Roman"/>
        </w:rPr>
        <w:t xml:space="preserve"> 24</w:t>
      </w:r>
      <w:r w:rsidR="00E13DED" w:rsidRPr="00ED5847">
        <w:rPr>
          <w:rFonts w:asciiTheme="majorHAnsi" w:hAnsiTheme="majorHAnsi" w:cs="Times New Roman"/>
        </w:rPr>
        <w:t xml:space="preserve"> local well owner intervention program</w:t>
      </w:r>
      <w:r w:rsidR="00F36437" w:rsidRPr="00ED5847">
        <w:rPr>
          <w:rFonts w:asciiTheme="majorHAnsi" w:hAnsiTheme="majorHAnsi" w:cs="Times New Roman"/>
        </w:rPr>
        <w:t xml:space="preserve"> manager</w:t>
      </w:r>
      <w:r w:rsidR="00E13DED" w:rsidRPr="00ED5847">
        <w:rPr>
          <w:rFonts w:asciiTheme="majorHAnsi" w:hAnsiTheme="majorHAnsi" w:cs="Times New Roman"/>
        </w:rPr>
        <w:t>s</w:t>
      </w:r>
      <w:r w:rsidR="001C2D8D" w:rsidRPr="00ED5847">
        <w:rPr>
          <w:rFonts w:asciiTheme="majorHAnsi" w:hAnsiTheme="majorHAnsi" w:cs="Times New Roman"/>
        </w:rPr>
        <w:t xml:space="preserve">.  </w:t>
      </w:r>
      <w:r w:rsidR="00EF5D0E" w:rsidRPr="00ED5847">
        <w:rPr>
          <w:rFonts w:asciiTheme="majorHAnsi" w:hAnsiTheme="majorHAnsi" w:cs="Times New Roman"/>
        </w:rPr>
        <w:t>These l</w:t>
      </w:r>
      <w:r w:rsidR="00E13DED" w:rsidRPr="00ED5847">
        <w:rPr>
          <w:rFonts w:asciiTheme="majorHAnsi" w:hAnsiTheme="majorHAnsi" w:cs="Times New Roman"/>
        </w:rPr>
        <w:t>ocal pr</w:t>
      </w:r>
      <w:r w:rsidR="00EF5D0E" w:rsidRPr="00ED5847">
        <w:rPr>
          <w:rFonts w:asciiTheme="majorHAnsi" w:hAnsiTheme="majorHAnsi" w:cs="Times New Roman"/>
        </w:rPr>
        <w:t>ograms are</w:t>
      </w:r>
      <w:r w:rsidR="00E13DED" w:rsidRPr="00ED5847">
        <w:rPr>
          <w:rFonts w:asciiTheme="majorHAnsi" w:hAnsiTheme="majorHAnsi" w:cs="Times New Roman"/>
        </w:rPr>
        <w:t xml:space="preserve"> likely to be less complicated and therefore easier to query</w:t>
      </w:r>
      <w:r w:rsidRPr="00ED5847">
        <w:rPr>
          <w:rFonts w:asciiTheme="majorHAnsi" w:hAnsiTheme="majorHAnsi" w:cs="Times New Roman"/>
        </w:rPr>
        <w:t xml:space="preserve"> using the telephone method</w:t>
      </w:r>
      <w:r w:rsidR="00E13DED" w:rsidRPr="00ED5847">
        <w:rPr>
          <w:rFonts w:asciiTheme="majorHAnsi" w:hAnsiTheme="majorHAnsi" w:cs="Times New Roman"/>
        </w:rPr>
        <w:t xml:space="preserve">. Given the number of local interviews and the assumed geographical distribution of the </w:t>
      </w:r>
      <w:r w:rsidR="00F36437" w:rsidRPr="00ED5847">
        <w:rPr>
          <w:rFonts w:asciiTheme="majorHAnsi" w:hAnsiTheme="majorHAnsi" w:cs="Times New Roman"/>
        </w:rPr>
        <w:t xml:space="preserve">corresponding 12 </w:t>
      </w:r>
      <w:r w:rsidR="00E13DED" w:rsidRPr="00ED5847">
        <w:rPr>
          <w:rFonts w:asciiTheme="majorHAnsi" w:hAnsiTheme="majorHAnsi" w:cs="Times New Roman"/>
        </w:rPr>
        <w:t>programs, telephone interviews have the advantages of</w:t>
      </w:r>
      <w:r w:rsidRPr="00ED5847">
        <w:rPr>
          <w:rFonts w:asciiTheme="majorHAnsi" w:hAnsiTheme="majorHAnsi" w:cs="Times New Roman"/>
        </w:rPr>
        <w:t xml:space="preserve"> allowing for access to program managers from all over the country with minimal cost</w:t>
      </w:r>
      <w:r w:rsidR="00ED5847">
        <w:rPr>
          <w:rFonts w:asciiTheme="majorHAnsi" w:hAnsiTheme="majorHAnsi" w:cs="Times New Roman"/>
        </w:rPr>
        <w:t>.</w:t>
      </w:r>
      <w:r w:rsidR="003212F0" w:rsidRPr="00ED5847">
        <w:rPr>
          <w:rFonts w:asciiTheme="majorHAnsi" w:hAnsiTheme="majorHAnsi" w:cs="Times New Roman"/>
          <w:vertAlign w:val="superscript"/>
        </w:rPr>
        <w:t>13</w:t>
      </w:r>
      <w:r w:rsidR="00E13DED" w:rsidRPr="00ED5847">
        <w:rPr>
          <w:rFonts w:asciiTheme="majorHAnsi" w:hAnsiTheme="majorHAnsi" w:cs="Times New Roman"/>
        </w:rPr>
        <w:t xml:space="preserve"> </w:t>
      </w:r>
    </w:p>
    <w:p w14:paraId="2A989489" w14:textId="77777777" w:rsidR="00FC6772" w:rsidRPr="00ED5847" w:rsidRDefault="00FC6772" w:rsidP="004C22CB">
      <w:pPr>
        <w:spacing w:after="0"/>
        <w:rPr>
          <w:rFonts w:asciiTheme="majorHAnsi" w:hAnsiTheme="majorHAnsi"/>
        </w:rPr>
      </w:pPr>
    </w:p>
    <w:p w14:paraId="3A8713ED" w14:textId="26DBDE72" w:rsidR="00FC6772" w:rsidRPr="00ED5847" w:rsidRDefault="00FC6772" w:rsidP="004C22CB">
      <w:pPr>
        <w:spacing w:after="0"/>
        <w:rPr>
          <w:rFonts w:asciiTheme="majorHAnsi" w:hAnsiTheme="majorHAnsi"/>
        </w:rPr>
      </w:pPr>
      <w:r w:rsidRPr="00ED5847">
        <w:rPr>
          <w:rFonts w:asciiTheme="majorHAnsi" w:hAnsiTheme="majorHAnsi"/>
        </w:rPr>
        <w:t xml:space="preserve">The instrument has been pilot tested </w:t>
      </w:r>
      <w:r w:rsidR="00B243F5" w:rsidRPr="00ED5847">
        <w:rPr>
          <w:rFonts w:asciiTheme="majorHAnsi" w:hAnsiTheme="majorHAnsi"/>
        </w:rPr>
        <w:t>using i</w:t>
      </w:r>
      <w:r w:rsidR="000F6286" w:rsidRPr="00ED5847">
        <w:rPr>
          <w:rFonts w:asciiTheme="majorHAnsi" w:hAnsiTheme="majorHAnsi"/>
        </w:rPr>
        <w:t>n-person</w:t>
      </w:r>
      <w:r w:rsidR="003E4302" w:rsidRPr="00ED5847">
        <w:rPr>
          <w:rFonts w:asciiTheme="majorHAnsi" w:hAnsiTheme="majorHAnsi"/>
        </w:rPr>
        <w:t xml:space="preserve"> </w:t>
      </w:r>
      <w:r w:rsidRPr="00ED5847">
        <w:rPr>
          <w:rFonts w:asciiTheme="majorHAnsi" w:hAnsiTheme="majorHAnsi"/>
        </w:rPr>
        <w:t xml:space="preserve">interviews with five people involved in private well public outreach programs (3 government personnel, </w:t>
      </w:r>
      <w:r w:rsidR="006B4810" w:rsidRPr="00ED5847">
        <w:rPr>
          <w:rFonts w:asciiTheme="majorHAnsi" w:hAnsiTheme="majorHAnsi"/>
        </w:rPr>
        <w:t>and 2</w:t>
      </w:r>
      <w:r w:rsidRPr="00ED5847">
        <w:rPr>
          <w:rFonts w:asciiTheme="majorHAnsi" w:hAnsiTheme="majorHAnsi"/>
        </w:rPr>
        <w:t xml:space="preserve"> nonprofit</w:t>
      </w:r>
      <w:r w:rsidR="006B4810" w:rsidRPr="00ED5847">
        <w:rPr>
          <w:rFonts w:asciiTheme="majorHAnsi" w:hAnsiTheme="majorHAnsi"/>
        </w:rPr>
        <w:t xml:space="preserve"> personnel</w:t>
      </w:r>
      <w:r w:rsidRPr="00ED5847">
        <w:rPr>
          <w:rFonts w:asciiTheme="majorHAnsi" w:hAnsiTheme="majorHAnsi"/>
        </w:rPr>
        <w:t xml:space="preserve">). The results were used to refine the questions and establish the estimated time required to complete the information collection instrument as </w:t>
      </w:r>
      <w:r w:rsidR="0003534C" w:rsidRPr="00ED5847">
        <w:rPr>
          <w:rFonts w:asciiTheme="majorHAnsi" w:hAnsiTheme="majorHAnsi"/>
        </w:rPr>
        <w:t>60</w:t>
      </w:r>
      <w:r w:rsidRPr="00ED5847">
        <w:rPr>
          <w:rFonts w:asciiTheme="majorHAnsi" w:hAnsiTheme="majorHAnsi"/>
        </w:rPr>
        <w:t xml:space="preserve"> minutes.  </w:t>
      </w:r>
    </w:p>
    <w:p w14:paraId="18E584A9" w14:textId="77777777" w:rsidR="00965938" w:rsidRPr="00513741" w:rsidRDefault="00965938" w:rsidP="00B96F1E">
      <w:pPr>
        <w:spacing w:after="0" w:line="23" w:lineRule="atLeast"/>
        <w:rPr>
          <w:rFonts w:asciiTheme="majorHAnsi" w:hAnsiTheme="majorHAnsi"/>
        </w:rPr>
      </w:pPr>
    </w:p>
    <w:p w14:paraId="3CACE375" w14:textId="77777777" w:rsidR="004876A2" w:rsidRPr="00207271" w:rsidRDefault="006102DA" w:rsidP="00B96F1E">
      <w:pPr>
        <w:spacing w:after="0"/>
        <w:rPr>
          <w:rFonts w:asciiTheme="majorHAnsi" w:hAnsiTheme="majorHAnsi"/>
        </w:rPr>
      </w:pPr>
      <w:r w:rsidRPr="00207271">
        <w:rPr>
          <w:rFonts w:asciiTheme="majorHAnsi" w:hAnsiTheme="majorHAnsi"/>
          <w:u w:val="single"/>
        </w:rPr>
        <w:t>Items of Information to be Collected</w:t>
      </w:r>
      <w:r w:rsidR="00B1129F" w:rsidRPr="00207271">
        <w:rPr>
          <w:rFonts w:asciiTheme="majorHAnsi" w:hAnsiTheme="majorHAnsi"/>
        </w:rPr>
        <w:t xml:space="preserve"> </w:t>
      </w:r>
    </w:p>
    <w:p w14:paraId="443E50A9" w14:textId="4E11C673" w:rsidR="000D5DE3" w:rsidRPr="00207271" w:rsidRDefault="004C22CB" w:rsidP="00B96F1E">
      <w:pPr>
        <w:spacing w:after="0"/>
        <w:rPr>
          <w:rFonts w:asciiTheme="majorHAnsi" w:hAnsiTheme="majorHAnsi"/>
        </w:rPr>
      </w:pPr>
      <w:r w:rsidRPr="00207271">
        <w:rPr>
          <w:rFonts w:asciiTheme="majorHAnsi" w:eastAsia="Calibri" w:hAnsiTheme="majorHAnsi"/>
        </w:rPr>
        <w:t>T</w:t>
      </w:r>
      <w:r w:rsidR="00ED5847">
        <w:rPr>
          <w:rFonts w:asciiTheme="majorHAnsi" w:eastAsia="Calibri" w:hAnsiTheme="majorHAnsi"/>
        </w:rPr>
        <w:t xml:space="preserve">he interview guide consists of </w:t>
      </w:r>
      <w:r w:rsidR="00F84557" w:rsidRPr="00207271">
        <w:rPr>
          <w:rFonts w:asciiTheme="majorHAnsi" w:eastAsia="Calibri" w:hAnsiTheme="majorHAnsi"/>
        </w:rPr>
        <w:t>4</w:t>
      </w:r>
      <w:r w:rsidR="00ED5847">
        <w:rPr>
          <w:rFonts w:asciiTheme="majorHAnsi" w:eastAsia="Calibri" w:hAnsiTheme="majorHAnsi"/>
        </w:rPr>
        <w:t>8</w:t>
      </w:r>
      <w:r w:rsidRPr="00207271">
        <w:rPr>
          <w:rFonts w:asciiTheme="majorHAnsi" w:eastAsia="Calibri" w:hAnsiTheme="majorHAnsi"/>
        </w:rPr>
        <w:t xml:space="preserve"> main questions, including </w:t>
      </w:r>
      <w:r w:rsidR="00F84557" w:rsidRPr="00207271">
        <w:rPr>
          <w:rFonts w:asciiTheme="majorHAnsi" w:eastAsia="Calibri" w:hAnsiTheme="majorHAnsi"/>
        </w:rPr>
        <w:t xml:space="preserve">9 </w:t>
      </w:r>
      <w:r w:rsidRPr="00207271">
        <w:rPr>
          <w:rFonts w:asciiTheme="majorHAnsi" w:eastAsia="Calibri" w:hAnsiTheme="majorHAnsi"/>
        </w:rPr>
        <w:t>multiple choice</w:t>
      </w:r>
      <w:r w:rsidR="00F84557" w:rsidRPr="00207271">
        <w:rPr>
          <w:rFonts w:asciiTheme="majorHAnsi" w:eastAsia="Calibri" w:hAnsiTheme="majorHAnsi"/>
        </w:rPr>
        <w:t>, 2</w:t>
      </w:r>
      <w:r w:rsidR="00EF3D79" w:rsidRPr="00207271">
        <w:rPr>
          <w:rFonts w:asciiTheme="majorHAnsi" w:eastAsia="Calibri" w:hAnsiTheme="majorHAnsi"/>
        </w:rPr>
        <w:t>1</w:t>
      </w:r>
      <w:r w:rsidR="00F84557" w:rsidRPr="00207271">
        <w:rPr>
          <w:rFonts w:asciiTheme="majorHAnsi" w:eastAsia="Calibri" w:hAnsiTheme="majorHAnsi"/>
        </w:rPr>
        <w:t xml:space="preserve"> Yes/No, 2 </w:t>
      </w:r>
      <w:r w:rsidR="002E2202" w:rsidRPr="00207271">
        <w:rPr>
          <w:rFonts w:asciiTheme="majorHAnsi" w:eastAsia="Calibri" w:hAnsiTheme="majorHAnsi"/>
        </w:rPr>
        <w:t xml:space="preserve">short answer, </w:t>
      </w:r>
      <w:r w:rsidRPr="00207271">
        <w:rPr>
          <w:rFonts w:asciiTheme="majorHAnsi" w:eastAsia="Calibri" w:hAnsiTheme="majorHAnsi"/>
        </w:rPr>
        <w:t xml:space="preserve">and </w:t>
      </w:r>
      <w:r w:rsidR="00F84557" w:rsidRPr="00207271">
        <w:rPr>
          <w:rFonts w:asciiTheme="majorHAnsi" w:eastAsia="Calibri" w:hAnsiTheme="majorHAnsi"/>
        </w:rPr>
        <w:t>1</w:t>
      </w:r>
      <w:r w:rsidR="00EF3D79" w:rsidRPr="00207271">
        <w:rPr>
          <w:rFonts w:asciiTheme="majorHAnsi" w:eastAsia="Calibri" w:hAnsiTheme="majorHAnsi"/>
        </w:rPr>
        <w:t>6</w:t>
      </w:r>
      <w:r w:rsidRPr="00207271">
        <w:rPr>
          <w:rFonts w:asciiTheme="majorHAnsi" w:eastAsia="Calibri" w:hAnsiTheme="majorHAnsi"/>
        </w:rPr>
        <w:t xml:space="preserve"> open-ended questions. </w:t>
      </w:r>
      <w:r w:rsidR="00D5716F" w:rsidRPr="00207271">
        <w:rPr>
          <w:rFonts w:asciiTheme="majorHAnsi" w:hAnsiTheme="majorHAnsi"/>
        </w:rPr>
        <w:t>These items</w:t>
      </w:r>
      <w:r w:rsidR="000D5DE3" w:rsidRPr="00207271">
        <w:rPr>
          <w:rFonts w:asciiTheme="majorHAnsi" w:hAnsiTheme="majorHAnsi"/>
        </w:rPr>
        <w:t xml:space="preserve"> include:</w:t>
      </w:r>
    </w:p>
    <w:p w14:paraId="17808EAB" w14:textId="36993645" w:rsidR="00F84557" w:rsidRPr="00207271" w:rsidRDefault="00F84557" w:rsidP="001C0050">
      <w:pPr>
        <w:pStyle w:val="ListParagraph"/>
        <w:numPr>
          <w:ilvl w:val="0"/>
          <w:numId w:val="34"/>
        </w:numPr>
        <w:spacing w:after="0"/>
        <w:ind w:left="360"/>
        <w:rPr>
          <w:rFonts w:asciiTheme="majorHAnsi" w:hAnsiTheme="majorHAnsi"/>
        </w:rPr>
      </w:pPr>
      <w:r w:rsidRPr="00207271">
        <w:rPr>
          <w:rFonts w:asciiTheme="majorHAnsi" w:hAnsiTheme="majorHAnsi"/>
          <w:b/>
        </w:rPr>
        <w:t>Program Manager Information</w:t>
      </w:r>
      <w:r w:rsidRPr="00207271">
        <w:rPr>
          <w:rFonts w:asciiTheme="majorHAnsi" w:hAnsiTheme="majorHAnsi"/>
        </w:rPr>
        <w:t xml:space="preserve">: These items include information on the program </w:t>
      </w:r>
      <w:r w:rsidR="005D6FFD" w:rsidRPr="00207271">
        <w:rPr>
          <w:rFonts w:asciiTheme="majorHAnsi" w:hAnsiTheme="majorHAnsi"/>
        </w:rPr>
        <w:t>man</w:t>
      </w:r>
      <w:r w:rsidR="005D6FFD">
        <w:rPr>
          <w:rFonts w:asciiTheme="majorHAnsi" w:hAnsiTheme="majorHAnsi"/>
        </w:rPr>
        <w:t>a</w:t>
      </w:r>
      <w:r w:rsidR="005D6FFD" w:rsidRPr="00207271">
        <w:rPr>
          <w:rFonts w:asciiTheme="majorHAnsi" w:hAnsiTheme="majorHAnsi"/>
        </w:rPr>
        <w:t>ger’s</w:t>
      </w:r>
      <w:r w:rsidRPr="00207271">
        <w:rPr>
          <w:rFonts w:asciiTheme="majorHAnsi" w:hAnsiTheme="majorHAnsi"/>
        </w:rPr>
        <w:t xml:space="preserve"> current position and role in the public education program for private well owners. </w:t>
      </w:r>
    </w:p>
    <w:p w14:paraId="2C2F8275" w14:textId="5D3C639E" w:rsidR="001C0050" w:rsidRPr="00207271" w:rsidRDefault="001C0050" w:rsidP="00B96F1E">
      <w:pPr>
        <w:pStyle w:val="ListParagraph"/>
        <w:numPr>
          <w:ilvl w:val="0"/>
          <w:numId w:val="34"/>
        </w:numPr>
        <w:spacing w:after="0"/>
        <w:ind w:left="360"/>
        <w:rPr>
          <w:rFonts w:asciiTheme="majorHAnsi" w:hAnsiTheme="majorHAnsi"/>
        </w:rPr>
      </w:pPr>
      <w:r w:rsidRPr="00207271">
        <w:rPr>
          <w:rFonts w:asciiTheme="majorHAnsi" w:hAnsiTheme="majorHAnsi"/>
          <w:b/>
        </w:rPr>
        <w:t>Program description</w:t>
      </w:r>
      <w:r w:rsidRPr="00207271">
        <w:rPr>
          <w:rFonts w:asciiTheme="majorHAnsi" w:hAnsiTheme="majorHAnsi"/>
        </w:rPr>
        <w:t xml:space="preserve">: These items include information about the respondent’s program including: program name, location, dates of operation, implementing agency, funding, goals, strategies,  tactics, location, website/brochures, participant follow-up, and partners.  </w:t>
      </w:r>
    </w:p>
    <w:p w14:paraId="45A0BC23" w14:textId="55BEA224" w:rsidR="000D5DE3" w:rsidRPr="00207271" w:rsidRDefault="00BC0BC7" w:rsidP="00B96F1E">
      <w:pPr>
        <w:pStyle w:val="ListParagraph"/>
        <w:numPr>
          <w:ilvl w:val="0"/>
          <w:numId w:val="34"/>
        </w:numPr>
        <w:spacing w:after="0"/>
        <w:ind w:left="360"/>
        <w:rPr>
          <w:rFonts w:asciiTheme="majorHAnsi" w:hAnsiTheme="majorHAnsi"/>
        </w:rPr>
      </w:pPr>
      <w:r w:rsidRPr="00207271">
        <w:rPr>
          <w:rFonts w:asciiTheme="majorHAnsi" w:hAnsiTheme="majorHAnsi"/>
          <w:b/>
        </w:rPr>
        <w:t xml:space="preserve">Program </w:t>
      </w:r>
      <w:r w:rsidR="00385948" w:rsidRPr="00207271">
        <w:rPr>
          <w:rFonts w:asciiTheme="majorHAnsi" w:hAnsiTheme="majorHAnsi"/>
          <w:b/>
        </w:rPr>
        <w:t>Assessments</w:t>
      </w:r>
      <w:r w:rsidR="006658FD" w:rsidRPr="00207271">
        <w:rPr>
          <w:rFonts w:asciiTheme="majorHAnsi" w:hAnsiTheme="majorHAnsi"/>
        </w:rPr>
        <w:t xml:space="preserve">: </w:t>
      </w:r>
      <w:r w:rsidR="000D5DE3" w:rsidRPr="00207271">
        <w:rPr>
          <w:rFonts w:asciiTheme="majorHAnsi" w:hAnsiTheme="majorHAnsi"/>
        </w:rPr>
        <w:t xml:space="preserve">These items </w:t>
      </w:r>
      <w:r w:rsidR="00F5383F" w:rsidRPr="00207271">
        <w:rPr>
          <w:rFonts w:asciiTheme="majorHAnsi" w:hAnsiTheme="majorHAnsi"/>
        </w:rPr>
        <w:t xml:space="preserve">include </w:t>
      </w:r>
      <w:r w:rsidRPr="00207271">
        <w:rPr>
          <w:rFonts w:asciiTheme="majorHAnsi" w:hAnsiTheme="majorHAnsi"/>
        </w:rPr>
        <w:t xml:space="preserve">the number of well owners reached, feedback from well owners, assessments </w:t>
      </w:r>
      <w:r w:rsidR="000D5DE3" w:rsidRPr="00207271">
        <w:rPr>
          <w:rFonts w:asciiTheme="majorHAnsi" w:hAnsiTheme="majorHAnsi"/>
        </w:rPr>
        <w:t>of activities</w:t>
      </w:r>
      <w:r w:rsidR="002E2202" w:rsidRPr="00207271">
        <w:rPr>
          <w:rFonts w:asciiTheme="majorHAnsi" w:hAnsiTheme="majorHAnsi"/>
        </w:rPr>
        <w:t>,</w:t>
      </w:r>
      <w:r w:rsidR="000D5DE3" w:rsidRPr="00207271">
        <w:rPr>
          <w:rFonts w:asciiTheme="majorHAnsi" w:hAnsiTheme="majorHAnsi"/>
        </w:rPr>
        <w:t xml:space="preserve"> and results associated with the campaign</w:t>
      </w:r>
      <w:r w:rsidR="002E2202" w:rsidRPr="00207271">
        <w:rPr>
          <w:rFonts w:asciiTheme="majorHAnsi" w:hAnsiTheme="majorHAnsi"/>
        </w:rPr>
        <w:t xml:space="preserve">.  </w:t>
      </w:r>
    </w:p>
    <w:p w14:paraId="425E5917" w14:textId="45F9389C" w:rsidR="000D5DE3" w:rsidRPr="00207271" w:rsidRDefault="00BC0BC7" w:rsidP="00B96F1E">
      <w:pPr>
        <w:pStyle w:val="ListParagraph"/>
        <w:numPr>
          <w:ilvl w:val="0"/>
          <w:numId w:val="34"/>
        </w:numPr>
        <w:spacing w:after="0"/>
        <w:ind w:left="360"/>
        <w:rPr>
          <w:rFonts w:asciiTheme="majorHAnsi" w:hAnsiTheme="majorHAnsi"/>
        </w:rPr>
      </w:pPr>
      <w:r w:rsidRPr="00207271">
        <w:rPr>
          <w:rFonts w:asciiTheme="majorHAnsi" w:hAnsiTheme="majorHAnsi"/>
          <w:b/>
        </w:rPr>
        <w:t>Program Man</w:t>
      </w:r>
      <w:r w:rsidR="00B243F5">
        <w:rPr>
          <w:rFonts w:asciiTheme="majorHAnsi" w:hAnsiTheme="majorHAnsi"/>
          <w:b/>
        </w:rPr>
        <w:t>a</w:t>
      </w:r>
      <w:r w:rsidRPr="00207271">
        <w:rPr>
          <w:rFonts w:asciiTheme="majorHAnsi" w:hAnsiTheme="majorHAnsi"/>
          <w:b/>
        </w:rPr>
        <w:t>ger Expert Opinion</w:t>
      </w:r>
      <w:r w:rsidR="006658FD" w:rsidRPr="00207271">
        <w:rPr>
          <w:rFonts w:asciiTheme="majorHAnsi" w:hAnsiTheme="majorHAnsi"/>
        </w:rPr>
        <w:t xml:space="preserve">: </w:t>
      </w:r>
      <w:r w:rsidR="000D5DE3" w:rsidRPr="00207271">
        <w:rPr>
          <w:rFonts w:asciiTheme="majorHAnsi" w:hAnsiTheme="majorHAnsi"/>
        </w:rPr>
        <w:t>These items include program managers’ thoughts and insights</w:t>
      </w:r>
      <w:r w:rsidRPr="00207271">
        <w:rPr>
          <w:rFonts w:asciiTheme="majorHAnsi" w:hAnsiTheme="majorHAnsi"/>
        </w:rPr>
        <w:t xml:space="preserve"> on barriers to the </w:t>
      </w:r>
      <w:r w:rsidR="00B243F5">
        <w:rPr>
          <w:rFonts w:asciiTheme="majorHAnsi" w:hAnsiTheme="majorHAnsi"/>
        </w:rPr>
        <w:t xml:space="preserve">effectiveness of the </w:t>
      </w:r>
      <w:r w:rsidRPr="00207271">
        <w:rPr>
          <w:rFonts w:asciiTheme="majorHAnsi" w:hAnsiTheme="majorHAnsi"/>
        </w:rPr>
        <w:t xml:space="preserve">program, how to overcome those barriers, and lessons from prior experiences.  </w:t>
      </w:r>
    </w:p>
    <w:p w14:paraId="33BAA63C" w14:textId="2AB0DBBA" w:rsidR="002E2202" w:rsidRPr="00207271" w:rsidRDefault="002E2202" w:rsidP="00B96F1E">
      <w:pPr>
        <w:pStyle w:val="ListParagraph"/>
        <w:numPr>
          <w:ilvl w:val="0"/>
          <w:numId w:val="34"/>
        </w:numPr>
        <w:spacing w:after="0"/>
        <w:ind w:left="360"/>
        <w:rPr>
          <w:rFonts w:asciiTheme="majorHAnsi" w:hAnsiTheme="majorHAnsi"/>
        </w:rPr>
      </w:pPr>
      <w:r w:rsidRPr="00207271">
        <w:rPr>
          <w:rFonts w:asciiTheme="majorHAnsi" w:hAnsiTheme="majorHAnsi"/>
          <w:b/>
        </w:rPr>
        <w:t>Arsenic or Nitrate Specific Programs</w:t>
      </w:r>
      <w:r w:rsidRPr="00207271">
        <w:rPr>
          <w:rFonts w:asciiTheme="majorHAnsi" w:hAnsiTheme="majorHAnsi"/>
        </w:rPr>
        <w:t xml:space="preserve">:  </w:t>
      </w:r>
      <w:r w:rsidR="00E20377" w:rsidRPr="00207271">
        <w:rPr>
          <w:rFonts w:asciiTheme="majorHAnsi" w:hAnsiTheme="majorHAnsi"/>
        </w:rPr>
        <w:t>Arsenic and nitrate are priority issues for private well owners due to their potential health risks</w:t>
      </w:r>
      <w:r w:rsidR="00B243F5">
        <w:rPr>
          <w:rFonts w:asciiTheme="majorHAnsi" w:hAnsiTheme="majorHAnsi"/>
        </w:rPr>
        <w:t xml:space="preserve"> and prevalence in private wells </w:t>
      </w:r>
      <w:r w:rsidR="00BB6E23">
        <w:rPr>
          <w:rFonts w:asciiTheme="majorHAnsi" w:hAnsiTheme="majorHAnsi"/>
        </w:rPr>
        <w:t>in certain areas of the United States</w:t>
      </w:r>
      <w:r w:rsidR="00E20377" w:rsidRPr="00207271">
        <w:rPr>
          <w:rFonts w:asciiTheme="majorHAnsi" w:hAnsiTheme="majorHAnsi"/>
        </w:rPr>
        <w:t xml:space="preserve">. </w:t>
      </w:r>
      <w:r w:rsidRPr="00207271">
        <w:rPr>
          <w:rFonts w:asciiTheme="majorHAnsi" w:hAnsiTheme="majorHAnsi"/>
        </w:rPr>
        <w:t>These items include reasons why these programs were established, program goals, barriers to the program and how to overcome them.</w:t>
      </w:r>
    </w:p>
    <w:p w14:paraId="68EB99C3" w14:textId="77777777" w:rsidR="002E2202" w:rsidRPr="00C96DD1" w:rsidRDefault="002E2202" w:rsidP="00B96F1E">
      <w:pPr>
        <w:spacing w:after="0"/>
        <w:rPr>
          <w:rFonts w:asciiTheme="majorHAnsi" w:hAnsiTheme="majorHAnsi"/>
        </w:rPr>
      </w:pPr>
    </w:p>
    <w:p w14:paraId="3A89093E" w14:textId="09B883F0" w:rsidR="00B12F51" w:rsidRPr="004263D3" w:rsidRDefault="00B12F51" w:rsidP="00B96F1E">
      <w:pPr>
        <w:pStyle w:val="ListParagraph"/>
        <w:numPr>
          <w:ilvl w:val="0"/>
          <w:numId w:val="2"/>
        </w:numPr>
        <w:spacing w:after="0"/>
        <w:rPr>
          <w:rFonts w:asciiTheme="majorHAnsi" w:hAnsiTheme="majorHAnsi"/>
          <w:b/>
        </w:rPr>
      </w:pPr>
      <w:r w:rsidRPr="004263D3">
        <w:rPr>
          <w:rFonts w:asciiTheme="majorHAnsi" w:hAnsiTheme="majorHAnsi"/>
          <w:b/>
        </w:rPr>
        <w:t>Purpose and Use of the Information Collection</w:t>
      </w:r>
    </w:p>
    <w:p w14:paraId="36346D09" w14:textId="20A39C71" w:rsidR="00394733" w:rsidRPr="00C96DD1" w:rsidRDefault="00965938" w:rsidP="00B96F1E">
      <w:pPr>
        <w:pStyle w:val="ListParagraph"/>
        <w:spacing w:after="0"/>
        <w:ind w:left="0"/>
        <w:rPr>
          <w:rFonts w:asciiTheme="majorHAnsi" w:hAnsiTheme="majorHAnsi"/>
        </w:rPr>
      </w:pPr>
      <w:r w:rsidRPr="00934DE8">
        <w:rPr>
          <w:rFonts w:asciiTheme="majorHAnsi" w:eastAsia="Calibri" w:hAnsiTheme="majorHAnsi"/>
        </w:rPr>
        <w:t xml:space="preserve">The primary purpose of this data collection is to </w:t>
      </w:r>
      <w:r w:rsidR="00590B9C">
        <w:rPr>
          <w:rFonts w:asciiTheme="majorHAnsi" w:eastAsia="Calibri" w:hAnsiTheme="majorHAnsi"/>
        </w:rPr>
        <w:t>build upon</w:t>
      </w:r>
      <w:r w:rsidR="006525B9">
        <w:rPr>
          <w:rFonts w:asciiTheme="majorHAnsi" w:eastAsia="Calibri" w:hAnsiTheme="majorHAnsi"/>
        </w:rPr>
        <w:t xml:space="preserve"> information gained from the prior University of Illinois </w:t>
      </w:r>
      <w:r w:rsidR="00590B9C">
        <w:rPr>
          <w:rFonts w:asciiTheme="majorHAnsi" w:eastAsia="Calibri" w:hAnsiTheme="majorHAnsi"/>
        </w:rPr>
        <w:t xml:space="preserve">online </w:t>
      </w:r>
      <w:r w:rsidR="004C22CB">
        <w:rPr>
          <w:rFonts w:asciiTheme="majorHAnsi" w:eastAsia="Calibri" w:hAnsiTheme="majorHAnsi"/>
        </w:rPr>
        <w:t>assessment in 2014</w:t>
      </w:r>
      <w:r w:rsidR="00BB6E23">
        <w:rPr>
          <w:rFonts w:asciiTheme="majorHAnsi" w:eastAsia="Calibri" w:hAnsiTheme="majorHAnsi"/>
        </w:rPr>
        <w:t xml:space="preserve"> by</w:t>
      </w:r>
      <w:r w:rsidR="006525B9">
        <w:rPr>
          <w:rFonts w:asciiTheme="majorHAnsi" w:eastAsia="Calibri" w:hAnsiTheme="majorHAnsi"/>
        </w:rPr>
        <w:t xml:space="preserve"> administer</w:t>
      </w:r>
      <w:r w:rsidR="00BB6E23">
        <w:rPr>
          <w:rFonts w:asciiTheme="majorHAnsi" w:eastAsia="Calibri" w:hAnsiTheme="majorHAnsi"/>
        </w:rPr>
        <w:t>ing</w:t>
      </w:r>
      <w:r w:rsidR="006525B9">
        <w:rPr>
          <w:rFonts w:asciiTheme="majorHAnsi" w:eastAsia="Calibri" w:hAnsiTheme="majorHAnsi"/>
        </w:rPr>
        <w:t xml:space="preserve"> a more detailed questionnaire to </w:t>
      </w:r>
      <w:r w:rsidR="0060782A" w:rsidRPr="00934DE8">
        <w:rPr>
          <w:rFonts w:asciiTheme="majorHAnsi" w:hAnsiTheme="majorHAnsi"/>
        </w:rPr>
        <w:t xml:space="preserve">identify and describe existing public outreach campaigns that promote well testing and treatment and to gather some data from the program managers that are indicative of program success from their perspective. </w:t>
      </w:r>
      <w:r w:rsidR="00BB6E23">
        <w:rPr>
          <w:rFonts w:asciiTheme="majorHAnsi" w:hAnsiTheme="majorHAnsi"/>
        </w:rPr>
        <w:t>As a result of this data collection, w</w:t>
      </w:r>
      <w:r w:rsidR="00121FCF" w:rsidRPr="00934DE8">
        <w:rPr>
          <w:rFonts w:asciiTheme="majorHAnsi" w:hAnsiTheme="majorHAnsi"/>
        </w:rPr>
        <w:t>e will have a better understanding of what programs exist nationally, how they work, and some preliminary data from program managers on whether they think they are effective.</w:t>
      </w:r>
    </w:p>
    <w:p w14:paraId="23627B1F" w14:textId="77777777" w:rsidR="00003BCA" w:rsidRPr="00C96DD1" w:rsidRDefault="00003BCA" w:rsidP="00B96F1E">
      <w:pPr>
        <w:pStyle w:val="ListParagraph"/>
        <w:spacing w:after="0"/>
        <w:ind w:left="0"/>
        <w:rPr>
          <w:rFonts w:asciiTheme="majorHAnsi" w:hAnsiTheme="majorHAnsi"/>
        </w:rPr>
      </w:pPr>
    </w:p>
    <w:p w14:paraId="20C6B070" w14:textId="3FB5677A" w:rsidR="006374E8" w:rsidRPr="00934DE8" w:rsidRDefault="005A134C" w:rsidP="00B96F1E">
      <w:pPr>
        <w:pStyle w:val="Header"/>
        <w:tabs>
          <w:tab w:val="clear" w:pos="4680"/>
        </w:tabs>
        <w:spacing w:line="276" w:lineRule="auto"/>
        <w:rPr>
          <w:rFonts w:asciiTheme="majorHAnsi" w:hAnsiTheme="majorHAnsi"/>
        </w:rPr>
      </w:pPr>
      <w:r>
        <w:rPr>
          <w:rFonts w:asciiTheme="majorHAnsi" w:hAnsiTheme="majorHAnsi"/>
        </w:rPr>
        <w:t xml:space="preserve">Data on </w:t>
      </w:r>
      <w:r w:rsidR="007839D4">
        <w:rPr>
          <w:rFonts w:asciiTheme="majorHAnsi" w:hAnsiTheme="majorHAnsi"/>
        </w:rPr>
        <w:t>the characteristics</w:t>
      </w:r>
      <w:r>
        <w:rPr>
          <w:rFonts w:asciiTheme="majorHAnsi" w:hAnsiTheme="majorHAnsi"/>
        </w:rPr>
        <w:t xml:space="preserve"> of successful public outreach campaigns that promote well testing and treatment are currently lacking in the literature.  </w:t>
      </w:r>
      <w:r w:rsidR="006374E8" w:rsidRPr="00934DE8">
        <w:rPr>
          <w:rFonts w:asciiTheme="majorHAnsi" w:hAnsiTheme="majorHAnsi"/>
        </w:rPr>
        <w:t>This information collection is necessary for the following reasons:</w:t>
      </w:r>
    </w:p>
    <w:p w14:paraId="61799D76" w14:textId="77777777" w:rsidR="001C2D8D" w:rsidRDefault="006374E8" w:rsidP="00B96F1E">
      <w:pPr>
        <w:pStyle w:val="Header"/>
        <w:numPr>
          <w:ilvl w:val="0"/>
          <w:numId w:val="26"/>
        </w:numPr>
        <w:tabs>
          <w:tab w:val="clear" w:pos="4680"/>
        </w:tabs>
        <w:spacing w:line="276" w:lineRule="auto"/>
        <w:rPr>
          <w:rFonts w:asciiTheme="majorHAnsi" w:hAnsiTheme="majorHAnsi"/>
        </w:rPr>
      </w:pPr>
      <w:r w:rsidRPr="004C22CB">
        <w:rPr>
          <w:rFonts w:asciiTheme="majorHAnsi" w:hAnsiTheme="majorHAnsi"/>
        </w:rPr>
        <w:t>To identify and describe existing public outreach campaigns that promote well testing and treatment by gathering some data from the program managers that are indicative of program success from their perspective.</w:t>
      </w:r>
    </w:p>
    <w:p w14:paraId="5ADEFBA5" w14:textId="51A7D3D4" w:rsidR="004C22CB" w:rsidRPr="004C22CB" w:rsidRDefault="006374E8" w:rsidP="00B96F1E">
      <w:pPr>
        <w:pStyle w:val="Header"/>
        <w:numPr>
          <w:ilvl w:val="0"/>
          <w:numId w:val="26"/>
        </w:numPr>
        <w:tabs>
          <w:tab w:val="clear" w:pos="4680"/>
        </w:tabs>
        <w:spacing w:line="276" w:lineRule="auto"/>
        <w:rPr>
          <w:rFonts w:asciiTheme="majorHAnsi" w:hAnsiTheme="majorHAnsi"/>
        </w:rPr>
      </w:pPr>
      <w:r w:rsidRPr="004C22CB">
        <w:rPr>
          <w:rFonts w:asciiTheme="majorHAnsi" w:hAnsiTheme="majorHAnsi"/>
        </w:rPr>
        <w:t xml:space="preserve">Interviews of key government personnel will provide additional context, depth and nuance to our </w:t>
      </w:r>
      <w:r w:rsidR="00BD3159">
        <w:rPr>
          <w:rFonts w:asciiTheme="majorHAnsi" w:hAnsiTheme="majorHAnsi"/>
        </w:rPr>
        <w:t>umbrella</w:t>
      </w:r>
      <w:r w:rsidR="00BB6E23">
        <w:rPr>
          <w:rFonts w:asciiTheme="majorHAnsi" w:hAnsiTheme="majorHAnsi"/>
        </w:rPr>
        <w:t xml:space="preserve"> project involving a more in-depth </w:t>
      </w:r>
      <w:r w:rsidRPr="004C22CB">
        <w:rPr>
          <w:rFonts w:asciiTheme="majorHAnsi" w:hAnsiTheme="majorHAnsi"/>
        </w:rPr>
        <w:t xml:space="preserve">evaluation of private well owner-focused public outreach efforts. We plan to conduct </w:t>
      </w:r>
      <w:r w:rsidR="00BB6E23">
        <w:rPr>
          <w:rFonts w:asciiTheme="majorHAnsi" w:hAnsiTheme="majorHAnsi"/>
        </w:rPr>
        <w:t xml:space="preserve">in-person </w:t>
      </w:r>
      <w:r w:rsidRPr="004C22CB">
        <w:rPr>
          <w:rFonts w:asciiTheme="majorHAnsi" w:hAnsiTheme="majorHAnsi"/>
        </w:rPr>
        <w:t>interviews and/or telephone interviews.</w:t>
      </w:r>
    </w:p>
    <w:p w14:paraId="4D008304" w14:textId="6AD73079" w:rsidR="006374E8" w:rsidRDefault="006374E8" w:rsidP="00B96F1E">
      <w:pPr>
        <w:pStyle w:val="Header"/>
        <w:numPr>
          <w:ilvl w:val="0"/>
          <w:numId w:val="26"/>
        </w:numPr>
        <w:tabs>
          <w:tab w:val="clear" w:pos="4680"/>
        </w:tabs>
        <w:spacing w:line="276" w:lineRule="auto"/>
        <w:rPr>
          <w:rFonts w:asciiTheme="majorHAnsi" w:hAnsiTheme="majorHAnsi"/>
        </w:rPr>
      </w:pPr>
      <w:r w:rsidRPr="004C22CB">
        <w:rPr>
          <w:rFonts w:asciiTheme="majorHAnsi" w:hAnsiTheme="majorHAnsi"/>
        </w:rPr>
        <w:t>Valuable information can be gained about two major problematic constituents in groundwater in two regions—arsenic, which is prevalent in portions of the northeastern United States, and nitrate, which is prevalent in certain large agricultural areas in southern California. This portion of the information collection will examine strategies and tactics specific to arsenic and nitrate. It also will examine how large-scale public outreach programs approach the task of educating private well owners.</w:t>
      </w:r>
    </w:p>
    <w:p w14:paraId="004A85FB" w14:textId="3063510E" w:rsidR="007839D4" w:rsidRDefault="007839D4" w:rsidP="00B96F1E">
      <w:pPr>
        <w:pStyle w:val="Header"/>
        <w:numPr>
          <w:ilvl w:val="0"/>
          <w:numId w:val="26"/>
        </w:numPr>
        <w:tabs>
          <w:tab w:val="clear" w:pos="4680"/>
        </w:tabs>
        <w:spacing w:line="276" w:lineRule="auto"/>
        <w:rPr>
          <w:rFonts w:asciiTheme="majorHAnsi" w:hAnsiTheme="majorHAnsi"/>
        </w:rPr>
      </w:pPr>
      <w:r>
        <w:rPr>
          <w:rFonts w:asciiTheme="majorHAnsi" w:hAnsiTheme="majorHAnsi"/>
        </w:rPr>
        <w:t xml:space="preserve">From these interviews, we will be able to identify gaps in program approaches and implementation.  Information about these gaps will be useful in designing future programs targeted toward private wells and private well owners. </w:t>
      </w:r>
    </w:p>
    <w:p w14:paraId="4E15A26A" w14:textId="77777777" w:rsidR="00B96F1E" w:rsidRPr="00C96DD1" w:rsidRDefault="00B96F1E" w:rsidP="00B96F1E">
      <w:pPr>
        <w:pStyle w:val="Header"/>
        <w:tabs>
          <w:tab w:val="clear" w:pos="4680"/>
        </w:tabs>
        <w:spacing w:line="276" w:lineRule="auto"/>
        <w:ind w:left="360" w:hanging="360"/>
        <w:rPr>
          <w:rFonts w:asciiTheme="majorHAnsi" w:hAnsiTheme="majorHAnsi"/>
          <w:highlight w:val="yellow"/>
        </w:rPr>
      </w:pPr>
    </w:p>
    <w:p w14:paraId="00223CD2" w14:textId="4D150B7E" w:rsidR="006374E8" w:rsidRPr="00C96DD1" w:rsidRDefault="006374E8" w:rsidP="00B96F1E">
      <w:pPr>
        <w:pStyle w:val="Header"/>
        <w:tabs>
          <w:tab w:val="clear" w:pos="4680"/>
        </w:tabs>
        <w:spacing w:line="276" w:lineRule="auto"/>
        <w:rPr>
          <w:rFonts w:asciiTheme="majorHAnsi" w:hAnsiTheme="majorHAnsi"/>
        </w:rPr>
      </w:pPr>
      <w:r w:rsidRPr="00C96DD1">
        <w:rPr>
          <w:rFonts w:asciiTheme="majorHAnsi" w:hAnsiTheme="majorHAnsi"/>
        </w:rPr>
        <w:t>Th</w:t>
      </w:r>
      <w:r>
        <w:rPr>
          <w:rFonts w:asciiTheme="majorHAnsi" w:hAnsiTheme="majorHAnsi"/>
        </w:rPr>
        <w:t>is</w:t>
      </w:r>
      <w:r w:rsidRPr="00C96DD1">
        <w:rPr>
          <w:rFonts w:asciiTheme="majorHAnsi" w:hAnsiTheme="majorHAnsi"/>
        </w:rPr>
        <w:t xml:space="preserve"> </w:t>
      </w:r>
      <w:r>
        <w:rPr>
          <w:rFonts w:asciiTheme="majorHAnsi" w:hAnsiTheme="majorHAnsi"/>
        </w:rPr>
        <w:t xml:space="preserve">information collection will contribute to </w:t>
      </w:r>
      <w:r w:rsidR="00BD3159">
        <w:rPr>
          <w:rFonts w:asciiTheme="majorHAnsi" w:hAnsiTheme="majorHAnsi"/>
        </w:rPr>
        <w:t>an umbrella project</w:t>
      </w:r>
      <w:r>
        <w:rPr>
          <w:rFonts w:asciiTheme="majorHAnsi" w:hAnsiTheme="majorHAnsi"/>
        </w:rPr>
        <w:t xml:space="preserve">, the </w:t>
      </w:r>
      <w:r w:rsidRPr="00C96DD1">
        <w:rPr>
          <w:rFonts w:asciiTheme="majorHAnsi" w:hAnsiTheme="majorHAnsi"/>
        </w:rPr>
        <w:t xml:space="preserve">findings </w:t>
      </w:r>
      <w:r>
        <w:rPr>
          <w:rFonts w:asciiTheme="majorHAnsi" w:hAnsiTheme="majorHAnsi"/>
        </w:rPr>
        <w:t xml:space="preserve">of which </w:t>
      </w:r>
      <w:r w:rsidRPr="00C96DD1">
        <w:rPr>
          <w:rFonts w:asciiTheme="majorHAnsi" w:hAnsiTheme="majorHAnsi"/>
        </w:rPr>
        <w:t>will be presented in a written report to be provided to CDC. The report will include:</w:t>
      </w:r>
    </w:p>
    <w:p w14:paraId="3C83F2D2" w14:textId="77777777" w:rsidR="006374E8" w:rsidRPr="00C96DD1" w:rsidRDefault="006374E8" w:rsidP="00B96F1E">
      <w:pPr>
        <w:pStyle w:val="Header"/>
        <w:numPr>
          <w:ilvl w:val="0"/>
          <w:numId w:val="35"/>
        </w:numPr>
        <w:tabs>
          <w:tab w:val="clear" w:pos="4680"/>
        </w:tabs>
        <w:spacing w:line="276" w:lineRule="auto"/>
        <w:rPr>
          <w:rFonts w:asciiTheme="majorHAnsi" w:hAnsiTheme="majorHAnsi"/>
        </w:rPr>
      </w:pPr>
      <w:r w:rsidRPr="00C96DD1">
        <w:rPr>
          <w:rFonts w:asciiTheme="majorHAnsi" w:hAnsiTheme="majorHAnsi"/>
          <w:b/>
        </w:rPr>
        <w:t>An analysis of the predominant components of private well outreach programs</w:t>
      </w:r>
    </w:p>
    <w:p w14:paraId="2D07346A" w14:textId="77777777" w:rsidR="006374E8" w:rsidRPr="00C96DD1" w:rsidRDefault="006374E8" w:rsidP="00B96F1E">
      <w:pPr>
        <w:pStyle w:val="Header"/>
        <w:tabs>
          <w:tab w:val="clear" w:pos="4680"/>
        </w:tabs>
        <w:spacing w:line="276" w:lineRule="auto"/>
        <w:ind w:left="720"/>
        <w:rPr>
          <w:rFonts w:asciiTheme="majorHAnsi" w:hAnsiTheme="majorHAnsi"/>
        </w:rPr>
      </w:pPr>
      <w:r w:rsidRPr="00C96DD1">
        <w:rPr>
          <w:rFonts w:asciiTheme="majorHAnsi" w:hAnsiTheme="majorHAnsi"/>
        </w:rPr>
        <w:t xml:space="preserve">These components will correspond to program </w:t>
      </w:r>
      <w:r>
        <w:rPr>
          <w:rFonts w:asciiTheme="majorHAnsi" w:hAnsiTheme="majorHAnsi"/>
        </w:rPr>
        <w:t>strategies and related tactic</w:t>
      </w:r>
      <w:r w:rsidRPr="00C96DD1">
        <w:rPr>
          <w:rFonts w:asciiTheme="majorHAnsi" w:hAnsiTheme="majorHAnsi"/>
        </w:rPr>
        <w:t>s (i.e. News media initiative (strategy); news events, news releases, editorial board meetings (tactics).</w:t>
      </w:r>
    </w:p>
    <w:p w14:paraId="08728B5F" w14:textId="77777777" w:rsidR="006374E8" w:rsidRDefault="006374E8" w:rsidP="00B96F1E">
      <w:pPr>
        <w:pStyle w:val="Header"/>
        <w:numPr>
          <w:ilvl w:val="0"/>
          <w:numId w:val="35"/>
        </w:numPr>
        <w:tabs>
          <w:tab w:val="clear" w:pos="4680"/>
        </w:tabs>
        <w:spacing w:line="276" w:lineRule="auto"/>
        <w:rPr>
          <w:rFonts w:asciiTheme="majorHAnsi" w:hAnsiTheme="majorHAnsi"/>
        </w:rPr>
      </w:pPr>
      <w:r w:rsidRPr="00C96DD1">
        <w:rPr>
          <w:rFonts w:asciiTheme="majorHAnsi" w:hAnsiTheme="majorHAnsi"/>
          <w:b/>
        </w:rPr>
        <w:t>A composite profile of a multi-faceted program</w:t>
      </w:r>
    </w:p>
    <w:p w14:paraId="2D596C37" w14:textId="77777777" w:rsidR="006374E8" w:rsidRPr="00C96DD1" w:rsidRDefault="006374E8" w:rsidP="00B96F1E">
      <w:pPr>
        <w:pStyle w:val="Header"/>
        <w:tabs>
          <w:tab w:val="clear" w:pos="4680"/>
        </w:tabs>
        <w:spacing w:line="276" w:lineRule="auto"/>
        <w:ind w:left="720"/>
        <w:rPr>
          <w:rFonts w:asciiTheme="majorHAnsi" w:hAnsiTheme="majorHAnsi"/>
        </w:rPr>
      </w:pPr>
      <w:r w:rsidRPr="00C96DD1">
        <w:rPr>
          <w:rFonts w:asciiTheme="majorHAnsi" w:hAnsiTheme="majorHAnsi"/>
        </w:rPr>
        <w:t>This “composite” would represent a model program that optimally combines the predominant components of public outreach campaigns to private well owners.</w:t>
      </w:r>
    </w:p>
    <w:p w14:paraId="5A99565E" w14:textId="77777777" w:rsidR="006374E8" w:rsidRPr="00C96DD1" w:rsidRDefault="006374E8" w:rsidP="00B96F1E">
      <w:pPr>
        <w:pStyle w:val="Header"/>
        <w:numPr>
          <w:ilvl w:val="0"/>
          <w:numId w:val="35"/>
        </w:numPr>
        <w:tabs>
          <w:tab w:val="clear" w:pos="4680"/>
        </w:tabs>
        <w:spacing w:line="276" w:lineRule="auto"/>
        <w:rPr>
          <w:rFonts w:asciiTheme="majorHAnsi" w:hAnsiTheme="majorHAnsi"/>
        </w:rPr>
      </w:pPr>
      <w:r w:rsidRPr="00C96DD1">
        <w:rPr>
          <w:rFonts w:asciiTheme="majorHAnsi" w:hAnsiTheme="majorHAnsi"/>
          <w:b/>
        </w:rPr>
        <w:t>Case examples of noteworthy private well outreach programs</w:t>
      </w:r>
    </w:p>
    <w:p w14:paraId="47932C90" w14:textId="77777777" w:rsidR="006374E8" w:rsidRPr="00C96DD1" w:rsidRDefault="006374E8" w:rsidP="00B96F1E">
      <w:pPr>
        <w:pStyle w:val="Header"/>
        <w:tabs>
          <w:tab w:val="clear" w:pos="4680"/>
        </w:tabs>
        <w:spacing w:line="276" w:lineRule="auto"/>
        <w:ind w:left="720"/>
        <w:rPr>
          <w:rFonts w:asciiTheme="majorHAnsi" w:hAnsiTheme="majorHAnsi"/>
        </w:rPr>
      </w:pPr>
      <w:r w:rsidRPr="00C96DD1">
        <w:rPr>
          <w:rFonts w:asciiTheme="majorHAnsi" w:hAnsiTheme="majorHAnsi"/>
        </w:rPr>
        <w:t xml:space="preserve">The case examples selected as “noteworthy” will stand out in ways that are particularly helpful in illustrating the program development, </w:t>
      </w:r>
      <w:r>
        <w:rPr>
          <w:rFonts w:asciiTheme="majorHAnsi" w:hAnsiTheme="majorHAnsi"/>
        </w:rPr>
        <w:t>implementation and/or assessment</w:t>
      </w:r>
      <w:r w:rsidRPr="00C96DD1">
        <w:rPr>
          <w:rFonts w:asciiTheme="majorHAnsi" w:hAnsiTheme="majorHAnsi"/>
        </w:rPr>
        <w:t>.</w:t>
      </w:r>
    </w:p>
    <w:p w14:paraId="74217709" w14:textId="77777777" w:rsidR="006374E8" w:rsidRPr="00C96DD1" w:rsidRDefault="006374E8" w:rsidP="00B96F1E">
      <w:pPr>
        <w:pStyle w:val="Header"/>
        <w:numPr>
          <w:ilvl w:val="0"/>
          <w:numId w:val="35"/>
        </w:numPr>
        <w:tabs>
          <w:tab w:val="clear" w:pos="4680"/>
        </w:tabs>
        <w:spacing w:line="276" w:lineRule="auto"/>
        <w:rPr>
          <w:rFonts w:asciiTheme="majorHAnsi" w:hAnsiTheme="majorHAnsi"/>
        </w:rPr>
      </w:pPr>
      <w:r w:rsidRPr="00C96DD1">
        <w:rPr>
          <w:rFonts w:asciiTheme="majorHAnsi" w:hAnsiTheme="majorHAnsi"/>
          <w:b/>
        </w:rPr>
        <w:t>Key program considerations</w:t>
      </w:r>
    </w:p>
    <w:p w14:paraId="42E09599" w14:textId="77777777" w:rsidR="006374E8" w:rsidRPr="00513741" w:rsidRDefault="006374E8" w:rsidP="00B96F1E">
      <w:pPr>
        <w:pStyle w:val="Header"/>
        <w:tabs>
          <w:tab w:val="clear" w:pos="4680"/>
        </w:tabs>
        <w:spacing w:line="276" w:lineRule="auto"/>
        <w:ind w:left="720"/>
        <w:rPr>
          <w:rFonts w:asciiTheme="majorHAnsi" w:hAnsiTheme="majorHAnsi"/>
        </w:rPr>
      </w:pPr>
      <w:r w:rsidRPr="00513741">
        <w:rPr>
          <w:rFonts w:asciiTheme="majorHAnsi" w:hAnsiTheme="majorHAnsi"/>
        </w:rPr>
        <w:t>The project will develop an outline of common considerations and corresponding strategies and tactics used in private well public outreach.</w:t>
      </w:r>
    </w:p>
    <w:p w14:paraId="747FE96F" w14:textId="77777777" w:rsidR="00003BCA" w:rsidRPr="00C96DD1" w:rsidRDefault="00003BCA" w:rsidP="00B96F1E">
      <w:pPr>
        <w:spacing w:after="0"/>
        <w:rPr>
          <w:rFonts w:asciiTheme="majorHAnsi" w:hAnsiTheme="majorHAnsi"/>
          <w:u w:val="single"/>
        </w:rPr>
      </w:pPr>
    </w:p>
    <w:p w14:paraId="0FF8C3B5" w14:textId="08E88F36" w:rsidR="00B12F51" w:rsidRPr="004263D3" w:rsidRDefault="00B47055" w:rsidP="004263D3">
      <w:pPr>
        <w:pStyle w:val="ListParagraph"/>
        <w:numPr>
          <w:ilvl w:val="0"/>
          <w:numId w:val="2"/>
        </w:numPr>
        <w:spacing w:after="0"/>
        <w:rPr>
          <w:rFonts w:asciiTheme="majorHAnsi" w:hAnsiTheme="majorHAnsi"/>
          <w:b/>
        </w:rPr>
      </w:pPr>
      <w:r w:rsidRPr="004263D3">
        <w:rPr>
          <w:rFonts w:asciiTheme="majorHAnsi" w:hAnsiTheme="majorHAnsi"/>
          <w:b/>
          <w:bCs/>
        </w:rPr>
        <w:t>Use of Improved Information Technology and Burden Reduction</w:t>
      </w:r>
    </w:p>
    <w:p w14:paraId="31AF33D6" w14:textId="3B66CDB8" w:rsidR="00413248" w:rsidRPr="00C96DD1" w:rsidRDefault="0014232D" w:rsidP="0014667A">
      <w:pPr>
        <w:pStyle w:val="ListParagraph"/>
        <w:spacing w:after="0"/>
        <w:ind w:left="0"/>
        <w:rPr>
          <w:rFonts w:asciiTheme="majorHAnsi" w:hAnsiTheme="majorHAnsi"/>
        </w:rPr>
      </w:pPr>
      <w:r>
        <w:rPr>
          <w:rFonts w:asciiTheme="majorHAnsi" w:hAnsiTheme="majorHAnsi"/>
        </w:rPr>
        <w:t>For this information collection, the</w:t>
      </w:r>
      <w:r w:rsidR="00844A74" w:rsidRPr="00C96DD1">
        <w:rPr>
          <w:rFonts w:asciiTheme="majorHAnsi" w:hAnsiTheme="majorHAnsi"/>
        </w:rPr>
        <w:t xml:space="preserve"> </w:t>
      </w:r>
      <w:r w:rsidR="003E639F" w:rsidRPr="00C96DD1">
        <w:rPr>
          <w:rFonts w:asciiTheme="majorHAnsi" w:hAnsiTheme="majorHAnsi"/>
        </w:rPr>
        <w:t xml:space="preserve">personal </w:t>
      </w:r>
      <w:r w:rsidR="00844A74" w:rsidRPr="00C96DD1">
        <w:rPr>
          <w:rFonts w:asciiTheme="majorHAnsi" w:hAnsiTheme="majorHAnsi"/>
        </w:rPr>
        <w:t>interview format</w:t>
      </w:r>
      <w:r w:rsidR="003E639F" w:rsidRPr="00C96DD1">
        <w:rPr>
          <w:rFonts w:asciiTheme="majorHAnsi" w:hAnsiTheme="majorHAnsi"/>
        </w:rPr>
        <w:t xml:space="preserve">—whether </w:t>
      </w:r>
      <w:r w:rsidR="00BD3159">
        <w:rPr>
          <w:rFonts w:asciiTheme="majorHAnsi" w:hAnsiTheme="majorHAnsi"/>
        </w:rPr>
        <w:t>in-person</w:t>
      </w:r>
      <w:r w:rsidR="003E639F" w:rsidRPr="00C96DD1">
        <w:rPr>
          <w:rFonts w:asciiTheme="majorHAnsi" w:hAnsiTheme="majorHAnsi"/>
        </w:rPr>
        <w:t xml:space="preserve"> or by telephone—</w:t>
      </w:r>
      <w:r w:rsidR="00844A74" w:rsidRPr="00C96DD1">
        <w:rPr>
          <w:rFonts w:asciiTheme="majorHAnsi" w:hAnsiTheme="majorHAnsi"/>
        </w:rPr>
        <w:t>is used to gather the richest and mos</w:t>
      </w:r>
      <w:r>
        <w:rPr>
          <w:rFonts w:asciiTheme="majorHAnsi" w:hAnsiTheme="majorHAnsi"/>
        </w:rPr>
        <w:t>t nuanced information needed</w:t>
      </w:r>
      <w:r w:rsidR="00844A74" w:rsidRPr="00C96DD1">
        <w:rPr>
          <w:rFonts w:asciiTheme="majorHAnsi" w:hAnsiTheme="majorHAnsi"/>
        </w:rPr>
        <w:t xml:space="preserve">. </w:t>
      </w:r>
      <w:r w:rsidR="006525B9">
        <w:rPr>
          <w:rFonts w:asciiTheme="majorHAnsi" w:hAnsiTheme="majorHAnsi"/>
        </w:rPr>
        <w:t xml:space="preserve">This will build upon the basic information gained from the </w:t>
      </w:r>
      <w:r w:rsidR="00150E75">
        <w:rPr>
          <w:rFonts w:asciiTheme="majorHAnsi" w:hAnsiTheme="majorHAnsi"/>
        </w:rPr>
        <w:t xml:space="preserve">previously utilized </w:t>
      </w:r>
      <w:r w:rsidR="006525B9">
        <w:rPr>
          <w:rFonts w:asciiTheme="majorHAnsi" w:hAnsiTheme="majorHAnsi"/>
        </w:rPr>
        <w:t xml:space="preserve">online </w:t>
      </w:r>
      <w:r w:rsidR="009F3A54">
        <w:rPr>
          <w:rFonts w:asciiTheme="majorHAnsi" w:hAnsiTheme="majorHAnsi"/>
        </w:rPr>
        <w:t>assessment</w:t>
      </w:r>
      <w:r w:rsidR="00B96F1E">
        <w:rPr>
          <w:rFonts w:asciiTheme="majorHAnsi" w:hAnsiTheme="majorHAnsi"/>
        </w:rPr>
        <w:t xml:space="preserve"> </w:t>
      </w:r>
      <w:r w:rsidR="006525B9">
        <w:rPr>
          <w:rFonts w:asciiTheme="majorHAnsi" w:hAnsiTheme="majorHAnsi"/>
        </w:rPr>
        <w:t xml:space="preserve">tool. </w:t>
      </w:r>
      <w:r w:rsidR="00844A74" w:rsidRPr="00C96DD1">
        <w:rPr>
          <w:rFonts w:asciiTheme="majorHAnsi" w:hAnsiTheme="majorHAnsi"/>
        </w:rPr>
        <w:t xml:space="preserve">The questions seek impressions, reflections, and experiences relevant to public education programs designed to motivate private well owners to test and treat their water. </w:t>
      </w:r>
      <w:r w:rsidR="00920A94" w:rsidRPr="00C96DD1">
        <w:rPr>
          <w:rFonts w:asciiTheme="majorHAnsi" w:hAnsiTheme="majorHAnsi"/>
        </w:rPr>
        <w:t xml:space="preserve">Interviewers are highly skilled in using the interview instrument to facilitate a concise and focused conversation between the interviewer and respondent. </w:t>
      </w:r>
    </w:p>
    <w:p w14:paraId="296462C6" w14:textId="77777777" w:rsidR="00B47055" w:rsidRPr="00C96DD1" w:rsidRDefault="00B47055" w:rsidP="00F52BCC">
      <w:pPr>
        <w:pStyle w:val="ListParagraph"/>
        <w:spacing w:after="0"/>
        <w:rPr>
          <w:rFonts w:asciiTheme="majorHAnsi" w:hAnsiTheme="majorHAnsi"/>
        </w:rPr>
      </w:pPr>
    </w:p>
    <w:p w14:paraId="0B2E0B18" w14:textId="208B1C95" w:rsidR="00B47055" w:rsidRPr="004263D3" w:rsidRDefault="00B47055" w:rsidP="004263D3">
      <w:pPr>
        <w:pStyle w:val="ListParagraph"/>
        <w:numPr>
          <w:ilvl w:val="0"/>
          <w:numId w:val="2"/>
        </w:numPr>
        <w:spacing w:after="0"/>
        <w:rPr>
          <w:rFonts w:asciiTheme="majorHAnsi" w:hAnsiTheme="majorHAnsi"/>
          <w:b/>
        </w:rPr>
      </w:pPr>
      <w:r w:rsidRPr="004263D3">
        <w:rPr>
          <w:rFonts w:asciiTheme="majorHAnsi" w:hAnsiTheme="majorHAnsi"/>
          <w:b/>
          <w:bCs/>
        </w:rPr>
        <w:t>Efforts to Identify Duplication and Use of Similar Information</w:t>
      </w:r>
    </w:p>
    <w:p w14:paraId="73FE4A7C" w14:textId="415F040B" w:rsidR="00AF37D1" w:rsidRPr="00C96DD1" w:rsidRDefault="00825621" w:rsidP="00AF37D1">
      <w:pPr>
        <w:pStyle w:val="ListParagraph"/>
        <w:spacing w:after="0"/>
        <w:ind w:left="0"/>
        <w:rPr>
          <w:rFonts w:asciiTheme="majorHAnsi" w:hAnsiTheme="majorHAnsi"/>
        </w:rPr>
      </w:pPr>
      <w:r w:rsidRPr="00C96DD1">
        <w:rPr>
          <w:rFonts w:asciiTheme="majorHAnsi" w:hAnsiTheme="majorHAnsi"/>
        </w:rPr>
        <w:t>A prelimi</w:t>
      </w:r>
      <w:r w:rsidR="005B05FF" w:rsidRPr="00C96DD1">
        <w:rPr>
          <w:rFonts w:asciiTheme="majorHAnsi" w:hAnsiTheme="majorHAnsi"/>
        </w:rPr>
        <w:t xml:space="preserve">nary external literature review and environmental scan did not identify any systematic assessments of public education programs effective in motivating private well owners to test and treat their water. </w:t>
      </w:r>
      <w:r w:rsidR="00AE1895" w:rsidRPr="00C96DD1">
        <w:rPr>
          <w:rFonts w:asciiTheme="majorHAnsi" w:hAnsiTheme="majorHAnsi"/>
        </w:rPr>
        <w:t xml:space="preserve"> </w:t>
      </w:r>
      <w:r w:rsidR="00554FC6">
        <w:rPr>
          <w:rFonts w:asciiTheme="majorHAnsi" w:hAnsiTheme="majorHAnsi"/>
        </w:rPr>
        <w:t>At the request of CDC, NGWA contacted Steve Wilson of the University of Illinois about its information collection under a 2013 contract to identify and assess effective educational campaigns for private well owners (</w:t>
      </w:r>
      <w:r w:rsidR="00554FC6" w:rsidRPr="00554FC6">
        <w:rPr>
          <w:rFonts w:asciiTheme="majorHAnsi" w:hAnsiTheme="majorHAnsi"/>
          <w:i/>
        </w:rPr>
        <w:t>Effective Educational Campaigns for Private Well Owners</w:t>
      </w:r>
      <w:r w:rsidR="00B96F1E">
        <w:rPr>
          <w:rFonts w:asciiTheme="majorHAnsi" w:hAnsiTheme="majorHAnsi"/>
          <w:i/>
        </w:rPr>
        <w:t xml:space="preserve">, </w:t>
      </w:r>
      <w:r w:rsidR="00B96F1E">
        <w:rPr>
          <w:rFonts w:asciiTheme="majorHAnsi" w:hAnsiTheme="majorHAnsi"/>
        </w:rPr>
        <w:t>OMB 0920-0879, approved 5/29/14</w:t>
      </w:r>
      <w:r w:rsidR="00554FC6">
        <w:rPr>
          <w:rFonts w:asciiTheme="majorHAnsi" w:hAnsiTheme="majorHAnsi"/>
        </w:rPr>
        <w:t>)</w:t>
      </w:r>
      <w:r w:rsidR="00921D5D">
        <w:rPr>
          <w:rFonts w:asciiTheme="majorHAnsi" w:hAnsiTheme="majorHAnsi"/>
        </w:rPr>
        <w:t xml:space="preserve"> to ensure that the NGWA-led data collection built upon University of Illinois’ work, rather than duplicated their previously conducted data collection. </w:t>
      </w:r>
      <w:r w:rsidR="001B792A" w:rsidRPr="006374E8">
        <w:rPr>
          <w:rFonts w:asciiTheme="majorHAnsi" w:hAnsiTheme="majorHAnsi"/>
        </w:rPr>
        <w:t xml:space="preserve">After completion of the </w:t>
      </w:r>
      <w:r w:rsidR="001B792A">
        <w:rPr>
          <w:rFonts w:asciiTheme="majorHAnsi" w:hAnsiTheme="majorHAnsi"/>
        </w:rPr>
        <w:t xml:space="preserve">previous assessment, </w:t>
      </w:r>
      <w:r w:rsidR="001B792A" w:rsidRPr="006374E8">
        <w:rPr>
          <w:rFonts w:asciiTheme="majorHAnsi" w:hAnsiTheme="majorHAnsi"/>
        </w:rPr>
        <w:t xml:space="preserve">participants reported they had more </w:t>
      </w:r>
      <w:r w:rsidR="001B792A">
        <w:rPr>
          <w:rFonts w:asciiTheme="majorHAnsi" w:hAnsiTheme="majorHAnsi"/>
        </w:rPr>
        <w:t>information</w:t>
      </w:r>
      <w:r w:rsidR="001B792A" w:rsidRPr="006374E8">
        <w:rPr>
          <w:rFonts w:asciiTheme="majorHAnsi" w:hAnsiTheme="majorHAnsi"/>
        </w:rPr>
        <w:t xml:space="preserve"> to share regarding successful programs that was not easily captured in the on-line </w:t>
      </w:r>
      <w:r w:rsidR="001B792A">
        <w:rPr>
          <w:rFonts w:asciiTheme="majorHAnsi" w:hAnsiTheme="majorHAnsi"/>
        </w:rPr>
        <w:t xml:space="preserve">survey </w:t>
      </w:r>
      <w:r w:rsidR="001B792A" w:rsidRPr="006374E8">
        <w:rPr>
          <w:rFonts w:asciiTheme="majorHAnsi" w:hAnsiTheme="majorHAnsi"/>
        </w:rPr>
        <w:t xml:space="preserve">format. As such, </w:t>
      </w:r>
      <w:r w:rsidR="001B792A">
        <w:rPr>
          <w:rFonts w:asciiTheme="majorHAnsi" w:hAnsiTheme="majorHAnsi"/>
        </w:rPr>
        <w:t>the current NGWA</w:t>
      </w:r>
      <w:r w:rsidR="001B792A" w:rsidRPr="006374E8">
        <w:rPr>
          <w:rFonts w:asciiTheme="majorHAnsi" w:hAnsiTheme="majorHAnsi"/>
        </w:rPr>
        <w:t xml:space="preserve"> contract </w:t>
      </w:r>
      <w:r w:rsidR="001B792A">
        <w:rPr>
          <w:rFonts w:asciiTheme="majorHAnsi" w:hAnsiTheme="majorHAnsi"/>
        </w:rPr>
        <w:t xml:space="preserve">will gather qualitative data (in-person and telephone format) </w:t>
      </w:r>
      <w:r w:rsidR="001B792A" w:rsidRPr="006374E8">
        <w:rPr>
          <w:rFonts w:asciiTheme="majorHAnsi" w:hAnsiTheme="majorHAnsi"/>
        </w:rPr>
        <w:t>to allow for collection of rich, in-depth information</w:t>
      </w:r>
      <w:r w:rsidR="001B792A" w:rsidRPr="001B792A">
        <w:rPr>
          <w:rFonts w:asciiTheme="majorHAnsi" w:hAnsiTheme="majorHAnsi"/>
        </w:rPr>
        <w:t xml:space="preserve"> </w:t>
      </w:r>
      <w:r w:rsidR="001B792A" w:rsidRPr="006374E8">
        <w:rPr>
          <w:rFonts w:asciiTheme="majorHAnsi" w:hAnsiTheme="majorHAnsi"/>
        </w:rPr>
        <w:t xml:space="preserve">to </w:t>
      </w:r>
      <w:r w:rsidR="001B792A">
        <w:rPr>
          <w:rFonts w:asciiTheme="majorHAnsi" w:hAnsiTheme="majorHAnsi"/>
        </w:rPr>
        <w:t>obtain a better</w:t>
      </w:r>
      <w:r w:rsidR="001B792A" w:rsidRPr="006374E8">
        <w:rPr>
          <w:rFonts w:asciiTheme="majorHAnsi" w:hAnsiTheme="majorHAnsi"/>
        </w:rPr>
        <w:t xml:space="preserve"> understanding of successful educational campaigns for well owners from program managers. </w:t>
      </w:r>
    </w:p>
    <w:p w14:paraId="26C1B46C" w14:textId="77777777" w:rsidR="00825621" w:rsidRPr="00C96DD1" w:rsidRDefault="00825621" w:rsidP="00AC336C">
      <w:pPr>
        <w:spacing w:after="0"/>
        <w:rPr>
          <w:rFonts w:asciiTheme="majorHAnsi" w:hAnsiTheme="majorHAnsi"/>
        </w:rPr>
      </w:pPr>
    </w:p>
    <w:p w14:paraId="70335133" w14:textId="0AD91ABD" w:rsidR="00B12F51" w:rsidRPr="004263D3" w:rsidRDefault="00B47055" w:rsidP="004263D3">
      <w:pPr>
        <w:pStyle w:val="ListParagraph"/>
        <w:numPr>
          <w:ilvl w:val="0"/>
          <w:numId w:val="2"/>
        </w:numPr>
        <w:spacing w:after="0"/>
        <w:rPr>
          <w:rFonts w:asciiTheme="majorHAnsi" w:hAnsiTheme="majorHAnsi"/>
          <w:b/>
        </w:rPr>
      </w:pPr>
      <w:r w:rsidRPr="004263D3">
        <w:rPr>
          <w:rFonts w:asciiTheme="majorHAnsi" w:hAnsiTheme="majorHAnsi"/>
          <w:b/>
          <w:bCs/>
        </w:rPr>
        <w:t>Impact on Small Businesses or Other Small Entities</w:t>
      </w:r>
    </w:p>
    <w:p w14:paraId="7BBEF3AE" w14:textId="77777777" w:rsidR="0053557D" w:rsidRPr="00C96DD1" w:rsidRDefault="00D26A64" w:rsidP="0087258D">
      <w:pPr>
        <w:pStyle w:val="ListParagraph"/>
        <w:spacing w:after="0"/>
        <w:ind w:left="0"/>
        <w:rPr>
          <w:rFonts w:asciiTheme="majorHAnsi" w:hAnsiTheme="majorHAnsi"/>
        </w:rPr>
      </w:pPr>
      <w:r w:rsidRPr="00C96DD1">
        <w:rPr>
          <w:rFonts w:asciiTheme="majorHAnsi" w:hAnsiTheme="majorHAnsi"/>
        </w:rPr>
        <w:t>N</w:t>
      </w:r>
      <w:r w:rsidR="00AF2252" w:rsidRPr="00C96DD1">
        <w:rPr>
          <w:rFonts w:asciiTheme="majorHAnsi" w:hAnsiTheme="majorHAnsi"/>
        </w:rPr>
        <w:t>o small businesses will be involved in this dat</w:t>
      </w:r>
      <w:r w:rsidR="009735EE" w:rsidRPr="00C96DD1">
        <w:rPr>
          <w:rFonts w:asciiTheme="majorHAnsi" w:hAnsiTheme="majorHAnsi"/>
        </w:rPr>
        <w:t>a</w:t>
      </w:r>
      <w:r w:rsidR="00AF2252" w:rsidRPr="00C96DD1">
        <w:rPr>
          <w:rFonts w:asciiTheme="majorHAnsi" w:hAnsiTheme="majorHAnsi"/>
        </w:rPr>
        <w:t xml:space="preserve"> collection</w:t>
      </w:r>
      <w:r w:rsidRPr="00C96DD1">
        <w:rPr>
          <w:rFonts w:asciiTheme="majorHAnsi" w:hAnsiTheme="majorHAnsi"/>
        </w:rPr>
        <w:t>.</w:t>
      </w:r>
    </w:p>
    <w:p w14:paraId="6797589D" w14:textId="77777777" w:rsidR="00576371" w:rsidRPr="00C96DD1" w:rsidRDefault="00576371" w:rsidP="0014667A">
      <w:pPr>
        <w:pStyle w:val="ListParagraph"/>
        <w:spacing w:after="0"/>
        <w:ind w:left="270"/>
        <w:rPr>
          <w:rFonts w:asciiTheme="majorHAnsi" w:hAnsiTheme="majorHAnsi"/>
        </w:rPr>
      </w:pPr>
    </w:p>
    <w:p w14:paraId="342F695C" w14:textId="47198508" w:rsidR="00B12F51" w:rsidRPr="004263D3" w:rsidRDefault="00B47055" w:rsidP="004263D3">
      <w:pPr>
        <w:pStyle w:val="ListParagraph"/>
        <w:numPr>
          <w:ilvl w:val="0"/>
          <w:numId w:val="2"/>
        </w:numPr>
        <w:spacing w:after="0"/>
        <w:rPr>
          <w:rFonts w:asciiTheme="majorHAnsi" w:hAnsiTheme="majorHAnsi"/>
          <w:b/>
        </w:rPr>
      </w:pPr>
      <w:r w:rsidRPr="004263D3">
        <w:rPr>
          <w:rFonts w:asciiTheme="majorHAnsi" w:hAnsiTheme="majorHAnsi"/>
          <w:b/>
          <w:bCs/>
        </w:rPr>
        <w:t>Consequences of Collecting the Information Less Frequently</w:t>
      </w:r>
      <w:r w:rsidRPr="004263D3">
        <w:rPr>
          <w:rFonts w:asciiTheme="majorHAnsi" w:hAnsiTheme="majorHAnsi"/>
          <w:b/>
        </w:rPr>
        <w:t xml:space="preserve"> </w:t>
      </w:r>
      <w:r w:rsidR="00D95FBF" w:rsidRPr="004263D3">
        <w:rPr>
          <w:rFonts w:asciiTheme="majorHAnsi" w:hAnsiTheme="majorHAnsi"/>
          <w:b/>
        </w:rPr>
        <w:t xml:space="preserve">   </w:t>
      </w:r>
    </w:p>
    <w:p w14:paraId="05F712C1" w14:textId="05A215E0" w:rsidR="00AF37D1" w:rsidRPr="00ED10A4" w:rsidRDefault="00AF37D1" w:rsidP="003F01CE">
      <w:pPr>
        <w:spacing w:after="0"/>
      </w:pPr>
      <w:r w:rsidRPr="00C96DD1">
        <w:rPr>
          <w:rFonts w:asciiTheme="majorHAnsi" w:hAnsiTheme="majorHAnsi"/>
        </w:rPr>
        <w:t>This request is for a one time data collection.  There are no legal obstacles to reduce the burden.</w:t>
      </w:r>
    </w:p>
    <w:p w14:paraId="2EE0B7F9" w14:textId="3B81B79E" w:rsidR="00B12F51" w:rsidRPr="004263D3" w:rsidRDefault="00B47055" w:rsidP="004263D3">
      <w:pPr>
        <w:pStyle w:val="ListParagraph"/>
        <w:numPr>
          <w:ilvl w:val="0"/>
          <w:numId w:val="2"/>
        </w:numPr>
        <w:spacing w:after="0"/>
        <w:rPr>
          <w:rFonts w:asciiTheme="majorHAnsi" w:hAnsiTheme="majorHAnsi"/>
          <w:b/>
        </w:rPr>
      </w:pPr>
      <w:r w:rsidRPr="004263D3">
        <w:rPr>
          <w:rFonts w:asciiTheme="majorHAnsi" w:hAnsiTheme="majorHAnsi"/>
          <w:b/>
          <w:bCs/>
        </w:rPr>
        <w:t>Special Circumstances Relating to the Guidelines of 5 CFR 1320.5</w:t>
      </w:r>
    </w:p>
    <w:p w14:paraId="7DFE9CE7" w14:textId="77777777" w:rsidR="00F52BCC" w:rsidRPr="00C96DD1" w:rsidRDefault="00A809AA" w:rsidP="0087258D">
      <w:pPr>
        <w:pStyle w:val="ListParagraph"/>
        <w:spacing w:after="0"/>
        <w:ind w:left="0"/>
        <w:rPr>
          <w:rFonts w:asciiTheme="majorHAnsi" w:hAnsiTheme="majorHAnsi"/>
        </w:rPr>
      </w:pPr>
      <w:r w:rsidRPr="00C96DD1">
        <w:rPr>
          <w:rFonts w:asciiTheme="majorHAnsi" w:hAnsiTheme="majorHAnsi"/>
        </w:rPr>
        <w:t xml:space="preserve">There are no special circumstances with this information collection package. </w:t>
      </w:r>
      <w:r w:rsidR="00835CA7" w:rsidRPr="00C96DD1">
        <w:rPr>
          <w:rFonts w:asciiTheme="majorHAnsi" w:hAnsiTheme="majorHAnsi"/>
        </w:rPr>
        <w:t>This request fully complies with the regulation 5 CFR 1320.5</w:t>
      </w:r>
      <w:r w:rsidR="00D95FBF" w:rsidRPr="00C96DD1">
        <w:rPr>
          <w:rFonts w:asciiTheme="majorHAnsi" w:hAnsiTheme="majorHAnsi"/>
        </w:rPr>
        <w:t xml:space="preserve"> and will be voluntary</w:t>
      </w:r>
      <w:r w:rsidR="00835CA7" w:rsidRPr="00C96DD1">
        <w:rPr>
          <w:rFonts w:asciiTheme="majorHAnsi" w:hAnsiTheme="majorHAnsi"/>
        </w:rPr>
        <w:t>.</w:t>
      </w:r>
    </w:p>
    <w:p w14:paraId="2BD634C4" w14:textId="77777777" w:rsidR="00F52BCC" w:rsidRPr="00C96DD1" w:rsidRDefault="00F52BCC" w:rsidP="0014667A">
      <w:pPr>
        <w:pStyle w:val="ListParagraph"/>
        <w:spacing w:after="0"/>
        <w:ind w:left="270"/>
        <w:rPr>
          <w:rFonts w:asciiTheme="majorHAnsi" w:hAnsiTheme="majorHAnsi"/>
        </w:rPr>
      </w:pPr>
    </w:p>
    <w:p w14:paraId="53B31DF1" w14:textId="6EFFFBBA" w:rsidR="00B12F51" w:rsidRPr="004263D3" w:rsidRDefault="0088467A" w:rsidP="004263D3">
      <w:pPr>
        <w:pStyle w:val="ListParagraph"/>
        <w:numPr>
          <w:ilvl w:val="0"/>
          <w:numId w:val="2"/>
        </w:numPr>
        <w:spacing w:after="0"/>
        <w:rPr>
          <w:rFonts w:asciiTheme="majorHAnsi" w:hAnsiTheme="majorHAnsi"/>
          <w:b/>
          <w:bCs/>
        </w:rPr>
      </w:pPr>
      <w:r w:rsidRPr="004263D3">
        <w:rPr>
          <w:rFonts w:asciiTheme="majorHAnsi" w:hAnsiTheme="majorHAnsi"/>
          <w:b/>
          <w:bCs/>
        </w:rPr>
        <w:t>Comments in Response to the Federal Register Notice and Efforts to Consult Outside the Agency</w:t>
      </w:r>
    </w:p>
    <w:p w14:paraId="19907F1E" w14:textId="362DD3DE" w:rsidR="00A809AA" w:rsidRPr="00C96DD1" w:rsidRDefault="00BE738E" w:rsidP="0087258D">
      <w:pPr>
        <w:pStyle w:val="ListParagraph"/>
        <w:autoSpaceDE w:val="0"/>
        <w:autoSpaceDN w:val="0"/>
        <w:adjustRightInd w:val="0"/>
        <w:ind w:left="0" w:right="720"/>
        <w:rPr>
          <w:rFonts w:asciiTheme="majorHAnsi" w:hAnsiTheme="majorHAnsi"/>
        </w:rPr>
      </w:pPr>
      <w:r w:rsidRPr="00C96DD1">
        <w:rPr>
          <w:rFonts w:asciiTheme="majorHAnsi" w:hAnsiTheme="majorHAnsi"/>
        </w:rPr>
        <w:t>This data collection is being conducted using the Generic Informa</w:t>
      </w:r>
      <w:r w:rsidR="004C2E3C" w:rsidRPr="00C96DD1">
        <w:rPr>
          <w:rFonts w:asciiTheme="majorHAnsi" w:hAnsiTheme="majorHAnsi"/>
        </w:rPr>
        <w:t xml:space="preserve">tion Collection mechanism </w:t>
      </w:r>
      <w:r w:rsidR="008F3C6E" w:rsidRPr="00C96DD1">
        <w:rPr>
          <w:rFonts w:asciiTheme="majorHAnsi" w:hAnsiTheme="majorHAnsi"/>
        </w:rPr>
        <w:t xml:space="preserve">of the OSTLTS OMB Clearance Center (O2C2) – OMB No. 0920-0879. </w:t>
      </w:r>
      <w:r w:rsidR="008F3C6E" w:rsidRPr="00AC0205">
        <w:rPr>
          <w:rFonts w:asciiTheme="majorHAnsi" w:hAnsiTheme="majorHAnsi"/>
        </w:rPr>
        <w:t>A 60-day Federal Register Notice was published in the Federal Register on October 31, 2013, Vol. 78, No. 211; pp. 653 25-26.  No comments were received</w:t>
      </w:r>
      <w:r w:rsidR="00DC3EE3" w:rsidRPr="00AC0205">
        <w:rPr>
          <w:rFonts w:asciiTheme="majorHAnsi" w:hAnsiTheme="majorHAnsi"/>
        </w:rPr>
        <w:t>.</w:t>
      </w:r>
    </w:p>
    <w:p w14:paraId="57697033" w14:textId="77777777" w:rsidR="00A809AA" w:rsidRPr="00C96DD1" w:rsidRDefault="00A809AA" w:rsidP="0014667A">
      <w:pPr>
        <w:pStyle w:val="ListParagraph"/>
        <w:autoSpaceDE w:val="0"/>
        <w:autoSpaceDN w:val="0"/>
        <w:adjustRightInd w:val="0"/>
        <w:ind w:left="270" w:right="720"/>
        <w:rPr>
          <w:rFonts w:asciiTheme="majorHAnsi" w:hAnsiTheme="majorHAnsi"/>
        </w:rPr>
      </w:pPr>
    </w:p>
    <w:p w14:paraId="03022741" w14:textId="77777777" w:rsidR="00A809AA" w:rsidRPr="00C96DD1" w:rsidRDefault="00A809AA" w:rsidP="003A70B4">
      <w:pPr>
        <w:pStyle w:val="ListParagraph"/>
        <w:autoSpaceDE w:val="0"/>
        <w:autoSpaceDN w:val="0"/>
        <w:adjustRightInd w:val="0"/>
        <w:ind w:left="0" w:right="720"/>
        <w:rPr>
          <w:rFonts w:asciiTheme="majorHAnsi" w:hAnsiTheme="majorHAnsi"/>
        </w:rPr>
      </w:pPr>
      <w:r w:rsidRPr="00C96DD1">
        <w:rPr>
          <w:rFonts w:asciiTheme="majorHAnsi" w:hAnsiTheme="majorHAnsi"/>
        </w:rPr>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04A88A1C" w14:textId="77777777" w:rsidR="00F52BCC" w:rsidRPr="00C96DD1" w:rsidRDefault="00F52BCC" w:rsidP="00F52BCC">
      <w:pPr>
        <w:pStyle w:val="ListParagraph"/>
        <w:spacing w:after="0"/>
        <w:rPr>
          <w:rFonts w:asciiTheme="majorHAnsi" w:hAnsiTheme="majorHAnsi"/>
        </w:rPr>
      </w:pPr>
    </w:p>
    <w:p w14:paraId="50C70F11" w14:textId="68011131" w:rsidR="00B12F51" w:rsidRPr="004263D3" w:rsidRDefault="0088467A" w:rsidP="004263D3">
      <w:pPr>
        <w:pStyle w:val="ListParagraph"/>
        <w:numPr>
          <w:ilvl w:val="0"/>
          <w:numId w:val="2"/>
        </w:numPr>
        <w:spacing w:after="0"/>
        <w:rPr>
          <w:rFonts w:asciiTheme="majorHAnsi" w:hAnsiTheme="majorHAnsi"/>
          <w:b/>
        </w:rPr>
      </w:pPr>
      <w:r w:rsidRPr="004263D3">
        <w:rPr>
          <w:rFonts w:asciiTheme="majorHAnsi" w:hAnsiTheme="majorHAnsi"/>
          <w:b/>
          <w:bCs/>
        </w:rPr>
        <w:t>Explanation of Any Payment or Gift to Respondents</w:t>
      </w:r>
    </w:p>
    <w:p w14:paraId="7F99E72A" w14:textId="77777777" w:rsidR="00F52BCC" w:rsidRPr="004263D3" w:rsidRDefault="00A809AA" w:rsidP="004263D3">
      <w:pPr>
        <w:spacing w:after="0"/>
        <w:rPr>
          <w:rFonts w:asciiTheme="majorHAnsi" w:hAnsiTheme="majorHAnsi"/>
        </w:rPr>
      </w:pPr>
      <w:r w:rsidRPr="004263D3">
        <w:rPr>
          <w:rFonts w:asciiTheme="majorHAnsi" w:hAnsiTheme="majorHAnsi"/>
        </w:rPr>
        <w:t>CDC will not provide p</w:t>
      </w:r>
      <w:r w:rsidR="00D26A64" w:rsidRPr="004263D3">
        <w:rPr>
          <w:rFonts w:asciiTheme="majorHAnsi" w:hAnsiTheme="majorHAnsi"/>
        </w:rPr>
        <w:t>ayments or gifts to respondents.</w:t>
      </w:r>
    </w:p>
    <w:p w14:paraId="4E462BAB" w14:textId="77777777" w:rsidR="00F52BCC" w:rsidRPr="00C96DD1" w:rsidRDefault="00F52BCC" w:rsidP="0087258D">
      <w:pPr>
        <w:pStyle w:val="ListParagraph"/>
        <w:spacing w:after="0"/>
        <w:ind w:left="270"/>
        <w:rPr>
          <w:rFonts w:asciiTheme="majorHAnsi" w:hAnsiTheme="majorHAnsi"/>
        </w:rPr>
      </w:pPr>
    </w:p>
    <w:p w14:paraId="7506313C" w14:textId="3833FF58" w:rsidR="00B12F51" w:rsidRPr="004263D3" w:rsidRDefault="0088467A" w:rsidP="004263D3">
      <w:pPr>
        <w:pStyle w:val="ListParagraph"/>
        <w:numPr>
          <w:ilvl w:val="0"/>
          <w:numId w:val="2"/>
        </w:numPr>
        <w:spacing w:after="0"/>
        <w:rPr>
          <w:rFonts w:asciiTheme="majorHAnsi" w:hAnsiTheme="majorHAnsi"/>
          <w:b/>
        </w:rPr>
      </w:pPr>
      <w:r w:rsidRPr="004263D3">
        <w:rPr>
          <w:rFonts w:asciiTheme="majorHAnsi" w:hAnsiTheme="majorHAnsi"/>
          <w:b/>
        </w:rPr>
        <w:t xml:space="preserve"> </w:t>
      </w:r>
      <w:r w:rsidRPr="004263D3">
        <w:rPr>
          <w:rFonts w:asciiTheme="majorHAnsi" w:hAnsiTheme="majorHAnsi"/>
          <w:b/>
          <w:bCs/>
        </w:rPr>
        <w:t>Assurance of Confidentiality Provided to Respondents</w:t>
      </w:r>
    </w:p>
    <w:p w14:paraId="099BBD24" w14:textId="77777777" w:rsidR="00616090" w:rsidRPr="00C96DD1" w:rsidRDefault="003C31C9" w:rsidP="003A70B4">
      <w:pPr>
        <w:pStyle w:val="ListParagraph"/>
        <w:autoSpaceDE w:val="0"/>
        <w:autoSpaceDN w:val="0"/>
        <w:adjustRightInd w:val="0"/>
        <w:ind w:left="0" w:right="720"/>
        <w:rPr>
          <w:rFonts w:asciiTheme="majorHAnsi" w:hAnsiTheme="majorHAnsi"/>
        </w:rPr>
      </w:pPr>
      <w:r w:rsidRPr="00C96DD1">
        <w:rPr>
          <w:rFonts w:asciiTheme="majorHAnsi" w:hAnsiTheme="majorHAnsi"/>
        </w:rPr>
        <w:t>The Privacy Act does not apply to this data collection.  Employees of state</w:t>
      </w:r>
      <w:r w:rsidR="005542E8" w:rsidRPr="00C96DD1">
        <w:rPr>
          <w:rFonts w:asciiTheme="majorHAnsi" w:hAnsiTheme="majorHAnsi"/>
        </w:rPr>
        <w:t xml:space="preserve"> and</w:t>
      </w:r>
      <w:r w:rsidRPr="00C96DD1">
        <w:rPr>
          <w:rFonts w:asciiTheme="majorHAnsi" w:hAnsiTheme="majorHAnsi"/>
        </w:rPr>
        <w:t xml:space="preserve"> local</w:t>
      </w:r>
      <w:r w:rsidR="005542E8" w:rsidRPr="00C96DD1">
        <w:rPr>
          <w:rFonts w:asciiTheme="majorHAnsi" w:hAnsiTheme="majorHAnsi"/>
        </w:rPr>
        <w:t xml:space="preserve"> </w:t>
      </w:r>
      <w:r w:rsidRPr="00C96DD1">
        <w:rPr>
          <w:rFonts w:asciiTheme="majorHAnsi" w:hAnsiTheme="majorHAnsi"/>
        </w:rPr>
        <w:t>public health agencies will be speaking from their official roles and will not be asked, nor will they provide individua</w:t>
      </w:r>
      <w:r w:rsidR="0087258D" w:rsidRPr="00C96DD1">
        <w:rPr>
          <w:rFonts w:asciiTheme="majorHAnsi" w:hAnsiTheme="majorHAnsi"/>
        </w:rPr>
        <w:t xml:space="preserve">lly identifiable information.  </w:t>
      </w:r>
      <w:r w:rsidRPr="00C96DD1">
        <w:rPr>
          <w:rFonts w:asciiTheme="majorHAnsi" w:hAnsiTheme="majorHAnsi"/>
        </w:rPr>
        <w:t>This data collection is not research involving human subjects.</w:t>
      </w:r>
    </w:p>
    <w:p w14:paraId="1E6A9A05" w14:textId="77777777" w:rsidR="00B96F1E" w:rsidRPr="00B96F1E" w:rsidRDefault="00B96F1E" w:rsidP="00B96F1E">
      <w:pPr>
        <w:tabs>
          <w:tab w:val="right" w:pos="450"/>
        </w:tabs>
        <w:spacing w:after="0"/>
        <w:outlineLvl w:val="3"/>
        <w:rPr>
          <w:rFonts w:asciiTheme="majorHAnsi" w:hAnsiTheme="majorHAnsi"/>
          <w:b/>
        </w:rPr>
      </w:pPr>
      <w:r w:rsidRPr="00B96F1E">
        <w:rPr>
          <w:rFonts w:asciiTheme="majorHAnsi" w:hAnsiTheme="majorHAnsi"/>
          <w:b/>
        </w:rPr>
        <w:t>10.1 Privacy Impact Assessment Information</w:t>
      </w:r>
    </w:p>
    <w:p w14:paraId="7AA364D7" w14:textId="77777777" w:rsidR="00B96F1E" w:rsidRPr="00B96F1E" w:rsidRDefault="00B96F1E" w:rsidP="00B96F1E">
      <w:pPr>
        <w:tabs>
          <w:tab w:val="right" w:pos="9360"/>
        </w:tabs>
        <w:spacing w:after="0"/>
        <w:outlineLvl w:val="3"/>
        <w:rPr>
          <w:rFonts w:asciiTheme="majorHAnsi" w:hAnsiTheme="majorHAnsi"/>
        </w:rPr>
      </w:pPr>
      <w:r w:rsidRPr="00B96F1E">
        <w:rPr>
          <w:rFonts w:asciiTheme="majorHAnsi" w:hAnsiTheme="majorHAnsi"/>
        </w:rPr>
        <w:t xml:space="preserve">No individually identifiable information (IIF) will be collected. </w:t>
      </w:r>
    </w:p>
    <w:p w14:paraId="395DF849" w14:textId="77777777" w:rsidR="00B96F1E" w:rsidRPr="00B96F1E" w:rsidRDefault="00B96F1E" w:rsidP="00B96F1E">
      <w:pPr>
        <w:pStyle w:val="ListParagraph"/>
        <w:spacing w:after="0"/>
        <w:ind w:left="360"/>
        <w:rPr>
          <w:rFonts w:asciiTheme="majorHAnsi" w:hAnsiTheme="majorHAnsi"/>
          <w:b/>
        </w:rPr>
      </w:pPr>
    </w:p>
    <w:p w14:paraId="2A2929D8" w14:textId="5A3F9E05" w:rsidR="00B64BFA" w:rsidRPr="004263D3" w:rsidRDefault="00C30EB8" w:rsidP="004263D3">
      <w:pPr>
        <w:pStyle w:val="ListParagraph"/>
        <w:numPr>
          <w:ilvl w:val="0"/>
          <w:numId w:val="2"/>
        </w:numPr>
        <w:spacing w:after="0"/>
        <w:rPr>
          <w:rFonts w:asciiTheme="majorHAnsi" w:hAnsiTheme="majorHAnsi"/>
          <w:b/>
        </w:rPr>
      </w:pPr>
      <w:r w:rsidRPr="004263D3">
        <w:rPr>
          <w:rFonts w:asciiTheme="majorHAnsi" w:hAnsiTheme="majorHAnsi"/>
          <w:b/>
          <w:bCs/>
        </w:rPr>
        <w:t>Justification for Sensitive Questions</w:t>
      </w:r>
    </w:p>
    <w:p w14:paraId="083710E0" w14:textId="77777777" w:rsidR="003713F1" w:rsidRPr="0014232D" w:rsidRDefault="005F67BE" w:rsidP="0014232D">
      <w:pPr>
        <w:spacing w:after="0"/>
        <w:rPr>
          <w:rFonts w:asciiTheme="majorHAnsi" w:hAnsiTheme="majorHAnsi"/>
          <w:color w:val="000000"/>
        </w:rPr>
      </w:pPr>
      <w:r w:rsidRPr="0014232D">
        <w:rPr>
          <w:rFonts w:asciiTheme="majorHAnsi" w:hAnsiTheme="majorHAnsi"/>
          <w:color w:val="000000"/>
        </w:rPr>
        <w:t>No information will be collected that are of personal or sensitive nature.</w:t>
      </w:r>
    </w:p>
    <w:p w14:paraId="438F06D7" w14:textId="77777777" w:rsidR="00DC3EE3" w:rsidRPr="00C96DD1" w:rsidRDefault="00DC3EE3" w:rsidP="00537079">
      <w:pPr>
        <w:spacing w:after="0"/>
        <w:rPr>
          <w:rFonts w:asciiTheme="majorHAnsi" w:hAnsiTheme="majorHAnsi"/>
        </w:rPr>
      </w:pPr>
    </w:p>
    <w:p w14:paraId="6106390D" w14:textId="70BE25E5" w:rsidR="003713F1" w:rsidRPr="004263D3" w:rsidRDefault="00C30EB8" w:rsidP="004263D3">
      <w:pPr>
        <w:pStyle w:val="ListParagraph"/>
        <w:numPr>
          <w:ilvl w:val="0"/>
          <w:numId w:val="2"/>
        </w:numPr>
        <w:spacing w:after="0"/>
        <w:rPr>
          <w:rFonts w:asciiTheme="majorHAnsi" w:hAnsiTheme="majorHAnsi"/>
          <w:b/>
        </w:rPr>
      </w:pPr>
      <w:r w:rsidRPr="004263D3">
        <w:rPr>
          <w:rFonts w:asciiTheme="majorHAnsi" w:hAnsiTheme="majorHAnsi"/>
          <w:b/>
          <w:bCs/>
        </w:rPr>
        <w:t>Estimates of Annualized Burden Hours and Costs</w:t>
      </w:r>
    </w:p>
    <w:p w14:paraId="46C7847C" w14:textId="7FEEBEC7" w:rsidR="003713F1" w:rsidRPr="00C96DD1" w:rsidRDefault="005F67BE" w:rsidP="003713F1">
      <w:pPr>
        <w:pStyle w:val="ListParagraph"/>
        <w:spacing w:after="0"/>
        <w:ind w:left="0"/>
        <w:rPr>
          <w:rFonts w:asciiTheme="majorHAnsi" w:hAnsiTheme="majorHAnsi"/>
        </w:rPr>
      </w:pPr>
      <w:r w:rsidRPr="00C96DD1">
        <w:rPr>
          <w:rFonts w:asciiTheme="majorHAnsi" w:hAnsiTheme="majorHAnsi"/>
        </w:rPr>
        <w:t>The estimate for burden hours is based on a pilot test of the da</w:t>
      </w:r>
      <w:r w:rsidR="005C1007" w:rsidRPr="00C96DD1">
        <w:rPr>
          <w:rFonts w:asciiTheme="majorHAnsi" w:hAnsiTheme="majorHAnsi"/>
        </w:rPr>
        <w:t xml:space="preserve">ta collection instrument by </w:t>
      </w:r>
      <w:r w:rsidR="003E639F" w:rsidRPr="00C96DD1">
        <w:rPr>
          <w:rFonts w:asciiTheme="majorHAnsi" w:hAnsiTheme="majorHAnsi"/>
        </w:rPr>
        <w:t>5</w:t>
      </w:r>
      <w:r w:rsidR="003F01CE" w:rsidRPr="00C96DD1">
        <w:rPr>
          <w:rFonts w:asciiTheme="majorHAnsi" w:hAnsiTheme="majorHAnsi"/>
        </w:rPr>
        <w:t xml:space="preserve"> </w:t>
      </w:r>
      <w:r w:rsidR="001B22F7">
        <w:rPr>
          <w:rFonts w:asciiTheme="majorHAnsi" w:hAnsiTheme="majorHAnsi"/>
        </w:rPr>
        <w:t>public health professionals</w:t>
      </w:r>
      <w:r w:rsidRPr="00C96DD1">
        <w:rPr>
          <w:rFonts w:asciiTheme="majorHAnsi" w:hAnsiTheme="majorHAnsi"/>
        </w:rPr>
        <w:t>. In the pilot test, the average time to complete the questions, including time for reviewing instructions, gathering needed information and comple</w:t>
      </w:r>
      <w:r w:rsidR="005C1007" w:rsidRPr="00C96DD1">
        <w:rPr>
          <w:rFonts w:asciiTheme="majorHAnsi" w:hAnsiTheme="majorHAnsi"/>
        </w:rPr>
        <w:t xml:space="preserve">ting the data collection, was </w:t>
      </w:r>
      <w:r w:rsidR="001B22F7">
        <w:rPr>
          <w:rFonts w:asciiTheme="majorHAnsi" w:hAnsiTheme="majorHAnsi"/>
        </w:rPr>
        <w:t xml:space="preserve">approximately </w:t>
      </w:r>
      <w:r w:rsidR="0003534C">
        <w:rPr>
          <w:rFonts w:asciiTheme="majorHAnsi" w:hAnsiTheme="majorHAnsi"/>
        </w:rPr>
        <w:t>50</w:t>
      </w:r>
      <w:r w:rsidR="001B22F7">
        <w:rPr>
          <w:rFonts w:asciiTheme="majorHAnsi" w:hAnsiTheme="majorHAnsi"/>
        </w:rPr>
        <w:t xml:space="preserve"> minutes. Based on these results, the</w:t>
      </w:r>
      <w:r w:rsidRPr="00C96DD1">
        <w:rPr>
          <w:rFonts w:asciiTheme="majorHAnsi" w:hAnsiTheme="majorHAnsi"/>
        </w:rPr>
        <w:t xml:space="preserve"> estimate</w:t>
      </w:r>
      <w:r w:rsidR="001B22F7">
        <w:rPr>
          <w:rFonts w:asciiTheme="majorHAnsi" w:hAnsiTheme="majorHAnsi"/>
        </w:rPr>
        <w:t xml:space="preserve">d time range for actual respondents to complete the instrument is </w:t>
      </w:r>
      <w:r w:rsidR="0003534C">
        <w:rPr>
          <w:rFonts w:asciiTheme="majorHAnsi" w:hAnsiTheme="majorHAnsi"/>
        </w:rPr>
        <w:t>40-65</w:t>
      </w:r>
      <w:r w:rsidR="001B22F7">
        <w:rPr>
          <w:rFonts w:asciiTheme="majorHAnsi" w:hAnsiTheme="majorHAnsi"/>
        </w:rPr>
        <w:t xml:space="preserve"> minutes. For the purposes of estimating burden hours</w:t>
      </w:r>
      <w:r w:rsidRPr="00C96DD1">
        <w:rPr>
          <w:rFonts w:asciiTheme="majorHAnsi" w:hAnsiTheme="majorHAnsi"/>
        </w:rPr>
        <w:t>,</w:t>
      </w:r>
      <w:r w:rsidR="0003534C">
        <w:rPr>
          <w:rFonts w:asciiTheme="majorHAnsi" w:hAnsiTheme="majorHAnsi"/>
        </w:rPr>
        <w:t xml:space="preserve"> 60 minutes</w:t>
      </w:r>
      <w:r w:rsidR="001B22F7">
        <w:rPr>
          <w:rFonts w:asciiTheme="majorHAnsi" w:hAnsiTheme="majorHAnsi"/>
        </w:rPr>
        <w:t xml:space="preserve"> is used.</w:t>
      </w:r>
      <w:r w:rsidRPr="00C96DD1">
        <w:rPr>
          <w:rFonts w:asciiTheme="majorHAnsi" w:hAnsiTheme="majorHAnsi"/>
        </w:rPr>
        <w:t xml:space="preserve"> </w:t>
      </w:r>
    </w:p>
    <w:p w14:paraId="55C351E7" w14:textId="77777777" w:rsidR="009005A4" w:rsidRDefault="009005A4" w:rsidP="00CA1E3D">
      <w:pPr>
        <w:pStyle w:val="ListParagraph"/>
        <w:autoSpaceDE w:val="0"/>
        <w:autoSpaceDN w:val="0"/>
        <w:adjustRightInd w:val="0"/>
        <w:ind w:left="0"/>
        <w:rPr>
          <w:rFonts w:asciiTheme="majorHAnsi" w:hAnsiTheme="majorHAnsi"/>
          <w:color w:val="000000"/>
        </w:rPr>
      </w:pPr>
    </w:p>
    <w:p w14:paraId="0EABB88B" w14:textId="5B48A1C4" w:rsidR="00537079" w:rsidRPr="00CA1E3D" w:rsidRDefault="00B64BFA" w:rsidP="00CA1E3D">
      <w:pPr>
        <w:pStyle w:val="ListParagraph"/>
        <w:autoSpaceDE w:val="0"/>
        <w:autoSpaceDN w:val="0"/>
        <w:adjustRightInd w:val="0"/>
        <w:ind w:left="0"/>
        <w:rPr>
          <w:rFonts w:asciiTheme="majorHAnsi" w:hAnsiTheme="majorHAnsi"/>
          <w:color w:val="000000"/>
        </w:rPr>
      </w:pPr>
      <w:r w:rsidRPr="00C96DD1">
        <w:rPr>
          <w:rFonts w:asciiTheme="majorHAnsi" w:hAnsiTheme="majorHAnsi"/>
          <w:color w:val="000000"/>
        </w:rPr>
        <w:t>Estimates for the average hourly wage for respondents are based on the Department of Labor (DOL) National Compensation Survey estimate for management occupations – medical and health services managers in state government</w:t>
      </w:r>
      <w:r w:rsidR="00A131D0">
        <w:rPr>
          <w:rFonts w:asciiTheme="majorHAnsi" w:hAnsiTheme="majorHAnsi"/>
          <w:color w:val="000000"/>
        </w:rPr>
        <w:t xml:space="preserve"> (</w:t>
      </w:r>
      <w:hyperlink r:id="rId15" w:history="1">
        <w:r w:rsidR="00A131D0" w:rsidRPr="00D85EAB">
          <w:rPr>
            <w:rStyle w:val="Hyperlink"/>
            <w:rFonts w:asciiTheme="majorHAnsi" w:hAnsiTheme="majorHAnsi"/>
          </w:rPr>
          <w:t>http://www.bls.gov/ncs/ocs/sp/nctb1480.pdf</w:t>
        </w:r>
      </w:hyperlink>
      <w:r w:rsidR="00A131D0">
        <w:rPr>
          <w:rFonts w:asciiTheme="majorHAnsi" w:hAnsiTheme="majorHAnsi"/>
          <w:color w:val="000000"/>
        </w:rPr>
        <w:t>)</w:t>
      </w:r>
      <w:r w:rsidR="003F01CE" w:rsidRPr="00C96DD1">
        <w:rPr>
          <w:rFonts w:asciiTheme="majorHAnsi" w:hAnsiTheme="majorHAnsi"/>
          <w:color w:val="000000"/>
        </w:rPr>
        <w:t xml:space="preserve">. </w:t>
      </w:r>
      <w:r w:rsidR="00C544A4" w:rsidRPr="00C96DD1">
        <w:rPr>
          <w:rFonts w:asciiTheme="majorHAnsi" w:hAnsiTheme="majorHAnsi"/>
          <w:color w:val="000000"/>
        </w:rPr>
        <w:t>Based on DOL data, a</w:t>
      </w:r>
      <w:r w:rsidRPr="00C96DD1">
        <w:rPr>
          <w:rFonts w:asciiTheme="majorHAnsi" w:hAnsiTheme="majorHAnsi"/>
          <w:color w:val="000000"/>
        </w:rPr>
        <w:t>n average hourly wage of $</w:t>
      </w:r>
      <w:r w:rsidR="00A131D0">
        <w:rPr>
          <w:rFonts w:asciiTheme="majorHAnsi" w:hAnsiTheme="majorHAnsi"/>
          <w:color w:val="000000"/>
        </w:rPr>
        <w:t>32.87</w:t>
      </w:r>
      <w:r w:rsidRPr="00C96DD1">
        <w:rPr>
          <w:rFonts w:asciiTheme="majorHAnsi" w:hAnsiTheme="majorHAnsi"/>
          <w:color w:val="000000"/>
        </w:rPr>
        <w:t xml:space="preserve"> is estimated for all </w:t>
      </w:r>
      <w:r w:rsidR="006374C1">
        <w:rPr>
          <w:rFonts w:asciiTheme="majorHAnsi" w:hAnsiTheme="majorHAnsi"/>
          <w:color w:val="000000"/>
        </w:rPr>
        <w:t>30</w:t>
      </w:r>
      <w:r w:rsidR="00C768E5" w:rsidRPr="00C96DD1">
        <w:rPr>
          <w:rFonts w:asciiTheme="majorHAnsi" w:hAnsiTheme="majorHAnsi"/>
          <w:color w:val="000000"/>
        </w:rPr>
        <w:t xml:space="preserve"> </w:t>
      </w:r>
      <w:r w:rsidRPr="00C96DD1">
        <w:rPr>
          <w:rFonts w:asciiTheme="majorHAnsi" w:hAnsiTheme="majorHAnsi"/>
          <w:color w:val="000000"/>
        </w:rPr>
        <w:t xml:space="preserve">respondents. </w:t>
      </w:r>
      <w:r w:rsidR="00A578C2" w:rsidRPr="00C96DD1">
        <w:rPr>
          <w:rFonts w:asciiTheme="majorHAnsi" w:hAnsiTheme="majorHAnsi"/>
          <w:color w:val="000000"/>
        </w:rPr>
        <w:t>Table A-1</w:t>
      </w:r>
      <w:r w:rsidR="000439A0" w:rsidRPr="00C96DD1">
        <w:rPr>
          <w:rFonts w:asciiTheme="majorHAnsi" w:hAnsiTheme="majorHAnsi"/>
          <w:color w:val="000000"/>
        </w:rPr>
        <w:t>2</w:t>
      </w:r>
      <w:r w:rsidR="00A578C2" w:rsidRPr="00C96DD1">
        <w:rPr>
          <w:rFonts w:asciiTheme="majorHAnsi" w:hAnsiTheme="majorHAnsi"/>
          <w:color w:val="000000"/>
        </w:rPr>
        <w:t xml:space="preserve"> shows estimated burden and cost information.</w:t>
      </w:r>
    </w:p>
    <w:p w14:paraId="4E52B3AA" w14:textId="77777777" w:rsidR="009005A4" w:rsidRDefault="009005A4" w:rsidP="005A59E5">
      <w:pPr>
        <w:pStyle w:val="ListParagraph"/>
        <w:autoSpaceDE w:val="0"/>
        <w:autoSpaceDN w:val="0"/>
        <w:adjustRightInd w:val="0"/>
        <w:ind w:left="0" w:right="720"/>
        <w:rPr>
          <w:rFonts w:asciiTheme="majorHAnsi" w:hAnsiTheme="majorHAnsi"/>
          <w:b/>
          <w:u w:val="single"/>
        </w:rPr>
      </w:pPr>
    </w:p>
    <w:p w14:paraId="03F8E66D" w14:textId="77777777" w:rsidR="005A59E5" w:rsidRPr="00C96DD1" w:rsidRDefault="005A59E5" w:rsidP="005A59E5">
      <w:pPr>
        <w:pStyle w:val="ListParagraph"/>
        <w:autoSpaceDE w:val="0"/>
        <w:autoSpaceDN w:val="0"/>
        <w:adjustRightInd w:val="0"/>
        <w:ind w:left="0" w:right="720"/>
        <w:rPr>
          <w:rFonts w:asciiTheme="majorHAnsi" w:hAnsiTheme="majorHAnsi"/>
        </w:rPr>
      </w:pPr>
      <w:r w:rsidRPr="00C96DD1">
        <w:rPr>
          <w:rFonts w:asciiTheme="majorHAnsi" w:hAnsiTheme="majorHAnsi"/>
          <w:b/>
          <w:u w:val="single"/>
        </w:rPr>
        <w:t>Table A-1</w:t>
      </w:r>
      <w:r w:rsidR="000439A0" w:rsidRPr="00C96DD1">
        <w:rPr>
          <w:rFonts w:asciiTheme="majorHAnsi" w:hAnsiTheme="majorHAnsi"/>
          <w:b/>
          <w:u w:val="single"/>
        </w:rPr>
        <w:t>2</w:t>
      </w:r>
      <w:r w:rsidRPr="00C96DD1">
        <w:rPr>
          <w:rFonts w:asciiTheme="majorHAnsi" w:hAnsiTheme="majorHAnsi"/>
          <w:b/>
        </w:rPr>
        <w:t>:</w:t>
      </w:r>
      <w:r w:rsidRPr="00C96DD1">
        <w:rPr>
          <w:rFonts w:asciiTheme="majorHAnsi" w:hAnsiTheme="majorHAnsi"/>
        </w:rPr>
        <w:t xml:space="preserve"> Estimated Annualized Burden Hours and Costs to Respondents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0"/>
        <w:gridCol w:w="1547"/>
        <w:gridCol w:w="1486"/>
        <w:gridCol w:w="1270"/>
        <w:gridCol w:w="1007"/>
        <w:gridCol w:w="947"/>
        <w:gridCol w:w="1461"/>
      </w:tblGrid>
      <w:tr w:rsidR="000A1F30" w:rsidRPr="00C96DD1" w14:paraId="763FFC34" w14:textId="77777777" w:rsidTr="00B96F1E">
        <w:trPr>
          <w:trHeight w:val="1511"/>
        </w:trPr>
        <w:tc>
          <w:tcPr>
            <w:tcW w:w="0" w:type="auto"/>
            <w:tcBorders>
              <w:bottom w:val="single" w:sz="12" w:space="0" w:color="000000"/>
            </w:tcBorders>
            <w:shd w:val="clear" w:color="auto" w:fill="D9D9D9" w:themeFill="background1" w:themeFillShade="D9"/>
            <w:vAlign w:val="center"/>
          </w:tcPr>
          <w:p w14:paraId="7EAC9978" w14:textId="77777777" w:rsidR="000A1F30" w:rsidRPr="00C96DD1" w:rsidRDefault="000A1F30" w:rsidP="00104A1B">
            <w:pPr>
              <w:jc w:val="center"/>
              <w:rPr>
                <w:rFonts w:asciiTheme="majorHAnsi" w:hAnsiTheme="majorHAnsi"/>
                <w:b/>
              </w:rPr>
            </w:pPr>
            <w:r w:rsidRPr="00C96DD1">
              <w:rPr>
                <w:rFonts w:asciiTheme="majorHAnsi" w:hAnsiTheme="majorHAnsi"/>
                <w:b/>
              </w:rPr>
              <w:t>Type of Respondent</w:t>
            </w:r>
          </w:p>
        </w:tc>
        <w:tc>
          <w:tcPr>
            <w:tcW w:w="0" w:type="auto"/>
            <w:tcBorders>
              <w:bottom w:val="single" w:sz="12" w:space="0" w:color="000000"/>
            </w:tcBorders>
            <w:shd w:val="clear" w:color="auto" w:fill="D9D9D9" w:themeFill="background1" w:themeFillShade="D9"/>
            <w:vAlign w:val="center"/>
          </w:tcPr>
          <w:p w14:paraId="3E888170" w14:textId="77777777" w:rsidR="000A1F30" w:rsidRPr="00C96DD1" w:rsidRDefault="000A1F30" w:rsidP="00104A1B">
            <w:pPr>
              <w:jc w:val="center"/>
              <w:rPr>
                <w:rFonts w:asciiTheme="majorHAnsi" w:hAnsiTheme="majorHAnsi"/>
                <w:b/>
              </w:rPr>
            </w:pPr>
            <w:r w:rsidRPr="00C96DD1">
              <w:rPr>
                <w:rFonts w:asciiTheme="majorHAnsi" w:hAnsiTheme="majorHAnsi"/>
                <w:b/>
              </w:rPr>
              <w:t>No. of Respondents</w:t>
            </w:r>
          </w:p>
        </w:tc>
        <w:tc>
          <w:tcPr>
            <w:tcW w:w="0" w:type="auto"/>
            <w:tcBorders>
              <w:bottom w:val="single" w:sz="12" w:space="0" w:color="000000"/>
            </w:tcBorders>
            <w:shd w:val="clear" w:color="auto" w:fill="D9D9D9" w:themeFill="background1" w:themeFillShade="D9"/>
            <w:vAlign w:val="center"/>
          </w:tcPr>
          <w:p w14:paraId="15DA6E72" w14:textId="77777777" w:rsidR="000A1F30" w:rsidRPr="00C96DD1" w:rsidRDefault="000A1F30" w:rsidP="00104A1B">
            <w:pPr>
              <w:jc w:val="center"/>
              <w:rPr>
                <w:rFonts w:asciiTheme="majorHAnsi" w:hAnsiTheme="majorHAnsi"/>
                <w:b/>
              </w:rPr>
            </w:pPr>
            <w:r w:rsidRPr="00C96DD1">
              <w:rPr>
                <w:rFonts w:asciiTheme="majorHAnsi" w:hAnsiTheme="majorHAnsi"/>
                <w:b/>
              </w:rPr>
              <w:t>No. of Responses per Respondent</w:t>
            </w:r>
          </w:p>
        </w:tc>
        <w:tc>
          <w:tcPr>
            <w:tcW w:w="0" w:type="auto"/>
            <w:tcBorders>
              <w:bottom w:val="single" w:sz="12" w:space="0" w:color="000000"/>
            </w:tcBorders>
            <w:shd w:val="clear" w:color="auto" w:fill="D9D9D9" w:themeFill="background1" w:themeFillShade="D9"/>
            <w:vAlign w:val="center"/>
          </w:tcPr>
          <w:p w14:paraId="77CBCD33" w14:textId="77777777" w:rsidR="000A1F30" w:rsidRPr="00C96DD1" w:rsidRDefault="000A1F30" w:rsidP="00104A1B">
            <w:pPr>
              <w:jc w:val="center"/>
              <w:rPr>
                <w:rFonts w:asciiTheme="majorHAnsi" w:hAnsiTheme="majorHAnsi"/>
                <w:b/>
              </w:rPr>
            </w:pPr>
            <w:r w:rsidRPr="00C96DD1">
              <w:rPr>
                <w:rFonts w:asciiTheme="majorHAnsi" w:hAnsiTheme="majorHAnsi"/>
                <w:b/>
              </w:rPr>
              <w:t>Average Burden per Response (in hours)</w:t>
            </w:r>
          </w:p>
        </w:tc>
        <w:tc>
          <w:tcPr>
            <w:tcW w:w="0" w:type="auto"/>
            <w:tcBorders>
              <w:bottom w:val="single" w:sz="12" w:space="0" w:color="000000"/>
            </w:tcBorders>
            <w:shd w:val="clear" w:color="auto" w:fill="D9D9D9" w:themeFill="background1" w:themeFillShade="D9"/>
            <w:vAlign w:val="center"/>
          </w:tcPr>
          <w:p w14:paraId="608C09CC" w14:textId="77777777" w:rsidR="000A1F30" w:rsidRPr="00C96DD1" w:rsidRDefault="000A1F30" w:rsidP="00104A1B">
            <w:pPr>
              <w:jc w:val="center"/>
              <w:rPr>
                <w:rFonts w:asciiTheme="majorHAnsi" w:hAnsiTheme="majorHAnsi"/>
                <w:b/>
              </w:rPr>
            </w:pPr>
            <w:r w:rsidRPr="00C96DD1">
              <w:rPr>
                <w:rFonts w:asciiTheme="majorHAnsi" w:hAnsiTheme="majorHAnsi"/>
                <w:b/>
              </w:rPr>
              <w:t>Total Burden Hours</w:t>
            </w:r>
          </w:p>
        </w:tc>
        <w:tc>
          <w:tcPr>
            <w:tcW w:w="0" w:type="auto"/>
            <w:tcBorders>
              <w:bottom w:val="single" w:sz="12" w:space="0" w:color="000000"/>
            </w:tcBorders>
            <w:shd w:val="clear" w:color="auto" w:fill="D9D9D9" w:themeFill="background1" w:themeFillShade="D9"/>
            <w:vAlign w:val="center"/>
          </w:tcPr>
          <w:p w14:paraId="7760C314" w14:textId="77777777" w:rsidR="000A1F30" w:rsidRPr="00C96DD1" w:rsidRDefault="000A1F30" w:rsidP="000A1F30">
            <w:pPr>
              <w:jc w:val="center"/>
              <w:rPr>
                <w:rFonts w:asciiTheme="majorHAnsi" w:hAnsiTheme="majorHAnsi"/>
                <w:b/>
              </w:rPr>
            </w:pPr>
            <w:r w:rsidRPr="00C96DD1">
              <w:rPr>
                <w:rFonts w:asciiTheme="majorHAnsi" w:hAnsiTheme="majorHAnsi"/>
                <w:b/>
              </w:rPr>
              <w:t>Hourly Wage Rate</w:t>
            </w:r>
          </w:p>
        </w:tc>
        <w:tc>
          <w:tcPr>
            <w:tcW w:w="0" w:type="auto"/>
            <w:tcBorders>
              <w:bottom w:val="single" w:sz="12" w:space="0" w:color="000000"/>
            </w:tcBorders>
            <w:shd w:val="clear" w:color="auto" w:fill="D9D9D9" w:themeFill="background1" w:themeFillShade="D9"/>
            <w:vAlign w:val="center"/>
          </w:tcPr>
          <w:p w14:paraId="5628CCA7" w14:textId="77777777" w:rsidR="000A1F30" w:rsidRPr="00C96DD1" w:rsidRDefault="000A1F30" w:rsidP="000A1F30">
            <w:pPr>
              <w:jc w:val="center"/>
              <w:rPr>
                <w:rFonts w:asciiTheme="majorHAnsi" w:hAnsiTheme="majorHAnsi"/>
                <w:b/>
              </w:rPr>
            </w:pPr>
            <w:r w:rsidRPr="00C96DD1">
              <w:rPr>
                <w:rFonts w:asciiTheme="majorHAnsi" w:hAnsiTheme="majorHAnsi"/>
                <w:b/>
              </w:rPr>
              <w:t>Total Respondent Costs</w:t>
            </w:r>
          </w:p>
        </w:tc>
      </w:tr>
      <w:tr w:rsidR="00DA4E82" w:rsidRPr="00C96DD1" w14:paraId="653E2B4C" w14:textId="77777777" w:rsidTr="00B96F1E">
        <w:tc>
          <w:tcPr>
            <w:tcW w:w="0" w:type="auto"/>
            <w:tcBorders>
              <w:top w:val="single" w:sz="12" w:space="0" w:color="000000"/>
            </w:tcBorders>
            <w:shd w:val="clear" w:color="auto" w:fill="FFFFFF" w:themeFill="background1"/>
            <w:vAlign w:val="center"/>
          </w:tcPr>
          <w:p w14:paraId="0FBB596B" w14:textId="77777777" w:rsidR="00DA4E82" w:rsidRPr="00C96DD1" w:rsidRDefault="00966BC5" w:rsidP="00537079">
            <w:pPr>
              <w:rPr>
                <w:rFonts w:asciiTheme="majorHAnsi" w:hAnsiTheme="majorHAnsi"/>
              </w:rPr>
            </w:pPr>
            <w:r w:rsidRPr="00C96DD1">
              <w:rPr>
                <w:rFonts w:asciiTheme="majorHAnsi" w:hAnsiTheme="majorHAnsi"/>
              </w:rPr>
              <w:t xml:space="preserve">Environmental health staff at state, local, and tribal environmental health and agricultural </w:t>
            </w:r>
            <w:r w:rsidR="00537079" w:rsidRPr="00C96DD1">
              <w:rPr>
                <w:rFonts w:asciiTheme="majorHAnsi" w:hAnsiTheme="majorHAnsi"/>
              </w:rPr>
              <w:t>departments</w:t>
            </w:r>
          </w:p>
        </w:tc>
        <w:tc>
          <w:tcPr>
            <w:tcW w:w="0" w:type="auto"/>
            <w:tcBorders>
              <w:top w:val="single" w:sz="12" w:space="0" w:color="000000"/>
            </w:tcBorders>
            <w:shd w:val="clear" w:color="auto" w:fill="FFFFFF" w:themeFill="background1"/>
            <w:vAlign w:val="center"/>
          </w:tcPr>
          <w:p w14:paraId="21622189" w14:textId="0C72D477" w:rsidR="00DA4E82" w:rsidRPr="00C96DD1" w:rsidRDefault="00F36437" w:rsidP="000130B4">
            <w:pPr>
              <w:jc w:val="center"/>
              <w:rPr>
                <w:rFonts w:asciiTheme="majorHAnsi" w:hAnsiTheme="majorHAnsi"/>
              </w:rPr>
            </w:pPr>
            <w:r>
              <w:rPr>
                <w:rFonts w:asciiTheme="majorHAnsi" w:hAnsiTheme="majorHAnsi"/>
              </w:rPr>
              <w:t>30</w:t>
            </w:r>
          </w:p>
        </w:tc>
        <w:tc>
          <w:tcPr>
            <w:tcW w:w="0" w:type="auto"/>
            <w:tcBorders>
              <w:top w:val="single" w:sz="12" w:space="0" w:color="000000"/>
            </w:tcBorders>
            <w:shd w:val="clear" w:color="auto" w:fill="FFFFFF" w:themeFill="background1"/>
            <w:vAlign w:val="center"/>
          </w:tcPr>
          <w:p w14:paraId="4CAD3912" w14:textId="77777777" w:rsidR="00DA4E82" w:rsidRPr="00C96DD1" w:rsidRDefault="00943538" w:rsidP="000130B4">
            <w:pPr>
              <w:jc w:val="center"/>
              <w:rPr>
                <w:rFonts w:asciiTheme="majorHAnsi" w:hAnsiTheme="majorHAnsi"/>
              </w:rPr>
            </w:pPr>
            <w:r w:rsidRPr="00C96DD1">
              <w:rPr>
                <w:rFonts w:asciiTheme="majorHAnsi" w:hAnsiTheme="majorHAnsi"/>
              </w:rPr>
              <w:t>1</w:t>
            </w:r>
          </w:p>
        </w:tc>
        <w:tc>
          <w:tcPr>
            <w:tcW w:w="0" w:type="auto"/>
            <w:tcBorders>
              <w:top w:val="single" w:sz="12" w:space="0" w:color="000000"/>
            </w:tcBorders>
            <w:shd w:val="clear" w:color="auto" w:fill="FFFFFF" w:themeFill="background1"/>
            <w:vAlign w:val="center"/>
          </w:tcPr>
          <w:p w14:paraId="2C733923" w14:textId="5535BBC4" w:rsidR="00DA4E82" w:rsidRPr="00C96DD1" w:rsidRDefault="00B96F1E" w:rsidP="003F5903">
            <w:pPr>
              <w:jc w:val="center"/>
              <w:rPr>
                <w:rFonts w:asciiTheme="majorHAnsi" w:hAnsiTheme="majorHAnsi"/>
              </w:rPr>
            </w:pPr>
            <w:r>
              <w:rPr>
                <w:rFonts w:asciiTheme="majorHAnsi" w:hAnsiTheme="majorHAnsi"/>
              </w:rPr>
              <w:t>1</w:t>
            </w:r>
          </w:p>
        </w:tc>
        <w:tc>
          <w:tcPr>
            <w:tcW w:w="0" w:type="auto"/>
            <w:tcBorders>
              <w:top w:val="single" w:sz="12" w:space="0" w:color="000000"/>
            </w:tcBorders>
            <w:shd w:val="clear" w:color="auto" w:fill="FFFFFF" w:themeFill="background1"/>
            <w:vAlign w:val="center"/>
          </w:tcPr>
          <w:p w14:paraId="5B63C622" w14:textId="2C4DA12A" w:rsidR="00DA4E82" w:rsidRPr="00C96DD1" w:rsidRDefault="006374C1" w:rsidP="003F5903">
            <w:pPr>
              <w:jc w:val="center"/>
              <w:rPr>
                <w:rFonts w:asciiTheme="majorHAnsi" w:hAnsiTheme="majorHAnsi"/>
              </w:rPr>
            </w:pPr>
            <w:r>
              <w:rPr>
                <w:rFonts w:asciiTheme="majorHAnsi" w:hAnsiTheme="majorHAnsi"/>
              </w:rPr>
              <w:t>30</w:t>
            </w:r>
          </w:p>
        </w:tc>
        <w:tc>
          <w:tcPr>
            <w:tcW w:w="0" w:type="auto"/>
            <w:tcBorders>
              <w:top w:val="single" w:sz="12" w:space="0" w:color="000000"/>
            </w:tcBorders>
            <w:shd w:val="clear" w:color="auto" w:fill="FFFFFF" w:themeFill="background1"/>
            <w:vAlign w:val="center"/>
          </w:tcPr>
          <w:p w14:paraId="1DB4FF10" w14:textId="63588EB8" w:rsidR="00DA4E82" w:rsidRPr="00C96DD1" w:rsidRDefault="00250A4C" w:rsidP="000130B4">
            <w:pPr>
              <w:jc w:val="center"/>
              <w:rPr>
                <w:rFonts w:asciiTheme="majorHAnsi" w:hAnsiTheme="majorHAnsi"/>
              </w:rPr>
            </w:pPr>
            <w:r w:rsidRPr="00C96DD1">
              <w:rPr>
                <w:rFonts w:asciiTheme="majorHAnsi" w:hAnsiTheme="majorHAnsi"/>
              </w:rPr>
              <w:t>$</w:t>
            </w:r>
            <w:r w:rsidR="00A131D0">
              <w:rPr>
                <w:rFonts w:asciiTheme="majorHAnsi" w:hAnsiTheme="majorHAnsi"/>
              </w:rPr>
              <w:t>32.87</w:t>
            </w:r>
          </w:p>
        </w:tc>
        <w:tc>
          <w:tcPr>
            <w:tcW w:w="0" w:type="auto"/>
            <w:tcBorders>
              <w:top w:val="single" w:sz="12" w:space="0" w:color="000000"/>
            </w:tcBorders>
            <w:shd w:val="clear" w:color="auto" w:fill="FFFFFF" w:themeFill="background1"/>
            <w:vAlign w:val="center"/>
          </w:tcPr>
          <w:p w14:paraId="43A9D431" w14:textId="5B8B9440" w:rsidR="00DA4E82" w:rsidRPr="00C96DD1" w:rsidRDefault="00943538" w:rsidP="001B27D4">
            <w:pPr>
              <w:jc w:val="right"/>
              <w:rPr>
                <w:rFonts w:asciiTheme="majorHAnsi" w:hAnsiTheme="majorHAnsi"/>
              </w:rPr>
            </w:pPr>
            <w:r w:rsidRPr="0003534C">
              <w:rPr>
                <w:rFonts w:asciiTheme="majorHAnsi" w:hAnsiTheme="majorHAnsi"/>
              </w:rPr>
              <w:t>$</w:t>
            </w:r>
            <w:r w:rsidR="00F36437">
              <w:rPr>
                <w:rFonts w:asciiTheme="majorHAnsi" w:hAnsiTheme="majorHAnsi"/>
              </w:rPr>
              <w:t>986</w:t>
            </w:r>
          </w:p>
        </w:tc>
      </w:tr>
      <w:tr w:rsidR="00C0376C" w:rsidRPr="00C96DD1" w14:paraId="775D0076" w14:textId="77777777" w:rsidTr="00B96F1E">
        <w:trPr>
          <w:trHeight w:hRule="exact" w:val="432"/>
        </w:trPr>
        <w:tc>
          <w:tcPr>
            <w:tcW w:w="0" w:type="auto"/>
            <w:vAlign w:val="center"/>
          </w:tcPr>
          <w:p w14:paraId="1D0FF819" w14:textId="77777777" w:rsidR="00C0376C" w:rsidRPr="00C96DD1" w:rsidRDefault="00C0376C" w:rsidP="000130B4">
            <w:pPr>
              <w:spacing w:after="0"/>
              <w:jc w:val="right"/>
              <w:rPr>
                <w:rFonts w:asciiTheme="majorHAnsi" w:hAnsiTheme="majorHAnsi"/>
                <w:b/>
              </w:rPr>
            </w:pPr>
            <w:r w:rsidRPr="00C96DD1">
              <w:rPr>
                <w:rFonts w:asciiTheme="majorHAnsi" w:hAnsiTheme="majorHAnsi"/>
                <w:b/>
              </w:rPr>
              <w:t>TOTALS</w:t>
            </w:r>
          </w:p>
        </w:tc>
        <w:tc>
          <w:tcPr>
            <w:tcW w:w="0" w:type="auto"/>
            <w:vAlign w:val="center"/>
          </w:tcPr>
          <w:p w14:paraId="08ADA9BB" w14:textId="7CBB9423" w:rsidR="00C0376C" w:rsidRPr="00C96DD1" w:rsidRDefault="00CA5B99" w:rsidP="006374C1">
            <w:pPr>
              <w:spacing w:after="0"/>
              <w:jc w:val="center"/>
              <w:rPr>
                <w:rFonts w:asciiTheme="majorHAnsi" w:hAnsiTheme="majorHAnsi"/>
                <w:b/>
              </w:rPr>
            </w:pPr>
            <w:r w:rsidRPr="00C96DD1">
              <w:rPr>
                <w:rFonts w:asciiTheme="majorHAnsi" w:hAnsiTheme="majorHAnsi"/>
                <w:b/>
              </w:rPr>
              <w:t xml:space="preserve"> </w:t>
            </w:r>
            <w:r w:rsidR="006374C1">
              <w:rPr>
                <w:rFonts w:asciiTheme="majorHAnsi" w:hAnsiTheme="majorHAnsi"/>
                <w:b/>
              </w:rPr>
              <w:t>30</w:t>
            </w:r>
          </w:p>
        </w:tc>
        <w:tc>
          <w:tcPr>
            <w:tcW w:w="0" w:type="auto"/>
            <w:shd w:val="clear" w:color="auto" w:fill="auto"/>
            <w:vAlign w:val="center"/>
          </w:tcPr>
          <w:p w14:paraId="09552BD3" w14:textId="77777777" w:rsidR="00C0376C" w:rsidRPr="00C96DD1" w:rsidRDefault="00711B7E" w:rsidP="00C0376C">
            <w:pPr>
              <w:spacing w:after="0"/>
              <w:jc w:val="center"/>
              <w:rPr>
                <w:rFonts w:asciiTheme="majorHAnsi" w:hAnsiTheme="majorHAnsi"/>
                <w:b/>
              </w:rPr>
            </w:pPr>
            <w:r w:rsidRPr="00C96DD1">
              <w:rPr>
                <w:rFonts w:asciiTheme="majorHAnsi" w:hAnsiTheme="majorHAnsi"/>
                <w:b/>
              </w:rPr>
              <w:t>1</w:t>
            </w:r>
            <w:r w:rsidR="00CA5B99" w:rsidRPr="00C96DD1">
              <w:rPr>
                <w:rFonts w:asciiTheme="majorHAnsi" w:hAnsiTheme="majorHAnsi"/>
                <w:b/>
              </w:rPr>
              <w:t xml:space="preserve"> </w:t>
            </w:r>
          </w:p>
        </w:tc>
        <w:tc>
          <w:tcPr>
            <w:tcW w:w="0" w:type="auto"/>
            <w:shd w:val="clear" w:color="auto" w:fill="D9D9D9" w:themeFill="background1" w:themeFillShade="D9"/>
            <w:vAlign w:val="center"/>
          </w:tcPr>
          <w:p w14:paraId="237EFCAB" w14:textId="22348154" w:rsidR="00C0376C" w:rsidRPr="00C96DD1" w:rsidRDefault="006374C1" w:rsidP="00C0376C">
            <w:pPr>
              <w:spacing w:after="0"/>
              <w:jc w:val="center"/>
              <w:rPr>
                <w:rFonts w:asciiTheme="majorHAnsi" w:hAnsiTheme="majorHAnsi"/>
                <w:b/>
              </w:rPr>
            </w:pPr>
            <w:r>
              <w:rPr>
                <w:rFonts w:asciiTheme="majorHAnsi" w:hAnsiTheme="majorHAnsi"/>
                <w:b/>
              </w:rPr>
              <w:t>1</w:t>
            </w:r>
          </w:p>
        </w:tc>
        <w:tc>
          <w:tcPr>
            <w:tcW w:w="0" w:type="auto"/>
            <w:vAlign w:val="center"/>
          </w:tcPr>
          <w:p w14:paraId="59AFFCBE" w14:textId="79E6AD46" w:rsidR="00C0376C" w:rsidRPr="00C96DD1" w:rsidRDefault="006374C1" w:rsidP="003F5903">
            <w:pPr>
              <w:spacing w:after="0"/>
              <w:jc w:val="center"/>
              <w:rPr>
                <w:rFonts w:asciiTheme="majorHAnsi" w:hAnsiTheme="majorHAnsi"/>
                <w:b/>
              </w:rPr>
            </w:pPr>
            <w:r>
              <w:rPr>
                <w:rFonts w:asciiTheme="majorHAnsi" w:hAnsiTheme="majorHAnsi"/>
                <w:b/>
              </w:rPr>
              <w:t>30</w:t>
            </w:r>
            <w:r w:rsidRPr="00C96DD1">
              <w:rPr>
                <w:rFonts w:asciiTheme="majorHAnsi" w:hAnsiTheme="majorHAnsi"/>
                <w:b/>
              </w:rPr>
              <w:t xml:space="preserve"> </w:t>
            </w:r>
          </w:p>
        </w:tc>
        <w:tc>
          <w:tcPr>
            <w:tcW w:w="0" w:type="auto"/>
            <w:shd w:val="clear" w:color="auto" w:fill="D9D9D9" w:themeFill="background1" w:themeFillShade="D9"/>
            <w:vAlign w:val="center"/>
          </w:tcPr>
          <w:p w14:paraId="4F7FEFF2" w14:textId="6DD3DFC2" w:rsidR="00C0376C" w:rsidRPr="00C96DD1" w:rsidRDefault="006374C1" w:rsidP="00C0376C">
            <w:pPr>
              <w:spacing w:after="0"/>
              <w:jc w:val="center"/>
              <w:rPr>
                <w:rFonts w:asciiTheme="majorHAnsi" w:hAnsiTheme="majorHAnsi"/>
                <w:b/>
              </w:rPr>
            </w:pPr>
            <w:r>
              <w:rPr>
                <w:rFonts w:asciiTheme="majorHAnsi" w:hAnsiTheme="majorHAnsi"/>
                <w:b/>
              </w:rPr>
              <w:t>$32.87</w:t>
            </w:r>
          </w:p>
        </w:tc>
        <w:tc>
          <w:tcPr>
            <w:tcW w:w="0" w:type="auto"/>
            <w:vAlign w:val="center"/>
          </w:tcPr>
          <w:p w14:paraId="7A24F878" w14:textId="0CAB0FD6" w:rsidR="00C0376C" w:rsidRPr="00C96DD1" w:rsidRDefault="00943538" w:rsidP="001B27D4">
            <w:pPr>
              <w:spacing w:after="0"/>
              <w:jc w:val="right"/>
              <w:rPr>
                <w:rFonts w:asciiTheme="majorHAnsi" w:hAnsiTheme="majorHAnsi"/>
                <w:b/>
              </w:rPr>
            </w:pPr>
            <w:r w:rsidRPr="0003534C">
              <w:rPr>
                <w:rFonts w:asciiTheme="majorHAnsi" w:hAnsiTheme="majorHAnsi"/>
                <w:b/>
              </w:rPr>
              <w:t>$</w:t>
            </w:r>
            <w:r w:rsidR="00F36437">
              <w:rPr>
                <w:rFonts w:asciiTheme="majorHAnsi" w:hAnsiTheme="majorHAnsi"/>
                <w:b/>
              </w:rPr>
              <w:t>986</w:t>
            </w:r>
          </w:p>
        </w:tc>
      </w:tr>
    </w:tbl>
    <w:p w14:paraId="45E7AC39" w14:textId="77777777" w:rsidR="003C31C9" w:rsidRPr="00C96DD1" w:rsidRDefault="003C31C9" w:rsidP="003C31C9">
      <w:pPr>
        <w:pStyle w:val="Default"/>
        <w:ind w:left="720"/>
        <w:rPr>
          <w:rFonts w:asciiTheme="majorHAnsi" w:hAnsiTheme="majorHAnsi" w:cs="Times New Roman"/>
          <w:sz w:val="22"/>
          <w:szCs w:val="22"/>
        </w:rPr>
      </w:pPr>
    </w:p>
    <w:p w14:paraId="63C6DC33" w14:textId="77777777" w:rsidR="002F1502" w:rsidRPr="00C96DD1" w:rsidRDefault="002F1502" w:rsidP="008E0683">
      <w:pPr>
        <w:pStyle w:val="ListParagraph"/>
        <w:autoSpaceDE w:val="0"/>
        <w:autoSpaceDN w:val="0"/>
        <w:adjustRightInd w:val="0"/>
        <w:ind w:right="720"/>
        <w:rPr>
          <w:rFonts w:asciiTheme="majorHAnsi" w:hAnsiTheme="majorHAnsi"/>
          <w:u w:val="single"/>
        </w:rPr>
      </w:pPr>
    </w:p>
    <w:p w14:paraId="5EFA7408" w14:textId="6497E1C4" w:rsidR="00B12F51" w:rsidRPr="009005A4" w:rsidRDefault="0088467A" w:rsidP="009005A4">
      <w:pPr>
        <w:pStyle w:val="ListParagraph"/>
        <w:numPr>
          <w:ilvl w:val="0"/>
          <w:numId w:val="2"/>
        </w:numPr>
        <w:spacing w:after="0"/>
        <w:rPr>
          <w:rFonts w:asciiTheme="majorHAnsi" w:hAnsiTheme="majorHAnsi"/>
          <w:b/>
          <w:bCs/>
        </w:rPr>
      </w:pPr>
      <w:r w:rsidRPr="009005A4">
        <w:rPr>
          <w:rFonts w:asciiTheme="majorHAnsi" w:hAnsiTheme="majorHAnsi"/>
          <w:b/>
          <w:bCs/>
        </w:rPr>
        <w:t>Estimates of Other Total Annual Cost Burden to Respondents or Record Keepers</w:t>
      </w:r>
    </w:p>
    <w:p w14:paraId="49423923" w14:textId="3E3AADB9" w:rsidR="00911486" w:rsidRPr="00C96DD1" w:rsidRDefault="003C31C9" w:rsidP="00697161">
      <w:pPr>
        <w:pStyle w:val="Default"/>
        <w:rPr>
          <w:rFonts w:asciiTheme="majorHAnsi" w:hAnsiTheme="majorHAnsi"/>
          <w:sz w:val="22"/>
          <w:szCs w:val="22"/>
        </w:rPr>
      </w:pPr>
      <w:r w:rsidRPr="00C96DD1">
        <w:rPr>
          <w:rFonts w:asciiTheme="majorHAnsi" w:hAnsiTheme="majorHAnsi" w:cs="Times New Roman"/>
          <w:sz w:val="22"/>
          <w:szCs w:val="22"/>
        </w:rPr>
        <w:t>There will be no direct costs to the respondents other than their time to participate</w:t>
      </w:r>
      <w:r w:rsidR="009005A4">
        <w:rPr>
          <w:rFonts w:asciiTheme="majorHAnsi" w:hAnsiTheme="majorHAnsi" w:cs="Times New Roman"/>
          <w:sz w:val="22"/>
          <w:szCs w:val="22"/>
        </w:rPr>
        <w:t xml:space="preserve"> in the data collection</w:t>
      </w:r>
      <w:r w:rsidR="00111A03" w:rsidRPr="00C96DD1">
        <w:rPr>
          <w:rFonts w:asciiTheme="majorHAnsi" w:hAnsiTheme="majorHAnsi" w:cs="Times New Roman"/>
          <w:sz w:val="22"/>
          <w:szCs w:val="22"/>
        </w:rPr>
        <w:t xml:space="preserve">.  </w:t>
      </w:r>
      <w:r w:rsidR="00111A03" w:rsidRPr="00C96DD1" w:rsidDel="00111A03">
        <w:rPr>
          <w:rFonts w:asciiTheme="majorHAnsi" w:hAnsiTheme="majorHAnsi" w:cs="Times New Roman"/>
          <w:sz w:val="22"/>
          <w:szCs w:val="22"/>
        </w:rPr>
        <w:t xml:space="preserve"> </w:t>
      </w:r>
    </w:p>
    <w:p w14:paraId="0C96D294" w14:textId="77777777" w:rsidR="00D75750" w:rsidRPr="00C96DD1" w:rsidRDefault="00D75750" w:rsidP="00911486">
      <w:pPr>
        <w:pStyle w:val="Default"/>
        <w:ind w:left="720"/>
        <w:rPr>
          <w:rFonts w:asciiTheme="majorHAnsi" w:hAnsiTheme="majorHAnsi"/>
          <w:sz w:val="22"/>
          <w:szCs w:val="22"/>
        </w:rPr>
      </w:pPr>
    </w:p>
    <w:p w14:paraId="11192999" w14:textId="65DF4D66" w:rsidR="00B12F51" w:rsidRPr="009005A4" w:rsidRDefault="0088467A" w:rsidP="009005A4">
      <w:pPr>
        <w:pStyle w:val="ListParagraph"/>
        <w:numPr>
          <w:ilvl w:val="0"/>
          <w:numId w:val="2"/>
        </w:numPr>
        <w:spacing w:after="0"/>
        <w:rPr>
          <w:rFonts w:asciiTheme="majorHAnsi" w:hAnsiTheme="majorHAnsi"/>
          <w:b/>
        </w:rPr>
      </w:pPr>
      <w:r w:rsidRPr="009005A4">
        <w:rPr>
          <w:rFonts w:asciiTheme="majorHAnsi" w:hAnsiTheme="majorHAnsi"/>
          <w:b/>
          <w:bCs/>
        </w:rPr>
        <w:t>Annualized Cost to the Government</w:t>
      </w:r>
      <w:r w:rsidR="00D75750" w:rsidRPr="009005A4">
        <w:rPr>
          <w:rFonts w:asciiTheme="majorHAnsi" w:hAnsiTheme="majorHAnsi"/>
          <w:b/>
          <w:bCs/>
        </w:rPr>
        <w:t xml:space="preserve"> </w:t>
      </w:r>
    </w:p>
    <w:p w14:paraId="0D5D7E0B" w14:textId="53A0EC4A" w:rsidR="00D53473" w:rsidRPr="00C96DD1" w:rsidRDefault="00D53473" w:rsidP="001507DC">
      <w:pPr>
        <w:pStyle w:val="ListParagraph"/>
        <w:autoSpaceDE w:val="0"/>
        <w:autoSpaceDN w:val="0"/>
        <w:adjustRightInd w:val="0"/>
        <w:ind w:left="0" w:right="720"/>
        <w:rPr>
          <w:rFonts w:asciiTheme="majorHAnsi" w:hAnsiTheme="majorHAnsi"/>
        </w:rPr>
      </w:pPr>
      <w:r w:rsidRPr="00C96DD1">
        <w:rPr>
          <w:rFonts w:asciiTheme="majorHAnsi" w:hAnsiTheme="majorHAnsi"/>
        </w:rPr>
        <w:t xml:space="preserve">There are no equipment or overhead costs.  </w:t>
      </w:r>
      <w:r w:rsidR="001507DC" w:rsidRPr="00C96DD1">
        <w:rPr>
          <w:rFonts w:asciiTheme="majorHAnsi" w:hAnsiTheme="majorHAnsi"/>
        </w:rPr>
        <w:t>The only cost to the federal government would be the salary of the CDC staff and external contractors during the preparation of the interview guide, information collection, and analysis activities. The estimated cost to the federal government is $</w:t>
      </w:r>
      <w:r w:rsidR="0003534C">
        <w:rPr>
          <w:rFonts w:asciiTheme="majorHAnsi" w:hAnsiTheme="majorHAnsi"/>
        </w:rPr>
        <w:t>92,038</w:t>
      </w:r>
      <w:r w:rsidR="001507DC" w:rsidRPr="00C96DD1">
        <w:rPr>
          <w:rFonts w:asciiTheme="majorHAnsi" w:hAnsiTheme="majorHAnsi"/>
        </w:rPr>
        <w:t>. Table A-14 describes how this cost estimate was calculated.</w:t>
      </w:r>
    </w:p>
    <w:p w14:paraId="56B92CF5" w14:textId="77777777" w:rsidR="001766D2" w:rsidRPr="00C96DD1" w:rsidRDefault="001766D2" w:rsidP="00D53473">
      <w:pPr>
        <w:pStyle w:val="ListParagraph"/>
        <w:autoSpaceDE w:val="0"/>
        <w:autoSpaceDN w:val="0"/>
        <w:adjustRightInd w:val="0"/>
        <w:ind w:right="720"/>
        <w:rPr>
          <w:rFonts w:asciiTheme="majorHAnsi" w:hAnsiTheme="majorHAnsi"/>
        </w:rPr>
      </w:pPr>
    </w:p>
    <w:p w14:paraId="79B2D0CA" w14:textId="6D7F0DC0" w:rsidR="00F45C66" w:rsidRPr="00F45C66" w:rsidRDefault="00321B51" w:rsidP="00F45C66">
      <w:pPr>
        <w:pStyle w:val="ListParagraph"/>
        <w:autoSpaceDE w:val="0"/>
        <w:autoSpaceDN w:val="0"/>
        <w:adjustRightInd w:val="0"/>
        <w:ind w:right="720" w:hanging="810"/>
        <w:rPr>
          <w:rFonts w:asciiTheme="majorHAnsi" w:hAnsiTheme="majorHAnsi"/>
        </w:rPr>
      </w:pPr>
      <w:r w:rsidRPr="00C96DD1">
        <w:rPr>
          <w:rFonts w:asciiTheme="majorHAnsi" w:hAnsiTheme="majorHAnsi"/>
          <w:color w:val="000000"/>
        </w:rPr>
        <w:t xml:space="preserve"> </w:t>
      </w:r>
      <w:r w:rsidR="008E0683" w:rsidRPr="00C96DD1">
        <w:rPr>
          <w:rFonts w:asciiTheme="majorHAnsi" w:hAnsiTheme="majorHAnsi"/>
          <w:b/>
          <w:u w:val="single"/>
        </w:rPr>
        <w:t>Table A-14</w:t>
      </w:r>
      <w:r w:rsidR="008E0683" w:rsidRPr="00C96DD1">
        <w:rPr>
          <w:rFonts w:asciiTheme="majorHAnsi" w:hAnsiTheme="majorHAnsi"/>
          <w:b/>
        </w:rPr>
        <w:t>:</w:t>
      </w:r>
      <w:r w:rsidR="008E0683" w:rsidRPr="00C96DD1">
        <w:rPr>
          <w:rFonts w:asciiTheme="majorHAnsi" w:hAnsiTheme="majorHAnsi"/>
        </w:rPr>
        <w:t xml:space="preserve"> 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F45C66" w:rsidRPr="00637246" w14:paraId="1C7A53B4" w14:textId="77777777" w:rsidTr="00FE35F8">
        <w:trPr>
          <w:trHeight w:val="593"/>
        </w:trPr>
        <w:tc>
          <w:tcPr>
            <w:tcW w:w="4518" w:type="dxa"/>
            <w:tcBorders>
              <w:bottom w:val="single" w:sz="12" w:space="0" w:color="auto"/>
            </w:tcBorders>
            <w:shd w:val="clear" w:color="auto" w:fill="D9D9D9" w:themeFill="background1" w:themeFillShade="D9"/>
            <w:vAlign w:val="center"/>
          </w:tcPr>
          <w:p w14:paraId="24B8C824" w14:textId="77777777" w:rsidR="00F45C66" w:rsidRPr="00637246" w:rsidRDefault="00F45C66" w:rsidP="00FE35F8">
            <w:pPr>
              <w:jc w:val="center"/>
              <w:rPr>
                <w:rFonts w:asciiTheme="majorHAnsi" w:hAnsiTheme="majorHAnsi"/>
                <w:b/>
              </w:rPr>
            </w:pPr>
            <w:r w:rsidRPr="00637246">
              <w:rPr>
                <w:rFonts w:asciiTheme="majorHAnsi" w:hAnsiTheme="majorHAnsi"/>
                <w:b/>
              </w:rPr>
              <w:t xml:space="preserve">Staff (FTE) </w:t>
            </w:r>
          </w:p>
        </w:tc>
        <w:tc>
          <w:tcPr>
            <w:tcW w:w="1980" w:type="dxa"/>
            <w:tcBorders>
              <w:bottom w:val="single" w:sz="12" w:space="0" w:color="auto"/>
            </w:tcBorders>
            <w:shd w:val="clear" w:color="auto" w:fill="D9D9D9" w:themeFill="background1" w:themeFillShade="D9"/>
            <w:vAlign w:val="center"/>
          </w:tcPr>
          <w:p w14:paraId="5FE2D442" w14:textId="77777777" w:rsidR="00F45C66" w:rsidRPr="00637246" w:rsidRDefault="00F45C66" w:rsidP="00FE35F8">
            <w:pPr>
              <w:jc w:val="center"/>
              <w:rPr>
                <w:rFonts w:asciiTheme="majorHAnsi" w:hAnsiTheme="majorHAnsi"/>
                <w:b/>
              </w:rPr>
            </w:pPr>
            <w:r w:rsidRPr="00637246">
              <w:rPr>
                <w:rFonts w:asciiTheme="majorHAnsi" w:hAnsiTheme="majorHAnsi"/>
                <w:b/>
              </w:rPr>
              <w:t>Average Hours per Collection</w:t>
            </w:r>
          </w:p>
        </w:tc>
        <w:tc>
          <w:tcPr>
            <w:tcW w:w="1620" w:type="dxa"/>
            <w:tcBorders>
              <w:bottom w:val="single" w:sz="12" w:space="0" w:color="auto"/>
            </w:tcBorders>
            <w:shd w:val="clear" w:color="auto" w:fill="D9D9D9" w:themeFill="background1" w:themeFillShade="D9"/>
            <w:vAlign w:val="center"/>
          </w:tcPr>
          <w:p w14:paraId="1BF5D73F" w14:textId="77777777" w:rsidR="00F45C66" w:rsidRPr="00637246" w:rsidRDefault="00F45C66" w:rsidP="00FE35F8">
            <w:pPr>
              <w:jc w:val="center"/>
              <w:rPr>
                <w:rFonts w:asciiTheme="majorHAnsi" w:hAnsiTheme="majorHAnsi"/>
                <w:b/>
              </w:rPr>
            </w:pPr>
            <w:r w:rsidRPr="00637246">
              <w:rPr>
                <w:rFonts w:asciiTheme="majorHAnsi" w:hAnsiTheme="majorHAnsi"/>
                <w:b/>
              </w:rPr>
              <w:t>Average Hourly Rate</w:t>
            </w:r>
          </w:p>
        </w:tc>
        <w:tc>
          <w:tcPr>
            <w:tcW w:w="1458" w:type="dxa"/>
            <w:tcBorders>
              <w:bottom w:val="single" w:sz="12" w:space="0" w:color="auto"/>
            </w:tcBorders>
            <w:shd w:val="clear" w:color="auto" w:fill="D9D9D9" w:themeFill="background1" w:themeFillShade="D9"/>
            <w:vAlign w:val="center"/>
          </w:tcPr>
          <w:p w14:paraId="414F5B9C" w14:textId="77777777" w:rsidR="00F45C66" w:rsidRPr="00637246" w:rsidRDefault="00F45C66" w:rsidP="00FE35F8">
            <w:pPr>
              <w:jc w:val="center"/>
              <w:rPr>
                <w:rFonts w:asciiTheme="majorHAnsi" w:hAnsiTheme="majorHAnsi"/>
                <w:b/>
              </w:rPr>
            </w:pPr>
            <w:r w:rsidRPr="00637246">
              <w:rPr>
                <w:rFonts w:asciiTheme="majorHAnsi" w:hAnsiTheme="majorHAnsi"/>
                <w:b/>
              </w:rPr>
              <w:t>Average Cost</w:t>
            </w:r>
          </w:p>
        </w:tc>
      </w:tr>
      <w:tr w:rsidR="00F45C66" w:rsidRPr="00637246" w14:paraId="38EBC28F" w14:textId="77777777" w:rsidTr="00FE35F8">
        <w:tc>
          <w:tcPr>
            <w:tcW w:w="4518" w:type="dxa"/>
            <w:tcBorders>
              <w:top w:val="single" w:sz="12" w:space="0" w:color="auto"/>
            </w:tcBorders>
          </w:tcPr>
          <w:p w14:paraId="1BE9E6AD" w14:textId="77777777" w:rsidR="00F45C66" w:rsidRPr="00637246" w:rsidRDefault="00F45C66" w:rsidP="00FE35F8">
            <w:pPr>
              <w:rPr>
                <w:rFonts w:asciiTheme="majorHAnsi" w:hAnsiTheme="majorHAnsi"/>
              </w:rPr>
            </w:pPr>
            <w:r>
              <w:rPr>
                <w:rFonts w:asciiTheme="majorHAnsi" w:hAnsiTheme="majorHAnsi"/>
              </w:rPr>
              <w:t>Technical Monitor-CDC GS-14</w:t>
            </w:r>
          </w:p>
        </w:tc>
        <w:tc>
          <w:tcPr>
            <w:tcW w:w="1980" w:type="dxa"/>
            <w:tcBorders>
              <w:top w:val="single" w:sz="12" w:space="0" w:color="auto"/>
            </w:tcBorders>
          </w:tcPr>
          <w:p w14:paraId="77433CDB" w14:textId="77777777" w:rsidR="00F45C66" w:rsidRPr="00637246" w:rsidRDefault="00F45C66" w:rsidP="00FE35F8">
            <w:pPr>
              <w:jc w:val="center"/>
              <w:rPr>
                <w:rFonts w:asciiTheme="majorHAnsi" w:hAnsiTheme="majorHAnsi"/>
              </w:rPr>
            </w:pPr>
            <w:r>
              <w:rPr>
                <w:rFonts w:asciiTheme="majorHAnsi" w:hAnsiTheme="majorHAnsi"/>
              </w:rPr>
              <w:t>120</w:t>
            </w:r>
          </w:p>
        </w:tc>
        <w:tc>
          <w:tcPr>
            <w:tcW w:w="1620" w:type="dxa"/>
            <w:tcBorders>
              <w:top w:val="single" w:sz="12" w:space="0" w:color="auto"/>
            </w:tcBorders>
          </w:tcPr>
          <w:p w14:paraId="69829EBC" w14:textId="77777777" w:rsidR="00F45C66" w:rsidRPr="00637246" w:rsidRDefault="00F45C66" w:rsidP="00FE35F8">
            <w:pPr>
              <w:jc w:val="center"/>
              <w:rPr>
                <w:rFonts w:asciiTheme="majorHAnsi" w:hAnsiTheme="majorHAnsi"/>
              </w:rPr>
            </w:pPr>
            <w:r>
              <w:rPr>
                <w:rFonts w:asciiTheme="majorHAnsi" w:hAnsiTheme="majorHAnsi"/>
              </w:rPr>
              <w:t>$62.00</w:t>
            </w:r>
          </w:p>
        </w:tc>
        <w:tc>
          <w:tcPr>
            <w:tcW w:w="1458" w:type="dxa"/>
            <w:tcBorders>
              <w:top w:val="single" w:sz="12" w:space="0" w:color="auto"/>
            </w:tcBorders>
          </w:tcPr>
          <w:p w14:paraId="531071D4" w14:textId="77777777" w:rsidR="00F45C66" w:rsidRPr="00637246" w:rsidRDefault="00F45C66" w:rsidP="00FE35F8">
            <w:pPr>
              <w:jc w:val="center"/>
              <w:rPr>
                <w:rFonts w:asciiTheme="majorHAnsi" w:hAnsiTheme="majorHAnsi"/>
              </w:rPr>
            </w:pPr>
            <w:r>
              <w:rPr>
                <w:rFonts w:asciiTheme="majorHAnsi" w:hAnsiTheme="majorHAnsi"/>
              </w:rPr>
              <w:t>$7,440.00</w:t>
            </w:r>
          </w:p>
        </w:tc>
      </w:tr>
      <w:tr w:rsidR="00F45C66" w:rsidRPr="00637246" w14:paraId="3CA21367" w14:textId="77777777" w:rsidTr="00FE35F8">
        <w:tc>
          <w:tcPr>
            <w:tcW w:w="4518" w:type="dxa"/>
          </w:tcPr>
          <w:p w14:paraId="4793BB0B" w14:textId="77777777" w:rsidR="00F45C66" w:rsidRPr="00637246" w:rsidRDefault="00F45C66" w:rsidP="00FE35F8">
            <w:pPr>
              <w:rPr>
                <w:rFonts w:asciiTheme="majorHAnsi" w:hAnsiTheme="majorHAnsi"/>
              </w:rPr>
            </w:pPr>
            <w:r>
              <w:rPr>
                <w:rFonts w:asciiTheme="majorHAnsi" w:hAnsiTheme="majorHAnsi"/>
              </w:rPr>
              <w:t>Project Officer-CDC GS-13</w:t>
            </w:r>
          </w:p>
        </w:tc>
        <w:tc>
          <w:tcPr>
            <w:tcW w:w="1980" w:type="dxa"/>
          </w:tcPr>
          <w:p w14:paraId="097B7FB3" w14:textId="77777777" w:rsidR="00F45C66" w:rsidRPr="00637246" w:rsidRDefault="00F45C66" w:rsidP="00FE35F8">
            <w:pPr>
              <w:jc w:val="center"/>
              <w:rPr>
                <w:rFonts w:asciiTheme="majorHAnsi" w:hAnsiTheme="majorHAnsi"/>
              </w:rPr>
            </w:pPr>
            <w:r>
              <w:rPr>
                <w:rFonts w:asciiTheme="majorHAnsi" w:hAnsiTheme="majorHAnsi"/>
              </w:rPr>
              <w:t>120</w:t>
            </w:r>
          </w:p>
        </w:tc>
        <w:tc>
          <w:tcPr>
            <w:tcW w:w="1620" w:type="dxa"/>
          </w:tcPr>
          <w:p w14:paraId="61DE9C50" w14:textId="77777777" w:rsidR="00F45C66" w:rsidRPr="00637246" w:rsidRDefault="00F45C66" w:rsidP="00FE35F8">
            <w:pPr>
              <w:jc w:val="center"/>
              <w:rPr>
                <w:rFonts w:asciiTheme="majorHAnsi" w:hAnsiTheme="majorHAnsi"/>
              </w:rPr>
            </w:pPr>
            <w:r>
              <w:rPr>
                <w:rFonts w:asciiTheme="majorHAnsi" w:hAnsiTheme="majorHAnsi"/>
              </w:rPr>
              <w:t>$52.00</w:t>
            </w:r>
          </w:p>
        </w:tc>
        <w:tc>
          <w:tcPr>
            <w:tcW w:w="1458" w:type="dxa"/>
          </w:tcPr>
          <w:p w14:paraId="341FA24C" w14:textId="77777777" w:rsidR="00F45C66" w:rsidRPr="00637246" w:rsidRDefault="00F45C66" w:rsidP="00FE35F8">
            <w:pPr>
              <w:jc w:val="center"/>
              <w:rPr>
                <w:rFonts w:asciiTheme="majorHAnsi" w:hAnsiTheme="majorHAnsi"/>
              </w:rPr>
            </w:pPr>
            <w:r>
              <w:rPr>
                <w:rFonts w:asciiTheme="majorHAnsi" w:hAnsiTheme="majorHAnsi"/>
              </w:rPr>
              <w:t>$6,240.00</w:t>
            </w:r>
          </w:p>
        </w:tc>
      </w:tr>
      <w:tr w:rsidR="00F45C66" w:rsidRPr="00637246" w14:paraId="663C0185" w14:textId="77777777" w:rsidTr="00FE35F8">
        <w:tc>
          <w:tcPr>
            <w:tcW w:w="4518" w:type="dxa"/>
          </w:tcPr>
          <w:p w14:paraId="30CF2F6F" w14:textId="77777777" w:rsidR="00F45C66" w:rsidRPr="00637246" w:rsidRDefault="00F45C66" w:rsidP="00FE35F8">
            <w:pPr>
              <w:rPr>
                <w:rFonts w:asciiTheme="majorHAnsi" w:hAnsiTheme="majorHAnsi"/>
              </w:rPr>
            </w:pPr>
            <w:r>
              <w:rPr>
                <w:rFonts w:asciiTheme="majorHAnsi" w:hAnsiTheme="majorHAnsi"/>
              </w:rPr>
              <w:t>NGWA Contract</w:t>
            </w:r>
          </w:p>
        </w:tc>
        <w:tc>
          <w:tcPr>
            <w:tcW w:w="1980" w:type="dxa"/>
          </w:tcPr>
          <w:p w14:paraId="175B8713" w14:textId="77777777" w:rsidR="00F45C66" w:rsidRPr="00637246" w:rsidRDefault="00F45C66" w:rsidP="00FE35F8">
            <w:pPr>
              <w:jc w:val="center"/>
              <w:rPr>
                <w:rFonts w:asciiTheme="majorHAnsi" w:hAnsiTheme="majorHAnsi"/>
              </w:rPr>
            </w:pPr>
          </w:p>
        </w:tc>
        <w:tc>
          <w:tcPr>
            <w:tcW w:w="1620" w:type="dxa"/>
          </w:tcPr>
          <w:p w14:paraId="2D599DE6" w14:textId="77777777" w:rsidR="00F45C66" w:rsidRPr="00637246" w:rsidRDefault="00F45C66" w:rsidP="00FE35F8">
            <w:pPr>
              <w:jc w:val="center"/>
              <w:rPr>
                <w:rFonts w:asciiTheme="majorHAnsi" w:hAnsiTheme="majorHAnsi"/>
              </w:rPr>
            </w:pPr>
          </w:p>
        </w:tc>
        <w:tc>
          <w:tcPr>
            <w:tcW w:w="1458" w:type="dxa"/>
          </w:tcPr>
          <w:p w14:paraId="620B4AA8" w14:textId="77777777" w:rsidR="00F45C66" w:rsidRPr="00637246" w:rsidRDefault="00F45C66" w:rsidP="00FE35F8">
            <w:pPr>
              <w:jc w:val="center"/>
              <w:rPr>
                <w:rFonts w:asciiTheme="majorHAnsi" w:hAnsiTheme="majorHAnsi"/>
              </w:rPr>
            </w:pPr>
            <w:r>
              <w:rPr>
                <w:rFonts w:asciiTheme="majorHAnsi" w:hAnsiTheme="majorHAnsi"/>
              </w:rPr>
              <w:t>$78,358.00</w:t>
            </w:r>
          </w:p>
        </w:tc>
      </w:tr>
      <w:tr w:rsidR="00F45C66" w:rsidRPr="00637246" w14:paraId="442712AA" w14:textId="77777777" w:rsidTr="00FE35F8">
        <w:trPr>
          <w:trHeight w:val="332"/>
        </w:trPr>
        <w:tc>
          <w:tcPr>
            <w:tcW w:w="8118" w:type="dxa"/>
            <w:gridSpan w:val="3"/>
            <w:vAlign w:val="center"/>
          </w:tcPr>
          <w:p w14:paraId="27133A23" w14:textId="77777777" w:rsidR="00F45C66" w:rsidRPr="00637246" w:rsidRDefault="00F45C66" w:rsidP="00FE35F8">
            <w:pPr>
              <w:jc w:val="right"/>
              <w:rPr>
                <w:rFonts w:asciiTheme="majorHAnsi" w:hAnsiTheme="majorHAnsi"/>
                <w:b/>
              </w:rPr>
            </w:pPr>
            <w:r w:rsidRPr="00637246">
              <w:rPr>
                <w:rFonts w:asciiTheme="majorHAnsi" w:hAnsiTheme="majorHAnsi"/>
                <w:b/>
              </w:rPr>
              <w:t>Estimated Total Cost of Information Collection</w:t>
            </w:r>
          </w:p>
        </w:tc>
        <w:tc>
          <w:tcPr>
            <w:tcW w:w="1458" w:type="dxa"/>
            <w:vAlign w:val="center"/>
          </w:tcPr>
          <w:p w14:paraId="27AA1CFE" w14:textId="77777777" w:rsidR="00F45C66" w:rsidRPr="00637246" w:rsidRDefault="00F45C66" w:rsidP="00FE35F8">
            <w:pPr>
              <w:jc w:val="center"/>
              <w:rPr>
                <w:rFonts w:asciiTheme="majorHAnsi" w:hAnsiTheme="majorHAnsi"/>
                <w:b/>
              </w:rPr>
            </w:pPr>
            <w:r>
              <w:rPr>
                <w:rFonts w:asciiTheme="majorHAnsi" w:hAnsiTheme="majorHAnsi"/>
                <w:b/>
              </w:rPr>
              <w:t>$92,038</w:t>
            </w:r>
          </w:p>
        </w:tc>
      </w:tr>
    </w:tbl>
    <w:p w14:paraId="5DBBEA27" w14:textId="77777777" w:rsidR="009005A4" w:rsidRDefault="009005A4" w:rsidP="009005A4">
      <w:pPr>
        <w:spacing w:after="0"/>
        <w:rPr>
          <w:rFonts w:asciiTheme="majorHAnsi" w:hAnsiTheme="majorHAnsi"/>
        </w:rPr>
      </w:pPr>
    </w:p>
    <w:p w14:paraId="61072F5E" w14:textId="26112E8A" w:rsidR="00CF280B" w:rsidRPr="009005A4" w:rsidRDefault="00D75750" w:rsidP="009005A4">
      <w:pPr>
        <w:pStyle w:val="ListParagraph"/>
        <w:numPr>
          <w:ilvl w:val="0"/>
          <w:numId w:val="2"/>
        </w:numPr>
        <w:spacing w:after="0"/>
        <w:rPr>
          <w:rFonts w:asciiTheme="majorHAnsi" w:hAnsiTheme="majorHAnsi"/>
          <w:b/>
        </w:rPr>
      </w:pPr>
      <w:r w:rsidRPr="009005A4">
        <w:rPr>
          <w:rFonts w:asciiTheme="majorHAnsi" w:hAnsiTheme="majorHAnsi"/>
          <w:b/>
          <w:bCs/>
        </w:rPr>
        <w:t>Explanation for Program Changes or Adjustments</w:t>
      </w:r>
    </w:p>
    <w:p w14:paraId="49667051" w14:textId="6BB11A83" w:rsidR="00F52BCC" w:rsidRPr="00CF280B" w:rsidRDefault="003C7C5D" w:rsidP="00CF280B">
      <w:pPr>
        <w:pStyle w:val="ListParagraph"/>
        <w:spacing w:after="0"/>
        <w:ind w:left="0"/>
        <w:rPr>
          <w:rFonts w:asciiTheme="majorHAnsi" w:hAnsiTheme="majorHAnsi"/>
          <w:b/>
        </w:rPr>
      </w:pPr>
      <w:r w:rsidRPr="00CF280B">
        <w:rPr>
          <w:rFonts w:asciiTheme="majorHAnsi" w:hAnsiTheme="majorHAnsi"/>
        </w:rPr>
        <w:t>This is a new data collection.</w:t>
      </w:r>
    </w:p>
    <w:p w14:paraId="10B8E0B1" w14:textId="77777777" w:rsidR="00A242FC" w:rsidRDefault="00A242FC">
      <w:pPr>
        <w:rPr>
          <w:rFonts w:asciiTheme="majorHAnsi" w:hAnsiTheme="majorHAnsi"/>
          <w:b/>
        </w:rPr>
      </w:pPr>
      <w:r>
        <w:rPr>
          <w:rFonts w:asciiTheme="majorHAnsi" w:hAnsiTheme="majorHAnsi"/>
          <w:b/>
        </w:rPr>
        <w:br w:type="page"/>
      </w:r>
    </w:p>
    <w:p w14:paraId="2330E095" w14:textId="16C4A349" w:rsidR="00CF280B" w:rsidRPr="009005A4" w:rsidRDefault="00616090" w:rsidP="009005A4">
      <w:pPr>
        <w:pStyle w:val="ListParagraph"/>
        <w:numPr>
          <w:ilvl w:val="0"/>
          <w:numId w:val="2"/>
        </w:numPr>
        <w:spacing w:after="0"/>
        <w:rPr>
          <w:rFonts w:asciiTheme="majorHAnsi" w:hAnsiTheme="majorHAnsi"/>
          <w:b/>
        </w:rPr>
      </w:pPr>
      <w:r w:rsidRPr="009005A4">
        <w:rPr>
          <w:rFonts w:asciiTheme="majorHAnsi" w:hAnsiTheme="majorHAnsi"/>
          <w:b/>
        </w:rPr>
        <w:t>Plan</w:t>
      </w:r>
      <w:r w:rsidR="00D75750" w:rsidRPr="009005A4">
        <w:rPr>
          <w:rFonts w:asciiTheme="majorHAnsi" w:hAnsiTheme="majorHAnsi"/>
          <w:b/>
        </w:rPr>
        <w:t>s</w:t>
      </w:r>
      <w:r w:rsidR="00D75750" w:rsidRPr="009005A4">
        <w:rPr>
          <w:rFonts w:asciiTheme="majorHAnsi" w:hAnsiTheme="majorHAnsi"/>
          <w:b/>
          <w:bCs/>
        </w:rPr>
        <w:t xml:space="preserve"> for Tabulation and Publication and Project Time Schedule</w:t>
      </w:r>
    </w:p>
    <w:p w14:paraId="13CCFF9C" w14:textId="09713A41" w:rsidR="00F80894" w:rsidRDefault="00AD3B8E" w:rsidP="00CF280B">
      <w:pPr>
        <w:spacing w:after="0"/>
        <w:rPr>
          <w:rFonts w:asciiTheme="majorHAnsi" w:hAnsiTheme="majorHAnsi" w:cs="Times New Roman"/>
        </w:rPr>
      </w:pPr>
      <w:r w:rsidRPr="00CF280B">
        <w:rPr>
          <w:rFonts w:asciiTheme="majorHAnsi" w:hAnsiTheme="majorHAnsi"/>
        </w:rPr>
        <w:t xml:space="preserve">NGWA will </w:t>
      </w:r>
      <w:r w:rsidR="0080587E" w:rsidRPr="00CF280B">
        <w:rPr>
          <w:rFonts w:asciiTheme="majorHAnsi" w:hAnsiTheme="majorHAnsi"/>
        </w:rPr>
        <w:t xml:space="preserve">produce a final report of </w:t>
      </w:r>
      <w:r w:rsidRPr="00CF280B">
        <w:rPr>
          <w:rFonts w:asciiTheme="majorHAnsi" w:hAnsiTheme="majorHAnsi"/>
        </w:rPr>
        <w:t xml:space="preserve">these deliverables with the goal of </w:t>
      </w:r>
      <w:r w:rsidR="00D5716F" w:rsidRPr="00CF280B">
        <w:rPr>
          <w:rFonts w:asciiTheme="majorHAnsi" w:hAnsiTheme="majorHAnsi"/>
        </w:rPr>
        <w:t>informing environmental health staff at state, local, and tribal environmental health and agricultural departments who are government employees and who conduct outreach to private well owners</w:t>
      </w:r>
      <w:r w:rsidR="00083B32" w:rsidRPr="00CF280B">
        <w:rPr>
          <w:rFonts w:asciiTheme="majorHAnsi" w:hAnsiTheme="majorHAnsi"/>
        </w:rPr>
        <w:t xml:space="preserve"> as they consider future outreach.  </w:t>
      </w:r>
      <w:r w:rsidR="00F80894" w:rsidRPr="00CF280B">
        <w:rPr>
          <w:rFonts w:asciiTheme="majorHAnsi" w:hAnsiTheme="majorHAnsi" w:cs="Times New Roman"/>
        </w:rPr>
        <w:t xml:space="preserve">The report will describe the reasons for conducting the program, background on the development of the data collection tool, the data collection process, how the responses were analyzed, the narrative responses and appropriate findings from those responses, an analysis of the data, how the findings inform the discussion on outreach to well owners, and suggested approaches for outreach to well owners. The narrative responses will provide details of </w:t>
      </w:r>
      <w:r w:rsidR="00083B32" w:rsidRPr="00CF280B">
        <w:rPr>
          <w:rFonts w:asciiTheme="majorHAnsi" w:hAnsiTheme="majorHAnsi" w:cs="Times New Roman"/>
        </w:rPr>
        <w:t>the</w:t>
      </w:r>
      <w:r w:rsidR="00AB4DC0">
        <w:rPr>
          <w:rFonts w:asciiTheme="majorHAnsi" w:hAnsiTheme="majorHAnsi" w:cs="Times New Roman"/>
        </w:rPr>
        <w:t xml:space="preserve"> respondents</w:t>
      </w:r>
      <w:r w:rsidR="00083B32" w:rsidRPr="00CF280B">
        <w:rPr>
          <w:rFonts w:asciiTheme="majorHAnsi" w:hAnsiTheme="majorHAnsi" w:cs="Times New Roman"/>
        </w:rPr>
        <w:t>’ past experiences in their outreach programs</w:t>
      </w:r>
      <w:r w:rsidR="00F80894" w:rsidRPr="00CF280B">
        <w:rPr>
          <w:rFonts w:asciiTheme="majorHAnsi" w:hAnsiTheme="majorHAnsi" w:cs="Times New Roman"/>
        </w:rPr>
        <w:t xml:space="preserve">, including lessons learned and what they would do differently if they were starting a new program. </w:t>
      </w:r>
    </w:p>
    <w:p w14:paraId="0BCCD346" w14:textId="77777777" w:rsidR="00CF280B" w:rsidRPr="00CF280B" w:rsidRDefault="00CF280B" w:rsidP="00CF280B">
      <w:pPr>
        <w:spacing w:after="0"/>
        <w:rPr>
          <w:rFonts w:asciiTheme="majorHAnsi" w:hAnsiTheme="majorHAnsi"/>
          <w:b/>
        </w:rPr>
      </w:pPr>
    </w:p>
    <w:p w14:paraId="6079C9C6" w14:textId="77777777" w:rsidR="00CF280B" w:rsidRDefault="0080587E" w:rsidP="00CF280B">
      <w:pPr>
        <w:pStyle w:val="ListParagraph"/>
        <w:spacing w:after="0"/>
        <w:ind w:left="0"/>
        <w:rPr>
          <w:rFonts w:asciiTheme="majorHAnsi" w:hAnsiTheme="majorHAnsi"/>
        </w:rPr>
      </w:pPr>
      <w:r w:rsidRPr="00C96DD1">
        <w:rPr>
          <w:rFonts w:asciiTheme="majorHAnsi" w:hAnsiTheme="majorHAnsi"/>
        </w:rPr>
        <w:t>T</w:t>
      </w:r>
      <w:r w:rsidR="00F80894" w:rsidRPr="00C96DD1">
        <w:rPr>
          <w:rFonts w:asciiTheme="majorHAnsi" w:hAnsiTheme="majorHAnsi"/>
        </w:rPr>
        <w:t xml:space="preserve">he report may be summarized in a paper to be submitted to a relevant peer reviewed journal.   </w:t>
      </w:r>
    </w:p>
    <w:p w14:paraId="6B0AC5F7" w14:textId="77777777" w:rsidR="00CF280B" w:rsidRDefault="00CF280B" w:rsidP="00CF280B">
      <w:pPr>
        <w:pStyle w:val="ListParagraph"/>
        <w:spacing w:after="0"/>
        <w:ind w:left="0"/>
        <w:rPr>
          <w:rFonts w:asciiTheme="majorHAnsi" w:hAnsiTheme="majorHAnsi"/>
        </w:rPr>
      </w:pPr>
    </w:p>
    <w:p w14:paraId="0900A416" w14:textId="2028BF11" w:rsidR="002E32AA" w:rsidRPr="002E32AA" w:rsidRDefault="001507DC" w:rsidP="002E32AA">
      <w:pPr>
        <w:pStyle w:val="ListParagraph"/>
        <w:spacing w:after="0"/>
        <w:ind w:left="0"/>
        <w:rPr>
          <w:rFonts w:asciiTheme="majorHAnsi" w:hAnsiTheme="majorHAnsi"/>
          <w:u w:val="single"/>
        </w:rPr>
      </w:pPr>
      <w:r w:rsidRPr="00C96DD1">
        <w:rPr>
          <w:rFonts w:asciiTheme="majorHAnsi" w:hAnsiTheme="majorHAnsi"/>
          <w:u w:val="single"/>
        </w:rPr>
        <w:t>Project Time Schedule</w:t>
      </w:r>
    </w:p>
    <w:tbl>
      <w:tblPr>
        <w:tblStyle w:val="TableGrid"/>
        <w:tblW w:w="0" w:type="auto"/>
        <w:tblLook w:val="04A0" w:firstRow="1" w:lastRow="0" w:firstColumn="1" w:lastColumn="0" w:noHBand="0" w:noVBand="1"/>
      </w:tblPr>
      <w:tblGrid>
        <w:gridCol w:w="4855"/>
        <w:gridCol w:w="4495"/>
      </w:tblGrid>
      <w:tr w:rsidR="00321018" w14:paraId="72F2483B" w14:textId="77777777" w:rsidTr="00FE35F8">
        <w:tc>
          <w:tcPr>
            <w:tcW w:w="4855" w:type="dxa"/>
            <w:tcBorders>
              <w:top w:val="single" w:sz="4" w:space="0" w:color="auto"/>
              <w:left w:val="single" w:sz="4" w:space="0" w:color="auto"/>
              <w:bottom w:val="single" w:sz="4" w:space="0" w:color="auto"/>
              <w:right w:val="single" w:sz="4" w:space="0" w:color="auto"/>
            </w:tcBorders>
            <w:hideMark/>
          </w:tcPr>
          <w:p w14:paraId="26487E02" w14:textId="77777777" w:rsidR="00321018" w:rsidRPr="00AB04D3" w:rsidRDefault="00321018" w:rsidP="00FE35F8">
            <w:pPr>
              <w:rPr>
                <w:rFonts w:ascii="Cambria" w:hAnsi="Cambria"/>
                <w:b/>
              </w:rPr>
            </w:pPr>
            <w:r w:rsidRPr="00AB04D3">
              <w:rPr>
                <w:rFonts w:ascii="Cambria" w:hAnsi="Cambria"/>
                <w:b/>
              </w:rPr>
              <w:t>Task</w:t>
            </w:r>
          </w:p>
        </w:tc>
        <w:tc>
          <w:tcPr>
            <w:tcW w:w="4495" w:type="dxa"/>
            <w:tcBorders>
              <w:top w:val="single" w:sz="4" w:space="0" w:color="auto"/>
              <w:left w:val="single" w:sz="4" w:space="0" w:color="auto"/>
              <w:bottom w:val="single" w:sz="4" w:space="0" w:color="auto"/>
              <w:right w:val="single" w:sz="4" w:space="0" w:color="auto"/>
            </w:tcBorders>
            <w:hideMark/>
          </w:tcPr>
          <w:p w14:paraId="4616C78D" w14:textId="77777777" w:rsidR="00321018" w:rsidRDefault="00321018" w:rsidP="00FE35F8">
            <w:pPr>
              <w:jc w:val="center"/>
              <w:rPr>
                <w:rFonts w:ascii="Cambria" w:hAnsi="Cambria"/>
                <w:b/>
              </w:rPr>
            </w:pPr>
            <w:r>
              <w:rPr>
                <w:rFonts w:ascii="Cambria" w:hAnsi="Cambria"/>
                <w:b/>
              </w:rPr>
              <w:t>Timeline</w:t>
            </w:r>
          </w:p>
        </w:tc>
      </w:tr>
      <w:tr w:rsidR="00321018" w14:paraId="3A7D0FAA" w14:textId="77777777" w:rsidTr="00FE35F8">
        <w:tc>
          <w:tcPr>
            <w:tcW w:w="4855" w:type="dxa"/>
            <w:tcBorders>
              <w:top w:val="single" w:sz="4" w:space="0" w:color="auto"/>
              <w:left w:val="single" w:sz="4" w:space="0" w:color="auto"/>
              <w:bottom w:val="single" w:sz="4" w:space="0" w:color="auto"/>
              <w:right w:val="single" w:sz="4" w:space="0" w:color="auto"/>
            </w:tcBorders>
            <w:hideMark/>
          </w:tcPr>
          <w:p w14:paraId="53CA01BC" w14:textId="77777777" w:rsidR="00321018" w:rsidRDefault="00321018" w:rsidP="00FE35F8">
            <w:pPr>
              <w:rPr>
                <w:rFonts w:ascii="Cambria" w:hAnsi="Cambria"/>
              </w:rPr>
            </w:pPr>
            <w:r>
              <w:rPr>
                <w:rFonts w:ascii="Cambria" w:hAnsi="Cambria"/>
              </w:rPr>
              <w:t>Obtain OMB Clearance for Information Collection (8 weeks)</w:t>
            </w:r>
          </w:p>
        </w:tc>
        <w:tc>
          <w:tcPr>
            <w:tcW w:w="4495" w:type="dxa"/>
            <w:tcBorders>
              <w:top w:val="single" w:sz="4" w:space="0" w:color="auto"/>
              <w:left w:val="single" w:sz="4" w:space="0" w:color="auto"/>
              <w:bottom w:val="single" w:sz="4" w:space="0" w:color="auto"/>
              <w:right w:val="single" w:sz="4" w:space="0" w:color="auto"/>
            </w:tcBorders>
          </w:tcPr>
          <w:p w14:paraId="07B15E58" w14:textId="77777777" w:rsidR="00321018" w:rsidRDefault="00321018" w:rsidP="00FE35F8">
            <w:pPr>
              <w:rPr>
                <w:rFonts w:ascii="Cambria" w:hAnsi="Cambria"/>
              </w:rPr>
            </w:pPr>
            <w:r>
              <w:rPr>
                <w:rFonts w:ascii="Cambria" w:hAnsi="Cambria"/>
              </w:rPr>
              <w:t>In Process</w:t>
            </w:r>
          </w:p>
        </w:tc>
      </w:tr>
      <w:tr w:rsidR="00321018" w14:paraId="5CB37BA8" w14:textId="77777777" w:rsidTr="00FE35F8">
        <w:tc>
          <w:tcPr>
            <w:tcW w:w="4855" w:type="dxa"/>
            <w:tcBorders>
              <w:top w:val="single" w:sz="4" w:space="0" w:color="auto"/>
              <w:left w:val="single" w:sz="4" w:space="0" w:color="auto"/>
              <w:bottom w:val="single" w:sz="4" w:space="0" w:color="auto"/>
              <w:right w:val="single" w:sz="4" w:space="0" w:color="auto"/>
            </w:tcBorders>
            <w:hideMark/>
          </w:tcPr>
          <w:p w14:paraId="6ACEC159" w14:textId="57D4803E" w:rsidR="00321018" w:rsidRDefault="00321018" w:rsidP="00ED169D">
            <w:pPr>
              <w:rPr>
                <w:rFonts w:ascii="Cambria" w:hAnsi="Cambria"/>
              </w:rPr>
            </w:pPr>
            <w:r>
              <w:rPr>
                <w:rFonts w:ascii="Cambria" w:hAnsi="Cambria"/>
              </w:rPr>
              <w:t xml:space="preserve">Develop List of Programs to </w:t>
            </w:r>
            <w:r w:rsidR="00ED169D">
              <w:rPr>
                <w:rFonts w:ascii="Cambria" w:hAnsi="Cambria"/>
              </w:rPr>
              <w:t>C</w:t>
            </w:r>
            <w:r>
              <w:rPr>
                <w:rFonts w:ascii="Cambria" w:hAnsi="Cambria"/>
              </w:rPr>
              <w:t>ontact</w:t>
            </w:r>
          </w:p>
        </w:tc>
        <w:tc>
          <w:tcPr>
            <w:tcW w:w="4495" w:type="dxa"/>
            <w:tcBorders>
              <w:top w:val="single" w:sz="4" w:space="0" w:color="auto"/>
              <w:left w:val="single" w:sz="4" w:space="0" w:color="auto"/>
              <w:bottom w:val="single" w:sz="4" w:space="0" w:color="auto"/>
              <w:right w:val="single" w:sz="4" w:space="0" w:color="auto"/>
            </w:tcBorders>
          </w:tcPr>
          <w:p w14:paraId="18DC764F" w14:textId="77777777" w:rsidR="00321018" w:rsidRDefault="00321018" w:rsidP="00FE35F8">
            <w:pPr>
              <w:rPr>
                <w:rFonts w:ascii="Cambria" w:hAnsi="Cambria"/>
              </w:rPr>
            </w:pPr>
            <w:r>
              <w:rPr>
                <w:rFonts w:ascii="Cambria" w:hAnsi="Cambria"/>
              </w:rPr>
              <w:t>Within 3 weeks after receiving OMB approval</w:t>
            </w:r>
          </w:p>
        </w:tc>
      </w:tr>
      <w:tr w:rsidR="00321018" w14:paraId="21A9E147" w14:textId="77777777" w:rsidTr="00FE35F8">
        <w:tc>
          <w:tcPr>
            <w:tcW w:w="4855" w:type="dxa"/>
            <w:tcBorders>
              <w:top w:val="single" w:sz="4" w:space="0" w:color="auto"/>
              <w:left w:val="single" w:sz="4" w:space="0" w:color="auto"/>
              <w:bottom w:val="single" w:sz="4" w:space="0" w:color="auto"/>
              <w:right w:val="single" w:sz="4" w:space="0" w:color="auto"/>
            </w:tcBorders>
            <w:hideMark/>
          </w:tcPr>
          <w:p w14:paraId="6C9BB664" w14:textId="0E489FF2" w:rsidR="00321018" w:rsidRDefault="00321018" w:rsidP="00ED169D">
            <w:pPr>
              <w:rPr>
                <w:rFonts w:ascii="Cambria" w:hAnsi="Cambria"/>
              </w:rPr>
            </w:pPr>
            <w:r>
              <w:rPr>
                <w:rFonts w:ascii="Cambria" w:hAnsi="Cambria"/>
              </w:rPr>
              <w:t>Call or Visit Program Managers to Gather Information</w:t>
            </w:r>
          </w:p>
        </w:tc>
        <w:tc>
          <w:tcPr>
            <w:tcW w:w="4495" w:type="dxa"/>
            <w:tcBorders>
              <w:top w:val="single" w:sz="4" w:space="0" w:color="auto"/>
              <w:left w:val="single" w:sz="4" w:space="0" w:color="auto"/>
              <w:bottom w:val="single" w:sz="4" w:space="0" w:color="auto"/>
              <w:right w:val="single" w:sz="4" w:space="0" w:color="auto"/>
            </w:tcBorders>
          </w:tcPr>
          <w:p w14:paraId="2CB11CC8" w14:textId="337D739A" w:rsidR="00321018" w:rsidRDefault="007D6CE2" w:rsidP="00FE35F8">
            <w:pPr>
              <w:rPr>
                <w:rFonts w:ascii="Cambria" w:hAnsi="Cambria"/>
              </w:rPr>
            </w:pPr>
            <w:r>
              <w:rPr>
                <w:rFonts w:ascii="Cambria" w:hAnsi="Cambria"/>
              </w:rPr>
              <w:t>Within 6</w:t>
            </w:r>
            <w:r w:rsidR="00321018">
              <w:rPr>
                <w:rFonts w:ascii="Cambria" w:hAnsi="Cambria"/>
              </w:rPr>
              <w:t xml:space="preserve"> weeks after program list developed</w:t>
            </w:r>
          </w:p>
        </w:tc>
      </w:tr>
      <w:tr w:rsidR="00321018" w14:paraId="7DBD3D00" w14:textId="77777777" w:rsidTr="00FE35F8">
        <w:tc>
          <w:tcPr>
            <w:tcW w:w="4855" w:type="dxa"/>
            <w:tcBorders>
              <w:top w:val="single" w:sz="4" w:space="0" w:color="auto"/>
              <w:left w:val="single" w:sz="4" w:space="0" w:color="auto"/>
              <w:bottom w:val="single" w:sz="4" w:space="0" w:color="auto"/>
              <w:right w:val="single" w:sz="4" w:space="0" w:color="auto"/>
            </w:tcBorders>
            <w:hideMark/>
          </w:tcPr>
          <w:p w14:paraId="0D341240" w14:textId="77777777" w:rsidR="00321018" w:rsidRDefault="00321018" w:rsidP="00FE35F8">
            <w:pPr>
              <w:rPr>
                <w:rFonts w:ascii="Cambria" w:hAnsi="Cambria"/>
              </w:rPr>
            </w:pPr>
            <w:r>
              <w:rPr>
                <w:rFonts w:ascii="Cambria" w:hAnsi="Cambria"/>
              </w:rPr>
              <w:t>Input Information into Project Database</w:t>
            </w:r>
          </w:p>
        </w:tc>
        <w:tc>
          <w:tcPr>
            <w:tcW w:w="4495" w:type="dxa"/>
            <w:tcBorders>
              <w:top w:val="single" w:sz="4" w:space="0" w:color="auto"/>
              <w:left w:val="single" w:sz="4" w:space="0" w:color="auto"/>
              <w:bottom w:val="single" w:sz="4" w:space="0" w:color="auto"/>
              <w:right w:val="single" w:sz="4" w:space="0" w:color="auto"/>
            </w:tcBorders>
          </w:tcPr>
          <w:p w14:paraId="21ACD03B" w14:textId="77777777" w:rsidR="00321018" w:rsidRDefault="00321018" w:rsidP="00FE35F8">
            <w:pPr>
              <w:rPr>
                <w:rFonts w:ascii="Cambria" w:hAnsi="Cambria"/>
              </w:rPr>
            </w:pPr>
            <w:r>
              <w:rPr>
                <w:rFonts w:ascii="Cambria" w:hAnsi="Cambria"/>
              </w:rPr>
              <w:t xml:space="preserve">Within 1 week after information gathering is completed </w:t>
            </w:r>
          </w:p>
        </w:tc>
      </w:tr>
      <w:tr w:rsidR="00321018" w14:paraId="7E953647" w14:textId="77777777" w:rsidTr="00FE35F8">
        <w:tc>
          <w:tcPr>
            <w:tcW w:w="4855" w:type="dxa"/>
            <w:tcBorders>
              <w:top w:val="single" w:sz="4" w:space="0" w:color="auto"/>
              <w:left w:val="single" w:sz="4" w:space="0" w:color="auto"/>
              <w:bottom w:val="single" w:sz="4" w:space="0" w:color="auto"/>
              <w:right w:val="single" w:sz="4" w:space="0" w:color="auto"/>
            </w:tcBorders>
            <w:hideMark/>
          </w:tcPr>
          <w:p w14:paraId="5FDA1379" w14:textId="77777777" w:rsidR="00321018" w:rsidRDefault="00321018" w:rsidP="00FE35F8">
            <w:pPr>
              <w:rPr>
                <w:rFonts w:ascii="Cambria" w:hAnsi="Cambria"/>
              </w:rPr>
            </w:pPr>
            <w:r>
              <w:rPr>
                <w:rFonts w:ascii="Cambria" w:hAnsi="Cambria"/>
              </w:rPr>
              <w:t>Progress Reports to Sponsor</w:t>
            </w:r>
          </w:p>
        </w:tc>
        <w:tc>
          <w:tcPr>
            <w:tcW w:w="4495" w:type="dxa"/>
            <w:tcBorders>
              <w:top w:val="single" w:sz="4" w:space="0" w:color="auto"/>
              <w:left w:val="single" w:sz="4" w:space="0" w:color="auto"/>
              <w:bottom w:val="single" w:sz="4" w:space="0" w:color="auto"/>
              <w:right w:val="single" w:sz="4" w:space="0" w:color="auto"/>
            </w:tcBorders>
          </w:tcPr>
          <w:p w14:paraId="4C29E724" w14:textId="77777777" w:rsidR="00321018" w:rsidRDefault="00321018" w:rsidP="00FE35F8">
            <w:pPr>
              <w:rPr>
                <w:rFonts w:ascii="Cambria" w:hAnsi="Cambria"/>
              </w:rPr>
            </w:pPr>
            <w:r>
              <w:rPr>
                <w:rFonts w:ascii="Cambria" w:hAnsi="Cambria"/>
              </w:rPr>
              <w:t>1 and 3 weeks into information gathering</w:t>
            </w:r>
          </w:p>
        </w:tc>
      </w:tr>
      <w:tr w:rsidR="00321018" w14:paraId="08BA3685" w14:textId="77777777" w:rsidTr="00FE35F8">
        <w:tc>
          <w:tcPr>
            <w:tcW w:w="4855" w:type="dxa"/>
            <w:tcBorders>
              <w:top w:val="single" w:sz="4" w:space="0" w:color="auto"/>
              <w:left w:val="single" w:sz="4" w:space="0" w:color="auto"/>
              <w:bottom w:val="single" w:sz="4" w:space="0" w:color="auto"/>
              <w:right w:val="single" w:sz="4" w:space="0" w:color="auto"/>
            </w:tcBorders>
            <w:hideMark/>
          </w:tcPr>
          <w:p w14:paraId="3D5038B4" w14:textId="77777777" w:rsidR="00321018" w:rsidRDefault="00321018" w:rsidP="00FE35F8">
            <w:pPr>
              <w:rPr>
                <w:rFonts w:ascii="Cambria" w:hAnsi="Cambria"/>
              </w:rPr>
            </w:pPr>
            <w:r>
              <w:rPr>
                <w:rFonts w:ascii="Cambria" w:hAnsi="Cambria"/>
              </w:rPr>
              <w:t>Provide Information Collection to OSU Evaluators for Assessment</w:t>
            </w:r>
          </w:p>
        </w:tc>
        <w:tc>
          <w:tcPr>
            <w:tcW w:w="4495" w:type="dxa"/>
            <w:tcBorders>
              <w:top w:val="single" w:sz="4" w:space="0" w:color="auto"/>
              <w:left w:val="single" w:sz="4" w:space="0" w:color="auto"/>
              <w:bottom w:val="single" w:sz="4" w:space="0" w:color="auto"/>
              <w:right w:val="single" w:sz="4" w:space="0" w:color="auto"/>
            </w:tcBorders>
          </w:tcPr>
          <w:p w14:paraId="499C356B" w14:textId="77777777" w:rsidR="00321018" w:rsidRDefault="00321018" w:rsidP="00FE35F8">
            <w:pPr>
              <w:rPr>
                <w:rFonts w:ascii="Cambria" w:hAnsi="Cambria"/>
              </w:rPr>
            </w:pPr>
            <w:r>
              <w:rPr>
                <w:rFonts w:ascii="Cambria" w:hAnsi="Cambria"/>
              </w:rPr>
              <w:t>Within 1 week after information gathering is completed</w:t>
            </w:r>
          </w:p>
        </w:tc>
      </w:tr>
      <w:tr w:rsidR="00321018" w14:paraId="208AC10D" w14:textId="77777777" w:rsidTr="00FE35F8">
        <w:tc>
          <w:tcPr>
            <w:tcW w:w="4855" w:type="dxa"/>
            <w:tcBorders>
              <w:top w:val="single" w:sz="4" w:space="0" w:color="auto"/>
              <w:left w:val="single" w:sz="4" w:space="0" w:color="auto"/>
              <w:bottom w:val="single" w:sz="4" w:space="0" w:color="auto"/>
              <w:right w:val="single" w:sz="4" w:space="0" w:color="auto"/>
            </w:tcBorders>
            <w:hideMark/>
          </w:tcPr>
          <w:p w14:paraId="6ACA4E53" w14:textId="77777777" w:rsidR="00321018" w:rsidRDefault="00321018" w:rsidP="00FE35F8">
            <w:pPr>
              <w:rPr>
                <w:rFonts w:ascii="Cambria" w:hAnsi="Cambria"/>
              </w:rPr>
            </w:pPr>
            <w:r>
              <w:rPr>
                <w:rFonts w:ascii="Cambria" w:hAnsi="Cambria"/>
              </w:rPr>
              <w:t>Write Report Deliverables</w:t>
            </w:r>
          </w:p>
        </w:tc>
        <w:tc>
          <w:tcPr>
            <w:tcW w:w="4495" w:type="dxa"/>
            <w:tcBorders>
              <w:top w:val="single" w:sz="4" w:space="0" w:color="auto"/>
              <w:left w:val="single" w:sz="4" w:space="0" w:color="auto"/>
              <w:bottom w:val="single" w:sz="4" w:space="0" w:color="auto"/>
              <w:right w:val="single" w:sz="4" w:space="0" w:color="auto"/>
            </w:tcBorders>
          </w:tcPr>
          <w:p w14:paraId="6E2BC754" w14:textId="77777777" w:rsidR="00321018" w:rsidRDefault="00321018" w:rsidP="00FE35F8">
            <w:pPr>
              <w:rPr>
                <w:rFonts w:ascii="Cambria" w:hAnsi="Cambria"/>
              </w:rPr>
            </w:pPr>
            <w:r>
              <w:rPr>
                <w:rFonts w:ascii="Cambria" w:hAnsi="Cambria"/>
              </w:rPr>
              <w:t>Final quarter of contract period</w:t>
            </w:r>
          </w:p>
        </w:tc>
      </w:tr>
    </w:tbl>
    <w:p w14:paraId="27B12304" w14:textId="77777777" w:rsidR="002E32AA" w:rsidRPr="00810408" w:rsidRDefault="002E32AA" w:rsidP="002E32AA">
      <w:pPr>
        <w:spacing w:after="0" w:line="240" w:lineRule="auto"/>
        <w:rPr>
          <w:rFonts w:ascii="Cambria" w:hAnsi="Cambria"/>
          <w:sz w:val="24"/>
          <w:szCs w:val="24"/>
        </w:rPr>
      </w:pPr>
    </w:p>
    <w:p w14:paraId="21CE43BC" w14:textId="213E87E6" w:rsidR="001507DC" w:rsidRPr="00C96DD1" w:rsidRDefault="001507DC" w:rsidP="001507DC">
      <w:pPr>
        <w:pStyle w:val="Heading4"/>
      </w:pPr>
    </w:p>
    <w:p w14:paraId="5D8F0D2C" w14:textId="41DD40CB" w:rsidR="00B12F51" w:rsidRPr="009005A4" w:rsidRDefault="00D75750" w:rsidP="009005A4">
      <w:pPr>
        <w:pStyle w:val="ListParagraph"/>
        <w:numPr>
          <w:ilvl w:val="0"/>
          <w:numId w:val="2"/>
        </w:numPr>
        <w:spacing w:after="0"/>
        <w:rPr>
          <w:rFonts w:asciiTheme="majorHAnsi" w:hAnsiTheme="majorHAnsi"/>
          <w:b/>
        </w:rPr>
      </w:pPr>
      <w:r w:rsidRPr="009005A4">
        <w:rPr>
          <w:rFonts w:asciiTheme="majorHAnsi" w:hAnsiTheme="majorHAnsi"/>
          <w:b/>
          <w:bCs/>
        </w:rPr>
        <w:t xml:space="preserve">Reason(s) Display of OMB Expiration </w:t>
      </w:r>
      <w:r w:rsidRPr="009005A4">
        <w:rPr>
          <w:rFonts w:asciiTheme="majorHAnsi" w:hAnsiTheme="majorHAnsi"/>
          <w:b/>
        </w:rPr>
        <w:t xml:space="preserve">Date </w:t>
      </w:r>
      <w:r w:rsidRPr="009005A4">
        <w:rPr>
          <w:rFonts w:asciiTheme="majorHAnsi" w:hAnsiTheme="majorHAnsi"/>
          <w:b/>
          <w:bCs/>
        </w:rPr>
        <w:t>is Inappropriate</w:t>
      </w:r>
    </w:p>
    <w:p w14:paraId="53F93B15" w14:textId="77777777" w:rsidR="00F52BCC" w:rsidRPr="009D2E57" w:rsidRDefault="00180D45" w:rsidP="009D2E57">
      <w:pPr>
        <w:spacing w:after="0"/>
        <w:rPr>
          <w:rFonts w:asciiTheme="majorHAnsi" w:hAnsiTheme="majorHAnsi"/>
        </w:rPr>
      </w:pPr>
      <w:r w:rsidRPr="009D2E57">
        <w:rPr>
          <w:rFonts w:asciiTheme="majorHAnsi" w:hAnsiTheme="majorHAnsi"/>
        </w:rPr>
        <w:t>We are requesting no exemption.</w:t>
      </w:r>
    </w:p>
    <w:p w14:paraId="1B5C81BA" w14:textId="77777777" w:rsidR="00F52BCC" w:rsidRPr="00C96DD1" w:rsidRDefault="00F52BCC" w:rsidP="00697161">
      <w:pPr>
        <w:pStyle w:val="ListParagraph"/>
        <w:spacing w:after="0"/>
        <w:ind w:left="270"/>
        <w:rPr>
          <w:rFonts w:asciiTheme="majorHAnsi" w:hAnsiTheme="majorHAnsi"/>
        </w:rPr>
      </w:pPr>
    </w:p>
    <w:p w14:paraId="46E98207" w14:textId="532264C2" w:rsidR="00B12F51" w:rsidRPr="009D2E57" w:rsidRDefault="00B12F51" w:rsidP="009D2E57">
      <w:pPr>
        <w:pStyle w:val="ListParagraph"/>
        <w:numPr>
          <w:ilvl w:val="0"/>
          <w:numId w:val="2"/>
        </w:numPr>
        <w:spacing w:after="0"/>
        <w:rPr>
          <w:rFonts w:asciiTheme="majorHAnsi" w:hAnsiTheme="majorHAnsi"/>
          <w:b/>
        </w:rPr>
      </w:pPr>
      <w:r w:rsidRPr="009D2E57">
        <w:rPr>
          <w:rFonts w:asciiTheme="majorHAnsi" w:hAnsiTheme="majorHAnsi"/>
          <w:b/>
        </w:rPr>
        <w:t>Exceptions to Certification for Paperwork Reduction Act Submissions</w:t>
      </w:r>
    </w:p>
    <w:p w14:paraId="072E2EFF" w14:textId="77777777" w:rsidR="00F52BCC" w:rsidRPr="00C96DD1" w:rsidRDefault="0031279F" w:rsidP="0089725D">
      <w:pPr>
        <w:pStyle w:val="ListParagraph"/>
        <w:spacing w:after="0"/>
        <w:ind w:left="0"/>
        <w:rPr>
          <w:rFonts w:asciiTheme="majorHAnsi" w:hAnsiTheme="majorHAnsi"/>
        </w:rPr>
      </w:pPr>
      <w:r w:rsidRPr="00C96DD1">
        <w:rPr>
          <w:rFonts w:asciiTheme="majorHAnsi" w:hAnsiTheme="majorHAnsi"/>
        </w:rPr>
        <w:t>There are no exceptions to the certification.</w:t>
      </w:r>
      <w:r w:rsidR="00180D45" w:rsidRPr="00C96DD1">
        <w:rPr>
          <w:rFonts w:asciiTheme="majorHAnsi" w:hAnsiTheme="majorHAnsi"/>
        </w:rPr>
        <w:t xml:space="preserve">  These activities comply with the requirements in 5 CFR 1320.9.</w:t>
      </w:r>
    </w:p>
    <w:p w14:paraId="11CDA80F" w14:textId="77777777" w:rsidR="00DB4040" w:rsidRPr="00C96DD1" w:rsidRDefault="00DB4040" w:rsidP="00F52BCC">
      <w:pPr>
        <w:pStyle w:val="ListParagraph"/>
        <w:spacing w:after="0"/>
        <w:rPr>
          <w:rFonts w:asciiTheme="majorHAnsi" w:hAnsiTheme="majorHAnsi"/>
        </w:rPr>
      </w:pPr>
    </w:p>
    <w:p w14:paraId="1FB1CD87" w14:textId="77777777" w:rsidR="00ED169D" w:rsidRDefault="00ED169D">
      <w:pPr>
        <w:rPr>
          <w:rFonts w:asciiTheme="majorHAnsi" w:hAnsiTheme="majorHAnsi"/>
          <w:b/>
          <w:sz w:val="28"/>
          <w:szCs w:val="28"/>
        </w:rPr>
      </w:pPr>
      <w:r>
        <w:rPr>
          <w:rFonts w:asciiTheme="majorHAnsi" w:hAnsiTheme="majorHAnsi"/>
          <w:b/>
          <w:sz w:val="28"/>
          <w:szCs w:val="28"/>
        </w:rPr>
        <w:br w:type="page"/>
      </w:r>
    </w:p>
    <w:p w14:paraId="69039835" w14:textId="244C56FC" w:rsidR="005A25FD" w:rsidRPr="00C96DD1" w:rsidRDefault="005A25FD" w:rsidP="005A25FD">
      <w:pPr>
        <w:rPr>
          <w:rFonts w:asciiTheme="majorHAnsi" w:hAnsiTheme="majorHAnsi"/>
          <w:b/>
          <w:sz w:val="28"/>
          <w:szCs w:val="28"/>
        </w:rPr>
      </w:pPr>
      <w:r w:rsidRPr="00C96DD1">
        <w:rPr>
          <w:rFonts w:asciiTheme="majorHAnsi" w:hAnsiTheme="majorHAnsi"/>
          <w:b/>
          <w:sz w:val="28"/>
          <w:szCs w:val="28"/>
        </w:rPr>
        <w:t>LIST OF ATTACHMENTS – Section A</w:t>
      </w:r>
    </w:p>
    <w:p w14:paraId="52AB0DB9" w14:textId="0F5160AE" w:rsidR="00590B9C" w:rsidRPr="005A134C" w:rsidRDefault="0063675F" w:rsidP="00E21FBF">
      <w:pPr>
        <w:pStyle w:val="ListParagraph"/>
        <w:numPr>
          <w:ilvl w:val="0"/>
          <w:numId w:val="40"/>
        </w:numPr>
        <w:spacing w:line="360" w:lineRule="auto"/>
        <w:rPr>
          <w:rFonts w:asciiTheme="majorHAnsi" w:hAnsiTheme="majorHAnsi"/>
          <w:b/>
        </w:rPr>
      </w:pPr>
      <w:r w:rsidRPr="00ED169D">
        <w:rPr>
          <w:rFonts w:asciiTheme="majorHAnsi" w:eastAsia="Calibri" w:hAnsiTheme="majorHAnsi"/>
          <w:b/>
        </w:rPr>
        <w:t>University of Illinois’ Onl</w:t>
      </w:r>
      <w:r w:rsidR="00590B9C" w:rsidRPr="00ED169D">
        <w:rPr>
          <w:rFonts w:asciiTheme="majorHAnsi" w:eastAsia="Calibri" w:hAnsiTheme="majorHAnsi"/>
          <w:b/>
        </w:rPr>
        <w:t xml:space="preserve">ine </w:t>
      </w:r>
      <w:r w:rsidR="00ED169D">
        <w:rPr>
          <w:rFonts w:asciiTheme="majorHAnsi" w:eastAsia="Calibri" w:hAnsiTheme="majorHAnsi"/>
          <w:b/>
        </w:rPr>
        <w:t>Assessment Results</w:t>
      </w:r>
      <w:r w:rsidR="005A134C">
        <w:rPr>
          <w:rFonts w:asciiTheme="majorHAnsi" w:eastAsia="Calibri" w:hAnsiTheme="majorHAnsi"/>
          <w:b/>
        </w:rPr>
        <w:t xml:space="preserve"> Table</w:t>
      </w:r>
    </w:p>
    <w:p w14:paraId="1FB2822F" w14:textId="0FABD0F6" w:rsidR="005A134C" w:rsidRPr="00ED169D" w:rsidRDefault="005A134C" w:rsidP="00E21FBF">
      <w:pPr>
        <w:pStyle w:val="ListParagraph"/>
        <w:numPr>
          <w:ilvl w:val="0"/>
          <w:numId w:val="40"/>
        </w:numPr>
        <w:spacing w:line="360" w:lineRule="auto"/>
        <w:rPr>
          <w:rFonts w:asciiTheme="majorHAnsi" w:hAnsiTheme="majorHAnsi"/>
          <w:b/>
        </w:rPr>
      </w:pPr>
      <w:r>
        <w:rPr>
          <w:rFonts w:asciiTheme="majorHAnsi" w:hAnsiTheme="majorHAnsi"/>
          <w:b/>
        </w:rPr>
        <w:t>University of Illinois’ Online Assessment Results</w:t>
      </w:r>
      <w:r w:rsidRPr="005A134C">
        <w:rPr>
          <w:rFonts w:asciiTheme="majorHAnsi" w:hAnsiTheme="majorHAnsi"/>
          <w:b/>
        </w:rPr>
        <w:t xml:space="preserve"> </w:t>
      </w:r>
      <w:r>
        <w:rPr>
          <w:rFonts w:asciiTheme="majorHAnsi" w:hAnsiTheme="majorHAnsi"/>
          <w:b/>
        </w:rPr>
        <w:t>PowerPoint Presentation</w:t>
      </w:r>
    </w:p>
    <w:p w14:paraId="3F1649E6" w14:textId="11C17FA6" w:rsidR="002D0DCF" w:rsidRPr="00ED169D" w:rsidRDefault="002D0DCF" w:rsidP="00ED169D">
      <w:pPr>
        <w:pStyle w:val="ListParagraph"/>
        <w:numPr>
          <w:ilvl w:val="0"/>
          <w:numId w:val="40"/>
        </w:numPr>
        <w:spacing w:line="360" w:lineRule="auto"/>
        <w:rPr>
          <w:rFonts w:asciiTheme="majorHAnsi" w:hAnsiTheme="majorHAnsi"/>
          <w:b/>
        </w:rPr>
      </w:pPr>
      <w:r w:rsidRPr="00ED169D">
        <w:rPr>
          <w:rFonts w:asciiTheme="majorHAnsi" w:hAnsiTheme="majorHAnsi"/>
          <w:b/>
        </w:rPr>
        <w:t>Data Collection Instrument</w:t>
      </w:r>
    </w:p>
    <w:p w14:paraId="19B4FC80" w14:textId="715EF3C0" w:rsidR="00DB4040" w:rsidRPr="00ED169D" w:rsidRDefault="00DB4040" w:rsidP="00455F2C">
      <w:pPr>
        <w:rPr>
          <w:rFonts w:asciiTheme="majorHAnsi" w:hAnsiTheme="majorHAnsi"/>
          <w:b/>
          <w:sz w:val="28"/>
          <w:szCs w:val="28"/>
        </w:rPr>
      </w:pPr>
      <w:r w:rsidRPr="00ED169D">
        <w:rPr>
          <w:rFonts w:asciiTheme="majorHAnsi" w:hAnsiTheme="majorHAnsi"/>
          <w:b/>
          <w:sz w:val="28"/>
          <w:szCs w:val="28"/>
        </w:rPr>
        <w:t>REFERENCES</w:t>
      </w:r>
    </w:p>
    <w:p w14:paraId="4F47850E" w14:textId="77777777" w:rsidR="00636732" w:rsidRPr="00C96DD1" w:rsidRDefault="00636732" w:rsidP="00ED169D">
      <w:pPr>
        <w:numPr>
          <w:ilvl w:val="0"/>
          <w:numId w:val="24"/>
        </w:numPr>
        <w:shd w:val="clear" w:color="auto" w:fill="FFFFFF"/>
        <w:spacing w:after="0"/>
        <w:contextualSpacing/>
        <w:rPr>
          <w:rFonts w:asciiTheme="majorHAnsi" w:hAnsiTheme="majorHAnsi"/>
        </w:rPr>
      </w:pPr>
      <w:r w:rsidRPr="00C96DD1">
        <w:rPr>
          <w:rFonts w:asciiTheme="majorHAnsi" w:hAnsiTheme="majorHAnsi"/>
        </w:rPr>
        <w:t xml:space="preserve">Kelly, W. R and S. D. Wilson 2008. </w:t>
      </w:r>
      <w:r w:rsidRPr="00C96DD1">
        <w:rPr>
          <w:rFonts w:asciiTheme="majorHAnsi" w:hAnsiTheme="majorHAnsi"/>
          <w:i/>
        </w:rPr>
        <w:t>An evaluation of Temporal Changes in Shallow Groundwater Quality in Northeastern Illinois Using Historical Data</w:t>
      </w:r>
      <w:r w:rsidRPr="00C96DD1">
        <w:rPr>
          <w:rFonts w:asciiTheme="majorHAnsi" w:hAnsiTheme="majorHAnsi"/>
        </w:rPr>
        <w:t>. Illinois State Water Survey, Champaign, IL, ISWS SR 2008-01.</w:t>
      </w:r>
    </w:p>
    <w:p w14:paraId="05C839AA" w14:textId="52B27CAF" w:rsidR="00636732" w:rsidRPr="00C96DD1" w:rsidRDefault="00636732" w:rsidP="00ED169D">
      <w:pPr>
        <w:pStyle w:val="ListParagraph"/>
        <w:numPr>
          <w:ilvl w:val="0"/>
          <w:numId w:val="24"/>
        </w:numPr>
        <w:tabs>
          <w:tab w:val="left" w:pos="900"/>
        </w:tabs>
        <w:spacing w:after="0"/>
        <w:rPr>
          <w:rFonts w:asciiTheme="majorHAnsi" w:hAnsiTheme="majorHAnsi"/>
        </w:rPr>
      </w:pPr>
      <w:r w:rsidRPr="00C96DD1">
        <w:rPr>
          <w:rFonts w:asciiTheme="majorHAnsi" w:hAnsiTheme="majorHAnsi"/>
        </w:rPr>
        <w:t xml:space="preserve">Schock, S.C., E. Mehnert, M.E. Caughey, G.B. Dreher, W.S. Dey, S.D. Wilson, C. Ray, S.J. Chou, J. Valkenburg, J.M. Gosar, J.R. </w:t>
      </w:r>
      <w:proofErr w:type="spellStart"/>
      <w:r w:rsidRPr="00C96DD1">
        <w:rPr>
          <w:rFonts w:asciiTheme="majorHAnsi" w:hAnsiTheme="majorHAnsi"/>
        </w:rPr>
        <w:t>Karny</w:t>
      </w:r>
      <w:bookmarkStart w:id="0" w:name="_GoBack"/>
      <w:bookmarkEnd w:id="0"/>
      <w:proofErr w:type="spellEnd"/>
      <w:r w:rsidRPr="00C96DD1">
        <w:rPr>
          <w:rFonts w:asciiTheme="majorHAnsi" w:hAnsiTheme="majorHAnsi"/>
        </w:rPr>
        <w:t xml:space="preserve">, M.L. Barnhart, W.F. Black, M.R. Brown, and V.J. Garcia, 1992, </w:t>
      </w:r>
      <w:r w:rsidRPr="00C96DD1">
        <w:rPr>
          <w:rFonts w:asciiTheme="majorHAnsi" w:hAnsiTheme="majorHAnsi"/>
          <w:i/>
        </w:rPr>
        <w:t>Pilot Study: Agricultural Chemicals in Rural, Private Wells in Illinois</w:t>
      </w:r>
      <w:r w:rsidRPr="00C96DD1">
        <w:rPr>
          <w:rFonts w:asciiTheme="majorHAnsi" w:hAnsiTheme="majorHAnsi"/>
        </w:rPr>
        <w:t>, Illinois State Water Survey and Illinois State Geological Survey, Champaign, IL, Cooperative Groundwater Report 14</w:t>
      </w:r>
      <w:r w:rsidR="006913F1">
        <w:rPr>
          <w:rFonts w:asciiTheme="majorHAnsi" w:hAnsiTheme="majorHAnsi"/>
        </w:rPr>
        <w:t>.</w:t>
      </w:r>
    </w:p>
    <w:p w14:paraId="6D58DE7C" w14:textId="77777777" w:rsidR="00636732" w:rsidRPr="00C96DD1" w:rsidRDefault="00636732" w:rsidP="00ED169D">
      <w:pPr>
        <w:pStyle w:val="ListParagraph"/>
        <w:numPr>
          <w:ilvl w:val="0"/>
          <w:numId w:val="24"/>
        </w:numPr>
        <w:tabs>
          <w:tab w:val="left" w:pos="900"/>
        </w:tabs>
        <w:spacing w:after="0"/>
        <w:ind w:right="600"/>
        <w:rPr>
          <w:rFonts w:asciiTheme="majorHAnsi" w:hAnsiTheme="majorHAnsi"/>
        </w:rPr>
      </w:pPr>
      <w:r w:rsidRPr="00C96DD1">
        <w:rPr>
          <w:rFonts w:asciiTheme="majorHAnsi" w:hAnsiTheme="majorHAnsi"/>
        </w:rPr>
        <w:t xml:space="preserve">Wilson, S.D., K.J. </w:t>
      </w:r>
      <w:proofErr w:type="spellStart"/>
      <w:r w:rsidRPr="00C96DD1">
        <w:rPr>
          <w:rFonts w:asciiTheme="majorHAnsi" w:hAnsiTheme="majorHAnsi"/>
        </w:rPr>
        <w:t>Hlinka</w:t>
      </w:r>
      <w:proofErr w:type="spellEnd"/>
      <w:r w:rsidRPr="00C96DD1">
        <w:rPr>
          <w:rFonts w:asciiTheme="majorHAnsi" w:hAnsiTheme="majorHAnsi"/>
        </w:rPr>
        <w:t xml:space="preserve">, J.M. Shafer, J.R. </w:t>
      </w:r>
      <w:proofErr w:type="spellStart"/>
      <w:r w:rsidRPr="00C96DD1">
        <w:rPr>
          <w:rFonts w:asciiTheme="majorHAnsi" w:hAnsiTheme="majorHAnsi"/>
        </w:rPr>
        <w:t>Karny</w:t>
      </w:r>
      <w:proofErr w:type="spellEnd"/>
      <w:r w:rsidRPr="00C96DD1">
        <w:rPr>
          <w:rFonts w:asciiTheme="majorHAnsi" w:hAnsiTheme="majorHAnsi"/>
        </w:rPr>
        <w:t xml:space="preserve">, and K.A. </w:t>
      </w:r>
      <w:proofErr w:type="spellStart"/>
      <w:r w:rsidRPr="00C96DD1">
        <w:rPr>
          <w:rFonts w:asciiTheme="majorHAnsi" w:hAnsiTheme="majorHAnsi"/>
        </w:rPr>
        <w:t>Panczak</w:t>
      </w:r>
      <w:proofErr w:type="spellEnd"/>
      <w:r w:rsidRPr="00C96DD1">
        <w:rPr>
          <w:rFonts w:asciiTheme="majorHAnsi" w:hAnsiTheme="majorHAnsi"/>
        </w:rPr>
        <w:t xml:space="preserve">, </w:t>
      </w:r>
      <w:r w:rsidRPr="00C96DD1">
        <w:rPr>
          <w:rFonts w:asciiTheme="majorHAnsi" w:hAnsiTheme="majorHAnsi"/>
          <w:u w:val="single"/>
        </w:rPr>
        <w:t>Agricultural Chemical Contamination of Shallow-Bored and Dug Wells</w:t>
      </w:r>
      <w:r w:rsidRPr="00C96DD1">
        <w:rPr>
          <w:rFonts w:asciiTheme="majorHAnsi" w:hAnsiTheme="majorHAnsi"/>
        </w:rPr>
        <w:t xml:space="preserve">. </w:t>
      </w:r>
      <w:r w:rsidRPr="00C96DD1">
        <w:rPr>
          <w:rFonts w:asciiTheme="majorHAnsi" w:hAnsiTheme="majorHAnsi"/>
          <w:i/>
        </w:rPr>
        <w:t>Proceedings of the 2nd Annual Research on Agricultural Chemicals in Illinois Groundwater Conference</w:t>
      </w:r>
      <w:r w:rsidRPr="00C96DD1">
        <w:rPr>
          <w:rFonts w:asciiTheme="majorHAnsi" w:hAnsiTheme="majorHAnsi"/>
        </w:rPr>
        <w:t>, Springfield, IL, April 27-28, 1992, pp. 140-148.</w:t>
      </w:r>
    </w:p>
    <w:p w14:paraId="055C2FF0" w14:textId="77777777" w:rsidR="00636732" w:rsidRPr="00C96DD1" w:rsidRDefault="00636732" w:rsidP="00ED169D">
      <w:pPr>
        <w:pStyle w:val="ListParagraph"/>
        <w:numPr>
          <w:ilvl w:val="0"/>
          <w:numId w:val="24"/>
        </w:numPr>
        <w:tabs>
          <w:tab w:val="left" w:pos="900"/>
        </w:tabs>
        <w:spacing w:after="0"/>
        <w:rPr>
          <w:rFonts w:asciiTheme="majorHAnsi" w:hAnsiTheme="majorHAnsi"/>
        </w:rPr>
      </w:pPr>
      <w:r w:rsidRPr="00C96DD1">
        <w:rPr>
          <w:rFonts w:asciiTheme="majorHAnsi" w:hAnsiTheme="majorHAnsi"/>
        </w:rPr>
        <w:t xml:space="preserve">Wilson, S. D., J. R. </w:t>
      </w:r>
      <w:proofErr w:type="spellStart"/>
      <w:r w:rsidRPr="00C96DD1">
        <w:rPr>
          <w:rFonts w:asciiTheme="majorHAnsi" w:hAnsiTheme="majorHAnsi"/>
        </w:rPr>
        <w:t>Karny</w:t>
      </w:r>
      <w:proofErr w:type="spellEnd"/>
      <w:r w:rsidRPr="00C96DD1">
        <w:rPr>
          <w:rFonts w:asciiTheme="majorHAnsi" w:hAnsiTheme="majorHAnsi"/>
        </w:rPr>
        <w:t xml:space="preserve">, and K. J. </w:t>
      </w:r>
      <w:proofErr w:type="spellStart"/>
      <w:r w:rsidRPr="00C96DD1">
        <w:rPr>
          <w:rFonts w:asciiTheme="majorHAnsi" w:hAnsiTheme="majorHAnsi"/>
        </w:rPr>
        <w:t>Hlinka</w:t>
      </w:r>
      <w:proofErr w:type="spellEnd"/>
      <w:r w:rsidRPr="00C96DD1">
        <w:rPr>
          <w:rFonts w:asciiTheme="majorHAnsi" w:hAnsiTheme="majorHAnsi"/>
        </w:rPr>
        <w:t xml:space="preserve">, </w:t>
      </w:r>
      <w:r w:rsidRPr="00C96DD1">
        <w:rPr>
          <w:rFonts w:asciiTheme="majorHAnsi" w:hAnsiTheme="majorHAnsi"/>
          <w:u w:val="single"/>
        </w:rPr>
        <w:t>Agricultural Chemical Contamination of Shallow, Large-Diameter Wells in Illinois.</w:t>
      </w:r>
      <w:r w:rsidRPr="00C96DD1">
        <w:rPr>
          <w:rFonts w:asciiTheme="majorHAnsi" w:hAnsiTheme="majorHAnsi"/>
        </w:rPr>
        <w:t xml:space="preserve"> </w:t>
      </w:r>
      <w:r w:rsidRPr="00C96DD1">
        <w:rPr>
          <w:rFonts w:asciiTheme="majorHAnsi" w:hAnsiTheme="majorHAnsi"/>
          <w:i/>
        </w:rPr>
        <w:t>Proceedings of the ASCE Water Resources Engineering Conference</w:t>
      </w:r>
      <w:r w:rsidRPr="00C96DD1">
        <w:rPr>
          <w:rFonts w:asciiTheme="majorHAnsi" w:hAnsiTheme="majorHAnsi"/>
        </w:rPr>
        <w:t xml:space="preserve">, San Antonio, </w:t>
      </w:r>
      <w:proofErr w:type="gramStart"/>
      <w:r w:rsidRPr="00C96DD1">
        <w:rPr>
          <w:rFonts w:asciiTheme="majorHAnsi" w:hAnsiTheme="majorHAnsi"/>
        </w:rPr>
        <w:t>TX.,</w:t>
      </w:r>
      <w:proofErr w:type="gramEnd"/>
      <w:r w:rsidRPr="00C96DD1">
        <w:rPr>
          <w:rFonts w:asciiTheme="majorHAnsi" w:hAnsiTheme="majorHAnsi"/>
        </w:rPr>
        <w:t xml:space="preserve"> August 14-18, 1995, pp. 169-173.</w:t>
      </w:r>
    </w:p>
    <w:p w14:paraId="3CA7CB73" w14:textId="77777777" w:rsidR="001908F4" w:rsidRPr="00C96DD1" w:rsidRDefault="001908F4" w:rsidP="00ED169D">
      <w:pPr>
        <w:pStyle w:val="ListParagraph"/>
        <w:numPr>
          <w:ilvl w:val="0"/>
          <w:numId w:val="24"/>
        </w:numPr>
        <w:spacing w:after="0"/>
        <w:rPr>
          <w:rFonts w:asciiTheme="majorHAnsi" w:hAnsiTheme="majorHAnsi"/>
        </w:rPr>
      </w:pPr>
      <w:r w:rsidRPr="00C96DD1">
        <w:rPr>
          <w:rFonts w:asciiTheme="majorHAnsi" w:hAnsiTheme="majorHAnsi"/>
        </w:rPr>
        <w:t xml:space="preserve">Kelly, W. R., T. R. Holm, S. D. Wilson, and G. S. </w:t>
      </w:r>
      <w:proofErr w:type="spellStart"/>
      <w:r w:rsidRPr="00C96DD1">
        <w:rPr>
          <w:rFonts w:asciiTheme="majorHAnsi" w:hAnsiTheme="majorHAnsi"/>
        </w:rPr>
        <w:t>Roadcap</w:t>
      </w:r>
      <w:proofErr w:type="spellEnd"/>
      <w:r w:rsidRPr="00C96DD1">
        <w:rPr>
          <w:rFonts w:asciiTheme="majorHAnsi" w:hAnsiTheme="majorHAnsi"/>
        </w:rPr>
        <w:t xml:space="preserve">, 2005. </w:t>
      </w:r>
      <w:r w:rsidRPr="00C96DD1">
        <w:rPr>
          <w:rFonts w:asciiTheme="majorHAnsi" w:hAnsiTheme="majorHAnsi"/>
          <w:i/>
        </w:rPr>
        <w:t>Arsenic in Glacial Aquifers: Sources and Geochemical Controls</w:t>
      </w:r>
      <w:r w:rsidRPr="00C96DD1">
        <w:rPr>
          <w:rFonts w:asciiTheme="majorHAnsi" w:hAnsiTheme="majorHAnsi"/>
        </w:rPr>
        <w:t xml:space="preserve">, </w:t>
      </w:r>
      <w:r w:rsidRPr="00C96DD1">
        <w:rPr>
          <w:rFonts w:asciiTheme="majorHAnsi" w:hAnsiTheme="majorHAnsi"/>
          <w:u w:val="single"/>
        </w:rPr>
        <w:t>Groundwater, Vol. 43, No. 4</w:t>
      </w:r>
      <w:r w:rsidRPr="00C96DD1">
        <w:rPr>
          <w:rFonts w:asciiTheme="majorHAnsi" w:hAnsiTheme="majorHAnsi"/>
        </w:rPr>
        <w:t xml:space="preserve">, pp. 500-510. </w:t>
      </w:r>
    </w:p>
    <w:p w14:paraId="0C34DCA3" w14:textId="77777777" w:rsidR="001908F4" w:rsidRPr="00C96DD1" w:rsidRDefault="001908F4" w:rsidP="00ED169D">
      <w:pPr>
        <w:pStyle w:val="ListParagraph"/>
        <w:numPr>
          <w:ilvl w:val="0"/>
          <w:numId w:val="24"/>
        </w:numPr>
        <w:tabs>
          <w:tab w:val="left" w:pos="900"/>
        </w:tabs>
        <w:spacing w:after="0"/>
        <w:rPr>
          <w:rFonts w:asciiTheme="majorHAnsi" w:hAnsiTheme="majorHAnsi"/>
        </w:rPr>
      </w:pPr>
      <w:r w:rsidRPr="00C96DD1">
        <w:rPr>
          <w:rFonts w:asciiTheme="majorHAnsi" w:hAnsiTheme="majorHAnsi"/>
        </w:rPr>
        <w:t xml:space="preserve">Wilson, S. D., R. C. Cobb, and K. </w:t>
      </w:r>
      <w:proofErr w:type="spellStart"/>
      <w:r w:rsidRPr="00C96DD1">
        <w:rPr>
          <w:rFonts w:asciiTheme="majorHAnsi" w:hAnsiTheme="majorHAnsi"/>
        </w:rPr>
        <w:t>Runkle</w:t>
      </w:r>
      <w:proofErr w:type="spellEnd"/>
      <w:r w:rsidRPr="00C96DD1">
        <w:rPr>
          <w:rFonts w:asciiTheme="majorHAnsi" w:hAnsiTheme="majorHAnsi"/>
        </w:rPr>
        <w:t xml:space="preserve">, 2001. </w:t>
      </w:r>
      <w:r w:rsidRPr="00C96DD1">
        <w:rPr>
          <w:rFonts w:asciiTheme="majorHAnsi" w:hAnsiTheme="majorHAnsi"/>
          <w:i/>
        </w:rPr>
        <w:t>Arsenic in Illinois Groundwater</w:t>
      </w:r>
      <w:r w:rsidRPr="00C96DD1">
        <w:rPr>
          <w:rFonts w:asciiTheme="majorHAnsi" w:hAnsiTheme="majorHAnsi"/>
        </w:rPr>
        <w:t>. Interagency White Paper, Illinois State Water Survey, Illinois Department of Public Health, Illinois Environmental Protection Agency. November, 2001.</w:t>
      </w:r>
    </w:p>
    <w:p w14:paraId="6301153B" w14:textId="77777777" w:rsidR="001908F4" w:rsidRPr="00C96DD1" w:rsidRDefault="001908F4" w:rsidP="00ED169D">
      <w:pPr>
        <w:pStyle w:val="ListParagraph"/>
        <w:numPr>
          <w:ilvl w:val="0"/>
          <w:numId w:val="24"/>
        </w:numPr>
        <w:tabs>
          <w:tab w:val="left" w:pos="900"/>
        </w:tabs>
        <w:spacing w:after="0"/>
        <w:rPr>
          <w:rFonts w:asciiTheme="majorHAnsi" w:hAnsiTheme="majorHAnsi"/>
        </w:rPr>
      </w:pPr>
      <w:r w:rsidRPr="00C96DD1">
        <w:rPr>
          <w:rFonts w:asciiTheme="majorHAnsi" w:hAnsiTheme="majorHAnsi"/>
        </w:rPr>
        <w:t xml:space="preserve">Wilson, S. D, and J. R. </w:t>
      </w:r>
      <w:proofErr w:type="spellStart"/>
      <w:r w:rsidRPr="00C96DD1">
        <w:rPr>
          <w:rFonts w:asciiTheme="majorHAnsi" w:hAnsiTheme="majorHAnsi"/>
        </w:rPr>
        <w:t>Karny</w:t>
      </w:r>
      <w:proofErr w:type="spellEnd"/>
      <w:r w:rsidRPr="00C96DD1">
        <w:rPr>
          <w:rFonts w:asciiTheme="majorHAnsi" w:hAnsiTheme="majorHAnsi"/>
        </w:rPr>
        <w:t xml:space="preserve">, 2000. </w:t>
      </w:r>
      <w:r w:rsidRPr="00C96DD1">
        <w:rPr>
          <w:rFonts w:asciiTheme="majorHAnsi" w:hAnsiTheme="majorHAnsi"/>
          <w:u w:val="single"/>
        </w:rPr>
        <w:t xml:space="preserve">A Community-Based Sampling Program for Evaluating Long-Term Flood Impacts on Rural Well-Water Quality. </w:t>
      </w:r>
      <w:r w:rsidRPr="00C96DD1">
        <w:rPr>
          <w:rFonts w:asciiTheme="majorHAnsi" w:hAnsiTheme="majorHAnsi"/>
        </w:rPr>
        <w:t>In</w:t>
      </w:r>
      <w:r w:rsidRPr="00C96DD1">
        <w:rPr>
          <w:rFonts w:asciiTheme="majorHAnsi" w:hAnsiTheme="majorHAnsi"/>
          <w:i/>
        </w:rPr>
        <w:t xml:space="preserve"> Research on Agricultural Chemicals in Illinois Groundwater: Status and Future Directions X, Proceedings of the Tenth Annual Conference</w:t>
      </w:r>
      <w:r w:rsidRPr="00C96DD1">
        <w:rPr>
          <w:rFonts w:asciiTheme="majorHAnsi" w:hAnsiTheme="majorHAnsi"/>
        </w:rPr>
        <w:t xml:space="preserve">, </w:t>
      </w:r>
      <w:proofErr w:type="spellStart"/>
      <w:r w:rsidRPr="00C96DD1">
        <w:rPr>
          <w:rFonts w:asciiTheme="majorHAnsi" w:hAnsiTheme="majorHAnsi"/>
        </w:rPr>
        <w:t>Makanda</w:t>
      </w:r>
      <w:proofErr w:type="spellEnd"/>
      <w:r w:rsidRPr="00C96DD1">
        <w:rPr>
          <w:rFonts w:asciiTheme="majorHAnsi" w:hAnsiTheme="majorHAnsi"/>
        </w:rPr>
        <w:t>, IL, April 13, 2000, pp. 125- 139.</w:t>
      </w:r>
    </w:p>
    <w:p w14:paraId="3B98653B" w14:textId="77777777" w:rsidR="001908F4" w:rsidRPr="00C96DD1" w:rsidRDefault="001908F4" w:rsidP="00ED169D">
      <w:pPr>
        <w:numPr>
          <w:ilvl w:val="0"/>
          <w:numId w:val="24"/>
        </w:numPr>
        <w:shd w:val="clear" w:color="auto" w:fill="FFFFFF"/>
        <w:spacing w:after="0"/>
        <w:contextualSpacing/>
        <w:rPr>
          <w:rFonts w:asciiTheme="majorHAnsi" w:hAnsiTheme="majorHAnsi"/>
        </w:rPr>
      </w:pPr>
      <w:proofErr w:type="spellStart"/>
      <w:r w:rsidRPr="00C96DD1">
        <w:rPr>
          <w:rFonts w:asciiTheme="majorHAnsi" w:hAnsiTheme="majorHAnsi" w:cs="Tahoma"/>
        </w:rPr>
        <w:t>Liukkonen</w:t>
      </w:r>
      <w:proofErr w:type="spellEnd"/>
      <w:r w:rsidRPr="00C96DD1">
        <w:rPr>
          <w:rFonts w:asciiTheme="majorHAnsi" w:hAnsiTheme="majorHAnsi" w:cs="Tahoma"/>
        </w:rPr>
        <w:t xml:space="preserve">, B., L. </w:t>
      </w:r>
      <w:proofErr w:type="spellStart"/>
      <w:r w:rsidRPr="00C96DD1">
        <w:rPr>
          <w:rFonts w:asciiTheme="majorHAnsi" w:hAnsiTheme="majorHAnsi" w:cs="Tahoma"/>
        </w:rPr>
        <w:t>Severtson</w:t>
      </w:r>
      <w:proofErr w:type="spellEnd"/>
      <w:r w:rsidRPr="00C96DD1">
        <w:rPr>
          <w:rFonts w:asciiTheme="majorHAnsi" w:hAnsiTheme="majorHAnsi" w:cs="Tahoma"/>
        </w:rPr>
        <w:t>, and R. Kline-</w:t>
      </w:r>
      <w:proofErr w:type="spellStart"/>
      <w:r w:rsidRPr="00C96DD1">
        <w:rPr>
          <w:rFonts w:asciiTheme="majorHAnsi" w:hAnsiTheme="majorHAnsi" w:cs="Tahoma"/>
        </w:rPr>
        <w:t>Robach</w:t>
      </w:r>
      <w:proofErr w:type="spellEnd"/>
      <w:r w:rsidRPr="00C96DD1">
        <w:rPr>
          <w:rFonts w:asciiTheme="majorHAnsi" w:hAnsiTheme="majorHAnsi" w:cs="Tahoma"/>
        </w:rPr>
        <w:t xml:space="preserve">. </w:t>
      </w:r>
      <w:hyperlink r:id="rId16" w:history="1">
        <w:r w:rsidRPr="00C96DD1">
          <w:rPr>
            <w:rStyle w:val="Hyperlink"/>
            <w:rFonts w:asciiTheme="majorHAnsi" w:hAnsiTheme="majorHAnsi" w:cs="Tahoma"/>
            <w:color w:val="auto"/>
          </w:rPr>
          <w:t>Social Dimensions of Private Well Testing: Why Don’t People Test Their Water?</w:t>
        </w:r>
      </w:hyperlink>
      <w:r w:rsidRPr="00C96DD1">
        <w:rPr>
          <w:rFonts w:asciiTheme="majorHAnsi" w:hAnsiTheme="majorHAnsi" w:cs="Tahoma"/>
        </w:rPr>
        <w:t xml:space="preserve"> Fall 2009. </w:t>
      </w:r>
      <w:r w:rsidRPr="00C96DD1">
        <w:rPr>
          <w:rFonts w:asciiTheme="majorHAnsi" w:hAnsiTheme="majorHAnsi" w:cs="Tahoma"/>
          <w:i/>
        </w:rPr>
        <w:t>Extension Fall Conference Posters 2009</w:t>
      </w:r>
      <w:r w:rsidRPr="00C96DD1">
        <w:rPr>
          <w:rFonts w:asciiTheme="majorHAnsi" w:hAnsiTheme="majorHAnsi" w:cs="Tahoma"/>
        </w:rPr>
        <w:t>, Extension Great Lakes Regional Water Program.</w:t>
      </w:r>
    </w:p>
    <w:p w14:paraId="60705861" w14:textId="77777777" w:rsidR="005C51AD" w:rsidRPr="00C96DD1" w:rsidRDefault="001908F4" w:rsidP="00ED169D">
      <w:pPr>
        <w:numPr>
          <w:ilvl w:val="0"/>
          <w:numId w:val="24"/>
        </w:numPr>
        <w:shd w:val="clear" w:color="auto" w:fill="FFFFFF"/>
        <w:tabs>
          <w:tab w:val="left" w:pos="900"/>
        </w:tabs>
        <w:autoSpaceDE w:val="0"/>
        <w:autoSpaceDN w:val="0"/>
        <w:adjustRightInd w:val="0"/>
        <w:spacing w:after="0"/>
        <w:contextualSpacing/>
        <w:rPr>
          <w:rFonts w:asciiTheme="majorHAnsi" w:hAnsiTheme="majorHAnsi"/>
        </w:rPr>
      </w:pPr>
      <w:r w:rsidRPr="00C96DD1">
        <w:rPr>
          <w:rFonts w:asciiTheme="majorHAnsi" w:hAnsiTheme="majorHAnsi"/>
        </w:rPr>
        <w:t xml:space="preserve">Jones, A., C. Dewey, K. Dore, S. </w:t>
      </w:r>
      <w:proofErr w:type="spellStart"/>
      <w:r w:rsidRPr="00C96DD1">
        <w:rPr>
          <w:rFonts w:asciiTheme="majorHAnsi" w:hAnsiTheme="majorHAnsi"/>
        </w:rPr>
        <w:t>Majowicz</w:t>
      </w:r>
      <w:proofErr w:type="spellEnd"/>
      <w:r w:rsidRPr="00C96DD1">
        <w:rPr>
          <w:rFonts w:asciiTheme="majorHAnsi" w:hAnsiTheme="majorHAnsi"/>
        </w:rPr>
        <w:t xml:space="preserve">, S. McEwen, D. </w:t>
      </w:r>
      <w:proofErr w:type="spellStart"/>
      <w:r w:rsidRPr="00C96DD1">
        <w:rPr>
          <w:rFonts w:asciiTheme="majorHAnsi" w:hAnsiTheme="majorHAnsi"/>
        </w:rPr>
        <w:t>Waltner-Toews</w:t>
      </w:r>
      <w:proofErr w:type="spellEnd"/>
      <w:r w:rsidRPr="00C96DD1">
        <w:rPr>
          <w:rFonts w:asciiTheme="majorHAnsi" w:hAnsiTheme="majorHAnsi"/>
        </w:rPr>
        <w:t xml:space="preserve">, S. Henson, and E. Mathews. </w:t>
      </w:r>
      <w:r w:rsidRPr="00C96DD1">
        <w:rPr>
          <w:rFonts w:asciiTheme="majorHAnsi" w:hAnsiTheme="majorHAnsi" w:cs="Times New Roman"/>
          <w:u w:val="single"/>
        </w:rPr>
        <w:t>Public perception of drinking water from private water supplies: focus group analyses.</w:t>
      </w:r>
      <w:r w:rsidRPr="00C96DD1">
        <w:rPr>
          <w:rFonts w:asciiTheme="majorHAnsi" w:hAnsiTheme="majorHAnsi" w:cs="Times New Roman"/>
        </w:rPr>
        <w:t xml:space="preserve"> 2005. </w:t>
      </w:r>
      <w:r w:rsidRPr="00C96DD1">
        <w:rPr>
          <w:rFonts w:asciiTheme="majorHAnsi" w:hAnsiTheme="majorHAnsi" w:cs="Times New Roman"/>
          <w:i/>
          <w:iCs/>
        </w:rPr>
        <w:t xml:space="preserve">BMC Public Health </w:t>
      </w:r>
      <w:r w:rsidRPr="00C96DD1">
        <w:rPr>
          <w:rFonts w:asciiTheme="majorHAnsi" w:hAnsiTheme="majorHAnsi" w:cs="Times New Roman"/>
          <w:b/>
          <w:i/>
        </w:rPr>
        <w:t>5</w:t>
      </w:r>
      <w:r w:rsidRPr="00C96DD1">
        <w:rPr>
          <w:rFonts w:asciiTheme="majorHAnsi" w:hAnsiTheme="majorHAnsi" w:cs="Times New Roman"/>
          <w:i/>
        </w:rPr>
        <w:t>:129</w:t>
      </w:r>
      <w:r w:rsidRPr="00C96DD1">
        <w:rPr>
          <w:rFonts w:asciiTheme="majorHAnsi" w:hAnsiTheme="majorHAnsi" w:cs="Times New Roman"/>
        </w:rPr>
        <w:t>.</w:t>
      </w:r>
    </w:p>
    <w:p w14:paraId="50FB7A2C" w14:textId="77777777" w:rsidR="00090422" w:rsidRPr="00C96DD1" w:rsidRDefault="00090422" w:rsidP="00ED169D">
      <w:pPr>
        <w:numPr>
          <w:ilvl w:val="0"/>
          <w:numId w:val="24"/>
        </w:numPr>
        <w:shd w:val="clear" w:color="auto" w:fill="FFFFFF"/>
        <w:spacing w:after="0"/>
        <w:contextualSpacing/>
        <w:rPr>
          <w:rFonts w:asciiTheme="majorHAnsi" w:hAnsiTheme="majorHAnsi"/>
        </w:rPr>
      </w:pPr>
      <w:proofErr w:type="spellStart"/>
      <w:r w:rsidRPr="00C96DD1">
        <w:rPr>
          <w:rFonts w:asciiTheme="majorHAnsi" w:hAnsiTheme="majorHAnsi" w:cs="Tahoma"/>
        </w:rPr>
        <w:t>Balamurugan</w:t>
      </w:r>
      <w:proofErr w:type="spellEnd"/>
      <w:r w:rsidRPr="00C96DD1">
        <w:rPr>
          <w:rFonts w:asciiTheme="majorHAnsi" w:hAnsiTheme="majorHAnsi" w:cs="Tahoma"/>
        </w:rPr>
        <w:t xml:space="preserve">, A., M. Rivera, K. </w:t>
      </w:r>
      <w:proofErr w:type="spellStart"/>
      <w:r w:rsidRPr="00C96DD1">
        <w:rPr>
          <w:rFonts w:asciiTheme="majorHAnsi" w:hAnsiTheme="majorHAnsi" w:cs="Tahoma"/>
        </w:rPr>
        <w:t>Sutphin</w:t>
      </w:r>
      <w:proofErr w:type="spellEnd"/>
      <w:r w:rsidRPr="00C96DD1">
        <w:rPr>
          <w:rFonts w:asciiTheme="majorHAnsi" w:hAnsiTheme="majorHAnsi" w:cs="Tahoma"/>
        </w:rPr>
        <w:t xml:space="preserve">, and D. Campbell. </w:t>
      </w:r>
      <w:r w:rsidRPr="00C96DD1">
        <w:rPr>
          <w:rFonts w:asciiTheme="majorHAnsi" w:hAnsiTheme="majorHAnsi" w:cs="Tahoma"/>
          <w:u w:val="single"/>
        </w:rPr>
        <w:t>Health Communications in Rural America: Lessons Learned from an Arthritis Campaign in Rural Arkansas</w:t>
      </w:r>
      <w:r w:rsidRPr="00C96DD1">
        <w:rPr>
          <w:rFonts w:asciiTheme="majorHAnsi" w:hAnsiTheme="majorHAnsi" w:cs="Tahoma"/>
        </w:rPr>
        <w:t xml:space="preserve">. Summer 2007. </w:t>
      </w:r>
      <w:r w:rsidRPr="00C96DD1">
        <w:rPr>
          <w:rFonts w:asciiTheme="majorHAnsi" w:hAnsiTheme="majorHAnsi" w:cs="Tahoma"/>
          <w:i/>
        </w:rPr>
        <w:t>Journal of Public Health 23(3): 270-5.</w:t>
      </w:r>
    </w:p>
    <w:p w14:paraId="5A8ACA44" w14:textId="77777777" w:rsidR="00090422" w:rsidRPr="00C96DD1" w:rsidRDefault="00090422" w:rsidP="00ED169D">
      <w:pPr>
        <w:numPr>
          <w:ilvl w:val="0"/>
          <w:numId w:val="24"/>
        </w:numPr>
        <w:shd w:val="clear" w:color="auto" w:fill="FFFFFF"/>
        <w:tabs>
          <w:tab w:val="left" w:pos="900"/>
        </w:tabs>
        <w:autoSpaceDE w:val="0"/>
        <w:autoSpaceDN w:val="0"/>
        <w:adjustRightInd w:val="0"/>
        <w:spacing w:after="0"/>
        <w:contextualSpacing/>
        <w:rPr>
          <w:rFonts w:asciiTheme="majorHAnsi" w:hAnsiTheme="majorHAnsi"/>
        </w:rPr>
      </w:pPr>
      <w:r w:rsidRPr="00C96DD1">
        <w:rPr>
          <w:rFonts w:asciiTheme="majorHAnsi" w:hAnsiTheme="majorHAnsi"/>
        </w:rPr>
        <w:t>Gordon, J. C.</w:t>
      </w:r>
      <w:r w:rsidR="001D48E3" w:rsidRPr="00C96DD1">
        <w:rPr>
          <w:rFonts w:asciiTheme="majorHAnsi" w:hAnsiTheme="majorHAnsi"/>
        </w:rPr>
        <w:t xml:space="preserve"> </w:t>
      </w:r>
      <w:r w:rsidR="001D48E3" w:rsidRPr="00C96DD1">
        <w:rPr>
          <w:rFonts w:asciiTheme="majorHAnsi" w:hAnsiTheme="majorHAnsi"/>
          <w:u w:val="single"/>
        </w:rPr>
        <w:t>Beyond Knowledge: Guidelines for Effective Health Promotion Messages</w:t>
      </w:r>
      <w:r w:rsidR="001D48E3" w:rsidRPr="00C96DD1">
        <w:rPr>
          <w:rFonts w:asciiTheme="majorHAnsi" w:hAnsiTheme="majorHAnsi"/>
        </w:rPr>
        <w:t xml:space="preserve">. December 2002. </w:t>
      </w:r>
      <w:r w:rsidR="001D48E3" w:rsidRPr="00C96DD1">
        <w:rPr>
          <w:rFonts w:asciiTheme="majorHAnsi" w:hAnsiTheme="majorHAnsi"/>
          <w:i/>
        </w:rPr>
        <w:t>Journal of Extension, Vol. 40, No. 6</w:t>
      </w:r>
      <w:r w:rsidRPr="00C96DD1">
        <w:rPr>
          <w:rFonts w:asciiTheme="majorHAnsi" w:hAnsiTheme="majorHAnsi" w:cs="Times New Roman"/>
        </w:rPr>
        <w:t>.</w:t>
      </w:r>
    </w:p>
    <w:p w14:paraId="197E7C34" w14:textId="77777777" w:rsidR="00090422" w:rsidRDefault="001D48E3" w:rsidP="00ED169D">
      <w:pPr>
        <w:numPr>
          <w:ilvl w:val="0"/>
          <w:numId w:val="24"/>
        </w:numPr>
        <w:shd w:val="clear" w:color="auto" w:fill="FFFFFF"/>
        <w:tabs>
          <w:tab w:val="left" w:pos="900"/>
        </w:tabs>
        <w:autoSpaceDE w:val="0"/>
        <w:autoSpaceDN w:val="0"/>
        <w:adjustRightInd w:val="0"/>
        <w:spacing w:after="0"/>
        <w:contextualSpacing/>
        <w:rPr>
          <w:rFonts w:asciiTheme="majorHAnsi" w:hAnsiTheme="majorHAnsi"/>
        </w:rPr>
      </w:pPr>
      <w:proofErr w:type="spellStart"/>
      <w:r w:rsidRPr="00C96DD1">
        <w:rPr>
          <w:rFonts w:asciiTheme="majorHAnsi" w:hAnsiTheme="majorHAnsi"/>
        </w:rPr>
        <w:t>Charrois</w:t>
      </w:r>
      <w:proofErr w:type="spellEnd"/>
      <w:r w:rsidRPr="00C96DD1">
        <w:rPr>
          <w:rFonts w:asciiTheme="majorHAnsi" w:hAnsiTheme="majorHAnsi"/>
        </w:rPr>
        <w:t xml:space="preserve">, J. W. A. </w:t>
      </w:r>
      <w:r w:rsidRPr="00C96DD1">
        <w:rPr>
          <w:rFonts w:asciiTheme="majorHAnsi" w:hAnsiTheme="majorHAnsi"/>
          <w:u w:val="single"/>
        </w:rPr>
        <w:t>Private Drinking Water Supplies: Challenges for Public Health</w:t>
      </w:r>
      <w:r w:rsidRPr="00C96DD1">
        <w:rPr>
          <w:rFonts w:asciiTheme="majorHAnsi" w:hAnsiTheme="majorHAnsi"/>
        </w:rPr>
        <w:t>.</w:t>
      </w:r>
      <w:r w:rsidR="00177222" w:rsidRPr="00C96DD1">
        <w:rPr>
          <w:rFonts w:asciiTheme="majorHAnsi" w:hAnsiTheme="majorHAnsi"/>
        </w:rPr>
        <w:t xml:space="preserve"> July 2010. </w:t>
      </w:r>
      <w:r w:rsidR="00177222" w:rsidRPr="00C96DD1">
        <w:rPr>
          <w:rFonts w:asciiTheme="majorHAnsi" w:hAnsiTheme="majorHAnsi"/>
          <w:i/>
        </w:rPr>
        <w:t>The Canadian Medical Association Journal, 182(10): 1061-1064</w:t>
      </w:r>
      <w:r w:rsidR="00177222" w:rsidRPr="00C96DD1">
        <w:rPr>
          <w:rFonts w:asciiTheme="majorHAnsi" w:hAnsiTheme="majorHAnsi"/>
        </w:rPr>
        <w:t xml:space="preserve">. </w:t>
      </w:r>
    </w:p>
    <w:p w14:paraId="00C30278" w14:textId="67456703" w:rsidR="00E6442D" w:rsidRPr="00ED5847" w:rsidRDefault="00D52202" w:rsidP="00D52202">
      <w:pPr>
        <w:pStyle w:val="ListParagraph"/>
        <w:numPr>
          <w:ilvl w:val="0"/>
          <w:numId w:val="24"/>
        </w:numPr>
        <w:spacing w:after="0"/>
        <w:rPr>
          <w:rFonts w:asciiTheme="majorHAnsi" w:hAnsiTheme="majorHAnsi" w:cs="Times New Roman"/>
        </w:rPr>
      </w:pPr>
      <w:proofErr w:type="spellStart"/>
      <w:r w:rsidRPr="00ED5847">
        <w:rPr>
          <w:rFonts w:asciiTheme="majorHAnsi" w:hAnsiTheme="majorHAnsi" w:cs="Times New Roman"/>
          <w:color w:val="000000"/>
        </w:rPr>
        <w:t>Opdenakker</w:t>
      </w:r>
      <w:proofErr w:type="spellEnd"/>
      <w:r w:rsidRPr="00ED5847">
        <w:rPr>
          <w:rFonts w:asciiTheme="majorHAnsi" w:hAnsiTheme="majorHAnsi" w:cs="Times New Roman"/>
          <w:color w:val="000000"/>
        </w:rPr>
        <w:t>, Raymond</w:t>
      </w:r>
      <w:r w:rsidR="00C4569B" w:rsidRPr="00ED5847">
        <w:rPr>
          <w:rFonts w:asciiTheme="majorHAnsi" w:hAnsiTheme="majorHAnsi" w:cs="Times New Roman"/>
          <w:color w:val="000000"/>
        </w:rPr>
        <w:t xml:space="preserve"> </w:t>
      </w:r>
      <w:r w:rsidR="00C4569B" w:rsidRPr="00ED5847">
        <w:rPr>
          <w:rFonts w:asciiTheme="majorHAnsi" w:hAnsiTheme="majorHAnsi" w:cs="Arial"/>
          <w:color w:val="000000"/>
        </w:rPr>
        <w:t>(2006, August)</w:t>
      </w:r>
      <w:r w:rsidRPr="00ED5847">
        <w:rPr>
          <w:rFonts w:asciiTheme="majorHAnsi" w:hAnsiTheme="majorHAnsi" w:cs="Times New Roman"/>
          <w:color w:val="000000"/>
        </w:rPr>
        <w:t xml:space="preserve">. Advantages and Disadvantages of Four Interview Techniques in Qualitative Research [44 paragraphs]. Forum Qualitative </w:t>
      </w:r>
      <w:proofErr w:type="spellStart"/>
      <w:r w:rsidRPr="00ED5847">
        <w:rPr>
          <w:rFonts w:asciiTheme="majorHAnsi" w:hAnsiTheme="majorHAnsi" w:cs="Times New Roman"/>
          <w:color w:val="000000"/>
        </w:rPr>
        <w:t>Sozialforschung</w:t>
      </w:r>
      <w:proofErr w:type="spellEnd"/>
      <w:r w:rsidRPr="00ED5847">
        <w:rPr>
          <w:rFonts w:asciiTheme="majorHAnsi" w:hAnsiTheme="majorHAnsi" w:cs="Times New Roman"/>
          <w:color w:val="000000"/>
        </w:rPr>
        <w:t xml:space="preserve"> / Forum: Qualitative Social Research, 7(4), Art. 11, </w:t>
      </w:r>
      <w:hyperlink r:id="rId17" w:tgtFrame="_blank" w:history="1">
        <w:r w:rsidRPr="00ED5847">
          <w:rPr>
            <w:rStyle w:val="Hyperlink"/>
            <w:rFonts w:asciiTheme="majorHAnsi" w:hAnsiTheme="majorHAnsi" w:cs="Times New Roman"/>
          </w:rPr>
          <w:t>http://nbn-resolving.de/urn:nbn:de:0114-fqs0604118</w:t>
        </w:r>
      </w:hyperlink>
      <w:r w:rsidRPr="00ED5847">
        <w:rPr>
          <w:rFonts w:asciiTheme="majorHAnsi" w:hAnsiTheme="majorHAnsi" w:cs="Times New Roman"/>
          <w:color w:val="000000"/>
        </w:rPr>
        <w:t xml:space="preserve">. </w:t>
      </w:r>
      <w:r w:rsidRPr="00ED5847">
        <w:rPr>
          <w:rFonts w:asciiTheme="majorHAnsi" w:hAnsiTheme="majorHAnsi" w:cs="Times New Roman"/>
        </w:rPr>
        <w:t xml:space="preserve"> </w:t>
      </w:r>
    </w:p>
    <w:p w14:paraId="5B2E40FE" w14:textId="36697AE3" w:rsidR="00D52202" w:rsidRPr="00ED5847" w:rsidRDefault="00E6442D" w:rsidP="00C4569B">
      <w:pPr>
        <w:pStyle w:val="ListParagraph"/>
        <w:numPr>
          <w:ilvl w:val="0"/>
          <w:numId w:val="24"/>
        </w:numPr>
        <w:spacing w:after="0"/>
        <w:rPr>
          <w:rFonts w:asciiTheme="majorHAnsi" w:hAnsiTheme="majorHAnsi" w:cs="Times New Roman"/>
        </w:rPr>
      </w:pPr>
      <w:r w:rsidRPr="00ED5847">
        <w:rPr>
          <w:rFonts w:asciiTheme="majorHAnsi" w:hAnsiTheme="majorHAnsi" w:cs="Times New Roman"/>
        </w:rPr>
        <w:t xml:space="preserve">Green, Melanie; </w:t>
      </w:r>
      <w:proofErr w:type="spellStart"/>
      <w:r w:rsidRPr="00ED5847">
        <w:rPr>
          <w:rFonts w:asciiTheme="majorHAnsi" w:hAnsiTheme="majorHAnsi" w:cs="Times New Roman"/>
        </w:rPr>
        <w:t>Krosnick</w:t>
      </w:r>
      <w:proofErr w:type="spellEnd"/>
      <w:r w:rsidRPr="00ED5847">
        <w:rPr>
          <w:rFonts w:asciiTheme="majorHAnsi" w:hAnsiTheme="majorHAnsi" w:cs="Times New Roman"/>
        </w:rPr>
        <w:t>, Jon; Holbrook, Allyson (</w:t>
      </w:r>
      <w:r w:rsidR="00C4569B" w:rsidRPr="00ED5847">
        <w:rPr>
          <w:rFonts w:asciiTheme="majorHAnsi" w:hAnsiTheme="majorHAnsi" w:cs="Times New Roman"/>
        </w:rPr>
        <w:t xml:space="preserve">April, </w:t>
      </w:r>
      <w:r w:rsidRPr="00ED5847">
        <w:rPr>
          <w:rFonts w:asciiTheme="majorHAnsi" w:hAnsiTheme="majorHAnsi" w:cs="Times New Roman"/>
        </w:rPr>
        <w:t>2001</w:t>
      </w:r>
      <w:r w:rsidR="00C4569B" w:rsidRPr="00ED5847">
        <w:rPr>
          <w:rFonts w:asciiTheme="majorHAnsi" w:hAnsiTheme="majorHAnsi" w:cs="Times New Roman"/>
        </w:rPr>
        <w:t>) T</w:t>
      </w:r>
      <w:r w:rsidRPr="00ED5847">
        <w:rPr>
          <w:rFonts w:asciiTheme="majorHAnsi" w:hAnsiTheme="majorHAnsi" w:cs="Times New Roman"/>
        </w:rPr>
        <w:t xml:space="preserve">he </w:t>
      </w:r>
      <w:r w:rsidR="00ED5847">
        <w:rPr>
          <w:rFonts w:asciiTheme="majorHAnsi" w:hAnsiTheme="majorHAnsi" w:cs="Times New Roman"/>
        </w:rPr>
        <w:t>S</w:t>
      </w:r>
      <w:r w:rsidRPr="00ED5847">
        <w:rPr>
          <w:rFonts w:asciiTheme="majorHAnsi" w:hAnsiTheme="majorHAnsi" w:cs="Times New Roman"/>
        </w:rPr>
        <w:t>urvey Response Process in Telephone and Face-to-Face Surveys: Differences in Respondent Satisficing and Social Desirability Response Bias.</w:t>
      </w:r>
      <w:r w:rsidR="00C4569B" w:rsidRPr="00ED5847">
        <w:rPr>
          <w:rFonts w:asciiTheme="majorHAnsi" w:hAnsiTheme="majorHAnsi" w:cs="Times New Roman"/>
        </w:rPr>
        <w:t xml:space="preserve"> http://users.clas.ufl.edu/kenwald/pos6757/spring02/tch62.pdf</w:t>
      </w:r>
    </w:p>
    <w:p w14:paraId="00936A07" w14:textId="513C4B76" w:rsidR="00ED169D" w:rsidRPr="00ED5847" w:rsidRDefault="00ED169D" w:rsidP="00ED169D">
      <w:pPr>
        <w:pStyle w:val="ListParagraph"/>
        <w:numPr>
          <w:ilvl w:val="0"/>
          <w:numId w:val="24"/>
        </w:numPr>
        <w:spacing w:after="0"/>
        <w:rPr>
          <w:rFonts w:asciiTheme="majorHAnsi" w:hAnsiTheme="majorHAnsi"/>
        </w:rPr>
      </w:pPr>
      <w:r w:rsidRPr="00ED5847">
        <w:rPr>
          <w:rFonts w:asciiTheme="majorHAnsi" w:hAnsiTheme="majorHAnsi"/>
        </w:rPr>
        <w:t xml:space="preserve">Centers for Disease Control and Prevention (CDC). </w:t>
      </w:r>
      <w:r w:rsidRPr="00ED5847">
        <w:rPr>
          <w:rFonts w:asciiTheme="majorHAnsi" w:hAnsiTheme="majorHAnsi"/>
          <w:i/>
        </w:rPr>
        <w:t>National Public Health Performance Standards Program (NPHPSP): 10 Essential Public Health Services</w:t>
      </w:r>
      <w:r w:rsidRPr="00ED5847">
        <w:rPr>
          <w:rFonts w:asciiTheme="majorHAnsi" w:hAnsiTheme="majorHAnsi"/>
        </w:rPr>
        <w:t>. Available at http://www.cdc.gov/nphpsp/essentialservices.html. Accessed on 8/14/14.</w:t>
      </w:r>
    </w:p>
    <w:p w14:paraId="1666AD4D" w14:textId="60673AB3" w:rsidR="00F45E7B" w:rsidRPr="00522C2B" w:rsidRDefault="00F45E7B" w:rsidP="00697161">
      <w:pPr>
        <w:spacing w:line="360" w:lineRule="auto"/>
        <w:rPr>
          <w:rFonts w:asciiTheme="majorHAnsi" w:hAnsiTheme="majorHAnsi"/>
          <w:b/>
          <w:sz w:val="24"/>
          <w:szCs w:val="24"/>
        </w:rPr>
      </w:pPr>
    </w:p>
    <w:sectPr w:rsidR="00F45E7B" w:rsidRPr="00522C2B" w:rsidSect="00385BB5">
      <w:headerReference w:type="default" r:id="rId18"/>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A0DD0" w14:textId="77777777" w:rsidR="00B243F5" w:rsidRDefault="00B243F5" w:rsidP="00716F94">
      <w:pPr>
        <w:spacing w:after="0" w:line="240" w:lineRule="auto"/>
      </w:pPr>
      <w:r>
        <w:separator/>
      </w:r>
    </w:p>
  </w:endnote>
  <w:endnote w:type="continuationSeparator" w:id="0">
    <w:p w14:paraId="364B5DDA" w14:textId="77777777" w:rsidR="00B243F5" w:rsidRDefault="00B243F5"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003079"/>
      <w:docPartObj>
        <w:docPartGallery w:val="Page Numbers (Bottom of Page)"/>
        <w:docPartUnique/>
      </w:docPartObj>
    </w:sdtPr>
    <w:sdtEndPr/>
    <w:sdtContent>
      <w:sdt>
        <w:sdtPr>
          <w:id w:val="860082579"/>
          <w:docPartObj>
            <w:docPartGallery w:val="Page Numbers (Top of Page)"/>
            <w:docPartUnique/>
          </w:docPartObj>
        </w:sdtPr>
        <w:sdtEndPr/>
        <w:sdtContent>
          <w:p w14:paraId="5D8099A6" w14:textId="171BA467" w:rsidR="00B243F5" w:rsidRDefault="00B243F5">
            <w:pPr>
              <w:pStyle w:val="Footer"/>
              <w:jc w:val="right"/>
            </w:pPr>
            <w:r w:rsidRPr="00033054">
              <w:rPr>
                <w:rFonts w:asciiTheme="majorHAnsi" w:hAnsiTheme="majorHAnsi"/>
              </w:rPr>
              <w:t xml:space="preserve">Page </w:t>
            </w:r>
            <w:r w:rsidRPr="00033054">
              <w:rPr>
                <w:rFonts w:asciiTheme="majorHAnsi" w:hAnsiTheme="majorHAnsi"/>
                <w:b/>
                <w:bCs/>
                <w:sz w:val="24"/>
                <w:szCs w:val="24"/>
              </w:rPr>
              <w:fldChar w:fldCharType="begin"/>
            </w:r>
            <w:r w:rsidRPr="00033054">
              <w:rPr>
                <w:rFonts w:asciiTheme="majorHAnsi" w:hAnsiTheme="majorHAnsi"/>
                <w:b/>
                <w:bCs/>
              </w:rPr>
              <w:instrText xml:space="preserve"> PAGE </w:instrText>
            </w:r>
            <w:r w:rsidRPr="00033054">
              <w:rPr>
                <w:rFonts w:asciiTheme="majorHAnsi" w:hAnsiTheme="majorHAnsi"/>
                <w:b/>
                <w:bCs/>
                <w:sz w:val="24"/>
                <w:szCs w:val="24"/>
              </w:rPr>
              <w:fldChar w:fldCharType="separate"/>
            </w:r>
            <w:r w:rsidR="00DF3E35">
              <w:rPr>
                <w:rFonts w:asciiTheme="majorHAnsi" w:hAnsiTheme="majorHAnsi"/>
                <w:b/>
                <w:bCs/>
                <w:noProof/>
              </w:rPr>
              <w:t>2</w:t>
            </w:r>
            <w:r w:rsidRPr="00033054">
              <w:rPr>
                <w:rFonts w:asciiTheme="majorHAnsi" w:hAnsiTheme="majorHAnsi"/>
                <w:b/>
                <w:bCs/>
                <w:sz w:val="24"/>
                <w:szCs w:val="24"/>
              </w:rPr>
              <w:fldChar w:fldCharType="end"/>
            </w:r>
            <w:r w:rsidRPr="00033054">
              <w:rPr>
                <w:rFonts w:asciiTheme="majorHAnsi" w:hAnsiTheme="majorHAnsi"/>
              </w:rPr>
              <w:t xml:space="preserve"> of </w:t>
            </w:r>
            <w:r w:rsidRPr="00033054">
              <w:rPr>
                <w:rFonts w:asciiTheme="majorHAnsi" w:hAnsiTheme="majorHAnsi"/>
                <w:b/>
                <w:bCs/>
                <w:sz w:val="24"/>
                <w:szCs w:val="24"/>
              </w:rPr>
              <w:fldChar w:fldCharType="begin"/>
            </w:r>
            <w:r w:rsidRPr="00033054">
              <w:rPr>
                <w:rFonts w:asciiTheme="majorHAnsi" w:hAnsiTheme="majorHAnsi"/>
                <w:b/>
                <w:bCs/>
              </w:rPr>
              <w:instrText xml:space="preserve"> NUMPAGES  </w:instrText>
            </w:r>
            <w:r w:rsidRPr="00033054">
              <w:rPr>
                <w:rFonts w:asciiTheme="majorHAnsi" w:hAnsiTheme="majorHAnsi"/>
                <w:b/>
                <w:bCs/>
                <w:sz w:val="24"/>
                <w:szCs w:val="24"/>
              </w:rPr>
              <w:fldChar w:fldCharType="separate"/>
            </w:r>
            <w:r w:rsidR="00DF3E35">
              <w:rPr>
                <w:rFonts w:asciiTheme="majorHAnsi" w:hAnsiTheme="majorHAnsi"/>
                <w:b/>
                <w:bCs/>
                <w:noProof/>
              </w:rPr>
              <w:t>11</w:t>
            </w:r>
            <w:r w:rsidRPr="00033054">
              <w:rPr>
                <w:rFonts w:asciiTheme="majorHAnsi" w:hAnsiTheme="majorHAnsi"/>
                <w:b/>
                <w:bCs/>
                <w:sz w:val="24"/>
                <w:szCs w:val="24"/>
              </w:rPr>
              <w:fldChar w:fldCharType="end"/>
            </w:r>
          </w:p>
        </w:sdtContent>
      </w:sdt>
    </w:sdtContent>
  </w:sdt>
  <w:p w14:paraId="180D327E" w14:textId="77777777" w:rsidR="00B243F5" w:rsidRDefault="00B24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9C305" w14:textId="77777777" w:rsidR="00B243F5" w:rsidRDefault="00B243F5" w:rsidP="00716F94">
      <w:pPr>
        <w:spacing w:after="0" w:line="240" w:lineRule="auto"/>
      </w:pPr>
      <w:r>
        <w:separator/>
      </w:r>
    </w:p>
  </w:footnote>
  <w:footnote w:type="continuationSeparator" w:id="0">
    <w:p w14:paraId="3A4C96BD" w14:textId="77777777" w:rsidR="00B243F5" w:rsidRDefault="00B243F5"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70B95" w14:textId="77777777" w:rsidR="00B243F5" w:rsidRPr="00716F94" w:rsidRDefault="00B243F5"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D7E8D"/>
    <w:multiLevelType w:val="hybridMultilevel"/>
    <w:tmpl w:val="8514E4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EB321B"/>
    <w:multiLevelType w:val="hybridMultilevel"/>
    <w:tmpl w:val="331E9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DC0FDC"/>
    <w:multiLevelType w:val="hybridMultilevel"/>
    <w:tmpl w:val="A336C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F0753"/>
    <w:multiLevelType w:val="hybridMultilevel"/>
    <w:tmpl w:val="5C16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481C8D"/>
    <w:multiLevelType w:val="hybridMultilevel"/>
    <w:tmpl w:val="978C547C"/>
    <w:lvl w:ilvl="0" w:tplc="7CDA5A3E">
      <w:start w:val="1"/>
      <w:numFmt w:val="upperLetter"/>
      <w:lvlText w:val="%1."/>
      <w:lvlJc w:val="left"/>
      <w:pPr>
        <w:ind w:left="720" w:hanging="360"/>
      </w:pPr>
      <w:rPr>
        <w:rFonts w:asciiTheme="majorHAnsi" w:eastAsia="Calibri" w:hAnsiTheme="majorHAnsi" w:cstheme="minorBidi"/>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235F67"/>
    <w:multiLevelType w:val="hybridMultilevel"/>
    <w:tmpl w:val="9A6A7BA2"/>
    <w:lvl w:ilvl="0" w:tplc="E1C03912">
      <w:start w:val="1"/>
      <w:numFmt w:val="bullet"/>
      <w:lvlText w:val=""/>
      <w:lvlJc w:val="left"/>
      <w:pPr>
        <w:ind w:left="360" w:hanging="360"/>
      </w:pPr>
      <w:rPr>
        <w:rFonts w:ascii="Wingdings" w:hAnsi="Wingdings" w:hint="default"/>
        <w:sz w:val="22"/>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0301EC"/>
    <w:multiLevelType w:val="hybridMultilevel"/>
    <w:tmpl w:val="C7B4E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F0FA1"/>
    <w:multiLevelType w:val="hybridMultilevel"/>
    <w:tmpl w:val="EB6298B8"/>
    <w:lvl w:ilvl="0" w:tplc="7C18286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76D81"/>
    <w:multiLevelType w:val="multilevel"/>
    <w:tmpl w:val="8E30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612206"/>
    <w:multiLevelType w:val="hybridMultilevel"/>
    <w:tmpl w:val="7C10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5060F5"/>
    <w:multiLevelType w:val="hybridMultilevel"/>
    <w:tmpl w:val="9EDE4E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5">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A91E7C"/>
    <w:multiLevelType w:val="hybridMultilevel"/>
    <w:tmpl w:val="449A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CE0978"/>
    <w:multiLevelType w:val="hybridMultilevel"/>
    <w:tmpl w:val="D828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07358B"/>
    <w:multiLevelType w:val="hybridMultilevel"/>
    <w:tmpl w:val="B184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6B6D3C"/>
    <w:multiLevelType w:val="hybridMultilevel"/>
    <w:tmpl w:val="3B54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7918CB"/>
    <w:multiLevelType w:val="hybridMultilevel"/>
    <w:tmpl w:val="B9A8D6AC"/>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537D13"/>
    <w:multiLevelType w:val="hybridMultilevel"/>
    <w:tmpl w:val="33FCB4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A57F0"/>
    <w:multiLevelType w:val="multilevel"/>
    <w:tmpl w:val="B826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561C4"/>
    <w:multiLevelType w:val="hybridMultilevel"/>
    <w:tmpl w:val="D602B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39"/>
  </w:num>
  <w:num w:numId="4">
    <w:abstractNumId w:val="15"/>
  </w:num>
  <w:num w:numId="5">
    <w:abstractNumId w:val="24"/>
  </w:num>
  <w:num w:numId="6">
    <w:abstractNumId w:val="9"/>
  </w:num>
  <w:num w:numId="7">
    <w:abstractNumId w:val="0"/>
  </w:num>
  <w:num w:numId="8">
    <w:abstractNumId w:val="5"/>
  </w:num>
  <w:num w:numId="9">
    <w:abstractNumId w:val="12"/>
  </w:num>
  <w:num w:numId="10">
    <w:abstractNumId w:val="28"/>
  </w:num>
  <w:num w:numId="11">
    <w:abstractNumId w:val="2"/>
  </w:num>
  <w:num w:numId="12">
    <w:abstractNumId w:val="36"/>
  </w:num>
  <w:num w:numId="13">
    <w:abstractNumId w:val="8"/>
  </w:num>
  <w:num w:numId="14">
    <w:abstractNumId w:val="3"/>
  </w:num>
  <w:num w:numId="15">
    <w:abstractNumId w:val="30"/>
  </w:num>
  <w:num w:numId="16">
    <w:abstractNumId w:val="31"/>
  </w:num>
  <w:num w:numId="17">
    <w:abstractNumId w:val="34"/>
  </w:num>
  <w:num w:numId="18">
    <w:abstractNumId w:val="19"/>
  </w:num>
  <w:num w:numId="19">
    <w:abstractNumId w:val="43"/>
  </w:num>
  <w:num w:numId="20">
    <w:abstractNumId w:val="26"/>
  </w:num>
  <w:num w:numId="21">
    <w:abstractNumId w:val="29"/>
  </w:num>
  <w:num w:numId="22">
    <w:abstractNumId w:val="25"/>
  </w:num>
  <w:num w:numId="23">
    <w:abstractNumId w:val="7"/>
  </w:num>
  <w:num w:numId="24">
    <w:abstractNumId w:val="42"/>
    <w:lvlOverride w:ilvl="0">
      <w:lvl w:ilvl="0">
        <w:start w:val="1"/>
        <w:numFmt w:val="decimal"/>
        <w:lvlText w:val="%1."/>
        <w:lvlJc w:val="left"/>
        <w:pPr>
          <w:ind w:left="72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5">
    <w:abstractNumId w:val="21"/>
  </w:num>
  <w:num w:numId="26">
    <w:abstractNumId w:val="6"/>
  </w:num>
  <w:num w:numId="27">
    <w:abstractNumId w:val="4"/>
  </w:num>
  <w:num w:numId="28">
    <w:abstractNumId w:val="32"/>
  </w:num>
  <w:num w:numId="29">
    <w:abstractNumId w:val="37"/>
  </w:num>
  <w:num w:numId="30">
    <w:abstractNumId w:val="41"/>
  </w:num>
  <w:num w:numId="31">
    <w:abstractNumId w:val="44"/>
  </w:num>
  <w:num w:numId="32">
    <w:abstractNumId w:val="38"/>
  </w:num>
  <w:num w:numId="33">
    <w:abstractNumId w:val="16"/>
  </w:num>
  <w:num w:numId="34">
    <w:abstractNumId w:val="17"/>
  </w:num>
  <w:num w:numId="35">
    <w:abstractNumId w:val="10"/>
  </w:num>
  <w:num w:numId="36">
    <w:abstractNumId w:val="23"/>
  </w:num>
  <w:num w:numId="37">
    <w:abstractNumId w:val="14"/>
  </w:num>
  <w:num w:numId="38">
    <w:abstractNumId w:val="27"/>
  </w:num>
  <w:num w:numId="39">
    <w:abstractNumId w:val="40"/>
  </w:num>
  <w:num w:numId="40">
    <w:abstractNumId w:val="13"/>
  </w:num>
  <w:num w:numId="41">
    <w:abstractNumId w:val="33"/>
  </w:num>
  <w:num w:numId="42">
    <w:abstractNumId w:val="11"/>
  </w:num>
  <w:num w:numId="43">
    <w:abstractNumId w:val="22"/>
  </w:num>
  <w:num w:numId="44">
    <w:abstractNumId w:val="35"/>
  </w:num>
  <w:num w:numId="45">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ff Treyens">
    <w15:presenceInfo w15:providerId="None" w15:userId="Cliff Trey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355F"/>
    <w:rsid w:val="00003BCA"/>
    <w:rsid w:val="00006687"/>
    <w:rsid w:val="00007CDB"/>
    <w:rsid w:val="00011A98"/>
    <w:rsid w:val="00011F8D"/>
    <w:rsid w:val="00012135"/>
    <w:rsid w:val="000130B4"/>
    <w:rsid w:val="00014361"/>
    <w:rsid w:val="00023C0B"/>
    <w:rsid w:val="00025ADF"/>
    <w:rsid w:val="000321C3"/>
    <w:rsid w:val="00033054"/>
    <w:rsid w:val="0003534C"/>
    <w:rsid w:val="0003652B"/>
    <w:rsid w:val="0004271D"/>
    <w:rsid w:val="000439A0"/>
    <w:rsid w:val="000449BD"/>
    <w:rsid w:val="000474FB"/>
    <w:rsid w:val="00051507"/>
    <w:rsid w:val="00053A92"/>
    <w:rsid w:val="00054839"/>
    <w:rsid w:val="00057B82"/>
    <w:rsid w:val="00057F36"/>
    <w:rsid w:val="0006140F"/>
    <w:rsid w:val="0006202C"/>
    <w:rsid w:val="00083B32"/>
    <w:rsid w:val="0008444C"/>
    <w:rsid w:val="00086677"/>
    <w:rsid w:val="00090422"/>
    <w:rsid w:val="000978DB"/>
    <w:rsid w:val="000A1F30"/>
    <w:rsid w:val="000A6112"/>
    <w:rsid w:val="000A71DF"/>
    <w:rsid w:val="000B0962"/>
    <w:rsid w:val="000B2CBC"/>
    <w:rsid w:val="000B4A02"/>
    <w:rsid w:val="000B772A"/>
    <w:rsid w:val="000C4601"/>
    <w:rsid w:val="000D5DE3"/>
    <w:rsid w:val="000E25FD"/>
    <w:rsid w:val="000E265D"/>
    <w:rsid w:val="000E394C"/>
    <w:rsid w:val="000E4367"/>
    <w:rsid w:val="000E5F52"/>
    <w:rsid w:val="000E6577"/>
    <w:rsid w:val="000E7832"/>
    <w:rsid w:val="000E7A19"/>
    <w:rsid w:val="000F3018"/>
    <w:rsid w:val="000F3F13"/>
    <w:rsid w:val="000F6286"/>
    <w:rsid w:val="00104A1B"/>
    <w:rsid w:val="00111A03"/>
    <w:rsid w:val="00111AC1"/>
    <w:rsid w:val="001133D5"/>
    <w:rsid w:val="001177DD"/>
    <w:rsid w:val="00121FCF"/>
    <w:rsid w:val="001234F7"/>
    <w:rsid w:val="00126D2D"/>
    <w:rsid w:val="00130451"/>
    <w:rsid w:val="00132E56"/>
    <w:rsid w:val="001343E9"/>
    <w:rsid w:val="00135334"/>
    <w:rsid w:val="00135ABC"/>
    <w:rsid w:val="00140318"/>
    <w:rsid w:val="001412D4"/>
    <w:rsid w:val="0014232D"/>
    <w:rsid w:val="00142C44"/>
    <w:rsid w:val="00144F64"/>
    <w:rsid w:val="00145D62"/>
    <w:rsid w:val="0014656C"/>
    <w:rsid w:val="0014667A"/>
    <w:rsid w:val="001507DC"/>
    <w:rsid w:val="00150E75"/>
    <w:rsid w:val="00151567"/>
    <w:rsid w:val="00160F38"/>
    <w:rsid w:val="001635C8"/>
    <w:rsid w:val="001636E7"/>
    <w:rsid w:val="00163E17"/>
    <w:rsid w:val="00166F9E"/>
    <w:rsid w:val="00167880"/>
    <w:rsid w:val="0017248D"/>
    <w:rsid w:val="00175AA1"/>
    <w:rsid w:val="001766D2"/>
    <w:rsid w:val="00177222"/>
    <w:rsid w:val="00177C22"/>
    <w:rsid w:val="00180D45"/>
    <w:rsid w:val="00187870"/>
    <w:rsid w:val="00187B67"/>
    <w:rsid w:val="00187D5A"/>
    <w:rsid w:val="001908F4"/>
    <w:rsid w:val="00190C81"/>
    <w:rsid w:val="00196285"/>
    <w:rsid w:val="00196E9D"/>
    <w:rsid w:val="001972D7"/>
    <w:rsid w:val="001A0834"/>
    <w:rsid w:val="001A28F6"/>
    <w:rsid w:val="001B0642"/>
    <w:rsid w:val="001B22F7"/>
    <w:rsid w:val="001B27D4"/>
    <w:rsid w:val="001B2831"/>
    <w:rsid w:val="001B4065"/>
    <w:rsid w:val="001B792A"/>
    <w:rsid w:val="001C0050"/>
    <w:rsid w:val="001C0493"/>
    <w:rsid w:val="001C28AD"/>
    <w:rsid w:val="001C2D8D"/>
    <w:rsid w:val="001C439F"/>
    <w:rsid w:val="001C758F"/>
    <w:rsid w:val="001D1D63"/>
    <w:rsid w:val="001D41C6"/>
    <w:rsid w:val="001D48E3"/>
    <w:rsid w:val="001D786F"/>
    <w:rsid w:val="001D7B3D"/>
    <w:rsid w:val="001D7FCB"/>
    <w:rsid w:val="001E117A"/>
    <w:rsid w:val="001E2B99"/>
    <w:rsid w:val="001E3F44"/>
    <w:rsid w:val="001E6738"/>
    <w:rsid w:val="001E69B6"/>
    <w:rsid w:val="001E7136"/>
    <w:rsid w:val="001F2F08"/>
    <w:rsid w:val="001F4DBB"/>
    <w:rsid w:val="002013EB"/>
    <w:rsid w:val="00202D07"/>
    <w:rsid w:val="0020312D"/>
    <w:rsid w:val="00204D16"/>
    <w:rsid w:val="00206E33"/>
    <w:rsid w:val="00207271"/>
    <w:rsid w:val="00210519"/>
    <w:rsid w:val="00227259"/>
    <w:rsid w:val="002277AF"/>
    <w:rsid w:val="002278C6"/>
    <w:rsid w:val="00241B17"/>
    <w:rsid w:val="00241C81"/>
    <w:rsid w:val="00242954"/>
    <w:rsid w:val="00246CAA"/>
    <w:rsid w:val="00250A4C"/>
    <w:rsid w:val="002511C3"/>
    <w:rsid w:val="00253B1F"/>
    <w:rsid w:val="00256F52"/>
    <w:rsid w:val="00257A1C"/>
    <w:rsid w:val="00271691"/>
    <w:rsid w:val="0027234C"/>
    <w:rsid w:val="00280419"/>
    <w:rsid w:val="00281795"/>
    <w:rsid w:val="002850E3"/>
    <w:rsid w:val="00285EDB"/>
    <w:rsid w:val="00287E2F"/>
    <w:rsid w:val="00293660"/>
    <w:rsid w:val="00294398"/>
    <w:rsid w:val="0029466E"/>
    <w:rsid w:val="002A1948"/>
    <w:rsid w:val="002A68C6"/>
    <w:rsid w:val="002B3A49"/>
    <w:rsid w:val="002B3EB7"/>
    <w:rsid w:val="002B4606"/>
    <w:rsid w:val="002B4972"/>
    <w:rsid w:val="002B618F"/>
    <w:rsid w:val="002C0877"/>
    <w:rsid w:val="002C2AE2"/>
    <w:rsid w:val="002C53AB"/>
    <w:rsid w:val="002D0DA3"/>
    <w:rsid w:val="002D0DCE"/>
    <w:rsid w:val="002D0DCF"/>
    <w:rsid w:val="002E2202"/>
    <w:rsid w:val="002E2B10"/>
    <w:rsid w:val="002E32AA"/>
    <w:rsid w:val="002E448C"/>
    <w:rsid w:val="002E73B0"/>
    <w:rsid w:val="002F0CC8"/>
    <w:rsid w:val="002F1502"/>
    <w:rsid w:val="002F2069"/>
    <w:rsid w:val="002F5BFE"/>
    <w:rsid w:val="002F71A2"/>
    <w:rsid w:val="003041AD"/>
    <w:rsid w:val="00304DAF"/>
    <w:rsid w:val="00310776"/>
    <w:rsid w:val="0031167C"/>
    <w:rsid w:val="0031279F"/>
    <w:rsid w:val="0031337B"/>
    <w:rsid w:val="00316F00"/>
    <w:rsid w:val="00321018"/>
    <w:rsid w:val="003212F0"/>
    <w:rsid w:val="00321B51"/>
    <w:rsid w:val="00326A05"/>
    <w:rsid w:val="003272AF"/>
    <w:rsid w:val="00335C67"/>
    <w:rsid w:val="00336D96"/>
    <w:rsid w:val="00344F07"/>
    <w:rsid w:val="003469C8"/>
    <w:rsid w:val="00350BF7"/>
    <w:rsid w:val="00350C8B"/>
    <w:rsid w:val="00350C8C"/>
    <w:rsid w:val="00355EA4"/>
    <w:rsid w:val="003570E6"/>
    <w:rsid w:val="0036320E"/>
    <w:rsid w:val="003635BE"/>
    <w:rsid w:val="00366B5E"/>
    <w:rsid w:val="003708D8"/>
    <w:rsid w:val="003713F1"/>
    <w:rsid w:val="003812DD"/>
    <w:rsid w:val="00385948"/>
    <w:rsid w:val="00385BB5"/>
    <w:rsid w:val="00386BC2"/>
    <w:rsid w:val="00390874"/>
    <w:rsid w:val="0039394B"/>
    <w:rsid w:val="00394733"/>
    <w:rsid w:val="003A533E"/>
    <w:rsid w:val="003A70B4"/>
    <w:rsid w:val="003B125E"/>
    <w:rsid w:val="003B2566"/>
    <w:rsid w:val="003C064C"/>
    <w:rsid w:val="003C31C9"/>
    <w:rsid w:val="003C4961"/>
    <w:rsid w:val="003C7C5D"/>
    <w:rsid w:val="003D0AD2"/>
    <w:rsid w:val="003E3055"/>
    <w:rsid w:val="003E4302"/>
    <w:rsid w:val="003E56E0"/>
    <w:rsid w:val="003E5EBA"/>
    <w:rsid w:val="003E639F"/>
    <w:rsid w:val="003E7D66"/>
    <w:rsid w:val="003E7F17"/>
    <w:rsid w:val="003F01CE"/>
    <w:rsid w:val="003F2739"/>
    <w:rsid w:val="003F5903"/>
    <w:rsid w:val="003F5913"/>
    <w:rsid w:val="003F694F"/>
    <w:rsid w:val="004024F8"/>
    <w:rsid w:val="00405696"/>
    <w:rsid w:val="0041159A"/>
    <w:rsid w:val="00413248"/>
    <w:rsid w:val="004133F4"/>
    <w:rsid w:val="00420FB9"/>
    <w:rsid w:val="00421551"/>
    <w:rsid w:val="004263D3"/>
    <w:rsid w:val="004305A8"/>
    <w:rsid w:val="00432127"/>
    <w:rsid w:val="004338BE"/>
    <w:rsid w:val="004353D5"/>
    <w:rsid w:val="00443CA0"/>
    <w:rsid w:val="00450E14"/>
    <w:rsid w:val="004535DF"/>
    <w:rsid w:val="00455F2C"/>
    <w:rsid w:val="00462C65"/>
    <w:rsid w:val="004674E7"/>
    <w:rsid w:val="00467B14"/>
    <w:rsid w:val="00470847"/>
    <w:rsid w:val="00472BFC"/>
    <w:rsid w:val="00474EDA"/>
    <w:rsid w:val="004760F0"/>
    <w:rsid w:val="00480C39"/>
    <w:rsid w:val="0048121D"/>
    <w:rsid w:val="004824FA"/>
    <w:rsid w:val="00484011"/>
    <w:rsid w:val="004841F1"/>
    <w:rsid w:val="0048447C"/>
    <w:rsid w:val="004876A2"/>
    <w:rsid w:val="00491E00"/>
    <w:rsid w:val="00493E56"/>
    <w:rsid w:val="00495669"/>
    <w:rsid w:val="00496957"/>
    <w:rsid w:val="00496A38"/>
    <w:rsid w:val="004A1DE8"/>
    <w:rsid w:val="004A1E3A"/>
    <w:rsid w:val="004A26D6"/>
    <w:rsid w:val="004A43D7"/>
    <w:rsid w:val="004A48BA"/>
    <w:rsid w:val="004B0E6D"/>
    <w:rsid w:val="004B25BB"/>
    <w:rsid w:val="004B46D6"/>
    <w:rsid w:val="004B6D62"/>
    <w:rsid w:val="004B6ED1"/>
    <w:rsid w:val="004B746D"/>
    <w:rsid w:val="004C0BF6"/>
    <w:rsid w:val="004C22CB"/>
    <w:rsid w:val="004C2E3C"/>
    <w:rsid w:val="004C4464"/>
    <w:rsid w:val="004C4AEA"/>
    <w:rsid w:val="004D0430"/>
    <w:rsid w:val="004D1DAA"/>
    <w:rsid w:val="004D4EB1"/>
    <w:rsid w:val="004E003C"/>
    <w:rsid w:val="004E16EB"/>
    <w:rsid w:val="004E1A13"/>
    <w:rsid w:val="004E6665"/>
    <w:rsid w:val="004E6FAE"/>
    <w:rsid w:val="004F00EE"/>
    <w:rsid w:val="004F634E"/>
    <w:rsid w:val="004F67A8"/>
    <w:rsid w:val="00503354"/>
    <w:rsid w:val="0050558F"/>
    <w:rsid w:val="005109BE"/>
    <w:rsid w:val="00510A5F"/>
    <w:rsid w:val="0051158C"/>
    <w:rsid w:val="00513741"/>
    <w:rsid w:val="0051582C"/>
    <w:rsid w:val="00516512"/>
    <w:rsid w:val="00516756"/>
    <w:rsid w:val="00517523"/>
    <w:rsid w:val="00522997"/>
    <w:rsid w:val="00522A50"/>
    <w:rsid w:val="00522C2B"/>
    <w:rsid w:val="0052368E"/>
    <w:rsid w:val="00527225"/>
    <w:rsid w:val="0053236F"/>
    <w:rsid w:val="00532CA0"/>
    <w:rsid w:val="00533D96"/>
    <w:rsid w:val="0053557D"/>
    <w:rsid w:val="0053675C"/>
    <w:rsid w:val="00537079"/>
    <w:rsid w:val="005410E3"/>
    <w:rsid w:val="005463DE"/>
    <w:rsid w:val="00546DC2"/>
    <w:rsid w:val="00552E25"/>
    <w:rsid w:val="005542E8"/>
    <w:rsid w:val="00554FC6"/>
    <w:rsid w:val="00556630"/>
    <w:rsid w:val="0055686D"/>
    <w:rsid w:val="00560B12"/>
    <w:rsid w:val="005629EE"/>
    <w:rsid w:val="00564D15"/>
    <w:rsid w:val="00566157"/>
    <w:rsid w:val="005665FF"/>
    <w:rsid w:val="00567DFF"/>
    <w:rsid w:val="0057035F"/>
    <w:rsid w:val="00572CF2"/>
    <w:rsid w:val="005739D6"/>
    <w:rsid w:val="00575FD7"/>
    <w:rsid w:val="00576371"/>
    <w:rsid w:val="005800EE"/>
    <w:rsid w:val="005857DB"/>
    <w:rsid w:val="005869D6"/>
    <w:rsid w:val="00590B9C"/>
    <w:rsid w:val="00590E83"/>
    <w:rsid w:val="0059331E"/>
    <w:rsid w:val="005962E5"/>
    <w:rsid w:val="005968E3"/>
    <w:rsid w:val="00596ED6"/>
    <w:rsid w:val="005A134C"/>
    <w:rsid w:val="005A25FD"/>
    <w:rsid w:val="005A33F6"/>
    <w:rsid w:val="005A59E5"/>
    <w:rsid w:val="005A601D"/>
    <w:rsid w:val="005B05FF"/>
    <w:rsid w:val="005B286F"/>
    <w:rsid w:val="005B7440"/>
    <w:rsid w:val="005B7679"/>
    <w:rsid w:val="005C1007"/>
    <w:rsid w:val="005C1769"/>
    <w:rsid w:val="005C33D6"/>
    <w:rsid w:val="005C42E9"/>
    <w:rsid w:val="005C51AD"/>
    <w:rsid w:val="005C7241"/>
    <w:rsid w:val="005C7327"/>
    <w:rsid w:val="005D456D"/>
    <w:rsid w:val="005D6FFD"/>
    <w:rsid w:val="005E2150"/>
    <w:rsid w:val="005E2995"/>
    <w:rsid w:val="005E3F6C"/>
    <w:rsid w:val="005E4957"/>
    <w:rsid w:val="005E4B28"/>
    <w:rsid w:val="005E6CAB"/>
    <w:rsid w:val="005E75E0"/>
    <w:rsid w:val="005E7780"/>
    <w:rsid w:val="005F3FEF"/>
    <w:rsid w:val="005F47A1"/>
    <w:rsid w:val="005F67BE"/>
    <w:rsid w:val="005F68B8"/>
    <w:rsid w:val="00600C4F"/>
    <w:rsid w:val="00604971"/>
    <w:rsid w:val="0060782A"/>
    <w:rsid w:val="00607F7C"/>
    <w:rsid w:val="0061018C"/>
    <w:rsid w:val="006102DA"/>
    <w:rsid w:val="00612267"/>
    <w:rsid w:val="00616090"/>
    <w:rsid w:val="00623F4C"/>
    <w:rsid w:val="0062760E"/>
    <w:rsid w:val="006315A3"/>
    <w:rsid w:val="00634AFF"/>
    <w:rsid w:val="00635D22"/>
    <w:rsid w:val="00636732"/>
    <w:rsid w:val="0063675F"/>
    <w:rsid w:val="00637246"/>
    <w:rsid w:val="006374C1"/>
    <w:rsid w:val="006374E8"/>
    <w:rsid w:val="00642303"/>
    <w:rsid w:val="006514E9"/>
    <w:rsid w:val="006525B9"/>
    <w:rsid w:val="0065553A"/>
    <w:rsid w:val="006579A2"/>
    <w:rsid w:val="00661A38"/>
    <w:rsid w:val="0066349A"/>
    <w:rsid w:val="006658FD"/>
    <w:rsid w:val="00665F7D"/>
    <w:rsid w:val="00667C89"/>
    <w:rsid w:val="006711EE"/>
    <w:rsid w:val="0067192C"/>
    <w:rsid w:val="006809BB"/>
    <w:rsid w:val="006809FD"/>
    <w:rsid w:val="006843AC"/>
    <w:rsid w:val="0069009D"/>
    <w:rsid w:val="006913F1"/>
    <w:rsid w:val="00691D1F"/>
    <w:rsid w:val="006939F7"/>
    <w:rsid w:val="00693E55"/>
    <w:rsid w:val="00695B87"/>
    <w:rsid w:val="00695F6C"/>
    <w:rsid w:val="00697161"/>
    <w:rsid w:val="00697BAE"/>
    <w:rsid w:val="006A22E0"/>
    <w:rsid w:val="006A4024"/>
    <w:rsid w:val="006A50BF"/>
    <w:rsid w:val="006B4810"/>
    <w:rsid w:val="006B4DDC"/>
    <w:rsid w:val="006B58E8"/>
    <w:rsid w:val="006B5E55"/>
    <w:rsid w:val="006B68D9"/>
    <w:rsid w:val="006B75A4"/>
    <w:rsid w:val="006C114C"/>
    <w:rsid w:val="006C3E46"/>
    <w:rsid w:val="006C40F8"/>
    <w:rsid w:val="006C4DA7"/>
    <w:rsid w:val="006C6B8A"/>
    <w:rsid w:val="006D25A1"/>
    <w:rsid w:val="006D2CA9"/>
    <w:rsid w:val="006D63C2"/>
    <w:rsid w:val="006E06C4"/>
    <w:rsid w:val="006E14E9"/>
    <w:rsid w:val="006F09A2"/>
    <w:rsid w:val="006F17FC"/>
    <w:rsid w:val="006F21FD"/>
    <w:rsid w:val="006F6856"/>
    <w:rsid w:val="006F7B18"/>
    <w:rsid w:val="00703240"/>
    <w:rsid w:val="00704F6B"/>
    <w:rsid w:val="00706113"/>
    <w:rsid w:val="00710202"/>
    <w:rsid w:val="00711B7E"/>
    <w:rsid w:val="007145D0"/>
    <w:rsid w:val="00716F94"/>
    <w:rsid w:val="0072436B"/>
    <w:rsid w:val="00745FDE"/>
    <w:rsid w:val="00747527"/>
    <w:rsid w:val="00750198"/>
    <w:rsid w:val="0075165D"/>
    <w:rsid w:val="00753476"/>
    <w:rsid w:val="0075436C"/>
    <w:rsid w:val="00756560"/>
    <w:rsid w:val="00760E12"/>
    <w:rsid w:val="007616D8"/>
    <w:rsid w:val="007627EF"/>
    <w:rsid w:val="00763CF3"/>
    <w:rsid w:val="0076436F"/>
    <w:rsid w:val="00767C58"/>
    <w:rsid w:val="00772293"/>
    <w:rsid w:val="00772DB4"/>
    <w:rsid w:val="00776981"/>
    <w:rsid w:val="007815D6"/>
    <w:rsid w:val="00781AE3"/>
    <w:rsid w:val="007839D4"/>
    <w:rsid w:val="00783C75"/>
    <w:rsid w:val="00784619"/>
    <w:rsid w:val="00784ABF"/>
    <w:rsid w:val="0078564A"/>
    <w:rsid w:val="0078627B"/>
    <w:rsid w:val="0078765B"/>
    <w:rsid w:val="007928C4"/>
    <w:rsid w:val="007930B1"/>
    <w:rsid w:val="00794E32"/>
    <w:rsid w:val="007A0031"/>
    <w:rsid w:val="007A0D73"/>
    <w:rsid w:val="007B305A"/>
    <w:rsid w:val="007B54A9"/>
    <w:rsid w:val="007C6D5C"/>
    <w:rsid w:val="007D0798"/>
    <w:rsid w:val="007D6CE2"/>
    <w:rsid w:val="007E211A"/>
    <w:rsid w:val="007E575D"/>
    <w:rsid w:val="007E66F3"/>
    <w:rsid w:val="007E6AEF"/>
    <w:rsid w:val="007F05C8"/>
    <w:rsid w:val="00803577"/>
    <w:rsid w:val="0080587E"/>
    <w:rsid w:val="008101DC"/>
    <w:rsid w:val="00811792"/>
    <w:rsid w:val="00812256"/>
    <w:rsid w:val="00815C7D"/>
    <w:rsid w:val="00817941"/>
    <w:rsid w:val="00817986"/>
    <w:rsid w:val="0082016D"/>
    <w:rsid w:val="008229E4"/>
    <w:rsid w:val="00823547"/>
    <w:rsid w:val="00825621"/>
    <w:rsid w:val="008261AB"/>
    <w:rsid w:val="008269AB"/>
    <w:rsid w:val="00826A42"/>
    <w:rsid w:val="00832A28"/>
    <w:rsid w:val="00834C91"/>
    <w:rsid w:val="00835CA7"/>
    <w:rsid w:val="008370D4"/>
    <w:rsid w:val="00837264"/>
    <w:rsid w:val="008414AD"/>
    <w:rsid w:val="00841EDC"/>
    <w:rsid w:val="008428D9"/>
    <w:rsid w:val="00844A74"/>
    <w:rsid w:val="0085007A"/>
    <w:rsid w:val="008505F3"/>
    <w:rsid w:val="0085446A"/>
    <w:rsid w:val="00860CC0"/>
    <w:rsid w:val="0087258D"/>
    <w:rsid w:val="008744BA"/>
    <w:rsid w:val="00877F51"/>
    <w:rsid w:val="0088467A"/>
    <w:rsid w:val="00884DB9"/>
    <w:rsid w:val="008851ED"/>
    <w:rsid w:val="0089236E"/>
    <w:rsid w:val="0089292A"/>
    <w:rsid w:val="0089725D"/>
    <w:rsid w:val="008A131C"/>
    <w:rsid w:val="008B47DC"/>
    <w:rsid w:val="008B6144"/>
    <w:rsid w:val="008C1B86"/>
    <w:rsid w:val="008C67D2"/>
    <w:rsid w:val="008D7D28"/>
    <w:rsid w:val="008E03D4"/>
    <w:rsid w:val="008E0683"/>
    <w:rsid w:val="008E4F9E"/>
    <w:rsid w:val="008F03F1"/>
    <w:rsid w:val="008F3C6E"/>
    <w:rsid w:val="008F5320"/>
    <w:rsid w:val="009005A4"/>
    <w:rsid w:val="00902DD9"/>
    <w:rsid w:val="00904121"/>
    <w:rsid w:val="00911486"/>
    <w:rsid w:val="009129CA"/>
    <w:rsid w:val="009206B6"/>
    <w:rsid w:val="00920A94"/>
    <w:rsid w:val="00920B66"/>
    <w:rsid w:val="00921D5D"/>
    <w:rsid w:val="009252DC"/>
    <w:rsid w:val="009263C1"/>
    <w:rsid w:val="00927CD5"/>
    <w:rsid w:val="00934DE8"/>
    <w:rsid w:val="00941B4F"/>
    <w:rsid w:val="00943538"/>
    <w:rsid w:val="00943562"/>
    <w:rsid w:val="00943B72"/>
    <w:rsid w:val="0094717A"/>
    <w:rsid w:val="009518C0"/>
    <w:rsid w:val="0095688D"/>
    <w:rsid w:val="00956E28"/>
    <w:rsid w:val="00956F81"/>
    <w:rsid w:val="00957E05"/>
    <w:rsid w:val="009624D6"/>
    <w:rsid w:val="00963CE3"/>
    <w:rsid w:val="00964583"/>
    <w:rsid w:val="00964757"/>
    <w:rsid w:val="009648E7"/>
    <w:rsid w:val="00964F18"/>
    <w:rsid w:val="00965938"/>
    <w:rsid w:val="00965EA4"/>
    <w:rsid w:val="00966BC5"/>
    <w:rsid w:val="00966D5E"/>
    <w:rsid w:val="00971146"/>
    <w:rsid w:val="00972C2C"/>
    <w:rsid w:val="009735EE"/>
    <w:rsid w:val="00974424"/>
    <w:rsid w:val="00977620"/>
    <w:rsid w:val="00987F76"/>
    <w:rsid w:val="00992A02"/>
    <w:rsid w:val="00993088"/>
    <w:rsid w:val="00995F84"/>
    <w:rsid w:val="0099664F"/>
    <w:rsid w:val="00997D5D"/>
    <w:rsid w:val="009A0447"/>
    <w:rsid w:val="009A1045"/>
    <w:rsid w:val="009A2CE5"/>
    <w:rsid w:val="009A53DE"/>
    <w:rsid w:val="009A5AAB"/>
    <w:rsid w:val="009B21FE"/>
    <w:rsid w:val="009B4A51"/>
    <w:rsid w:val="009B4C13"/>
    <w:rsid w:val="009C28B1"/>
    <w:rsid w:val="009C40A2"/>
    <w:rsid w:val="009C61AD"/>
    <w:rsid w:val="009D2E57"/>
    <w:rsid w:val="009D373D"/>
    <w:rsid w:val="009D3BBE"/>
    <w:rsid w:val="009D5ACF"/>
    <w:rsid w:val="009D7B2C"/>
    <w:rsid w:val="009E0801"/>
    <w:rsid w:val="009E1D05"/>
    <w:rsid w:val="009E27FF"/>
    <w:rsid w:val="009E3C25"/>
    <w:rsid w:val="009F023D"/>
    <w:rsid w:val="009F3A54"/>
    <w:rsid w:val="009F7DE0"/>
    <w:rsid w:val="00A048C5"/>
    <w:rsid w:val="00A11B0C"/>
    <w:rsid w:val="00A131D0"/>
    <w:rsid w:val="00A13D55"/>
    <w:rsid w:val="00A225F4"/>
    <w:rsid w:val="00A242FC"/>
    <w:rsid w:val="00A33B35"/>
    <w:rsid w:val="00A33DC0"/>
    <w:rsid w:val="00A33E90"/>
    <w:rsid w:val="00A350F5"/>
    <w:rsid w:val="00A36419"/>
    <w:rsid w:val="00A36AF8"/>
    <w:rsid w:val="00A44921"/>
    <w:rsid w:val="00A50DE0"/>
    <w:rsid w:val="00A56745"/>
    <w:rsid w:val="00A578C2"/>
    <w:rsid w:val="00A6145C"/>
    <w:rsid w:val="00A61B45"/>
    <w:rsid w:val="00A630A7"/>
    <w:rsid w:val="00A640BB"/>
    <w:rsid w:val="00A65E4B"/>
    <w:rsid w:val="00A72652"/>
    <w:rsid w:val="00A75D1C"/>
    <w:rsid w:val="00A809AA"/>
    <w:rsid w:val="00A82A1A"/>
    <w:rsid w:val="00A849B3"/>
    <w:rsid w:val="00A8510D"/>
    <w:rsid w:val="00A86A9D"/>
    <w:rsid w:val="00A86AF3"/>
    <w:rsid w:val="00A87F2C"/>
    <w:rsid w:val="00A90AFF"/>
    <w:rsid w:val="00A90BDC"/>
    <w:rsid w:val="00A95477"/>
    <w:rsid w:val="00A975A9"/>
    <w:rsid w:val="00A97EA3"/>
    <w:rsid w:val="00AA03B5"/>
    <w:rsid w:val="00AA3192"/>
    <w:rsid w:val="00AA55C3"/>
    <w:rsid w:val="00AA68A8"/>
    <w:rsid w:val="00AB0486"/>
    <w:rsid w:val="00AB251E"/>
    <w:rsid w:val="00AB3608"/>
    <w:rsid w:val="00AB4DC0"/>
    <w:rsid w:val="00AB66C8"/>
    <w:rsid w:val="00AB6D1A"/>
    <w:rsid w:val="00AB7195"/>
    <w:rsid w:val="00AC0205"/>
    <w:rsid w:val="00AC336C"/>
    <w:rsid w:val="00AC5C48"/>
    <w:rsid w:val="00AC63E3"/>
    <w:rsid w:val="00AC710D"/>
    <w:rsid w:val="00AD2A75"/>
    <w:rsid w:val="00AD3B8E"/>
    <w:rsid w:val="00AD5388"/>
    <w:rsid w:val="00AD6C8D"/>
    <w:rsid w:val="00AE1895"/>
    <w:rsid w:val="00AE19E6"/>
    <w:rsid w:val="00AE3464"/>
    <w:rsid w:val="00AE391E"/>
    <w:rsid w:val="00AE5596"/>
    <w:rsid w:val="00AF0376"/>
    <w:rsid w:val="00AF0CF4"/>
    <w:rsid w:val="00AF2252"/>
    <w:rsid w:val="00AF37D1"/>
    <w:rsid w:val="00AF62A8"/>
    <w:rsid w:val="00B00B12"/>
    <w:rsid w:val="00B02148"/>
    <w:rsid w:val="00B02859"/>
    <w:rsid w:val="00B04C62"/>
    <w:rsid w:val="00B06AEA"/>
    <w:rsid w:val="00B07E57"/>
    <w:rsid w:val="00B1129F"/>
    <w:rsid w:val="00B11D61"/>
    <w:rsid w:val="00B12F51"/>
    <w:rsid w:val="00B243F5"/>
    <w:rsid w:val="00B2751E"/>
    <w:rsid w:val="00B364E5"/>
    <w:rsid w:val="00B3650C"/>
    <w:rsid w:val="00B42C1B"/>
    <w:rsid w:val="00B47055"/>
    <w:rsid w:val="00B561CA"/>
    <w:rsid w:val="00B64BFA"/>
    <w:rsid w:val="00B65D93"/>
    <w:rsid w:val="00B6746A"/>
    <w:rsid w:val="00B71E63"/>
    <w:rsid w:val="00B75D93"/>
    <w:rsid w:val="00B85DE4"/>
    <w:rsid w:val="00B87AAD"/>
    <w:rsid w:val="00B91A31"/>
    <w:rsid w:val="00B96B5A"/>
    <w:rsid w:val="00B96F1E"/>
    <w:rsid w:val="00B975F7"/>
    <w:rsid w:val="00BA38FE"/>
    <w:rsid w:val="00BA6C28"/>
    <w:rsid w:val="00BA6DB4"/>
    <w:rsid w:val="00BB6E23"/>
    <w:rsid w:val="00BC0BC7"/>
    <w:rsid w:val="00BC3F3C"/>
    <w:rsid w:val="00BC52B4"/>
    <w:rsid w:val="00BC5BB2"/>
    <w:rsid w:val="00BD092C"/>
    <w:rsid w:val="00BD09FE"/>
    <w:rsid w:val="00BD3159"/>
    <w:rsid w:val="00BD6655"/>
    <w:rsid w:val="00BD667A"/>
    <w:rsid w:val="00BE738E"/>
    <w:rsid w:val="00BF038D"/>
    <w:rsid w:val="00BF11A1"/>
    <w:rsid w:val="00BF218B"/>
    <w:rsid w:val="00BF3F54"/>
    <w:rsid w:val="00BF4C85"/>
    <w:rsid w:val="00C00697"/>
    <w:rsid w:val="00C0376C"/>
    <w:rsid w:val="00C06D77"/>
    <w:rsid w:val="00C13232"/>
    <w:rsid w:val="00C14BA6"/>
    <w:rsid w:val="00C179EE"/>
    <w:rsid w:val="00C17BB4"/>
    <w:rsid w:val="00C208F6"/>
    <w:rsid w:val="00C238F3"/>
    <w:rsid w:val="00C25C86"/>
    <w:rsid w:val="00C278B0"/>
    <w:rsid w:val="00C30216"/>
    <w:rsid w:val="00C30EB8"/>
    <w:rsid w:val="00C3485C"/>
    <w:rsid w:val="00C3614E"/>
    <w:rsid w:val="00C3652C"/>
    <w:rsid w:val="00C41CC8"/>
    <w:rsid w:val="00C4569B"/>
    <w:rsid w:val="00C544A4"/>
    <w:rsid w:val="00C54555"/>
    <w:rsid w:val="00C60D39"/>
    <w:rsid w:val="00C65525"/>
    <w:rsid w:val="00C66E6A"/>
    <w:rsid w:val="00C671F8"/>
    <w:rsid w:val="00C7020C"/>
    <w:rsid w:val="00C768E5"/>
    <w:rsid w:val="00C7703B"/>
    <w:rsid w:val="00C8045B"/>
    <w:rsid w:val="00C8648C"/>
    <w:rsid w:val="00C90AC9"/>
    <w:rsid w:val="00C9313C"/>
    <w:rsid w:val="00C96DD1"/>
    <w:rsid w:val="00CA1E3D"/>
    <w:rsid w:val="00CA2004"/>
    <w:rsid w:val="00CA2A40"/>
    <w:rsid w:val="00CA3CC9"/>
    <w:rsid w:val="00CA5B99"/>
    <w:rsid w:val="00CB334D"/>
    <w:rsid w:val="00CB56D5"/>
    <w:rsid w:val="00CC498B"/>
    <w:rsid w:val="00CC4DA8"/>
    <w:rsid w:val="00CC52C5"/>
    <w:rsid w:val="00CD1EA8"/>
    <w:rsid w:val="00CE0505"/>
    <w:rsid w:val="00CE0FDA"/>
    <w:rsid w:val="00CE141F"/>
    <w:rsid w:val="00CE3324"/>
    <w:rsid w:val="00CE5304"/>
    <w:rsid w:val="00CE5937"/>
    <w:rsid w:val="00CE6020"/>
    <w:rsid w:val="00CF280B"/>
    <w:rsid w:val="00CF5ABD"/>
    <w:rsid w:val="00CF63CE"/>
    <w:rsid w:val="00CF727B"/>
    <w:rsid w:val="00D010A6"/>
    <w:rsid w:val="00D03F47"/>
    <w:rsid w:val="00D054BA"/>
    <w:rsid w:val="00D067C1"/>
    <w:rsid w:val="00D13B13"/>
    <w:rsid w:val="00D150A4"/>
    <w:rsid w:val="00D16E78"/>
    <w:rsid w:val="00D201D3"/>
    <w:rsid w:val="00D20CD6"/>
    <w:rsid w:val="00D26A64"/>
    <w:rsid w:val="00D32DB2"/>
    <w:rsid w:val="00D408E1"/>
    <w:rsid w:val="00D40FC1"/>
    <w:rsid w:val="00D43AB1"/>
    <w:rsid w:val="00D45ED8"/>
    <w:rsid w:val="00D50998"/>
    <w:rsid w:val="00D52202"/>
    <w:rsid w:val="00D52B9A"/>
    <w:rsid w:val="00D53473"/>
    <w:rsid w:val="00D5367E"/>
    <w:rsid w:val="00D53B1E"/>
    <w:rsid w:val="00D5716F"/>
    <w:rsid w:val="00D57DA8"/>
    <w:rsid w:val="00D65B10"/>
    <w:rsid w:val="00D65D01"/>
    <w:rsid w:val="00D7116E"/>
    <w:rsid w:val="00D75750"/>
    <w:rsid w:val="00D83EF7"/>
    <w:rsid w:val="00D84EF0"/>
    <w:rsid w:val="00D861ED"/>
    <w:rsid w:val="00D873E0"/>
    <w:rsid w:val="00D90C65"/>
    <w:rsid w:val="00D94F8B"/>
    <w:rsid w:val="00D95AE7"/>
    <w:rsid w:val="00D95FBF"/>
    <w:rsid w:val="00D96C8F"/>
    <w:rsid w:val="00DA156C"/>
    <w:rsid w:val="00DA1ABF"/>
    <w:rsid w:val="00DA1FFF"/>
    <w:rsid w:val="00DA2827"/>
    <w:rsid w:val="00DA4E82"/>
    <w:rsid w:val="00DA5900"/>
    <w:rsid w:val="00DA5988"/>
    <w:rsid w:val="00DA786B"/>
    <w:rsid w:val="00DB0050"/>
    <w:rsid w:val="00DB4040"/>
    <w:rsid w:val="00DB41F2"/>
    <w:rsid w:val="00DB7F78"/>
    <w:rsid w:val="00DC317C"/>
    <w:rsid w:val="00DC3EE3"/>
    <w:rsid w:val="00DC4FF2"/>
    <w:rsid w:val="00DC5E95"/>
    <w:rsid w:val="00DC79CC"/>
    <w:rsid w:val="00DD2601"/>
    <w:rsid w:val="00DF0202"/>
    <w:rsid w:val="00DF13B1"/>
    <w:rsid w:val="00DF3E35"/>
    <w:rsid w:val="00E007DC"/>
    <w:rsid w:val="00E041EA"/>
    <w:rsid w:val="00E1074A"/>
    <w:rsid w:val="00E10D39"/>
    <w:rsid w:val="00E11B24"/>
    <w:rsid w:val="00E134F4"/>
    <w:rsid w:val="00E13DED"/>
    <w:rsid w:val="00E162E0"/>
    <w:rsid w:val="00E20377"/>
    <w:rsid w:val="00E21FBF"/>
    <w:rsid w:val="00E23330"/>
    <w:rsid w:val="00E23568"/>
    <w:rsid w:val="00E242FB"/>
    <w:rsid w:val="00E245B5"/>
    <w:rsid w:val="00E33256"/>
    <w:rsid w:val="00E33E1B"/>
    <w:rsid w:val="00E34A83"/>
    <w:rsid w:val="00E34D3E"/>
    <w:rsid w:val="00E36892"/>
    <w:rsid w:val="00E42AB2"/>
    <w:rsid w:val="00E42C41"/>
    <w:rsid w:val="00E554C0"/>
    <w:rsid w:val="00E55BD3"/>
    <w:rsid w:val="00E56FDE"/>
    <w:rsid w:val="00E603FF"/>
    <w:rsid w:val="00E6442D"/>
    <w:rsid w:val="00E67131"/>
    <w:rsid w:val="00E720E9"/>
    <w:rsid w:val="00E7574D"/>
    <w:rsid w:val="00E75F6F"/>
    <w:rsid w:val="00E764A4"/>
    <w:rsid w:val="00E770DE"/>
    <w:rsid w:val="00E81C5E"/>
    <w:rsid w:val="00E82571"/>
    <w:rsid w:val="00E83B3C"/>
    <w:rsid w:val="00E84634"/>
    <w:rsid w:val="00E84A3B"/>
    <w:rsid w:val="00E86DFF"/>
    <w:rsid w:val="00E8736B"/>
    <w:rsid w:val="00E90275"/>
    <w:rsid w:val="00E925D4"/>
    <w:rsid w:val="00E97226"/>
    <w:rsid w:val="00E975CF"/>
    <w:rsid w:val="00E97993"/>
    <w:rsid w:val="00E97CDA"/>
    <w:rsid w:val="00EA1E4F"/>
    <w:rsid w:val="00EA2B44"/>
    <w:rsid w:val="00EA2E5F"/>
    <w:rsid w:val="00EA2F81"/>
    <w:rsid w:val="00EA33EF"/>
    <w:rsid w:val="00EA40B6"/>
    <w:rsid w:val="00EA712B"/>
    <w:rsid w:val="00EB03AB"/>
    <w:rsid w:val="00EB4C73"/>
    <w:rsid w:val="00EB7400"/>
    <w:rsid w:val="00EC0F77"/>
    <w:rsid w:val="00EC3D84"/>
    <w:rsid w:val="00EC4FFD"/>
    <w:rsid w:val="00EC5EFC"/>
    <w:rsid w:val="00EC63C7"/>
    <w:rsid w:val="00ED10A4"/>
    <w:rsid w:val="00ED169D"/>
    <w:rsid w:val="00ED5847"/>
    <w:rsid w:val="00ED6252"/>
    <w:rsid w:val="00ED7612"/>
    <w:rsid w:val="00EE0FE6"/>
    <w:rsid w:val="00EE1E18"/>
    <w:rsid w:val="00EE6A58"/>
    <w:rsid w:val="00EF26A5"/>
    <w:rsid w:val="00EF33CD"/>
    <w:rsid w:val="00EF3D79"/>
    <w:rsid w:val="00EF5D0E"/>
    <w:rsid w:val="00F00155"/>
    <w:rsid w:val="00F01233"/>
    <w:rsid w:val="00F03CB5"/>
    <w:rsid w:val="00F11ADE"/>
    <w:rsid w:val="00F12924"/>
    <w:rsid w:val="00F1382E"/>
    <w:rsid w:val="00F20C9B"/>
    <w:rsid w:val="00F300CB"/>
    <w:rsid w:val="00F327BF"/>
    <w:rsid w:val="00F3483C"/>
    <w:rsid w:val="00F36437"/>
    <w:rsid w:val="00F42C3A"/>
    <w:rsid w:val="00F43662"/>
    <w:rsid w:val="00F43ACE"/>
    <w:rsid w:val="00F45C66"/>
    <w:rsid w:val="00F45E7B"/>
    <w:rsid w:val="00F52BCC"/>
    <w:rsid w:val="00F5313F"/>
    <w:rsid w:val="00F5383F"/>
    <w:rsid w:val="00F6052B"/>
    <w:rsid w:val="00F733DF"/>
    <w:rsid w:val="00F7342B"/>
    <w:rsid w:val="00F7360E"/>
    <w:rsid w:val="00F75B1C"/>
    <w:rsid w:val="00F776E8"/>
    <w:rsid w:val="00F80894"/>
    <w:rsid w:val="00F81A48"/>
    <w:rsid w:val="00F84557"/>
    <w:rsid w:val="00FA3AA5"/>
    <w:rsid w:val="00FA632B"/>
    <w:rsid w:val="00FA6360"/>
    <w:rsid w:val="00FA63B7"/>
    <w:rsid w:val="00FA70B8"/>
    <w:rsid w:val="00FB0A43"/>
    <w:rsid w:val="00FB5CD4"/>
    <w:rsid w:val="00FB62BC"/>
    <w:rsid w:val="00FB6DC0"/>
    <w:rsid w:val="00FB7A0A"/>
    <w:rsid w:val="00FC393B"/>
    <w:rsid w:val="00FC6772"/>
    <w:rsid w:val="00FD07F0"/>
    <w:rsid w:val="00FD0B11"/>
    <w:rsid w:val="00FD17C9"/>
    <w:rsid w:val="00FD1ACB"/>
    <w:rsid w:val="00FD2A5B"/>
    <w:rsid w:val="00FE35F8"/>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2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paragraph" w:styleId="Heading4">
    <w:name w:val="heading 4"/>
    <w:basedOn w:val="Normal"/>
    <w:next w:val="Normal"/>
    <w:link w:val="Heading4Char"/>
    <w:uiPriority w:val="9"/>
    <w:semiHidden/>
    <w:unhideWhenUsed/>
    <w:qFormat/>
    <w:rsid w:val="001507D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3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nhideWhenUsed/>
    <w:rsid w:val="000B0962"/>
    <w:pPr>
      <w:spacing w:line="240" w:lineRule="auto"/>
    </w:pPr>
    <w:rPr>
      <w:sz w:val="20"/>
      <w:szCs w:val="20"/>
    </w:rPr>
  </w:style>
  <w:style w:type="character" w:customStyle="1" w:styleId="CommentTextChar">
    <w:name w:val="Comment Text Char"/>
    <w:basedOn w:val="DefaultParagraphFont"/>
    <w:link w:val="CommentText"/>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1E3F44"/>
    <w:rPr>
      <w:color w:val="800080" w:themeColor="followedHyperlink"/>
      <w:u w:val="single"/>
    </w:rPr>
  </w:style>
  <w:style w:type="character" w:customStyle="1" w:styleId="apple-converted-space">
    <w:name w:val="apple-converted-space"/>
    <w:basedOn w:val="DefaultParagraphFont"/>
    <w:rsid w:val="00DB4040"/>
  </w:style>
  <w:style w:type="character" w:customStyle="1" w:styleId="tp-label">
    <w:name w:val="tp-label"/>
    <w:basedOn w:val="DefaultParagraphFont"/>
    <w:rsid w:val="00503354"/>
  </w:style>
  <w:style w:type="character" w:customStyle="1" w:styleId="plugins">
    <w:name w:val="plugins"/>
    <w:basedOn w:val="DefaultParagraphFont"/>
    <w:rsid w:val="00503354"/>
  </w:style>
  <w:style w:type="character" w:customStyle="1" w:styleId="Heading1Char">
    <w:name w:val="Heading 1 Char"/>
    <w:basedOn w:val="DefaultParagraphFont"/>
    <w:link w:val="Heading1"/>
    <w:uiPriority w:val="9"/>
    <w:rsid w:val="0089292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1507DC"/>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5E49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29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paragraph" w:styleId="Heading4">
    <w:name w:val="heading 4"/>
    <w:basedOn w:val="Normal"/>
    <w:next w:val="Normal"/>
    <w:link w:val="Heading4Char"/>
    <w:uiPriority w:val="9"/>
    <w:semiHidden/>
    <w:unhideWhenUsed/>
    <w:qFormat/>
    <w:rsid w:val="001507D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3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nhideWhenUsed/>
    <w:rsid w:val="000B0962"/>
    <w:pPr>
      <w:spacing w:line="240" w:lineRule="auto"/>
    </w:pPr>
    <w:rPr>
      <w:sz w:val="20"/>
      <w:szCs w:val="20"/>
    </w:rPr>
  </w:style>
  <w:style w:type="character" w:customStyle="1" w:styleId="CommentTextChar">
    <w:name w:val="Comment Text Char"/>
    <w:basedOn w:val="DefaultParagraphFont"/>
    <w:link w:val="CommentText"/>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1E3F44"/>
    <w:rPr>
      <w:color w:val="800080" w:themeColor="followedHyperlink"/>
      <w:u w:val="single"/>
    </w:rPr>
  </w:style>
  <w:style w:type="character" w:customStyle="1" w:styleId="apple-converted-space">
    <w:name w:val="apple-converted-space"/>
    <w:basedOn w:val="DefaultParagraphFont"/>
    <w:rsid w:val="00DB4040"/>
  </w:style>
  <w:style w:type="character" w:customStyle="1" w:styleId="tp-label">
    <w:name w:val="tp-label"/>
    <w:basedOn w:val="DefaultParagraphFont"/>
    <w:rsid w:val="00503354"/>
  </w:style>
  <w:style w:type="character" w:customStyle="1" w:styleId="plugins">
    <w:name w:val="plugins"/>
    <w:basedOn w:val="DefaultParagraphFont"/>
    <w:rsid w:val="00503354"/>
  </w:style>
  <w:style w:type="character" w:customStyle="1" w:styleId="Heading1Char">
    <w:name w:val="Heading 1 Char"/>
    <w:basedOn w:val="DefaultParagraphFont"/>
    <w:link w:val="Heading1"/>
    <w:uiPriority w:val="9"/>
    <w:rsid w:val="0089292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1507DC"/>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5E4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2774">
      <w:bodyDiv w:val="1"/>
      <w:marLeft w:val="0"/>
      <w:marRight w:val="0"/>
      <w:marTop w:val="0"/>
      <w:marBottom w:val="0"/>
      <w:divBdr>
        <w:top w:val="none" w:sz="0" w:space="0" w:color="auto"/>
        <w:left w:val="none" w:sz="0" w:space="0" w:color="auto"/>
        <w:bottom w:val="none" w:sz="0" w:space="0" w:color="auto"/>
        <w:right w:val="none" w:sz="0" w:space="0" w:color="auto"/>
      </w:divBdr>
    </w:div>
    <w:div w:id="417025503">
      <w:bodyDiv w:val="1"/>
      <w:marLeft w:val="0"/>
      <w:marRight w:val="0"/>
      <w:marTop w:val="0"/>
      <w:marBottom w:val="0"/>
      <w:divBdr>
        <w:top w:val="none" w:sz="0" w:space="0" w:color="auto"/>
        <w:left w:val="none" w:sz="0" w:space="0" w:color="auto"/>
        <w:bottom w:val="none" w:sz="0" w:space="0" w:color="auto"/>
        <w:right w:val="none" w:sz="0" w:space="0" w:color="auto"/>
      </w:divBdr>
    </w:div>
    <w:div w:id="714424878">
      <w:bodyDiv w:val="1"/>
      <w:marLeft w:val="0"/>
      <w:marRight w:val="0"/>
      <w:marTop w:val="0"/>
      <w:marBottom w:val="0"/>
      <w:divBdr>
        <w:top w:val="none" w:sz="0" w:space="0" w:color="auto"/>
        <w:left w:val="none" w:sz="0" w:space="0" w:color="auto"/>
        <w:bottom w:val="none" w:sz="0" w:space="0" w:color="auto"/>
        <w:right w:val="none" w:sz="0" w:space="0" w:color="auto"/>
      </w:divBdr>
    </w:div>
    <w:div w:id="964241416">
      <w:bodyDiv w:val="1"/>
      <w:marLeft w:val="0"/>
      <w:marRight w:val="0"/>
      <w:marTop w:val="0"/>
      <w:marBottom w:val="0"/>
      <w:divBdr>
        <w:top w:val="none" w:sz="0" w:space="0" w:color="auto"/>
        <w:left w:val="none" w:sz="0" w:space="0" w:color="auto"/>
        <w:bottom w:val="none" w:sz="0" w:space="0" w:color="auto"/>
        <w:right w:val="none" w:sz="0" w:space="0" w:color="auto"/>
      </w:divBdr>
    </w:div>
    <w:div w:id="1062291821">
      <w:bodyDiv w:val="1"/>
      <w:marLeft w:val="0"/>
      <w:marRight w:val="0"/>
      <w:marTop w:val="0"/>
      <w:marBottom w:val="0"/>
      <w:divBdr>
        <w:top w:val="none" w:sz="0" w:space="0" w:color="auto"/>
        <w:left w:val="none" w:sz="0" w:space="0" w:color="auto"/>
        <w:bottom w:val="none" w:sz="0" w:space="0" w:color="auto"/>
        <w:right w:val="none" w:sz="0" w:space="0" w:color="auto"/>
      </w:divBdr>
    </w:div>
    <w:div w:id="1095706524">
      <w:bodyDiv w:val="1"/>
      <w:marLeft w:val="0"/>
      <w:marRight w:val="0"/>
      <w:marTop w:val="0"/>
      <w:marBottom w:val="0"/>
      <w:divBdr>
        <w:top w:val="none" w:sz="0" w:space="0" w:color="auto"/>
        <w:left w:val="none" w:sz="0" w:space="0" w:color="auto"/>
        <w:bottom w:val="none" w:sz="0" w:space="0" w:color="auto"/>
        <w:right w:val="none" w:sz="0" w:space="0" w:color="auto"/>
      </w:divBdr>
    </w:div>
    <w:div w:id="1158155384">
      <w:bodyDiv w:val="1"/>
      <w:marLeft w:val="0"/>
      <w:marRight w:val="0"/>
      <w:marTop w:val="0"/>
      <w:marBottom w:val="0"/>
      <w:divBdr>
        <w:top w:val="none" w:sz="0" w:space="0" w:color="auto"/>
        <w:left w:val="none" w:sz="0" w:space="0" w:color="auto"/>
        <w:bottom w:val="none" w:sz="0" w:space="0" w:color="auto"/>
        <w:right w:val="none" w:sz="0" w:space="0" w:color="auto"/>
      </w:divBdr>
    </w:div>
    <w:div w:id="1245215135">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43135191">
      <w:bodyDiv w:val="1"/>
      <w:marLeft w:val="0"/>
      <w:marRight w:val="0"/>
      <w:marTop w:val="0"/>
      <w:marBottom w:val="0"/>
      <w:divBdr>
        <w:top w:val="none" w:sz="0" w:space="0" w:color="auto"/>
        <w:left w:val="none" w:sz="0" w:space="0" w:color="auto"/>
        <w:bottom w:val="none" w:sz="0" w:space="0" w:color="auto"/>
        <w:right w:val="none" w:sz="0" w:space="0" w:color="auto"/>
      </w:divBdr>
    </w:div>
    <w:div w:id="1747268004">
      <w:bodyDiv w:val="1"/>
      <w:marLeft w:val="0"/>
      <w:marRight w:val="0"/>
      <w:marTop w:val="0"/>
      <w:marBottom w:val="0"/>
      <w:divBdr>
        <w:top w:val="none" w:sz="0" w:space="0" w:color="auto"/>
        <w:left w:val="none" w:sz="0" w:space="0" w:color="auto"/>
        <w:bottom w:val="none" w:sz="0" w:space="0" w:color="auto"/>
        <w:right w:val="none" w:sz="0" w:space="0" w:color="auto"/>
      </w:divBdr>
    </w:div>
    <w:div w:id="1758012979">
      <w:bodyDiv w:val="1"/>
      <w:marLeft w:val="0"/>
      <w:marRight w:val="0"/>
      <w:marTop w:val="0"/>
      <w:marBottom w:val="0"/>
      <w:divBdr>
        <w:top w:val="none" w:sz="0" w:space="0" w:color="auto"/>
        <w:left w:val="none" w:sz="0" w:space="0" w:color="auto"/>
        <w:bottom w:val="none" w:sz="0" w:space="0" w:color="auto"/>
        <w:right w:val="none" w:sz="0" w:space="0" w:color="auto"/>
      </w:divBdr>
    </w:div>
    <w:div w:id="1836611205">
      <w:bodyDiv w:val="1"/>
      <w:marLeft w:val="0"/>
      <w:marRight w:val="0"/>
      <w:marTop w:val="0"/>
      <w:marBottom w:val="0"/>
      <w:divBdr>
        <w:top w:val="none" w:sz="0" w:space="0" w:color="auto"/>
        <w:left w:val="none" w:sz="0" w:space="0" w:color="auto"/>
        <w:bottom w:val="none" w:sz="0" w:space="0" w:color="auto"/>
        <w:right w:val="none" w:sz="0" w:space="0" w:color="auto"/>
      </w:divBdr>
    </w:div>
    <w:div w:id="19704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nbn-resolving.de/urn:nbn:de:0114-fqs0604118" TargetMode="External"/><Relationship Id="rId2" Type="http://schemas.openxmlformats.org/officeDocument/2006/relationships/customXml" Target="../customXml/item2.xml"/><Relationship Id="rId16" Type="http://schemas.openxmlformats.org/officeDocument/2006/relationships/hyperlink" Target="http://conservancy.umn.edu/bitstream/58540/1/post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ncs/ocs/sp/nctb1480.pdf"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Aos9@cdc.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SC_StateA_Consequences_Collecting_Less_Frequently xmlns="bd99c180-279b-44c3-9486-dd050336677e" xsi:nil="true"/>
    <OSC_StateA_Background xmlns="bd99c180-279b-44c3-9486-dd050336677e" xsi:nil="true"/>
    <OSC_StateA_14_8Average_Hours_Per_Collection xmlns="bd99c180-279b-44c3-9486-dd050336677e">0</OSC_StateA_14_8Average_Hours_Per_Collection>
    <GenICPIBranchOROfficeTitle xmlns="bd99c180-279b-44c3-9486-dd050336677e">=&gt;Enter branch or office title&lt;=</GenICPIBranchOROfficeTitle>
    <OSC_StateA_12_9Number_of_Respondents xmlns="bd99c180-279b-44c3-9486-dd050336677e">0</OSC_StateA_12_9Number_of_Respondents>
    <OSC_StateA_12_2Average_Burden_per_Response_in_Hours xmlns="bd99c180-279b-44c3-9486-dd050336677e">=&gt;20/60&lt;=</OSC_StateA_12_2Average_Burden_per_Response_in_Hours>
    <OSC_StateA_14_6Staff_FTE xmlns="bd99c180-279b-44c3-9486-dd050336677e">=&gt;Enter&lt;=</OSC_StateA_14_6Staff_FTE>
    <OSC_StateA_12_1Hourly_Wage_Rate xmlns="bd99c180-279b-44c3-9486-dd050336677e">0</OSC_StateA_12_1Hourly_Wage_Rate>
    <OSC_StateA_14_1Staff_FTE xmlns="bd99c180-279b-44c3-9486-dd050336677e">=&gt;Enter&lt;=</OSC_StateA_14_1Staff_FT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=&gt;Enter&lt;=</OSC_StateA_12_3Type_of_Respondent>
    <OSC_StateA_12_10Total_Respondent_Costs xmlns="bd99c180-279b-44c3-9486-dd050336677e">0</OSC_StateA_12_10Total_Respondent_Costs>
    <GenICTitle xmlns="15b1c282-9287-45cb-9b41-eae3a76919a0">=&gt;Enter short but descriptive title reflecting the purpose of the data collection. &lt;=</GenICTitle>
    <OSC_StateA_14_1Average_Cost xmlns="bd99c180-279b-44c3-9486-dd050336677e">0</OSC_StateA_14_1Average_Cost>
    <OSC_StateA_12_2Number_of_Respondents xmlns="bd99c180-279b-44c3-9486-dd050336677e">0</OSC_StateA_12_2Number_of_Respondents>
    <OSC_StateA_Websites_Directed_at_Children xmlns="bd99c180-279b-44c3-9486-dd050336677e" xsi:nil="true"/>
    <_dlc_DocId xmlns="b5c0ca00-073d-4463-9985-b654f14791fe">OSTLTSDOC-726-74</_dlc_DocId>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OSC_StateA_12_9Number_of_Responses_per_Respondent xmlns="bd99c180-279b-44c3-9486-dd050336677e">1</OSC_StateA_12_9Number_of_Responses_per_Respondent>
    <GenICNickname xmlns="15b1c282-9287-45cb-9b41-eae3a76919a0" xsi:nil="true"/>
    <OSC_StateA_12_4Average_Burden_per_Response_in_Hours xmlns="bd99c180-279b-44c3-9486-dd050336677e">=&gt;20/60&lt;=</OSC_StateA_12_4Average_Burden_per_Response_in_Hours>
    <OSC_StateA_12_9Average_Burden_per_Response_in_Hours xmlns="bd99c180-279b-44c3-9486-dd050336677e">=&gt;20/60&lt;=</OSC_StateA_12_9Average_Burden_per_Response_in_Hours>
    <OSC_StateA_12_9Hourly_Wage_Rate xmlns="bd99c180-279b-44c3-9486-dd050336677e">0</OSC_StateA_12_9Hourly_Wage_Rate>
    <OSC_StateA_14_9Staff_FTE xmlns="bd99c180-279b-44c3-9486-dd050336677e">=&gt;Enter&lt;=</OSC_StateA_14_9Staff_FTE>
    <OSC_StateA_12_4Number_of_Respondents xmlns="bd99c180-279b-44c3-9486-dd050336677e">0</OSC_StateA_12_4Number_of_Respondents>
    <OSC_StateA_14_4Staff_FTE xmlns="bd99c180-279b-44c3-9486-dd050336677e">=&gt;Enter&lt;=</OSC_StateA_14_4Staff_FTE>
    <OSC_StateA_12_8Number_of_Responses_per_Respondent xmlns="bd99c180-279b-44c3-9486-dd050336677e">1</OSC_StateA_12_8Number_of_Responses_per_Respondent>
    <OSC_StateA_12_4Type_of_Respondent xmlns="bd99c180-279b-44c3-9486-dd050336677e">=&gt;Enter&lt;=</OSC_StateA_12_4Type_of_Respondent>
    <OSC_StateA_12_4Total_Burden_Hours xmlns="bd99c180-279b-44c3-9486-dd050336677e">0</OSC_StateA_12_4Total_Burden_Hours>
    <GenICPITitle xmlns="bd99c180-279b-44c3-9486-dd050336677e">=&gt;Enter official CDC title&lt;=</GenICPITitle>
    <OSC_StateA_14_9Average_Hours_Per_Collection xmlns="bd99c180-279b-44c3-9486-dd050336677e">0</OSC_StateA_14_9Average_Hours_Per_Collection>
    <OSC_StateA_Response_to_the_Federal_Register_Notice_and_Efforts xmlns="bd99c180-279b-44c3-9486-dd050336677e" xsi:nil="true"/>
    <OSC_StateA_Date_Submitted xmlns="bd99c180-279b-44c3-9486-dd050336677e" xsi:nil="true"/>
    <OSC_StateA_12_7Number_of_Responses_per_Respondent xmlns="bd99c180-279b-44c3-9486-dd050336677e">1</OSC_StateA_12_7Number_of_Responses_per_Respondent>
    <OSC_StateA_14_5Average_Cost xmlns="bd99c180-279b-44c3-9486-dd050336677e">0</OSC_StateA_14_5Average_Cost>
    <OSC_StateA_12_9Total_Respondent_Costs xmlns="bd99c180-279b-44c3-9486-dd050336677e">0</OSC_StateA_12_9Total_Respondent_Costs>
    <OSC_StateA_12_6Number_of_Respondents xmlns="bd99c180-279b-44c3-9486-dd050336677e">0</OSC_StateA_12_6Number_of_Respondents>
    <OSC_StateA_Explanation_for_Program_Changes_or_Adjustments xmlns="bd99c180-279b-44c3-9486-dd050336677e" xsi:nil="true"/>
    <OSC_StateA_14_10Average_Cost xmlns="bd99c180-279b-44c3-9486-dd050336677e">0</OSC_StateA_14_10Average_Cost>
    <OSC_StateA_Overview_Of_Data_Collection_System xmlns="bd99c180-279b-44c3-9486-dd050336677e" xsi:nil="true"/>
    <OSC_StateA_14_6Average_Hours_Per_Collection xmlns="bd99c180-279b-44c3-9486-dd050336677e">0</OSC_StateA_14_6Average_Hours_Per_Collection>
    <OSC_StateA_12_8Hourly_Wage_Rate xmlns="bd99c180-279b-44c3-9486-dd050336677e">0</OSC_StateA_12_8Hourly_Wage_Rate>
    <GenICPIDivisionOROfficeTitle xmlns="bd99c180-279b-44c3-9486-dd050336677e">=&gt;Enter division or office title&lt;=</GenICPIDivisionOROfficeTitle>
    <OSC_StateA_12_6Number_of_Responses_per_Respondent xmlns="bd99c180-279b-44c3-9486-dd050336677e">1</OSC_StateA_12_6Number_of_Responses_per_Respondent>
    <OSC_StateA_12_8Total_Respondent_Costs xmlns="bd99c180-279b-44c3-9486-dd050336677e">0</OSC_StateA_12_8Total_Respondent_Costs>
    <GenICPICenterDivisionBranch xmlns="bd99c180-279b-44c3-9486-dd050336677e" xsi:nil="true"/>
    <OSC_StateA_12_Total_Total_Burden_Hours xmlns="bd99c180-279b-44c3-9486-dd050336677e">0</OSC_StateA_12_Total_Total_Burden_Hours>
    <OSC_StateA_12_6Average_Burden_per_Response_in_Hours xmlns="bd99c180-279b-44c3-9486-dd050336677e">=&gt;20/60&lt;=</OSC_StateA_12_6Average_Burden_per_Response_in_Hours>
    <OSC_StateA_14_2Staff_FTE xmlns="bd99c180-279b-44c3-9486-dd050336677e">=&gt;Enter&lt;=</OSC_StateA_14_2Staff_FTE>
    <OSC_StateA_14_9Average_Cost xmlns="bd99c180-279b-44c3-9486-dd050336677e">0</OSC_StateA_14_9Average_Cost>
    <OSC_StateA_12_5Type_of_Respondent xmlns="bd99c180-279b-44c3-9486-dd050336677e">=&gt;Enter&lt;=</OSC_StateA_12_5Type_of_Respondent>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=&gt;Enter&lt;=</OSC_StateA_14_7Staff_FTE>
    <GenICPIPhone xmlns="bd99c180-279b-44c3-9486-dd050336677e">=&gt;###-###-####&lt;=</GenICPIPhone>
    <OSC_StateA_12_1Average_Burden_per_Response_in_Hours xmlns="bd99c180-279b-44c3-9486-dd050336677e">=&gt;20/60&lt;=</OSC_StateA_12_1Average_Burden_per_Response_in_Hours>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1</OSC_StateA_12_4Number_of_Responses_per_Respondent>
    <OSC_StateA_12_7Hourly_Wage_Rate xmlns="bd99c180-279b-44c3-9486-dd050336677e">0</OSC_StateA_12_7Hourly_Wage_Rate>
    <OSC_StateA_12_8Number_of_Respondents xmlns="bd99c180-279b-44c3-9486-dd050336677e">0</OSC_StateA_12_8Number_of_Respondents>
    <OSC_StateA_Impact_on_Small_Businesses_or_Other_Small_Entities xmlns="bd99c180-279b-44c3-9486-dd050336677e" xsi:nil="true"/>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2_Total_Total_Respondent_Costs xmlns="bd99c180-279b-44c3-9486-dd050336677e">0</OSC_StateA_12_Total_Total_Respondent_Costs>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GenICPIName xmlns="bd99c180-279b-44c3-9486-dd050336677e">=&gt;Enter full name and credentials&lt;=</GenICPIName>
    <OSC_StateA_12_6Type_of_Respondent xmlns="bd99c180-279b-44c3-9486-dd050336677e">=&gt;Enter&lt;=</OSC_StateA_12_6Type_of_Respondent>
    <OSC_StateA_12_6Total_Burden_Hours xmlns="bd99c180-279b-44c3-9486-dd050336677e">0</OSC_StateA_12_6Total_Burden_Hours>
    <OSC_StateA_12_2Number_of_Responses_per_Respondent xmlns="bd99c180-279b-44c3-9486-dd050336677e">1</OSC_StateA_12_2Number_of_Responses_per_Respondent>
    <OSC_StateA_12_10Number_of_Respondents xmlns="bd99c180-279b-44c3-9486-dd050336677e">0</OSC_StateA_12_10Number_of_Respondents>
    <OSC_StateA_Items_to_be_collected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=&gt;20/60&lt;=</OSC_StateA_12_3Average_Burden_per_Response_in_Hours>
    <GenICPIFax xmlns="bd99c180-279b-44c3-9486-dd050336677e">=&gt;###-###-####&lt;=</GenICPIFax>
    <OSC_StateA_14_8Average_Cost xmlns="bd99c180-279b-44c3-9486-dd050336677e">0</OSC_StateA_14_8Average_Cost>
    <OSC_StateA_12_8Average_Burden_per_Response_in_Hours xmlns="bd99c180-279b-44c3-9486-dd050336677e">=&gt;20/60&lt;=</OSC_StateA_12_8Average_Burden_per_Response_in_Hours>
    <OSC_StateA_List_Of_Attachments xmlns="bd99c180-279b-44c3-9486-dd050336677e" xsi:nil="true"/>
    <OSC_StateA_12_5Hourly_Wage_Rate xmlns="bd99c180-279b-44c3-9486-dd050336677e">0</OSC_StateA_12_5Hourly_Wage_Rate>
    <OSC_StateA_14_5Staff_FTE xmlns="bd99c180-279b-44c3-9486-dd050336677e">=&gt;Enter&lt;=</OSC_StateA_14_5Staff_FT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GenICPIWorkMailingAddress xmlns="bd99c180-279b-44c3-9486-dd050336677e">=&gt;Enter work mailing address&lt;=</GenICPIWorkMailingAddress>
    <OSC_StateA_Identify_Duplication_Similar_Information xmlns="bd99c180-279b-44c3-9486-dd050336677e" xsi:nil="true"/>
    <OSC_StateA_12_7Type_of_Respondent xmlns="bd99c180-279b-44c3-9486-dd050336677e">=&gt;Enter&lt;=</OSC_StateA_12_7Type_of_Respondent>
    <OSC_StateA_12_3Total_Respondent_Costs xmlns="bd99c180-279b-44c3-9486-dd050336677e">0</OSC_StateA_12_3Total_Respondent_Costs>
    <OSC_StateA_12_4Hourly_Wage_Rate xmlns="bd99c180-279b-44c3-9486-dd050336677e">0</OSC_StateA_12_4Hourly_Wage_Rate>
    <OSC_StateA_12_7Total_Burden_Hours xmlns="bd99c180-279b-44c3-9486-dd050336677e">0</OSC_StateA_12_7Total_Burden_Hours>
    <GenICPIEmail xmlns="bd99c180-279b-44c3-9486-dd050336677e">=&gt;Enter work email&lt;=</GenICPIEmail>
    <OSC_StateA_12_10Number_of_Responses_per_Respondent xmlns="bd99c180-279b-44c3-9486-dd050336677e">1</OSC_StateA_12_10Number_of_Responses_per_Respondent>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 xsi:nil="true"/>
    <OSC_StateA_12_10Average_Burden_per_Response_in_Hours xmlns="bd99c180-279b-44c3-9486-dd050336677e">=&gt;20/60&lt;=</OSC_StateA_12_10Average_Burden_per_Response_in_Hours>
    <GenICPICDCID xmlns="bd99c180-279b-44c3-9486-dd050336677e" xsi:nil="true"/>
    <OSC_StateA_12_1Total_Burden_Hours xmlns="bd99c180-279b-44c3-9486-dd050336677e">0</OSC_StateA_12_1Total_Burden_Hours>
    <GenICPICIO xmlns="bd99c180-279b-44c3-9486-dd050336677e" xsi:nil="true"/>
    <OSC_StateA_12_2Total_Respondent_Costs xmlns="bd99c180-279b-44c3-9486-dd050336677e">0</OSC_StateA_12_2Total_Respondent_Costs>
    <OSC_StateA_12_1Type_of_Respondent xmlns="bd99c180-279b-44c3-9486-dd050336677e">=&gt;Enter&lt;=</OSC_StateA_12_1Type_of_Respondent>
    <OSC_StateA_12_5Number_of_Respondents xmlns="bd99c180-279b-44c3-9486-dd050336677e">0</OSC_StateA_12_5Number_of_Respondents>
    <OSC_StateA_14_3Staff_FTE xmlns="bd99c180-279b-44c3-9486-dd050336677e">=&gt;Enter&lt;=</OSC_StateA_14_3Staff_FTE>
    <OSC_StateA_12_5Average_Burden_per_Response_in_Hours xmlns="bd99c180-279b-44c3-9486-dd050336677e">=&gt;20/60&lt;=</OSC_StateA_12_5Average_Burden_per_Response_in_Hours>
    <OSC_StateA_14_8Staff_FTE xmlns="bd99c180-279b-44c3-9486-dd050336677e">=&gt;Enter&lt;=</OSC_StateA_14_8Staff_FTE>
    <OSC_StateA_12_3Hourly_Wage_Rate xmlns="bd99c180-279b-44c3-9486-dd050336677e">0</OSC_StateA_12_3Hourly_Wage_Rate>
    <OSC_StateA_12_1Total_Respondent_Costs xmlns="bd99c180-279b-44c3-9486-dd050336677e">0</OSC_StateA_12_1Total_Respondent_Costs>
    <OSC_StateA_14_1Average_Hours_Per_Collection xmlns="bd99c180-279b-44c3-9486-dd050336677e">0</OSC_StateA_14_1Average_Hours_Per_Collection>
    <OSC_StateA_Purpose_and_Use xmlns="bd99c180-279b-44c3-9486-dd050336677e" xsi:nil="true"/>
    <OSC_StateA_14_7Average_Cost xmlns="bd99c180-279b-44c3-9486-dd050336677e">0</OSC_StateA_14_7Average_Cost>
    <OSC_StateA_12_8Type_of_Respondent xmlns="bd99c180-279b-44c3-9486-dd050336677e">=&gt;Enter&lt;=</OSC_StateA_12_8Type_of_Respondent>
    <OSC_StateA_14_10Staff_FTE xmlns="bd99c180-279b-44c3-9486-dd050336677e">=&gt;Enter&lt;=</OSC_StateA_14_10Staff_FTE>
    <OSC_StateA_12_7Number_of_Respondents xmlns="bd99c180-279b-44c3-9486-dd050336677e">0</OSC_StateA_12_7Number_of_Respondents>
    <OSC_StateA_12_8Total_Burden_Hours xmlns="bd99c180-279b-44c3-9486-dd050336677e">0</OSC_StateA_12_8Total_Burden_Hours>
    <OSC_StateA_12_Total_Number_of_Respondents xmlns="ce849d94-b00b-4457-8fdf-7e9e81e05b5e">0</OSC_StateA_12_Total_Number_of_Respondent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_dlc_DocIdUrl xmlns="b5c0ca00-073d-4463-9985-b654f14791fe">
      <Url>http://esp.cdc.gov/sites/ostlts/pip/osc/_layouts/DocIdRedir.aspx?ID=OSTLTSDOC-726-74</Url>
      <Description>OSTLTSDOC-726-74</Description>
    </_dlc_DocIdUrl>
    <OSC_StateA_12_2Total_Burden_Hours xmlns="bd99c180-279b-44c3-9486-dd050336677e">0</OSC_StateA_12_2Total_Burden_Hours>
    <OSC_StateA_12_2Type_of_Respondent xmlns="bd99c180-279b-44c3-9486-dd050336677e">=&gt;Enter&lt;=</OSC_StateA_12_2Type_of_Respondent>
    <OSC_StateA_Improved_Information_Technology_and_Burden_Reduction xmlns="bd99c180-279b-44c3-9486-dd050336677e" xsi:nil="true"/>
    <OSC_StateA_12_7Average_Burden_per_Response_in_Hours xmlns="bd99c180-279b-44c3-9486-dd050336677e">=&gt;20/60&lt;=</OSC_StateA_12_7Average_Burden_per_Response_in_Hours>
    <OSC_StateA_12_9Type_of_Respondent xmlns="bd99c180-279b-44c3-9486-dd050336677e">=&gt;Enter&lt;=</OSC_StateA_12_9Type_of_Respondent>
    <OSC_StateA_12_10Type_of_Respondent xmlns="bd99c180-279b-44c3-9486-dd050336677e">=&gt;Enter&lt;=</OSC_StateA_12_10Type_of_Respondent>
    <OSC_StateA_14_5Average_Hours_Per_Collection xmlns="bd99c180-279b-44c3-9486-dd050336677e">0</OSC_StateA_14_5Average_Hours_Per_Collection>
    <OSC_StateA_12_10Total_Burden_Hours xmlns="bd99c180-279b-44c3-9486-dd050336677e">0</OSC_StateA_12_10Total_Burden_Hours>
    <OSC_StateA_12_9Total_Burden_Hours xmlns="bd99c180-279b-44c3-9486-dd050336677e">0</OSC_StateA_12_9Total_Burden_Hours>
    <OSC_StateA_14_6Average_Cost xmlns="bd99c180-279b-44c3-9486-dd050336677e">0</OSC_StateA_14_6Average_Co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90d605ca92fce21ee156b77949bb6511">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b01f399b77c2942b795ebdeb760dc933"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BA60-62DB-4F59-9B05-1EA7001C3957}">
  <ds:schemaRefs>
    <ds:schemaRef ds:uri="b5c0ca00-073d-4463-9985-b654f14791fe"/>
    <ds:schemaRef ds:uri="http://purl.org/dc/elements/1.1/"/>
    <ds:schemaRef ds:uri="http://www.w3.org/XML/1998/namespace"/>
    <ds:schemaRef ds:uri="http://schemas.microsoft.com/office/2006/documentManagement/types"/>
    <ds:schemaRef ds:uri="15b1c282-9287-45cb-9b41-eae3a76919a0"/>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ce849d94-b00b-4457-8fdf-7e9e81e05b5e"/>
    <ds:schemaRef ds:uri="bd99c180-279b-44c3-9486-dd050336677e"/>
  </ds:schemaRefs>
</ds:datastoreItem>
</file>

<file path=customXml/itemProps2.xml><?xml version="1.0" encoding="utf-8"?>
<ds:datastoreItem xmlns:ds="http://schemas.openxmlformats.org/officeDocument/2006/customXml" ds:itemID="{E90C52F3-0FC2-4170-AF29-FF4AD3DC0690}">
  <ds:schemaRefs>
    <ds:schemaRef ds:uri="http://schemas.microsoft.com/sharepoint/v3/contenttype/forms"/>
  </ds:schemaRefs>
</ds:datastoreItem>
</file>

<file path=customXml/itemProps3.xml><?xml version="1.0" encoding="utf-8"?>
<ds:datastoreItem xmlns:ds="http://schemas.openxmlformats.org/officeDocument/2006/customXml" ds:itemID="{5F955E42-3139-444E-A23A-0F713053A2AC}">
  <ds:schemaRefs>
    <ds:schemaRef ds:uri="http://schemas.microsoft.com/office/2006/metadata/customXsn"/>
  </ds:schemaRefs>
</ds:datastoreItem>
</file>

<file path=customXml/itemProps4.xml><?xml version="1.0" encoding="utf-8"?>
<ds:datastoreItem xmlns:ds="http://schemas.openxmlformats.org/officeDocument/2006/customXml" ds:itemID="{46007F16-3BA4-4925-82A3-80BAF015AE2E}">
  <ds:schemaRefs>
    <ds:schemaRef ds:uri="http://schemas.microsoft.com/sharepoint/events"/>
  </ds:schemaRefs>
</ds:datastoreItem>
</file>

<file path=customXml/itemProps5.xml><?xml version="1.0" encoding="utf-8"?>
<ds:datastoreItem xmlns:ds="http://schemas.openxmlformats.org/officeDocument/2006/customXml" ds:itemID="{18024AFC-68C5-42CE-A237-322084A84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9E4EB31-70B4-46D1-873F-50FC70E1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CDC User</cp:lastModifiedBy>
  <cp:revision>4</cp:revision>
  <cp:lastPrinted>2014-11-19T17:28:00Z</cp:lastPrinted>
  <dcterms:created xsi:type="dcterms:W3CDTF">2015-02-03T20:12:00Z</dcterms:created>
  <dcterms:modified xsi:type="dcterms:W3CDTF">2015-03-09T13:18:00Z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904bc058-254d-4af4-8d67-087dc310d3b3</vt:lpwstr>
  </property>
</Properties>
</file>