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2245A" w14:textId="77777777" w:rsidR="00716F94" w:rsidRDefault="00716F94" w:rsidP="00BC6896"/>
    <w:p w14:paraId="1FF2245B" w14:textId="77777777" w:rsidR="009B4A51" w:rsidRDefault="009B4A51" w:rsidP="00BC6896"/>
    <w:p w14:paraId="1FF2245C" w14:textId="77777777" w:rsidR="009B4A51" w:rsidRDefault="009B4A51" w:rsidP="00BC6896"/>
    <w:p w14:paraId="1FF2245D" w14:textId="77777777" w:rsidR="009B4A51" w:rsidRDefault="009B4A51" w:rsidP="00BC6896"/>
    <w:p w14:paraId="1FF2245E" w14:textId="77777777" w:rsidR="009B4A51" w:rsidRDefault="009B4A51" w:rsidP="00BC6896"/>
    <w:p w14:paraId="1FF2245F" w14:textId="77777777" w:rsidR="00667C89" w:rsidRDefault="00667C89" w:rsidP="00BC6896"/>
    <w:p w14:paraId="1FF22460" w14:textId="77777777" w:rsidR="009B4A51" w:rsidRDefault="009B4A51" w:rsidP="00BC6896"/>
    <w:p w14:paraId="1FF22461" w14:textId="77777777" w:rsidR="009B4A51" w:rsidRDefault="009B4A51" w:rsidP="00BC6896"/>
    <w:p w14:paraId="62234831" w14:textId="7DB10E05" w:rsidR="0040416C" w:rsidRDefault="0040416C" w:rsidP="0040416C">
      <w:pPr>
        <w:ind w:left="0"/>
        <w:jc w:val="center"/>
        <w:rPr>
          <w:b/>
          <w:bCs/>
          <w:sz w:val="40"/>
        </w:rPr>
      </w:pPr>
      <w:r>
        <w:rPr>
          <w:b/>
          <w:bCs/>
          <w:sz w:val="40"/>
        </w:rPr>
        <w:t xml:space="preserve">Emerging Issues </w:t>
      </w:r>
      <w:r w:rsidR="0095303C">
        <w:rPr>
          <w:b/>
          <w:bCs/>
          <w:sz w:val="40"/>
        </w:rPr>
        <w:t>for</w:t>
      </w:r>
      <w:r>
        <w:rPr>
          <w:b/>
          <w:bCs/>
          <w:sz w:val="40"/>
        </w:rPr>
        <w:t xml:space="preserve"> Private Wells: </w:t>
      </w:r>
    </w:p>
    <w:p w14:paraId="7E9574D6" w14:textId="77777777" w:rsidR="0040416C" w:rsidRDefault="0040416C" w:rsidP="0040416C">
      <w:pPr>
        <w:ind w:left="0"/>
        <w:jc w:val="center"/>
      </w:pPr>
      <w:r w:rsidRPr="00775BFF">
        <w:rPr>
          <w:b/>
          <w:bCs/>
          <w:sz w:val="40"/>
        </w:rPr>
        <w:t>CSTE Assessment</w:t>
      </w:r>
    </w:p>
    <w:p w14:paraId="1FF22463" w14:textId="77777777" w:rsidR="00653D88" w:rsidRDefault="00653D88" w:rsidP="00653D88">
      <w:pPr>
        <w:ind w:left="0"/>
      </w:pPr>
    </w:p>
    <w:p w14:paraId="1FF22464" w14:textId="77777777" w:rsidR="00AA3192" w:rsidRDefault="00AA3192" w:rsidP="00BC6896"/>
    <w:p w14:paraId="1FF22465"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1FF22466" w14:textId="77777777" w:rsidR="00484011" w:rsidRPr="00AA3192" w:rsidRDefault="00484011" w:rsidP="00BC6896">
      <w:pPr>
        <w:pStyle w:val="Header"/>
        <w:ind w:left="0"/>
        <w:jc w:val="center"/>
      </w:pPr>
      <w:r w:rsidRPr="00AA3192">
        <w:t>OMB No. 0920-0879</w:t>
      </w:r>
    </w:p>
    <w:p w14:paraId="1FF22467" w14:textId="77777777" w:rsidR="009B4A51" w:rsidRDefault="009B4A51" w:rsidP="00BC6896"/>
    <w:p w14:paraId="1FF22468" w14:textId="77777777" w:rsidR="009B4A51" w:rsidRDefault="009B4A51" w:rsidP="00BC6896"/>
    <w:p w14:paraId="1FF22469" w14:textId="77777777" w:rsidR="00AA3192" w:rsidRDefault="00AA3192" w:rsidP="00BC6896"/>
    <w:p w14:paraId="1FF2246A" w14:textId="77777777" w:rsidR="00AA3192" w:rsidRDefault="00AA3192" w:rsidP="00BC6896"/>
    <w:p w14:paraId="1FF2246B" w14:textId="77777777" w:rsidR="009B4A51" w:rsidRPr="00BC6896" w:rsidRDefault="009B4A51" w:rsidP="00BC6896">
      <w:pPr>
        <w:pStyle w:val="Heading2"/>
      </w:pPr>
      <w:r w:rsidRPr="00BC6896">
        <w:t xml:space="preserve">Supporting Statement – Section </w:t>
      </w:r>
      <w:r w:rsidR="00601392" w:rsidRPr="00BC6896">
        <w:t>B</w:t>
      </w:r>
    </w:p>
    <w:p w14:paraId="1FF2246C" w14:textId="77777777" w:rsidR="009B4A51" w:rsidRDefault="009B4A51" w:rsidP="00BC6896"/>
    <w:p w14:paraId="1FF2246D" w14:textId="77777777" w:rsidR="00484011" w:rsidRDefault="00484011" w:rsidP="00BC6896"/>
    <w:p w14:paraId="1FF2246E" w14:textId="77777777" w:rsidR="00AA3192" w:rsidRDefault="00AA3192" w:rsidP="00BC6896"/>
    <w:p w14:paraId="1FF2246F" w14:textId="77777777" w:rsidR="009B4A51" w:rsidRDefault="009B4A51" w:rsidP="00BC6896"/>
    <w:p w14:paraId="1FF22470" w14:textId="77777777" w:rsidR="009B4A51" w:rsidRDefault="009B4A51" w:rsidP="00BC6896"/>
    <w:p w14:paraId="1FF22471" w14:textId="77777777" w:rsidR="00187D5A" w:rsidRDefault="00187D5A" w:rsidP="00BC6896"/>
    <w:p w14:paraId="1FF22472" w14:textId="7246EFBF" w:rsidR="009B4A51" w:rsidRPr="00A27A47" w:rsidRDefault="009B4A51" w:rsidP="00BC6896">
      <w:pPr>
        <w:ind w:left="0"/>
        <w:jc w:val="center"/>
      </w:pPr>
      <w:r w:rsidRPr="00A27A47">
        <w:t xml:space="preserve">Submitted: </w:t>
      </w:r>
      <w:r w:rsidR="00A27A47" w:rsidRPr="00A27A47">
        <w:t>3/17/2015</w:t>
      </w:r>
    </w:p>
    <w:p w14:paraId="1FF22473" w14:textId="77777777" w:rsidR="009B4A51" w:rsidRDefault="009B4A51" w:rsidP="00BC6896"/>
    <w:p w14:paraId="1FF22474" w14:textId="77777777" w:rsidR="009B4A51" w:rsidRDefault="009B4A51" w:rsidP="00BC6896"/>
    <w:p w14:paraId="1FF22475" w14:textId="77777777" w:rsidR="009B4A51" w:rsidRDefault="009B4A51" w:rsidP="00BC6896"/>
    <w:p w14:paraId="1FF22476" w14:textId="77777777" w:rsidR="00AA3192" w:rsidRDefault="00AA3192" w:rsidP="00BC6896"/>
    <w:p w14:paraId="1FF22477" w14:textId="77777777" w:rsidR="00653D88" w:rsidRDefault="00653D88" w:rsidP="00653D88">
      <w:pPr>
        <w:ind w:left="0"/>
        <w:rPr>
          <w:b/>
          <w:u w:val="single"/>
        </w:rPr>
      </w:pPr>
      <w:r w:rsidRPr="00CA5840">
        <w:rPr>
          <w:b/>
          <w:u w:val="single"/>
        </w:rPr>
        <w:t>Program Official/Project Officer</w:t>
      </w:r>
    </w:p>
    <w:p w14:paraId="1FF22478" w14:textId="77777777" w:rsidR="00653D88" w:rsidRDefault="00653D88" w:rsidP="00653D88">
      <w:pPr>
        <w:ind w:left="0"/>
      </w:pPr>
      <w:r>
        <w:t>Angela Salazar</w:t>
      </w:r>
    </w:p>
    <w:p w14:paraId="1FF22479" w14:textId="77777777" w:rsidR="00653D88" w:rsidRPr="00873940" w:rsidRDefault="00653D88" w:rsidP="00653D88">
      <w:pPr>
        <w:ind w:left="0"/>
      </w:pPr>
      <w:r w:rsidRPr="00873940">
        <w:t>Public Health Advisor</w:t>
      </w:r>
    </w:p>
    <w:p w14:paraId="1FF2247A" w14:textId="77777777" w:rsidR="00653D88" w:rsidRPr="00873940" w:rsidRDefault="00653D88" w:rsidP="00653D88">
      <w:pPr>
        <w:ind w:left="0"/>
      </w:pPr>
      <w:r w:rsidRPr="00873940">
        <w:t>Health Studies Branch</w:t>
      </w:r>
    </w:p>
    <w:p w14:paraId="1FF2247B" w14:textId="77777777" w:rsidR="00653D88" w:rsidRPr="00873940" w:rsidRDefault="00653D88" w:rsidP="00653D88">
      <w:pPr>
        <w:ind w:left="0"/>
      </w:pPr>
      <w:r w:rsidRPr="00873940">
        <w:t>Division of Environmental Hazards and Health Effects</w:t>
      </w:r>
    </w:p>
    <w:p w14:paraId="1FF2247C" w14:textId="77777777" w:rsidR="00653D88" w:rsidRPr="00873940" w:rsidRDefault="00653D88" w:rsidP="00653D88">
      <w:pPr>
        <w:ind w:left="0"/>
      </w:pPr>
      <w:r w:rsidRPr="00873940">
        <w:t>National Center for Environmental Health</w:t>
      </w:r>
    </w:p>
    <w:p w14:paraId="1FF2247D" w14:textId="77777777" w:rsidR="00653D88" w:rsidRPr="00873940" w:rsidRDefault="00653D88" w:rsidP="00653D88">
      <w:pPr>
        <w:ind w:left="0"/>
      </w:pPr>
      <w:r w:rsidRPr="00873940">
        <w:t>4770 Buford Highway NE, MS F-60</w:t>
      </w:r>
    </w:p>
    <w:p w14:paraId="1FF2247E" w14:textId="77777777" w:rsidR="00653D88" w:rsidRPr="00873940" w:rsidRDefault="00653D88" w:rsidP="00653D88">
      <w:pPr>
        <w:ind w:left="0"/>
      </w:pPr>
      <w:r w:rsidRPr="00873940">
        <w:t>Atlanta</w:t>
      </w:r>
      <w:r>
        <w:t>,</w:t>
      </w:r>
      <w:r w:rsidRPr="00873940">
        <w:t xml:space="preserve"> GA 30341</w:t>
      </w:r>
    </w:p>
    <w:p w14:paraId="1FF2247F" w14:textId="77777777" w:rsidR="00653D88" w:rsidRPr="00873940" w:rsidRDefault="00653D88" w:rsidP="00653D88">
      <w:pPr>
        <w:ind w:left="0"/>
      </w:pPr>
      <w:r>
        <w:t xml:space="preserve">Phone: </w:t>
      </w:r>
      <w:r w:rsidRPr="00873940">
        <w:t xml:space="preserve">770.488.3949 </w:t>
      </w:r>
    </w:p>
    <w:p w14:paraId="1FF22480" w14:textId="77777777" w:rsidR="00653D88" w:rsidRPr="00873940" w:rsidRDefault="00653D88" w:rsidP="00653D88">
      <w:pPr>
        <w:ind w:left="0"/>
      </w:pPr>
      <w:r>
        <w:t xml:space="preserve">Email: </w:t>
      </w:r>
      <w:r w:rsidRPr="00873940">
        <w:t>aos9@cdc.gov</w:t>
      </w:r>
    </w:p>
    <w:p w14:paraId="764AC502" w14:textId="77777777" w:rsidR="00330778" w:rsidRDefault="00330778">
      <w:pPr>
        <w:spacing w:after="200"/>
        <w:ind w:left="0"/>
        <w:rPr>
          <w:b/>
          <w:sz w:val="28"/>
        </w:rPr>
      </w:pPr>
      <w:r>
        <w:br w:type="page"/>
      </w:r>
    </w:p>
    <w:p w14:paraId="4CDA2D6D" w14:textId="77777777" w:rsidR="00DD050B" w:rsidRDefault="00DD050B" w:rsidP="00BC6896">
      <w:pPr>
        <w:pStyle w:val="Heading3"/>
      </w:pPr>
      <w:bookmarkStart w:id="0" w:name="_Toc414349332"/>
      <w:r>
        <w:lastRenderedPageBreak/>
        <w:t>Table of Contents</w:t>
      </w:r>
      <w:bookmarkEnd w:id="0"/>
    </w:p>
    <w:p w14:paraId="44350B98" w14:textId="5599ADF0" w:rsidR="00DD050B" w:rsidRDefault="00DD050B">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p>
    <w:p w14:paraId="420A9B0A" w14:textId="77777777" w:rsidR="00DD050B" w:rsidRDefault="00DD050B">
      <w:pPr>
        <w:pStyle w:val="TOC1"/>
        <w:tabs>
          <w:tab w:val="right" w:leader="dot" w:pos="9350"/>
        </w:tabs>
        <w:rPr>
          <w:rFonts w:asciiTheme="minorHAnsi" w:hAnsiTheme="minorHAnsi"/>
          <w:noProof/>
        </w:rPr>
      </w:pPr>
      <w:hyperlink w:anchor="_Toc414349333" w:history="1">
        <w:r w:rsidRPr="00ED5F90">
          <w:rPr>
            <w:rStyle w:val="Hyperlink"/>
            <w:noProof/>
          </w:rPr>
          <w:t>Section B – Information Collection Procedures</w:t>
        </w:r>
        <w:r>
          <w:rPr>
            <w:noProof/>
            <w:webHidden/>
          </w:rPr>
          <w:tab/>
        </w:r>
        <w:r>
          <w:rPr>
            <w:noProof/>
            <w:webHidden/>
          </w:rPr>
          <w:fldChar w:fldCharType="begin"/>
        </w:r>
        <w:r>
          <w:rPr>
            <w:noProof/>
            <w:webHidden/>
          </w:rPr>
          <w:instrText xml:space="preserve"> PAGEREF _Toc414349333 \h </w:instrText>
        </w:r>
        <w:r>
          <w:rPr>
            <w:noProof/>
            <w:webHidden/>
          </w:rPr>
        </w:r>
        <w:r>
          <w:rPr>
            <w:noProof/>
            <w:webHidden/>
          </w:rPr>
          <w:fldChar w:fldCharType="separate"/>
        </w:r>
        <w:r>
          <w:rPr>
            <w:noProof/>
            <w:webHidden/>
          </w:rPr>
          <w:t>3</w:t>
        </w:r>
        <w:r>
          <w:rPr>
            <w:noProof/>
            <w:webHidden/>
          </w:rPr>
          <w:fldChar w:fldCharType="end"/>
        </w:r>
      </w:hyperlink>
    </w:p>
    <w:p w14:paraId="2BEA99CA" w14:textId="77777777" w:rsidR="00DD050B" w:rsidRDefault="00DD050B">
      <w:pPr>
        <w:pStyle w:val="TOC2"/>
        <w:tabs>
          <w:tab w:val="left" w:pos="660"/>
          <w:tab w:val="right" w:leader="dot" w:pos="9350"/>
        </w:tabs>
        <w:rPr>
          <w:noProof/>
        </w:rPr>
      </w:pPr>
      <w:hyperlink w:anchor="_Toc414349334" w:history="1">
        <w:r w:rsidRPr="00ED5F90">
          <w:rPr>
            <w:rStyle w:val="Hyperlink"/>
            <w:noProof/>
          </w:rPr>
          <w:t>1.</w:t>
        </w:r>
        <w:r>
          <w:rPr>
            <w:noProof/>
          </w:rPr>
          <w:tab/>
        </w:r>
        <w:r w:rsidRPr="00ED5F90">
          <w:rPr>
            <w:rStyle w:val="Hyperlink"/>
            <w:noProof/>
          </w:rPr>
          <w:t>Respondent Universe and Sampling Methods</w:t>
        </w:r>
        <w:r>
          <w:rPr>
            <w:noProof/>
            <w:webHidden/>
          </w:rPr>
          <w:tab/>
        </w:r>
        <w:r>
          <w:rPr>
            <w:noProof/>
            <w:webHidden/>
          </w:rPr>
          <w:fldChar w:fldCharType="begin"/>
        </w:r>
        <w:r>
          <w:rPr>
            <w:noProof/>
            <w:webHidden/>
          </w:rPr>
          <w:instrText xml:space="preserve"> PAGEREF _Toc414349334 \h </w:instrText>
        </w:r>
        <w:r>
          <w:rPr>
            <w:noProof/>
            <w:webHidden/>
          </w:rPr>
        </w:r>
        <w:r>
          <w:rPr>
            <w:noProof/>
            <w:webHidden/>
          </w:rPr>
          <w:fldChar w:fldCharType="separate"/>
        </w:r>
        <w:r>
          <w:rPr>
            <w:noProof/>
            <w:webHidden/>
          </w:rPr>
          <w:t>3</w:t>
        </w:r>
        <w:r>
          <w:rPr>
            <w:noProof/>
            <w:webHidden/>
          </w:rPr>
          <w:fldChar w:fldCharType="end"/>
        </w:r>
      </w:hyperlink>
    </w:p>
    <w:p w14:paraId="621A94FA" w14:textId="77777777" w:rsidR="00DD050B" w:rsidRDefault="00DD050B">
      <w:pPr>
        <w:pStyle w:val="TOC2"/>
        <w:tabs>
          <w:tab w:val="left" w:pos="660"/>
          <w:tab w:val="right" w:leader="dot" w:pos="9350"/>
        </w:tabs>
        <w:rPr>
          <w:noProof/>
        </w:rPr>
      </w:pPr>
      <w:hyperlink w:anchor="_Toc414349335" w:history="1">
        <w:r w:rsidRPr="00ED5F90">
          <w:rPr>
            <w:rStyle w:val="Hyperlink"/>
            <w:noProof/>
          </w:rPr>
          <w:t>2.</w:t>
        </w:r>
        <w:r>
          <w:rPr>
            <w:noProof/>
          </w:rPr>
          <w:tab/>
        </w:r>
        <w:r w:rsidRPr="00ED5F90">
          <w:rPr>
            <w:rStyle w:val="Hyperlink"/>
            <w:noProof/>
          </w:rPr>
          <w:t>Procedures for the Collection of Information</w:t>
        </w:r>
        <w:r>
          <w:rPr>
            <w:noProof/>
            <w:webHidden/>
          </w:rPr>
          <w:tab/>
        </w:r>
        <w:r>
          <w:rPr>
            <w:noProof/>
            <w:webHidden/>
          </w:rPr>
          <w:fldChar w:fldCharType="begin"/>
        </w:r>
        <w:r>
          <w:rPr>
            <w:noProof/>
            <w:webHidden/>
          </w:rPr>
          <w:instrText xml:space="preserve"> PAGEREF _Toc414349335 \h </w:instrText>
        </w:r>
        <w:r>
          <w:rPr>
            <w:noProof/>
            <w:webHidden/>
          </w:rPr>
        </w:r>
        <w:r>
          <w:rPr>
            <w:noProof/>
            <w:webHidden/>
          </w:rPr>
          <w:fldChar w:fldCharType="separate"/>
        </w:r>
        <w:r>
          <w:rPr>
            <w:noProof/>
            <w:webHidden/>
          </w:rPr>
          <w:t>3</w:t>
        </w:r>
        <w:r>
          <w:rPr>
            <w:noProof/>
            <w:webHidden/>
          </w:rPr>
          <w:fldChar w:fldCharType="end"/>
        </w:r>
      </w:hyperlink>
    </w:p>
    <w:p w14:paraId="30D2164F" w14:textId="77777777" w:rsidR="00DD050B" w:rsidRDefault="00DD050B">
      <w:pPr>
        <w:pStyle w:val="TOC2"/>
        <w:tabs>
          <w:tab w:val="left" w:pos="660"/>
          <w:tab w:val="right" w:leader="dot" w:pos="9350"/>
        </w:tabs>
        <w:rPr>
          <w:noProof/>
        </w:rPr>
      </w:pPr>
      <w:hyperlink w:anchor="_Toc414349336" w:history="1">
        <w:r w:rsidRPr="00ED5F90">
          <w:rPr>
            <w:rStyle w:val="Hyperlink"/>
            <w:noProof/>
          </w:rPr>
          <w:t>3.</w:t>
        </w:r>
        <w:r>
          <w:rPr>
            <w:noProof/>
          </w:rPr>
          <w:tab/>
        </w:r>
        <w:r w:rsidRPr="00ED5F90">
          <w:rPr>
            <w:rStyle w:val="Hyperlink"/>
            <w:noProof/>
          </w:rPr>
          <w:t>Methods to Maximize Response Rates to Deal with Nonresponse</w:t>
        </w:r>
        <w:r>
          <w:rPr>
            <w:noProof/>
            <w:webHidden/>
          </w:rPr>
          <w:tab/>
        </w:r>
        <w:r>
          <w:rPr>
            <w:noProof/>
            <w:webHidden/>
          </w:rPr>
          <w:fldChar w:fldCharType="begin"/>
        </w:r>
        <w:r>
          <w:rPr>
            <w:noProof/>
            <w:webHidden/>
          </w:rPr>
          <w:instrText xml:space="preserve"> PAGEREF _Toc414349336 \h </w:instrText>
        </w:r>
        <w:r>
          <w:rPr>
            <w:noProof/>
            <w:webHidden/>
          </w:rPr>
        </w:r>
        <w:r>
          <w:rPr>
            <w:noProof/>
            <w:webHidden/>
          </w:rPr>
          <w:fldChar w:fldCharType="separate"/>
        </w:r>
        <w:r>
          <w:rPr>
            <w:noProof/>
            <w:webHidden/>
          </w:rPr>
          <w:t>4</w:t>
        </w:r>
        <w:r>
          <w:rPr>
            <w:noProof/>
            <w:webHidden/>
          </w:rPr>
          <w:fldChar w:fldCharType="end"/>
        </w:r>
      </w:hyperlink>
    </w:p>
    <w:p w14:paraId="06AEA63A" w14:textId="77777777" w:rsidR="00DD050B" w:rsidRDefault="00DD050B">
      <w:pPr>
        <w:pStyle w:val="TOC2"/>
        <w:tabs>
          <w:tab w:val="left" w:pos="660"/>
          <w:tab w:val="right" w:leader="dot" w:pos="9350"/>
        </w:tabs>
        <w:rPr>
          <w:noProof/>
        </w:rPr>
      </w:pPr>
      <w:hyperlink w:anchor="_Toc414349337" w:history="1">
        <w:r w:rsidRPr="00ED5F90">
          <w:rPr>
            <w:rStyle w:val="Hyperlink"/>
            <w:noProof/>
          </w:rPr>
          <w:t>4.</w:t>
        </w:r>
        <w:r>
          <w:rPr>
            <w:noProof/>
          </w:rPr>
          <w:tab/>
        </w:r>
        <w:r w:rsidRPr="00ED5F90">
          <w:rPr>
            <w:rStyle w:val="Hyperlink"/>
            <w:noProof/>
          </w:rPr>
          <w:t>Test of Procedures or Methods to be Undertaken</w:t>
        </w:r>
        <w:r>
          <w:rPr>
            <w:noProof/>
            <w:webHidden/>
          </w:rPr>
          <w:tab/>
        </w:r>
        <w:r>
          <w:rPr>
            <w:noProof/>
            <w:webHidden/>
          </w:rPr>
          <w:fldChar w:fldCharType="begin"/>
        </w:r>
        <w:r>
          <w:rPr>
            <w:noProof/>
            <w:webHidden/>
          </w:rPr>
          <w:instrText xml:space="preserve"> PAGEREF _Toc414349337 \h </w:instrText>
        </w:r>
        <w:r>
          <w:rPr>
            <w:noProof/>
            <w:webHidden/>
          </w:rPr>
        </w:r>
        <w:r>
          <w:rPr>
            <w:noProof/>
            <w:webHidden/>
          </w:rPr>
          <w:fldChar w:fldCharType="separate"/>
        </w:r>
        <w:r>
          <w:rPr>
            <w:noProof/>
            <w:webHidden/>
          </w:rPr>
          <w:t>4</w:t>
        </w:r>
        <w:r>
          <w:rPr>
            <w:noProof/>
            <w:webHidden/>
          </w:rPr>
          <w:fldChar w:fldCharType="end"/>
        </w:r>
      </w:hyperlink>
    </w:p>
    <w:p w14:paraId="752BA428" w14:textId="03B2B126" w:rsidR="00DD050B" w:rsidRDefault="00DD050B">
      <w:pPr>
        <w:pStyle w:val="TOC2"/>
        <w:tabs>
          <w:tab w:val="left" w:pos="660"/>
          <w:tab w:val="right" w:leader="dot" w:pos="9350"/>
        </w:tabs>
        <w:rPr>
          <w:noProof/>
        </w:rPr>
      </w:pPr>
      <w:hyperlink w:anchor="_Toc414349338" w:history="1">
        <w:r w:rsidRPr="00ED5F90">
          <w:rPr>
            <w:rStyle w:val="Hyperlink"/>
            <w:noProof/>
          </w:rPr>
          <w:t>5.</w:t>
        </w:r>
        <w:r>
          <w:rPr>
            <w:noProof/>
          </w:rPr>
          <w:tab/>
        </w:r>
        <w:r w:rsidRPr="00ED5F90">
          <w:rPr>
            <w:rStyle w:val="Hyperlink"/>
            <w:noProof/>
          </w:rPr>
          <w:t>Individuals Consulted on Statistical Aspects and Individuals Collecting and/or Analyzing Data</w:t>
        </w:r>
        <w:r>
          <w:rPr>
            <w:rStyle w:val="Hyperlink"/>
            <w:noProof/>
          </w:rPr>
          <w:tab/>
        </w:r>
        <w:r>
          <w:rPr>
            <w:noProof/>
            <w:webHidden/>
          </w:rPr>
          <w:tab/>
        </w:r>
        <w:r>
          <w:rPr>
            <w:noProof/>
            <w:webHidden/>
          </w:rPr>
          <w:fldChar w:fldCharType="begin"/>
        </w:r>
        <w:r>
          <w:rPr>
            <w:noProof/>
            <w:webHidden/>
          </w:rPr>
          <w:instrText xml:space="preserve"> PAGEREF _Toc414349338 \h </w:instrText>
        </w:r>
        <w:r>
          <w:rPr>
            <w:noProof/>
            <w:webHidden/>
          </w:rPr>
        </w:r>
        <w:r>
          <w:rPr>
            <w:noProof/>
            <w:webHidden/>
          </w:rPr>
          <w:fldChar w:fldCharType="separate"/>
        </w:r>
        <w:r>
          <w:rPr>
            <w:noProof/>
            <w:webHidden/>
          </w:rPr>
          <w:t>4</w:t>
        </w:r>
        <w:r>
          <w:rPr>
            <w:noProof/>
            <w:webHidden/>
          </w:rPr>
          <w:fldChar w:fldCharType="end"/>
        </w:r>
      </w:hyperlink>
    </w:p>
    <w:p w14:paraId="26458F5D" w14:textId="77777777" w:rsidR="00DD050B" w:rsidRDefault="00DD050B">
      <w:pPr>
        <w:pStyle w:val="TOC1"/>
        <w:tabs>
          <w:tab w:val="right" w:leader="dot" w:pos="9350"/>
        </w:tabs>
        <w:rPr>
          <w:rFonts w:asciiTheme="minorHAnsi" w:hAnsiTheme="minorHAnsi"/>
          <w:noProof/>
        </w:rPr>
      </w:pPr>
      <w:hyperlink w:anchor="_Toc414349339" w:history="1">
        <w:r w:rsidRPr="00ED5F90">
          <w:rPr>
            <w:rStyle w:val="Hyperlink"/>
            <w:noProof/>
          </w:rPr>
          <w:t>LIST OF ATTACHMENTS – Section B</w:t>
        </w:r>
        <w:r>
          <w:rPr>
            <w:noProof/>
            <w:webHidden/>
          </w:rPr>
          <w:tab/>
        </w:r>
        <w:r>
          <w:rPr>
            <w:noProof/>
            <w:webHidden/>
          </w:rPr>
          <w:fldChar w:fldCharType="begin"/>
        </w:r>
        <w:r>
          <w:rPr>
            <w:noProof/>
            <w:webHidden/>
          </w:rPr>
          <w:instrText xml:space="preserve"> PAGEREF _Toc414349339 \h </w:instrText>
        </w:r>
        <w:r>
          <w:rPr>
            <w:noProof/>
            <w:webHidden/>
          </w:rPr>
        </w:r>
        <w:r>
          <w:rPr>
            <w:noProof/>
            <w:webHidden/>
          </w:rPr>
          <w:fldChar w:fldCharType="separate"/>
        </w:r>
        <w:r>
          <w:rPr>
            <w:noProof/>
            <w:webHidden/>
          </w:rPr>
          <w:t>5</w:t>
        </w:r>
        <w:r>
          <w:rPr>
            <w:noProof/>
            <w:webHidden/>
          </w:rPr>
          <w:fldChar w:fldCharType="end"/>
        </w:r>
      </w:hyperlink>
    </w:p>
    <w:p w14:paraId="5C1B9B99" w14:textId="77777777" w:rsidR="00DD050B" w:rsidRDefault="00DD050B">
      <w:pPr>
        <w:spacing w:after="200"/>
        <w:ind w:left="0"/>
        <w:rPr>
          <w:b/>
          <w:sz w:val="28"/>
        </w:rPr>
      </w:pPr>
      <w:r>
        <w:fldChar w:fldCharType="end"/>
      </w:r>
      <w:r>
        <w:br w:type="page"/>
      </w:r>
      <w:bookmarkStart w:id="1" w:name="_GoBack"/>
      <w:bookmarkEnd w:id="1"/>
    </w:p>
    <w:p w14:paraId="1FF22484" w14:textId="4965A945" w:rsidR="00B12F51" w:rsidRPr="00BC6896" w:rsidRDefault="00B12F51" w:rsidP="00BC6896">
      <w:pPr>
        <w:pStyle w:val="Heading3"/>
      </w:pPr>
      <w:bookmarkStart w:id="2" w:name="_Toc414349333"/>
      <w:r w:rsidRPr="00BC6896">
        <w:t xml:space="preserve">Section B – </w:t>
      </w:r>
      <w:r w:rsidR="00C84DC3">
        <w:t>Information</w:t>
      </w:r>
      <w:r w:rsidR="00287E2F" w:rsidRPr="00BC6896">
        <w:t xml:space="preserve"> Collection Procedures</w:t>
      </w:r>
      <w:bookmarkEnd w:id="2"/>
    </w:p>
    <w:p w14:paraId="1FF22485" w14:textId="77777777" w:rsidR="00287E2F" w:rsidRDefault="00287E2F" w:rsidP="00BC6896"/>
    <w:p w14:paraId="1FF22486" w14:textId="77777777" w:rsidR="00A75D1C" w:rsidRPr="00BC6896" w:rsidRDefault="009759F3" w:rsidP="00991BF9">
      <w:pPr>
        <w:pStyle w:val="Heading4"/>
      </w:pPr>
      <w:bookmarkStart w:id="3" w:name="_Toc414349334"/>
      <w:r w:rsidRPr="00BC6896">
        <w:t xml:space="preserve">Respondent Universe and </w:t>
      </w:r>
      <w:r w:rsidRPr="00991BF9">
        <w:t>Sampling</w:t>
      </w:r>
      <w:r w:rsidRPr="00BC6896">
        <w:t xml:space="preserve"> Methods</w:t>
      </w:r>
      <w:bookmarkEnd w:id="3"/>
      <w:r w:rsidR="00A305CE" w:rsidRPr="00BC6896">
        <w:t xml:space="preserve"> </w:t>
      </w:r>
    </w:p>
    <w:p w14:paraId="37A6CB5F" w14:textId="4611827F" w:rsidR="00330778" w:rsidRDefault="006678D0" w:rsidP="0040416C">
      <w:pPr>
        <w:ind w:left="0"/>
      </w:pPr>
      <w:r w:rsidRPr="00711BFA">
        <w:t xml:space="preserve">Data will be collected </w:t>
      </w:r>
      <w:r>
        <w:t xml:space="preserve">by the Council of State and Territorial Epidemiologists (CSTE) from its members, </w:t>
      </w:r>
      <w:r w:rsidR="00F95C62">
        <w:t xml:space="preserve">or their </w:t>
      </w:r>
      <w:r w:rsidR="00330778">
        <w:t>designees,</w:t>
      </w:r>
      <w:r w:rsidR="00F95C62">
        <w:t xml:space="preserve"> all of </w:t>
      </w:r>
      <w:r>
        <w:t>who</w:t>
      </w:r>
      <w:r w:rsidR="00F95C62">
        <w:t>m</w:t>
      </w:r>
      <w:r>
        <w:t xml:space="preserve"> are employees of state</w:t>
      </w:r>
      <w:r w:rsidR="00330778">
        <w:t xml:space="preserve"> and local</w:t>
      </w:r>
      <w:r>
        <w:t xml:space="preserve"> health departments and who are </w:t>
      </w:r>
      <w:r w:rsidRPr="00711BFA">
        <w:t>acting in their official capacities</w:t>
      </w:r>
      <w:r>
        <w:t xml:space="preserve"> as government employees.</w:t>
      </w:r>
      <w:r w:rsidR="00B13D0E">
        <w:t xml:space="preserve"> </w:t>
      </w:r>
      <w:r w:rsidR="0040416C">
        <w:t xml:space="preserve">Specifically, the universe of respondents is </w:t>
      </w:r>
      <w:r w:rsidR="00330778" w:rsidRPr="00F00792">
        <w:t>55</w:t>
      </w:r>
      <w:r w:rsidR="00330778">
        <w:t xml:space="preserve"> state and local epidemiologists or other staff (government employees) identified by the epidemiologists with responsibilities for private wells (e.g., for well construction, well water quality). CDC is partnering with CSTE for this assessment because they have the appropriate contacts to allow us to assess every state. Some state epidemiologists will have the expertise required to complete the assessment, while others will designate the assessment to another government official with the relevant expertise.</w:t>
      </w:r>
    </w:p>
    <w:p w14:paraId="40917754" w14:textId="77777777" w:rsidR="00330778" w:rsidRDefault="00330778" w:rsidP="0040416C">
      <w:pPr>
        <w:ind w:left="0"/>
      </w:pPr>
    </w:p>
    <w:p w14:paraId="1FF22489" w14:textId="14D4BE33" w:rsidR="005767A5" w:rsidRPr="00711BFA" w:rsidRDefault="00330778" w:rsidP="0040416C">
      <w:pPr>
        <w:ind w:left="0"/>
      </w:pPr>
      <w:r>
        <w:t xml:space="preserve">Respondents come from </w:t>
      </w:r>
      <w:r w:rsidR="00B13D0E" w:rsidRPr="00B13D0E">
        <w:t xml:space="preserve">all 50 states and a representative of local jurisdictions, including </w:t>
      </w:r>
      <w:r w:rsidR="00C065BD">
        <w:t>Los Angeles, CA</w:t>
      </w:r>
      <w:r w:rsidR="0040416C">
        <w:t>;</w:t>
      </w:r>
      <w:r w:rsidR="00C065BD">
        <w:t xml:space="preserve"> District of Columbia</w:t>
      </w:r>
      <w:r w:rsidR="0040416C">
        <w:t xml:space="preserve">; </w:t>
      </w:r>
      <w:r w:rsidR="00C065BD">
        <w:t>Chicago, IL</w:t>
      </w:r>
      <w:r w:rsidR="0040416C">
        <w:t xml:space="preserve">; </w:t>
      </w:r>
      <w:r w:rsidR="00C065BD">
        <w:t>New York City, NY</w:t>
      </w:r>
      <w:r w:rsidR="0040416C">
        <w:t xml:space="preserve">; </w:t>
      </w:r>
      <w:r w:rsidR="00C065BD">
        <w:t>Houston, TX</w:t>
      </w:r>
      <w:r w:rsidR="0040416C">
        <w:t>;</w:t>
      </w:r>
      <w:r w:rsidR="00C065BD">
        <w:t xml:space="preserve"> and Seattle, WA.</w:t>
      </w:r>
      <w:r w:rsidR="00F0537B">
        <w:t xml:space="preserve"> These representatives w</w:t>
      </w:r>
      <w:r w:rsidR="00957AD1">
        <w:t>ere selected for this information collection</w:t>
      </w:r>
      <w:r w:rsidR="00F0537B" w:rsidRPr="00F0537B">
        <w:t xml:space="preserve"> because they are</w:t>
      </w:r>
      <w:r w:rsidR="00F95C62">
        <w:t xml:space="preserve"> either</w:t>
      </w:r>
      <w:r w:rsidR="00F0537B" w:rsidRPr="00F0537B">
        <w:t xml:space="preserve"> up-to-date on critical public health </w:t>
      </w:r>
      <w:r w:rsidR="00715CD2">
        <w:t>topics</w:t>
      </w:r>
      <w:r w:rsidR="00F0537B" w:rsidRPr="00F0537B">
        <w:t xml:space="preserve">, such as </w:t>
      </w:r>
      <w:r w:rsidR="00957AD1">
        <w:t>private well water issues</w:t>
      </w:r>
      <w:r w:rsidR="00F0537B" w:rsidRPr="00F0537B">
        <w:t xml:space="preserve">, </w:t>
      </w:r>
      <w:r w:rsidR="00F95C62">
        <w:t>in their states and territories or they know who the appropriate contacts are.</w:t>
      </w:r>
      <w:r w:rsidR="0040416C">
        <w:t xml:space="preserve"> No sampling is employed.</w:t>
      </w:r>
    </w:p>
    <w:p w14:paraId="1FF2248A" w14:textId="77777777" w:rsidR="00F52BCC" w:rsidRDefault="00F52BCC" w:rsidP="00991BF9">
      <w:pPr>
        <w:ind w:left="360"/>
      </w:pPr>
    </w:p>
    <w:p w14:paraId="1FF2248B" w14:textId="77777777" w:rsidR="00287E2F" w:rsidRPr="009759F3" w:rsidRDefault="00287E2F" w:rsidP="00991BF9">
      <w:pPr>
        <w:pStyle w:val="Heading4"/>
      </w:pPr>
      <w:bookmarkStart w:id="4" w:name="_Toc414349335"/>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1FF2248C" w14:textId="77777777" w:rsidR="00991BF9" w:rsidRPr="009011A8" w:rsidRDefault="00991BF9" w:rsidP="00991BF9">
      <w:pPr>
        <w:ind w:left="0"/>
      </w:pPr>
      <w:r>
        <w:t>D</w:t>
      </w:r>
      <w:r w:rsidRPr="003163A2">
        <w:t xml:space="preserve">ata will be collected through a one-time web-based </w:t>
      </w:r>
      <w:r w:rsidR="006D339C">
        <w:t>assessment</w:t>
      </w:r>
      <w:r w:rsidR="006D339C" w:rsidRPr="003163A2">
        <w:t xml:space="preserve"> </w:t>
      </w:r>
      <w:r w:rsidR="004A6341">
        <w:t>using Survey Monkey. R</w:t>
      </w:r>
      <w:r>
        <w:t>espondents</w:t>
      </w:r>
      <w:r w:rsidRPr="003163A2">
        <w:t xml:space="preserve"> will be recruited through a</w:t>
      </w:r>
      <w:r>
        <w:t xml:space="preserve"> notification </w:t>
      </w:r>
      <w:r w:rsidRPr="003163A2">
        <w:t xml:space="preserve">email </w:t>
      </w:r>
      <w:r>
        <w:t xml:space="preserve">to the respondent universe </w:t>
      </w:r>
      <w:r w:rsidRPr="009011A8">
        <w:t xml:space="preserve">(see </w:t>
      </w:r>
      <w:r w:rsidR="002F199B">
        <w:rPr>
          <w:b/>
        </w:rPr>
        <w:t>Att.</w:t>
      </w:r>
      <w:r w:rsidRPr="009011A8">
        <w:rPr>
          <w:b/>
        </w:rPr>
        <w:t xml:space="preserve"> </w:t>
      </w:r>
      <w:r w:rsidR="006F6F4B">
        <w:rPr>
          <w:b/>
        </w:rPr>
        <w:t>C</w:t>
      </w:r>
      <w:r>
        <w:rPr>
          <w:b/>
        </w:rPr>
        <w:t>—</w:t>
      </w:r>
      <w:r w:rsidR="0024523F">
        <w:rPr>
          <w:b/>
        </w:rPr>
        <w:t>Invitation</w:t>
      </w:r>
      <w:r w:rsidRPr="009011A8">
        <w:rPr>
          <w:b/>
        </w:rPr>
        <w:t xml:space="preserve"> Email</w:t>
      </w:r>
      <w:r w:rsidRPr="009011A8">
        <w:t xml:space="preserve">).  The </w:t>
      </w:r>
      <w:r w:rsidR="0024523F">
        <w:t>invitation</w:t>
      </w:r>
      <w:r w:rsidRPr="009011A8">
        <w:t xml:space="preserve"> email will explain: </w:t>
      </w:r>
    </w:p>
    <w:p w14:paraId="1FF2248D" w14:textId="77777777" w:rsidR="00991BF9" w:rsidRPr="009011A8" w:rsidRDefault="00991BF9" w:rsidP="00991BF9">
      <w:pPr>
        <w:pStyle w:val="ListParagraph"/>
        <w:numPr>
          <w:ilvl w:val="0"/>
          <w:numId w:val="24"/>
        </w:numPr>
        <w:ind w:left="720"/>
      </w:pPr>
      <w:r w:rsidRPr="009011A8">
        <w:t>The purpose of the</w:t>
      </w:r>
      <w:r w:rsidR="006F6F4B">
        <w:t xml:space="preserve"> a</w:t>
      </w:r>
      <w:r w:rsidR="00435E80">
        <w:t>ssessment</w:t>
      </w:r>
      <w:r w:rsidRPr="009011A8">
        <w:t>, and why their participation</w:t>
      </w:r>
      <w:r w:rsidR="00F95C62">
        <w:t>, or the participation of the person in state government who best understands issues about private wells and private well owners,</w:t>
      </w:r>
      <w:r w:rsidRPr="009011A8">
        <w:t xml:space="preserve"> is important </w:t>
      </w:r>
    </w:p>
    <w:p w14:paraId="1FF2248E" w14:textId="77777777" w:rsidR="00991BF9" w:rsidRPr="009011A8" w:rsidRDefault="00991BF9" w:rsidP="00991BF9">
      <w:pPr>
        <w:pStyle w:val="ListParagraph"/>
        <w:numPr>
          <w:ilvl w:val="0"/>
          <w:numId w:val="24"/>
        </w:numPr>
        <w:ind w:left="720"/>
      </w:pPr>
      <w:r w:rsidRPr="009011A8">
        <w:t xml:space="preserve">Method to safeguard their responses </w:t>
      </w:r>
    </w:p>
    <w:p w14:paraId="1FF2248F" w14:textId="77777777" w:rsidR="00991BF9" w:rsidRPr="006F6F4B" w:rsidRDefault="00991BF9" w:rsidP="00991BF9">
      <w:pPr>
        <w:pStyle w:val="ListParagraph"/>
        <w:numPr>
          <w:ilvl w:val="0"/>
          <w:numId w:val="24"/>
        </w:numPr>
        <w:ind w:left="720"/>
      </w:pPr>
      <w:r w:rsidRPr="009011A8">
        <w:t xml:space="preserve">That participation is </w:t>
      </w:r>
      <w:r w:rsidRPr="006F6F4B">
        <w:t>voluntary</w:t>
      </w:r>
    </w:p>
    <w:p w14:paraId="1FF22490" w14:textId="77777777" w:rsidR="00991BF9" w:rsidRPr="006F6F4B" w:rsidRDefault="00991BF9" w:rsidP="00991BF9">
      <w:pPr>
        <w:pStyle w:val="ListParagraph"/>
        <w:numPr>
          <w:ilvl w:val="0"/>
          <w:numId w:val="24"/>
        </w:numPr>
        <w:ind w:left="720"/>
      </w:pPr>
      <w:r w:rsidRPr="006F6F4B">
        <w:t xml:space="preserve">The expected time to complete the </w:t>
      </w:r>
      <w:r w:rsidR="006F6F4B" w:rsidRPr="006F6F4B">
        <w:t>assessment</w:t>
      </w:r>
      <w:r w:rsidRPr="006F6F4B">
        <w:t xml:space="preserve"> </w:t>
      </w:r>
    </w:p>
    <w:p w14:paraId="1FF22491" w14:textId="77777777" w:rsidR="00991BF9" w:rsidRPr="006F6F4B" w:rsidRDefault="00991BF9" w:rsidP="00991BF9">
      <w:pPr>
        <w:pStyle w:val="ListParagraph"/>
        <w:numPr>
          <w:ilvl w:val="0"/>
          <w:numId w:val="24"/>
        </w:numPr>
        <w:ind w:left="720"/>
      </w:pPr>
      <w:r w:rsidRPr="006F6F4B">
        <w:t xml:space="preserve">Contact information for the </w:t>
      </w:r>
      <w:r w:rsidR="006F6F4B" w:rsidRPr="006F6F4B">
        <w:t>assessment</w:t>
      </w:r>
      <w:r w:rsidRPr="006F6F4B">
        <w:t xml:space="preserve"> team </w:t>
      </w:r>
    </w:p>
    <w:p w14:paraId="1FF22492" w14:textId="77777777" w:rsidR="00991BF9" w:rsidRDefault="00991BF9" w:rsidP="00991BF9">
      <w:pPr>
        <w:pStyle w:val="ListParagraph"/>
        <w:ind w:left="0"/>
      </w:pPr>
    </w:p>
    <w:p w14:paraId="1FF22493" w14:textId="77777777" w:rsidR="00991BF9" w:rsidRPr="009011A8" w:rsidRDefault="00991BF9" w:rsidP="00991BF9">
      <w:pPr>
        <w:ind w:left="0"/>
      </w:pPr>
      <w:r>
        <w:t>The email will also state i</w:t>
      </w:r>
      <w:r w:rsidRPr="009011A8">
        <w:t xml:space="preserve">nstructions for participating and a link to the </w:t>
      </w:r>
      <w:r w:rsidRPr="006F6F4B">
        <w:t xml:space="preserve">online </w:t>
      </w:r>
      <w:r w:rsidR="006F6F4B" w:rsidRPr="006F6F4B">
        <w:t>assessment</w:t>
      </w:r>
      <w:r w:rsidRPr="009011A8">
        <w:t xml:space="preserve"> and consent form</w:t>
      </w:r>
      <w:r>
        <w:t xml:space="preserve">. </w:t>
      </w:r>
    </w:p>
    <w:p w14:paraId="1FF22494" w14:textId="77777777" w:rsidR="00991BF9" w:rsidRDefault="00991BF9" w:rsidP="00991BF9">
      <w:pPr>
        <w:tabs>
          <w:tab w:val="left" w:pos="-1440"/>
          <w:tab w:val="left" w:pos="-720"/>
        </w:tabs>
        <w:autoSpaceDE w:val="0"/>
        <w:autoSpaceDN w:val="0"/>
        <w:adjustRightInd w:val="0"/>
        <w:spacing w:line="240" w:lineRule="auto"/>
        <w:ind w:left="0" w:right="720"/>
        <w:rPr>
          <w:rFonts w:cs="Arial"/>
          <w:szCs w:val="24"/>
        </w:rPr>
      </w:pPr>
    </w:p>
    <w:p w14:paraId="1FF22495" w14:textId="77777777" w:rsidR="00991BF9" w:rsidRDefault="00991BF9" w:rsidP="00991BF9">
      <w:pPr>
        <w:ind w:left="0"/>
      </w:pPr>
      <w:r w:rsidRPr="00576930">
        <w:t xml:space="preserve">Respondents will be asked for their response to the instrument within a </w:t>
      </w:r>
      <w:r w:rsidR="005F1CCE">
        <w:t>4</w:t>
      </w:r>
      <w:r w:rsidR="00112DDF">
        <w:t xml:space="preserve"> </w:t>
      </w:r>
      <w:r>
        <w:t xml:space="preserve">week period </w:t>
      </w:r>
      <w:r w:rsidRPr="009011A8">
        <w:t xml:space="preserve">to allow ample time for respondents to complete it. Reminders will be sent </w:t>
      </w:r>
      <w:r w:rsidR="00112DDF">
        <w:t>after one</w:t>
      </w:r>
      <w:r w:rsidRPr="009011A8">
        <w:t xml:space="preserve"> week to non-respondents to urge them to </w:t>
      </w:r>
      <w:r>
        <w:t xml:space="preserve">complete the </w:t>
      </w:r>
      <w:r w:rsidR="006F6F4B">
        <w:t>assessment</w:t>
      </w:r>
      <w:r>
        <w:t xml:space="preserve"> (</w:t>
      </w:r>
      <w:r w:rsidR="002F199B">
        <w:rPr>
          <w:b/>
        </w:rPr>
        <w:t>see Att.</w:t>
      </w:r>
      <w:r w:rsidRPr="00576930">
        <w:rPr>
          <w:b/>
        </w:rPr>
        <w:t xml:space="preserve"> </w:t>
      </w:r>
      <w:r w:rsidR="006F6F4B">
        <w:rPr>
          <w:b/>
        </w:rPr>
        <w:t>D</w:t>
      </w:r>
      <w:r w:rsidRPr="00576930">
        <w:rPr>
          <w:b/>
        </w:rPr>
        <w:t>—Reminder Email</w:t>
      </w:r>
      <w:r>
        <w:t>).</w:t>
      </w:r>
      <w:r w:rsidR="00112DDF">
        <w:t xml:space="preserve">  </w:t>
      </w:r>
      <w:r w:rsidR="008910F6">
        <w:t xml:space="preserve">Further, </w:t>
      </w:r>
      <w:r w:rsidR="008910F6" w:rsidRPr="008910F6">
        <w:t xml:space="preserve">at the completion of the </w:t>
      </w:r>
      <w:r w:rsidR="00765A1B">
        <w:t>data collection</w:t>
      </w:r>
      <w:r w:rsidR="008910F6" w:rsidRPr="008910F6">
        <w:t xml:space="preserve"> period, CSTE national office staff will directly contact respondents to request completion of the </w:t>
      </w:r>
      <w:r w:rsidR="006F6F4B" w:rsidRPr="006F6F4B">
        <w:t>assessment</w:t>
      </w:r>
      <w:r w:rsidR="008910F6" w:rsidRPr="008910F6">
        <w:t>. </w:t>
      </w:r>
    </w:p>
    <w:p w14:paraId="1FF22496" w14:textId="77777777" w:rsidR="00991BF9" w:rsidRDefault="00991BF9" w:rsidP="00991BF9">
      <w:pPr>
        <w:ind w:left="0"/>
      </w:pPr>
    </w:p>
    <w:p w14:paraId="1FF22497" w14:textId="77777777" w:rsidR="00991BF9" w:rsidRPr="00EB2062" w:rsidRDefault="00F95C62" w:rsidP="00F95C62">
      <w:pPr>
        <w:pStyle w:val="ListParagraph"/>
        <w:ind w:left="0"/>
      </w:pPr>
      <w:r>
        <w:t xml:space="preserve">Data from the participant responses will be collected and stored in a database maintained by CSTE. Data will be transferred to </w:t>
      </w:r>
      <w:r w:rsidR="0024523F">
        <w:t>SAS</w:t>
      </w:r>
      <w:r>
        <w:t xml:space="preserve"> for statistical analysis. Both quantitative and qualitative analyses </w:t>
      </w:r>
      <w:r>
        <w:lastRenderedPageBreak/>
        <w:t>will be performed.  Quantitative analyses will involve using descriptive statistics to determine frequency distributions and corresponding variances for responses to the relevant questions. Responses will be cross-tabulated to compare independent variable responses including advertising methods, incentives to participate, number and type of partners/stakeholders, reasons for conducting outreach program, type of outreach program, and outreach program scale. Both factor analysis and coding analysis will be used to assess the data. Qualitative thematic analyses will be performed on open-ended, descriptive questions to compile responses about emerging issues for private wells and private well owners. The descriptive questions will increase the utility of the statistical analysis by providing information about emerging issues that the quantitative data cannot provide (e.g., emerging issues in specific states or regions that CDC may not yet be aware of).</w:t>
      </w:r>
    </w:p>
    <w:p w14:paraId="1FF22498" w14:textId="77777777" w:rsidR="00991BF9" w:rsidRDefault="00991BF9" w:rsidP="00991BF9"/>
    <w:p w14:paraId="1FF22499" w14:textId="77777777" w:rsidR="009759F3" w:rsidRPr="009759F3" w:rsidRDefault="00287E2F" w:rsidP="00991BF9">
      <w:pPr>
        <w:pStyle w:val="Heading4"/>
      </w:pPr>
      <w:bookmarkStart w:id="5" w:name="_Toc414349336"/>
      <w:r w:rsidRPr="00D26A64">
        <w:t>Methods to Maximize Response Rates</w:t>
      </w:r>
      <w:r w:rsidR="00F725B5">
        <w:t xml:space="preserve"> </w:t>
      </w:r>
      <w:r w:rsidR="00167062">
        <w:t>to</w:t>
      </w:r>
      <w:r w:rsidRPr="00D26A64">
        <w:t xml:space="preserve"> </w:t>
      </w:r>
      <w:r w:rsidR="009759F3" w:rsidRPr="009759F3">
        <w:t>Deal with Nonresponse</w:t>
      </w:r>
      <w:bookmarkEnd w:id="5"/>
    </w:p>
    <w:p w14:paraId="1FF2249A" w14:textId="77777777" w:rsidR="00991BF9" w:rsidRDefault="00991BF9" w:rsidP="00991BF9">
      <w:pPr>
        <w:pStyle w:val="ListParagraph"/>
        <w:ind w:left="0"/>
      </w:pPr>
      <w:r w:rsidRPr="007C6296">
        <w:rPr>
          <w:rFonts w:cs="Times New Roman"/>
        </w:rPr>
        <w:t xml:space="preserve">Although participation in the </w:t>
      </w:r>
      <w:r w:rsidR="006D339C">
        <w:rPr>
          <w:rFonts w:cs="Times New Roman"/>
        </w:rPr>
        <w:t>assessment</w:t>
      </w:r>
      <w:r w:rsidR="006D339C" w:rsidRPr="007C6296">
        <w:rPr>
          <w:rFonts w:cs="Times New Roman"/>
        </w:rPr>
        <w:t xml:space="preserve"> </w:t>
      </w:r>
      <w:r w:rsidRPr="007C6296">
        <w:rPr>
          <w:rFonts w:cs="Times New Roman"/>
        </w:rPr>
        <w:t xml:space="preserve">is voluntary, </w:t>
      </w:r>
      <w:r>
        <w:rPr>
          <w:rFonts w:cs="Times New Roman"/>
        </w:rPr>
        <w:t xml:space="preserve">the project lead will make </w:t>
      </w:r>
      <w:r w:rsidRPr="007C6296">
        <w:rPr>
          <w:rFonts w:cs="Times New Roman"/>
        </w:rPr>
        <w:t xml:space="preserve">every effort to maximize the rate of response. </w:t>
      </w:r>
      <w:r w:rsidR="0091547D">
        <w:rPr>
          <w:rFonts w:cs="Times New Roman"/>
        </w:rPr>
        <w:t>The goal is to reach 100% for the response rate, but CSTE anticipates that 75-93% of those asked will respond.</w:t>
      </w:r>
      <w:r w:rsidR="006F6F4B">
        <w:rPr>
          <w:rFonts w:cs="Times New Roman"/>
        </w:rPr>
        <w:t xml:space="preserve"> This estimate was provided by CSTE leaders based on the level of participation they have observed in past assessments of this nature.</w:t>
      </w:r>
      <w:r w:rsidR="0091547D">
        <w:rPr>
          <w:rFonts w:cs="Times New Roman"/>
        </w:rPr>
        <w:t xml:space="preserve">  To achieve a high response rate, a</w:t>
      </w:r>
      <w:r>
        <w:rPr>
          <w:rFonts w:cs="Times New Roman"/>
        </w:rPr>
        <w:t xml:space="preserve"> reminder email will be sent to those who have not completed the </w:t>
      </w:r>
      <w:r w:rsidR="006F6F4B">
        <w:rPr>
          <w:rFonts w:cs="Times New Roman"/>
        </w:rPr>
        <w:t>assessment</w:t>
      </w:r>
      <w:r>
        <w:rPr>
          <w:rFonts w:cs="Times New Roman"/>
        </w:rPr>
        <w:t xml:space="preserve"> during the </w:t>
      </w:r>
      <w:r w:rsidR="00B229D6">
        <w:rPr>
          <w:rFonts w:cs="Times New Roman"/>
        </w:rPr>
        <w:t>second</w:t>
      </w:r>
      <w:r>
        <w:rPr>
          <w:rFonts w:cs="Times New Roman"/>
        </w:rPr>
        <w:t xml:space="preserve"> week of the </w:t>
      </w:r>
      <w:r w:rsidR="00765A1B">
        <w:rPr>
          <w:rFonts w:cs="Times New Roman"/>
        </w:rPr>
        <w:t>data collection</w:t>
      </w:r>
      <w:r>
        <w:rPr>
          <w:rFonts w:cs="Times New Roman"/>
        </w:rPr>
        <w:t xml:space="preserve"> period (see </w:t>
      </w:r>
      <w:r w:rsidR="002F199B">
        <w:rPr>
          <w:b/>
        </w:rPr>
        <w:t xml:space="preserve">Att. </w:t>
      </w:r>
      <w:r w:rsidR="00320B77">
        <w:rPr>
          <w:b/>
        </w:rPr>
        <w:t>D</w:t>
      </w:r>
      <w:r>
        <w:rPr>
          <w:b/>
        </w:rPr>
        <w:t>—</w:t>
      </w:r>
      <w:r w:rsidRPr="009011A8">
        <w:rPr>
          <w:b/>
        </w:rPr>
        <w:t>Reminder Email</w:t>
      </w:r>
      <w:r>
        <w:rPr>
          <w:rFonts w:cs="Times New Roman"/>
        </w:rPr>
        <w:t xml:space="preserve">). </w:t>
      </w:r>
      <w:r w:rsidR="00F86A48">
        <w:rPr>
          <w:rFonts w:cs="Times New Roman"/>
        </w:rPr>
        <w:t>Additionally</w:t>
      </w:r>
      <w:r w:rsidR="0091547D">
        <w:rPr>
          <w:rFonts w:cs="Times New Roman"/>
        </w:rPr>
        <w:t xml:space="preserve">, </w:t>
      </w:r>
      <w:r w:rsidR="002F199B">
        <w:rPr>
          <w:rFonts w:cs="Times New Roman"/>
        </w:rPr>
        <w:t>the Invitation Email (</w:t>
      </w:r>
      <w:r w:rsidR="002F199B" w:rsidRPr="0040416C">
        <w:rPr>
          <w:rFonts w:cs="Times New Roman"/>
          <w:b/>
        </w:rPr>
        <w:t>Att.</w:t>
      </w:r>
      <w:r w:rsidR="00007B05" w:rsidRPr="0040416C">
        <w:rPr>
          <w:rFonts w:cs="Times New Roman"/>
          <w:b/>
        </w:rPr>
        <w:t xml:space="preserve"> </w:t>
      </w:r>
      <w:r w:rsidR="00320B77" w:rsidRPr="0040416C">
        <w:rPr>
          <w:rFonts w:cs="Times New Roman"/>
          <w:b/>
        </w:rPr>
        <w:t>C</w:t>
      </w:r>
      <w:r w:rsidR="00007B05">
        <w:rPr>
          <w:rFonts w:cs="Times New Roman"/>
        </w:rPr>
        <w:t xml:space="preserve">) and the </w:t>
      </w:r>
      <w:r w:rsidR="00435E80">
        <w:rPr>
          <w:rFonts w:cs="Times New Roman"/>
        </w:rPr>
        <w:t xml:space="preserve">assessment </w:t>
      </w:r>
      <w:r w:rsidR="002F199B">
        <w:rPr>
          <w:rFonts w:cs="Times New Roman"/>
        </w:rPr>
        <w:t>itself (</w:t>
      </w:r>
      <w:r w:rsidR="002F199B" w:rsidRPr="0040416C">
        <w:rPr>
          <w:rFonts w:cs="Times New Roman"/>
          <w:b/>
        </w:rPr>
        <w:t>Att.</w:t>
      </w:r>
      <w:r w:rsidR="00320B77" w:rsidRPr="0040416C">
        <w:rPr>
          <w:rFonts w:cs="Times New Roman"/>
          <w:b/>
        </w:rPr>
        <w:t xml:space="preserve"> A</w:t>
      </w:r>
      <w:r w:rsidR="00007B05">
        <w:rPr>
          <w:rFonts w:cs="Times New Roman"/>
        </w:rPr>
        <w:t xml:space="preserve">) both explain the background and rationale for the data collection to </w:t>
      </w:r>
      <w:r w:rsidR="00F86A48">
        <w:rPr>
          <w:rFonts w:cs="Times New Roman"/>
        </w:rPr>
        <w:t>further encourage potential respondents to participate.</w:t>
      </w:r>
    </w:p>
    <w:p w14:paraId="1FF2249B" w14:textId="77777777" w:rsidR="00991BF9" w:rsidRDefault="00991BF9" w:rsidP="00991BF9"/>
    <w:p w14:paraId="1FF2249C" w14:textId="77777777" w:rsidR="00F52BCC" w:rsidRPr="009759F3" w:rsidRDefault="00287E2F" w:rsidP="00991BF9">
      <w:pPr>
        <w:pStyle w:val="Heading4"/>
      </w:pPr>
      <w:bookmarkStart w:id="6" w:name="_Toc414349337"/>
      <w:r w:rsidRPr="005F3FEF">
        <w:t xml:space="preserve">Test of Procedures </w:t>
      </w:r>
      <w:r w:rsidR="009759F3" w:rsidRPr="009759F3">
        <w:t>or Methods to be Undertaken</w:t>
      </w:r>
      <w:bookmarkEnd w:id="6"/>
    </w:p>
    <w:p w14:paraId="1FF2249E" w14:textId="76A15B2F" w:rsidR="00F52BCC" w:rsidRDefault="00200F5E" w:rsidP="00200F5E">
      <w:pPr>
        <w:ind w:left="0"/>
        <w:rPr>
          <w:color w:val="000000"/>
        </w:rPr>
      </w:pPr>
      <w:r w:rsidRPr="00200F5E">
        <w:rPr>
          <w:color w:val="000000"/>
        </w:rPr>
        <w:t>The estimate for burden hours is based on a pilot test of the information collection instrument by 2 public health professionals from the New Mexico and Indiana health departments. In the pilot test, the average time to complete the instrument including time for reviewing instructions, gathering needed information and completing the instrument, was approximately 60 minutes. Most of this time was spent gathering the appropriate information to respond to the assessment questions. Based on these results, the estimated time range for actual respondents to complete the instrument is 50 to 70 minutes. For the purposes of estimating burden hours, the average time for completion (i.e., 60 minutes) is used.</w:t>
      </w:r>
    </w:p>
    <w:p w14:paraId="7F659210" w14:textId="77777777" w:rsidR="00200F5E" w:rsidRDefault="00200F5E" w:rsidP="00200F5E">
      <w:pPr>
        <w:ind w:left="0"/>
      </w:pPr>
    </w:p>
    <w:p w14:paraId="1FF2249F" w14:textId="77777777" w:rsidR="00F95C62" w:rsidRDefault="009759F3" w:rsidP="00F95C62">
      <w:pPr>
        <w:pStyle w:val="Heading4"/>
      </w:pPr>
      <w:bookmarkStart w:id="7" w:name="_Toc414349338"/>
      <w:r w:rsidRPr="009759F3">
        <w:t>Individuals Consulted on Statistical Aspects and Individuals Collecting and/or Analyzing Data</w:t>
      </w:r>
      <w:bookmarkEnd w:id="7"/>
    </w:p>
    <w:p w14:paraId="1FF224A0" w14:textId="77777777" w:rsidR="00C9017D" w:rsidRPr="00C9017D" w:rsidRDefault="00C9017D" w:rsidP="00C9017D">
      <w:pPr>
        <w:ind w:left="0"/>
      </w:pPr>
      <w:r w:rsidRPr="00C9017D">
        <w:t xml:space="preserve">Jennifer Lemmings </w:t>
      </w:r>
    </w:p>
    <w:p w14:paraId="1FF224A1" w14:textId="77777777" w:rsidR="00C9017D" w:rsidRDefault="00C9017D" w:rsidP="00C9017D">
      <w:pPr>
        <w:ind w:left="0"/>
      </w:pPr>
      <w:r w:rsidRPr="00C9017D">
        <w:t>CSTE Epidemiology Program Director</w:t>
      </w:r>
    </w:p>
    <w:p w14:paraId="1FF224A2" w14:textId="77777777" w:rsidR="004A2826" w:rsidRPr="00C9017D" w:rsidRDefault="004A2826" w:rsidP="00C9017D">
      <w:pPr>
        <w:ind w:left="0"/>
      </w:pPr>
      <w:r w:rsidRPr="004A2826">
        <w:t>770-458-3811</w:t>
      </w:r>
    </w:p>
    <w:p w14:paraId="1FF224A3" w14:textId="77777777" w:rsidR="00C9017D" w:rsidRDefault="00C9017D" w:rsidP="00C9017D">
      <w:pPr>
        <w:ind w:left="0"/>
      </w:pPr>
      <w:r w:rsidRPr="0091547D">
        <w:t>jlemmings@cste.org</w:t>
      </w:r>
    </w:p>
    <w:p w14:paraId="1FF224A4" w14:textId="77777777" w:rsidR="00C9017D" w:rsidRDefault="00C9017D" w:rsidP="00C9017D">
      <w:pPr>
        <w:ind w:left="0"/>
      </w:pPr>
    </w:p>
    <w:p w14:paraId="1FF224A5" w14:textId="77777777" w:rsidR="00287E2F" w:rsidRDefault="00CD212D" w:rsidP="00991BF9">
      <w:pPr>
        <w:ind w:left="0"/>
      </w:pPr>
      <w:r>
        <w:t>Lisa Ferland</w:t>
      </w:r>
    </w:p>
    <w:p w14:paraId="1FF224A6" w14:textId="77777777" w:rsidR="00CD212D" w:rsidRDefault="00CD212D" w:rsidP="00991BF9">
      <w:pPr>
        <w:ind w:left="0"/>
      </w:pPr>
      <w:r>
        <w:t xml:space="preserve">CSTE </w:t>
      </w:r>
      <w:r w:rsidR="0091547D">
        <w:t>Consultant</w:t>
      </w:r>
    </w:p>
    <w:p w14:paraId="1FF224A7" w14:textId="77777777" w:rsidR="00CD212D" w:rsidRPr="00281795" w:rsidRDefault="00CD212D" w:rsidP="00991BF9">
      <w:pPr>
        <w:ind w:left="0"/>
      </w:pPr>
      <w:r w:rsidRPr="00CD212D">
        <w:t>ferland.lisa@gmail.com</w:t>
      </w:r>
    </w:p>
    <w:p w14:paraId="1FF224A9" w14:textId="77777777" w:rsidR="00A36419" w:rsidRPr="00BC6896" w:rsidRDefault="00A36419" w:rsidP="00BC6896">
      <w:pPr>
        <w:pStyle w:val="Heading3"/>
      </w:pPr>
      <w:bookmarkStart w:id="8" w:name="_Toc414349339"/>
      <w:r w:rsidRPr="00BC6896">
        <w:t>LIST OF ATTACHMENTS</w:t>
      </w:r>
      <w:r w:rsidR="00E24C20" w:rsidRPr="00BC6896">
        <w:t xml:space="preserve"> – Section B</w:t>
      </w:r>
      <w:bookmarkEnd w:id="8"/>
    </w:p>
    <w:p w14:paraId="1FF224AA" w14:textId="77777777" w:rsidR="006B5E55" w:rsidRPr="00CD1EA8" w:rsidRDefault="006B5E55" w:rsidP="00BC6896">
      <w:pPr>
        <w:ind w:left="0"/>
      </w:pPr>
      <w:r w:rsidRPr="00CD1EA8">
        <w:t>Note:</w:t>
      </w:r>
      <w:r>
        <w:t xml:space="preserve"> Attachments are included as separate files as instructed.</w:t>
      </w:r>
    </w:p>
    <w:p w14:paraId="1FF224AB" w14:textId="77777777" w:rsidR="00A36419" w:rsidRDefault="00A36419" w:rsidP="00991BF9">
      <w:pPr>
        <w:ind w:left="0"/>
      </w:pPr>
    </w:p>
    <w:p w14:paraId="1FF224AC" w14:textId="77777777" w:rsidR="00991BF9" w:rsidRPr="00CC1005" w:rsidRDefault="0091547D" w:rsidP="00320B77">
      <w:pPr>
        <w:pStyle w:val="ListParagraph"/>
        <w:numPr>
          <w:ilvl w:val="0"/>
          <w:numId w:val="28"/>
        </w:numPr>
        <w:spacing w:line="240" w:lineRule="auto"/>
        <w:rPr>
          <w:rFonts w:ascii="Cambria" w:hAnsi="Cambria"/>
          <w:b/>
        </w:rPr>
      </w:pPr>
      <w:r>
        <w:rPr>
          <w:rFonts w:ascii="Cambria" w:hAnsi="Cambria"/>
          <w:b/>
        </w:rPr>
        <w:t>Invitation</w:t>
      </w:r>
      <w:r w:rsidR="00991BF9" w:rsidRPr="00CC1005">
        <w:rPr>
          <w:rFonts w:ascii="Cambria" w:hAnsi="Cambria"/>
          <w:b/>
        </w:rPr>
        <w:t xml:space="preserve"> Email</w:t>
      </w:r>
    </w:p>
    <w:p w14:paraId="1FF224AD" w14:textId="77777777" w:rsidR="00991BF9" w:rsidRDefault="00991BF9" w:rsidP="00320B77">
      <w:pPr>
        <w:pStyle w:val="ListParagraph"/>
        <w:numPr>
          <w:ilvl w:val="0"/>
          <w:numId w:val="28"/>
        </w:numPr>
        <w:spacing w:line="240" w:lineRule="auto"/>
        <w:rPr>
          <w:rFonts w:ascii="Cambria" w:hAnsi="Cambria"/>
          <w:b/>
        </w:rPr>
      </w:pPr>
      <w:r w:rsidRPr="00CC1005">
        <w:rPr>
          <w:rFonts w:ascii="Cambria" w:hAnsi="Cambria"/>
          <w:b/>
        </w:rPr>
        <w:t>Reminder Email</w:t>
      </w:r>
    </w:p>
    <w:p w14:paraId="1FF224AE" w14:textId="77777777" w:rsidR="000E6577" w:rsidRPr="000E6577" w:rsidRDefault="000E6577" w:rsidP="00BC6896">
      <w:pPr>
        <w:ind w:left="0"/>
      </w:pPr>
    </w:p>
    <w:sectPr w:rsidR="000E6577" w:rsidRPr="000E6577"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224B3" w14:textId="77777777" w:rsidR="0065688B" w:rsidRDefault="0065688B" w:rsidP="00BC6896">
      <w:r>
        <w:separator/>
      </w:r>
    </w:p>
    <w:p w14:paraId="1FF224B4" w14:textId="77777777" w:rsidR="0065688B" w:rsidRDefault="0065688B" w:rsidP="00BC6896"/>
  </w:endnote>
  <w:endnote w:type="continuationSeparator" w:id="0">
    <w:p w14:paraId="1FF224B5" w14:textId="77777777" w:rsidR="0065688B" w:rsidRDefault="0065688B" w:rsidP="00BC6896">
      <w:r>
        <w:continuationSeparator/>
      </w:r>
    </w:p>
    <w:p w14:paraId="1FF224B6" w14:textId="77777777" w:rsidR="0065688B" w:rsidRDefault="0065688B"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1FF224B9" w14:textId="77777777" w:rsidR="00256392" w:rsidRDefault="00256392">
            <w:pPr>
              <w:pStyle w:val="Footer"/>
              <w:jc w:val="right"/>
            </w:pPr>
            <w:r>
              <w:t xml:space="preserve">Page </w:t>
            </w:r>
            <w:r w:rsidR="006406B5">
              <w:rPr>
                <w:b/>
                <w:bCs/>
                <w:sz w:val="24"/>
                <w:szCs w:val="24"/>
              </w:rPr>
              <w:fldChar w:fldCharType="begin"/>
            </w:r>
            <w:r>
              <w:rPr>
                <w:b/>
                <w:bCs/>
              </w:rPr>
              <w:instrText xml:space="preserve"> PAGE </w:instrText>
            </w:r>
            <w:r w:rsidR="006406B5">
              <w:rPr>
                <w:b/>
                <w:bCs/>
                <w:sz w:val="24"/>
                <w:szCs w:val="24"/>
              </w:rPr>
              <w:fldChar w:fldCharType="separate"/>
            </w:r>
            <w:r w:rsidR="00DD050B">
              <w:rPr>
                <w:b/>
                <w:bCs/>
                <w:noProof/>
              </w:rPr>
              <w:t>2</w:t>
            </w:r>
            <w:r w:rsidR="006406B5">
              <w:rPr>
                <w:b/>
                <w:bCs/>
                <w:sz w:val="24"/>
                <w:szCs w:val="24"/>
              </w:rPr>
              <w:fldChar w:fldCharType="end"/>
            </w:r>
            <w:r>
              <w:t xml:space="preserve"> of </w:t>
            </w:r>
            <w:r w:rsidR="006406B5">
              <w:rPr>
                <w:b/>
                <w:bCs/>
                <w:sz w:val="24"/>
                <w:szCs w:val="24"/>
              </w:rPr>
              <w:fldChar w:fldCharType="begin"/>
            </w:r>
            <w:r>
              <w:rPr>
                <w:b/>
                <w:bCs/>
              </w:rPr>
              <w:instrText xml:space="preserve"> NUMPAGES  </w:instrText>
            </w:r>
            <w:r w:rsidR="006406B5">
              <w:rPr>
                <w:b/>
                <w:bCs/>
                <w:sz w:val="24"/>
                <w:szCs w:val="24"/>
              </w:rPr>
              <w:fldChar w:fldCharType="separate"/>
            </w:r>
            <w:r w:rsidR="00DD050B">
              <w:rPr>
                <w:b/>
                <w:bCs/>
                <w:noProof/>
              </w:rPr>
              <w:t>5</w:t>
            </w:r>
            <w:r w:rsidR="006406B5">
              <w:rPr>
                <w:b/>
                <w:bCs/>
                <w:sz w:val="24"/>
                <w:szCs w:val="24"/>
              </w:rPr>
              <w:fldChar w:fldCharType="end"/>
            </w:r>
          </w:p>
        </w:sdtContent>
      </w:sdt>
    </w:sdtContent>
  </w:sdt>
  <w:p w14:paraId="1FF224BA" w14:textId="77777777" w:rsidR="006075F6" w:rsidRDefault="006075F6"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224AF" w14:textId="77777777" w:rsidR="0065688B" w:rsidRDefault="0065688B" w:rsidP="00BC6896">
      <w:r>
        <w:separator/>
      </w:r>
    </w:p>
    <w:p w14:paraId="1FF224B0" w14:textId="77777777" w:rsidR="0065688B" w:rsidRDefault="0065688B" w:rsidP="00BC6896"/>
  </w:footnote>
  <w:footnote w:type="continuationSeparator" w:id="0">
    <w:p w14:paraId="1FF224B1" w14:textId="77777777" w:rsidR="0065688B" w:rsidRDefault="0065688B" w:rsidP="00BC6896">
      <w:r>
        <w:continuationSeparator/>
      </w:r>
    </w:p>
    <w:p w14:paraId="1FF224B2" w14:textId="77777777" w:rsidR="0065688B" w:rsidRDefault="0065688B"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24B7" w14:textId="77777777" w:rsidR="00783A3C" w:rsidRPr="00716F94" w:rsidRDefault="00783A3C" w:rsidP="00BC6896">
    <w:pPr>
      <w:pStyle w:val="Header"/>
      <w:rPr>
        <w:color w:val="0033CC"/>
      </w:rPr>
    </w:pPr>
    <w:r>
      <w:tab/>
    </w:r>
  </w:p>
  <w:p w14:paraId="1FF224B8" w14:textId="77777777" w:rsidR="006075F6" w:rsidRDefault="006075F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16B5A"/>
    <w:multiLevelType w:val="hybridMultilevel"/>
    <w:tmpl w:val="70A02596"/>
    <w:lvl w:ilvl="0" w:tplc="4578A0C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37DA6"/>
    <w:multiLevelType w:val="hybridMultilevel"/>
    <w:tmpl w:val="46C2E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4E15BB"/>
    <w:multiLevelType w:val="hybridMultilevel"/>
    <w:tmpl w:val="9328C950"/>
    <w:lvl w:ilvl="0" w:tplc="DBB2EC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B566D"/>
    <w:multiLevelType w:val="hybridMultilevel"/>
    <w:tmpl w:val="A008D38C"/>
    <w:lvl w:ilvl="0" w:tplc="00587AA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26"/>
  </w:num>
  <w:num w:numId="4">
    <w:abstractNumId w:val="12"/>
  </w:num>
  <w:num w:numId="5">
    <w:abstractNumId w:val="17"/>
  </w:num>
  <w:num w:numId="6">
    <w:abstractNumId w:val="9"/>
  </w:num>
  <w:num w:numId="7">
    <w:abstractNumId w:val="0"/>
  </w:num>
  <w:num w:numId="8">
    <w:abstractNumId w:val="6"/>
  </w:num>
  <w:num w:numId="9">
    <w:abstractNumId w:val="11"/>
  </w:num>
  <w:num w:numId="10">
    <w:abstractNumId w:val="18"/>
  </w:num>
  <w:num w:numId="11">
    <w:abstractNumId w:val="2"/>
  </w:num>
  <w:num w:numId="12">
    <w:abstractNumId w:val="25"/>
  </w:num>
  <w:num w:numId="13">
    <w:abstractNumId w:val="7"/>
  </w:num>
  <w:num w:numId="14">
    <w:abstractNumId w:val="3"/>
  </w:num>
  <w:num w:numId="15">
    <w:abstractNumId w:val="21"/>
  </w:num>
  <w:num w:numId="16">
    <w:abstractNumId w:val="28"/>
  </w:num>
  <w:num w:numId="17">
    <w:abstractNumId w:val="10"/>
  </w:num>
  <w:num w:numId="18">
    <w:abstractNumId w:val="14"/>
  </w:num>
  <w:num w:numId="19">
    <w:abstractNumId w:val="4"/>
  </w:num>
  <w:num w:numId="20">
    <w:abstractNumId w:val="15"/>
  </w:num>
  <w:num w:numId="21">
    <w:abstractNumId w:val="27"/>
  </w:num>
  <w:num w:numId="22">
    <w:abstractNumId w:val="19"/>
  </w:num>
  <w:num w:numId="23">
    <w:abstractNumId w:val="13"/>
  </w:num>
  <w:num w:numId="24">
    <w:abstractNumId w:val="20"/>
  </w:num>
  <w:num w:numId="25">
    <w:abstractNumId w:val="24"/>
  </w:num>
  <w:num w:numId="26">
    <w:abstractNumId w:val="23"/>
  </w:num>
  <w:num w:numId="27">
    <w:abstractNumId w:val="5"/>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7B05"/>
    <w:rsid w:val="00010420"/>
    <w:rsid w:val="00011A98"/>
    <w:rsid w:val="00011F8D"/>
    <w:rsid w:val="000130B4"/>
    <w:rsid w:val="00014361"/>
    <w:rsid w:val="000474FB"/>
    <w:rsid w:val="00052A34"/>
    <w:rsid w:val="00053A92"/>
    <w:rsid w:val="000557D0"/>
    <w:rsid w:val="0005605E"/>
    <w:rsid w:val="00057F36"/>
    <w:rsid w:val="000A1F30"/>
    <w:rsid w:val="000E6577"/>
    <w:rsid w:val="000E7A19"/>
    <w:rsid w:val="00104A1B"/>
    <w:rsid w:val="00112DDF"/>
    <w:rsid w:val="001177DD"/>
    <w:rsid w:val="001308EB"/>
    <w:rsid w:val="001412D4"/>
    <w:rsid w:val="00144F64"/>
    <w:rsid w:val="001507DB"/>
    <w:rsid w:val="00151567"/>
    <w:rsid w:val="00163E17"/>
    <w:rsid w:val="00166F9E"/>
    <w:rsid w:val="00167062"/>
    <w:rsid w:val="001719F5"/>
    <w:rsid w:val="00187D5A"/>
    <w:rsid w:val="001972D7"/>
    <w:rsid w:val="001A28F6"/>
    <w:rsid w:val="001A7D0E"/>
    <w:rsid w:val="001B2831"/>
    <w:rsid w:val="001C0493"/>
    <w:rsid w:val="001C28AD"/>
    <w:rsid w:val="001D7FCB"/>
    <w:rsid w:val="001E2B99"/>
    <w:rsid w:val="001E69B6"/>
    <w:rsid w:val="001F21CD"/>
    <w:rsid w:val="001F4DBB"/>
    <w:rsid w:val="001F7C89"/>
    <w:rsid w:val="00200F5E"/>
    <w:rsid w:val="0020312D"/>
    <w:rsid w:val="0020495F"/>
    <w:rsid w:val="00206E33"/>
    <w:rsid w:val="00210519"/>
    <w:rsid w:val="00230CEF"/>
    <w:rsid w:val="0023261F"/>
    <w:rsid w:val="00241B17"/>
    <w:rsid w:val="00241C81"/>
    <w:rsid w:val="0024523F"/>
    <w:rsid w:val="00256392"/>
    <w:rsid w:val="00257A1C"/>
    <w:rsid w:val="0027234C"/>
    <w:rsid w:val="00272E03"/>
    <w:rsid w:val="00281795"/>
    <w:rsid w:val="002850E3"/>
    <w:rsid w:val="00287E2F"/>
    <w:rsid w:val="002A1948"/>
    <w:rsid w:val="002C0877"/>
    <w:rsid w:val="002C2AE2"/>
    <w:rsid w:val="002D0DCE"/>
    <w:rsid w:val="002E2B10"/>
    <w:rsid w:val="002F1502"/>
    <w:rsid w:val="002F169D"/>
    <w:rsid w:val="002F199B"/>
    <w:rsid w:val="002F2069"/>
    <w:rsid w:val="002F6F92"/>
    <w:rsid w:val="003041AD"/>
    <w:rsid w:val="00307853"/>
    <w:rsid w:val="0031279F"/>
    <w:rsid w:val="00312D63"/>
    <w:rsid w:val="003135EF"/>
    <w:rsid w:val="00320B77"/>
    <w:rsid w:val="00327D05"/>
    <w:rsid w:val="00330778"/>
    <w:rsid w:val="00335EBD"/>
    <w:rsid w:val="00336D96"/>
    <w:rsid w:val="00344F07"/>
    <w:rsid w:val="003469C8"/>
    <w:rsid w:val="00355EA4"/>
    <w:rsid w:val="003635BE"/>
    <w:rsid w:val="00366B5E"/>
    <w:rsid w:val="00372844"/>
    <w:rsid w:val="0038560A"/>
    <w:rsid w:val="00392A36"/>
    <w:rsid w:val="003C31C9"/>
    <w:rsid w:val="003C4961"/>
    <w:rsid w:val="003C7C5D"/>
    <w:rsid w:val="003D0AD2"/>
    <w:rsid w:val="003E4E7D"/>
    <w:rsid w:val="003E5D57"/>
    <w:rsid w:val="003F5913"/>
    <w:rsid w:val="004024F8"/>
    <w:rsid w:val="0040416C"/>
    <w:rsid w:val="0041159A"/>
    <w:rsid w:val="004305A8"/>
    <w:rsid w:val="0043417A"/>
    <w:rsid w:val="00435E80"/>
    <w:rsid w:val="00443CA0"/>
    <w:rsid w:val="00450E14"/>
    <w:rsid w:val="00462C65"/>
    <w:rsid w:val="00467B14"/>
    <w:rsid w:val="00474EDA"/>
    <w:rsid w:val="0047536D"/>
    <w:rsid w:val="004824FA"/>
    <w:rsid w:val="00484011"/>
    <w:rsid w:val="004841F1"/>
    <w:rsid w:val="004875EB"/>
    <w:rsid w:val="004A1E3A"/>
    <w:rsid w:val="004A2826"/>
    <w:rsid w:val="004A6341"/>
    <w:rsid w:val="004C4AEA"/>
    <w:rsid w:val="004E003C"/>
    <w:rsid w:val="004E16EB"/>
    <w:rsid w:val="004E6665"/>
    <w:rsid w:val="004F634E"/>
    <w:rsid w:val="004F67A8"/>
    <w:rsid w:val="00522A50"/>
    <w:rsid w:val="00527225"/>
    <w:rsid w:val="0053557D"/>
    <w:rsid w:val="005463DE"/>
    <w:rsid w:val="00546DC2"/>
    <w:rsid w:val="005542E8"/>
    <w:rsid w:val="00556630"/>
    <w:rsid w:val="0055686D"/>
    <w:rsid w:val="005767A5"/>
    <w:rsid w:val="005800EE"/>
    <w:rsid w:val="005869D6"/>
    <w:rsid w:val="005A33F6"/>
    <w:rsid w:val="005A59E5"/>
    <w:rsid w:val="005B7440"/>
    <w:rsid w:val="005C6E9D"/>
    <w:rsid w:val="005E2150"/>
    <w:rsid w:val="005E2995"/>
    <w:rsid w:val="005F1CCE"/>
    <w:rsid w:val="005F3FEF"/>
    <w:rsid w:val="00601392"/>
    <w:rsid w:val="006075F6"/>
    <w:rsid w:val="00607F7C"/>
    <w:rsid w:val="006102DA"/>
    <w:rsid w:val="00610E3D"/>
    <w:rsid w:val="00621F93"/>
    <w:rsid w:val="006300DD"/>
    <w:rsid w:val="006315A3"/>
    <w:rsid w:val="00637CC1"/>
    <w:rsid w:val="006406B5"/>
    <w:rsid w:val="006466BA"/>
    <w:rsid w:val="00653D88"/>
    <w:rsid w:val="0065688B"/>
    <w:rsid w:val="006579A2"/>
    <w:rsid w:val="006678D0"/>
    <w:rsid w:val="00667C89"/>
    <w:rsid w:val="006711EE"/>
    <w:rsid w:val="006809BB"/>
    <w:rsid w:val="006809FD"/>
    <w:rsid w:val="00691D1F"/>
    <w:rsid w:val="00697BAE"/>
    <w:rsid w:val="006B4DDC"/>
    <w:rsid w:val="006B5E55"/>
    <w:rsid w:val="006D25A1"/>
    <w:rsid w:val="006D339C"/>
    <w:rsid w:val="006D3F66"/>
    <w:rsid w:val="006F6856"/>
    <w:rsid w:val="006F6F4B"/>
    <w:rsid w:val="0071190E"/>
    <w:rsid w:val="007145D0"/>
    <w:rsid w:val="00715CD2"/>
    <w:rsid w:val="00716F94"/>
    <w:rsid w:val="00740ECF"/>
    <w:rsid w:val="00760E12"/>
    <w:rsid w:val="00763CF3"/>
    <w:rsid w:val="00765A1B"/>
    <w:rsid w:val="00772293"/>
    <w:rsid w:val="00783A3C"/>
    <w:rsid w:val="00783C75"/>
    <w:rsid w:val="00784619"/>
    <w:rsid w:val="0078627B"/>
    <w:rsid w:val="00794E32"/>
    <w:rsid w:val="007B305A"/>
    <w:rsid w:val="00800993"/>
    <w:rsid w:val="008112D4"/>
    <w:rsid w:val="00815C7D"/>
    <w:rsid w:val="00817941"/>
    <w:rsid w:val="008261AB"/>
    <w:rsid w:val="00835CA7"/>
    <w:rsid w:val="008370D4"/>
    <w:rsid w:val="008414AD"/>
    <w:rsid w:val="008428D9"/>
    <w:rsid w:val="0085524A"/>
    <w:rsid w:val="00884DB9"/>
    <w:rsid w:val="008910F6"/>
    <w:rsid w:val="0089676F"/>
    <w:rsid w:val="008C67D2"/>
    <w:rsid w:val="008D5340"/>
    <w:rsid w:val="008E0683"/>
    <w:rsid w:val="00902DD9"/>
    <w:rsid w:val="00911486"/>
    <w:rsid w:val="009129CA"/>
    <w:rsid w:val="0091529C"/>
    <w:rsid w:val="0091547D"/>
    <w:rsid w:val="009206B6"/>
    <w:rsid w:val="00921A2B"/>
    <w:rsid w:val="009263C1"/>
    <w:rsid w:val="00931C02"/>
    <w:rsid w:val="00935FFD"/>
    <w:rsid w:val="00941B4F"/>
    <w:rsid w:val="0095303C"/>
    <w:rsid w:val="00957AD1"/>
    <w:rsid w:val="00963CE3"/>
    <w:rsid w:val="00964F18"/>
    <w:rsid w:val="00974424"/>
    <w:rsid w:val="009759F3"/>
    <w:rsid w:val="00987F76"/>
    <w:rsid w:val="00991BF9"/>
    <w:rsid w:val="00993088"/>
    <w:rsid w:val="0099664F"/>
    <w:rsid w:val="00997D5D"/>
    <w:rsid w:val="009A0447"/>
    <w:rsid w:val="009B034F"/>
    <w:rsid w:val="009B4A51"/>
    <w:rsid w:val="009C28B1"/>
    <w:rsid w:val="009C61AD"/>
    <w:rsid w:val="009D373D"/>
    <w:rsid w:val="009E1D05"/>
    <w:rsid w:val="009F7283"/>
    <w:rsid w:val="00A11B0C"/>
    <w:rsid w:val="00A27A47"/>
    <w:rsid w:val="00A305CE"/>
    <w:rsid w:val="00A33B35"/>
    <w:rsid w:val="00A36419"/>
    <w:rsid w:val="00A578C2"/>
    <w:rsid w:val="00A72652"/>
    <w:rsid w:val="00A75D1C"/>
    <w:rsid w:val="00A76AA8"/>
    <w:rsid w:val="00A77F07"/>
    <w:rsid w:val="00A809AA"/>
    <w:rsid w:val="00A849B3"/>
    <w:rsid w:val="00A8510D"/>
    <w:rsid w:val="00A86AF3"/>
    <w:rsid w:val="00A90BDC"/>
    <w:rsid w:val="00A95477"/>
    <w:rsid w:val="00A975A9"/>
    <w:rsid w:val="00A976B0"/>
    <w:rsid w:val="00A97926"/>
    <w:rsid w:val="00AA3192"/>
    <w:rsid w:val="00AB3608"/>
    <w:rsid w:val="00AC5C48"/>
    <w:rsid w:val="00AF0CF4"/>
    <w:rsid w:val="00AF2252"/>
    <w:rsid w:val="00B1129F"/>
    <w:rsid w:val="00B11D61"/>
    <w:rsid w:val="00B12F51"/>
    <w:rsid w:val="00B13D0E"/>
    <w:rsid w:val="00B229D6"/>
    <w:rsid w:val="00B2751E"/>
    <w:rsid w:val="00B3650C"/>
    <w:rsid w:val="00B50A2B"/>
    <w:rsid w:val="00B57923"/>
    <w:rsid w:val="00B64BFA"/>
    <w:rsid w:val="00B8216F"/>
    <w:rsid w:val="00B853F1"/>
    <w:rsid w:val="00B85DE4"/>
    <w:rsid w:val="00B91A31"/>
    <w:rsid w:val="00BA6DB4"/>
    <w:rsid w:val="00BB4E20"/>
    <w:rsid w:val="00BC3F3C"/>
    <w:rsid w:val="00BC4EA7"/>
    <w:rsid w:val="00BC5BB2"/>
    <w:rsid w:val="00BC6896"/>
    <w:rsid w:val="00BD446C"/>
    <w:rsid w:val="00BF1786"/>
    <w:rsid w:val="00BF3812"/>
    <w:rsid w:val="00BF3F54"/>
    <w:rsid w:val="00BF5221"/>
    <w:rsid w:val="00C00697"/>
    <w:rsid w:val="00C0376C"/>
    <w:rsid w:val="00C065BD"/>
    <w:rsid w:val="00C06D77"/>
    <w:rsid w:val="00C14BA6"/>
    <w:rsid w:val="00C347E7"/>
    <w:rsid w:val="00C3485C"/>
    <w:rsid w:val="00C420D4"/>
    <w:rsid w:val="00C84DC3"/>
    <w:rsid w:val="00C9017D"/>
    <w:rsid w:val="00CA2004"/>
    <w:rsid w:val="00CB334D"/>
    <w:rsid w:val="00CB56D5"/>
    <w:rsid w:val="00CD0771"/>
    <w:rsid w:val="00CD1EA8"/>
    <w:rsid w:val="00CD212D"/>
    <w:rsid w:val="00CF0CE8"/>
    <w:rsid w:val="00CF5ABD"/>
    <w:rsid w:val="00CF63CE"/>
    <w:rsid w:val="00D067C1"/>
    <w:rsid w:val="00D13B13"/>
    <w:rsid w:val="00D16E78"/>
    <w:rsid w:val="00D201D3"/>
    <w:rsid w:val="00D26A64"/>
    <w:rsid w:val="00D328FA"/>
    <w:rsid w:val="00D4221A"/>
    <w:rsid w:val="00D52B9A"/>
    <w:rsid w:val="00D5367E"/>
    <w:rsid w:val="00D5539B"/>
    <w:rsid w:val="00D7285C"/>
    <w:rsid w:val="00D861ED"/>
    <w:rsid w:val="00D873E0"/>
    <w:rsid w:val="00D87A93"/>
    <w:rsid w:val="00D94F8B"/>
    <w:rsid w:val="00DA4EA9"/>
    <w:rsid w:val="00DA5988"/>
    <w:rsid w:val="00DC317C"/>
    <w:rsid w:val="00DC4FF2"/>
    <w:rsid w:val="00DC79CC"/>
    <w:rsid w:val="00DD050B"/>
    <w:rsid w:val="00E134F4"/>
    <w:rsid w:val="00E2114B"/>
    <w:rsid w:val="00E23568"/>
    <w:rsid w:val="00E245B5"/>
    <w:rsid w:val="00E24C20"/>
    <w:rsid w:val="00E33E1B"/>
    <w:rsid w:val="00E34D3E"/>
    <w:rsid w:val="00E81C5E"/>
    <w:rsid w:val="00E83B3C"/>
    <w:rsid w:val="00E844BC"/>
    <w:rsid w:val="00E8736B"/>
    <w:rsid w:val="00E90275"/>
    <w:rsid w:val="00E925D4"/>
    <w:rsid w:val="00E97226"/>
    <w:rsid w:val="00EB63B3"/>
    <w:rsid w:val="00ED6878"/>
    <w:rsid w:val="00EF001F"/>
    <w:rsid w:val="00EF0EC8"/>
    <w:rsid w:val="00EF33CD"/>
    <w:rsid w:val="00F0537B"/>
    <w:rsid w:val="00F2267A"/>
    <w:rsid w:val="00F300CB"/>
    <w:rsid w:val="00F42C3A"/>
    <w:rsid w:val="00F52BCC"/>
    <w:rsid w:val="00F5313F"/>
    <w:rsid w:val="00F57581"/>
    <w:rsid w:val="00F725B5"/>
    <w:rsid w:val="00F76C24"/>
    <w:rsid w:val="00F81A48"/>
    <w:rsid w:val="00F86A48"/>
    <w:rsid w:val="00F95C62"/>
    <w:rsid w:val="00FD17C9"/>
    <w:rsid w:val="00FD1EF0"/>
    <w:rsid w:val="00FD2A5B"/>
    <w:rsid w:val="00FD7CDA"/>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2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DD050B"/>
    <w:pPr>
      <w:spacing w:after="100"/>
      <w:ind w:left="220"/>
    </w:pPr>
  </w:style>
  <w:style w:type="paragraph" w:styleId="TOC1">
    <w:name w:val="toc 1"/>
    <w:basedOn w:val="Normal"/>
    <w:next w:val="Normal"/>
    <w:autoRedefine/>
    <w:uiPriority w:val="39"/>
    <w:unhideWhenUsed/>
    <w:rsid w:val="00DD050B"/>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DD050B"/>
    <w:pPr>
      <w:spacing w:after="100"/>
      <w:ind w:left="220"/>
    </w:pPr>
  </w:style>
  <w:style w:type="paragraph" w:styleId="TOC1">
    <w:name w:val="toc 1"/>
    <w:basedOn w:val="Normal"/>
    <w:next w:val="Normal"/>
    <w:autoRedefine/>
    <w:uiPriority w:val="39"/>
    <w:unhideWhenUsed/>
    <w:rsid w:val="00DD050B"/>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5392">
      <w:bodyDiv w:val="1"/>
      <w:marLeft w:val="0"/>
      <w:marRight w:val="0"/>
      <w:marTop w:val="0"/>
      <w:marBottom w:val="0"/>
      <w:divBdr>
        <w:top w:val="none" w:sz="0" w:space="0" w:color="auto"/>
        <w:left w:val="none" w:sz="0" w:space="0" w:color="auto"/>
        <w:bottom w:val="none" w:sz="0" w:space="0" w:color="auto"/>
        <w:right w:val="none" w:sz="0" w:space="0" w:color="auto"/>
      </w:divBdr>
    </w:div>
    <w:div w:id="484980510">
      <w:bodyDiv w:val="1"/>
      <w:marLeft w:val="0"/>
      <w:marRight w:val="0"/>
      <w:marTop w:val="0"/>
      <w:marBottom w:val="0"/>
      <w:divBdr>
        <w:top w:val="none" w:sz="0" w:space="0" w:color="auto"/>
        <w:left w:val="none" w:sz="0" w:space="0" w:color="auto"/>
        <w:bottom w:val="none" w:sz="0" w:space="0" w:color="auto"/>
        <w:right w:val="none" w:sz="0" w:space="0" w:color="auto"/>
      </w:divBdr>
    </w:div>
    <w:div w:id="110364807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76766768">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451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OSTLTSDOC-727-69</_dlc_DocId>
    <_dlc_DocIdUrl xmlns="b5c0ca00-073d-4463-9985-b654f14791fe">
      <Url>https://esp.cdc.gov/sites/ostlts/pip/osc/_layouts/15/DocIdRedir.aspx?ID=OSTLTSDOC-727-69</Url>
      <Description>OSTLTSDOC-727-69</Description>
    </_dlc_DocIdUrl>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documentManagement>
</p:propertie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8B0D-3EB5-4F15-A604-A2179CCC6B1A}">
  <ds:schemaRefs>
    <ds:schemaRef ds:uri="http://schemas.microsoft.com/sharepoint/v3/contenttype/forms"/>
  </ds:schemaRefs>
</ds:datastoreItem>
</file>

<file path=customXml/itemProps2.xml><?xml version="1.0" encoding="utf-8"?>
<ds:datastoreItem xmlns:ds="http://schemas.openxmlformats.org/officeDocument/2006/customXml" ds:itemID="{74FA0757-E833-4E90-9D6B-02617D25F063}">
  <ds:schemaRefs>
    <ds:schemaRef ds:uri="http://schemas.microsoft.com/sharepoint/events"/>
  </ds:schemaRefs>
</ds:datastoreItem>
</file>

<file path=customXml/itemProps3.xml><?xml version="1.0" encoding="utf-8"?>
<ds:datastoreItem xmlns:ds="http://schemas.openxmlformats.org/officeDocument/2006/customXml" ds:itemID="{31FA99FE-3046-4411-8824-B450C830C05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15b1c282-9287-45cb-9b41-eae3a76919a0"/>
    <ds:schemaRef ds:uri="http://purl.org/dc/elements/1.1/"/>
    <ds:schemaRef ds:uri="b5c0ca00-073d-4463-9985-b654f14791fe"/>
    <ds:schemaRef ds:uri="bd99c180-279b-44c3-9486-dd050336677e"/>
    <ds:schemaRef ds:uri="http://purl.org/dc/dcmitype/"/>
    <ds:schemaRef ds:uri="http://purl.org/dc/terms/"/>
  </ds:schemaRefs>
</ds:datastoreItem>
</file>

<file path=customXml/itemProps4.xml><?xml version="1.0" encoding="utf-8"?>
<ds:datastoreItem xmlns:ds="http://schemas.openxmlformats.org/officeDocument/2006/customXml" ds:itemID="{B76B3DE0-B821-464D-9699-02F2E2B4F8E4}">
  <ds:schemaRefs>
    <ds:schemaRef ds:uri="http://schemas.microsoft.com/office/2006/metadata/customXsn"/>
  </ds:schemaRefs>
</ds:datastoreItem>
</file>

<file path=customXml/itemProps5.xml><?xml version="1.0" encoding="utf-8"?>
<ds:datastoreItem xmlns:ds="http://schemas.openxmlformats.org/officeDocument/2006/customXml" ds:itemID="{9E4DBBD3-FDA1-40FD-B853-5DEF82B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D6E733-22F5-446D-8B60-2327F6EB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3</cp:revision>
  <cp:lastPrinted>2011-06-07T15:53:00Z</cp:lastPrinted>
  <dcterms:created xsi:type="dcterms:W3CDTF">2015-03-17T13:46:00Z</dcterms:created>
  <dcterms:modified xsi:type="dcterms:W3CDTF">2015-03-17T13:53:00Z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b8ce06da-3ecb-480b-84b6-98b176935dc2</vt:lpwstr>
  </property>
</Properties>
</file>