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746F5" w14:textId="77777777" w:rsidR="00716F94" w:rsidRPr="001A42FC" w:rsidRDefault="00716F94" w:rsidP="007D6163"/>
    <w:p w14:paraId="63B746F6" w14:textId="77777777" w:rsidR="009B4A51" w:rsidRPr="001A42FC" w:rsidRDefault="009B4A51" w:rsidP="007D6163"/>
    <w:p w14:paraId="63B746F7" w14:textId="77777777" w:rsidR="009B4A51" w:rsidRPr="001A42FC" w:rsidRDefault="009B4A51" w:rsidP="007D6163"/>
    <w:p w14:paraId="63B746F8" w14:textId="77777777" w:rsidR="009B4A51" w:rsidRPr="001A42FC" w:rsidRDefault="009B4A51" w:rsidP="007D6163"/>
    <w:p w14:paraId="63B746F9" w14:textId="77777777" w:rsidR="009B4A51" w:rsidRPr="001A42FC" w:rsidRDefault="009B4A51" w:rsidP="007D6163"/>
    <w:p w14:paraId="63B746FA" w14:textId="77777777" w:rsidR="00667C89" w:rsidRPr="001A42FC" w:rsidRDefault="00667C89" w:rsidP="007D6163"/>
    <w:p w14:paraId="63B746FB" w14:textId="77777777" w:rsidR="009B4A51" w:rsidRPr="001A42FC" w:rsidRDefault="009B4A51" w:rsidP="007D6163"/>
    <w:p w14:paraId="63B746FC" w14:textId="77777777" w:rsidR="009B4A51" w:rsidRPr="001A42FC" w:rsidRDefault="009B4A51" w:rsidP="00CA5840">
      <w:pPr>
        <w:ind w:left="0"/>
      </w:pPr>
    </w:p>
    <w:p w14:paraId="63B746FD" w14:textId="77777777" w:rsidR="00E17392" w:rsidRDefault="00CD5CB2" w:rsidP="00CA5840">
      <w:pPr>
        <w:pStyle w:val="Heading1"/>
        <w:ind w:left="0"/>
      </w:pPr>
      <w:bookmarkStart w:id="0" w:name="_Toc416704466"/>
      <w:bookmarkStart w:id="1" w:name="_Toc416705689"/>
      <w:r>
        <w:t>School Health Resources</w:t>
      </w:r>
      <w:r w:rsidR="00D9347D">
        <w:t xml:space="preserve"> Assessment</w:t>
      </w:r>
      <w:r>
        <w:t>:</w:t>
      </w:r>
      <w:bookmarkEnd w:id="0"/>
      <w:bookmarkEnd w:id="1"/>
      <w:r>
        <w:t xml:space="preserve"> </w:t>
      </w:r>
    </w:p>
    <w:p w14:paraId="63B746FE" w14:textId="77777777" w:rsidR="00716F94" w:rsidRPr="001A42FC" w:rsidRDefault="00CD5CB2" w:rsidP="00CA5840">
      <w:pPr>
        <w:pStyle w:val="Heading1"/>
        <w:ind w:left="0"/>
        <w:rPr>
          <w:color w:val="0070C0"/>
          <w:sz w:val="22"/>
        </w:rPr>
      </w:pPr>
      <w:bookmarkStart w:id="2" w:name="_Toc416704467"/>
      <w:bookmarkStart w:id="3" w:name="_Toc416705690"/>
      <w:r>
        <w:t xml:space="preserve">Awareness, </w:t>
      </w:r>
      <w:r w:rsidRPr="00E17769">
        <w:t>Satisfaction</w:t>
      </w:r>
      <w:r>
        <w:t>,</w:t>
      </w:r>
      <w:r w:rsidRPr="00E17769">
        <w:t xml:space="preserve"> and Utility</w:t>
      </w:r>
      <w:bookmarkEnd w:id="2"/>
      <w:bookmarkEnd w:id="3"/>
    </w:p>
    <w:p w14:paraId="63B746FF" w14:textId="77777777" w:rsidR="00AA3192" w:rsidRPr="001A42FC" w:rsidRDefault="00AA3192" w:rsidP="00CA5840">
      <w:pPr>
        <w:ind w:left="0"/>
      </w:pPr>
    </w:p>
    <w:p w14:paraId="63B74700" w14:textId="77777777" w:rsidR="00716F94" w:rsidRPr="001A42FC" w:rsidRDefault="00484011" w:rsidP="00CA5840">
      <w:pPr>
        <w:ind w:left="0"/>
        <w:jc w:val="center"/>
      </w:pPr>
      <w:r w:rsidRPr="001A42FC">
        <w:t>OSTL</w:t>
      </w:r>
      <w:r w:rsidR="00316F00" w:rsidRPr="001A42FC">
        <w:t>TS Generic Information Collection</w:t>
      </w:r>
      <w:r w:rsidRPr="001A42FC">
        <w:t xml:space="preserve"> Request</w:t>
      </w:r>
    </w:p>
    <w:p w14:paraId="63B74701" w14:textId="77777777" w:rsidR="00484011" w:rsidRPr="001A42FC" w:rsidRDefault="00484011" w:rsidP="00CA5840">
      <w:pPr>
        <w:ind w:left="0"/>
        <w:jc w:val="center"/>
      </w:pPr>
      <w:r w:rsidRPr="001A42FC">
        <w:t>OMB No. 0920-0879</w:t>
      </w:r>
    </w:p>
    <w:p w14:paraId="63B74702" w14:textId="77777777" w:rsidR="009B4A51" w:rsidRPr="001A42FC" w:rsidRDefault="009B4A51" w:rsidP="00CA5840">
      <w:pPr>
        <w:ind w:left="0"/>
      </w:pPr>
    </w:p>
    <w:p w14:paraId="63B74703" w14:textId="77777777" w:rsidR="009B4A51" w:rsidRPr="001A42FC" w:rsidRDefault="009B4A51" w:rsidP="00CA5840">
      <w:pPr>
        <w:ind w:left="0"/>
      </w:pPr>
    </w:p>
    <w:p w14:paraId="63B74704" w14:textId="77777777" w:rsidR="00AA3192" w:rsidRPr="001A42FC" w:rsidRDefault="00AA3192" w:rsidP="00CA5840">
      <w:pPr>
        <w:ind w:left="0"/>
      </w:pPr>
    </w:p>
    <w:p w14:paraId="63B74705" w14:textId="77777777" w:rsidR="00AA3192" w:rsidRPr="001A42FC" w:rsidRDefault="00AA3192" w:rsidP="00CA5840">
      <w:pPr>
        <w:ind w:left="0"/>
      </w:pPr>
    </w:p>
    <w:p w14:paraId="63B74706" w14:textId="77777777" w:rsidR="009B4A51" w:rsidRPr="001A42FC" w:rsidRDefault="009B4A51" w:rsidP="00CA5840">
      <w:pPr>
        <w:pStyle w:val="Heading2"/>
        <w:ind w:left="0"/>
        <w:rPr>
          <w:sz w:val="22"/>
        </w:rPr>
      </w:pPr>
      <w:bookmarkStart w:id="4" w:name="_Toc416704468"/>
      <w:bookmarkStart w:id="5" w:name="_Toc416705691"/>
      <w:r w:rsidRPr="001A42FC">
        <w:rPr>
          <w:sz w:val="22"/>
        </w:rPr>
        <w:t>Supporting Statement – Section A</w:t>
      </w:r>
      <w:bookmarkEnd w:id="4"/>
      <w:bookmarkEnd w:id="5"/>
    </w:p>
    <w:p w14:paraId="63B74707" w14:textId="77777777" w:rsidR="009B4A51" w:rsidRPr="001A42FC" w:rsidRDefault="009B4A51" w:rsidP="00CA5840">
      <w:pPr>
        <w:ind w:left="0"/>
      </w:pPr>
    </w:p>
    <w:p w14:paraId="63B74708" w14:textId="77777777" w:rsidR="00484011" w:rsidRPr="001A42FC" w:rsidRDefault="00484011" w:rsidP="00CA5840">
      <w:pPr>
        <w:ind w:left="0"/>
      </w:pPr>
    </w:p>
    <w:p w14:paraId="63B74709" w14:textId="77777777" w:rsidR="00AA3192" w:rsidRPr="001A42FC" w:rsidRDefault="00AA3192" w:rsidP="00CA5840">
      <w:pPr>
        <w:ind w:left="0"/>
      </w:pPr>
    </w:p>
    <w:p w14:paraId="63B7470A" w14:textId="77777777" w:rsidR="009B4A51" w:rsidRPr="001A42FC" w:rsidRDefault="009B4A51" w:rsidP="00CA5840">
      <w:pPr>
        <w:ind w:left="0"/>
      </w:pPr>
    </w:p>
    <w:p w14:paraId="63B7470B" w14:textId="77777777" w:rsidR="009B4A51" w:rsidRPr="001A42FC" w:rsidRDefault="009B4A51" w:rsidP="00CA5840">
      <w:pPr>
        <w:ind w:left="0"/>
      </w:pPr>
    </w:p>
    <w:p w14:paraId="63B7470C" w14:textId="77777777" w:rsidR="00187D5A" w:rsidRPr="001A42FC" w:rsidRDefault="00187D5A" w:rsidP="00CA5840">
      <w:pPr>
        <w:ind w:left="0"/>
      </w:pPr>
    </w:p>
    <w:p w14:paraId="63B7470D" w14:textId="6A9F7243" w:rsidR="009B4A51" w:rsidRPr="00D332C6" w:rsidRDefault="009B4A51" w:rsidP="00CA5840">
      <w:pPr>
        <w:ind w:left="0"/>
        <w:jc w:val="center"/>
      </w:pPr>
      <w:r w:rsidRPr="00D332C6">
        <w:t xml:space="preserve">Submitted: </w:t>
      </w:r>
      <w:r w:rsidR="00D332C6" w:rsidRPr="00D332C6">
        <w:t xml:space="preserve">5/5/2015 </w:t>
      </w:r>
    </w:p>
    <w:p w14:paraId="63B7470E" w14:textId="77777777" w:rsidR="009B4A51" w:rsidRPr="001A42FC" w:rsidRDefault="009B4A51" w:rsidP="007D6163"/>
    <w:p w14:paraId="63B7470F" w14:textId="77777777" w:rsidR="009B4A51" w:rsidRPr="001A42FC" w:rsidRDefault="009B4A51" w:rsidP="007D6163"/>
    <w:p w14:paraId="63B74710" w14:textId="77777777" w:rsidR="009B4A51" w:rsidRPr="001A42FC" w:rsidRDefault="009B4A51" w:rsidP="007D6163"/>
    <w:p w14:paraId="63B74711" w14:textId="77777777" w:rsidR="00AA3192" w:rsidRPr="001A42FC" w:rsidRDefault="00AA3192" w:rsidP="007D6163"/>
    <w:p w14:paraId="63B74712" w14:textId="77777777" w:rsidR="00AA3192" w:rsidRPr="001A42FC" w:rsidRDefault="00AA3192" w:rsidP="007D6163"/>
    <w:p w14:paraId="63B74713" w14:textId="77777777" w:rsidR="009B4A51" w:rsidRPr="001A42FC" w:rsidRDefault="009B4A51" w:rsidP="007D6163"/>
    <w:p w14:paraId="63B74714" w14:textId="77777777" w:rsidR="00441CC3" w:rsidRPr="001A42FC" w:rsidRDefault="00716F94" w:rsidP="00CA5840">
      <w:pPr>
        <w:ind w:left="0"/>
        <w:rPr>
          <w:b/>
          <w:u w:val="single"/>
        </w:rPr>
      </w:pPr>
      <w:r w:rsidRPr="001A42FC">
        <w:rPr>
          <w:b/>
          <w:u w:val="single"/>
        </w:rPr>
        <w:t>P</w:t>
      </w:r>
      <w:r w:rsidR="00667C89" w:rsidRPr="001A42FC">
        <w:rPr>
          <w:b/>
          <w:u w:val="single"/>
        </w:rPr>
        <w:t>rogram Official/Project Officer</w:t>
      </w:r>
    </w:p>
    <w:p w14:paraId="63B74715" w14:textId="77777777" w:rsidR="002C7A85" w:rsidRPr="001A42FC" w:rsidRDefault="002C7A85" w:rsidP="002C7A85">
      <w:pPr>
        <w:ind w:left="0"/>
      </w:pPr>
      <w:r w:rsidRPr="001A42FC">
        <w:t>Sarah M. Lee, PhD</w:t>
      </w:r>
    </w:p>
    <w:p w14:paraId="63B74716" w14:textId="77777777" w:rsidR="002C7A85" w:rsidRPr="001A42FC" w:rsidRDefault="002C7A85" w:rsidP="002C7A85">
      <w:pPr>
        <w:ind w:left="0"/>
      </w:pPr>
      <w:r w:rsidRPr="001A42FC">
        <w:t>Team Lead, Research Application &amp; Evaluation Team</w:t>
      </w:r>
    </w:p>
    <w:p w14:paraId="63B74717" w14:textId="77777777" w:rsidR="002C7A85" w:rsidRPr="001A42FC" w:rsidRDefault="002C7A85" w:rsidP="002C7A85">
      <w:pPr>
        <w:ind w:left="0"/>
      </w:pPr>
      <w:r w:rsidRPr="001A42FC">
        <w:t xml:space="preserve">School Health Branch </w:t>
      </w:r>
    </w:p>
    <w:p w14:paraId="63B74718" w14:textId="77777777" w:rsidR="002C7A85" w:rsidRPr="001A42FC" w:rsidRDefault="002C7A85" w:rsidP="002C7A85">
      <w:pPr>
        <w:ind w:left="0"/>
      </w:pPr>
      <w:r w:rsidRPr="001A42FC">
        <w:t xml:space="preserve">Division of Population Health </w:t>
      </w:r>
    </w:p>
    <w:p w14:paraId="63B74719" w14:textId="77777777" w:rsidR="002C7A85" w:rsidRPr="001A42FC" w:rsidRDefault="002C7A85" w:rsidP="002C7A85">
      <w:pPr>
        <w:ind w:left="0"/>
      </w:pPr>
      <w:r w:rsidRPr="001A42FC">
        <w:t>National Center for Chronic Disease Prevention &amp; Health Promotion</w:t>
      </w:r>
    </w:p>
    <w:p w14:paraId="63B7471A" w14:textId="77777777" w:rsidR="002C7A85" w:rsidRPr="001A42FC" w:rsidRDefault="002C7A85" w:rsidP="002C7A85">
      <w:pPr>
        <w:ind w:left="0"/>
      </w:pPr>
      <w:r w:rsidRPr="001A42FC">
        <w:t>4770 Buford Hwy NE, Mail stop K78</w:t>
      </w:r>
    </w:p>
    <w:p w14:paraId="63B7471B" w14:textId="77777777" w:rsidR="002C7A85" w:rsidRPr="001A42FC" w:rsidRDefault="002C7A85" w:rsidP="002C7A85">
      <w:pPr>
        <w:ind w:left="0"/>
      </w:pPr>
      <w:r w:rsidRPr="001A42FC">
        <w:t>Atlanta, GA 30341</w:t>
      </w:r>
    </w:p>
    <w:p w14:paraId="63B7471C" w14:textId="77777777" w:rsidR="002C7A85" w:rsidRPr="001A42FC" w:rsidRDefault="002C7A85" w:rsidP="002C7A85">
      <w:pPr>
        <w:ind w:left="0"/>
      </w:pPr>
      <w:r w:rsidRPr="001A42FC">
        <w:t xml:space="preserve">Email: </w:t>
      </w:r>
      <w:hyperlink r:id="rId13" w:history="1">
        <w:r w:rsidRPr="001A42FC">
          <w:rPr>
            <w:rStyle w:val="Hyperlink"/>
          </w:rPr>
          <w:t>skeuplee@cdc.gov</w:t>
        </w:r>
      </w:hyperlink>
    </w:p>
    <w:p w14:paraId="63B7471D" w14:textId="77777777" w:rsidR="002C7A85" w:rsidRPr="001A42FC" w:rsidRDefault="002C7A85" w:rsidP="002C7A85">
      <w:pPr>
        <w:ind w:left="0"/>
      </w:pPr>
      <w:r w:rsidRPr="001A42FC">
        <w:t>Phone: 770-488-6126</w:t>
      </w:r>
    </w:p>
    <w:p w14:paraId="63B7471E" w14:textId="77777777" w:rsidR="00CA5840" w:rsidRDefault="002C7A85" w:rsidP="00154235">
      <w:pPr>
        <w:ind w:left="0"/>
      </w:pPr>
      <w:r w:rsidRPr="001A42FC">
        <w:t>Fax: 770-488-5964</w:t>
      </w:r>
      <w:r w:rsidR="00CA5840" w:rsidRPr="001A42FC">
        <w:br w:type="page"/>
      </w:r>
    </w:p>
    <w:sdt>
      <w:sdtPr>
        <w:rPr>
          <w:rFonts w:eastAsiaTheme="minorEastAsia" w:cstheme="minorBidi"/>
          <w:b w:val="0"/>
          <w:bCs w:val="0"/>
          <w:color w:val="auto"/>
          <w:sz w:val="22"/>
          <w:szCs w:val="22"/>
          <w:lang w:eastAsia="en-US"/>
        </w:rPr>
        <w:id w:val="-483401579"/>
        <w:docPartObj>
          <w:docPartGallery w:val="Table of Contents"/>
          <w:docPartUnique/>
        </w:docPartObj>
      </w:sdtPr>
      <w:sdtEndPr>
        <w:rPr>
          <w:noProof/>
        </w:rPr>
      </w:sdtEndPr>
      <w:sdtContent>
        <w:p w14:paraId="63B7471F" w14:textId="77777777" w:rsidR="00154235" w:rsidRDefault="00154235">
          <w:pPr>
            <w:pStyle w:val="TOCHeading"/>
          </w:pPr>
          <w:r>
            <w:t>Table of Contents</w:t>
          </w:r>
        </w:p>
        <w:p w14:paraId="63B74720" w14:textId="77777777" w:rsidR="00C73603" w:rsidRDefault="00154235" w:rsidP="00C73603">
          <w:pPr>
            <w:pStyle w:val="TOC1"/>
            <w:tabs>
              <w:tab w:val="right" w:pos="9350"/>
            </w:tabs>
            <w:rPr>
              <w:rFonts w:asciiTheme="minorHAnsi" w:hAnsiTheme="minorHAnsi"/>
              <w:noProof/>
            </w:rPr>
          </w:pPr>
          <w:r>
            <w:fldChar w:fldCharType="begin"/>
          </w:r>
          <w:r>
            <w:instrText xml:space="preserve"> TOC \o "1-3" \h \z \u </w:instrText>
          </w:r>
          <w:r>
            <w:fldChar w:fldCharType="separate"/>
          </w:r>
        </w:p>
        <w:p w14:paraId="63B74721" w14:textId="77777777" w:rsidR="00C73603" w:rsidRDefault="006B1BDF">
          <w:pPr>
            <w:pStyle w:val="TOC1"/>
            <w:tabs>
              <w:tab w:val="right" w:pos="9350"/>
            </w:tabs>
            <w:rPr>
              <w:rFonts w:asciiTheme="minorHAnsi" w:hAnsiTheme="minorHAnsi"/>
              <w:noProof/>
            </w:rPr>
          </w:pPr>
          <w:hyperlink w:anchor="_Toc416705693" w:history="1">
            <w:r w:rsidR="00C73603" w:rsidRPr="00F35764">
              <w:rPr>
                <w:rStyle w:val="Hyperlink"/>
                <w:noProof/>
              </w:rPr>
              <w:t>Section A – Justification</w:t>
            </w:r>
            <w:r w:rsidR="00C73603">
              <w:rPr>
                <w:noProof/>
                <w:webHidden/>
              </w:rPr>
              <w:tab/>
            </w:r>
            <w:r w:rsidR="00C73603">
              <w:rPr>
                <w:noProof/>
                <w:webHidden/>
              </w:rPr>
              <w:fldChar w:fldCharType="begin"/>
            </w:r>
            <w:r w:rsidR="00C73603">
              <w:rPr>
                <w:noProof/>
                <w:webHidden/>
              </w:rPr>
              <w:instrText xml:space="preserve"> PAGEREF _Toc416705693 \h </w:instrText>
            </w:r>
            <w:r w:rsidR="00C73603">
              <w:rPr>
                <w:noProof/>
                <w:webHidden/>
              </w:rPr>
            </w:r>
            <w:r w:rsidR="00C73603">
              <w:rPr>
                <w:noProof/>
                <w:webHidden/>
              </w:rPr>
              <w:fldChar w:fldCharType="separate"/>
            </w:r>
            <w:r w:rsidR="00D332C6">
              <w:rPr>
                <w:noProof/>
                <w:webHidden/>
              </w:rPr>
              <w:t>3</w:t>
            </w:r>
            <w:r w:rsidR="00C73603">
              <w:rPr>
                <w:noProof/>
                <w:webHidden/>
              </w:rPr>
              <w:fldChar w:fldCharType="end"/>
            </w:r>
          </w:hyperlink>
        </w:p>
        <w:p w14:paraId="63B74722" w14:textId="77777777" w:rsidR="00C73603" w:rsidRDefault="006B1BDF" w:rsidP="00C73603">
          <w:pPr>
            <w:pStyle w:val="TOC2"/>
            <w:rPr>
              <w:rFonts w:asciiTheme="minorHAnsi" w:hAnsiTheme="minorHAnsi"/>
              <w:noProof/>
            </w:rPr>
          </w:pPr>
          <w:hyperlink w:anchor="_Toc416705694" w:history="1">
            <w:r w:rsidR="00C73603" w:rsidRPr="00F35764">
              <w:rPr>
                <w:rStyle w:val="Hyperlink"/>
                <w:noProof/>
              </w:rPr>
              <w:t>1.</w:t>
            </w:r>
            <w:r w:rsidR="00C73603">
              <w:rPr>
                <w:rFonts w:asciiTheme="minorHAnsi" w:hAnsiTheme="minorHAnsi"/>
                <w:noProof/>
              </w:rPr>
              <w:tab/>
            </w:r>
            <w:r w:rsidR="00C73603" w:rsidRPr="00F35764">
              <w:rPr>
                <w:rStyle w:val="Hyperlink"/>
                <w:noProof/>
              </w:rPr>
              <w:t>Circumstances Making the Collection of Information Necessary</w:t>
            </w:r>
            <w:r w:rsidR="00C73603">
              <w:rPr>
                <w:noProof/>
                <w:webHidden/>
              </w:rPr>
              <w:tab/>
            </w:r>
            <w:r w:rsidR="00C73603">
              <w:rPr>
                <w:noProof/>
                <w:webHidden/>
              </w:rPr>
              <w:fldChar w:fldCharType="begin"/>
            </w:r>
            <w:r w:rsidR="00C73603">
              <w:rPr>
                <w:noProof/>
                <w:webHidden/>
              </w:rPr>
              <w:instrText xml:space="preserve"> PAGEREF _Toc416705694 \h </w:instrText>
            </w:r>
            <w:r w:rsidR="00C73603">
              <w:rPr>
                <w:noProof/>
                <w:webHidden/>
              </w:rPr>
            </w:r>
            <w:r w:rsidR="00C73603">
              <w:rPr>
                <w:noProof/>
                <w:webHidden/>
              </w:rPr>
              <w:fldChar w:fldCharType="separate"/>
            </w:r>
            <w:r w:rsidR="00D332C6">
              <w:rPr>
                <w:noProof/>
                <w:webHidden/>
              </w:rPr>
              <w:t>3</w:t>
            </w:r>
            <w:r w:rsidR="00C73603">
              <w:rPr>
                <w:noProof/>
                <w:webHidden/>
              </w:rPr>
              <w:fldChar w:fldCharType="end"/>
            </w:r>
          </w:hyperlink>
        </w:p>
        <w:p w14:paraId="63B74723" w14:textId="77777777" w:rsidR="00C73603" w:rsidRDefault="006B1BDF" w:rsidP="00C73603">
          <w:pPr>
            <w:pStyle w:val="TOC2"/>
            <w:rPr>
              <w:rFonts w:asciiTheme="minorHAnsi" w:hAnsiTheme="minorHAnsi"/>
              <w:noProof/>
            </w:rPr>
          </w:pPr>
          <w:hyperlink w:anchor="_Toc416705695" w:history="1">
            <w:r w:rsidR="00C73603" w:rsidRPr="00F35764">
              <w:rPr>
                <w:rStyle w:val="Hyperlink"/>
                <w:noProof/>
              </w:rPr>
              <w:t>2.</w:t>
            </w:r>
            <w:r w:rsidR="00C73603">
              <w:rPr>
                <w:rFonts w:asciiTheme="minorHAnsi" w:hAnsiTheme="minorHAnsi"/>
                <w:noProof/>
              </w:rPr>
              <w:tab/>
            </w:r>
            <w:r w:rsidR="00C73603" w:rsidRPr="00F35764">
              <w:rPr>
                <w:rStyle w:val="Hyperlink"/>
                <w:noProof/>
              </w:rPr>
              <w:t>Purpose and Use of the Information Collection</w:t>
            </w:r>
            <w:r w:rsidR="00C73603">
              <w:rPr>
                <w:noProof/>
                <w:webHidden/>
              </w:rPr>
              <w:tab/>
            </w:r>
            <w:r w:rsidR="00C73603">
              <w:rPr>
                <w:noProof/>
                <w:webHidden/>
              </w:rPr>
              <w:fldChar w:fldCharType="begin"/>
            </w:r>
            <w:r w:rsidR="00C73603">
              <w:rPr>
                <w:noProof/>
                <w:webHidden/>
              </w:rPr>
              <w:instrText xml:space="preserve"> PAGEREF _Toc416705695 \h </w:instrText>
            </w:r>
            <w:r w:rsidR="00C73603">
              <w:rPr>
                <w:noProof/>
                <w:webHidden/>
              </w:rPr>
            </w:r>
            <w:r w:rsidR="00C73603">
              <w:rPr>
                <w:noProof/>
                <w:webHidden/>
              </w:rPr>
              <w:fldChar w:fldCharType="separate"/>
            </w:r>
            <w:r w:rsidR="00D332C6">
              <w:rPr>
                <w:noProof/>
                <w:webHidden/>
              </w:rPr>
              <w:t>6</w:t>
            </w:r>
            <w:r w:rsidR="00C73603">
              <w:rPr>
                <w:noProof/>
                <w:webHidden/>
              </w:rPr>
              <w:fldChar w:fldCharType="end"/>
            </w:r>
          </w:hyperlink>
        </w:p>
        <w:p w14:paraId="63B74724" w14:textId="77777777" w:rsidR="00C73603" w:rsidRDefault="006B1BDF">
          <w:pPr>
            <w:pStyle w:val="TOC1"/>
            <w:tabs>
              <w:tab w:val="left" w:pos="440"/>
              <w:tab w:val="right" w:pos="9350"/>
            </w:tabs>
            <w:rPr>
              <w:rFonts w:asciiTheme="minorHAnsi" w:hAnsiTheme="minorHAnsi"/>
              <w:noProof/>
            </w:rPr>
          </w:pPr>
          <w:hyperlink w:anchor="_Toc416705696" w:history="1">
            <w:r w:rsidR="00C73603" w:rsidRPr="00F35764">
              <w:rPr>
                <w:rStyle w:val="Hyperlink"/>
                <w:noProof/>
              </w:rPr>
              <w:t>3.</w:t>
            </w:r>
            <w:r w:rsidR="00C73603">
              <w:rPr>
                <w:rFonts w:asciiTheme="minorHAnsi" w:hAnsiTheme="minorHAnsi"/>
                <w:noProof/>
              </w:rPr>
              <w:tab/>
            </w:r>
            <w:r w:rsidR="00C73603" w:rsidRPr="00F35764">
              <w:rPr>
                <w:rStyle w:val="Hyperlink"/>
                <w:noProof/>
              </w:rPr>
              <w:t>Use of Improved Information Technology and Burden Reduction</w:t>
            </w:r>
            <w:r w:rsidR="00C73603">
              <w:rPr>
                <w:noProof/>
                <w:webHidden/>
              </w:rPr>
              <w:tab/>
            </w:r>
            <w:r w:rsidR="00C73603">
              <w:rPr>
                <w:noProof/>
                <w:webHidden/>
              </w:rPr>
              <w:fldChar w:fldCharType="begin"/>
            </w:r>
            <w:r w:rsidR="00C73603">
              <w:rPr>
                <w:noProof/>
                <w:webHidden/>
              </w:rPr>
              <w:instrText xml:space="preserve"> PAGEREF _Toc416705696 \h </w:instrText>
            </w:r>
            <w:r w:rsidR="00C73603">
              <w:rPr>
                <w:noProof/>
                <w:webHidden/>
              </w:rPr>
            </w:r>
            <w:r w:rsidR="00C73603">
              <w:rPr>
                <w:noProof/>
                <w:webHidden/>
              </w:rPr>
              <w:fldChar w:fldCharType="separate"/>
            </w:r>
            <w:r w:rsidR="00D332C6">
              <w:rPr>
                <w:noProof/>
                <w:webHidden/>
              </w:rPr>
              <w:t>6</w:t>
            </w:r>
            <w:r w:rsidR="00C73603">
              <w:rPr>
                <w:noProof/>
                <w:webHidden/>
              </w:rPr>
              <w:fldChar w:fldCharType="end"/>
            </w:r>
          </w:hyperlink>
        </w:p>
        <w:p w14:paraId="63B74725" w14:textId="77777777" w:rsidR="00C73603" w:rsidRDefault="006B1BDF">
          <w:pPr>
            <w:pStyle w:val="TOC1"/>
            <w:tabs>
              <w:tab w:val="left" w:pos="440"/>
              <w:tab w:val="right" w:pos="9350"/>
            </w:tabs>
            <w:rPr>
              <w:rFonts w:asciiTheme="minorHAnsi" w:hAnsiTheme="minorHAnsi"/>
              <w:noProof/>
            </w:rPr>
          </w:pPr>
          <w:hyperlink w:anchor="_Toc416705697" w:history="1">
            <w:r w:rsidR="00C73603" w:rsidRPr="00F35764">
              <w:rPr>
                <w:rStyle w:val="Hyperlink"/>
                <w:noProof/>
              </w:rPr>
              <w:t>4.</w:t>
            </w:r>
            <w:r w:rsidR="00C73603">
              <w:rPr>
                <w:rFonts w:asciiTheme="minorHAnsi" w:hAnsiTheme="minorHAnsi"/>
                <w:noProof/>
              </w:rPr>
              <w:tab/>
            </w:r>
            <w:r w:rsidR="00C73603" w:rsidRPr="00F35764">
              <w:rPr>
                <w:rStyle w:val="Hyperlink"/>
                <w:noProof/>
              </w:rPr>
              <w:t>Efforts to Identify Duplication and Use of Similar Information</w:t>
            </w:r>
            <w:r w:rsidR="00C73603">
              <w:rPr>
                <w:noProof/>
                <w:webHidden/>
              </w:rPr>
              <w:tab/>
            </w:r>
            <w:r w:rsidR="00C73603">
              <w:rPr>
                <w:noProof/>
                <w:webHidden/>
              </w:rPr>
              <w:fldChar w:fldCharType="begin"/>
            </w:r>
            <w:r w:rsidR="00C73603">
              <w:rPr>
                <w:noProof/>
                <w:webHidden/>
              </w:rPr>
              <w:instrText xml:space="preserve"> PAGEREF _Toc416705697 \h </w:instrText>
            </w:r>
            <w:r w:rsidR="00C73603">
              <w:rPr>
                <w:noProof/>
                <w:webHidden/>
              </w:rPr>
            </w:r>
            <w:r w:rsidR="00C73603">
              <w:rPr>
                <w:noProof/>
                <w:webHidden/>
              </w:rPr>
              <w:fldChar w:fldCharType="separate"/>
            </w:r>
            <w:r w:rsidR="00D332C6">
              <w:rPr>
                <w:noProof/>
                <w:webHidden/>
              </w:rPr>
              <w:t>6</w:t>
            </w:r>
            <w:r w:rsidR="00C73603">
              <w:rPr>
                <w:noProof/>
                <w:webHidden/>
              </w:rPr>
              <w:fldChar w:fldCharType="end"/>
            </w:r>
          </w:hyperlink>
        </w:p>
        <w:p w14:paraId="63B74726" w14:textId="77777777" w:rsidR="00C73603" w:rsidRDefault="006B1BDF">
          <w:pPr>
            <w:pStyle w:val="TOC1"/>
            <w:tabs>
              <w:tab w:val="left" w:pos="440"/>
              <w:tab w:val="right" w:pos="9350"/>
            </w:tabs>
            <w:rPr>
              <w:rFonts w:asciiTheme="minorHAnsi" w:hAnsiTheme="minorHAnsi"/>
              <w:noProof/>
            </w:rPr>
          </w:pPr>
          <w:hyperlink w:anchor="_Toc416705698" w:history="1">
            <w:r w:rsidR="00C73603" w:rsidRPr="00F35764">
              <w:rPr>
                <w:rStyle w:val="Hyperlink"/>
                <w:noProof/>
              </w:rPr>
              <w:t>5.</w:t>
            </w:r>
            <w:r w:rsidR="00C73603">
              <w:rPr>
                <w:rFonts w:asciiTheme="minorHAnsi" w:hAnsiTheme="minorHAnsi"/>
                <w:noProof/>
              </w:rPr>
              <w:tab/>
            </w:r>
            <w:r w:rsidR="00C73603" w:rsidRPr="00F35764">
              <w:rPr>
                <w:rStyle w:val="Hyperlink"/>
                <w:noProof/>
              </w:rPr>
              <w:t>Impact on Small Businesses or Other Small Entities</w:t>
            </w:r>
            <w:r w:rsidR="00C73603">
              <w:rPr>
                <w:noProof/>
                <w:webHidden/>
              </w:rPr>
              <w:tab/>
            </w:r>
            <w:r w:rsidR="00C73603">
              <w:rPr>
                <w:noProof/>
                <w:webHidden/>
              </w:rPr>
              <w:fldChar w:fldCharType="begin"/>
            </w:r>
            <w:r w:rsidR="00C73603">
              <w:rPr>
                <w:noProof/>
                <w:webHidden/>
              </w:rPr>
              <w:instrText xml:space="preserve"> PAGEREF _Toc416705698 \h </w:instrText>
            </w:r>
            <w:r w:rsidR="00C73603">
              <w:rPr>
                <w:noProof/>
                <w:webHidden/>
              </w:rPr>
            </w:r>
            <w:r w:rsidR="00C73603">
              <w:rPr>
                <w:noProof/>
                <w:webHidden/>
              </w:rPr>
              <w:fldChar w:fldCharType="separate"/>
            </w:r>
            <w:r w:rsidR="00D332C6">
              <w:rPr>
                <w:noProof/>
                <w:webHidden/>
              </w:rPr>
              <w:t>7</w:t>
            </w:r>
            <w:r w:rsidR="00C73603">
              <w:rPr>
                <w:noProof/>
                <w:webHidden/>
              </w:rPr>
              <w:fldChar w:fldCharType="end"/>
            </w:r>
          </w:hyperlink>
        </w:p>
        <w:p w14:paraId="63B74727" w14:textId="77777777" w:rsidR="00C73603" w:rsidRDefault="006B1BDF">
          <w:pPr>
            <w:pStyle w:val="TOC1"/>
            <w:tabs>
              <w:tab w:val="left" w:pos="440"/>
              <w:tab w:val="right" w:pos="9350"/>
            </w:tabs>
            <w:rPr>
              <w:rFonts w:asciiTheme="minorHAnsi" w:hAnsiTheme="minorHAnsi"/>
              <w:noProof/>
            </w:rPr>
          </w:pPr>
          <w:hyperlink w:anchor="_Toc416705699" w:history="1">
            <w:r w:rsidR="00C73603" w:rsidRPr="00F35764">
              <w:rPr>
                <w:rStyle w:val="Hyperlink"/>
                <w:noProof/>
              </w:rPr>
              <w:t>6.</w:t>
            </w:r>
            <w:r w:rsidR="00C73603">
              <w:rPr>
                <w:rFonts w:asciiTheme="minorHAnsi" w:hAnsiTheme="minorHAnsi"/>
                <w:noProof/>
              </w:rPr>
              <w:tab/>
            </w:r>
            <w:r w:rsidR="00C73603" w:rsidRPr="00F35764">
              <w:rPr>
                <w:rStyle w:val="Hyperlink"/>
                <w:noProof/>
              </w:rPr>
              <w:t>Consequences of Collecting the Information Less Frequently</w:t>
            </w:r>
            <w:r w:rsidR="00C73603">
              <w:rPr>
                <w:noProof/>
                <w:webHidden/>
              </w:rPr>
              <w:tab/>
            </w:r>
            <w:r w:rsidR="00C73603">
              <w:rPr>
                <w:noProof/>
                <w:webHidden/>
              </w:rPr>
              <w:fldChar w:fldCharType="begin"/>
            </w:r>
            <w:r w:rsidR="00C73603">
              <w:rPr>
                <w:noProof/>
                <w:webHidden/>
              </w:rPr>
              <w:instrText xml:space="preserve"> PAGEREF _Toc416705699 \h </w:instrText>
            </w:r>
            <w:r w:rsidR="00C73603">
              <w:rPr>
                <w:noProof/>
                <w:webHidden/>
              </w:rPr>
            </w:r>
            <w:r w:rsidR="00C73603">
              <w:rPr>
                <w:noProof/>
                <w:webHidden/>
              </w:rPr>
              <w:fldChar w:fldCharType="separate"/>
            </w:r>
            <w:r w:rsidR="00D332C6">
              <w:rPr>
                <w:noProof/>
                <w:webHidden/>
              </w:rPr>
              <w:t>7</w:t>
            </w:r>
            <w:r w:rsidR="00C73603">
              <w:rPr>
                <w:noProof/>
                <w:webHidden/>
              </w:rPr>
              <w:fldChar w:fldCharType="end"/>
            </w:r>
          </w:hyperlink>
        </w:p>
        <w:p w14:paraId="63B74728" w14:textId="77777777" w:rsidR="00C73603" w:rsidRDefault="006B1BDF">
          <w:pPr>
            <w:pStyle w:val="TOC1"/>
            <w:tabs>
              <w:tab w:val="left" w:pos="440"/>
              <w:tab w:val="right" w:pos="9350"/>
            </w:tabs>
            <w:rPr>
              <w:rFonts w:asciiTheme="minorHAnsi" w:hAnsiTheme="minorHAnsi"/>
              <w:noProof/>
            </w:rPr>
          </w:pPr>
          <w:hyperlink w:anchor="_Toc416705700" w:history="1">
            <w:r w:rsidR="00C73603" w:rsidRPr="00F35764">
              <w:rPr>
                <w:rStyle w:val="Hyperlink"/>
                <w:noProof/>
              </w:rPr>
              <w:t>7.</w:t>
            </w:r>
            <w:r w:rsidR="00C73603">
              <w:rPr>
                <w:rFonts w:asciiTheme="minorHAnsi" w:hAnsiTheme="minorHAnsi"/>
                <w:noProof/>
              </w:rPr>
              <w:tab/>
            </w:r>
            <w:r w:rsidR="00C73603" w:rsidRPr="00F35764">
              <w:rPr>
                <w:rStyle w:val="Hyperlink"/>
                <w:noProof/>
              </w:rPr>
              <w:t>Special Circumstances Relating to the Guidelines of 5 CFR 1320.5</w:t>
            </w:r>
            <w:r w:rsidR="00C73603">
              <w:rPr>
                <w:noProof/>
                <w:webHidden/>
              </w:rPr>
              <w:tab/>
            </w:r>
            <w:r w:rsidR="00C73603">
              <w:rPr>
                <w:noProof/>
                <w:webHidden/>
              </w:rPr>
              <w:fldChar w:fldCharType="begin"/>
            </w:r>
            <w:r w:rsidR="00C73603">
              <w:rPr>
                <w:noProof/>
                <w:webHidden/>
              </w:rPr>
              <w:instrText xml:space="preserve"> PAGEREF _Toc416705700 \h </w:instrText>
            </w:r>
            <w:r w:rsidR="00C73603">
              <w:rPr>
                <w:noProof/>
                <w:webHidden/>
              </w:rPr>
            </w:r>
            <w:r w:rsidR="00C73603">
              <w:rPr>
                <w:noProof/>
                <w:webHidden/>
              </w:rPr>
              <w:fldChar w:fldCharType="separate"/>
            </w:r>
            <w:r w:rsidR="00D332C6">
              <w:rPr>
                <w:noProof/>
                <w:webHidden/>
              </w:rPr>
              <w:t>7</w:t>
            </w:r>
            <w:r w:rsidR="00C73603">
              <w:rPr>
                <w:noProof/>
                <w:webHidden/>
              </w:rPr>
              <w:fldChar w:fldCharType="end"/>
            </w:r>
          </w:hyperlink>
        </w:p>
        <w:p w14:paraId="63B74729" w14:textId="77777777" w:rsidR="00C73603" w:rsidRDefault="006B1BDF">
          <w:pPr>
            <w:pStyle w:val="TOC1"/>
            <w:tabs>
              <w:tab w:val="left" w:pos="440"/>
              <w:tab w:val="right" w:pos="9350"/>
            </w:tabs>
            <w:rPr>
              <w:rFonts w:asciiTheme="minorHAnsi" w:hAnsiTheme="minorHAnsi"/>
              <w:noProof/>
            </w:rPr>
          </w:pPr>
          <w:hyperlink w:anchor="_Toc416705701" w:history="1">
            <w:r w:rsidR="00C73603" w:rsidRPr="00F35764">
              <w:rPr>
                <w:rStyle w:val="Hyperlink"/>
                <w:noProof/>
              </w:rPr>
              <w:t>8.</w:t>
            </w:r>
            <w:r w:rsidR="00C73603">
              <w:rPr>
                <w:rFonts w:asciiTheme="minorHAnsi" w:hAnsiTheme="minorHAnsi"/>
                <w:noProof/>
              </w:rPr>
              <w:tab/>
            </w:r>
            <w:r w:rsidR="00C73603" w:rsidRPr="00F35764">
              <w:rPr>
                <w:rStyle w:val="Hyperlink"/>
                <w:noProof/>
              </w:rPr>
              <w:t>Comments in Response to the Federal Register Notice and Efforts to Consult Outside the Agency</w:t>
            </w:r>
            <w:r w:rsidR="00C73603">
              <w:rPr>
                <w:noProof/>
                <w:webHidden/>
              </w:rPr>
              <w:tab/>
            </w:r>
            <w:r w:rsidR="00C73603">
              <w:rPr>
                <w:noProof/>
                <w:webHidden/>
              </w:rPr>
              <w:fldChar w:fldCharType="begin"/>
            </w:r>
            <w:r w:rsidR="00C73603">
              <w:rPr>
                <w:noProof/>
                <w:webHidden/>
              </w:rPr>
              <w:instrText xml:space="preserve"> PAGEREF _Toc416705701 \h </w:instrText>
            </w:r>
            <w:r w:rsidR="00C73603">
              <w:rPr>
                <w:noProof/>
                <w:webHidden/>
              </w:rPr>
            </w:r>
            <w:r w:rsidR="00C73603">
              <w:rPr>
                <w:noProof/>
                <w:webHidden/>
              </w:rPr>
              <w:fldChar w:fldCharType="separate"/>
            </w:r>
            <w:r w:rsidR="00D332C6">
              <w:rPr>
                <w:noProof/>
                <w:webHidden/>
              </w:rPr>
              <w:t>7</w:t>
            </w:r>
            <w:r w:rsidR="00C73603">
              <w:rPr>
                <w:noProof/>
                <w:webHidden/>
              </w:rPr>
              <w:fldChar w:fldCharType="end"/>
            </w:r>
          </w:hyperlink>
        </w:p>
        <w:p w14:paraId="63B7472A" w14:textId="77777777" w:rsidR="00C73603" w:rsidRDefault="006B1BDF">
          <w:pPr>
            <w:pStyle w:val="TOC1"/>
            <w:tabs>
              <w:tab w:val="left" w:pos="440"/>
              <w:tab w:val="right" w:pos="9350"/>
            </w:tabs>
            <w:rPr>
              <w:rFonts w:asciiTheme="minorHAnsi" w:hAnsiTheme="minorHAnsi"/>
              <w:noProof/>
            </w:rPr>
          </w:pPr>
          <w:hyperlink w:anchor="_Toc416705702" w:history="1">
            <w:r w:rsidR="00C73603" w:rsidRPr="00F35764">
              <w:rPr>
                <w:rStyle w:val="Hyperlink"/>
                <w:noProof/>
              </w:rPr>
              <w:t>9.</w:t>
            </w:r>
            <w:r w:rsidR="00C73603">
              <w:rPr>
                <w:rFonts w:asciiTheme="minorHAnsi" w:hAnsiTheme="minorHAnsi"/>
                <w:noProof/>
              </w:rPr>
              <w:tab/>
            </w:r>
            <w:r w:rsidR="00C73603" w:rsidRPr="00F35764">
              <w:rPr>
                <w:rStyle w:val="Hyperlink"/>
                <w:noProof/>
              </w:rPr>
              <w:t>Explanation of Any Payment or Gift to Respondents</w:t>
            </w:r>
            <w:r w:rsidR="00C73603">
              <w:rPr>
                <w:noProof/>
                <w:webHidden/>
              </w:rPr>
              <w:tab/>
            </w:r>
            <w:r w:rsidR="00C73603">
              <w:rPr>
                <w:noProof/>
                <w:webHidden/>
              </w:rPr>
              <w:fldChar w:fldCharType="begin"/>
            </w:r>
            <w:r w:rsidR="00C73603">
              <w:rPr>
                <w:noProof/>
                <w:webHidden/>
              </w:rPr>
              <w:instrText xml:space="preserve"> PAGEREF _Toc416705702 \h </w:instrText>
            </w:r>
            <w:r w:rsidR="00C73603">
              <w:rPr>
                <w:noProof/>
                <w:webHidden/>
              </w:rPr>
            </w:r>
            <w:r w:rsidR="00C73603">
              <w:rPr>
                <w:noProof/>
                <w:webHidden/>
              </w:rPr>
              <w:fldChar w:fldCharType="separate"/>
            </w:r>
            <w:r w:rsidR="00D332C6">
              <w:rPr>
                <w:noProof/>
                <w:webHidden/>
              </w:rPr>
              <w:t>8</w:t>
            </w:r>
            <w:r w:rsidR="00C73603">
              <w:rPr>
                <w:noProof/>
                <w:webHidden/>
              </w:rPr>
              <w:fldChar w:fldCharType="end"/>
            </w:r>
          </w:hyperlink>
        </w:p>
        <w:p w14:paraId="63B7472B" w14:textId="77777777" w:rsidR="00C73603" w:rsidRDefault="006B1BDF">
          <w:pPr>
            <w:pStyle w:val="TOC1"/>
            <w:tabs>
              <w:tab w:val="left" w:pos="660"/>
              <w:tab w:val="right" w:pos="9350"/>
            </w:tabs>
            <w:rPr>
              <w:rFonts w:asciiTheme="minorHAnsi" w:hAnsiTheme="minorHAnsi"/>
              <w:noProof/>
            </w:rPr>
          </w:pPr>
          <w:hyperlink w:anchor="_Toc416705703" w:history="1">
            <w:r w:rsidR="00C73603" w:rsidRPr="00F35764">
              <w:rPr>
                <w:rStyle w:val="Hyperlink"/>
                <w:noProof/>
              </w:rPr>
              <w:t>10.</w:t>
            </w:r>
            <w:r w:rsidR="00C73603">
              <w:rPr>
                <w:rFonts w:asciiTheme="minorHAnsi" w:hAnsiTheme="minorHAnsi"/>
                <w:noProof/>
              </w:rPr>
              <w:tab/>
            </w:r>
            <w:r w:rsidR="00C73603" w:rsidRPr="00F35764">
              <w:rPr>
                <w:rStyle w:val="Hyperlink"/>
                <w:noProof/>
              </w:rPr>
              <w:t>Assurance of Confidentiality Provided to Respondents</w:t>
            </w:r>
            <w:r w:rsidR="00C73603">
              <w:rPr>
                <w:noProof/>
                <w:webHidden/>
              </w:rPr>
              <w:tab/>
            </w:r>
            <w:r w:rsidR="00C73603">
              <w:rPr>
                <w:noProof/>
                <w:webHidden/>
              </w:rPr>
              <w:fldChar w:fldCharType="begin"/>
            </w:r>
            <w:r w:rsidR="00C73603">
              <w:rPr>
                <w:noProof/>
                <w:webHidden/>
              </w:rPr>
              <w:instrText xml:space="preserve"> PAGEREF _Toc416705703 \h </w:instrText>
            </w:r>
            <w:r w:rsidR="00C73603">
              <w:rPr>
                <w:noProof/>
                <w:webHidden/>
              </w:rPr>
            </w:r>
            <w:r w:rsidR="00C73603">
              <w:rPr>
                <w:noProof/>
                <w:webHidden/>
              </w:rPr>
              <w:fldChar w:fldCharType="separate"/>
            </w:r>
            <w:r w:rsidR="00D332C6">
              <w:rPr>
                <w:noProof/>
                <w:webHidden/>
              </w:rPr>
              <w:t>8</w:t>
            </w:r>
            <w:r w:rsidR="00C73603">
              <w:rPr>
                <w:noProof/>
                <w:webHidden/>
              </w:rPr>
              <w:fldChar w:fldCharType="end"/>
            </w:r>
          </w:hyperlink>
        </w:p>
        <w:p w14:paraId="63B7472C" w14:textId="42872534" w:rsidR="00C73603" w:rsidRDefault="006B1BDF">
          <w:pPr>
            <w:pStyle w:val="TOC1"/>
            <w:tabs>
              <w:tab w:val="left" w:pos="660"/>
              <w:tab w:val="right" w:pos="9350"/>
            </w:tabs>
            <w:rPr>
              <w:rFonts w:asciiTheme="minorHAnsi" w:hAnsiTheme="minorHAnsi"/>
              <w:noProof/>
            </w:rPr>
          </w:pPr>
          <w:hyperlink w:anchor="_Toc416705704" w:history="1">
            <w:r w:rsidR="00D332C6">
              <w:rPr>
                <w:rStyle w:val="Hyperlink"/>
                <w:noProof/>
              </w:rPr>
              <w:t>10.1</w:t>
            </w:r>
            <w:r w:rsidR="00C73603" w:rsidRPr="00F35764">
              <w:rPr>
                <w:rStyle w:val="Hyperlink"/>
                <w:noProof/>
              </w:rPr>
              <w:t>.</w:t>
            </w:r>
            <w:r w:rsidR="00C73603">
              <w:rPr>
                <w:rFonts w:asciiTheme="minorHAnsi" w:hAnsiTheme="minorHAnsi"/>
                <w:noProof/>
              </w:rPr>
              <w:tab/>
            </w:r>
            <w:r w:rsidR="00C73603" w:rsidRPr="00F35764">
              <w:rPr>
                <w:rStyle w:val="Hyperlink"/>
                <w:noProof/>
              </w:rPr>
              <w:t>Privacy Impact Assessment Information</w:t>
            </w:r>
            <w:r w:rsidR="00C73603">
              <w:rPr>
                <w:noProof/>
                <w:webHidden/>
              </w:rPr>
              <w:tab/>
            </w:r>
            <w:r w:rsidR="00C73603">
              <w:rPr>
                <w:noProof/>
                <w:webHidden/>
              </w:rPr>
              <w:fldChar w:fldCharType="begin"/>
            </w:r>
            <w:r w:rsidR="00C73603">
              <w:rPr>
                <w:noProof/>
                <w:webHidden/>
              </w:rPr>
              <w:instrText xml:space="preserve"> PAGEREF _Toc416705704 \h </w:instrText>
            </w:r>
            <w:r w:rsidR="00C73603">
              <w:rPr>
                <w:noProof/>
                <w:webHidden/>
              </w:rPr>
            </w:r>
            <w:r w:rsidR="00C73603">
              <w:rPr>
                <w:noProof/>
                <w:webHidden/>
              </w:rPr>
              <w:fldChar w:fldCharType="separate"/>
            </w:r>
            <w:r w:rsidR="00D332C6">
              <w:rPr>
                <w:noProof/>
                <w:webHidden/>
              </w:rPr>
              <w:t>8</w:t>
            </w:r>
            <w:r w:rsidR="00C73603">
              <w:rPr>
                <w:noProof/>
                <w:webHidden/>
              </w:rPr>
              <w:fldChar w:fldCharType="end"/>
            </w:r>
          </w:hyperlink>
        </w:p>
        <w:p w14:paraId="63B7472D" w14:textId="690CBACF" w:rsidR="00C73603" w:rsidRDefault="006B1BDF">
          <w:pPr>
            <w:pStyle w:val="TOC1"/>
            <w:tabs>
              <w:tab w:val="left" w:pos="660"/>
              <w:tab w:val="right" w:pos="9350"/>
            </w:tabs>
            <w:rPr>
              <w:rFonts w:asciiTheme="minorHAnsi" w:hAnsiTheme="minorHAnsi"/>
              <w:noProof/>
            </w:rPr>
          </w:pPr>
          <w:hyperlink w:anchor="_Toc416705705" w:history="1">
            <w:r w:rsidR="00D332C6">
              <w:rPr>
                <w:rStyle w:val="Hyperlink"/>
                <w:noProof/>
              </w:rPr>
              <w:t>11</w:t>
            </w:r>
            <w:r w:rsidR="00C73603" w:rsidRPr="00F35764">
              <w:rPr>
                <w:rStyle w:val="Hyperlink"/>
                <w:noProof/>
              </w:rPr>
              <w:t>.</w:t>
            </w:r>
            <w:r w:rsidR="00C73603">
              <w:rPr>
                <w:rFonts w:asciiTheme="minorHAnsi" w:hAnsiTheme="minorHAnsi"/>
                <w:noProof/>
              </w:rPr>
              <w:tab/>
            </w:r>
            <w:r w:rsidR="00C73603" w:rsidRPr="00F35764">
              <w:rPr>
                <w:rStyle w:val="Hyperlink"/>
                <w:noProof/>
              </w:rPr>
              <w:t>Justification for Sensitive Questions</w:t>
            </w:r>
            <w:r w:rsidR="00C73603">
              <w:rPr>
                <w:noProof/>
                <w:webHidden/>
              </w:rPr>
              <w:tab/>
            </w:r>
            <w:r w:rsidR="00C73603">
              <w:rPr>
                <w:noProof/>
                <w:webHidden/>
              </w:rPr>
              <w:fldChar w:fldCharType="begin"/>
            </w:r>
            <w:r w:rsidR="00C73603">
              <w:rPr>
                <w:noProof/>
                <w:webHidden/>
              </w:rPr>
              <w:instrText xml:space="preserve"> PAGEREF _Toc416705705 \h </w:instrText>
            </w:r>
            <w:r w:rsidR="00C73603">
              <w:rPr>
                <w:noProof/>
                <w:webHidden/>
              </w:rPr>
            </w:r>
            <w:r w:rsidR="00C73603">
              <w:rPr>
                <w:noProof/>
                <w:webHidden/>
              </w:rPr>
              <w:fldChar w:fldCharType="separate"/>
            </w:r>
            <w:r w:rsidR="00D332C6">
              <w:rPr>
                <w:noProof/>
                <w:webHidden/>
              </w:rPr>
              <w:t>8</w:t>
            </w:r>
            <w:r w:rsidR="00C73603">
              <w:rPr>
                <w:noProof/>
                <w:webHidden/>
              </w:rPr>
              <w:fldChar w:fldCharType="end"/>
            </w:r>
          </w:hyperlink>
        </w:p>
        <w:p w14:paraId="63B7472E" w14:textId="61F8DE3B" w:rsidR="00C73603" w:rsidRDefault="006B1BDF">
          <w:pPr>
            <w:pStyle w:val="TOC1"/>
            <w:tabs>
              <w:tab w:val="left" w:pos="660"/>
              <w:tab w:val="right" w:pos="9350"/>
            </w:tabs>
            <w:rPr>
              <w:rFonts w:asciiTheme="minorHAnsi" w:hAnsiTheme="minorHAnsi"/>
              <w:noProof/>
            </w:rPr>
          </w:pPr>
          <w:hyperlink w:anchor="_Toc416705706" w:history="1">
            <w:r w:rsidR="00D332C6">
              <w:rPr>
                <w:rStyle w:val="Hyperlink"/>
                <w:noProof/>
              </w:rPr>
              <w:t>12</w:t>
            </w:r>
            <w:r w:rsidR="00C73603" w:rsidRPr="00F35764">
              <w:rPr>
                <w:rStyle w:val="Hyperlink"/>
                <w:noProof/>
              </w:rPr>
              <w:t>.</w:t>
            </w:r>
            <w:r w:rsidR="00C73603">
              <w:rPr>
                <w:rFonts w:asciiTheme="minorHAnsi" w:hAnsiTheme="minorHAnsi"/>
                <w:noProof/>
              </w:rPr>
              <w:tab/>
            </w:r>
            <w:r w:rsidR="00C73603" w:rsidRPr="00F35764">
              <w:rPr>
                <w:rStyle w:val="Hyperlink"/>
                <w:noProof/>
              </w:rPr>
              <w:t>Estimates of Annualized Burden Hours and Costs</w:t>
            </w:r>
            <w:r w:rsidR="00C73603">
              <w:rPr>
                <w:noProof/>
                <w:webHidden/>
              </w:rPr>
              <w:tab/>
            </w:r>
            <w:r w:rsidR="00C73603">
              <w:rPr>
                <w:noProof/>
                <w:webHidden/>
              </w:rPr>
              <w:fldChar w:fldCharType="begin"/>
            </w:r>
            <w:r w:rsidR="00C73603">
              <w:rPr>
                <w:noProof/>
                <w:webHidden/>
              </w:rPr>
              <w:instrText xml:space="preserve"> PAGEREF _Toc416705706 \h </w:instrText>
            </w:r>
            <w:r w:rsidR="00C73603">
              <w:rPr>
                <w:noProof/>
                <w:webHidden/>
              </w:rPr>
            </w:r>
            <w:r w:rsidR="00C73603">
              <w:rPr>
                <w:noProof/>
                <w:webHidden/>
              </w:rPr>
              <w:fldChar w:fldCharType="separate"/>
            </w:r>
            <w:r w:rsidR="00D332C6">
              <w:rPr>
                <w:noProof/>
                <w:webHidden/>
              </w:rPr>
              <w:t>8</w:t>
            </w:r>
            <w:r w:rsidR="00C73603">
              <w:rPr>
                <w:noProof/>
                <w:webHidden/>
              </w:rPr>
              <w:fldChar w:fldCharType="end"/>
            </w:r>
          </w:hyperlink>
        </w:p>
        <w:p w14:paraId="63B7472F" w14:textId="5AD8C44B" w:rsidR="00C73603" w:rsidRDefault="006B1BDF">
          <w:pPr>
            <w:pStyle w:val="TOC1"/>
            <w:tabs>
              <w:tab w:val="left" w:pos="660"/>
              <w:tab w:val="right" w:pos="9350"/>
            </w:tabs>
            <w:rPr>
              <w:rFonts w:asciiTheme="minorHAnsi" w:hAnsiTheme="minorHAnsi"/>
              <w:noProof/>
            </w:rPr>
          </w:pPr>
          <w:hyperlink w:anchor="_Toc416705707" w:history="1">
            <w:r w:rsidR="00D332C6">
              <w:rPr>
                <w:rStyle w:val="Hyperlink"/>
                <w:noProof/>
              </w:rPr>
              <w:t>13</w:t>
            </w:r>
            <w:r w:rsidR="00C73603" w:rsidRPr="00F35764">
              <w:rPr>
                <w:rStyle w:val="Hyperlink"/>
                <w:noProof/>
              </w:rPr>
              <w:t>.</w:t>
            </w:r>
            <w:r w:rsidR="00C73603">
              <w:rPr>
                <w:rFonts w:asciiTheme="minorHAnsi" w:hAnsiTheme="minorHAnsi"/>
                <w:noProof/>
              </w:rPr>
              <w:tab/>
            </w:r>
            <w:r w:rsidR="00C73603" w:rsidRPr="00F35764">
              <w:rPr>
                <w:rStyle w:val="Hyperlink"/>
                <w:noProof/>
              </w:rPr>
              <w:t>Estimates of Other Total Annual Cost Burden to Respondents or Record Keepers</w:t>
            </w:r>
            <w:r w:rsidR="00C73603">
              <w:rPr>
                <w:noProof/>
                <w:webHidden/>
              </w:rPr>
              <w:tab/>
            </w:r>
            <w:r w:rsidR="00C73603">
              <w:rPr>
                <w:noProof/>
                <w:webHidden/>
              </w:rPr>
              <w:fldChar w:fldCharType="begin"/>
            </w:r>
            <w:r w:rsidR="00C73603">
              <w:rPr>
                <w:noProof/>
                <w:webHidden/>
              </w:rPr>
              <w:instrText xml:space="preserve"> PAGEREF _Toc416705707 \h </w:instrText>
            </w:r>
            <w:r w:rsidR="00C73603">
              <w:rPr>
                <w:noProof/>
                <w:webHidden/>
              </w:rPr>
            </w:r>
            <w:r w:rsidR="00C73603">
              <w:rPr>
                <w:noProof/>
                <w:webHidden/>
              </w:rPr>
              <w:fldChar w:fldCharType="separate"/>
            </w:r>
            <w:r w:rsidR="00D332C6">
              <w:rPr>
                <w:noProof/>
                <w:webHidden/>
              </w:rPr>
              <w:t>9</w:t>
            </w:r>
            <w:r w:rsidR="00C73603">
              <w:rPr>
                <w:noProof/>
                <w:webHidden/>
              </w:rPr>
              <w:fldChar w:fldCharType="end"/>
            </w:r>
          </w:hyperlink>
        </w:p>
        <w:p w14:paraId="63B74730" w14:textId="378FBF26" w:rsidR="00C73603" w:rsidRDefault="006B1BDF">
          <w:pPr>
            <w:pStyle w:val="TOC1"/>
            <w:tabs>
              <w:tab w:val="left" w:pos="660"/>
              <w:tab w:val="right" w:pos="9350"/>
            </w:tabs>
            <w:rPr>
              <w:rFonts w:asciiTheme="minorHAnsi" w:hAnsiTheme="minorHAnsi"/>
              <w:noProof/>
            </w:rPr>
          </w:pPr>
          <w:hyperlink w:anchor="_Toc416705708" w:history="1">
            <w:r w:rsidR="00D332C6">
              <w:rPr>
                <w:rStyle w:val="Hyperlink"/>
                <w:noProof/>
              </w:rPr>
              <w:t>14</w:t>
            </w:r>
            <w:r w:rsidR="00C73603" w:rsidRPr="00F35764">
              <w:rPr>
                <w:rStyle w:val="Hyperlink"/>
                <w:noProof/>
              </w:rPr>
              <w:t>.</w:t>
            </w:r>
            <w:r w:rsidR="00C73603">
              <w:rPr>
                <w:rFonts w:asciiTheme="minorHAnsi" w:hAnsiTheme="minorHAnsi"/>
                <w:noProof/>
              </w:rPr>
              <w:tab/>
            </w:r>
            <w:r w:rsidR="00C73603" w:rsidRPr="00F35764">
              <w:rPr>
                <w:rStyle w:val="Hyperlink"/>
                <w:noProof/>
              </w:rPr>
              <w:t>Annualized Cost to the Government</w:t>
            </w:r>
            <w:r w:rsidR="00C73603">
              <w:rPr>
                <w:noProof/>
                <w:webHidden/>
              </w:rPr>
              <w:tab/>
            </w:r>
            <w:r w:rsidR="00C73603">
              <w:rPr>
                <w:noProof/>
                <w:webHidden/>
              </w:rPr>
              <w:fldChar w:fldCharType="begin"/>
            </w:r>
            <w:r w:rsidR="00C73603">
              <w:rPr>
                <w:noProof/>
                <w:webHidden/>
              </w:rPr>
              <w:instrText xml:space="preserve"> PAGEREF _Toc416705708 \h </w:instrText>
            </w:r>
            <w:r w:rsidR="00C73603">
              <w:rPr>
                <w:noProof/>
                <w:webHidden/>
              </w:rPr>
            </w:r>
            <w:r w:rsidR="00C73603">
              <w:rPr>
                <w:noProof/>
                <w:webHidden/>
              </w:rPr>
              <w:fldChar w:fldCharType="separate"/>
            </w:r>
            <w:r w:rsidR="00D332C6">
              <w:rPr>
                <w:noProof/>
                <w:webHidden/>
              </w:rPr>
              <w:t>9</w:t>
            </w:r>
            <w:r w:rsidR="00C73603">
              <w:rPr>
                <w:noProof/>
                <w:webHidden/>
              </w:rPr>
              <w:fldChar w:fldCharType="end"/>
            </w:r>
          </w:hyperlink>
        </w:p>
        <w:p w14:paraId="63B74731" w14:textId="3CFCA05F" w:rsidR="00C73603" w:rsidRDefault="006B1BDF">
          <w:pPr>
            <w:pStyle w:val="TOC1"/>
            <w:tabs>
              <w:tab w:val="left" w:pos="660"/>
              <w:tab w:val="right" w:pos="9350"/>
            </w:tabs>
            <w:rPr>
              <w:rFonts w:asciiTheme="minorHAnsi" w:hAnsiTheme="minorHAnsi"/>
              <w:noProof/>
            </w:rPr>
          </w:pPr>
          <w:hyperlink w:anchor="_Toc416705709" w:history="1">
            <w:r w:rsidR="00D332C6">
              <w:rPr>
                <w:rStyle w:val="Hyperlink"/>
                <w:noProof/>
              </w:rPr>
              <w:t>15</w:t>
            </w:r>
            <w:r w:rsidR="00C73603" w:rsidRPr="00F35764">
              <w:rPr>
                <w:rStyle w:val="Hyperlink"/>
                <w:noProof/>
              </w:rPr>
              <w:t>.</w:t>
            </w:r>
            <w:r w:rsidR="00C73603">
              <w:rPr>
                <w:rFonts w:asciiTheme="minorHAnsi" w:hAnsiTheme="minorHAnsi"/>
                <w:noProof/>
              </w:rPr>
              <w:tab/>
            </w:r>
            <w:r w:rsidR="00C73603" w:rsidRPr="00F35764">
              <w:rPr>
                <w:rStyle w:val="Hyperlink"/>
                <w:noProof/>
              </w:rPr>
              <w:t>Explanation for Program Changes or Adjustments</w:t>
            </w:r>
            <w:r w:rsidR="00C73603">
              <w:rPr>
                <w:noProof/>
                <w:webHidden/>
              </w:rPr>
              <w:tab/>
            </w:r>
            <w:r w:rsidR="00C73603">
              <w:rPr>
                <w:noProof/>
                <w:webHidden/>
              </w:rPr>
              <w:fldChar w:fldCharType="begin"/>
            </w:r>
            <w:r w:rsidR="00C73603">
              <w:rPr>
                <w:noProof/>
                <w:webHidden/>
              </w:rPr>
              <w:instrText xml:space="preserve"> PAGEREF _Toc416705709 \h </w:instrText>
            </w:r>
            <w:r w:rsidR="00C73603">
              <w:rPr>
                <w:noProof/>
                <w:webHidden/>
              </w:rPr>
            </w:r>
            <w:r w:rsidR="00C73603">
              <w:rPr>
                <w:noProof/>
                <w:webHidden/>
              </w:rPr>
              <w:fldChar w:fldCharType="separate"/>
            </w:r>
            <w:r w:rsidR="00D332C6">
              <w:rPr>
                <w:noProof/>
                <w:webHidden/>
              </w:rPr>
              <w:t>9</w:t>
            </w:r>
            <w:r w:rsidR="00C73603">
              <w:rPr>
                <w:noProof/>
                <w:webHidden/>
              </w:rPr>
              <w:fldChar w:fldCharType="end"/>
            </w:r>
          </w:hyperlink>
        </w:p>
        <w:p w14:paraId="63B74732" w14:textId="5516610A" w:rsidR="00C73603" w:rsidRDefault="006B1BDF">
          <w:pPr>
            <w:pStyle w:val="TOC1"/>
            <w:tabs>
              <w:tab w:val="left" w:pos="660"/>
              <w:tab w:val="right" w:pos="9350"/>
            </w:tabs>
            <w:rPr>
              <w:rFonts w:asciiTheme="minorHAnsi" w:hAnsiTheme="minorHAnsi"/>
              <w:noProof/>
            </w:rPr>
          </w:pPr>
          <w:hyperlink w:anchor="_Toc416705710" w:history="1">
            <w:r w:rsidR="00D332C6">
              <w:rPr>
                <w:rStyle w:val="Hyperlink"/>
                <w:noProof/>
              </w:rPr>
              <w:t>16</w:t>
            </w:r>
            <w:r w:rsidR="00C73603" w:rsidRPr="00F35764">
              <w:rPr>
                <w:rStyle w:val="Hyperlink"/>
                <w:noProof/>
              </w:rPr>
              <w:t>.</w:t>
            </w:r>
            <w:r w:rsidR="00C73603">
              <w:rPr>
                <w:rFonts w:asciiTheme="minorHAnsi" w:hAnsiTheme="minorHAnsi"/>
                <w:noProof/>
              </w:rPr>
              <w:tab/>
            </w:r>
            <w:r w:rsidR="00C73603" w:rsidRPr="00F35764">
              <w:rPr>
                <w:rStyle w:val="Hyperlink"/>
                <w:noProof/>
              </w:rPr>
              <w:t>Plans for Tabulation and Publication and Project Time Schedule</w:t>
            </w:r>
            <w:r w:rsidR="00C73603">
              <w:rPr>
                <w:noProof/>
                <w:webHidden/>
              </w:rPr>
              <w:tab/>
            </w:r>
            <w:r w:rsidR="00C73603">
              <w:rPr>
                <w:noProof/>
                <w:webHidden/>
              </w:rPr>
              <w:fldChar w:fldCharType="begin"/>
            </w:r>
            <w:r w:rsidR="00C73603">
              <w:rPr>
                <w:noProof/>
                <w:webHidden/>
              </w:rPr>
              <w:instrText xml:space="preserve"> PAGEREF _Toc416705710 \h </w:instrText>
            </w:r>
            <w:r w:rsidR="00C73603">
              <w:rPr>
                <w:noProof/>
                <w:webHidden/>
              </w:rPr>
            </w:r>
            <w:r w:rsidR="00C73603">
              <w:rPr>
                <w:noProof/>
                <w:webHidden/>
              </w:rPr>
              <w:fldChar w:fldCharType="separate"/>
            </w:r>
            <w:r w:rsidR="00D332C6">
              <w:rPr>
                <w:noProof/>
                <w:webHidden/>
              </w:rPr>
              <w:t>9</w:t>
            </w:r>
            <w:r w:rsidR="00C73603">
              <w:rPr>
                <w:noProof/>
                <w:webHidden/>
              </w:rPr>
              <w:fldChar w:fldCharType="end"/>
            </w:r>
          </w:hyperlink>
        </w:p>
        <w:p w14:paraId="63B74733" w14:textId="620A7557" w:rsidR="00C73603" w:rsidRDefault="006B1BDF">
          <w:pPr>
            <w:pStyle w:val="TOC1"/>
            <w:tabs>
              <w:tab w:val="left" w:pos="660"/>
              <w:tab w:val="right" w:pos="9350"/>
            </w:tabs>
            <w:rPr>
              <w:rFonts w:asciiTheme="minorHAnsi" w:hAnsiTheme="minorHAnsi"/>
              <w:noProof/>
            </w:rPr>
          </w:pPr>
          <w:hyperlink w:anchor="_Toc416705711" w:history="1">
            <w:r w:rsidR="00D332C6">
              <w:rPr>
                <w:rStyle w:val="Hyperlink"/>
                <w:noProof/>
              </w:rPr>
              <w:t>17</w:t>
            </w:r>
            <w:r w:rsidR="00C73603" w:rsidRPr="00F35764">
              <w:rPr>
                <w:rStyle w:val="Hyperlink"/>
                <w:noProof/>
              </w:rPr>
              <w:t>.</w:t>
            </w:r>
            <w:r w:rsidR="00C73603">
              <w:rPr>
                <w:rFonts w:asciiTheme="minorHAnsi" w:hAnsiTheme="minorHAnsi"/>
                <w:noProof/>
              </w:rPr>
              <w:tab/>
            </w:r>
            <w:r w:rsidR="00C73603" w:rsidRPr="00F35764">
              <w:rPr>
                <w:rStyle w:val="Hyperlink"/>
                <w:noProof/>
              </w:rPr>
              <w:t>Reason(s) Display of OMB Expiration Date is Inappropriate</w:t>
            </w:r>
            <w:r w:rsidR="00C73603">
              <w:rPr>
                <w:noProof/>
                <w:webHidden/>
              </w:rPr>
              <w:tab/>
            </w:r>
            <w:r w:rsidR="00C73603">
              <w:rPr>
                <w:noProof/>
                <w:webHidden/>
              </w:rPr>
              <w:fldChar w:fldCharType="begin"/>
            </w:r>
            <w:r w:rsidR="00C73603">
              <w:rPr>
                <w:noProof/>
                <w:webHidden/>
              </w:rPr>
              <w:instrText xml:space="preserve"> PAGEREF _Toc416705711 \h </w:instrText>
            </w:r>
            <w:r w:rsidR="00C73603">
              <w:rPr>
                <w:noProof/>
                <w:webHidden/>
              </w:rPr>
            </w:r>
            <w:r w:rsidR="00C73603">
              <w:rPr>
                <w:noProof/>
                <w:webHidden/>
              </w:rPr>
              <w:fldChar w:fldCharType="separate"/>
            </w:r>
            <w:r w:rsidR="00D332C6">
              <w:rPr>
                <w:noProof/>
                <w:webHidden/>
              </w:rPr>
              <w:t>10</w:t>
            </w:r>
            <w:r w:rsidR="00C73603">
              <w:rPr>
                <w:noProof/>
                <w:webHidden/>
              </w:rPr>
              <w:fldChar w:fldCharType="end"/>
            </w:r>
          </w:hyperlink>
        </w:p>
        <w:p w14:paraId="63B74734" w14:textId="496A0F9E" w:rsidR="00C73603" w:rsidRDefault="006B1BDF">
          <w:pPr>
            <w:pStyle w:val="TOC1"/>
            <w:tabs>
              <w:tab w:val="left" w:pos="660"/>
              <w:tab w:val="right" w:pos="9350"/>
            </w:tabs>
            <w:rPr>
              <w:rFonts w:asciiTheme="minorHAnsi" w:hAnsiTheme="minorHAnsi"/>
              <w:noProof/>
            </w:rPr>
          </w:pPr>
          <w:hyperlink w:anchor="_Toc416705712" w:history="1">
            <w:r w:rsidR="00D332C6">
              <w:rPr>
                <w:rStyle w:val="Hyperlink"/>
                <w:noProof/>
              </w:rPr>
              <w:t>18</w:t>
            </w:r>
            <w:r w:rsidR="00C73603" w:rsidRPr="00F35764">
              <w:rPr>
                <w:rStyle w:val="Hyperlink"/>
                <w:noProof/>
              </w:rPr>
              <w:t>.</w:t>
            </w:r>
            <w:r w:rsidR="00C73603">
              <w:rPr>
                <w:rFonts w:asciiTheme="minorHAnsi" w:hAnsiTheme="minorHAnsi"/>
                <w:noProof/>
              </w:rPr>
              <w:tab/>
            </w:r>
            <w:r w:rsidR="00C73603" w:rsidRPr="00F35764">
              <w:rPr>
                <w:rStyle w:val="Hyperlink"/>
                <w:noProof/>
              </w:rPr>
              <w:t>Exceptions to Certification for Paperwork Reduction Act Submissions</w:t>
            </w:r>
            <w:r w:rsidR="00C73603">
              <w:rPr>
                <w:noProof/>
                <w:webHidden/>
              </w:rPr>
              <w:tab/>
            </w:r>
            <w:r w:rsidR="00C73603">
              <w:rPr>
                <w:noProof/>
                <w:webHidden/>
              </w:rPr>
              <w:fldChar w:fldCharType="begin"/>
            </w:r>
            <w:r w:rsidR="00C73603">
              <w:rPr>
                <w:noProof/>
                <w:webHidden/>
              </w:rPr>
              <w:instrText xml:space="preserve"> PAGEREF _Toc416705712 \h </w:instrText>
            </w:r>
            <w:r w:rsidR="00C73603">
              <w:rPr>
                <w:noProof/>
                <w:webHidden/>
              </w:rPr>
            </w:r>
            <w:r w:rsidR="00C73603">
              <w:rPr>
                <w:noProof/>
                <w:webHidden/>
              </w:rPr>
              <w:fldChar w:fldCharType="separate"/>
            </w:r>
            <w:r w:rsidR="00D332C6">
              <w:rPr>
                <w:noProof/>
                <w:webHidden/>
              </w:rPr>
              <w:t>11</w:t>
            </w:r>
            <w:r w:rsidR="00C73603">
              <w:rPr>
                <w:noProof/>
                <w:webHidden/>
              </w:rPr>
              <w:fldChar w:fldCharType="end"/>
            </w:r>
          </w:hyperlink>
        </w:p>
        <w:p w14:paraId="63B74735" w14:textId="772C32F0" w:rsidR="00C73603" w:rsidRDefault="006B1BDF">
          <w:pPr>
            <w:pStyle w:val="TOC1"/>
            <w:tabs>
              <w:tab w:val="right" w:pos="9350"/>
            </w:tabs>
            <w:rPr>
              <w:rFonts w:asciiTheme="minorHAnsi" w:hAnsiTheme="minorHAnsi"/>
              <w:noProof/>
            </w:rPr>
          </w:pPr>
          <w:hyperlink w:anchor="_Toc416705713" w:history="1">
            <w:r w:rsidR="00C73603" w:rsidRPr="00F35764">
              <w:rPr>
                <w:rStyle w:val="Hyperlink"/>
                <w:noProof/>
              </w:rPr>
              <w:t>LIST OF ATTACHMENTS – Section A</w:t>
            </w:r>
            <w:r w:rsidR="00877434">
              <w:rPr>
                <w:rStyle w:val="Hyperlink"/>
                <w:noProof/>
              </w:rPr>
              <w:t xml:space="preserve"> </w:t>
            </w:r>
            <w:r w:rsidR="00C73603">
              <w:rPr>
                <w:noProof/>
                <w:webHidden/>
              </w:rPr>
              <w:tab/>
            </w:r>
            <w:r w:rsidR="00C73603">
              <w:rPr>
                <w:noProof/>
                <w:webHidden/>
              </w:rPr>
              <w:fldChar w:fldCharType="begin"/>
            </w:r>
            <w:r w:rsidR="00C73603">
              <w:rPr>
                <w:noProof/>
                <w:webHidden/>
              </w:rPr>
              <w:instrText xml:space="preserve"> PAGEREF _Toc416705713 \h </w:instrText>
            </w:r>
            <w:r w:rsidR="00C73603">
              <w:rPr>
                <w:noProof/>
                <w:webHidden/>
              </w:rPr>
            </w:r>
            <w:r w:rsidR="00C73603">
              <w:rPr>
                <w:noProof/>
                <w:webHidden/>
              </w:rPr>
              <w:fldChar w:fldCharType="separate"/>
            </w:r>
            <w:r w:rsidR="00D332C6">
              <w:rPr>
                <w:noProof/>
                <w:webHidden/>
              </w:rPr>
              <w:t>11</w:t>
            </w:r>
            <w:r w:rsidR="00C73603">
              <w:rPr>
                <w:noProof/>
                <w:webHidden/>
              </w:rPr>
              <w:fldChar w:fldCharType="end"/>
            </w:r>
          </w:hyperlink>
        </w:p>
        <w:p w14:paraId="63B74737" w14:textId="5711F80F" w:rsidR="00C73603" w:rsidRDefault="006B1BDF" w:rsidP="00877434">
          <w:pPr>
            <w:pStyle w:val="TOC2"/>
            <w:rPr>
              <w:rFonts w:asciiTheme="minorHAnsi" w:hAnsiTheme="minorHAnsi"/>
              <w:noProof/>
            </w:rPr>
          </w:pPr>
          <w:hyperlink w:anchor="_Toc416705714" w:history="1">
            <w:r w:rsidR="00877434">
              <w:rPr>
                <w:rStyle w:val="Hyperlink"/>
                <w:noProof/>
              </w:rPr>
              <w:t>Reference List</w:t>
            </w:r>
            <w:r w:rsidR="00C73603">
              <w:rPr>
                <w:noProof/>
                <w:webHidden/>
              </w:rPr>
              <w:tab/>
            </w:r>
            <w:r w:rsidR="00C73603">
              <w:rPr>
                <w:noProof/>
                <w:webHidden/>
              </w:rPr>
              <w:fldChar w:fldCharType="begin"/>
            </w:r>
            <w:r w:rsidR="00C73603">
              <w:rPr>
                <w:noProof/>
                <w:webHidden/>
              </w:rPr>
              <w:instrText xml:space="preserve"> PAGEREF _Toc416705714 \h </w:instrText>
            </w:r>
            <w:r w:rsidR="00C73603">
              <w:rPr>
                <w:noProof/>
                <w:webHidden/>
              </w:rPr>
            </w:r>
            <w:r w:rsidR="00C73603">
              <w:rPr>
                <w:noProof/>
                <w:webHidden/>
              </w:rPr>
              <w:fldChar w:fldCharType="separate"/>
            </w:r>
            <w:r w:rsidR="00D332C6">
              <w:rPr>
                <w:noProof/>
                <w:webHidden/>
              </w:rPr>
              <w:t>11</w:t>
            </w:r>
            <w:r w:rsidR="00C73603">
              <w:rPr>
                <w:noProof/>
                <w:webHidden/>
              </w:rPr>
              <w:fldChar w:fldCharType="end"/>
            </w:r>
          </w:hyperlink>
        </w:p>
        <w:p w14:paraId="63B74738" w14:textId="77777777" w:rsidR="00154235" w:rsidRDefault="00154235">
          <w:r>
            <w:rPr>
              <w:b/>
              <w:bCs/>
              <w:noProof/>
            </w:rPr>
            <w:fldChar w:fldCharType="end"/>
          </w:r>
        </w:p>
      </w:sdtContent>
    </w:sdt>
    <w:p w14:paraId="63B74739" w14:textId="77777777" w:rsidR="00154235" w:rsidRDefault="00154235" w:rsidP="00154235">
      <w:pPr>
        <w:ind w:left="0"/>
      </w:pPr>
      <w:bookmarkStart w:id="6" w:name="_GoBack"/>
      <w:bookmarkEnd w:id="6"/>
    </w:p>
    <w:p w14:paraId="63B7473A" w14:textId="77777777" w:rsidR="00154235" w:rsidRDefault="00154235" w:rsidP="00154235">
      <w:pPr>
        <w:ind w:left="0"/>
      </w:pPr>
    </w:p>
    <w:p w14:paraId="63B7473B" w14:textId="77777777" w:rsidR="00154235" w:rsidRDefault="00154235" w:rsidP="00154235">
      <w:pPr>
        <w:ind w:left="0"/>
      </w:pPr>
    </w:p>
    <w:p w14:paraId="63B7473C" w14:textId="77777777" w:rsidR="00154235" w:rsidRDefault="00154235">
      <w:pPr>
        <w:tabs>
          <w:tab w:val="clear" w:pos="9360"/>
        </w:tabs>
        <w:spacing w:after="200"/>
        <w:ind w:left="0"/>
      </w:pPr>
      <w:r>
        <w:br w:type="page"/>
      </w:r>
    </w:p>
    <w:p w14:paraId="63B7473D" w14:textId="77777777" w:rsidR="00154235" w:rsidRPr="00154235" w:rsidRDefault="00154235" w:rsidP="00154235">
      <w:pPr>
        <w:ind w:left="0"/>
      </w:pPr>
    </w:p>
    <w:p w14:paraId="63B7473E" w14:textId="77777777" w:rsidR="00487937" w:rsidRPr="001A42FC" w:rsidRDefault="00487937" w:rsidP="00CA5840">
      <w:pPr>
        <w:pStyle w:val="Heading3"/>
        <w:ind w:left="0"/>
        <w:rPr>
          <w:sz w:val="22"/>
        </w:rPr>
      </w:pPr>
      <w:bookmarkStart w:id="7" w:name="_Toc416704469"/>
      <w:bookmarkStart w:id="8" w:name="_Toc416705692"/>
      <w:r w:rsidRPr="001A42FC">
        <w:rPr>
          <w:rFonts w:eastAsia="Calibri" w:cs="Times New Roman"/>
          <w:b w:val="0"/>
          <w:noProof/>
          <w:sz w:val="22"/>
        </w:rPr>
        <mc:AlternateContent>
          <mc:Choice Requires="wps">
            <w:drawing>
              <wp:inline distT="0" distB="0" distL="0" distR="0" wp14:anchorId="63B74839" wp14:editId="63B7483A">
                <wp:extent cx="6162675" cy="39909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990975"/>
                        </a:xfrm>
                        <a:prstGeom prst="rect">
                          <a:avLst/>
                        </a:prstGeom>
                        <a:solidFill>
                          <a:srgbClr val="FFFFFF"/>
                        </a:solidFill>
                        <a:ln w="9525">
                          <a:solidFill>
                            <a:srgbClr val="000000"/>
                          </a:solidFill>
                          <a:miter lim="800000"/>
                          <a:headEnd/>
                          <a:tailEnd/>
                        </a:ln>
                      </wps:spPr>
                      <wps:txbx>
                        <w:txbxContent>
                          <w:p w14:paraId="63B74847" w14:textId="77777777" w:rsidR="002F1045" w:rsidRPr="001A42FC" w:rsidRDefault="002F1045" w:rsidP="008034F7">
                            <w:pPr>
                              <w:pStyle w:val="ListParagraph"/>
                              <w:numPr>
                                <w:ilvl w:val="0"/>
                                <w:numId w:val="42"/>
                              </w:numPr>
                              <w:ind w:left="360"/>
                            </w:pPr>
                            <w:r w:rsidRPr="001A42FC">
                              <w:t xml:space="preserve">The </w:t>
                            </w:r>
                            <w:r>
                              <w:t>goal</w:t>
                            </w:r>
                            <w:r w:rsidRPr="001A42FC">
                              <w:t xml:space="preserve"> of this information collection is to assess the level of awareness, satisfaction, and current or intended use of </w:t>
                            </w:r>
                            <w:r w:rsidRPr="00D9347D">
                              <w:t>two resources from</w:t>
                            </w:r>
                            <w:r w:rsidRPr="001A42FC">
                              <w:t xml:space="preserve"> the School Health Branch: the School Health Index and the Health and Academic Achievement document and PowerPoint slides</w:t>
                            </w:r>
                            <w:r>
                              <w:t>.</w:t>
                            </w:r>
                            <w:r w:rsidRPr="00EE3983">
                              <w:rPr>
                                <w:highlight w:val="yellow"/>
                              </w:rPr>
                              <w:t xml:space="preserve"> </w:t>
                            </w:r>
                          </w:p>
                          <w:p w14:paraId="63B74848" w14:textId="77777777" w:rsidR="002F1045" w:rsidRDefault="002F1045" w:rsidP="00487937">
                            <w:pPr>
                              <w:pStyle w:val="ListParagraph"/>
                              <w:ind w:left="360"/>
                            </w:pPr>
                          </w:p>
                          <w:p w14:paraId="63B74849" w14:textId="77777777" w:rsidR="002F1045" w:rsidRDefault="002F1045" w:rsidP="00487937">
                            <w:pPr>
                              <w:pStyle w:val="ListParagraph"/>
                              <w:numPr>
                                <w:ilvl w:val="0"/>
                                <w:numId w:val="34"/>
                              </w:numPr>
                              <w:tabs>
                                <w:tab w:val="clear" w:pos="9360"/>
                              </w:tabs>
                              <w:spacing w:after="200"/>
                            </w:pPr>
                            <w:r w:rsidRPr="001A42FC">
                              <w:rPr>
                                <w:rFonts w:cs="Times New Roman"/>
                              </w:rPr>
                              <w:t xml:space="preserve">The results of this assessment will </w:t>
                            </w:r>
                            <w:r>
                              <w:rPr>
                                <w:rFonts w:cs="Times New Roman"/>
                              </w:rPr>
                              <w:t xml:space="preserve">be used to </w:t>
                            </w:r>
                            <w:r w:rsidRPr="001A42FC">
                              <w:rPr>
                                <w:rFonts w:cs="Times New Roman"/>
                              </w:rPr>
                              <w:t>help</w:t>
                            </w:r>
                            <w:r>
                              <w:rPr>
                                <w:rFonts w:cs="Times New Roman"/>
                              </w:rPr>
                              <w:t xml:space="preserve"> CDC’s School Health Branch staff</w:t>
                            </w:r>
                            <w:r w:rsidRPr="001A42FC">
                              <w:rPr>
                                <w:rFonts w:cs="Times New Roman"/>
                              </w:rPr>
                              <w:t xml:space="preserve"> increase their efficiency and effectiveness in developing and disseminating resources to improve public health in school settings in the future.</w:t>
                            </w:r>
                          </w:p>
                          <w:p w14:paraId="63B7484A" w14:textId="77777777" w:rsidR="002F1045" w:rsidRDefault="002F1045" w:rsidP="00487937">
                            <w:pPr>
                              <w:pStyle w:val="ListParagraph"/>
                              <w:ind w:left="360"/>
                            </w:pPr>
                          </w:p>
                          <w:p w14:paraId="63B7484B" w14:textId="77777777" w:rsidR="002F1045" w:rsidRPr="00154235" w:rsidRDefault="002F1045" w:rsidP="00487937">
                            <w:pPr>
                              <w:pStyle w:val="ListParagraph"/>
                              <w:numPr>
                                <w:ilvl w:val="0"/>
                                <w:numId w:val="34"/>
                              </w:numPr>
                              <w:tabs>
                                <w:tab w:val="clear" w:pos="9360"/>
                              </w:tabs>
                              <w:spacing w:after="200"/>
                            </w:pPr>
                            <w:r>
                              <w:t>Information</w:t>
                            </w:r>
                            <w:r w:rsidRPr="001A42FC">
                              <w:t xml:space="preserve"> will be collected via a web-based questionnaire</w:t>
                            </w:r>
                            <w:r>
                              <w:t xml:space="preserve"> consisting</w:t>
                            </w:r>
                            <w:r w:rsidRPr="001A42FC">
                              <w:t xml:space="preserve"> of 27 questions of </w:t>
                            </w:r>
                            <w:r w:rsidRPr="00D9347D">
                              <w:t>various types, including dichotomous (yes/no), multiple response, interval (rating scales), an</w:t>
                            </w:r>
                            <w:r w:rsidRPr="00D9347D">
                              <w:rPr>
                                <w:rFonts w:eastAsiaTheme="majorEastAsia" w:cstheme="majorBidi"/>
                              </w:rPr>
                              <w:t>d open-ended questions.</w:t>
                            </w:r>
                          </w:p>
                          <w:p w14:paraId="63B7484C" w14:textId="77777777" w:rsidR="002F1045" w:rsidRPr="00154235" w:rsidRDefault="002F1045" w:rsidP="00487937">
                            <w:pPr>
                              <w:pStyle w:val="ListParagraph"/>
                              <w:ind w:left="360"/>
                            </w:pPr>
                          </w:p>
                          <w:p w14:paraId="63B7484D" w14:textId="77777777" w:rsidR="002F1045" w:rsidRPr="00D9347D" w:rsidRDefault="002F1045" w:rsidP="002C4C2D">
                            <w:pPr>
                              <w:pStyle w:val="ListParagraph"/>
                              <w:numPr>
                                <w:ilvl w:val="0"/>
                                <w:numId w:val="34"/>
                              </w:numPr>
                              <w:tabs>
                                <w:tab w:val="clear" w:pos="9360"/>
                              </w:tabs>
                              <w:spacing w:after="200"/>
                            </w:pPr>
                            <w:r w:rsidRPr="00154235">
                              <w:t>The subpopulation to be studied is school health coordinators</w:t>
                            </w:r>
                            <w:r>
                              <w:t xml:space="preserve"> in all 50 states</w:t>
                            </w:r>
                            <w:r w:rsidRPr="00D9347D">
                              <w:t xml:space="preserve"> </w:t>
                            </w:r>
                            <w:r>
                              <w:t xml:space="preserve">who are </w:t>
                            </w:r>
                            <w:r w:rsidRPr="00D9347D">
                              <w:t xml:space="preserve">located in </w:t>
                            </w:r>
                            <w:r>
                              <w:t>state health agencies</w:t>
                            </w:r>
                            <w:r w:rsidRPr="00D9347D">
                              <w:t xml:space="preserve"> and department</w:t>
                            </w:r>
                            <w:r>
                              <w:t>s</w:t>
                            </w:r>
                            <w:r w:rsidRPr="00D9347D">
                              <w:t xml:space="preserve"> of education</w:t>
                            </w:r>
                            <w:r>
                              <w:t>s</w:t>
                            </w:r>
                            <w:r w:rsidRPr="00D9347D">
                              <w:t xml:space="preserve">.  </w:t>
                            </w:r>
                            <w:r w:rsidR="002C4C2D" w:rsidRPr="002C4C2D">
                              <w:t xml:space="preserve">Information will be collected from 85 school health coordinators across all 50 states. Sixty four coordinators are based in state public health departments and </w:t>
                            </w:r>
                            <w:r w:rsidR="00B6773E">
                              <w:t>twenty one</w:t>
                            </w:r>
                            <w:r w:rsidR="002C4C2D" w:rsidRPr="002C4C2D">
                              <w:t xml:space="preserve"> of them are based in state departments of education. </w:t>
                            </w:r>
                          </w:p>
                          <w:p w14:paraId="63B7484E" w14:textId="77777777" w:rsidR="002F1045" w:rsidRPr="00A763BB" w:rsidRDefault="002F1045" w:rsidP="00487937">
                            <w:pPr>
                              <w:pStyle w:val="ListParagraph"/>
                              <w:ind w:left="360"/>
                            </w:pPr>
                          </w:p>
                          <w:p w14:paraId="63B7484F" w14:textId="77777777" w:rsidR="002F1045" w:rsidRDefault="002F1045" w:rsidP="00487937">
                            <w:pPr>
                              <w:pStyle w:val="ListParagraph"/>
                              <w:numPr>
                                <w:ilvl w:val="0"/>
                                <w:numId w:val="34"/>
                              </w:numPr>
                              <w:tabs>
                                <w:tab w:val="clear" w:pos="9360"/>
                              </w:tabs>
                              <w:spacing w:after="200"/>
                            </w:pPr>
                            <w:r>
                              <w:t>Information will be reviewed for completion and simple descriptive statistics will be run looking at response frequencies.  Depending on the response distribution, frequencies may be cross-tabulated to identify response similarities and differences among respondents.</w:t>
                            </w:r>
                          </w:p>
                        </w:txbxContent>
                      </wps:txbx>
                      <wps:bodyPr rot="0" vert="horz" wrap="square" lIns="91440" tIns="45720" rIns="91440" bIns="45720" anchor="t" anchorCtr="0">
                        <a:noAutofit/>
                      </wps:bodyPr>
                    </wps:wsp>
                  </a:graphicData>
                </a:graphic>
              </wp:inline>
            </w:drawing>
          </mc:Choice>
          <mc:Fallback>
            <w:pict>
              <v:shapetype w14:anchorId="63B74839" id="_x0000_t202" coordsize="21600,21600" o:spt="202" path="m,l,21600r21600,l21600,xe">
                <v:stroke joinstyle="miter"/>
                <v:path gradientshapeok="t" o:connecttype="rect"/>
              </v:shapetype>
              <v:shape id="Text Box 2" o:spid="_x0000_s1026" type="#_x0000_t202" style="width:485.25pt;height:3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">
                <v:textbox>
                  <w:txbxContent>
                    <w:p w14:paraId="63B74847" w14:textId="77777777" w:rsidR="002F1045" w:rsidRPr="001A42FC" w:rsidRDefault="002F1045" w:rsidP="008034F7">
                      <w:pPr>
                        <w:pStyle w:val="ListParagraph"/>
                        <w:numPr>
                          <w:ilvl w:val="0"/>
                          <w:numId w:val="42"/>
                        </w:numPr>
                        <w:ind w:left="360"/>
                      </w:pPr>
                      <w:r w:rsidRPr="001A42FC">
                        <w:t xml:space="preserve">The </w:t>
                      </w:r>
                      <w:r>
                        <w:t>goal</w:t>
                      </w:r>
                      <w:r w:rsidRPr="001A42FC">
                        <w:t xml:space="preserve"> of this information collection is to assess the level of awareness, satisfaction, and current or intended use of </w:t>
                      </w:r>
                      <w:r w:rsidRPr="00D9347D">
                        <w:t>two resources from</w:t>
                      </w:r>
                      <w:r w:rsidRPr="001A42FC">
                        <w:t xml:space="preserve"> the School Health Branch: the School Health Index and the Health and Academic Achievement document and PowerPoint slides</w:t>
                      </w:r>
                      <w:r>
                        <w:t>.</w:t>
                      </w:r>
                      <w:r w:rsidRPr="00EE3983">
                        <w:rPr>
                          <w:highlight w:val="yellow"/>
                        </w:rPr>
                        <w:t xml:space="preserve"> </w:t>
                      </w:r>
                    </w:p>
                    <w:p w14:paraId="63B74848" w14:textId="77777777" w:rsidR="002F1045" w:rsidRDefault="002F1045" w:rsidP="00487937">
                      <w:pPr>
                        <w:pStyle w:val="ListParagraph"/>
                        <w:ind w:left="360"/>
                      </w:pPr>
                    </w:p>
                    <w:p w14:paraId="63B74849" w14:textId="77777777" w:rsidR="002F1045" w:rsidRDefault="002F1045" w:rsidP="00487937">
                      <w:pPr>
                        <w:pStyle w:val="ListParagraph"/>
                        <w:numPr>
                          <w:ilvl w:val="0"/>
                          <w:numId w:val="34"/>
                        </w:numPr>
                        <w:tabs>
                          <w:tab w:val="clear" w:pos="9360"/>
                        </w:tabs>
                        <w:spacing w:after="200"/>
                      </w:pPr>
                      <w:r w:rsidRPr="001A42FC">
                        <w:rPr>
                          <w:rFonts w:cs="Times New Roman"/>
                        </w:rPr>
                        <w:t xml:space="preserve">The results of this assessment will </w:t>
                      </w:r>
                      <w:r>
                        <w:rPr>
                          <w:rFonts w:cs="Times New Roman"/>
                        </w:rPr>
                        <w:t xml:space="preserve">be used to </w:t>
                      </w:r>
                      <w:r w:rsidRPr="001A42FC">
                        <w:rPr>
                          <w:rFonts w:cs="Times New Roman"/>
                        </w:rPr>
                        <w:t>help</w:t>
                      </w:r>
                      <w:r>
                        <w:rPr>
                          <w:rFonts w:cs="Times New Roman"/>
                        </w:rPr>
                        <w:t xml:space="preserve"> CDC’s School Health Branch staff</w:t>
                      </w:r>
                      <w:r w:rsidRPr="001A42FC">
                        <w:rPr>
                          <w:rFonts w:cs="Times New Roman"/>
                        </w:rPr>
                        <w:t xml:space="preserve"> increase their efficiency and effectiveness in developing and disseminating resources to improve public health in school settings in the future.</w:t>
                      </w:r>
                    </w:p>
                    <w:p w14:paraId="63B7484A" w14:textId="77777777" w:rsidR="002F1045" w:rsidRDefault="002F1045" w:rsidP="00487937">
                      <w:pPr>
                        <w:pStyle w:val="ListParagraph"/>
                        <w:ind w:left="360"/>
                      </w:pPr>
                    </w:p>
                    <w:p w14:paraId="63B7484B" w14:textId="77777777" w:rsidR="002F1045" w:rsidRPr="00154235" w:rsidRDefault="002F1045" w:rsidP="00487937">
                      <w:pPr>
                        <w:pStyle w:val="ListParagraph"/>
                        <w:numPr>
                          <w:ilvl w:val="0"/>
                          <w:numId w:val="34"/>
                        </w:numPr>
                        <w:tabs>
                          <w:tab w:val="clear" w:pos="9360"/>
                        </w:tabs>
                        <w:spacing w:after="200"/>
                      </w:pPr>
                      <w:r>
                        <w:t>Information</w:t>
                      </w:r>
                      <w:r w:rsidRPr="001A42FC">
                        <w:t xml:space="preserve"> will be collected via a web-based questionnaire</w:t>
                      </w:r>
                      <w:r>
                        <w:t xml:space="preserve"> consisting</w:t>
                      </w:r>
                      <w:r w:rsidRPr="001A42FC">
                        <w:t xml:space="preserve"> of 27 questions of </w:t>
                      </w:r>
                      <w:r w:rsidRPr="00D9347D">
                        <w:t>various types, including dichotomous (yes/no), multiple response, interval (rating scales), an</w:t>
                      </w:r>
                      <w:r w:rsidRPr="00D9347D">
                        <w:rPr>
                          <w:rFonts w:eastAsiaTheme="majorEastAsia" w:cstheme="majorBidi"/>
                        </w:rPr>
                        <w:t>d open-ended questions.</w:t>
                      </w:r>
                    </w:p>
                    <w:p w14:paraId="63B7484C" w14:textId="77777777" w:rsidR="002F1045" w:rsidRPr="00154235" w:rsidRDefault="002F1045" w:rsidP="00487937">
                      <w:pPr>
                        <w:pStyle w:val="ListParagraph"/>
                        <w:ind w:left="360"/>
                      </w:pPr>
                    </w:p>
                    <w:p w14:paraId="63B7484D" w14:textId="77777777" w:rsidR="002F1045" w:rsidRPr="00D9347D" w:rsidRDefault="002F1045" w:rsidP="002C4C2D">
                      <w:pPr>
                        <w:pStyle w:val="ListParagraph"/>
                        <w:numPr>
                          <w:ilvl w:val="0"/>
                          <w:numId w:val="34"/>
                        </w:numPr>
                        <w:tabs>
                          <w:tab w:val="clear" w:pos="9360"/>
                        </w:tabs>
                        <w:spacing w:after="200"/>
                      </w:pPr>
                      <w:r w:rsidRPr="00154235">
                        <w:t>The subpopulation to be studied is school health coordinators</w:t>
                      </w:r>
                      <w:r>
                        <w:t xml:space="preserve"> in all 50 states</w:t>
                      </w:r>
                      <w:r w:rsidRPr="00D9347D">
                        <w:t xml:space="preserve"> </w:t>
                      </w:r>
                      <w:r>
                        <w:t xml:space="preserve">who are </w:t>
                      </w:r>
                      <w:r w:rsidRPr="00D9347D">
                        <w:t xml:space="preserve">located in </w:t>
                      </w:r>
                      <w:r>
                        <w:t>state health agencies</w:t>
                      </w:r>
                      <w:r w:rsidRPr="00D9347D">
                        <w:t xml:space="preserve"> and department</w:t>
                      </w:r>
                      <w:r>
                        <w:t>s</w:t>
                      </w:r>
                      <w:r w:rsidRPr="00D9347D">
                        <w:t xml:space="preserve"> of education</w:t>
                      </w:r>
                      <w:r>
                        <w:t>s</w:t>
                      </w:r>
                      <w:r w:rsidRPr="00D9347D">
                        <w:t xml:space="preserve">.  </w:t>
                      </w:r>
                      <w:r w:rsidR="002C4C2D" w:rsidRPr="002C4C2D">
                        <w:t xml:space="preserve">Information will be collected from 85 school health coordinators across all 50 states. Sixty four coordinators are based in state public health departments and </w:t>
                      </w:r>
                      <w:r w:rsidR="00B6773E">
                        <w:t>twenty one</w:t>
                      </w:r>
                      <w:r w:rsidR="002C4C2D" w:rsidRPr="002C4C2D">
                        <w:t xml:space="preserve"> of them are based in state departments of education. </w:t>
                      </w:r>
                    </w:p>
                    <w:p w14:paraId="63B7484E" w14:textId="77777777" w:rsidR="002F1045" w:rsidRPr="00A763BB" w:rsidRDefault="002F1045" w:rsidP="00487937">
                      <w:pPr>
                        <w:pStyle w:val="ListParagraph"/>
                        <w:ind w:left="360"/>
                      </w:pPr>
                    </w:p>
                    <w:p w14:paraId="63B7484F" w14:textId="77777777" w:rsidR="002F1045" w:rsidRDefault="002F1045" w:rsidP="00487937">
                      <w:pPr>
                        <w:pStyle w:val="ListParagraph"/>
                        <w:numPr>
                          <w:ilvl w:val="0"/>
                          <w:numId w:val="34"/>
                        </w:numPr>
                        <w:tabs>
                          <w:tab w:val="clear" w:pos="9360"/>
                        </w:tabs>
                        <w:spacing w:after="200"/>
                      </w:pPr>
                      <w:r>
                        <w:t>Information will be reviewed for completion and simple descriptive statistics will be run looking at response frequencies.  Depending on the response distribution, frequencies may be cross-tabulated to identify response similarities and differences among respondents.</w:t>
                      </w:r>
                    </w:p>
                  </w:txbxContent>
                </v:textbox>
                <w10:anchorlock/>
              </v:shape>
            </w:pict>
          </mc:Fallback>
        </mc:AlternateContent>
      </w:r>
      <w:bookmarkEnd w:id="7"/>
      <w:bookmarkEnd w:id="8"/>
    </w:p>
    <w:p w14:paraId="63B7473F" w14:textId="77777777" w:rsidR="00487937" w:rsidRPr="001A42FC" w:rsidRDefault="00487937" w:rsidP="00CA5840">
      <w:pPr>
        <w:pStyle w:val="Heading3"/>
        <w:ind w:left="0"/>
        <w:rPr>
          <w:sz w:val="22"/>
        </w:rPr>
      </w:pPr>
    </w:p>
    <w:p w14:paraId="63B74740" w14:textId="77777777" w:rsidR="00CD1EA8" w:rsidRPr="00154235" w:rsidRDefault="00CD1EA8" w:rsidP="00154235">
      <w:pPr>
        <w:pStyle w:val="Heading1"/>
        <w:ind w:left="0"/>
        <w:jc w:val="both"/>
        <w:rPr>
          <w:sz w:val="24"/>
          <w:szCs w:val="24"/>
        </w:rPr>
      </w:pPr>
      <w:bookmarkStart w:id="9" w:name="_Toc416704470"/>
      <w:bookmarkStart w:id="10" w:name="_Toc416705693"/>
      <w:r w:rsidRPr="00154235">
        <w:rPr>
          <w:sz w:val="24"/>
          <w:szCs w:val="24"/>
        </w:rPr>
        <w:t>Section A</w:t>
      </w:r>
      <w:r w:rsidR="00B12F51" w:rsidRPr="00154235">
        <w:rPr>
          <w:sz w:val="24"/>
          <w:szCs w:val="24"/>
        </w:rPr>
        <w:t xml:space="preserve"> – Justification</w:t>
      </w:r>
      <w:bookmarkEnd w:id="9"/>
      <w:bookmarkEnd w:id="10"/>
    </w:p>
    <w:p w14:paraId="63B74741" w14:textId="77777777" w:rsidR="00B12F51" w:rsidRPr="001A42FC" w:rsidRDefault="00B12F51" w:rsidP="007D6163"/>
    <w:p w14:paraId="63B74742" w14:textId="77777777" w:rsidR="00CD1EA8" w:rsidRPr="00154235" w:rsidRDefault="00B12F51" w:rsidP="00154235">
      <w:pPr>
        <w:pStyle w:val="Heading2"/>
        <w:numPr>
          <w:ilvl w:val="0"/>
          <w:numId w:val="43"/>
        </w:numPr>
        <w:jc w:val="left"/>
        <w:rPr>
          <w:sz w:val="24"/>
          <w:szCs w:val="24"/>
        </w:rPr>
      </w:pPr>
      <w:bookmarkStart w:id="11" w:name="_Toc416704471"/>
      <w:bookmarkStart w:id="12" w:name="_Toc416705694"/>
      <w:r w:rsidRPr="00154235">
        <w:rPr>
          <w:sz w:val="24"/>
          <w:szCs w:val="24"/>
        </w:rPr>
        <w:t>Circumstances Making the Collection of Information Necessary</w:t>
      </w:r>
      <w:bookmarkEnd w:id="11"/>
      <w:bookmarkEnd w:id="12"/>
    </w:p>
    <w:p w14:paraId="63B74743" w14:textId="77777777" w:rsidR="00154235" w:rsidRDefault="00154235" w:rsidP="00692DEB">
      <w:pPr>
        <w:pStyle w:val="Heading5"/>
        <w:spacing w:after="120"/>
        <w:ind w:left="0"/>
      </w:pPr>
    </w:p>
    <w:p w14:paraId="63B74744" w14:textId="77777777" w:rsidR="00E33E1B" w:rsidRPr="001A42FC" w:rsidRDefault="00E33E1B" w:rsidP="00692DEB">
      <w:pPr>
        <w:pStyle w:val="Heading5"/>
        <w:spacing w:after="120"/>
        <w:ind w:left="0"/>
      </w:pPr>
      <w:r w:rsidRPr="001A42FC">
        <w:t>Background</w:t>
      </w:r>
    </w:p>
    <w:p w14:paraId="63B74745" w14:textId="59D6E379" w:rsidR="00B32786" w:rsidRPr="001A42FC" w:rsidRDefault="00B32786" w:rsidP="00B32786">
      <w:pPr>
        <w:ind w:left="0"/>
      </w:pPr>
      <w:r w:rsidRPr="001A42FC">
        <w:t xml:space="preserve">This information collection is being conducted using the Generic Information Collection mechanism of the OSTLTS OMB Clearance Center (O2C2) – OMB No. 0920-0879. The respondent universe for this information collection aligns with that of the O2C2. </w:t>
      </w:r>
      <w:r>
        <w:t>Information</w:t>
      </w:r>
      <w:r w:rsidRPr="001A42FC">
        <w:t xml:space="preserve"> will be collected from </w:t>
      </w:r>
      <w:r w:rsidR="00AE4C69">
        <w:t xml:space="preserve">85 </w:t>
      </w:r>
      <w:r w:rsidR="00D9347D">
        <w:rPr>
          <w:rFonts w:cs="Times New Roman"/>
        </w:rPr>
        <w:t xml:space="preserve">school health coordinators </w:t>
      </w:r>
      <w:r w:rsidRPr="001A42FC">
        <w:t xml:space="preserve">across </w:t>
      </w:r>
      <w:r w:rsidR="00D9347D">
        <w:t xml:space="preserve">all </w:t>
      </w:r>
      <w:r w:rsidRPr="001A42FC">
        <w:t>50 state</w:t>
      </w:r>
      <w:r w:rsidR="00D9347D">
        <w:t>s</w:t>
      </w:r>
      <w:r w:rsidR="00DD5031">
        <w:t xml:space="preserve">. Sixty four coordinators are </w:t>
      </w:r>
      <w:r w:rsidRPr="001A42FC">
        <w:rPr>
          <w:rFonts w:cs="Minion Pro"/>
          <w:color w:val="000000"/>
        </w:rPr>
        <w:t xml:space="preserve">based in state </w:t>
      </w:r>
      <w:r w:rsidR="00DD5031">
        <w:rPr>
          <w:rFonts w:cs="Minion Pro"/>
          <w:color w:val="000000"/>
        </w:rPr>
        <w:t xml:space="preserve">public </w:t>
      </w:r>
      <w:r w:rsidRPr="001A42FC">
        <w:rPr>
          <w:rFonts w:cs="Minion Pro"/>
          <w:color w:val="000000"/>
        </w:rPr>
        <w:t xml:space="preserve">health </w:t>
      </w:r>
      <w:r w:rsidR="00DD5031">
        <w:rPr>
          <w:rFonts w:cs="Minion Pro"/>
          <w:color w:val="000000"/>
        </w:rPr>
        <w:t xml:space="preserve">departments </w:t>
      </w:r>
      <w:r w:rsidRPr="001A42FC">
        <w:rPr>
          <w:rFonts w:cs="Minion Pro"/>
          <w:color w:val="000000"/>
        </w:rPr>
        <w:t xml:space="preserve">and </w:t>
      </w:r>
      <w:r w:rsidR="00DD5031">
        <w:rPr>
          <w:rFonts w:cs="Minion Pro"/>
          <w:color w:val="000000"/>
        </w:rPr>
        <w:t xml:space="preserve">21 of them are based in state departments of </w:t>
      </w:r>
      <w:r w:rsidRPr="001A42FC">
        <w:rPr>
          <w:rFonts w:cs="Minion Pro"/>
          <w:color w:val="000000"/>
        </w:rPr>
        <w:t>education.</w:t>
      </w:r>
      <w:r w:rsidR="00EE3983">
        <w:rPr>
          <w:rFonts w:cs="Minion Pro"/>
          <w:color w:val="000000"/>
        </w:rPr>
        <w:t xml:space="preserve"> </w:t>
      </w:r>
      <w:r w:rsidR="007A4DAD">
        <w:rPr>
          <w:rFonts w:cs="Minion Pro"/>
          <w:color w:val="000000"/>
        </w:rPr>
        <w:t xml:space="preserve">See Attachment </w:t>
      </w:r>
      <w:r w:rsidR="00562CE4">
        <w:rPr>
          <w:rFonts w:cs="Minion Pro"/>
          <w:color w:val="000000"/>
        </w:rPr>
        <w:t xml:space="preserve">C </w:t>
      </w:r>
      <w:r w:rsidR="007A4DAD">
        <w:rPr>
          <w:rFonts w:cs="Minion Pro"/>
          <w:color w:val="000000"/>
        </w:rPr>
        <w:t>for full list of respondent universe.</w:t>
      </w:r>
    </w:p>
    <w:p w14:paraId="63B74746" w14:textId="77777777" w:rsidR="00B32786" w:rsidRPr="001A42FC" w:rsidRDefault="00B32786" w:rsidP="00B32786"/>
    <w:p w14:paraId="63B74747" w14:textId="77777777" w:rsidR="00B32786" w:rsidRPr="001A42FC" w:rsidRDefault="00B32786" w:rsidP="00B32786">
      <w:pPr>
        <w:ind w:left="0"/>
        <w:rPr>
          <w:i/>
          <w:iCs/>
        </w:rPr>
      </w:pPr>
      <w:r w:rsidRPr="001A42FC">
        <w:t xml:space="preserve">This information collection is authorized by Section 301 of the Public Health Service Act (42 U.S.C. 241). </w:t>
      </w:r>
      <w:r w:rsidRPr="001A42FC">
        <w:rPr>
          <w:iCs/>
        </w:rPr>
        <w:t xml:space="preserve">This information collection falls under the essential public health service(s) of </w:t>
      </w:r>
    </w:p>
    <w:p w14:paraId="63B74748" w14:textId="77777777" w:rsidR="00B32786" w:rsidRPr="001A42FC" w:rsidRDefault="00B32786" w:rsidP="00B32786">
      <w:pPr>
        <w:ind w:left="0"/>
      </w:pPr>
    </w:p>
    <w:p w14:paraId="63B74749"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1. Monitoring health status to identify community health problems</w:t>
      </w:r>
    </w:p>
    <w:p w14:paraId="63B7474A"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2. Diagnosing and investigating health problems and health hazards in the community</w:t>
      </w:r>
    </w:p>
    <w:p w14:paraId="63B7474B" w14:textId="77777777" w:rsidR="00B32786" w:rsidRPr="001A42FC" w:rsidRDefault="00B32786" w:rsidP="00B32786">
      <w:pPr>
        <w:ind w:left="0"/>
      </w:pPr>
      <w:r w:rsidRPr="001A42FC">
        <w:rPr>
          <w:rFonts w:eastAsia="Times New Roman" w:cs="Shruti"/>
        </w:rPr>
        <w:fldChar w:fldCharType="begin">
          <w:ffData>
            <w:name w:val=""/>
            <w:enabled/>
            <w:calcOnExit w:val="0"/>
            <w:checkBox>
              <w:sizeAuto/>
              <w:default w:val="1"/>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3. Informing, educating, and empowering people about health issues</w:t>
      </w:r>
    </w:p>
    <w:p w14:paraId="63B7474C" w14:textId="77777777" w:rsidR="00B32786" w:rsidRPr="001A42FC" w:rsidRDefault="00B32786" w:rsidP="00B32786">
      <w:pPr>
        <w:ind w:left="0"/>
      </w:pPr>
      <w:r>
        <w:rPr>
          <w:rFonts w:eastAsia="Times New Roman" w:cs="Shruti"/>
        </w:rPr>
        <w:fldChar w:fldCharType="begin">
          <w:ffData>
            <w:name w:val=""/>
            <w:enabled/>
            <w:calcOnExit w:val="0"/>
            <w:checkBox>
              <w:sizeAuto/>
              <w:default w:val="0"/>
            </w:checkBox>
          </w:ffData>
        </w:fldChar>
      </w:r>
      <w:r>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Pr>
          <w:rFonts w:eastAsia="Times New Roman" w:cs="Shruti"/>
        </w:rPr>
        <w:fldChar w:fldCharType="end"/>
      </w:r>
      <w:r w:rsidRPr="001A42FC">
        <w:rPr>
          <w:rFonts w:eastAsia="Times New Roman" w:cs="Shruti"/>
        </w:rPr>
        <w:t xml:space="preserve"> </w:t>
      </w:r>
      <w:r w:rsidRPr="001A42FC">
        <w:t>4. Mobilizing community partnerships to identify and solve health problems</w:t>
      </w:r>
    </w:p>
    <w:p w14:paraId="63B7474D" w14:textId="77777777" w:rsidR="00B32786" w:rsidRPr="001A42FC" w:rsidRDefault="00B32786" w:rsidP="00B32786">
      <w:pPr>
        <w:ind w:left="0"/>
      </w:pPr>
      <w:r>
        <w:rPr>
          <w:rFonts w:eastAsia="Times New Roman" w:cs="Shruti"/>
        </w:rPr>
        <w:lastRenderedPageBreak/>
        <w:fldChar w:fldCharType="begin">
          <w:ffData>
            <w:name w:val=""/>
            <w:enabled/>
            <w:calcOnExit w:val="0"/>
            <w:checkBox>
              <w:sizeAuto/>
              <w:default w:val="1"/>
            </w:checkBox>
          </w:ffData>
        </w:fldChar>
      </w:r>
      <w:r>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Pr>
          <w:rFonts w:eastAsia="Times New Roman" w:cs="Shruti"/>
        </w:rPr>
        <w:fldChar w:fldCharType="end"/>
      </w:r>
      <w:r w:rsidRPr="001A42FC">
        <w:rPr>
          <w:rFonts w:eastAsia="Times New Roman" w:cs="Shruti"/>
        </w:rPr>
        <w:t xml:space="preserve"> </w:t>
      </w:r>
      <w:r w:rsidRPr="001A42FC">
        <w:t>5. Development of policies and plans that support individual and community health efforts</w:t>
      </w:r>
    </w:p>
    <w:p w14:paraId="63B7474E"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6. Enforcement of laws and regulations that protect health and ensure safety</w:t>
      </w:r>
    </w:p>
    <w:p w14:paraId="63B7474F"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 xml:space="preserve">7. Linking people to needed personal health services and assure the provision of health care </w:t>
      </w:r>
    </w:p>
    <w:p w14:paraId="63B74750" w14:textId="77777777" w:rsidR="00B32786" w:rsidRPr="001A42FC" w:rsidRDefault="00B32786" w:rsidP="00B32786">
      <w:pPr>
        <w:ind w:left="0"/>
      </w:pPr>
      <w:r w:rsidRPr="001A42FC">
        <w:t xml:space="preserve">            when otherwise unavailable</w:t>
      </w:r>
    </w:p>
    <w:p w14:paraId="63B74751"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8. Assuring a competent public health and personal health care workforce</w:t>
      </w:r>
    </w:p>
    <w:p w14:paraId="63B74752" w14:textId="77777777" w:rsidR="00B32786" w:rsidRPr="001A42FC" w:rsidRDefault="00B32786" w:rsidP="00B32786">
      <w:pPr>
        <w:ind w:left="0"/>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 xml:space="preserve">9. Evaluating effectiveness, accessibility, and quality of personal and population-based health  </w:t>
      </w:r>
    </w:p>
    <w:p w14:paraId="63B74753" w14:textId="77777777" w:rsidR="00B32786" w:rsidRPr="001A42FC" w:rsidRDefault="00B32786" w:rsidP="00B32786">
      <w:pPr>
        <w:ind w:left="0"/>
      </w:pPr>
      <w:r w:rsidRPr="001A42FC">
        <w:t xml:space="preserve">            services</w:t>
      </w:r>
    </w:p>
    <w:p w14:paraId="63B74754" w14:textId="77777777" w:rsidR="00B32786" w:rsidRPr="001A42FC" w:rsidRDefault="00B32786" w:rsidP="00B32786">
      <w:pPr>
        <w:ind w:left="0"/>
        <w:rPr>
          <w:iCs/>
          <w:vertAlign w:val="superscript"/>
        </w:rPr>
      </w:pPr>
      <w:r w:rsidRPr="001A42FC">
        <w:rPr>
          <w:rFonts w:eastAsia="Times New Roman" w:cs="Shruti"/>
        </w:rPr>
        <w:fldChar w:fldCharType="begin">
          <w:ffData>
            <w:name w:val="Check25"/>
            <w:enabled/>
            <w:calcOnExit w:val="0"/>
            <w:checkBox>
              <w:sizeAuto/>
              <w:default w:val="0"/>
            </w:checkBox>
          </w:ffData>
        </w:fldChar>
      </w:r>
      <w:r w:rsidRPr="001A42FC">
        <w:rPr>
          <w:rFonts w:eastAsia="Times New Roman" w:cs="Shruti"/>
        </w:rPr>
        <w:instrText xml:space="preserve"> FORMCHECKBOX </w:instrText>
      </w:r>
      <w:r w:rsidR="006B1BDF">
        <w:rPr>
          <w:rFonts w:eastAsia="Times New Roman" w:cs="Shruti"/>
        </w:rPr>
      </w:r>
      <w:r w:rsidR="006B1BDF">
        <w:rPr>
          <w:rFonts w:eastAsia="Times New Roman" w:cs="Shruti"/>
        </w:rPr>
        <w:fldChar w:fldCharType="separate"/>
      </w:r>
      <w:r w:rsidRPr="001A42FC">
        <w:rPr>
          <w:rFonts w:eastAsia="Times New Roman" w:cs="Shruti"/>
        </w:rPr>
        <w:fldChar w:fldCharType="end"/>
      </w:r>
      <w:r w:rsidRPr="001A42FC">
        <w:rPr>
          <w:rFonts w:eastAsia="Times New Roman" w:cs="Shruti"/>
        </w:rPr>
        <w:t xml:space="preserve"> </w:t>
      </w:r>
      <w:r w:rsidRPr="001A42FC">
        <w:t>10. Research for new insights and innovative solutions to health problems</w:t>
      </w:r>
      <w:r w:rsidRPr="001A42FC">
        <w:rPr>
          <w:iCs/>
          <w:vertAlign w:val="superscript"/>
        </w:rPr>
        <w:t xml:space="preserve"> 1</w:t>
      </w:r>
    </w:p>
    <w:p w14:paraId="63B74755" w14:textId="77777777" w:rsidR="00B32786" w:rsidRDefault="00B32786" w:rsidP="0088497A">
      <w:pPr>
        <w:ind w:left="0"/>
        <w:rPr>
          <w:rFonts w:cs="Times New Roman"/>
          <w:b/>
        </w:rPr>
      </w:pPr>
    </w:p>
    <w:p w14:paraId="63B74756" w14:textId="77777777" w:rsidR="00B2126B" w:rsidRDefault="008E2E3E" w:rsidP="0088497A">
      <w:pPr>
        <w:ind w:left="0"/>
        <w:rPr>
          <w:rFonts w:cs="Times New Roman"/>
        </w:rPr>
      </w:pPr>
      <w:r w:rsidRPr="008E2E3E">
        <w:rPr>
          <w:rFonts w:cs="Times New Roman"/>
        </w:rPr>
        <w:t>Establishing healthy behaviors during childhood is easier and more effective than trying to change unhealthy behaviors during adulthood. Schools play a critical role in promoting the health and safety of young people and helping them establish lifelong healthy behavior patterns.</w:t>
      </w:r>
      <w:r>
        <w:rPr>
          <w:rFonts w:cs="Times New Roman"/>
        </w:rPr>
        <w:t xml:space="preserve"> </w:t>
      </w:r>
      <w:r w:rsidR="00B2126B" w:rsidRPr="001A42FC">
        <w:rPr>
          <w:rFonts w:cs="Times New Roman"/>
        </w:rPr>
        <w:t xml:space="preserve">The School Health Branch (SHB) in CDC’s Division of Population Health, National Center for Chronic Disease Prevention and Health Promotion, </w:t>
      </w:r>
      <w:r w:rsidR="009527AB">
        <w:rPr>
          <w:rFonts w:cs="Times New Roman"/>
        </w:rPr>
        <w:t>was</w:t>
      </w:r>
      <w:r w:rsidR="00B2126B" w:rsidRPr="001A42FC">
        <w:rPr>
          <w:rFonts w:cs="Times New Roman"/>
        </w:rPr>
        <w:t xml:space="preserve"> establish</w:t>
      </w:r>
      <w:r w:rsidR="009527AB">
        <w:rPr>
          <w:rFonts w:cs="Times New Roman"/>
        </w:rPr>
        <w:t>ed to encourage</w:t>
      </w:r>
      <w:r w:rsidR="00B2126B" w:rsidRPr="001A42FC">
        <w:rPr>
          <w:rFonts w:cs="Times New Roman"/>
        </w:rPr>
        <w:t xml:space="preserve"> healthy behaviors during childhood and adolescence. The SHB </w:t>
      </w:r>
      <w:r w:rsidR="006A1D6A">
        <w:rPr>
          <w:rFonts w:cs="Times New Roman"/>
        </w:rPr>
        <w:t>focuses on</w:t>
      </w:r>
      <w:r w:rsidR="006A1D6A" w:rsidRPr="001A42FC">
        <w:rPr>
          <w:rFonts w:cs="Times New Roman"/>
        </w:rPr>
        <w:t xml:space="preserve"> </w:t>
      </w:r>
      <w:r w:rsidR="00B2126B" w:rsidRPr="001A42FC">
        <w:rPr>
          <w:rFonts w:cs="Times New Roman"/>
        </w:rPr>
        <w:t xml:space="preserve">healthy eating, physical activity, and </w:t>
      </w:r>
      <w:r w:rsidR="006A1D6A">
        <w:rPr>
          <w:rFonts w:cs="Times New Roman"/>
        </w:rPr>
        <w:t>the management of chronic conditions in school settings.</w:t>
      </w:r>
      <w:r>
        <w:rPr>
          <w:rFonts w:cs="Times New Roman"/>
          <w:vertAlign w:val="superscript"/>
        </w:rPr>
        <w:t>2</w:t>
      </w:r>
      <w:r w:rsidR="006A1D6A">
        <w:rPr>
          <w:rFonts w:cs="Times New Roman"/>
        </w:rPr>
        <w:t xml:space="preserve"> </w:t>
      </w:r>
      <w:r w:rsidR="00B2126B" w:rsidRPr="001A42FC">
        <w:rPr>
          <w:rFonts w:cs="Times New Roman"/>
        </w:rPr>
        <w:t xml:space="preserve">The main strategies for these initiatives are (1) provide funding to state </w:t>
      </w:r>
      <w:r w:rsidR="006A1D6A">
        <w:rPr>
          <w:rFonts w:cs="Times New Roman"/>
        </w:rPr>
        <w:t>health and education agencies</w:t>
      </w:r>
      <w:r w:rsidR="00B2126B" w:rsidRPr="001A42FC">
        <w:rPr>
          <w:rFonts w:cs="Times New Roman"/>
        </w:rPr>
        <w:t xml:space="preserve"> for chronic disease prevention</w:t>
      </w:r>
      <w:r w:rsidR="006A1D6A">
        <w:rPr>
          <w:rFonts w:cs="Times New Roman"/>
        </w:rPr>
        <w:t xml:space="preserve"> and management</w:t>
      </w:r>
      <w:r w:rsidR="00B2126B" w:rsidRPr="001A42FC">
        <w:rPr>
          <w:rFonts w:cs="Times New Roman"/>
        </w:rPr>
        <w:t xml:space="preserve"> in schools; (2) evaluate</w:t>
      </w:r>
      <w:r w:rsidR="000D315D">
        <w:rPr>
          <w:rFonts w:cs="Times New Roman"/>
        </w:rPr>
        <w:t xml:space="preserve"> </w:t>
      </w:r>
      <w:r w:rsidR="00B2126B" w:rsidRPr="001A42FC">
        <w:rPr>
          <w:rFonts w:cs="Times New Roman"/>
        </w:rPr>
        <w:t xml:space="preserve">new and emerging strategies for chronic disease prevention </w:t>
      </w:r>
      <w:r w:rsidR="006A1D6A">
        <w:rPr>
          <w:rFonts w:cs="Times New Roman"/>
        </w:rPr>
        <w:t xml:space="preserve">and management </w:t>
      </w:r>
      <w:r w:rsidR="00B2126B" w:rsidRPr="001A42FC">
        <w:rPr>
          <w:rFonts w:cs="Times New Roman"/>
        </w:rPr>
        <w:t>in schools; (3) establish science-based guidance, tools, and resources for schools to implement policy and environmental change strategies; and (4) dis</w:t>
      </w:r>
      <w:r w:rsidR="00E17392">
        <w:rPr>
          <w:rFonts w:cs="Times New Roman"/>
        </w:rPr>
        <w:t xml:space="preserve">seminate </w:t>
      </w:r>
      <w:r w:rsidR="00B2126B" w:rsidRPr="001A42FC">
        <w:rPr>
          <w:rFonts w:cs="Times New Roman"/>
        </w:rPr>
        <w:t>guidance, tools, and resources.</w:t>
      </w:r>
    </w:p>
    <w:p w14:paraId="63B74757" w14:textId="77777777" w:rsidR="000D22F9" w:rsidRDefault="000D22F9" w:rsidP="0088497A">
      <w:pPr>
        <w:ind w:left="0"/>
      </w:pPr>
    </w:p>
    <w:p w14:paraId="63B74758" w14:textId="77777777" w:rsidR="00437C29" w:rsidRDefault="000D22F9" w:rsidP="0088497A">
      <w:pPr>
        <w:ind w:left="0"/>
      </w:pPr>
      <w:r>
        <w:t xml:space="preserve">As part of </w:t>
      </w:r>
      <w:r w:rsidRPr="000D22F9">
        <w:t>CDC</w:t>
      </w:r>
      <w:r>
        <w:t>’s</w:t>
      </w:r>
      <w:r w:rsidRPr="000D22F9">
        <w:t xml:space="preserve"> efforts nationwide to reduce the risk factors associated with childhood and adult obesity, diab</w:t>
      </w:r>
      <w:r>
        <w:t>etes, heart disease, and stroke,</w:t>
      </w:r>
      <w:r w:rsidRPr="000D22F9">
        <w:t xml:space="preserve"> </w:t>
      </w:r>
      <w:r>
        <w:t>a</w:t>
      </w:r>
      <w:r w:rsidRPr="000D22F9">
        <w:t>ll 50 states and the District of Columbia receive funds to help prevent these chronic diseases</w:t>
      </w:r>
      <w:r>
        <w:t xml:space="preserve"> through a federal grant called </w:t>
      </w:r>
      <w:r w:rsidR="002A0DC8">
        <w:t>“</w:t>
      </w:r>
      <w:r w:rsidR="00A763BB" w:rsidRPr="00DF5E3A">
        <w:t>State Public Health Actions to Prevent and Control Diabetes, Heart Disease, Obesity and Associated Risk Factors and Promote School Health/1305</w:t>
      </w:r>
      <w:r w:rsidR="002A0DC8">
        <w:t>”</w:t>
      </w:r>
      <w:r w:rsidR="00A763BB" w:rsidRPr="00DF5E3A">
        <w:t xml:space="preserve"> (“1305/State Public Health Actions”)</w:t>
      </w:r>
      <w:r>
        <w:t>.</w:t>
      </w:r>
      <w:r>
        <w:rPr>
          <w:vertAlign w:val="superscript"/>
        </w:rPr>
        <w:t>3</w:t>
      </w:r>
      <w:r w:rsidR="00A763BB" w:rsidRPr="00DF5E3A">
        <w:t xml:space="preserve"> </w:t>
      </w:r>
      <w:r>
        <w:t>S</w:t>
      </w:r>
      <w:r w:rsidR="002C40D8">
        <w:t>chool health coordinators</w:t>
      </w:r>
      <w:r w:rsidR="00A763BB">
        <w:t xml:space="preserve"> are funded by the CDC </w:t>
      </w:r>
      <w:r>
        <w:t xml:space="preserve">through this grant </w:t>
      </w:r>
      <w:r w:rsidR="00A763BB">
        <w:t xml:space="preserve">to </w:t>
      </w:r>
      <w:r w:rsidR="00A763BB" w:rsidRPr="00DF5E3A">
        <w:t>implement strategies to sup</w:t>
      </w:r>
      <w:r w:rsidR="00A763BB">
        <w:t xml:space="preserve">port healthier school </w:t>
      </w:r>
      <w:r w:rsidR="00A763BB" w:rsidRPr="00DF5E3A">
        <w:t>environments</w:t>
      </w:r>
      <w:r w:rsidR="002C40D8">
        <w:t xml:space="preserve"> and are </w:t>
      </w:r>
      <w:r w:rsidR="00437C29">
        <w:t>based in state health and education departments. They are responsible for implementing strategies to support physical activity, nutrition, and coordinated management of chronic</w:t>
      </w:r>
      <w:r w:rsidR="002C40D8">
        <w:t xml:space="preserve"> conditions in school settings. </w:t>
      </w:r>
    </w:p>
    <w:p w14:paraId="63B74759" w14:textId="77777777" w:rsidR="00437C29" w:rsidRDefault="00437C29" w:rsidP="0088497A">
      <w:pPr>
        <w:ind w:left="0"/>
      </w:pPr>
    </w:p>
    <w:p w14:paraId="63B7475A" w14:textId="77777777" w:rsidR="00B2126B" w:rsidRPr="001A42FC" w:rsidRDefault="008B130F" w:rsidP="0088497A">
      <w:pPr>
        <w:ind w:left="0"/>
        <w:rPr>
          <w:rFonts w:cs="Times New Roman"/>
        </w:rPr>
      </w:pPr>
      <w:r>
        <w:rPr>
          <w:rFonts w:cs="Times New Roman"/>
        </w:rPr>
        <w:t>To support the work of school health coordinators working in state health and education departments, i</w:t>
      </w:r>
      <w:r w:rsidR="00B2126B" w:rsidRPr="001A42FC">
        <w:rPr>
          <w:rFonts w:cs="Times New Roman"/>
        </w:rPr>
        <w:t xml:space="preserve">n 2014, the SHB released the </w:t>
      </w:r>
      <w:r w:rsidR="00B2126B" w:rsidRPr="00691441">
        <w:rPr>
          <w:rFonts w:cs="Times New Roman"/>
          <w:i/>
        </w:rPr>
        <w:t>Health and Academic Achievement</w:t>
      </w:r>
      <w:r w:rsidR="00B2126B" w:rsidRPr="001A42FC">
        <w:rPr>
          <w:rFonts w:cs="Times New Roman"/>
        </w:rPr>
        <w:t xml:space="preserve"> document</w:t>
      </w:r>
      <w:r w:rsidR="00691441">
        <w:rPr>
          <w:rFonts w:cs="Times New Roman"/>
          <w:vertAlign w:val="superscript"/>
        </w:rPr>
        <w:t>4</w:t>
      </w:r>
      <w:r w:rsidR="00B2126B" w:rsidRPr="001A42FC">
        <w:rPr>
          <w:rFonts w:cs="Times New Roman"/>
        </w:rPr>
        <w:t xml:space="preserve"> and PowerPoint</w:t>
      </w:r>
      <w:r>
        <w:rPr>
          <w:rFonts w:cs="Times New Roman"/>
        </w:rPr>
        <w:t xml:space="preserve"> (PPT)</w:t>
      </w:r>
      <w:r w:rsidR="00B2126B" w:rsidRPr="001A42FC">
        <w:rPr>
          <w:rFonts w:cs="Times New Roman"/>
        </w:rPr>
        <w:t xml:space="preserve"> presentation</w:t>
      </w:r>
      <w:r w:rsidR="00691441">
        <w:rPr>
          <w:rFonts w:cs="Times New Roman"/>
        </w:rPr>
        <w:t>.</w:t>
      </w:r>
      <w:r w:rsidR="00691441">
        <w:rPr>
          <w:rFonts w:cs="Times New Roman"/>
          <w:vertAlign w:val="superscript"/>
        </w:rPr>
        <w:t>5</w:t>
      </w:r>
      <w:r w:rsidR="00B2126B" w:rsidRPr="001A42FC">
        <w:rPr>
          <w:rFonts w:cs="Times New Roman"/>
        </w:rPr>
        <w:t xml:space="preserve"> </w:t>
      </w:r>
      <w:r>
        <w:rPr>
          <w:rFonts w:cs="Times New Roman"/>
        </w:rPr>
        <w:t xml:space="preserve">State-level school health coordinators can use these resources to promote the relationship between health and academics and provide justification for school health policies, practices, and programs. </w:t>
      </w:r>
      <w:r w:rsidR="006A1D6A">
        <w:rPr>
          <w:rFonts w:cs="Times New Roman"/>
        </w:rPr>
        <w:t xml:space="preserve">The document and corresponding PPT slide deck reflect a synthesis and translation of the science on the relationship between healthy eating, physical activity, and academic achievement. </w:t>
      </w:r>
    </w:p>
    <w:p w14:paraId="63B7475B" w14:textId="77777777" w:rsidR="00B2126B" w:rsidRPr="001A42FC" w:rsidRDefault="00B2126B" w:rsidP="0088497A">
      <w:pPr>
        <w:ind w:left="0"/>
        <w:rPr>
          <w:rFonts w:cs="Times New Roman"/>
          <w:color w:val="221E1F"/>
        </w:rPr>
      </w:pPr>
    </w:p>
    <w:p w14:paraId="63B7475C" w14:textId="77777777" w:rsidR="00B2126B" w:rsidRPr="001A42FC" w:rsidRDefault="00014A23" w:rsidP="0088497A">
      <w:pPr>
        <w:ind w:left="0"/>
        <w:rPr>
          <w:rFonts w:cs="Times New Roman"/>
          <w:color w:val="221E1F"/>
        </w:rPr>
      </w:pPr>
      <w:r>
        <w:rPr>
          <w:rFonts w:cs="Times New Roman"/>
          <w:color w:val="221E1F"/>
        </w:rPr>
        <w:t>Another key resource</w:t>
      </w:r>
      <w:r w:rsidR="00E5743F">
        <w:rPr>
          <w:rFonts w:cs="Times New Roman"/>
          <w:color w:val="221E1F"/>
        </w:rPr>
        <w:t xml:space="preserve"> released i</w:t>
      </w:r>
      <w:r w:rsidR="00B2126B" w:rsidRPr="001A42FC">
        <w:rPr>
          <w:rFonts w:cs="Times New Roman"/>
          <w:color w:val="221E1F"/>
        </w:rPr>
        <w:t xml:space="preserve">n August 2014, </w:t>
      </w:r>
      <w:r>
        <w:rPr>
          <w:rFonts w:cs="Times New Roman"/>
          <w:color w:val="221E1F"/>
        </w:rPr>
        <w:t xml:space="preserve">was </w:t>
      </w:r>
      <w:r w:rsidR="00B2126B" w:rsidRPr="001A42FC">
        <w:rPr>
          <w:rFonts w:cs="Times New Roman"/>
          <w:color w:val="221E1F"/>
        </w:rPr>
        <w:t xml:space="preserve">the </w:t>
      </w:r>
      <w:r w:rsidR="00B2126B" w:rsidRPr="001A42FC">
        <w:rPr>
          <w:rFonts w:cs="Times New Roman"/>
          <w:i/>
          <w:color w:val="221E1F"/>
        </w:rPr>
        <w:t>School Health Index (SHI)</w:t>
      </w:r>
      <w:r w:rsidR="00691441">
        <w:rPr>
          <w:rFonts w:cs="Times New Roman"/>
          <w:i/>
          <w:color w:val="221E1F"/>
        </w:rPr>
        <w:t>.</w:t>
      </w:r>
      <w:r w:rsidR="00691441">
        <w:rPr>
          <w:rFonts w:cs="Times New Roman"/>
          <w:i/>
          <w:color w:val="221E1F"/>
          <w:vertAlign w:val="superscript"/>
        </w:rPr>
        <w:t>6</w:t>
      </w:r>
      <w:r w:rsidR="00E17392">
        <w:rPr>
          <w:rFonts w:cs="Times New Roman"/>
          <w:i/>
          <w:color w:val="221E1F"/>
        </w:rPr>
        <w:t xml:space="preserve"> </w:t>
      </w:r>
      <w:r>
        <w:rPr>
          <w:rFonts w:cs="Times New Roman"/>
          <w:color w:val="221E1F"/>
        </w:rPr>
        <w:t xml:space="preserve">The </w:t>
      </w:r>
      <w:r>
        <w:rPr>
          <w:rFonts w:cs="Times New Roman"/>
          <w:i/>
          <w:color w:val="221E1F"/>
        </w:rPr>
        <w:t xml:space="preserve">SHI </w:t>
      </w:r>
      <w:r>
        <w:rPr>
          <w:rFonts w:cs="Times New Roman"/>
          <w:color w:val="221E1F"/>
        </w:rPr>
        <w:t xml:space="preserve">is the most comprehensive assessment tool for schools to examine their school health policies, practices, and programs. State-level school health coordinators working on the 1305/State Public Health </w:t>
      </w:r>
      <w:r>
        <w:rPr>
          <w:rFonts w:cs="Times New Roman"/>
          <w:color w:val="221E1F"/>
        </w:rPr>
        <w:lastRenderedPageBreak/>
        <w:t xml:space="preserve">Actions programs use the </w:t>
      </w:r>
      <w:r>
        <w:rPr>
          <w:rFonts w:cs="Times New Roman"/>
          <w:i/>
          <w:color w:val="221E1F"/>
        </w:rPr>
        <w:t xml:space="preserve">SHI </w:t>
      </w:r>
      <w:r>
        <w:rPr>
          <w:rFonts w:cs="Times New Roman"/>
          <w:color w:val="221E1F"/>
        </w:rPr>
        <w:t xml:space="preserve"> with school districts and schools to help identify where strong policies and practices exist and where changes are needed.  While the </w:t>
      </w:r>
      <w:r>
        <w:rPr>
          <w:rFonts w:cs="Times New Roman"/>
          <w:i/>
          <w:color w:val="221E1F"/>
        </w:rPr>
        <w:t xml:space="preserve">SHI </w:t>
      </w:r>
      <w:r>
        <w:rPr>
          <w:rFonts w:cs="Times New Roman"/>
          <w:color w:val="221E1F"/>
        </w:rPr>
        <w:t xml:space="preserve">has been in existence since 2000, major revisions were completed for the new release in 2014. </w:t>
      </w:r>
      <w:r w:rsidR="00B2126B" w:rsidRPr="00014A23">
        <w:rPr>
          <w:rFonts w:cs="Times New Roman"/>
          <w:color w:val="221E1F"/>
        </w:rPr>
        <w:t>The</w:t>
      </w:r>
      <w:r w:rsidR="00B2126B" w:rsidRPr="001A42FC">
        <w:rPr>
          <w:rFonts w:cs="Times New Roman"/>
          <w:color w:val="221E1F"/>
        </w:rPr>
        <w:t xml:space="preserve"> revisions to the </w:t>
      </w:r>
      <w:r w:rsidR="00B2126B" w:rsidRPr="001A42FC">
        <w:rPr>
          <w:rFonts w:cs="Times New Roman"/>
          <w:i/>
          <w:color w:val="221E1F"/>
        </w:rPr>
        <w:t>SHI</w:t>
      </w:r>
      <w:r w:rsidR="00B2126B" w:rsidRPr="001A42FC">
        <w:rPr>
          <w:rFonts w:cs="Times New Roman"/>
          <w:color w:val="221E1F"/>
        </w:rPr>
        <w:t xml:space="preserve"> reflect changes in national/federal policy requirements as well as national programs and initiatives that were launched since the last edition of </w:t>
      </w:r>
      <w:r w:rsidR="00B2126B" w:rsidRPr="001A42FC">
        <w:rPr>
          <w:rFonts w:cs="Times New Roman"/>
          <w:i/>
          <w:color w:val="221E1F"/>
        </w:rPr>
        <w:t>SHI</w:t>
      </w:r>
      <w:r w:rsidR="00B2126B" w:rsidRPr="001A42FC">
        <w:rPr>
          <w:rFonts w:cs="Times New Roman"/>
          <w:color w:val="221E1F"/>
        </w:rPr>
        <w:t>.</w:t>
      </w:r>
      <w:r>
        <w:rPr>
          <w:rFonts w:cs="Times New Roman"/>
          <w:color w:val="221E1F"/>
        </w:rPr>
        <w:t xml:space="preserve"> These revisions were critical, as they align with work that the state level school health coordinators are conducting with districts and schools. </w:t>
      </w:r>
      <w:r w:rsidR="00B2126B" w:rsidRPr="001A42FC">
        <w:rPr>
          <w:rFonts w:cs="Times New Roman"/>
          <w:color w:val="221E1F"/>
        </w:rPr>
        <w:t xml:space="preserve"> </w:t>
      </w:r>
    </w:p>
    <w:p w14:paraId="63B7475D" w14:textId="77777777" w:rsidR="00B2126B" w:rsidRPr="001A42FC" w:rsidRDefault="00B2126B" w:rsidP="0088497A">
      <w:pPr>
        <w:ind w:left="0"/>
        <w:rPr>
          <w:rFonts w:cs="Times New Roman"/>
          <w:color w:val="221E1F"/>
        </w:rPr>
      </w:pPr>
    </w:p>
    <w:p w14:paraId="63B7475E" w14:textId="77777777" w:rsidR="00B2126B" w:rsidRDefault="00CD5617" w:rsidP="0088497A">
      <w:pPr>
        <w:ind w:left="0"/>
        <w:rPr>
          <w:rFonts w:cs="Times New Roman"/>
        </w:rPr>
      </w:pPr>
      <w:r>
        <w:rPr>
          <w:rFonts w:cs="Times New Roman"/>
        </w:rPr>
        <w:t>After releasing the Health and Academic A</w:t>
      </w:r>
      <w:r w:rsidR="00B2126B" w:rsidRPr="001A42FC">
        <w:rPr>
          <w:rFonts w:cs="Times New Roman"/>
        </w:rPr>
        <w:t xml:space="preserve">chievement materials and the </w:t>
      </w:r>
      <w:r w:rsidR="00B2126B" w:rsidRPr="001A42FC">
        <w:rPr>
          <w:rFonts w:cs="Times New Roman"/>
          <w:i/>
        </w:rPr>
        <w:t>SHI</w:t>
      </w:r>
      <w:r w:rsidR="00B2126B" w:rsidRPr="001A42FC">
        <w:rPr>
          <w:rFonts w:cs="Times New Roman"/>
        </w:rPr>
        <w:t xml:space="preserve">, the SHB began disseminating and promoting the </w:t>
      </w:r>
      <w:r w:rsidR="002F1045">
        <w:rPr>
          <w:rFonts w:cs="Times New Roman"/>
        </w:rPr>
        <w:t>resources</w:t>
      </w:r>
      <w:r w:rsidR="002F1045" w:rsidRPr="001A42FC">
        <w:rPr>
          <w:rFonts w:cs="Times New Roman"/>
        </w:rPr>
        <w:t xml:space="preserve"> </w:t>
      </w:r>
      <w:r w:rsidR="00B2126B" w:rsidRPr="001A42FC">
        <w:rPr>
          <w:rFonts w:cs="Times New Roman"/>
        </w:rPr>
        <w:t xml:space="preserve">to </w:t>
      </w:r>
      <w:r w:rsidR="002C40D8">
        <w:rPr>
          <w:rFonts w:cs="Times New Roman"/>
        </w:rPr>
        <w:t xml:space="preserve">school health coordinators </w:t>
      </w:r>
      <w:r w:rsidR="00B2126B" w:rsidRPr="001A42FC">
        <w:rPr>
          <w:rFonts w:cs="Times New Roman"/>
        </w:rPr>
        <w:t>and other target audience members</w:t>
      </w:r>
      <w:r w:rsidR="00B27FEC">
        <w:rPr>
          <w:rFonts w:cs="Times New Roman"/>
        </w:rPr>
        <w:t>.</w:t>
      </w:r>
      <w:r w:rsidR="00B2126B" w:rsidRPr="001A42FC">
        <w:rPr>
          <w:rFonts w:cs="Times New Roman"/>
        </w:rPr>
        <w:t xml:space="preserve"> </w:t>
      </w:r>
    </w:p>
    <w:p w14:paraId="63B7475F" w14:textId="77777777" w:rsidR="00E40706" w:rsidRPr="001A42FC" w:rsidRDefault="00E40706" w:rsidP="0088497A">
      <w:pPr>
        <w:ind w:left="0"/>
        <w:rPr>
          <w:rFonts w:cs="Times New Roman"/>
        </w:rPr>
      </w:pPr>
    </w:p>
    <w:p w14:paraId="63B74760" w14:textId="77777777" w:rsidR="00F42A26" w:rsidRPr="001A42FC" w:rsidRDefault="00F42A26" w:rsidP="00F42A26">
      <w:pPr>
        <w:pStyle w:val="ListParagraph"/>
        <w:ind w:left="0"/>
      </w:pPr>
      <w:r w:rsidRPr="001A42FC">
        <w:t xml:space="preserve">The purpose of this information collection is to </w:t>
      </w:r>
      <w:r w:rsidR="00D41303">
        <w:t>conduct a</w:t>
      </w:r>
      <w:r w:rsidR="00D478ED">
        <w:t>n</w:t>
      </w:r>
      <w:r w:rsidR="00D41303">
        <w:t xml:space="preserve"> assessment of </w:t>
      </w:r>
      <w:r w:rsidRPr="001A42FC">
        <w:t xml:space="preserve">the level of awareness, satisfaction, and current or intended use of two resources from the School Health Branch: the </w:t>
      </w:r>
      <w:r w:rsidR="00E17392" w:rsidRPr="001A42FC">
        <w:rPr>
          <w:rFonts w:cs="Times New Roman"/>
          <w:i/>
        </w:rPr>
        <w:t>SHI</w:t>
      </w:r>
      <w:r w:rsidR="00E17392" w:rsidRPr="001A42FC">
        <w:t xml:space="preserve"> </w:t>
      </w:r>
      <w:r w:rsidRPr="001A42FC">
        <w:t>and the Health and Academic Achievement document and PowerPoint slides</w:t>
      </w:r>
      <w:r w:rsidR="00D41303">
        <w:t>.</w:t>
      </w:r>
      <w:r w:rsidR="002C40D8">
        <w:t xml:space="preserve"> This assessment will help CDC-SHB </w:t>
      </w:r>
      <w:r w:rsidR="002C40D8" w:rsidRPr="001A42FC">
        <w:rPr>
          <w:rFonts w:cs="Times New Roman"/>
        </w:rPr>
        <w:t xml:space="preserve">increase their efficiency and effectiveness in developing and disseminating </w:t>
      </w:r>
      <w:r w:rsidR="00993856">
        <w:t>the SHI and the Health and Academic Achievement material, in addition to any future resources,</w:t>
      </w:r>
      <w:r w:rsidR="00993856" w:rsidRPr="001A42FC" w:rsidDel="00993856">
        <w:rPr>
          <w:rFonts w:cs="Times New Roman"/>
        </w:rPr>
        <w:t xml:space="preserve"> </w:t>
      </w:r>
      <w:r w:rsidR="002C40D8" w:rsidRPr="001A42FC">
        <w:rPr>
          <w:rFonts w:cs="Times New Roman"/>
        </w:rPr>
        <w:t>to improve public health in school settings in the future</w:t>
      </w:r>
      <w:r w:rsidR="002C40D8">
        <w:rPr>
          <w:rFonts w:cs="Times New Roman"/>
        </w:rPr>
        <w:t>.</w:t>
      </w:r>
    </w:p>
    <w:p w14:paraId="63B74761" w14:textId="77777777" w:rsidR="00F42A26" w:rsidRPr="001A42FC" w:rsidRDefault="00F42A26" w:rsidP="00F42A26">
      <w:pPr>
        <w:ind w:left="0"/>
      </w:pPr>
    </w:p>
    <w:p w14:paraId="63B74762" w14:textId="77777777" w:rsidR="00692DEB" w:rsidRPr="001A42FC" w:rsidRDefault="006102DA" w:rsidP="00692DEB">
      <w:pPr>
        <w:pStyle w:val="Heading5"/>
        <w:spacing w:after="120"/>
        <w:ind w:left="0"/>
      </w:pPr>
      <w:r w:rsidRPr="001A42FC">
        <w:t xml:space="preserve">Overview of the </w:t>
      </w:r>
      <w:r w:rsidR="007F5776" w:rsidRPr="001A42FC">
        <w:t>Information C</w:t>
      </w:r>
      <w:r w:rsidR="00157413" w:rsidRPr="001A42FC">
        <w:t>ollection</w:t>
      </w:r>
      <w:r w:rsidRPr="001A42FC">
        <w:t xml:space="preserve"> System</w:t>
      </w:r>
      <w:r w:rsidR="00151567" w:rsidRPr="001A42FC">
        <w:t xml:space="preserve"> </w:t>
      </w:r>
    </w:p>
    <w:p w14:paraId="63B74763" w14:textId="77777777" w:rsidR="00692DEB" w:rsidRPr="001A42FC" w:rsidRDefault="005D5B91" w:rsidP="00692DEB">
      <w:pPr>
        <w:ind w:left="0"/>
      </w:pPr>
      <w:r>
        <w:t>Information</w:t>
      </w:r>
      <w:r w:rsidR="00692DEB" w:rsidRPr="001A42FC">
        <w:t xml:space="preserve"> will be collected via a web-based questionnaire allowing respondents to complete and submit their responses electronically (</w:t>
      </w:r>
      <w:r w:rsidR="00E647FB" w:rsidRPr="001A42FC">
        <w:rPr>
          <w:b/>
        </w:rPr>
        <w:t xml:space="preserve">see Attachment </w:t>
      </w:r>
      <w:r w:rsidR="00A763BB">
        <w:rPr>
          <w:b/>
        </w:rPr>
        <w:t>A</w:t>
      </w:r>
      <w:r w:rsidR="00E647FB" w:rsidRPr="001A42FC">
        <w:rPr>
          <w:b/>
        </w:rPr>
        <w:t>—</w:t>
      </w:r>
      <w:r w:rsidR="00692DEB" w:rsidRPr="001A42FC">
        <w:rPr>
          <w:b/>
        </w:rPr>
        <w:t xml:space="preserve">Instrument: Word version </w:t>
      </w:r>
      <w:r w:rsidR="00692DEB" w:rsidRPr="001A42FC">
        <w:t xml:space="preserve">and </w:t>
      </w:r>
      <w:r w:rsidR="00E647FB" w:rsidRPr="001A42FC">
        <w:rPr>
          <w:b/>
        </w:rPr>
        <w:t xml:space="preserve">Attachment </w:t>
      </w:r>
      <w:r w:rsidR="00A763BB">
        <w:rPr>
          <w:b/>
        </w:rPr>
        <w:t>B</w:t>
      </w:r>
      <w:r w:rsidR="00E647FB" w:rsidRPr="001A42FC">
        <w:rPr>
          <w:b/>
        </w:rPr>
        <w:t>—</w:t>
      </w:r>
      <w:r w:rsidR="00692DEB" w:rsidRPr="001A42FC">
        <w:rPr>
          <w:b/>
        </w:rPr>
        <w:t>Instrument: Web version</w:t>
      </w:r>
      <w:r w:rsidR="00692DEB" w:rsidRPr="001A42FC">
        <w:t>). The online instrument will be used to gather information from</w:t>
      </w:r>
      <w:r w:rsidR="002C40D8">
        <w:t xml:space="preserve"> school health coordinators regarding awareness,</w:t>
      </w:r>
      <w:r w:rsidR="00692DEB" w:rsidRPr="001A42FC">
        <w:t xml:space="preserve"> </w:t>
      </w:r>
      <w:r w:rsidR="00D710FF" w:rsidRPr="001A42FC">
        <w:t>satisfaction, and current or intended use of</w:t>
      </w:r>
      <w:r w:rsidR="00A24EE4">
        <w:t xml:space="preserve"> the two previously mentioned SHB resources</w:t>
      </w:r>
      <w:r w:rsidR="00692DEB" w:rsidRPr="001A42FC">
        <w:t xml:space="preserve">. This method was chosen to reduce the overall burden on respondents. The information collection instrument was pilot tested by </w:t>
      </w:r>
      <w:r w:rsidR="00F42A26" w:rsidRPr="001A42FC">
        <w:t>4</w:t>
      </w:r>
      <w:r w:rsidR="00692DEB" w:rsidRPr="001A42FC">
        <w:t xml:space="preserve"> public health professionals. Feedback from this group was used to establish the estimated time required to complete the information collection instrument.</w:t>
      </w:r>
    </w:p>
    <w:p w14:paraId="63B74764" w14:textId="77777777" w:rsidR="00774689" w:rsidRPr="001A42FC" w:rsidRDefault="00774689" w:rsidP="00692DEB">
      <w:pPr>
        <w:pStyle w:val="Heading5"/>
        <w:spacing w:after="120"/>
        <w:ind w:left="0"/>
      </w:pPr>
    </w:p>
    <w:p w14:paraId="63B74765" w14:textId="77777777" w:rsidR="00692DEB" w:rsidRPr="001A42FC" w:rsidRDefault="00692DEB" w:rsidP="00692DEB">
      <w:pPr>
        <w:pStyle w:val="Heading5"/>
        <w:spacing w:after="120"/>
        <w:ind w:left="0"/>
      </w:pPr>
      <w:r w:rsidRPr="001A42FC">
        <w:t>Items of Information to be Collected</w:t>
      </w:r>
    </w:p>
    <w:p w14:paraId="63B74766" w14:textId="77777777" w:rsidR="00692DEB" w:rsidRPr="001A42FC" w:rsidRDefault="00692DEB" w:rsidP="00692DEB">
      <w:pPr>
        <w:ind w:left="0"/>
      </w:pPr>
      <w:r w:rsidRPr="001A42FC">
        <w:t xml:space="preserve">The online </w:t>
      </w:r>
      <w:r w:rsidR="00437C29">
        <w:t>information</w:t>
      </w:r>
      <w:r w:rsidRPr="001A42FC">
        <w:t xml:space="preserve"> collection instrument consists of </w:t>
      </w:r>
      <w:r w:rsidR="00AE75BE" w:rsidRPr="001A42FC">
        <w:t>27</w:t>
      </w:r>
      <w:r w:rsidRPr="001A42FC">
        <w:t xml:space="preserve"> main questions of various types, including</w:t>
      </w:r>
      <w:r w:rsidR="008C59E7" w:rsidRPr="001A42FC">
        <w:t xml:space="preserve"> dichotomous (yes/no), multiple response, interval (rating scales), an</w:t>
      </w:r>
      <w:r w:rsidR="008C59E7" w:rsidRPr="001A42FC">
        <w:rPr>
          <w:rFonts w:eastAsiaTheme="majorEastAsia" w:cstheme="majorBidi"/>
        </w:rPr>
        <w:t>d open-ended</w:t>
      </w:r>
      <w:r w:rsidR="00AE75BE" w:rsidRPr="001A42FC">
        <w:rPr>
          <w:rFonts w:eastAsiaTheme="majorEastAsia" w:cstheme="majorBidi"/>
        </w:rPr>
        <w:t xml:space="preserve"> questions</w:t>
      </w:r>
      <w:r w:rsidRPr="001A42FC">
        <w:rPr>
          <w:rFonts w:eastAsiaTheme="majorEastAsia" w:cstheme="majorBidi"/>
        </w:rPr>
        <w:t>. An effort was made to limit questions requiring narrative respo</w:t>
      </w:r>
      <w:r w:rsidRPr="001A42FC">
        <w:t xml:space="preserve">nses from respondents whenever possible. The instrument will collect information on the following: </w:t>
      </w:r>
    </w:p>
    <w:p w14:paraId="63B74767" w14:textId="77777777" w:rsidR="00BA3EF9" w:rsidRPr="001A42FC" w:rsidRDefault="002C40D8" w:rsidP="00BA3EF9">
      <w:pPr>
        <w:pStyle w:val="ListParagraph"/>
        <w:numPr>
          <w:ilvl w:val="0"/>
          <w:numId w:val="35"/>
        </w:numPr>
        <w:ind w:left="630"/>
      </w:pPr>
      <w:r>
        <w:t>School health coordinators’ awareness of the SHI</w:t>
      </w:r>
      <w:r w:rsidRPr="001A42FC">
        <w:t xml:space="preserve"> and the Health and Academic Achievement document and PowerPoint slides</w:t>
      </w:r>
      <w:r>
        <w:t>.</w:t>
      </w:r>
    </w:p>
    <w:p w14:paraId="63B74768" w14:textId="77777777" w:rsidR="00BA3EF9" w:rsidRPr="001A42FC" w:rsidRDefault="00BA3EF9" w:rsidP="00BA3EF9">
      <w:pPr>
        <w:pStyle w:val="ListParagraph"/>
        <w:numPr>
          <w:ilvl w:val="0"/>
          <w:numId w:val="35"/>
        </w:numPr>
        <w:ind w:left="630"/>
      </w:pPr>
      <w:r w:rsidRPr="001A42FC">
        <w:t xml:space="preserve">How </w:t>
      </w:r>
      <w:r w:rsidR="002F1045">
        <w:t>school health coordinators</w:t>
      </w:r>
      <w:r w:rsidRPr="001A42FC">
        <w:t xml:space="preserve"> </w:t>
      </w:r>
      <w:r w:rsidR="001A42FC" w:rsidRPr="001A42FC">
        <w:t xml:space="preserve">are </w:t>
      </w:r>
      <w:r w:rsidRPr="001A42FC">
        <w:t>using or intending to use the re</w:t>
      </w:r>
      <w:r w:rsidR="001A42FC" w:rsidRPr="001A42FC">
        <w:t>sources</w:t>
      </w:r>
    </w:p>
    <w:p w14:paraId="63B74769" w14:textId="57C11539" w:rsidR="00D710FF" w:rsidRPr="001A42FC" w:rsidRDefault="00C274AD" w:rsidP="00D710FF">
      <w:pPr>
        <w:pStyle w:val="ListParagraph"/>
        <w:numPr>
          <w:ilvl w:val="0"/>
          <w:numId w:val="35"/>
        </w:numPr>
        <w:ind w:left="630"/>
      </w:pPr>
      <w:r>
        <w:t xml:space="preserve">School health coordinator’s level of satisfaction with the SHI and the Health and Academic Achievement document and PowerPoint slides. </w:t>
      </w:r>
    </w:p>
    <w:p w14:paraId="63B7476A" w14:textId="77777777" w:rsidR="00BA3EF9" w:rsidRDefault="00A24EE4" w:rsidP="00BA3EF9">
      <w:pPr>
        <w:pStyle w:val="ListParagraph"/>
        <w:numPr>
          <w:ilvl w:val="0"/>
          <w:numId w:val="35"/>
        </w:numPr>
        <w:ind w:left="630"/>
      </w:pPr>
      <w:r>
        <w:t>Any additional</w:t>
      </w:r>
      <w:r w:rsidR="00BA3EF9" w:rsidRPr="001A42FC">
        <w:t xml:space="preserve"> feedback </w:t>
      </w:r>
      <w:r>
        <w:t>that</w:t>
      </w:r>
      <w:r w:rsidR="002C40D8">
        <w:t xml:space="preserve"> school health coordinators </w:t>
      </w:r>
      <w:r>
        <w:t>offer</w:t>
      </w:r>
      <w:r w:rsidR="00BA3EF9" w:rsidRPr="001A42FC">
        <w:t xml:space="preserve"> about </w:t>
      </w:r>
      <w:r w:rsidR="002C40D8">
        <w:t>the resources</w:t>
      </w:r>
    </w:p>
    <w:p w14:paraId="7A996D60" w14:textId="1400A6D8" w:rsidR="00D67915" w:rsidRDefault="00D67915" w:rsidP="00D67915">
      <w:pPr>
        <w:pStyle w:val="ListParagraph"/>
        <w:ind w:left="630"/>
      </w:pPr>
    </w:p>
    <w:p w14:paraId="0C2C2128" w14:textId="77777777" w:rsidR="00D67915" w:rsidRDefault="00D67915" w:rsidP="00D67915">
      <w:pPr>
        <w:pStyle w:val="ListParagraph"/>
        <w:ind w:left="630"/>
      </w:pPr>
    </w:p>
    <w:p w14:paraId="4A49EEAE" w14:textId="77777777" w:rsidR="00D67915" w:rsidRPr="001A42FC" w:rsidRDefault="00D67915" w:rsidP="00D67915">
      <w:pPr>
        <w:pStyle w:val="ListParagraph"/>
        <w:ind w:left="630"/>
      </w:pPr>
    </w:p>
    <w:p w14:paraId="63B7476B" w14:textId="77777777" w:rsidR="00692DEB" w:rsidRPr="001A42FC" w:rsidRDefault="00692DEB" w:rsidP="00692DEB">
      <w:pPr>
        <w:pStyle w:val="ListParagraph"/>
        <w:rPr>
          <w:lang w:eastAsia="zh-CN"/>
        </w:rPr>
      </w:pPr>
    </w:p>
    <w:p w14:paraId="63B7476C" w14:textId="77777777" w:rsidR="00B12F51" w:rsidRDefault="00B12F51" w:rsidP="00154235">
      <w:pPr>
        <w:pStyle w:val="Heading2"/>
        <w:numPr>
          <w:ilvl w:val="0"/>
          <w:numId w:val="43"/>
        </w:numPr>
        <w:jc w:val="left"/>
        <w:rPr>
          <w:sz w:val="24"/>
          <w:szCs w:val="24"/>
        </w:rPr>
      </w:pPr>
      <w:bookmarkStart w:id="13" w:name="_Toc416704472"/>
      <w:bookmarkStart w:id="14" w:name="_Toc416705695"/>
      <w:r w:rsidRPr="00154235">
        <w:rPr>
          <w:sz w:val="24"/>
          <w:szCs w:val="24"/>
        </w:rPr>
        <w:t>Purpose and Use of the Information Collection</w:t>
      </w:r>
      <w:bookmarkEnd w:id="13"/>
      <w:bookmarkEnd w:id="14"/>
    </w:p>
    <w:p w14:paraId="63B7476D" w14:textId="77777777" w:rsidR="00154235" w:rsidRPr="00154235" w:rsidRDefault="00154235" w:rsidP="00154235">
      <w:pPr>
        <w:pStyle w:val="Heading2"/>
        <w:jc w:val="left"/>
        <w:rPr>
          <w:sz w:val="24"/>
          <w:szCs w:val="24"/>
        </w:rPr>
      </w:pPr>
    </w:p>
    <w:p w14:paraId="63B7476E" w14:textId="77777777" w:rsidR="0088497A" w:rsidRPr="001A42FC" w:rsidRDefault="0088497A" w:rsidP="0088497A">
      <w:pPr>
        <w:ind w:left="0"/>
        <w:rPr>
          <w:rFonts w:cs="Times New Roman"/>
        </w:rPr>
      </w:pPr>
      <w:r w:rsidRPr="001A42FC">
        <w:rPr>
          <w:rFonts w:cs="Times New Roman"/>
        </w:rPr>
        <w:t xml:space="preserve">The purpose of this assessment is to determine the </w:t>
      </w:r>
      <w:r w:rsidR="00BC38F1" w:rsidRPr="001A42FC">
        <w:t>awareness</w:t>
      </w:r>
      <w:r w:rsidR="00BC38F1">
        <w:t xml:space="preserve"> of</w:t>
      </w:r>
      <w:r w:rsidR="00BC38F1" w:rsidRPr="001A42FC">
        <w:t>, satisfaction</w:t>
      </w:r>
      <w:r w:rsidR="00BC38F1">
        <w:t xml:space="preserve"> with and current or intended use </w:t>
      </w:r>
      <w:r w:rsidRPr="001A42FC">
        <w:rPr>
          <w:rFonts w:cs="Times New Roman"/>
        </w:rPr>
        <w:t xml:space="preserve">of the previously mentioned resources in order to </w:t>
      </w:r>
      <w:r w:rsidR="002C40D8">
        <w:t xml:space="preserve">help CDC-SHB </w:t>
      </w:r>
      <w:r w:rsidR="002C40D8" w:rsidRPr="001A42FC">
        <w:rPr>
          <w:rFonts w:cs="Times New Roman"/>
        </w:rPr>
        <w:t xml:space="preserve">increase their efficiency and effectiveness in developing and disseminating </w:t>
      </w:r>
      <w:r w:rsidR="00993856">
        <w:t>the SHI and the Health and Academic Achievement material, in addition to any future resources</w:t>
      </w:r>
      <w:r w:rsidR="001C45F8">
        <w:t>,</w:t>
      </w:r>
      <w:r w:rsidR="002C40D8" w:rsidRPr="001A42FC">
        <w:rPr>
          <w:rFonts w:cs="Times New Roman"/>
        </w:rPr>
        <w:t xml:space="preserve"> to improve public health in school settings in the future</w:t>
      </w:r>
      <w:r w:rsidR="002C40D8">
        <w:rPr>
          <w:rFonts w:cs="Times New Roman"/>
        </w:rPr>
        <w:t>.</w:t>
      </w:r>
    </w:p>
    <w:p w14:paraId="63B7476F" w14:textId="77777777" w:rsidR="0088497A" w:rsidRPr="001A42FC" w:rsidRDefault="0088497A" w:rsidP="0088497A">
      <w:pPr>
        <w:pStyle w:val="ListParagraph"/>
        <w:ind w:left="0"/>
        <w:rPr>
          <w:rFonts w:cs="Times New Roman"/>
        </w:rPr>
      </w:pPr>
    </w:p>
    <w:p w14:paraId="63B74770" w14:textId="77777777" w:rsidR="00D478ED" w:rsidRPr="001A42FC" w:rsidRDefault="00D478ED" w:rsidP="00D478ED">
      <w:pPr>
        <w:ind w:left="0"/>
      </w:pPr>
      <w:r w:rsidRPr="001A42FC">
        <w:t xml:space="preserve">The information we gather and summarize will be used to provide feedback to </w:t>
      </w:r>
      <w:r w:rsidR="00A24EE4">
        <w:t xml:space="preserve">the SHB </w:t>
      </w:r>
      <w:r>
        <w:t>in the following ways</w:t>
      </w:r>
      <w:r w:rsidRPr="001A42FC">
        <w:t>: 1) </w:t>
      </w:r>
      <w:r w:rsidR="00BC38F1">
        <w:t xml:space="preserve">provide insight on </w:t>
      </w:r>
      <w:r w:rsidRPr="001A42FC">
        <w:t xml:space="preserve">how </w:t>
      </w:r>
      <w:r w:rsidR="002F1045">
        <w:t>effective</w:t>
      </w:r>
      <w:r w:rsidR="00BC38F1">
        <w:t xml:space="preserve"> resource </w:t>
      </w:r>
      <w:r w:rsidRPr="001A42FC">
        <w:t xml:space="preserve">dissemination and communication strategies </w:t>
      </w:r>
      <w:r w:rsidR="00BC38F1">
        <w:t>were in creating</w:t>
      </w:r>
      <w:r w:rsidRPr="001A42FC">
        <w:t xml:space="preserve"> awareness among </w:t>
      </w:r>
      <w:r w:rsidR="002C40D8">
        <w:t>school health coordinators</w:t>
      </w:r>
      <w:r w:rsidRPr="001A42FC">
        <w:t>; 2) inform change</w:t>
      </w:r>
      <w:r w:rsidR="00BC38F1">
        <w:t xml:space="preserve">s to these resources; 3) </w:t>
      </w:r>
      <w:r w:rsidRPr="001A42FC">
        <w:t xml:space="preserve">identify how </w:t>
      </w:r>
      <w:r w:rsidR="002C40D8">
        <w:t>school health coordinators</w:t>
      </w:r>
      <w:r w:rsidRPr="001A42FC">
        <w:t xml:space="preserve"> are using or intend to use the resources</w:t>
      </w:r>
      <w:r>
        <w:t xml:space="preserve">; and, 4) inform the development of a more comprehensive assessment of a broader range of resources. </w:t>
      </w:r>
    </w:p>
    <w:p w14:paraId="63B74771" w14:textId="77777777" w:rsidR="00D478ED" w:rsidRDefault="00D478ED" w:rsidP="00B00FE8">
      <w:pPr>
        <w:ind w:left="0"/>
        <w:rPr>
          <w:rFonts w:cs="Times New Roman"/>
        </w:rPr>
      </w:pPr>
    </w:p>
    <w:p w14:paraId="63B74772" w14:textId="77777777" w:rsidR="00B00FE8" w:rsidRPr="00B00FE8" w:rsidRDefault="00BA3EF9" w:rsidP="00B00FE8">
      <w:pPr>
        <w:ind w:left="0"/>
        <w:rPr>
          <w:rFonts w:cs="Times New Roman"/>
        </w:rPr>
      </w:pPr>
      <w:r w:rsidRPr="001A42FC">
        <w:rPr>
          <w:rFonts w:cs="Times New Roman"/>
        </w:rPr>
        <w:t>T</w:t>
      </w:r>
      <w:r w:rsidR="0088497A" w:rsidRPr="001A42FC">
        <w:rPr>
          <w:rFonts w:cs="Times New Roman"/>
        </w:rPr>
        <w:t xml:space="preserve">he </w:t>
      </w:r>
      <w:r w:rsidRPr="001A42FC">
        <w:rPr>
          <w:rFonts w:cs="Times New Roman"/>
        </w:rPr>
        <w:t xml:space="preserve">answers to the </w:t>
      </w:r>
      <w:r w:rsidR="0088497A" w:rsidRPr="001A42FC">
        <w:rPr>
          <w:rFonts w:cs="Times New Roman"/>
        </w:rPr>
        <w:t>assessment questions will</w:t>
      </w:r>
      <w:r w:rsidRPr="001A42FC">
        <w:rPr>
          <w:rFonts w:cs="Times New Roman"/>
        </w:rPr>
        <w:t xml:space="preserve"> be used to</w:t>
      </w:r>
      <w:r w:rsidR="00BC38F1">
        <w:rPr>
          <w:rFonts w:cs="Times New Roman"/>
        </w:rPr>
        <w:t xml:space="preserve"> provide valuable insight to</w:t>
      </w:r>
      <w:r w:rsidR="00BC38F1" w:rsidRPr="001A42FC">
        <w:rPr>
          <w:rFonts w:cs="Times New Roman"/>
        </w:rPr>
        <w:t xml:space="preserve"> </w:t>
      </w:r>
      <w:r w:rsidR="00A24EE4">
        <w:rPr>
          <w:rFonts w:cs="Times New Roman"/>
        </w:rPr>
        <w:t xml:space="preserve">SHB </w:t>
      </w:r>
      <w:r w:rsidR="00BC38F1" w:rsidRPr="001A42FC">
        <w:rPr>
          <w:rFonts w:cs="Times New Roman"/>
        </w:rPr>
        <w:t>staff, as well as the broader Division of Population Health staff at CDC</w:t>
      </w:r>
      <w:r w:rsidR="00BC38F1">
        <w:rPr>
          <w:rFonts w:cs="Times New Roman"/>
        </w:rPr>
        <w:t>,</w:t>
      </w:r>
      <w:r w:rsidR="0088497A" w:rsidRPr="001A42FC">
        <w:rPr>
          <w:rFonts w:cs="Times New Roman"/>
        </w:rPr>
        <w:t xml:space="preserve"> who have a vested interest in SHB resources; specifically the</w:t>
      </w:r>
      <w:r w:rsidR="00BC38F1">
        <w:rPr>
          <w:rFonts w:cs="Times New Roman"/>
        </w:rPr>
        <w:t xml:space="preserve"> SHI and the</w:t>
      </w:r>
      <w:r w:rsidR="0088497A" w:rsidRPr="001A42FC">
        <w:rPr>
          <w:rFonts w:cs="Times New Roman"/>
        </w:rPr>
        <w:t xml:space="preserve"> Health and Academic Achievement Translation </w:t>
      </w:r>
      <w:r w:rsidR="00BC38F1">
        <w:rPr>
          <w:rFonts w:cs="Times New Roman"/>
        </w:rPr>
        <w:t>resources</w:t>
      </w:r>
      <w:r w:rsidR="0088497A" w:rsidRPr="001A42FC">
        <w:rPr>
          <w:rFonts w:cs="Times New Roman"/>
        </w:rPr>
        <w:t xml:space="preserve">. </w:t>
      </w:r>
      <w:r w:rsidR="00B00FE8" w:rsidRPr="00B00FE8">
        <w:rPr>
          <w:rFonts w:cs="Times New Roman"/>
        </w:rPr>
        <w:t xml:space="preserve">As noted previously, establishing, disseminating, and </w:t>
      </w:r>
      <w:r w:rsidR="003C3BD9">
        <w:rPr>
          <w:rFonts w:cs="Times New Roman"/>
        </w:rPr>
        <w:t xml:space="preserve">assessing </w:t>
      </w:r>
      <w:r w:rsidR="00B00FE8" w:rsidRPr="00B00FE8">
        <w:rPr>
          <w:rFonts w:cs="Times New Roman"/>
        </w:rPr>
        <w:t>resources for schools are primary strategies the SHB uses to accomplish its mission. Therefore, this group has a vested interest in findings related to the impact of the resources</w:t>
      </w:r>
      <w:r w:rsidR="00B00FE8">
        <w:rPr>
          <w:rFonts w:cs="Times New Roman"/>
        </w:rPr>
        <w:t>.</w:t>
      </w:r>
      <w:r w:rsidR="00B00FE8" w:rsidRPr="00B00FE8">
        <w:rPr>
          <w:rFonts w:cs="Times New Roman"/>
        </w:rPr>
        <w:t> </w:t>
      </w:r>
    </w:p>
    <w:p w14:paraId="63B74773" w14:textId="77777777" w:rsidR="0088497A" w:rsidRPr="001A42FC" w:rsidRDefault="0088497A" w:rsidP="00692DEB">
      <w:pPr>
        <w:ind w:left="0"/>
      </w:pPr>
    </w:p>
    <w:p w14:paraId="63B74774" w14:textId="77777777" w:rsidR="00B47055" w:rsidRPr="00154235" w:rsidRDefault="00B47055" w:rsidP="00154235">
      <w:pPr>
        <w:pStyle w:val="Heading1"/>
        <w:numPr>
          <w:ilvl w:val="0"/>
          <w:numId w:val="43"/>
        </w:numPr>
        <w:jc w:val="left"/>
        <w:rPr>
          <w:sz w:val="24"/>
          <w:szCs w:val="24"/>
        </w:rPr>
      </w:pPr>
      <w:bookmarkStart w:id="15" w:name="_Toc416705696"/>
      <w:r w:rsidRPr="00154235">
        <w:rPr>
          <w:sz w:val="24"/>
          <w:szCs w:val="24"/>
        </w:rPr>
        <w:t>Use of Improved Information Technology and Burden Reduction</w:t>
      </w:r>
      <w:bookmarkEnd w:id="15"/>
    </w:p>
    <w:p w14:paraId="63B74775" w14:textId="77777777" w:rsidR="00692DEB" w:rsidRPr="001A42FC" w:rsidRDefault="00437C29" w:rsidP="00692DEB">
      <w:pPr>
        <w:ind w:left="0"/>
      </w:pPr>
      <w:r>
        <w:t>Information</w:t>
      </w:r>
      <w:r w:rsidR="00692DEB" w:rsidRPr="001A42FC">
        <w:t xml:space="preserve"> will be collected via a web-based questionnaire allowing respondents to complete and submit their responses electronically. This method reduce</w:t>
      </w:r>
      <w:r w:rsidR="00834042">
        <w:t>s</w:t>
      </w:r>
      <w:r w:rsidR="00692DEB" w:rsidRPr="001A42FC">
        <w:t xml:space="preserve"> the overall burden on respondents</w:t>
      </w:r>
      <w:r w:rsidR="00834042">
        <w:t xml:space="preserve"> by using skip logic to eliminate questions not relevant to the respondent</w:t>
      </w:r>
      <w:r w:rsidR="00692DEB" w:rsidRPr="001A42FC">
        <w:t xml:space="preserve">. The information collection instrument was designed to collect the minimum information necessary for the purposes of this project (i.e., limited to </w:t>
      </w:r>
      <w:r w:rsidR="000F0CD1" w:rsidRPr="001A42FC">
        <w:t>27</w:t>
      </w:r>
      <w:r w:rsidR="00692DEB" w:rsidRPr="001A42FC">
        <w:t xml:space="preserve"> questions).</w:t>
      </w:r>
      <w:r w:rsidR="00547AE2">
        <w:t xml:space="preserve">  </w:t>
      </w:r>
    </w:p>
    <w:p w14:paraId="63B74776" w14:textId="77777777" w:rsidR="00E8736B" w:rsidRPr="001A42FC" w:rsidRDefault="00E8736B" w:rsidP="007D6163">
      <w:pPr>
        <w:pStyle w:val="ListParagraph"/>
      </w:pPr>
    </w:p>
    <w:p w14:paraId="63B74777" w14:textId="77777777" w:rsidR="00B47055" w:rsidRPr="00154235" w:rsidRDefault="00B47055" w:rsidP="00154235">
      <w:pPr>
        <w:pStyle w:val="Heading1"/>
        <w:numPr>
          <w:ilvl w:val="0"/>
          <w:numId w:val="43"/>
        </w:numPr>
        <w:jc w:val="left"/>
        <w:rPr>
          <w:sz w:val="24"/>
          <w:szCs w:val="24"/>
        </w:rPr>
      </w:pPr>
      <w:bookmarkStart w:id="16" w:name="_Toc416705697"/>
      <w:r w:rsidRPr="00154235">
        <w:rPr>
          <w:sz w:val="24"/>
          <w:szCs w:val="24"/>
        </w:rPr>
        <w:t>Efforts to Identify Duplication and Use of Similar Information</w:t>
      </w:r>
      <w:bookmarkEnd w:id="16"/>
    </w:p>
    <w:p w14:paraId="63B74778" w14:textId="77777777" w:rsidR="000A76B1" w:rsidRDefault="00C00F88" w:rsidP="000A76B1">
      <w:pPr>
        <w:ind w:left="0"/>
      </w:pPr>
      <w:r w:rsidRPr="001A42FC">
        <w:t>With the exception of information collected regarding web metrics, there are no other efforts to collect information regarding the</w:t>
      </w:r>
      <w:r w:rsidR="00FF5FE6">
        <w:t xml:space="preserve"> awareness, satisfaction,</w:t>
      </w:r>
      <w:r w:rsidR="00BC38F1">
        <w:t xml:space="preserve"> and use </w:t>
      </w:r>
      <w:r w:rsidRPr="001A42FC">
        <w:t>of</w:t>
      </w:r>
      <w:r w:rsidR="00834042">
        <w:t xml:space="preserve"> both</w:t>
      </w:r>
      <w:r w:rsidRPr="001A42FC">
        <w:t xml:space="preserve"> the Health and Academic Achievement Translation </w:t>
      </w:r>
      <w:r w:rsidR="002F1045">
        <w:t>resources</w:t>
      </w:r>
      <w:r w:rsidRPr="001A42FC">
        <w:t xml:space="preserve"> and the updated </w:t>
      </w:r>
      <w:r w:rsidR="00834042" w:rsidRPr="00834042">
        <w:rPr>
          <w:i/>
        </w:rPr>
        <w:t>SHI</w:t>
      </w:r>
      <w:r w:rsidRPr="001A42FC">
        <w:t>. The ongoing collection of web metrics</w:t>
      </w:r>
      <w:r w:rsidR="00830E17">
        <w:t xml:space="preserve"> (e.g., number of downloads, page statistics, and domain</w:t>
      </w:r>
      <w:r w:rsidRPr="001A42FC">
        <w:t xml:space="preserve"> </w:t>
      </w:r>
      <w:r w:rsidR="00830E17">
        <w:t xml:space="preserve">referrers) </w:t>
      </w:r>
      <w:r w:rsidRPr="001A42FC">
        <w:t>provides limited information about</w:t>
      </w:r>
      <w:r w:rsidR="00834042">
        <w:t xml:space="preserve"> </w:t>
      </w:r>
      <w:r w:rsidR="00B00FE8">
        <w:t xml:space="preserve">the number of unique and return visitors to the </w:t>
      </w:r>
      <w:r w:rsidR="002F1045">
        <w:t>resources</w:t>
      </w:r>
      <w:r w:rsidR="00B00FE8">
        <w:t xml:space="preserve">, as well as </w:t>
      </w:r>
      <w:r w:rsidR="00834042">
        <w:t xml:space="preserve">the frequency with which the </w:t>
      </w:r>
      <w:r w:rsidR="002F1045">
        <w:t>resources</w:t>
      </w:r>
      <w:r w:rsidR="00834042">
        <w:t xml:space="preserve"> are accessed</w:t>
      </w:r>
      <w:r w:rsidR="00B00FE8">
        <w:t xml:space="preserve"> and downloaded.</w:t>
      </w:r>
      <w:r w:rsidR="00993856">
        <w:rPr>
          <w:vertAlign w:val="superscript"/>
        </w:rPr>
        <w:t>7</w:t>
      </w:r>
      <w:r w:rsidR="00B00FE8">
        <w:t xml:space="preserve"> It does not provide information </w:t>
      </w:r>
      <w:r w:rsidRPr="001A42FC">
        <w:t xml:space="preserve">about how </w:t>
      </w:r>
      <w:r w:rsidR="00FF5FE6">
        <w:rPr>
          <w:bCs/>
        </w:rPr>
        <w:t>school health coordinators</w:t>
      </w:r>
      <w:r w:rsidRPr="001A42FC">
        <w:t xml:space="preserve"> </w:t>
      </w:r>
      <w:r w:rsidR="002F1045">
        <w:t xml:space="preserve">intend to use </w:t>
      </w:r>
      <w:r w:rsidRPr="001A42FC">
        <w:t xml:space="preserve">the Health and Academic Achievement Translation </w:t>
      </w:r>
      <w:r w:rsidR="002F1045">
        <w:t>resources</w:t>
      </w:r>
      <w:r w:rsidRPr="001A42FC">
        <w:t xml:space="preserve"> and the updated </w:t>
      </w:r>
      <w:r w:rsidR="00B00FE8" w:rsidRPr="00B00FE8">
        <w:rPr>
          <w:i/>
        </w:rPr>
        <w:t>SHI</w:t>
      </w:r>
      <w:r w:rsidRPr="001A42FC">
        <w:t>, and whether these products meet their needs.</w:t>
      </w:r>
      <w:r w:rsidR="000A76B1">
        <w:t xml:space="preserve"> This collection will </w:t>
      </w:r>
      <w:r w:rsidR="000A76B1" w:rsidRPr="000A76B1">
        <w:t xml:space="preserve">provide SHB with necessary </w:t>
      </w:r>
      <w:r w:rsidR="000A76B1">
        <w:t>information</w:t>
      </w:r>
      <w:r w:rsidR="000A76B1" w:rsidRPr="000A76B1">
        <w:t xml:space="preserve"> on implementation plans and satisfaction levels that web metrics do not</w:t>
      </w:r>
      <w:r w:rsidR="000A76B1">
        <w:t>.</w:t>
      </w:r>
      <w:r w:rsidR="000A76B1" w:rsidRPr="000A76B1">
        <w:t> </w:t>
      </w:r>
    </w:p>
    <w:p w14:paraId="1F1487F7" w14:textId="40E9FDDD" w:rsidR="00D67915" w:rsidRDefault="00D67915" w:rsidP="000A76B1">
      <w:pPr>
        <w:ind w:left="0"/>
      </w:pPr>
    </w:p>
    <w:p w14:paraId="635B4EC6" w14:textId="77777777" w:rsidR="00D67915" w:rsidRPr="000A76B1" w:rsidRDefault="00D67915" w:rsidP="000A76B1">
      <w:pPr>
        <w:ind w:left="0"/>
      </w:pPr>
    </w:p>
    <w:p w14:paraId="63B74779" w14:textId="77777777" w:rsidR="00E33E1B" w:rsidRPr="001A42FC" w:rsidRDefault="00E33E1B" w:rsidP="005D6F14"/>
    <w:p w14:paraId="63B7477A" w14:textId="77777777" w:rsidR="00B12F51" w:rsidRPr="00154235" w:rsidRDefault="00B47055" w:rsidP="00154235">
      <w:pPr>
        <w:pStyle w:val="Heading1"/>
        <w:numPr>
          <w:ilvl w:val="0"/>
          <w:numId w:val="43"/>
        </w:numPr>
        <w:jc w:val="left"/>
        <w:rPr>
          <w:sz w:val="24"/>
          <w:szCs w:val="24"/>
        </w:rPr>
      </w:pPr>
      <w:bookmarkStart w:id="17" w:name="_Toc416705698"/>
      <w:r w:rsidRPr="00154235">
        <w:rPr>
          <w:sz w:val="24"/>
          <w:szCs w:val="24"/>
        </w:rPr>
        <w:t>Impact on Small Businesses or Other Small Entities</w:t>
      </w:r>
      <w:bookmarkEnd w:id="17"/>
    </w:p>
    <w:p w14:paraId="63B7477B" w14:textId="77777777" w:rsidR="0053557D" w:rsidRPr="001A42FC" w:rsidRDefault="00D26A64" w:rsidP="00BA3EF9">
      <w:pPr>
        <w:ind w:left="0"/>
      </w:pPr>
      <w:r w:rsidRPr="001A42FC">
        <w:t>N</w:t>
      </w:r>
      <w:r w:rsidR="00AF2252" w:rsidRPr="001A42FC">
        <w:t xml:space="preserve">o small businesses will be involved in this </w:t>
      </w:r>
      <w:r w:rsidR="00157413" w:rsidRPr="001A42FC">
        <w:t>information collection</w:t>
      </w:r>
      <w:r w:rsidRPr="001A42FC">
        <w:t>.</w:t>
      </w:r>
    </w:p>
    <w:p w14:paraId="63B7477C" w14:textId="77777777" w:rsidR="00441CC3" w:rsidRPr="001A42FC" w:rsidRDefault="00441CC3" w:rsidP="005D6F14"/>
    <w:p w14:paraId="63B7477D" w14:textId="77777777" w:rsidR="00B12F51" w:rsidRPr="00154235" w:rsidRDefault="00B47055" w:rsidP="00154235">
      <w:pPr>
        <w:pStyle w:val="Heading1"/>
        <w:numPr>
          <w:ilvl w:val="0"/>
          <w:numId w:val="43"/>
        </w:numPr>
        <w:jc w:val="left"/>
        <w:rPr>
          <w:sz w:val="24"/>
          <w:szCs w:val="24"/>
        </w:rPr>
      </w:pPr>
      <w:bookmarkStart w:id="18" w:name="_Toc416705699"/>
      <w:r w:rsidRPr="00154235">
        <w:rPr>
          <w:sz w:val="24"/>
          <w:szCs w:val="24"/>
        </w:rPr>
        <w:t>Consequences of Collecting the Information Less Frequently</w:t>
      </w:r>
      <w:bookmarkEnd w:id="18"/>
      <w:r w:rsidRPr="00154235">
        <w:rPr>
          <w:sz w:val="24"/>
          <w:szCs w:val="24"/>
        </w:rPr>
        <w:t xml:space="preserve"> </w:t>
      </w:r>
      <w:r w:rsidR="00D95FBF" w:rsidRPr="00154235">
        <w:rPr>
          <w:sz w:val="24"/>
          <w:szCs w:val="24"/>
        </w:rPr>
        <w:t xml:space="preserve">   </w:t>
      </w:r>
    </w:p>
    <w:p w14:paraId="63B7477E" w14:textId="77777777" w:rsidR="004754F0" w:rsidRDefault="004754F0" w:rsidP="00B00FE8">
      <w:pPr>
        <w:ind w:left="0"/>
      </w:pPr>
      <w:r>
        <w:t>The consequences to the program of not collecting this information under this mechanism and within these timeframes are as follows:</w:t>
      </w:r>
    </w:p>
    <w:p w14:paraId="63B7477F" w14:textId="77777777" w:rsidR="00C00F88" w:rsidRPr="001A42FC" w:rsidRDefault="00C00F88" w:rsidP="00B00FE8">
      <w:pPr>
        <w:pStyle w:val="ListParagraph"/>
        <w:numPr>
          <w:ilvl w:val="0"/>
          <w:numId w:val="37"/>
        </w:numPr>
        <w:tabs>
          <w:tab w:val="clear" w:pos="9360"/>
        </w:tabs>
        <w:spacing w:before="120"/>
        <w:ind w:left="806"/>
      </w:pPr>
      <w:r w:rsidRPr="001A42FC">
        <w:t xml:space="preserve">Inability to assess the usefulness of </w:t>
      </w:r>
      <w:r w:rsidR="00A24EE4">
        <w:t>SHB</w:t>
      </w:r>
      <w:r w:rsidRPr="001A42FC">
        <w:t xml:space="preserve"> and its partners’ dissemination activities in reaching </w:t>
      </w:r>
      <w:r w:rsidR="00A24EE4">
        <w:t>school health coordinators</w:t>
      </w:r>
    </w:p>
    <w:p w14:paraId="63B74780" w14:textId="77777777" w:rsidR="00C00F88" w:rsidRPr="001A42FC" w:rsidRDefault="00C00F88" w:rsidP="00B00FE8">
      <w:pPr>
        <w:pStyle w:val="ListParagraph"/>
        <w:numPr>
          <w:ilvl w:val="0"/>
          <w:numId w:val="37"/>
        </w:numPr>
        <w:tabs>
          <w:tab w:val="clear" w:pos="9360"/>
        </w:tabs>
        <w:spacing w:before="120"/>
        <w:ind w:left="806"/>
      </w:pPr>
      <w:r w:rsidRPr="001A42FC">
        <w:t>Inability to make informed and timely revisions to dissemination approaches</w:t>
      </w:r>
    </w:p>
    <w:p w14:paraId="63B74781" w14:textId="77777777" w:rsidR="00C00F88" w:rsidRPr="001A42FC" w:rsidRDefault="00C00F88" w:rsidP="00B00FE8">
      <w:pPr>
        <w:pStyle w:val="ListParagraph"/>
        <w:numPr>
          <w:ilvl w:val="0"/>
          <w:numId w:val="37"/>
        </w:numPr>
        <w:tabs>
          <w:tab w:val="clear" w:pos="9360"/>
        </w:tabs>
        <w:spacing w:before="120"/>
        <w:ind w:left="806"/>
      </w:pPr>
      <w:r w:rsidRPr="001A42FC">
        <w:t xml:space="preserve">Inability to understand the scope of actions </w:t>
      </w:r>
      <w:r w:rsidR="00A24EE4">
        <w:t>school health coordinators</w:t>
      </w:r>
      <w:r w:rsidRPr="001A42FC">
        <w:t xml:space="preserve"> intend to take (using the Health and Academic Achievement Translation </w:t>
      </w:r>
      <w:r w:rsidR="002F1045">
        <w:t>resources</w:t>
      </w:r>
      <w:r w:rsidRPr="001A42FC">
        <w:t xml:space="preserve"> and the updated </w:t>
      </w:r>
      <w:r w:rsidR="00A24EE4">
        <w:t>SHI</w:t>
      </w:r>
      <w:r w:rsidRPr="001A42FC">
        <w:t xml:space="preserve"> as guides) for </w:t>
      </w:r>
      <w:r w:rsidRPr="001A42FC">
        <w:rPr>
          <w:color w:val="221E1F"/>
        </w:rPr>
        <w:t>demonstrating the link between healthy eating, physical activity, and improved academic achievement and engaging stakeholders in working together to supp</w:t>
      </w:r>
      <w:r w:rsidR="00CD5617">
        <w:rPr>
          <w:color w:val="221E1F"/>
        </w:rPr>
        <w:t>ort healthy school environments</w:t>
      </w:r>
    </w:p>
    <w:p w14:paraId="63B74782" w14:textId="77777777" w:rsidR="00C00F88" w:rsidRPr="001A42FC" w:rsidRDefault="00C00F88" w:rsidP="00B00FE8">
      <w:pPr>
        <w:pStyle w:val="ListParagraph"/>
        <w:numPr>
          <w:ilvl w:val="0"/>
          <w:numId w:val="37"/>
        </w:numPr>
        <w:tabs>
          <w:tab w:val="clear" w:pos="9360"/>
        </w:tabs>
        <w:spacing w:before="120"/>
        <w:ind w:left="806"/>
      </w:pPr>
      <w:r w:rsidRPr="001A42FC">
        <w:t xml:space="preserve">Inability to assess the feasibility of implementing actions outlined in the Health and Academic Achievement Translation </w:t>
      </w:r>
      <w:r w:rsidR="002F1045">
        <w:t xml:space="preserve">resources </w:t>
      </w:r>
      <w:r w:rsidRPr="001A42FC">
        <w:t xml:space="preserve">within the course of </w:t>
      </w:r>
      <w:r w:rsidR="00B00FE8">
        <w:t>the current</w:t>
      </w:r>
      <w:r w:rsidRPr="001A42FC">
        <w:t xml:space="preserve"> school year</w:t>
      </w:r>
    </w:p>
    <w:p w14:paraId="63B74783" w14:textId="77777777" w:rsidR="00C00F88" w:rsidRPr="001A42FC" w:rsidRDefault="00C00F88" w:rsidP="00B00FE8">
      <w:pPr>
        <w:pStyle w:val="ListParagraph"/>
        <w:numPr>
          <w:ilvl w:val="0"/>
          <w:numId w:val="37"/>
        </w:numPr>
        <w:tabs>
          <w:tab w:val="clear" w:pos="9360"/>
        </w:tabs>
        <w:spacing w:before="120"/>
        <w:ind w:left="806"/>
      </w:pPr>
      <w:r w:rsidRPr="001A42FC">
        <w:t xml:space="preserve">Inability to make informed and timely adjustments to the Health and Academic Achievement Translation </w:t>
      </w:r>
      <w:r w:rsidR="002F1045">
        <w:t>resources</w:t>
      </w:r>
      <w:r w:rsidRPr="001A42FC">
        <w:t xml:space="preserve"> </w:t>
      </w:r>
      <w:r w:rsidR="001A42FC" w:rsidRPr="001A42FC">
        <w:t xml:space="preserve">and the updated </w:t>
      </w:r>
      <w:r w:rsidR="00A24EE4">
        <w:t>SHI</w:t>
      </w:r>
      <w:r w:rsidR="001A42FC" w:rsidRPr="001A42FC">
        <w:t xml:space="preserve"> </w:t>
      </w:r>
      <w:r w:rsidRPr="001A42FC">
        <w:t>or to identify necessary accompanying materials/supports</w:t>
      </w:r>
    </w:p>
    <w:p w14:paraId="63B74784" w14:textId="77777777" w:rsidR="000058E0" w:rsidRPr="001A42FC" w:rsidRDefault="000058E0" w:rsidP="000058E0">
      <w:pPr>
        <w:pStyle w:val="ListParagraph"/>
        <w:rPr>
          <w:lang w:eastAsia="zh-CN"/>
        </w:rPr>
      </w:pPr>
    </w:p>
    <w:p w14:paraId="63B74785" w14:textId="77777777" w:rsidR="00B12F51" w:rsidRPr="00154235" w:rsidRDefault="00B47055" w:rsidP="00154235">
      <w:pPr>
        <w:pStyle w:val="Heading1"/>
        <w:numPr>
          <w:ilvl w:val="0"/>
          <w:numId w:val="43"/>
        </w:numPr>
        <w:jc w:val="left"/>
        <w:rPr>
          <w:sz w:val="24"/>
          <w:szCs w:val="24"/>
        </w:rPr>
      </w:pPr>
      <w:bookmarkStart w:id="19" w:name="_Toc416705700"/>
      <w:r w:rsidRPr="00154235">
        <w:rPr>
          <w:sz w:val="24"/>
          <w:szCs w:val="24"/>
        </w:rPr>
        <w:t>Special Circumstances Relating to the Guidelines of 5 CFR 1320.5</w:t>
      </w:r>
      <w:bookmarkEnd w:id="19"/>
    </w:p>
    <w:p w14:paraId="63B74786" w14:textId="77777777" w:rsidR="00F52BCC" w:rsidRPr="001A42FC" w:rsidRDefault="00A809AA" w:rsidP="00692DEB">
      <w:pPr>
        <w:ind w:left="0"/>
      </w:pPr>
      <w:r w:rsidRPr="001A42FC">
        <w:t xml:space="preserve">There are no special circumstances with this information collection </w:t>
      </w:r>
      <w:r w:rsidR="00B00FE8">
        <w:t>request</w:t>
      </w:r>
      <w:r w:rsidRPr="001A42FC">
        <w:t xml:space="preserve">. </w:t>
      </w:r>
      <w:r w:rsidR="00835CA7" w:rsidRPr="001A42FC">
        <w:t>This request fully complies with the regulation 5 CFR 1320.5</w:t>
      </w:r>
      <w:r w:rsidR="00D95FBF" w:rsidRPr="001A42FC">
        <w:t xml:space="preserve"> and will be voluntary</w:t>
      </w:r>
      <w:r w:rsidR="00835CA7" w:rsidRPr="001A42FC">
        <w:t>.</w:t>
      </w:r>
    </w:p>
    <w:p w14:paraId="63B74787" w14:textId="77777777" w:rsidR="00F52BCC" w:rsidRPr="001A42FC" w:rsidRDefault="00F52BCC" w:rsidP="005D6F14"/>
    <w:p w14:paraId="63B74788" w14:textId="77777777" w:rsidR="00B12F51" w:rsidRPr="00DF2D5C" w:rsidRDefault="0088467A" w:rsidP="00DF2D5C">
      <w:pPr>
        <w:pStyle w:val="Heading1"/>
        <w:numPr>
          <w:ilvl w:val="0"/>
          <w:numId w:val="43"/>
        </w:numPr>
        <w:jc w:val="left"/>
        <w:rPr>
          <w:sz w:val="24"/>
          <w:szCs w:val="24"/>
        </w:rPr>
      </w:pPr>
      <w:bookmarkStart w:id="20" w:name="_Toc416705701"/>
      <w:r w:rsidRPr="00DF2D5C">
        <w:rPr>
          <w:sz w:val="24"/>
          <w:szCs w:val="24"/>
        </w:rPr>
        <w:t>Comments in Response to the Federal Register Notice and Efforts to Consult Outside the Agency</w:t>
      </w:r>
      <w:bookmarkEnd w:id="20"/>
    </w:p>
    <w:p w14:paraId="63B74789" w14:textId="77777777" w:rsidR="00A809AA" w:rsidRPr="001A42FC" w:rsidRDefault="00C768E5" w:rsidP="00692DEB">
      <w:pPr>
        <w:ind w:left="0"/>
      </w:pPr>
      <w:r w:rsidRPr="001A42FC">
        <w:t xml:space="preserve">This </w:t>
      </w:r>
      <w:r w:rsidR="00157413" w:rsidRPr="001A42FC">
        <w:t>information collection</w:t>
      </w:r>
      <w:r w:rsidRPr="001A42FC">
        <w:t xml:space="preserve"> is being conducted using the Generic Information Collection mecha</w:t>
      </w:r>
      <w:r w:rsidR="00157413" w:rsidRPr="001A42FC">
        <w:t>nism of the OSTLTS OMB Clearance Center</w:t>
      </w:r>
      <w:r w:rsidRPr="001A42FC">
        <w:t xml:space="preserve"> (O</w:t>
      </w:r>
      <w:r w:rsidR="00157413" w:rsidRPr="001A42FC">
        <w:t>2</w:t>
      </w:r>
      <w:r w:rsidRPr="001A42FC">
        <w:t>C</w:t>
      </w:r>
      <w:r w:rsidR="00157413" w:rsidRPr="001A42FC">
        <w:t>2</w:t>
      </w:r>
      <w:r w:rsidRPr="001A42FC">
        <w:t xml:space="preserve">) – OMB No. 0920-0879. </w:t>
      </w:r>
      <w:r w:rsidR="00A809AA" w:rsidRPr="001A42FC">
        <w:t xml:space="preserve">A 60-day Federal Register Notice was published in the Federal Register on </w:t>
      </w:r>
      <w:r w:rsidR="005115FA" w:rsidRPr="001A42FC">
        <w:t>October 31, 2013, Vol. 78, No. 211; pp. 653 25-26</w:t>
      </w:r>
      <w:r w:rsidR="00A809AA" w:rsidRPr="001A42FC">
        <w:t xml:space="preserve">.  </w:t>
      </w:r>
      <w:r w:rsidR="005115FA" w:rsidRPr="001A42FC">
        <w:t xml:space="preserve">No </w:t>
      </w:r>
      <w:r w:rsidR="00A809AA" w:rsidRPr="001A42FC">
        <w:t>comments were received</w:t>
      </w:r>
      <w:r w:rsidR="00783C75" w:rsidRPr="001A42FC">
        <w:t>.</w:t>
      </w:r>
    </w:p>
    <w:p w14:paraId="63B7478A" w14:textId="77777777" w:rsidR="00A809AA" w:rsidRPr="001A42FC" w:rsidRDefault="00A809AA" w:rsidP="00692DEB">
      <w:pPr>
        <w:ind w:left="0"/>
      </w:pPr>
    </w:p>
    <w:p w14:paraId="63B7478B" w14:textId="77777777" w:rsidR="00A809AA" w:rsidRDefault="00A809AA" w:rsidP="00692DEB">
      <w:pPr>
        <w:ind w:left="0"/>
      </w:pPr>
      <w:r w:rsidRPr="001A42FC">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255807F2" w14:textId="730715CD" w:rsidR="00D332C6" w:rsidRDefault="00D332C6" w:rsidP="00692DEB">
      <w:pPr>
        <w:ind w:left="0"/>
      </w:pPr>
    </w:p>
    <w:p w14:paraId="6128BDD2" w14:textId="77777777" w:rsidR="00D332C6" w:rsidRDefault="00D332C6" w:rsidP="00692DEB">
      <w:pPr>
        <w:ind w:left="0"/>
      </w:pPr>
    </w:p>
    <w:p w14:paraId="78ECCEA7" w14:textId="77777777" w:rsidR="00D332C6" w:rsidRDefault="00D332C6" w:rsidP="00692DEB">
      <w:pPr>
        <w:ind w:left="0"/>
      </w:pPr>
    </w:p>
    <w:p w14:paraId="6BF64F3C" w14:textId="77777777" w:rsidR="00D332C6" w:rsidRPr="001A42FC" w:rsidRDefault="00D332C6" w:rsidP="00692DEB">
      <w:pPr>
        <w:ind w:left="0"/>
      </w:pPr>
    </w:p>
    <w:p w14:paraId="63B7478C" w14:textId="77777777" w:rsidR="00F52BCC" w:rsidRPr="001A42FC" w:rsidRDefault="00F52BCC" w:rsidP="005D6F14"/>
    <w:p w14:paraId="63B7478D" w14:textId="77777777" w:rsidR="00B12F51" w:rsidRPr="00DF2D5C" w:rsidRDefault="0088467A" w:rsidP="00DF2D5C">
      <w:pPr>
        <w:pStyle w:val="Heading1"/>
        <w:numPr>
          <w:ilvl w:val="0"/>
          <w:numId w:val="43"/>
        </w:numPr>
        <w:jc w:val="left"/>
        <w:rPr>
          <w:sz w:val="24"/>
          <w:szCs w:val="24"/>
        </w:rPr>
      </w:pPr>
      <w:bookmarkStart w:id="21" w:name="_Toc416705702"/>
      <w:r w:rsidRPr="00DF2D5C">
        <w:rPr>
          <w:sz w:val="24"/>
          <w:szCs w:val="24"/>
        </w:rPr>
        <w:lastRenderedPageBreak/>
        <w:t>Explanation of Any Payment or Gift to Respondents</w:t>
      </w:r>
      <w:bookmarkEnd w:id="21"/>
    </w:p>
    <w:p w14:paraId="63B7478E" w14:textId="77777777" w:rsidR="00F52BCC" w:rsidRDefault="00A809AA" w:rsidP="00692DEB">
      <w:pPr>
        <w:ind w:left="0"/>
      </w:pPr>
      <w:r w:rsidRPr="001A42FC">
        <w:t>CDC will not provide p</w:t>
      </w:r>
      <w:r w:rsidR="00D26A64" w:rsidRPr="001A42FC">
        <w:t>ayments or gifts to respondents.</w:t>
      </w:r>
    </w:p>
    <w:p w14:paraId="63B7478F" w14:textId="5B301D48" w:rsidR="00F52BCC" w:rsidRPr="001A42FC" w:rsidRDefault="00F52BCC" w:rsidP="00D332C6">
      <w:pPr>
        <w:ind w:left="0"/>
      </w:pPr>
    </w:p>
    <w:p w14:paraId="63B74790" w14:textId="77777777" w:rsidR="00B12F51" w:rsidRPr="001A42FC" w:rsidRDefault="0088467A" w:rsidP="00DF2D5C">
      <w:pPr>
        <w:pStyle w:val="Heading1"/>
        <w:numPr>
          <w:ilvl w:val="0"/>
          <w:numId w:val="43"/>
        </w:numPr>
        <w:jc w:val="left"/>
      </w:pPr>
      <w:r w:rsidRPr="001A42FC">
        <w:t xml:space="preserve"> </w:t>
      </w:r>
      <w:bookmarkStart w:id="22" w:name="_Toc416705703"/>
      <w:r w:rsidRPr="00DF2D5C">
        <w:rPr>
          <w:sz w:val="24"/>
          <w:szCs w:val="24"/>
        </w:rPr>
        <w:t>Assurance of Confidentiality Provided to Respondents</w:t>
      </w:r>
      <w:bookmarkEnd w:id="22"/>
    </w:p>
    <w:p w14:paraId="63B74791" w14:textId="77777777" w:rsidR="003C31C9" w:rsidRPr="001A42FC" w:rsidRDefault="003C31C9" w:rsidP="00692DEB">
      <w:pPr>
        <w:ind w:left="0"/>
      </w:pPr>
      <w:r w:rsidRPr="001A42FC">
        <w:t xml:space="preserve">The Privacy Act does not apply to this </w:t>
      </w:r>
      <w:r w:rsidR="00157413" w:rsidRPr="001A42FC">
        <w:t>information collection</w:t>
      </w:r>
      <w:r w:rsidRPr="001A42FC">
        <w:t xml:space="preserve">.  </w:t>
      </w:r>
      <w:r w:rsidR="004754F0">
        <w:t>STLT governmental staff and</w:t>
      </w:r>
      <w:r w:rsidR="007F5776" w:rsidRPr="001A42FC">
        <w:t xml:space="preserve">/or delegates </w:t>
      </w:r>
      <w:r w:rsidRPr="001A42FC">
        <w:t xml:space="preserve">will be speaking from their official roles and will not be asked, nor will they provide individually identifiable information.  </w:t>
      </w:r>
    </w:p>
    <w:p w14:paraId="63B74792" w14:textId="77777777" w:rsidR="003C31C9" w:rsidRPr="001A42FC" w:rsidRDefault="003C31C9" w:rsidP="00692DEB">
      <w:pPr>
        <w:ind w:left="0"/>
      </w:pPr>
    </w:p>
    <w:p w14:paraId="63B74793" w14:textId="77777777" w:rsidR="00154235" w:rsidRDefault="003C31C9" w:rsidP="00154235">
      <w:pPr>
        <w:ind w:left="0"/>
      </w:pPr>
      <w:r w:rsidRPr="001A42FC">
        <w:t xml:space="preserve">This </w:t>
      </w:r>
      <w:r w:rsidR="00157413" w:rsidRPr="001A42FC">
        <w:t>information collection</w:t>
      </w:r>
      <w:r w:rsidRPr="001A42FC">
        <w:t xml:space="preserve"> is not research involving human subjects.</w:t>
      </w:r>
      <w:r w:rsidR="00B00FE8">
        <w:t xml:space="preserve"> IRB approval is not required.</w:t>
      </w:r>
    </w:p>
    <w:p w14:paraId="63B74794" w14:textId="77777777" w:rsidR="00154235" w:rsidRDefault="00154235" w:rsidP="00154235">
      <w:pPr>
        <w:ind w:left="0"/>
      </w:pPr>
    </w:p>
    <w:p w14:paraId="63B74795" w14:textId="77777777" w:rsidR="000058E0" w:rsidRPr="00154235" w:rsidRDefault="000058E0" w:rsidP="00B6773E">
      <w:pPr>
        <w:pStyle w:val="Heading1"/>
        <w:numPr>
          <w:ilvl w:val="1"/>
          <w:numId w:val="43"/>
        </w:numPr>
        <w:jc w:val="left"/>
        <w:rPr>
          <w:sz w:val="24"/>
          <w:szCs w:val="24"/>
        </w:rPr>
      </w:pPr>
      <w:bookmarkStart w:id="23" w:name="_Toc416704473"/>
      <w:bookmarkStart w:id="24" w:name="_Toc416705704"/>
      <w:r w:rsidRPr="00154235">
        <w:rPr>
          <w:sz w:val="24"/>
          <w:szCs w:val="24"/>
        </w:rPr>
        <w:t>Privacy Impact Assessment Information</w:t>
      </w:r>
      <w:bookmarkEnd w:id="23"/>
      <w:bookmarkEnd w:id="24"/>
    </w:p>
    <w:p w14:paraId="63B74796" w14:textId="77777777" w:rsidR="000058E0" w:rsidRPr="001A42FC" w:rsidRDefault="000058E0" w:rsidP="000058E0">
      <w:pPr>
        <w:pStyle w:val="Heading4"/>
        <w:numPr>
          <w:ilvl w:val="0"/>
          <w:numId w:val="0"/>
        </w:numPr>
        <w:rPr>
          <w:b w:val="0"/>
        </w:rPr>
      </w:pPr>
      <w:r w:rsidRPr="001A42FC">
        <w:rPr>
          <w:b w:val="0"/>
        </w:rPr>
        <w:t xml:space="preserve">No individually identifiable information (IIF) will be collected. </w:t>
      </w:r>
    </w:p>
    <w:p w14:paraId="63B74797" w14:textId="77777777" w:rsidR="000058E0" w:rsidRPr="001A42FC" w:rsidRDefault="000058E0" w:rsidP="000058E0">
      <w:pPr>
        <w:pStyle w:val="Heading4"/>
        <w:numPr>
          <w:ilvl w:val="0"/>
          <w:numId w:val="0"/>
        </w:numPr>
        <w:ind w:left="360"/>
      </w:pPr>
    </w:p>
    <w:p w14:paraId="63B74798" w14:textId="77777777" w:rsidR="00B12F51" w:rsidRPr="00DF2D5C" w:rsidRDefault="0088467A" w:rsidP="00DF2D5C">
      <w:pPr>
        <w:pStyle w:val="Heading1"/>
        <w:numPr>
          <w:ilvl w:val="0"/>
          <w:numId w:val="43"/>
        </w:numPr>
        <w:jc w:val="left"/>
        <w:rPr>
          <w:sz w:val="24"/>
          <w:szCs w:val="24"/>
        </w:rPr>
      </w:pPr>
      <w:bookmarkStart w:id="25" w:name="_Toc416705705"/>
      <w:r w:rsidRPr="00DF2D5C">
        <w:rPr>
          <w:sz w:val="24"/>
          <w:szCs w:val="24"/>
        </w:rPr>
        <w:t>Justification for Sensitive Questions</w:t>
      </w:r>
      <w:bookmarkEnd w:id="25"/>
    </w:p>
    <w:p w14:paraId="63B74799" w14:textId="77777777" w:rsidR="00F52BCC" w:rsidRPr="001A42FC" w:rsidRDefault="003C31C9" w:rsidP="00692DEB">
      <w:pPr>
        <w:ind w:left="0"/>
      </w:pPr>
      <w:r w:rsidRPr="001A42FC">
        <w:t>No information will be collected</w:t>
      </w:r>
      <w:r w:rsidR="00616090" w:rsidRPr="001A42FC">
        <w:t xml:space="preserve"> that </w:t>
      </w:r>
      <w:r w:rsidR="000A76B1">
        <w:t>is</w:t>
      </w:r>
      <w:r w:rsidR="00616090" w:rsidRPr="001A42FC">
        <w:t xml:space="preserve"> of </w:t>
      </w:r>
      <w:r w:rsidR="000A76B1">
        <w:t xml:space="preserve">a </w:t>
      </w:r>
      <w:r w:rsidR="00616090" w:rsidRPr="001A42FC">
        <w:t>personal or sensitive nature</w:t>
      </w:r>
      <w:r w:rsidR="00D26A64" w:rsidRPr="001A42FC">
        <w:t>.</w:t>
      </w:r>
    </w:p>
    <w:p w14:paraId="63B7479A" w14:textId="77777777" w:rsidR="00616090" w:rsidRPr="001A42FC" w:rsidRDefault="00616090" w:rsidP="005D6F14"/>
    <w:p w14:paraId="63B7479B" w14:textId="77777777" w:rsidR="00B64BFA" w:rsidRPr="00DF2D5C" w:rsidRDefault="0088467A" w:rsidP="00DF2D5C">
      <w:pPr>
        <w:pStyle w:val="Heading1"/>
        <w:numPr>
          <w:ilvl w:val="0"/>
          <w:numId w:val="43"/>
        </w:numPr>
        <w:jc w:val="left"/>
        <w:rPr>
          <w:sz w:val="24"/>
          <w:szCs w:val="24"/>
        </w:rPr>
      </w:pPr>
      <w:bookmarkStart w:id="26" w:name="_Toc416705706"/>
      <w:r w:rsidRPr="00DF2D5C">
        <w:rPr>
          <w:sz w:val="24"/>
          <w:szCs w:val="24"/>
        </w:rPr>
        <w:t>Estimates of Annualized Burden Hours and Costs</w:t>
      </w:r>
      <w:bookmarkEnd w:id="26"/>
    </w:p>
    <w:p w14:paraId="63B7479C" w14:textId="77777777" w:rsidR="000058E0" w:rsidRPr="001A42FC" w:rsidRDefault="000058E0" w:rsidP="000058E0">
      <w:pPr>
        <w:ind w:left="0"/>
        <w:rPr>
          <w:color w:val="000000"/>
        </w:rPr>
      </w:pPr>
      <w:r w:rsidRPr="001A42FC">
        <w:rPr>
          <w:color w:val="000000"/>
        </w:rPr>
        <w:t xml:space="preserve">The estimate for burden hours is based on a pilot test of </w:t>
      </w:r>
      <w:r w:rsidRPr="001A42FC">
        <w:t xml:space="preserve">the information collection instrument </w:t>
      </w:r>
      <w:r w:rsidRPr="001A42FC">
        <w:rPr>
          <w:color w:val="000000"/>
        </w:rPr>
        <w:t xml:space="preserve">by </w:t>
      </w:r>
      <w:r w:rsidR="00DD3A34" w:rsidRPr="00DD3A34">
        <w:t>4</w:t>
      </w:r>
      <w:r w:rsidRPr="001A42FC">
        <w:rPr>
          <w:color w:val="0070C0"/>
        </w:rPr>
        <w:t xml:space="preserve"> </w:t>
      </w:r>
      <w:r w:rsidRPr="001A42FC">
        <w:t xml:space="preserve">public health professionals. In the pilot test, the average time to complete the instrument including time for reviewing instructions, gathering needed information and completing the instrument, was approximately </w:t>
      </w:r>
      <w:r w:rsidR="00DD3A34" w:rsidRPr="00DD3A34">
        <w:t>10</w:t>
      </w:r>
      <w:r w:rsidRPr="001A42FC">
        <w:rPr>
          <w:color w:val="0070C0"/>
        </w:rPr>
        <w:t xml:space="preserve"> </w:t>
      </w:r>
      <w:r w:rsidRPr="001A42FC">
        <w:t xml:space="preserve">minutes. Based on these results, the estimated time range for actual respondents to complete the instrument </w:t>
      </w:r>
      <w:r w:rsidRPr="00DD3A34">
        <w:t xml:space="preserve">is </w:t>
      </w:r>
      <w:r w:rsidR="00DD3A34" w:rsidRPr="00DD3A34">
        <w:t>9</w:t>
      </w:r>
      <w:r w:rsidR="008C59E7" w:rsidRPr="00DD3A34">
        <w:t xml:space="preserve"> to </w:t>
      </w:r>
      <w:r w:rsidR="00DD3A34" w:rsidRPr="00DD3A34">
        <w:t>11</w:t>
      </w:r>
      <w:r w:rsidRPr="00DD3A34">
        <w:t xml:space="preserve"> minutes</w:t>
      </w:r>
      <w:r w:rsidRPr="001A42FC">
        <w:t>. For the purposes of estimating burden hours, the upper limit of this range (i.e</w:t>
      </w:r>
      <w:r w:rsidRPr="00DD3A34">
        <w:t xml:space="preserve">., </w:t>
      </w:r>
      <w:r w:rsidR="00DD3A34" w:rsidRPr="00DD3A34">
        <w:t xml:space="preserve">11 </w:t>
      </w:r>
      <w:r w:rsidRPr="00DD3A34">
        <w:t>minutes</w:t>
      </w:r>
      <w:r w:rsidRPr="001A42FC">
        <w:t>) is used.</w:t>
      </w:r>
    </w:p>
    <w:p w14:paraId="63B7479D" w14:textId="77777777" w:rsidR="000058E0" w:rsidRPr="001A42FC" w:rsidRDefault="000058E0" w:rsidP="000058E0">
      <w:pPr>
        <w:ind w:left="0"/>
      </w:pPr>
    </w:p>
    <w:p w14:paraId="63B7479E" w14:textId="77777777" w:rsidR="00BB090C" w:rsidRPr="001A42FC" w:rsidRDefault="000058E0" w:rsidP="000058E0">
      <w:pPr>
        <w:ind w:left="0"/>
      </w:pPr>
      <w:r w:rsidRPr="001A42FC">
        <w:t xml:space="preserve">Estimates for the average hourly wage for respondents are based on the Department of Labor (DOL) National Compensation Survey estimate for </w:t>
      </w:r>
      <w:r w:rsidR="00DD3A34" w:rsidRPr="00E17769">
        <w:t xml:space="preserve">management occupations – medical and health services managers </w:t>
      </w:r>
      <w:r w:rsidR="00DD3A34">
        <w:t xml:space="preserve">and education managers </w:t>
      </w:r>
      <w:r w:rsidR="00DD3A34" w:rsidRPr="00E17769">
        <w:t>in state government</w:t>
      </w:r>
      <w:r w:rsidR="00DD3A34">
        <w:t xml:space="preserve">. </w:t>
      </w:r>
      <w:r w:rsidRPr="001A42FC">
        <w:t>(</w:t>
      </w:r>
      <w:hyperlink r:id="rId14" w:history="1">
        <w:r w:rsidRPr="001A42FC">
          <w:rPr>
            <w:rStyle w:val="Hyperlink"/>
          </w:rPr>
          <w:t>http://www.bls.gov/ncs/ocs/sp/nctb1349.pdf</w:t>
        </w:r>
      </w:hyperlink>
      <w:r w:rsidRPr="001A42FC">
        <w:t xml:space="preserve">). Based on DOL data, an average hourly wage of </w:t>
      </w:r>
      <w:r w:rsidR="00DD3A34" w:rsidRPr="00E17769">
        <w:t>$</w:t>
      </w:r>
      <w:r w:rsidR="00DD3A34">
        <w:t>57.11</w:t>
      </w:r>
      <w:r w:rsidR="00DD3A34" w:rsidRPr="00E17769">
        <w:t xml:space="preserve"> is estimated for </w:t>
      </w:r>
      <w:r w:rsidR="00DD3A34">
        <w:t>state health department staff and an hourly wage of $42.10 is estimated for department of education staff</w:t>
      </w:r>
      <w:r w:rsidRPr="001A42FC">
        <w:t>. Table A-12 shows estimated burden and cost information.</w:t>
      </w:r>
    </w:p>
    <w:p w14:paraId="63B7479F" w14:textId="77777777" w:rsidR="005A59E5" w:rsidRPr="001A42FC" w:rsidRDefault="005A59E5" w:rsidP="00692DEB">
      <w:pPr>
        <w:ind w:left="0"/>
      </w:pPr>
    </w:p>
    <w:p w14:paraId="63B747A0" w14:textId="77777777" w:rsidR="005A59E5" w:rsidRPr="001A42FC" w:rsidRDefault="005A59E5" w:rsidP="00692DEB">
      <w:pPr>
        <w:pStyle w:val="ListParagraph"/>
        <w:ind w:left="0"/>
      </w:pPr>
      <w:r w:rsidRPr="001A42FC">
        <w:rPr>
          <w:b/>
          <w:u w:val="single"/>
        </w:rPr>
        <w:t>Table A-12</w:t>
      </w:r>
      <w:r w:rsidRPr="001A42FC">
        <w:rPr>
          <w:b/>
        </w:rPr>
        <w:t>:</w:t>
      </w:r>
      <w:r w:rsidRPr="001A42FC">
        <w:t xml:space="preserve"> Estimated Annualized Burden Hours and Costs to Respondents</w:t>
      </w:r>
    </w:p>
    <w:tbl>
      <w:tblPr>
        <w:tblW w:w="107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530"/>
        <w:gridCol w:w="1496"/>
        <w:gridCol w:w="1440"/>
        <w:gridCol w:w="1530"/>
        <w:gridCol w:w="900"/>
        <w:gridCol w:w="900"/>
        <w:gridCol w:w="1350"/>
      </w:tblGrid>
      <w:tr w:rsidR="00B6773E" w:rsidRPr="001A42FC" w14:paraId="63B747A9" w14:textId="77777777" w:rsidTr="006136A9">
        <w:trPr>
          <w:trHeight w:val="1493"/>
        </w:trPr>
        <w:tc>
          <w:tcPr>
            <w:tcW w:w="1586" w:type="dxa"/>
            <w:shd w:val="clear" w:color="auto" w:fill="D9D9D9" w:themeFill="background1" w:themeFillShade="D9"/>
            <w:vAlign w:val="center"/>
          </w:tcPr>
          <w:p w14:paraId="63B747A1" w14:textId="77777777" w:rsidR="00B6773E" w:rsidRPr="004754F0" w:rsidRDefault="00B6773E" w:rsidP="00B6773E">
            <w:pPr>
              <w:ind w:left="-18"/>
            </w:pPr>
            <w:r w:rsidRPr="004754F0">
              <w:t>Information collection Instrument: Form Name</w:t>
            </w:r>
          </w:p>
        </w:tc>
        <w:tc>
          <w:tcPr>
            <w:tcW w:w="1530" w:type="dxa"/>
            <w:shd w:val="clear" w:color="auto" w:fill="D9D9D9" w:themeFill="background1" w:themeFillShade="D9"/>
            <w:vAlign w:val="center"/>
          </w:tcPr>
          <w:p w14:paraId="63B747A2" w14:textId="77777777" w:rsidR="00B6773E" w:rsidRPr="004754F0" w:rsidRDefault="00B6773E" w:rsidP="00B6773E">
            <w:pPr>
              <w:ind w:left="-18"/>
            </w:pPr>
            <w:r w:rsidRPr="006136A9">
              <w:t>Type of Respondent</w:t>
            </w:r>
          </w:p>
        </w:tc>
        <w:tc>
          <w:tcPr>
            <w:tcW w:w="1496" w:type="dxa"/>
            <w:shd w:val="clear" w:color="auto" w:fill="D9D9D9" w:themeFill="background1" w:themeFillShade="D9"/>
            <w:vAlign w:val="center"/>
          </w:tcPr>
          <w:p w14:paraId="63B747A3" w14:textId="77777777" w:rsidR="00B6773E" w:rsidRPr="004754F0" w:rsidRDefault="00B6773E" w:rsidP="00B6773E">
            <w:pPr>
              <w:ind w:left="-18"/>
            </w:pPr>
            <w:r w:rsidRPr="004754F0">
              <w:t>No. of Respondents</w:t>
            </w:r>
          </w:p>
        </w:tc>
        <w:tc>
          <w:tcPr>
            <w:tcW w:w="1440" w:type="dxa"/>
            <w:shd w:val="clear" w:color="auto" w:fill="D9D9D9" w:themeFill="background1" w:themeFillShade="D9"/>
            <w:vAlign w:val="center"/>
          </w:tcPr>
          <w:p w14:paraId="63B747A4" w14:textId="77777777" w:rsidR="00B6773E" w:rsidRPr="004754F0" w:rsidRDefault="00B6773E" w:rsidP="00B6773E">
            <w:pPr>
              <w:ind w:left="-18"/>
            </w:pPr>
            <w:r w:rsidRPr="004754F0">
              <w:t>No. of Responses per Respondent</w:t>
            </w:r>
          </w:p>
        </w:tc>
        <w:tc>
          <w:tcPr>
            <w:tcW w:w="1530" w:type="dxa"/>
            <w:shd w:val="clear" w:color="auto" w:fill="D9D9D9" w:themeFill="background1" w:themeFillShade="D9"/>
            <w:vAlign w:val="center"/>
          </w:tcPr>
          <w:p w14:paraId="63B747A5" w14:textId="77777777" w:rsidR="00B6773E" w:rsidRPr="004754F0" w:rsidRDefault="00B6773E" w:rsidP="00B6773E">
            <w:pPr>
              <w:ind w:left="-18"/>
            </w:pPr>
            <w:r w:rsidRPr="004754F0">
              <w:t>Average Burden per Response (in hours)</w:t>
            </w:r>
          </w:p>
        </w:tc>
        <w:tc>
          <w:tcPr>
            <w:tcW w:w="900" w:type="dxa"/>
            <w:shd w:val="clear" w:color="auto" w:fill="D9D9D9" w:themeFill="background1" w:themeFillShade="D9"/>
            <w:vAlign w:val="center"/>
          </w:tcPr>
          <w:p w14:paraId="63B747A6" w14:textId="77777777" w:rsidR="00B6773E" w:rsidRPr="004754F0" w:rsidRDefault="00B6773E" w:rsidP="00B6773E">
            <w:pPr>
              <w:ind w:left="-18"/>
            </w:pPr>
            <w:r w:rsidRPr="004754F0">
              <w:t>Total Burden Hours</w:t>
            </w:r>
          </w:p>
        </w:tc>
        <w:tc>
          <w:tcPr>
            <w:tcW w:w="900" w:type="dxa"/>
            <w:shd w:val="clear" w:color="auto" w:fill="D9D9D9" w:themeFill="background1" w:themeFillShade="D9"/>
            <w:vAlign w:val="center"/>
          </w:tcPr>
          <w:p w14:paraId="63B747A7" w14:textId="77777777" w:rsidR="00B6773E" w:rsidRPr="004754F0" w:rsidRDefault="00B6773E" w:rsidP="00B6773E">
            <w:pPr>
              <w:ind w:left="-18"/>
            </w:pPr>
            <w:r w:rsidRPr="004754F0">
              <w:t>Hourly Wage Rate</w:t>
            </w:r>
          </w:p>
        </w:tc>
        <w:tc>
          <w:tcPr>
            <w:tcW w:w="1350" w:type="dxa"/>
            <w:shd w:val="clear" w:color="auto" w:fill="D9D9D9" w:themeFill="background1" w:themeFillShade="D9"/>
            <w:vAlign w:val="center"/>
          </w:tcPr>
          <w:p w14:paraId="63B747A8" w14:textId="77777777" w:rsidR="00B6773E" w:rsidRPr="004754F0" w:rsidRDefault="00B6773E" w:rsidP="00B6773E">
            <w:pPr>
              <w:ind w:left="-18"/>
            </w:pPr>
            <w:r w:rsidRPr="004754F0">
              <w:t>Total Respondent Costs</w:t>
            </w:r>
          </w:p>
        </w:tc>
      </w:tr>
      <w:tr w:rsidR="00B6773E" w:rsidRPr="001A42FC" w14:paraId="63B747B3" w14:textId="77777777" w:rsidTr="00AA4F52">
        <w:tc>
          <w:tcPr>
            <w:tcW w:w="1586" w:type="dxa"/>
            <w:vAlign w:val="center"/>
          </w:tcPr>
          <w:p w14:paraId="63B747AA" w14:textId="77777777" w:rsidR="00B6773E" w:rsidRPr="001C45F8" w:rsidRDefault="001C45F8" w:rsidP="00B6773E">
            <w:pPr>
              <w:ind w:left="0"/>
            </w:pPr>
            <w:r>
              <w:t>School Health Resources Assessment Instrument</w:t>
            </w:r>
          </w:p>
        </w:tc>
        <w:tc>
          <w:tcPr>
            <w:tcW w:w="1530" w:type="dxa"/>
          </w:tcPr>
          <w:p w14:paraId="63B747AB" w14:textId="77777777" w:rsidR="00B6773E" w:rsidRPr="001C45F8" w:rsidRDefault="00B6773E" w:rsidP="00B6773E">
            <w:pPr>
              <w:ind w:left="0"/>
            </w:pPr>
            <w:r w:rsidRPr="001C45F8">
              <w:t>School Health Coordinator</w:t>
            </w:r>
          </w:p>
          <w:p w14:paraId="63B747AC" w14:textId="77777777" w:rsidR="00B6773E" w:rsidRPr="001C45F8" w:rsidRDefault="00B6773E" w:rsidP="00B6773E">
            <w:pPr>
              <w:ind w:left="0"/>
            </w:pPr>
            <w:r w:rsidRPr="001C45F8">
              <w:t>(State Public Health Department)</w:t>
            </w:r>
          </w:p>
        </w:tc>
        <w:tc>
          <w:tcPr>
            <w:tcW w:w="1496" w:type="dxa"/>
            <w:vAlign w:val="center"/>
          </w:tcPr>
          <w:p w14:paraId="63B747AD" w14:textId="77777777" w:rsidR="00B6773E" w:rsidRPr="001C45F8" w:rsidRDefault="00B27FEC" w:rsidP="00B6773E">
            <w:pPr>
              <w:ind w:left="0"/>
            </w:pPr>
            <w:r w:rsidRPr="001C45F8">
              <w:t>64</w:t>
            </w:r>
          </w:p>
        </w:tc>
        <w:tc>
          <w:tcPr>
            <w:tcW w:w="1440" w:type="dxa"/>
            <w:vAlign w:val="center"/>
          </w:tcPr>
          <w:p w14:paraId="63B747AE" w14:textId="77777777" w:rsidR="00B6773E" w:rsidRPr="001C45F8" w:rsidRDefault="00B6773E" w:rsidP="00B6773E">
            <w:pPr>
              <w:ind w:left="0"/>
            </w:pPr>
            <w:r w:rsidRPr="001C45F8">
              <w:t>1</w:t>
            </w:r>
          </w:p>
        </w:tc>
        <w:tc>
          <w:tcPr>
            <w:tcW w:w="1530" w:type="dxa"/>
            <w:vAlign w:val="center"/>
          </w:tcPr>
          <w:p w14:paraId="63B747AF" w14:textId="77777777" w:rsidR="00B6773E" w:rsidRPr="001C45F8" w:rsidRDefault="00B6773E" w:rsidP="00B6773E">
            <w:pPr>
              <w:ind w:left="0"/>
            </w:pPr>
            <w:r w:rsidRPr="001C45F8">
              <w:t>11/60</w:t>
            </w:r>
          </w:p>
        </w:tc>
        <w:tc>
          <w:tcPr>
            <w:tcW w:w="900" w:type="dxa"/>
            <w:vAlign w:val="center"/>
          </w:tcPr>
          <w:p w14:paraId="63B747B0" w14:textId="77777777" w:rsidR="00B6773E" w:rsidRPr="001C45F8" w:rsidRDefault="00B27FEC" w:rsidP="00B6773E">
            <w:pPr>
              <w:ind w:left="0"/>
            </w:pPr>
            <w:r w:rsidRPr="001C45F8">
              <w:t>12</w:t>
            </w:r>
          </w:p>
        </w:tc>
        <w:tc>
          <w:tcPr>
            <w:tcW w:w="900" w:type="dxa"/>
            <w:vAlign w:val="center"/>
          </w:tcPr>
          <w:p w14:paraId="63B747B1" w14:textId="77777777" w:rsidR="00B6773E" w:rsidRPr="001C45F8" w:rsidRDefault="00B6773E" w:rsidP="00B6773E">
            <w:pPr>
              <w:ind w:left="0"/>
            </w:pPr>
            <w:r w:rsidRPr="001C45F8">
              <w:t>57.11</w:t>
            </w:r>
          </w:p>
        </w:tc>
        <w:tc>
          <w:tcPr>
            <w:tcW w:w="1350" w:type="dxa"/>
            <w:vAlign w:val="center"/>
          </w:tcPr>
          <w:p w14:paraId="63B747B2" w14:textId="77777777" w:rsidR="00B6773E" w:rsidRPr="001C45F8" w:rsidRDefault="00B6773E" w:rsidP="00B27FEC">
            <w:pPr>
              <w:ind w:left="0"/>
            </w:pPr>
            <w:r w:rsidRPr="001C45F8">
              <w:t>$</w:t>
            </w:r>
            <w:r w:rsidR="00B27FEC" w:rsidRPr="001C45F8">
              <w:t>685</w:t>
            </w:r>
          </w:p>
        </w:tc>
      </w:tr>
      <w:tr w:rsidR="00B6773E" w:rsidRPr="001A42FC" w14:paraId="63B747BD" w14:textId="77777777" w:rsidTr="00AA4F52">
        <w:tc>
          <w:tcPr>
            <w:tcW w:w="1586" w:type="dxa"/>
            <w:vAlign w:val="center"/>
          </w:tcPr>
          <w:p w14:paraId="63B747B4" w14:textId="77777777" w:rsidR="00B6773E" w:rsidRPr="001C45F8" w:rsidRDefault="001C45F8" w:rsidP="00B6773E">
            <w:pPr>
              <w:ind w:left="0"/>
            </w:pPr>
            <w:r>
              <w:lastRenderedPageBreak/>
              <w:t>School Health Resources Assessment Instrument</w:t>
            </w:r>
          </w:p>
        </w:tc>
        <w:tc>
          <w:tcPr>
            <w:tcW w:w="1530" w:type="dxa"/>
          </w:tcPr>
          <w:p w14:paraId="63B747B5" w14:textId="77777777" w:rsidR="00B6773E" w:rsidRPr="001C45F8" w:rsidRDefault="00B6773E" w:rsidP="00B6773E">
            <w:pPr>
              <w:ind w:left="0"/>
            </w:pPr>
            <w:r w:rsidRPr="001C45F8">
              <w:t>School Health Coordinator</w:t>
            </w:r>
          </w:p>
          <w:p w14:paraId="63B747B6" w14:textId="77777777" w:rsidR="00B6773E" w:rsidRPr="001C45F8" w:rsidRDefault="00B6773E" w:rsidP="00B6773E">
            <w:pPr>
              <w:ind w:left="0"/>
            </w:pPr>
            <w:r w:rsidRPr="001C45F8">
              <w:t>(State Department of Education)</w:t>
            </w:r>
          </w:p>
        </w:tc>
        <w:tc>
          <w:tcPr>
            <w:tcW w:w="1496" w:type="dxa"/>
            <w:vAlign w:val="center"/>
          </w:tcPr>
          <w:p w14:paraId="63B747B7" w14:textId="77777777" w:rsidR="00B6773E" w:rsidRPr="001C45F8" w:rsidRDefault="00B27FEC" w:rsidP="00B6773E">
            <w:pPr>
              <w:ind w:left="0"/>
            </w:pPr>
            <w:r w:rsidRPr="001C45F8">
              <w:t>21</w:t>
            </w:r>
          </w:p>
        </w:tc>
        <w:tc>
          <w:tcPr>
            <w:tcW w:w="1440" w:type="dxa"/>
            <w:vAlign w:val="center"/>
          </w:tcPr>
          <w:p w14:paraId="63B747B8" w14:textId="77777777" w:rsidR="00B6773E" w:rsidRPr="001C45F8" w:rsidRDefault="00B6773E" w:rsidP="00B6773E">
            <w:pPr>
              <w:ind w:left="0"/>
            </w:pPr>
            <w:r w:rsidRPr="001C45F8">
              <w:t>1</w:t>
            </w:r>
          </w:p>
        </w:tc>
        <w:tc>
          <w:tcPr>
            <w:tcW w:w="1530" w:type="dxa"/>
            <w:vAlign w:val="center"/>
          </w:tcPr>
          <w:p w14:paraId="63B747B9" w14:textId="77777777" w:rsidR="00B6773E" w:rsidRPr="001C45F8" w:rsidRDefault="00B6773E" w:rsidP="00B6773E">
            <w:pPr>
              <w:ind w:left="0"/>
            </w:pPr>
            <w:r w:rsidRPr="001C45F8">
              <w:t>11/60</w:t>
            </w:r>
          </w:p>
        </w:tc>
        <w:tc>
          <w:tcPr>
            <w:tcW w:w="900" w:type="dxa"/>
            <w:vAlign w:val="center"/>
          </w:tcPr>
          <w:p w14:paraId="63B747BA" w14:textId="77777777" w:rsidR="00B6773E" w:rsidRPr="001C45F8" w:rsidRDefault="00B27FEC" w:rsidP="00B6773E">
            <w:pPr>
              <w:ind w:left="0"/>
            </w:pPr>
            <w:r w:rsidRPr="001C45F8">
              <w:t>4</w:t>
            </w:r>
          </w:p>
        </w:tc>
        <w:tc>
          <w:tcPr>
            <w:tcW w:w="900" w:type="dxa"/>
            <w:vAlign w:val="center"/>
          </w:tcPr>
          <w:p w14:paraId="63B747BB" w14:textId="77777777" w:rsidR="00B6773E" w:rsidRPr="001C45F8" w:rsidRDefault="00B6773E" w:rsidP="00B6773E">
            <w:pPr>
              <w:ind w:left="0"/>
              <w:rPr>
                <w:rFonts w:eastAsia="SimSun" w:cs="Arial"/>
                <w:lang w:eastAsia="zh-CN"/>
              </w:rPr>
            </w:pPr>
            <w:r w:rsidRPr="001C45F8">
              <w:rPr>
                <w:rFonts w:eastAsia="SimSun" w:cs="Arial"/>
                <w:lang w:eastAsia="zh-CN"/>
              </w:rPr>
              <w:t>42.10</w:t>
            </w:r>
          </w:p>
        </w:tc>
        <w:tc>
          <w:tcPr>
            <w:tcW w:w="1350" w:type="dxa"/>
            <w:vAlign w:val="center"/>
          </w:tcPr>
          <w:p w14:paraId="63B747BC" w14:textId="77777777" w:rsidR="00B6773E" w:rsidRPr="001C45F8" w:rsidRDefault="00B6773E" w:rsidP="00B27FEC">
            <w:pPr>
              <w:ind w:left="0"/>
            </w:pPr>
            <w:r w:rsidRPr="001C45F8">
              <w:t>$</w:t>
            </w:r>
            <w:r w:rsidR="00B27FEC" w:rsidRPr="001C45F8">
              <w:t>168</w:t>
            </w:r>
          </w:p>
        </w:tc>
      </w:tr>
      <w:tr w:rsidR="00B6773E" w:rsidRPr="001A42FC" w14:paraId="63B747C6" w14:textId="77777777" w:rsidTr="006136A9">
        <w:trPr>
          <w:trHeight w:hRule="exact" w:val="432"/>
        </w:trPr>
        <w:tc>
          <w:tcPr>
            <w:tcW w:w="1586" w:type="dxa"/>
          </w:tcPr>
          <w:p w14:paraId="63B747BE" w14:textId="77777777" w:rsidR="00B6773E" w:rsidRPr="001C45F8" w:rsidRDefault="00B6773E" w:rsidP="00B6773E">
            <w:pPr>
              <w:ind w:left="0"/>
              <w:rPr>
                <w:b/>
              </w:rPr>
            </w:pPr>
          </w:p>
        </w:tc>
        <w:tc>
          <w:tcPr>
            <w:tcW w:w="1530" w:type="dxa"/>
            <w:vAlign w:val="center"/>
          </w:tcPr>
          <w:p w14:paraId="63B747BF" w14:textId="77777777" w:rsidR="00B6773E" w:rsidRPr="001C45F8" w:rsidRDefault="00B6773E" w:rsidP="00B6773E">
            <w:pPr>
              <w:ind w:left="0"/>
              <w:rPr>
                <w:b/>
              </w:rPr>
            </w:pPr>
            <w:r w:rsidRPr="001C45F8">
              <w:rPr>
                <w:b/>
              </w:rPr>
              <w:t>TOTALS</w:t>
            </w:r>
          </w:p>
        </w:tc>
        <w:tc>
          <w:tcPr>
            <w:tcW w:w="1496" w:type="dxa"/>
            <w:vAlign w:val="center"/>
          </w:tcPr>
          <w:p w14:paraId="63B747C0" w14:textId="5DA30F9A" w:rsidR="00B6773E" w:rsidRPr="001C45F8" w:rsidRDefault="00E12ACD" w:rsidP="00B6773E">
            <w:pPr>
              <w:ind w:left="0"/>
              <w:rPr>
                <w:b/>
              </w:rPr>
            </w:pPr>
            <w:r>
              <w:rPr>
                <w:b/>
              </w:rPr>
              <w:t>85</w:t>
            </w:r>
          </w:p>
        </w:tc>
        <w:tc>
          <w:tcPr>
            <w:tcW w:w="1440" w:type="dxa"/>
            <w:shd w:val="clear" w:color="auto" w:fill="auto"/>
            <w:vAlign w:val="center"/>
          </w:tcPr>
          <w:p w14:paraId="63B747C1" w14:textId="77777777" w:rsidR="00B6773E" w:rsidRPr="001C45F8" w:rsidRDefault="00B6773E" w:rsidP="00B6773E">
            <w:pPr>
              <w:ind w:left="0"/>
              <w:rPr>
                <w:b/>
              </w:rPr>
            </w:pPr>
          </w:p>
        </w:tc>
        <w:tc>
          <w:tcPr>
            <w:tcW w:w="1530" w:type="dxa"/>
            <w:shd w:val="clear" w:color="auto" w:fill="D9D9D9" w:themeFill="background1" w:themeFillShade="D9"/>
            <w:vAlign w:val="center"/>
          </w:tcPr>
          <w:p w14:paraId="63B747C2" w14:textId="77777777" w:rsidR="00B6773E" w:rsidRPr="001C45F8" w:rsidRDefault="00B6773E" w:rsidP="00B6773E">
            <w:pPr>
              <w:ind w:left="0"/>
              <w:rPr>
                <w:b/>
              </w:rPr>
            </w:pPr>
          </w:p>
        </w:tc>
        <w:tc>
          <w:tcPr>
            <w:tcW w:w="900" w:type="dxa"/>
            <w:vAlign w:val="center"/>
          </w:tcPr>
          <w:p w14:paraId="63B747C3" w14:textId="77777777" w:rsidR="00B6773E" w:rsidRPr="001C45F8" w:rsidRDefault="003E1A39" w:rsidP="00B6773E">
            <w:pPr>
              <w:ind w:left="0"/>
            </w:pPr>
            <w:r w:rsidRPr="001C45F8">
              <w:t>16</w:t>
            </w:r>
          </w:p>
        </w:tc>
        <w:tc>
          <w:tcPr>
            <w:tcW w:w="900" w:type="dxa"/>
            <w:shd w:val="clear" w:color="auto" w:fill="D9D9D9" w:themeFill="background1" w:themeFillShade="D9"/>
            <w:vAlign w:val="center"/>
          </w:tcPr>
          <w:p w14:paraId="63B747C4" w14:textId="77777777" w:rsidR="00B6773E" w:rsidRPr="001C45F8" w:rsidRDefault="00B6773E" w:rsidP="00B6773E">
            <w:pPr>
              <w:ind w:left="0"/>
              <w:rPr>
                <w:b/>
              </w:rPr>
            </w:pPr>
          </w:p>
        </w:tc>
        <w:tc>
          <w:tcPr>
            <w:tcW w:w="1350" w:type="dxa"/>
            <w:vAlign w:val="center"/>
          </w:tcPr>
          <w:p w14:paraId="63B747C5" w14:textId="77777777" w:rsidR="00B6773E" w:rsidRPr="001C45F8" w:rsidRDefault="00B6773E" w:rsidP="002C72D7">
            <w:pPr>
              <w:ind w:left="0"/>
            </w:pPr>
            <w:r w:rsidRPr="001C45F8">
              <w:t>$</w:t>
            </w:r>
            <w:r w:rsidR="002C72D7">
              <w:t>853</w:t>
            </w:r>
          </w:p>
        </w:tc>
      </w:tr>
    </w:tbl>
    <w:p w14:paraId="63B747C7" w14:textId="77777777" w:rsidR="002F1502" w:rsidRPr="001A42FC" w:rsidRDefault="002F1502" w:rsidP="00441CC3">
      <w:pPr>
        <w:ind w:left="0"/>
      </w:pPr>
    </w:p>
    <w:p w14:paraId="63B747C8" w14:textId="77777777" w:rsidR="00B12F51" w:rsidRPr="00DF2D5C" w:rsidRDefault="0088467A" w:rsidP="00DF2D5C">
      <w:pPr>
        <w:pStyle w:val="Heading1"/>
        <w:numPr>
          <w:ilvl w:val="0"/>
          <w:numId w:val="43"/>
        </w:numPr>
        <w:jc w:val="left"/>
        <w:rPr>
          <w:sz w:val="24"/>
          <w:szCs w:val="24"/>
        </w:rPr>
      </w:pPr>
      <w:bookmarkStart w:id="27" w:name="_Toc416705707"/>
      <w:r w:rsidRPr="00DF2D5C">
        <w:rPr>
          <w:sz w:val="24"/>
          <w:szCs w:val="24"/>
        </w:rPr>
        <w:t>Estimates of Other Total Annual Cost Burden to Respondents or Record Keepers</w:t>
      </w:r>
      <w:bookmarkEnd w:id="27"/>
    </w:p>
    <w:p w14:paraId="63B747C9" w14:textId="77777777" w:rsidR="003C31C9" w:rsidRDefault="003C31C9" w:rsidP="00692DEB">
      <w:pPr>
        <w:ind w:left="0"/>
      </w:pPr>
      <w:r w:rsidRPr="001A42FC">
        <w:t xml:space="preserve">There will be no direct costs to the respondents other than their time to participate in each </w:t>
      </w:r>
      <w:r w:rsidR="00157413" w:rsidRPr="001A42FC">
        <w:t>information collection</w:t>
      </w:r>
      <w:r w:rsidRPr="001A42FC">
        <w:t>.</w:t>
      </w:r>
    </w:p>
    <w:p w14:paraId="63B747CA" w14:textId="77777777" w:rsidR="00E36F16" w:rsidRPr="001A42FC" w:rsidRDefault="00E36F16" w:rsidP="00692DEB">
      <w:pPr>
        <w:ind w:left="0"/>
      </w:pPr>
    </w:p>
    <w:p w14:paraId="63B747CB" w14:textId="77777777" w:rsidR="00911486" w:rsidRPr="001A42FC" w:rsidRDefault="00911486" w:rsidP="00692DEB">
      <w:pPr>
        <w:ind w:left="0"/>
      </w:pPr>
    </w:p>
    <w:p w14:paraId="63B747CC" w14:textId="77777777" w:rsidR="00B12F51" w:rsidRPr="00DF2D5C" w:rsidRDefault="0088467A" w:rsidP="00DF2D5C">
      <w:pPr>
        <w:pStyle w:val="Heading1"/>
        <w:numPr>
          <w:ilvl w:val="0"/>
          <w:numId w:val="43"/>
        </w:numPr>
        <w:jc w:val="left"/>
        <w:rPr>
          <w:sz w:val="24"/>
          <w:szCs w:val="24"/>
        </w:rPr>
      </w:pPr>
      <w:bookmarkStart w:id="28" w:name="_Toc416705708"/>
      <w:r w:rsidRPr="00DF2D5C">
        <w:rPr>
          <w:sz w:val="24"/>
          <w:szCs w:val="24"/>
        </w:rPr>
        <w:t>Annualized Cost to the Government</w:t>
      </w:r>
      <w:bookmarkEnd w:id="28"/>
      <w:r w:rsidR="00D75750" w:rsidRPr="00DF2D5C">
        <w:rPr>
          <w:sz w:val="24"/>
          <w:szCs w:val="24"/>
        </w:rPr>
        <w:t xml:space="preserve"> </w:t>
      </w:r>
    </w:p>
    <w:p w14:paraId="63B747CD" w14:textId="77777777" w:rsidR="000058E0" w:rsidRPr="00EE706B" w:rsidRDefault="000058E0" w:rsidP="000058E0">
      <w:pPr>
        <w:ind w:left="0"/>
        <w:rPr>
          <w:rFonts w:cs="Arial"/>
        </w:rPr>
      </w:pPr>
      <w:r w:rsidRPr="001A42FC">
        <w:rPr>
          <w:rFonts w:cs="Arial"/>
        </w:rPr>
        <w:t xml:space="preserve">There are no equipment or overhead costs.  Contractors, however, are being used to support development of the assessment tool, </w:t>
      </w:r>
      <w:r w:rsidR="00437C29">
        <w:rPr>
          <w:rFonts w:cs="Arial"/>
        </w:rPr>
        <w:t>information</w:t>
      </w:r>
      <w:r w:rsidRPr="001A42FC">
        <w:rPr>
          <w:rFonts w:cs="Arial"/>
        </w:rPr>
        <w:t xml:space="preserve"> collection, and </w:t>
      </w:r>
      <w:r w:rsidR="00437C29">
        <w:rPr>
          <w:rFonts w:cs="Arial"/>
        </w:rPr>
        <w:t>information</w:t>
      </w:r>
      <w:r w:rsidRPr="001A42FC">
        <w:rPr>
          <w:rFonts w:cs="Arial"/>
        </w:rPr>
        <w:t xml:space="preserve"> analysis. The only cost to the federal government</w:t>
      </w:r>
      <w:r w:rsidR="000A76B1">
        <w:rPr>
          <w:rFonts w:cs="Arial"/>
        </w:rPr>
        <w:t xml:space="preserve"> is the cost of project oversight provided by </w:t>
      </w:r>
      <w:r w:rsidRPr="001A42FC">
        <w:rPr>
          <w:rFonts w:cs="Arial"/>
        </w:rPr>
        <w:t xml:space="preserve">CDC staff and </w:t>
      </w:r>
      <w:r w:rsidR="000A76B1">
        <w:rPr>
          <w:rFonts w:cs="Arial"/>
        </w:rPr>
        <w:t>the cost of the contract for information collection and processing</w:t>
      </w:r>
      <w:r w:rsidRPr="001A42FC">
        <w:rPr>
          <w:rFonts w:cs="Arial"/>
        </w:rPr>
        <w:t xml:space="preserve">. </w:t>
      </w:r>
      <w:r w:rsidR="00EE706B">
        <w:rPr>
          <w:rFonts w:cs="Arial"/>
        </w:rPr>
        <w:t xml:space="preserve">  </w:t>
      </w:r>
      <w:r w:rsidR="00BA5C0B" w:rsidRPr="001A42FC">
        <w:rPr>
          <w:color w:val="000000"/>
        </w:rPr>
        <w:t xml:space="preserve">The primary staff member for this project is a CDC </w:t>
      </w:r>
      <w:r w:rsidR="00F90290">
        <w:t>Lead Health Scientist</w:t>
      </w:r>
      <w:r w:rsidR="00BA5C0B" w:rsidRPr="001A42FC">
        <w:rPr>
          <w:color w:val="4F81BD" w:themeColor="accent1"/>
        </w:rPr>
        <w:t xml:space="preserve"> </w:t>
      </w:r>
      <w:r w:rsidR="00BA5C0B" w:rsidRPr="001A42FC">
        <w:rPr>
          <w:color w:val="000000"/>
        </w:rPr>
        <w:t>(GS</w:t>
      </w:r>
      <w:r w:rsidR="00F90290">
        <w:rPr>
          <w:color w:val="000000"/>
        </w:rPr>
        <w:t>-14-4</w:t>
      </w:r>
      <w:r w:rsidR="00BA5C0B" w:rsidRPr="001A42FC">
        <w:rPr>
          <w:color w:val="000000"/>
        </w:rPr>
        <w:t>) in the School Health Branch. An additional staff member c</w:t>
      </w:r>
      <w:r w:rsidR="00F90290">
        <w:rPr>
          <w:color w:val="000000"/>
        </w:rPr>
        <w:t xml:space="preserve">ontributing to the project is an ORISE Fellow </w:t>
      </w:r>
      <w:r w:rsidR="00BA5C0B" w:rsidRPr="001A42FC">
        <w:rPr>
          <w:color w:val="000000"/>
        </w:rPr>
        <w:t>in the School Health Branch.</w:t>
      </w:r>
      <w:r w:rsidR="00EE706B">
        <w:rPr>
          <w:rFonts w:cs="Arial"/>
        </w:rPr>
        <w:t xml:space="preserve">  </w:t>
      </w:r>
      <w:r w:rsidRPr="001A42FC">
        <w:rPr>
          <w:rFonts w:cs="Arial"/>
        </w:rPr>
        <w:t>The total estimated cost to the federal government is</w:t>
      </w:r>
      <w:r w:rsidR="008C59E7" w:rsidRPr="001A42FC">
        <w:rPr>
          <w:rFonts w:cs="Arial"/>
        </w:rPr>
        <w:t xml:space="preserve"> </w:t>
      </w:r>
      <w:r w:rsidR="000D315D">
        <w:rPr>
          <w:b/>
        </w:rPr>
        <w:t>$32,976.60</w:t>
      </w:r>
      <w:r w:rsidRPr="001A42FC">
        <w:rPr>
          <w:rFonts w:cs="Arial"/>
        </w:rPr>
        <w:t>. Table A-14 describes how this cost estimate was calculated.</w:t>
      </w:r>
    </w:p>
    <w:p w14:paraId="63B747CE" w14:textId="77777777" w:rsidR="00692DEB" w:rsidRPr="001A42FC" w:rsidRDefault="00692DEB" w:rsidP="00692DEB">
      <w:pPr>
        <w:ind w:left="0"/>
      </w:pPr>
    </w:p>
    <w:p w14:paraId="63B747CF" w14:textId="77777777" w:rsidR="003C31C9" w:rsidRPr="001A42FC" w:rsidRDefault="00321B51" w:rsidP="00692DEB">
      <w:pPr>
        <w:ind w:left="0"/>
      </w:pPr>
      <w:r w:rsidRPr="001A42FC">
        <w:rPr>
          <w:color w:val="000000"/>
        </w:rPr>
        <w:t xml:space="preserve"> </w:t>
      </w:r>
      <w:r w:rsidR="008E0683" w:rsidRPr="001A42FC">
        <w:rPr>
          <w:b/>
          <w:u w:val="single"/>
        </w:rPr>
        <w:t>Table A-14</w:t>
      </w:r>
      <w:r w:rsidR="008E0683" w:rsidRPr="001A42FC">
        <w:rPr>
          <w:b/>
        </w:rPr>
        <w:t>:</w:t>
      </w:r>
      <w:r w:rsidR="008E0683" w:rsidRPr="001A42FC">
        <w:t xml:space="preserve"> Estimated Annualized Cost to the Federal Government</w:t>
      </w:r>
    </w:p>
    <w:tbl>
      <w:tblPr>
        <w:tblStyle w:val="TableGrid"/>
        <w:tblW w:w="0" w:type="auto"/>
        <w:tblLook w:val="04A0" w:firstRow="1" w:lastRow="0" w:firstColumn="1" w:lastColumn="0" w:noHBand="0" w:noVBand="1"/>
      </w:tblPr>
      <w:tblGrid>
        <w:gridCol w:w="4195"/>
        <w:gridCol w:w="1969"/>
        <w:gridCol w:w="1234"/>
        <w:gridCol w:w="236"/>
        <w:gridCol w:w="236"/>
        <w:gridCol w:w="1706"/>
      </w:tblGrid>
      <w:tr w:rsidR="004841F1" w:rsidRPr="001A42FC" w14:paraId="63B747D4" w14:textId="77777777" w:rsidTr="00CA5840">
        <w:trPr>
          <w:trHeight w:val="593"/>
        </w:trPr>
        <w:tc>
          <w:tcPr>
            <w:tcW w:w="4195" w:type="dxa"/>
            <w:tcBorders>
              <w:bottom w:val="single" w:sz="12" w:space="0" w:color="auto"/>
            </w:tcBorders>
            <w:shd w:val="clear" w:color="auto" w:fill="D9D9D9" w:themeFill="background1" w:themeFillShade="D9"/>
            <w:vAlign w:val="center"/>
          </w:tcPr>
          <w:p w14:paraId="63B747D0" w14:textId="77777777" w:rsidR="004841F1" w:rsidRPr="001A42FC" w:rsidRDefault="004841F1" w:rsidP="005D6F14">
            <w:pPr>
              <w:ind w:left="0"/>
              <w:jc w:val="center"/>
              <w:rPr>
                <w:b/>
              </w:rPr>
            </w:pPr>
            <w:r w:rsidRPr="001A42FC">
              <w:rPr>
                <w:b/>
              </w:rPr>
              <w:t>Staff (FTE)</w:t>
            </w:r>
          </w:p>
        </w:tc>
        <w:tc>
          <w:tcPr>
            <w:tcW w:w="1969" w:type="dxa"/>
            <w:tcBorders>
              <w:bottom w:val="single" w:sz="12" w:space="0" w:color="auto"/>
            </w:tcBorders>
            <w:shd w:val="clear" w:color="auto" w:fill="D9D9D9" w:themeFill="background1" w:themeFillShade="D9"/>
            <w:vAlign w:val="center"/>
          </w:tcPr>
          <w:p w14:paraId="63B747D1" w14:textId="77777777" w:rsidR="004841F1" w:rsidRPr="001A42FC" w:rsidRDefault="004841F1" w:rsidP="005D6F14">
            <w:pPr>
              <w:ind w:left="0"/>
              <w:jc w:val="center"/>
              <w:rPr>
                <w:b/>
              </w:rPr>
            </w:pPr>
            <w:r w:rsidRPr="001A42FC">
              <w:rPr>
                <w:b/>
              </w:rPr>
              <w:t>Average Hours per Collection</w:t>
            </w:r>
          </w:p>
        </w:tc>
        <w:tc>
          <w:tcPr>
            <w:tcW w:w="1706" w:type="dxa"/>
            <w:gridSpan w:val="3"/>
            <w:tcBorders>
              <w:bottom w:val="single" w:sz="12" w:space="0" w:color="auto"/>
            </w:tcBorders>
            <w:shd w:val="clear" w:color="auto" w:fill="D9D9D9" w:themeFill="background1" w:themeFillShade="D9"/>
            <w:vAlign w:val="center"/>
          </w:tcPr>
          <w:p w14:paraId="63B747D2" w14:textId="77777777" w:rsidR="004841F1" w:rsidRPr="001A42FC" w:rsidRDefault="004841F1" w:rsidP="005D6F14">
            <w:pPr>
              <w:ind w:left="0"/>
              <w:jc w:val="center"/>
              <w:rPr>
                <w:b/>
              </w:rPr>
            </w:pPr>
            <w:r w:rsidRPr="001A42FC">
              <w:rPr>
                <w:b/>
              </w:rPr>
              <w:t>Average Hourly Rate</w:t>
            </w:r>
          </w:p>
        </w:tc>
        <w:tc>
          <w:tcPr>
            <w:tcW w:w="1706" w:type="dxa"/>
            <w:tcBorders>
              <w:bottom w:val="single" w:sz="12" w:space="0" w:color="auto"/>
            </w:tcBorders>
            <w:shd w:val="clear" w:color="auto" w:fill="D9D9D9" w:themeFill="background1" w:themeFillShade="D9"/>
            <w:vAlign w:val="center"/>
          </w:tcPr>
          <w:p w14:paraId="63B747D3" w14:textId="77777777" w:rsidR="004841F1" w:rsidRPr="001A42FC" w:rsidRDefault="004841F1" w:rsidP="005D6F14">
            <w:pPr>
              <w:ind w:left="0"/>
              <w:jc w:val="center"/>
              <w:rPr>
                <w:b/>
              </w:rPr>
            </w:pPr>
            <w:r w:rsidRPr="001A42FC">
              <w:rPr>
                <w:b/>
              </w:rPr>
              <w:t>Average Cost</w:t>
            </w:r>
          </w:p>
        </w:tc>
      </w:tr>
      <w:tr w:rsidR="004841F1" w:rsidRPr="001A42FC" w14:paraId="63B747D9" w14:textId="77777777" w:rsidTr="00CA5840">
        <w:tc>
          <w:tcPr>
            <w:tcW w:w="4195" w:type="dxa"/>
            <w:tcBorders>
              <w:top w:val="single" w:sz="12" w:space="0" w:color="auto"/>
            </w:tcBorders>
          </w:tcPr>
          <w:p w14:paraId="63B747D5" w14:textId="77777777" w:rsidR="004841F1" w:rsidRPr="001A42FC" w:rsidRDefault="000D315D" w:rsidP="000D315D">
            <w:pPr>
              <w:ind w:left="0"/>
            </w:pPr>
            <w:r>
              <w:t>Lead Health Scientist:</w:t>
            </w:r>
            <w:r w:rsidR="00321B51" w:rsidRPr="001A42FC">
              <w:t xml:space="preserve"> </w:t>
            </w:r>
            <w:r>
              <w:t xml:space="preserve">(GS 14-4) CDC FTE, instrument development, OMB package preparation, overview of </w:t>
            </w:r>
            <w:r w:rsidR="00437C29">
              <w:t>information</w:t>
            </w:r>
            <w:r>
              <w:t xml:space="preserve"> analysis and report preparation.</w:t>
            </w:r>
          </w:p>
        </w:tc>
        <w:tc>
          <w:tcPr>
            <w:tcW w:w="1969" w:type="dxa"/>
            <w:tcBorders>
              <w:top w:val="single" w:sz="12" w:space="0" w:color="auto"/>
            </w:tcBorders>
          </w:tcPr>
          <w:p w14:paraId="63B747D6" w14:textId="77777777" w:rsidR="004841F1" w:rsidRPr="001A42FC" w:rsidRDefault="000D315D" w:rsidP="005D6F14">
            <w:pPr>
              <w:ind w:left="0"/>
              <w:jc w:val="center"/>
            </w:pPr>
            <w:r>
              <w:t>120</w:t>
            </w:r>
          </w:p>
        </w:tc>
        <w:tc>
          <w:tcPr>
            <w:tcW w:w="1706" w:type="dxa"/>
            <w:gridSpan w:val="3"/>
            <w:tcBorders>
              <w:top w:val="single" w:sz="12" w:space="0" w:color="auto"/>
            </w:tcBorders>
          </w:tcPr>
          <w:p w14:paraId="63B747D7" w14:textId="77777777" w:rsidR="004841F1" w:rsidRPr="001A42FC" w:rsidRDefault="000D315D" w:rsidP="005D6F14">
            <w:pPr>
              <w:ind w:left="0"/>
              <w:jc w:val="center"/>
            </w:pPr>
            <w:r>
              <w:t>$53.25</w:t>
            </w:r>
          </w:p>
        </w:tc>
        <w:tc>
          <w:tcPr>
            <w:tcW w:w="1706" w:type="dxa"/>
            <w:tcBorders>
              <w:top w:val="single" w:sz="12" w:space="0" w:color="auto"/>
            </w:tcBorders>
          </w:tcPr>
          <w:p w14:paraId="63B747D8" w14:textId="77777777" w:rsidR="004841F1" w:rsidRPr="001A42FC" w:rsidRDefault="000F1753" w:rsidP="005D6F14">
            <w:pPr>
              <w:ind w:left="0"/>
              <w:jc w:val="center"/>
            </w:pPr>
            <w:r>
              <w:t>$6,390</w:t>
            </w:r>
          </w:p>
        </w:tc>
      </w:tr>
      <w:tr w:rsidR="004841F1" w:rsidRPr="001A42FC" w14:paraId="63B747DE" w14:textId="77777777" w:rsidTr="00CA5840">
        <w:tc>
          <w:tcPr>
            <w:tcW w:w="4195" w:type="dxa"/>
          </w:tcPr>
          <w:p w14:paraId="63B747DA" w14:textId="77777777" w:rsidR="004824FA" w:rsidRPr="001A42FC" w:rsidRDefault="000D315D" w:rsidP="000A76B1">
            <w:pPr>
              <w:ind w:left="0"/>
            </w:pPr>
            <w:r>
              <w:t>ORISE Fellow</w:t>
            </w:r>
            <w:r w:rsidR="00BA5C0B" w:rsidRPr="001A42FC">
              <w:rPr>
                <w:color w:val="000000"/>
              </w:rPr>
              <w:t xml:space="preserve">: </w:t>
            </w:r>
            <w:r>
              <w:t xml:space="preserve">Instrument development, OMB </w:t>
            </w:r>
            <w:r w:rsidR="000A76B1">
              <w:t>request</w:t>
            </w:r>
            <w:r>
              <w:t xml:space="preserve"> preparation, overview of </w:t>
            </w:r>
            <w:r w:rsidR="00437C29">
              <w:t>information</w:t>
            </w:r>
            <w:r>
              <w:t xml:space="preserve"> analysis and report preparation. </w:t>
            </w:r>
          </w:p>
        </w:tc>
        <w:tc>
          <w:tcPr>
            <w:tcW w:w="1969" w:type="dxa"/>
          </w:tcPr>
          <w:p w14:paraId="63B747DB" w14:textId="77777777" w:rsidR="004841F1" w:rsidRPr="001A42FC" w:rsidRDefault="000D315D" w:rsidP="005D6F14">
            <w:pPr>
              <w:ind w:left="0"/>
              <w:jc w:val="center"/>
            </w:pPr>
            <w:r>
              <w:t>90</w:t>
            </w:r>
          </w:p>
        </w:tc>
        <w:tc>
          <w:tcPr>
            <w:tcW w:w="1706" w:type="dxa"/>
            <w:gridSpan w:val="3"/>
          </w:tcPr>
          <w:p w14:paraId="63B747DC" w14:textId="77777777" w:rsidR="004841F1" w:rsidRPr="001A42FC" w:rsidRDefault="000D315D" w:rsidP="005D6F14">
            <w:pPr>
              <w:ind w:left="0"/>
              <w:jc w:val="center"/>
            </w:pPr>
            <w:r>
              <w:t>$28.74</w:t>
            </w:r>
          </w:p>
        </w:tc>
        <w:tc>
          <w:tcPr>
            <w:tcW w:w="1706" w:type="dxa"/>
          </w:tcPr>
          <w:p w14:paraId="63B747DD" w14:textId="77777777" w:rsidR="004841F1" w:rsidRPr="001A42FC" w:rsidRDefault="000F1753" w:rsidP="005D6F14">
            <w:pPr>
              <w:ind w:left="0"/>
              <w:jc w:val="center"/>
            </w:pPr>
            <w:r>
              <w:t>$2586</w:t>
            </w:r>
          </w:p>
        </w:tc>
      </w:tr>
      <w:tr w:rsidR="004824FA" w:rsidRPr="001A42FC" w14:paraId="63B747E3" w14:textId="77777777" w:rsidTr="005D6F14">
        <w:tc>
          <w:tcPr>
            <w:tcW w:w="4195" w:type="dxa"/>
            <w:tcBorders>
              <w:bottom w:val="single" w:sz="4" w:space="0" w:color="auto"/>
            </w:tcBorders>
          </w:tcPr>
          <w:p w14:paraId="63B747DF" w14:textId="77777777" w:rsidR="004824FA" w:rsidRPr="001A42FC" w:rsidRDefault="00321B51" w:rsidP="00CA5840">
            <w:pPr>
              <w:ind w:left="0"/>
              <w:jc w:val="both"/>
            </w:pPr>
            <w:r w:rsidRPr="001A42FC">
              <w:t xml:space="preserve"> </w:t>
            </w:r>
            <w:r w:rsidR="00BA5C0B" w:rsidRPr="001A42FC">
              <w:t>Contractor</w:t>
            </w:r>
          </w:p>
        </w:tc>
        <w:tc>
          <w:tcPr>
            <w:tcW w:w="1969" w:type="dxa"/>
            <w:tcBorders>
              <w:bottom w:val="single" w:sz="4" w:space="0" w:color="auto"/>
            </w:tcBorders>
          </w:tcPr>
          <w:p w14:paraId="63B747E0" w14:textId="77777777" w:rsidR="004824FA" w:rsidRPr="001A42FC" w:rsidRDefault="004824FA" w:rsidP="005D6F14">
            <w:pPr>
              <w:ind w:left="0"/>
              <w:jc w:val="center"/>
            </w:pPr>
          </w:p>
        </w:tc>
        <w:tc>
          <w:tcPr>
            <w:tcW w:w="1706" w:type="dxa"/>
            <w:gridSpan w:val="3"/>
            <w:tcBorders>
              <w:bottom w:val="single" w:sz="4" w:space="0" w:color="auto"/>
            </w:tcBorders>
          </w:tcPr>
          <w:p w14:paraId="63B747E1" w14:textId="77777777" w:rsidR="004824FA" w:rsidRPr="001A42FC" w:rsidRDefault="004824FA" w:rsidP="005D6F14">
            <w:pPr>
              <w:ind w:left="0"/>
              <w:jc w:val="center"/>
            </w:pPr>
          </w:p>
        </w:tc>
        <w:tc>
          <w:tcPr>
            <w:tcW w:w="1706" w:type="dxa"/>
          </w:tcPr>
          <w:p w14:paraId="63B747E2" w14:textId="77777777" w:rsidR="004824FA" w:rsidRPr="001A42FC" w:rsidRDefault="000F1753" w:rsidP="005D6F14">
            <w:pPr>
              <w:ind w:left="0"/>
              <w:jc w:val="center"/>
            </w:pPr>
            <w:r>
              <w:t>$24,000</w:t>
            </w:r>
          </w:p>
        </w:tc>
      </w:tr>
      <w:tr w:rsidR="005D6F14" w:rsidRPr="001A42FC" w14:paraId="63B747E8" w14:textId="77777777" w:rsidTr="005D6F14">
        <w:trPr>
          <w:trHeight w:val="332"/>
        </w:trPr>
        <w:tc>
          <w:tcPr>
            <w:tcW w:w="7398" w:type="dxa"/>
            <w:gridSpan w:val="3"/>
            <w:tcBorders>
              <w:right w:val="nil"/>
            </w:tcBorders>
            <w:vAlign w:val="center"/>
          </w:tcPr>
          <w:p w14:paraId="63B747E4" w14:textId="77777777" w:rsidR="005D6F14" w:rsidRPr="001A42FC" w:rsidRDefault="005D6F14" w:rsidP="005D6F14">
            <w:pPr>
              <w:ind w:left="0"/>
              <w:jc w:val="right"/>
              <w:rPr>
                <w:b/>
              </w:rPr>
            </w:pPr>
            <w:r w:rsidRPr="001A42FC">
              <w:rPr>
                <w:b/>
              </w:rPr>
              <w:t>Estimated Total Cost of Information Collection</w:t>
            </w:r>
          </w:p>
        </w:tc>
        <w:tc>
          <w:tcPr>
            <w:tcW w:w="236" w:type="dxa"/>
            <w:tcBorders>
              <w:left w:val="nil"/>
              <w:right w:val="nil"/>
            </w:tcBorders>
            <w:vAlign w:val="center"/>
          </w:tcPr>
          <w:p w14:paraId="63B747E5" w14:textId="77777777" w:rsidR="005D6F14" w:rsidRPr="001A42FC" w:rsidRDefault="005D6F14" w:rsidP="00CA5840">
            <w:pPr>
              <w:ind w:left="0"/>
              <w:rPr>
                <w:b/>
              </w:rPr>
            </w:pPr>
          </w:p>
        </w:tc>
        <w:tc>
          <w:tcPr>
            <w:tcW w:w="236" w:type="dxa"/>
            <w:tcBorders>
              <w:left w:val="nil"/>
            </w:tcBorders>
            <w:vAlign w:val="center"/>
          </w:tcPr>
          <w:p w14:paraId="63B747E6" w14:textId="77777777" w:rsidR="005D6F14" w:rsidRPr="001A42FC" w:rsidRDefault="005D6F14" w:rsidP="00CA5840">
            <w:pPr>
              <w:ind w:left="0"/>
              <w:rPr>
                <w:b/>
              </w:rPr>
            </w:pPr>
          </w:p>
        </w:tc>
        <w:tc>
          <w:tcPr>
            <w:tcW w:w="1706" w:type="dxa"/>
            <w:vAlign w:val="center"/>
          </w:tcPr>
          <w:p w14:paraId="63B747E7" w14:textId="77777777" w:rsidR="005D6F14" w:rsidRPr="001A42FC" w:rsidRDefault="000D315D" w:rsidP="00EE706B">
            <w:pPr>
              <w:ind w:left="0"/>
              <w:jc w:val="center"/>
              <w:rPr>
                <w:b/>
              </w:rPr>
            </w:pPr>
            <w:r>
              <w:rPr>
                <w:b/>
              </w:rPr>
              <w:t>$32,97</w:t>
            </w:r>
            <w:r w:rsidR="00EE706B">
              <w:rPr>
                <w:b/>
              </w:rPr>
              <w:t>7</w:t>
            </w:r>
          </w:p>
        </w:tc>
      </w:tr>
    </w:tbl>
    <w:p w14:paraId="63B747E9" w14:textId="77777777" w:rsidR="005D6F14" w:rsidRPr="001A42FC" w:rsidRDefault="005D6F14" w:rsidP="00441CC3">
      <w:pPr>
        <w:ind w:left="0"/>
      </w:pPr>
    </w:p>
    <w:p w14:paraId="63B747EA" w14:textId="77777777" w:rsidR="00B12F51" w:rsidRPr="00DF2D5C" w:rsidRDefault="00D75750" w:rsidP="00DF2D5C">
      <w:pPr>
        <w:pStyle w:val="Heading1"/>
        <w:numPr>
          <w:ilvl w:val="0"/>
          <w:numId w:val="43"/>
        </w:numPr>
        <w:jc w:val="left"/>
        <w:rPr>
          <w:sz w:val="24"/>
          <w:szCs w:val="24"/>
        </w:rPr>
      </w:pPr>
      <w:bookmarkStart w:id="29" w:name="_Toc416705709"/>
      <w:r w:rsidRPr="00DF2D5C">
        <w:rPr>
          <w:sz w:val="24"/>
          <w:szCs w:val="24"/>
        </w:rPr>
        <w:t>Explanation for Program Changes or Adjustments</w:t>
      </w:r>
      <w:bookmarkEnd w:id="29"/>
    </w:p>
    <w:p w14:paraId="63B747EB" w14:textId="77777777" w:rsidR="00EE706B" w:rsidRDefault="00EE706B" w:rsidP="00EE706B">
      <w:pPr>
        <w:ind w:left="0"/>
      </w:pPr>
      <w:r w:rsidRPr="00EE706B">
        <w:t>This is a new information collection.</w:t>
      </w:r>
    </w:p>
    <w:p w14:paraId="63B747EC" w14:textId="77777777" w:rsidR="002F1045" w:rsidRPr="00EE706B" w:rsidRDefault="002F1045" w:rsidP="00EE706B">
      <w:pPr>
        <w:ind w:left="0"/>
      </w:pPr>
    </w:p>
    <w:p w14:paraId="63B747ED" w14:textId="77777777" w:rsidR="00B12F51" w:rsidRPr="00DF2D5C" w:rsidRDefault="00616090" w:rsidP="00DF2D5C">
      <w:pPr>
        <w:pStyle w:val="Heading1"/>
        <w:numPr>
          <w:ilvl w:val="0"/>
          <w:numId w:val="43"/>
        </w:numPr>
        <w:jc w:val="left"/>
        <w:rPr>
          <w:sz w:val="24"/>
          <w:szCs w:val="24"/>
        </w:rPr>
      </w:pPr>
      <w:bookmarkStart w:id="30" w:name="_Toc416705710"/>
      <w:r w:rsidRPr="00DF2D5C">
        <w:rPr>
          <w:sz w:val="24"/>
          <w:szCs w:val="24"/>
        </w:rPr>
        <w:t>Plan</w:t>
      </w:r>
      <w:r w:rsidR="00D75750" w:rsidRPr="00DF2D5C">
        <w:rPr>
          <w:sz w:val="24"/>
          <w:szCs w:val="24"/>
        </w:rPr>
        <w:t>s for Tabulation and Publication and Project Time Schedule</w:t>
      </w:r>
      <w:bookmarkEnd w:id="30"/>
    </w:p>
    <w:p w14:paraId="63B747EE" w14:textId="77777777" w:rsidR="00811C6E" w:rsidRPr="001A42FC" w:rsidRDefault="00437C29" w:rsidP="007C1625">
      <w:pPr>
        <w:ind w:left="0"/>
      </w:pPr>
      <w:r>
        <w:t>Information</w:t>
      </w:r>
      <w:r w:rsidR="00811C6E" w:rsidRPr="001A42FC">
        <w:t xml:space="preserve"> will be exported from </w:t>
      </w:r>
      <w:r w:rsidR="00E631E2" w:rsidRPr="001A42FC">
        <w:t xml:space="preserve">Novi Survey Software </w:t>
      </w:r>
      <w:r w:rsidR="00811C6E" w:rsidRPr="001A42FC">
        <w:t xml:space="preserve">into a Microsoft Excel file. </w:t>
      </w:r>
      <w:r>
        <w:t>Information</w:t>
      </w:r>
      <w:r w:rsidR="000A76B1">
        <w:t xml:space="preserve"> will be reviewed for comple</w:t>
      </w:r>
      <w:r w:rsidR="00A95948">
        <w:t>te</w:t>
      </w:r>
      <w:r w:rsidR="000A76B1">
        <w:t>ness</w:t>
      </w:r>
      <w:r w:rsidR="00811C6E" w:rsidRPr="001A42FC">
        <w:t xml:space="preserve"> and simple descriptive statistics will be run looking at response </w:t>
      </w:r>
      <w:r w:rsidR="00811C6E" w:rsidRPr="001A42FC">
        <w:lastRenderedPageBreak/>
        <w:t xml:space="preserve">frequencies.  Depending on the response distribution, frequencies may be cross-tabulated to identify response similarities and differences among respondents who work for </w:t>
      </w:r>
      <w:r w:rsidR="000A76B1">
        <w:t>a</w:t>
      </w:r>
      <w:r w:rsidR="00811C6E" w:rsidRPr="001A42FC">
        <w:t xml:space="preserve"> Department of Public Health as compared to those based in </w:t>
      </w:r>
      <w:r w:rsidR="000A76B1">
        <w:t>a</w:t>
      </w:r>
      <w:r w:rsidR="00811C6E" w:rsidRPr="001A42FC">
        <w:t xml:space="preserve"> Department of Education. These findings will be </w:t>
      </w:r>
      <w:r w:rsidR="000A76B1">
        <w:t xml:space="preserve">representative only of </w:t>
      </w:r>
      <w:r w:rsidR="00811C6E" w:rsidRPr="001A42FC">
        <w:t xml:space="preserve">the response pool and not the total population of professionals working in state health and education departments to advance school health strategies. </w:t>
      </w:r>
    </w:p>
    <w:p w14:paraId="63B747EF" w14:textId="77777777" w:rsidR="00811C6E" w:rsidRPr="001A42FC" w:rsidRDefault="00811C6E" w:rsidP="00811C6E"/>
    <w:p w14:paraId="63B747F0" w14:textId="77777777" w:rsidR="00811C6E" w:rsidRPr="001A42FC" w:rsidRDefault="00811C6E" w:rsidP="007C1625">
      <w:pPr>
        <w:ind w:left="0"/>
      </w:pPr>
      <w:r w:rsidRPr="001A42FC">
        <w:t xml:space="preserve">Following </w:t>
      </w:r>
      <w:r w:rsidR="00437C29">
        <w:t>information</w:t>
      </w:r>
      <w:r w:rsidRPr="001A42FC">
        <w:t xml:space="preserve"> analysis, key findings will be shared with several audiences:</w:t>
      </w:r>
    </w:p>
    <w:p w14:paraId="63B747F1" w14:textId="77777777" w:rsidR="00811C6E" w:rsidRPr="001A42FC" w:rsidRDefault="00583281" w:rsidP="007C1625">
      <w:pPr>
        <w:pStyle w:val="ListParagraph"/>
        <w:numPr>
          <w:ilvl w:val="0"/>
          <w:numId w:val="41"/>
        </w:numPr>
        <w:ind w:left="360"/>
      </w:pPr>
      <w:r>
        <w:t>SHB</w:t>
      </w:r>
      <w:r w:rsidR="007C1625">
        <w:t xml:space="preserve"> staff</w:t>
      </w:r>
      <w:r w:rsidR="00811C6E" w:rsidRPr="001A42FC">
        <w:t xml:space="preserve">, and internal and external collaborators involved with the development of the </w:t>
      </w:r>
      <w:r w:rsidR="001A42FC" w:rsidRPr="001A42FC">
        <w:t xml:space="preserve">Health and Academic Achievement Translation tools and the updated School Health Index </w:t>
      </w:r>
      <w:r w:rsidR="00811C6E" w:rsidRPr="001A42FC">
        <w:t xml:space="preserve">and other resources that address </w:t>
      </w:r>
      <w:r w:rsidR="001A42FC">
        <w:t>chronic disease prevention in schools</w:t>
      </w:r>
    </w:p>
    <w:p w14:paraId="63B747F2" w14:textId="77777777" w:rsidR="00811C6E" w:rsidRPr="001A42FC" w:rsidRDefault="00811C6E" w:rsidP="007C1625">
      <w:pPr>
        <w:pStyle w:val="ListParagraph"/>
        <w:numPr>
          <w:ilvl w:val="0"/>
          <w:numId w:val="41"/>
        </w:numPr>
        <w:ind w:left="360"/>
      </w:pPr>
      <w:r w:rsidRPr="001A42FC">
        <w:t xml:space="preserve">Communications team that works to disseminate </w:t>
      </w:r>
      <w:r w:rsidR="00583281">
        <w:t>SHB</w:t>
      </w:r>
      <w:r w:rsidRPr="001A42FC">
        <w:t xml:space="preserve"> products to priority end users</w:t>
      </w:r>
    </w:p>
    <w:p w14:paraId="63B747F3" w14:textId="77777777" w:rsidR="00811C6E" w:rsidRPr="001A42FC" w:rsidRDefault="00811C6E" w:rsidP="007C1625">
      <w:pPr>
        <w:pStyle w:val="ListParagraph"/>
        <w:numPr>
          <w:ilvl w:val="0"/>
          <w:numId w:val="41"/>
        </w:numPr>
        <w:ind w:left="360"/>
      </w:pPr>
      <w:r w:rsidRPr="001A42FC">
        <w:t xml:space="preserve">Partner agencies that have helped to disseminate the </w:t>
      </w:r>
      <w:r w:rsidR="001A42FC" w:rsidRPr="001A42FC">
        <w:t>Health and Academic Achievement Translation tools and the updated School Health Index</w:t>
      </w:r>
    </w:p>
    <w:p w14:paraId="63B747F4" w14:textId="77777777" w:rsidR="00811C6E" w:rsidRPr="001A42FC" w:rsidRDefault="00811C6E" w:rsidP="007C1625">
      <w:pPr>
        <w:ind w:left="0"/>
      </w:pPr>
    </w:p>
    <w:p w14:paraId="63B747F5" w14:textId="77777777" w:rsidR="002F1045" w:rsidRPr="001A42FC" w:rsidRDefault="00811C6E" w:rsidP="002F1045">
      <w:pPr>
        <w:ind w:left="0"/>
      </w:pPr>
      <w:r w:rsidRPr="001A42FC">
        <w:t xml:space="preserve">We expect that our findings will inform dissemination approaches as well as potential revisions and/or additions to the resources we make available to support efforts to </w:t>
      </w:r>
      <w:r w:rsidR="001A42FC" w:rsidRPr="001A42FC">
        <w:t xml:space="preserve">address </w:t>
      </w:r>
      <w:r w:rsidR="001A42FC">
        <w:t>chronic disease prevention in schools</w:t>
      </w:r>
      <w:r w:rsidRPr="001A42FC">
        <w:t>.</w:t>
      </w:r>
      <w:r w:rsidR="002F1045">
        <w:t xml:space="preserve"> </w:t>
      </w:r>
    </w:p>
    <w:p w14:paraId="63B747F6" w14:textId="77777777" w:rsidR="00811C6E" w:rsidRPr="001A42FC" w:rsidRDefault="00811C6E" w:rsidP="007C1625">
      <w:pPr>
        <w:ind w:left="0"/>
      </w:pPr>
    </w:p>
    <w:p w14:paraId="63B747F7" w14:textId="77777777" w:rsidR="000058E0" w:rsidRPr="001A42FC" w:rsidRDefault="000058E0" w:rsidP="00811C6E">
      <w:pPr>
        <w:ind w:left="0"/>
        <w:rPr>
          <w:rFonts w:cs="Arial"/>
          <w:b/>
        </w:rPr>
      </w:pPr>
    </w:p>
    <w:p w14:paraId="63B747F8" w14:textId="77777777" w:rsidR="00BA5C0B" w:rsidRPr="001A42FC" w:rsidRDefault="008C59E7" w:rsidP="00BA5C0B">
      <w:pPr>
        <w:rPr>
          <w:u w:val="single"/>
        </w:rPr>
      </w:pPr>
      <w:r w:rsidRPr="001A42FC">
        <w:rPr>
          <w:rFonts w:cs="Arial"/>
          <w:u w:val="single"/>
        </w:rPr>
        <w:t>Project Time Schedule</w:t>
      </w:r>
      <w:r w:rsidR="00BB090C" w:rsidRPr="001A42FC">
        <w:rPr>
          <w:rFonts w:cs="Arial"/>
        </w:rPr>
        <w:t xml:space="preserve">  </w:t>
      </w:r>
    </w:p>
    <w:tbl>
      <w:tblPr>
        <w:tblStyle w:val="MediumShading1-Accent1"/>
        <w:tblW w:w="0" w:type="auto"/>
        <w:tblInd w:w="288" w:type="dxa"/>
        <w:tblLook w:val="04A0" w:firstRow="1" w:lastRow="0" w:firstColumn="1" w:lastColumn="0" w:noHBand="0" w:noVBand="1"/>
      </w:tblPr>
      <w:tblGrid>
        <w:gridCol w:w="5490"/>
        <w:gridCol w:w="3078"/>
      </w:tblGrid>
      <w:tr w:rsidR="00BA5C0B" w:rsidRPr="001A42FC" w14:paraId="63B747FB" w14:textId="77777777" w:rsidTr="00B327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hideMark/>
          </w:tcPr>
          <w:p w14:paraId="63B747F9" w14:textId="77777777" w:rsidR="00BA5C0B" w:rsidRPr="001A42FC" w:rsidRDefault="00BA5C0B" w:rsidP="00B32786">
            <w:pPr>
              <w:ind w:left="0"/>
            </w:pPr>
            <w:r w:rsidRPr="001A42FC">
              <w:t>Task</w:t>
            </w:r>
          </w:p>
        </w:tc>
        <w:tc>
          <w:tcPr>
            <w:tcW w:w="3078" w:type="dxa"/>
            <w:hideMark/>
          </w:tcPr>
          <w:p w14:paraId="63B747FA" w14:textId="77777777" w:rsidR="00BA5C0B" w:rsidRPr="001A42FC" w:rsidRDefault="00BA5C0B" w:rsidP="00B32786">
            <w:pPr>
              <w:ind w:left="0"/>
              <w:cnfStyle w:val="100000000000" w:firstRow="1" w:lastRow="0" w:firstColumn="0" w:lastColumn="0" w:oddVBand="0" w:evenVBand="0" w:oddHBand="0" w:evenHBand="0" w:firstRowFirstColumn="0" w:firstRowLastColumn="0" w:lastRowFirstColumn="0" w:lastRowLastColumn="0"/>
            </w:pPr>
            <w:r w:rsidRPr="001A42FC">
              <w:t>Timeline/Time to Completion</w:t>
            </w:r>
          </w:p>
        </w:tc>
      </w:tr>
      <w:tr w:rsidR="00BA5C0B" w:rsidRPr="001A42FC" w14:paraId="63B747FE"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4" w:space="0" w:color="auto"/>
            </w:tcBorders>
            <w:hideMark/>
          </w:tcPr>
          <w:p w14:paraId="63B747FC" w14:textId="77777777" w:rsidR="00BA5C0B" w:rsidRPr="001A42FC" w:rsidRDefault="00BA5C0B" w:rsidP="00B32786">
            <w:pPr>
              <w:ind w:left="0"/>
              <w:rPr>
                <w:i/>
              </w:rPr>
            </w:pPr>
            <w:r w:rsidRPr="001A42FC">
              <w:rPr>
                <w:i/>
              </w:rPr>
              <w:t>Project Timeline Schedule for Parts I and II</w:t>
            </w:r>
          </w:p>
        </w:tc>
        <w:tc>
          <w:tcPr>
            <w:tcW w:w="3078" w:type="dxa"/>
            <w:tcBorders>
              <w:top w:val="single" w:sz="8" w:space="0" w:color="7BA0CD" w:themeColor="accent1" w:themeTint="BF"/>
              <w:bottom w:val="single" w:sz="4" w:space="0" w:color="auto"/>
              <w:right w:val="single" w:sz="8" w:space="0" w:color="7BA0CD" w:themeColor="accent1" w:themeTint="BF"/>
            </w:tcBorders>
            <w:hideMark/>
          </w:tcPr>
          <w:p w14:paraId="63B747FD" w14:textId="77777777" w:rsidR="00BA5C0B" w:rsidRPr="001A42FC" w:rsidRDefault="00811C6E" w:rsidP="00EF33E7">
            <w:pPr>
              <w:ind w:left="0"/>
              <w:cnfStyle w:val="000000100000" w:firstRow="0" w:lastRow="0" w:firstColumn="0" w:lastColumn="0" w:oddVBand="0" w:evenVBand="0" w:oddHBand="1" w:evenHBand="0" w:firstRowFirstColumn="0" w:firstRowLastColumn="0" w:lastRowFirstColumn="0" w:lastRowLastColumn="0"/>
              <w:rPr>
                <w:b/>
              </w:rPr>
            </w:pPr>
            <w:r w:rsidRPr="001A42FC">
              <w:rPr>
                <w:b/>
                <w:i/>
              </w:rPr>
              <w:t>January</w:t>
            </w:r>
            <w:r w:rsidR="00BA5C0B" w:rsidRPr="001A42FC">
              <w:rPr>
                <w:b/>
                <w:i/>
              </w:rPr>
              <w:t xml:space="preserve"> 201</w:t>
            </w:r>
            <w:r w:rsidRPr="001A42FC">
              <w:rPr>
                <w:b/>
                <w:i/>
              </w:rPr>
              <w:t>5</w:t>
            </w:r>
            <w:r w:rsidR="00BA5C0B" w:rsidRPr="001A42FC">
              <w:rPr>
                <w:b/>
                <w:i/>
              </w:rPr>
              <w:t>-</w:t>
            </w:r>
            <w:r w:rsidR="00EF33E7" w:rsidRPr="001A42FC">
              <w:rPr>
                <w:b/>
                <w:i/>
              </w:rPr>
              <w:t>Ju</w:t>
            </w:r>
            <w:r w:rsidR="00EF33E7">
              <w:rPr>
                <w:b/>
                <w:i/>
              </w:rPr>
              <w:t>ly</w:t>
            </w:r>
            <w:r w:rsidR="00EF33E7" w:rsidRPr="001A42FC">
              <w:rPr>
                <w:b/>
                <w:i/>
              </w:rPr>
              <w:t xml:space="preserve"> </w:t>
            </w:r>
            <w:r w:rsidR="00BA5C0B" w:rsidRPr="001A42FC">
              <w:rPr>
                <w:b/>
                <w:i/>
              </w:rPr>
              <w:t>2015</w:t>
            </w:r>
          </w:p>
        </w:tc>
      </w:tr>
      <w:tr w:rsidR="00BA5C0B" w:rsidRPr="001A42FC" w14:paraId="63B74801"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left w:val="single" w:sz="8" w:space="0" w:color="7BA0CD" w:themeColor="accent1" w:themeTint="BF"/>
              <w:bottom w:val="single" w:sz="8" w:space="0" w:color="7BA0CD" w:themeColor="accent1" w:themeTint="BF"/>
            </w:tcBorders>
            <w:hideMark/>
          </w:tcPr>
          <w:p w14:paraId="63B747FF" w14:textId="77777777" w:rsidR="00BA5C0B" w:rsidRPr="001A42FC" w:rsidRDefault="00BA5C0B" w:rsidP="00BA5C0B">
            <w:pPr>
              <w:pStyle w:val="ListParagraph"/>
              <w:numPr>
                <w:ilvl w:val="0"/>
                <w:numId w:val="40"/>
              </w:numPr>
              <w:rPr>
                <w:b w:val="0"/>
                <w:bCs w:val="0"/>
              </w:rPr>
            </w:pPr>
            <w:r w:rsidRPr="001A42FC">
              <w:rPr>
                <w:b w:val="0"/>
                <w:bCs w:val="0"/>
              </w:rPr>
              <w:t>Launch Health and Academic Achievement Translation Document and PPT slide deck</w:t>
            </w:r>
          </w:p>
        </w:tc>
        <w:tc>
          <w:tcPr>
            <w:tcW w:w="3078" w:type="dxa"/>
            <w:tcBorders>
              <w:top w:val="single" w:sz="4" w:space="0" w:color="auto"/>
              <w:bottom w:val="single" w:sz="8" w:space="0" w:color="7BA0CD" w:themeColor="accent1" w:themeTint="BF"/>
              <w:right w:val="single" w:sz="8" w:space="0" w:color="7BA0CD" w:themeColor="accent1" w:themeTint="BF"/>
            </w:tcBorders>
            <w:hideMark/>
          </w:tcPr>
          <w:p w14:paraId="63B74800" w14:textId="77777777" w:rsidR="00BA5C0B" w:rsidRPr="001A42FC" w:rsidRDefault="00BA5C0B" w:rsidP="00B32786">
            <w:pPr>
              <w:ind w:left="0"/>
              <w:cnfStyle w:val="000000010000" w:firstRow="0" w:lastRow="0" w:firstColumn="0" w:lastColumn="0" w:oddVBand="0" w:evenVBand="0" w:oddHBand="0" w:evenHBand="1" w:firstRowFirstColumn="0" w:firstRowLastColumn="0" w:lastRowFirstColumn="0" w:lastRowLastColumn="0"/>
              <w:rPr>
                <w:i/>
              </w:rPr>
            </w:pPr>
            <w:r w:rsidRPr="001A42FC">
              <w:rPr>
                <w:i/>
              </w:rPr>
              <w:t>Complete</w:t>
            </w:r>
          </w:p>
        </w:tc>
      </w:tr>
      <w:tr w:rsidR="00BA5C0B" w:rsidRPr="001A42FC" w14:paraId="63B74804"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4" w:space="0" w:color="auto"/>
              <w:left w:val="single" w:sz="8" w:space="0" w:color="7BA0CD" w:themeColor="accent1" w:themeTint="BF"/>
              <w:bottom w:val="single" w:sz="8" w:space="0" w:color="7BA0CD" w:themeColor="accent1" w:themeTint="BF"/>
            </w:tcBorders>
          </w:tcPr>
          <w:p w14:paraId="63B74802" w14:textId="77777777" w:rsidR="00BA5C0B" w:rsidRPr="001A42FC" w:rsidRDefault="00BA5C0B" w:rsidP="00BA5C0B">
            <w:pPr>
              <w:pStyle w:val="ListParagraph"/>
              <w:numPr>
                <w:ilvl w:val="0"/>
                <w:numId w:val="40"/>
              </w:numPr>
            </w:pPr>
            <w:r w:rsidRPr="001A42FC">
              <w:rPr>
                <w:b w:val="0"/>
                <w:bCs w:val="0"/>
              </w:rPr>
              <w:t>Launch Updated School Health Index</w:t>
            </w:r>
          </w:p>
        </w:tc>
        <w:tc>
          <w:tcPr>
            <w:tcW w:w="3078" w:type="dxa"/>
            <w:tcBorders>
              <w:top w:val="single" w:sz="4" w:space="0" w:color="auto"/>
              <w:bottom w:val="single" w:sz="8" w:space="0" w:color="7BA0CD" w:themeColor="accent1" w:themeTint="BF"/>
              <w:right w:val="single" w:sz="8" w:space="0" w:color="7BA0CD" w:themeColor="accent1" w:themeTint="BF"/>
            </w:tcBorders>
          </w:tcPr>
          <w:p w14:paraId="63B74803" w14:textId="77777777" w:rsidR="00BA5C0B" w:rsidRPr="001A42FC" w:rsidRDefault="00BA5C0B" w:rsidP="00B32786">
            <w:pPr>
              <w:ind w:left="0"/>
              <w:cnfStyle w:val="000000100000" w:firstRow="0" w:lastRow="0" w:firstColumn="0" w:lastColumn="0" w:oddVBand="0" w:evenVBand="0" w:oddHBand="1" w:evenHBand="0" w:firstRowFirstColumn="0" w:firstRowLastColumn="0" w:lastRowFirstColumn="0" w:lastRowLastColumn="0"/>
              <w:rPr>
                <w:i/>
              </w:rPr>
            </w:pPr>
            <w:r w:rsidRPr="001A42FC">
              <w:rPr>
                <w:i/>
              </w:rPr>
              <w:t>Complete</w:t>
            </w:r>
          </w:p>
        </w:tc>
      </w:tr>
      <w:tr w:rsidR="00BA5C0B" w:rsidRPr="001A42FC" w14:paraId="63B74807"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05" w14:textId="77777777" w:rsidR="00BA5C0B" w:rsidRPr="001A42FC" w:rsidRDefault="00BA5C0B" w:rsidP="00BA5C0B">
            <w:pPr>
              <w:pStyle w:val="ListParagraph"/>
              <w:numPr>
                <w:ilvl w:val="0"/>
                <w:numId w:val="40"/>
              </w:numPr>
              <w:rPr>
                <w:b w:val="0"/>
                <w:bCs w:val="0"/>
              </w:rPr>
            </w:pPr>
            <w:r w:rsidRPr="001A42FC">
              <w:rPr>
                <w:b w:val="0"/>
                <w:bCs w:val="0"/>
              </w:rPr>
              <w:t>Track web metrics</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06" w14:textId="77777777" w:rsidR="00BA5C0B" w:rsidRPr="001A42FC" w:rsidRDefault="00BA5C0B" w:rsidP="00B32786">
            <w:pPr>
              <w:ind w:left="0"/>
              <w:cnfStyle w:val="000000010000" w:firstRow="0" w:lastRow="0" w:firstColumn="0" w:lastColumn="0" w:oddVBand="0" w:evenVBand="0" w:oddHBand="0" w:evenHBand="1" w:firstRowFirstColumn="0" w:firstRowLastColumn="0" w:lastRowFirstColumn="0" w:lastRowLastColumn="0"/>
              <w:rPr>
                <w:i/>
              </w:rPr>
            </w:pPr>
            <w:r w:rsidRPr="001A42FC">
              <w:rPr>
                <w:i/>
              </w:rPr>
              <w:t>Ongoing</w:t>
            </w:r>
          </w:p>
        </w:tc>
      </w:tr>
      <w:tr w:rsidR="00BA5C0B" w:rsidRPr="001A42FC" w14:paraId="63B7480A"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08" w14:textId="77777777" w:rsidR="00BA5C0B" w:rsidRPr="001A42FC" w:rsidRDefault="00BA5C0B" w:rsidP="00BA5C0B">
            <w:pPr>
              <w:pStyle w:val="ListParagraph"/>
              <w:numPr>
                <w:ilvl w:val="0"/>
                <w:numId w:val="40"/>
              </w:numPr>
              <w:rPr>
                <w:b w:val="0"/>
              </w:rPr>
            </w:pPr>
            <w:r w:rsidRPr="001A42FC">
              <w:rPr>
                <w:b w:val="0"/>
              </w:rPr>
              <w:t>Design assessment and feedback instruments</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09" w14:textId="77777777" w:rsidR="00BA5C0B" w:rsidRPr="001A42FC" w:rsidRDefault="00BA5C0B" w:rsidP="00B32786">
            <w:pPr>
              <w:ind w:left="0"/>
              <w:cnfStyle w:val="000000100000" w:firstRow="0" w:lastRow="0" w:firstColumn="0" w:lastColumn="0" w:oddVBand="0" w:evenVBand="0" w:oddHBand="1" w:evenHBand="0" w:firstRowFirstColumn="0" w:firstRowLastColumn="0" w:lastRowFirstColumn="0" w:lastRowLastColumn="0"/>
              <w:rPr>
                <w:i/>
              </w:rPr>
            </w:pPr>
            <w:r w:rsidRPr="001A42FC">
              <w:rPr>
                <w:i/>
              </w:rPr>
              <w:t>Complete</w:t>
            </w:r>
          </w:p>
        </w:tc>
      </w:tr>
      <w:tr w:rsidR="00BA5C0B" w:rsidRPr="001A42FC" w14:paraId="63B7480D"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0B" w14:textId="77777777" w:rsidR="00BA5C0B" w:rsidRPr="001A42FC" w:rsidRDefault="00BA5C0B" w:rsidP="00BA5C0B">
            <w:pPr>
              <w:pStyle w:val="ListParagraph"/>
              <w:numPr>
                <w:ilvl w:val="0"/>
                <w:numId w:val="40"/>
              </w:numPr>
              <w:rPr>
                <w:b w:val="0"/>
              </w:rPr>
            </w:pPr>
            <w:r w:rsidRPr="001A42FC">
              <w:rPr>
                <w:b w:val="0"/>
              </w:rPr>
              <w:t>Develop assessment protocols, instructions, follow up notifications, and analysis plan</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0C" w14:textId="77777777" w:rsidR="00BA5C0B" w:rsidRPr="001A42FC" w:rsidRDefault="00BA5C0B" w:rsidP="00B32786">
            <w:pPr>
              <w:ind w:left="0"/>
              <w:cnfStyle w:val="000000010000" w:firstRow="0" w:lastRow="0" w:firstColumn="0" w:lastColumn="0" w:oddVBand="0" w:evenVBand="0" w:oddHBand="0" w:evenHBand="1" w:firstRowFirstColumn="0" w:firstRowLastColumn="0" w:lastRowFirstColumn="0" w:lastRowLastColumn="0"/>
              <w:rPr>
                <w:i/>
              </w:rPr>
            </w:pPr>
            <w:r w:rsidRPr="001A42FC">
              <w:rPr>
                <w:i/>
              </w:rPr>
              <w:t>Complete</w:t>
            </w:r>
          </w:p>
        </w:tc>
      </w:tr>
      <w:tr w:rsidR="00BA5C0B" w:rsidRPr="001A42FC" w14:paraId="63B74810"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0E" w14:textId="77777777" w:rsidR="00BA5C0B" w:rsidRPr="001A42FC" w:rsidRDefault="00BA5C0B" w:rsidP="00BA5C0B">
            <w:pPr>
              <w:pStyle w:val="ListParagraph"/>
              <w:numPr>
                <w:ilvl w:val="0"/>
                <w:numId w:val="40"/>
              </w:numPr>
              <w:rPr>
                <w:b w:val="0"/>
              </w:rPr>
            </w:pPr>
            <w:r w:rsidRPr="001A42FC">
              <w:rPr>
                <w:b w:val="0"/>
              </w:rPr>
              <w:t>Pilot test assessment instruments</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0F" w14:textId="77777777" w:rsidR="00BA5C0B" w:rsidRPr="001A42FC" w:rsidRDefault="00BA5C0B" w:rsidP="00B32786">
            <w:pPr>
              <w:ind w:left="0"/>
              <w:cnfStyle w:val="000000100000" w:firstRow="0" w:lastRow="0" w:firstColumn="0" w:lastColumn="0" w:oddVBand="0" w:evenVBand="0" w:oddHBand="1" w:evenHBand="0" w:firstRowFirstColumn="0" w:firstRowLastColumn="0" w:lastRowFirstColumn="0" w:lastRowLastColumn="0"/>
              <w:rPr>
                <w:i/>
              </w:rPr>
            </w:pPr>
            <w:r w:rsidRPr="001A42FC">
              <w:rPr>
                <w:i/>
              </w:rPr>
              <w:t>Complete</w:t>
            </w:r>
          </w:p>
        </w:tc>
      </w:tr>
      <w:tr w:rsidR="00BA5C0B" w:rsidRPr="001A42FC" w14:paraId="63B74813"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11" w14:textId="77777777" w:rsidR="00BA5C0B" w:rsidRPr="001A42FC" w:rsidRDefault="00BA5C0B" w:rsidP="00BA5C0B">
            <w:pPr>
              <w:pStyle w:val="ListParagraph"/>
              <w:numPr>
                <w:ilvl w:val="0"/>
                <w:numId w:val="40"/>
              </w:numPr>
              <w:rPr>
                <w:b w:val="0"/>
              </w:rPr>
            </w:pPr>
            <w:r w:rsidRPr="001A42FC">
              <w:rPr>
                <w:b w:val="0"/>
              </w:rPr>
              <w:t>Prepare Generic Clearance Package</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12" w14:textId="77777777" w:rsidR="00BA5C0B" w:rsidRPr="001A42FC" w:rsidRDefault="00BA5C0B" w:rsidP="00B32786">
            <w:pPr>
              <w:ind w:left="0"/>
              <w:cnfStyle w:val="000000010000" w:firstRow="0" w:lastRow="0" w:firstColumn="0" w:lastColumn="0" w:oddVBand="0" w:evenVBand="0" w:oddHBand="0" w:evenHBand="1" w:firstRowFirstColumn="0" w:firstRowLastColumn="0" w:lastRowFirstColumn="0" w:lastRowLastColumn="0"/>
              <w:rPr>
                <w:i/>
              </w:rPr>
            </w:pPr>
            <w:r w:rsidRPr="001A42FC">
              <w:rPr>
                <w:i/>
              </w:rPr>
              <w:t>Complete</w:t>
            </w:r>
          </w:p>
        </w:tc>
      </w:tr>
      <w:tr w:rsidR="00BA5C0B" w:rsidRPr="001A42FC" w14:paraId="63B74816"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14" w14:textId="77777777" w:rsidR="00BA5C0B" w:rsidRPr="001A42FC" w:rsidRDefault="00BA5C0B" w:rsidP="00BA5C0B">
            <w:pPr>
              <w:pStyle w:val="ListParagraph"/>
              <w:numPr>
                <w:ilvl w:val="0"/>
                <w:numId w:val="40"/>
              </w:numPr>
              <w:rPr>
                <w:b w:val="0"/>
              </w:rPr>
            </w:pPr>
            <w:r w:rsidRPr="001A42FC">
              <w:rPr>
                <w:b w:val="0"/>
              </w:rPr>
              <w:t>Submit Generic Clearance Package</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15" w14:textId="77777777" w:rsidR="00BA5C0B" w:rsidRPr="001A42FC" w:rsidRDefault="00BA5C0B" w:rsidP="00B32786">
            <w:pPr>
              <w:ind w:left="0"/>
              <w:cnfStyle w:val="000000100000" w:firstRow="0" w:lastRow="0" w:firstColumn="0" w:lastColumn="0" w:oddVBand="0" w:evenVBand="0" w:oddHBand="1" w:evenHBand="0" w:firstRowFirstColumn="0" w:firstRowLastColumn="0" w:lastRowFirstColumn="0" w:lastRowLastColumn="0"/>
              <w:rPr>
                <w:i/>
              </w:rPr>
            </w:pPr>
            <w:r w:rsidRPr="001A42FC">
              <w:rPr>
                <w:i/>
              </w:rPr>
              <w:t>Complete</w:t>
            </w:r>
          </w:p>
        </w:tc>
      </w:tr>
      <w:tr w:rsidR="00BA5C0B" w:rsidRPr="001A42FC" w14:paraId="63B74819"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17" w14:textId="77777777" w:rsidR="00BA5C0B" w:rsidRPr="001A42FC" w:rsidRDefault="00BA5C0B" w:rsidP="00BA5C0B">
            <w:pPr>
              <w:pStyle w:val="ListParagraph"/>
              <w:numPr>
                <w:ilvl w:val="0"/>
                <w:numId w:val="40"/>
              </w:numPr>
              <w:rPr>
                <w:b w:val="0"/>
              </w:rPr>
            </w:pPr>
            <w:r w:rsidRPr="001A42FC">
              <w:rPr>
                <w:b w:val="0"/>
              </w:rPr>
              <w:t>Generic Clearance Approval</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18" w14:textId="77777777" w:rsidR="00BA5C0B" w:rsidRPr="001A42FC" w:rsidRDefault="00BA5C0B" w:rsidP="00B32786">
            <w:pPr>
              <w:ind w:left="0"/>
              <w:cnfStyle w:val="000000010000" w:firstRow="0" w:lastRow="0" w:firstColumn="0" w:lastColumn="0" w:oddVBand="0" w:evenVBand="0" w:oddHBand="0" w:evenHBand="1" w:firstRowFirstColumn="0" w:firstRowLastColumn="0" w:lastRowFirstColumn="0" w:lastRowLastColumn="0"/>
              <w:rPr>
                <w:i/>
              </w:rPr>
            </w:pPr>
            <w:r w:rsidRPr="001A42FC">
              <w:rPr>
                <w:i/>
              </w:rPr>
              <w:t>Pending</w:t>
            </w:r>
          </w:p>
        </w:tc>
      </w:tr>
      <w:tr w:rsidR="00BA5C0B" w:rsidRPr="001A42FC" w14:paraId="63B7481C"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1A" w14:textId="77777777" w:rsidR="00BA5C0B" w:rsidRPr="001A42FC" w:rsidRDefault="00BA5C0B" w:rsidP="007C1625">
            <w:pPr>
              <w:pStyle w:val="ListParagraph"/>
              <w:numPr>
                <w:ilvl w:val="0"/>
                <w:numId w:val="40"/>
              </w:numPr>
              <w:rPr>
                <w:b w:val="0"/>
              </w:rPr>
            </w:pPr>
            <w:r w:rsidRPr="001A42FC">
              <w:rPr>
                <w:b w:val="0"/>
              </w:rPr>
              <w:t xml:space="preserve">Collect Information via </w:t>
            </w:r>
            <w:r w:rsidR="007C1625">
              <w:rPr>
                <w:b w:val="0"/>
              </w:rPr>
              <w:t>Resource</w:t>
            </w:r>
            <w:r w:rsidRPr="001A42FC">
              <w:rPr>
                <w:b w:val="0"/>
              </w:rPr>
              <w:t xml:space="preserve"> Assessment Instrument</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1B" w14:textId="77777777" w:rsidR="00BA5C0B" w:rsidRPr="001A42FC" w:rsidRDefault="00BA5C0B" w:rsidP="00B32786">
            <w:pPr>
              <w:ind w:left="0"/>
              <w:cnfStyle w:val="000000100000" w:firstRow="0" w:lastRow="0" w:firstColumn="0" w:lastColumn="0" w:oddVBand="0" w:evenVBand="0" w:oddHBand="1" w:evenHBand="0" w:firstRowFirstColumn="0" w:firstRowLastColumn="0" w:lastRowFirstColumn="0" w:lastRowLastColumn="0"/>
            </w:pPr>
            <w:r w:rsidRPr="001A42FC">
              <w:t>(3 weeks)</w:t>
            </w:r>
          </w:p>
        </w:tc>
      </w:tr>
      <w:tr w:rsidR="00BA5C0B" w:rsidRPr="001A42FC" w14:paraId="63B7481F"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1D" w14:textId="77777777" w:rsidR="00BA5C0B" w:rsidRPr="001A42FC" w:rsidRDefault="00BA5C0B" w:rsidP="00BA5C0B">
            <w:pPr>
              <w:pStyle w:val="ListParagraph"/>
              <w:numPr>
                <w:ilvl w:val="0"/>
                <w:numId w:val="40"/>
              </w:numPr>
              <w:rPr>
                <w:b w:val="0"/>
              </w:rPr>
            </w:pPr>
            <w:r w:rsidRPr="001A42FC">
              <w:rPr>
                <w:b w:val="0"/>
              </w:rPr>
              <w:t xml:space="preserve">Download, clean, code, enter, and analyze </w:t>
            </w:r>
            <w:r w:rsidR="00437C29">
              <w:rPr>
                <w:b w:val="0"/>
              </w:rPr>
              <w:t>information</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1E" w14:textId="77777777" w:rsidR="00BA5C0B" w:rsidRPr="001A42FC" w:rsidRDefault="007C1625" w:rsidP="00B32786">
            <w:pPr>
              <w:ind w:left="0"/>
              <w:cnfStyle w:val="000000010000" w:firstRow="0" w:lastRow="0" w:firstColumn="0" w:lastColumn="0" w:oddVBand="0" w:evenVBand="0" w:oddHBand="0" w:evenHBand="1" w:firstRowFirstColumn="0" w:firstRowLastColumn="0" w:lastRowFirstColumn="0" w:lastRowLastColumn="0"/>
            </w:pPr>
            <w:r>
              <w:t xml:space="preserve"> (2</w:t>
            </w:r>
            <w:r w:rsidR="00BA5C0B" w:rsidRPr="001A42FC">
              <w:t xml:space="preserve"> week)</w:t>
            </w:r>
          </w:p>
        </w:tc>
      </w:tr>
      <w:tr w:rsidR="00BA5C0B" w:rsidRPr="001A42FC" w14:paraId="63B74822" w14:textId="77777777" w:rsidTr="00B327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20" w14:textId="77777777" w:rsidR="00BA5C0B" w:rsidRPr="001A42FC" w:rsidRDefault="00BA5C0B" w:rsidP="00EF33E7">
            <w:pPr>
              <w:pStyle w:val="ListParagraph"/>
              <w:numPr>
                <w:ilvl w:val="0"/>
                <w:numId w:val="40"/>
              </w:numPr>
              <w:rPr>
                <w:b w:val="0"/>
              </w:rPr>
            </w:pPr>
            <w:r w:rsidRPr="001A42FC">
              <w:rPr>
                <w:b w:val="0"/>
              </w:rPr>
              <w:t xml:space="preserve">Prepare </w:t>
            </w:r>
            <w:r w:rsidR="00EF33E7">
              <w:rPr>
                <w:b w:val="0"/>
              </w:rPr>
              <w:t>summary brief</w:t>
            </w:r>
            <w:r w:rsidRPr="001A42FC">
              <w:rPr>
                <w:b w:val="0"/>
              </w:rPr>
              <w:t xml:space="preserve"> and presentation</w:t>
            </w:r>
            <w:r w:rsidR="00EF33E7">
              <w:rPr>
                <w:b w:val="0"/>
              </w:rPr>
              <w:t xml:space="preserve"> of results</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21" w14:textId="77777777" w:rsidR="00BA5C0B" w:rsidRPr="001A42FC" w:rsidRDefault="007C1625" w:rsidP="00B32786">
            <w:pPr>
              <w:ind w:left="0"/>
              <w:cnfStyle w:val="000000100000" w:firstRow="0" w:lastRow="0" w:firstColumn="0" w:lastColumn="0" w:oddVBand="0" w:evenVBand="0" w:oddHBand="1" w:evenHBand="0" w:firstRowFirstColumn="0" w:firstRowLastColumn="0" w:lastRowFirstColumn="0" w:lastRowLastColumn="0"/>
              <w:rPr>
                <w:bCs/>
              </w:rPr>
            </w:pPr>
            <w:r>
              <w:rPr>
                <w:bCs/>
              </w:rPr>
              <w:t xml:space="preserve"> (4</w:t>
            </w:r>
            <w:r w:rsidR="00BA5C0B" w:rsidRPr="001A42FC">
              <w:rPr>
                <w:bCs/>
              </w:rPr>
              <w:t xml:space="preserve"> weeks)</w:t>
            </w:r>
          </w:p>
        </w:tc>
      </w:tr>
      <w:tr w:rsidR="00BA5C0B" w:rsidRPr="001A42FC" w14:paraId="63B74825" w14:textId="77777777" w:rsidTr="00B327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Borders>
              <w:top w:val="single" w:sz="8" w:space="0" w:color="7BA0CD" w:themeColor="accent1" w:themeTint="BF"/>
              <w:left w:val="single" w:sz="8" w:space="0" w:color="7BA0CD" w:themeColor="accent1" w:themeTint="BF"/>
              <w:bottom w:val="single" w:sz="8" w:space="0" w:color="7BA0CD" w:themeColor="accent1" w:themeTint="BF"/>
            </w:tcBorders>
            <w:hideMark/>
          </w:tcPr>
          <w:p w14:paraId="63B74823" w14:textId="77777777" w:rsidR="00BA5C0B" w:rsidRPr="001A42FC" w:rsidRDefault="00BA5C0B" w:rsidP="00EF33E7">
            <w:pPr>
              <w:pStyle w:val="ListParagraph"/>
              <w:numPr>
                <w:ilvl w:val="0"/>
                <w:numId w:val="40"/>
              </w:numPr>
              <w:rPr>
                <w:b w:val="0"/>
              </w:rPr>
            </w:pPr>
            <w:r w:rsidRPr="001A42FC">
              <w:rPr>
                <w:b w:val="0"/>
              </w:rPr>
              <w:t xml:space="preserve">Share </w:t>
            </w:r>
            <w:r w:rsidR="00EF33E7">
              <w:rPr>
                <w:b w:val="0"/>
              </w:rPr>
              <w:t xml:space="preserve">assessment </w:t>
            </w:r>
            <w:r w:rsidRPr="001A42FC">
              <w:rPr>
                <w:b w:val="0"/>
              </w:rPr>
              <w:t>products with SHB team</w:t>
            </w:r>
          </w:p>
        </w:tc>
        <w:tc>
          <w:tcPr>
            <w:tcW w:w="3078" w:type="dxa"/>
            <w:tcBorders>
              <w:top w:val="single" w:sz="8" w:space="0" w:color="7BA0CD" w:themeColor="accent1" w:themeTint="BF"/>
              <w:bottom w:val="single" w:sz="8" w:space="0" w:color="7BA0CD" w:themeColor="accent1" w:themeTint="BF"/>
              <w:right w:val="single" w:sz="8" w:space="0" w:color="7BA0CD" w:themeColor="accent1" w:themeTint="BF"/>
            </w:tcBorders>
            <w:hideMark/>
          </w:tcPr>
          <w:p w14:paraId="63B74824" w14:textId="77777777" w:rsidR="00BA5C0B" w:rsidRPr="001A42FC" w:rsidRDefault="007C1625" w:rsidP="00B32786">
            <w:pPr>
              <w:ind w:left="0"/>
              <w:cnfStyle w:val="000000010000" w:firstRow="0" w:lastRow="0" w:firstColumn="0" w:lastColumn="0" w:oddVBand="0" w:evenVBand="0" w:oddHBand="0" w:evenHBand="1" w:firstRowFirstColumn="0" w:firstRowLastColumn="0" w:lastRowFirstColumn="0" w:lastRowLastColumn="0"/>
              <w:rPr>
                <w:bCs/>
              </w:rPr>
            </w:pPr>
            <w:r>
              <w:rPr>
                <w:bCs/>
              </w:rPr>
              <w:t>July</w:t>
            </w:r>
          </w:p>
        </w:tc>
      </w:tr>
    </w:tbl>
    <w:p w14:paraId="63B74826" w14:textId="77777777" w:rsidR="000A71DF" w:rsidRPr="001A42FC" w:rsidRDefault="000A71DF" w:rsidP="005D6F14"/>
    <w:p w14:paraId="63B74827" w14:textId="77777777" w:rsidR="00B12F51" w:rsidRPr="00DF2D5C" w:rsidRDefault="00D75750" w:rsidP="00DF2D5C">
      <w:pPr>
        <w:pStyle w:val="Heading1"/>
        <w:numPr>
          <w:ilvl w:val="0"/>
          <w:numId w:val="43"/>
        </w:numPr>
        <w:jc w:val="left"/>
        <w:rPr>
          <w:sz w:val="24"/>
          <w:szCs w:val="24"/>
        </w:rPr>
      </w:pPr>
      <w:bookmarkStart w:id="31" w:name="_Toc416705711"/>
      <w:r w:rsidRPr="00DF2D5C">
        <w:rPr>
          <w:sz w:val="24"/>
          <w:szCs w:val="24"/>
        </w:rPr>
        <w:t>Reason(s) Display of OMB Expiration Date is Inappropriate</w:t>
      </w:r>
      <w:bookmarkEnd w:id="31"/>
    </w:p>
    <w:p w14:paraId="21FFF465" w14:textId="120605F6" w:rsidR="00D67915" w:rsidRPr="001A42FC" w:rsidRDefault="00180D45" w:rsidP="00D332C6">
      <w:pPr>
        <w:ind w:left="0"/>
      </w:pPr>
      <w:r w:rsidRPr="001A42FC">
        <w:t>We are requesting no exemption.</w:t>
      </w:r>
    </w:p>
    <w:p w14:paraId="63B7482A" w14:textId="77777777" w:rsidR="00B12F51" w:rsidRPr="00DF2D5C" w:rsidRDefault="00B12F51" w:rsidP="00DF2D5C">
      <w:pPr>
        <w:pStyle w:val="Heading1"/>
        <w:numPr>
          <w:ilvl w:val="0"/>
          <w:numId w:val="43"/>
        </w:numPr>
        <w:jc w:val="left"/>
        <w:rPr>
          <w:sz w:val="24"/>
          <w:szCs w:val="24"/>
        </w:rPr>
      </w:pPr>
      <w:bookmarkStart w:id="32" w:name="_Toc416705712"/>
      <w:r w:rsidRPr="00DF2D5C">
        <w:rPr>
          <w:sz w:val="24"/>
          <w:szCs w:val="24"/>
        </w:rPr>
        <w:lastRenderedPageBreak/>
        <w:t>Exceptions to Certification for Paperwork Reduction Act Submissions</w:t>
      </w:r>
      <w:bookmarkEnd w:id="32"/>
    </w:p>
    <w:p w14:paraId="63B7482B" w14:textId="77777777" w:rsidR="00F52BCC" w:rsidRPr="001A42FC" w:rsidRDefault="0031279F" w:rsidP="00692DEB">
      <w:pPr>
        <w:ind w:left="0"/>
      </w:pPr>
      <w:r w:rsidRPr="001A42FC">
        <w:t>There are no exceptions to the certification.</w:t>
      </w:r>
      <w:r w:rsidR="00180D45" w:rsidRPr="001A42FC">
        <w:t xml:space="preserve">  These activities comply with the requirements in 5 CFR 1320.9.</w:t>
      </w:r>
    </w:p>
    <w:p w14:paraId="63B7482C" w14:textId="77777777" w:rsidR="00D1343B" w:rsidRPr="001A42FC" w:rsidRDefault="00D1343B" w:rsidP="008C59E7">
      <w:pPr>
        <w:ind w:left="0"/>
      </w:pPr>
    </w:p>
    <w:p w14:paraId="63B7482D" w14:textId="77777777" w:rsidR="00A36419" w:rsidRPr="00154235" w:rsidRDefault="00A36419" w:rsidP="00154235">
      <w:pPr>
        <w:pStyle w:val="Heading1"/>
        <w:ind w:left="0"/>
        <w:jc w:val="left"/>
        <w:rPr>
          <w:sz w:val="24"/>
          <w:szCs w:val="24"/>
        </w:rPr>
      </w:pPr>
      <w:bookmarkStart w:id="33" w:name="_Toc416704474"/>
      <w:bookmarkStart w:id="34" w:name="_Toc416705713"/>
      <w:r w:rsidRPr="00154235">
        <w:rPr>
          <w:sz w:val="24"/>
          <w:szCs w:val="24"/>
        </w:rPr>
        <w:t>LIST OF ATTACHMENTS</w:t>
      </w:r>
      <w:r w:rsidR="00A33E90" w:rsidRPr="00154235">
        <w:rPr>
          <w:sz w:val="24"/>
          <w:szCs w:val="24"/>
        </w:rPr>
        <w:t xml:space="preserve"> – Section A</w:t>
      </w:r>
      <w:bookmarkEnd w:id="33"/>
      <w:bookmarkEnd w:id="34"/>
    </w:p>
    <w:p w14:paraId="63B7482E" w14:textId="77777777" w:rsidR="00E647FB" w:rsidRPr="00E36F16" w:rsidRDefault="00F40F2F" w:rsidP="00154235">
      <w:pPr>
        <w:pStyle w:val="Heading2"/>
        <w:ind w:left="0"/>
        <w:jc w:val="left"/>
        <w:rPr>
          <w:b w:val="0"/>
          <w:sz w:val="24"/>
          <w:szCs w:val="24"/>
        </w:rPr>
      </w:pPr>
      <w:bookmarkStart w:id="35" w:name="_Toc416704475"/>
      <w:bookmarkStart w:id="36" w:name="_Toc416705714"/>
      <w:r>
        <w:rPr>
          <w:b w:val="0"/>
          <w:sz w:val="24"/>
          <w:szCs w:val="24"/>
        </w:rPr>
        <w:t xml:space="preserve">Att. A </w:t>
      </w:r>
      <w:r w:rsidR="003D7D34" w:rsidRPr="00E36F16">
        <w:rPr>
          <w:b w:val="0"/>
          <w:sz w:val="24"/>
          <w:szCs w:val="24"/>
        </w:rPr>
        <w:t xml:space="preserve">Assessment </w:t>
      </w:r>
      <w:r w:rsidR="00E647FB" w:rsidRPr="00E36F16">
        <w:rPr>
          <w:b w:val="0"/>
          <w:sz w:val="24"/>
          <w:szCs w:val="24"/>
        </w:rPr>
        <w:t>Instrument: Word version</w:t>
      </w:r>
      <w:bookmarkEnd w:id="35"/>
      <w:bookmarkEnd w:id="36"/>
    </w:p>
    <w:p w14:paraId="63B7482F" w14:textId="77777777" w:rsidR="00E647FB" w:rsidRDefault="00F40F2F" w:rsidP="00154235">
      <w:pPr>
        <w:pStyle w:val="Heading2"/>
        <w:ind w:left="0"/>
        <w:jc w:val="left"/>
        <w:rPr>
          <w:b w:val="0"/>
          <w:sz w:val="24"/>
          <w:szCs w:val="24"/>
        </w:rPr>
      </w:pPr>
      <w:bookmarkStart w:id="37" w:name="_Toc416704476"/>
      <w:bookmarkStart w:id="38" w:name="_Toc416705715"/>
      <w:r>
        <w:rPr>
          <w:b w:val="0"/>
          <w:sz w:val="24"/>
          <w:szCs w:val="24"/>
        </w:rPr>
        <w:t xml:space="preserve">Att. B </w:t>
      </w:r>
      <w:r w:rsidR="003D7D34" w:rsidRPr="00E36F16">
        <w:rPr>
          <w:b w:val="0"/>
          <w:sz w:val="24"/>
          <w:szCs w:val="24"/>
        </w:rPr>
        <w:t xml:space="preserve">Assessment </w:t>
      </w:r>
      <w:r w:rsidR="00E647FB" w:rsidRPr="00E36F16">
        <w:rPr>
          <w:b w:val="0"/>
          <w:sz w:val="24"/>
          <w:szCs w:val="24"/>
        </w:rPr>
        <w:t>Instrument Web version</w:t>
      </w:r>
      <w:bookmarkEnd w:id="37"/>
      <w:bookmarkEnd w:id="38"/>
    </w:p>
    <w:p w14:paraId="69C40348" w14:textId="6A04BFF6" w:rsidR="00562CE4" w:rsidRPr="00562CE4" w:rsidRDefault="00562CE4" w:rsidP="00562CE4">
      <w:pPr>
        <w:pStyle w:val="Heading2"/>
        <w:ind w:left="0"/>
        <w:jc w:val="left"/>
        <w:rPr>
          <w:sz w:val="24"/>
          <w:szCs w:val="24"/>
        </w:rPr>
      </w:pPr>
      <w:r>
        <w:rPr>
          <w:b w:val="0"/>
          <w:sz w:val="24"/>
          <w:szCs w:val="24"/>
        </w:rPr>
        <w:t xml:space="preserve">Att. </w:t>
      </w:r>
      <w:r w:rsidRPr="00562CE4">
        <w:rPr>
          <w:b w:val="0"/>
          <w:sz w:val="24"/>
          <w:szCs w:val="24"/>
        </w:rPr>
        <w:t>C List of School Health Coordinators</w:t>
      </w:r>
    </w:p>
    <w:p w14:paraId="45FD3614" w14:textId="77777777" w:rsidR="00562CE4" w:rsidRPr="00E36F16" w:rsidRDefault="00562CE4" w:rsidP="00154235">
      <w:pPr>
        <w:pStyle w:val="Heading2"/>
        <w:ind w:left="0"/>
        <w:jc w:val="left"/>
        <w:rPr>
          <w:b w:val="0"/>
          <w:sz w:val="24"/>
          <w:szCs w:val="24"/>
        </w:rPr>
      </w:pPr>
    </w:p>
    <w:p w14:paraId="63B74831" w14:textId="2448DF9B" w:rsidR="00CC7188" w:rsidRPr="001A42FC" w:rsidRDefault="00CC7188" w:rsidP="00562CE4">
      <w:pPr>
        <w:tabs>
          <w:tab w:val="clear" w:pos="9360"/>
        </w:tabs>
        <w:spacing w:after="200"/>
        <w:ind w:left="0"/>
        <w:rPr>
          <w:b/>
        </w:rPr>
      </w:pPr>
      <w:r w:rsidRPr="001A42FC">
        <w:rPr>
          <w:b/>
        </w:rPr>
        <w:t xml:space="preserve">REFERENCE LIST </w:t>
      </w:r>
    </w:p>
    <w:p w14:paraId="63B74832" w14:textId="77777777" w:rsidR="000058E0" w:rsidRDefault="000058E0" w:rsidP="000D22F9">
      <w:pPr>
        <w:pStyle w:val="ListParagraph"/>
        <w:numPr>
          <w:ilvl w:val="0"/>
          <w:numId w:val="45"/>
        </w:numPr>
        <w:tabs>
          <w:tab w:val="clear" w:pos="9360"/>
        </w:tabs>
        <w:spacing w:line="240" w:lineRule="auto"/>
        <w:ind w:left="720"/>
      </w:pPr>
      <w:r w:rsidRPr="001A42FC">
        <w:t xml:space="preserve">Centers for Disease Control and Prevention (CDC). "National Public Health Performance Standards Program (NPHPSP): 10 Essential Public Health Services." Available at </w:t>
      </w:r>
      <w:hyperlink r:id="rId15" w:history="1">
        <w:r w:rsidR="000D22F9">
          <w:rPr>
            <w:rStyle w:val="Hyperlink"/>
          </w:rPr>
          <w:t>http://www.cdc.gov/nphpsp/essentialservices.html.</w:t>
        </w:r>
      </w:hyperlink>
      <w:r w:rsidR="000D22F9">
        <w:t xml:space="preserve"> Accessed 8/14/14.</w:t>
      </w:r>
    </w:p>
    <w:p w14:paraId="63B74833" w14:textId="77777777" w:rsidR="008E2E3E" w:rsidRDefault="008E2E3E" w:rsidP="000D22F9">
      <w:pPr>
        <w:pStyle w:val="ListParagraph"/>
        <w:numPr>
          <w:ilvl w:val="0"/>
          <w:numId w:val="45"/>
        </w:numPr>
        <w:tabs>
          <w:tab w:val="clear" w:pos="9360"/>
        </w:tabs>
        <w:spacing w:line="240" w:lineRule="auto"/>
        <w:ind w:left="720"/>
      </w:pPr>
      <w:r>
        <w:t xml:space="preserve">Centers for Disease Control and Prevention (CDC). “Adolescent and School Health” Available at </w:t>
      </w:r>
      <w:hyperlink r:id="rId16" w:history="1">
        <w:r w:rsidRPr="000D22F9">
          <w:rPr>
            <w:rStyle w:val="Hyperlink"/>
          </w:rPr>
          <w:t>http://www.cdc.gov/healthyyouth/schoolhealth/index.htm</w:t>
        </w:r>
      </w:hyperlink>
      <w:r w:rsidR="000D22F9">
        <w:t xml:space="preserve"> Accessed 4/14/15.</w:t>
      </w:r>
    </w:p>
    <w:p w14:paraId="63B74834" w14:textId="77777777" w:rsidR="000D22F9" w:rsidRDefault="000D22F9" w:rsidP="000D22F9">
      <w:pPr>
        <w:pStyle w:val="ListParagraph"/>
        <w:numPr>
          <w:ilvl w:val="0"/>
          <w:numId w:val="45"/>
        </w:numPr>
        <w:tabs>
          <w:tab w:val="clear" w:pos="9360"/>
        </w:tabs>
        <w:spacing w:line="240" w:lineRule="auto"/>
        <w:ind w:left="720"/>
      </w:pPr>
      <w:r>
        <w:t>Centers for Disease Control and Prevention (CDC). “</w:t>
      </w:r>
      <w:r w:rsidRPr="000D22F9">
        <w:t>State Public Health Actions to Prevent and Control Diabetes, Heart Disease, Obesity and Associated Risk Factors and Promote School Health</w:t>
      </w:r>
      <w:r>
        <w:t xml:space="preserve">” Available at </w:t>
      </w:r>
      <w:hyperlink r:id="rId17" w:history="1">
        <w:r w:rsidRPr="000D22F9">
          <w:rPr>
            <w:rStyle w:val="Hyperlink"/>
          </w:rPr>
          <w:t>http://www.cdc.gov/chronicdisease/about/state-public-health-actions.htm</w:t>
        </w:r>
      </w:hyperlink>
      <w:r w:rsidR="006C7290">
        <w:t xml:space="preserve"> Accessed 4/14/15.</w:t>
      </w:r>
    </w:p>
    <w:p w14:paraId="63B74835" w14:textId="77777777" w:rsidR="006C7290" w:rsidRPr="00691441" w:rsidRDefault="00691441" w:rsidP="00691441">
      <w:pPr>
        <w:pStyle w:val="ListParagraph"/>
        <w:numPr>
          <w:ilvl w:val="0"/>
          <w:numId w:val="45"/>
        </w:numPr>
        <w:tabs>
          <w:tab w:val="clear" w:pos="9360"/>
        </w:tabs>
        <w:spacing w:line="240" w:lineRule="auto"/>
        <w:ind w:left="720"/>
      </w:pPr>
      <w:r w:rsidRPr="00691441">
        <w:rPr>
          <w:rFonts w:cs="Times New Roman"/>
        </w:rPr>
        <w:t xml:space="preserve">Centers for Disease Control and Prevention (CDC) “Health and Academic Achievement” Available at </w:t>
      </w:r>
      <w:hyperlink r:id="rId18" w:history="1">
        <w:r w:rsidRPr="007C1CC7">
          <w:rPr>
            <w:rStyle w:val="Hyperlink"/>
            <w:rFonts w:cs="Times New Roman"/>
          </w:rPr>
          <w:t>http://www.cdc.gov/healthyyouth/health_and_academics/pdf/health-academic-achievement.pdf</w:t>
        </w:r>
      </w:hyperlink>
      <w:r>
        <w:rPr>
          <w:rFonts w:cs="Times New Roman"/>
        </w:rPr>
        <w:t xml:space="preserve"> Accessed 4/20/15.</w:t>
      </w:r>
    </w:p>
    <w:p w14:paraId="63B74836" w14:textId="77777777" w:rsidR="00691441" w:rsidRDefault="00691441" w:rsidP="00691441">
      <w:pPr>
        <w:pStyle w:val="ListParagraph"/>
        <w:numPr>
          <w:ilvl w:val="0"/>
          <w:numId w:val="45"/>
        </w:numPr>
        <w:tabs>
          <w:tab w:val="clear" w:pos="9360"/>
        </w:tabs>
        <w:spacing w:line="240" w:lineRule="auto"/>
        <w:ind w:left="720"/>
      </w:pPr>
      <w:r>
        <w:t xml:space="preserve">Centers for Disease Control and Prevention (CDC) “Healthy Kids. Successful Students. Stronger Communities.” Available at </w:t>
      </w:r>
      <w:hyperlink r:id="rId19" w:history="1">
        <w:r w:rsidRPr="007C1CC7">
          <w:rPr>
            <w:rStyle w:val="Hyperlink"/>
          </w:rPr>
          <w:t>http://www.cdc.gov/healthyyouth/health_and_academics/pdf/2014_8_29_health-academics_508tagged.pdf Accessed 4/20/15</w:t>
        </w:r>
      </w:hyperlink>
      <w:r>
        <w:t>.</w:t>
      </w:r>
    </w:p>
    <w:p w14:paraId="63B74837" w14:textId="77777777" w:rsidR="00691441" w:rsidRPr="001C45F8" w:rsidRDefault="00691441" w:rsidP="00691441">
      <w:pPr>
        <w:pStyle w:val="ListParagraph"/>
        <w:numPr>
          <w:ilvl w:val="0"/>
          <w:numId w:val="45"/>
        </w:numPr>
        <w:tabs>
          <w:tab w:val="clear" w:pos="9360"/>
        </w:tabs>
        <w:spacing w:line="240" w:lineRule="auto"/>
        <w:ind w:left="720"/>
      </w:pPr>
      <w:r>
        <w:t>Centers for Disease Control and Prevention (CDC) “School Health Index” A</w:t>
      </w:r>
      <w:r>
        <w:rPr>
          <w:rFonts w:cs="Times New Roman"/>
          <w:color w:val="221E1F"/>
        </w:rPr>
        <w:t xml:space="preserve">vailable at </w:t>
      </w:r>
      <w:hyperlink r:id="rId20" w:history="1">
        <w:r w:rsidRPr="00691441">
          <w:rPr>
            <w:rStyle w:val="Hyperlink"/>
            <w:rFonts w:cs="Times New Roman"/>
          </w:rPr>
          <w:t>http://www.cdc.gov/healthyyouth/shi/</w:t>
        </w:r>
      </w:hyperlink>
      <w:r>
        <w:rPr>
          <w:rFonts w:cs="Times New Roman"/>
          <w:color w:val="221E1F"/>
        </w:rPr>
        <w:t xml:space="preserve"> Accessed 4/20/15.</w:t>
      </w:r>
    </w:p>
    <w:p w14:paraId="63B74838" w14:textId="77777777" w:rsidR="00993856" w:rsidRPr="001A42FC" w:rsidRDefault="00993856" w:rsidP="00993856">
      <w:pPr>
        <w:pStyle w:val="ListParagraph"/>
        <w:numPr>
          <w:ilvl w:val="0"/>
          <w:numId w:val="45"/>
        </w:numPr>
        <w:tabs>
          <w:tab w:val="clear" w:pos="9360"/>
        </w:tabs>
        <w:spacing w:line="240" w:lineRule="auto"/>
        <w:ind w:left="720"/>
      </w:pPr>
      <w:r>
        <w:rPr>
          <w:rFonts w:cs="Times New Roman"/>
          <w:color w:val="221E1F"/>
        </w:rPr>
        <w:t xml:space="preserve">Adobe Marketing Cloud Available at </w:t>
      </w:r>
      <w:hyperlink r:id="rId21" w:history="1">
        <w:r w:rsidRPr="003D56BA">
          <w:rPr>
            <w:rStyle w:val="Hyperlink"/>
            <w:rFonts w:cs="Times New Roman"/>
          </w:rPr>
          <w:t>http://www.adobe.com/marketing-cloud.html</w:t>
        </w:r>
      </w:hyperlink>
      <w:r>
        <w:rPr>
          <w:rFonts w:cs="Times New Roman"/>
          <w:color w:val="221E1F"/>
        </w:rPr>
        <w:t xml:space="preserve"> Accessed 4/23/15</w:t>
      </w:r>
    </w:p>
    <w:sectPr w:rsidR="00993856" w:rsidRPr="001A42FC" w:rsidSect="00385BB5">
      <w:headerReference w:type="default" r:id="rId22"/>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7483F" w14:textId="77777777" w:rsidR="00DB596A" w:rsidRDefault="00DB596A" w:rsidP="007D6163">
      <w:r>
        <w:separator/>
      </w:r>
    </w:p>
    <w:p w14:paraId="63B74840" w14:textId="77777777" w:rsidR="00DB596A" w:rsidRDefault="00DB596A" w:rsidP="007D6163"/>
  </w:endnote>
  <w:endnote w:type="continuationSeparator" w:id="0">
    <w:p w14:paraId="63B74841" w14:textId="77777777" w:rsidR="00DB596A" w:rsidRDefault="00DB596A" w:rsidP="007D6163">
      <w:r>
        <w:continuationSeparator/>
      </w:r>
    </w:p>
    <w:p w14:paraId="63B74842" w14:textId="77777777" w:rsidR="00DB596A" w:rsidRDefault="00DB596A"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63B74845" w14:textId="77777777" w:rsidR="002F1045" w:rsidRDefault="002F104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1BDF">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1BDF">
              <w:rPr>
                <w:b/>
                <w:bCs/>
                <w:noProof/>
              </w:rPr>
              <w:t>11</w:t>
            </w:r>
            <w:r>
              <w:rPr>
                <w:b/>
                <w:bCs/>
                <w:sz w:val="24"/>
                <w:szCs w:val="24"/>
              </w:rPr>
              <w:fldChar w:fldCharType="end"/>
            </w:r>
          </w:p>
        </w:sdtContent>
      </w:sdt>
    </w:sdtContent>
  </w:sdt>
  <w:p w14:paraId="63B74846" w14:textId="77777777" w:rsidR="002F1045" w:rsidRDefault="002F1045"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7483B" w14:textId="77777777" w:rsidR="00DB596A" w:rsidRDefault="00DB596A" w:rsidP="007D6163">
      <w:r>
        <w:separator/>
      </w:r>
    </w:p>
    <w:p w14:paraId="63B7483C" w14:textId="77777777" w:rsidR="00DB596A" w:rsidRDefault="00DB596A" w:rsidP="007D6163"/>
  </w:footnote>
  <w:footnote w:type="continuationSeparator" w:id="0">
    <w:p w14:paraId="63B7483D" w14:textId="77777777" w:rsidR="00DB596A" w:rsidRDefault="00DB596A" w:rsidP="007D6163">
      <w:r>
        <w:continuationSeparator/>
      </w:r>
    </w:p>
    <w:p w14:paraId="63B7483E" w14:textId="77777777" w:rsidR="00DB596A" w:rsidRDefault="00DB596A"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4843" w14:textId="77777777" w:rsidR="002F1045" w:rsidRPr="00716F94" w:rsidRDefault="002F1045" w:rsidP="007D6163">
    <w:pPr>
      <w:pStyle w:val="Header"/>
      <w:rPr>
        <w:color w:val="0033CC"/>
      </w:rPr>
    </w:pPr>
    <w:r>
      <w:tab/>
    </w:r>
  </w:p>
  <w:p w14:paraId="63B74844" w14:textId="77777777" w:rsidR="002F1045" w:rsidRDefault="002F1045"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A4CFA"/>
    <w:multiLevelType w:val="hybridMultilevel"/>
    <w:tmpl w:val="4F48154C"/>
    <w:lvl w:ilvl="0" w:tplc="62E8B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334DA9"/>
    <w:multiLevelType w:val="hybridMultilevel"/>
    <w:tmpl w:val="B6904E8C"/>
    <w:lvl w:ilvl="0" w:tplc="9DE86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80506B"/>
    <w:multiLevelType w:val="hybridMultilevel"/>
    <w:tmpl w:val="AB5ED31C"/>
    <w:lvl w:ilvl="0" w:tplc="02A840F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7575E6"/>
    <w:multiLevelType w:val="multilevel"/>
    <w:tmpl w:val="3C06149C"/>
    <w:lvl w:ilvl="0">
      <w:start w:val="1"/>
      <w:numFmt w:val="decimal"/>
      <w:lvlText w:val="%1."/>
      <w:lvlJc w:val="left"/>
      <w:pPr>
        <w:ind w:left="720" w:hanging="360"/>
      </w:pPr>
      <w:rPr>
        <w:sz w:val="24"/>
        <w:szCs w:val="24"/>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2F5C1327"/>
    <w:multiLevelType w:val="hybridMultilevel"/>
    <w:tmpl w:val="3D461DD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6">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E91B8F"/>
    <w:multiLevelType w:val="hybridMultilevel"/>
    <w:tmpl w:val="094020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D77C6E"/>
    <w:multiLevelType w:val="hybridMultilevel"/>
    <w:tmpl w:val="CBB0DCB2"/>
    <w:lvl w:ilvl="0" w:tplc="31CCBA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DF83463"/>
    <w:multiLevelType w:val="hybridMultilevel"/>
    <w:tmpl w:val="CF768D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111017C"/>
    <w:multiLevelType w:val="hybridMultilevel"/>
    <w:tmpl w:val="4C8A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54152"/>
    <w:multiLevelType w:val="hybridMultilevel"/>
    <w:tmpl w:val="6446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5D6FFA"/>
    <w:multiLevelType w:val="hybridMultilevel"/>
    <w:tmpl w:val="BD8E7A8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41"/>
  </w:num>
  <w:num w:numId="4">
    <w:abstractNumId w:val="17"/>
  </w:num>
  <w:num w:numId="5">
    <w:abstractNumId w:val="25"/>
  </w:num>
  <w:num w:numId="6">
    <w:abstractNumId w:val="12"/>
  </w:num>
  <w:num w:numId="7">
    <w:abstractNumId w:val="0"/>
  </w:num>
  <w:num w:numId="8">
    <w:abstractNumId w:val="6"/>
  </w:num>
  <w:num w:numId="9">
    <w:abstractNumId w:val="14"/>
  </w:num>
  <w:num w:numId="10">
    <w:abstractNumId w:val="30"/>
  </w:num>
  <w:num w:numId="11">
    <w:abstractNumId w:val="2"/>
  </w:num>
  <w:num w:numId="12">
    <w:abstractNumId w:val="40"/>
  </w:num>
  <w:num w:numId="13">
    <w:abstractNumId w:val="9"/>
  </w:num>
  <w:num w:numId="14">
    <w:abstractNumId w:val="3"/>
  </w:num>
  <w:num w:numId="15">
    <w:abstractNumId w:val="35"/>
  </w:num>
  <w:num w:numId="16">
    <w:abstractNumId w:val="37"/>
  </w:num>
  <w:num w:numId="17">
    <w:abstractNumId w:val="39"/>
  </w:num>
  <w:num w:numId="18">
    <w:abstractNumId w:val="20"/>
  </w:num>
  <w:num w:numId="19">
    <w:abstractNumId w:val="43"/>
  </w:num>
  <w:num w:numId="20">
    <w:abstractNumId w:val="27"/>
  </w:num>
  <w:num w:numId="21">
    <w:abstractNumId w:val="33"/>
  </w:num>
  <w:num w:numId="22">
    <w:abstractNumId w:val="26"/>
  </w:num>
  <w:num w:numId="23">
    <w:abstractNumId w:val="8"/>
  </w:num>
  <w:num w:numId="24">
    <w:abstractNumId w:val="36"/>
  </w:num>
  <w:num w:numId="25">
    <w:abstractNumId w:val="4"/>
  </w:num>
  <w:num w:numId="26">
    <w:abstractNumId w:val="23"/>
  </w:num>
  <w:num w:numId="27">
    <w:abstractNumId w:val="7"/>
  </w:num>
  <w:num w:numId="28">
    <w:abstractNumId w:val="16"/>
  </w:num>
  <w:num w:numId="29">
    <w:abstractNumId w:val="29"/>
  </w:num>
  <w:num w:numId="30">
    <w:abstractNumId w:val="42"/>
  </w:num>
  <w:num w:numId="31">
    <w:abstractNumId w:val="22"/>
  </w:num>
  <w:num w:numId="32">
    <w:abstractNumId w:val="24"/>
  </w:num>
  <w:num w:numId="33">
    <w:abstractNumId w:val="15"/>
  </w:num>
  <w:num w:numId="34">
    <w:abstractNumId w:val="18"/>
  </w:num>
  <w:num w:numId="35">
    <w:abstractNumId w:val="32"/>
  </w:num>
  <w:num w:numId="36">
    <w:abstractNumId w:val="10"/>
  </w:num>
  <w:num w:numId="37">
    <w:abstractNumId w:val="38"/>
  </w:num>
  <w:num w:numId="38">
    <w:abstractNumId w:val="44"/>
  </w:num>
  <w:num w:numId="39">
    <w:abstractNumId w:val="19"/>
  </w:num>
  <w:num w:numId="40">
    <w:abstractNumId w:val="31"/>
  </w:num>
  <w:num w:numId="41">
    <w:abstractNumId w:val="5"/>
  </w:num>
  <w:num w:numId="42">
    <w:abstractNumId w:val="34"/>
  </w:num>
  <w:num w:numId="43">
    <w:abstractNumId w:val="13"/>
  </w:num>
  <w:num w:numId="44">
    <w:abstractNumId w:val="21"/>
  </w:num>
  <w:num w:numId="45">
    <w:abstractNumId w:val="28"/>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058E0"/>
    <w:rsid w:val="00011A98"/>
    <w:rsid w:val="00011F8D"/>
    <w:rsid w:val="000130B4"/>
    <w:rsid w:val="00014361"/>
    <w:rsid w:val="00014579"/>
    <w:rsid w:val="00014A23"/>
    <w:rsid w:val="00040611"/>
    <w:rsid w:val="0004305C"/>
    <w:rsid w:val="000474FB"/>
    <w:rsid w:val="00053A92"/>
    <w:rsid w:val="00054839"/>
    <w:rsid w:val="00055DAE"/>
    <w:rsid w:val="00057F36"/>
    <w:rsid w:val="0008093D"/>
    <w:rsid w:val="000A1F30"/>
    <w:rsid w:val="000A2D0C"/>
    <w:rsid w:val="000A37DC"/>
    <w:rsid w:val="000A71DF"/>
    <w:rsid w:val="000A76B1"/>
    <w:rsid w:val="000A7976"/>
    <w:rsid w:val="000B0962"/>
    <w:rsid w:val="000B2CBC"/>
    <w:rsid w:val="000D22F9"/>
    <w:rsid w:val="000D315D"/>
    <w:rsid w:val="000D53CE"/>
    <w:rsid w:val="000D7F5B"/>
    <w:rsid w:val="000E3DF9"/>
    <w:rsid w:val="000E6577"/>
    <w:rsid w:val="000E7A19"/>
    <w:rsid w:val="000F0CD1"/>
    <w:rsid w:val="000F1753"/>
    <w:rsid w:val="00104A1B"/>
    <w:rsid w:val="00106AA6"/>
    <w:rsid w:val="00116F80"/>
    <w:rsid w:val="001177DD"/>
    <w:rsid w:val="00127EFD"/>
    <w:rsid w:val="00135334"/>
    <w:rsid w:val="00137CF4"/>
    <w:rsid w:val="001412D4"/>
    <w:rsid w:val="00144F64"/>
    <w:rsid w:val="00145D62"/>
    <w:rsid w:val="00151567"/>
    <w:rsid w:val="00154235"/>
    <w:rsid w:val="00155C92"/>
    <w:rsid w:val="00157413"/>
    <w:rsid w:val="00163E17"/>
    <w:rsid w:val="00166F9E"/>
    <w:rsid w:val="00167880"/>
    <w:rsid w:val="00180D45"/>
    <w:rsid w:val="00187870"/>
    <w:rsid w:val="00187D5A"/>
    <w:rsid w:val="0019164D"/>
    <w:rsid w:val="001972D7"/>
    <w:rsid w:val="001A28F6"/>
    <w:rsid w:val="001A42FC"/>
    <w:rsid w:val="001B2831"/>
    <w:rsid w:val="001B4065"/>
    <w:rsid w:val="001B5910"/>
    <w:rsid w:val="001C0493"/>
    <w:rsid w:val="001C28AD"/>
    <w:rsid w:val="001C45F8"/>
    <w:rsid w:val="001D7FCB"/>
    <w:rsid w:val="001E2B99"/>
    <w:rsid w:val="001E6961"/>
    <w:rsid w:val="001E69B6"/>
    <w:rsid w:val="001E7537"/>
    <w:rsid w:val="001F4DBB"/>
    <w:rsid w:val="00202D07"/>
    <w:rsid w:val="0020312D"/>
    <w:rsid w:val="00206E33"/>
    <w:rsid w:val="00210519"/>
    <w:rsid w:val="0021679E"/>
    <w:rsid w:val="0022431D"/>
    <w:rsid w:val="00227259"/>
    <w:rsid w:val="0023414F"/>
    <w:rsid w:val="0023735F"/>
    <w:rsid w:val="00241B17"/>
    <w:rsid w:val="00241C81"/>
    <w:rsid w:val="00244557"/>
    <w:rsid w:val="00257A1C"/>
    <w:rsid w:val="0027234C"/>
    <w:rsid w:val="00281795"/>
    <w:rsid w:val="0028335C"/>
    <w:rsid w:val="002850E3"/>
    <w:rsid w:val="00287E2F"/>
    <w:rsid w:val="00294AA0"/>
    <w:rsid w:val="002A0DC8"/>
    <w:rsid w:val="002A1948"/>
    <w:rsid w:val="002C0877"/>
    <w:rsid w:val="002C2AE2"/>
    <w:rsid w:val="002C40D8"/>
    <w:rsid w:val="002C4C2D"/>
    <w:rsid w:val="002C72D7"/>
    <w:rsid w:val="002C7A85"/>
    <w:rsid w:val="002D0720"/>
    <w:rsid w:val="002D0DCE"/>
    <w:rsid w:val="002D7EF2"/>
    <w:rsid w:val="002E2B10"/>
    <w:rsid w:val="002E3EEB"/>
    <w:rsid w:val="002E73B0"/>
    <w:rsid w:val="002F1045"/>
    <w:rsid w:val="002F1502"/>
    <w:rsid w:val="002F2069"/>
    <w:rsid w:val="002F2E82"/>
    <w:rsid w:val="002F71A2"/>
    <w:rsid w:val="003041AD"/>
    <w:rsid w:val="0031279F"/>
    <w:rsid w:val="00316F00"/>
    <w:rsid w:val="00321B51"/>
    <w:rsid w:val="00336D96"/>
    <w:rsid w:val="00344F07"/>
    <w:rsid w:val="003469C8"/>
    <w:rsid w:val="00350C8C"/>
    <w:rsid w:val="00355EA4"/>
    <w:rsid w:val="003635BE"/>
    <w:rsid w:val="00365045"/>
    <w:rsid w:val="00366B5E"/>
    <w:rsid w:val="00385BB5"/>
    <w:rsid w:val="00386BC2"/>
    <w:rsid w:val="003B125E"/>
    <w:rsid w:val="003B1BE3"/>
    <w:rsid w:val="003B2200"/>
    <w:rsid w:val="003B2AE6"/>
    <w:rsid w:val="003C31C9"/>
    <w:rsid w:val="003C3BD9"/>
    <w:rsid w:val="003C4961"/>
    <w:rsid w:val="003C7C5D"/>
    <w:rsid w:val="003D0AD2"/>
    <w:rsid w:val="003D7D34"/>
    <w:rsid w:val="003E1A39"/>
    <w:rsid w:val="003F5913"/>
    <w:rsid w:val="004024F8"/>
    <w:rsid w:val="00405696"/>
    <w:rsid w:val="004113D2"/>
    <w:rsid w:val="0041159A"/>
    <w:rsid w:val="00411BE8"/>
    <w:rsid w:val="004226DA"/>
    <w:rsid w:val="004305A8"/>
    <w:rsid w:val="0043229B"/>
    <w:rsid w:val="004353D5"/>
    <w:rsid w:val="00437C29"/>
    <w:rsid w:val="00441CC3"/>
    <w:rsid w:val="00443CA0"/>
    <w:rsid w:val="00450E14"/>
    <w:rsid w:val="00462C65"/>
    <w:rsid w:val="004674E7"/>
    <w:rsid w:val="00467B14"/>
    <w:rsid w:val="00467D07"/>
    <w:rsid w:val="00474EDA"/>
    <w:rsid w:val="004754F0"/>
    <w:rsid w:val="0047719E"/>
    <w:rsid w:val="00481D80"/>
    <w:rsid w:val="004824FA"/>
    <w:rsid w:val="00484011"/>
    <w:rsid w:val="004841F1"/>
    <w:rsid w:val="00487937"/>
    <w:rsid w:val="004A0EF3"/>
    <w:rsid w:val="004A1E3A"/>
    <w:rsid w:val="004B46D6"/>
    <w:rsid w:val="004C0BF6"/>
    <w:rsid w:val="004C4464"/>
    <w:rsid w:val="004C4AEA"/>
    <w:rsid w:val="004D0430"/>
    <w:rsid w:val="004D1DAA"/>
    <w:rsid w:val="004D4EB1"/>
    <w:rsid w:val="004E003C"/>
    <w:rsid w:val="004E16EB"/>
    <w:rsid w:val="004E6665"/>
    <w:rsid w:val="004F634E"/>
    <w:rsid w:val="004F67A8"/>
    <w:rsid w:val="005070F6"/>
    <w:rsid w:val="005115FA"/>
    <w:rsid w:val="0051582C"/>
    <w:rsid w:val="00522A50"/>
    <w:rsid w:val="00525E61"/>
    <w:rsid w:val="00527225"/>
    <w:rsid w:val="0053557D"/>
    <w:rsid w:val="005410E3"/>
    <w:rsid w:val="005463DE"/>
    <w:rsid w:val="00546DC2"/>
    <w:rsid w:val="00547AE2"/>
    <w:rsid w:val="005542E8"/>
    <w:rsid w:val="00556630"/>
    <w:rsid w:val="0055686D"/>
    <w:rsid w:val="00562CE4"/>
    <w:rsid w:val="00564CB5"/>
    <w:rsid w:val="005800EE"/>
    <w:rsid w:val="00583281"/>
    <w:rsid w:val="005869D6"/>
    <w:rsid w:val="00587C72"/>
    <w:rsid w:val="0059331E"/>
    <w:rsid w:val="00594619"/>
    <w:rsid w:val="005A33F6"/>
    <w:rsid w:val="005A52F5"/>
    <w:rsid w:val="005A59E5"/>
    <w:rsid w:val="005B7440"/>
    <w:rsid w:val="005D5B91"/>
    <w:rsid w:val="005D6F14"/>
    <w:rsid w:val="005E2150"/>
    <w:rsid w:val="005E2995"/>
    <w:rsid w:val="005F3FEF"/>
    <w:rsid w:val="00600C4F"/>
    <w:rsid w:val="0060287B"/>
    <w:rsid w:val="00607F7C"/>
    <w:rsid w:val="006102DA"/>
    <w:rsid w:val="006136A9"/>
    <w:rsid w:val="00616090"/>
    <w:rsid w:val="006315A3"/>
    <w:rsid w:val="0064669A"/>
    <w:rsid w:val="006510BB"/>
    <w:rsid w:val="006519E1"/>
    <w:rsid w:val="006579A2"/>
    <w:rsid w:val="00667C89"/>
    <w:rsid w:val="006711EE"/>
    <w:rsid w:val="006809BB"/>
    <w:rsid w:val="006809FD"/>
    <w:rsid w:val="00691441"/>
    <w:rsid w:val="00691D1F"/>
    <w:rsid w:val="00692DEB"/>
    <w:rsid w:val="00697BAE"/>
    <w:rsid w:val="006A1D6A"/>
    <w:rsid w:val="006B1BDF"/>
    <w:rsid w:val="006B4DDC"/>
    <w:rsid w:val="006B51BD"/>
    <w:rsid w:val="006B5E55"/>
    <w:rsid w:val="006C1515"/>
    <w:rsid w:val="006C4DA7"/>
    <w:rsid w:val="006C7290"/>
    <w:rsid w:val="006D25A1"/>
    <w:rsid w:val="006E14E9"/>
    <w:rsid w:val="006E642D"/>
    <w:rsid w:val="006F09A2"/>
    <w:rsid w:val="006F36C6"/>
    <w:rsid w:val="006F6856"/>
    <w:rsid w:val="006F7FE6"/>
    <w:rsid w:val="00704D61"/>
    <w:rsid w:val="00713412"/>
    <w:rsid w:val="007145D0"/>
    <w:rsid w:val="00716F94"/>
    <w:rsid w:val="00721180"/>
    <w:rsid w:val="007466CC"/>
    <w:rsid w:val="0075188E"/>
    <w:rsid w:val="0076001C"/>
    <w:rsid w:val="00760E12"/>
    <w:rsid w:val="00763CF3"/>
    <w:rsid w:val="00764CF8"/>
    <w:rsid w:val="00772293"/>
    <w:rsid w:val="00774689"/>
    <w:rsid w:val="00776981"/>
    <w:rsid w:val="00781AE3"/>
    <w:rsid w:val="0078368C"/>
    <w:rsid w:val="00783C75"/>
    <w:rsid w:val="00784619"/>
    <w:rsid w:val="00784735"/>
    <w:rsid w:val="0078627B"/>
    <w:rsid w:val="0078765B"/>
    <w:rsid w:val="007921F1"/>
    <w:rsid w:val="00794E32"/>
    <w:rsid w:val="007A0D73"/>
    <w:rsid w:val="007A4DAD"/>
    <w:rsid w:val="007B305A"/>
    <w:rsid w:val="007C1625"/>
    <w:rsid w:val="007D4CDD"/>
    <w:rsid w:val="007D6163"/>
    <w:rsid w:val="007E1030"/>
    <w:rsid w:val="007E575D"/>
    <w:rsid w:val="007E57CD"/>
    <w:rsid w:val="007E6AEF"/>
    <w:rsid w:val="007F5776"/>
    <w:rsid w:val="008034F7"/>
    <w:rsid w:val="00811C6E"/>
    <w:rsid w:val="00815C7D"/>
    <w:rsid w:val="00817941"/>
    <w:rsid w:val="008229E4"/>
    <w:rsid w:val="00823547"/>
    <w:rsid w:val="008261AB"/>
    <w:rsid w:val="008269AB"/>
    <w:rsid w:val="00830E17"/>
    <w:rsid w:val="00834042"/>
    <w:rsid w:val="00834C91"/>
    <w:rsid w:val="00835CA7"/>
    <w:rsid w:val="008370D4"/>
    <w:rsid w:val="008414AD"/>
    <w:rsid w:val="008428D9"/>
    <w:rsid w:val="008715E7"/>
    <w:rsid w:val="00877434"/>
    <w:rsid w:val="00881FBD"/>
    <w:rsid w:val="0088467A"/>
    <w:rsid w:val="0088497A"/>
    <w:rsid w:val="00884DB9"/>
    <w:rsid w:val="008961F0"/>
    <w:rsid w:val="008B130F"/>
    <w:rsid w:val="008C59E7"/>
    <w:rsid w:val="008C67D2"/>
    <w:rsid w:val="008E0683"/>
    <w:rsid w:val="008E2E3E"/>
    <w:rsid w:val="008E3D8D"/>
    <w:rsid w:val="008E7B5E"/>
    <w:rsid w:val="00902DD9"/>
    <w:rsid w:val="00911486"/>
    <w:rsid w:val="009129CA"/>
    <w:rsid w:val="009206B6"/>
    <w:rsid w:val="009252DC"/>
    <w:rsid w:val="009252F5"/>
    <w:rsid w:val="009263C1"/>
    <w:rsid w:val="00941B4F"/>
    <w:rsid w:val="009518C0"/>
    <w:rsid w:val="009527AB"/>
    <w:rsid w:val="00963CE3"/>
    <w:rsid w:val="00964F18"/>
    <w:rsid w:val="00974424"/>
    <w:rsid w:val="00987F76"/>
    <w:rsid w:val="00993088"/>
    <w:rsid w:val="00993856"/>
    <w:rsid w:val="0099664F"/>
    <w:rsid w:val="00997D5D"/>
    <w:rsid w:val="009A0447"/>
    <w:rsid w:val="009A2CE5"/>
    <w:rsid w:val="009A2E9A"/>
    <w:rsid w:val="009A4B59"/>
    <w:rsid w:val="009B4A51"/>
    <w:rsid w:val="009C2134"/>
    <w:rsid w:val="009C28B1"/>
    <w:rsid w:val="009C61AD"/>
    <w:rsid w:val="009C6697"/>
    <w:rsid w:val="009D373D"/>
    <w:rsid w:val="009D436B"/>
    <w:rsid w:val="009D7B2C"/>
    <w:rsid w:val="009E0801"/>
    <w:rsid w:val="009E1D05"/>
    <w:rsid w:val="009E3669"/>
    <w:rsid w:val="009F7DE0"/>
    <w:rsid w:val="00A05973"/>
    <w:rsid w:val="00A06BCB"/>
    <w:rsid w:val="00A11B0C"/>
    <w:rsid w:val="00A24EE4"/>
    <w:rsid w:val="00A33B35"/>
    <w:rsid w:val="00A33E90"/>
    <w:rsid w:val="00A36419"/>
    <w:rsid w:val="00A44921"/>
    <w:rsid w:val="00A44AD9"/>
    <w:rsid w:val="00A5364A"/>
    <w:rsid w:val="00A578C2"/>
    <w:rsid w:val="00A72652"/>
    <w:rsid w:val="00A75D1C"/>
    <w:rsid w:val="00A763BB"/>
    <w:rsid w:val="00A809AA"/>
    <w:rsid w:val="00A849B3"/>
    <w:rsid w:val="00A8510D"/>
    <w:rsid w:val="00A86AF3"/>
    <w:rsid w:val="00A90AFF"/>
    <w:rsid w:val="00A90BDC"/>
    <w:rsid w:val="00A95477"/>
    <w:rsid w:val="00A95948"/>
    <w:rsid w:val="00A975A9"/>
    <w:rsid w:val="00AA3192"/>
    <w:rsid w:val="00AB0486"/>
    <w:rsid w:val="00AB251E"/>
    <w:rsid w:val="00AB3608"/>
    <w:rsid w:val="00AC1272"/>
    <w:rsid w:val="00AC5C48"/>
    <w:rsid w:val="00AC63E3"/>
    <w:rsid w:val="00AD3F08"/>
    <w:rsid w:val="00AD7A00"/>
    <w:rsid w:val="00AE4C69"/>
    <w:rsid w:val="00AE75BE"/>
    <w:rsid w:val="00AF0CF4"/>
    <w:rsid w:val="00AF2252"/>
    <w:rsid w:val="00B0098C"/>
    <w:rsid w:val="00B00B12"/>
    <w:rsid w:val="00B00FE8"/>
    <w:rsid w:val="00B06EC4"/>
    <w:rsid w:val="00B1129F"/>
    <w:rsid w:val="00B11D61"/>
    <w:rsid w:val="00B12A28"/>
    <w:rsid w:val="00B12F51"/>
    <w:rsid w:val="00B2126B"/>
    <w:rsid w:val="00B24DA7"/>
    <w:rsid w:val="00B2751E"/>
    <w:rsid w:val="00B27FEC"/>
    <w:rsid w:val="00B32786"/>
    <w:rsid w:val="00B3650C"/>
    <w:rsid w:val="00B42C52"/>
    <w:rsid w:val="00B43AFE"/>
    <w:rsid w:val="00B47055"/>
    <w:rsid w:val="00B63CF3"/>
    <w:rsid w:val="00B64BFA"/>
    <w:rsid w:val="00B6773E"/>
    <w:rsid w:val="00B71E63"/>
    <w:rsid w:val="00B83212"/>
    <w:rsid w:val="00B85DE4"/>
    <w:rsid w:val="00B87AAD"/>
    <w:rsid w:val="00B91A31"/>
    <w:rsid w:val="00BA3EF9"/>
    <w:rsid w:val="00BA50D9"/>
    <w:rsid w:val="00BA5C0B"/>
    <w:rsid w:val="00BA6C28"/>
    <w:rsid w:val="00BA6DB4"/>
    <w:rsid w:val="00BB090C"/>
    <w:rsid w:val="00BC38F1"/>
    <w:rsid w:val="00BC3F3C"/>
    <w:rsid w:val="00BC5BB2"/>
    <w:rsid w:val="00BD56AF"/>
    <w:rsid w:val="00BE738E"/>
    <w:rsid w:val="00BF11A1"/>
    <w:rsid w:val="00BF3F54"/>
    <w:rsid w:val="00C00697"/>
    <w:rsid w:val="00C00F88"/>
    <w:rsid w:val="00C0376C"/>
    <w:rsid w:val="00C06D77"/>
    <w:rsid w:val="00C11381"/>
    <w:rsid w:val="00C14BA6"/>
    <w:rsid w:val="00C274AD"/>
    <w:rsid w:val="00C3485C"/>
    <w:rsid w:val="00C415CF"/>
    <w:rsid w:val="00C544A4"/>
    <w:rsid w:val="00C732B5"/>
    <w:rsid w:val="00C73603"/>
    <w:rsid w:val="00C768E5"/>
    <w:rsid w:val="00CA2004"/>
    <w:rsid w:val="00CA5840"/>
    <w:rsid w:val="00CA5B99"/>
    <w:rsid w:val="00CB0933"/>
    <w:rsid w:val="00CB334D"/>
    <w:rsid w:val="00CB56D5"/>
    <w:rsid w:val="00CC7188"/>
    <w:rsid w:val="00CC76CD"/>
    <w:rsid w:val="00CD1EA8"/>
    <w:rsid w:val="00CD5617"/>
    <w:rsid w:val="00CD5CB2"/>
    <w:rsid w:val="00CE2891"/>
    <w:rsid w:val="00CF5ABD"/>
    <w:rsid w:val="00CF63CE"/>
    <w:rsid w:val="00D067C1"/>
    <w:rsid w:val="00D1343B"/>
    <w:rsid w:val="00D13B13"/>
    <w:rsid w:val="00D16E78"/>
    <w:rsid w:val="00D20072"/>
    <w:rsid w:val="00D201D3"/>
    <w:rsid w:val="00D267D5"/>
    <w:rsid w:val="00D26A64"/>
    <w:rsid w:val="00D31720"/>
    <w:rsid w:val="00D332C6"/>
    <w:rsid w:val="00D41303"/>
    <w:rsid w:val="00D478ED"/>
    <w:rsid w:val="00D52B9A"/>
    <w:rsid w:val="00D5367E"/>
    <w:rsid w:val="00D53B1E"/>
    <w:rsid w:val="00D6105F"/>
    <w:rsid w:val="00D61AD2"/>
    <w:rsid w:val="00D67915"/>
    <w:rsid w:val="00D710FF"/>
    <w:rsid w:val="00D71C1C"/>
    <w:rsid w:val="00D735D0"/>
    <w:rsid w:val="00D75750"/>
    <w:rsid w:val="00D84EF0"/>
    <w:rsid w:val="00D861ED"/>
    <w:rsid w:val="00D873E0"/>
    <w:rsid w:val="00D9347D"/>
    <w:rsid w:val="00D941E3"/>
    <w:rsid w:val="00D94F8B"/>
    <w:rsid w:val="00D95FBF"/>
    <w:rsid w:val="00DA2091"/>
    <w:rsid w:val="00DA5988"/>
    <w:rsid w:val="00DB0BE7"/>
    <w:rsid w:val="00DB596A"/>
    <w:rsid w:val="00DB6F6C"/>
    <w:rsid w:val="00DB7F78"/>
    <w:rsid w:val="00DC0184"/>
    <w:rsid w:val="00DC317C"/>
    <w:rsid w:val="00DC4FF2"/>
    <w:rsid w:val="00DC79CC"/>
    <w:rsid w:val="00DD3A34"/>
    <w:rsid w:val="00DD5031"/>
    <w:rsid w:val="00DD7BF0"/>
    <w:rsid w:val="00DF2D5C"/>
    <w:rsid w:val="00E10D39"/>
    <w:rsid w:val="00E12ACD"/>
    <w:rsid w:val="00E134F4"/>
    <w:rsid w:val="00E162E0"/>
    <w:rsid w:val="00E17392"/>
    <w:rsid w:val="00E20D75"/>
    <w:rsid w:val="00E23568"/>
    <w:rsid w:val="00E245B5"/>
    <w:rsid w:val="00E26E8A"/>
    <w:rsid w:val="00E33E1B"/>
    <w:rsid w:val="00E34D3E"/>
    <w:rsid w:val="00E36F16"/>
    <w:rsid w:val="00E40706"/>
    <w:rsid w:val="00E5743F"/>
    <w:rsid w:val="00E61AA5"/>
    <w:rsid w:val="00E62BD2"/>
    <w:rsid w:val="00E631E2"/>
    <w:rsid w:val="00E647FB"/>
    <w:rsid w:val="00E720E9"/>
    <w:rsid w:val="00E72B87"/>
    <w:rsid w:val="00E81C5E"/>
    <w:rsid w:val="00E83B3C"/>
    <w:rsid w:val="00E8736B"/>
    <w:rsid w:val="00E90275"/>
    <w:rsid w:val="00E925D4"/>
    <w:rsid w:val="00E9465D"/>
    <w:rsid w:val="00E97226"/>
    <w:rsid w:val="00EA2B44"/>
    <w:rsid w:val="00EA33EF"/>
    <w:rsid w:val="00EC4FFD"/>
    <w:rsid w:val="00EC58F5"/>
    <w:rsid w:val="00EC5EFC"/>
    <w:rsid w:val="00ED6DF6"/>
    <w:rsid w:val="00EE3983"/>
    <w:rsid w:val="00EE706B"/>
    <w:rsid w:val="00EF33CD"/>
    <w:rsid w:val="00EF33E7"/>
    <w:rsid w:val="00F12924"/>
    <w:rsid w:val="00F20C9B"/>
    <w:rsid w:val="00F300CB"/>
    <w:rsid w:val="00F31310"/>
    <w:rsid w:val="00F40F2F"/>
    <w:rsid w:val="00F42A26"/>
    <w:rsid w:val="00F42C3A"/>
    <w:rsid w:val="00F45451"/>
    <w:rsid w:val="00F52BCC"/>
    <w:rsid w:val="00F52C7C"/>
    <w:rsid w:val="00F5313F"/>
    <w:rsid w:val="00F743AC"/>
    <w:rsid w:val="00F81135"/>
    <w:rsid w:val="00F81A48"/>
    <w:rsid w:val="00F90290"/>
    <w:rsid w:val="00F94AE3"/>
    <w:rsid w:val="00F94CBD"/>
    <w:rsid w:val="00FB62BC"/>
    <w:rsid w:val="00FB7125"/>
    <w:rsid w:val="00FD17C9"/>
    <w:rsid w:val="00FD2A5B"/>
    <w:rsid w:val="00FD731A"/>
    <w:rsid w:val="00FE6A5C"/>
    <w:rsid w:val="00FF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46F5"/>
  <w15:docId w15:val="{FA938DD8-E79B-453C-9606-34FC0F74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2"/>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table" w:styleId="MediumShading1-Accent1">
    <w:name w:val="Medium Shading 1 Accent 1"/>
    <w:basedOn w:val="TableNormal"/>
    <w:uiPriority w:val="63"/>
    <w:rsid w:val="00BA5C0B"/>
    <w:pPr>
      <w:spacing w:after="0" w:line="240" w:lineRule="auto"/>
    </w:p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DD3A34"/>
    <w:rPr>
      <w:color w:val="800080" w:themeColor="followedHyperlink"/>
      <w:u w:val="single"/>
    </w:rPr>
  </w:style>
  <w:style w:type="paragraph" w:styleId="TOCHeading">
    <w:name w:val="TOC Heading"/>
    <w:basedOn w:val="Heading1"/>
    <w:next w:val="Normal"/>
    <w:uiPriority w:val="39"/>
    <w:semiHidden/>
    <w:unhideWhenUsed/>
    <w:qFormat/>
    <w:rsid w:val="00154235"/>
    <w:pPr>
      <w:keepNext/>
      <w:keepLines/>
      <w:tabs>
        <w:tab w:val="clear" w:pos="9360"/>
      </w:tabs>
      <w:spacing w:before="480"/>
      <w:ind w:left="0"/>
      <w:jc w:val="left"/>
      <w:outlineLvl w:val="9"/>
    </w:pPr>
    <w:rPr>
      <w:rFonts w:eastAsiaTheme="majorEastAsia"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154235"/>
    <w:pPr>
      <w:tabs>
        <w:tab w:val="clear" w:pos="9360"/>
      </w:tabs>
      <w:spacing w:after="100"/>
      <w:ind w:left="0"/>
    </w:pPr>
  </w:style>
  <w:style w:type="paragraph" w:styleId="TOC2">
    <w:name w:val="toc 2"/>
    <w:basedOn w:val="Normal"/>
    <w:next w:val="Normal"/>
    <w:autoRedefine/>
    <w:uiPriority w:val="39"/>
    <w:unhideWhenUsed/>
    <w:rsid w:val="00C73603"/>
    <w:pPr>
      <w:tabs>
        <w:tab w:val="clear" w:pos="9360"/>
        <w:tab w:val="left" w:pos="450"/>
        <w:tab w:val="right" w:pos="9350"/>
      </w:tabs>
      <w:spacing w:after="100"/>
      <w:ind w:left="0"/>
    </w:pPr>
  </w:style>
  <w:style w:type="paragraph" w:styleId="TOC3">
    <w:name w:val="toc 3"/>
    <w:basedOn w:val="Normal"/>
    <w:next w:val="Normal"/>
    <w:autoRedefine/>
    <w:uiPriority w:val="39"/>
    <w:unhideWhenUsed/>
    <w:rsid w:val="00154235"/>
    <w:pPr>
      <w:tabs>
        <w:tab w:val="clear" w:pos="9360"/>
      </w:tabs>
      <w:spacing w:after="100"/>
      <w:ind w:left="440"/>
    </w:pPr>
  </w:style>
  <w:style w:type="paragraph" w:styleId="TOC8">
    <w:name w:val="toc 8"/>
    <w:basedOn w:val="Normal"/>
    <w:next w:val="Normal"/>
    <w:autoRedefine/>
    <w:uiPriority w:val="39"/>
    <w:unhideWhenUsed/>
    <w:rsid w:val="00154235"/>
    <w:pPr>
      <w:tabs>
        <w:tab w:val="clear" w:pos="9360"/>
      </w:tabs>
      <w:spacing w:after="100"/>
      <w:ind w:left="1540"/>
    </w:pPr>
    <w:rPr>
      <w:rFonts w:asciiTheme="minorHAnsi" w:hAnsiTheme="minorHAnsi"/>
    </w:rPr>
  </w:style>
  <w:style w:type="paragraph" w:styleId="EndnoteText">
    <w:name w:val="endnote text"/>
    <w:basedOn w:val="Normal"/>
    <w:link w:val="EndnoteTextChar"/>
    <w:uiPriority w:val="99"/>
    <w:semiHidden/>
    <w:unhideWhenUsed/>
    <w:rsid w:val="008E2E3E"/>
    <w:pPr>
      <w:spacing w:line="240" w:lineRule="auto"/>
    </w:pPr>
    <w:rPr>
      <w:sz w:val="20"/>
      <w:szCs w:val="20"/>
    </w:rPr>
  </w:style>
  <w:style w:type="character" w:customStyle="1" w:styleId="EndnoteTextChar">
    <w:name w:val="Endnote Text Char"/>
    <w:basedOn w:val="DefaultParagraphFont"/>
    <w:link w:val="EndnoteText"/>
    <w:uiPriority w:val="99"/>
    <w:semiHidden/>
    <w:rsid w:val="008E2E3E"/>
    <w:rPr>
      <w:rFonts w:asciiTheme="majorHAnsi" w:hAnsiTheme="majorHAnsi"/>
      <w:sz w:val="20"/>
      <w:szCs w:val="20"/>
    </w:rPr>
  </w:style>
  <w:style w:type="character" w:styleId="EndnoteReference">
    <w:name w:val="endnote reference"/>
    <w:basedOn w:val="DefaultParagraphFont"/>
    <w:uiPriority w:val="99"/>
    <w:semiHidden/>
    <w:unhideWhenUsed/>
    <w:rsid w:val="008E2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969176">
      <w:bodyDiv w:val="1"/>
      <w:marLeft w:val="0"/>
      <w:marRight w:val="0"/>
      <w:marTop w:val="0"/>
      <w:marBottom w:val="0"/>
      <w:divBdr>
        <w:top w:val="none" w:sz="0" w:space="0" w:color="auto"/>
        <w:left w:val="none" w:sz="0" w:space="0" w:color="auto"/>
        <w:bottom w:val="none" w:sz="0" w:space="0" w:color="auto"/>
        <w:right w:val="none" w:sz="0" w:space="0" w:color="auto"/>
      </w:divBdr>
    </w:div>
    <w:div w:id="517357703">
      <w:bodyDiv w:val="1"/>
      <w:marLeft w:val="0"/>
      <w:marRight w:val="0"/>
      <w:marTop w:val="0"/>
      <w:marBottom w:val="0"/>
      <w:divBdr>
        <w:top w:val="none" w:sz="0" w:space="0" w:color="auto"/>
        <w:left w:val="none" w:sz="0" w:space="0" w:color="auto"/>
        <w:bottom w:val="none" w:sz="0" w:space="0" w:color="auto"/>
        <w:right w:val="none" w:sz="0" w:space="0" w:color="auto"/>
      </w:divBdr>
      <w:divsChild>
        <w:div w:id="1831670659">
          <w:marLeft w:val="0"/>
          <w:marRight w:val="0"/>
          <w:marTop w:val="0"/>
          <w:marBottom w:val="0"/>
          <w:divBdr>
            <w:top w:val="none" w:sz="0" w:space="0" w:color="auto"/>
            <w:left w:val="none" w:sz="0" w:space="0" w:color="auto"/>
            <w:bottom w:val="none" w:sz="0" w:space="0" w:color="auto"/>
            <w:right w:val="none" w:sz="0" w:space="0" w:color="auto"/>
          </w:divBdr>
        </w:div>
      </w:divsChild>
    </w:div>
    <w:div w:id="624165049">
      <w:bodyDiv w:val="1"/>
      <w:marLeft w:val="0"/>
      <w:marRight w:val="0"/>
      <w:marTop w:val="0"/>
      <w:marBottom w:val="0"/>
      <w:divBdr>
        <w:top w:val="none" w:sz="0" w:space="0" w:color="auto"/>
        <w:left w:val="none" w:sz="0" w:space="0" w:color="auto"/>
        <w:bottom w:val="none" w:sz="0" w:space="0" w:color="auto"/>
        <w:right w:val="none" w:sz="0" w:space="0" w:color="auto"/>
      </w:divBdr>
      <w:divsChild>
        <w:div w:id="2022974681">
          <w:marLeft w:val="0"/>
          <w:marRight w:val="0"/>
          <w:marTop w:val="0"/>
          <w:marBottom w:val="0"/>
          <w:divBdr>
            <w:top w:val="none" w:sz="0" w:space="0" w:color="auto"/>
            <w:left w:val="none" w:sz="0" w:space="0" w:color="auto"/>
            <w:bottom w:val="none" w:sz="0" w:space="0" w:color="auto"/>
            <w:right w:val="none" w:sz="0" w:space="0" w:color="auto"/>
          </w:divBdr>
        </w:div>
      </w:divsChild>
    </w:div>
    <w:div w:id="647320889">
      <w:bodyDiv w:val="1"/>
      <w:marLeft w:val="0"/>
      <w:marRight w:val="0"/>
      <w:marTop w:val="0"/>
      <w:marBottom w:val="0"/>
      <w:divBdr>
        <w:top w:val="none" w:sz="0" w:space="0" w:color="auto"/>
        <w:left w:val="none" w:sz="0" w:space="0" w:color="auto"/>
        <w:bottom w:val="none" w:sz="0" w:space="0" w:color="auto"/>
        <w:right w:val="none" w:sz="0" w:space="0" w:color="auto"/>
      </w:divBdr>
    </w:div>
    <w:div w:id="823162589">
      <w:bodyDiv w:val="1"/>
      <w:marLeft w:val="0"/>
      <w:marRight w:val="0"/>
      <w:marTop w:val="0"/>
      <w:marBottom w:val="0"/>
      <w:divBdr>
        <w:top w:val="none" w:sz="0" w:space="0" w:color="auto"/>
        <w:left w:val="none" w:sz="0" w:space="0" w:color="auto"/>
        <w:bottom w:val="none" w:sz="0" w:space="0" w:color="auto"/>
        <w:right w:val="none" w:sz="0" w:space="0" w:color="auto"/>
      </w:divBdr>
    </w:div>
    <w:div w:id="950431039">
      <w:bodyDiv w:val="1"/>
      <w:marLeft w:val="0"/>
      <w:marRight w:val="0"/>
      <w:marTop w:val="0"/>
      <w:marBottom w:val="0"/>
      <w:divBdr>
        <w:top w:val="none" w:sz="0" w:space="0" w:color="auto"/>
        <w:left w:val="none" w:sz="0" w:space="0" w:color="auto"/>
        <w:bottom w:val="none" w:sz="0" w:space="0" w:color="auto"/>
        <w:right w:val="none" w:sz="0" w:space="0" w:color="auto"/>
      </w:divBdr>
      <w:divsChild>
        <w:div w:id="1199853061">
          <w:marLeft w:val="0"/>
          <w:marRight w:val="0"/>
          <w:marTop w:val="0"/>
          <w:marBottom w:val="0"/>
          <w:divBdr>
            <w:top w:val="none" w:sz="0" w:space="0" w:color="auto"/>
            <w:left w:val="none" w:sz="0" w:space="0" w:color="auto"/>
            <w:bottom w:val="none" w:sz="0" w:space="0" w:color="auto"/>
            <w:right w:val="none" w:sz="0" w:space="0" w:color="auto"/>
          </w:divBdr>
        </w:div>
      </w:divsChild>
    </w:div>
    <w:div w:id="1228999829">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082866764">
      <w:bodyDiv w:val="1"/>
      <w:marLeft w:val="0"/>
      <w:marRight w:val="0"/>
      <w:marTop w:val="0"/>
      <w:marBottom w:val="0"/>
      <w:divBdr>
        <w:top w:val="none" w:sz="0" w:space="0" w:color="auto"/>
        <w:left w:val="none" w:sz="0" w:space="0" w:color="auto"/>
        <w:bottom w:val="none" w:sz="0" w:space="0" w:color="auto"/>
        <w:right w:val="none" w:sz="0" w:space="0" w:color="auto"/>
      </w:divBdr>
    </w:div>
    <w:div w:id="2090734018">
      <w:bodyDiv w:val="1"/>
      <w:marLeft w:val="0"/>
      <w:marRight w:val="0"/>
      <w:marTop w:val="0"/>
      <w:marBottom w:val="0"/>
      <w:divBdr>
        <w:top w:val="none" w:sz="0" w:space="0" w:color="auto"/>
        <w:left w:val="none" w:sz="0" w:space="0" w:color="auto"/>
        <w:bottom w:val="none" w:sz="0" w:space="0" w:color="auto"/>
        <w:right w:val="none" w:sz="0" w:space="0" w:color="auto"/>
      </w:divBdr>
      <w:divsChild>
        <w:div w:id="1557428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keuplee@cdc.gov" TargetMode="External"/><Relationship Id="rId18" Type="http://schemas.openxmlformats.org/officeDocument/2006/relationships/hyperlink" Target="http://www.cdc.gov/healthyyouth/health_and_academics/pdf/health-academic-achievement.pdf" TargetMode="External"/><Relationship Id="rId3" Type="http://schemas.openxmlformats.org/officeDocument/2006/relationships/customXml" Target="../customXml/item3.xml"/><Relationship Id="rId21" Type="http://schemas.openxmlformats.org/officeDocument/2006/relationships/hyperlink" Target="http://www.adobe.com/marketing-cloud.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dc.gov/chronicdisease/about/state-public-health-actions.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dc.gov/healthyyouth/schoolhealth/index.htm" TargetMode="External"/><Relationship Id="rId20" Type="http://schemas.openxmlformats.org/officeDocument/2006/relationships/hyperlink" Target="http://www.cdc.gov/healthyyouth/sh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dc.gov/nphpsp/essentialservices.html.%20Accessed%20on%208/14/14"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cdc.gov/healthyyouth/health_and_academics/pdf/2014_8_29_health-academics_508tagged.pdf%20Accessed%204/20/15"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s.gov/ncs/ocs/sp/nctb1349.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OSTLTSDOC-726-98</_dlc_DocId>
    <_dlc_DocIdUrl xmlns="b5c0ca00-073d-4463-9985-b654f14791fe">
      <Url>https://esp.cdc.gov/sites/ostlts/pip/osc/_layouts/15/DocIdRedir.aspx?ID=OSTLTSDOC-726-98</Url>
      <Description>OSTLTSDOC-726-98</Description>
    </_dlc_DocIdUrl>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1883-73A1-4EA2-898A-E71C9BC6152F}">
  <ds:schemaRefs>
    <ds:schemaRef ds:uri="http://schemas.microsoft.com/office/2006/metadata/customXsn"/>
  </ds:schemaRefs>
</ds:datastoreItem>
</file>

<file path=customXml/itemProps2.xml><?xml version="1.0" encoding="utf-8"?>
<ds:datastoreItem xmlns:ds="http://schemas.openxmlformats.org/officeDocument/2006/customXml" ds:itemID="{0A423295-D433-4C08-A2F5-BBE071A4A3B1}">
  <ds:schemaRefs>
    <ds:schemaRef ds:uri="http://schemas.microsoft.com/sharepoint/events"/>
  </ds:schemaRefs>
</ds:datastoreItem>
</file>

<file path=customXml/itemProps3.xml><?xml version="1.0" encoding="utf-8"?>
<ds:datastoreItem xmlns:ds="http://schemas.openxmlformats.org/officeDocument/2006/customXml" ds:itemID="{66D8DE67-439D-476C-AA65-A2B0BC302295}">
  <ds:schemaRefs>
    <ds:schemaRef ds:uri="15b1c282-9287-45cb-9b41-eae3a76919a0"/>
    <ds:schemaRef ds:uri="http://schemas.microsoft.com/office/2006/metadata/properties"/>
    <ds:schemaRef ds:uri="http://www.w3.org/XML/1998/namespace"/>
    <ds:schemaRef ds:uri="http://purl.org/dc/terms/"/>
    <ds:schemaRef ds:uri="http://purl.org/dc/dcmitype/"/>
    <ds:schemaRef ds:uri="http://purl.org/dc/elements/1.1/"/>
    <ds:schemaRef ds:uri="b5c0ca00-073d-4463-9985-b654f14791fe"/>
    <ds:schemaRef ds:uri="http://schemas.microsoft.com/office/2006/documentManagement/types"/>
    <ds:schemaRef ds:uri="http://schemas.openxmlformats.org/package/2006/metadata/core-properties"/>
    <ds:schemaRef ds:uri="http://schemas.microsoft.com/office/infopath/2007/PartnerControls"/>
    <ds:schemaRef ds:uri="ce849d94-b00b-4457-8fdf-7e9e81e05b5e"/>
    <ds:schemaRef ds:uri="bd99c180-279b-44c3-9486-dd050336677e"/>
  </ds:schemaRefs>
</ds:datastoreItem>
</file>

<file path=customXml/itemProps4.xml><?xml version="1.0" encoding="utf-8"?>
<ds:datastoreItem xmlns:ds="http://schemas.openxmlformats.org/officeDocument/2006/customXml" ds:itemID="{A8F605D9-756F-4511-956E-AC543C291CE4}">
  <ds:schemaRefs>
    <ds:schemaRef ds:uri="http://schemas.microsoft.com/sharepoint/v3/contenttype/forms"/>
  </ds:schemaRefs>
</ds:datastoreItem>
</file>

<file path=customXml/itemProps5.xml><?xml version="1.0" encoding="utf-8"?>
<ds:datastoreItem xmlns:ds="http://schemas.openxmlformats.org/officeDocument/2006/customXml" ds:itemID="{9C2FF21E-117C-4086-BFF3-E6FAB85B7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153E8FC-5346-4BDF-86BA-F44717AE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3705</Words>
  <Characters>21125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O2C2-Supporting-Statement-A-Template-CDCID-NICKNAME-SSA</vt:lpstr>
    </vt:vector>
  </TitlesOfParts>
  <Company>CDC</Company>
  <LinksUpToDate>false</LinksUpToDate>
  <CharactersWithSpaces>24781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O2C2-Supporting-Statement-A-Template-CDCID-NICKNAME-SSA</dc:title>
  <dc:creator>gel2</dc:creator>
  <cp:lastModifiedBy>Gilliam, Adzua H. (CDC/OSTLTS/DPHPI)</cp:lastModifiedBy>
  <cp:revision>2</cp:revision>
  <cp:lastPrinted>2011-06-07T15:53:00Z</cp:lastPrinted>
  <dcterms:created xsi:type="dcterms:W3CDTF">2015-05-05T13:29:00Z</dcterms:created>
  <dcterms:modified xsi:type="dcterms:W3CDTF">2015-05-05T13:29:00Z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1400</vt:r8>
  </property>
  <property fmtid="{D5CDD505-2E9C-101B-9397-08002B2CF9AE}" pid="3" name="_dlc_DocIdItemGuid">
    <vt:lpwstr>afbcb91b-cdfe-4005-9e5f-4fc98314f72e</vt:lpwstr>
  </property>
  <property fmtid="{D5CDD505-2E9C-101B-9397-08002B2CF9AE}" pid="4" name="ContentTypeId">
    <vt:lpwstr>0x0101008B0C90E18ED62843B8190FE6ED302705</vt:lpwstr>
  </property>
  <property fmtid="{D5CDD505-2E9C-101B-9397-08002B2CF9AE}" pid="5" name="OSC_GenIC_Title">
    <vt:lpwstr>=&gt;Enter title. Title needs to be descriptive.  See sample GenIC’s.  Also recently OMB told us not to use the word ‘survey’ or ‘evaluation’ in our GenIC.  Use synonyms such as assessment. &lt;=</vt:lpwstr>
  </property>
</Properties>
</file>