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7AC28" w14:textId="77777777" w:rsidR="00716F94" w:rsidRDefault="00716F94" w:rsidP="00BC6896">
      <w:bookmarkStart w:id="0" w:name="_GoBack"/>
      <w:bookmarkEnd w:id="0"/>
    </w:p>
    <w:p w14:paraId="2C04556C" w14:textId="77777777" w:rsidR="009B4A51" w:rsidRDefault="009B4A51" w:rsidP="00BC6896"/>
    <w:p w14:paraId="3D4DD060" w14:textId="77777777" w:rsidR="009B4A51" w:rsidRDefault="009B4A51" w:rsidP="00BC6896"/>
    <w:p w14:paraId="6D3FB8EE" w14:textId="77777777" w:rsidR="009B4A51" w:rsidRDefault="009B4A51" w:rsidP="00BC6896"/>
    <w:p w14:paraId="40A67C4B" w14:textId="77777777" w:rsidR="009B4A51" w:rsidRDefault="009B4A51" w:rsidP="00BC6896"/>
    <w:p w14:paraId="4DFB3092" w14:textId="77777777" w:rsidR="00667C89" w:rsidRDefault="00667C89" w:rsidP="00BC6896"/>
    <w:p w14:paraId="38833D63" w14:textId="77777777" w:rsidR="009B4A51" w:rsidRDefault="009B4A51" w:rsidP="00BC6896"/>
    <w:p w14:paraId="1DD6CB78" w14:textId="77777777" w:rsidR="009B4A51" w:rsidRDefault="009B4A51" w:rsidP="00BC6896"/>
    <w:p w14:paraId="614FA746" w14:textId="77777777" w:rsidR="00165610" w:rsidRPr="005E6138" w:rsidRDefault="00165610" w:rsidP="00165610">
      <w:pPr>
        <w:pStyle w:val="Heading1"/>
      </w:pPr>
      <w:r w:rsidRPr="005E6138">
        <w:t>Public Health Preparedness Capabilities Assessment</w:t>
      </w:r>
    </w:p>
    <w:p w14:paraId="7C513C13" w14:textId="77777777" w:rsidR="00AA3192" w:rsidRPr="005E6138" w:rsidRDefault="00AA3192" w:rsidP="00BC6896"/>
    <w:p w14:paraId="537AA388"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22E07159" w14:textId="77777777" w:rsidR="00484011" w:rsidRPr="00AA3192" w:rsidRDefault="00484011" w:rsidP="00BC6896">
      <w:pPr>
        <w:pStyle w:val="Header"/>
        <w:ind w:left="0"/>
        <w:jc w:val="center"/>
      </w:pPr>
      <w:r w:rsidRPr="00AA3192">
        <w:t>OMB No. 0920-0879</w:t>
      </w:r>
    </w:p>
    <w:p w14:paraId="17692E1D" w14:textId="77777777" w:rsidR="009B4A51" w:rsidRDefault="009B4A51" w:rsidP="00BC6896"/>
    <w:p w14:paraId="391ACCA7" w14:textId="77777777" w:rsidR="009B4A51" w:rsidRDefault="009B4A51" w:rsidP="00BC6896"/>
    <w:p w14:paraId="5429EC66" w14:textId="77777777" w:rsidR="00AA3192" w:rsidRDefault="00AA3192" w:rsidP="00BC6896"/>
    <w:p w14:paraId="675ED4B4" w14:textId="77777777" w:rsidR="00AA3192" w:rsidRDefault="00AA3192" w:rsidP="00BC6896"/>
    <w:p w14:paraId="3C12DA74" w14:textId="77777777" w:rsidR="009B4A51" w:rsidRPr="00BC6896" w:rsidRDefault="009B4A51" w:rsidP="00BC6896">
      <w:pPr>
        <w:pStyle w:val="Heading2"/>
      </w:pPr>
      <w:r w:rsidRPr="00BC6896">
        <w:t xml:space="preserve">Supporting Statement – Section </w:t>
      </w:r>
      <w:r w:rsidR="00601392" w:rsidRPr="00BC6896">
        <w:t>B</w:t>
      </w:r>
    </w:p>
    <w:p w14:paraId="3A535E8C" w14:textId="77777777" w:rsidR="009B4A51" w:rsidRDefault="009B4A51" w:rsidP="00BC6896"/>
    <w:p w14:paraId="2B5EE280" w14:textId="77777777" w:rsidR="00484011" w:rsidRDefault="00484011" w:rsidP="00BC6896"/>
    <w:p w14:paraId="72240078" w14:textId="77777777" w:rsidR="00AA3192" w:rsidRDefault="00AA3192" w:rsidP="00BC6896"/>
    <w:p w14:paraId="6A32EFBB" w14:textId="77777777" w:rsidR="009B4A51" w:rsidRDefault="009B4A51" w:rsidP="00BC6896"/>
    <w:p w14:paraId="3F23C7C1" w14:textId="77777777" w:rsidR="009B4A51" w:rsidRDefault="009B4A51" w:rsidP="00BC6896"/>
    <w:p w14:paraId="5AB30364" w14:textId="77777777" w:rsidR="00187D5A" w:rsidRDefault="00187D5A" w:rsidP="00BC6896"/>
    <w:p w14:paraId="2095E9B9" w14:textId="765E5834" w:rsidR="009B4A51" w:rsidRPr="00BC6896" w:rsidRDefault="00A718F9" w:rsidP="00BC6896">
      <w:pPr>
        <w:ind w:left="0"/>
        <w:jc w:val="center"/>
      </w:pPr>
      <w:r>
        <w:t>Submitted: 6/12/15</w:t>
      </w:r>
    </w:p>
    <w:p w14:paraId="3234223E" w14:textId="77777777" w:rsidR="009B4A51" w:rsidRDefault="009B4A51" w:rsidP="00BC6896"/>
    <w:p w14:paraId="15127BAB" w14:textId="77777777" w:rsidR="009B4A51" w:rsidRDefault="009B4A51" w:rsidP="00BC6896"/>
    <w:p w14:paraId="011F0C1E" w14:textId="77777777" w:rsidR="009B4A51" w:rsidRDefault="009B4A51" w:rsidP="00BC6896"/>
    <w:p w14:paraId="1F2088D5" w14:textId="77777777" w:rsidR="00AA3192" w:rsidRDefault="00AA3192" w:rsidP="00BC6896"/>
    <w:p w14:paraId="3E2E141E" w14:textId="77777777" w:rsidR="00AA3192" w:rsidRDefault="00AA3192" w:rsidP="00BC6896"/>
    <w:p w14:paraId="08C6A5D8" w14:textId="77777777" w:rsidR="009B4A51" w:rsidRDefault="009B4A51" w:rsidP="00BC6896"/>
    <w:p w14:paraId="47D510A8"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64B0D7DD" w14:textId="77777777" w:rsidR="00A15F00" w:rsidRPr="005E6138" w:rsidRDefault="00A15F00" w:rsidP="00A15F00">
      <w:pPr>
        <w:ind w:left="0"/>
      </w:pPr>
      <w:r w:rsidRPr="005E6138">
        <w:t>Name: Shoukat Qari</w:t>
      </w:r>
    </w:p>
    <w:p w14:paraId="6F561BE3" w14:textId="77777777" w:rsidR="00A15F00" w:rsidRPr="005E6138" w:rsidRDefault="00A15F00" w:rsidP="00A15F00">
      <w:pPr>
        <w:ind w:left="0"/>
      </w:pPr>
      <w:r w:rsidRPr="005E6138">
        <w:t>Title: Sr. Scientific Program Official</w:t>
      </w:r>
    </w:p>
    <w:p w14:paraId="5578D52A" w14:textId="77777777" w:rsidR="00A15F00" w:rsidRPr="005E6138" w:rsidRDefault="00A15F00" w:rsidP="00A15F00">
      <w:pPr>
        <w:ind w:left="0"/>
      </w:pPr>
      <w:r w:rsidRPr="005E6138">
        <w:t>Organization: OPHPR (OSPHP)</w:t>
      </w:r>
    </w:p>
    <w:p w14:paraId="17969649" w14:textId="77777777" w:rsidR="00A15F00" w:rsidRPr="005E6138" w:rsidRDefault="00A15F00" w:rsidP="00A15F00">
      <w:pPr>
        <w:ind w:left="0"/>
      </w:pPr>
      <w:r w:rsidRPr="005E6138">
        <w:t>Address: Williams Building, 2877 Brandywine Rd. Atlanta, GA 30341</w:t>
      </w:r>
    </w:p>
    <w:p w14:paraId="071022D3" w14:textId="77777777" w:rsidR="00A15F00" w:rsidRPr="005E6138" w:rsidRDefault="00A15F00" w:rsidP="00A15F00">
      <w:pPr>
        <w:ind w:left="0"/>
      </w:pPr>
      <w:r w:rsidRPr="005E6138">
        <w:t>Phone number: 770 488 8808</w:t>
      </w:r>
    </w:p>
    <w:p w14:paraId="1114A3E4" w14:textId="77777777" w:rsidR="00A15F00" w:rsidRPr="005E6138" w:rsidRDefault="00A15F00" w:rsidP="00A15F00">
      <w:pPr>
        <w:ind w:left="0"/>
      </w:pPr>
      <w:r w:rsidRPr="005E6138">
        <w:t>Fax Number: 770 488 8688</w:t>
      </w:r>
    </w:p>
    <w:p w14:paraId="5FE00DE2" w14:textId="77777777" w:rsidR="00A15F00" w:rsidRPr="005E6138" w:rsidRDefault="00A15F00" w:rsidP="00A15F00">
      <w:pPr>
        <w:ind w:left="0"/>
      </w:pPr>
      <w:r w:rsidRPr="005E6138">
        <w:t>Email: SQari@CDC.Gov</w:t>
      </w:r>
    </w:p>
    <w:p w14:paraId="140813A0" w14:textId="77777777" w:rsidR="00F725B5" w:rsidRDefault="00F725B5" w:rsidP="00BC6896"/>
    <w:p w14:paraId="14E59FD8" w14:textId="77777777" w:rsidR="00F725B5" w:rsidRDefault="00F725B5" w:rsidP="00BC6896"/>
    <w:p w14:paraId="4831D638" w14:textId="77777777" w:rsidR="00F725B5" w:rsidRDefault="00F725B5" w:rsidP="00BC6896"/>
    <w:p w14:paraId="0BFB3282" w14:textId="77777777" w:rsidR="00A55312" w:rsidRPr="00A55312" w:rsidRDefault="00A55312" w:rsidP="00A55312">
      <w:pPr>
        <w:ind w:left="0"/>
        <w:outlineLvl w:val="2"/>
        <w:rPr>
          <w:b/>
          <w:sz w:val="28"/>
        </w:rPr>
      </w:pPr>
      <w:bookmarkStart w:id="1" w:name="_Toc413847909"/>
      <w:r w:rsidRPr="00A55312">
        <w:rPr>
          <w:b/>
          <w:sz w:val="28"/>
        </w:rPr>
        <w:t>Table of Contents</w:t>
      </w:r>
      <w:bookmarkEnd w:id="1"/>
    </w:p>
    <w:p w14:paraId="3508671E" w14:textId="77777777" w:rsidR="00417D60" w:rsidRDefault="00A55312">
      <w:pPr>
        <w:pStyle w:val="TOC1"/>
        <w:tabs>
          <w:tab w:val="right" w:leader="dot" w:pos="9350"/>
        </w:tabs>
        <w:rPr>
          <w:rFonts w:asciiTheme="minorHAnsi" w:hAnsiTheme="minorHAnsi"/>
          <w:noProof/>
        </w:rPr>
      </w:pPr>
      <w:r w:rsidRPr="00A55312">
        <w:fldChar w:fldCharType="begin"/>
      </w:r>
      <w:r w:rsidRPr="00A55312">
        <w:instrText xml:space="preserve"> TOC \h \z \u \t "Heading 3,1,Heading 4,2" </w:instrText>
      </w:r>
      <w:r w:rsidRPr="00A55312">
        <w:fldChar w:fldCharType="separate"/>
      </w:r>
      <w:hyperlink w:anchor="_Toc416347807" w:history="1">
        <w:r w:rsidR="00417D60" w:rsidRPr="007030EE">
          <w:rPr>
            <w:rStyle w:val="Hyperlink"/>
            <w:noProof/>
          </w:rPr>
          <w:t>Section B – Information Collection Procedures</w:t>
        </w:r>
        <w:r w:rsidR="00417D60">
          <w:rPr>
            <w:noProof/>
            <w:webHidden/>
          </w:rPr>
          <w:tab/>
        </w:r>
        <w:r w:rsidR="00417D60">
          <w:rPr>
            <w:noProof/>
            <w:webHidden/>
          </w:rPr>
          <w:fldChar w:fldCharType="begin"/>
        </w:r>
        <w:r w:rsidR="00417D60">
          <w:rPr>
            <w:noProof/>
            <w:webHidden/>
          </w:rPr>
          <w:instrText xml:space="preserve"> PAGEREF _Toc416347807 \h </w:instrText>
        </w:r>
        <w:r w:rsidR="00417D60">
          <w:rPr>
            <w:noProof/>
            <w:webHidden/>
          </w:rPr>
        </w:r>
        <w:r w:rsidR="00417D60">
          <w:rPr>
            <w:noProof/>
            <w:webHidden/>
          </w:rPr>
          <w:fldChar w:fldCharType="separate"/>
        </w:r>
        <w:r w:rsidR="00417D60">
          <w:rPr>
            <w:noProof/>
            <w:webHidden/>
          </w:rPr>
          <w:t>3</w:t>
        </w:r>
        <w:r w:rsidR="00417D60">
          <w:rPr>
            <w:noProof/>
            <w:webHidden/>
          </w:rPr>
          <w:fldChar w:fldCharType="end"/>
        </w:r>
      </w:hyperlink>
    </w:p>
    <w:p w14:paraId="1E68AD09" w14:textId="77777777" w:rsidR="00417D60" w:rsidRDefault="00863C7F">
      <w:pPr>
        <w:pStyle w:val="TOC2"/>
        <w:tabs>
          <w:tab w:val="left" w:pos="660"/>
          <w:tab w:val="right" w:leader="dot" w:pos="9350"/>
        </w:tabs>
        <w:rPr>
          <w:rFonts w:asciiTheme="minorHAnsi" w:hAnsiTheme="minorHAnsi"/>
          <w:noProof/>
        </w:rPr>
      </w:pPr>
      <w:hyperlink w:anchor="_Toc416347808" w:history="1">
        <w:r w:rsidR="00417D60" w:rsidRPr="007030EE">
          <w:rPr>
            <w:rStyle w:val="Hyperlink"/>
            <w:noProof/>
          </w:rPr>
          <w:t>1.</w:t>
        </w:r>
        <w:r w:rsidR="00417D60">
          <w:rPr>
            <w:rFonts w:asciiTheme="minorHAnsi" w:hAnsiTheme="minorHAnsi"/>
            <w:noProof/>
          </w:rPr>
          <w:tab/>
        </w:r>
        <w:r w:rsidR="00417D60" w:rsidRPr="007030EE">
          <w:rPr>
            <w:rStyle w:val="Hyperlink"/>
            <w:noProof/>
          </w:rPr>
          <w:t>Respondent Universe and Sampling Methods</w:t>
        </w:r>
        <w:r w:rsidR="00417D60">
          <w:rPr>
            <w:noProof/>
            <w:webHidden/>
          </w:rPr>
          <w:tab/>
        </w:r>
        <w:r w:rsidR="00417D60">
          <w:rPr>
            <w:noProof/>
            <w:webHidden/>
          </w:rPr>
          <w:fldChar w:fldCharType="begin"/>
        </w:r>
        <w:r w:rsidR="00417D60">
          <w:rPr>
            <w:noProof/>
            <w:webHidden/>
          </w:rPr>
          <w:instrText xml:space="preserve"> PAGEREF _Toc416347808 \h </w:instrText>
        </w:r>
        <w:r w:rsidR="00417D60">
          <w:rPr>
            <w:noProof/>
            <w:webHidden/>
          </w:rPr>
        </w:r>
        <w:r w:rsidR="00417D60">
          <w:rPr>
            <w:noProof/>
            <w:webHidden/>
          </w:rPr>
          <w:fldChar w:fldCharType="separate"/>
        </w:r>
        <w:r w:rsidR="00417D60">
          <w:rPr>
            <w:noProof/>
            <w:webHidden/>
          </w:rPr>
          <w:t>3</w:t>
        </w:r>
        <w:r w:rsidR="00417D60">
          <w:rPr>
            <w:noProof/>
            <w:webHidden/>
          </w:rPr>
          <w:fldChar w:fldCharType="end"/>
        </w:r>
      </w:hyperlink>
    </w:p>
    <w:p w14:paraId="30C30285" w14:textId="77777777" w:rsidR="00417D60" w:rsidRDefault="00863C7F">
      <w:pPr>
        <w:pStyle w:val="TOC2"/>
        <w:tabs>
          <w:tab w:val="left" w:pos="660"/>
          <w:tab w:val="right" w:leader="dot" w:pos="9350"/>
        </w:tabs>
        <w:rPr>
          <w:rFonts w:asciiTheme="minorHAnsi" w:hAnsiTheme="minorHAnsi"/>
          <w:noProof/>
        </w:rPr>
      </w:pPr>
      <w:hyperlink w:anchor="_Toc416347809" w:history="1">
        <w:r w:rsidR="00417D60" w:rsidRPr="007030EE">
          <w:rPr>
            <w:rStyle w:val="Hyperlink"/>
            <w:noProof/>
          </w:rPr>
          <w:t>2.</w:t>
        </w:r>
        <w:r w:rsidR="00417D60">
          <w:rPr>
            <w:rFonts w:asciiTheme="minorHAnsi" w:hAnsiTheme="minorHAnsi"/>
            <w:noProof/>
          </w:rPr>
          <w:tab/>
        </w:r>
        <w:r w:rsidR="00417D60" w:rsidRPr="007030EE">
          <w:rPr>
            <w:rStyle w:val="Hyperlink"/>
            <w:noProof/>
          </w:rPr>
          <w:t>Procedures for the Collection of Information</w:t>
        </w:r>
        <w:r w:rsidR="00417D60">
          <w:rPr>
            <w:noProof/>
            <w:webHidden/>
          </w:rPr>
          <w:tab/>
        </w:r>
        <w:r w:rsidR="00417D60">
          <w:rPr>
            <w:noProof/>
            <w:webHidden/>
          </w:rPr>
          <w:fldChar w:fldCharType="begin"/>
        </w:r>
        <w:r w:rsidR="00417D60">
          <w:rPr>
            <w:noProof/>
            <w:webHidden/>
          </w:rPr>
          <w:instrText xml:space="preserve"> PAGEREF _Toc416347809 \h </w:instrText>
        </w:r>
        <w:r w:rsidR="00417D60">
          <w:rPr>
            <w:noProof/>
            <w:webHidden/>
          </w:rPr>
        </w:r>
        <w:r w:rsidR="00417D60">
          <w:rPr>
            <w:noProof/>
            <w:webHidden/>
          </w:rPr>
          <w:fldChar w:fldCharType="separate"/>
        </w:r>
        <w:r w:rsidR="00417D60">
          <w:rPr>
            <w:noProof/>
            <w:webHidden/>
          </w:rPr>
          <w:t>3</w:t>
        </w:r>
        <w:r w:rsidR="00417D60">
          <w:rPr>
            <w:noProof/>
            <w:webHidden/>
          </w:rPr>
          <w:fldChar w:fldCharType="end"/>
        </w:r>
      </w:hyperlink>
    </w:p>
    <w:p w14:paraId="44447066" w14:textId="77777777" w:rsidR="00417D60" w:rsidRDefault="00863C7F">
      <w:pPr>
        <w:pStyle w:val="TOC2"/>
        <w:tabs>
          <w:tab w:val="left" w:pos="660"/>
          <w:tab w:val="right" w:leader="dot" w:pos="9350"/>
        </w:tabs>
        <w:rPr>
          <w:rFonts w:asciiTheme="minorHAnsi" w:hAnsiTheme="minorHAnsi"/>
          <w:noProof/>
        </w:rPr>
      </w:pPr>
      <w:hyperlink w:anchor="_Toc416347810" w:history="1">
        <w:r w:rsidR="00417D60" w:rsidRPr="007030EE">
          <w:rPr>
            <w:rStyle w:val="Hyperlink"/>
            <w:noProof/>
          </w:rPr>
          <w:t>3.</w:t>
        </w:r>
        <w:r w:rsidR="00417D60">
          <w:rPr>
            <w:rFonts w:asciiTheme="minorHAnsi" w:hAnsiTheme="minorHAnsi"/>
            <w:noProof/>
          </w:rPr>
          <w:tab/>
        </w:r>
        <w:r w:rsidR="00417D60" w:rsidRPr="007030EE">
          <w:rPr>
            <w:rStyle w:val="Hyperlink"/>
            <w:noProof/>
          </w:rPr>
          <w:t>Methods to Maximize Response Rates  Deal with Nonresponse</w:t>
        </w:r>
        <w:r w:rsidR="00417D60">
          <w:rPr>
            <w:noProof/>
            <w:webHidden/>
          </w:rPr>
          <w:tab/>
        </w:r>
        <w:r w:rsidR="00417D60">
          <w:rPr>
            <w:noProof/>
            <w:webHidden/>
          </w:rPr>
          <w:fldChar w:fldCharType="begin"/>
        </w:r>
        <w:r w:rsidR="00417D60">
          <w:rPr>
            <w:noProof/>
            <w:webHidden/>
          </w:rPr>
          <w:instrText xml:space="preserve"> PAGEREF _Toc416347810 \h </w:instrText>
        </w:r>
        <w:r w:rsidR="00417D60">
          <w:rPr>
            <w:noProof/>
            <w:webHidden/>
          </w:rPr>
        </w:r>
        <w:r w:rsidR="00417D60">
          <w:rPr>
            <w:noProof/>
            <w:webHidden/>
          </w:rPr>
          <w:fldChar w:fldCharType="separate"/>
        </w:r>
        <w:r w:rsidR="00417D60">
          <w:rPr>
            <w:noProof/>
            <w:webHidden/>
          </w:rPr>
          <w:t>4</w:t>
        </w:r>
        <w:r w:rsidR="00417D60">
          <w:rPr>
            <w:noProof/>
            <w:webHidden/>
          </w:rPr>
          <w:fldChar w:fldCharType="end"/>
        </w:r>
      </w:hyperlink>
    </w:p>
    <w:p w14:paraId="1098C8DB" w14:textId="77777777" w:rsidR="00417D60" w:rsidRDefault="00863C7F">
      <w:pPr>
        <w:pStyle w:val="TOC2"/>
        <w:tabs>
          <w:tab w:val="left" w:pos="660"/>
          <w:tab w:val="right" w:leader="dot" w:pos="9350"/>
        </w:tabs>
        <w:rPr>
          <w:rFonts w:asciiTheme="minorHAnsi" w:hAnsiTheme="minorHAnsi"/>
          <w:noProof/>
        </w:rPr>
      </w:pPr>
      <w:hyperlink w:anchor="_Toc416347811" w:history="1">
        <w:r w:rsidR="00417D60" w:rsidRPr="007030EE">
          <w:rPr>
            <w:rStyle w:val="Hyperlink"/>
            <w:noProof/>
          </w:rPr>
          <w:t>4.</w:t>
        </w:r>
        <w:r w:rsidR="00417D60">
          <w:rPr>
            <w:rFonts w:asciiTheme="minorHAnsi" w:hAnsiTheme="minorHAnsi"/>
            <w:noProof/>
          </w:rPr>
          <w:tab/>
        </w:r>
        <w:r w:rsidR="00417D60" w:rsidRPr="007030EE">
          <w:rPr>
            <w:rStyle w:val="Hyperlink"/>
            <w:noProof/>
          </w:rPr>
          <w:t>Test of Procedures or Methods to be Undertaken</w:t>
        </w:r>
        <w:r w:rsidR="00417D60">
          <w:rPr>
            <w:noProof/>
            <w:webHidden/>
          </w:rPr>
          <w:tab/>
        </w:r>
        <w:r w:rsidR="00417D60">
          <w:rPr>
            <w:noProof/>
            <w:webHidden/>
          </w:rPr>
          <w:fldChar w:fldCharType="begin"/>
        </w:r>
        <w:r w:rsidR="00417D60">
          <w:rPr>
            <w:noProof/>
            <w:webHidden/>
          </w:rPr>
          <w:instrText xml:space="preserve"> PAGEREF _Toc416347811 \h </w:instrText>
        </w:r>
        <w:r w:rsidR="00417D60">
          <w:rPr>
            <w:noProof/>
            <w:webHidden/>
          </w:rPr>
        </w:r>
        <w:r w:rsidR="00417D60">
          <w:rPr>
            <w:noProof/>
            <w:webHidden/>
          </w:rPr>
          <w:fldChar w:fldCharType="separate"/>
        </w:r>
        <w:r w:rsidR="00417D60">
          <w:rPr>
            <w:noProof/>
            <w:webHidden/>
          </w:rPr>
          <w:t>4</w:t>
        </w:r>
        <w:r w:rsidR="00417D60">
          <w:rPr>
            <w:noProof/>
            <w:webHidden/>
          </w:rPr>
          <w:fldChar w:fldCharType="end"/>
        </w:r>
      </w:hyperlink>
    </w:p>
    <w:p w14:paraId="505E3E31" w14:textId="77777777" w:rsidR="00417D60" w:rsidRDefault="00863C7F">
      <w:pPr>
        <w:pStyle w:val="TOC2"/>
        <w:tabs>
          <w:tab w:val="left" w:pos="660"/>
          <w:tab w:val="right" w:leader="dot" w:pos="9350"/>
        </w:tabs>
        <w:rPr>
          <w:rFonts w:asciiTheme="minorHAnsi" w:hAnsiTheme="minorHAnsi"/>
          <w:noProof/>
        </w:rPr>
      </w:pPr>
      <w:hyperlink w:anchor="_Toc416347812" w:history="1">
        <w:r w:rsidR="00417D60" w:rsidRPr="007030EE">
          <w:rPr>
            <w:rStyle w:val="Hyperlink"/>
            <w:noProof/>
          </w:rPr>
          <w:t>5.</w:t>
        </w:r>
        <w:r w:rsidR="00417D60">
          <w:rPr>
            <w:rFonts w:asciiTheme="minorHAnsi" w:hAnsiTheme="minorHAnsi"/>
            <w:noProof/>
          </w:rPr>
          <w:tab/>
        </w:r>
        <w:r w:rsidR="00417D60" w:rsidRPr="007030EE">
          <w:rPr>
            <w:rStyle w:val="Hyperlink"/>
            <w:noProof/>
          </w:rPr>
          <w:t>Individuals Consulted on Statistical Aspects and Individuals Collecting and/or Analyzing Data</w:t>
        </w:r>
        <w:r w:rsidR="00417D60">
          <w:rPr>
            <w:noProof/>
            <w:webHidden/>
          </w:rPr>
          <w:tab/>
        </w:r>
        <w:r w:rsidR="00417D60">
          <w:rPr>
            <w:noProof/>
            <w:webHidden/>
          </w:rPr>
          <w:fldChar w:fldCharType="begin"/>
        </w:r>
        <w:r w:rsidR="00417D60">
          <w:rPr>
            <w:noProof/>
            <w:webHidden/>
          </w:rPr>
          <w:instrText xml:space="preserve"> PAGEREF _Toc416347812 \h </w:instrText>
        </w:r>
        <w:r w:rsidR="00417D60">
          <w:rPr>
            <w:noProof/>
            <w:webHidden/>
          </w:rPr>
        </w:r>
        <w:r w:rsidR="00417D60">
          <w:rPr>
            <w:noProof/>
            <w:webHidden/>
          </w:rPr>
          <w:fldChar w:fldCharType="separate"/>
        </w:r>
        <w:r w:rsidR="00417D60">
          <w:rPr>
            <w:noProof/>
            <w:webHidden/>
          </w:rPr>
          <w:t>4</w:t>
        </w:r>
        <w:r w:rsidR="00417D60">
          <w:rPr>
            <w:noProof/>
            <w:webHidden/>
          </w:rPr>
          <w:fldChar w:fldCharType="end"/>
        </w:r>
      </w:hyperlink>
    </w:p>
    <w:p w14:paraId="4A84C653" w14:textId="77777777" w:rsidR="00417D60" w:rsidRDefault="00863C7F">
      <w:pPr>
        <w:pStyle w:val="TOC1"/>
        <w:tabs>
          <w:tab w:val="right" w:leader="dot" w:pos="9350"/>
        </w:tabs>
        <w:rPr>
          <w:rFonts w:asciiTheme="minorHAnsi" w:hAnsiTheme="minorHAnsi"/>
          <w:noProof/>
        </w:rPr>
      </w:pPr>
      <w:hyperlink w:anchor="_Toc416347813" w:history="1">
        <w:r w:rsidR="00417D60" w:rsidRPr="007030EE">
          <w:rPr>
            <w:rStyle w:val="Hyperlink"/>
            <w:noProof/>
          </w:rPr>
          <w:t>LIST OF ATTACHMENTS – Section B</w:t>
        </w:r>
        <w:r w:rsidR="00417D60">
          <w:rPr>
            <w:noProof/>
            <w:webHidden/>
          </w:rPr>
          <w:tab/>
        </w:r>
        <w:r w:rsidR="00417D60">
          <w:rPr>
            <w:noProof/>
            <w:webHidden/>
          </w:rPr>
          <w:fldChar w:fldCharType="begin"/>
        </w:r>
        <w:r w:rsidR="00417D60">
          <w:rPr>
            <w:noProof/>
            <w:webHidden/>
          </w:rPr>
          <w:instrText xml:space="preserve"> PAGEREF _Toc416347813 \h </w:instrText>
        </w:r>
        <w:r w:rsidR="00417D60">
          <w:rPr>
            <w:noProof/>
            <w:webHidden/>
          </w:rPr>
        </w:r>
        <w:r w:rsidR="00417D60">
          <w:rPr>
            <w:noProof/>
            <w:webHidden/>
          </w:rPr>
          <w:fldChar w:fldCharType="separate"/>
        </w:r>
        <w:r w:rsidR="00417D60">
          <w:rPr>
            <w:noProof/>
            <w:webHidden/>
          </w:rPr>
          <w:t>5</w:t>
        </w:r>
        <w:r w:rsidR="00417D60">
          <w:rPr>
            <w:noProof/>
            <w:webHidden/>
          </w:rPr>
          <w:fldChar w:fldCharType="end"/>
        </w:r>
      </w:hyperlink>
    </w:p>
    <w:p w14:paraId="3AF3F763" w14:textId="35A6443C" w:rsidR="00BC6896" w:rsidRDefault="00A55312" w:rsidP="00A55312">
      <w:pPr>
        <w:rPr>
          <w:sz w:val="28"/>
        </w:rPr>
      </w:pPr>
      <w:r w:rsidRPr="00A55312">
        <w:fldChar w:fldCharType="end"/>
      </w:r>
      <w:r w:rsidR="00BC6896">
        <w:br w:type="page"/>
      </w:r>
    </w:p>
    <w:p w14:paraId="3C667106" w14:textId="77777777" w:rsidR="00B12F51" w:rsidRDefault="00B12F51" w:rsidP="00BC6896">
      <w:pPr>
        <w:pStyle w:val="Heading3"/>
      </w:pPr>
      <w:bookmarkStart w:id="2" w:name="_Toc416347807"/>
      <w:r w:rsidRPr="00BC6896">
        <w:lastRenderedPageBreak/>
        <w:t xml:space="preserve">Section B – </w:t>
      </w:r>
      <w:r w:rsidR="00C84DC3">
        <w:t>Information</w:t>
      </w:r>
      <w:r w:rsidR="00287E2F" w:rsidRPr="00BC6896">
        <w:t xml:space="preserve"> Collection Procedures</w:t>
      </w:r>
      <w:bookmarkEnd w:id="2"/>
    </w:p>
    <w:p w14:paraId="717103F2" w14:textId="77777777" w:rsidR="00515FE4" w:rsidRPr="00515FE4" w:rsidRDefault="00515FE4" w:rsidP="00135CA9"/>
    <w:p w14:paraId="410AC7C6" w14:textId="77777777" w:rsidR="00287E2F" w:rsidRDefault="00287E2F" w:rsidP="00BC6896"/>
    <w:p w14:paraId="559ED38A" w14:textId="77777777" w:rsidR="00A75D1C" w:rsidRPr="00BC6896" w:rsidRDefault="009759F3" w:rsidP="00991BF9">
      <w:pPr>
        <w:pStyle w:val="Heading4"/>
      </w:pPr>
      <w:bookmarkStart w:id="3" w:name="_Toc416347808"/>
      <w:r w:rsidRPr="00BC6896">
        <w:t xml:space="preserve">Respondent Universe and </w:t>
      </w:r>
      <w:r w:rsidRPr="00991BF9">
        <w:t>Sampling</w:t>
      </w:r>
      <w:r w:rsidRPr="00BC6896">
        <w:t xml:space="preserve"> Methods</w:t>
      </w:r>
      <w:bookmarkEnd w:id="3"/>
      <w:r w:rsidR="00A305CE" w:rsidRPr="00BC6896">
        <w:t xml:space="preserve"> </w:t>
      </w:r>
    </w:p>
    <w:p w14:paraId="0E97F95B" w14:textId="29F83A72" w:rsidR="003936D2" w:rsidRDefault="003B0500" w:rsidP="00135CA9">
      <w:pPr>
        <w:pStyle w:val="ListParagraph"/>
        <w:ind w:left="0"/>
      </w:pPr>
      <w:r w:rsidRPr="003B0500">
        <w:t xml:space="preserve">The respondent universe consists </w:t>
      </w:r>
      <w:r>
        <w:t>of</w:t>
      </w:r>
      <w:r w:rsidRPr="003B0500">
        <w:t xml:space="preserve"> 62 PHEP grantees, which consist of Directors of Public Health Preparedness in 62 stat</w:t>
      </w:r>
      <w:r>
        <w:t xml:space="preserve">e, local, </w:t>
      </w:r>
      <w:r w:rsidRPr="003B0500">
        <w:t>and territorial health departments (50 states, 4 major metropolitan areas, and 8 U.S. terr</w:t>
      </w:r>
      <w:r>
        <w:t>itories</w:t>
      </w:r>
      <w:r w:rsidRPr="003B0500">
        <w:t xml:space="preserve"> acting</w:t>
      </w:r>
      <w:r>
        <w:t xml:space="preserve"> in their official capacities. </w:t>
      </w:r>
      <w:r w:rsidRPr="003B0500">
        <w:rPr>
          <w:vertAlign w:val="superscript"/>
        </w:rPr>
        <w:t>1</w:t>
      </w:r>
      <w:r>
        <w:rPr>
          <w:vertAlign w:val="superscript"/>
        </w:rPr>
        <w:t xml:space="preserve"> </w:t>
      </w:r>
      <w:r>
        <w:t>These</w:t>
      </w:r>
      <w:r w:rsidR="003936D2">
        <w:t xml:space="preserve"> state, territorial, and city health departments are directly funded by the CDC Office of Public Health Preparedness and Response (OPHPR) through the (PHEP) cooperative agreement. </w:t>
      </w:r>
      <w:r w:rsidR="002702B9">
        <w:t>R</w:t>
      </w:r>
      <w:r w:rsidR="003936D2">
        <w:t xml:space="preserve">espondents are health department staff that serve in the role of </w:t>
      </w:r>
      <w:r w:rsidR="00B559F7">
        <w:t>Director of Health Prepar</w:t>
      </w:r>
      <w:r>
        <w:t>edness</w:t>
      </w:r>
      <w:r w:rsidR="00B559F7">
        <w:t xml:space="preserve"> for the department’s PHEP grant</w:t>
      </w:r>
      <w:r w:rsidR="003936D2">
        <w:t xml:space="preserve">. </w:t>
      </w:r>
    </w:p>
    <w:p w14:paraId="7745C0BE" w14:textId="77777777" w:rsidR="003936D2" w:rsidRDefault="003936D2" w:rsidP="003936D2">
      <w:pPr>
        <w:pStyle w:val="ListParagraph"/>
      </w:pPr>
    </w:p>
    <w:p w14:paraId="2E4D6186" w14:textId="4DB37F6D" w:rsidR="003936D2" w:rsidRDefault="007A6825" w:rsidP="00135CA9">
      <w:pPr>
        <w:pStyle w:val="ListParagraph"/>
        <w:ind w:left="0"/>
      </w:pPr>
      <w:r>
        <w:t>T</w:t>
      </w:r>
      <w:r w:rsidR="00FB7BF5">
        <w:t xml:space="preserve">his information collection </w:t>
      </w:r>
      <w:r w:rsidR="00135CA9">
        <w:t xml:space="preserve">effort </w:t>
      </w:r>
      <w:r w:rsidR="00FB7BF5">
        <w:t xml:space="preserve">will be a complete census of representatives from all 62 PHEP grantees. </w:t>
      </w:r>
      <w:r>
        <w:t xml:space="preserve"> Thus, </w:t>
      </w:r>
      <w:r w:rsidR="00406CFB">
        <w:t>no sampling</w:t>
      </w:r>
      <w:r w:rsidR="004D1CED">
        <w:t xml:space="preserve"> </w:t>
      </w:r>
      <w:r>
        <w:t xml:space="preserve">and variance estimation are </w:t>
      </w:r>
      <w:r w:rsidR="00446257">
        <w:t xml:space="preserve">needed. </w:t>
      </w:r>
      <w:r w:rsidR="00FB7BF5">
        <w:t xml:space="preserve">We anticipate a response rate of 80% or </w:t>
      </w:r>
      <w:r w:rsidR="005F33B8">
        <w:t>greater</w:t>
      </w:r>
      <w:r w:rsidR="00FB7BF5">
        <w:t xml:space="preserve">, meaning that we expect at least 50 </w:t>
      </w:r>
      <w:r w:rsidR="00BF1AA7">
        <w:t>Directors</w:t>
      </w:r>
      <w:r w:rsidR="007A0B60">
        <w:t xml:space="preserve"> of </w:t>
      </w:r>
      <w:r w:rsidR="00AA5BF6">
        <w:t xml:space="preserve">Public </w:t>
      </w:r>
      <w:r w:rsidR="007A0B60">
        <w:t>Health Preparedness</w:t>
      </w:r>
      <w:r w:rsidR="00113CE7">
        <w:t xml:space="preserve"> to complete the assessment</w:t>
      </w:r>
      <w:r w:rsidR="00FB7BF5">
        <w:t xml:space="preserve">. </w:t>
      </w:r>
    </w:p>
    <w:p w14:paraId="49264274" w14:textId="77777777" w:rsidR="00BC5BB2" w:rsidRDefault="00BC5BB2" w:rsidP="00991BF9">
      <w:pPr>
        <w:ind w:left="0"/>
      </w:pPr>
    </w:p>
    <w:p w14:paraId="5DC7CEF3" w14:textId="77777777" w:rsidR="00287E2F" w:rsidRPr="009759F3" w:rsidRDefault="00287E2F" w:rsidP="00991BF9">
      <w:pPr>
        <w:pStyle w:val="Heading4"/>
      </w:pPr>
      <w:bookmarkStart w:id="4" w:name="_Toc416347809"/>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555B232F" w14:textId="5E7E6BFE" w:rsidR="00991BF9" w:rsidRDefault="00991BF9" w:rsidP="00991BF9">
      <w:pPr>
        <w:ind w:left="0"/>
      </w:pPr>
      <w:r>
        <w:t>D</w:t>
      </w:r>
      <w:r w:rsidRPr="003163A2">
        <w:t xml:space="preserve">ata will be collected through a </w:t>
      </w:r>
      <w:r w:rsidR="00101B69">
        <w:t xml:space="preserve">one-time </w:t>
      </w:r>
      <w:r w:rsidRPr="003163A2">
        <w:t xml:space="preserve">web-based </w:t>
      </w:r>
      <w:r>
        <w:t>assessment</w:t>
      </w:r>
      <w:r w:rsidR="003C4203">
        <w:t xml:space="preserve">. </w:t>
      </w:r>
      <w:r w:rsidR="00EC179A">
        <w:t>Two-three</w:t>
      </w:r>
      <w:r w:rsidR="003C4203">
        <w:t xml:space="preserve"> week</w:t>
      </w:r>
      <w:r w:rsidR="00EC179A">
        <w:t>s</w:t>
      </w:r>
      <w:r w:rsidR="003C4203">
        <w:t xml:space="preserve"> before the data collection starts, we will </w:t>
      </w:r>
      <w:r w:rsidR="00101B69">
        <w:t>e</w:t>
      </w:r>
      <w:r w:rsidR="003C4203">
        <w:t xml:space="preserve">mail </w:t>
      </w:r>
      <w:r w:rsidR="00101B69">
        <w:t xml:space="preserve">a notification </w:t>
      </w:r>
      <w:r w:rsidR="003C4203">
        <w:t>to each of the 62 PHEP grantee representatives</w:t>
      </w:r>
      <w:r>
        <w:t xml:space="preserve"> </w:t>
      </w:r>
      <w:r w:rsidRPr="009011A8">
        <w:t xml:space="preserve">(see </w:t>
      </w:r>
      <w:r w:rsidRPr="009011A8">
        <w:rPr>
          <w:b/>
        </w:rPr>
        <w:t xml:space="preserve">Attachment </w:t>
      </w:r>
      <w:r w:rsidR="00B53CD6">
        <w:rPr>
          <w:b/>
        </w:rPr>
        <w:t>C</w:t>
      </w:r>
      <w:r>
        <w:rPr>
          <w:b/>
        </w:rPr>
        <w:t>—</w:t>
      </w:r>
      <w:r w:rsidR="004157CE">
        <w:rPr>
          <w:b/>
        </w:rPr>
        <w:t xml:space="preserve">Advanced </w:t>
      </w:r>
      <w:r w:rsidRPr="009011A8">
        <w:rPr>
          <w:b/>
        </w:rPr>
        <w:t>Notification Email</w:t>
      </w:r>
      <w:r w:rsidR="00101B69">
        <w:rPr>
          <w:b/>
        </w:rPr>
        <w:t>)</w:t>
      </w:r>
      <w:r w:rsidRPr="009011A8">
        <w:t xml:space="preserve">.  The notification email will explain: </w:t>
      </w:r>
    </w:p>
    <w:p w14:paraId="7AA22CA6" w14:textId="77777777" w:rsidR="00E5431F" w:rsidRPr="009011A8" w:rsidRDefault="00E5431F" w:rsidP="00991BF9">
      <w:pPr>
        <w:ind w:left="0"/>
      </w:pPr>
    </w:p>
    <w:p w14:paraId="246192ED" w14:textId="7C58C4E0" w:rsidR="00991BF9" w:rsidRPr="009011A8" w:rsidRDefault="00991BF9" w:rsidP="00991BF9">
      <w:pPr>
        <w:pStyle w:val="ListParagraph"/>
        <w:numPr>
          <w:ilvl w:val="0"/>
          <w:numId w:val="24"/>
        </w:numPr>
        <w:ind w:left="720"/>
      </w:pPr>
      <w:r w:rsidRPr="009011A8">
        <w:t xml:space="preserve">The purpose of the assessment, and why their participation is important </w:t>
      </w:r>
    </w:p>
    <w:p w14:paraId="4E4E4133" w14:textId="77777777" w:rsidR="00991BF9" w:rsidRPr="009011A8" w:rsidRDefault="00991BF9" w:rsidP="00991BF9">
      <w:pPr>
        <w:pStyle w:val="ListParagraph"/>
        <w:numPr>
          <w:ilvl w:val="0"/>
          <w:numId w:val="24"/>
        </w:numPr>
        <w:ind w:left="720"/>
      </w:pPr>
      <w:r w:rsidRPr="009011A8">
        <w:t xml:space="preserve">Method to safeguard their responses </w:t>
      </w:r>
    </w:p>
    <w:p w14:paraId="2B2816B9" w14:textId="77777777" w:rsidR="00991BF9" w:rsidRPr="009011A8" w:rsidRDefault="00991BF9" w:rsidP="00991BF9">
      <w:pPr>
        <w:pStyle w:val="ListParagraph"/>
        <w:numPr>
          <w:ilvl w:val="0"/>
          <w:numId w:val="24"/>
        </w:numPr>
        <w:ind w:left="720"/>
      </w:pPr>
      <w:r w:rsidRPr="009011A8">
        <w:t>That participation is voluntary</w:t>
      </w:r>
    </w:p>
    <w:p w14:paraId="3BFC7ED7" w14:textId="77777777" w:rsidR="00991BF9" w:rsidRPr="009011A8" w:rsidRDefault="00991BF9" w:rsidP="00991BF9">
      <w:pPr>
        <w:pStyle w:val="ListParagraph"/>
        <w:numPr>
          <w:ilvl w:val="0"/>
          <w:numId w:val="24"/>
        </w:numPr>
        <w:ind w:left="720"/>
      </w:pPr>
      <w:r w:rsidRPr="009011A8">
        <w:t xml:space="preserve">The expected time to complete the assessment </w:t>
      </w:r>
    </w:p>
    <w:p w14:paraId="2D55C7DE" w14:textId="77777777" w:rsidR="00991BF9" w:rsidRDefault="00991BF9" w:rsidP="00991BF9">
      <w:pPr>
        <w:pStyle w:val="ListParagraph"/>
        <w:ind w:left="0"/>
      </w:pPr>
    </w:p>
    <w:p w14:paraId="45EE9952" w14:textId="1D31D9F9" w:rsidR="0053264D" w:rsidRDefault="00A45C2F" w:rsidP="00991BF9">
      <w:pPr>
        <w:ind w:left="0"/>
      </w:pPr>
      <w:r>
        <w:t>On the launch date</w:t>
      </w:r>
      <w:r w:rsidR="003C4203">
        <w:t xml:space="preserve"> of the web-based data collection, we will send a</w:t>
      </w:r>
      <w:r w:rsidR="007E3044">
        <w:t xml:space="preserve">n invitation </w:t>
      </w:r>
      <w:r w:rsidR="003C4203">
        <w:t xml:space="preserve">email to each PHEP representative. </w:t>
      </w:r>
      <w:r w:rsidR="00D022A2" w:rsidRPr="009011A8">
        <w:t xml:space="preserve">(see </w:t>
      </w:r>
      <w:r w:rsidR="00D022A2" w:rsidRPr="009011A8">
        <w:rPr>
          <w:b/>
        </w:rPr>
        <w:t xml:space="preserve">Attachment </w:t>
      </w:r>
      <w:r w:rsidR="00306EC7">
        <w:rPr>
          <w:b/>
        </w:rPr>
        <w:t>D</w:t>
      </w:r>
      <w:r w:rsidR="00D022A2">
        <w:rPr>
          <w:b/>
        </w:rPr>
        <w:t>—Launch</w:t>
      </w:r>
      <w:r w:rsidR="00D022A2" w:rsidRPr="009011A8">
        <w:rPr>
          <w:b/>
        </w:rPr>
        <w:t xml:space="preserve"> Email</w:t>
      </w:r>
      <w:r w:rsidR="00D022A2">
        <w:rPr>
          <w:b/>
        </w:rPr>
        <w:t>)</w:t>
      </w:r>
      <w:r w:rsidR="00D022A2" w:rsidRPr="009011A8">
        <w:t xml:space="preserve">.  </w:t>
      </w:r>
      <w:r w:rsidR="003C4203">
        <w:t xml:space="preserve"> This email </w:t>
      </w:r>
      <w:r w:rsidR="007E3044">
        <w:t>invitation</w:t>
      </w:r>
      <w:r w:rsidR="00057654">
        <w:t xml:space="preserve"> will repeat the content of the advance letter and provide </w:t>
      </w:r>
      <w:r w:rsidR="00991BF9">
        <w:t>i</w:t>
      </w:r>
      <w:r w:rsidR="00991BF9" w:rsidRPr="009011A8">
        <w:t xml:space="preserve">nstructions </w:t>
      </w:r>
      <w:r w:rsidR="00FC5DB9">
        <w:t xml:space="preserve">on how to participate in the </w:t>
      </w:r>
      <w:r w:rsidR="00FE4743">
        <w:t xml:space="preserve">online </w:t>
      </w:r>
      <w:r w:rsidR="00FC5DB9">
        <w:t>assessment</w:t>
      </w:r>
      <w:r w:rsidR="00057654">
        <w:t xml:space="preserve"> including </w:t>
      </w:r>
      <w:r w:rsidR="00991BF9" w:rsidRPr="009011A8">
        <w:t>a</w:t>
      </w:r>
      <w:r w:rsidR="00FE4743">
        <w:t xml:space="preserve">n URL for the designated website and a pre-assigned </w:t>
      </w:r>
      <w:r w:rsidR="00057654">
        <w:t xml:space="preserve">unique </w:t>
      </w:r>
      <w:r w:rsidR="00FE4743">
        <w:t>user ID and password to access the assessment instrument</w:t>
      </w:r>
      <w:r w:rsidR="00230876">
        <w:t xml:space="preserve">. </w:t>
      </w:r>
      <w:r w:rsidR="007E3044" w:rsidRPr="001600AE">
        <w:t xml:space="preserve">The invitation letter also will include a link to </w:t>
      </w:r>
      <w:r w:rsidR="007E3044">
        <w:t xml:space="preserve">a designated </w:t>
      </w:r>
      <w:r w:rsidR="007E3044" w:rsidRPr="001600AE">
        <w:t xml:space="preserve">e-mail </w:t>
      </w:r>
      <w:r w:rsidR="007E3044">
        <w:t xml:space="preserve">box </w:t>
      </w:r>
      <w:r w:rsidR="007E3044" w:rsidRPr="001600AE">
        <w:t xml:space="preserve">so the </w:t>
      </w:r>
      <w:r w:rsidR="007E3044" w:rsidRPr="001600AE">
        <w:rPr>
          <w:spacing w:val="-1"/>
        </w:rPr>
        <w:t xml:space="preserve">potential respondents can ask questions about the </w:t>
      </w:r>
      <w:r w:rsidR="007E3044">
        <w:rPr>
          <w:spacing w:val="-1"/>
        </w:rPr>
        <w:t>study</w:t>
      </w:r>
      <w:r w:rsidR="007E3044" w:rsidRPr="001600AE">
        <w:rPr>
          <w:spacing w:val="-1"/>
        </w:rPr>
        <w:t xml:space="preserve"> if </w:t>
      </w:r>
      <w:r w:rsidR="007E3044">
        <w:rPr>
          <w:spacing w:val="-1"/>
        </w:rPr>
        <w:t>needed</w:t>
      </w:r>
      <w:r w:rsidR="007E3044" w:rsidRPr="001600AE">
        <w:rPr>
          <w:spacing w:val="-1"/>
        </w:rPr>
        <w:t>.</w:t>
      </w:r>
      <w:r w:rsidR="00255BA0">
        <w:rPr>
          <w:spacing w:val="-1"/>
        </w:rPr>
        <w:t xml:space="preserve"> </w:t>
      </w:r>
      <w:r w:rsidR="005C4FF3" w:rsidRPr="0064588C">
        <w:rPr>
          <w:rFonts w:cs="Times New Roman"/>
        </w:rPr>
        <w:t>.</w:t>
      </w:r>
      <w:r w:rsidR="005C4FF3">
        <w:rPr>
          <w:rFonts w:cs="Times New Roman"/>
        </w:rPr>
        <w:t xml:space="preserve"> One week after launching the data collection, we will make a telephone call to those PHP representatives who have not yet responded to make sure that the assessment link reached the intended respondents, verify their email addresses, reiterate the importance of the study, answer any questions they may have, and encourage participation in the assessment. </w:t>
      </w:r>
      <w:r w:rsidR="00255BA0">
        <w:rPr>
          <w:spacing w:val="-1"/>
        </w:rPr>
        <w:t xml:space="preserve">We will send two reminder </w:t>
      </w:r>
      <w:r w:rsidR="00045EBA">
        <w:rPr>
          <w:spacing w:val="-1"/>
        </w:rPr>
        <w:t>emails to</w:t>
      </w:r>
      <w:r w:rsidR="00255BA0">
        <w:rPr>
          <w:spacing w:val="-1"/>
        </w:rPr>
        <w:t xml:space="preserve"> encourage participation </w:t>
      </w:r>
      <w:r w:rsidR="00255BA0">
        <w:rPr>
          <w:rFonts w:cs="Times New Roman"/>
        </w:rPr>
        <w:t>(</w:t>
      </w:r>
      <w:r w:rsidR="00255BA0" w:rsidRPr="009011A8">
        <w:t xml:space="preserve">see </w:t>
      </w:r>
      <w:r w:rsidR="00255BA0" w:rsidRPr="009011A8">
        <w:rPr>
          <w:b/>
        </w:rPr>
        <w:t xml:space="preserve">Attachment </w:t>
      </w:r>
      <w:r w:rsidR="00EC7A61">
        <w:rPr>
          <w:b/>
        </w:rPr>
        <w:t>E</w:t>
      </w:r>
      <w:r w:rsidR="00255BA0">
        <w:rPr>
          <w:b/>
        </w:rPr>
        <w:t>—Reminder</w:t>
      </w:r>
      <w:r w:rsidR="00255BA0" w:rsidRPr="009011A8">
        <w:rPr>
          <w:b/>
        </w:rPr>
        <w:t xml:space="preserve"> Email</w:t>
      </w:r>
      <w:r w:rsidR="00255BA0">
        <w:rPr>
          <w:b/>
        </w:rPr>
        <w:t>)</w:t>
      </w:r>
      <w:r w:rsidR="00255BA0" w:rsidRPr="009011A8">
        <w:t xml:space="preserve">.  </w:t>
      </w:r>
      <w:r w:rsidR="00255BA0">
        <w:t xml:space="preserve"> The first reminder email will be sent 3 weeks after the launch email, and the second will be sent three weeks after the first reminder email to those who have not completed the assessment.</w:t>
      </w:r>
    </w:p>
    <w:p w14:paraId="7B847020" w14:textId="370717DD" w:rsidR="00453790" w:rsidRPr="00387D31" w:rsidRDefault="00991BF9" w:rsidP="00230876">
      <w:pPr>
        <w:ind w:left="0"/>
      </w:pPr>
      <w:r w:rsidRPr="009011A8">
        <w:t xml:space="preserve">The </w:t>
      </w:r>
      <w:r w:rsidR="004E2F31" w:rsidRPr="0030270A">
        <w:t xml:space="preserve">PHEP Assessment </w:t>
      </w:r>
      <w:r w:rsidR="0053264D" w:rsidRPr="0030270A">
        <w:t xml:space="preserve">instrument </w:t>
      </w:r>
      <w:r w:rsidR="002E18BF" w:rsidRPr="0030270A">
        <w:t xml:space="preserve">was designed to collect the minimum information necessary for the purposes of this project. It </w:t>
      </w:r>
      <w:r w:rsidR="0053264D" w:rsidRPr="0030270A">
        <w:t xml:space="preserve">will be programmed on a secure website using LimeSurvey, a widely </w:t>
      </w:r>
      <w:r w:rsidR="0053264D" w:rsidRPr="0030270A">
        <w:lastRenderedPageBreak/>
        <w:t xml:space="preserve">utilized online data collection tool. </w:t>
      </w:r>
      <w:r w:rsidR="00387D31">
        <w:t xml:space="preserve"> </w:t>
      </w:r>
      <w:r w:rsidR="002E18BF" w:rsidRPr="00387D31">
        <w:rPr>
          <w:spacing w:val="-1"/>
        </w:rPr>
        <w:t>We</w:t>
      </w:r>
      <w:r w:rsidR="00453790" w:rsidRPr="00387D31">
        <w:rPr>
          <w:spacing w:val="-1"/>
        </w:rPr>
        <w:t xml:space="preserve"> will </w:t>
      </w:r>
      <w:r w:rsidR="002E18BF" w:rsidRPr="00387D31">
        <w:rPr>
          <w:spacing w:val="-1"/>
        </w:rPr>
        <w:t>present</w:t>
      </w:r>
      <w:r w:rsidR="00453790" w:rsidRPr="00387D31">
        <w:rPr>
          <w:spacing w:val="-1"/>
        </w:rPr>
        <w:t xml:space="preserve"> the online </w:t>
      </w:r>
      <w:r w:rsidR="002E18BF" w:rsidRPr="00387D31">
        <w:rPr>
          <w:spacing w:val="-1"/>
        </w:rPr>
        <w:t>instrument</w:t>
      </w:r>
      <w:r w:rsidR="00453790" w:rsidRPr="00387D31">
        <w:rPr>
          <w:spacing w:val="-1"/>
        </w:rPr>
        <w:t xml:space="preserve"> in a user-friendly design/format. </w:t>
      </w:r>
    </w:p>
    <w:p w14:paraId="22CE62CE" w14:textId="77777777" w:rsidR="00453790" w:rsidRPr="00387D31" w:rsidRDefault="00453790" w:rsidP="00453790">
      <w:pPr>
        <w:widowControl w:val="0"/>
        <w:autoSpaceDE w:val="0"/>
        <w:autoSpaceDN w:val="0"/>
      </w:pPr>
    </w:p>
    <w:p w14:paraId="49C98AD9" w14:textId="7F5EF0D2" w:rsidR="00991BF9" w:rsidRDefault="00453790" w:rsidP="00991BF9">
      <w:pPr>
        <w:ind w:left="0"/>
      </w:pPr>
      <w:r w:rsidRPr="00387D31">
        <w:rPr>
          <w:spacing w:val="-2"/>
        </w:rPr>
        <w:t xml:space="preserve">Logic checks will be built into the programming to prevent out-of-range values, illogic, and missing </w:t>
      </w:r>
      <w:r w:rsidRPr="00387D31">
        <w:rPr>
          <w:spacing w:val="-1"/>
        </w:rPr>
        <w:t>answers</w:t>
      </w:r>
      <w:r w:rsidRPr="00387D31">
        <w:rPr>
          <w:spacing w:val="-2"/>
        </w:rPr>
        <w:t xml:space="preserve">. To ensure that the </w:t>
      </w:r>
      <w:r w:rsidR="007A7895">
        <w:rPr>
          <w:spacing w:val="-2"/>
        </w:rPr>
        <w:t>assessment</w:t>
      </w:r>
      <w:r w:rsidRPr="00387D31">
        <w:rPr>
          <w:spacing w:val="-2"/>
        </w:rPr>
        <w:t xml:space="preserve"> is completed by the intended person in the sample, we will password-protect </w:t>
      </w:r>
      <w:r w:rsidRPr="00387D31">
        <w:rPr>
          <w:spacing w:val="-4"/>
        </w:rPr>
        <w:t xml:space="preserve">the instrument using a log-in procedure. Each selected respondent will be </w:t>
      </w:r>
      <w:r w:rsidR="007A7895">
        <w:rPr>
          <w:spacing w:val="-4"/>
        </w:rPr>
        <w:t xml:space="preserve">given a unique password </w:t>
      </w:r>
      <w:r w:rsidRPr="00387D31">
        <w:t>when that person is invited to respond.</w:t>
      </w:r>
      <w:r w:rsidR="000959E6">
        <w:t xml:space="preserve"> </w:t>
      </w:r>
      <w:r w:rsidR="00991BF9" w:rsidRPr="00576930">
        <w:t>Respondents will be asked for their response to the instrument within</w:t>
      </w:r>
      <w:r w:rsidR="00991BF9" w:rsidRPr="009D77CD">
        <w:t xml:space="preserve"> a</w:t>
      </w:r>
      <w:r w:rsidR="00387D31">
        <w:t>n</w:t>
      </w:r>
      <w:r w:rsidR="00991BF9" w:rsidRPr="0030270A">
        <w:t xml:space="preserve"> </w:t>
      </w:r>
      <w:r w:rsidR="0030270A" w:rsidRPr="0030270A">
        <w:t xml:space="preserve">8 </w:t>
      </w:r>
      <w:r w:rsidR="00991BF9">
        <w:t xml:space="preserve">week period </w:t>
      </w:r>
      <w:r w:rsidR="00991BF9" w:rsidRPr="009011A8">
        <w:t xml:space="preserve">to allow ample time for respondents to complete </w:t>
      </w:r>
      <w:r w:rsidR="0030270A">
        <w:t>it.</w:t>
      </w:r>
      <w:r w:rsidR="00991BF9" w:rsidRPr="009011A8">
        <w:t xml:space="preserve"> </w:t>
      </w:r>
      <w:r w:rsidR="00525C7E">
        <w:t xml:space="preserve"> </w:t>
      </w:r>
    </w:p>
    <w:p w14:paraId="53E08CE2" w14:textId="77777777" w:rsidR="00991BF9" w:rsidRDefault="00991BF9" w:rsidP="00991BF9">
      <w:pPr>
        <w:ind w:left="0"/>
      </w:pPr>
    </w:p>
    <w:p w14:paraId="6889A313" w14:textId="1AEDB0C6" w:rsidR="00991BF9" w:rsidRPr="009D77CD" w:rsidRDefault="00991BF9" w:rsidP="00991BF9">
      <w:pPr>
        <w:ind w:left="0"/>
        <w:rPr>
          <w:color w:val="0070C0"/>
        </w:rPr>
      </w:pPr>
      <w:r w:rsidRPr="00546099">
        <w:t>Data from the web-based instrument will be downloaded, cleaned, and analyzed in</w:t>
      </w:r>
      <w:r>
        <w:t xml:space="preserve"> </w:t>
      </w:r>
      <w:r w:rsidR="00DB2B80">
        <w:t>SPSS</w:t>
      </w:r>
      <w:r w:rsidRPr="00DC73BF">
        <w:rPr>
          <w:color w:val="0070C0"/>
        </w:rPr>
        <w:t xml:space="preserve">. </w:t>
      </w:r>
      <w:r w:rsidR="00E94DAA" w:rsidRPr="00DC73BF">
        <w:t>D</w:t>
      </w:r>
      <w:r w:rsidR="00E94DAA" w:rsidRPr="003878AD">
        <w:t>ata cleaning will involve using programmatic codes to check for accuracy, detecting and removing inconsistencies in the data, and insuring consistency in data items prior to defining the analytic variables. Initial descriptive and bivariate analysis will be used to describe general frequency and variation among the variables. Qualitative data from open-ended responses will be reviewed and coded to identify common themes among respondents and will be joined with related variables. Non</w:t>
      </w:r>
      <w:r w:rsidR="00045EBA">
        <w:t>-</w:t>
      </w:r>
      <w:r w:rsidR="00E94DAA" w:rsidRPr="003878AD">
        <w:t>identifying unique ID codes will be incorporated into the coding process</w:t>
      </w:r>
      <w:r w:rsidR="008D44DF">
        <w:t>.</w:t>
      </w:r>
    </w:p>
    <w:p w14:paraId="0341FC1A" w14:textId="77777777" w:rsidR="00991BF9" w:rsidRDefault="00991BF9" w:rsidP="00991BF9"/>
    <w:p w14:paraId="15713003" w14:textId="4AB45E9B" w:rsidR="009759F3" w:rsidRPr="009759F3" w:rsidRDefault="00287E2F" w:rsidP="00991BF9">
      <w:pPr>
        <w:pStyle w:val="Heading4"/>
      </w:pPr>
      <w:bookmarkStart w:id="5" w:name="_Toc416347810"/>
      <w:r w:rsidRPr="00D26A64">
        <w:t xml:space="preserve">Methods to Maximize Response Rates </w:t>
      </w:r>
      <w:r w:rsidR="009759F3" w:rsidRPr="009759F3">
        <w:t>Deal with Nonresponse</w:t>
      </w:r>
      <w:bookmarkEnd w:id="5"/>
    </w:p>
    <w:p w14:paraId="32ABE570" w14:textId="2BDE8A98" w:rsidR="003B0A9A" w:rsidRPr="00C21244" w:rsidRDefault="000959E6" w:rsidP="00D042B9">
      <w:pPr>
        <w:pStyle w:val="ListParagraph"/>
        <w:ind w:left="0"/>
        <w:rPr>
          <w:highlight w:val="yellow"/>
        </w:rPr>
      </w:pPr>
      <w:r w:rsidRPr="007C6296">
        <w:rPr>
          <w:rFonts w:cs="Times New Roman"/>
        </w:rPr>
        <w:t xml:space="preserve">Although participation in the </w:t>
      </w:r>
      <w:r>
        <w:rPr>
          <w:rFonts w:cs="Times New Roman"/>
        </w:rPr>
        <w:t>assessment</w:t>
      </w:r>
      <w:r w:rsidRPr="007C6296">
        <w:rPr>
          <w:rFonts w:cs="Times New Roman"/>
        </w:rPr>
        <w:t xml:space="preserve"> is voluntary, </w:t>
      </w:r>
      <w:r>
        <w:rPr>
          <w:rFonts w:cs="Times New Roman"/>
        </w:rPr>
        <w:t xml:space="preserve">the project lead will make </w:t>
      </w:r>
      <w:r w:rsidRPr="007C6296">
        <w:rPr>
          <w:rFonts w:cs="Times New Roman"/>
        </w:rPr>
        <w:t xml:space="preserve">every effort to maximize the rate of response. </w:t>
      </w:r>
      <w:r w:rsidR="00DD0B96" w:rsidRPr="0064588C">
        <w:rPr>
          <w:rFonts w:cs="Times New Roman"/>
        </w:rPr>
        <w:t>First, t</w:t>
      </w:r>
      <w:r w:rsidR="00991BF9" w:rsidRPr="0064588C">
        <w:rPr>
          <w:rFonts w:cs="Times New Roman"/>
        </w:rPr>
        <w:t xml:space="preserve">he assessment tool was designed </w:t>
      </w:r>
      <w:r w:rsidR="00DC73BF" w:rsidRPr="0064588C">
        <w:rPr>
          <w:rFonts w:cs="Times New Roman"/>
        </w:rPr>
        <w:t xml:space="preserve">based </w:t>
      </w:r>
      <w:r w:rsidR="00B143F5" w:rsidRPr="0064588C">
        <w:rPr>
          <w:rFonts w:cs="Times New Roman"/>
        </w:rPr>
        <w:t xml:space="preserve">on extensive review of relevant research literature and data collections conducted previously to avoid duplicate effort and unnecessary burden to the respondents. Second, the instrument </w:t>
      </w:r>
      <w:r w:rsidR="00991BF9" w:rsidRPr="0064588C">
        <w:rPr>
          <w:rFonts w:cs="Times New Roman"/>
        </w:rPr>
        <w:t>focus</w:t>
      </w:r>
      <w:r w:rsidR="00B143F5" w:rsidRPr="0064588C">
        <w:rPr>
          <w:rFonts w:cs="Times New Roman"/>
        </w:rPr>
        <w:t>es</w:t>
      </w:r>
      <w:r w:rsidR="00991BF9" w:rsidRPr="0064588C">
        <w:rPr>
          <w:rFonts w:cs="Times New Roman"/>
        </w:rPr>
        <w:t xml:space="preserve"> on streamlining questions to allow for skipping questions based on responses to </w:t>
      </w:r>
      <w:r w:rsidR="00525C7E" w:rsidRPr="0064588C">
        <w:rPr>
          <w:rFonts w:cs="Times New Roman"/>
        </w:rPr>
        <w:t xml:space="preserve">screening </w:t>
      </w:r>
      <w:r w:rsidR="00991BF9" w:rsidRPr="0064588C">
        <w:rPr>
          <w:rFonts w:cs="Times New Roman"/>
        </w:rPr>
        <w:t xml:space="preserve">questions, thereby minimizing response burden. </w:t>
      </w:r>
      <w:r w:rsidR="00E94DAA" w:rsidRPr="0064588C">
        <w:rPr>
          <w:rFonts w:cs="Times New Roman"/>
        </w:rPr>
        <w:t xml:space="preserve"> </w:t>
      </w:r>
      <w:r w:rsidR="00B143F5" w:rsidRPr="0064588C">
        <w:rPr>
          <w:rFonts w:cs="Times New Roman"/>
        </w:rPr>
        <w:t>Third,</w:t>
      </w:r>
      <w:r w:rsidR="00D03AAA" w:rsidRPr="0064588C">
        <w:rPr>
          <w:rFonts w:cs="Times New Roman"/>
        </w:rPr>
        <w:t xml:space="preserve"> we </w:t>
      </w:r>
      <w:r w:rsidR="00E730A0" w:rsidRPr="0064588C">
        <w:rPr>
          <w:rFonts w:cs="Times New Roman"/>
        </w:rPr>
        <w:t xml:space="preserve">have </w:t>
      </w:r>
      <w:r w:rsidR="00B143F5" w:rsidRPr="0064588C">
        <w:rPr>
          <w:rFonts w:cs="Times New Roman"/>
        </w:rPr>
        <w:t>examined</w:t>
      </w:r>
      <w:r w:rsidR="00AA2B2E" w:rsidRPr="0064588C">
        <w:rPr>
          <w:rFonts w:cs="Times New Roman"/>
        </w:rPr>
        <w:t xml:space="preserve"> the timeline of </w:t>
      </w:r>
      <w:r w:rsidR="00B143F5" w:rsidRPr="0064588C">
        <w:rPr>
          <w:rFonts w:cs="Times New Roman"/>
        </w:rPr>
        <w:t xml:space="preserve">other </w:t>
      </w:r>
      <w:r w:rsidR="00AA2B2E" w:rsidRPr="0064588C">
        <w:rPr>
          <w:rFonts w:cs="Times New Roman"/>
        </w:rPr>
        <w:t xml:space="preserve">data collection efforts </w:t>
      </w:r>
      <w:r w:rsidR="00B143F5" w:rsidRPr="0064588C">
        <w:rPr>
          <w:rFonts w:cs="Times New Roman"/>
        </w:rPr>
        <w:t xml:space="preserve">that </w:t>
      </w:r>
      <w:r w:rsidR="00E730A0" w:rsidRPr="0064588C">
        <w:rPr>
          <w:rFonts w:cs="Times New Roman"/>
        </w:rPr>
        <w:t>might</w:t>
      </w:r>
      <w:r w:rsidR="00B143F5" w:rsidRPr="0064588C">
        <w:rPr>
          <w:rFonts w:cs="Times New Roman"/>
        </w:rPr>
        <w:t xml:space="preserve"> involve our respondents and selected a low-volume time window for our data collection</w:t>
      </w:r>
      <w:r w:rsidR="00E730A0" w:rsidRPr="0064588C">
        <w:rPr>
          <w:rFonts w:cs="Times New Roman"/>
        </w:rPr>
        <w:t>.</w:t>
      </w:r>
      <w:r w:rsidR="00AA2B2E" w:rsidRPr="0064588C">
        <w:rPr>
          <w:rFonts w:cs="Times New Roman"/>
        </w:rPr>
        <w:t xml:space="preserve"> </w:t>
      </w:r>
      <w:r w:rsidR="00C175BF" w:rsidRPr="0064588C">
        <w:rPr>
          <w:rFonts w:cs="Times New Roman"/>
        </w:rPr>
        <w:t xml:space="preserve"> </w:t>
      </w:r>
      <w:r w:rsidR="001D18AB" w:rsidRPr="0064588C">
        <w:rPr>
          <w:rFonts w:cs="Times New Roman"/>
        </w:rPr>
        <w:t>Fou</w:t>
      </w:r>
      <w:r w:rsidR="00E730A0" w:rsidRPr="0064588C">
        <w:rPr>
          <w:rFonts w:cs="Times New Roman"/>
        </w:rPr>
        <w:t>r</w:t>
      </w:r>
      <w:r w:rsidR="001D18AB" w:rsidRPr="0064588C">
        <w:rPr>
          <w:rFonts w:cs="Times New Roman"/>
        </w:rPr>
        <w:t>th, as described in the previous section, we have programmed the online asse</w:t>
      </w:r>
      <w:r w:rsidR="00E730A0" w:rsidRPr="0064588C">
        <w:rPr>
          <w:rFonts w:cs="Times New Roman"/>
        </w:rPr>
        <w:t>ss</w:t>
      </w:r>
      <w:r w:rsidR="001D18AB" w:rsidRPr="0064588C">
        <w:rPr>
          <w:rFonts w:cs="Times New Roman"/>
        </w:rPr>
        <w:t>ment instrument in accordance with the best-practice standards so that it is user friendly to the respondents.</w:t>
      </w:r>
      <w:r w:rsidR="001D18AB" w:rsidRPr="0064588C" w:rsidDel="001D18AB">
        <w:rPr>
          <w:rFonts w:cs="Times New Roman"/>
        </w:rPr>
        <w:t xml:space="preserve"> </w:t>
      </w:r>
      <w:r w:rsidR="001D18AB" w:rsidRPr="0064588C">
        <w:rPr>
          <w:rFonts w:cs="Times New Roman"/>
        </w:rPr>
        <w:t xml:space="preserve"> </w:t>
      </w:r>
      <w:r w:rsidR="00C175BF" w:rsidRPr="0064588C">
        <w:rPr>
          <w:rFonts w:cs="Times New Roman"/>
        </w:rPr>
        <w:t>Finally, we will conduct multip</w:t>
      </w:r>
      <w:r w:rsidR="00E730A0" w:rsidRPr="0064588C">
        <w:rPr>
          <w:rFonts w:cs="Times New Roman"/>
        </w:rPr>
        <w:t>le</w:t>
      </w:r>
      <w:r w:rsidR="00C175BF" w:rsidRPr="0064588C">
        <w:rPr>
          <w:rFonts w:cs="Times New Roman"/>
        </w:rPr>
        <w:t xml:space="preserve"> follow ups to remind and encourage the PH</w:t>
      </w:r>
      <w:r>
        <w:rPr>
          <w:rFonts w:cs="Times New Roman"/>
        </w:rPr>
        <w:t>E</w:t>
      </w:r>
      <w:r w:rsidR="00C175BF" w:rsidRPr="0064588C">
        <w:rPr>
          <w:rFonts w:cs="Times New Roman"/>
        </w:rPr>
        <w:t>P representatives to participate.</w:t>
      </w:r>
      <w:r w:rsidR="00C175BF">
        <w:rPr>
          <w:rFonts w:cs="Times New Roman"/>
        </w:rPr>
        <w:t xml:space="preserve"> </w:t>
      </w:r>
      <w:r w:rsidR="001D18AB">
        <w:rPr>
          <w:rFonts w:cs="Times New Roman"/>
        </w:rPr>
        <w:t xml:space="preserve">One </w:t>
      </w:r>
      <w:r w:rsidR="003B0A9A">
        <w:rPr>
          <w:rFonts w:cs="Times New Roman"/>
        </w:rPr>
        <w:t>week a</w:t>
      </w:r>
      <w:r w:rsidR="00E94DAA">
        <w:rPr>
          <w:rFonts w:cs="Times New Roman"/>
        </w:rPr>
        <w:t xml:space="preserve">fter </w:t>
      </w:r>
      <w:r w:rsidR="003B0A9A">
        <w:rPr>
          <w:rFonts w:cs="Times New Roman"/>
        </w:rPr>
        <w:t>launching the</w:t>
      </w:r>
      <w:r w:rsidR="00E94DAA">
        <w:rPr>
          <w:rFonts w:cs="Times New Roman"/>
        </w:rPr>
        <w:t xml:space="preserve"> data collection, we will </w:t>
      </w:r>
      <w:r w:rsidR="00D042B9">
        <w:rPr>
          <w:rFonts w:cs="Times New Roman"/>
        </w:rPr>
        <w:t>make</w:t>
      </w:r>
      <w:r w:rsidR="00E94DAA">
        <w:rPr>
          <w:rFonts w:cs="Times New Roman"/>
        </w:rPr>
        <w:t xml:space="preserve"> a telephone call to </w:t>
      </w:r>
      <w:r w:rsidR="00D042B9">
        <w:rPr>
          <w:rFonts w:cs="Times New Roman"/>
        </w:rPr>
        <w:t xml:space="preserve">those PHP representatives </w:t>
      </w:r>
      <w:r w:rsidR="00E94DAA">
        <w:rPr>
          <w:rFonts w:cs="Times New Roman"/>
        </w:rPr>
        <w:t>who have not yet responded to make sure that the assessment link reached the intended respondents, verify their email addresses, reiterate the importance of the study, answer any questions they may have, and encourage participation in the assessment.</w:t>
      </w:r>
      <w:r w:rsidR="007F6358">
        <w:rPr>
          <w:rFonts w:cs="Times New Roman"/>
        </w:rPr>
        <w:t xml:space="preserve"> We will send two reminder emails as described in section 2. </w:t>
      </w:r>
      <w:r w:rsidR="00E94DAA">
        <w:rPr>
          <w:rFonts w:cs="Times New Roman"/>
        </w:rPr>
        <w:t xml:space="preserve"> </w:t>
      </w:r>
      <w:r w:rsidR="00D042B9">
        <w:rPr>
          <w:rFonts w:cs="Times New Roman"/>
        </w:rPr>
        <w:t xml:space="preserve"> </w:t>
      </w:r>
    </w:p>
    <w:p w14:paraId="1CB614FF" w14:textId="77777777" w:rsidR="00991BF9" w:rsidRDefault="00991BF9" w:rsidP="00991BF9"/>
    <w:p w14:paraId="10502A85" w14:textId="77777777" w:rsidR="00F52BCC" w:rsidRPr="009759F3" w:rsidRDefault="00287E2F" w:rsidP="00991BF9">
      <w:pPr>
        <w:pStyle w:val="Heading4"/>
      </w:pPr>
      <w:bookmarkStart w:id="6" w:name="_Toc416347811"/>
      <w:r w:rsidRPr="005F3FEF">
        <w:t xml:space="preserve">Test of Procedures </w:t>
      </w:r>
      <w:r w:rsidR="009759F3" w:rsidRPr="009759F3">
        <w:t>or Methods to be Undertaken</w:t>
      </w:r>
      <w:bookmarkEnd w:id="6"/>
    </w:p>
    <w:p w14:paraId="337B44B4" w14:textId="77777777" w:rsidR="001D18AB" w:rsidRDefault="001D18AB" w:rsidP="00991BF9">
      <w:pPr>
        <w:ind w:left="0"/>
        <w:rPr>
          <w:color w:val="000000"/>
          <w:lang w:eastAsia="zh-CN"/>
        </w:rPr>
      </w:pPr>
    </w:p>
    <w:p w14:paraId="19464CA8" w14:textId="6E0BA0F0" w:rsidR="001D18AB" w:rsidRPr="00691642" w:rsidRDefault="00754242" w:rsidP="00691642">
      <w:pPr>
        <w:ind w:left="0"/>
        <w:rPr>
          <w:color w:val="000000"/>
        </w:rPr>
      </w:pPr>
      <w:r w:rsidRPr="00BF1AA7">
        <w:rPr>
          <w:color w:val="000000"/>
        </w:rPr>
        <w:t xml:space="preserve">The estimate for burden hours is based on a pilot test of </w:t>
      </w:r>
      <w:r w:rsidRPr="00BF1AA7">
        <w:t xml:space="preserve">the information collection instrument </w:t>
      </w:r>
      <w:r w:rsidRPr="00BF1AA7">
        <w:rPr>
          <w:color w:val="000000"/>
        </w:rPr>
        <w:t xml:space="preserve">by up </w:t>
      </w:r>
      <w:r w:rsidRPr="00BF1AA7">
        <w:t xml:space="preserve">to 9 public health professionals. In the pilot test, the average time to complete the instrument including time for reviewing instructions, gathering needed information and completing the instrument, was approximately 55 minutes. Based on these results, the estimated time range for actual respondents to complete the instrument </w:t>
      </w:r>
      <w:r w:rsidRPr="00E949A0">
        <w:t xml:space="preserve">is 45 to 60 minutes. For the purposes of estimating burden hours, the upper limit of this range (i.e., 60 </w:t>
      </w:r>
      <w:r w:rsidRPr="00BF1AA7">
        <w:t>minutes) is used.</w:t>
      </w:r>
    </w:p>
    <w:p w14:paraId="0B5CC083" w14:textId="77777777" w:rsidR="009759F3" w:rsidRPr="009759F3" w:rsidRDefault="009759F3" w:rsidP="00991BF9">
      <w:pPr>
        <w:pStyle w:val="Heading4"/>
      </w:pPr>
      <w:bookmarkStart w:id="7" w:name="_Toc416347812"/>
      <w:r w:rsidRPr="009759F3">
        <w:lastRenderedPageBreak/>
        <w:t>Individuals Consulted on Statistical Aspects and Individuals Collecting and/or Analyzing Data</w:t>
      </w:r>
      <w:bookmarkEnd w:id="7"/>
    </w:p>
    <w:p w14:paraId="0BD6F157" w14:textId="2E86AF2A" w:rsidR="007866C0" w:rsidRDefault="007866C0" w:rsidP="00E5431F">
      <w:pPr>
        <w:pStyle w:val="ListParagraph"/>
        <w:ind w:left="0"/>
      </w:pPr>
      <w:r w:rsidRPr="000F7C1E">
        <w:t xml:space="preserve">The </w:t>
      </w:r>
      <w:r w:rsidR="00BD650D">
        <w:t>information</w:t>
      </w:r>
      <w:r w:rsidR="00BD650D" w:rsidRPr="000F7C1E">
        <w:t xml:space="preserve"> </w:t>
      </w:r>
      <w:r w:rsidRPr="000F7C1E">
        <w:t>col</w:t>
      </w:r>
      <w:r>
        <w:t xml:space="preserve">lection was designed by staff at CDC and contractors at Avar Consulting, Inc. </w:t>
      </w:r>
      <w:r w:rsidR="002D3142">
        <w:t xml:space="preserve">(prime contractor) </w:t>
      </w:r>
      <w:r>
        <w:t>and RTI International</w:t>
      </w:r>
      <w:r w:rsidR="002D3142">
        <w:t xml:space="preserve"> (subcontractor)</w:t>
      </w:r>
      <w:r>
        <w:t xml:space="preserve">. Avar </w:t>
      </w:r>
      <w:r w:rsidR="002D3142">
        <w:t xml:space="preserve">Consulting </w:t>
      </w:r>
      <w:r>
        <w:t xml:space="preserve">will collect </w:t>
      </w:r>
      <w:r w:rsidR="001E3B5A">
        <w:t>and analyze the data.</w:t>
      </w:r>
    </w:p>
    <w:p w14:paraId="4F65FD47" w14:textId="77777777" w:rsidR="00BD650D" w:rsidRDefault="00BD650D" w:rsidP="00BD650D">
      <w:pPr>
        <w:pStyle w:val="ListParagraph"/>
      </w:pPr>
    </w:p>
    <w:p w14:paraId="16B262BD" w14:textId="76766C22" w:rsidR="00BD650D" w:rsidRDefault="00BD650D" w:rsidP="00E5431F">
      <w:pPr>
        <w:pStyle w:val="ListParagraph"/>
        <w:ind w:left="0"/>
      </w:pPr>
      <w:r>
        <w:t>The</w:t>
      </w:r>
      <w:r w:rsidR="00011B3B">
        <w:t xml:space="preserve"> </w:t>
      </w:r>
      <w:r>
        <w:t>representatives of the contractor</w:t>
      </w:r>
      <w:r w:rsidR="002D3142">
        <w:t>s</w:t>
      </w:r>
      <w:r>
        <w:t xml:space="preserve"> who consulted on statistical aspects of design are:</w:t>
      </w:r>
    </w:p>
    <w:p w14:paraId="4FF55731" w14:textId="77777777" w:rsidR="007866C0" w:rsidRDefault="007866C0" w:rsidP="007866C0">
      <w:pPr>
        <w:pStyle w:val="ListParagraph"/>
      </w:pPr>
    </w:p>
    <w:tbl>
      <w:tblPr>
        <w:tblStyle w:val="TableGrid"/>
        <w:tblW w:w="0" w:type="auto"/>
        <w:tblInd w:w="720" w:type="dxa"/>
        <w:tblLook w:val="04A0" w:firstRow="1" w:lastRow="0" w:firstColumn="1" w:lastColumn="0" w:noHBand="0" w:noVBand="1"/>
      </w:tblPr>
      <w:tblGrid>
        <w:gridCol w:w="4379"/>
        <w:gridCol w:w="4251"/>
      </w:tblGrid>
      <w:tr w:rsidR="007866C0" w14:paraId="5451E97E" w14:textId="77777777" w:rsidTr="002702B9">
        <w:tc>
          <w:tcPr>
            <w:tcW w:w="4452" w:type="dxa"/>
          </w:tcPr>
          <w:p w14:paraId="121EE2AC" w14:textId="79C4B952" w:rsidR="007866C0" w:rsidRPr="000F7C1E" w:rsidRDefault="007866C0" w:rsidP="002702B9">
            <w:pPr>
              <w:pStyle w:val="ListParagraph"/>
              <w:ind w:left="0"/>
              <w:jc w:val="center"/>
              <w:rPr>
                <w:b/>
              </w:rPr>
            </w:pPr>
            <w:r>
              <w:rPr>
                <w:b/>
              </w:rPr>
              <w:t>RTI International/Avar</w:t>
            </w:r>
          </w:p>
        </w:tc>
        <w:tc>
          <w:tcPr>
            <w:tcW w:w="4404" w:type="dxa"/>
          </w:tcPr>
          <w:p w14:paraId="45EA9B3A" w14:textId="77777777" w:rsidR="007866C0" w:rsidRPr="000F7C1E" w:rsidRDefault="007866C0" w:rsidP="002702B9">
            <w:pPr>
              <w:pStyle w:val="ListParagraph"/>
              <w:ind w:left="0"/>
              <w:jc w:val="center"/>
              <w:rPr>
                <w:b/>
              </w:rPr>
            </w:pPr>
            <w:r w:rsidRPr="000F7C1E">
              <w:rPr>
                <w:b/>
              </w:rPr>
              <w:t>CDC</w:t>
            </w:r>
          </w:p>
        </w:tc>
      </w:tr>
      <w:tr w:rsidR="007866C0" w14:paraId="42D13655" w14:textId="77777777" w:rsidTr="002702B9">
        <w:tc>
          <w:tcPr>
            <w:tcW w:w="4452" w:type="dxa"/>
          </w:tcPr>
          <w:p w14:paraId="12F22BA5" w14:textId="0B4B543E" w:rsidR="007866C0" w:rsidRDefault="007866C0" w:rsidP="00986334">
            <w:pPr>
              <w:ind w:left="0"/>
            </w:pPr>
            <w:r>
              <w:t>Z. Joan Wang, PhD (Avar)</w:t>
            </w:r>
          </w:p>
          <w:p w14:paraId="681C541E" w14:textId="77777777" w:rsidR="007866C0" w:rsidRDefault="007866C0" w:rsidP="00986334">
            <w:pPr>
              <w:ind w:left="0"/>
            </w:pPr>
            <w:r>
              <w:t>Co-Project Director</w:t>
            </w:r>
          </w:p>
          <w:p w14:paraId="758B491B" w14:textId="1065052C" w:rsidR="007866C0" w:rsidRDefault="007866C0" w:rsidP="00986334">
            <w:pPr>
              <w:ind w:left="0"/>
            </w:pPr>
            <w:r>
              <w:t>Phone</w:t>
            </w:r>
            <w:r w:rsidRPr="0045394E">
              <w:t xml:space="preserve">: </w:t>
            </w:r>
            <w:hyperlink r:id="rId13" w:tgtFrame="_blank" w:history="1">
              <w:r w:rsidR="0045394E" w:rsidRPr="0045394E">
                <w:rPr>
                  <w:rStyle w:val="Hyperlink"/>
                  <w:color w:val="auto"/>
                  <w:u w:val="none"/>
                </w:rPr>
                <w:t>301-977-6553</w:t>
              </w:r>
            </w:hyperlink>
          </w:p>
          <w:p w14:paraId="5222F1AC" w14:textId="19781BE5" w:rsidR="007866C0" w:rsidRDefault="007866C0" w:rsidP="0045394E">
            <w:pPr>
              <w:ind w:left="0"/>
            </w:pPr>
            <w:r>
              <w:t>Email:</w:t>
            </w:r>
            <w:r w:rsidR="0045394E">
              <w:t xml:space="preserve"> joanwang@avarconsulting.com</w:t>
            </w:r>
          </w:p>
        </w:tc>
        <w:tc>
          <w:tcPr>
            <w:tcW w:w="4404" w:type="dxa"/>
          </w:tcPr>
          <w:p w14:paraId="58555573" w14:textId="77777777" w:rsidR="00691642" w:rsidRDefault="00691642" w:rsidP="00691642">
            <w:pPr>
              <w:ind w:left="0"/>
            </w:pPr>
            <w:r>
              <w:t>Shoukat Qari, DVM, PhD</w:t>
            </w:r>
          </w:p>
          <w:p w14:paraId="5CBC0FCA" w14:textId="77777777" w:rsidR="00691642" w:rsidRDefault="00691642" w:rsidP="00691642">
            <w:pPr>
              <w:ind w:left="0"/>
            </w:pPr>
            <w:r>
              <w:t>Senior Scientific Program Official</w:t>
            </w:r>
          </w:p>
          <w:p w14:paraId="35B6B19E" w14:textId="77777777" w:rsidR="00691642" w:rsidRDefault="00691642" w:rsidP="00691642">
            <w:pPr>
              <w:ind w:left="0"/>
            </w:pPr>
            <w:r>
              <w:t>Phone</w:t>
            </w:r>
            <w:r w:rsidRPr="0045394E">
              <w:t xml:space="preserve">: </w:t>
            </w:r>
            <w:r w:rsidRPr="007515C6">
              <w:rPr>
                <w:rFonts w:eastAsia="Times New Roman"/>
                <w:noProof/>
              </w:rPr>
              <w:t>770-488-8808</w:t>
            </w:r>
          </w:p>
          <w:p w14:paraId="49DD1DE8" w14:textId="3CC8D031" w:rsidR="007866C0" w:rsidRPr="004D71D8" w:rsidRDefault="00691642" w:rsidP="00691642">
            <w:pPr>
              <w:ind w:left="0"/>
            </w:pPr>
            <w:r>
              <w:t xml:space="preserve">Email: </w:t>
            </w:r>
            <w:hyperlink r:id="rId14" w:history="1">
              <w:r>
                <w:rPr>
                  <w:rStyle w:val="Hyperlink"/>
                  <w:rFonts w:eastAsia="Times New Roman"/>
                  <w:noProof/>
                </w:rPr>
                <w:t>SQari@CDC.Gov</w:t>
              </w:r>
            </w:hyperlink>
          </w:p>
        </w:tc>
      </w:tr>
      <w:tr w:rsidR="007866C0" w14:paraId="7C356B07" w14:textId="77777777" w:rsidTr="002702B9">
        <w:tc>
          <w:tcPr>
            <w:tcW w:w="4452" w:type="dxa"/>
          </w:tcPr>
          <w:p w14:paraId="63EB7842" w14:textId="69ED552A" w:rsidR="007866C0" w:rsidRDefault="007866C0" w:rsidP="00986334">
            <w:pPr>
              <w:ind w:left="0"/>
            </w:pPr>
            <w:r>
              <w:t>Molly Lynch, MPH (RTI)</w:t>
            </w:r>
          </w:p>
          <w:p w14:paraId="26F5D917" w14:textId="77777777" w:rsidR="007866C0" w:rsidRDefault="007866C0" w:rsidP="00986334">
            <w:pPr>
              <w:ind w:left="0"/>
            </w:pPr>
            <w:r>
              <w:t>Co-Project Director</w:t>
            </w:r>
          </w:p>
          <w:p w14:paraId="573A12BA" w14:textId="5F2F6940" w:rsidR="007866C0" w:rsidRDefault="007866C0" w:rsidP="00986334">
            <w:pPr>
              <w:ind w:left="0"/>
            </w:pPr>
            <w:r>
              <w:t>Phone:</w:t>
            </w:r>
            <w:r w:rsidR="009E373A">
              <w:t xml:space="preserve"> 919-485-2709</w:t>
            </w:r>
          </w:p>
          <w:p w14:paraId="70BD7FFC" w14:textId="38E59916" w:rsidR="007866C0" w:rsidRDefault="007866C0" w:rsidP="00986334">
            <w:pPr>
              <w:ind w:left="0"/>
            </w:pPr>
            <w:r>
              <w:t>Email:</w:t>
            </w:r>
            <w:r w:rsidR="009E373A">
              <w:t xml:space="preserve"> mlynch@rti.org</w:t>
            </w:r>
          </w:p>
        </w:tc>
        <w:tc>
          <w:tcPr>
            <w:tcW w:w="4404" w:type="dxa"/>
          </w:tcPr>
          <w:p w14:paraId="6F6B2348" w14:textId="6DE60464" w:rsidR="007866C0" w:rsidRPr="004D71D8" w:rsidRDefault="007866C0" w:rsidP="00A21CBE">
            <w:pPr>
              <w:pStyle w:val="ListParagraph"/>
              <w:ind w:left="0"/>
            </w:pPr>
          </w:p>
        </w:tc>
      </w:tr>
      <w:tr w:rsidR="007866C0" w14:paraId="37D3AC9C" w14:textId="77777777" w:rsidTr="002702B9">
        <w:tc>
          <w:tcPr>
            <w:tcW w:w="4452" w:type="dxa"/>
          </w:tcPr>
          <w:p w14:paraId="1B6A0768" w14:textId="453732CB" w:rsidR="007866C0" w:rsidRDefault="007866C0" w:rsidP="00986334">
            <w:pPr>
              <w:ind w:left="0"/>
            </w:pPr>
            <w:r>
              <w:t>Jennifer Horney, PhD (Avar)</w:t>
            </w:r>
          </w:p>
          <w:p w14:paraId="2DAEF8E0" w14:textId="77777777" w:rsidR="007866C0" w:rsidRDefault="007866C0" w:rsidP="00986334">
            <w:pPr>
              <w:ind w:left="0"/>
            </w:pPr>
            <w:r>
              <w:t>Scientific Advisor</w:t>
            </w:r>
          </w:p>
          <w:p w14:paraId="6E86D21A" w14:textId="1B254827" w:rsidR="007866C0" w:rsidRDefault="007866C0" w:rsidP="00986334">
            <w:pPr>
              <w:ind w:left="0"/>
            </w:pPr>
            <w:r>
              <w:t>Phone:</w:t>
            </w:r>
            <w:r w:rsidR="00984BFD">
              <w:rPr>
                <w:rFonts w:ascii="Verdana" w:hAnsi="Verdana"/>
                <w:color w:val="808080"/>
                <w:sz w:val="20"/>
                <w:szCs w:val="20"/>
              </w:rPr>
              <w:t xml:space="preserve"> </w:t>
            </w:r>
            <w:r w:rsidR="00984BFD" w:rsidRPr="00984BFD">
              <w:rPr>
                <w:rFonts w:ascii="Verdana" w:hAnsi="Verdana"/>
                <w:sz w:val="20"/>
                <w:szCs w:val="20"/>
              </w:rPr>
              <w:t>979-436-9391</w:t>
            </w:r>
          </w:p>
          <w:p w14:paraId="42E6F4F1" w14:textId="05CF68E8" w:rsidR="007866C0" w:rsidRDefault="007866C0" w:rsidP="00984BFD">
            <w:pPr>
              <w:ind w:left="0"/>
            </w:pPr>
            <w:r>
              <w:t>Email:</w:t>
            </w:r>
            <w:r w:rsidR="00984BFD">
              <w:t xml:space="preserve"> horney@sph.tamhsc.edu</w:t>
            </w:r>
          </w:p>
        </w:tc>
        <w:tc>
          <w:tcPr>
            <w:tcW w:w="4404" w:type="dxa"/>
          </w:tcPr>
          <w:p w14:paraId="5A7AE5ED" w14:textId="205AD014" w:rsidR="007866C0" w:rsidRPr="004D71D8" w:rsidRDefault="007866C0" w:rsidP="00F36586">
            <w:pPr>
              <w:pStyle w:val="ListParagraph"/>
              <w:ind w:left="0"/>
            </w:pPr>
          </w:p>
        </w:tc>
      </w:tr>
      <w:tr w:rsidR="007866C0" w14:paraId="6A683AD9" w14:textId="77777777" w:rsidTr="002702B9">
        <w:tc>
          <w:tcPr>
            <w:tcW w:w="4452" w:type="dxa"/>
          </w:tcPr>
          <w:p w14:paraId="4EC0C37D" w14:textId="0566641B" w:rsidR="007866C0" w:rsidRDefault="001E03A6" w:rsidP="002702B9">
            <w:pPr>
              <w:pStyle w:val="ListParagraph"/>
              <w:ind w:left="0"/>
            </w:pPr>
            <w:r>
              <w:t>Grace Ji, PhD</w:t>
            </w:r>
            <w:r w:rsidR="001016A2">
              <w:t xml:space="preserve"> (Avar)</w:t>
            </w:r>
          </w:p>
          <w:p w14:paraId="0016D21D" w14:textId="06874C46" w:rsidR="0045394E" w:rsidRDefault="0045394E" w:rsidP="002702B9">
            <w:pPr>
              <w:pStyle w:val="ListParagraph"/>
              <w:ind w:left="0"/>
            </w:pPr>
            <w:r>
              <w:t>Senior Research Analyst</w:t>
            </w:r>
          </w:p>
          <w:p w14:paraId="47FDA4EC" w14:textId="01963FD1" w:rsidR="007866C0" w:rsidRDefault="007866C0" w:rsidP="002702B9">
            <w:pPr>
              <w:pStyle w:val="ListParagraph"/>
              <w:ind w:left="0"/>
            </w:pPr>
            <w:r>
              <w:t>Phone:</w:t>
            </w:r>
            <w:r w:rsidR="009E373A">
              <w:t xml:space="preserve"> </w:t>
            </w:r>
            <w:r w:rsidR="0045394E">
              <w:t>301-977-6553</w:t>
            </w:r>
          </w:p>
          <w:p w14:paraId="4E91ABA5" w14:textId="27618FAF" w:rsidR="007866C0" w:rsidRDefault="007866C0" w:rsidP="0045394E">
            <w:pPr>
              <w:pStyle w:val="ListParagraph"/>
              <w:ind w:left="0"/>
            </w:pPr>
            <w:r>
              <w:t>Email:</w:t>
            </w:r>
            <w:r w:rsidR="009E373A">
              <w:t xml:space="preserve"> </w:t>
            </w:r>
            <w:r w:rsidR="0045394E">
              <w:t>graceji@avarconsulting.com</w:t>
            </w:r>
          </w:p>
        </w:tc>
        <w:tc>
          <w:tcPr>
            <w:tcW w:w="4404" w:type="dxa"/>
          </w:tcPr>
          <w:p w14:paraId="7E7F0824" w14:textId="1FE4D014" w:rsidR="00D13FE9" w:rsidRPr="004D71D8" w:rsidRDefault="00D13FE9" w:rsidP="002702B9">
            <w:pPr>
              <w:pStyle w:val="ListParagraph"/>
              <w:ind w:left="0"/>
            </w:pPr>
          </w:p>
        </w:tc>
      </w:tr>
    </w:tbl>
    <w:p w14:paraId="00521D89" w14:textId="6494DBFC" w:rsidR="00287E2F" w:rsidRPr="00281795" w:rsidRDefault="00287E2F" w:rsidP="00991BF9">
      <w:pPr>
        <w:ind w:left="0"/>
      </w:pPr>
    </w:p>
    <w:p w14:paraId="6943D03B" w14:textId="77777777" w:rsidR="00E24C20" w:rsidRDefault="00E24C20" w:rsidP="00BC6896"/>
    <w:p w14:paraId="699861DE" w14:textId="77777777" w:rsidR="00A36419" w:rsidRPr="00BC6896" w:rsidRDefault="00A36419" w:rsidP="00BC6896">
      <w:pPr>
        <w:pStyle w:val="Heading3"/>
      </w:pPr>
      <w:bookmarkStart w:id="8" w:name="_Toc416347813"/>
      <w:r w:rsidRPr="00BC6896">
        <w:t>LIST OF ATTACHMENTS</w:t>
      </w:r>
      <w:r w:rsidR="00E24C20" w:rsidRPr="00BC6896">
        <w:t xml:space="preserve"> – Section B</w:t>
      </w:r>
      <w:bookmarkEnd w:id="8"/>
    </w:p>
    <w:p w14:paraId="15EF623C" w14:textId="77777777" w:rsidR="006B5E55" w:rsidRPr="00CD1EA8" w:rsidRDefault="006B5E55" w:rsidP="00BC6896">
      <w:pPr>
        <w:ind w:left="0"/>
      </w:pPr>
      <w:r w:rsidRPr="00CD1EA8">
        <w:t>Note:</w:t>
      </w:r>
      <w:r>
        <w:t xml:space="preserve"> Attachments are included as separate files as instructed.</w:t>
      </w:r>
    </w:p>
    <w:p w14:paraId="1B985072" w14:textId="77777777" w:rsidR="00A36419" w:rsidRPr="00A36419" w:rsidRDefault="00A36419" w:rsidP="00991BF9">
      <w:pPr>
        <w:ind w:left="0"/>
      </w:pPr>
    </w:p>
    <w:p w14:paraId="3D52E52E" w14:textId="384529C1" w:rsidR="00991BF9" w:rsidRPr="00BF1AA7" w:rsidRDefault="004157CE" w:rsidP="005A38F0">
      <w:pPr>
        <w:pStyle w:val="ListParagraph"/>
        <w:numPr>
          <w:ilvl w:val="0"/>
          <w:numId w:val="25"/>
        </w:numPr>
        <w:spacing w:line="240" w:lineRule="auto"/>
        <w:rPr>
          <w:rFonts w:ascii="Cambria" w:hAnsi="Cambria"/>
          <w:b/>
        </w:rPr>
      </w:pPr>
      <w:r w:rsidRPr="00BF1AA7">
        <w:rPr>
          <w:rFonts w:ascii="Cambria" w:hAnsi="Cambria"/>
          <w:b/>
        </w:rPr>
        <w:t xml:space="preserve">Advanced </w:t>
      </w:r>
      <w:r w:rsidR="00991BF9" w:rsidRPr="00BF1AA7">
        <w:rPr>
          <w:rFonts w:ascii="Cambria" w:hAnsi="Cambria"/>
          <w:b/>
        </w:rPr>
        <w:t>Notification Email</w:t>
      </w:r>
    </w:p>
    <w:p w14:paraId="302EDF4B" w14:textId="3A1D9AF7" w:rsidR="00991BF9" w:rsidRPr="00BF1AA7" w:rsidRDefault="004157CE" w:rsidP="00991BF9">
      <w:pPr>
        <w:pStyle w:val="ListParagraph"/>
        <w:numPr>
          <w:ilvl w:val="0"/>
          <w:numId w:val="25"/>
        </w:numPr>
        <w:spacing w:line="240" w:lineRule="auto"/>
        <w:rPr>
          <w:rFonts w:ascii="Cambria" w:hAnsi="Cambria"/>
          <w:b/>
        </w:rPr>
      </w:pPr>
      <w:r w:rsidRPr="00BF1AA7">
        <w:rPr>
          <w:rFonts w:ascii="Cambria" w:hAnsi="Cambria"/>
          <w:b/>
        </w:rPr>
        <w:t>Launch</w:t>
      </w:r>
      <w:r w:rsidR="00991BF9" w:rsidRPr="00BF1AA7">
        <w:rPr>
          <w:rFonts w:ascii="Cambria" w:hAnsi="Cambria"/>
          <w:b/>
        </w:rPr>
        <w:t xml:space="preserve"> Email</w:t>
      </w:r>
    </w:p>
    <w:p w14:paraId="35FA27D5" w14:textId="4896A858" w:rsidR="002241DD" w:rsidRPr="00BF1AA7" w:rsidRDefault="002241DD" w:rsidP="00991BF9">
      <w:pPr>
        <w:pStyle w:val="ListParagraph"/>
        <w:numPr>
          <w:ilvl w:val="0"/>
          <w:numId w:val="25"/>
        </w:numPr>
        <w:spacing w:line="240" w:lineRule="auto"/>
        <w:rPr>
          <w:rFonts w:ascii="Cambria" w:hAnsi="Cambria"/>
          <w:b/>
        </w:rPr>
      </w:pPr>
      <w:r w:rsidRPr="00BF1AA7">
        <w:rPr>
          <w:rFonts w:ascii="Cambria" w:hAnsi="Cambria"/>
          <w:b/>
        </w:rPr>
        <w:t>Reminder Email</w:t>
      </w:r>
    </w:p>
    <w:p w14:paraId="113901F6" w14:textId="77777777" w:rsidR="000E6577" w:rsidRPr="009D77CD" w:rsidRDefault="000E6577" w:rsidP="00BC6896">
      <w:pPr>
        <w:ind w:left="0"/>
        <w:rPr>
          <w:color w:val="0070C0"/>
        </w:rPr>
      </w:pPr>
    </w:p>
    <w:sectPr w:rsidR="000E6577" w:rsidRPr="009D77CD" w:rsidSect="003E5D57">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288CC" w14:textId="77777777" w:rsidR="00A23377" w:rsidRDefault="00A23377" w:rsidP="00BC6896">
      <w:r>
        <w:separator/>
      </w:r>
    </w:p>
    <w:p w14:paraId="3ED6AE7C" w14:textId="77777777" w:rsidR="00A23377" w:rsidRDefault="00A23377" w:rsidP="00BC6896"/>
  </w:endnote>
  <w:endnote w:type="continuationSeparator" w:id="0">
    <w:p w14:paraId="46C18C56" w14:textId="77777777" w:rsidR="00A23377" w:rsidRDefault="00A23377" w:rsidP="00BC6896">
      <w:r>
        <w:continuationSeparator/>
      </w:r>
    </w:p>
    <w:p w14:paraId="0A3191F7" w14:textId="77777777" w:rsidR="00A23377" w:rsidRDefault="00A23377"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1CB59A42" w14:textId="77777777" w:rsidR="00A23377" w:rsidRDefault="00A233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63C7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3C7F">
              <w:rPr>
                <w:b/>
                <w:bCs/>
                <w:noProof/>
              </w:rPr>
              <w:t>5</w:t>
            </w:r>
            <w:r>
              <w:rPr>
                <w:b/>
                <w:bCs/>
                <w:sz w:val="24"/>
                <w:szCs w:val="24"/>
              </w:rPr>
              <w:fldChar w:fldCharType="end"/>
            </w:r>
          </w:p>
        </w:sdtContent>
      </w:sdt>
    </w:sdtContent>
  </w:sdt>
  <w:p w14:paraId="7DEBA65F" w14:textId="77777777" w:rsidR="00A23377" w:rsidRDefault="00A23377"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EF324" w14:textId="77777777" w:rsidR="00A23377" w:rsidRDefault="00A23377" w:rsidP="00BC6896">
      <w:r>
        <w:separator/>
      </w:r>
    </w:p>
    <w:p w14:paraId="65E2968D" w14:textId="77777777" w:rsidR="00A23377" w:rsidRDefault="00A23377" w:rsidP="00BC6896"/>
  </w:footnote>
  <w:footnote w:type="continuationSeparator" w:id="0">
    <w:p w14:paraId="33F3051D" w14:textId="77777777" w:rsidR="00A23377" w:rsidRDefault="00A23377" w:rsidP="00BC6896">
      <w:r>
        <w:continuationSeparator/>
      </w:r>
    </w:p>
    <w:p w14:paraId="0D17FE35" w14:textId="77777777" w:rsidR="00A23377" w:rsidRDefault="00A23377"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0635D" w14:textId="77777777" w:rsidR="00A23377" w:rsidRPr="00716F94" w:rsidRDefault="00A23377" w:rsidP="00BC6896">
    <w:pPr>
      <w:pStyle w:val="Header"/>
      <w:rPr>
        <w:color w:val="0033CC"/>
      </w:rPr>
    </w:pPr>
    <w:r>
      <w:tab/>
    </w:r>
  </w:p>
  <w:p w14:paraId="45F0B1B7" w14:textId="77777777" w:rsidR="00A23377" w:rsidRDefault="00A23377"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B3EB3"/>
    <w:multiLevelType w:val="hybridMultilevel"/>
    <w:tmpl w:val="40EC2F54"/>
    <w:lvl w:ilvl="0" w:tplc="4A4CC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87FD5C"/>
    <w:multiLevelType w:val="singleLevel"/>
    <w:tmpl w:val="3572BBEC"/>
    <w:lvl w:ilvl="0">
      <w:numFmt w:val="bullet"/>
      <w:lvlText w:val="·"/>
      <w:lvlJc w:val="left"/>
      <w:pPr>
        <w:tabs>
          <w:tab w:val="num" w:pos="288"/>
        </w:tabs>
        <w:ind w:left="288" w:hanging="288"/>
      </w:pPr>
      <w:rPr>
        <w:rFonts w:ascii="Symbol" w:hAnsi="Symbol" w:cs="Symbol"/>
        <w:snapToGrid/>
        <w:spacing w:val="-4"/>
        <w:sz w:val="24"/>
        <w:szCs w:val="24"/>
      </w:rPr>
    </w:lvl>
  </w:abstractNum>
  <w:abstractNum w:abstractNumId="5"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7507B3"/>
    <w:multiLevelType w:val="hybridMultilevel"/>
    <w:tmpl w:val="F47038B8"/>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15601"/>
    <w:multiLevelType w:val="hybridMultilevel"/>
    <w:tmpl w:val="55E6AECE"/>
    <w:lvl w:ilvl="0" w:tplc="CBCC0B2C">
      <w:start w:val="3"/>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26"/>
  </w:num>
  <w:num w:numId="4">
    <w:abstractNumId w:val="12"/>
  </w:num>
  <w:num w:numId="5">
    <w:abstractNumId w:val="19"/>
  </w:num>
  <w:num w:numId="6">
    <w:abstractNumId w:val="9"/>
  </w:num>
  <w:num w:numId="7">
    <w:abstractNumId w:val="0"/>
  </w:num>
  <w:num w:numId="8">
    <w:abstractNumId w:val="7"/>
  </w:num>
  <w:num w:numId="9">
    <w:abstractNumId w:val="11"/>
  </w:num>
  <w:num w:numId="10">
    <w:abstractNumId w:val="20"/>
  </w:num>
  <w:num w:numId="11">
    <w:abstractNumId w:val="3"/>
  </w:num>
  <w:num w:numId="12">
    <w:abstractNumId w:val="25"/>
  </w:num>
  <w:num w:numId="13">
    <w:abstractNumId w:val="8"/>
  </w:num>
  <w:num w:numId="14">
    <w:abstractNumId w:val="5"/>
  </w:num>
  <w:num w:numId="15">
    <w:abstractNumId w:val="23"/>
  </w:num>
  <w:num w:numId="16">
    <w:abstractNumId w:val="28"/>
  </w:num>
  <w:num w:numId="17">
    <w:abstractNumId w:val="10"/>
  </w:num>
  <w:num w:numId="18">
    <w:abstractNumId w:val="14"/>
  </w:num>
  <w:num w:numId="19">
    <w:abstractNumId w:val="6"/>
  </w:num>
  <w:num w:numId="20">
    <w:abstractNumId w:val="16"/>
  </w:num>
  <w:num w:numId="21">
    <w:abstractNumId w:val="27"/>
  </w:num>
  <w:num w:numId="22">
    <w:abstractNumId w:val="21"/>
  </w:num>
  <w:num w:numId="23">
    <w:abstractNumId w:val="13"/>
  </w:num>
  <w:num w:numId="24">
    <w:abstractNumId w:val="22"/>
  </w:num>
  <w:num w:numId="25">
    <w:abstractNumId w:val="24"/>
  </w:num>
  <w:num w:numId="26">
    <w:abstractNumId w:val="18"/>
  </w:num>
  <w:num w:numId="27">
    <w:abstractNumId w:val="1"/>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0420"/>
    <w:rsid w:val="00011A98"/>
    <w:rsid w:val="00011B3B"/>
    <w:rsid w:val="00011F8D"/>
    <w:rsid w:val="000130B4"/>
    <w:rsid w:val="00014361"/>
    <w:rsid w:val="00023FC4"/>
    <w:rsid w:val="00045EBA"/>
    <w:rsid w:val="000474FB"/>
    <w:rsid w:val="00052A34"/>
    <w:rsid w:val="00053A92"/>
    <w:rsid w:val="000557D0"/>
    <w:rsid w:val="0005605E"/>
    <w:rsid w:val="00057654"/>
    <w:rsid w:val="00057F36"/>
    <w:rsid w:val="0006167A"/>
    <w:rsid w:val="000959E6"/>
    <w:rsid w:val="000A1F30"/>
    <w:rsid w:val="000C4ACF"/>
    <w:rsid w:val="000C6B30"/>
    <w:rsid w:val="000D1E2D"/>
    <w:rsid w:val="000E6577"/>
    <w:rsid w:val="000E7A19"/>
    <w:rsid w:val="001016A2"/>
    <w:rsid w:val="00101B69"/>
    <w:rsid w:val="00104A1B"/>
    <w:rsid w:val="00111C18"/>
    <w:rsid w:val="00112002"/>
    <w:rsid w:val="00113CE7"/>
    <w:rsid w:val="00117723"/>
    <w:rsid w:val="001177DD"/>
    <w:rsid w:val="001308EB"/>
    <w:rsid w:val="00135CA9"/>
    <w:rsid w:val="001412D4"/>
    <w:rsid w:val="00144F64"/>
    <w:rsid w:val="00151567"/>
    <w:rsid w:val="00163605"/>
    <w:rsid w:val="00163E17"/>
    <w:rsid w:val="00165610"/>
    <w:rsid w:val="00166F9E"/>
    <w:rsid w:val="001765F3"/>
    <w:rsid w:val="00187D5A"/>
    <w:rsid w:val="001972D7"/>
    <w:rsid w:val="001A0524"/>
    <w:rsid w:val="001A28F6"/>
    <w:rsid w:val="001A7D0E"/>
    <w:rsid w:val="001B2831"/>
    <w:rsid w:val="001C0493"/>
    <w:rsid w:val="001C28AD"/>
    <w:rsid w:val="001D18AB"/>
    <w:rsid w:val="001D7FCB"/>
    <w:rsid w:val="001E03A6"/>
    <w:rsid w:val="001E2B99"/>
    <w:rsid w:val="001E3B5A"/>
    <w:rsid w:val="001E69B6"/>
    <w:rsid w:val="001F4DBB"/>
    <w:rsid w:val="001F7C89"/>
    <w:rsid w:val="0020312D"/>
    <w:rsid w:val="0020495F"/>
    <w:rsid w:val="00206E33"/>
    <w:rsid w:val="00210519"/>
    <w:rsid w:val="002123ED"/>
    <w:rsid w:val="0021463D"/>
    <w:rsid w:val="002241DD"/>
    <w:rsid w:val="00230876"/>
    <w:rsid w:val="00230CEF"/>
    <w:rsid w:val="00241B17"/>
    <w:rsid w:val="00241C81"/>
    <w:rsid w:val="00255BA0"/>
    <w:rsid w:val="00256392"/>
    <w:rsid w:val="00257A1C"/>
    <w:rsid w:val="002702B9"/>
    <w:rsid w:val="0027234C"/>
    <w:rsid w:val="00272E03"/>
    <w:rsid w:val="00281795"/>
    <w:rsid w:val="0028408A"/>
    <w:rsid w:val="002850E3"/>
    <w:rsid w:val="00287E2F"/>
    <w:rsid w:val="002A1948"/>
    <w:rsid w:val="002A38DE"/>
    <w:rsid w:val="002B1101"/>
    <w:rsid w:val="002C0877"/>
    <w:rsid w:val="002C2AE2"/>
    <w:rsid w:val="002D0DCE"/>
    <w:rsid w:val="002D3142"/>
    <w:rsid w:val="002E18BF"/>
    <w:rsid w:val="002E2B10"/>
    <w:rsid w:val="002F1502"/>
    <w:rsid w:val="002F169D"/>
    <w:rsid w:val="002F2069"/>
    <w:rsid w:val="002F6F92"/>
    <w:rsid w:val="0030270A"/>
    <w:rsid w:val="003041AD"/>
    <w:rsid w:val="00306EC7"/>
    <w:rsid w:val="0031279F"/>
    <w:rsid w:val="00312D63"/>
    <w:rsid w:val="00327D05"/>
    <w:rsid w:val="003314BA"/>
    <w:rsid w:val="00334DF3"/>
    <w:rsid w:val="00335EBD"/>
    <w:rsid w:val="00336D96"/>
    <w:rsid w:val="00344F07"/>
    <w:rsid w:val="003469C8"/>
    <w:rsid w:val="00355EA4"/>
    <w:rsid w:val="003635BE"/>
    <w:rsid w:val="00366B5E"/>
    <w:rsid w:val="00372844"/>
    <w:rsid w:val="00383217"/>
    <w:rsid w:val="0038560A"/>
    <w:rsid w:val="003878AD"/>
    <w:rsid w:val="00387D31"/>
    <w:rsid w:val="0039097E"/>
    <w:rsid w:val="003936D2"/>
    <w:rsid w:val="003B0500"/>
    <w:rsid w:val="003B0A9A"/>
    <w:rsid w:val="003C31C9"/>
    <w:rsid w:val="003C4203"/>
    <w:rsid w:val="003C4961"/>
    <w:rsid w:val="003C7C5D"/>
    <w:rsid w:val="003D0AD2"/>
    <w:rsid w:val="003E4E7D"/>
    <w:rsid w:val="003E5D57"/>
    <w:rsid w:val="003F5913"/>
    <w:rsid w:val="004024F8"/>
    <w:rsid w:val="00406CFB"/>
    <w:rsid w:val="0041159A"/>
    <w:rsid w:val="004157CE"/>
    <w:rsid w:val="00417D60"/>
    <w:rsid w:val="004305A8"/>
    <w:rsid w:val="0043417A"/>
    <w:rsid w:val="00443CA0"/>
    <w:rsid w:val="00446257"/>
    <w:rsid w:val="00450E14"/>
    <w:rsid w:val="00453790"/>
    <w:rsid w:val="0045394E"/>
    <w:rsid w:val="00462C65"/>
    <w:rsid w:val="00467B14"/>
    <w:rsid w:val="00474EDA"/>
    <w:rsid w:val="0047536D"/>
    <w:rsid w:val="004824FA"/>
    <w:rsid w:val="00484011"/>
    <w:rsid w:val="004841F1"/>
    <w:rsid w:val="0048608D"/>
    <w:rsid w:val="0049125E"/>
    <w:rsid w:val="004A1E3A"/>
    <w:rsid w:val="004A44AC"/>
    <w:rsid w:val="004B4C01"/>
    <w:rsid w:val="004B4EB5"/>
    <w:rsid w:val="004C4AEA"/>
    <w:rsid w:val="004D1CED"/>
    <w:rsid w:val="004E003C"/>
    <w:rsid w:val="004E16EB"/>
    <w:rsid w:val="004E2F31"/>
    <w:rsid w:val="004E4531"/>
    <w:rsid w:val="004E6665"/>
    <w:rsid w:val="004F4F1A"/>
    <w:rsid w:val="004F634E"/>
    <w:rsid w:val="004F67A8"/>
    <w:rsid w:val="0051592F"/>
    <w:rsid w:val="00515FE4"/>
    <w:rsid w:val="00522A50"/>
    <w:rsid w:val="00525C7E"/>
    <w:rsid w:val="00525D97"/>
    <w:rsid w:val="00526E4A"/>
    <w:rsid w:val="00527225"/>
    <w:rsid w:val="0053264D"/>
    <w:rsid w:val="0053557D"/>
    <w:rsid w:val="005463DE"/>
    <w:rsid w:val="00546DC2"/>
    <w:rsid w:val="005520E2"/>
    <w:rsid w:val="005542E8"/>
    <w:rsid w:val="00556630"/>
    <w:rsid w:val="0055686D"/>
    <w:rsid w:val="005800EE"/>
    <w:rsid w:val="005869D6"/>
    <w:rsid w:val="005A33F6"/>
    <w:rsid w:val="005A38F0"/>
    <w:rsid w:val="005A59E5"/>
    <w:rsid w:val="005B7440"/>
    <w:rsid w:val="005C4FF3"/>
    <w:rsid w:val="005C6E9D"/>
    <w:rsid w:val="005E2150"/>
    <w:rsid w:val="005E2995"/>
    <w:rsid w:val="005E6138"/>
    <w:rsid w:val="005F33B8"/>
    <w:rsid w:val="005F3FEF"/>
    <w:rsid w:val="00601392"/>
    <w:rsid w:val="006075F6"/>
    <w:rsid w:val="00607F7C"/>
    <w:rsid w:val="006102DA"/>
    <w:rsid w:val="006121C3"/>
    <w:rsid w:val="00621F93"/>
    <w:rsid w:val="006315A3"/>
    <w:rsid w:val="00637CC1"/>
    <w:rsid w:val="0064588C"/>
    <w:rsid w:val="006466BA"/>
    <w:rsid w:val="006579A2"/>
    <w:rsid w:val="00667C89"/>
    <w:rsid w:val="006711EE"/>
    <w:rsid w:val="006809BB"/>
    <w:rsid w:val="006809FD"/>
    <w:rsid w:val="00691642"/>
    <w:rsid w:val="00691D1F"/>
    <w:rsid w:val="00697BAE"/>
    <w:rsid w:val="006A77B2"/>
    <w:rsid w:val="006B4DDC"/>
    <w:rsid w:val="006B5E55"/>
    <w:rsid w:val="006C2E71"/>
    <w:rsid w:val="006D25A1"/>
    <w:rsid w:val="006F6856"/>
    <w:rsid w:val="0071190E"/>
    <w:rsid w:val="007145D0"/>
    <w:rsid w:val="00716F94"/>
    <w:rsid w:val="00733090"/>
    <w:rsid w:val="007515C6"/>
    <w:rsid w:val="00754242"/>
    <w:rsid w:val="00760E12"/>
    <w:rsid w:val="00763CF3"/>
    <w:rsid w:val="00772293"/>
    <w:rsid w:val="0078263D"/>
    <w:rsid w:val="00783A3C"/>
    <w:rsid w:val="00783C75"/>
    <w:rsid w:val="00784619"/>
    <w:rsid w:val="0078627B"/>
    <w:rsid w:val="007866C0"/>
    <w:rsid w:val="00794E32"/>
    <w:rsid w:val="007958FA"/>
    <w:rsid w:val="007A0B60"/>
    <w:rsid w:val="007A6825"/>
    <w:rsid w:val="007A7895"/>
    <w:rsid w:val="007B305A"/>
    <w:rsid w:val="007E3044"/>
    <w:rsid w:val="007F6358"/>
    <w:rsid w:val="00800993"/>
    <w:rsid w:val="00815C7D"/>
    <w:rsid w:val="00817941"/>
    <w:rsid w:val="008261AB"/>
    <w:rsid w:val="0082650B"/>
    <w:rsid w:val="00835CA7"/>
    <w:rsid w:val="008370D4"/>
    <w:rsid w:val="008414AD"/>
    <w:rsid w:val="008428D9"/>
    <w:rsid w:val="0085128C"/>
    <w:rsid w:val="00863C7F"/>
    <w:rsid w:val="00873BD7"/>
    <w:rsid w:val="00877709"/>
    <w:rsid w:val="00884DB9"/>
    <w:rsid w:val="0089676F"/>
    <w:rsid w:val="008C67D2"/>
    <w:rsid w:val="008D44DF"/>
    <w:rsid w:val="008E0683"/>
    <w:rsid w:val="00902474"/>
    <w:rsid w:val="00902DD9"/>
    <w:rsid w:val="00911486"/>
    <w:rsid w:val="009129CA"/>
    <w:rsid w:val="009206B6"/>
    <w:rsid w:val="009263C1"/>
    <w:rsid w:val="00931C02"/>
    <w:rsid w:val="00935CD1"/>
    <w:rsid w:val="00935FFD"/>
    <w:rsid w:val="00941B4F"/>
    <w:rsid w:val="009457AD"/>
    <w:rsid w:val="00963CE3"/>
    <w:rsid w:val="00964F18"/>
    <w:rsid w:val="00974424"/>
    <w:rsid w:val="009759F3"/>
    <w:rsid w:val="00984BFD"/>
    <w:rsid w:val="00986334"/>
    <w:rsid w:val="00987F76"/>
    <w:rsid w:val="00991BF9"/>
    <w:rsid w:val="00993088"/>
    <w:rsid w:val="0099664F"/>
    <w:rsid w:val="00997D5D"/>
    <w:rsid w:val="009A0447"/>
    <w:rsid w:val="009B034F"/>
    <w:rsid w:val="009B4A51"/>
    <w:rsid w:val="009C28B1"/>
    <w:rsid w:val="009C61AD"/>
    <w:rsid w:val="009D373D"/>
    <w:rsid w:val="009D77CD"/>
    <w:rsid w:val="009E1D05"/>
    <w:rsid w:val="009E373A"/>
    <w:rsid w:val="009F7283"/>
    <w:rsid w:val="00A11B0C"/>
    <w:rsid w:val="00A1377A"/>
    <w:rsid w:val="00A15F00"/>
    <w:rsid w:val="00A21CBE"/>
    <w:rsid w:val="00A23377"/>
    <w:rsid w:val="00A305CE"/>
    <w:rsid w:val="00A33B35"/>
    <w:rsid w:val="00A36419"/>
    <w:rsid w:val="00A45C2F"/>
    <w:rsid w:val="00A55312"/>
    <w:rsid w:val="00A578C2"/>
    <w:rsid w:val="00A718F9"/>
    <w:rsid w:val="00A72652"/>
    <w:rsid w:val="00A75D1C"/>
    <w:rsid w:val="00A809AA"/>
    <w:rsid w:val="00A849B3"/>
    <w:rsid w:val="00A8510D"/>
    <w:rsid w:val="00A86AF3"/>
    <w:rsid w:val="00A90BDC"/>
    <w:rsid w:val="00A911F2"/>
    <w:rsid w:val="00A95477"/>
    <w:rsid w:val="00A975A9"/>
    <w:rsid w:val="00AA2B2E"/>
    <w:rsid w:val="00AA3192"/>
    <w:rsid w:val="00AA3289"/>
    <w:rsid w:val="00AA5BF6"/>
    <w:rsid w:val="00AB071F"/>
    <w:rsid w:val="00AB3608"/>
    <w:rsid w:val="00AC5C48"/>
    <w:rsid w:val="00AF0CF4"/>
    <w:rsid w:val="00AF2252"/>
    <w:rsid w:val="00B1129F"/>
    <w:rsid w:val="00B11D61"/>
    <w:rsid w:val="00B12F51"/>
    <w:rsid w:val="00B143F5"/>
    <w:rsid w:val="00B2751E"/>
    <w:rsid w:val="00B3650C"/>
    <w:rsid w:val="00B4055B"/>
    <w:rsid w:val="00B50A2B"/>
    <w:rsid w:val="00B53CD6"/>
    <w:rsid w:val="00B559F7"/>
    <w:rsid w:val="00B64BFA"/>
    <w:rsid w:val="00B65C38"/>
    <w:rsid w:val="00B8216F"/>
    <w:rsid w:val="00B853F1"/>
    <w:rsid w:val="00B85DE4"/>
    <w:rsid w:val="00B86F87"/>
    <w:rsid w:val="00B91360"/>
    <w:rsid w:val="00B91A31"/>
    <w:rsid w:val="00BA6DB4"/>
    <w:rsid w:val="00BC3F3C"/>
    <w:rsid w:val="00BC5BB2"/>
    <w:rsid w:val="00BC6896"/>
    <w:rsid w:val="00BD0A9C"/>
    <w:rsid w:val="00BD650D"/>
    <w:rsid w:val="00BF1AA7"/>
    <w:rsid w:val="00BF3F54"/>
    <w:rsid w:val="00C00697"/>
    <w:rsid w:val="00C0376C"/>
    <w:rsid w:val="00C06D77"/>
    <w:rsid w:val="00C14BA6"/>
    <w:rsid w:val="00C175BF"/>
    <w:rsid w:val="00C21244"/>
    <w:rsid w:val="00C347E7"/>
    <w:rsid w:val="00C3485C"/>
    <w:rsid w:val="00C420D4"/>
    <w:rsid w:val="00C84DC3"/>
    <w:rsid w:val="00CA2004"/>
    <w:rsid w:val="00CB334D"/>
    <w:rsid w:val="00CB56D5"/>
    <w:rsid w:val="00CD0771"/>
    <w:rsid w:val="00CD1EA8"/>
    <w:rsid w:val="00CF0CE8"/>
    <w:rsid w:val="00CF5ABD"/>
    <w:rsid w:val="00CF63CE"/>
    <w:rsid w:val="00CF69C0"/>
    <w:rsid w:val="00D022A2"/>
    <w:rsid w:val="00D03AAA"/>
    <w:rsid w:val="00D042B9"/>
    <w:rsid w:val="00D067C1"/>
    <w:rsid w:val="00D13B13"/>
    <w:rsid w:val="00D13FE9"/>
    <w:rsid w:val="00D16E78"/>
    <w:rsid w:val="00D201D3"/>
    <w:rsid w:val="00D267B6"/>
    <w:rsid w:val="00D26A64"/>
    <w:rsid w:val="00D328FA"/>
    <w:rsid w:val="00D4206C"/>
    <w:rsid w:val="00D4221A"/>
    <w:rsid w:val="00D46036"/>
    <w:rsid w:val="00D52B9A"/>
    <w:rsid w:val="00D5367E"/>
    <w:rsid w:val="00D6616F"/>
    <w:rsid w:val="00D709F3"/>
    <w:rsid w:val="00D7285C"/>
    <w:rsid w:val="00D861ED"/>
    <w:rsid w:val="00D873E0"/>
    <w:rsid w:val="00D91B33"/>
    <w:rsid w:val="00D9487B"/>
    <w:rsid w:val="00D94F8B"/>
    <w:rsid w:val="00DA4EA9"/>
    <w:rsid w:val="00DA5988"/>
    <w:rsid w:val="00DB2B80"/>
    <w:rsid w:val="00DB6D14"/>
    <w:rsid w:val="00DC317C"/>
    <w:rsid w:val="00DC4FF2"/>
    <w:rsid w:val="00DC73BF"/>
    <w:rsid w:val="00DC79CC"/>
    <w:rsid w:val="00DD0B96"/>
    <w:rsid w:val="00DD6646"/>
    <w:rsid w:val="00DE0228"/>
    <w:rsid w:val="00DF37C8"/>
    <w:rsid w:val="00E0541A"/>
    <w:rsid w:val="00E134F4"/>
    <w:rsid w:val="00E23568"/>
    <w:rsid w:val="00E245B5"/>
    <w:rsid w:val="00E24C20"/>
    <w:rsid w:val="00E33E1B"/>
    <w:rsid w:val="00E34D3E"/>
    <w:rsid w:val="00E5431F"/>
    <w:rsid w:val="00E730A0"/>
    <w:rsid w:val="00E73E1E"/>
    <w:rsid w:val="00E775E2"/>
    <w:rsid w:val="00E81C5E"/>
    <w:rsid w:val="00E829D2"/>
    <w:rsid w:val="00E83B3C"/>
    <w:rsid w:val="00E8736B"/>
    <w:rsid w:val="00E90275"/>
    <w:rsid w:val="00E925D4"/>
    <w:rsid w:val="00E949A0"/>
    <w:rsid w:val="00E94DAA"/>
    <w:rsid w:val="00E97226"/>
    <w:rsid w:val="00EB63B3"/>
    <w:rsid w:val="00EC179A"/>
    <w:rsid w:val="00EC7A61"/>
    <w:rsid w:val="00ED0E99"/>
    <w:rsid w:val="00ED4FAF"/>
    <w:rsid w:val="00ED6878"/>
    <w:rsid w:val="00EF0EC8"/>
    <w:rsid w:val="00EF33CD"/>
    <w:rsid w:val="00F2267A"/>
    <w:rsid w:val="00F300CB"/>
    <w:rsid w:val="00F36586"/>
    <w:rsid w:val="00F42C3A"/>
    <w:rsid w:val="00F52BCC"/>
    <w:rsid w:val="00F5313F"/>
    <w:rsid w:val="00F56A4E"/>
    <w:rsid w:val="00F57581"/>
    <w:rsid w:val="00F725B5"/>
    <w:rsid w:val="00F81A48"/>
    <w:rsid w:val="00F97E1C"/>
    <w:rsid w:val="00FA0F3C"/>
    <w:rsid w:val="00FB7BF5"/>
    <w:rsid w:val="00FC00B4"/>
    <w:rsid w:val="00FC5B1F"/>
    <w:rsid w:val="00FC5DB9"/>
    <w:rsid w:val="00FD17C9"/>
    <w:rsid w:val="00FD1EF0"/>
    <w:rsid w:val="00FD2A5B"/>
    <w:rsid w:val="00FD4D61"/>
    <w:rsid w:val="00FE0E1C"/>
    <w:rsid w:val="00FE4743"/>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EED5"/>
  <w15:docId w15:val="{0E2D769A-FA2E-407C-94E1-44472A54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character" w:customStyle="1" w:styleId="apple-converted-space">
    <w:name w:val="apple-converted-space"/>
    <w:basedOn w:val="DefaultParagraphFont"/>
    <w:rsid w:val="00DD6646"/>
  </w:style>
  <w:style w:type="paragraph" w:styleId="TOC1">
    <w:name w:val="toc 1"/>
    <w:basedOn w:val="Normal"/>
    <w:next w:val="Normal"/>
    <w:autoRedefine/>
    <w:uiPriority w:val="39"/>
    <w:unhideWhenUsed/>
    <w:rsid w:val="00165610"/>
    <w:pPr>
      <w:spacing w:after="100"/>
      <w:ind w:left="0"/>
    </w:pPr>
  </w:style>
  <w:style w:type="paragraph" w:styleId="TOC2">
    <w:name w:val="toc 2"/>
    <w:basedOn w:val="Normal"/>
    <w:next w:val="Normal"/>
    <w:autoRedefine/>
    <w:uiPriority w:val="39"/>
    <w:unhideWhenUsed/>
    <w:rsid w:val="001656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tel:301-977-655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Qari@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SC_StateB_TableB_1_Entity4 xmlns="bd99c180-279b-44c3-9486-dd050336677e">=&gt;Enter entity 4 or delete this comment&lt;=</OSC_StateB_TableB_1_Entity4>
    <OSC_StateB_TableB_1_Potential_Respondent3 xmlns="bd99c180-279b-44c3-9486-dd050336677e">=&gt;Enter potential respondent 3 or delete this comment&lt;=</OSC_StateB_TableB_1_Potential_Respondent3>
    <OSC_StateB_TableB_1_N3 xmlns="bd99c180-279b-44c3-9486-dd050336677e">0</OSC_StateB_TableB_1_N3>
    <GenICPIBranchOROfficeTitle xmlns="bd99c180-279b-44c3-9486-dd050336677e">=&gt;Enter branch or office title&lt;=</GenICPIBranchOROfficeTitle>
    <OSC_StateB_Test_of_Procedures_or_Methods_to_be_Undertaken xmlns="bd99c180-279b-44c3-9486-dd050336677e" xsi:nil="tru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OSC_StateB_TableB_1_Entity2 xmlns="bd99c180-279b-44c3-9486-dd050336677e">=&gt;Enter entity 2 or delete this comment&lt;=</OSC_StateB_TableB_1_Entity2>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GenICPIFax xmlns="bd99c180-279b-44c3-9486-dd050336677e">=&gt;###-###-####&lt;=</GenICPIFax>
    <_dlc_DocId xmlns="b5c0ca00-073d-4463-9985-b654f14791fe">OSTLTSDOC-727-71</_dlc_DocId>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OSC_StateB_TableB_1_N_Total xmlns="bd99c180-279b-44c3-9486-dd050336677e">0</OSC_StateB_TableB_1_N_Total>
    <GenICNickname xmlns="15b1c282-9287-45cb-9b41-eae3a76919a0" xsi:nil="true"/>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IO xmlns="bd99c180-279b-44c3-9486-dd050336677e" xsi:nil="true"/>
    <GenICPICDCID xmlns="bd99c180-279b-44c3-9486-dd050336677e" xsi:nil="true"/>
    <GenICPIDivisionOROfficeTitle xmlns="bd99c180-279b-44c3-9486-dd050336677e">=&gt;Enter division or office title&lt;=</GenICPIDivisionOROfficeTitle>
    <OSC_StateB_TableB_1_Entity1 xmlns="bd99c180-279b-44c3-9486-dd050336677e">=&gt;Enter entity 1 or delete this comment&lt;=</OSC_StateB_TableB_1_Entity1>
    <GenICPICenterDivisionBranch xmlns="bd99c180-279b-44c3-9486-dd050336677e" xsi:nil="true"/>
    <_dlc_DocIdUrl xmlns="b5c0ca00-073d-4463-9985-b654f14791fe">
      <Url>https://esp.cdc.gov/sites/ostlts/pip/osc/_layouts/15/DocIdRedir.aspx?ID=OSTLTSDOC-727-71</Url>
      <Description>OSTLTSDOC-727-71</Description>
    </_dlc_DocIdUrl>
    <GenICPIPhone xmlns="bd99c180-279b-44c3-9486-dd050336677e">=&gt;###-###-####&lt;=</GenICPIPhon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7BAF0-59AC-4CD5-9C9F-D6D60A5A15E8}">
  <ds:schemaRefs>
    <ds:schemaRef ds:uri="http://schemas.microsoft.com/office/2006/metadata/customXsn"/>
  </ds:schemaRefs>
</ds:datastoreItem>
</file>

<file path=customXml/itemProps2.xml><?xml version="1.0" encoding="utf-8"?>
<ds:datastoreItem xmlns:ds="http://schemas.openxmlformats.org/officeDocument/2006/customXml" ds:itemID="{628F5A92-3354-4347-995E-37DDD9ABFEC0}">
  <ds:schemaRefs>
    <ds:schemaRef ds:uri="http://schemas.microsoft.com/sharepoint/v3/contenttype/forms"/>
  </ds:schemaRefs>
</ds:datastoreItem>
</file>

<file path=customXml/itemProps3.xml><?xml version="1.0" encoding="utf-8"?>
<ds:datastoreItem xmlns:ds="http://schemas.openxmlformats.org/officeDocument/2006/customXml" ds:itemID="{A3CD4406-F111-476A-970D-746A6F0C8948}">
  <ds:schemaRefs>
    <ds:schemaRef ds:uri="b5c0ca00-073d-4463-9985-b654f14791fe"/>
    <ds:schemaRef ds:uri="http://purl.org/dc/dcmitype/"/>
    <ds:schemaRef ds:uri="http://www.w3.org/XML/1998/namespace"/>
    <ds:schemaRef ds:uri="bd99c180-279b-44c3-9486-dd050336677e"/>
    <ds:schemaRef ds:uri="15b1c282-9287-45cb-9b41-eae3a76919a0"/>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A205DE2-3ACC-4F7B-A355-27C3A8A4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4C1973-626F-44AB-80C1-6EA3278EF52B}">
  <ds:schemaRefs>
    <ds:schemaRef ds:uri="http://schemas.microsoft.com/sharepoint/events"/>
  </ds:schemaRefs>
</ds:datastoreItem>
</file>

<file path=customXml/itemProps6.xml><?xml version="1.0" encoding="utf-8"?>
<ds:datastoreItem xmlns:ds="http://schemas.openxmlformats.org/officeDocument/2006/customXml" ds:itemID="{5F48936B-4334-4386-8D22-F6FC0063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Gilliam, Adzua H. (CDC/OSTLTS/DPHPI)</cp:lastModifiedBy>
  <cp:revision>2</cp:revision>
  <cp:lastPrinted>2015-03-13T17:24:00Z</cp:lastPrinted>
  <dcterms:created xsi:type="dcterms:W3CDTF">2015-06-12T15:38:00Z</dcterms:created>
  <dcterms:modified xsi:type="dcterms:W3CDTF">2015-06-12T15:38:00Z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68927a58-c58d-47b1-8dfb-6269a78786f5</vt:lpwstr>
  </property>
</Properties>
</file>