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9CBBA8" w14:textId="2B097716" w:rsidR="00234D0F" w:rsidRPr="005D25AF" w:rsidRDefault="005D25AF" w:rsidP="00254896">
      <w:pPr>
        <w:pStyle w:val="Heading1"/>
        <w:numPr>
          <w:ilvl w:val="0"/>
          <w:numId w:val="0"/>
        </w:numPr>
        <w:spacing w:before="0" w:line="240" w:lineRule="auto"/>
        <w:rPr>
          <w:rFonts w:asciiTheme="minorHAnsi" w:hAnsiTheme="minorHAnsi"/>
          <w:i w:val="0"/>
          <w:sz w:val="28"/>
          <w:szCs w:val="28"/>
        </w:rPr>
      </w:pPr>
      <w:bookmarkStart w:id="0" w:name="_GoBack"/>
      <w:bookmarkEnd w:id="0"/>
      <w:r w:rsidRPr="005D25AF">
        <w:rPr>
          <w:rFonts w:asciiTheme="minorHAnsi" w:hAnsiTheme="minorHAnsi"/>
          <w:i w:val="0"/>
          <w:sz w:val="28"/>
          <w:szCs w:val="28"/>
        </w:rPr>
        <w:t>Welcome</w:t>
      </w:r>
    </w:p>
    <w:p w14:paraId="748AEAF4" w14:textId="77777777" w:rsidR="001C43B5" w:rsidRDefault="001C43B5" w:rsidP="00254896">
      <w:pPr>
        <w:spacing w:after="0" w:line="240" w:lineRule="auto"/>
        <w:rPr>
          <w:rFonts w:cs="Arial"/>
        </w:rPr>
      </w:pPr>
    </w:p>
    <w:p w14:paraId="5E2AB2B5" w14:textId="77777777" w:rsidR="001C43B5" w:rsidRPr="0081199F" w:rsidRDefault="001C43B5" w:rsidP="001C43B5">
      <w:pPr>
        <w:pStyle w:val="NormalWeb"/>
        <w:rPr>
          <w:rFonts w:asciiTheme="minorHAnsi" w:hAnsiTheme="minorHAnsi"/>
          <w:sz w:val="20"/>
          <w:szCs w:val="20"/>
        </w:rPr>
      </w:pPr>
      <w:r w:rsidRPr="0081199F">
        <w:rPr>
          <w:rFonts w:asciiTheme="minorHAnsi" w:hAnsiTheme="minorHAnsi"/>
          <w:sz w:val="20"/>
          <w:szCs w:val="20"/>
        </w:rPr>
        <w:t>Form Approved</w:t>
      </w:r>
      <w:r w:rsidRPr="0081199F">
        <w:rPr>
          <w:rFonts w:asciiTheme="minorHAnsi" w:hAnsiTheme="minorHAnsi"/>
          <w:sz w:val="20"/>
          <w:szCs w:val="20"/>
        </w:rPr>
        <w:br/>
        <w:t>OMB No. 0920-0879</w:t>
      </w:r>
      <w:r w:rsidRPr="0081199F">
        <w:rPr>
          <w:rFonts w:asciiTheme="minorHAnsi" w:hAnsiTheme="minorHAnsi"/>
          <w:sz w:val="20"/>
          <w:szCs w:val="20"/>
        </w:rPr>
        <w:br/>
        <w:t xml:space="preserve">Expiration Date 03/31/2018 </w:t>
      </w:r>
    </w:p>
    <w:p w14:paraId="7B7F4FF0" w14:textId="77777777" w:rsidR="001C43B5" w:rsidRDefault="001C43B5" w:rsidP="00254896">
      <w:pPr>
        <w:spacing w:after="0" w:line="240" w:lineRule="auto"/>
        <w:rPr>
          <w:rFonts w:cs="Arial"/>
        </w:rPr>
      </w:pPr>
    </w:p>
    <w:p w14:paraId="252A4B41" w14:textId="10648642" w:rsidR="005D25AF" w:rsidRPr="001C43B5" w:rsidRDefault="00234D0F" w:rsidP="00254896">
      <w:pPr>
        <w:spacing w:after="0" w:line="240" w:lineRule="auto"/>
        <w:rPr>
          <w:rFonts w:cs="Arial"/>
          <w:b/>
        </w:rPr>
      </w:pPr>
      <w:r w:rsidRPr="001C43B5">
        <w:rPr>
          <w:rFonts w:cs="Arial"/>
          <w:b/>
        </w:rPr>
        <w:t>Welcome to the Card Sort</w:t>
      </w:r>
      <w:r w:rsidR="00DA6D76" w:rsidRPr="001C43B5">
        <w:rPr>
          <w:rFonts w:cs="Arial"/>
          <w:b/>
        </w:rPr>
        <w:t>ing</w:t>
      </w:r>
      <w:r w:rsidRPr="001C43B5">
        <w:rPr>
          <w:rFonts w:cs="Arial"/>
          <w:b/>
        </w:rPr>
        <w:t xml:space="preserve"> Assessment</w:t>
      </w:r>
      <w:r w:rsidR="00D26901" w:rsidRPr="001C43B5">
        <w:rPr>
          <w:rFonts w:cs="Arial"/>
          <w:b/>
        </w:rPr>
        <w:t xml:space="preserve"> for </w:t>
      </w:r>
      <w:r w:rsidR="00E92D21" w:rsidRPr="001C43B5">
        <w:rPr>
          <w:rFonts w:cs="Arial"/>
          <w:b/>
        </w:rPr>
        <w:t>CDC’s</w:t>
      </w:r>
      <w:r w:rsidR="00784563" w:rsidRPr="001C43B5">
        <w:rPr>
          <w:rFonts w:cs="Arial"/>
          <w:b/>
        </w:rPr>
        <w:t xml:space="preserve"> </w:t>
      </w:r>
      <w:r w:rsidR="003B1269" w:rsidRPr="001C43B5">
        <w:rPr>
          <w:rFonts w:cs="Arial"/>
          <w:b/>
        </w:rPr>
        <w:t xml:space="preserve">State, Tribal, Local &amp; </w:t>
      </w:r>
      <w:r w:rsidR="00D26901" w:rsidRPr="001C43B5">
        <w:rPr>
          <w:rFonts w:cs="Arial"/>
          <w:b/>
        </w:rPr>
        <w:t>Territorial Health Professionals Gateway</w:t>
      </w:r>
      <w:r w:rsidR="00D31DF4" w:rsidRPr="001C43B5">
        <w:rPr>
          <w:rFonts w:cs="Arial"/>
          <w:b/>
        </w:rPr>
        <w:t xml:space="preserve"> website</w:t>
      </w:r>
      <w:r w:rsidR="00D26901" w:rsidRPr="001C43B5">
        <w:rPr>
          <w:rFonts w:cs="Arial"/>
          <w:b/>
        </w:rPr>
        <w:t xml:space="preserve">, also known as the </w:t>
      </w:r>
      <w:r w:rsidR="00784563" w:rsidRPr="001C43B5">
        <w:rPr>
          <w:rFonts w:cs="Arial"/>
          <w:b/>
        </w:rPr>
        <w:t>“</w:t>
      </w:r>
      <w:r w:rsidR="00D26901" w:rsidRPr="001C43B5">
        <w:rPr>
          <w:rFonts w:cs="Arial"/>
          <w:b/>
        </w:rPr>
        <w:t>STLT Gateway.</w:t>
      </w:r>
      <w:r w:rsidR="00784563" w:rsidRPr="001C43B5">
        <w:rPr>
          <w:rFonts w:cs="Arial"/>
          <w:b/>
        </w:rPr>
        <w:t>”</w:t>
      </w:r>
      <w:r w:rsidRPr="001C43B5">
        <w:rPr>
          <w:rFonts w:cs="Arial"/>
          <w:b/>
        </w:rPr>
        <w:t xml:space="preserve"> </w:t>
      </w:r>
    </w:p>
    <w:p w14:paraId="264BB49A" w14:textId="77777777" w:rsidR="005D25AF" w:rsidRPr="001C43B5" w:rsidRDefault="005D25AF" w:rsidP="00254896">
      <w:pPr>
        <w:spacing w:after="0" w:line="240" w:lineRule="auto"/>
        <w:rPr>
          <w:rFonts w:cs="Arial"/>
          <w:b/>
        </w:rPr>
      </w:pPr>
    </w:p>
    <w:p w14:paraId="2B1A5399" w14:textId="3802B547" w:rsidR="00497214" w:rsidRPr="001C43B5" w:rsidRDefault="004D0FB3" w:rsidP="00254896">
      <w:pPr>
        <w:spacing w:after="0" w:line="240" w:lineRule="auto"/>
        <w:rPr>
          <w:rFonts w:cs="Arial"/>
          <w:b/>
        </w:rPr>
      </w:pPr>
      <w:r w:rsidRPr="001C43B5">
        <w:rPr>
          <w:rFonts w:cs="Arial"/>
          <w:b/>
        </w:rPr>
        <w:t>CDC’s Office for State, Tribal, Local and Territorial Support</w:t>
      </w:r>
      <w:r w:rsidR="005D25AF" w:rsidRPr="001C43B5">
        <w:rPr>
          <w:rFonts w:cs="Arial"/>
          <w:b/>
        </w:rPr>
        <w:t xml:space="preserve"> </w:t>
      </w:r>
      <w:r w:rsidR="00D26901" w:rsidRPr="001C43B5">
        <w:rPr>
          <w:rFonts w:cs="Arial"/>
          <w:b/>
        </w:rPr>
        <w:t xml:space="preserve">is redesigning </w:t>
      </w:r>
      <w:r w:rsidR="005D25AF" w:rsidRPr="001C43B5">
        <w:rPr>
          <w:rFonts w:cs="Arial"/>
          <w:b/>
        </w:rPr>
        <w:t>the STLT Gateway</w:t>
      </w:r>
      <w:r w:rsidR="00D26901" w:rsidRPr="001C43B5">
        <w:rPr>
          <w:rFonts w:cs="Arial"/>
          <w:b/>
        </w:rPr>
        <w:t xml:space="preserve"> and</w:t>
      </w:r>
      <w:r w:rsidRPr="001C43B5">
        <w:rPr>
          <w:rFonts w:cs="Arial"/>
          <w:b/>
        </w:rPr>
        <w:t xml:space="preserve"> </w:t>
      </w:r>
      <w:r w:rsidR="00784563" w:rsidRPr="001C43B5">
        <w:rPr>
          <w:rFonts w:cs="Arial"/>
          <w:b/>
        </w:rPr>
        <w:t>seeking critical</w:t>
      </w:r>
      <w:r w:rsidR="00D26901" w:rsidRPr="001C43B5">
        <w:rPr>
          <w:rFonts w:cs="Arial"/>
          <w:b/>
        </w:rPr>
        <w:t xml:space="preserve"> input from health department staff across the country. Your participation in this exercise will be invaluable in helping CDC enhance the site’s navigation to ensure it is useful to its </w:t>
      </w:r>
      <w:r w:rsidR="00784563" w:rsidRPr="001C43B5">
        <w:rPr>
          <w:rFonts w:cs="Arial"/>
          <w:b/>
        </w:rPr>
        <w:t>primary audience―</w:t>
      </w:r>
      <w:r w:rsidR="00D26901" w:rsidRPr="001C43B5">
        <w:rPr>
          <w:rFonts w:cs="Arial"/>
          <w:b/>
        </w:rPr>
        <w:t>public health professionals like you!</w:t>
      </w:r>
    </w:p>
    <w:p w14:paraId="2C05E7FB" w14:textId="77777777" w:rsidR="00D31DF4" w:rsidRPr="001C43B5" w:rsidRDefault="00D31DF4" w:rsidP="00254896">
      <w:pPr>
        <w:spacing w:after="0" w:line="240" w:lineRule="auto"/>
        <w:rPr>
          <w:rFonts w:cs="Arial"/>
          <w:b/>
        </w:rPr>
      </w:pPr>
    </w:p>
    <w:p w14:paraId="5E4C697B" w14:textId="481A7A5A" w:rsidR="0081199F" w:rsidRPr="001C43B5" w:rsidRDefault="00234D0F" w:rsidP="0081199F">
      <w:pPr>
        <w:spacing w:after="0" w:line="240" w:lineRule="auto"/>
        <w:rPr>
          <w:rFonts w:cs="Arial"/>
          <w:b/>
        </w:rPr>
      </w:pPr>
      <w:r w:rsidRPr="001C43B5">
        <w:rPr>
          <w:rFonts w:cs="Arial"/>
          <w:b/>
        </w:rPr>
        <w:t xml:space="preserve">This exercise should take approximately 45 minutes and should be completed in one sitting. </w:t>
      </w:r>
      <w:r w:rsidR="0081199F" w:rsidRPr="001C43B5">
        <w:rPr>
          <w:rFonts w:cs="Arial"/>
          <w:b/>
        </w:rPr>
        <w:t xml:space="preserve">Please know that you do not need to be familiar with the STLT Gateway website to participate. Participation in this assessment is voluntary. Your responses to all questions will be kept secure; CDC will share only aggregated data. </w:t>
      </w:r>
    </w:p>
    <w:p w14:paraId="646C8274" w14:textId="77777777" w:rsidR="0081199F" w:rsidRPr="001C43B5" w:rsidRDefault="0081199F" w:rsidP="0081199F">
      <w:pPr>
        <w:spacing w:after="0" w:line="240" w:lineRule="auto"/>
        <w:rPr>
          <w:rFonts w:cs="Arial"/>
          <w:b/>
        </w:rPr>
      </w:pPr>
    </w:p>
    <w:p w14:paraId="79A14206" w14:textId="7A53A5E4" w:rsidR="00234D0F" w:rsidRPr="001C43B5" w:rsidRDefault="00501571" w:rsidP="001C43B5">
      <w:pPr>
        <w:rPr>
          <w:b/>
          <w:color w:val="1F497D"/>
        </w:rPr>
      </w:pPr>
      <w:r w:rsidRPr="001C43B5">
        <w:rPr>
          <w:rFonts w:cs="Arial"/>
          <w:b/>
        </w:rPr>
        <w:t xml:space="preserve">The deadline for completing this exercise is </w:t>
      </w:r>
      <w:r w:rsidR="00C600A6">
        <w:rPr>
          <w:rFonts w:cs="Arial"/>
          <w:b/>
        </w:rPr>
        <w:t>[Month]</w:t>
      </w:r>
      <w:r w:rsidRPr="001C43B5">
        <w:rPr>
          <w:rFonts w:cs="Arial"/>
          <w:b/>
        </w:rPr>
        <w:t xml:space="preserve"> </w:t>
      </w:r>
      <w:r w:rsidR="00E96ABE" w:rsidRPr="001C43B5">
        <w:rPr>
          <w:rFonts w:cs="Arial"/>
          <w:b/>
        </w:rPr>
        <w:t>XX</w:t>
      </w:r>
      <w:r w:rsidRPr="001C43B5">
        <w:rPr>
          <w:rFonts w:cs="Arial"/>
          <w:b/>
        </w:rPr>
        <w:t xml:space="preserve">, 2017. </w:t>
      </w:r>
      <w:r w:rsidR="004578D3" w:rsidRPr="001C43B5">
        <w:rPr>
          <w:b/>
        </w:rPr>
        <w:t xml:space="preserve">If you have any questions or difficulties, please contact Pamela Johnson, DRT Strategies, Contractor for CDC’s Office for State, Tribal, Local and Territorial Support, at </w:t>
      </w:r>
      <w:r w:rsidR="003B1269" w:rsidRPr="001C43B5">
        <w:rPr>
          <w:b/>
        </w:rPr>
        <w:t>pjohnson7@dcdc.gov</w:t>
      </w:r>
      <w:r w:rsidR="004578D3" w:rsidRPr="001C43B5">
        <w:rPr>
          <w:b/>
        </w:rPr>
        <w:t xml:space="preserve">. </w:t>
      </w:r>
    </w:p>
    <w:p w14:paraId="727AE702" w14:textId="77777777" w:rsidR="001C43B5" w:rsidRPr="00FC1415" w:rsidRDefault="001C43B5" w:rsidP="00FC1415">
      <w:pPr>
        <w:pStyle w:val="NormalWeb"/>
        <w:spacing w:before="0" w:beforeAutospacing="0" w:after="0" w:afterAutospacing="0"/>
        <w:rPr>
          <w:rFonts w:asciiTheme="minorHAnsi" w:hAnsiTheme="minorHAnsi"/>
          <w:i/>
          <w:sz w:val="20"/>
          <w:szCs w:val="20"/>
        </w:rPr>
      </w:pPr>
      <w:r w:rsidRPr="00FC1415">
        <w:rPr>
          <w:rFonts w:asciiTheme="minorHAnsi" w:hAnsiTheme="minorHAnsi"/>
          <w:i/>
          <w:sz w:val="20"/>
          <w:szCs w:val="20"/>
        </w:rPr>
        <w:t xml:space="preserve">CDC estimates the average public reporting burden for this collection of information as 45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 </w:t>
      </w:r>
    </w:p>
    <w:p w14:paraId="4E2FDBD7" w14:textId="77777777" w:rsidR="00501571" w:rsidRDefault="00501571" w:rsidP="0081199F">
      <w:pPr>
        <w:spacing w:after="0" w:line="240" w:lineRule="auto"/>
        <w:rPr>
          <w:rFonts w:cs="Arial"/>
        </w:rPr>
      </w:pPr>
    </w:p>
    <w:p w14:paraId="2A8D23C0" w14:textId="12E8E31E" w:rsidR="003C1046" w:rsidRPr="009E1F32" w:rsidRDefault="003C1046" w:rsidP="0081199F">
      <w:pPr>
        <w:spacing w:after="0" w:line="240" w:lineRule="auto"/>
        <w:rPr>
          <w:rFonts w:cs="Arial"/>
          <w:b/>
          <w:sz w:val="28"/>
          <w:szCs w:val="28"/>
          <w:u w:val="single"/>
        </w:rPr>
      </w:pPr>
      <w:r w:rsidRPr="009E1F32">
        <w:rPr>
          <w:b/>
          <w:sz w:val="28"/>
          <w:szCs w:val="28"/>
          <w:highlight w:val="green"/>
          <w:u w:val="single"/>
          <w:lang w:val="en"/>
        </w:rPr>
        <w:t>Continue</w:t>
      </w:r>
    </w:p>
    <w:p w14:paraId="3A6EE913" w14:textId="77777777" w:rsidR="00234D0F" w:rsidRPr="00234D0F" w:rsidRDefault="00234D0F" w:rsidP="00254896">
      <w:pPr>
        <w:spacing w:after="0" w:line="240" w:lineRule="auto"/>
        <w:ind w:left="1080"/>
        <w:rPr>
          <w:rFonts w:cs="Arial"/>
        </w:rPr>
      </w:pPr>
    </w:p>
    <w:p w14:paraId="5BEF0BC3" w14:textId="77777777" w:rsidR="005D25AF" w:rsidRDefault="005D25AF">
      <w:pPr>
        <w:rPr>
          <w:rFonts w:cs="Arial"/>
          <w:b/>
          <w:lang w:val="en"/>
        </w:rPr>
      </w:pPr>
      <w:r>
        <w:rPr>
          <w:rFonts w:cs="Arial"/>
          <w:b/>
          <w:lang w:val="en"/>
        </w:rPr>
        <w:br w:type="page"/>
      </w:r>
    </w:p>
    <w:p w14:paraId="6CD76224" w14:textId="41D89A3A" w:rsidR="00501571" w:rsidRPr="00501571" w:rsidRDefault="00501571" w:rsidP="00254896">
      <w:pPr>
        <w:spacing w:after="0" w:line="240" w:lineRule="auto"/>
        <w:rPr>
          <w:rFonts w:cs="Arial"/>
          <w:b/>
          <w:sz w:val="24"/>
          <w:szCs w:val="24"/>
          <w:lang w:val="en"/>
        </w:rPr>
      </w:pPr>
      <w:r w:rsidRPr="00501571">
        <w:rPr>
          <w:rFonts w:cs="Arial"/>
          <w:b/>
          <w:sz w:val="24"/>
          <w:szCs w:val="24"/>
          <w:lang w:val="en"/>
        </w:rPr>
        <w:lastRenderedPageBreak/>
        <w:t>Instructions</w:t>
      </w:r>
    </w:p>
    <w:p w14:paraId="1DDCFCBD" w14:textId="77777777" w:rsidR="00501571" w:rsidRDefault="00501571" w:rsidP="00254896">
      <w:pPr>
        <w:spacing w:after="0" w:line="240" w:lineRule="auto"/>
        <w:rPr>
          <w:rFonts w:cs="Arial"/>
          <w:b/>
          <w:lang w:val="en"/>
        </w:rPr>
      </w:pPr>
    </w:p>
    <w:p w14:paraId="4BF05259" w14:textId="1BEFDC9C" w:rsidR="00234D0F" w:rsidRPr="00234D0F" w:rsidRDefault="00234D0F" w:rsidP="00254896">
      <w:pPr>
        <w:spacing w:after="0" w:line="240" w:lineRule="auto"/>
        <w:rPr>
          <w:rFonts w:cs="Arial"/>
          <w:b/>
          <w:lang w:val="en"/>
        </w:rPr>
      </w:pPr>
      <w:r w:rsidRPr="00234D0F">
        <w:rPr>
          <w:rFonts w:cs="Arial"/>
          <w:b/>
          <w:lang w:val="en"/>
        </w:rPr>
        <w:t>Step 1</w:t>
      </w:r>
    </w:p>
    <w:p w14:paraId="0F44EEEE" w14:textId="0C1A542F" w:rsidR="00234D0F" w:rsidRPr="00234D0F" w:rsidRDefault="00234D0F" w:rsidP="00254896">
      <w:pPr>
        <w:spacing w:line="240" w:lineRule="auto"/>
        <w:rPr>
          <w:rFonts w:cs="Arial"/>
          <w:lang w:val="en"/>
        </w:rPr>
      </w:pPr>
      <w:r w:rsidRPr="00234D0F">
        <w:rPr>
          <w:rFonts w:cs="Arial"/>
          <w:lang w:val="en"/>
        </w:rPr>
        <w:t xml:space="preserve">Take a quick look at the list of topics to the left. These topics or "cards" </w:t>
      </w:r>
      <w:r w:rsidR="00483FE6">
        <w:rPr>
          <w:rFonts w:cs="Arial"/>
          <w:lang w:val="en"/>
        </w:rPr>
        <w:t>represent</w:t>
      </w:r>
      <w:r w:rsidRPr="00234D0F">
        <w:rPr>
          <w:rFonts w:cs="Arial"/>
          <w:lang w:val="en"/>
        </w:rPr>
        <w:t xml:space="preserve"> information on the website, and your job is to organize the</w:t>
      </w:r>
      <w:r w:rsidR="00784563">
        <w:rPr>
          <w:rFonts w:cs="Arial"/>
          <w:lang w:val="en"/>
        </w:rPr>
        <w:t xml:space="preserve"> cards</w:t>
      </w:r>
      <w:r w:rsidRPr="00234D0F">
        <w:rPr>
          <w:rFonts w:cs="Arial"/>
          <w:lang w:val="en"/>
        </w:rPr>
        <w:t xml:space="preserve"> into categories. Please sort the cards into groups that make sense to you. Keep the following questions in mind:</w:t>
      </w:r>
    </w:p>
    <w:p w14:paraId="628ED3B6" w14:textId="77777777" w:rsidR="00234D0F" w:rsidRPr="00234D0F" w:rsidRDefault="00234D0F" w:rsidP="00254896">
      <w:pPr>
        <w:pStyle w:val="ListParagraph"/>
        <w:numPr>
          <w:ilvl w:val="0"/>
          <w:numId w:val="2"/>
        </w:numPr>
        <w:spacing w:line="240" w:lineRule="auto"/>
        <w:ind w:left="360"/>
        <w:rPr>
          <w:rFonts w:cs="Arial"/>
          <w:lang w:val="en"/>
        </w:rPr>
      </w:pPr>
      <w:r w:rsidRPr="00234D0F">
        <w:rPr>
          <w:rFonts w:cs="Arial"/>
          <w:lang w:val="en"/>
        </w:rPr>
        <w:t>If you were looking for some of this information, what content would you like to see grouped together on a website?</w:t>
      </w:r>
    </w:p>
    <w:p w14:paraId="2FADE6A4" w14:textId="77777777" w:rsidR="00234D0F" w:rsidRDefault="00234D0F" w:rsidP="00254896">
      <w:pPr>
        <w:pStyle w:val="ListParagraph"/>
        <w:numPr>
          <w:ilvl w:val="0"/>
          <w:numId w:val="2"/>
        </w:numPr>
        <w:spacing w:line="240" w:lineRule="auto"/>
        <w:ind w:left="360"/>
        <w:rPr>
          <w:rFonts w:cs="Arial"/>
          <w:lang w:val="en"/>
        </w:rPr>
      </w:pPr>
      <w:r w:rsidRPr="00234D0F">
        <w:rPr>
          <w:rFonts w:cs="Arial"/>
          <w:lang w:val="en"/>
        </w:rPr>
        <w:t>What cards just seem to belong together?</w:t>
      </w:r>
    </w:p>
    <w:p w14:paraId="7BFE169E" w14:textId="7F5F684B" w:rsidR="00254896" w:rsidRPr="00254896" w:rsidRDefault="00254896" w:rsidP="00254896">
      <w:pPr>
        <w:pStyle w:val="ListParagraph"/>
        <w:numPr>
          <w:ilvl w:val="0"/>
          <w:numId w:val="2"/>
        </w:numPr>
        <w:spacing w:line="240" w:lineRule="auto"/>
        <w:ind w:left="360"/>
        <w:rPr>
          <w:rFonts w:cs="Arial"/>
          <w:lang w:val="en"/>
        </w:rPr>
      </w:pPr>
      <w:r w:rsidRPr="00254896">
        <w:rPr>
          <w:rFonts w:cs="Arial"/>
          <w:lang w:val="en"/>
        </w:rPr>
        <w:t xml:space="preserve">As you group similar cards/topics together, what label or title would you give </w:t>
      </w:r>
      <w:r w:rsidR="00ED7878">
        <w:rPr>
          <w:rFonts w:cs="Arial"/>
          <w:lang w:val="en"/>
        </w:rPr>
        <w:t>each group</w:t>
      </w:r>
      <w:r w:rsidRPr="00254896">
        <w:rPr>
          <w:rFonts w:cs="Arial"/>
          <w:lang w:val="en"/>
        </w:rPr>
        <w:t>?</w:t>
      </w:r>
    </w:p>
    <w:p w14:paraId="3D75EEAE" w14:textId="77777777" w:rsidR="00234D0F" w:rsidRPr="00234D0F" w:rsidRDefault="00234D0F" w:rsidP="00254896">
      <w:pPr>
        <w:spacing w:line="240" w:lineRule="auto"/>
        <w:rPr>
          <w:rFonts w:cs="Arial"/>
          <w:lang w:val="en"/>
        </w:rPr>
      </w:pPr>
      <w:r w:rsidRPr="00234D0F">
        <w:rPr>
          <w:rFonts w:cs="Arial"/>
          <w:lang w:val="en"/>
        </w:rPr>
        <w:t xml:space="preserve">There is no right or wrong way to group the cards or name the groupings. </w:t>
      </w:r>
      <w:r w:rsidR="00784563">
        <w:rPr>
          <w:rFonts w:cs="Arial"/>
          <w:lang w:val="en"/>
        </w:rPr>
        <w:t>Just organize and label them in a way that makes sense to you.</w:t>
      </w:r>
    </w:p>
    <w:p w14:paraId="70525F87" w14:textId="77777777" w:rsidR="00234D0F" w:rsidRPr="00234D0F" w:rsidRDefault="00234D0F" w:rsidP="00254896">
      <w:pPr>
        <w:spacing w:after="0" w:line="240" w:lineRule="auto"/>
        <w:rPr>
          <w:rFonts w:cs="Arial"/>
          <w:b/>
          <w:lang w:val="en"/>
        </w:rPr>
      </w:pPr>
      <w:r w:rsidRPr="00234D0F">
        <w:rPr>
          <w:rFonts w:cs="Arial"/>
          <w:b/>
          <w:lang w:val="en"/>
        </w:rPr>
        <w:t>Step 2</w:t>
      </w:r>
    </w:p>
    <w:p w14:paraId="2327A17A" w14:textId="0727C0F8" w:rsidR="00234D0F" w:rsidRPr="00234D0F" w:rsidRDefault="00234D0F" w:rsidP="00254896">
      <w:pPr>
        <w:spacing w:line="240" w:lineRule="auto"/>
        <w:rPr>
          <w:rFonts w:cs="Arial"/>
          <w:lang w:val="en"/>
        </w:rPr>
      </w:pPr>
      <w:r w:rsidRPr="00234D0F">
        <w:rPr>
          <w:rFonts w:cs="Arial"/>
          <w:lang w:val="en"/>
        </w:rPr>
        <w:t>Let's start</w:t>
      </w:r>
      <w:r w:rsidR="00784563">
        <w:rPr>
          <w:rFonts w:cs="Arial"/>
          <w:lang w:val="en"/>
        </w:rPr>
        <w:t>―</w:t>
      </w:r>
      <w:r w:rsidRPr="00234D0F">
        <w:rPr>
          <w:rFonts w:cs="Arial"/>
          <w:lang w:val="en"/>
        </w:rPr>
        <w:t xml:space="preserve">drag an item from the left navigation to the clear space on the right to create your first group. You </w:t>
      </w:r>
      <w:r w:rsidR="00784563">
        <w:rPr>
          <w:rFonts w:cs="Arial"/>
          <w:lang w:val="en"/>
        </w:rPr>
        <w:t>can</w:t>
      </w:r>
      <w:r w:rsidR="00784563" w:rsidRPr="00234D0F">
        <w:rPr>
          <w:rFonts w:cs="Arial"/>
          <w:lang w:val="en"/>
        </w:rPr>
        <w:t xml:space="preserve"> </w:t>
      </w:r>
      <w:r w:rsidRPr="00234D0F">
        <w:rPr>
          <w:rFonts w:cs="Arial"/>
          <w:lang w:val="en"/>
        </w:rPr>
        <w:t xml:space="preserve">place your cursor over </w:t>
      </w:r>
      <w:r w:rsidR="001D5456">
        <w:rPr>
          <w:rFonts w:cs="Arial"/>
          <w:lang w:val="en"/>
        </w:rPr>
        <w:t xml:space="preserve">each card </w:t>
      </w:r>
      <w:r w:rsidRPr="00234D0F">
        <w:rPr>
          <w:rFonts w:cs="Arial"/>
          <w:lang w:val="en"/>
        </w:rPr>
        <w:t xml:space="preserve">heading to </w:t>
      </w:r>
      <w:r w:rsidR="00784563">
        <w:rPr>
          <w:rFonts w:cs="Arial"/>
          <w:lang w:val="en"/>
        </w:rPr>
        <w:t>see</w:t>
      </w:r>
      <w:r w:rsidR="00784563" w:rsidRPr="00234D0F">
        <w:rPr>
          <w:rFonts w:cs="Arial"/>
          <w:lang w:val="en"/>
        </w:rPr>
        <w:t xml:space="preserve"> </w:t>
      </w:r>
      <w:r w:rsidRPr="00234D0F">
        <w:rPr>
          <w:rFonts w:cs="Arial"/>
          <w:lang w:val="en"/>
        </w:rPr>
        <w:t xml:space="preserve">additional descriptive text that </w:t>
      </w:r>
      <w:r w:rsidR="00784563">
        <w:rPr>
          <w:rFonts w:cs="Arial"/>
          <w:lang w:val="en"/>
        </w:rPr>
        <w:t>might</w:t>
      </w:r>
      <w:r w:rsidR="00784563" w:rsidRPr="00234D0F">
        <w:rPr>
          <w:rFonts w:cs="Arial"/>
          <w:lang w:val="en"/>
        </w:rPr>
        <w:t xml:space="preserve"> </w:t>
      </w:r>
      <w:r w:rsidR="00B371F9">
        <w:rPr>
          <w:rFonts w:cs="Arial"/>
          <w:lang w:val="en"/>
        </w:rPr>
        <w:t>help</w:t>
      </w:r>
      <w:r w:rsidRPr="00234D0F">
        <w:rPr>
          <w:rFonts w:cs="Arial"/>
          <w:lang w:val="en"/>
        </w:rPr>
        <w:t xml:space="preserve"> you with the groupings. </w:t>
      </w:r>
    </w:p>
    <w:p w14:paraId="426A7A4B" w14:textId="77777777" w:rsidR="00234D0F" w:rsidRPr="00234D0F" w:rsidRDefault="00234D0F" w:rsidP="00254896">
      <w:pPr>
        <w:spacing w:after="0" w:line="240" w:lineRule="auto"/>
        <w:rPr>
          <w:rFonts w:cs="Arial"/>
          <w:b/>
          <w:lang w:val="en"/>
        </w:rPr>
      </w:pPr>
      <w:r w:rsidRPr="00234D0F">
        <w:rPr>
          <w:rFonts w:cs="Arial"/>
          <w:b/>
          <w:lang w:val="en"/>
        </w:rPr>
        <w:t>Step 3</w:t>
      </w:r>
    </w:p>
    <w:p w14:paraId="09E27933" w14:textId="7ACEFA0D" w:rsidR="00234D0F" w:rsidRPr="00254896" w:rsidRDefault="00254896" w:rsidP="00254896">
      <w:pPr>
        <w:spacing w:line="240" w:lineRule="auto"/>
        <w:rPr>
          <w:lang w:val="en"/>
        </w:rPr>
      </w:pPr>
      <w:r>
        <w:rPr>
          <w:lang w:val="en"/>
        </w:rPr>
        <w:t>Repeat until all cards have been grouped into categories. </w:t>
      </w:r>
      <w:r w:rsidR="00996F5D">
        <w:rPr>
          <w:lang w:val="en"/>
        </w:rPr>
        <w:t xml:space="preserve">You can name the categories while you group the cards or at the very end after you’ve created all your groups. </w:t>
      </w:r>
    </w:p>
    <w:p w14:paraId="505046DC" w14:textId="77777777" w:rsidR="00234D0F" w:rsidRPr="00234D0F" w:rsidRDefault="00234D0F" w:rsidP="00254896">
      <w:pPr>
        <w:spacing w:after="0" w:line="240" w:lineRule="auto"/>
        <w:rPr>
          <w:rFonts w:cs="Arial"/>
          <w:b/>
          <w:lang w:val="en"/>
        </w:rPr>
      </w:pPr>
      <w:r w:rsidRPr="00234D0F">
        <w:rPr>
          <w:rFonts w:cs="Arial"/>
          <w:b/>
          <w:lang w:val="en"/>
        </w:rPr>
        <w:t>Step 4</w:t>
      </w:r>
    </w:p>
    <w:p w14:paraId="32BB3BA4" w14:textId="4C660D31" w:rsidR="00234D0F" w:rsidRPr="00234D0F" w:rsidRDefault="00996F5D" w:rsidP="00996F5D">
      <w:pPr>
        <w:spacing w:line="240" w:lineRule="auto"/>
        <w:rPr>
          <w:rFonts w:cs="Arial"/>
          <w:lang w:val="en"/>
        </w:rPr>
      </w:pPr>
      <w:r>
        <w:rPr>
          <w:lang w:val="en"/>
        </w:rPr>
        <w:t xml:space="preserve">When you are ready to name your categories, </w:t>
      </w:r>
      <w:r w:rsidR="003B1269">
        <w:rPr>
          <w:lang w:val="en"/>
        </w:rPr>
        <w:t>select</w:t>
      </w:r>
      <w:r>
        <w:rPr>
          <w:lang w:val="en"/>
        </w:rPr>
        <w:t xml:space="preserve"> “</w:t>
      </w:r>
      <w:r w:rsidR="003B1269">
        <w:rPr>
          <w:lang w:val="en"/>
        </w:rPr>
        <w:t>Click to rename</w:t>
      </w:r>
      <w:r>
        <w:rPr>
          <w:lang w:val="en"/>
        </w:rPr>
        <w:t xml:space="preserve">” to give each category a label that resonates with you. </w:t>
      </w:r>
      <w:r w:rsidR="00234D0F" w:rsidRPr="00234D0F">
        <w:rPr>
          <w:rFonts w:cs="Arial"/>
          <w:lang w:val="en"/>
        </w:rPr>
        <w:t>Feel free to move cards around after you've labeled the groups.</w:t>
      </w:r>
      <w:r>
        <w:rPr>
          <w:rFonts w:cs="Arial"/>
          <w:lang w:val="en"/>
        </w:rPr>
        <w:t xml:space="preserve"> </w:t>
      </w:r>
      <w:r w:rsidRPr="00234D0F">
        <w:rPr>
          <w:rFonts w:cs="Arial"/>
          <w:lang w:val="en"/>
        </w:rPr>
        <w:t>When you've finished, make sure that all groups have a label on top.</w:t>
      </w:r>
    </w:p>
    <w:p w14:paraId="53EBD4A0" w14:textId="77777777" w:rsidR="00D31DF4" w:rsidRPr="00D31DF4" w:rsidRDefault="00D31DF4" w:rsidP="00254896">
      <w:pPr>
        <w:spacing w:after="0" w:line="240" w:lineRule="auto"/>
        <w:rPr>
          <w:rFonts w:cs="Arial"/>
          <w:b/>
          <w:lang w:val="en"/>
        </w:rPr>
      </w:pPr>
      <w:r w:rsidRPr="00D31DF4">
        <w:rPr>
          <w:rFonts w:cs="Arial"/>
          <w:b/>
          <w:lang w:val="en"/>
        </w:rPr>
        <w:t>Step 5</w:t>
      </w:r>
    </w:p>
    <w:p w14:paraId="1948D3FF" w14:textId="77777777" w:rsidR="00234D0F" w:rsidRPr="00234D0F" w:rsidRDefault="00234D0F" w:rsidP="00254896">
      <w:pPr>
        <w:spacing w:line="240" w:lineRule="auto"/>
        <w:rPr>
          <w:rFonts w:cs="Arial"/>
          <w:lang w:val="en"/>
        </w:rPr>
      </w:pPr>
      <w:r w:rsidRPr="00234D0F">
        <w:rPr>
          <w:rFonts w:cs="Arial"/>
          <w:lang w:val="en"/>
        </w:rPr>
        <w:t>When you're done</w:t>
      </w:r>
      <w:r w:rsidR="00784563">
        <w:rPr>
          <w:rFonts w:cs="Arial"/>
          <w:lang w:val="en"/>
        </w:rPr>
        <w:t>,</w:t>
      </w:r>
      <w:r w:rsidRPr="00234D0F">
        <w:rPr>
          <w:rFonts w:cs="Arial"/>
          <w:lang w:val="en"/>
        </w:rPr>
        <w:t xml:space="preserve"> click "Finished" at the top right.</w:t>
      </w:r>
    </w:p>
    <w:p w14:paraId="19F99742" w14:textId="32E7A6FD" w:rsidR="006F28F4" w:rsidRDefault="00234D0F" w:rsidP="00254896">
      <w:pPr>
        <w:spacing w:line="240" w:lineRule="auto"/>
        <w:rPr>
          <w:rFonts w:cs="Arial"/>
          <w:lang w:val="en"/>
        </w:rPr>
      </w:pPr>
      <w:r w:rsidRPr="00234D0F">
        <w:rPr>
          <w:rFonts w:cs="Arial"/>
          <w:lang w:val="en"/>
        </w:rPr>
        <w:t>T</w:t>
      </w:r>
      <w:r w:rsidR="00254896">
        <w:rPr>
          <w:rFonts w:cs="Arial"/>
          <w:lang w:val="en"/>
        </w:rPr>
        <w:t>hank you for your participation!</w:t>
      </w:r>
    </w:p>
    <w:p w14:paraId="1A69251D" w14:textId="4EC18328" w:rsidR="009E661C" w:rsidRDefault="009E661C">
      <w:pPr>
        <w:rPr>
          <w:rFonts w:cs="Arial"/>
          <w:lang w:val="en"/>
        </w:rPr>
      </w:pPr>
      <w:r>
        <w:rPr>
          <w:rFonts w:cs="Arial"/>
          <w:lang w:val="en"/>
        </w:rPr>
        <w:br w:type="page"/>
      </w:r>
    </w:p>
    <w:tbl>
      <w:tblPr>
        <w:tblStyle w:val="TableGrid"/>
        <w:tblW w:w="0" w:type="auto"/>
        <w:tblLook w:val="04A0" w:firstRow="1" w:lastRow="0" w:firstColumn="1" w:lastColumn="0" w:noHBand="0" w:noVBand="1"/>
      </w:tblPr>
      <w:tblGrid>
        <w:gridCol w:w="5035"/>
        <w:gridCol w:w="5035"/>
      </w:tblGrid>
      <w:tr w:rsidR="00AE0BF3" w14:paraId="63103F03" w14:textId="77777777" w:rsidTr="00DA6D76">
        <w:tc>
          <w:tcPr>
            <w:tcW w:w="5035" w:type="dxa"/>
          </w:tcPr>
          <w:p w14:paraId="094665F1" w14:textId="3829B002" w:rsidR="0025314C" w:rsidRPr="00501571" w:rsidRDefault="0025314C" w:rsidP="00DA6D76">
            <w:pPr>
              <w:rPr>
                <w:b/>
                <w:bCs/>
                <w:color w:val="000000"/>
                <w:sz w:val="24"/>
                <w:szCs w:val="24"/>
              </w:rPr>
            </w:pPr>
            <w:r w:rsidRPr="00501571">
              <w:rPr>
                <w:b/>
                <w:bCs/>
                <w:color w:val="000000"/>
                <w:sz w:val="24"/>
                <w:szCs w:val="24"/>
              </w:rPr>
              <w:lastRenderedPageBreak/>
              <w:t>Cards/</w:t>
            </w:r>
            <w:r w:rsidR="00AE0BF3" w:rsidRPr="00501571">
              <w:rPr>
                <w:b/>
                <w:bCs/>
                <w:color w:val="000000"/>
                <w:sz w:val="24"/>
                <w:szCs w:val="24"/>
              </w:rPr>
              <w:t>Topics</w:t>
            </w:r>
            <w:r w:rsidR="009E1F32">
              <w:rPr>
                <w:b/>
                <w:bCs/>
                <w:color w:val="000000"/>
                <w:sz w:val="24"/>
                <w:szCs w:val="24"/>
              </w:rPr>
              <w:br/>
            </w:r>
            <w:r w:rsidR="009E1F32" w:rsidRPr="009E1F32">
              <w:rPr>
                <w:bCs/>
                <w:i/>
                <w:color w:val="FF0000"/>
                <w:sz w:val="24"/>
                <w:szCs w:val="24"/>
              </w:rPr>
              <w:t>In the card sort</w:t>
            </w:r>
            <w:r w:rsidR="00DA6D76">
              <w:rPr>
                <w:bCs/>
                <w:i/>
                <w:color w:val="FF0000"/>
                <w:sz w:val="24"/>
                <w:szCs w:val="24"/>
              </w:rPr>
              <w:t>ing</w:t>
            </w:r>
            <w:r w:rsidR="009E1F32" w:rsidRPr="009E1F32">
              <w:rPr>
                <w:bCs/>
                <w:i/>
                <w:color w:val="FF0000"/>
                <w:sz w:val="24"/>
                <w:szCs w:val="24"/>
              </w:rPr>
              <w:t xml:space="preserve"> exercise, participants will be able to drag and drop the following 52 “cards”- which represent topics or titles of web content that appears on the STLT Gateway website, into groups of their own choosing, then give each group a </w:t>
            </w:r>
            <w:r w:rsidR="00DA6D76">
              <w:rPr>
                <w:bCs/>
                <w:i/>
                <w:color w:val="FF0000"/>
                <w:sz w:val="24"/>
                <w:szCs w:val="24"/>
              </w:rPr>
              <w:t>label or title</w:t>
            </w:r>
            <w:r w:rsidR="009E1F32" w:rsidRPr="009E1F32">
              <w:rPr>
                <w:bCs/>
                <w:i/>
                <w:color w:val="FF0000"/>
                <w:sz w:val="24"/>
                <w:szCs w:val="24"/>
              </w:rPr>
              <w:t xml:space="preserve"> </w:t>
            </w:r>
            <w:r w:rsidR="00DA6D76">
              <w:rPr>
                <w:bCs/>
                <w:i/>
                <w:color w:val="FF0000"/>
                <w:sz w:val="24"/>
                <w:szCs w:val="24"/>
              </w:rPr>
              <w:t>they think describes the group</w:t>
            </w:r>
            <w:r w:rsidR="009E1F32" w:rsidRPr="009E1F32">
              <w:rPr>
                <w:bCs/>
                <w:i/>
                <w:color w:val="FF0000"/>
                <w:sz w:val="24"/>
                <w:szCs w:val="24"/>
              </w:rPr>
              <w:t>.</w:t>
            </w:r>
          </w:p>
          <w:p w14:paraId="077C0BDA" w14:textId="74A58977" w:rsidR="0025314C" w:rsidRPr="00501571" w:rsidRDefault="0025314C" w:rsidP="00DA6D76">
            <w:pPr>
              <w:rPr>
                <w:b/>
                <w:bCs/>
                <w:color w:val="000000"/>
                <w:sz w:val="24"/>
                <w:szCs w:val="24"/>
              </w:rPr>
            </w:pPr>
          </w:p>
        </w:tc>
        <w:tc>
          <w:tcPr>
            <w:tcW w:w="5035" w:type="dxa"/>
          </w:tcPr>
          <w:p w14:paraId="0D9787EE" w14:textId="06AA3AAE" w:rsidR="00AE0BF3" w:rsidRDefault="009E1F32" w:rsidP="00DA6D76">
            <w:pPr>
              <w:rPr>
                <w:b/>
                <w:bCs/>
                <w:color w:val="000000"/>
                <w:sz w:val="24"/>
                <w:szCs w:val="24"/>
              </w:rPr>
            </w:pPr>
            <w:r>
              <w:rPr>
                <w:b/>
                <w:bCs/>
                <w:color w:val="000000"/>
                <w:sz w:val="24"/>
                <w:szCs w:val="24"/>
              </w:rPr>
              <w:t>Descriptions</w:t>
            </w:r>
          </w:p>
          <w:p w14:paraId="587FC5A4" w14:textId="39871A1B" w:rsidR="009E1F32" w:rsidRPr="009E1F32" w:rsidRDefault="009E1F32" w:rsidP="00DA6D76">
            <w:pPr>
              <w:rPr>
                <w:bCs/>
                <w:i/>
                <w:color w:val="FF0000"/>
                <w:sz w:val="24"/>
                <w:szCs w:val="24"/>
              </w:rPr>
            </w:pPr>
            <w:r w:rsidRPr="009E1F32">
              <w:rPr>
                <w:bCs/>
                <w:i/>
                <w:color w:val="FF0000"/>
                <w:sz w:val="24"/>
                <w:szCs w:val="24"/>
              </w:rPr>
              <w:t xml:space="preserve">The descriptions in this column give additional details about the cards </w:t>
            </w:r>
            <w:r w:rsidR="00DA6D76">
              <w:rPr>
                <w:bCs/>
                <w:i/>
                <w:color w:val="FF0000"/>
                <w:sz w:val="24"/>
                <w:szCs w:val="24"/>
              </w:rPr>
              <w:t>to the left</w:t>
            </w:r>
            <w:r w:rsidRPr="009E1F32">
              <w:rPr>
                <w:bCs/>
                <w:i/>
                <w:color w:val="FF0000"/>
                <w:sz w:val="24"/>
                <w:szCs w:val="24"/>
              </w:rPr>
              <w:t xml:space="preserve">. In the card sorting exercise, users will be able to click the icon next to each card to see </w:t>
            </w:r>
            <w:r w:rsidR="00DA6D76">
              <w:rPr>
                <w:bCs/>
                <w:i/>
                <w:color w:val="FF0000"/>
                <w:sz w:val="24"/>
                <w:szCs w:val="24"/>
              </w:rPr>
              <w:t>its</w:t>
            </w:r>
            <w:r w:rsidRPr="009E1F32">
              <w:rPr>
                <w:bCs/>
                <w:i/>
                <w:color w:val="FF0000"/>
                <w:sz w:val="24"/>
                <w:szCs w:val="24"/>
              </w:rPr>
              <w:t xml:space="preserve"> corresponding description. </w:t>
            </w:r>
            <w:r w:rsidR="00DA6D76">
              <w:rPr>
                <w:bCs/>
                <w:i/>
                <w:color w:val="FF0000"/>
                <w:sz w:val="24"/>
                <w:szCs w:val="24"/>
              </w:rPr>
              <w:t>The</w:t>
            </w:r>
            <w:r w:rsidRPr="009E1F32">
              <w:rPr>
                <w:bCs/>
                <w:i/>
                <w:color w:val="FF0000"/>
                <w:sz w:val="24"/>
                <w:szCs w:val="24"/>
              </w:rPr>
              <w:t xml:space="preserve"> descriptions provide </w:t>
            </w:r>
            <w:r w:rsidR="00DA6D76">
              <w:rPr>
                <w:bCs/>
                <w:i/>
                <w:color w:val="FF0000"/>
                <w:sz w:val="24"/>
                <w:szCs w:val="24"/>
              </w:rPr>
              <w:t>additional information and</w:t>
            </w:r>
            <w:r w:rsidRPr="009E1F32">
              <w:rPr>
                <w:bCs/>
                <w:i/>
                <w:color w:val="FF0000"/>
                <w:sz w:val="24"/>
                <w:szCs w:val="24"/>
              </w:rPr>
              <w:t xml:space="preserve"> context to help users </w:t>
            </w:r>
            <w:r w:rsidR="00DA6D76">
              <w:rPr>
                <w:bCs/>
                <w:i/>
                <w:color w:val="FF0000"/>
                <w:sz w:val="24"/>
                <w:szCs w:val="24"/>
              </w:rPr>
              <w:t>decide</w:t>
            </w:r>
            <w:r w:rsidRPr="009E1F32">
              <w:rPr>
                <w:bCs/>
                <w:i/>
                <w:color w:val="FF0000"/>
                <w:sz w:val="24"/>
                <w:szCs w:val="24"/>
              </w:rPr>
              <w:t xml:space="preserve"> </w:t>
            </w:r>
            <w:r w:rsidR="001D5456">
              <w:rPr>
                <w:bCs/>
                <w:i/>
                <w:color w:val="FF0000"/>
                <w:sz w:val="24"/>
                <w:szCs w:val="24"/>
              </w:rPr>
              <w:t xml:space="preserve">how </w:t>
            </w:r>
            <w:r w:rsidR="00DA6D76">
              <w:rPr>
                <w:bCs/>
                <w:i/>
                <w:color w:val="FF0000"/>
                <w:sz w:val="24"/>
                <w:szCs w:val="24"/>
              </w:rPr>
              <w:t>to group the cards</w:t>
            </w:r>
            <w:r w:rsidR="001D5456">
              <w:rPr>
                <w:bCs/>
                <w:i/>
                <w:color w:val="FF0000"/>
                <w:sz w:val="24"/>
                <w:szCs w:val="24"/>
              </w:rPr>
              <w:t xml:space="preserve"> and label the groups they create</w:t>
            </w:r>
            <w:r w:rsidRPr="009E1F32">
              <w:rPr>
                <w:bCs/>
                <w:i/>
                <w:color w:val="FF0000"/>
                <w:sz w:val="24"/>
                <w:szCs w:val="24"/>
              </w:rPr>
              <w:t>.</w:t>
            </w:r>
          </w:p>
          <w:p w14:paraId="3CDF7174" w14:textId="298B82D4" w:rsidR="0025314C" w:rsidRPr="00501571" w:rsidRDefault="0025314C" w:rsidP="00DA6D76">
            <w:pPr>
              <w:rPr>
                <w:rFonts w:cs="Arial"/>
                <w:sz w:val="24"/>
                <w:szCs w:val="24"/>
                <w:lang w:val="en"/>
              </w:rPr>
            </w:pPr>
          </w:p>
        </w:tc>
      </w:tr>
      <w:tr w:rsidR="00AE0BF3" w14:paraId="32BE1589" w14:textId="77777777" w:rsidTr="00AE0BF3">
        <w:tc>
          <w:tcPr>
            <w:tcW w:w="5035" w:type="dxa"/>
            <w:vAlign w:val="center"/>
          </w:tcPr>
          <w:p w14:paraId="014E480F" w14:textId="70F275DD" w:rsidR="00AE0BF3" w:rsidRPr="00AE0BF3" w:rsidRDefault="00AE0BF3" w:rsidP="00AE0BF3">
            <w:pPr>
              <w:rPr>
                <w:rFonts w:cs="Arial"/>
                <w:sz w:val="20"/>
                <w:szCs w:val="20"/>
                <w:lang w:val="en"/>
              </w:rPr>
            </w:pPr>
            <w:r w:rsidRPr="00AE0BF3">
              <w:rPr>
                <w:color w:val="000000"/>
                <w:sz w:val="20"/>
                <w:szCs w:val="20"/>
              </w:rPr>
              <w:t>Contact CDC's Office for State, Tribal, Local and Territorial Support</w:t>
            </w:r>
          </w:p>
        </w:tc>
        <w:tc>
          <w:tcPr>
            <w:tcW w:w="5035" w:type="dxa"/>
            <w:vAlign w:val="center"/>
          </w:tcPr>
          <w:p w14:paraId="332F257E" w14:textId="20A09753" w:rsidR="00AE0BF3" w:rsidRPr="00AE0BF3" w:rsidRDefault="00AE0BF3" w:rsidP="00AE0BF3">
            <w:pPr>
              <w:rPr>
                <w:rFonts w:cs="Arial"/>
                <w:sz w:val="20"/>
                <w:szCs w:val="20"/>
                <w:lang w:val="en"/>
              </w:rPr>
            </w:pPr>
            <w:r w:rsidRPr="00AE0BF3">
              <w:rPr>
                <w:color w:val="000000"/>
                <w:sz w:val="20"/>
                <w:szCs w:val="20"/>
              </w:rPr>
              <w:t xml:space="preserve">Get contact information for CDC's office supporting nonfederal public health agencies </w:t>
            </w:r>
          </w:p>
        </w:tc>
      </w:tr>
      <w:tr w:rsidR="00AE0BF3" w14:paraId="2F8DC278" w14:textId="77777777" w:rsidTr="00AE0BF3">
        <w:tc>
          <w:tcPr>
            <w:tcW w:w="5035" w:type="dxa"/>
            <w:vAlign w:val="center"/>
          </w:tcPr>
          <w:p w14:paraId="414D080B" w14:textId="4BD9FE54" w:rsidR="00AE0BF3" w:rsidRPr="00AE0BF3" w:rsidRDefault="00AE0BF3" w:rsidP="00AE0BF3">
            <w:pPr>
              <w:rPr>
                <w:rFonts w:cs="Arial"/>
                <w:sz w:val="20"/>
                <w:szCs w:val="20"/>
                <w:lang w:val="en"/>
              </w:rPr>
            </w:pPr>
            <w:r w:rsidRPr="00AE0BF3">
              <w:rPr>
                <w:color w:val="000000"/>
                <w:sz w:val="20"/>
                <w:szCs w:val="20"/>
              </w:rPr>
              <w:t>CDC's Office for State, Tribal, Local and Territorial Support</w:t>
            </w:r>
          </w:p>
        </w:tc>
        <w:tc>
          <w:tcPr>
            <w:tcW w:w="5035" w:type="dxa"/>
            <w:vAlign w:val="center"/>
          </w:tcPr>
          <w:p w14:paraId="433A52F8" w14:textId="04FEB8AE" w:rsidR="00AE0BF3" w:rsidRPr="00AE0BF3" w:rsidRDefault="00AE0BF3" w:rsidP="00AE0BF3">
            <w:pPr>
              <w:rPr>
                <w:rFonts w:cs="Arial"/>
                <w:sz w:val="20"/>
                <w:szCs w:val="20"/>
                <w:lang w:val="en"/>
              </w:rPr>
            </w:pPr>
            <w:r w:rsidRPr="00AE0BF3">
              <w:rPr>
                <w:color w:val="000000"/>
                <w:sz w:val="20"/>
                <w:szCs w:val="20"/>
              </w:rPr>
              <w:t>Information about CDC's office supporting nonfederal public health agencies</w:t>
            </w:r>
          </w:p>
        </w:tc>
      </w:tr>
      <w:tr w:rsidR="00AE0BF3" w14:paraId="04360A40" w14:textId="77777777" w:rsidTr="00AE0BF3">
        <w:tc>
          <w:tcPr>
            <w:tcW w:w="5035" w:type="dxa"/>
            <w:vAlign w:val="center"/>
          </w:tcPr>
          <w:p w14:paraId="6C6A4F48" w14:textId="3AFFAEB9" w:rsidR="00AE0BF3" w:rsidRPr="00AE0BF3" w:rsidRDefault="00AE0BF3" w:rsidP="00AE0BF3">
            <w:pPr>
              <w:rPr>
                <w:rFonts w:cs="Arial"/>
                <w:sz w:val="20"/>
                <w:szCs w:val="20"/>
                <w:lang w:val="en"/>
              </w:rPr>
            </w:pPr>
            <w:r w:rsidRPr="00AE0BF3">
              <w:rPr>
                <w:color w:val="000000"/>
                <w:sz w:val="20"/>
                <w:szCs w:val="20"/>
              </w:rPr>
              <w:t xml:space="preserve">CDC's Public Health Law Program </w:t>
            </w:r>
          </w:p>
        </w:tc>
        <w:tc>
          <w:tcPr>
            <w:tcW w:w="5035" w:type="dxa"/>
            <w:vAlign w:val="center"/>
          </w:tcPr>
          <w:p w14:paraId="45706741" w14:textId="7DDEBBEE" w:rsidR="00AE0BF3" w:rsidRPr="00AE0BF3" w:rsidRDefault="00AE0BF3" w:rsidP="00AE0BF3">
            <w:pPr>
              <w:rPr>
                <w:rFonts w:cs="Arial"/>
                <w:sz w:val="20"/>
                <w:szCs w:val="20"/>
                <w:lang w:val="en"/>
              </w:rPr>
            </w:pPr>
            <w:r w:rsidRPr="00AE0BF3">
              <w:rPr>
                <w:color w:val="000000"/>
                <w:sz w:val="20"/>
                <w:szCs w:val="20"/>
              </w:rPr>
              <w:t>Research, training, and technical assistance on using law to improve public health</w:t>
            </w:r>
          </w:p>
        </w:tc>
      </w:tr>
      <w:tr w:rsidR="00AE0BF3" w14:paraId="69C27CF4" w14:textId="77777777" w:rsidTr="00AE0BF3">
        <w:tc>
          <w:tcPr>
            <w:tcW w:w="5035" w:type="dxa"/>
            <w:vAlign w:val="center"/>
          </w:tcPr>
          <w:p w14:paraId="2833E05D" w14:textId="64DC99A9" w:rsidR="00AE0BF3" w:rsidRPr="00AE0BF3" w:rsidRDefault="00AE0BF3" w:rsidP="00AE0BF3">
            <w:pPr>
              <w:rPr>
                <w:rFonts w:cs="Arial"/>
                <w:sz w:val="20"/>
                <w:szCs w:val="20"/>
                <w:lang w:val="en"/>
              </w:rPr>
            </w:pPr>
            <w:r w:rsidRPr="00AE0BF3">
              <w:rPr>
                <w:color w:val="000000"/>
                <w:sz w:val="20"/>
                <w:szCs w:val="20"/>
              </w:rPr>
              <w:t xml:space="preserve">CDC's Public Health Associate Program </w:t>
            </w:r>
          </w:p>
        </w:tc>
        <w:tc>
          <w:tcPr>
            <w:tcW w:w="5035" w:type="dxa"/>
            <w:vAlign w:val="center"/>
          </w:tcPr>
          <w:p w14:paraId="69332294" w14:textId="7DFFE080" w:rsidR="00AE0BF3" w:rsidRPr="00AE0BF3" w:rsidRDefault="00AE0BF3" w:rsidP="00AE0BF3">
            <w:pPr>
              <w:rPr>
                <w:rFonts w:cs="Arial"/>
                <w:sz w:val="20"/>
                <w:szCs w:val="20"/>
                <w:lang w:val="en"/>
              </w:rPr>
            </w:pPr>
            <w:r w:rsidRPr="00AE0BF3">
              <w:rPr>
                <w:color w:val="000000"/>
                <w:sz w:val="20"/>
                <w:szCs w:val="20"/>
              </w:rPr>
              <w:t>About the Public Health Associate Program―a training program for entry-level public health professionals</w:t>
            </w:r>
          </w:p>
        </w:tc>
      </w:tr>
      <w:tr w:rsidR="00AE0BF3" w14:paraId="2DC995A3" w14:textId="77777777" w:rsidTr="00AE0BF3">
        <w:tc>
          <w:tcPr>
            <w:tcW w:w="5035" w:type="dxa"/>
            <w:vAlign w:val="center"/>
          </w:tcPr>
          <w:p w14:paraId="654079C6" w14:textId="5C549538" w:rsidR="00AE0BF3" w:rsidRPr="00AE0BF3" w:rsidRDefault="00AE0BF3" w:rsidP="00AE0BF3">
            <w:pPr>
              <w:rPr>
                <w:rFonts w:cs="Arial"/>
                <w:sz w:val="20"/>
                <w:szCs w:val="20"/>
                <w:lang w:val="en"/>
              </w:rPr>
            </w:pPr>
            <w:r w:rsidRPr="00AE0BF3">
              <w:rPr>
                <w:color w:val="000000"/>
                <w:sz w:val="20"/>
                <w:szCs w:val="20"/>
              </w:rPr>
              <w:t>CDC Tribal Support</w:t>
            </w:r>
          </w:p>
        </w:tc>
        <w:tc>
          <w:tcPr>
            <w:tcW w:w="5035" w:type="dxa"/>
            <w:vAlign w:val="center"/>
          </w:tcPr>
          <w:p w14:paraId="758C98AA" w14:textId="7EFCE8DA" w:rsidR="00AE0BF3" w:rsidRPr="00AE0BF3" w:rsidRDefault="00AE0BF3" w:rsidP="00AE0BF3">
            <w:pPr>
              <w:rPr>
                <w:rFonts w:cs="Arial"/>
                <w:sz w:val="20"/>
                <w:szCs w:val="20"/>
                <w:lang w:val="en"/>
              </w:rPr>
            </w:pPr>
            <w:r w:rsidRPr="00AE0BF3">
              <w:rPr>
                <w:color w:val="000000"/>
                <w:sz w:val="20"/>
                <w:szCs w:val="20"/>
              </w:rPr>
              <w:t>Ove</w:t>
            </w:r>
            <w:r w:rsidR="003B1269">
              <w:rPr>
                <w:color w:val="000000"/>
                <w:sz w:val="20"/>
                <w:szCs w:val="20"/>
              </w:rPr>
              <w:t>rview of American Indian/Alaska</w:t>
            </w:r>
            <w:r w:rsidRPr="00AE0BF3">
              <w:rPr>
                <w:color w:val="000000"/>
                <w:sz w:val="20"/>
                <w:szCs w:val="20"/>
              </w:rPr>
              <w:t xml:space="preserve"> Native health issues and CDC collaborations with Native American tribes to address them </w:t>
            </w:r>
          </w:p>
        </w:tc>
      </w:tr>
      <w:tr w:rsidR="00AE0BF3" w14:paraId="137FE2A7" w14:textId="77777777" w:rsidTr="00AE0BF3">
        <w:tc>
          <w:tcPr>
            <w:tcW w:w="5035" w:type="dxa"/>
            <w:vAlign w:val="center"/>
          </w:tcPr>
          <w:p w14:paraId="297E6D00" w14:textId="55C6FCFB" w:rsidR="00AE0BF3" w:rsidRPr="00AE0BF3" w:rsidRDefault="00AE0BF3" w:rsidP="00AE0BF3">
            <w:pPr>
              <w:rPr>
                <w:rFonts w:cs="Arial"/>
                <w:sz w:val="20"/>
                <w:szCs w:val="20"/>
                <w:lang w:val="en"/>
              </w:rPr>
            </w:pPr>
            <w:r w:rsidRPr="00AE0BF3">
              <w:rPr>
                <w:color w:val="000000"/>
                <w:sz w:val="20"/>
                <w:szCs w:val="20"/>
              </w:rPr>
              <w:t xml:space="preserve">Preventive Health </w:t>
            </w:r>
            <w:r w:rsidR="003B1269">
              <w:rPr>
                <w:color w:val="000000"/>
                <w:sz w:val="20"/>
                <w:szCs w:val="20"/>
              </w:rPr>
              <w:t>and Health Services Block Grant</w:t>
            </w:r>
          </w:p>
        </w:tc>
        <w:tc>
          <w:tcPr>
            <w:tcW w:w="5035" w:type="dxa"/>
            <w:vAlign w:val="center"/>
          </w:tcPr>
          <w:p w14:paraId="72286A38" w14:textId="3D28BA8A" w:rsidR="00AE0BF3" w:rsidRPr="00AE0BF3" w:rsidRDefault="00AE0BF3" w:rsidP="00AE0BF3">
            <w:pPr>
              <w:rPr>
                <w:rFonts w:cs="Arial"/>
                <w:sz w:val="20"/>
                <w:szCs w:val="20"/>
                <w:lang w:val="en"/>
              </w:rPr>
            </w:pPr>
            <w:r w:rsidRPr="00AE0BF3">
              <w:rPr>
                <w:color w:val="000000"/>
                <w:sz w:val="20"/>
                <w:szCs w:val="20"/>
              </w:rPr>
              <w:t xml:space="preserve">Overview of CDC’s Preventive Health and Health Services Block Grant—flexible funds for states, territories, DC, and 2 tribes to address health issues </w:t>
            </w:r>
          </w:p>
        </w:tc>
      </w:tr>
      <w:tr w:rsidR="00AE0BF3" w14:paraId="7BF43BAE" w14:textId="77777777" w:rsidTr="00AE0BF3">
        <w:tc>
          <w:tcPr>
            <w:tcW w:w="5035" w:type="dxa"/>
            <w:vAlign w:val="center"/>
          </w:tcPr>
          <w:p w14:paraId="2C26E155" w14:textId="5E890D28" w:rsidR="00AE0BF3" w:rsidRPr="00AE0BF3" w:rsidRDefault="00AE0BF3" w:rsidP="00AE0BF3">
            <w:pPr>
              <w:rPr>
                <w:rFonts w:cs="Arial"/>
                <w:sz w:val="20"/>
                <w:szCs w:val="20"/>
                <w:lang w:val="en"/>
              </w:rPr>
            </w:pPr>
            <w:r w:rsidRPr="00AE0BF3">
              <w:rPr>
                <w:color w:val="000000"/>
                <w:sz w:val="20"/>
                <w:szCs w:val="20"/>
              </w:rPr>
              <w:t>Health Policies and Practices Status Reports</w:t>
            </w:r>
          </w:p>
        </w:tc>
        <w:tc>
          <w:tcPr>
            <w:tcW w:w="5035" w:type="dxa"/>
            <w:vAlign w:val="center"/>
          </w:tcPr>
          <w:p w14:paraId="6A9F4A5A" w14:textId="4ACAAD3E" w:rsidR="00AE0BF3" w:rsidRPr="00AE0BF3" w:rsidRDefault="00AE0BF3" w:rsidP="00AE0BF3">
            <w:pPr>
              <w:rPr>
                <w:rFonts w:cs="Arial"/>
                <w:sz w:val="20"/>
                <w:szCs w:val="20"/>
                <w:lang w:val="en"/>
              </w:rPr>
            </w:pPr>
            <w:r w:rsidRPr="00AE0BF3">
              <w:rPr>
                <w:color w:val="000000"/>
                <w:sz w:val="20"/>
                <w:szCs w:val="20"/>
              </w:rPr>
              <w:t>Index of CDC reports that show the status of state-level public health policies and practices, by state and by issue</w:t>
            </w:r>
          </w:p>
        </w:tc>
      </w:tr>
      <w:tr w:rsidR="00AE0BF3" w14:paraId="1D8D86CB" w14:textId="77777777" w:rsidTr="00AE0BF3">
        <w:tc>
          <w:tcPr>
            <w:tcW w:w="5035" w:type="dxa"/>
            <w:vAlign w:val="center"/>
          </w:tcPr>
          <w:p w14:paraId="63A26C02" w14:textId="5C650B13" w:rsidR="00AE0BF3" w:rsidRPr="00AE0BF3" w:rsidRDefault="00AE0BF3" w:rsidP="00AE0BF3">
            <w:pPr>
              <w:rPr>
                <w:rFonts w:cs="Arial"/>
                <w:sz w:val="20"/>
                <w:szCs w:val="20"/>
                <w:lang w:val="en"/>
              </w:rPr>
            </w:pPr>
            <w:r w:rsidRPr="00AE0BF3">
              <w:rPr>
                <w:color w:val="000000"/>
                <w:sz w:val="20"/>
                <w:szCs w:val="20"/>
              </w:rPr>
              <w:t xml:space="preserve">National Public Health Performance Standards </w:t>
            </w:r>
          </w:p>
        </w:tc>
        <w:tc>
          <w:tcPr>
            <w:tcW w:w="5035" w:type="dxa"/>
            <w:vAlign w:val="center"/>
          </w:tcPr>
          <w:p w14:paraId="691674D9" w14:textId="2B66B2CB" w:rsidR="00AE0BF3" w:rsidRPr="00AE0BF3" w:rsidRDefault="00AE0BF3" w:rsidP="00AE0BF3">
            <w:pPr>
              <w:rPr>
                <w:rFonts w:cs="Arial"/>
                <w:sz w:val="20"/>
                <w:szCs w:val="20"/>
                <w:lang w:val="en"/>
              </w:rPr>
            </w:pPr>
            <w:r w:rsidRPr="00AE0BF3">
              <w:rPr>
                <w:color w:val="000000"/>
                <w:sz w:val="20"/>
                <w:szCs w:val="20"/>
              </w:rPr>
              <w:t>Overview of National Public Health Performance Standards―a framework to assess capacity and performance of public health systems</w:t>
            </w:r>
          </w:p>
        </w:tc>
      </w:tr>
      <w:tr w:rsidR="00AE0BF3" w14:paraId="7130641C" w14:textId="77777777" w:rsidTr="00AE0BF3">
        <w:tc>
          <w:tcPr>
            <w:tcW w:w="5035" w:type="dxa"/>
            <w:vAlign w:val="center"/>
          </w:tcPr>
          <w:p w14:paraId="5978EB0B" w14:textId="1DE5D5E3" w:rsidR="00AE0BF3" w:rsidRPr="00AE0BF3" w:rsidRDefault="00AE0BF3" w:rsidP="00AE0BF3">
            <w:pPr>
              <w:rPr>
                <w:rFonts w:cs="Arial"/>
                <w:sz w:val="20"/>
                <w:szCs w:val="20"/>
                <w:lang w:val="en"/>
              </w:rPr>
            </w:pPr>
            <w:r w:rsidRPr="00AE0BF3">
              <w:rPr>
                <w:color w:val="000000"/>
                <w:sz w:val="20"/>
                <w:szCs w:val="20"/>
              </w:rPr>
              <w:t>Tools and Tips for Building Public Health Communities of Practice</w:t>
            </w:r>
          </w:p>
        </w:tc>
        <w:tc>
          <w:tcPr>
            <w:tcW w:w="5035" w:type="dxa"/>
            <w:vAlign w:val="center"/>
          </w:tcPr>
          <w:p w14:paraId="0EDDE1E9" w14:textId="154B2B87" w:rsidR="00AE0BF3" w:rsidRPr="00AE0BF3" w:rsidRDefault="00AE0BF3" w:rsidP="00AE0BF3">
            <w:pPr>
              <w:rPr>
                <w:rFonts w:cs="Arial"/>
                <w:sz w:val="20"/>
                <w:szCs w:val="20"/>
                <w:lang w:val="en"/>
              </w:rPr>
            </w:pPr>
            <w:r w:rsidRPr="00AE0BF3">
              <w:rPr>
                <w:color w:val="000000"/>
                <w:sz w:val="20"/>
                <w:szCs w:val="20"/>
              </w:rPr>
              <w:t>Resource kit providing a collaborative framework for public health professionals to work together to identify and leverage best practices and standards</w:t>
            </w:r>
          </w:p>
        </w:tc>
      </w:tr>
      <w:tr w:rsidR="00AE0BF3" w14:paraId="6DA79347" w14:textId="77777777" w:rsidTr="00AE0BF3">
        <w:tc>
          <w:tcPr>
            <w:tcW w:w="5035" w:type="dxa"/>
            <w:vAlign w:val="center"/>
          </w:tcPr>
          <w:p w14:paraId="687D766A" w14:textId="7FD18725" w:rsidR="00AE0BF3" w:rsidRPr="00AE0BF3" w:rsidRDefault="00AE0BF3" w:rsidP="00AE0BF3">
            <w:pPr>
              <w:rPr>
                <w:rFonts w:cs="Arial"/>
                <w:sz w:val="20"/>
                <w:szCs w:val="20"/>
                <w:lang w:val="en"/>
              </w:rPr>
            </w:pPr>
            <w:r w:rsidRPr="00AE0BF3">
              <w:rPr>
                <w:color w:val="000000"/>
                <w:sz w:val="20"/>
                <w:szCs w:val="20"/>
              </w:rPr>
              <w:t>10 Essential Public Health Services</w:t>
            </w:r>
          </w:p>
        </w:tc>
        <w:tc>
          <w:tcPr>
            <w:tcW w:w="5035" w:type="dxa"/>
            <w:vAlign w:val="center"/>
          </w:tcPr>
          <w:p w14:paraId="30349E3F" w14:textId="243AA3FC" w:rsidR="00AE0BF3" w:rsidRPr="00AE0BF3" w:rsidRDefault="00AE0BF3" w:rsidP="00AE0BF3">
            <w:pPr>
              <w:rPr>
                <w:rFonts w:cs="Arial"/>
                <w:sz w:val="20"/>
                <w:szCs w:val="20"/>
                <w:lang w:val="en"/>
              </w:rPr>
            </w:pPr>
            <w:r w:rsidRPr="00AE0BF3">
              <w:rPr>
                <w:color w:val="000000"/>
                <w:sz w:val="20"/>
                <w:szCs w:val="20"/>
              </w:rPr>
              <w:t>Overview of the 10 public health activities that all communities should undertake</w:t>
            </w:r>
          </w:p>
        </w:tc>
      </w:tr>
      <w:tr w:rsidR="00AE0BF3" w14:paraId="4DAEBF6A" w14:textId="77777777" w:rsidTr="00AE0BF3">
        <w:tc>
          <w:tcPr>
            <w:tcW w:w="5035" w:type="dxa"/>
            <w:vAlign w:val="center"/>
          </w:tcPr>
          <w:p w14:paraId="50C9F411" w14:textId="78B1B2AA" w:rsidR="00AE0BF3" w:rsidRPr="00AE0BF3" w:rsidRDefault="00AE0BF3" w:rsidP="00AE0BF3">
            <w:pPr>
              <w:rPr>
                <w:rFonts w:cs="Arial"/>
                <w:sz w:val="20"/>
                <w:szCs w:val="20"/>
                <w:lang w:val="en"/>
              </w:rPr>
            </w:pPr>
            <w:r w:rsidRPr="00AE0BF3">
              <w:rPr>
                <w:color w:val="000000"/>
                <w:sz w:val="20"/>
                <w:szCs w:val="20"/>
              </w:rPr>
              <w:t>Searchable Database of CDC Funding to States, Territories, and DC</w:t>
            </w:r>
          </w:p>
        </w:tc>
        <w:tc>
          <w:tcPr>
            <w:tcW w:w="5035" w:type="dxa"/>
            <w:vAlign w:val="center"/>
          </w:tcPr>
          <w:p w14:paraId="6EA511F4" w14:textId="542025D5" w:rsidR="00AE0BF3" w:rsidRPr="00AE0BF3" w:rsidRDefault="00AE0BF3" w:rsidP="00AE0BF3">
            <w:pPr>
              <w:rPr>
                <w:rFonts w:cs="Arial"/>
                <w:sz w:val="20"/>
                <w:szCs w:val="20"/>
                <w:lang w:val="en"/>
              </w:rPr>
            </w:pPr>
            <w:r w:rsidRPr="00AE0BF3">
              <w:rPr>
                <w:color w:val="000000"/>
                <w:sz w:val="20"/>
                <w:szCs w:val="20"/>
              </w:rPr>
              <w:t>Interactive data and summaries of CDC cooperative agreement and grant funding to recipients in US states and territories, and the District of Columbia</w:t>
            </w:r>
          </w:p>
        </w:tc>
      </w:tr>
      <w:tr w:rsidR="00AE0BF3" w14:paraId="3D324514" w14:textId="77777777" w:rsidTr="00AE0BF3">
        <w:tc>
          <w:tcPr>
            <w:tcW w:w="5035" w:type="dxa"/>
            <w:vAlign w:val="center"/>
          </w:tcPr>
          <w:p w14:paraId="43F2366D" w14:textId="705842CE" w:rsidR="00AE0BF3" w:rsidRPr="00AE0BF3" w:rsidRDefault="00AE0BF3" w:rsidP="00AE0BF3">
            <w:pPr>
              <w:rPr>
                <w:rFonts w:cs="Arial"/>
                <w:sz w:val="20"/>
                <w:szCs w:val="20"/>
                <w:lang w:val="en"/>
              </w:rPr>
            </w:pPr>
            <w:r w:rsidRPr="00AE0BF3">
              <w:rPr>
                <w:color w:val="000000"/>
                <w:sz w:val="20"/>
                <w:szCs w:val="20"/>
              </w:rPr>
              <w:t>CDC Resources and Assistance Available to STLT Agencies</w:t>
            </w:r>
          </w:p>
        </w:tc>
        <w:tc>
          <w:tcPr>
            <w:tcW w:w="5035" w:type="dxa"/>
            <w:vAlign w:val="center"/>
          </w:tcPr>
          <w:p w14:paraId="3E1EC32C" w14:textId="0507BE4B" w:rsidR="00AE0BF3" w:rsidRPr="00AE0BF3" w:rsidRDefault="00AE0BF3" w:rsidP="00AE0BF3">
            <w:pPr>
              <w:rPr>
                <w:rFonts w:cs="Arial"/>
                <w:sz w:val="20"/>
                <w:szCs w:val="20"/>
                <w:lang w:val="en"/>
              </w:rPr>
            </w:pPr>
            <w:r w:rsidRPr="00AE0BF3">
              <w:rPr>
                <w:color w:val="000000"/>
                <w:sz w:val="20"/>
                <w:szCs w:val="20"/>
              </w:rPr>
              <w:t xml:space="preserve">Resources (other than funding) offered to state, tribal, local, or territorial public health organizations  </w:t>
            </w:r>
          </w:p>
        </w:tc>
      </w:tr>
      <w:tr w:rsidR="00AE0BF3" w14:paraId="160ED596" w14:textId="77777777" w:rsidTr="00AE0BF3">
        <w:tc>
          <w:tcPr>
            <w:tcW w:w="5035" w:type="dxa"/>
            <w:vAlign w:val="center"/>
          </w:tcPr>
          <w:p w14:paraId="4C90DECA" w14:textId="151BF4A0" w:rsidR="00AE0BF3" w:rsidRPr="00AE0BF3" w:rsidRDefault="00AE0BF3" w:rsidP="00AE0BF3">
            <w:pPr>
              <w:rPr>
                <w:rFonts w:cs="Arial"/>
                <w:sz w:val="20"/>
                <w:szCs w:val="20"/>
                <w:lang w:val="en"/>
              </w:rPr>
            </w:pPr>
            <w:r w:rsidRPr="00AE0BF3">
              <w:rPr>
                <w:color w:val="000000"/>
                <w:sz w:val="20"/>
                <w:szCs w:val="20"/>
              </w:rPr>
              <w:t>Data Collection Guidance for Public Health Professionals</w:t>
            </w:r>
          </w:p>
        </w:tc>
        <w:tc>
          <w:tcPr>
            <w:tcW w:w="5035" w:type="dxa"/>
            <w:vAlign w:val="center"/>
          </w:tcPr>
          <w:p w14:paraId="6CBFD302" w14:textId="6C846C7F" w:rsidR="00AE0BF3" w:rsidRPr="00AE0BF3" w:rsidRDefault="00AE0BF3" w:rsidP="00AE0BF3">
            <w:pPr>
              <w:rPr>
                <w:rFonts w:cs="Arial"/>
                <w:sz w:val="20"/>
                <w:szCs w:val="20"/>
                <w:lang w:val="en"/>
              </w:rPr>
            </w:pPr>
            <w:r w:rsidRPr="00AE0BF3">
              <w:rPr>
                <w:color w:val="000000"/>
                <w:sz w:val="20"/>
                <w:szCs w:val="20"/>
              </w:rPr>
              <w:t>Organized, easy access to guidance developed by CDC and its partners for improving the collection, analysis, and use of data to target public health prevention</w:t>
            </w:r>
          </w:p>
        </w:tc>
      </w:tr>
      <w:tr w:rsidR="00AE0BF3" w14:paraId="4D05E0E9" w14:textId="77777777" w:rsidTr="00AE0BF3">
        <w:tc>
          <w:tcPr>
            <w:tcW w:w="5035" w:type="dxa"/>
            <w:vAlign w:val="center"/>
          </w:tcPr>
          <w:p w14:paraId="522497A9" w14:textId="2F434431" w:rsidR="00AE0BF3" w:rsidRPr="00AE0BF3" w:rsidRDefault="00AE0BF3" w:rsidP="00AE0BF3">
            <w:pPr>
              <w:rPr>
                <w:rFonts w:cs="Arial"/>
                <w:sz w:val="20"/>
                <w:szCs w:val="20"/>
                <w:lang w:val="en"/>
              </w:rPr>
            </w:pPr>
            <w:r w:rsidRPr="00AE0BF3">
              <w:rPr>
                <w:color w:val="000000"/>
                <w:sz w:val="20"/>
                <w:szCs w:val="20"/>
              </w:rPr>
              <w:t xml:space="preserve">Quality Improvement Success Stories </w:t>
            </w:r>
          </w:p>
        </w:tc>
        <w:tc>
          <w:tcPr>
            <w:tcW w:w="5035" w:type="dxa"/>
            <w:vAlign w:val="center"/>
          </w:tcPr>
          <w:p w14:paraId="60DB02C3" w14:textId="429BCF9C" w:rsidR="00AE0BF3" w:rsidRPr="00AE0BF3" w:rsidRDefault="00AE0BF3" w:rsidP="00AE0BF3">
            <w:pPr>
              <w:rPr>
                <w:rFonts w:cs="Arial"/>
                <w:sz w:val="20"/>
                <w:szCs w:val="20"/>
                <w:lang w:val="en"/>
              </w:rPr>
            </w:pPr>
            <w:r w:rsidRPr="00AE0BF3">
              <w:rPr>
                <w:color w:val="000000"/>
                <w:sz w:val="20"/>
                <w:szCs w:val="20"/>
              </w:rPr>
              <w:t>Success stories and lessons learned from public health agencies with performance management and quality improvement experience</w:t>
            </w:r>
          </w:p>
        </w:tc>
      </w:tr>
      <w:tr w:rsidR="00AE0BF3" w14:paraId="3518C1D2" w14:textId="77777777" w:rsidTr="00AE0BF3">
        <w:tc>
          <w:tcPr>
            <w:tcW w:w="5035" w:type="dxa"/>
            <w:vAlign w:val="center"/>
          </w:tcPr>
          <w:p w14:paraId="75921DF6" w14:textId="6E787C45" w:rsidR="00AE0BF3" w:rsidRPr="00AE0BF3" w:rsidRDefault="00AE0BF3" w:rsidP="00AE0BF3">
            <w:pPr>
              <w:rPr>
                <w:rFonts w:cs="Arial"/>
                <w:sz w:val="20"/>
                <w:szCs w:val="20"/>
                <w:lang w:val="en"/>
              </w:rPr>
            </w:pPr>
            <w:r w:rsidRPr="00AE0BF3">
              <w:rPr>
                <w:color w:val="000000"/>
                <w:sz w:val="20"/>
                <w:szCs w:val="20"/>
              </w:rPr>
              <w:t>Profiles of State and Territorial Public Health Agencies</w:t>
            </w:r>
          </w:p>
        </w:tc>
        <w:tc>
          <w:tcPr>
            <w:tcW w:w="5035" w:type="dxa"/>
            <w:vAlign w:val="center"/>
          </w:tcPr>
          <w:p w14:paraId="019465F9" w14:textId="1F4452C9" w:rsidR="00AE0BF3" w:rsidRPr="00AE0BF3" w:rsidRDefault="00AE0BF3" w:rsidP="00AE0BF3">
            <w:pPr>
              <w:rPr>
                <w:rFonts w:cs="Arial"/>
                <w:sz w:val="20"/>
                <w:szCs w:val="20"/>
                <w:lang w:val="en"/>
              </w:rPr>
            </w:pPr>
            <w:r w:rsidRPr="00AE0BF3">
              <w:rPr>
                <w:color w:val="000000"/>
                <w:sz w:val="20"/>
                <w:szCs w:val="20"/>
              </w:rPr>
              <w:t>Report of state and territorial health departments' structure, priorities, workforce, activities, and services</w:t>
            </w:r>
          </w:p>
        </w:tc>
      </w:tr>
      <w:tr w:rsidR="00AE0BF3" w14:paraId="3AFF9B4B" w14:textId="77777777" w:rsidTr="00AE0BF3">
        <w:tc>
          <w:tcPr>
            <w:tcW w:w="5035" w:type="dxa"/>
            <w:vAlign w:val="center"/>
          </w:tcPr>
          <w:p w14:paraId="11D07042" w14:textId="1B28BC44" w:rsidR="00AE0BF3" w:rsidRPr="00AE0BF3" w:rsidRDefault="00AE0BF3" w:rsidP="00AE0BF3">
            <w:pPr>
              <w:rPr>
                <w:rFonts w:cs="Arial"/>
                <w:sz w:val="20"/>
                <w:szCs w:val="20"/>
                <w:lang w:val="en"/>
              </w:rPr>
            </w:pPr>
            <w:r w:rsidRPr="00AE0BF3">
              <w:rPr>
                <w:color w:val="000000"/>
                <w:sz w:val="20"/>
                <w:szCs w:val="20"/>
              </w:rPr>
              <w:t>Profiles of Local Public Health Agencies</w:t>
            </w:r>
          </w:p>
        </w:tc>
        <w:tc>
          <w:tcPr>
            <w:tcW w:w="5035" w:type="dxa"/>
            <w:vAlign w:val="center"/>
          </w:tcPr>
          <w:p w14:paraId="046F403A" w14:textId="04CB4EFA" w:rsidR="00AE0BF3" w:rsidRPr="00AE0BF3" w:rsidRDefault="00AE0BF3" w:rsidP="00AE0BF3">
            <w:pPr>
              <w:rPr>
                <w:rFonts w:cs="Arial"/>
                <w:sz w:val="20"/>
                <w:szCs w:val="20"/>
                <w:lang w:val="en"/>
              </w:rPr>
            </w:pPr>
            <w:r w:rsidRPr="00AE0BF3">
              <w:rPr>
                <w:color w:val="000000"/>
                <w:sz w:val="20"/>
                <w:szCs w:val="20"/>
              </w:rPr>
              <w:t>Report of local health departments' funding, workforce, programs, and partnerships</w:t>
            </w:r>
          </w:p>
        </w:tc>
      </w:tr>
      <w:tr w:rsidR="00AE0BF3" w14:paraId="0DCD9162" w14:textId="77777777" w:rsidTr="00AE0BF3">
        <w:tc>
          <w:tcPr>
            <w:tcW w:w="5035" w:type="dxa"/>
            <w:vAlign w:val="center"/>
          </w:tcPr>
          <w:p w14:paraId="7AF56080" w14:textId="06A1913C" w:rsidR="00AE0BF3" w:rsidRPr="00AE0BF3" w:rsidRDefault="00AE0BF3" w:rsidP="00AE0BF3">
            <w:pPr>
              <w:rPr>
                <w:rFonts w:cs="Arial"/>
                <w:sz w:val="20"/>
                <w:szCs w:val="20"/>
                <w:lang w:val="en"/>
              </w:rPr>
            </w:pPr>
            <w:r w:rsidRPr="00AE0BF3">
              <w:rPr>
                <w:color w:val="000000"/>
                <w:sz w:val="20"/>
                <w:szCs w:val="20"/>
              </w:rPr>
              <w:t xml:space="preserve">Report About the Changing Public Health Landscape </w:t>
            </w:r>
          </w:p>
        </w:tc>
        <w:tc>
          <w:tcPr>
            <w:tcW w:w="5035" w:type="dxa"/>
            <w:vAlign w:val="center"/>
          </w:tcPr>
          <w:p w14:paraId="32840556" w14:textId="78B8EC93" w:rsidR="00AE0BF3" w:rsidRPr="00AE0BF3" w:rsidRDefault="00AE0BF3" w:rsidP="00AE0BF3">
            <w:pPr>
              <w:rPr>
                <w:rFonts w:cs="Arial"/>
                <w:sz w:val="20"/>
                <w:szCs w:val="20"/>
                <w:lang w:val="en"/>
              </w:rPr>
            </w:pPr>
            <w:r w:rsidRPr="00AE0BF3">
              <w:rPr>
                <w:color w:val="000000"/>
                <w:sz w:val="20"/>
                <w:szCs w:val="20"/>
              </w:rPr>
              <w:t>Assessment of the</w:t>
            </w:r>
            <w:r w:rsidR="003B1269">
              <w:rPr>
                <w:color w:val="000000"/>
                <w:sz w:val="20"/>
                <w:szCs w:val="20"/>
              </w:rPr>
              <w:t xml:space="preserve"> impact of a variety of trends e</w:t>
            </w:r>
            <w:r w:rsidRPr="00AE0BF3">
              <w:rPr>
                <w:color w:val="000000"/>
                <w:sz w:val="20"/>
                <w:szCs w:val="20"/>
              </w:rPr>
              <w:t>ffecting change in local health departments, including economic factors and health reform</w:t>
            </w:r>
          </w:p>
        </w:tc>
      </w:tr>
      <w:tr w:rsidR="00AE0BF3" w14:paraId="5A9E32EE" w14:textId="77777777" w:rsidTr="00AE0BF3">
        <w:tc>
          <w:tcPr>
            <w:tcW w:w="5035" w:type="dxa"/>
            <w:vAlign w:val="center"/>
          </w:tcPr>
          <w:p w14:paraId="224F079D" w14:textId="5537DFD6" w:rsidR="00AE0BF3" w:rsidRPr="00AE0BF3" w:rsidRDefault="00AE0BF3" w:rsidP="00AE0BF3">
            <w:pPr>
              <w:rPr>
                <w:rFonts w:cs="Arial"/>
                <w:sz w:val="20"/>
                <w:szCs w:val="20"/>
                <w:lang w:val="en"/>
              </w:rPr>
            </w:pPr>
            <w:r w:rsidRPr="00AE0BF3">
              <w:rPr>
                <w:color w:val="000000"/>
                <w:sz w:val="20"/>
                <w:szCs w:val="20"/>
              </w:rPr>
              <w:t xml:space="preserve">National Leadership Academy for the Public's Health </w:t>
            </w:r>
          </w:p>
        </w:tc>
        <w:tc>
          <w:tcPr>
            <w:tcW w:w="5035" w:type="dxa"/>
            <w:vAlign w:val="center"/>
          </w:tcPr>
          <w:p w14:paraId="4CE3CF8D" w14:textId="5B92EAFC" w:rsidR="00AE0BF3" w:rsidRPr="00AE0BF3" w:rsidRDefault="00AE0BF3" w:rsidP="00AE0BF3">
            <w:pPr>
              <w:rPr>
                <w:rFonts w:cs="Arial"/>
                <w:sz w:val="20"/>
                <w:szCs w:val="20"/>
                <w:lang w:val="en"/>
              </w:rPr>
            </w:pPr>
            <w:r w:rsidRPr="00AE0BF3">
              <w:rPr>
                <w:color w:val="000000"/>
                <w:sz w:val="20"/>
                <w:szCs w:val="20"/>
              </w:rPr>
              <w:t>About the National Leadership Academy for the Public's Health―a training program for teams of public health leaders on tackling local health problems</w:t>
            </w:r>
          </w:p>
        </w:tc>
      </w:tr>
      <w:tr w:rsidR="00AE0BF3" w14:paraId="3CD0FF18" w14:textId="77777777" w:rsidTr="00AE0BF3">
        <w:tc>
          <w:tcPr>
            <w:tcW w:w="5035" w:type="dxa"/>
            <w:vAlign w:val="center"/>
          </w:tcPr>
          <w:p w14:paraId="0214C515" w14:textId="2E4DA203" w:rsidR="00AE0BF3" w:rsidRPr="00AE0BF3" w:rsidRDefault="00AE0BF3" w:rsidP="00AE0BF3">
            <w:pPr>
              <w:rPr>
                <w:rFonts w:cs="Arial"/>
                <w:sz w:val="20"/>
                <w:szCs w:val="20"/>
                <w:lang w:val="en"/>
              </w:rPr>
            </w:pPr>
            <w:r w:rsidRPr="00AE0BF3">
              <w:rPr>
                <w:color w:val="000000"/>
                <w:sz w:val="20"/>
                <w:szCs w:val="20"/>
              </w:rPr>
              <w:t>Fellowships, Externships, and Internships</w:t>
            </w:r>
          </w:p>
        </w:tc>
        <w:tc>
          <w:tcPr>
            <w:tcW w:w="5035" w:type="dxa"/>
            <w:vAlign w:val="center"/>
          </w:tcPr>
          <w:p w14:paraId="71D96A54" w14:textId="734D061C" w:rsidR="00AE0BF3" w:rsidRPr="00AE0BF3" w:rsidRDefault="00AE0BF3" w:rsidP="00AE0BF3">
            <w:pPr>
              <w:rPr>
                <w:rFonts w:cs="Arial"/>
                <w:sz w:val="20"/>
                <w:szCs w:val="20"/>
                <w:lang w:val="en"/>
              </w:rPr>
            </w:pPr>
            <w:r w:rsidRPr="00AE0BF3">
              <w:rPr>
                <w:color w:val="000000"/>
                <w:sz w:val="20"/>
                <w:szCs w:val="20"/>
              </w:rPr>
              <w:t>About fellowship, internship, training, and volunteer opportunities for students and professionals</w:t>
            </w:r>
          </w:p>
        </w:tc>
      </w:tr>
      <w:tr w:rsidR="00AE0BF3" w14:paraId="37B84E48" w14:textId="77777777" w:rsidTr="00AE0BF3">
        <w:tc>
          <w:tcPr>
            <w:tcW w:w="5035" w:type="dxa"/>
            <w:vAlign w:val="center"/>
          </w:tcPr>
          <w:p w14:paraId="38D71FC0" w14:textId="6CF042C6" w:rsidR="00AE0BF3" w:rsidRPr="00AE0BF3" w:rsidRDefault="00AE0BF3" w:rsidP="00AE0BF3">
            <w:pPr>
              <w:rPr>
                <w:rFonts w:cs="Arial"/>
                <w:sz w:val="20"/>
                <w:szCs w:val="20"/>
                <w:lang w:val="en"/>
              </w:rPr>
            </w:pPr>
            <w:r w:rsidRPr="00AE0BF3">
              <w:rPr>
                <w:color w:val="000000"/>
                <w:sz w:val="20"/>
                <w:szCs w:val="20"/>
              </w:rPr>
              <w:t>Training, Learning, and Continuing Education Opportunities</w:t>
            </w:r>
          </w:p>
        </w:tc>
        <w:tc>
          <w:tcPr>
            <w:tcW w:w="5035" w:type="dxa"/>
            <w:vAlign w:val="center"/>
          </w:tcPr>
          <w:p w14:paraId="2FE9CF09" w14:textId="583EA7A1" w:rsidR="00AE0BF3" w:rsidRPr="00AE0BF3" w:rsidRDefault="00AE0BF3" w:rsidP="00AE0BF3">
            <w:pPr>
              <w:rPr>
                <w:rFonts w:cs="Arial"/>
                <w:sz w:val="20"/>
                <w:szCs w:val="20"/>
                <w:lang w:val="en"/>
              </w:rPr>
            </w:pPr>
            <w:r w:rsidRPr="00AE0BF3">
              <w:rPr>
                <w:color w:val="000000"/>
                <w:sz w:val="20"/>
                <w:szCs w:val="20"/>
              </w:rPr>
              <w:t>Information about training opportunities, continuing education offerings, and educational tools developed by CDC and its partners</w:t>
            </w:r>
          </w:p>
        </w:tc>
      </w:tr>
      <w:tr w:rsidR="00AE0BF3" w14:paraId="5CD579AA" w14:textId="77777777" w:rsidTr="00AE0BF3">
        <w:tc>
          <w:tcPr>
            <w:tcW w:w="5035" w:type="dxa"/>
            <w:vAlign w:val="center"/>
          </w:tcPr>
          <w:p w14:paraId="349FFAF8" w14:textId="76B1B582" w:rsidR="00AE0BF3" w:rsidRPr="00AE0BF3" w:rsidRDefault="00AE0BF3" w:rsidP="00AE0BF3">
            <w:pPr>
              <w:rPr>
                <w:rFonts w:cs="Arial"/>
                <w:sz w:val="20"/>
                <w:szCs w:val="20"/>
                <w:lang w:val="en"/>
              </w:rPr>
            </w:pPr>
            <w:r w:rsidRPr="00AE0BF3">
              <w:rPr>
                <w:color w:val="000000"/>
                <w:sz w:val="20"/>
                <w:szCs w:val="20"/>
              </w:rPr>
              <w:t>National Public Health Partnership Success Stories</w:t>
            </w:r>
          </w:p>
        </w:tc>
        <w:tc>
          <w:tcPr>
            <w:tcW w:w="5035" w:type="dxa"/>
            <w:vAlign w:val="center"/>
          </w:tcPr>
          <w:p w14:paraId="786BDBA0" w14:textId="1A8D3D41" w:rsidR="00AE0BF3" w:rsidRPr="00AE0BF3" w:rsidRDefault="00AE0BF3" w:rsidP="00AE0BF3">
            <w:pPr>
              <w:rPr>
                <w:rFonts w:cs="Arial"/>
                <w:sz w:val="20"/>
                <w:szCs w:val="20"/>
                <w:lang w:val="en"/>
              </w:rPr>
            </w:pPr>
            <w:r w:rsidRPr="00AE0BF3">
              <w:rPr>
                <w:color w:val="000000"/>
                <w:sz w:val="20"/>
                <w:szCs w:val="20"/>
              </w:rPr>
              <w:t>Outcomes and accomplishments of CDC's funding to national public health partners</w:t>
            </w:r>
          </w:p>
        </w:tc>
      </w:tr>
      <w:tr w:rsidR="00AE0BF3" w14:paraId="451DE3A5" w14:textId="77777777" w:rsidTr="00AE0BF3">
        <w:tc>
          <w:tcPr>
            <w:tcW w:w="5035" w:type="dxa"/>
            <w:vAlign w:val="center"/>
          </w:tcPr>
          <w:p w14:paraId="04A9685F" w14:textId="4179F8EB" w:rsidR="00AE0BF3" w:rsidRPr="00AE0BF3" w:rsidRDefault="00AE0BF3" w:rsidP="00AE0BF3">
            <w:pPr>
              <w:rPr>
                <w:rFonts w:cs="Arial"/>
                <w:sz w:val="20"/>
                <w:szCs w:val="20"/>
                <w:lang w:val="en"/>
              </w:rPr>
            </w:pPr>
            <w:r w:rsidRPr="00AE0BF3">
              <w:rPr>
                <w:color w:val="000000"/>
                <w:sz w:val="20"/>
                <w:szCs w:val="20"/>
              </w:rPr>
              <w:t>Subscribe to Email Updates from</w:t>
            </w:r>
            <w:r w:rsidR="00681869">
              <w:rPr>
                <w:color w:val="000000"/>
                <w:sz w:val="20"/>
                <w:szCs w:val="20"/>
              </w:rPr>
              <w:t xml:space="preserve"> CDC’s Office for State, Tribal, Local and Territorial Support</w:t>
            </w:r>
            <w:r w:rsidRPr="00AE0BF3">
              <w:rPr>
                <w:color w:val="000000"/>
                <w:sz w:val="20"/>
                <w:szCs w:val="20"/>
              </w:rPr>
              <w:t xml:space="preserve"> </w:t>
            </w:r>
          </w:p>
        </w:tc>
        <w:tc>
          <w:tcPr>
            <w:tcW w:w="5035" w:type="dxa"/>
            <w:vAlign w:val="center"/>
          </w:tcPr>
          <w:p w14:paraId="7215B06B" w14:textId="6D7481C7" w:rsidR="00AE0BF3" w:rsidRPr="00AE0BF3" w:rsidRDefault="00AE0BF3" w:rsidP="00AE0BF3">
            <w:pPr>
              <w:rPr>
                <w:rFonts w:cs="Arial"/>
                <w:sz w:val="20"/>
                <w:szCs w:val="20"/>
                <w:lang w:val="en"/>
              </w:rPr>
            </w:pPr>
            <w:r w:rsidRPr="00AE0BF3">
              <w:rPr>
                <w:color w:val="000000"/>
                <w:sz w:val="20"/>
                <w:szCs w:val="20"/>
              </w:rPr>
              <w:t xml:space="preserve">Get the latest updates from OSTLTS about your areas of interest </w:t>
            </w:r>
          </w:p>
        </w:tc>
      </w:tr>
      <w:tr w:rsidR="00AE0BF3" w14:paraId="0807C0E0" w14:textId="77777777" w:rsidTr="00AE0BF3">
        <w:tc>
          <w:tcPr>
            <w:tcW w:w="5035" w:type="dxa"/>
            <w:vAlign w:val="center"/>
          </w:tcPr>
          <w:p w14:paraId="26B304A3" w14:textId="07E1333F" w:rsidR="00AE0BF3" w:rsidRPr="00AE0BF3" w:rsidRDefault="00AE0BF3" w:rsidP="004578D3">
            <w:pPr>
              <w:rPr>
                <w:rFonts w:cs="Arial"/>
                <w:sz w:val="20"/>
                <w:szCs w:val="20"/>
                <w:lang w:val="en"/>
              </w:rPr>
            </w:pPr>
            <w:r w:rsidRPr="00AE0BF3">
              <w:rPr>
                <w:color w:val="000000"/>
                <w:sz w:val="20"/>
                <w:szCs w:val="20"/>
              </w:rPr>
              <w:t>Social Media Channels</w:t>
            </w:r>
            <w:r w:rsidR="00077091">
              <w:rPr>
                <w:color w:val="000000"/>
                <w:sz w:val="20"/>
                <w:szCs w:val="20"/>
              </w:rPr>
              <w:t xml:space="preserve"> </w:t>
            </w:r>
            <w:r w:rsidR="004578D3">
              <w:rPr>
                <w:color w:val="000000"/>
                <w:sz w:val="20"/>
                <w:szCs w:val="20"/>
              </w:rPr>
              <w:t>of</w:t>
            </w:r>
            <w:r w:rsidR="0039126E">
              <w:rPr>
                <w:color w:val="000000"/>
                <w:sz w:val="20"/>
                <w:szCs w:val="20"/>
              </w:rPr>
              <w:t xml:space="preserve"> CDC’s </w:t>
            </w:r>
            <w:r w:rsidR="003B1269">
              <w:rPr>
                <w:color w:val="000000"/>
                <w:sz w:val="20"/>
                <w:szCs w:val="20"/>
              </w:rPr>
              <w:t>Office for State, Tribal, Local</w:t>
            </w:r>
            <w:r w:rsidR="0039126E">
              <w:rPr>
                <w:color w:val="000000"/>
                <w:sz w:val="20"/>
                <w:szCs w:val="20"/>
              </w:rPr>
              <w:t xml:space="preserve"> and Territorial Support</w:t>
            </w:r>
          </w:p>
        </w:tc>
        <w:tc>
          <w:tcPr>
            <w:tcW w:w="5035" w:type="dxa"/>
            <w:vAlign w:val="center"/>
          </w:tcPr>
          <w:p w14:paraId="3CC5B6EF" w14:textId="0534C80C" w:rsidR="00AE0BF3" w:rsidRPr="00AE0BF3" w:rsidRDefault="00AE0BF3" w:rsidP="00AE0BF3">
            <w:pPr>
              <w:rPr>
                <w:rFonts w:cs="Arial"/>
                <w:sz w:val="20"/>
                <w:szCs w:val="20"/>
                <w:lang w:val="en"/>
              </w:rPr>
            </w:pPr>
            <w:r w:rsidRPr="00AE0BF3">
              <w:rPr>
                <w:color w:val="000000"/>
                <w:sz w:val="20"/>
                <w:szCs w:val="20"/>
              </w:rPr>
              <w:t>Engage on social media with CDC's office supporting nonfederal public health agencies</w:t>
            </w:r>
          </w:p>
        </w:tc>
      </w:tr>
      <w:tr w:rsidR="00AE0BF3" w14:paraId="183661D6" w14:textId="77777777" w:rsidTr="00AE0BF3">
        <w:tc>
          <w:tcPr>
            <w:tcW w:w="5035" w:type="dxa"/>
            <w:vAlign w:val="center"/>
          </w:tcPr>
          <w:p w14:paraId="2C7F00E2" w14:textId="54EB1D6B" w:rsidR="00AE0BF3" w:rsidRPr="00AE0BF3" w:rsidRDefault="00AE0BF3" w:rsidP="00AE0BF3">
            <w:pPr>
              <w:rPr>
                <w:rFonts w:cs="Arial"/>
                <w:sz w:val="20"/>
                <w:szCs w:val="20"/>
                <w:lang w:val="en"/>
              </w:rPr>
            </w:pPr>
            <w:r w:rsidRPr="00AE0BF3">
              <w:rPr>
                <w:color w:val="000000"/>
                <w:sz w:val="20"/>
                <w:szCs w:val="20"/>
              </w:rPr>
              <w:t>STLT Resource Library and Collaboration Space</w:t>
            </w:r>
          </w:p>
        </w:tc>
        <w:tc>
          <w:tcPr>
            <w:tcW w:w="5035" w:type="dxa"/>
            <w:vAlign w:val="center"/>
          </w:tcPr>
          <w:p w14:paraId="1F5197B9" w14:textId="5AD48064" w:rsidR="00AE0BF3" w:rsidRPr="00AE0BF3" w:rsidRDefault="00AE0BF3" w:rsidP="00AE0BF3">
            <w:pPr>
              <w:rPr>
                <w:rFonts w:cs="Arial"/>
                <w:sz w:val="20"/>
                <w:szCs w:val="20"/>
                <w:lang w:val="en"/>
              </w:rPr>
            </w:pPr>
            <w:r w:rsidRPr="00AE0BF3">
              <w:rPr>
                <w:color w:val="000000"/>
                <w:sz w:val="20"/>
                <w:szCs w:val="20"/>
              </w:rPr>
              <w:t>Interactive, SharePoint-based community that gives contact information for CDC subject matter experts and offers adaptable communication materials</w:t>
            </w:r>
          </w:p>
        </w:tc>
      </w:tr>
      <w:tr w:rsidR="00AE0BF3" w14:paraId="7F83B0EE" w14:textId="77777777" w:rsidTr="00AE0BF3">
        <w:tc>
          <w:tcPr>
            <w:tcW w:w="5035" w:type="dxa"/>
            <w:vAlign w:val="center"/>
          </w:tcPr>
          <w:p w14:paraId="7954091C" w14:textId="254E5319" w:rsidR="00AE0BF3" w:rsidRPr="00AE0BF3" w:rsidRDefault="00AE0BF3" w:rsidP="00AE0BF3">
            <w:pPr>
              <w:rPr>
                <w:rFonts w:cs="Arial"/>
                <w:sz w:val="20"/>
                <w:szCs w:val="20"/>
                <w:lang w:val="en"/>
              </w:rPr>
            </w:pPr>
            <w:r w:rsidRPr="00AE0BF3">
              <w:rPr>
                <w:color w:val="000000"/>
                <w:sz w:val="20"/>
                <w:szCs w:val="20"/>
              </w:rPr>
              <w:t xml:space="preserve">Individual Profiles of Current STLT Health Officials </w:t>
            </w:r>
          </w:p>
        </w:tc>
        <w:tc>
          <w:tcPr>
            <w:tcW w:w="5035" w:type="dxa"/>
            <w:vAlign w:val="center"/>
          </w:tcPr>
          <w:p w14:paraId="27EE641F" w14:textId="48D6A698" w:rsidR="00AE0BF3" w:rsidRPr="00AE0BF3" w:rsidRDefault="00AE0BF3" w:rsidP="00AE0BF3">
            <w:pPr>
              <w:rPr>
                <w:rFonts w:cs="Arial"/>
                <w:sz w:val="20"/>
                <w:szCs w:val="20"/>
                <w:lang w:val="en"/>
              </w:rPr>
            </w:pPr>
            <w:r w:rsidRPr="00AE0BF3">
              <w:rPr>
                <w:color w:val="000000"/>
                <w:sz w:val="20"/>
                <w:szCs w:val="20"/>
              </w:rPr>
              <w:t>Learn more about individual health officials working in state, tribal, local, or territorial agencies and the challenges they face</w:t>
            </w:r>
          </w:p>
        </w:tc>
      </w:tr>
      <w:tr w:rsidR="00AE0BF3" w14:paraId="27318E77" w14:textId="77777777" w:rsidTr="00AE0BF3">
        <w:tc>
          <w:tcPr>
            <w:tcW w:w="5035" w:type="dxa"/>
            <w:vAlign w:val="center"/>
          </w:tcPr>
          <w:p w14:paraId="7A279916" w14:textId="6DC1FE1E" w:rsidR="00AE0BF3" w:rsidRPr="00AE0BF3" w:rsidRDefault="00AE0BF3" w:rsidP="00AE0BF3">
            <w:pPr>
              <w:rPr>
                <w:rFonts w:cs="Arial"/>
                <w:sz w:val="20"/>
                <w:szCs w:val="20"/>
                <w:lang w:val="en"/>
              </w:rPr>
            </w:pPr>
            <w:r w:rsidRPr="00AE0BF3">
              <w:rPr>
                <w:color w:val="000000"/>
                <w:sz w:val="20"/>
                <w:szCs w:val="20"/>
              </w:rPr>
              <w:t>Customizable Communication Products and Templates for STLTs</w:t>
            </w:r>
          </w:p>
        </w:tc>
        <w:tc>
          <w:tcPr>
            <w:tcW w:w="5035" w:type="dxa"/>
            <w:vAlign w:val="center"/>
          </w:tcPr>
          <w:p w14:paraId="5C28E04B" w14:textId="463EAA20" w:rsidR="00AE0BF3" w:rsidRPr="00AE0BF3" w:rsidRDefault="00AE0BF3" w:rsidP="00AE0BF3">
            <w:pPr>
              <w:rPr>
                <w:rFonts w:cs="Arial"/>
                <w:sz w:val="20"/>
                <w:szCs w:val="20"/>
                <w:lang w:val="en"/>
              </w:rPr>
            </w:pPr>
            <w:r w:rsidRPr="00AE0BF3">
              <w:rPr>
                <w:color w:val="000000"/>
                <w:sz w:val="20"/>
                <w:szCs w:val="20"/>
              </w:rPr>
              <w:t>Free, CDC-produced communication materials that public health professionals can download, customize, and distribute, including fact sheet templates, matte articles, videos, and rights-free photography</w:t>
            </w:r>
          </w:p>
        </w:tc>
      </w:tr>
      <w:tr w:rsidR="00AE0BF3" w14:paraId="73517E4A" w14:textId="77777777" w:rsidTr="00AE0BF3">
        <w:tc>
          <w:tcPr>
            <w:tcW w:w="5035" w:type="dxa"/>
            <w:vAlign w:val="center"/>
          </w:tcPr>
          <w:p w14:paraId="33333051" w14:textId="6D1176BF" w:rsidR="00AE0BF3" w:rsidRPr="00AE0BF3" w:rsidRDefault="00AE0BF3" w:rsidP="00AE0BF3">
            <w:pPr>
              <w:rPr>
                <w:rFonts w:cs="Arial"/>
                <w:sz w:val="20"/>
                <w:szCs w:val="20"/>
                <w:lang w:val="en"/>
              </w:rPr>
            </w:pPr>
            <w:r w:rsidRPr="00AE0BF3">
              <w:rPr>
                <w:color w:val="000000"/>
                <w:sz w:val="20"/>
                <w:szCs w:val="20"/>
              </w:rPr>
              <w:t>CDC's Structure, Programs, and Leaders</w:t>
            </w:r>
          </w:p>
        </w:tc>
        <w:tc>
          <w:tcPr>
            <w:tcW w:w="5035" w:type="dxa"/>
            <w:vAlign w:val="center"/>
          </w:tcPr>
          <w:p w14:paraId="4DD15909" w14:textId="52057785" w:rsidR="00AE0BF3" w:rsidRPr="00AE0BF3" w:rsidRDefault="00AE0BF3" w:rsidP="00AE0BF3">
            <w:pPr>
              <w:rPr>
                <w:rFonts w:cs="Arial"/>
                <w:sz w:val="20"/>
                <w:szCs w:val="20"/>
                <w:lang w:val="en"/>
              </w:rPr>
            </w:pPr>
            <w:r w:rsidRPr="00AE0BF3">
              <w:rPr>
                <w:color w:val="000000"/>
                <w:sz w:val="20"/>
                <w:szCs w:val="20"/>
              </w:rPr>
              <w:t>Learn more about CDC's organizational structure and access fact sheets and leaders' bios</w:t>
            </w:r>
          </w:p>
        </w:tc>
      </w:tr>
      <w:tr w:rsidR="00AE0BF3" w14:paraId="18249975" w14:textId="77777777" w:rsidTr="00AE0BF3">
        <w:tc>
          <w:tcPr>
            <w:tcW w:w="5035" w:type="dxa"/>
            <w:vAlign w:val="center"/>
          </w:tcPr>
          <w:p w14:paraId="1866DCCA" w14:textId="36C70627" w:rsidR="00AE0BF3" w:rsidRPr="00AE0BF3" w:rsidRDefault="00AE0BF3" w:rsidP="00AE0BF3">
            <w:pPr>
              <w:rPr>
                <w:rFonts w:cs="Arial"/>
                <w:sz w:val="20"/>
                <w:szCs w:val="20"/>
                <w:lang w:val="en"/>
              </w:rPr>
            </w:pPr>
            <w:r w:rsidRPr="00AE0BF3">
              <w:rPr>
                <w:color w:val="000000"/>
                <w:sz w:val="20"/>
                <w:szCs w:val="20"/>
              </w:rPr>
              <w:t>Federal Government Appropriations Process</w:t>
            </w:r>
          </w:p>
        </w:tc>
        <w:tc>
          <w:tcPr>
            <w:tcW w:w="5035" w:type="dxa"/>
            <w:vAlign w:val="center"/>
          </w:tcPr>
          <w:p w14:paraId="3D30E742" w14:textId="0C43E209" w:rsidR="00AE0BF3" w:rsidRPr="00AE0BF3" w:rsidRDefault="00AE0BF3" w:rsidP="00AE0BF3">
            <w:pPr>
              <w:rPr>
                <w:rFonts w:cs="Arial"/>
                <w:sz w:val="20"/>
                <w:szCs w:val="20"/>
                <w:lang w:val="en"/>
              </w:rPr>
            </w:pPr>
            <w:r w:rsidRPr="00AE0BF3">
              <w:rPr>
                <w:color w:val="000000"/>
                <w:sz w:val="20"/>
                <w:szCs w:val="20"/>
              </w:rPr>
              <w:t>Learn about how the federal budget is created, approved, and executed</w:t>
            </w:r>
          </w:p>
        </w:tc>
      </w:tr>
      <w:tr w:rsidR="00AE0BF3" w14:paraId="3EEE961E" w14:textId="77777777" w:rsidTr="00AE0BF3">
        <w:tc>
          <w:tcPr>
            <w:tcW w:w="5035" w:type="dxa"/>
            <w:vAlign w:val="center"/>
          </w:tcPr>
          <w:p w14:paraId="4F1FE61C" w14:textId="23431AE9" w:rsidR="00AE0BF3" w:rsidRPr="00AE0BF3" w:rsidRDefault="00AE0BF3" w:rsidP="00AE0BF3">
            <w:pPr>
              <w:rPr>
                <w:rFonts w:cs="Arial"/>
                <w:sz w:val="20"/>
                <w:szCs w:val="20"/>
                <w:lang w:val="en"/>
              </w:rPr>
            </w:pPr>
            <w:r w:rsidRPr="00AE0BF3">
              <w:rPr>
                <w:color w:val="000000"/>
                <w:sz w:val="20"/>
                <w:szCs w:val="20"/>
              </w:rPr>
              <w:t>Direct Assistance: Assigning CDC Staff to STLT Health Agencies</w:t>
            </w:r>
          </w:p>
        </w:tc>
        <w:tc>
          <w:tcPr>
            <w:tcW w:w="5035" w:type="dxa"/>
            <w:vAlign w:val="center"/>
          </w:tcPr>
          <w:p w14:paraId="15CB9A63" w14:textId="606C137E" w:rsidR="00AE0BF3" w:rsidRPr="00AE0BF3" w:rsidRDefault="00AE0BF3" w:rsidP="00AE0BF3">
            <w:pPr>
              <w:rPr>
                <w:rFonts w:cs="Arial"/>
                <w:sz w:val="20"/>
                <w:szCs w:val="20"/>
                <w:lang w:val="en"/>
              </w:rPr>
            </w:pPr>
            <w:r w:rsidRPr="00AE0BF3">
              <w:rPr>
                <w:color w:val="000000"/>
                <w:sz w:val="20"/>
                <w:szCs w:val="20"/>
              </w:rPr>
              <w:t>Information about Direct Assistance—a mechanism to support payroll and travel expenses of CDC employees assigned to state, tribal, local, or territorial public health agencies</w:t>
            </w:r>
          </w:p>
        </w:tc>
      </w:tr>
      <w:tr w:rsidR="00AE0BF3" w14:paraId="018874FF" w14:textId="77777777" w:rsidTr="00AE0BF3">
        <w:tc>
          <w:tcPr>
            <w:tcW w:w="5035" w:type="dxa"/>
            <w:vAlign w:val="center"/>
          </w:tcPr>
          <w:p w14:paraId="6201C1AE" w14:textId="2D34A11E" w:rsidR="00AE0BF3" w:rsidRPr="00AE0BF3" w:rsidRDefault="00AE0BF3" w:rsidP="00AE0BF3">
            <w:pPr>
              <w:rPr>
                <w:rFonts w:cs="Arial"/>
                <w:sz w:val="20"/>
                <w:szCs w:val="20"/>
                <w:lang w:val="en"/>
              </w:rPr>
            </w:pPr>
            <w:r w:rsidRPr="00AE0BF3">
              <w:rPr>
                <w:color w:val="000000"/>
                <w:sz w:val="20"/>
                <w:szCs w:val="20"/>
              </w:rPr>
              <w:t xml:space="preserve">Alerts About Current and Projected Funding Opportunities </w:t>
            </w:r>
          </w:p>
        </w:tc>
        <w:tc>
          <w:tcPr>
            <w:tcW w:w="5035" w:type="dxa"/>
            <w:vAlign w:val="center"/>
          </w:tcPr>
          <w:p w14:paraId="787026AB" w14:textId="5715B54B" w:rsidR="00AE0BF3" w:rsidRPr="00AE0BF3" w:rsidRDefault="00AE0BF3" w:rsidP="00AE0BF3">
            <w:pPr>
              <w:rPr>
                <w:rFonts w:cs="Arial"/>
                <w:sz w:val="20"/>
                <w:szCs w:val="20"/>
                <w:lang w:val="en"/>
              </w:rPr>
            </w:pPr>
            <w:r w:rsidRPr="00AE0BF3">
              <w:rPr>
                <w:color w:val="000000"/>
                <w:sz w:val="20"/>
                <w:szCs w:val="20"/>
              </w:rPr>
              <w:t>Information about subscribing to email alerts about federal funding opportunities, search for forecasted opportunities, and receive email updates about a specific forecasted opportunity</w:t>
            </w:r>
          </w:p>
        </w:tc>
      </w:tr>
      <w:tr w:rsidR="00AE0BF3" w14:paraId="6BF928CE" w14:textId="77777777" w:rsidTr="00AE0BF3">
        <w:tc>
          <w:tcPr>
            <w:tcW w:w="5035" w:type="dxa"/>
            <w:vAlign w:val="center"/>
          </w:tcPr>
          <w:p w14:paraId="6AFD0C50" w14:textId="76D8DD54" w:rsidR="00AE0BF3" w:rsidRPr="00AE0BF3" w:rsidRDefault="00AE0BF3" w:rsidP="00AE0BF3">
            <w:pPr>
              <w:rPr>
                <w:rFonts w:cs="Arial"/>
                <w:sz w:val="20"/>
                <w:szCs w:val="20"/>
                <w:lang w:val="en"/>
              </w:rPr>
            </w:pPr>
            <w:r w:rsidRPr="00AE0BF3">
              <w:rPr>
                <w:color w:val="000000"/>
                <w:sz w:val="20"/>
                <w:szCs w:val="20"/>
              </w:rPr>
              <w:t>Grant Writing Guidance and Tips</w:t>
            </w:r>
          </w:p>
        </w:tc>
        <w:tc>
          <w:tcPr>
            <w:tcW w:w="5035" w:type="dxa"/>
            <w:vAlign w:val="center"/>
          </w:tcPr>
          <w:p w14:paraId="08CE4351" w14:textId="78AFCC9C" w:rsidR="00AE0BF3" w:rsidRPr="00AE0BF3" w:rsidRDefault="00AE0BF3" w:rsidP="00AE0BF3">
            <w:pPr>
              <w:rPr>
                <w:rFonts w:cs="Arial"/>
                <w:sz w:val="20"/>
                <w:szCs w:val="20"/>
                <w:lang w:val="en"/>
              </w:rPr>
            </w:pPr>
            <w:r w:rsidRPr="00AE0BF3">
              <w:rPr>
                <w:color w:val="000000"/>
                <w:sz w:val="20"/>
                <w:szCs w:val="20"/>
              </w:rPr>
              <w:t>Information about how to apply for grants and how to increase your competitiveness in the award process</w:t>
            </w:r>
          </w:p>
        </w:tc>
      </w:tr>
      <w:tr w:rsidR="00AE0BF3" w14:paraId="670D0B10" w14:textId="77777777" w:rsidTr="00AE0BF3">
        <w:tc>
          <w:tcPr>
            <w:tcW w:w="5035" w:type="dxa"/>
            <w:vAlign w:val="center"/>
          </w:tcPr>
          <w:p w14:paraId="509F5162" w14:textId="0B49687F" w:rsidR="00AE0BF3" w:rsidRPr="00AE0BF3" w:rsidRDefault="00AE0BF3" w:rsidP="00AE0BF3">
            <w:pPr>
              <w:rPr>
                <w:rFonts w:cs="Arial"/>
                <w:sz w:val="20"/>
                <w:szCs w:val="20"/>
                <w:lang w:val="en"/>
              </w:rPr>
            </w:pPr>
            <w:r w:rsidRPr="00AE0BF3">
              <w:rPr>
                <w:color w:val="000000"/>
                <w:sz w:val="20"/>
                <w:szCs w:val="20"/>
              </w:rPr>
              <w:t>State and Local Health Departments—Structure and Governance</w:t>
            </w:r>
          </w:p>
        </w:tc>
        <w:tc>
          <w:tcPr>
            <w:tcW w:w="5035" w:type="dxa"/>
            <w:vAlign w:val="center"/>
          </w:tcPr>
          <w:p w14:paraId="0B0201D5" w14:textId="1A3A924D" w:rsidR="00AE0BF3" w:rsidRPr="00AE0BF3" w:rsidRDefault="00AE0BF3" w:rsidP="00AE0BF3">
            <w:pPr>
              <w:rPr>
                <w:rFonts w:cs="Arial"/>
                <w:sz w:val="20"/>
                <w:szCs w:val="20"/>
                <w:lang w:val="en"/>
              </w:rPr>
            </w:pPr>
            <w:r w:rsidRPr="00AE0BF3">
              <w:rPr>
                <w:color w:val="000000"/>
                <w:sz w:val="20"/>
                <w:szCs w:val="20"/>
              </w:rPr>
              <w:t>Learn how states and localities organize and structure their health departments (Centralized, Decentralized, or Mixed), and how they work together</w:t>
            </w:r>
          </w:p>
        </w:tc>
      </w:tr>
      <w:tr w:rsidR="00AE0BF3" w14:paraId="7535D809" w14:textId="77777777" w:rsidTr="00AE0BF3">
        <w:tc>
          <w:tcPr>
            <w:tcW w:w="5035" w:type="dxa"/>
            <w:vAlign w:val="center"/>
          </w:tcPr>
          <w:p w14:paraId="7A6E57F9" w14:textId="540B565C" w:rsidR="00AE0BF3" w:rsidRPr="00AE0BF3" w:rsidRDefault="00AE0BF3" w:rsidP="00AE0BF3">
            <w:pPr>
              <w:rPr>
                <w:rFonts w:cs="Arial"/>
                <w:sz w:val="20"/>
                <w:szCs w:val="20"/>
                <w:lang w:val="en"/>
              </w:rPr>
            </w:pPr>
            <w:r w:rsidRPr="00AE0BF3">
              <w:rPr>
                <w:color w:val="000000"/>
                <w:sz w:val="20"/>
                <w:szCs w:val="20"/>
              </w:rPr>
              <w:t>National Health Initiatives, Strategies, and Action Plans</w:t>
            </w:r>
          </w:p>
        </w:tc>
        <w:tc>
          <w:tcPr>
            <w:tcW w:w="5035" w:type="dxa"/>
            <w:vAlign w:val="center"/>
          </w:tcPr>
          <w:p w14:paraId="7631F2A0" w14:textId="51FCDEB6" w:rsidR="00AE0BF3" w:rsidRPr="00AE0BF3" w:rsidRDefault="00AE0BF3" w:rsidP="00AE0BF3">
            <w:pPr>
              <w:rPr>
                <w:rFonts w:cs="Arial"/>
                <w:sz w:val="20"/>
                <w:szCs w:val="20"/>
                <w:lang w:val="en"/>
              </w:rPr>
            </w:pPr>
            <w:r w:rsidRPr="00AE0BF3">
              <w:rPr>
                <w:color w:val="000000"/>
                <w:sz w:val="20"/>
                <w:szCs w:val="20"/>
              </w:rPr>
              <w:t>Information about national health initiatives, strategies, and action plans that can guide public health planning and activities</w:t>
            </w:r>
          </w:p>
        </w:tc>
      </w:tr>
      <w:tr w:rsidR="00AE0BF3" w14:paraId="2D3E39C0" w14:textId="77777777" w:rsidTr="00AE0BF3">
        <w:tc>
          <w:tcPr>
            <w:tcW w:w="5035" w:type="dxa"/>
            <w:vAlign w:val="center"/>
          </w:tcPr>
          <w:p w14:paraId="2DADD179" w14:textId="6CF8DD68" w:rsidR="00AE0BF3" w:rsidRPr="00AE0BF3" w:rsidRDefault="00AE0BF3" w:rsidP="00AE0BF3">
            <w:pPr>
              <w:rPr>
                <w:rFonts w:cs="Arial"/>
                <w:sz w:val="20"/>
                <w:szCs w:val="20"/>
                <w:lang w:val="en"/>
              </w:rPr>
            </w:pPr>
            <w:r w:rsidRPr="00AE0BF3">
              <w:rPr>
                <w:color w:val="000000"/>
                <w:sz w:val="20"/>
                <w:szCs w:val="20"/>
              </w:rPr>
              <w:t>Federal Government Integrity and Accountability Offices</w:t>
            </w:r>
          </w:p>
        </w:tc>
        <w:tc>
          <w:tcPr>
            <w:tcW w:w="5035" w:type="dxa"/>
            <w:vAlign w:val="center"/>
          </w:tcPr>
          <w:p w14:paraId="0049E0B5" w14:textId="2252D133" w:rsidR="00AE0BF3" w:rsidRPr="00AE0BF3" w:rsidRDefault="00AE0BF3" w:rsidP="00AE0BF3">
            <w:pPr>
              <w:rPr>
                <w:rFonts w:cs="Arial"/>
                <w:sz w:val="20"/>
                <w:szCs w:val="20"/>
                <w:lang w:val="en"/>
              </w:rPr>
            </w:pPr>
            <w:r w:rsidRPr="00AE0BF3">
              <w:rPr>
                <w:color w:val="000000"/>
                <w:sz w:val="20"/>
                <w:szCs w:val="20"/>
              </w:rPr>
              <w:t>Learn about federal government offices working to meet constitutional responsibilities and improve the performance and accountability of the federal government</w:t>
            </w:r>
          </w:p>
        </w:tc>
      </w:tr>
      <w:tr w:rsidR="00AE0BF3" w14:paraId="6F227C8F" w14:textId="77777777" w:rsidTr="00AE0BF3">
        <w:tc>
          <w:tcPr>
            <w:tcW w:w="5035" w:type="dxa"/>
            <w:vAlign w:val="center"/>
          </w:tcPr>
          <w:p w14:paraId="473A44DB" w14:textId="5E305317" w:rsidR="00AE0BF3" w:rsidRPr="00AE0BF3" w:rsidRDefault="00AE0BF3" w:rsidP="00AE0BF3">
            <w:pPr>
              <w:rPr>
                <w:rFonts w:cs="Arial"/>
                <w:sz w:val="20"/>
                <w:szCs w:val="20"/>
                <w:lang w:val="en"/>
              </w:rPr>
            </w:pPr>
            <w:r w:rsidRPr="00AE0BF3">
              <w:rPr>
                <w:color w:val="000000"/>
                <w:sz w:val="20"/>
                <w:szCs w:val="20"/>
              </w:rPr>
              <w:t>Federal Legislation, Regulations, and Policies</w:t>
            </w:r>
          </w:p>
        </w:tc>
        <w:tc>
          <w:tcPr>
            <w:tcW w:w="5035" w:type="dxa"/>
            <w:vAlign w:val="center"/>
          </w:tcPr>
          <w:p w14:paraId="21706013" w14:textId="7EF070B8" w:rsidR="00AE0BF3" w:rsidRPr="00AE0BF3" w:rsidRDefault="00AE0BF3" w:rsidP="00AE0BF3">
            <w:pPr>
              <w:rPr>
                <w:rFonts w:cs="Arial"/>
                <w:sz w:val="20"/>
                <w:szCs w:val="20"/>
                <w:lang w:val="en"/>
              </w:rPr>
            </w:pPr>
            <w:r w:rsidRPr="00AE0BF3">
              <w:rPr>
                <w:color w:val="000000"/>
                <w:sz w:val="20"/>
                <w:szCs w:val="20"/>
              </w:rPr>
              <w:t>Learn about and access the laws, rules, and regulations that govern how federal agencies operate</w:t>
            </w:r>
          </w:p>
        </w:tc>
      </w:tr>
      <w:tr w:rsidR="00AE0BF3" w14:paraId="0EE18D09" w14:textId="77777777" w:rsidTr="00AE0BF3">
        <w:tc>
          <w:tcPr>
            <w:tcW w:w="5035" w:type="dxa"/>
            <w:vAlign w:val="center"/>
          </w:tcPr>
          <w:p w14:paraId="19117AFA" w14:textId="69213B1A" w:rsidR="00AE0BF3" w:rsidRPr="00AE0BF3" w:rsidRDefault="00AE0BF3" w:rsidP="00AE0BF3">
            <w:pPr>
              <w:rPr>
                <w:rFonts w:cs="Arial"/>
                <w:sz w:val="20"/>
                <w:szCs w:val="20"/>
                <w:lang w:val="en"/>
              </w:rPr>
            </w:pPr>
            <w:r w:rsidRPr="00AE0BF3">
              <w:rPr>
                <w:color w:val="000000"/>
                <w:sz w:val="20"/>
                <w:szCs w:val="20"/>
              </w:rPr>
              <w:t>Public Health Guidelines and Recommendations</w:t>
            </w:r>
          </w:p>
        </w:tc>
        <w:tc>
          <w:tcPr>
            <w:tcW w:w="5035" w:type="dxa"/>
            <w:vAlign w:val="center"/>
          </w:tcPr>
          <w:p w14:paraId="4EA79A91" w14:textId="3AE542D1" w:rsidR="00AE0BF3" w:rsidRPr="00AE0BF3" w:rsidRDefault="00AE0BF3" w:rsidP="00AE0BF3">
            <w:pPr>
              <w:rPr>
                <w:rFonts w:cs="Arial"/>
                <w:sz w:val="20"/>
                <w:szCs w:val="20"/>
                <w:lang w:val="en"/>
              </w:rPr>
            </w:pPr>
            <w:r w:rsidRPr="00AE0BF3">
              <w:rPr>
                <w:color w:val="000000"/>
                <w:sz w:val="20"/>
                <w:szCs w:val="20"/>
              </w:rPr>
              <w:t>One-stop shop for guidelines or recommendations developed by CDC, CDC working in collaboration with other organizations or agencies, or by CDC federal advisory com</w:t>
            </w:r>
            <w:r w:rsidRPr="0025314C">
              <w:rPr>
                <w:sz w:val="20"/>
                <w:szCs w:val="20"/>
              </w:rPr>
              <w:t>mittees</w:t>
            </w:r>
          </w:p>
        </w:tc>
      </w:tr>
      <w:tr w:rsidR="00AE0BF3" w14:paraId="7F673DD1" w14:textId="77777777" w:rsidTr="00AE0BF3">
        <w:tc>
          <w:tcPr>
            <w:tcW w:w="5035" w:type="dxa"/>
            <w:vAlign w:val="center"/>
          </w:tcPr>
          <w:p w14:paraId="7DEC5C5F" w14:textId="084114C3" w:rsidR="00AE0BF3" w:rsidRPr="00AE0BF3" w:rsidRDefault="00AE0BF3" w:rsidP="00AE0BF3">
            <w:pPr>
              <w:rPr>
                <w:rFonts w:cs="Arial"/>
                <w:sz w:val="20"/>
                <w:szCs w:val="20"/>
                <w:lang w:val="en"/>
              </w:rPr>
            </w:pPr>
            <w:r w:rsidRPr="00AE0BF3">
              <w:rPr>
                <w:color w:val="000000"/>
                <w:sz w:val="20"/>
                <w:szCs w:val="20"/>
              </w:rPr>
              <w:t xml:space="preserve">CDC Data and Statistics </w:t>
            </w:r>
          </w:p>
        </w:tc>
        <w:tc>
          <w:tcPr>
            <w:tcW w:w="5035" w:type="dxa"/>
            <w:vAlign w:val="center"/>
          </w:tcPr>
          <w:p w14:paraId="6FA09B00" w14:textId="43C61F3B" w:rsidR="00AE0BF3" w:rsidRPr="00AE0BF3" w:rsidRDefault="00AE0BF3" w:rsidP="00AE0BF3">
            <w:pPr>
              <w:rPr>
                <w:rFonts w:cs="Arial"/>
                <w:sz w:val="20"/>
                <w:szCs w:val="20"/>
                <w:lang w:val="en"/>
              </w:rPr>
            </w:pPr>
            <w:r w:rsidRPr="00AE0BF3">
              <w:rPr>
                <w:color w:val="000000"/>
                <w:sz w:val="20"/>
                <w:szCs w:val="20"/>
              </w:rPr>
              <w:t>Access data and statistics about many of the most pressing public health problems</w:t>
            </w:r>
          </w:p>
        </w:tc>
      </w:tr>
      <w:tr w:rsidR="00AE0BF3" w14:paraId="320F0256" w14:textId="77777777" w:rsidTr="00AE0BF3">
        <w:tc>
          <w:tcPr>
            <w:tcW w:w="5035" w:type="dxa"/>
            <w:vAlign w:val="center"/>
          </w:tcPr>
          <w:p w14:paraId="36BB6DA4" w14:textId="22A90296" w:rsidR="00AE0BF3" w:rsidRPr="00AE0BF3" w:rsidRDefault="00AE0BF3" w:rsidP="00AE0BF3">
            <w:pPr>
              <w:rPr>
                <w:rFonts w:cs="Arial"/>
                <w:sz w:val="20"/>
                <w:szCs w:val="20"/>
                <w:lang w:val="en"/>
              </w:rPr>
            </w:pPr>
            <w:r w:rsidRPr="00AE0BF3">
              <w:rPr>
                <w:color w:val="000000"/>
                <w:sz w:val="20"/>
                <w:szCs w:val="20"/>
              </w:rPr>
              <w:t>Health Data for States, Territories, and US-Affiliated Pacific Islands</w:t>
            </w:r>
          </w:p>
        </w:tc>
        <w:tc>
          <w:tcPr>
            <w:tcW w:w="5035" w:type="dxa"/>
            <w:vAlign w:val="center"/>
          </w:tcPr>
          <w:p w14:paraId="4F6A0A03" w14:textId="48D4FA66" w:rsidR="00AE0BF3" w:rsidRPr="00AE0BF3" w:rsidRDefault="00AE0BF3" w:rsidP="00AE0BF3">
            <w:pPr>
              <w:rPr>
                <w:rFonts w:cs="Arial"/>
                <w:sz w:val="20"/>
                <w:szCs w:val="20"/>
                <w:lang w:val="en"/>
              </w:rPr>
            </w:pPr>
            <w:r w:rsidRPr="00AE0BF3">
              <w:rPr>
                <w:color w:val="000000"/>
                <w:sz w:val="20"/>
                <w:szCs w:val="20"/>
              </w:rPr>
              <w:t>Data about the distribution of select health problems across states and other jurisdictions</w:t>
            </w:r>
          </w:p>
        </w:tc>
      </w:tr>
      <w:tr w:rsidR="00AE0BF3" w14:paraId="6780FAC3" w14:textId="77777777" w:rsidTr="00AE0BF3">
        <w:tc>
          <w:tcPr>
            <w:tcW w:w="5035" w:type="dxa"/>
            <w:vAlign w:val="center"/>
          </w:tcPr>
          <w:p w14:paraId="04D970A4" w14:textId="2D9706F4" w:rsidR="00AE0BF3" w:rsidRPr="00AE0BF3" w:rsidRDefault="00AE0BF3" w:rsidP="00AE0BF3">
            <w:pPr>
              <w:rPr>
                <w:rFonts w:cs="Arial"/>
                <w:sz w:val="20"/>
                <w:szCs w:val="20"/>
                <w:lang w:val="en"/>
              </w:rPr>
            </w:pPr>
            <w:r w:rsidRPr="00AE0BF3">
              <w:rPr>
                <w:color w:val="000000"/>
                <w:sz w:val="20"/>
                <w:szCs w:val="20"/>
              </w:rPr>
              <w:t>Public Health Economics and Tools</w:t>
            </w:r>
          </w:p>
        </w:tc>
        <w:tc>
          <w:tcPr>
            <w:tcW w:w="5035" w:type="dxa"/>
            <w:vAlign w:val="center"/>
          </w:tcPr>
          <w:p w14:paraId="24C2FD6D" w14:textId="15F287B3" w:rsidR="00AE0BF3" w:rsidRPr="00AE0BF3" w:rsidRDefault="00AE0BF3" w:rsidP="00AE0BF3">
            <w:pPr>
              <w:rPr>
                <w:rFonts w:cs="Arial"/>
                <w:sz w:val="20"/>
                <w:szCs w:val="20"/>
                <w:lang w:val="en"/>
              </w:rPr>
            </w:pPr>
            <w:r w:rsidRPr="00AE0BF3">
              <w:rPr>
                <w:color w:val="000000"/>
                <w:sz w:val="20"/>
                <w:szCs w:val="20"/>
              </w:rPr>
              <w:t>Learn about health economics and how economics can identify, measure, value, and compare the costs and consequences of alternative prevention strategies</w:t>
            </w:r>
          </w:p>
        </w:tc>
      </w:tr>
      <w:tr w:rsidR="00AE0BF3" w14:paraId="010E257F" w14:textId="77777777" w:rsidTr="00AE0BF3">
        <w:tc>
          <w:tcPr>
            <w:tcW w:w="5035" w:type="dxa"/>
            <w:vAlign w:val="center"/>
          </w:tcPr>
          <w:p w14:paraId="5A210592" w14:textId="144C9554" w:rsidR="00AE0BF3" w:rsidRPr="00AE0BF3" w:rsidRDefault="00AE0BF3" w:rsidP="00AE0BF3">
            <w:pPr>
              <w:rPr>
                <w:rFonts w:cs="Arial"/>
                <w:sz w:val="20"/>
                <w:szCs w:val="20"/>
                <w:lang w:val="en"/>
              </w:rPr>
            </w:pPr>
            <w:r w:rsidRPr="00AE0BF3">
              <w:rPr>
                <w:color w:val="000000"/>
                <w:sz w:val="20"/>
                <w:szCs w:val="20"/>
              </w:rPr>
              <w:t xml:space="preserve">Community Health Assessment Resources </w:t>
            </w:r>
          </w:p>
        </w:tc>
        <w:tc>
          <w:tcPr>
            <w:tcW w:w="5035" w:type="dxa"/>
            <w:vAlign w:val="center"/>
          </w:tcPr>
          <w:p w14:paraId="3FDFA01C" w14:textId="59096CF0" w:rsidR="00AE0BF3" w:rsidRPr="00AE0BF3" w:rsidRDefault="00AE0BF3" w:rsidP="00AE0BF3">
            <w:pPr>
              <w:rPr>
                <w:rFonts w:cs="Arial"/>
                <w:sz w:val="20"/>
                <w:szCs w:val="20"/>
                <w:lang w:val="en"/>
              </w:rPr>
            </w:pPr>
            <w:r w:rsidRPr="00AE0BF3">
              <w:rPr>
                <w:color w:val="000000"/>
                <w:sz w:val="20"/>
                <w:szCs w:val="20"/>
              </w:rPr>
              <w:t>Tools and strategies to help health agencies develop community health assessments and health improvement plans</w:t>
            </w:r>
          </w:p>
        </w:tc>
      </w:tr>
      <w:tr w:rsidR="00AE0BF3" w14:paraId="39603985" w14:textId="77777777" w:rsidTr="00AE0BF3">
        <w:tc>
          <w:tcPr>
            <w:tcW w:w="5035" w:type="dxa"/>
            <w:vAlign w:val="center"/>
          </w:tcPr>
          <w:p w14:paraId="16C12C04" w14:textId="59A52095" w:rsidR="00AE0BF3" w:rsidRPr="00AE0BF3" w:rsidRDefault="00AE0BF3" w:rsidP="00AE0BF3">
            <w:pPr>
              <w:rPr>
                <w:rFonts w:cs="Arial"/>
                <w:sz w:val="20"/>
                <w:szCs w:val="20"/>
                <w:lang w:val="en"/>
              </w:rPr>
            </w:pPr>
            <w:r w:rsidRPr="00AE0BF3">
              <w:rPr>
                <w:color w:val="000000"/>
                <w:sz w:val="20"/>
                <w:szCs w:val="20"/>
              </w:rPr>
              <w:t>Performance Management and Quality Improvement Resources</w:t>
            </w:r>
          </w:p>
        </w:tc>
        <w:tc>
          <w:tcPr>
            <w:tcW w:w="5035" w:type="dxa"/>
            <w:vAlign w:val="center"/>
          </w:tcPr>
          <w:p w14:paraId="0BC255BF" w14:textId="2EDFD576" w:rsidR="00AE0BF3" w:rsidRPr="00AE0BF3" w:rsidRDefault="00AE0BF3" w:rsidP="00AE0BF3">
            <w:pPr>
              <w:rPr>
                <w:rFonts w:cs="Arial"/>
                <w:sz w:val="20"/>
                <w:szCs w:val="20"/>
                <w:lang w:val="en"/>
              </w:rPr>
            </w:pPr>
            <w:r w:rsidRPr="00AE0BF3">
              <w:rPr>
                <w:color w:val="000000"/>
                <w:sz w:val="20"/>
                <w:szCs w:val="20"/>
              </w:rPr>
              <w:t>Concepts, resources, and links to support health departments as they head down the path of improving their performance</w:t>
            </w:r>
          </w:p>
        </w:tc>
      </w:tr>
      <w:tr w:rsidR="00AE0BF3" w14:paraId="71BA1E4A" w14:textId="77777777" w:rsidTr="00AE0BF3">
        <w:tc>
          <w:tcPr>
            <w:tcW w:w="5035" w:type="dxa"/>
            <w:vAlign w:val="center"/>
          </w:tcPr>
          <w:p w14:paraId="3B8B7D32" w14:textId="5C0CE7D5" w:rsidR="00AE0BF3" w:rsidRPr="00AE0BF3" w:rsidRDefault="00AE0BF3" w:rsidP="00AE0BF3">
            <w:pPr>
              <w:rPr>
                <w:rFonts w:cs="Arial"/>
                <w:sz w:val="20"/>
                <w:szCs w:val="20"/>
                <w:lang w:val="en"/>
              </w:rPr>
            </w:pPr>
            <w:r w:rsidRPr="00AE0BF3">
              <w:rPr>
                <w:color w:val="000000"/>
                <w:sz w:val="20"/>
                <w:szCs w:val="20"/>
              </w:rPr>
              <w:t>Benefits and Impacts of Public Health Accreditation</w:t>
            </w:r>
          </w:p>
        </w:tc>
        <w:tc>
          <w:tcPr>
            <w:tcW w:w="5035" w:type="dxa"/>
            <w:vAlign w:val="center"/>
          </w:tcPr>
          <w:p w14:paraId="714EA919" w14:textId="7626B9A8" w:rsidR="00AE0BF3" w:rsidRPr="00AE0BF3" w:rsidRDefault="00AE0BF3" w:rsidP="00AE0BF3">
            <w:pPr>
              <w:rPr>
                <w:rFonts w:cs="Arial"/>
                <w:sz w:val="20"/>
                <w:szCs w:val="20"/>
                <w:lang w:val="en"/>
              </w:rPr>
            </w:pPr>
            <w:r w:rsidRPr="00AE0BF3">
              <w:rPr>
                <w:color w:val="000000"/>
                <w:sz w:val="20"/>
                <w:szCs w:val="20"/>
              </w:rPr>
              <w:t>Learn how public health accreditation can help health departments better fulfill their missions and serve their communities</w:t>
            </w:r>
          </w:p>
        </w:tc>
      </w:tr>
      <w:tr w:rsidR="00AE0BF3" w14:paraId="35C43291" w14:textId="77777777" w:rsidTr="00AE0BF3">
        <w:tc>
          <w:tcPr>
            <w:tcW w:w="5035" w:type="dxa"/>
            <w:vAlign w:val="center"/>
          </w:tcPr>
          <w:p w14:paraId="0C28E09E" w14:textId="500E109A" w:rsidR="00AE0BF3" w:rsidRPr="00AE0BF3" w:rsidRDefault="003B1269" w:rsidP="00AE0BF3">
            <w:pPr>
              <w:rPr>
                <w:rFonts w:cs="Arial"/>
                <w:sz w:val="20"/>
                <w:szCs w:val="20"/>
                <w:lang w:val="en"/>
              </w:rPr>
            </w:pPr>
            <w:r>
              <w:rPr>
                <w:color w:val="000000"/>
                <w:sz w:val="20"/>
                <w:szCs w:val="20"/>
              </w:rPr>
              <w:t>“</w:t>
            </w:r>
            <w:r w:rsidR="00AE0BF3" w:rsidRPr="00AE0BF3">
              <w:rPr>
                <w:color w:val="000000"/>
                <w:sz w:val="20"/>
                <w:szCs w:val="20"/>
              </w:rPr>
              <w:t>Did You Know?" Newsletter</w:t>
            </w:r>
          </w:p>
        </w:tc>
        <w:tc>
          <w:tcPr>
            <w:tcW w:w="5035" w:type="dxa"/>
            <w:vAlign w:val="center"/>
          </w:tcPr>
          <w:p w14:paraId="173DB7E3" w14:textId="02BE5F12" w:rsidR="00AE0BF3" w:rsidRPr="00AE0BF3" w:rsidRDefault="00AE0BF3" w:rsidP="00AE0BF3">
            <w:pPr>
              <w:rPr>
                <w:rFonts w:cs="Arial"/>
                <w:sz w:val="20"/>
                <w:szCs w:val="20"/>
                <w:lang w:val="en"/>
              </w:rPr>
            </w:pPr>
            <w:r w:rsidRPr="00AE0BF3">
              <w:rPr>
                <w:color w:val="000000"/>
                <w:sz w:val="20"/>
                <w:szCs w:val="20"/>
              </w:rPr>
              <w:t>Weekly feature with new CDC data and resources for state, tribal, local, and territorial agencies</w:t>
            </w:r>
          </w:p>
        </w:tc>
      </w:tr>
      <w:tr w:rsidR="00AE0BF3" w14:paraId="62F3F14B" w14:textId="77777777" w:rsidTr="00AE0BF3">
        <w:tc>
          <w:tcPr>
            <w:tcW w:w="5035" w:type="dxa"/>
            <w:vAlign w:val="center"/>
          </w:tcPr>
          <w:p w14:paraId="42D4B9DF" w14:textId="169522F0" w:rsidR="00AE0BF3" w:rsidRPr="00AE0BF3" w:rsidRDefault="003B1269" w:rsidP="00AE0BF3">
            <w:pPr>
              <w:rPr>
                <w:rFonts w:cs="Arial"/>
                <w:sz w:val="20"/>
                <w:szCs w:val="20"/>
                <w:lang w:val="en"/>
              </w:rPr>
            </w:pPr>
            <w:r>
              <w:rPr>
                <w:color w:val="000000"/>
                <w:sz w:val="20"/>
                <w:szCs w:val="20"/>
              </w:rPr>
              <w:t>“</w:t>
            </w:r>
            <w:r w:rsidR="00AE0BF3" w:rsidRPr="00AE0BF3">
              <w:rPr>
                <w:color w:val="000000"/>
                <w:sz w:val="20"/>
                <w:szCs w:val="20"/>
              </w:rPr>
              <w:t>Have You Heard?" Newsletter</w:t>
            </w:r>
          </w:p>
        </w:tc>
        <w:tc>
          <w:tcPr>
            <w:tcW w:w="5035" w:type="dxa"/>
            <w:vAlign w:val="center"/>
          </w:tcPr>
          <w:p w14:paraId="75EB67A4" w14:textId="4CFAB4E9" w:rsidR="00AE0BF3" w:rsidRPr="00AE0BF3" w:rsidRDefault="00AE0BF3" w:rsidP="00AE0BF3">
            <w:pPr>
              <w:rPr>
                <w:rFonts w:cs="Arial"/>
                <w:sz w:val="20"/>
                <w:szCs w:val="20"/>
                <w:lang w:val="en"/>
              </w:rPr>
            </w:pPr>
            <w:r w:rsidRPr="00AE0BF3">
              <w:rPr>
                <w:color w:val="000000"/>
                <w:sz w:val="20"/>
                <w:szCs w:val="20"/>
              </w:rPr>
              <w:t xml:space="preserve">News bulletin </w:t>
            </w:r>
            <w:r w:rsidRPr="0025314C">
              <w:rPr>
                <w:sz w:val="20"/>
                <w:szCs w:val="20"/>
              </w:rPr>
              <w:t>featuring state, tribal, local, and territorial health agency accomplishments</w:t>
            </w:r>
          </w:p>
        </w:tc>
      </w:tr>
      <w:tr w:rsidR="00AE0BF3" w14:paraId="5F737AE6" w14:textId="77777777" w:rsidTr="00AE0BF3">
        <w:tc>
          <w:tcPr>
            <w:tcW w:w="5035" w:type="dxa"/>
            <w:vAlign w:val="center"/>
          </w:tcPr>
          <w:p w14:paraId="437CA7AF" w14:textId="48FB3E10" w:rsidR="00AE0BF3" w:rsidRPr="00AE0BF3" w:rsidRDefault="00AE0BF3" w:rsidP="00AE0BF3">
            <w:pPr>
              <w:rPr>
                <w:rFonts w:cs="Arial"/>
                <w:sz w:val="20"/>
                <w:szCs w:val="20"/>
                <w:lang w:val="en"/>
              </w:rPr>
            </w:pPr>
            <w:r w:rsidRPr="00AE0BF3">
              <w:rPr>
                <w:color w:val="000000"/>
                <w:sz w:val="20"/>
                <w:szCs w:val="20"/>
              </w:rPr>
              <w:t>Health Alerts &amp; Emergencies Subscriptions and Resources</w:t>
            </w:r>
          </w:p>
        </w:tc>
        <w:tc>
          <w:tcPr>
            <w:tcW w:w="5035" w:type="dxa"/>
            <w:vAlign w:val="center"/>
          </w:tcPr>
          <w:p w14:paraId="2039AB75" w14:textId="6988C978" w:rsidR="00AE0BF3" w:rsidRPr="00AE0BF3" w:rsidRDefault="00AE0BF3" w:rsidP="00AE0BF3">
            <w:pPr>
              <w:rPr>
                <w:rFonts w:cs="Arial"/>
                <w:sz w:val="20"/>
                <w:szCs w:val="20"/>
                <w:lang w:val="en"/>
              </w:rPr>
            </w:pPr>
            <w:r w:rsidRPr="00AE0BF3">
              <w:rPr>
                <w:color w:val="000000"/>
                <w:sz w:val="20"/>
                <w:szCs w:val="20"/>
              </w:rPr>
              <w:t>CDC resources to stay informed about current and emerging public health issues</w:t>
            </w:r>
          </w:p>
        </w:tc>
      </w:tr>
      <w:tr w:rsidR="00AE0BF3" w14:paraId="106090F6" w14:textId="77777777" w:rsidTr="00AE0BF3">
        <w:tc>
          <w:tcPr>
            <w:tcW w:w="5035" w:type="dxa"/>
            <w:vAlign w:val="center"/>
          </w:tcPr>
          <w:p w14:paraId="6C3EA9C3" w14:textId="3FA602BF" w:rsidR="00AE0BF3" w:rsidRPr="00AE0BF3" w:rsidRDefault="00AE0BF3" w:rsidP="00AE0BF3">
            <w:pPr>
              <w:rPr>
                <w:rFonts w:cs="Arial"/>
                <w:sz w:val="20"/>
                <w:szCs w:val="20"/>
                <w:lang w:val="en"/>
              </w:rPr>
            </w:pPr>
            <w:r w:rsidRPr="00AE0BF3">
              <w:rPr>
                <w:color w:val="000000"/>
                <w:sz w:val="20"/>
                <w:szCs w:val="20"/>
              </w:rPr>
              <w:t>Resources Related to Changes in Public Health Financing and Service Delivery</w:t>
            </w:r>
          </w:p>
        </w:tc>
        <w:tc>
          <w:tcPr>
            <w:tcW w:w="5035" w:type="dxa"/>
            <w:vAlign w:val="center"/>
          </w:tcPr>
          <w:p w14:paraId="3B03805F" w14:textId="5EC4206B" w:rsidR="00AE0BF3" w:rsidRPr="0025314C" w:rsidRDefault="00AE0BF3" w:rsidP="00AE0BF3">
            <w:pPr>
              <w:rPr>
                <w:rFonts w:cs="Arial"/>
                <w:sz w:val="20"/>
                <w:szCs w:val="20"/>
                <w:lang w:val="en"/>
              </w:rPr>
            </w:pPr>
            <w:r w:rsidRPr="0025314C">
              <w:rPr>
                <w:sz w:val="20"/>
                <w:szCs w:val="20"/>
              </w:rPr>
              <w:t xml:space="preserve">Information, resources, and training opportunities related to changes to the US health system (often called Health Systems Transformation) </w:t>
            </w:r>
          </w:p>
        </w:tc>
      </w:tr>
      <w:tr w:rsidR="00AE0BF3" w14:paraId="543DECC2" w14:textId="77777777" w:rsidTr="00AE0BF3">
        <w:tc>
          <w:tcPr>
            <w:tcW w:w="5035" w:type="dxa"/>
            <w:vAlign w:val="center"/>
          </w:tcPr>
          <w:p w14:paraId="63A5D5AD" w14:textId="251C8A34" w:rsidR="00AE0BF3" w:rsidRPr="00AE0BF3" w:rsidRDefault="00AE0BF3" w:rsidP="00AE0BF3">
            <w:pPr>
              <w:rPr>
                <w:rFonts w:cs="Arial"/>
                <w:sz w:val="20"/>
                <w:szCs w:val="20"/>
                <w:lang w:val="en"/>
              </w:rPr>
            </w:pPr>
            <w:r w:rsidRPr="00AE0BF3">
              <w:rPr>
                <w:color w:val="000000"/>
                <w:sz w:val="20"/>
                <w:szCs w:val="20"/>
              </w:rPr>
              <w:t>Success Stories from the Public Health Field</w:t>
            </w:r>
          </w:p>
        </w:tc>
        <w:tc>
          <w:tcPr>
            <w:tcW w:w="5035" w:type="dxa"/>
            <w:vAlign w:val="center"/>
          </w:tcPr>
          <w:p w14:paraId="6C034368" w14:textId="52EEC4DB" w:rsidR="00AE0BF3" w:rsidRPr="0025314C" w:rsidRDefault="00AE0BF3" w:rsidP="00AE0BF3">
            <w:pPr>
              <w:rPr>
                <w:rFonts w:cs="Arial"/>
                <w:sz w:val="20"/>
                <w:szCs w:val="20"/>
                <w:lang w:val="en"/>
              </w:rPr>
            </w:pPr>
            <w:r w:rsidRPr="0025314C">
              <w:rPr>
                <w:sz w:val="20"/>
                <w:szCs w:val="20"/>
              </w:rPr>
              <w:t>Stories about innovation, achievement, and advancement across the public health system</w:t>
            </w:r>
          </w:p>
        </w:tc>
      </w:tr>
      <w:tr w:rsidR="00AE0BF3" w14:paraId="7656CBE9" w14:textId="77777777" w:rsidTr="00AE0BF3">
        <w:tc>
          <w:tcPr>
            <w:tcW w:w="5035" w:type="dxa"/>
            <w:vAlign w:val="center"/>
          </w:tcPr>
          <w:p w14:paraId="66B0B19B" w14:textId="2D02E8D7" w:rsidR="00AE0BF3" w:rsidRPr="00AE0BF3" w:rsidRDefault="00AE0BF3" w:rsidP="00AE0BF3">
            <w:pPr>
              <w:rPr>
                <w:rFonts w:cs="Arial"/>
                <w:sz w:val="20"/>
                <w:szCs w:val="20"/>
                <w:lang w:val="en"/>
              </w:rPr>
            </w:pPr>
            <w:r w:rsidRPr="00AE0BF3">
              <w:rPr>
                <w:color w:val="000000"/>
                <w:sz w:val="20"/>
                <w:szCs w:val="20"/>
              </w:rPr>
              <w:t>Community Health Worker Resources</w:t>
            </w:r>
          </w:p>
        </w:tc>
        <w:tc>
          <w:tcPr>
            <w:tcW w:w="5035" w:type="dxa"/>
            <w:vAlign w:val="center"/>
          </w:tcPr>
          <w:p w14:paraId="239A6D10" w14:textId="63AB4D6E" w:rsidR="00AE0BF3" w:rsidRPr="0025314C" w:rsidRDefault="00AE0BF3" w:rsidP="00AE0BF3">
            <w:pPr>
              <w:rPr>
                <w:rFonts w:cs="Arial"/>
                <w:sz w:val="20"/>
                <w:szCs w:val="20"/>
                <w:lang w:val="en"/>
              </w:rPr>
            </w:pPr>
            <w:r w:rsidRPr="0025314C">
              <w:rPr>
                <w:sz w:val="20"/>
                <w:szCs w:val="20"/>
              </w:rPr>
              <w:t xml:space="preserve">Resources for frontline public health workers serving as liaisons between health and social services and the community </w:t>
            </w:r>
          </w:p>
        </w:tc>
      </w:tr>
      <w:tr w:rsidR="00AE0BF3" w14:paraId="3419AC78" w14:textId="77777777" w:rsidTr="00AE0BF3">
        <w:tc>
          <w:tcPr>
            <w:tcW w:w="5035" w:type="dxa"/>
            <w:vAlign w:val="center"/>
          </w:tcPr>
          <w:p w14:paraId="7AD9A652" w14:textId="3DC6602F" w:rsidR="00AE0BF3" w:rsidRPr="00AE0BF3" w:rsidRDefault="00AE0BF3" w:rsidP="00AE0BF3">
            <w:pPr>
              <w:rPr>
                <w:rFonts w:cs="Arial"/>
                <w:sz w:val="20"/>
                <w:szCs w:val="20"/>
                <w:lang w:val="en"/>
              </w:rPr>
            </w:pPr>
            <w:r w:rsidRPr="00AE0BF3">
              <w:rPr>
                <w:color w:val="000000"/>
                <w:sz w:val="20"/>
                <w:szCs w:val="20"/>
              </w:rPr>
              <w:t>Resources for New Health Officials</w:t>
            </w:r>
          </w:p>
        </w:tc>
        <w:tc>
          <w:tcPr>
            <w:tcW w:w="5035" w:type="dxa"/>
            <w:vAlign w:val="center"/>
          </w:tcPr>
          <w:p w14:paraId="0ACEA196" w14:textId="7E64C223" w:rsidR="00AE0BF3" w:rsidRPr="0025314C" w:rsidRDefault="00AE0BF3" w:rsidP="00AE0BF3">
            <w:pPr>
              <w:rPr>
                <w:rFonts w:cs="Arial"/>
                <w:sz w:val="20"/>
                <w:szCs w:val="20"/>
                <w:lang w:val="en"/>
              </w:rPr>
            </w:pPr>
            <w:r w:rsidRPr="0025314C">
              <w:rPr>
                <w:sz w:val="20"/>
                <w:szCs w:val="20"/>
              </w:rPr>
              <w:t>Tools and resources to help new health officials work with CDC and achieve their priorities</w:t>
            </w:r>
          </w:p>
        </w:tc>
      </w:tr>
      <w:tr w:rsidR="00AE0BF3" w14:paraId="349D9680" w14:textId="77777777" w:rsidTr="00AE0BF3">
        <w:tc>
          <w:tcPr>
            <w:tcW w:w="5035" w:type="dxa"/>
            <w:vAlign w:val="center"/>
          </w:tcPr>
          <w:p w14:paraId="57FA3B2E" w14:textId="7A78BB76" w:rsidR="00AE0BF3" w:rsidRPr="00AE0BF3" w:rsidRDefault="00AE0BF3" w:rsidP="00AE0BF3">
            <w:pPr>
              <w:rPr>
                <w:rFonts w:cs="Arial"/>
                <w:sz w:val="20"/>
                <w:szCs w:val="20"/>
                <w:lang w:val="en"/>
              </w:rPr>
            </w:pPr>
            <w:r w:rsidRPr="00AE0BF3">
              <w:rPr>
                <w:color w:val="000000"/>
                <w:sz w:val="20"/>
                <w:szCs w:val="20"/>
              </w:rPr>
              <w:t>Vital Signs Town Hall Teleconference with CDC Experts</w:t>
            </w:r>
          </w:p>
        </w:tc>
        <w:tc>
          <w:tcPr>
            <w:tcW w:w="5035" w:type="dxa"/>
            <w:vAlign w:val="center"/>
          </w:tcPr>
          <w:p w14:paraId="35BD2768" w14:textId="04BC9CBA" w:rsidR="00AE0BF3" w:rsidRPr="0025314C" w:rsidRDefault="00AE0BF3" w:rsidP="00AE0BF3">
            <w:pPr>
              <w:rPr>
                <w:rFonts w:cs="Arial"/>
                <w:sz w:val="20"/>
                <w:szCs w:val="20"/>
                <w:lang w:val="en"/>
              </w:rPr>
            </w:pPr>
            <w:r w:rsidRPr="0025314C">
              <w:rPr>
                <w:sz w:val="20"/>
                <w:szCs w:val="20"/>
              </w:rPr>
              <w:t>Information and presentation materials for OSTLTS’s monthly Vital Signs teleconference featuring experts from CDC and the field</w:t>
            </w:r>
          </w:p>
        </w:tc>
      </w:tr>
      <w:tr w:rsidR="00AE0BF3" w14:paraId="2DB53D8E" w14:textId="77777777" w:rsidTr="00AE0BF3">
        <w:tc>
          <w:tcPr>
            <w:tcW w:w="5035" w:type="dxa"/>
            <w:vAlign w:val="center"/>
          </w:tcPr>
          <w:p w14:paraId="1CA37E8D" w14:textId="52D52C9D" w:rsidR="00AE0BF3" w:rsidRPr="00AE0BF3" w:rsidRDefault="00AE0BF3" w:rsidP="00AE0BF3">
            <w:pPr>
              <w:rPr>
                <w:rFonts w:cs="Arial"/>
                <w:sz w:val="20"/>
                <w:szCs w:val="20"/>
                <w:lang w:val="en"/>
              </w:rPr>
            </w:pPr>
            <w:r w:rsidRPr="00AE0BF3">
              <w:rPr>
                <w:color w:val="000000"/>
                <w:sz w:val="20"/>
                <w:szCs w:val="20"/>
              </w:rPr>
              <w:t>What's New RSS feed</w:t>
            </w:r>
          </w:p>
        </w:tc>
        <w:tc>
          <w:tcPr>
            <w:tcW w:w="5035" w:type="dxa"/>
            <w:vAlign w:val="center"/>
          </w:tcPr>
          <w:p w14:paraId="473A96BA" w14:textId="571D60D8" w:rsidR="00AE0BF3" w:rsidRPr="0025314C" w:rsidRDefault="00AE0BF3" w:rsidP="00AE0BF3">
            <w:pPr>
              <w:rPr>
                <w:rFonts w:cs="Arial"/>
                <w:sz w:val="20"/>
                <w:szCs w:val="20"/>
                <w:lang w:val="en"/>
              </w:rPr>
            </w:pPr>
            <w:r w:rsidRPr="0025314C">
              <w:rPr>
                <w:sz w:val="20"/>
                <w:szCs w:val="20"/>
              </w:rPr>
              <w:t xml:space="preserve">RSS feed featuring select, new CDC resources summarized in one place </w:t>
            </w:r>
          </w:p>
        </w:tc>
      </w:tr>
      <w:tr w:rsidR="00AE0BF3" w14:paraId="73FE0946" w14:textId="77777777" w:rsidTr="00AE0BF3">
        <w:tc>
          <w:tcPr>
            <w:tcW w:w="5035" w:type="dxa"/>
            <w:vAlign w:val="center"/>
          </w:tcPr>
          <w:p w14:paraId="1D073E37" w14:textId="1D192832" w:rsidR="00AE0BF3" w:rsidRPr="00AE0BF3" w:rsidRDefault="00AE0BF3" w:rsidP="00AE0BF3">
            <w:pPr>
              <w:rPr>
                <w:rFonts w:cs="Arial"/>
                <w:sz w:val="20"/>
                <w:szCs w:val="20"/>
                <w:lang w:val="en"/>
              </w:rPr>
            </w:pPr>
            <w:r w:rsidRPr="00AE0BF3">
              <w:rPr>
                <w:color w:val="000000"/>
                <w:sz w:val="20"/>
                <w:szCs w:val="20"/>
              </w:rPr>
              <w:t xml:space="preserve">Overview of OSTLTS Partnership Program with National Public Health Organizations </w:t>
            </w:r>
          </w:p>
        </w:tc>
        <w:tc>
          <w:tcPr>
            <w:tcW w:w="5035" w:type="dxa"/>
            <w:vAlign w:val="center"/>
          </w:tcPr>
          <w:p w14:paraId="39EA7E5A" w14:textId="6927C4F4" w:rsidR="00AE0BF3" w:rsidRPr="0025314C" w:rsidRDefault="00AE0BF3" w:rsidP="00AE0BF3">
            <w:pPr>
              <w:rPr>
                <w:rFonts w:cs="Arial"/>
                <w:sz w:val="20"/>
                <w:szCs w:val="20"/>
                <w:lang w:val="en"/>
              </w:rPr>
            </w:pPr>
            <w:r w:rsidRPr="0025314C">
              <w:rPr>
                <w:sz w:val="20"/>
                <w:szCs w:val="20"/>
              </w:rPr>
              <w:t>Overview of OSTLTS partnership program—connecting CDC programs with public health partners to address emerging epidemics, develop the public health workforce, evaluate public health services, and more</w:t>
            </w:r>
          </w:p>
        </w:tc>
      </w:tr>
    </w:tbl>
    <w:p w14:paraId="70D16328" w14:textId="472A37E5" w:rsidR="009E661C" w:rsidRDefault="009E661C" w:rsidP="00254896">
      <w:pPr>
        <w:spacing w:line="240" w:lineRule="auto"/>
        <w:rPr>
          <w:rFonts w:cs="Arial"/>
          <w:lang w:val="en"/>
        </w:rPr>
      </w:pPr>
    </w:p>
    <w:p w14:paraId="12F28890" w14:textId="77777777" w:rsidR="005A65A4" w:rsidRDefault="005A65A4" w:rsidP="005A65A4">
      <w:pPr>
        <w:ind w:left="720"/>
        <w:rPr>
          <w:sz w:val="32"/>
          <w:szCs w:val="32"/>
        </w:rPr>
      </w:pPr>
      <w:r>
        <w:rPr>
          <w:sz w:val="32"/>
          <w:szCs w:val="32"/>
        </w:rPr>
        <w:t>Thanks!</w:t>
      </w:r>
    </w:p>
    <w:p w14:paraId="7D6DB9D3" w14:textId="77777777" w:rsidR="005A65A4" w:rsidRDefault="005A65A4" w:rsidP="005A65A4">
      <w:pPr>
        <w:ind w:left="720"/>
      </w:pPr>
    </w:p>
    <w:p w14:paraId="757ED8B9" w14:textId="77777777" w:rsidR="005A65A4" w:rsidRDefault="005A65A4" w:rsidP="005A65A4">
      <w:pPr>
        <w:ind w:left="720"/>
      </w:pPr>
      <w:r>
        <w:t>You’re done! Thank you for your participation. Your feedback will be incredibly useful in helping us organize our website.</w:t>
      </w:r>
    </w:p>
    <w:p w14:paraId="1E4D21D4" w14:textId="77777777" w:rsidR="005A65A4" w:rsidRDefault="005A65A4" w:rsidP="005A65A4">
      <w:pPr>
        <w:ind w:left="720"/>
      </w:pPr>
      <w:r>
        <w:t>You may close this window or navigate to another web page.</w:t>
      </w:r>
    </w:p>
    <w:p w14:paraId="39AF273B" w14:textId="77777777" w:rsidR="005A65A4" w:rsidRPr="00D31DF4" w:rsidRDefault="005A65A4" w:rsidP="00254896">
      <w:pPr>
        <w:spacing w:line="240" w:lineRule="auto"/>
        <w:rPr>
          <w:rFonts w:cs="Arial"/>
          <w:lang w:val="en"/>
        </w:rPr>
      </w:pPr>
    </w:p>
    <w:sectPr w:rsidR="005A65A4" w:rsidRPr="00D31DF4" w:rsidSect="00736934">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32AB1" w14:textId="77777777" w:rsidR="0039126E" w:rsidRDefault="0039126E">
      <w:pPr>
        <w:spacing w:after="0" w:line="240" w:lineRule="auto"/>
      </w:pPr>
      <w:r>
        <w:separator/>
      </w:r>
    </w:p>
  </w:endnote>
  <w:endnote w:type="continuationSeparator" w:id="0">
    <w:p w14:paraId="50DBAD42" w14:textId="77777777" w:rsidR="0039126E" w:rsidRDefault="00391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51715" w14:textId="77777777" w:rsidR="00736727" w:rsidRDefault="007367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8599C" w14:textId="6BD1CD37" w:rsidR="0039126E" w:rsidRDefault="0039126E">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CE5E85" w:rsidRPr="00CE5E85">
      <w:rPr>
        <w:b/>
        <w:bCs/>
        <w:noProof/>
      </w:rPr>
      <w:t>2</w:t>
    </w:r>
    <w:r>
      <w:rPr>
        <w:b/>
        <w:bCs/>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D5B43" w14:textId="77777777" w:rsidR="00736727" w:rsidRDefault="007367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8D93C" w14:textId="77777777" w:rsidR="0039126E" w:rsidRDefault="0039126E">
      <w:pPr>
        <w:spacing w:after="0" w:line="240" w:lineRule="auto"/>
      </w:pPr>
      <w:r>
        <w:separator/>
      </w:r>
    </w:p>
  </w:footnote>
  <w:footnote w:type="continuationSeparator" w:id="0">
    <w:p w14:paraId="44F5D5D8" w14:textId="77777777" w:rsidR="0039126E" w:rsidRDefault="003912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6BDDC" w14:textId="77777777" w:rsidR="00736727" w:rsidRDefault="007367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91B1A" w14:textId="77777777" w:rsidR="00736727" w:rsidRDefault="007367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2AABF" w14:textId="5D771421" w:rsidR="002D2606" w:rsidRPr="00736727" w:rsidRDefault="002D2606">
    <w:pPr>
      <w:pStyle w:val="Header"/>
      <w:rPr>
        <w:b/>
      </w:rPr>
    </w:pPr>
    <w:r w:rsidRPr="00736727">
      <w:rPr>
        <w:b/>
      </w:rPr>
      <w:t>Attachment D: Car</w:t>
    </w:r>
    <w:r w:rsidR="00736727" w:rsidRPr="00736727">
      <w:rPr>
        <w:b/>
      </w:rPr>
      <w:t>d</w:t>
    </w:r>
    <w:r w:rsidRPr="00736727">
      <w:rPr>
        <w:b/>
      </w:rPr>
      <w:t xml:space="preserve"> Sorting </w:t>
    </w:r>
    <w:r w:rsidR="00736727" w:rsidRPr="00736727">
      <w:rPr>
        <w:b/>
      </w:rPr>
      <w:t>Information</w:t>
    </w:r>
    <w:r w:rsidRPr="00736727">
      <w:rPr>
        <w:b/>
      </w:rPr>
      <w:t xml:space="preserve"> Collection Instrument (Word Version)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91C53"/>
    <w:multiLevelType w:val="hybridMultilevel"/>
    <w:tmpl w:val="8E9A34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AD4758E"/>
    <w:multiLevelType w:val="hybridMultilevel"/>
    <w:tmpl w:val="EA3240C2"/>
    <w:lvl w:ilvl="0" w:tplc="B2E22CDC">
      <w:start w:val="1"/>
      <w:numFmt w:val="upperRoman"/>
      <w:pStyle w:val="Heading1"/>
      <w:lvlText w:val="%1."/>
      <w:lvlJc w:val="left"/>
      <w:pPr>
        <w:ind w:left="1080" w:hanging="72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D0F"/>
    <w:rsid w:val="000061BD"/>
    <w:rsid w:val="000148F0"/>
    <w:rsid w:val="00077091"/>
    <w:rsid w:val="001C43B5"/>
    <w:rsid w:val="001D5456"/>
    <w:rsid w:val="002204FD"/>
    <w:rsid w:val="00234D0F"/>
    <w:rsid w:val="0025314C"/>
    <w:rsid w:val="00254896"/>
    <w:rsid w:val="002D2606"/>
    <w:rsid w:val="002E2DCF"/>
    <w:rsid w:val="0039126E"/>
    <w:rsid w:val="003B1269"/>
    <w:rsid w:val="003C1046"/>
    <w:rsid w:val="00416B49"/>
    <w:rsid w:val="004578D3"/>
    <w:rsid w:val="00463BF4"/>
    <w:rsid w:val="00483FE6"/>
    <w:rsid w:val="00497214"/>
    <w:rsid w:val="004D0FB3"/>
    <w:rsid w:val="004D5ABB"/>
    <w:rsid w:val="004E2DDB"/>
    <w:rsid w:val="00501571"/>
    <w:rsid w:val="0051772E"/>
    <w:rsid w:val="005A65A4"/>
    <w:rsid w:val="005D25AF"/>
    <w:rsid w:val="00603CE8"/>
    <w:rsid w:val="00652C1C"/>
    <w:rsid w:val="006776C8"/>
    <w:rsid w:val="00681869"/>
    <w:rsid w:val="006B13E9"/>
    <w:rsid w:val="006B5441"/>
    <w:rsid w:val="006C3072"/>
    <w:rsid w:val="006F28F4"/>
    <w:rsid w:val="00736727"/>
    <w:rsid w:val="00736934"/>
    <w:rsid w:val="00784563"/>
    <w:rsid w:val="007966CB"/>
    <w:rsid w:val="007C57A5"/>
    <w:rsid w:val="0081199F"/>
    <w:rsid w:val="008669F2"/>
    <w:rsid w:val="008E2E84"/>
    <w:rsid w:val="00991700"/>
    <w:rsid w:val="00996F5D"/>
    <w:rsid w:val="009E1F32"/>
    <w:rsid w:val="009E661C"/>
    <w:rsid w:val="00A808FE"/>
    <w:rsid w:val="00AE0BF3"/>
    <w:rsid w:val="00AF13A6"/>
    <w:rsid w:val="00B268D1"/>
    <w:rsid w:val="00B27F20"/>
    <w:rsid w:val="00B371F9"/>
    <w:rsid w:val="00BC06E4"/>
    <w:rsid w:val="00BD0D88"/>
    <w:rsid w:val="00BD5B72"/>
    <w:rsid w:val="00C600A6"/>
    <w:rsid w:val="00CE02B6"/>
    <w:rsid w:val="00CE5E85"/>
    <w:rsid w:val="00CF433B"/>
    <w:rsid w:val="00D26901"/>
    <w:rsid w:val="00D31DF4"/>
    <w:rsid w:val="00D73A61"/>
    <w:rsid w:val="00DA6D76"/>
    <w:rsid w:val="00DD0530"/>
    <w:rsid w:val="00DF6DCB"/>
    <w:rsid w:val="00E60E9B"/>
    <w:rsid w:val="00E60F24"/>
    <w:rsid w:val="00E92D21"/>
    <w:rsid w:val="00E96ABE"/>
    <w:rsid w:val="00ED7878"/>
    <w:rsid w:val="00EE05E6"/>
    <w:rsid w:val="00EE4174"/>
    <w:rsid w:val="00FC1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5F9A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D0F"/>
  </w:style>
  <w:style w:type="paragraph" w:styleId="Heading1">
    <w:name w:val="heading 1"/>
    <w:basedOn w:val="Normal"/>
    <w:next w:val="Normal"/>
    <w:link w:val="Heading1Char"/>
    <w:uiPriority w:val="9"/>
    <w:qFormat/>
    <w:rsid w:val="00234D0F"/>
    <w:pPr>
      <w:keepNext/>
      <w:keepLines/>
      <w:numPr>
        <w:numId w:val="1"/>
      </w:numPr>
      <w:spacing w:before="240" w:after="0"/>
      <w:outlineLvl w:val="0"/>
    </w:pPr>
    <w:rPr>
      <w:rFonts w:ascii="Arial" w:eastAsia="Times New Roman" w:hAnsi="Arial" w:cs="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D0F"/>
    <w:rPr>
      <w:rFonts w:ascii="Arial" w:eastAsia="Times New Roman" w:hAnsi="Arial" w:cs="Arial"/>
      <w:b/>
      <w:i/>
    </w:rPr>
  </w:style>
  <w:style w:type="paragraph" w:styleId="ListParagraph">
    <w:name w:val="List Paragraph"/>
    <w:basedOn w:val="Normal"/>
    <w:uiPriority w:val="34"/>
    <w:qFormat/>
    <w:rsid w:val="00234D0F"/>
    <w:pPr>
      <w:ind w:left="720"/>
      <w:contextualSpacing/>
    </w:pPr>
  </w:style>
  <w:style w:type="paragraph" w:styleId="Header">
    <w:name w:val="header"/>
    <w:basedOn w:val="Normal"/>
    <w:link w:val="HeaderChar"/>
    <w:uiPriority w:val="99"/>
    <w:unhideWhenUsed/>
    <w:rsid w:val="00234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D0F"/>
  </w:style>
  <w:style w:type="paragraph" w:styleId="Footer">
    <w:name w:val="footer"/>
    <w:basedOn w:val="Normal"/>
    <w:link w:val="FooterChar"/>
    <w:uiPriority w:val="99"/>
    <w:unhideWhenUsed/>
    <w:rsid w:val="00234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D0F"/>
  </w:style>
  <w:style w:type="paragraph" w:styleId="BalloonText">
    <w:name w:val="Balloon Text"/>
    <w:basedOn w:val="Normal"/>
    <w:link w:val="BalloonTextChar"/>
    <w:uiPriority w:val="99"/>
    <w:semiHidden/>
    <w:unhideWhenUsed/>
    <w:rsid w:val="00D269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901"/>
    <w:rPr>
      <w:rFonts w:ascii="Segoe UI" w:hAnsi="Segoe UI" w:cs="Segoe UI"/>
      <w:sz w:val="18"/>
      <w:szCs w:val="18"/>
    </w:rPr>
  </w:style>
  <w:style w:type="character" w:styleId="CommentReference">
    <w:name w:val="annotation reference"/>
    <w:basedOn w:val="DefaultParagraphFont"/>
    <w:uiPriority w:val="99"/>
    <w:semiHidden/>
    <w:unhideWhenUsed/>
    <w:rsid w:val="00784563"/>
    <w:rPr>
      <w:sz w:val="16"/>
      <w:szCs w:val="16"/>
    </w:rPr>
  </w:style>
  <w:style w:type="paragraph" w:styleId="CommentText">
    <w:name w:val="annotation text"/>
    <w:basedOn w:val="Normal"/>
    <w:link w:val="CommentTextChar"/>
    <w:uiPriority w:val="99"/>
    <w:semiHidden/>
    <w:unhideWhenUsed/>
    <w:rsid w:val="00784563"/>
    <w:pPr>
      <w:spacing w:line="240" w:lineRule="auto"/>
    </w:pPr>
    <w:rPr>
      <w:sz w:val="20"/>
      <w:szCs w:val="20"/>
    </w:rPr>
  </w:style>
  <w:style w:type="character" w:customStyle="1" w:styleId="CommentTextChar">
    <w:name w:val="Comment Text Char"/>
    <w:basedOn w:val="DefaultParagraphFont"/>
    <w:link w:val="CommentText"/>
    <w:uiPriority w:val="99"/>
    <w:semiHidden/>
    <w:rsid w:val="00784563"/>
    <w:rPr>
      <w:sz w:val="20"/>
      <w:szCs w:val="20"/>
    </w:rPr>
  </w:style>
  <w:style w:type="paragraph" w:styleId="CommentSubject">
    <w:name w:val="annotation subject"/>
    <w:basedOn w:val="CommentText"/>
    <w:next w:val="CommentText"/>
    <w:link w:val="CommentSubjectChar"/>
    <w:uiPriority w:val="99"/>
    <w:semiHidden/>
    <w:unhideWhenUsed/>
    <w:rsid w:val="00784563"/>
    <w:rPr>
      <w:b/>
      <w:bCs/>
    </w:rPr>
  </w:style>
  <w:style w:type="character" w:customStyle="1" w:styleId="CommentSubjectChar">
    <w:name w:val="Comment Subject Char"/>
    <w:basedOn w:val="CommentTextChar"/>
    <w:link w:val="CommentSubject"/>
    <w:uiPriority w:val="99"/>
    <w:semiHidden/>
    <w:rsid w:val="00784563"/>
    <w:rPr>
      <w:b/>
      <w:bCs/>
      <w:sz w:val="20"/>
      <w:szCs w:val="20"/>
    </w:rPr>
  </w:style>
  <w:style w:type="table" w:styleId="TableGrid">
    <w:name w:val="Table Grid"/>
    <w:basedOn w:val="TableNormal"/>
    <w:uiPriority w:val="39"/>
    <w:rsid w:val="00AE0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13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578D3"/>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D0F"/>
  </w:style>
  <w:style w:type="paragraph" w:styleId="Heading1">
    <w:name w:val="heading 1"/>
    <w:basedOn w:val="Normal"/>
    <w:next w:val="Normal"/>
    <w:link w:val="Heading1Char"/>
    <w:uiPriority w:val="9"/>
    <w:qFormat/>
    <w:rsid w:val="00234D0F"/>
    <w:pPr>
      <w:keepNext/>
      <w:keepLines/>
      <w:numPr>
        <w:numId w:val="1"/>
      </w:numPr>
      <w:spacing w:before="240" w:after="0"/>
      <w:outlineLvl w:val="0"/>
    </w:pPr>
    <w:rPr>
      <w:rFonts w:ascii="Arial" w:eastAsia="Times New Roman" w:hAnsi="Arial" w:cs="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D0F"/>
    <w:rPr>
      <w:rFonts w:ascii="Arial" w:eastAsia="Times New Roman" w:hAnsi="Arial" w:cs="Arial"/>
      <w:b/>
      <w:i/>
    </w:rPr>
  </w:style>
  <w:style w:type="paragraph" w:styleId="ListParagraph">
    <w:name w:val="List Paragraph"/>
    <w:basedOn w:val="Normal"/>
    <w:uiPriority w:val="34"/>
    <w:qFormat/>
    <w:rsid w:val="00234D0F"/>
    <w:pPr>
      <w:ind w:left="720"/>
      <w:contextualSpacing/>
    </w:pPr>
  </w:style>
  <w:style w:type="paragraph" w:styleId="Header">
    <w:name w:val="header"/>
    <w:basedOn w:val="Normal"/>
    <w:link w:val="HeaderChar"/>
    <w:uiPriority w:val="99"/>
    <w:unhideWhenUsed/>
    <w:rsid w:val="00234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D0F"/>
  </w:style>
  <w:style w:type="paragraph" w:styleId="Footer">
    <w:name w:val="footer"/>
    <w:basedOn w:val="Normal"/>
    <w:link w:val="FooterChar"/>
    <w:uiPriority w:val="99"/>
    <w:unhideWhenUsed/>
    <w:rsid w:val="00234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D0F"/>
  </w:style>
  <w:style w:type="paragraph" w:styleId="BalloonText">
    <w:name w:val="Balloon Text"/>
    <w:basedOn w:val="Normal"/>
    <w:link w:val="BalloonTextChar"/>
    <w:uiPriority w:val="99"/>
    <w:semiHidden/>
    <w:unhideWhenUsed/>
    <w:rsid w:val="00D269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901"/>
    <w:rPr>
      <w:rFonts w:ascii="Segoe UI" w:hAnsi="Segoe UI" w:cs="Segoe UI"/>
      <w:sz w:val="18"/>
      <w:szCs w:val="18"/>
    </w:rPr>
  </w:style>
  <w:style w:type="character" w:styleId="CommentReference">
    <w:name w:val="annotation reference"/>
    <w:basedOn w:val="DefaultParagraphFont"/>
    <w:uiPriority w:val="99"/>
    <w:semiHidden/>
    <w:unhideWhenUsed/>
    <w:rsid w:val="00784563"/>
    <w:rPr>
      <w:sz w:val="16"/>
      <w:szCs w:val="16"/>
    </w:rPr>
  </w:style>
  <w:style w:type="paragraph" w:styleId="CommentText">
    <w:name w:val="annotation text"/>
    <w:basedOn w:val="Normal"/>
    <w:link w:val="CommentTextChar"/>
    <w:uiPriority w:val="99"/>
    <w:semiHidden/>
    <w:unhideWhenUsed/>
    <w:rsid w:val="00784563"/>
    <w:pPr>
      <w:spacing w:line="240" w:lineRule="auto"/>
    </w:pPr>
    <w:rPr>
      <w:sz w:val="20"/>
      <w:szCs w:val="20"/>
    </w:rPr>
  </w:style>
  <w:style w:type="character" w:customStyle="1" w:styleId="CommentTextChar">
    <w:name w:val="Comment Text Char"/>
    <w:basedOn w:val="DefaultParagraphFont"/>
    <w:link w:val="CommentText"/>
    <w:uiPriority w:val="99"/>
    <w:semiHidden/>
    <w:rsid w:val="00784563"/>
    <w:rPr>
      <w:sz w:val="20"/>
      <w:szCs w:val="20"/>
    </w:rPr>
  </w:style>
  <w:style w:type="paragraph" w:styleId="CommentSubject">
    <w:name w:val="annotation subject"/>
    <w:basedOn w:val="CommentText"/>
    <w:next w:val="CommentText"/>
    <w:link w:val="CommentSubjectChar"/>
    <w:uiPriority w:val="99"/>
    <w:semiHidden/>
    <w:unhideWhenUsed/>
    <w:rsid w:val="00784563"/>
    <w:rPr>
      <w:b/>
      <w:bCs/>
    </w:rPr>
  </w:style>
  <w:style w:type="character" w:customStyle="1" w:styleId="CommentSubjectChar">
    <w:name w:val="Comment Subject Char"/>
    <w:basedOn w:val="CommentTextChar"/>
    <w:link w:val="CommentSubject"/>
    <w:uiPriority w:val="99"/>
    <w:semiHidden/>
    <w:rsid w:val="00784563"/>
    <w:rPr>
      <w:b/>
      <w:bCs/>
      <w:sz w:val="20"/>
      <w:szCs w:val="20"/>
    </w:rPr>
  </w:style>
  <w:style w:type="table" w:styleId="TableGrid">
    <w:name w:val="Table Grid"/>
    <w:basedOn w:val="TableNormal"/>
    <w:uiPriority w:val="39"/>
    <w:rsid w:val="00AE0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13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578D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428509">
      <w:bodyDiv w:val="1"/>
      <w:marLeft w:val="0"/>
      <w:marRight w:val="0"/>
      <w:marTop w:val="0"/>
      <w:marBottom w:val="0"/>
      <w:divBdr>
        <w:top w:val="none" w:sz="0" w:space="0" w:color="auto"/>
        <w:left w:val="none" w:sz="0" w:space="0" w:color="auto"/>
        <w:bottom w:val="none" w:sz="0" w:space="0" w:color="auto"/>
        <w:right w:val="none" w:sz="0" w:space="0" w:color="auto"/>
      </w:divBdr>
    </w:div>
    <w:div w:id="573466621">
      <w:bodyDiv w:val="1"/>
      <w:marLeft w:val="0"/>
      <w:marRight w:val="0"/>
      <w:marTop w:val="0"/>
      <w:marBottom w:val="0"/>
      <w:divBdr>
        <w:top w:val="none" w:sz="0" w:space="0" w:color="auto"/>
        <w:left w:val="none" w:sz="0" w:space="0" w:color="auto"/>
        <w:bottom w:val="none" w:sz="0" w:space="0" w:color="auto"/>
        <w:right w:val="none" w:sz="0" w:space="0" w:color="auto"/>
      </w:divBdr>
    </w:div>
    <w:div w:id="1408920820">
      <w:bodyDiv w:val="1"/>
      <w:marLeft w:val="0"/>
      <w:marRight w:val="0"/>
      <w:marTop w:val="0"/>
      <w:marBottom w:val="0"/>
      <w:divBdr>
        <w:top w:val="none" w:sz="0" w:space="0" w:color="auto"/>
        <w:left w:val="none" w:sz="0" w:space="0" w:color="auto"/>
        <w:bottom w:val="none" w:sz="0" w:space="0" w:color="auto"/>
        <w:right w:val="none" w:sz="0" w:space="0" w:color="auto"/>
      </w:divBdr>
    </w:div>
    <w:div w:id="1484276452">
      <w:bodyDiv w:val="1"/>
      <w:marLeft w:val="0"/>
      <w:marRight w:val="0"/>
      <w:marTop w:val="0"/>
      <w:marBottom w:val="0"/>
      <w:divBdr>
        <w:top w:val="none" w:sz="0" w:space="0" w:color="auto"/>
        <w:left w:val="none" w:sz="0" w:space="0" w:color="auto"/>
        <w:bottom w:val="none" w:sz="0" w:space="0" w:color="auto"/>
        <w:right w:val="none" w:sz="0" w:space="0" w:color="auto"/>
      </w:divBdr>
    </w:div>
    <w:div w:id="1668898987">
      <w:bodyDiv w:val="1"/>
      <w:marLeft w:val="0"/>
      <w:marRight w:val="0"/>
      <w:marTop w:val="0"/>
      <w:marBottom w:val="0"/>
      <w:divBdr>
        <w:top w:val="none" w:sz="0" w:space="0" w:color="auto"/>
        <w:left w:val="none" w:sz="0" w:space="0" w:color="auto"/>
        <w:bottom w:val="none" w:sz="0" w:space="0" w:color="auto"/>
        <w:right w:val="none" w:sz="0" w:space="0" w:color="auto"/>
      </w:divBdr>
    </w:div>
    <w:div w:id="1867134949">
      <w:bodyDiv w:val="1"/>
      <w:marLeft w:val="0"/>
      <w:marRight w:val="0"/>
      <w:marTop w:val="0"/>
      <w:marBottom w:val="0"/>
      <w:divBdr>
        <w:top w:val="none" w:sz="0" w:space="0" w:color="auto"/>
        <w:left w:val="none" w:sz="0" w:space="0" w:color="auto"/>
        <w:bottom w:val="none" w:sz="0" w:space="0" w:color="auto"/>
        <w:right w:val="none" w:sz="0" w:space="0" w:color="auto"/>
      </w:divBdr>
    </w:div>
    <w:div w:id="1962150358">
      <w:bodyDiv w:val="1"/>
      <w:marLeft w:val="0"/>
      <w:marRight w:val="0"/>
      <w:marTop w:val="0"/>
      <w:marBottom w:val="0"/>
      <w:divBdr>
        <w:top w:val="none" w:sz="0" w:space="0" w:color="auto"/>
        <w:left w:val="none" w:sz="0" w:space="0" w:color="auto"/>
        <w:bottom w:val="none" w:sz="0" w:space="0" w:color="auto"/>
        <w:right w:val="none" w:sz="0" w:space="0" w:color="auto"/>
      </w:divBdr>
    </w:div>
    <w:div w:id="202624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OSTLTSDOC-728-1750</_dlc_DocId>
    <_dlc_DocIdUrl xmlns="b5c0ca00-073d-4463-9985-b654f14791fe">
      <Url>https://esp.cdc.gov/sites/ostlts/pip/osc/_layouts/15/DocIdRedir.aspx?ID=OSTLTSDOC-728-1750</Url>
      <Description>OSTLTSDOC-728-1750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F33351F-7C8B-44BA-9EE1-9863E98C191F}">
  <ds:schemaRefs>
    <ds:schemaRef ds:uri="http://schemas.microsoft.com/sharepoint/v3/contenttype/forms"/>
  </ds:schemaRefs>
</ds:datastoreItem>
</file>

<file path=customXml/itemProps2.xml><?xml version="1.0" encoding="utf-8"?>
<ds:datastoreItem xmlns:ds="http://schemas.openxmlformats.org/officeDocument/2006/customXml" ds:itemID="{3D65D30E-9FD6-417E-9EB5-17C41E7D18A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b5c0ca00-073d-4463-9985-b654f14791fe"/>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3401837-6F96-49DE-8B18-723F50BE7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8F9FD8-0170-424C-87F1-A8DA4DD02CC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Neitzel</dc:creator>
  <cp:keywords/>
  <dc:description/>
  <cp:lastModifiedBy>SYSTEM</cp:lastModifiedBy>
  <cp:revision>2</cp:revision>
  <dcterms:created xsi:type="dcterms:W3CDTF">2017-10-18T21:31:00Z</dcterms:created>
  <dcterms:modified xsi:type="dcterms:W3CDTF">2017-10-18T21:31:00Z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2e3c4607-c3ea-4540-bd50-0260d88c03b4</vt:lpwstr>
  </property>
  <property fmtid="{D5CDD505-2E9C-101B-9397-08002B2CF9AE}" pid="3" name="ContentTypeId">
    <vt:lpwstr>0x010100FD0F1E0F67359F4D9D426FB699895E260040510BFFB96211439356D59EEDCA1E28</vt:lpwstr>
  </property>
</Properties>
</file>