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6026B" w14:textId="5A06052C" w:rsidR="00D55161" w:rsidRDefault="008B5896" w:rsidP="00D55161">
      <w:pPr>
        <w:rPr>
          <w:rFonts w:ascii="Cambria" w:hAnsi="Cambria"/>
        </w:rPr>
      </w:pPr>
      <w:r>
        <w:rPr>
          <w:rFonts w:ascii="Cambria" w:hAnsi="Cambria"/>
          <w:b/>
        </w:rPr>
        <w:t xml:space="preserve">Attachment </w:t>
      </w:r>
      <w:r w:rsidR="00301BDB">
        <w:rPr>
          <w:rFonts w:ascii="Cambria" w:hAnsi="Cambria"/>
          <w:b/>
        </w:rPr>
        <w:t>D</w:t>
      </w:r>
      <w:bookmarkStart w:id="0" w:name="_GoBack"/>
      <w:bookmarkEnd w:id="0"/>
      <w:r w:rsidR="00D55161">
        <w:rPr>
          <w:rFonts w:ascii="Cambria" w:hAnsi="Cambria"/>
          <w:b/>
        </w:rPr>
        <w:t>: Project Overview</w:t>
      </w:r>
    </w:p>
    <w:p w14:paraId="2086026C" w14:textId="77777777" w:rsidR="00D55161" w:rsidRDefault="00D55161" w:rsidP="00D55161">
      <w:pPr>
        <w:pStyle w:val="Header"/>
        <w:tabs>
          <w:tab w:val="clear" w:pos="4680"/>
        </w:tabs>
        <w:spacing w:line="276" w:lineRule="auto"/>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14:anchorId="2086028D" wp14:editId="3A1F9178">
                <wp:simplePos x="0" y="0"/>
                <wp:positionH relativeFrom="column">
                  <wp:posOffset>-4671119</wp:posOffset>
                </wp:positionH>
                <wp:positionV relativeFrom="paragraph">
                  <wp:posOffset>99406</wp:posOffset>
                </wp:positionV>
                <wp:extent cx="4554393" cy="1192695"/>
                <wp:effectExtent l="0" t="0" r="17780" b="26670"/>
                <wp:wrapNone/>
                <wp:docPr id="2" name="Rectangle 2"/>
                <wp:cNvGraphicFramePr/>
                <a:graphic xmlns:a="http://schemas.openxmlformats.org/drawingml/2006/main">
                  <a:graphicData uri="http://schemas.microsoft.com/office/word/2010/wordprocessingShape">
                    <wps:wsp>
                      <wps:cNvSpPr/>
                      <wps:spPr>
                        <a:xfrm>
                          <a:off x="0" y="0"/>
                          <a:ext cx="4554393" cy="119269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67.8pt;margin-top:7.85pt;width:358.6pt;height:9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" filled="f" strokecolor="black [3213]" strokeweight="1pt"/>
            </w:pict>
          </mc:Fallback>
        </mc:AlternateContent>
      </w:r>
      <w:r w:rsidRPr="002B27B2">
        <w:rPr>
          <w:rFonts w:ascii="Cambria" w:hAnsi="Cambria"/>
          <w:noProof/>
        </w:rPr>
        <mc:AlternateContent>
          <mc:Choice Requires="wps">
            <w:drawing>
              <wp:anchor distT="45720" distB="45720" distL="114300" distR="114300" simplePos="0" relativeHeight="251659264" behindDoc="0" locked="0" layoutInCell="1" allowOverlap="1" wp14:anchorId="2086028F" wp14:editId="20860290">
                <wp:simplePos x="0" y="0"/>
                <wp:positionH relativeFrom="column">
                  <wp:posOffset>-87630</wp:posOffset>
                </wp:positionH>
                <wp:positionV relativeFrom="paragraph">
                  <wp:posOffset>48895</wp:posOffset>
                </wp:positionV>
                <wp:extent cx="4651375" cy="13125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1312545"/>
                        </a:xfrm>
                        <a:prstGeom prst="rect">
                          <a:avLst/>
                        </a:prstGeom>
                        <a:solidFill>
                          <a:srgbClr val="FFFFFF"/>
                        </a:solidFill>
                        <a:ln w="12700">
                          <a:noFill/>
                          <a:miter lim="800000"/>
                          <a:headEnd/>
                          <a:tailEnd/>
                        </a:ln>
                      </wps:spPr>
                      <wps:txbx>
                        <w:txbxContent>
                          <w:p w14:paraId="20860293" w14:textId="77777777" w:rsidR="00D55161" w:rsidRDefault="00D55161" w:rsidP="00D55161">
                            <w:r>
                              <w:rPr>
                                <w:noProof/>
                              </w:rPr>
                              <w:drawing>
                                <wp:inline distT="0" distB="0" distL="0" distR="0" wp14:anchorId="20860294" wp14:editId="20860295">
                                  <wp:extent cx="4611757" cy="1321196"/>
                                  <wp:effectExtent l="0" t="0" r="0" b="0"/>
                                  <wp:docPr id="67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1757" cy="1321196"/>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3.85pt;width:366.25pt;height:10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" stroked="f" strokeweight="1pt">
                <v:textbox>
                  <w:txbxContent>
                    <w:p w14:paraId="20860293" w14:textId="77777777" w:rsidR="00D55161" w:rsidRDefault="00D55161" w:rsidP="00D55161">
                      <w:r>
                        <w:rPr>
                          <w:noProof/>
                        </w:rPr>
                        <w:drawing>
                          <wp:inline distT="0" distB="0" distL="0" distR="0" wp14:anchorId="20860294" wp14:editId="20860295">
                            <wp:extent cx="4611757" cy="1321196"/>
                            <wp:effectExtent l="0" t="0" r="0" b="0"/>
                            <wp:docPr id="67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1757" cy="1321196"/>
                                    </a:xfrm>
                                    <a:prstGeom prst="rect">
                                      <a:avLst/>
                                    </a:prstGeom>
                                    <a:noFill/>
                                    <a:ln>
                                      <a:noFill/>
                                    </a:ln>
                                    <a:extLst/>
                                  </pic:spPr>
                                </pic:pic>
                              </a:graphicData>
                            </a:graphic>
                          </wp:inline>
                        </w:drawing>
                      </w:r>
                    </w:p>
                  </w:txbxContent>
                </v:textbox>
                <w10:wrap type="square"/>
              </v:shape>
            </w:pict>
          </mc:Fallback>
        </mc:AlternateContent>
      </w:r>
    </w:p>
    <w:p w14:paraId="2086026D" w14:textId="77777777" w:rsidR="00D55161" w:rsidRDefault="00D55161" w:rsidP="00D55161">
      <w:pPr>
        <w:pStyle w:val="Header"/>
        <w:tabs>
          <w:tab w:val="clear" w:pos="4680"/>
        </w:tabs>
        <w:spacing w:line="276" w:lineRule="auto"/>
        <w:rPr>
          <w:rFonts w:ascii="Cambria" w:hAnsi="Cambria"/>
        </w:rPr>
      </w:pPr>
    </w:p>
    <w:p w14:paraId="2086026E" w14:textId="77777777" w:rsidR="00D55161" w:rsidRDefault="00D55161" w:rsidP="00D55161">
      <w:pPr>
        <w:pStyle w:val="Header"/>
        <w:tabs>
          <w:tab w:val="clear" w:pos="4680"/>
        </w:tabs>
        <w:spacing w:line="276" w:lineRule="auto"/>
        <w:rPr>
          <w:rFonts w:ascii="Cambria" w:hAnsi="Cambria"/>
        </w:rPr>
      </w:pPr>
    </w:p>
    <w:p w14:paraId="2086026F" w14:textId="77777777" w:rsidR="00D55161" w:rsidRDefault="00D55161" w:rsidP="00D55161">
      <w:pPr>
        <w:pStyle w:val="Header"/>
        <w:tabs>
          <w:tab w:val="clear" w:pos="4680"/>
        </w:tabs>
        <w:spacing w:line="276" w:lineRule="auto"/>
        <w:rPr>
          <w:rFonts w:ascii="Cambria" w:hAnsi="Cambria"/>
        </w:rPr>
      </w:pPr>
    </w:p>
    <w:p w14:paraId="20860270" w14:textId="77777777" w:rsidR="00D55161" w:rsidRDefault="00D55161" w:rsidP="00D55161">
      <w:pPr>
        <w:pStyle w:val="Header"/>
        <w:tabs>
          <w:tab w:val="clear" w:pos="4680"/>
        </w:tabs>
        <w:spacing w:line="276" w:lineRule="auto"/>
        <w:rPr>
          <w:rFonts w:ascii="Cambria" w:hAnsi="Cambria"/>
        </w:rPr>
      </w:pPr>
    </w:p>
    <w:p w14:paraId="788892FB" w14:textId="77777777" w:rsidR="004E6629" w:rsidRDefault="004E6629" w:rsidP="004E6629">
      <w:pPr>
        <w:rPr>
          <w:rFonts w:ascii="Cambria" w:hAnsi="Cambria"/>
          <w:b/>
          <w:sz w:val="24"/>
          <w:szCs w:val="24"/>
        </w:rPr>
      </w:pPr>
    </w:p>
    <w:p w14:paraId="65C88796" w14:textId="77777777" w:rsidR="004E6629" w:rsidRDefault="004E6629" w:rsidP="004E6629">
      <w:pPr>
        <w:rPr>
          <w:rFonts w:ascii="Cambria" w:hAnsi="Cambria"/>
          <w:b/>
          <w:sz w:val="24"/>
          <w:szCs w:val="24"/>
        </w:rPr>
      </w:pPr>
    </w:p>
    <w:p w14:paraId="59068312" w14:textId="77777777" w:rsidR="004E6629" w:rsidRDefault="004E6629" w:rsidP="004E6629">
      <w:pPr>
        <w:rPr>
          <w:rFonts w:ascii="Cambria" w:hAnsi="Cambria"/>
          <w:b/>
          <w:sz w:val="24"/>
          <w:szCs w:val="24"/>
        </w:rPr>
      </w:pPr>
    </w:p>
    <w:p w14:paraId="20860275" w14:textId="2A7BADD5" w:rsidR="00D55161" w:rsidRDefault="00D55161" w:rsidP="004E6629">
      <w:pPr>
        <w:rPr>
          <w:rFonts w:ascii="Cambria" w:hAnsi="Cambria"/>
          <w:b/>
          <w:sz w:val="24"/>
          <w:szCs w:val="24"/>
        </w:rPr>
      </w:pPr>
      <w:r w:rsidRPr="003F1328">
        <w:rPr>
          <w:rFonts w:ascii="Cambria" w:hAnsi="Cambria"/>
          <w:b/>
          <w:sz w:val="24"/>
          <w:szCs w:val="24"/>
        </w:rPr>
        <w:t>Evaluation of Interventions to Prevent Exposure to Contaminants in Drinking Water</w:t>
      </w:r>
    </w:p>
    <w:p w14:paraId="6B45210F" w14:textId="77777777" w:rsidR="004E6629" w:rsidRDefault="004E6629" w:rsidP="004E6629">
      <w:pPr>
        <w:rPr>
          <w:rFonts w:ascii="Cambria" w:hAnsi="Cambria"/>
          <w:b/>
          <w:sz w:val="24"/>
          <w:szCs w:val="24"/>
        </w:rPr>
      </w:pPr>
    </w:p>
    <w:p w14:paraId="7D43AA6C" w14:textId="77777777" w:rsidR="004E6629" w:rsidRDefault="004E6629" w:rsidP="0026057C">
      <w:pPr>
        <w:pStyle w:val="Header"/>
        <w:tabs>
          <w:tab w:val="clear" w:pos="4680"/>
        </w:tabs>
        <w:rPr>
          <w:rFonts w:ascii="Cambria" w:hAnsi="Cambria"/>
        </w:rPr>
        <w:sectPr w:rsidR="004E6629" w:rsidSect="004E6629">
          <w:type w:val="continuous"/>
          <w:pgSz w:w="12240" w:h="15840"/>
          <w:pgMar w:top="1440" w:right="1440" w:bottom="1440" w:left="1440" w:header="720" w:footer="720" w:gutter="0"/>
          <w:cols w:space="720"/>
          <w:docGrid w:linePitch="360"/>
        </w:sectPr>
      </w:pPr>
    </w:p>
    <w:p w14:paraId="20860277" w14:textId="28B6861C" w:rsidR="00D709C2" w:rsidRPr="00131CD3" w:rsidRDefault="00D709C2" w:rsidP="0026057C">
      <w:pPr>
        <w:pStyle w:val="Header"/>
        <w:tabs>
          <w:tab w:val="clear" w:pos="4680"/>
        </w:tabs>
        <w:rPr>
          <w:rFonts w:ascii="Cambria" w:hAnsi="Cambria"/>
          <w:sz w:val="16"/>
          <w:szCs w:val="16"/>
        </w:rPr>
      </w:pPr>
      <w:r w:rsidRPr="00D709C2">
        <w:rPr>
          <w:rFonts w:ascii="Cambria" w:hAnsi="Cambria"/>
        </w:rPr>
        <w:lastRenderedPageBreak/>
        <w:t xml:space="preserve">There have been many state, local, and tribal </w:t>
      </w:r>
      <w:r w:rsidR="00A53C46">
        <w:rPr>
          <w:rFonts w:ascii="Cambria" w:hAnsi="Cambria"/>
        </w:rPr>
        <w:t xml:space="preserve">outreach programs </w:t>
      </w:r>
      <w:r w:rsidRPr="00D709C2">
        <w:rPr>
          <w:rFonts w:ascii="Cambria" w:hAnsi="Cambria"/>
        </w:rPr>
        <w:t xml:space="preserve">by environmental health staff to educate the owners of private wells about the risks involved with well water.  In most cases, information on the success of these programs is not available. </w:t>
      </w:r>
    </w:p>
    <w:p w14:paraId="20860278" w14:textId="77777777" w:rsidR="00D709C2" w:rsidRPr="00131CD3" w:rsidRDefault="00D709C2" w:rsidP="0026057C">
      <w:pPr>
        <w:pStyle w:val="Header"/>
        <w:tabs>
          <w:tab w:val="clear" w:pos="4680"/>
        </w:tabs>
        <w:rPr>
          <w:rFonts w:ascii="Cambria" w:hAnsi="Cambria"/>
          <w:sz w:val="16"/>
          <w:szCs w:val="16"/>
        </w:rPr>
      </w:pPr>
    </w:p>
    <w:p w14:paraId="20860279" w14:textId="77777777" w:rsidR="00D709C2" w:rsidRPr="00131CD3" w:rsidRDefault="00D709C2" w:rsidP="0026057C">
      <w:pPr>
        <w:pStyle w:val="Header"/>
        <w:tabs>
          <w:tab w:val="clear" w:pos="4680"/>
        </w:tabs>
        <w:rPr>
          <w:rFonts w:ascii="Cambria" w:hAnsi="Cambria"/>
          <w:sz w:val="16"/>
          <w:szCs w:val="16"/>
        </w:rPr>
      </w:pPr>
      <w:r w:rsidRPr="00D709C2">
        <w:rPr>
          <w:rFonts w:ascii="Cambria" w:hAnsi="Cambria"/>
        </w:rPr>
        <w:t xml:space="preserve">The National Ground Water Association (NGWA) secured a contract from CDC to </w:t>
      </w:r>
      <w:r w:rsidR="0026057C">
        <w:rPr>
          <w:rFonts w:ascii="Cambria" w:hAnsi="Cambria"/>
        </w:rPr>
        <w:t xml:space="preserve">help </w:t>
      </w:r>
      <w:r w:rsidRPr="00D709C2">
        <w:rPr>
          <w:rFonts w:ascii="Cambria" w:hAnsi="Cambria"/>
        </w:rPr>
        <w:t xml:space="preserve">address this information gap.  </w:t>
      </w:r>
    </w:p>
    <w:p w14:paraId="2086027A" w14:textId="77777777" w:rsidR="00D709C2" w:rsidRPr="00131CD3" w:rsidRDefault="00D709C2" w:rsidP="0026057C">
      <w:pPr>
        <w:pStyle w:val="Header"/>
        <w:tabs>
          <w:tab w:val="clear" w:pos="4680"/>
        </w:tabs>
        <w:rPr>
          <w:rFonts w:ascii="Cambria" w:hAnsi="Cambria"/>
          <w:sz w:val="16"/>
          <w:szCs w:val="16"/>
        </w:rPr>
      </w:pPr>
    </w:p>
    <w:p w14:paraId="2086027B" w14:textId="77777777" w:rsidR="00D709C2" w:rsidRPr="00D709C2" w:rsidRDefault="00D709C2" w:rsidP="0026057C">
      <w:pPr>
        <w:pStyle w:val="Header"/>
        <w:tabs>
          <w:tab w:val="clear" w:pos="4680"/>
        </w:tabs>
        <w:rPr>
          <w:rFonts w:ascii="Cambria" w:hAnsi="Cambria"/>
        </w:rPr>
      </w:pPr>
      <w:r w:rsidRPr="00D709C2">
        <w:rPr>
          <w:rFonts w:ascii="Cambria" w:hAnsi="Cambria"/>
        </w:rPr>
        <w:t xml:space="preserve">This information collection </w:t>
      </w:r>
      <w:r w:rsidR="00A53C46">
        <w:rPr>
          <w:rFonts w:ascii="Cambria" w:hAnsi="Cambria"/>
        </w:rPr>
        <w:t>will:</w:t>
      </w:r>
    </w:p>
    <w:p w14:paraId="2086027C" w14:textId="77777777" w:rsidR="0026057C" w:rsidRDefault="00A53C46" w:rsidP="0026057C">
      <w:pPr>
        <w:pStyle w:val="CommentText"/>
        <w:numPr>
          <w:ilvl w:val="0"/>
          <w:numId w:val="11"/>
        </w:numPr>
        <w:ind w:left="360"/>
        <w:rPr>
          <w:rFonts w:ascii="Cambria" w:hAnsi="Cambria"/>
          <w:sz w:val="22"/>
          <w:szCs w:val="22"/>
        </w:rPr>
      </w:pPr>
      <w:r>
        <w:rPr>
          <w:rFonts w:ascii="Cambria" w:hAnsi="Cambria"/>
          <w:sz w:val="22"/>
          <w:szCs w:val="22"/>
        </w:rPr>
        <w:t>I</w:t>
      </w:r>
      <w:r w:rsidR="00D709C2" w:rsidRPr="00D709C2">
        <w:rPr>
          <w:rFonts w:ascii="Cambria" w:hAnsi="Cambria"/>
          <w:sz w:val="22"/>
          <w:szCs w:val="22"/>
        </w:rPr>
        <w:t>dentify and describe existing public outreach campaigns that promote well testing</w:t>
      </w:r>
      <w:r w:rsidR="00D709C2">
        <w:rPr>
          <w:rFonts w:ascii="Cambria" w:hAnsi="Cambria"/>
          <w:sz w:val="22"/>
          <w:szCs w:val="22"/>
        </w:rPr>
        <w:t xml:space="preserve"> and treatment by gathering</w:t>
      </w:r>
      <w:r w:rsidR="0026057C">
        <w:rPr>
          <w:rFonts w:ascii="Cambria" w:hAnsi="Cambria"/>
          <w:sz w:val="22"/>
          <w:szCs w:val="22"/>
        </w:rPr>
        <w:t xml:space="preserve"> information</w:t>
      </w:r>
      <w:r w:rsidR="00D709C2" w:rsidRPr="00D709C2">
        <w:rPr>
          <w:rFonts w:ascii="Cambria" w:hAnsi="Cambria"/>
          <w:sz w:val="22"/>
          <w:szCs w:val="22"/>
        </w:rPr>
        <w:t xml:space="preserve"> fr</w:t>
      </w:r>
      <w:r w:rsidR="00D709C2">
        <w:rPr>
          <w:rFonts w:ascii="Cambria" w:hAnsi="Cambria"/>
          <w:sz w:val="22"/>
          <w:szCs w:val="22"/>
        </w:rPr>
        <w:t>om the program managers</w:t>
      </w:r>
      <w:r w:rsidR="00D709C2" w:rsidRPr="00D709C2">
        <w:rPr>
          <w:rFonts w:ascii="Cambria" w:hAnsi="Cambria"/>
          <w:sz w:val="22"/>
          <w:szCs w:val="22"/>
        </w:rPr>
        <w:t xml:space="preserve"> indicative of program success from their perspective.</w:t>
      </w:r>
    </w:p>
    <w:p w14:paraId="2086027D" w14:textId="77777777" w:rsidR="0026057C" w:rsidRPr="0026057C" w:rsidRDefault="00A53C46" w:rsidP="0026057C">
      <w:pPr>
        <w:pStyle w:val="CommentText"/>
        <w:numPr>
          <w:ilvl w:val="0"/>
          <w:numId w:val="11"/>
        </w:numPr>
        <w:ind w:left="360"/>
        <w:rPr>
          <w:rFonts w:ascii="Cambria" w:hAnsi="Cambria"/>
          <w:sz w:val="22"/>
          <w:szCs w:val="22"/>
        </w:rPr>
      </w:pPr>
      <w:r w:rsidRPr="0026057C">
        <w:rPr>
          <w:rFonts w:ascii="Cambria" w:hAnsi="Cambria"/>
          <w:sz w:val="22"/>
          <w:szCs w:val="22"/>
        </w:rPr>
        <w:t>Interview</w:t>
      </w:r>
      <w:r w:rsidR="00D709C2" w:rsidRPr="0026057C">
        <w:rPr>
          <w:rFonts w:ascii="Cambria" w:hAnsi="Cambria"/>
          <w:sz w:val="22"/>
          <w:szCs w:val="22"/>
        </w:rPr>
        <w:t xml:space="preserve"> key government personnel </w:t>
      </w:r>
      <w:r w:rsidR="0026057C">
        <w:rPr>
          <w:rFonts w:ascii="Cambria" w:hAnsi="Cambria"/>
          <w:sz w:val="22"/>
          <w:szCs w:val="22"/>
        </w:rPr>
        <w:t xml:space="preserve">to </w:t>
      </w:r>
      <w:r w:rsidR="00D709C2" w:rsidRPr="0026057C">
        <w:rPr>
          <w:rFonts w:ascii="Cambria" w:hAnsi="Cambria"/>
          <w:sz w:val="22"/>
          <w:szCs w:val="22"/>
        </w:rPr>
        <w:t xml:space="preserve">provide additional context, depth and </w:t>
      </w:r>
      <w:r w:rsidR="0026057C">
        <w:rPr>
          <w:rFonts w:ascii="Cambria" w:hAnsi="Cambria"/>
          <w:sz w:val="22"/>
          <w:szCs w:val="22"/>
        </w:rPr>
        <w:t>nuance to our overall assessment</w:t>
      </w:r>
      <w:r w:rsidR="00D709C2" w:rsidRPr="0026057C">
        <w:rPr>
          <w:rFonts w:ascii="Cambria" w:hAnsi="Cambria"/>
          <w:sz w:val="22"/>
          <w:szCs w:val="22"/>
        </w:rPr>
        <w:t xml:space="preserve"> of private well owner-focused public outreach efforts</w:t>
      </w:r>
      <w:r w:rsidR="0026057C">
        <w:rPr>
          <w:rFonts w:ascii="Cambria" w:hAnsi="Cambria"/>
          <w:sz w:val="22"/>
          <w:szCs w:val="22"/>
        </w:rPr>
        <w:t>. We will</w:t>
      </w:r>
      <w:r w:rsidR="00D709C2" w:rsidRPr="0026057C">
        <w:rPr>
          <w:rFonts w:ascii="Cambria" w:hAnsi="Cambria"/>
          <w:sz w:val="22"/>
          <w:szCs w:val="22"/>
        </w:rPr>
        <w:t xml:space="preserve"> conduct </w:t>
      </w:r>
      <w:r w:rsidR="0026057C">
        <w:rPr>
          <w:rFonts w:ascii="Cambria" w:hAnsi="Cambria"/>
          <w:sz w:val="22"/>
          <w:szCs w:val="22"/>
        </w:rPr>
        <w:t>face-to-</w:t>
      </w:r>
      <w:r w:rsidR="00D709C2" w:rsidRPr="0026057C">
        <w:rPr>
          <w:rFonts w:ascii="Cambria" w:hAnsi="Cambria"/>
          <w:sz w:val="22"/>
          <w:szCs w:val="22"/>
        </w:rPr>
        <w:t>face and/or telephone interviews.</w:t>
      </w:r>
    </w:p>
    <w:p w14:paraId="20860285" w14:textId="31B0A745" w:rsidR="00D709C2" w:rsidRPr="004E6629" w:rsidRDefault="00A53C46" w:rsidP="004E6629">
      <w:pPr>
        <w:pStyle w:val="CommentText"/>
        <w:numPr>
          <w:ilvl w:val="0"/>
          <w:numId w:val="11"/>
        </w:numPr>
        <w:ind w:left="360"/>
        <w:rPr>
          <w:rFonts w:ascii="Cambria" w:hAnsi="Cambria"/>
          <w:sz w:val="22"/>
          <w:szCs w:val="22"/>
        </w:rPr>
      </w:pPr>
      <w:r w:rsidRPr="004E6629">
        <w:rPr>
          <w:rFonts w:ascii="Cambria" w:hAnsi="Cambria"/>
          <w:sz w:val="22"/>
          <w:szCs w:val="22"/>
        </w:rPr>
        <w:t>Gain v</w:t>
      </w:r>
      <w:r w:rsidR="00D709C2" w:rsidRPr="004E6629">
        <w:rPr>
          <w:rFonts w:ascii="Cambria" w:hAnsi="Cambria"/>
          <w:sz w:val="22"/>
          <w:szCs w:val="22"/>
        </w:rPr>
        <w:t>al</w:t>
      </w:r>
      <w:r w:rsidRPr="004E6629">
        <w:rPr>
          <w:rFonts w:ascii="Cambria" w:hAnsi="Cambria"/>
          <w:sz w:val="22"/>
          <w:szCs w:val="22"/>
        </w:rPr>
        <w:t xml:space="preserve">uable information </w:t>
      </w:r>
      <w:r w:rsidR="00D709C2" w:rsidRPr="004E6629">
        <w:rPr>
          <w:rFonts w:ascii="Cambria" w:hAnsi="Cambria"/>
          <w:sz w:val="22"/>
          <w:szCs w:val="22"/>
        </w:rPr>
        <w:t>about two major problematic constituents in groundwater in two regions—arsenic, which is prevalent in portions of the northeastern United States, and nitrate, which is prevalent in certain large agricultural areas in southern California. This portion of the information collection will examine strategies and tactics specific to a</w:t>
      </w:r>
      <w:r w:rsidR="004E6629" w:rsidRPr="004E6629">
        <w:rPr>
          <w:rFonts w:ascii="Cambria" w:hAnsi="Cambria"/>
          <w:sz w:val="22"/>
          <w:szCs w:val="22"/>
        </w:rPr>
        <w:t xml:space="preserve">rsenic and nitrate, and </w:t>
      </w:r>
      <w:r w:rsidR="00D709C2" w:rsidRPr="004E6629">
        <w:rPr>
          <w:rFonts w:ascii="Cambria" w:hAnsi="Cambria"/>
          <w:sz w:val="22"/>
          <w:szCs w:val="22"/>
        </w:rPr>
        <w:t>how large-scale public outreac</w:t>
      </w:r>
      <w:r w:rsidRPr="004E6629">
        <w:rPr>
          <w:rFonts w:ascii="Cambria" w:hAnsi="Cambria"/>
          <w:sz w:val="22"/>
          <w:szCs w:val="22"/>
        </w:rPr>
        <w:t xml:space="preserve">h programs approach </w:t>
      </w:r>
      <w:r w:rsidR="00D709C2" w:rsidRPr="004E6629">
        <w:rPr>
          <w:rFonts w:ascii="Cambria" w:hAnsi="Cambria"/>
          <w:sz w:val="22"/>
          <w:szCs w:val="22"/>
        </w:rPr>
        <w:t>educating private well owners.</w:t>
      </w:r>
    </w:p>
    <w:p w14:paraId="20860287" w14:textId="77777777" w:rsidR="00D709C2" w:rsidRPr="00D709C2" w:rsidRDefault="00D709C2" w:rsidP="0026057C">
      <w:pPr>
        <w:pStyle w:val="Header"/>
        <w:tabs>
          <w:tab w:val="clear" w:pos="4680"/>
        </w:tabs>
        <w:rPr>
          <w:rFonts w:ascii="Cambria" w:hAnsi="Cambria"/>
        </w:rPr>
      </w:pPr>
      <w:r w:rsidRPr="00D709C2">
        <w:rPr>
          <w:rFonts w:ascii="Cambria" w:hAnsi="Cambria"/>
        </w:rPr>
        <w:lastRenderedPageBreak/>
        <w:t>This information collection will contribute to a larger project effort, the findings of which will be presented in a written report to be provided to CDC. The report will include:</w:t>
      </w:r>
    </w:p>
    <w:p w14:paraId="20860288" w14:textId="77777777" w:rsidR="00D709C2" w:rsidRPr="00131CD3" w:rsidRDefault="00D709C2" w:rsidP="004E6629">
      <w:pPr>
        <w:pStyle w:val="Header"/>
        <w:numPr>
          <w:ilvl w:val="0"/>
          <w:numId w:val="1"/>
        </w:numPr>
        <w:tabs>
          <w:tab w:val="clear" w:pos="4680"/>
        </w:tabs>
        <w:spacing w:before="120"/>
        <w:rPr>
          <w:rFonts w:ascii="Cambria" w:hAnsi="Cambria"/>
        </w:rPr>
      </w:pPr>
      <w:r w:rsidRPr="00D709C2">
        <w:rPr>
          <w:rFonts w:ascii="Cambria" w:hAnsi="Cambria"/>
          <w:b/>
        </w:rPr>
        <w:t>An analysis of the predominant components of private well outreach programs</w:t>
      </w:r>
      <w:r w:rsidR="00131CD3">
        <w:rPr>
          <w:rFonts w:ascii="Cambria" w:hAnsi="Cambria"/>
        </w:rPr>
        <w:t xml:space="preserve">: </w:t>
      </w:r>
      <w:r w:rsidR="00131CD3" w:rsidRPr="00131CD3">
        <w:rPr>
          <w:rFonts w:ascii="Cambria" w:hAnsi="Cambria"/>
        </w:rPr>
        <w:t>C</w:t>
      </w:r>
      <w:r w:rsidRPr="00131CD3">
        <w:rPr>
          <w:rFonts w:ascii="Cambria" w:hAnsi="Cambria"/>
        </w:rPr>
        <w:t>omponents will correspo</w:t>
      </w:r>
      <w:r w:rsidR="006129D4">
        <w:rPr>
          <w:rFonts w:ascii="Cambria" w:hAnsi="Cambria"/>
        </w:rPr>
        <w:t>nd to program strategies (i.e. news media initiative), and tactics to achieve strategy goals (i.e.</w:t>
      </w:r>
      <w:r w:rsidRPr="00131CD3">
        <w:rPr>
          <w:rFonts w:ascii="Cambria" w:hAnsi="Cambria"/>
        </w:rPr>
        <w:t xml:space="preserve"> news events, news releases, e</w:t>
      </w:r>
      <w:r w:rsidR="006129D4">
        <w:rPr>
          <w:rFonts w:ascii="Cambria" w:hAnsi="Cambria"/>
        </w:rPr>
        <w:t>ditorial board meetings</w:t>
      </w:r>
      <w:r w:rsidRPr="00131CD3">
        <w:rPr>
          <w:rFonts w:ascii="Cambria" w:hAnsi="Cambria"/>
        </w:rPr>
        <w:t>).</w:t>
      </w:r>
    </w:p>
    <w:p w14:paraId="20860289" w14:textId="77777777" w:rsidR="00D709C2" w:rsidRPr="00131CD3" w:rsidRDefault="00D709C2" w:rsidP="004E6629">
      <w:pPr>
        <w:pStyle w:val="Header"/>
        <w:numPr>
          <w:ilvl w:val="0"/>
          <w:numId w:val="1"/>
        </w:numPr>
        <w:tabs>
          <w:tab w:val="clear" w:pos="4680"/>
        </w:tabs>
        <w:spacing w:before="120"/>
        <w:rPr>
          <w:rFonts w:ascii="Cambria" w:hAnsi="Cambria"/>
        </w:rPr>
      </w:pPr>
      <w:r w:rsidRPr="00D709C2">
        <w:rPr>
          <w:rFonts w:ascii="Cambria" w:hAnsi="Cambria"/>
          <w:b/>
        </w:rPr>
        <w:t>A composite profile of a multi-faceted program</w:t>
      </w:r>
      <w:r w:rsidR="00131CD3">
        <w:rPr>
          <w:rFonts w:ascii="Cambria" w:hAnsi="Cambria"/>
        </w:rPr>
        <w:t xml:space="preserve">: </w:t>
      </w:r>
      <w:r w:rsidR="006129D4">
        <w:rPr>
          <w:rFonts w:ascii="Cambria" w:hAnsi="Cambria"/>
        </w:rPr>
        <w:t>This will</w:t>
      </w:r>
      <w:r w:rsidRPr="00131CD3">
        <w:rPr>
          <w:rFonts w:ascii="Cambria" w:hAnsi="Cambria"/>
        </w:rPr>
        <w:t xml:space="preserve"> represent a model program that optimally combines the predominant components of public outreach campaigns to well owners.</w:t>
      </w:r>
    </w:p>
    <w:p w14:paraId="2086028A" w14:textId="77777777" w:rsidR="00D709C2" w:rsidRPr="00131CD3" w:rsidRDefault="00D709C2" w:rsidP="004E6629">
      <w:pPr>
        <w:pStyle w:val="Header"/>
        <w:numPr>
          <w:ilvl w:val="0"/>
          <w:numId w:val="1"/>
        </w:numPr>
        <w:tabs>
          <w:tab w:val="clear" w:pos="4680"/>
        </w:tabs>
        <w:spacing w:before="120"/>
        <w:rPr>
          <w:rFonts w:ascii="Cambria" w:hAnsi="Cambria"/>
        </w:rPr>
      </w:pPr>
      <w:r w:rsidRPr="00D709C2">
        <w:rPr>
          <w:rFonts w:ascii="Cambria" w:hAnsi="Cambria"/>
          <w:b/>
        </w:rPr>
        <w:t>Case examples of noteworthy private well outreach programs</w:t>
      </w:r>
      <w:r w:rsidR="00131CD3">
        <w:rPr>
          <w:rFonts w:ascii="Cambria" w:hAnsi="Cambria"/>
        </w:rPr>
        <w:t xml:space="preserve">: </w:t>
      </w:r>
      <w:r w:rsidRPr="00131CD3">
        <w:rPr>
          <w:rFonts w:ascii="Cambria" w:hAnsi="Cambria"/>
        </w:rPr>
        <w:t>The case examples selected as “noteworthy” will stand out in ways that are particularly helpful in illustrating the program development, implementation and/or assessment.</w:t>
      </w:r>
    </w:p>
    <w:p w14:paraId="2086028C" w14:textId="29271DAF" w:rsidR="00016F15" w:rsidRPr="004E6629" w:rsidRDefault="00131CD3" w:rsidP="004E6629">
      <w:pPr>
        <w:pStyle w:val="Header"/>
        <w:numPr>
          <w:ilvl w:val="0"/>
          <w:numId w:val="1"/>
        </w:numPr>
        <w:tabs>
          <w:tab w:val="clear" w:pos="4680"/>
        </w:tabs>
        <w:spacing w:before="120"/>
        <w:rPr>
          <w:rFonts w:ascii="Cambria" w:hAnsi="Cambria"/>
        </w:rPr>
      </w:pPr>
      <w:r>
        <w:rPr>
          <w:rFonts w:ascii="Cambria" w:hAnsi="Cambria"/>
          <w:noProof/>
        </w:rPr>
        <mc:AlternateContent>
          <mc:Choice Requires="wps">
            <w:drawing>
              <wp:anchor distT="0" distB="0" distL="114300" distR="114300" simplePos="0" relativeHeight="251661312" behindDoc="0" locked="0" layoutInCell="1" allowOverlap="1" wp14:anchorId="20860291" wp14:editId="20860292">
                <wp:simplePos x="0" y="0"/>
                <wp:positionH relativeFrom="column">
                  <wp:posOffset>1152352</wp:posOffset>
                </wp:positionH>
                <wp:positionV relativeFrom="paragraph">
                  <wp:posOffset>906145</wp:posOffset>
                </wp:positionV>
                <wp:extent cx="103229" cy="108066"/>
                <wp:effectExtent l="19050" t="19050" r="30480" b="25400"/>
                <wp:wrapNone/>
                <wp:docPr id="3" name="Flowchart: Extract 3"/>
                <wp:cNvGraphicFramePr/>
                <a:graphic xmlns:a="http://schemas.openxmlformats.org/drawingml/2006/main">
                  <a:graphicData uri="http://schemas.microsoft.com/office/word/2010/wordprocessingShape">
                    <wps:wsp>
                      <wps:cNvSpPr/>
                      <wps:spPr>
                        <a:xfrm>
                          <a:off x="0" y="0"/>
                          <a:ext cx="103229" cy="108066"/>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0B608A" id="_x0000_t127" coordsize="21600,21600" o:spt="127" path="m10800,l21600,21600,,21600xe">
                <v:stroke joinstyle="miter"/>
                <v:path gradientshapeok="t" o:connecttype="custom" o:connectlocs="10800,0;5400,10800;10800,21600;16200,10800" textboxrect="5400,10800,16200,21600"/>
              </v:shapetype>
              <v:shape id="Flowchart: Extract 3" o:spid="_x0000_s1026" type="#_x0000_t127" style="position:absolute;margin-left:90.75pt;margin-top:71.35pt;width:8.1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" fillcolor="black [3200]" strokecolor="black [1600]" strokeweight="1pt"/>
            </w:pict>
          </mc:Fallback>
        </mc:AlternateContent>
      </w:r>
      <w:r w:rsidR="00D709C2" w:rsidRPr="004E6629">
        <w:rPr>
          <w:rFonts w:ascii="Cambria" w:hAnsi="Cambria"/>
          <w:b/>
        </w:rPr>
        <w:t>Key program considerations</w:t>
      </w:r>
      <w:r w:rsidRPr="004E6629">
        <w:rPr>
          <w:rFonts w:ascii="Cambria" w:hAnsi="Cambria"/>
        </w:rPr>
        <w:t xml:space="preserve">: </w:t>
      </w:r>
      <w:r w:rsidR="00D709C2" w:rsidRPr="004E6629">
        <w:rPr>
          <w:rFonts w:ascii="Cambria" w:hAnsi="Cambria"/>
        </w:rPr>
        <w:t xml:space="preserve">The project will develop an outline of common considerations and corresponding strategies and tactics used </w:t>
      </w:r>
      <w:r w:rsidR="00C40320" w:rsidRPr="004E6629">
        <w:rPr>
          <w:rFonts w:ascii="Cambria" w:hAnsi="Cambria"/>
        </w:rPr>
        <w:t xml:space="preserve">in private well </w:t>
      </w:r>
      <w:r w:rsidR="006129D4" w:rsidRPr="004E6629">
        <w:rPr>
          <w:rFonts w:ascii="Cambria" w:hAnsi="Cambria"/>
        </w:rPr>
        <w:t xml:space="preserve">owner </w:t>
      </w:r>
      <w:r w:rsidR="004E6629" w:rsidRPr="004E6629">
        <w:rPr>
          <w:rFonts w:ascii="Cambria" w:hAnsi="Cambria"/>
        </w:rPr>
        <w:t>public outrea</w:t>
      </w:r>
      <w:r w:rsidR="004E6629">
        <w:rPr>
          <w:rFonts w:ascii="Cambria" w:hAnsi="Cambria"/>
        </w:rPr>
        <w:t>ch.</w:t>
      </w:r>
    </w:p>
    <w:sectPr w:rsidR="00016F15" w:rsidRPr="004E6629" w:rsidSect="004E6629">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0C48"/>
    <w:multiLevelType w:val="hybridMultilevel"/>
    <w:tmpl w:val="9840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B321B"/>
    <w:multiLevelType w:val="hybridMultilevel"/>
    <w:tmpl w:val="331E91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5D7ECF"/>
    <w:multiLevelType w:val="hybridMultilevel"/>
    <w:tmpl w:val="3228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DC0FDC"/>
    <w:multiLevelType w:val="hybridMultilevel"/>
    <w:tmpl w:val="A336CB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D81ACC"/>
    <w:multiLevelType w:val="hybridMultilevel"/>
    <w:tmpl w:val="CD82952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9145E4"/>
    <w:multiLevelType w:val="hybridMultilevel"/>
    <w:tmpl w:val="30F6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BE7F3B"/>
    <w:multiLevelType w:val="hybridMultilevel"/>
    <w:tmpl w:val="B662430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6D25790E"/>
    <w:multiLevelType w:val="hybridMultilevel"/>
    <w:tmpl w:val="ABC67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A73951"/>
    <w:multiLevelType w:val="hybridMultilevel"/>
    <w:tmpl w:val="1A26A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1784726"/>
    <w:multiLevelType w:val="multilevel"/>
    <w:tmpl w:val="80C0E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9"/>
  </w:num>
  <w:num w:numId="4">
    <w:abstractNumId w:val="4"/>
  </w:num>
  <w:num w:numId="5">
    <w:abstractNumId w:val="5"/>
  </w:num>
  <w:num w:numId="6">
    <w:abstractNumId w:val="0"/>
  </w:num>
  <w:num w:numId="7">
    <w:abstractNumId w:val="8"/>
  </w:num>
  <w:num w:numId="8">
    <w:abstractNumId w:val="6"/>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83F"/>
    <w:rsid w:val="00016F15"/>
    <w:rsid w:val="00131CD3"/>
    <w:rsid w:val="001F4E12"/>
    <w:rsid w:val="0026057C"/>
    <w:rsid w:val="00301BDB"/>
    <w:rsid w:val="0042483F"/>
    <w:rsid w:val="004E6629"/>
    <w:rsid w:val="005D2F7F"/>
    <w:rsid w:val="006129D4"/>
    <w:rsid w:val="006F66DE"/>
    <w:rsid w:val="007F1349"/>
    <w:rsid w:val="00864586"/>
    <w:rsid w:val="008861E7"/>
    <w:rsid w:val="008B5896"/>
    <w:rsid w:val="00A53C46"/>
    <w:rsid w:val="00A55176"/>
    <w:rsid w:val="00B057DA"/>
    <w:rsid w:val="00C40320"/>
    <w:rsid w:val="00C44A4C"/>
    <w:rsid w:val="00D55161"/>
    <w:rsid w:val="00D709C2"/>
    <w:rsid w:val="00DD32ED"/>
    <w:rsid w:val="00E55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0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83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6D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F66DE"/>
    <w:rPr>
      <w:rFonts w:eastAsiaTheme="minorEastAsia"/>
    </w:rPr>
  </w:style>
  <w:style w:type="paragraph" w:styleId="ListParagraph">
    <w:name w:val="List Paragraph"/>
    <w:basedOn w:val="Normal"/>
    <w:uiPriority w:val="34"/>
    <w:qFormat/>
    <w:rsid w:val="00DD32ED"/>
    <w:pPr>
      <w:ind w:left="720"/>
    </w:pPr>
    <w:rPr>
      <w:rFonts w:ascii="Times New Roman" w:hAnsi="Times New Roman"/>
      <w:sz w:val="24"/>
      <w:szCs w:val="24"/>
    </w:rPr>
  </w:style>
  <w:style w:type="paragraph" w:styleId="CommentText">
    <w:name w:val="annotation text"/>
    <w:basedOn w:val="Normal"/>
    <w:link w:val="CommentTextChar"/>
    <w:unhideWhenUsed/>
    <w:rsid w:val="00D709C2"/>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rsid w:val="00D709C2"/>
    <w:rPr>
      <w:rFonts w:eastAsiaTheme="minorEastAsia"/>
      <w:sz w:val="20"/>
      <w:szCs w:val="20"/>
    </w:rPr>
  </w:style>
  <w:style w:type="paragraph" w:styleId="BalloonText">
    <w:name w:val="Balloon Text"/>
    <w:basedOn w:val="Normal"/>
    <w:link w:val="BalloonTextChar"/>
    <w:uiPriority w:val="99"/>
    <w:semiHidden/>
    <w:unhideWhenUsed/>
    <w:rsid w:val="002605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57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83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6D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F66DE"/>
    <w:rPr>
      <w:rFonts w:eastAsiaTheme="minorEastAsia"/>
    </w:rPr>
  </w:style>
  <w:style w:type="paragraph" w:styleId="ListParagraph">
    <w:name w:val="List Paragraph"/>
    <w:basedOn w:val="Normal"/>
    <w:uiPriority w:val="34"/>
    <w:qFormat/>
    <w:rsid w:val="00DD32ED"/>
    <w:pPr>
      <w:ind w:left="720"/>
    </w:pPr>
    <w:rPr>
      <w:rFonts w:ascii="Times New Roman" w:hAnsi="Times New Roman"/>
      <w:sz w:val="24"/>
      <w:szCs w:val="24"/>
    </w:rPr>
  </w:style>
  <w:style w:type="paragraph" w:styleId="CommentText">
    <w:name w:val="annotation text"/>
    <w:basedOn w:val="Normal"/>
    <w:link w:val="CommentTextChar"/>
    <w:unhideWhenUsed/>
    <w:rsid w:val="00D709C2"/>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rsid w:val="00D709C2"/>
    <w:rPr>
      <w:rFonts w:eastAsiaTheme="minorEastAsia"/>
      <w:sz w:val="20"/>
      <w:szCs w:val="20"/>
    </w:rPr>
  </w:style>
  <w:style w:type="paragraph" w:styleId="BalloonText">
    <w:name w:val="Balloon Text"/>
    <w:basedOn w:val="Normal"/>
    <w:link w:val="BalloonTextChar"/>
    <w:uiPriority w:val="99"/>
    <w:semiHidden/>
    <w:unhideWhenUsed/>
    <w:rsid w:val="002605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5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12149">
      <w:bodyDiv w:val="1"/>
      <w:marLeft w:val="0"/>
      <w:marRight w:val="0"/>
      <w:marTop w:val="0"/>
      <w:marBottom w:val="0"/>
      <w:divBdr>
        <w:top w:val="none" w:sz="0" w:space="0" w:color="auto"/>
        <w:left w:val="none" w:sz="0" w:space="0" w:color="auto"/>
        <w:bottom w:val="none" w:sz="0" w:space="0" w:color="auto"/>
        <w:right w:val="none" w:sz="0" w:space="0" w:color="auto"/>
      </w:divBdr>
    </w:div>
    <w:div w:id="435176322">
      <w:bodyDiv w:val="1"/>
      <w:marLeft w:val="0"/>
      <w:marRight w:val="0"/>
      <w:marTop w:val="0"/>
      <w:marBottom w:val="0"/>
      <w:divBdr>
        <w:top w:val="none" w:sz="0" w:space="0" w:color="auto"/>
        <w:left w:val="none" w:sz="0" w:space="0" w:color="auto"/>
        <w:bottom w:val="none" w:sz="0" w:space="0" w:color="auto"/>
        <w:right w:val="none" w:sz="0" w:space="0" w:color="auto"/>
      </w:divBdr>
    </w:div>
    <w:div w:id="180600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Web Instrument Word Version Guideline File" ma:contentTypeID="0x010100FD0F1E0F67359F4D9D426FB699895E260040510BFFB96211439356D59EEDCA1E28" ma:contentTypeVersion="1" ma:contentTypeDescription="" ma:contentTypeScope="" ma:versionID="de6a60d4323beb8928174be35db9b304">
  <xsd:schema xmlns:xsd="http://www.w3.org/2001/XMLSchema" xmlns:xs="http://www.w3.org/2001/XMLSchema" xmlns:p="http://schemas.microsoft.com/office/2006/metadata/properties" xmlns:ns2="b5c0ca00-073d-4463-9985-b654f14791fe" targetNamespace="http://schemas.microsoft.com/office/2006/metadata/properties" ma:root="true" ma:fieldsID="d51123e5778f501804de7a7d3ca2b7a6" ns2:_="">
    <xsd:import namespace="b5c0ca00-073d-4463-9985-b654f14791f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0ca00-073d-4463-9985-b654f14791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5c0ca00-073d-4463-9985-b654f14791fe">OSTLTSDOC-728-414</_dlc_DocId>
    <_dlc_DocIdUrl xmlns="b5c0ca00-073d-4463-9985-b654f14791fe">
      <Url>http://esp.cdc.gov/sites/ostlts/pip/osc/_layouts/DocIdRedir.aspx?ID=OSTLTSDOC-728-414</Url>
      <Description>OSTLTSDOC-728-414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90CD6-5FCD-49D0-AE4F-76C8BC7C5CB6}">
  <ds:schemaRefs>
    <ds:schemaRef ds:uri="http://schemas.microsoft.com/sharepoint/events"/>
  </ds:schemaRefs>
</ds:datastoreItem>
</file>

<file path=customXml/itemProps2.xml><?xml version="1.0" encoding="utf-8"?>
<ds:datastoreItem xmlns:ds="http://schemas.openxmlformats.org/officeDocument/2006/customXml" ds:itemID="{2723C0E9-ACDC-4639-A65D-74FB14B03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0ca00-073d-4463-9985-b654f1479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FBFEF6-A840-4296-BBB8-7B5D5A4414F1}">
  <ds:schemaRefs>
    <ds:schemaRef ds:uri="http://schemas.microsoft.com/office/2006/metadata/properties"/>
    <ds:schemaRef ds:uri="http://schemas.microsoft.com/office/infopath/2007/PartnerControls"/>
    <ds:schemaRef ds:uri="b5c0ca00-073d-4463-9985-b654f14791fe"/>
  </ds:schemaRefs>
</ds:datastoreItem>
</file>

<file path=customXml/itemProps4.xml><?xml version="1.0" encoding="utf-8"?>
<ds:datastoreItem xmlns:ds="http://schemas.openxmlformats.org/officeDocument/2006/customXml" ds:itemID="{CAFAD76D-C0AE-4B92-82FB-6134E7FB397B}">
  <ds:schemaRefs>
    <ds:schemaRef ds:uri="http://schemas.microsoft.com/sharepoint/v3/contenttype/forms"/>
  </ds:schemaRefs>
</ds:datastoreItem>
</file>

<file path=customXml/itemProps5.xml><?xml version="1.0" encoding="utf-8"?>
<ds:datastoreItem xmlns:ds="http://schemas.openxmlformats.org/officeDocument/2006/customXml" ds:itemID="{B24C58DD-3BC0-4749-8080-49CE5972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 Treyens</dc:creator>
  <cp:keywords/>
  <dc:description/>
  <cp:lastModifiedBy>CDC User</cp:lastModifiedBy>
  <cp:revision>12</cp:revision>
  <cp:lastPrinted>2014-10-31T15:39:00Z</cp:lastPrinted>
  <dcterms:created xsi:type="dcterms:W3CDTF">2014-10-31T14:13:00Z</dcterms:created>
  <dcterms:modified xsi:type="dcterms:W3CDTF">2015-03-09T13:19:00Z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df410dd1-8857-45e7-9003-84d617748c8f</vt:lpwstr>
  </property>
  <property fmtid="{D5CDD505-2E9C-101B-9397-08002B2CF9AE}" pid="3" name="ContentTypeId">
    <vt:lpwstr>0x010100FD0F1E0F67359F4D9D426FB699895E260040510BFFB96211439356D59EEDCA1E28</vt:lpwstr>
  </property>
</Properties>
</file>