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7EC78F" w14:textId="77777777" w:rsidR="00716F94" w:rsidRDefault="00716F94" w:rsidP="007D6163"/>
    <w:p w14:paraId="6DBAAC1D" w14:textId="77777777" w:rsidR="009B4A51" w:rsidRDefault="009B4A51" w:rsidP="007D6163"/>
    <w:p w14:paraId="2D69B56B" w14:textId="77777777" w:rsidR="009B4A51" w:rsidRDefault="009B4A51" w:rsidP="007D6163"/>
    <w:p w14:paraId="4B619E77" w14:textId="77777777" w:rsidR="009B4A51" w:rsidRDefault="009B4A51" w:rsidP="007D6163"/>
    <w:p w14:paraId="7B0917D7" w14:textId="77777777" w:rsidR="009B4A51" w:rsidRDefault="009B4A51" w:rsidP="007D6163"/>
    <w:p w14:paraId="26E4806D" w14:textId="77777777" w:rsidR="00667C89" w:rsidRDefault="00667C89" w:rsidP="007D6163"/>
    <w:p w14:paraId="271FB00A" w14:textId="77777777" w:rsidR="009B4A51" w:rsidRDefault="009B4A51" w:rsidP="007D6163"/>
    <w:p w14:paraId="05B12C54" w14:textId="77777777" w:rsidR="009B4A51" w:rsidRDefault="009B4A51" w:rsidP="00CA5840">
      <w:pPr>
        <w:ind w:left="0"/>
      </w:pPr>
    </w:p>
    <w:p w14:paraId="78FE4AEF" w14:textId="5F57AD5E" w:rsidR="00716F94" w:rsidRPr="008C37DC" w:rsidRDefault="00CF34AA" w:rsidP="00CA5840">
      <w:pPr>
        <w:pStyle w:val="Heading1"/>
        <w:ind w:left="0"/>
      </w:pPr>
      <w:proofErr w:type="spellStart"/>
      <w:r w:rsidRPr="008C37DC">
        <w:t>Preexposure</w:t>
      </w:r>
      <w:proofErr w:type="spellEnd"/>
      <w:r w:rsidRPr="008C37DC">
        <w:t xml:space="preserve"> Prophylaxis (</w:t>
      </w:r>
      <w:r w:rsidR="000B7531" w:rsidRPr="008C37DC">
        <w:t>PrEP</w:t>
      </w:r>
      <w:r w:rsidRPr="008C37DC">
        <w:t>)</w:t>
      </w:r>
      <w:r w:rsidR="000B7531" w:rsidRPr="008C37DC">
        <w:t xml:space="preserve">: </w:t>
      </w:r>
      <w:r w:rsidR="002C5F5D" w:rsidRPr="008C37DC">
        <w:t xml:space="preserve">Local Health Department </w:t>
      </w:r>
      <w:r w:rsidRPr="008C37DC">
        <w:t>Assessment</w:t>
      </w:r>
    </w:p>
    <w:p w14:paraId="4E8DAA69" w14:textId="77777777" w:rsidR="00AA3192" w:rsidRDefault="00AA3192" w:rsidP="00CA5840">
      <w:pPr>
        <w:ind w:left="0"/>
      </w:pPr>
    </w:p>
    <w:p w14:paraId="2BCF5417" w14:textId="77777777" w:rsidR="00716F94" w:rsidRPr="00AA3192" w:rsidRDefault="00484011" w:rsidP="00CA5840">
      <w:pPr>
        <w:ind w:left="0"/>
        <w:jc w:val="center"/>
      </w:pPr>
      <w:r w:rsidRPr="00AA3192">
        <w:t>OSTL</w:t>
      </w:r>
      <w:r w:rsidR="00316F00">
        <w:t>TS Generic Information Collection</w:t>
      </w:r>
      <w:r w:rsidRPr="00AA3192">
        <w:t xml:space="preserve"> Request</w:t>
      </w:r>
    </w:p>
    <w:p w14:paraId="4BD9B6F1" w14:textId="77777777" w:rsidR="00484011" w:rsidRPr="00AA3192" w:rsidRDefault="00484011" w:rsidP="00CA5840">
      <w:pPr>
        <w:ind w:left="0"/>
        <w:jc w:val="center"/>
      </w:pPr>
      <w:r w:rsidRPr="00AA3192">
        <w:t>OMB No. 0920-0879</w:t>
      </w:r>
    </w:p>
    <w:p w14:paraId="7A4C2B6A" w14:textId="77777777" w:rsidR="009B4A51" w:rsidRDefault="009B4A51" w:rsidP="00CA5840">
      <w:pPr>
        <w:ind w:left="0"/>
      </w:pPr>
    </w:p>
    <w:p w14:paraId="572A88FA" w14:textId="77777777" w:rsidR="009B4A51" w:rsidRDefault="009B4A51" w:rsidP="00CA5840">
      <w:pPr>
        <w:ind w:left="0"/>
      </w:pPr>
    </w:p>
    <w:p w14:paraId="15D5C83F" w14:textId="77777777" w:rsidR="00AA3192" w:rsidRDefault="00AA3192" w:rsidP="00CA5840">
      <w:pPr>
        <w:ind w:left="0"/>
      </w:pPr>
    </w:p>
    <w:p w14:paraId="456FE22B" w14:textId="77777777" w:rsidR="00AA3192" w:rsidRDefault="00AA3192" w:rsidP="00CA5840">
      <w:pPr>
        <w:ind w:left="0"/>
      </w:pPr>
    </w:p>
    <w:p w14:paraId="704457D2" w14:textId="77777777" w:rsidR="009B4A51" w:rsidRPr="007D6163" w:rsidRDefault="009B4A51" w:rsidP="00CA5840">
      <w:pPr>
        <w:pStyle w:val="Heading2"/>
        <w:ind w:left="0"/>
      </w:pPr>
      <w:r w:rsidRPr="007D6163">
        <w:t>Supporting Statement – Section A</w:t>
      </w:r>
    </w:p>
    <w:p w14:paraId="08EA0914" w14:textId="77777777" w:rsidR="009B4A51" w:rsidRDefault="009B4A51" w:rsidP="00CA5840">
      <w:pPr>
        <w:ind w:left="0"/>
      </w:pPr>
    </w:p>
    <w:p w14:paraId="156B0C6D" w14:textId="77777777" w:rsidR="00484011" w:rsidRDefault="00484011" w:rsidP="00CA5840">
      <w:pPr>
        <w:ind w:left="0"/>
      </w:pPr>
    </w:p>
    <w:p w14:paraId="46C86200" w14:textId="77777777" w:rsidR="00AA3192" w:rsidRDefault="00AA3192" w:rsidP="00CA5840">
      <w:pPr>
        <w:ind w:left="0"/>
      </w:pPr>
    </w:p>
    <w:p w14:paraId="106480E1" w14:textId="77777777" w:rsidR="009B4A51" w:rsidRDefault="009B4A51" w:rsidP="00CA5840">
      <w:pPr>
        <w:ind w:left="0"/>
      </w:pPr>
    </w:p>
    <w:p w14:paraId="7AB0FA45" w14:textId="77777777" w:rsidR="009B4A51" w:rsidRDefault="009B4A51" w:rsidP="00CA5840">
      <w:pPr>
        <w:ind w:left="0"/>
      </w:pPr>
    </w:p>
    <w:p w14:paraId="727E34A8" w14:textId="77777777" w:rsidR="00187D5A" w:rsidRDefault="00187D5A" w:rsidP="00CA5840">
      <w:pPr>
        <w:ind w:left="0"/>
      </w:pPr>
    </w:p>
    <w:p w14:paraId="6EB6FA27" w14:textId="66FE0786" w:rsidR="009B4A51" w:rsidRPr="000E14EE" w:rsidRDefault="009B4A51" w:rsidP="00CA5840">
      <w:pPr>
        <w:ind w:left="0"/>
        <w:jc w:val="center"/>
      </w:pPr>
      <w:r w:rsidRPr="000E14EE">
        <w:t xml:space="preserve">Submitted: </w:t>
      </w:r>
      <w:r w:rsidR="000E14EE">
        <w:t>6/10</w:t>
      </w:r>
      <w:r w:rsidR="000E14EE" w:rsidRPr="000E14EE">
        <w:t>/15</w:t>
      </w:r>
    </w:p>
    <w:p w14:paraId="7CA7A45F" w14:textId="77777777" w:rsidR="009B4A51" w:rsidRDefault="009B4A51" w:rsidP="007D6163"/>
    <w:p w14:paraId="4659DA9B" w14:textId="77777777" w:rsidR="009B4A51" w:rsidRDefault="009B4A51" w:rsidP="007D6163"/>
    <w:p w14:paraId="00243D29" w14:textId="77777777" w:rsidR="009B4A51" w:rsidRDefault="009B4A51" w:rsidP="007D6163"/>
    <w:p w14:paraId="094B0100" w14:textId="77777777" w:rsidR="00AA3192" w:rsidRDefault="00AA3192" w:rsidP="007D6163"/>
    <w:p w14:paraId="1D720BD6" w14:textId="77777777" w:rsidR="00AA3192" w:rsidRDefault="00AA3192" w:rsidP="007D6163"/>
    <w:p w14:paraId="3B3CC063" w14:textId="77777777" w:rsidR="009B4A51" w:rsidRDefault="009B4A51" w:rsidP="007D6163"/>
    <w:p w14:paraId="24AD74A4" w14:textId="77777777" w:rsidR="00441CC3" w:rsidRDefault="00716F94" w:rsidP="00CA5840">
      <w:pPr>
        <w:ind w:left="0"/>
        <w:rPr>
          <w:b/>
          <w:u w:val="single"/>
        </w:rPr>
      </w:pPr>
      <w:r w:rsidRPr="00CA5840">
        <w:rPr>
          <w:b/>
          <w:u w:val="single"/>
        </w:rPr>
        <w:t>P</w:t>
      </w:r>
      <w:r w:rsidR="00667C89" w:rsidRPr="00CA5840">
        <w:rPr>
          <w:b/>
          <w:u w:val="single"/>
        </w:rPr>
        <w:t>rogram Official/Project Officer</w:t>
      </w:r>
    </w:p>
    <w:p w14:paraId="2D606B21" w14:textId="081FAE2F" w:rsidR="00321B51" w:rsidRPr="00B32258" w:rsidRDefault="000B7531" w:rsidP="00CA5840">
      <w:pPr>
        <w:ind w:left="0"/>
      </w:pPr>
      <w:r w:rsidRPr="00B32258">
        <w:t>Dawn K. Smith</w:t>
      </w:r>
    </w:p>
    <w:p w14:paraId="66FAA9A0" w14:textId="026A397C" w:rsidR="00321B51" w:rsidRPr="00B32258" w:rsidRDefault="000B7531" w:rsidP="00CA5840">
      <w:pPr>
        <w:ind w:left="0"/>
      </w:pPr>
      <w:r w:rsidRPr="00B32258">
        <w:t>Biomedical Interventions Activity Lead</w:t>
      </w:r>
    </w:p>
    <w:p w14:paraId="394A5AC2" w14:textId="70E683A8" w:rsidR="00321B51" w:rsidRPr="00B32258" w:rsidRDefault="000B7531" w:rsidP="00CA5840">
      <w:pPr>
        <w:ind w:left="0"/>
      </w:pPr>
      <w:r w:rsidRPr="00B32258">
        <w:t>NCHHSTP/DHAP/Epidemiology Branch</w:t>
      </w:r>
    </w:p>
    <w:p w14:paraId="74889313" w14:textId="68CEFA77" w:rsidR="00321B51" w:rsidRPr="00B32258" w:rsidRDefault="000B7531" w:rsidP="00CA5840">
      <w:pPr>
        <w:ind w:left="0"/>
      </w:pPr>
      <w:r w:rsidRPr="00B32258">
        <w:t>1600 Clifton Rd, Mailstop E-45, Atlanta, GA 30329</w:t>
      </w:r>
    </w:p>
    <w:p w14:paraId="367F2E7F" w14:textId="368409C4" w:rsidR="00321B51" w:rsidRPr="00B32258" w:rsidRDefault="000B7531" w:rsidP="00CA5840">
      <w:pPr>
        <w:ind w:left="0"/>
      </w:pPr>
      <w:r w:rsidRPr="00B32258">
        <w:t>404.639.5166</w:t>
      </w:r>
    </w:p>
    <w:p w14:paraId="48279BDF" w14:textId="39DE23B1" w:rsidR="00321B51" w:rsidRPr="00B32258" w:rsidRDefault="000B7531" w:rsidP="00CA5840">
      <w:pPr>
        <w:ind w:left="0"/>
      </w:pPr>
      <w:r w:rsidRPr="00B32258">
        <w:t>404.639.4127</w:t>
      </w:r>
    </w:p>
    <w:p w14:paraId="32939CC5" w14:textId="5A4DC83B" w:rsidR="00321B51" w:rsidRPr="00B32258" w:rsidRDefault="000B7531" w:rsidP="00CA5840">
      <w:pPr>
        <w:ind w:left="0"/>
      </w:pPr>
      <w:r w:rsidRPr="00B32258">
        <w:t>Dsmith1@cdc.gov</w:t>
      </w:r>
    </w:p>
    <w:p w14:paraId="63F1F47A" w14:textId="77777777" w:rsidR="000B0962" w:rsidRDefault="000B0962" w:rsidP="007D6163"/>
    <w:p w14:paraId="3BB8B6FD" w14:textId="302619BA" w:rsidR="00CA5840" w:rsidRDefault="00CA5840">
      <w:pPr>
        <w:tabs>
          <w:tab w:val="clear" w:pos="9360"/>
        </w:tabs>
        <w:spacing w:after="200"/>
        <w:ind w:left="0"/>
        <w:rPr>
          <w:b/>
          <w:sz w:val="28"/>
        </w:rPr>
      </w:pPr>
    </w:p>
    <w:p w14:paraId="2B8B281E" w14:textId="77777777" w:rsidR="000039BE" w:rsidRDefault="000039BE" w:rsidP="000039BE">
      <w:pPr>
        <w:pStyle w:val="Heading3"/>
        <w:ind w:left="0"/>
      </w:pPr>
      <w:bookmarkStart w:id="0" w:name="_Toc418593129"/>
      <w:bookmarkStart w:id="1" w:name="_Toc421540873"/>
      <w:r>
        <w:lastRenderedPageBreak/>
        <w:t>Table of Contents</w:t>
      </w:r>
      <w:bookmarkEnd w:id="0"/>
      <w:bookmarkEnd w:id="1"/>
    </w:p>
    <w:p w14:paraId="148ECB50" w14:textId="77777777" w:rsidR="000039BE" w:rsidRPr="003860A5" w:rsidRDefault="000039BE" w:rsidP="000039BE"/>
    <w:p w14:paraId="5B09ACA1" w14:textId="3662B3D9" w:rsidR="007A4577" w:rsidRDefault="000039BE">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hyperlink w:anchor="_Toc421540875" w:history="1">
        <w:r w:rsidR="007A4577" w:rsidRPr="00C26B3F">
          <w:rPr>
            <w:rStyle w:val="Hyperlink"/>
            <w:noProof/>
          </w:rPr>
          <w:t>Section A – Justification</w:t>
        </w:r>
        <w:r w:rsidR="007A4577">
          <w:rPr>
            <w:noProof/>
            <w:webHidden/>
          </w:rPr>
          <w:tab/>
        </w:r>
        <w:r w:rsidR="007A4577">
          <w:rPr>
            <w:noProof/>
            <w:webHidden/>
          </w:rPr>
          <w:fldChar w:fldCharType="begin"/>
        </w:r>
        <w:r w:rsidR="007A4577">
          <w:rPr>
            <w:noProof/>
            <w:webHidden/>
          </w:rPr>
          <w:instrText xml:space="preserve"> PAGEREF _Toc421540875 \h </w:instrText>
        </w:r>
        <w:r w:rsidR="007A4577">
          <w:rPr>
            <w:noProof/>
            <w:webHidden/>
          </w:rPr>
        </w:r>
        <w:r w:rsidR="007A4577">
          <w:rPr>
            <w:noProof/>
            <w:webHidden/>
          </w:rPr>
          <w:fldChar w:fldCharType="separate"/>
        </w:r>
        <w:r w:rsidR="000E14EE">
          <w:rPr>
            <w:noProof/>
            <w:webHidden/>
          </w:rPr>
          <w:t>3</w:t>
        </w:r>
        <w:r w:rsidR="007A4577">
          <w:rPr>
            <w:noProof/>
            <w:webHidden/>
          </w:rPr>
          <w:fldChar w:fldCharType="end"/>
        </w:r>
      </w:hyperlink>
    </w:p>
    <w:p w14:paraId="1D307954" w14:textId="4FE05E4D" w:rsidR="007A4577" w:rsidRDefault="000E14EE">
      <w:pPr>
        <w:pStyle w:val="TOC2"/>
        <w:rPr>
          <w:rFonts w:asciiTheme="minorHAnsi" w:hAnsiTheme="minorHAnsi"/>
          <w:noProof/>
        </w:rPr>
      </w:pPr>
      <w:hyperlink w:anchor="_Toc421540876" w:history="1">
        <w:r w:rsidR="007A4577" w:rsidRPr="00C26B3F">
          <w:rPr>
            <w:rStyle w:val="Hyperlink"/>
            <w:noProof/>
          </w:rPr>
          <w:t>1.</w:t>
        </w:r>
        <w:r w:rsidR="007A4577">
          <w:rPr>
            <w:rFonts w:asciiTheme="minorHAnsi" w:hAnsiTheme="minorHAnsi"/>
            <w:noProof/>
          </w:rPr>
          <w:tab/>
        </w:r>
        <w:r w:rsidR="007A4577" w:rsidRPr="00C26B3F">
          <w:rPr>
            <w:rStyle w:val="Hyperlink"/>
            <w:noProof/>
          </w:rPr>
          <w:t>Circumstances Making the Collection of Information Necessary</w:t>
        </w:r>
        <w:r w:rsidR="007A4577">
          <w:rPr>
            <w:noProof/>
            <w:webHidden/>
          </w:rPr>
          <w:tab/>
        </w:r>
        <w:r w:rsidR="007A4577">
          <w:rPr>
            <w:noProof/>
            <w:webHidden/>
          </w:rPr>
          <w:fldChar w:fldCharType="begin"/>
        </w:r>
        <w:r w:rsidR="007A4577">
          <w:rPr>
            <w:noProof/>
            <w:webHidden/>
          </w:rPr>
          <w:instrText xml:space="preserve"> PAGEREF _Toc421540876 \h </w:instrText>
        </w:r>
        <w:r w:rsidR="007A4577">
          <w:rPr>
            <w:noProof/>
            <w:webHidden/>
          </w:rPr>
        </w:r>
        <w:r w:rsidR="007A4577">
          <w:rPr>
            <w:noProof/>
            <w:webHidden/>
          </w:rPr>
          <w:fldChar w:fldCharType="separate"/>
        </w:r>
        <w:r>
          <w:rPr>
            <w:noProof/>
            <w:webHidden/>
          </w:rPr>
          <w:t>3</w:t>
        </w:r>
        <w:r w:rsidR="007A4577">
          <w:rPr>
            <w:noProof/>
            <w:webHidden/>
          </w:rPr>
          <w:fldChar w:fldCharType="end"/>
        </w:r>
      </w:hyperlink>
    </w:p>
    <w:p w14:paraId="67AB4103" w14:textId="6D8E8BAF" w:rsidR="007A4577" w:rsidRDefault="000E14EE">
      <w:pPr>
        <w:pStyle w:val="TOC2"/>
        <w:rPr>
          <w:rFonts w:asciiTheme="minorHAnsi" w:hAnsiTheme="minorHAnsi"/>
          <w:noProof/>
        </w:rPr>
      </w:pPr>
      <w:hyperlink w:anchor="_Toc421540877" w:history="1">
        <w:r w:rsidR="007A4577" w:rsidRPr="00C26B3F">
          <w:rPr>
            <w:rStyle w:val="Hyperlink"/>
            <w:noProof/>
          </w:rPr>
          <w:t>2.</w:t>
        </w:r>
        <w:r w:rsidR="007A4577">
          <w:rPr>
            <w:rFonts w:asciiTheme="minorHAnsi" w:hAnsiTheme="minorHAnsi"/>
            <w:noProof/>
          </w:rPr>
          <w:tab/>
        </w:r>
        <w:r w:rsidR="007A4577" w:rsidRPr="00C26B3F">
          <w:rPr>
            <w:rStyle w:val="Hyperlink"/>
            <w:noProof/>
          </w:rPr>
          <w:t>Purpose and Use of the Information Collection</w:t>
        </w:r>
        <w:r w:rsidR="007A4577">
          <w:rPr>
            <w:noProof/>
            <w:webHidden/>
          </w:rPr>
          <w:tab/>
        </w:r>
        <w:r w:rsidR="007A4577">
          <w:rPr>
            <w:noProof/>
            <w:webHidden/>
          </w:rPr>
          <w:fldChar w:fldCharType="begin"/>
        </w:r>
        <w:r w:rsidR="007A4577">
          <w:rPr>
            <w:noProof/>
            <w:webHidden/>
          </w:rPr>
          <w:instrText xml:space="preserve"> PAGEREF _Toc421540877 \h </w:instrText>
        </w:r>
        <w:r w:rsidR="007A4577">
          <w:rPr>
            <w:noProof/>
            <w:webHidden/>
          </w:rPr>
        </w:r>
        <w:r w:rsidR="007A4577">
          <w:rPr>
            <w:noProof/>
            <w:webHidden/>
          </w:rPr>
          <w:fldChar w:fldCharType="separate"/>
        </w:r>
        <w:r>
          <w:rPr>
            <w:noProof/>
            <w:webHidden/>
          </w:rPr>
          <w:t>6</w:t>
        </w:r>
        <w:r w:rsidR="007A4577">
          <w:rPr>
            <w:noProof/>
            <w:webHidden/>
          </w:rPr>
          <w:fldChar w:fldCharType="end"/>
        </w:r>
      </w:hyperlink>
    </w:p>
    <w:p w14:paraId="2FEA0474" w14:textId="10919F01" w:rsidR="007A4577" w:rsidRDefault="000E14EE">
      <w:pPr>
        <w:pStyle w:val="TOC2"/>
        <w:rPr>
          <w:rFonts w:asciiTheme="minorHAnsi" w:hAnsiTheme="minorHAnsi"/>
          <w:noProof/>
        </w:rPr>
      </w:pPr>
      <w:hyperlink w:anchor="_Toc421540878" w:history="1">
        <w:r w:rsidR="007A4577" w:rsidRPr="00C26B3F">
          <w:rPr>
            <w:rStyle w:val="Hyperlink"/>
            <w:noProof/>
          </w:rPr>
          <w:t>3.</w:t>
        </w:r>
        <w:r w:rsidR="007A4577">
          <w:rPr>
            <w:rFonts w:asciiTheme="minorHAnsi" w:hAnsiTheme="minorHAnsi"/>
            <w:noProof/>
          </w:rPr>
          <w:tab/>
        </w:r>
        <w:r w:rsidR="007A4577" w:rsidRPr="00C26B3F">
          <w:rPr>
            <w:rStyle w:val="Hyperlink"/>
            <w:noProof/>
          </w:rPr>
          <w:t>Use of Improved Information Technology and Burden Reduction</w:t>
        </w:r>
        <w:r w:rsidR="007A4577">
          <w:rPr>
            <w:noProof/>
            <w:webHidden/>
          </w:rPr>
          <w:tab/>
        </w:r>
        <w:r w:rsidR="007A4577">
          <w:rPr>
            <w:noProof/>
            <w:webHidden/>
          </w:rPr>
          <w:fldChar w:fldCharType="begin"/>
        </w:r>
        <w:r w:rsidR="007A4577">
          <w:rPr>
            <w:noProof/>
            <w:webHidden/>
          </w:rPr>
          <w:instrText xml:space="preserve"> PAGEREF _Toc421540878 \h </w:instrText>
        </w:r>
        <w:r w:rsidR="007A4577">
          <w:rPr>
            <w:noProof/>
            <w:webHidden/>
          </w:rPr>
        </w:r>
        <w:r w:rsidR="007A4577">
          <w:rPr>
            <w:noProof/>
            <w:webHidden/>
          </w:rPr>
          <w:fldChar w:fldCharType="separate"/>
        </w:r>
        <w:r>
          <w:rPr>
            <w:noProof/>
            <w:webHidden/>
          </w:rPr>
          <w:t>6</w:t>
        </w:r>
        <w:r w:rsidR="007A4577">
          <w:rPr>
            <w:noProof/>
            <w:webHidden/>
          </w:rPr>
          <w:fldChar w:fldCharType="end"/>
        </w:r>
      </w:hyperlink>
    </w:p>
    <w:p w14:paraId="3FB9B35A" w14:textId="3D8DA887" w:rsidR="007A4577" w:rsidRDefault="000E14EE">
      <w:pPr>
        <w:pStyle w:val="TOC2"/>
        <w:rPr>
          <w:rFonts w:asciiTheme="minorHAnsi" w:hAnsiTheme="minorHAnsi"/>
          <w:noProof/>
        </w:rPr>
      </w:pPr>
      <w:hyperlink w:anchor="_Toc421540879" w:history="1">
        <w:r w:rsidR="007A4577" w:rsidRPr="00C26B3F">
          <w:rPr>
            <w:rStyle w:val="Hyperlink"/>
            <w:noProof/>
          </w:rPr>
          <w:t>4.</w:t>
        </w:r>
        <w:r w:rsidR="007A4577">
          <w:rPr>
            <w:rFonts w:asciiTheme="minorHAnsi" w:hAnsiTheme="minorHAnsi"/>
            <w:noProof/>
          </w:rPr>
          <w:tab/>
        </w:r>
        <w:r w:rsidR="007A4577" w:rsidRPr="00C26B3F">
          <w:rPr>
            <w:rStyle w:val="Hyperlink"/>
            <w:noProof/>
          </w:rPr>
          <w:t>Efforts to Identify Duplication and Use of Similar Inf</w:t>
        </w:r>
        <w:bookmarkStart w:id="2" w:name="_GoBack"/>
        <w:bookmarkEnd w:id="2"/>
        <w:r w:rsidR="007A4577" w:rsidRPr="00C26B3F">
          <w:rPr>
            <w:rStyle w:val="Hyperlink"/>
            <w:noProof/>
          </w:rPr>
          <w:t>ormation</w:t>
        </w:r>
        <w:r w:rsidR="007A4577">
          <w:rPr>
            <w:noProof/>
            <w:webHidden/>
          </w:rPr>
          <w:tab/>
        </w:r>
        <w:r w:rsidR="007A4577">
          <w:rPr>
            <w:noProof/>
            <w:webHidden/>
          </w:rPr>
          <w:fldChar w:fldCharType="begin"/>
        </w:r>
        <w:r w:rsidR="007A4577">
          <w:rPr>
            <w:noProof/>
            <w:webHidden/>
          </w:rPr>
          <w:instrText xml:space="preserve"> PAGEREF _Toc421540879 \h </w:instrText>
        </w:r>
        <w:r w:rsidR="007A4577">
          <w:rPr>
            <w:noProof/>
            <w:webHidden/>
          </w:rPr>
        </w:r>
        <w:r w:rsidR="007A4577">
          <w:rPr>
            <w:noProof/>
            <w:webHidden/>
          </w:rPr>
          <w:fldChar w:fldCharType="separate"/>
        </w:r>
        <w:r>
          <w:rPr>
            <w:noProof/>
            <w:webHidden/>
          </w:rPr>
          <w:t>6</w:t>
        </w:r>
        <w:r w:rsidR="007A4577">
          <w:rPr>
            <w:noProof/>
            <w:webHidden/>
          </w:rPr>
          <w:fldChar w:fldCharType="end"/>
        </w:r>
      </w:hyperlink>
    </w:p>
    <w:p w14:paraId="52225C09" w14:textId="7E872199" w:rsidR="007A4577" w:rsidRDefault="000E14EE">
      <w:pPr>
        <w:pStyle w:val="TOC2"/>
        <w:rPr>
          <w:rFonts w:asciiTheme="minorHAnsi" w:hAnsiTheme="minorHAnsi"/>
          <w:noProof/>
        </w:rPr>
      </w:pPr>
      <w:hyperlink w:anchor="_Toc421540880" w:history="1">
        <w:r w:rsidR="007A4577" w:rsidRPr="00C26B3F">
          <w:rPr>
            <w:rStyle w:val="Hyperlink"/>
            <w:noProof/>
          </w:rPr>
          <w:t>5.</w:t>
        </w:r>
        <w:r w:rsidR="007A4577">
          <w:rPr>
            <w:rFonts w:asciiTheme="minorHAnsi" w:hAnsiTheme="minorHAnsi"/>
            <w:noProof/>
          </w:rPr>
          <w:tab/>
        </w:r>
        <w:r w:rsidR="007A4577" w:rsidRPr="00C26B3F">
          <w:rPr>
            <w:rStyle w:val="Hyperlink"/>
            <w:noProof/>
          </w:rPr>
          <w:t>Impact on Small Businesses or Other Small Entities</w:t>
        </w:r>
        <w:r w:rsidR="007A4577">
          <w:rPr>
            <w:noProof/>
            <w:webHidden/>
          </w:rPr>
          <w:tab/>
        </w:r>
        <w:r w:rsidR="007A4577">
          <w:rPr>
            <w:noProof/>
            <w:webHidden/>
          </w:rPr>
          <w:fldChar w:fldCharType="begin"/>
        </w:r>
        <w:r w:rsidR="007A4577">
          <w:rPr>
            <w:noProof/>
            <w:webHidden/>
          </w:rPr>
          <w:instrText xml:space="preserve"> PAGEREF _Toc421540880 \h </w:instrText>
        </w:r>
        <w:r w:rsidR="007A4577">
          <w:rPr>
            <w:noProof/>
            <w:webHidden/>
          </w:rPr>
        </w:r>
        <w:r w:rsidR="007A4577">
          <w:rPr>
            <w:noProof/>
            <w:webHidden/>
          </w:rPr>
          <w:fldChar w:fldCharType="separate"/>
        </w:r>
        <w:r>
          <w:rPr>
            <w:noProof/>
            <w:webHidden/>
          </w:rPr>
          <w:t>6</w:t>
        </w:r>
        <w:r w:rsidR="007A4577">
          <w:rPr>
            <w:noProof/>
            <w:webHidden/>
          </w:rPr>
          <w:fldChar w:fldCharType="end"/>
        </w:r>
      </w:hyperlink>
    </w:p>
    <w:p w14:paraId="0B31A508" w14:textId="2120F3A1" w:rsidR="007A4577" w:rsidRDefault="000E14EE">
      <w:pPr>
        <w:pStyle w:val="TOC2"/>
        <w:rPr>
          <w:rFonts w:asciiTheme="minorHAnsi" w:hAnsiTheme="minorHAnsi"/>
          <w:noProof/>
        </w:rPr>
      </w:pPr>
      <w:hyperlink w:anchor="_Toc421540881" w:history="1">
        <w:r w:rsidR="007A4577" w:rsidRPr="00C26B3F">
          <w:rPr>
            <w:rStyle w:val="Hyperlink"/>
            <w:noProof/>
          </w:rPr>
          <w:t>6.</w:t>
        </w:r>
        <w:r w:rsidR="007A4577">
          <w:rPr>
            <w:rFonts w:asciiTheme="minorHAnsi" w:hAnsiTheme="minorHAnsi"/>
            <w:noProof/>
          </w:rPr>
          <w:tab/>
        </w:r>
        <w:r w:rsidR="007A4577" w:rsidRPr="00C26B3F">
          <w:rPr>
            <w:rStyle w:val="Hyperlink"/>
            <w:noProof/>
          </w:rPr>
          <w:t>Consequences of Collecting the Information Less Frequently</w:t>
        </w:r>
        <w:r w:rsidR="007A4577">
          <w:rPr>
            <w:noProof/>
            <w:webHidden/>
          </w:rPr>
          <w:tab/>
        </w:r>
        <w:r w:rsidR="007A4577">
          <w:rPr>
            <w:noProof/>
            <w:webHidden/>
          </w:rPr>
          <w:fldChar w:fldCharType="begin"/>
        </w:r>
        <w:r w:rsidR="007A4577">
          <w:rPr>
            <w:noProof/>
            <w:webHidden/>
          </w:rPr>
          <w:instrText xml:space="preserve"> PAGEREF _Toc421540881 \h </w:instrText>
        </w:r>
        <w:r w:rsidR="007A4577">
          <w:rPr>
            <w:noProof/>
            <w:webHidden/>
          </w:rPr>
        </w:r>
        <w:r w:rsidR="007A4577">
          <w:rPr>
            <w:noProof/>
            <w:webHidden/>
          </w:rPr>
          <w:fldChar w:fldCharType="separate"/>
        </w:r>
        <w:r>
          <w:rPr>
            <w:noProof/>
            <w:webHidden/>
          </w:rPr>
          <w:t>6</w:t>
        </w:r>
        <w:r w:rsidR="007A4577">
          <w:rPr>
            <w:noProof/>
            <w:webHidden/>
          </w:rPr>
          <w:fldChar w:fldCharType="end"/>
        </w:r>
      </w:hyperlink>
    </w:p>
    <w:p w14:paraId="0A94DCA1" w14:textId="082F2382" w:rsidR="007A4577" w:rsidRDefault="000E14EE">
      <w:pPr>
        <w:pStyle w:val="TOC2"/>
        <w:rPr>
          <w:rFonts w:asciiTheme="minorHAnsi" w:hAnsiTheme="minorHAnsi"/>
          <w:noProof/>
        </w:rPr>
      </w:pPr>
      <w:hyperlink w:anchor="_Toc421540882" w:history="1">
        <w:r w:rsidR="007A4577" w:rsidRPr="00C26B3F">
          <w:rPr>
            <w:rStyle w:val="Hyperlink"/>
            <w:noProof/>
          </w:rPr>
          <w:t>7.</w:t>
        </w:r>
        <w:r w:rsidR="007A4577">
          <w:rPr>
            <w:rFonts w:asciiTheme="minorHAnsi" w:hAnsiTheme="minorHAnsi"/>
            <w:noProof/>
          </w:rPr>
          <w:tab/>
        </w:r>
        <w:r w:rsidR="007A4577" w:rsidRPr="00C26B3F">
          <w:rPr>
            <w:rStyle w:val="Hyperlink"/>
            <w:noProof/>
          </w:rPr>
          <w:t>Special Circumstances Relating to the Guidelines of 5 CFR 1320.5</w:t>
        </w:r>
        <w:r w:rsidR="007A4577">
          <w:rPr>
            <w:noProof/>
            <w:webHidden/>
          </w:rPr>
          <w:tab/>
        </w:r>
        <w:r w:rsidR="007A4577">
          <w:rPr>
            <w:noProof/>
            <w:webHidden/>
          </w:rPr>
          <w:fldChar w:fldCharType="begin"/>
        </w:r>
        <w:r w:rsidR="007A4577">
          <w:rPr>
            <w:noProof/>
            <w:webHidden/>
          </w:rPr>
          <w:instrText xml:space="preserve"> PAGEREF _Toc421540882 \h </w:instrText>
        </w:r>
        <w:r w:rsidR="007A4577">
          <w:rPr>
            <w:noProof/>
            <w:webHidden/>
          </w:rPr>
        </w:r>
        <w:r w:rsidR="007A4577">
          <w:rPr>
            <w:noProof/>
            <w:webHidden/>
          </w:rPr>
          <w:fldChar w:fldCharType="separate"/>
        </w:r>
        <w:r>
          <w:rPr>
            <w:noProof/>
            <w:webHidden/>
          </w:rPr>
          <w:t>7</w:t>
        </w:r>
        <w:r w:rsidR="007A4577">
          <w:rPr>
            <w:noProof/>
            <w:webHidden/>
          </w:rPr>
          <w:fldChar w:fldCharType="end"/>
        </w:r>
      </w:hyperlink>
    </w:p>
    <w:p w14:paraId="0BE0D339" w14:textId="1371F8AA" w:rsidR="007A4577" w:rsidRDefault="000E14EE">
      <w:pPr>
        <w:pStyle w:val="TOC2"/>
        <w:rPr>
          <w:rFonts w:asciiTheme="minorHAnsi" w:hAnsiTheme="minorHAnsi"/>
          <w:noProof/>
        </w:rPr>
      </w:pPr>
      <w:hyperlink w:anchor="_Toc421540883" w:history="1">
        <w:r w:rsidR="007A4577" w:rsidRPr="00C26B3F">
          <w:rPr>
            <w:rStyle w:val="Hyperlink"/>
            <w:noProof/>
          </w:rPr>
          <w:t>8.</w:t>
        </w:r>
        <w:r w:rsidR="007A4577">
          <w:rPr>
            <w:rFonts w:asciiTheme="minorHAnsi" w:hAnsiTheme="minorHAnsi"/>
            <w:noProof/>
          </w:rPr>
          <w:tab/>
        </w:r>
        <w:r w:rsidR="007A4577" w:rsidRPr="00C26B3F">
          <w:rPr>
            <w:rStyle w:val="Hyperlink"/>
            <w:noProof/>
          </w:rPr>
          <w:t>Comments in Response to the Federal Register Notice and Efforts to Consult Outside the Agency</w:t>
        </w:r>
        <w:r w:rsidR="007A4577">
          <w:rPr>
            <w:noProof/>
            <w:webHidden/>
          </w:rPr>
          <w:tab/>
        </w:r>
        <w:r w:rsidR="007A4577">
          <w:rPr>
            <w:noProof/>
            <w:webHidden/>
          </w:rPr>
          <w:fldChar w:fldCharType="begin"/>
        </w:r>
        <w:r w:rsidR="007A4577">
          <w:rPr>
            <w:noProof/>
            <w:webHidden/>
          </w:rPr>
          <w:instrText xml:space="preserve"> PAGEREF _Toc421540883 \h </w:instrText>
        </w:r>
        <w:r w:rsidR="007A4577">
          <w:rPr>
            <w:noProof/>
            <w:webHidden/>
          </w:rPr>
        </w:r>
        <w:r w:rsidR="007A4577">
          <w:rPr>
            <w:noProof/>
            <w:webHidden/>
          </w:rPr>
          <w:fldChar w:fldCharType="separate"/>
        </w:r>
        <w:r>
          <w:rPr>
            <w:noProof/>
            <w:webHidden/>
          </w:rPr>
          <w:t>7</w:t>
        </w:r>
        <w:r w:rsidR="007A4577">
          <w:rPr>
            <w:noProof/>
            <w:webHidden/>
          </w:rPr>
          <w:fldChar w:fldCharType="end"/>
        </w:r>
      </w:hyperlink>
    </w:p>
    <w:p w14:paraId="4B13F72A" w14:textId="165D3B59" w:rsidR="007A4577" w:rsidRDefault="000E14EE">
      <w:pPr>
        <w:pStyle w:val="TOC2"/>
        <w:rPr>
          <w:rFonts w:asciiTheme="minorHAnsi" w:hAnsiTheme="minorHAnsi"/>
          <w:noProof/>
        </w:rPr>
      </w:pPr>
      <w:hyperlink w:anchor="_Toc421540884" w:history="1">
        <w:r w:rsidR="007A4577" w:rsidRPr="00C26B3F">
          <w:rPr>
            <w:rStyle w:val="Hyperlink"/>
            <w:noProof/>
          </w:rPr>
          <w:t>9.</w:t>
        </w:r>
        <w:r w:rsidR="007A4577">
          <w:rPr>
            <w:rFonts w:asciiTheme="minorHAnsi" w:hAnsiTheme="minorHAnsi"/>
            <w:noProof/>
          </w:rPr>
          <w:tab/>
        </w:r>
        <w:r w:rsidR="007A4577" w:rsidRPr="00C26B3F">
          <w:rPr>
            <w:rStyle w:val="Hyperlink"/>
            <w:noProof/>
          </w:rPr>
          <w:t>Explanation of Any Payment or Gift to Respondents</w:t>
        </w:r>
        <w:r w:rsidR="007A4577">
          <w:rPr>
            <w:noProof/>
            <w:webHidden/>
          </w:rPr>
          <w:tab/>
        </w:r>
        <w:r w:rsidR="007A4577">
          <w:rPr>
            <w:noProof/>
            <w:webHidden/>
          </w:rPr>
          <w:fldChar w:fldCharType="begin"/>
        </w:r>
        <w:r w:rsidR="007A4577">
          <w:rPr>
            <w:noProof/>
            <w:webHidden/>
          </w:rPr>
          <w:instrText xml:space="preserve"> PAGEREF _Toc421540884 \h </w:instrText>
        </w:r>
        <w:r w:rsidR="007A4577">
          <w:rPr>
            <w:noProof/>
            <w:webHidden/>
          </w:rPr>
        </w:r>
        <w:r w:rsidR="007A4577">
          <w:rPr>
            <w:noProof/>
            <w:webHidden/>
          </w:rPr>
          <w:fldChar w:fldCharType="separate"/>
        </w:r>
        <w:r>
          <w:rPr>
            <w:noProof/>
            <w:webHidden/>
          </w:rPr>
          <w:t>7</w:t>
        </w:r>
        <w:r w:rsidR="007A4577">
          <w:rPr>
            <w:noProof/>
            <w:webHidden/>
          </w:rPr>
          <w:fldChar w:fldCharType="end"/>
        </w:r>
      </w:hyperlink>
    </w:p>
    <w:p w14:paraId="57FDEEB5" w14:textId="11BA718B" w:rsidR="007A4577" w:rsidRDefault="000E14EE">
      <w:pPr>
        <w:pStyle w:val="TOC2"/>
        <w:rPr>
          <w:rFonts w:asciiTheme="minorHAnsi" w:hAnsiTheme="minorHAnsi"/>
          <w:noProof/>
        </w:rPr>
      </w:pPr>
      <w:hyperlink w:anchor="_Toc421540885" w:history="1">
        <w:r w:rsidR="007A4577" w:rsidRPr="00C26B3F">
          <w:rPr>
            <w:rStyle w:val="Hyperlink"/>
            <w:noProof/>
          </w:rPr>
          <w:t>10.</w:t>
        </w:r>
        <w:r w:rsidR="007A4577">
          <w:rPr>
            <w:rFonts w:asciiTheme="minorHAnsi" w:hAnsiTheme="minorHAnsi"/>
            <w:noProof/>
          </w:rPr>
          <w:tab/>
        </w:r>
        <w:r w:rsidR="007A4577" w:rsidRPr="00C26B3F">
          <w:rPr>
            <w:rStyle w:val="Hyperlink"/>
            <w:noProof/>
          </w:rPr>
          <w:t>Assurance of Confidentiality Provided to Respondents</w:t>
        </w:r>
        <w:r w:rsidR="007A4577">
          <w:rPr>
            <w:noProof/>
            <w:webHidden/>
          </w:rPr>
          <w:tab/>
        </w:r>
        <w:r w:rsidR="007A4577">
          <w:rPr>
            <w:noProof/>
            <w:webHidden/>
          </w:rPr>
          <w:fldChar w:fldCharType="begin"/>
        </w:r>
        <w:r w:rsidR="007A4577">
          <w:rPr>
            <w:noProof/>
            <w:webHidden/>
          </w:rPr>
          <w:instrText xml:space="preserve"> PAGEREF _Toc421540885 \h </w:instrText>
        </w:r>
        <w:r w:rsidR="007A4577">
          <w:rPr>
            <w:noProof/>
            <w:webHidden/>
          </w:rPr>
        </w:r>
        <w:r w:rsidR="007A4577">
          <w:rPr>
            <w:noProof/>
            <w:webHidden/>
          </w:rPr>
          <w:fldChar w:fldCharType="separate"/>
        </w:r>
        <w:r>
          <w:rPr>
            <w:noProof/>
            <w:webHidden/>
          </w:rPr>
          <w:t>7</w:t>
        </w:r>
        <w:r w:rsidR="007A4577">
          <w:rPr>
            <w:noProof/>
            <w:webHidden/>
          </w:rPr>
          <w:fldChar w:fldCharType="end"/>
        </w:r>
      </w:hyperlink>
    </w:p>
    <w:p w14:paraId="09E59E30" w14:textId="5546C8A3" w:rsidR="007A4577" w:rsidRDefault="000E14EE" w:rsidP="0005052F">
      <w:pPr>
        <w:pStyle w:val="TOC2"/>
        <w:rPr>
          <w:rFonts w:asciiTheme="minorHAnsi" w:hAnsiTheme="minorHAnsi"/>
          <w:noProof/>
        </w:rPr>
      </w:pPr>
      <w:hyperlink w:anchor="_Toc421540886" w:history="1">
        <w:r w:rsidR="007A4577" w:rsidRPr="00C26B3F">
          <w:rPr>
            <w:rStyle w:val="Hyperlink"/>
            <w:noProof/>
          </w:rPr>
          <w:t>10.1 Privacy Impact Assessment Information</w:t>
        </w:r>
        <w:r w:rsidR="007A4577">
          <w:rPr>
            <w:noProof/>
            <w:webHidden/>
          </w:rPr>
          <w:tab/>
        </w:r>
        <w:r w:rsidR="007A4577">
          <w:rPr>
            <w:noProof/>
            <w:webHidden/>
          </w:rPr>
          <w:fldChar w:fldCharType="begin"/>
        </w:r>
        <w:r w:rsidR="007A4577">
          <w:rPr>
            <w:noProof/>
            <w:webHidden/>
          </w:rPr>
          <w:instrText xml:space="preserve"> PAGEREF _Toc421540886 \h </w:instrText>
        </w:r>
        <w:r w:rsidR="007A4577">
          <w:rPr>
            <w:noProof/>
            <w:webHidden/>
          </w:rPr>
        </w:r>
        <w:r w:rsidR="007A4577">
          <w:rPr>
            <w:noProof/>
            <w:webHidden/>
          </w:rPr>
          <w:fldChar w:fldCharType="separate"/>
        </w:r>
        <w:r>
          <w:rPr>
            <w:noProof/>
            <w:webHidden/>
          </w:rPr>
          <w:t>7</w:t>
        </w:r>
        <w:r w:rsidR="007A4577">
          <w:rPr>
            <w:noProof/>
            <w:webHidden/>
          </w:rPr>
          <w:fldChar w:fldCharType="end"/>
        </w:r>
      </w:hyperlink>
    </w:p>
    <w:p w14:paraId="48F23BA1" w14:textId="63E5EBF9" w:rsidR="007A4577" w:rsidRDefault="000E14EE">
      <w:pPr>
        <w:pStyle w:val="TOC2"/>
        <w:rPr>
          <w:rFonts w:asciiTheme="minorHAnsi" w:hAnsiTheme="minorHAnsi"/>
          <w:noProof/>
        </w:rPr>
      </w:pPr>
      <w:hyperlink w:anchor="_Toc421540888" w:history="1">
        <w:r w:rsidR="007A4577" w:rsidRPr="00C26B3F">
          <w:rPr>
            <w:rStyle w:val="Hyperlink"/>
            <w:noProof/>
          </w:rPr>
          <w:t>11.</w:t>
        </w:r>
        <w:r w:rsidR="007A4577">
          <w:rPr>
            <w:rFonts w:asciiTheme="minorHAnsi" w:hAnsiTheme="minorHAnsi"/>
            <w:noProof/>
          </w:rPr>
          <w:tab/>
        </w:r>
        <w:r w:rsidR="007A4577" w:rsidRPr="00C26B3F">
          <w:rPr>
            <w:rStyle w:val="Hyperlink"/>
            <w:noProof/>
          </w:rPr>
          <w:t>Justification for Sensitive Questions</w:t>
        </w:r>
        <w:r w:rsidR="007A4577">
          <w:rPr>
            <w:noProof/>
            <w:webHidden/>
          </w:rPr>
          <w:tab/>
        </w:r>
        <w:r w:rsidR="007A4577">
          <w:rPr>
            <w:noProof/>
            <w:webHidden/>
          </w:rPr>
          <w:fldChar w:fldCharType="begin"/>
        </w:r>
        <w:r w:rsidR="007A4577">
          <w:rPr>
            <w:noProof/>
            <w:webHidden/>
          </w:rPr>
          <w:instrText xml:space="preserve"> PAGEREF _Toc421540888 \h </w:instrText>
        </w:r>
        <w:r w:rsidR="007A4577">
          <w:rPr>
            <w:noProof/>
            <w:webHidden/>
          </w:rPr>
        </w:r>
        <w:r w:rsidR="007A4577">
          <w:rPr>
            <w:noProof/>
            <w:webHidden/>
          </w:rPr>
          <w:fldChar w:fldCharType="separate"/>
        </w:r>
        <w:r>
          <w:rPr>
            <w:noProof/>
            <w:webHidden/>
          </w:rPr>
          <w:t>7</w:t>
        </w:r>
        <w:r w:rsidR="007A4577">
          <w:rPr>
            <w:noProof/>
            <w:webHidden/>
          </w:rPr>
          <w:fldChar w:fldCharType="end"/>
        </w:r>
      </w:hyperlink>
    </w:p>
    <w:p w14:paraId="0FE65F11" w14:textId="069A9DE8" w:rsidR="007A4577" w:rsidRDefault="000E14EE">
      <w:pPr>
        <w:pStyle w:val="TOC2"/>
        <w:rPr>
          <w:rFonts w:asciiTheme="minorHAnsi" w:hAnsiTheme="minorHAnsi"/>
          <w:noProof/>
        </w:rPr>
      </w:pPr>
      <w:hyperlink w:anchor="_Toc421540889" w:history="1">
        <w:r w:rsidR="007A4577" w:rsidRPr="00C26B3F">
          <w:rPr>
            <w:rStyle w:val="Hyperlink"/>
            <w:noProof/>
          </w:rPr>
          <w:t>12.</w:t>
        </w:r>
        <w:r w:rsidR="007A4577">
          <w:rPr>
            <w:rFonts w:asciiTheme="minorHAnsi" w:hAnsiTheme="minorHAnsi"/>
            <w:noProof/>
          </w:rPr>
          <w:tab/>
        </w:r>
        <w:r w:rsidR="007A4577" w:rsidRPr="00C26B3F">
          <w:rPr>
            <w:rStyle w:val="Hyperlink"/>
            <w:noProof/>
          </w:rPr>
          <w:t>Estimates of Annualized Burden Hours and Costs</w:t>
        </w:r>
        <w:r w:rsidR="007A4577">
          <w:rPr>
            <w:noProof/>
            <w:webHidden/>
          </w:rPr>
          <w:tab/>
        </w:r>
        <w:r w:rsidR="007A4577">
          <w:rPr>
            <w:noProof/>
            <w:webHidden/>
          </w:rPr>
          <w:fldChar w:fldCharType="begin"/>
        </w:r>
        <w:r w:rsidR="007A4577">
          <w:rPr>
            <w:noProof/>
            <w:webHidden/>
          </w:rPr>
          <w:instrText xml:space="preserve"> PAGEREF _Toc421540889 \h </w:instrText>
        </w:r>
        <w:r w:rsidR="007A4577">
          <w:rPr>
            <w:noProof/>
            <w:webHidden/>
          </w:rPr>
        </w:r>
        <w:r w:rsidR="007A4577">
          <w:rPr>
            <w:noProof/>
            <w:webHidden/>
          </w:rPr>
          <w:fldChar w:fldCharType="separate"/>
        </w:r>
        <w:r>
          <w:rPr>
            <w:noProof/>
            <w:webHidden/>
          </w:rPr>
          <w:t>7</w:t>
        </w:r>
        <w:r w:rsidR="007A4577">
          <w:rPr>
            <w:noProof/>
            <w:webHidden/>
          </w:rPr>
          <w:fldChar w:fldCharType="end"/>
        </w:r>
      </w:hyperlink>
    </w:p>
    <w:p w14:paraId="13D9BEE8" w14:textId="74A876B7" w:rsidR="007A4577" w:rsidRDefault="000E14EE">
      <w:pPr>
        <w:pStyle w:val="TOC2"/>
        <w:rPr>
          <w:rFonts w:asciiTheme="minorHAnsi" w:hAnsiTheme="minorHAnsi"/>
          <w:noProof/>
        </w:rPr>
      </w:pPr>
      <w:hyperlink w:anchor="_Toc421540890" w:history="1">
        <w:r w:rsidR="007A4577" w:rsidRPr="00C26B3F">
          <w:rPr>
            <w:rStyle w:val="Hyperlink"/>
            <w:noProof/>
          </w:rPr>
          <w:t>13.</w:t>
        </w:r>
        <w:r w:rsidR="007A4577">
          <w:rPr>
            <w:rFonts w:asciiTheme="minorHAnsi" w:hAnsiTheme="minorHAnsi"/>
            <w:noProof/>
          </w:rPr>
          <w:tab/>
        </w:r>
        <w:r w:rsidR="007A4577" w:rsidRPr="00C26B3F">
          <w:rPr>
            <w:rStyle w:val="Hyperlink"/>
            <w:noProof/>
          </w:rPr>
          <w:t>Estimates of Other Total Annual Cost Burden to Respondents or Record Keepers</w:t>
        </w:r>
        <w:r w:rsidR="007A4577">
          <w:rPr>
            <w:noProof/>
            <w:webHidden/>
          </w:rPr>
          <w:tab/>
        </w:r>
        <w:r w:rsidR="007A4577">
          <w:rPr>
            <w:noProof/>
            <w:webHidden/>
          </w:rPr>
          <w:fldChar w:fldCharType="begin"/>
        </w:r>
        <w:r w:rsidR="007A4577">
          <w:rPr>
            <w:noProof/>
            <w:webHidden/>
          </w:rPr>
          <w:instrText xml:space="preserve"> PAGEREF _Toc421540890 \h </w:instrText>
        </w:r>
        <w:r w:rsidR="007A4577">
          <w:rPr>
            <w:noProof/>
            <w:webHidden/>
          </w:rPr>
        </w:r>
        <w:r w:rsidR="007A4577">
          <w:rPr>
            <w:noProof/>
            <w:webHidden/>
          </w:rPr>
          <w:fldChar w:fldCharType="separate"/>
        </w:r>
        <w:r>
          <w:rPr>
            <w:noProof/>
            <w:webHidden/>
          </w:rPr>
          <w:t>8</w:t>
        </w:r>
        <w:r w:rsidR="007A4577">
          <w:rPr>
            <w:noProof/>
            <w:webHidden/>
          </w:rPr>
          <w:fldChar w:fldCharType="end"/>
        </w:r>
      </w:hyperlink>
    </w:p>
    <w:p w14:paraId="237D98CF" w14:textId="7DDF357A" w:rsidR="007A4577" w:rsidRDefault="000E14EE">
      <w:pPr>
        <w:pStyle w:val="TOC2"/>
        <w:rPr>
          <w:rFonts w:asciiTheme="minorHAnsi" w:hAnsiTheme="minorHAnsi"/>
          <w:noProof/>
        </w:rPr>
      </w:pPr>
      <w:hyperlink w:anchor="_Toc421540891" w:history="1">
        <w:r w:rsidR="007A4577" w:rsidRPr="00C26B3F">
          <w:rPr>
            <w:rStyle w:val="Hyperlink"/>
            <w:noProof/>
          </w:rPr>
          <w:t>14.</w:t>
        </w:r>
        <w:r w:rsidR="007A4577">
          <w:rPr>
            <w:rFonts w:asciiTheme="minorHAnsi" w:hAnsiTheme="minorHAnsi"/>
            <w:noProof/>
          </w:rPr>
          <w:tab/>
        </w:r>
        <w:r w:rsidR="007A4577" w:rsidRPr="00C26B3F">
          <w:rPr>
            <w:rStyle w:val="Hyperlink"/>
            <w:noProof/>
          </w:rPr>
          <w:t>Annualized Cost to the Government</w:t>
        </w:r>
        <w:r w:rsidR="007A4577">
          <w:rPr>
            <w:noProof/>
            <w:webHidden/>
          </w:rPr>
          <w:tab/>
        </w:r>
        <w:r w:rsidR="007A4577">
          <w:rPr>
            <w:noProof/>
            <w:webHidden/>
          </w:rPr>
          <w:fldChar w:fldCharType="begin"/>
        </w:r>
        <w:r w:rsidR="007A4577">
          <w:rPr>
            <w:noProof/>
            <w:webHidden/>
          </w:rPr>
          <w:instrText xml:space="preserve"> PAGEREF _Toc421540891 \h </w:instrText>
        </w:r>
        <w:r w:rsidR="007A4577">
          <w:rPr>
            <w:noProof/>
            <w:webHidden/>
          </w:rPr>
        </w:r>
        <w:r w:rsidR="007A4577">
          <w:rPr>
            <w:noProof/>
            <w:webHidden/>
          </w:rPr>
          <w:fldChar w:fldCharType="separate"/>
        </w:r>
        <w:r>
          <w:rPr>
            <w:noProof/>
            <w:webHidden/>
          </w:rPr>
          <w:t>8</w:t>
        </w:r>
        <w:r w:rsidR="007A4577">
          <w:rPr>
            <w:noProof/>
            <w:webHidden/>
          </w:rPr>
          <w:fldChar w:fldCharType="end"/>
        </w:r>
      </w:hyperlink>
    </w:p>
    <w:p w14:paraId="245BFE77" w14:textId="771371D8" w:rsidR="007A4577" w:rsidRDefault="000E14EE">
      <w:pPr>
        <w:pStyle w:val="TOC2"/>
        <w:rPr>
          <w:rFonts w:asciiTheme="minorHAnsi" w:hAnsiTheme="minorHAnsi"/>
          <w:noProof/>
        </w:rPr>
      </w:pPr>
      <w:hyperlink w:anchor="_Toc421540892" w:history="1">
        <w:r w:rsidR="007A4577" w:rsidRPr="00C26B3F">
          <w:rPr>
            <w:rStyle w:val="Hyperlink"/>
            <w:noProof/>
          </w:rPr>
          <w:t>15.</w:t>
        </w:r>
        <w:r w:rsidR="007A4577">
          <w:rPr>
            <w:rFonts w:asciiTheme="minorHAnsi" w:hAnsiTheme="minorHAnsi"/>
            <w:noProof/>
          </w:rPr>
          <w:tab/>
        </w:r>
        <w:r w:rsidR="007A4577" w:rsidRPr="00C26B3F">
          <w:rPr>
            <w:rStyle w:val="Hyperlink"/>
            <w:noProof/>
          </w:rPr>
          <w:t>Explanation for Program Changes or Adjustments</w:t>
        </w:r>
        <w:r w:rsidR="007A4577">
          <w:rPr>
            <w:noProof/>
            <w:webHidden/>
          </w:rPr>
          <w:tab/>
        </w:r>
        <w:r w:rsidR="007A4577">
          <w:rPr>
            <w:noProof/>
            <w:webHidden/>
          </w:rPr>
          <w:fldChar w:fldCharType="begin"/>
        </w:r>
        <w:r w:rsidR="007A4577">
          <w:rPr>
            <w:noProof/>
            <w:webHidden/>
          </w:rPr>
          <w:instrText xml:space="preserve"> PAGEREF _Toc421540892 \h </w:instrText>
        </w:r>
        <w:r w:rsidR="007A4577">
          <w:rPr>
            <w:noProof/>
            <w:webHidden/>
          </w:rPr>
        </w:r>
        <w:r w:rsidR="007A4577">
          <w:rPr>
            <w:noProof/>
            <w:webHidden/>
          </w:rPr>
          <w:fldChar w:fldCharType="separate"/>
        </w:r>
        <w:r>
          <w:rPr>
            <w:noProof/>
            <w:webHidden/>
          </w:rPr>
          <w:t>8</w:t>
        </w:r>
        <w:r w:rsidR="007A4577">
          <w:rPr>
            <w:noProof/>
            <w:webHidden/>
          </w:rPr>
          <w:fldChar w:fldCharType="end"/>
        </w:r>
      </w:hyperlink>
    </w:p>
    <w:p w14:paraId="783DD6B8" w14:textId="4003544B" w:rsidR="007A4577" w:rsidRDefault="000E14EE">
      <w:pPr>
        <w:pStyle w:val="TOC2"/>
        <w:rPr>
          <w:rFonts w:asciiTheme="minorHAnsi" w:hAnsiTheme="minorHAnsi"/>
          <w:noProof/>
        </w:rPr>
      </w:pPr>
      <w:hyperlink w:anchor="_Toc421540893" w:history="1">
        <w:r w:rsidR="007A4577" w:rsidRPr="00C26B3F">
          <w:rPr>
            <w:rStyle w:val="Hyperlink"/>
            <w:noProof/>
          </w:rPr>
          <w:t>16.</w:t>
        </w:r>
        <w:r w:rsidR="007A4577">
          <w:rPr>
            <w:rFonts w:asciiTheme="minorHAnsi" w:hAnsiTheme="minorHAnsi"/>
            <w:noProof/>
          </w:rPr>
          <w:tab/>
        </w:r>
        <w:r w:rsidR="007A4577" w:rsidRPr="00C26B3F">
          <w:rPr>
            <w:rStyle w:val="Hyperlink"/>
            <w:noProof/>
          </w:rPr>
          <w:t>Plans for Tabulation and Publication and Project Time Schedule</w:t>
        </w:r>
        <w:r w:rsidR="007A4577">
          <w:rPr>
            <w:noProof/>
            <w:webHidden/>
          </w:rPr>
          <w:tab/>
        </w:r>
        <w:r w:rsidR="007A4577">
          <w:rPr>
            <w:noProof/>
            <w:webHidden/>
          </w:rPr>
          <w:fldChar w:fldCharType="begin"/>
        </w:r>
        <w:r w:rsidR="007A4577">
          <w:rPr>
            <w:noProof/>
            <w:webHidden/>
          </w:rPr>
          <w:instrText xml:space="preserve"> PAGEREF _Toc421540893 \h </w:instrText>
        </w:r>
        <w:r w:rsidR="007A4577">
          <w:rPr>
            <w:noProof/>
            <w:webHidden/>
          </w:rPr>
        </w:r>
        <w:r w:rsidR="007A4577">
          <w:rPr>
            <w:noProof/>
            <w:webHidden/>
          </w:rPr>
          <w:fldChar w:fldCharType="separate"/>
        </w:r>
        <w:r>
          <w:rPr>
            <w:noProof/>
            <w:webHidden/>
          </w:rPr>
          <w:t>9</w:t>
        </w:r>
        <w:r w:rsidR="007A4577">
          <w:rPr>
            <w:noProof/>
            <w:webHidden/>
          </w:rPr>
          <w:fldChar w:fldCharType="end"/>
        </w:r>
      </w:hyperlink>
    </w:p>
    <w:p w14:paraId="77635996" w14:textId="5AC59F94" w:rsidR="007A4577" w:rsidRDefault="000E14EE">
      <w:pPr>
        <w:pStyle w:val="TOC2"/>
        <w:rPr>
          <w:rFonts w:asciiTheme="minorHAnsi" w:hAnsiTheme="minorHAnsi"/>
          <w:noProof/>
        </w:rPr>
      </w:pPr>
      <w:hyperlink w:anchor="_Toc421540894" w:history="1">
        <w:r w:rsidR="007A4577" w:rsidRPr="00C26B3F">
          <w:rPr>
            <w:rStyle w:val="Hyperlink"/>
            <w:noProof/>
          </w:rPr>
          <w:t>17.</w:t>
        </w:r>
        <w:r w:rsidR="007A4577">
          <w:rPr>
            <w:rFonts w:asciiTheme="minorHAnsi" w:hAnsiTheme="minorHAnsi"/>
            <w:noProof/>
          </w:rPr>
          <w:tab/>
        </w:r>
        <w:r w:rsidR="007A4577" w:rsidRPr="00C26B3F">
          <w:rPr>
            <w:rStyle w:val="Hyperlink"/>
            <w:noProof/>
          </w:rPr>
          <w:t>Reason(s) Display of OMB Expiration Date is Inappropriate</w:t>
        </w:r>
        <w:r w:rsidR="007A4577">
          <w:rPr>
            <w:noProof/>
            <w:webHidden/>
          </w:rPr>
          <w:tab/>
        </w:r>
        <w:r w:rsidR="007A4577">
          <w:rPr>
            <w:noProof/>
            <w:webHidden/>
          </w:rPr>
          <w:fldChar w:fldCharType="begin"/>
        </w:r>
        <w:r w:rsidR="007A4577">
          <w:rPr>
            <w:noProof/>
            <w:webHidden/>
          </w:rPr>
          <w:instrText xml:space="preserve"> PAGEREF _Toc421540894 \h </w:instrText>
        </w:r>
        <w:r w:rsidR="007A4577">
          <w:rPr>
            <w:noProof/>
            <w:webHidden/>
          </w:rPr>
        </w:r>
        <w:r w:rsidR="007A4577">
          <w:rPr>
            <w:noProof/>
            <w:webHidden/>
          </w:rPr>
          <w:fldChar w:fldCharType="separate"/>
        </w:r>
        <w:r>
          <w:rPr>
            <w:noProof/>
            <w:webHidden/>
          </w:rPr>
          <w:t>9</w:t>
        </w:r>
        <w:r w:rsidR="007A4577">
          <w:rPr>
            <w:noProof/>
            <w:webHidden/>
          </w:rPr>
          <w:fldChar w:fldCharType="end"/>
        </w:r>
      </w:hyperlink>
    </w:p>
    <w:p w14:paraId="3970BC5D" w14:textId="6A87E4E7" w:rsidR="007A4577" w:rsidRDefault="000E14EE">
      <w:pPr>
        <w:pStyle w:val="TOC2"/>
        <w:rPr>
          <w:rFonts w:asciiTheme="minorHAnsi" w:hAnsiTheme="minorHAnsi"/>
          <w:noProof/>
        </w:rPr>
      </w:pPr>
      <w:hyperlink w:anchor="_Toc421540895" w:history="1">
        <w:r w:rsidR="007A4577" w:rsidRPr="00C26B3F">
          <w:rPr>
            <w:rStyle w:val="Hyperlink"/>
            <w:noProof/>
          </w:rPr>
          <w:t>18.</w:t>
        </w:r>
        <w:r w:rsidR="007A4577">
          <w:rPr>
            <w:rFonts w:asciiTheme="minorHAnsi" w:hAnsiTheme="minorHAnsi"/>
            <w:noProof/>
          </w:rPr>
          <w:tab/>
        </w:r>
        <w:r w:rsidR="007A4577" w:rsidRPr="00C26B3F">
          <w:rPr>
            <w:rStyle w:val="Hyperlink"/>
            <w:noProof/>
          </w:rPr>
          <w:t>Exceptions to Certification for Paperwork Reduction Act Submissions</w:t>
        </w:r>
        <w:r w:rsidR="007A4577">
          <w:rPr>
            <w:noProof/>
            <w:webHidden/>
          </w:rPr>
          <w:tab/>
        </w:r>
        <w:r w:rsidR="007A4577">
          <w:rPr>
            <w:noProof/>
            <w:webHidden/>
          </w:rPr>
          <w:fldChar w:fldCharType="begin"/>
        </w:r>
        <w:r w:rsidR="007A4577">
          <w:rPr>
            <w:noProof/>
            <w:webHidden/>
          </w:rPr>
          <w:instrText xml:space="preserve"> PAGEREF _Toc421540895 \h </w:instrText>
        </w:r>
        <w:r w:rsidR="007A4577">
          <w:rPr>
            <w:noProof/>
            <w:webHidden/>
          </w:rPr>
        </w:r>
        <w:r w:rsidR="007A4577">
          <w:rPr>
            <w:noProof/>
            <w:webHidden/>
          </w:rPr>
          <w:fldChar w:fldCharType="separate"/>
        </w:r>
        <w:r>
          <w:rPr>
            <w:noProof/>
            <w:webHidden/>
          </w:rPr>
          <w:t>9</w:t>
        </w:r>
        <w:r w:rsidR="007A4577">
          <w:rPr>
            <w:noProof/>
            <w:webHidden/>
          </w:rPr>
          <w:fldChar w:fldCharType="end"/>
        </w:r>
      </w:hyperlink>
    </w:p>
    <w:p w14:paraId="34F712C7" w14:textId="7A656095" w:rsidR="007A4577" w:rsidRDefault="000E14EE">
      <w:pPr>
        <w:pStyle w:val="TOC1"/>
        <w:tabs>
          <w:tab w:val="right" w:leader="dot" w:pos="9350"/>
        </w:tabs>
        <w:rPr>
          <w:rFonts w:asciiTheme="minorHAnsi" w:hAnsiTheme="minorHAnsi"/>
          <w:noProof/>
        </w:rPr>
      </w:pPr>
      <w:hyperlink w:anchor="_Toc421540896" w:history="1">
        <w:r w:rsidR="007A4577" w:rsidRPr="00C26B3F">
          <w:rPr>
            <w:rStyle w:val="Hyperlink"/>
            <w:noProof/>
          </w:rPr>
          <w:t>LIST OF ATTACHMENTS – Section A</w:t>
        </w:r>
        <w:r w:rsidR="007A4577">
          <w:rPr>
            <w:noProof/>
            <w:webHidden/>
          </w:rPr>
          <w:tab/>
        </w:r>
        <w:r w:rsidR="007A4577">
          <w:rPr>
            <w:noProof/>
            <w:webHidden/>
          </w:rPr>
          <w:fldChar w:fldCharType="begin"/>
        </w:r>
        <w:r w:rsidR="007A4577">
          <w:rPr>
            <w:noProof/>
            <w:webHidden/>
          </w:rPr>
          <w:instrText xml:space="preserve"> PAGEREF _Toc421540896 \h </w:instrText>
        </w:r>
        <w:r w:rsidR="007A4577">
          <w:rPr>
            <w:noProof/>
            <w:webHidden/>
          </w:rPr>
        </w:r>
        <w:r w:rsidR="007A4577">
          <w:rPr>
            <w:noProof/>
            <w:webHidden/>
          </w:rPr>
          <w:fldChar w:fldCharType="separate"/>
        </w:r>
        <w:r>
          <w:rPr>
            <w:noProof/>
            <w:webHidden/>
          </w:rPr>
          <w:t>9</w:t>
        </w:r>
        <w:r w:rsidR="007A4577">
          <w:rPr>
            <w:noProof/>
            <w:webHidden/>
          </w:rPr>
          <w:fldChar w:fldCharType="end"/>
        </w:r>
      </w:hyperlink>
    </w:p>
    <w:p w14:paraId="3850D696" w14:textId="7C799402" w:rsidR="00487937" w:rsidRDefault="000039BE" w:rsidP="000039BE">
      <w:pPr>
        <w:pStyle w:val="Heading3"/>
        <w:ind w:left="0"/>
      </w:pPr>
      <w:r>
        <w:fldChar w:fldCharType="end"/>
      </w:r>
    </w:p>
    <w:p w14:paraId="104507B2" w14:textId="77777777" w:rsidR="00487937" w:rsidRDefault="00487937" w:rsidP="00CA5840">
      <w:pPr>
        <w:pStyle w:val="Heading3"/>
        <w:ind w:left="0"/>
      </w:pPr>
    </w:p>
    <w:p w14:paraId="4344EAEA" w14:textId="77777777" w:rsidR="00487937" w:rsidRDefault="00487937" w:rsidP="00CA5840">
      <w:pPr>
        <w:pStyle w:val="Heading3"/>
        <w:ind w:left="0"/>
      </w:pPr>
    </w:p>
    <w:p w14:paraId="45F4F623" w14:textId="77777777" w:rsidR="00487937" w:rsidRDefault="00487937" w:rsidP="00CA5840">
      <w:pPr>
        <w:pStyle w:val="Heading3"/>
        <w:ind w:left="0"/>
      </w:pPr>
    </w:p>
    <w:p w14:paraId="61938277" w14:textId="748206D6" w:rsidR="0022303B" w:rsidRDefault="0022303B">
      <w:pPr>
        <w:tabs>
          <w:tab w:val="clear" w:pos="9360"/>
        </w:tabs>
        <w:spacing w:after="200"/>
        <w:ind w:left="0"/>
        <w:rPr>
          <w:b/>
          <w:sz w:val="28"/>
        </w:rPr>
      </w:pPr>
      <w:r>
        <w:br w:type="page"/>
      </w:r>
    </w:p>
    <w:p w14:paraId="562B5357" w14:textId="2ED81A80" w:rsidR="00176821" w:rsidRDefault="00B80AFF" w:rsidP="00CA5840">
      <w:pPr>
        <w:pStyle w:val="Heading3"/>
        <w:ind w:left="0"/>
      </w:pPr>
      <w:bookmarkStart w:id="3" w:name="_Toc421540874"/>
      <w:r w:rsidRPr="00487937">
        <w:rPr>
          <w:rFonts w:ascii="Calibri" w:eastAsia="Calibri" w:hAnsi="Calibri" w:cs="Times New Roman"/>
          <w:b w:val="0"/>
          <w:noProof/>
          <w:sz w:val="22"/>
        </w:rPr>
        <w:lastRenderedPageBreak/>
        <mc:AlternateContent>
          <mc:Choice Requires="wps">
            <w:drawing>
              <wp:anchor distT="0" distB="0" distL="114300" distR="114300" simplePos="0" relativeHeight="251658752" behindDoc="0" locked="0" layoutInCell="1" allowOverlap="1" wp14:anchorId="5E2703F9" wp14:editId="0585EA2F">
                <wp:simplePos x="0" y="0"/>
                <wp:positionH relativeFrom="column">
                  <wp:posOffset>0</wp:posOffset>
                </wp:positionH>
                <wp:positionV relativeFrom="paragraph">
                  <wp:posOffset>236220</wp:posOffset>
                </wp:positionV>
                <wp:extent cx="6162675" cy="3071495"/>
                <wp:effectExtent l="0" t="0" r="28575" b="1460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3071495"/>
                        </a:xfrm>
                        <a:prstGeom prst="rect">
                          <a:avLst/>
                        </a:prstGeom>
                        <a:solidFill>
                          <a:srgbClr val="FFFFFF"/>
                        </a:solidFill>
                        <a:ln w="9525">
                          <a:solidFill>
                            <a:srgbClr val="000000"/>
                          </a:solidFill>
                          <a:miter lim="800000"/>
                          <a:headEnd/>
                          <a:tailEnd/>
                        </a:ln>
                      </wps:spPr>
                      <wps:txbx>
                        <w:txbxContent>
                          <w:p w14:paraId="12B5161C" w14:textId="046B92DE" w:rsidR="0005052F" w:rsidRDefault="0005052F" w:rsidP="00176821">
                            <w:pPr>
                              <w:pStyle w:val="ListParagraph"/>
                              <w:numPr>
                                <w:ilvl w:val="0"/>
                                <w:numId w:val="34"/>
                              </w:numPr>
                              <w:tabs>
                                <w:tab w:val="clear" w:pos="9360"/>
                              </w:tabs>
                              <w:spacing w:after="200"/>
                            </w:pPr>
                            <w:r w:rsidRPr="0005052F">
                              <w:rPr>
                                <w:b/>
                              </w:rPr>
                              <w:t xml:space="preserve">Goal of the study: </w:t>
                            </w:r>
                            <w:r>
                              <w:t xml:space="preserve">Assess 1) the current level of engagement of local health departments (LHDs) in </w:t>
                            </w:r>
                            <w:proofErr w:type="spellStart"/>
                            <w:r>
                              <w:t>pre</w:t>
                            </w:r>
                            <w:r w:rsidRPr="00721555">
                              <w:t>exposure</w:t>
                            </w:r>
                            <w:proofErr w:type="spellEnd"/>
                            <w:r w:rsidRPr="00721555">
                              <w:t xml:space="preserve"> prophylaxis</w:t>
                            </w:r>
                            <w:r>
                              <w:t xml:space="preserve"> (PrEP) implementation, 2) the </w:t>
                            </w:r>
                            <w:r w:rsidRPr="005E7182">
                              <w:t>perceived role</w:t>
                            </w:r>
                            <w:r>
                              <w:t xml:space="preserve"> that LHDs have in PrEP implementation, and 3) the resource and support needs for potential future engagement in </w:t>
                            </w:r>
                            <w:proofErr w:type="spellStart"/>
                            <w:r>
                              <w:t>PrEP.</w:t>
                            </w:r>
                            <w:proofErr w:type="spellEnd"/>
                            <w:r>
                              <w:t xml:space="preserve"> </w:t>
                            </w:r>
                          </w:p>
                          <w:p w14:paraId="3DCA27F1" w14:textId="48133F83" w:rsidR="0005052F" w:rsidRDefault="0005052F" w:rsidP="0091009B">
                            <w:pPr>
                              <w:pStyle w:val="ListParagraph"/>
                              <w:numPr>
                                <w:ilvl w:val="0"/>
                                <w:numId w:val="34"/>
                              </w:numPr>
                              <w:tabs>
                                <w:tab w:val="clear" w:pos="9360"/>
                              </w:tabs>
                              <w:spacing w:after="200"/>
                            </w:pPr>
                            <w:r w:rsidRPr="0005052F">
                              <w:rPr>
                                <w:b/>
                              </w:rPr>
                              <w:t>Intended use of the resulting information:</w:t>
                            </w:r>
                            <w:r>
                              <w:t xml:space="preserve"> Inform CDC’s activities to support the roles of LHDs in PrEP implementation to help achieve maximal impact in reducing new </w:t>
                            </w:r>
                            <w:r w:rsidR="0091009B" w:rsidRPr="0091009B">
                              <w:t>human immunodeficiency virus (HIV)</w:t>
                            </w:r>
                            <w:r>
                              <w:t xml:space="preserve"> infections.</w:t>
                            </w:r>
                          </w:p>
                          <w:p w14:paraId="11B02EAA" w14:textId="0E43DD4F" w:rsidR="0005052F" w:rsidRDefault="0005052F" w:rsidP="00176821">
                            <w:pPr>
                              <w:pStyle w:val="ListParagraph"/>
                              <w:numPr>
                                <w:ilvl w:val="0"/>
                                <w:numId w:val="34"/>
                              </w:numPr>
                            </w:pPr>
                            <w:r w:rsidRPr="0005052F">
                              <w:rPr>
                                <w:b/>
                              </w:rPr>
                              <w:t>Methods to be used to collect information:</w:t>
                            </w:r>
                            <w:r>
                              <w:t xml:space="preserve"> Data will be collected using a web-based assessment tool. </w:t>
                            </w:r>
                          </w:p>
                          <w:p w14:paraId="383BB4F0" w14:textId="4813B69C" w:rsidR="0005052F" w:rsidRPr="005E7182" w:rsidRDefault="0005052F" w:rsidP="0091009B">
                            <w:pPr>
                              <w:pStyle w:val="ListParagraph"/>
                              <w:numPr>
                                <w:ilvl w:val="0"/>
                                <w:numId w:val="34"/>
                              </w:numPr>
                              <w:tabs>
                                <w:tab w:val="clear" w:pos="9360"/>
                              </w:tabs>
                              <w:spacing w:after="200"/>
                            </w:pPr>
                            <w:r w:rsidRPr="0005052F">
                              <w:rPr>
                                <w:b/>
                              </w:rPr>
                              <w:t>The subpopulation to be studied:</w:t>
                            </w:r>
                            <w:r>
                              <w:t xml:space="preserve"> 500 HIV/</w:t>
                            </w:r>
                            <w:r w:rsidR="0091009B" w:rsidRPr="0091009B">
                              <w:t xml:space="preserve"> sexually transmitted</w:t>
                            </w:r>
                            <w:r w:rsidR="0091009B">
                              <w:t xml:space="preserve"> infections (</w:t>
                            </w:r>
                            <w:r>
                              <w:t>STI</w:t>
                            </w:r>
                            <w:r w:rsidR="0091009B">
                              <w:t>)</w:t>
                            </w:r>
                            <w:r>
                              <w:t xml:space="preserve"> program managers </w:t>
                            </w:r>
                            <w:r w:rsidRPr="005E7182">
                              <w:t>located within 500 city/county LHDs</w:t>
                            </w:r>
                            <w:r>
                              <w:t>,</w:t>
                            </w:r>
                            <w:r w:rsidRPr="005E7182">
                              <w:t xml:space="preserve"> across 47 states and the District of Columbia</w:t>
                            </w:r>
                            <w:r>
                              <w:t>.</w:t>
                            </w:r>
                            <w:r w:rsidRPr="005E7182">
                              <w:t xml:space="preserve"> </w:t>
                            </w:r>
                          </w:p>
                          <w:p w14:paraId="02882E36" w14:textId="0C748D56" w:rsidR="0005052F" w:rsidRDefault="0005052F" w:rsidP="00856FD9">
                            <w:pPr>
                              <w:pStyle w:val="ListParagraph"/>
                              <w:numPr>
                                <w:ilvl w:val="0"/>
                                <w:numId w:val="34"/>
                              </w:numPr>
                              <w:tabs>
                                <w:tab w:val="clear" w:pos="9360"/>
                              </w:tabs>
                              <w:spacing w:after="200"/>
                            </w:pPr>
                            <w:r w:rsidRPr="0005052F">
                              <w:rPr>
                                <w:b/>
                              </w:rPr>
                              <w:t>How information will be analyzed:</w:t>
                            </w:r>
                            <w:r>
                              <w:t xml:space="preserve"> </w:t>
                            </w:r>
                            <w:r w:rsidRPr="00721555">
                              <w:t xml:space="preserve">Descriptive statistics such as frequency, percentage, and mean/median will be conducted for all participants and/or subgroups. </w:t>
                            </w:r>
                            <w:r>
                              <w:t xml:space="preserve">Multivariable analysis methods (e.g., logistic regression) will be applied to assess correlates of current and planned engagement in PrEP implementation.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8.6pt;width:485.25pt;height:241.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">
                <v:textbox>
                  <w:txbxContent>
                    <w:p w14:paraId="12B5161C" w14:textId="046B92DE" w:rsidR="0005052F" w:rsidRDefault="0005052F" w:rsidP="00176821">
                      <w:pPr>
                        <w:pStyle w:val="ListParagraph"/>
                        <w:numPr>
                          <w:ilvl w:val="0"/>
                          <w:numId w:val="34"/>
                        </w:numPr>
                        <w:tabs>
                          <w:tab w:val="clear" w:pos="9360"/>
                        </w:tabs>
                        <w:spacing w:after="200"/>
                      </w:pPr>
                      <w:r w:rsidRPr="0005052F">
                        <w:rPr>
                          <w:b/>
                        </w:rPr>
                        <w:t xml:space="preserve">Goal of the study: </w:t>
                      </w:r>
                      <w:r>
                        <w:t xml:space="preserve">Assess 1) the current level of engagement of local health departments (LHDs) in </w:t>
                      </w:r>
                      <w:proofErr w:type="spellStart"/>
                      <w:r>
                        <w:t>pre</w:t>
                      </w:r>
                      <w:r w:rsidRPr="00721555">
                        <w:t>exposure</w:t>
                      </w:r>
                      <w:proofErr w:type="spellEnd"/>
                      <w:r w:rsidRPr="00721555">
                        <w:t xml:space="preserve"> prophylaxis</w:t>
                      </w:r>
                      <w:r>
                        <w:t xml:space="preserve"> (PrEP) implementation, 2) the </w:t>
                      </w:r>
                      <w:r w:rsidRPr="005E7182">
                        <w:t>perceived role</w:t>
                      </w:r>
                      <w:r>
                        <w:t xml:space="preserve"> that LHDs have in PrEP implementation, and 3) the resource and support needs for potential future engagement in </w:t>
                      </w:r>
                      <w:proofErr w:type="spellStart"/>
                      <w:r>
                        <w:t>PrEP.</w:t>
                      </w:r>
                      <w:proofErr w:type="spellEnd"/>
                      <w:r>
                        <w:t xml:space="preserve"> </w:t>
                      </w:r>
                    </w:p>
                    <w:p w14:paraId="3DCA27F1" w14:textId="48133F83" w:rsidR="0005052F" w:rsidRDefault="0005052F" w:rsidP="0091009B">
                      <w:pPr>
                        <w:pStyle w:val="ListParagraph"/>
                        <w:numPr>
                          <w:ilvl w:val="0"/>
                          <w:numId w:val="34"/>
                        </w:numPr>
                        <w:tabs>
                          <w:tab w:val="clear" w:pos="9360"/>
                        </w:tabs>
                        <w:spacing w:after="200"/>
                      </w:pPr>
                      <w:r w:rsidRPr="0005052F">
                        <w:rPr>
                          <w:b/>
                        </w:rPr>
                        <w:t>Intended use of the resulting information:</w:t>
                      </w:r>
                      <w:r>
                        <w:t xml:space="preserve"> Inform CDC’s activities to support the roles of LHDs in PrEP implementation to help achieve maximal impact in reducing new </w:t>
                      </w:r>
                      <w:r w:rsidR="0091009B" w:rsidRPr="0091009B">
                        <w:t>human immunodeficiency virus (HIV)</w:t>
                      </w:r>
                      <w:r>
                        <w:t xml:space="preserve"> infections.</w:t>
                      </w:r>
                    </w:p>
                    <w:p w14:paraId="11B02EAA" w14:textId="0E43DD4F" w:rsidR="0005052F" w:rsidRDefault="0005052F" w:rsidP="00176821">
                      <w:pPr>
                        <w:pStyle w:val="ListParagraph"/>
                        <w:numPr>
                          <w:ilvl w:val="0"/>
                          <w:numId w:val="34"/>
                        </w:numPr>
                      </w:pPr>
                      <w:r w:rsidRPr="0005052F">
                        <w:rPr>
                          <w:b/>
                        </w:rPr>
                        <w:t>Methods to be used to collect information:</w:t>
                      </w:r>
                      <w:r>
                        <w:t xml:space="preserve"> Data will be collected using a web-based assessment tool. </w:t>
                      </w:r>
                    </w:p>
                    <w:p w14:paraId="383BB4F0" w14:textId="4813B69C" w:rsidR="0005052F" w:rsidRPr="005E7182" w:rsidRDefault="0005052F" w:rsidP="0091009B">
                      <w:pPr>
                        <w:pStyle w:val="ListParagraph"/>
                        <w:numPr>
                          <w:ilvl w:val="0"/>
                          <w:numId w:val="34"/>
                        </w:numPr>
                        <w:tabs>
                          <w:tab w:val="clear" w:pos="9360"/>
                        </w:tabs>
                        <w:spacing w:after="200"/>
                      </w:pPr>
                      <w:r w:rsidRPr="0005052F">
                        <w:rPr>
                          <w:b/>
                        </w:rPr>
                        <w:t>The subpopulation to be studied:</w:t>
                      </w:r>
                      <w:r>
                        <w:t xml:space="preserve"> 500 HIV/</w:t>
                      </w:r>
                      <w:r w:rsidR="0091009B" w:rsidRPr="0091009B">
                        <w:t xml:space="preserve"> sexually transmitted</w:t>
                      </w:r>
                      <w:r w:rsidR="0091009B">
                        <w:t xml:space="preserve"> infections (</w:t>
                      </w:r>
                      <w:r>
                        <w:t>STI</w:t>
                      </w:r>
                      <w:r w:rsidR="0091009B">
                        <w:t>)</w:t>
                      </w:r>
                      <w:r>
                        <w:t xml:space="preserve"> program managers </w:t>
                      </w:r>
                      <w:r w:rsidRPr="005E7182">
                        <w:t>located within 500 city/county LHDs</w:t>
                      </w:r>
                      <w:r>
                        <w:t>,</w:t>
                      </w:r>
                      <w:r w:rsidRPr="005E7182">
                        <w:t xml:space="preserve"> across 47 states and the District of Columbia</w:t>
                      </w:r>
                      <w:r>
                        <w:t>.</w:t>
                      </w:r>
                      <w:r w:rsidRPr="005E7182">
                        <w:t xml:space="preserve"> </w:t>
                      </w:r>
                    </w:p>
                    <w:p w14:paraId="02882E36" w14:textId="0C748D56" w:rsidR="0005052F" w:rsidRDefault="0005052F" w:rsidP="00856FD9">
                      <w:pPr>
                        <w:pStyle w:val="ListParagraph"/>
                        <w:numPr>
                          <w:ilvl w:val="0"/>
                          <w:numId w:val="34"/>
                        </w:numPr>
                        <w:tabs>
                          <w:tab w:val="clear" w:pos="9360"/>
                        </w:tabs>
                        <w:spacing w:after="200"/>
                      </w:pPr>
                      <w:r w:rsidRPr="0005052F">
                        <w:rPr>
                          <w:b/>
                        </w:rPr>
                        <w:t>How information will be analyzed:</w:t>
                      </w:r>
                      <w:r>
                        <w:t xml:space="preserve"> </w:t>
                      </w:r>
                      <w:r w:rsidRPr="00721555">
                        <w:t xml:space="preserve">Descriptive statistics such as frequency, percentage, and mean/median will be conducted for all participants and/or subgroups. </w:t>
                      </w:r>
                      <w:r>
                        <w:t xml:space="preserve">Multivariable analysis methods (e.g., logistic regression) will be applied to assess correlates of current and planned engagement in PrEP implementation. </w:t>
                      </w:r>
                    </w:p>
                  </w:txbxContent>
                </v:textbox>
                <w10:wrap type="topAndBottom"/>
              </v:shape>
            </w:pict>
          </mc:Fallback>
        </mc:AlternateContent>
      </w:r>
      <w:bookmarkEnd w:id="3"/>
    </w:p>
    <w:p w14:paraId="005B1FD5" w14:textId="637C89AB" w:rsidR="00CD1EA8" w:rsidRPr="007D6163" w:rsidRDefault="00CD1EA8" w:rsidP="00CA5840">
      <w:pPr>
        <w:pStyle w:val="Heading3"/>
        <w:ind w:left="0"/>
      </w:pPr>
      <w:bookmarkStart w:id="4" w:name="_Toc418593130"/>
      <w:bookmarkStart w:id="5" w:name="_Toc421540875"/>
      <w:bookmarkEnd w:id="4"/>
      <w:r w:rsidRPr="007D6163">
        <w:t xml:space="preserve">Section </w:t>
      </w:r>
      <w:proofErr w:type="gramStart"/>
      <w:r w:rsidRPr="007D6163">
        <w:t>A</w:t>
      </w:r>
      <w:proofErr w:type="gramEnd"/>
      <w:r w:rsidR="00B12F51" w:rsidRPr="007D6163">
        <w:t xml:space="preserve"> – Justification</w:t>
      </w:r>
      <w:bookmarkEnd w:id="5"/>
    </w:p>
    <w:p w14:paraId="42E0DD95" w14:textId="77777777" w:rsidR="00B12F51" w:rsidRDefault="00B12F51" w:rsidP="007D6163"/>
    <w:p w14:paraId="47A1879A" w14:textId="0DA0C5F1" w:rsidR="00CD1EA8" w:rsidRPr="007D6163" w:rsidRDefault="00B12F51" w:rsidP="00692DEB">
      <w:pPr>
        <w:pStyle w:val="Heading4"/>
      </w:pPr>
      <w:bookmarkStart w:id="6" w:name="_Toc421540876"/>
      <w:r w:rsidRPr="00692DEB">
        <w:t>Circumstances</w:t>
      </w:r>
      <w:r w:rsidRPr="007D6163">
        <w:t xml:space="preserve"> Making the Collection of Information </w:t>
      </w:r>
      <w:r w:rsidRPr="00692DEB">
        <w:t>Necessary</w:t>
      </w:r>
      <w:bookmarkEnd w:id="6"/>
    </w:p>
    <w:p w14:paraId="1ADC0B72" w14:textId="77777777" w:rsidR="00E33E1B" w:rsidRPr="007D6163" w:rsidRDefault="00E33E1B" w:rsidP="00692DEB">
      <w:pPr>
        <w:pStyle w:val="Heading5"/>
        <w:spacing w:after="120"/>
        <w:ind w:left="0"/>
      </w:pPr>
      <w:r w:rsidRPr="007D6163">
        <w:t>Background</w:t>
      </w:r>
    </w:p>
    <w:p w14:paraId="01ACFAEE" w14:textId="52834874" w:rsidR="00A34525" w:rsidRPr="004C5D15" w:rsidRDefault="00A34525" w:rsidP="00A34525">
      <w:pPr>
        <w:ind w:left="0"/>
      </w:pPr>
      <w:r>
        <w:t xml:space="preserve">This information collection is being conducted using the Generic Information Collection mechanism of the OSTLTS OMB Clearance Center (O2C2) – OMB No. 0920-0879. The respondent universe for this information collection aligns with that of the O2C2. </w:t>
      </w:r>
      <w:r w:rsidRPr="00711BFA">
        <w:t>Data will be collected from</w:t>
      </w:r>
      <w:r>
        <w:t xml:space="preserve"> 500 HIV/STI program managers in </w:t>
      </w:r>
      <w:r w:rsidR="005E7182">
        <w:t>500</w:t>
      </w:r>
      <w:r>
        <w:t xml:space="preserve"> city/county health departments across</w:t>
      </w:r>
      <w:r w:rsidRPr="001E7537">
        <w:t xml:space="preserve"> </w:t>
      </w:r>
      <w:r w:rsidR="005E7182">
        <w:t xml:space="preserve">47 </w:t>
      </w:r>
      <w:r>
        <w:t xml:space="preserve">states in </w:t>
      </w:r>
      <w:r w:rsidRPr="00205EA5">
        <w:t>the US</w:t>
      </w:r>
      <w:r>
        <w:rPr>
          <w:color w:val="0070C0"/>
        </w:rPr>
        <w:t xml:space="preserve"> </w:t>
      </w:r>
      <w:r w:rsidR="005E7182" w:rsidRPr="004C5D15">
        <w:t xml:space="preserve">and the District of Columbia </w:t>
      </w:r>
      <w:r w:rsidRPr="004C5D15">
        <w:t>acting in their official capacities</w:t>
      </w:r>
      <w:r w:rsidR="00905EA4">
        <w:t xml:space="preserve"> </w:t>
      </w:r>
      <w:r w:rsidR="00905EA4" w:rsidRPr="005E7182">
        <w:t>(see Attachment A)</w:t>
      </w:r>
      <w:r w:rsidRPr="004C5D15">
        <w:t>.</w:t>
      </w:r>
    </w:p>
    <w:p w14:paraId="642324FF" w14:textId="77777777" w:rsidR="00A34525" w:rsidRPr="004C5D15" w:rsidRDefault="00A34525" w:rsidP="00A34525"/>
    <w:p w14:paraId="743296F6" w14:textId="14B1FAF0" w:rsidR="000076F0" w:rsidRPr="00721555" w:rsidRDefault="00205618" w:rsidP="00205618">
      <w:pPr>
        <w:ind w:left="0"/>
      </w:pPr>
      <w:r>
        <w:t xml:space="preserve">The </w:t>
      </w:r>
      <w:r w:rsidR="005C233C">
        <w:t xml:space="preserve">estimated </w:t>
      </w:r>
      <w:r>
        <w:t>n</w:t>
      </w:r>
      <w:r w:rsidR="00A62B42">
        <w:t>u</w:t>
      </w:r>
      <w:r>
        <w:t xml:space="preserve">mber </w:t>
      </w:r>
      <w:r w:rsidR="00A62B42">
        <w:t xml:space="preserve">of </w:t>
      </w:r>
      <w:r>
        <w:t>ne</w:t>
      </w:r>
      <w:r w:rsidR="005C233C">
        <w:t>w HIV infections has</w:t>
      </w:r>
      <w:r>
        <w:t xml:space="preserve"> not declined in the US in more than 15 years, remaining at about 50,000 per year</w:t>
      </w:r>
      <w:hyperlink w:anchor="_ENREF_1" w:tooltip="Prejean, 2011 #2" w:history="1">
        <w:r w:rsidR="0090596F">
          <w:fldChar w:fldCharType="begin"/>
        </w:r>
        <w:r w:rsidR="0090596F">
          <w:instrText xml:space="preserve"> ADDIN EN.CITE &lt;EndNote&gt;&lt;Cite&gt;&lt;Author&gt;Prejean&lt;/Author&gt;&lt;Year&gt;2011&lt;/Year&gt;&lt;RecNum&gt;2&lt;/RecNum&gt;&lt;DisplayText&gt;&lt;style face="superscript"&gt;1&lt;/style&gt;&lt;/DisplayText&gt;&lt;record&gt;&lt;rec-number&gt;2&lt;/rec-number&gt;&lt;foreign-keys&gt;&lt;key app="EN" db-id="padf92x0lzftfxew9ecx222itf00rw0sv29w" timestamp="1429817817"&gt;2&lt;/key&gt;&lt;/foreign-keys&gt;&lt;ref-type name="Journal Article"&gt;17&lt;/ref-type&gt;&lt;contributors&gt;&lt;authors&gt;&lt;author&gt;Prejean, J.&lt;/author&gt;&lt;author&gt;Song, R.&lt;/author&gt;&lt;author&gt;Hernandez, A.&lt;/author&gt;&lt;author&gt;Ziebell, R.&lt;/author&gt;&lt;author&gt;Green, T.&lt;/author&gt;&lt;author&gt;Walker, F.&lt;/author&gt;&lt;author&gt;Lin, L. S.&lt;/author&gt;&lt;author&gt;An, Q.&lt;/author&gt;&lt;author&gt;Mermin, J.&lt;/author&gt;&lt;author&gt;Lansky, A.&lt;/author&gt;&lt;author&gt;Hall, H. I.&lt;/author&gt;&lt;author&gt;H. I. V. Incidence Surveillance Group&lt;/author&gt;&lt;/authors&gt;&lt;/contributors&gt;&lt;auth-address&gt;Division of HIV/AIDS Prevention, National Center for HIV, Viral Hepatitis, STD and TB Prevention, Centers for Disease Control and Prevention, Atlanta, Georgia, United States of America. nzp1@cdc.gov&lt;/auth-address&gt;&lt;titles&gt;&lt;title&gt;Estimated HIV incidence in the United States, 2006-2009&lt;/title&gt;&lt;secondary-title&gt;PLoS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17502&lt;/pages&gt;&lt;volume&gt;6&lt;/volume&gt;&lt;number&gt;8&lt;/number&gt;&lt;keywords&gt;&lt;keyword&gt;Adolescent&lt;/keyword&gt;&lt;keyword&gt;Adult&lt;/keyword&gt;&lt;keyword&gt;Female&lt;/keyword&gt;&lt;keyword&gt;HIV Infections/*epidemiology&lt;/keyword&gt;&lt;keyword&gt;Humans&lt;/keyword&gt;&lt;keyword&gt;Incidence&lt;/keyword&gt;&lt;keyword&gt;Male&lt;/keyword&gt;&lt;keyword&gt;Middle Aged&lt;/keyword&gt;&lt;keyword&gt;United States/epidemiology&lt;/keyword&gt;&lt;keyword&gt;Young Adult&lt;/keyword&gt;&lt;/keywords&gt;&lt;dates&gt;&lt;year&gt;2011&lt;/year&gt;&lt;/dates&gt;&lt;isbn&gt;1932-6203 (Electronic)&amp;#xD;1932-6203 (Linking)&lt;/isbn&gt;&lt;accession-num&gt;21826193&lt;/accession-num&gt;&lt;urls&gt;&lt;related-urls&gt;&lt;url&gt;http://www.ncbi.nlm.nih.gov/pubmed/21826193&lt;/url&gt;&lt;/related-urls&gt;&lt;/urls&gt;&lt;custom2&gt;3149556&lt;/custom2&gt;&lt;electronic-resource-num&gt;10.1371/journal.pone.0017502&lt;/electronic-resource-num&gt;&lt;/record&gt;&lt;/Cite&gt;&lt;/EndNote&gt;</w:instrText>
        </w:r>
        <w:r w:rsidR="0090596F">
          <w:fldChar w:fldCharType="separate"/>
        </w:r>
        <w:r w:rsidR="0090596F" w:rsidRPr="005C233C">
          <w:rPr>
            <w:noProof/>
            <w:vertAlign w:val="superscript"/>
          </w:rPr>
          <w:t>1</w:t>
        </w:r>
        <w:r w:rsidR="0090596F">
          <w:fldChar w:fldCharType="end"/>
        </w:r>
      </w:hyperlink>
      <w:r>
        <w:t xml:space="preserve">. </w:t>
      </w:r>
      <w:r w:rsidR="001B2280">
        <w:t xml:space="preserve"> In specific subgroups, new infections are increasing, including young men who have sex with men nationally</w:t>
      </w:r>
      <w:hyperlink w:anchor="_ENREF_2" w:tooltip="Centers for Disease Control and Prevention, 2015 #1" w:history="1">
        <w:r w:rsidR="0090596F">
          <w:fldChar w:fldCharType="begin"/>
        </w:r>
        <w:r w:rsidR="0090596F">
          <w:instrText xml:space="preserve"> ADDIN EN.CITE &lt;EndNote&gt;&lt;Cite&gt;&lt;Author&gt;Centers for Disease Control and Prevention&lt;/Author&gt;&lt;Year&gt;2015&lt;/Year&gt;&lt;RecNum&gt;1&lt;/RecNum&gt;&lt;DisplayText&gt;&lt;style face="superscript"&gt;2&lt;/style&gt;&lt;/DisplayText&gt;&lt;record&gt;&lt;rec-number&gt;1&lt;/rec-number&gt;&lt;foreign-keys&gt;&lt;key app="EN" db-id="padf92x0lzftfxew9ecx222itf00rw0sv29w" timestamp="1429817578"&gt;1&lt;/key&gt;&lt;/foreign-keys&gt;&lt;ref-type name="Electronic Article"&gt;43&lt;/ref-type&gt;&lt;contributors&gt;&lt;authors&gt;&lt;author&gt;Centers for Disease Control and Prevention,&lt;/author&gt;&lt;/authors&gt;&lt;/contributors&gt;&lt;titles&gt;&lt;title&gt;Diagnoses of HIV Infection in the United States and Dependent Areas, 2013&lt;/title&gt;&lt;secondary-title&gt;HIV Surveillance Reports&lt;/secondary-title&gt;&lt;/titles&gt;&lt;periodical&gt;&lt;full-title&gt;HIV Surveillance Reports&lt;/full-title&gt;&lt;/periodical&gt;&lt;volume&gt;25&lt;/volume&gt;&lt;dates&gt;&lt;year&gt;2015&lt;/year&gt;&lt;pub-dates&gt;&lt;date&gt;22 April 2015&lt;/date&gt;&lt;/pub-dates&gt;&lt;/dates&gt;&lt;urls&gt;&lt;related-urls&gt;&lt;url&gt;http://www.cdc.gov/hiv/library/reports/surveillance/2013/surveillance_Report_vol_25.html&lt;/url&gt;&lt;/related-urls&gt;&lt;/urls&gt;&lt;/record&gt;&lt;/Cite&gt;&lt;/EndNote&gt;</w:instrText>
        </w:r>
        <w:r w:rsidR="0090596F">
          <w:fldChar w:fldCharType="separate"/>
        </w:r>
        <w:r w:rsidR="0090596F" w:rsidRPr="005C233C">
          <w:rPr>
            <w:noProof/>
            <w:vertAlign w:val="superscript"/>
          </w:rPr>
          <w:t>2</w:t>
        </w:r>
        <w:r w:rsidR="0090596F">
          <w:fldChar w:fldCharType="end"/>
        </w:r>
      </w:hyperlink>
      <w:r w:rsidR="001B2280">
        <w:t>, and in local communities among injection drug users</w:t>
      </w:r>
      <w:hyperlink w:anchor="_ENREF_3" w:tooltip="Conrad C, 2015 #4" w:history="1">
        <w:r w:rsidR="0090596F">
          <w:fldChar w:fldCharType="begin"/>
        </w:r>
        <w:r w:rsidR="0090596F">
          <w:instrText xml:space="preserve"> ADDIN EN.CITE &lt;EndNote&gt;&lt;Cite&gt;&lt;Author&gt;Conrad C&lt;/Author&gt;&lt;Year&gt;2015&lt;/Year&gt;&lt;RecNum&gt;4&lt;/RecNum&gt;&lt;DisplayText&gt;&lt;style face="superscript"&gt;3&lt;/style&gt;&lt;/DisplayText&gt;&lt;record&gt;&lt;rec-number&gt;4&lt;/rec-number&gt;&lt;foreign-keys&gt;&lt;key app="EN" db-id="padf92x0lzftfxew9ecx222itf00rw0sv29w" timestamp="1429818454"&gt;4&lt;/key&gt;&lt;/foreign-keys&gt;&lt;ref-type name="Electronic Article"&gt;43&lt;/ref-type&gt;&lt;contributors&gt;&lt;authors&gt;&lt;author&gt;Conrad C, &lt;/author&gt;&lt;author&gt;Bradlery HM, &lt;/author&gt;&lt;author&gt;Broz D, &lt;/author&gt;&lt;author&gt;Buddha S, &lt;/author&gt;&lt;author&gt;Chapman EL,&lt;/author&gt;&lt;author&gt; Galang RR,&lt;/author&gt;&lt;author&gt; Hillman D,&lt;/author&gt;&lt;author&gt; Hon J,&lt;/author&gt;&lt;author&gt; Hoover KW,&lt;/author&gt;&lt;author&gt; Patel MR,&lt;/author&gt;&lt;author&gt; Perez A,&lt;/author&gt;&lt;author&gt; Peters PJ,&lt;/author&gt;&lt;author&gt; Pontones P,&lt;/author&gt;&lt;author&gt; Roseberry JC,&lt;/author&gt;&lt;author&gt; Sandoval M,&lt;/author&gt;&lt;author&gt; Shields J,&lt;/author&gt;&lt;author&gt; Walthall J,&lt;/author&gt;&lt;author&gt; Waterhouse D,&lt;/author&gt;&lt;author&gt; Weidle PJ,&lt;/author&gt;&lt;author&gt; Wu H,&lt;/author&gt;&lt;author&gt; Duwve JM,&lt;/author&gt;&lt;/authors&gt;&lt;/contributors&gt;&lt;titles&gt;&lt;title&gt;Community Outbreak of HIV Infection Linked to Injection Drug Use of Oxymorphone — Indiana, 2015&lt;/title&gt;&lt;secondary-title&gt;Morbidity and Mortality Weekly Report&lt;/secondary-title&gt;&lt;/titles&gt;&lt;periodical&gt;&lt;full-title&gt;Morbidity and Mortality Weekly Report&lt;/full-title&gt;&lt;/periodical&gt;&lt;volume&gt;64&lt;/volume&gt;&lt;number&gt;Early Release&lt;/number&gt;&lt;dates&gt;&lt;year&gt;2015&lt;/year&gt;&lt;pub-dates&gt;&lt;date&gt;24 April 2015&lt;/date&gt;&lt;/pub-dates&gt;&lt;/dates&gt;&lt;urls&gt;&lt;related-urls&gt;&lt;url&gt;http://www.cdc.gov/mmwr/early_release.html&lt;/url&gt;&lt;/related-urls&gt;&lt;/urls&gt;&lt;/record&gt;&lt;/Cite&gt;&lt;/EndNote&gt;</w:instrText>
        </w:r>
        <w:r w:rsidR="0090596F">
          <w:fldChar w:fldCharType="separate"/>
        </w:r>
        <w:r w:rsidR="0090596F" w:rsidRPr="00034B35">
          <w:rPr>
            <w:noProof/>
            <w:vertAlign w:val="superscript"/>
          </w:rPr>
          <w:t>3</w:t>
        </w:r>
        <w:r w:rsidR="0090596F">
          <w:fldChar w:fldCharType="end"/>
        </w:r>
      </w:hyperlink>
      <w:r w:rsidR="001B2280">
        <w:t xml:space="preserve"> and heterosexuals</w:t>
      </w:r>
      <w:r w:rsidR="00B7541B">
        <w:t xml:space="preserve"> demonstrating a need for additional effective HIV prevention methods</w:t>
      </w:r>
      <w:r w:rsidR="001B2280">
        <w:t xml:space="preserve">. </w:t>
      </w:r>
      <w:proofErr w:type="spellStart"/>
      <w:r>
        <w:t>Pre</w:t>
      </w:r>
      <w:r w:rsidR="000076F0" w:rsidRPr="00721555">
        <w:t>exposure</w:t>
      </w:r>
      <w:proofErr w:type="spellEnd"/>
      <w:r w:rsidR="000076F0" w:rsidRPr="00721555">
        <w:t xml:space="preserve"> prophylaxis (PrEP</w:t>
      </w:r>
      <w:r>
        <w:t xml:space="preserve">) is a new and highly effective </w:t>
      </w:r>
      <w:r w:rsidR="000076F0" w:rsidRPr="00721555">
        <w:t xml:space="preserve">HIV prevention </w:t>
      </w:r>
      <w:r>
        <w:t>method</w:t>
      </w:r>
      <w:r w:rsidR="000076F0" w:rsidRPr="00721555">
        <w:t xml:space="preserve"> that involves the </w:t>
      </w:r>
      <w:r>
        <w:t xml:space="preserve">daily oral </w:t>
      </w:r>
      <w:r w:rsidR="000076F0" w:rsidRPr="00721555">
        <w:t xml:space="preserve">use of </w:t>
      </w:r>
      <w:r>
        <w:t xml:space="preserve">specific </w:t>
      </w:r>
      <w:r w:rsidR="000076F0" w:rsidRPr="00721555">
        <w:t xml:space="preserve">antiretroviral medications by HIV-negative individuals to reduce their risk of HIV infection. </w:t>
      </w:r>
      <w:r w:rsidR="00B7541B">
        <w:t>In clinical trials</w:t>
      </w:r>
      <w:hyperlink w:anchor="_ENREF_4" w:tooltip="Grant, 2010 #10" w:history="1">
        <w:r w:rsidR="0090596F">
          <w:fldChar w:fldCharType="begin">
            <w:fldData xml:space="preserve">PEVuZE5vdGU+PENpdGU+PEF1dGhvcj5HcmFudDwvQXV0aG9yPjxZZWFyPjIwMTA8L1llYXI+PFJl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</w:fldData>
          </w:fldChar>
        </w:r>
        <w:r w:rsidR="0090596F">
          <w:instrText xml:space="preserve"> ADDIN EN.CITE </w:instrText>
        </w:r>
        <w:r w:rsidR="0090596F">
          <w:fldChar w:fldCharType="begin">
            <w:fldData xml:space="preserve">PEVuZE5vdGU+PENpdGU+PEF1dGhvcj5HcmFudDwvQXV0aG9yPjxZZWFyPjIwMTA8L1llYXI+PFJl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</w:fldData>
          </w:fldChar>
        </w:r>
        <w:r w:rsidR="0090596F">
          <w:instrText xml:space="preserve"> ADDIN EN.CITE.DATA </w:instrText>
        </w:r>
        <w:r w:rsidR="0090596F">
          <w:fldChar w:fldCharType="end"/>
        </w:r>
        <w:r w:rsidR="0090596F">
          <w:fldChar w:fldCharType="separate"/>
        </w:r>
        <w:r w:rsidR="0090596F" w:rsidRPr="006210C5">
          <w:rPr>
            <w:noProof/>
            <w:vertAlign w:val="superscript"/>
          </w:rPr>
          <w:t>4-7</w:t>
        </w:r>
        <w:r w:rsidR="0090596F">
          <w:fldChar w:fldCharType="end"/>
        </w:r>
      </w:hyperlink>
      <w:r w:rsidR="00B7541B">
        <w:t xml:space="preserve"> and open-label studies</w:t>
      </w:r>
      <w:hyperlink w:anchor="_ENREF_8" w:tooltip="Grant, 2014 #14" w:history="1">
        <w:r w:rsidR="0090596F">
          <w:fldChar w:fldCharType="begin"/>
        </w:r>
        <w:r w:rsidR="0090596F">
          <w:instrText xml:space="preserve"> ADDIN EN.CITE &lt;EndNote&gt;&lt;Cite&gt;&lt;Author&gt;Grant&lt;/Author&gt;&lt;Year&gt;2014&lt;/Year&gt;&lt;RecNum&gt;14&lt;/RecNum&gt;&lt;DisplayText&gt;&lt;style face="superscript"&gt;8&lt;/style&gt;&lt;/DisplayText&gt;&lt;record&gt;&lt;rec-number&gt;14&lt;/rec-number&gt;&lt;foreign-keys&gt;&lt;key app="EN" db-id="ezexpe0ses2s5feafwuxpst7ssr9ttapdwdw" timestamp="1422907277"&gt;14&lt;/key&gt;&lt;/foreign-keys&gt;&lt;ref-type name="Journal Article"&gt;17&lt;/ref-type&gt;&lt;contributors&gt;&lt;authors&gt;&lt;author&gt;Grant, Robert M&lt;/author&gt;&lt;author&gt;Anderson, Peter L&lt;/author&gt;&lt;author&gt;McMahan, Vanessa&lt;/author&gt;&lt;author&gt;Liu, Albert&lt;/author&gt;&lt;author&gt;Amico, K Rivet&lt;/author&gt;&lt;author&gt;Mehrotra, Megha&lt;/author&gt;&lt;author&gt;Hosek, Sybil&lt;/author&gt;&lt;author&gt;Mosquera, Carlos&lt;/author&gt;&lt;author&gt;Casapia, Martin&lt;/author&gt;&lt;author&gt;Montoya, Orlando&lt;/author&gt;&lt;/authors&gt;&lt;/contributors&gt;&lt;titles&gt;&lt;title&gt;Uptake of pre-exposure prophylaxis, sexual practices, and HIV incidence in men and transgender women who have sex with men: a cohort study&lt;/title&gt;&lt;secondary-title&gt;The Lancet Infectious Diseases&lt;/secondary-title&gt;&lt;/titles&gt;&lt;periodical&gt;&lt;full-title&gt;The Lancet Infectious Diseases&lt;/full-title&gt;&lt;/periodical&gt;&lt;pages&gt;820-829&lt;/pages&gt;&lt;volume&gt;14&lt;/volume&gt;&lt;number&gt;9&lt;/number&gt;&lt;dates&gt;&lt;year&gt;2014&lt;/year&gt;&lt;/dates&gt;&lt;isbn&gt;1473-3099&lt;/isbn&gt;&lt;urls&gt;&lt;/urls&gt;&lt;/record&gt;&lt;/Cite&gt;&lt;/EndNote&gt;</w:instrText>
        </w:r>
        <w:r w:rsidR="0090596F">
          <w:fldChar w:fldCharType="separate"/>
        </w:r>
        <w:r w:rsidR="0090596F" w:rsidRPr="006210C5">
          <w:rPr>
            <w:noProof/>
            <w:vertAlign w:val="superscript"/>
          </w:rPr>
          <w:t>8</w:t>
        </w:r>
        <w:r w:rsidR="0090596F">
          <w:fldChar w:fldCharType="end"/>
        </w:r>
      </w:hyperlink>
      <w:r w:rsidR="00B7541B">
        <w:t xml:space="preserve"> conducted by CDC, </w:t>
      </w:r>
      <w:r w:rsidR="00194F7D">
        <w:t>the National Institutes of Health</w:t>
      </w:r>
      <w:r w:rsidR="00B7541B">
        <w:t>, and research foundations, f</w:t>
      </w:r>
      <w:r w:rsidR="001B2280">
        <w:t>or both sexual and injection</w:t>
      </w:r>
      <w:r w:rsidR="006210C5">
        <w:t xml:space="preserve"> exposures</w:t>
      </w:r>
      <w:r w:rsidR="001B2280">
        <w:t xml:space="preserve">, adherence to daily dosing reduces the risk of acquiring HIV infection by more than 90%. </w:t>
      </w:r>
      <w:r>
        <w:t>T</w:t>
      </w:r>
      <w:r w:rsidR="000076F0" w:rsidRPr="00721555">
        <w:t xml:space="preserve">he U.S. Food and Drug Administration </w:t>
      </w:r>
      <w:r>
        <w:t xml:space="preserve">approved PrEP as an indicated use for the fixed-dose combination of </w:t>
      </w:r>
      <w:proofErr w:type="spellStart"/>
      <w:r w:rsidRPr="00721555">
        <w:t>tenofovir</w:t>
      </w:r>
      <w:proofErr w:type="spellEnd"/>
      <w:r w:rsidRPr="00721555">
        <w:t xml:space="preserve"> </w:t>
      </w:r>
      <w:proofErr w:type="spellStart"/>
      <w:r w:rsidRPr="00721555">
        <w:t>disoproxil</w:t>
      </w:r>
      <w:proofErr w:type="spellEnd"/>
      <w:r w:rsidRPr="00721555">
        <w:t xml:space="preserve"> </w:t>
      </w:r>
      <w:proofErr w:type="spellStart"/>
      <w:r w:rsidRPr="00721555">
        <w:t>fumarate</w:t>
      </w:r>
      <w:proofErr w:type="spellEnd"/>
      <w:r w:rsidRPr="00721555">
        <w:t xml:space="preserve"> </w:t>
      </w:r>
      <w:r>
        <w:t xml:space="preserve">and </w:t>
      </w:r>
      <w:proofErr w:type="spellStart"/>
      <w:r>
        <w:t>emtricitabine</w:t>
      </w:r>
      <w:proofErr w:type="spellEnd"/>
      <w:r w:rsidRPr="00721555">
        <w:t xml:space="preserve"> </w:t>
      </w:r>
      <w:r>
        <w:t>(</w:t>
      </w:r>
      <w:r w:rsidRPr="00721555">
        <w:t xml:space="preserve">brand name </w:t>
      </w:r>
      <w:proofErr w:type="spellStart"/>
      <w:r w:rsidRPr="00721555">
        <w:t>Tr</w:t>
      </w:r>
      <w:r>
        <w:t>uvada</w:t>
      </w:r>
      <w:proofErr w:type="spellEnd"/>
      <w:r w:rsidR="003F48F4">
        <w:t>)</w:t>
      </w:r>
      <w:r>
        <w:t xml:space="preserve"> in</w:t>
      </w:r>
      <w:r w:rsidR="000076F0" w:rsidRPr="00721555">
        <w:t xml:space="preserve"> July 2012</w:t>
      </w:r>
      <w:r>
        <w:t>.</w:t>
      </w:r>
      <w:hyperlink w:anchor="_ENREF_9" w:tooltip="Food and Drug Administration, 2012 #204" w:history="1">
        <w:r w:rsidR="0090596F">
          <w:fldChar w:fldCharType="begin"/>
        </w:r>
        <w:r w:rsidR="0090596F">
          <w:instrText xml:space="preserve"> ADDIN EN.CITE &lt;EndNote&gt;&lt;Cite&gt;&lt;Author&gt;Food and Drug Administration&lt;/Author&gt;&lt;Year&gt;2012&lt;/Year&gt;&lt;RecNum&gt;204&lt;/RecNum&gt;&lt;DisplayText&gt;&lt;style face="superscript"&gt;9&lt;/style&gt;&lt;/DisplayText&gt;&lt;record&gt;&lt;rec-number&gt;204&lt;/rec-number&gt;&lt;foreign-keys&gt;&lt;key app="EN" db-id="sp2zv9xfyvs5aeeparxva2eoze2ff55sz900" timestamp="1376360911"&gt;204&lt;/key&gt;&lt;/foreign-keys&gt;&lt;ref-type name="Web Page"&gt;12&lt;/ref-type&gt;&lt;contributors&gt;&lt;authors&gt;&lt;author&gt;Food and Drug Administration,&lt;/author&gt;&lt;/authors&gt;&lt;/contributors&gt;&lt;titles&gt;&lt;title&gt;Truvada approved to reduce the risk of sexually transmitted HIV in people who are not infected with the virus&lt;/title&gt;&lt;/titles&gt;&lt;number&gt;6 August 2012&lt;/number&gt;&lt;dates&gt;&lt;year&gt;2012&lt;/year&gt;&lt;/dates&gt;&lt;urls&gt;&lt;related-urls&gt;&lt;url&gt;http://www.fda.gov/ForConsumers/ByAudience/ForPatientAdvocates/HIVandAIDSActivities/ucm312264.htm&lt;/url&gt;&lt;/related-urls&gt;&lt;/urls&gt;&lt;/record&gt;&lt;/Cite&gt;&lt;/EndNote&gt;</w:instrText>
        </w:r>
        <w:r w:rsidR="0090596F">
          <w:fldChar w:fldCharType="separate"/>
        </w:r>
        <w:r w:rsidR="0090596F" w:rsidRPr="0090596F">
          <w:rPr>
            <w:noProof/>
            <w:vertAlign w:val="superscript"/>
          </w:rPr>
          <w:t>9</w:t>
        </w:r>
        <w:r w:rsidR="0090596F">
          <w:fldChar w:fldCharType="end"/>
        </w:r>
      </w:hyperlink>
      <w:r>
        <w:t xml:space="preserve"> </w:t>
      </w:r>
      <w:r w:rsidR="00B67163">
        <w:t xml:space="preserve">Based on FDA approval and the effectiveness demonstrated in trials and other research in preventing HIV infection, </w:t>
      </w:r>
      <w:r>
        <w:t xml:space="preserve">CDC and the </w:t>
      </w:r>
      <w:r w:rsidR="00194F7D">
        <w:t xml:space="preserve">US Public Health Service </w:t>
      </w:r>
      <w:r>
        <w:t xml:space="preserve">issued the first </w:t>
      </w:r>
      <w:r w:rsidR="000076F0" w:rsidRPr="00721555">
        <w:t xml:space="preserve"> </w:t>
      </w:r>
      <w:r w:rsidRPr="00721555">
        <w:t>comprehensive clinical practice guidelines</w:t>
      </w:r>
      <w:r>
        <w:t xml:space="preserve"> for PrEP use </w:t>
      </w:r>
      <w:r w:rsidR="00B67163">
        <w:t xml:space="preserve">with daily oral </w:t>
      </w:r>
      <w:proofErr w:type="spellStart"/>
      <w:r w:rsidR="00B67163">
        <w:t>Truvada</w:t>
      </w:r>
      <w:proofErr w:type="spellEnd"/>
      <w:r w:rsidR="00B67163">
        <w:t xml:space="preserve"> </w:t>
      </w:r>
      <w:r>
        <w:t>in May 2014</w:t>
      </w:r>
      <w:hyperlink w:anchor="_ENREF_10" w:tooltip="Centers for Disease Control and Prevention; US Public Health Service, 2014 #27" w:history="1">
        <w:r w:rsidR="0090596F">
          <w:fldChar w:fldCharType="begin"/>
        </w:r>
        <w:r w:rsidR="0090596F">
          <w:instrText xml:space="preserve"> ADDIN EN.CITE &lt;EndNote&gt;&lt;Cite&gt;&lt;Author&gt;Centers for Disease Control and Prevention; US Public Health Service&lt;/Author&gt;&lt;Year&gt;2014&lt;/Year&gt;&lt;RecNum&gt;27&lt;/RecNum&gt;&lt;DisplayText&gt;&lt;style face="superscript"&gt;10&lt;/style&gt;&lt;/DisplayText&gt;&lt;record&gt;&lt;rec-number&gt;27&lt;/rec-number&gt;&lt;foreign-keys&gt;&lt;key app="EN" db-id="ezexpe0ses2s5feafwuxpst7ssr9ttapdwdw" timestamp="1422908024"&gt;27&lt;/key&gt;&lt;/foreign-keys&gt;&lt;ref-type name="Electronic Article"&gt;43&lt;/ref-type&gt;&lt;contributors&gt;&lt;authors&gt;&lt;author&gt;Centers for Disease Control and Prevention; US Public Health Service,&lt;/author&gt;&lt;/authors&gt;&lt;/contributors&gt;&lt;titles&gt;&lt;title&gt;Preexposure prophylaxis for the  prevention of HIV infection in the United States - 2014: a clinical practice guideline&lt;/title&gt;&lt;/titles&gt;&lt;pages&gt;1-67&lt;/pages&gt;&lt;section&gt;May 14, 2014&lt;/section&gt;&lt;dates&gt;&lt;year&gt;2014&lt;/year&gt;&lt;pub-dates&gt;&lt;date&gt;28 May 2014&lt;/date&gt;&lt;/pub-dates&gt;&lt;/dates&gt;&lt;urls&gt;&lt;related-urls&gt;&lt;url&gt;http://www.cdc.gov/hiv/pdf/guidelines/PrEPguidelines2014.pdf&lt;/url&gt;&lt;/related-urls&gt;&lt;/urls&gt;&lt;/record&gt;&lt;/Cite&gt;&lt;/EndNote&gt;</w:instrText>
        </w:r>
        <w:r w:rsidR="0090596F">
          <w:fldChar w:fldCharType="separate"/>
        </w:r>
        <w:r w:rsidR="0090596F" w:rsidRPr="0090596F">
          <w:rPr>
            <w:noProof/>
            <w:vertAlign w:val="superscript"/>
          </w:rPr>
          <w:t>10</w:t>
        </w:r>
        <w:r w:rsidR="0090596F">
          <w:fldChar w:fldCharType="end"/>
        </w:r>
      </w:hyperlink>
      <w:r>
        <w:t>.</w:t>
      </w:r>
      <w:r w:rsidR="000076F0" w:rsidRPr="00721555">
        <w:t xml:space="preserve"> </w:t>
      </w:r>
    </w:p>
    <w:p w14:paraId="53D64D69" w14:textId="77777777" w:rsidR="000076F0" w:rsidRPr="00721555" w:rsidRDefault="000076F0" w:rsidP="00205618">
      <w:pPr>
        <w:ind w:left="0"/>
      </w:pPr>
    </w:p>
    <w:p w14:paraId="5F6485B1" w14:textId="16660267" w:rsidR="000076F0" w:rsidRPr="00721555" w:rsidRDefault="000076F0" w:rsidP="00205618">
      <w:pPr>
        <w:ind w:left="0"/>
      </w:pPr>
      <w:r w:rsidRPr="00721555">
        <w:t xml:space="preserve">Communities across the United States are at varying stages of PrEP awareness and implementation, and many local health departments (LHDs) are considering what they could be doing to support PrEP implementation and how to go about doing it. </w:t>
      </w:r>
      <w:r w:rsidR="00034B35">
        <w:t>T</w:t>
      </w:r>
      <w:r w:rsidRPr="00721555">
        <w:t xml:space="preserve">here are a number of potential roles </w:t>
      </w:r>
      <w:r w:rsidR="004E16EC">
        <w:t xml:space="preserve">that </w:t>
      </w:r>
      <w:r w:rsidRPr="00721555">
        <w:t xml:space="preserve">LHDs </w:t>
      </w:r>
      <w:r w:rsidR="00034B35">
        <w:t>could</w:t>
      </w:r>
      <w:r w:rsidRPr="00721555">
        <w:t xml:space="preserve"> play in supporting PrEP delivery</w:t>
      </w:r>
      <w:r w:rsidR="00034B35">
        <w:t xml:space="preserve"> including raising community and provider awareness of PrEP as a supported intervention; working with community partners to identify persons who would benefit from its use and linking them to care sites trained to provide it; and monitoring access, utilization, and its impact on new infection rates. H</w:t>
      </w:r>
      <w:r w:rsidRPr="00721555">
        <w:t>owever more work is needed to identify, define, su</w:t>
      </w:r>
      <w:r w:rsidR="00034B35">
        <w:t xml:space="preserve">pport, and advance these roles. </w:t>
      </w:r>
      <w:r w:rsidRPr="00721555">
        <w:t xml:space="preserve">PrEP is a new HIV prevention </w:t>
      </w:r>
      <w:r w:rsidR="00034B35">
        <w:t>method and</w:t>
      </w:r>
      <w:r w:rsidRPr="00721555">
        <w:t xml:space="preserve"> while the science </w:t>
      </w:r>
      <w:r w:rsidR="00B67163">
        <w:t>from clinical trials and open-label studies</w:t>
      </w:r>
      <w:r w:rsidRPr="00721555">
        <w:t xml:space="preserve"> demonstrate </w:t>
      </w:r>
      <w:r w:rsidR="00034B35">
        <w:t xml:space="preserve">its </w:t>
      </w:r>
      <w:r w:rsidR="00B67163">
        <w:t xml:space="preserve">effectiveness </w:t>
      </w:r>
      <w:r w:rsidR="00034B35">
        <w:t>and potential impact</w:t>
      </w:r>
      <w:r w:rsidRPr="00721555">
        <w:t>, implementation science to guide real world activities is lacking.</w:t>
      </w:r>
    </w:p>
    <w:p w14:paraId="2E69BB42" w14:textId="77777777" w:rsidR="000076F0" w:rsidRPr="00721555" w:rsidRDefault="000076F0" w:rsidP="00205618">
      <w:pPr>
        <w:ind w:left="0"/>
      </w:pPr>
    </w:p>
    <w:p w14:paraId="2941924B" w14:textId="1DF77C77" w:rsidR="000076F0" w:rsidRDefault="000076F0" w:rsidP="00205618">
      <w:pPr>
        <w:ind w:left="0"/>
      </w:pPr>
      <w:r w:rsidRPr="00721555">
        <w:t>Th</w:t>
      </w:r>
      <w:r w:rsidR="005E7182">
        <w:t>e</w:t>
      </w:r>
      <w:r w:rsidR="00A34525">
        <w:t xml:space="preserve"> purpose of this </w:t>
      </w:r>
      <w:r w:rsidRPr="00721555">
        <w:t xml:space="preserve">assessment activity aims to help fill this </w:t>
      </w:r>
      <w:r w:rsidR="00905EA4" w:rsidRPr="00721555">
        <w:t>void assessing</w:t>
      </w:r>
      <w:r w:rsidR="006A0E4F">
        <w:t xml:space="preserve"> 1) LHD’s current HIV/ST</w:t>
      </w:r>
      <w:r w:rsidR="0091009B">
        <w:t>I</w:t>
      </w:r>
      <w:r w:rsidR="006A0E4F">
        <w:t xml:space="preserve"> prevention program structure and services; 2</w:t>
      </w:r>
      <w:r w:rsidR="004E16EC">
        <w:t>) the current level of</w:t>
      </w:r>
      <w:r w:rsidR="004E16EC" w:rsidRPr="004E16EC">
        <w:t xml:space="preserve"> engagement of LHDs in </w:t>
      </w:r>
      <w:r w:rsidR="003350A3">
        <w:t xml:space="preserve">PrEP implementation, </w:t>
      </w:r>
      <w:r w:rsidR="006A0E4F">
        <w:t>3</w:t>
      </w:r>
      <w:r w:rsidR="003350A3">
        <w:t>) the</w:t>
      </w:r>
      <w:r w:rsidR="004E16EC" w:rsidRPr="004E16EC">
        <w:t xml:space="preserve"> perceived </w:t>
      </w:r>
      <w:r w:rsidR="00905EA4" w:rsidRPr="004E16EC">
        <w:t>role that</w:t>
      </w:r>
      <w:r w:rsidR="004E16EC" w:rsidRPr="004E16EC">
        <w:t xml:space="preserve"> LHDs have in PrEP implementation, and </w:t>
      </w:r>
      <w:r w:rsidR="006A0E4F">
        <w:t>4</w:t>
      </w:r>
      <w:r w:rsidR="004E16EC" w:rsidRPr="004E16EC">
        <w:t xml:space="preserve">) the resource and support needs for potential future engagement in </w:t>
      </w:r>
      <w:proofErr w:type="spellStart"/>
      <w:r w:rsidR="004E16EC" w:rsidRPr="004E16EC">
        <w:t>PrEP</w:t>
      </w:r>
      <w:r w:rsidR="00EF469A">
        <w:t>.</w:t>
      </w:r>
      <w:proofErr w:type="spellEnd"/>
      <w:r w:rsidR="004E16EC" w:rsidRPr="004E16EC">
        <w:t xml:space="preserve"> </w:t>
      </w:r>
      <w:r w:rsidRPr="00721555">
        <w:t xml:space="preserve">The findings are critical to identifying opportunities, strategies, and mechanisms for supporting LHDs to incorporate PrEP into their HIV prevention efforts and advancing PrEP implementation. The information collected through this assessment will be used to support and promote LHD engagement in PrEP implementation, as well as overall HIV prevention practice, and to inform </w:t>
      </w:r>
      <w:r w:rsidR="00A34525">
        <w:t xml:space="preserve">our federal and state </w:t>
      </w:r>
      <w:r w:rsidRPr="00721555">
        <w:t>programmatic activities</w:t>
      </w:r>
      <w:r w:rsidR="00A34525">
        <w:t>.</w:t>
      </w:r>
    </w:p>
    <w:p w14:paraId="12466FF9" w14:textId="20DB4CBA" w:rsidR="003754F4" w:rsidRDefault="003754F4" w:rsidP="00205618">
      <w:pPr>
        <w:ind w:left="0"/>
      </w:pPr>
    </w:p>
    <w:p w14:paraId="6DE426ED" w14:textId="08EA6432" w:rsidR="003754F4" w:rsidRPr="00026D5D" w:rsidRDefault="003754F4" w:rsidP="003754F4">
      <w:pPr>
        <w:ind w:left="0"/>
        <w:rPr>
          <w:noProof/>
          <w:vertAlign w:val="superscript"/>
        </w:rPr>
      </w:pPr>
      <w:r>
        <w:t xml:space="preserve">This information collection is authorized by Section 301 of the Public Health Service Act (42 U.S.C. </w:t>
      </w:r>
      <w:r w:rsidRPr="001A28F6">
        <w:t>241).</w:t>
      </w:r>
      <w:r>
        <w:t xml:space="preserve"> </w:t>
      </w:r>
      <w:r>
        <w:rPr>
          <w:iCs/>
        </w:rPr>
        <w:t>This information</w:t>
      </w:r>
      <w:r w:rsidRPr="00E94775">
        <w:rPr>
          <w:iCs/>
        </w:rPr>
        <w:t xml:space="preserve"> collection falls under the essential public health service</w:t>
      </w:r>
      <w:r>
        <w:rPr>
          <w:iCs/>
        </w:rPr>
        <w:t>s</w:t>
      </w:r>
      <w:r w:rsidRPr="00E94775">
        <w:rPr>
          <w:iCs/>
        </w:rPr>
        <w:t xml:space="preserve"> </w:t>
      </w:r>
      <w:r>
        <w:rPr>
          <w:iCs/>
        </w:rPr>
        <w:t>of</w:t>
      </w:r>
      <w:r>
        <w:rPr>
          <w:iCs/>
          <w:color w:val="0070C0"/>
        </w:rPr>
        <w:t xml:space="preserve"> </w:t>
      </w:r>
      <w:r>
        <w:t>d</w:t>
      </w:r>
      <w:r w:rsidRPr="00774689">
        <w:t>evelopment of policies and plans that support individual and community health efforts</w:t>
      </w:r>
      <w:r w:rsidRPr="00026D5D">
        <w:t xml:space="preserve">, and </w:t>
      </w:r>
      <w:r>
        <w:t>l</w:t>
      </w:r>
      <w:r w:rsidRPr="00774689">
        <w:t>inking people to needed personal health services and assure the provision of health care when otherwise unavailable</w:t>
      </w:r>
      <w:r>
        <w:t>.</w:t>
      </w:r>
      <w:r w:rsidR="00236838">
        <w:rPr>
          <w:noProof/>
          <w:vertAlign w:val="superscript"/>
        </w:rPr>
        <w:t>11</w:t>
      </w:r>
    </w:p>
    <w:p w14:paraId="0D91C833" w14:textId="77777777" w:rsidR="008C37DC" w:rsidRPr="00B174BC" w:rsidRDefault="008C37DC" w:rsidP="002A7962">
      <w:pPr>
        <w:tabs>
          <w:tab w:val="left" w:pos="810"/>
        </w:tabs>
        <w:ind w:left="810" w:hanging="540"/>
        <w:rPr>
          <w:rFonts w:cs="Arial"/>
        </w:rPr>
      </w:pPr>
      <w:r w:rsidRPr="00B174BC">
        <w:rPr>
          <w:rFonts w:cs="Arial"/>
        </w:rPr>
        <w:fldChar w:fldCharType="begin">
          <w:ffData>
            <w:name w:val="Check25"/>
            <w:enabled/>
            <w:calcOnExit w:val="0"/>
            <w:checkBox>
              <w:sizeAuto/>
              <w:default w:val="0"/>
            </w:checkBox>
          </w:ffData>
        </w:fldChar>
      </w:r>
      <w:r w:rsidRPr="00B174BC">
        <w:rPr>
          <w:rFonts w:cs="Arial"/>
        </w:rPr>
        <w:instrText xml:space="preserve"> FORMCHECKBOX </w:instrText>
      </w:r>
      <w:r w:rsidR="000E14EE">
        <w:rPr>
          <w:rFonts w:cs="Arial"/>
        </w:rPr>
      </w:r>
      <w:r w:rsidR="000E14EE">
        <w:rPr>
          <w:rFonts w:cs="Arial"/>
        </w:rPr>
        <w:fldChar w:fldCharType="separate"/>
      </w:r>
      <w:r w:rsidRPr="00B174BC">
        <w:rPr>
          <w:rFonts w:cs="Arial"/>
        </w:rPr>
        <w:fldChar w:fldCharType="end"/>
      </w:r>
      <w:r>
        <w:rPr>
          <w:rFonts w:cs="Arial"/>
        </w:rPr>
        <w:t xml:space="preserve"> 1. </w:t>
      </w:r>
      <w:r w:rsidRPr="00B174BC">
        <w:rPr>
          <w:rFonts w:cs="Arial"/>
        </w:rPr>
        <w:t>Monitoring health status to identify community health problems</w:t>
      </w:r>
    </w:p>
    <w:p w14:paraId="2CBA0BEB" w14:textId="77777777" w:rsidR="008C37DC" w:rsidRPr="00B174BC" w:rsidRDefault="008C37DC" w:rsidP="002A7962">
      <w:pPr>
        <w:tabs>
          <w:tab w:val="left" w:pos="810"/>
        </w:tabs>
        <w:ind w:left="810" w:hanging="540"/>
        <w:rPr>
          <w:rFonts w:cs="Arial"/>
        </w:rPr>
      </w:pPr>
      <w:r w:rsidRPr="00B174BC">
        <w:rPr>
          <w:rFonts w:cs="Arial"/>
        </w:rPr>
        <w:fldChar w:fldCharType="begin">
          <w:ffData>
            <w:name w:val="Check25"/>
            <w:enabled/>
            <w:calcOnExit w:val="0"/>
            <w:checkBox>
              <w:sizeAuto/>
              <w:default w:val="0"/>
            </w:checkBox>
          </w:ffData>
        </w:fldChar>
      </w:r>
      <w:r w:rsidRPr="00B174BC">
        <w:rPr>
          <w:rFonts w:cs="Arial"/>
        </w:rPr>
        <w:instrText xml:space="preserve"> FORMCHECKBOX </w:instrText>
      </w:r>
      <w:r w:rsidR="000E14EE">
        <w:rPr>
          <w:rFonts w:cs="Arial"/>
        </w:rPr>
      </w:r>
      <w:r w:rsidR="000E14EE">
        <w:rPr>
          <w:rFonts w:cs="Arial"/>
        </w:rPr>
        <w:fldChar w:fldCharType="separate"/>
      </w:r>
      <w:r w:rsidRPr="00B174BC">
        <w:rPr>
          <w:rFonts w:cs="Arial"/>
        </w:rPr>
        <w:fldChar w:fldCharType="end"/>
      </w:r>
      <w:r w:rsidRPr="00B174BC">
        <w:rPr>
          <w:rFonts w:cs="Arial"/>
        </w:rPr>
        <w:t xml:space="preserve"> 2. Diagnosing and investigating health problems and health hazards in the community</w:t>
      </w:r>
    </w:p>
    <w:p w14:paraId="78680378" w14:textId="77777777" w:rsidR="008C37DC" w:rsidRPr="00B174BC" w:rsidRDefault="008C37DC" w:rsidP="002A7962">
      <w:pPr>
        <w:tabs>
          <w:tab w:val="left" w:pos="810"/>
        </w:tabs>
        <w:ind w:left="810" w:hanging="540"/>
        <w:rPr>
          <w:rFonts w:cs="Arial"/>
        </w:rPr>
      </w:pPr>
      <w:r w:rsidRPr="00B174BC">
        <w:rPr>
          <w:rFonts w:cs="Arial"/>
        </w:rPr>
        <w:fldChar w:fldCharType="begin">
          <w:ffData>
            <w:name w:val="Check25"/>
            <w:enabled/>
            <w:calcOnExit w:val="0"/>
            <w:checkBox>
              <w:sizeAuto/>
              <w:default w:val="0"/>
            </w:checkBox>
          </w:ffData>
        </w:fldChar>
      </w:r>
      <w:r w:rsidRPr="00B174BC">
        <w:rPr>
          <w:rFonts w:cs="Arial"/>
        </w:rPr>
        <w:instrText xml:space="preserve"> FORMCHECKBOX </w:instrText>
      </w:r>
      <w:r w:rsidR="000E14EE">
        <w:rPr>
          <w:rFonts w:cs="Arial"/>
        </w:rPr>
      </w:r>
      <w:r w:rsidR="000E14EE">
        <w:rPr>
          <w:rFonts w:cs="Arial"/>
        </w:rPr>
        <w:fldChar w:fldCharType="separate"/>
      </w:r>
      <w:r w:rsidRPr="00B174BC">
        <w:rPr>
          <w:rFonts w:cs="Arial"/>
        </w:rPr>
        <w:fldChar w:fldCharType="end"/>
      </w:r>
      <w:r w:rsidRPr="00B174BC">
        <w:rPr>
          <w:rFonts w:cs="Arial"/>
        </w:rPr>
        <w:t xml:space="preserve"> 3. Informing, educating, and empowering people about health issues</w:t>
      </w:r>
    </w:p>
    <w:p w14:paraId="495A0F46" w14:textId="77777777" w:rsidR="008C37DC" w:rsidRPr="00B174BC" w:rsidRDefault="008C37DC" w:rsidP="002A7962">
      <w:pPr>
        <w:tabs>
          <w:tab w:val="left" w:pos="810"/>
        </w:tabs>
        <w:ind w:left="810" w:hanging="540"/>
        <w:rPr>
          <w:rFonts w:cs="Arial"/>
        </w:rPr>
      </w:pPr>
      <w:r w:rsidRPr="00B174BC">
        <w:rPr>
          <w:rFonts w:cs="Arial"/>
        </w:rPr>
        <w:fldChar w:fldCharType="begin">
          <w:ffData>
            <w:name w:val="Check25"/>
            <w:enabled/>
            <w:calcOnExit w:val="0"/>
            <w:checkBox>
              <w:sizeAuto/>
              <w:default w:val="0"/>
            </w:checkBox>
          </w:ffData>
        </w:fldChar>
      </w:r>
      <w:r w:rsidRPr="00B174BC">
        <w:rPr>
          <w:rFonts w:cs="Arial"/>
        </w:rPr>
        <w:instrText xml:space="preserve"> FORMCHECKBOX </w:instrText>
      </w:r>
      <w:r w:rsidR="000E14EE">
        <w:rPr>
          <w:rFonts w:cs="Arial"/>
        </w:rPr>
      </w:r>
      <w:r w:rsidR="000E14EE">
        <w:rPr>
          <w:rFonts w:cs="Arial"/>
        </w:rPr>
        <w:fldChar w:fldCharType="separate"/>
      </w:r>
      <w:r w:rsidRPr="00B174BC">
        <w:rPr>
          <w:rFonts w:cs="Arial"/>
        </w:rPr>
        <w:fldChar w:fldCharType="end"/>
      </w:r>
      <w:r w:rsidRPr="00B174BC">
        <w:rPr>
          <w:rFonts w:cs="Arial"/>
        </w:rPr>
        <w:t xml:space="preserve"> 4. Mobilizing community partnerships to identify and solve health problems</w:t>
      </w:r>
    </w:p>
    <w:p w14:paraId="1F08D3DD" w14:textId="0A7521D4" w:rsidR="008C37DC" w:rsidRPr="00B174BC" w:rsidRDefault="008C37DC" w:rsidP="002A7962">
      <w:pPr>
        <w:tabs>
          <w:tab w:val="left" w:pos="810"/>
        </w:tabs>
        <w:ind w:left="810" w:hanging="540"/>
        <w:rPr>
          <w:rFonts w:cs="Arial"/>
        </w:rPr>
      </w:pPr>
      <w:r>
        <w:rPr>
          <w:rFonts w:cs="Arial"/>
        </w:rPr>
        <w:fldChar w:fldCharType="begin">
          <w:ffData>
            <w:name w:val=""/>
            <w:enabled/>
            <w:calcOnExit w:val="0"/>
            <w:checkBox>
              <w:sizeAuto/>
              <w:default w:val="1"/>
            </w:checkBox>
          </w:ffData>
        </w:fldChar>
      </w:r>
      <w:r>
        <w:rPr>
          <w:rFonts w:cs="Arial"/>
        </w:rPr>
        <w:instrText xml:space="preserve"> FORMCHECKBOX </w:instrText>
      </w:r>
      <w:r w:rsidR="000E14EE">
        <w:rPr>
          <w:rFonts w:cs="Arial"/>
        </w:rPr>
      </w:r>
      <w:r w:rsidR="000E14EE">
        <w:rPr>
          <w:rFonts w:cs="Arial"/>
        </w:rPr>
        <w:fldChar w:fldCharType="separate"/>
      </w:r>
      <w:r>
        <w:rPr>
          <w:rFonts w:cs="Arial"/>
        </w:rPr>
        <w:fldChar w:fldCharType="end"/>
      </w:r>
      <w:r w:rsidRPr="00B174BC">
        <w:rPr>
          <w:rFonts w:cs="Arial"/>
        </w:rPr>
        <w:t xml:space="preserve"> 5. Development of policies and plans that support individual and community health efforts</w:t>
      </w:r>
    </w:p>
    <w:p w14:paraId="30B47A30" w14:textId="77777777" w:rsidR="008C37DC" w:rsidRPr="00B174BC" w:rsidRDefault="008C37DC" w:rsidP="002A7962">
      <w:pPr>
        <w:tabs>
          <w:tab w:val="left" w:pos="810"/>
        </w:tabs>
        <w:ind w:left="810" w:hanging="540"/>
        <w:rPr>
          <w:rFonts w:cs="Arial"/>
        </w:rPr>
      </w:pPr>
      <w:r w:rsidRPr="00B174BC">
        <w:rPr>
          <w:rFonts w:cs="Arial"/>
        </w:rPr>
        <w:fldChar w:fldCharType="begin">
          <w:ffData>
            <w:name w:val="Check25"/>
            <w:enabled/>
            <w:calcOnExit w:val="0"/>
            <w:checkBox>
              <w:sizeAuto/>
              <w:default w:val="0"/>
            </w:checkBox>
          </w:ffData>
        </w:fldChar>
      </w:r>
      <w:r w:rsidRPr="00B174BC">
        <w:rPr>
          <w:rFonts w:cs="Arial"/>
        </w:rPr>
        <w:instrText xml:space="preserve"> FORMCHECKBOX </w:instrText>
      </w:r>
      <w:r w:rsidR="000E14EE">
        <w:rPr>
          <w:rFonts w:cs="Arial"/>
        </w:rPr>
      </w:r>
      <w:r w:rsidR="000E14EE">
        <w:rPr>
          <w:rFonts w:cs="Arial"/>
        </w:rPr>
        <w:fldChar w:fldCharType="separate"/>
      </w:r>
      <w:r w:rsidRPr="00B174BC">
        <w:rPr>
          <w:rFonts w:cs="Arial"/>
        </w:rPr>
        <w:fldChar w:fldCharType="end"/>
      </w:r>
      <w:r w:rsidRPr="00B174BC">
        <w:rPr>
          <w:rFonts w:cs="Arial"/>
        </w:rPr>
        <w:t xml:space="preserve"> 6. Enforcement of laws and regulations that protect health and ensure safety</w:t>
      </w:r>
    </w:p>
    <w:p w14:paraId="686630E6" w14:textId="5A33AE6F" w:rsidR="008C37DC" w:rsidRPr="00B174BC" w:rsidRDefault="008C37DC" w:rsidP="002A7962">
      <w:pPr>
        <w:tabs>
          <w:tab w:val="left" w:pos="810"/>
        </w:tabs>
        <w:ind w:left="810" w:hanging="540"/>
        <w:rPr>
          <w:rFonts w:cs="Arial"/>
        </w:rPr>
      </w:pPr>
      <w:r>
        <w:rPr>
          <w:rFonts w:cs="Arial"/>
        </w:rPr>
        <w:fldChar w:fldCharType="begin">
          <w:ffData>
            <w:name w:val=""/>
            <w:enabled/>
            <w:calcOnExit w:val="0"/>
            <w:checkBox>
              <w:sizeAuto/>
              <w:default w:val="1"/>
            </w:checkBox>
          </w:ffData>
        </w:fldChar>
      </w:r>
      <w:r>
        <w:rPr>
          <w:rFonts w:cs="Arial"/>
        </w:rPr>
        <w:instrText xml:space="preserve"> FORMCHECKBOX </w:instrText>
      </w:r>
      <w:r w:rsidR="000E14EE">
        <w:rPr>
          <w:rFonts w:cs="Arial"/>
        </w:rPr>
      </w:r>
      <w:r w:rsidR="000E14EE">
        <w:rPr>
          <w:rFonts w:cs="Arial"/>
        </w:rPr>
        <w:fldChar w:fldCharType="separate"/>
      </w:r>
      <w:r>
        <w:rPr>
          <w:rFonts w:cs="Arial"/>
        </w:rPr>
        <w:fldChar w:fldCharType="end"/>
      </w:r>
      <w:r w:rsidRPr="00B174BC">
        <w:rPr>
          <w:rFonts w:cs="Arial"/>
        </w:rPr>
        <w:t xml:space="preserve"> 7. Linking people to needed personal health services and assure the provision of health care when otherwise unavailable</w:t>
      </w:r>
    </w:p>
    <w:p w14:paraId="336EE343" w14:textId="667AD97D" w:rsidR="008C37DC" w:rsidRPr="00B174BC" w:rsidRDefault="008C37DC" w:rsidP="002A7962">
      <w:pPr>
        <w:tabs>
          <w:tab w:val="left" w:pos="810"/>
        </w:tabs>
        <w:ind w:left="810" w:hanging="540"/>
        <w:rPr>
          <w:rFonts w:cs="Arial"/>
        </w:rPr>
      </w:pPr>
      <w:r>
        <w:rPr>
          <w:rFonts w:cs="Arial"/>
        </w:rPr>
        <w:fldChar w:fldCharType="begin">
          <w:ffData>
            <w:name w:val="Check25"/>
            <w:enabled/>
            <w:calcOnExit w:val="0"/>
            <w:checkBox>
              <w:sizeAuto/>
              <w:default w:val="0"/>
            </w:checkBox>
          </w:ffData>
        </w:fldChar>
      </w:r>
      <w:bookmarkStart w:id="7" w:name="Check25"/>
      <w:r>
        <w:rPr>
          <w:rFonts w:cs="Arial"/>
        </w:rPr>
        <w:instrText xml:space="preserve"> FORMCHECKBOX </w:instrText>
      </w:r>
      <w:r w:rsidR="000E14EE">
        <w:rPr>
          <w:rFonts w:cs="Arial"/>
        </w:rPr>
      </w:r>
      <w:r w:rsidR="000E14EE">
        <w:rPr>
          <w:rFonts w:cs="Arial"/>
        </w:rPr>
        <w:fldChar w:fldCharType="separate"/>
      </w:r>
      <w:r>
        <w:rPr>
          <w:rFonts w:cs="Arial"/>
        </w:rPr>
        <w:fldChar w:fldCharType="end"/>
      </w:r>
      <w:bookmarkEnd w:id="7"/>
      <w:r w:rsidRPr="00B174BC">
        <w:rPr>
          <w:rFonts w:cs="Arial"/>
        </w:rPr>
        <w:t xml:space="preserve"> 8. Assuring a competent public health and personal health care workforce</w:t>
      </w:r>
    </w:p>
    <w:p w14:paraId="743FECC0" w14:textId="7DA162F9" w:rsidR="008C37DC" w:rsidRPr="00B174BC" w:rsidRDefault="008C37DC" w:rsidP="002A7962">
      <w:pPr>
        <w:tabs>
          <w:tab w:val="left" w:pos="810"/>
        </w:tabs>
        <w:ind w:left="810" w:hanging="540"/>
        <w:rPr>
          <w:rFonts w:cs="Arial"/>
        </w:rPr>
      </w:pPr>
      <w:r>
        <w:rPr>
          <w:rFonts w:cs="Arial"/>
        </w:rPr>
        <w:fldChar w:fldCharType="begin">
          <w:ffData>
            <w:name w:val=""/>
            <w:enabled/>
            <w:calcOnExit w:val="0"/>
            <w:checkBox>
              <w:sizeAuto/>
              <w:default w:val="0"/>
            </w:checkBox>
          </w:ffData>
        </w:fldChar>
      </w:r>
      <w:r>
        <w:rPr>
          <w:rFonts w:cs="Arial"/>
        </w:rPr>
        <w:instrText xml:space="preserve"> FORMCHECKBOX </w:instrText>
      </w:r>
      <w:r w:rsidR="000E14EE">
        <w:rPr>
          <w:rFonts w:cs="Arial"/>
        </w:rPr>
      </w:r>
      <w:r w:rsidR="000E14EE">
        <w:rPr>
          <w:rFonts w:cs="Arial"/>
        </w:rPr>
        <w:fldChar w:fldCharType="separate"/>
      </w:r>
      <w:r>
        <w:rPr>
          <w:rFonts w:cs="Arial"/>
        </w:rPr>
        <w:fldChar w:fldCharType="end"/>
      </w:r>
      <w:r w:rsidRPr="00B174BC">
        <w:rPr>
          <w:rFonts w:cs="Arial"/>
        </w:rPr>
        <w:t xml:space="preserve"> 9. Evaluating effectiveness, accessibility, and quality of personal and population-based health</w:t>
      </w:r>
      <w:r>
        <w:rPr>
          <w:rFonts w:cs="Arial"/>
        </w:rPr>
        <w:t xml:space="preserve"> </w:t>
      </w:r>
      <w:r w:rsidRPr="00B174BC">
        <w:rPr>
          <w:rFonts w:cs="Arial"/>
        </w:rPr>
        <w:t>services</w:t>
      </w:r>
    </w:p>
    <w:p w14:paraId="536A8639" w14:textId="7B4CA549" w:rsidR="008C37DC" w:rsidRPr="00B174BC" w:rsidRDefault="008C37DC" w:rsidP="002A7962">
      <w:pPr>
        <w:tabs>
          <w:tab w:val="left" w:pos="810"/>
        </w:tabs>
        <w:ind w:left="810" w:hanging="540"/>
        <w:rPr>
          <w:rFonts w:cs="Arial"/>
        </w:rPr>
      </w:pPr>
      <w:r w:rsidRPr="00B174BC">
        <w:rPr>
          <w:rFonts w:cs="Arial"/>
        </w:rPr>
        <w:fldChar w:fldCharType="begin">
          <w:ffData>
            <w:name w:val="Check25"/>
            <w:enabled/>
            <w:calcOnExit w:val="0"/>
            <w:checkBox>
              <w:sizeAuto/>
              <w:default w:val="0"/>
            </w:checkBox>
          </w:ffData>
        </w:fldChar>
      </w:r>
      <w:r w:rsidRPr="00B174BC">
        <w:rPr>
          <w:rFonts w:cs="Arial"/>
        </w:rPr>
        <w:instrText xml:space="preserve"> FORMCHECKBOX </w:instrText>
      </w:r>
      <w:r w:rsidR="000E14EE">
        <w:rPr>
          <w:rFonts w:cs="Arial"/>
        </w:rPr>
      </w:r>
      <w:r w:rsidR="000E14EE">
        <w:rPr>
          <w:rFonts w:cs="Arial"/>
        </w:rPr>
        <w:fldChar w:fldCharType="separate"/>
      </w:r>
      <w:r w:rsidRPr="00B174BC">
        <w:rPr>
          <w:rFonts w:cs="Arial"/>
        </w:rPr>
        <w:fldChar w:fldCharType="end"/>
      </w:r>
      <w:r w:rsidRPr="00B174BC">
        <w:rPr>
          <w:rFonts w:cs="Arial"/>
        </w:rPr>
        <w:t xml:space="preserve"> 10. Research for new insights and innovative solutions to health problems</w:t>
      </w:r>
    </w:p>
    <w:p w14:paraId="41289C0B" w14:textId="07BFA4CE" w:rsidR="004C5D15" w:rsidRPr="00721555" w:rsidRDefault="004C5D15" w:rsidP="00205618">
      <w:pPr>
        <w:ind w:left="0"/>
      </w:pPr>
    </w:p>
    <w:p w14:paraId="7CF8704D" w14:textId="77777777" w:rsidR="008C37DC" w:rsidRDefault="008C37DC">
      <w:pPr>
        <w:tabs>
          <w:tab w:val="clear" w:pos="9360"/>
        </w:tabs>
        <w:spacing w:after="200"/>
        <w:ind w:left="0"/>
        <w:rPr>
          <w:b/>
        </w:rPr>
      </w:pPr>
      <w:r>
        <w:br w:type="page"/>
      </w:r>
    </w:p>
    <w:p w14:paraId="194DC73A" w14:textId="1B3E182B" w:rsidR="00692DEB" w:rsidRDefault="006102DA" w:rsidP="00692DEB">
      <w:pPr>
        <w:pStyle w:val="Heading5"/>
        <w:spacing w:after="120"/>
        <w:ind w:left="0"/>
      </w:pPr>
      <w:r w:rsidRPr="00692DEB">
        <w:t xml:space="preserve">Overview of the </w:t>
      </w:r>
      <w:r w:rsidR="007F5776" w:rsidRPr="00692DEB">
        <w:t>Information C</w:t>
      </w:r>
      <w:r w:rsidR="00157413" w:rsidRPr="00692DEB">
        <w:t>ollection</w:t>
      </w:r>
      <w:r w:rsidRPr="00692DEB">
        <w:t xml:space="preserve"> System</w:t>
      </w:r>
      <w:r w:rsidR="00151567" w:rsidRPr="001A28F6">
        <w:t xml:space="preserve"> </w:t>
      </w:r>
    </w:p>
    <w:p w14:paraId="57E0A85A" w14:textId="4E8C4F17" w:rsidR="00692DEB" w:rsidRPr="00711BFA" w:rsidRDefault="00692DEB" w:rsidP="00692DEB">
      <w:pPr>
        <w:ind w:left="0"/>
      </w:pPr>
      <w:r w:rsidRPr="00711BFA">
        <w:t xml:space="preserve">Data will be collected via a web-based </w:t>
      </w:r>
      <w:r w:rsidR="00A57838">
        <w:t xml:space="preserve">questionnaire </w:t>
      </w:r>
      <w:r w:rsidR="008C37DC">
        <w:t xml:space="preserve">(programmed using </w:t>
      </w:r>
      <w:r w:rsidR="008C37DC" w:rsidRPr="008C37DC">
        <w:t>Qualtrics</w:t>
      </w:r>
      <w:r w:rsidR="008C37DC" w:rsidRPr="008C37DC">
        <w:rPr>
          <w:vertAlign w:val="superscript"/>
        </w:rPr>
        <w:t>®</w:t>
      </w:r>
      <w:r w:rsidR="008C37DC">
        <w:t>)</w:t>
      </w:r>
      <w:r w:rsidR="008C37DC" w:rsidRPr="008C37DC">
        <w:t xml:space="preserve"> </w:t>
      </w:r>
      <w:r w:rsidRPr="00711BFA">
        <w:t>allowing respondents to complete and submit their responses electronically</w:t>
      </w:r>
      <w:r>
        <w:t xml:space="preserve"> </w:t>
      </w:r>
      <w:r w:rsidRPr="00711BFA">
        <w:t>(</w:t>
      </w:r>
      <w:r w:rsidR="00E647FB">
        <w:rPr>
          <w:b/>
        </w:rPr>
        <w:t>see Att</w:t>
      </w:r>
      <w:r w:rsidR="003350A3">
        <w:rPr>
          <w:b/>
        </w:rPr>
        <w:t>.</w:t>
      </w:r>
      <w:r w:rsidR="00E647FB">
        <w:rPr>
          <w:b/>
        </w:rPr>
        <w:t xml:space="preserve"> </w:t>
      </w:r>
      <w:r w:rsidR="00EF469A">
        <w:rPr>
          <w:b/>
        </w:rPr>
        <w:t>B</w:t>
      </w:r>
      <w:r w:rsidR="00E647FB">
        <w:rPr>
          <w:b/>
        </w:rPr>
        <w:t>—</w:t>
      </w:r>
      <w:r w:rsidRPr="00711BFA">
        <w:rPr>
          <w:b/>
        </w:rPr>
        <w:t xml:space="preserve">Instrument: Word version </w:t>
      </w:r>
      <w:r w:rsidRPr="0096435D">
        <w:t xml:space="preserve">and </w:t>
      </w:r>
      <w:r w:rsidR="00E647FB">
        <w:rPr>
          <w:b/>
        </w:rPr>
        <w:t>Att</w:t>
      </w:r>
      <w:r w:rsidR="003350A3">
        <w:rPr>
          <w:b/>
        </w:rPr>
        <w:t>.</w:t>
      </w:r>
      <w:r w:rsidR="00905EA4">
        <w:rPr>
          <w:b/>
        </w:rPr>
        <w:t xml:space="preserve"> </w:t>
      </w:r>
      <w:r w:rsidR="00EF469A">
        <w:rPr>
          <w:b/>
        </w:rPr>
        <w:t>C</w:t>
      </w:r>
      <w:r w:rsidR="00194F7D">
        <w:rPr>
          <w:b/>
        </w:rPr>
        <w:t>—</w:t>
      </w:r>
      <w:r w:rsidRPr="00711BFA">
        <w:rPr>
          <w:b/>
        </w:rPr>
        <w:t>Instrument: Web version</w:t>
      </w:r>
      <w:r w:rsidRPr="0096435D">
        <w:t xml:space="preserve">). </w:t>
      </w:r>
      <w:r>
        <w:t xml:space="preserve">The </w:t>
      </w:r>
      <w:r w:rsidR="00532FD3">
        <w:t xml:space="preserve">web-based </w:t>
      </w:r>
      <w:r>
        <w:t>instrument will be used to</w:t>
      </w:r>
      <w:r w:rsidRPr="00711BFA">
        <w:t xml:space="preserve"> </w:t>
      </w:r>
      <w:r>
        <w:t xml:space="preserve">gather information from </w:t>
      </w:r>
      <w:r w:rsidR="00FA7B61" w:rsidRPr="00B925CE">
        <w:t>HIV/ST</w:t>
      </w:r>
      <w:r w:rsidR="0091009B">
        <w:t>I</w:t>
      </w:r>
      <w:r w:rsidR="00FA7B61" w:rsidRPr="00B925CE">
        <w:t xml:space="preserve"> program managers at LHDs</w:t>
      </w:r>
      <w:r w:rsidRPr="00B925CE">
        <w:t xml:space="preserve"> regarding</w:t>
      </w:r>
      <w:r w:rsidR="008C59E7" w:rsidRPr="00FA7B61">
        <w:t xml:space="preserve"> </w:t>
      </w:r>
      <w:r w:rsidR="00FA7B61" w:rsidRPr="00FA7B61">
        <w:t>their role in, and current or future activities supporting, PrEP implementation for HIV prevention</w:t>
      </w:r>
      <w:r>
        <w:t>.</w:t>
      </w:r>
      <w:r w:rsidRPr="00711BFA">
        <w:t xml:space="preserve"> This method was chosen to reduce the overall burden on respondents. </w:t>
      </w:r>
      <w:r>
        <w:t xml:space="preserve">The </w:t>
      </w:r>
      <w:r w:rsidRPr="00711BFA">
        <w:t xml:space="preserve">information collection instrument was pilot tested by </w:t>
      </w:r>
      <w:r w:rsidR="00FB5C36">
        <w:rPr>
          <w:color w:val="000000" w:themeColor="text1"/>
        </w:rPr>
        <w:t>6</w:t>
      </w:r>
      <w:r w:rsidR="003B0B9D" w:rsidRPr="003B0B9D">
        <w:rPr>
          <w:color w:val="000000" w:themeColor="text1"/>
        </w:rPr>
        <w:t xml:space="preserve"> </w:t>
      </w:r>
      <w:r>
        <w:t>p</w:t>
      </w:r>
      <w:r w:rsidRPr="00711BFA">
        <w:t>ublic health professionals. Feedback from this group was used to refine questions as needed, ensure accurate programming and skip patterns and establish the estimated time required to complete the information collection instrument.</w:t>
      </w:r>
    </w:p>
    <w:p w14:paraId="60A76BF2" w14:textId="77777777" w:rsidR="00774689" w:rsidRDefault="00774689" w:rsidP="00692DEB">
      <w:pPr>
        <w:pStyle w:val="Heading5"/>
        <w:spacing w:after="120"/>
        <w:ind w:left="0"/>
      </w:pPr>
    </w:p>
    <w:p w14:paraId="11E5084C" w14:textId="2C2BE45B" w:rsidR="00692DEB" w:rsidRPr="00692DEB" w:rsidRDefault="00692DEB" w:rsidP="00692DEB">
      <w:pPr>
        <w:pStyle w:val="Heading5"/>
        <w:spacing w:after="120"/>
        <w:ind w:left="0"/>
      </w:pPr>
      <w:r w:rsidRPr="00692DEB">
        <w:t xml:space="preserve">Items of Information to be </w:t>
      </w:r>
      <w:proofErr w:type="gramStart"/>
      <w:r w:rsidRPr="00692DEB">
        <w:t>Collected</w:t>
      </w:r>
      <w:proofErr w:type="gramEnd"/>
    </w:p>
    <w:p w14:paraId="525BAED7" w14:textId="02CDA44F" w:rsidR="000706B9" w:rsidRDefault="00692DEB" w:rsidP="000706B9">
      <w:pPr>
        <w:ind w:left="0"/>
      </w:pPr>
      <w:r w:rsidRPr="04524006">
        <w:t xml:space="preserve">The online data collection instrument consists of </w:t>
      </w:r>
      <w:r w:rsidR="00F2733F" w:rsidRPr="00F2733F">
        <w:t>4</w:t>
      </w:r>
      <w:r w:rsidR="00FB5C36">
        <w:t>4</w:t>
      </w:r>
      <w:r w:rsidRPr="00F2733F">
        <w:t xml:space="preserve"> </w:t>
      </w:r>
      <w:r w:rsidRPr="04524006">
        <w:t>main questions of various types, including</w:t>
      </w:r>
      <w:r w:rsidR="008C59E7">
        <w:t xml:space="preserve"> </w:t>
      </w:r>
      <w:r w:rsidR="008C59E7" w:rsidRPr="00F2733F">
        <w:t>dichotomous (yes/no), multiple response, an</w:t>
      </w:r>
      <w:r w:rsidR="00F2733F">
        <w:rPr>
          <w:rFonts w:eastAsiaTheme="majorEastAsia" w:cstheme="majorBidi"/>
        </w:rPr>
        <w:t>d open-ended</w:t>
      </w:r>
      <w:r w:rsidRPr="00F2733F">
        <w:rPr>
          <w:rFonts w:eastAsiaTheme="majorEastAsia" w:cstheme="majorBidi"/>
        </w:rPr>
        <w:t xml:space="preserve">. </w:t>
      </w:r>
      <w:r>
        <w:rPr>
          <w:rFonts w:eastAsiaTheme="majorEastAsia" w:cstheme="majorBidi"/>
        </w:rPr>
        <w:t>A</w:t>
      </w:r>
      <w:r w:rsidRPr="04524006">
        <w:rPr>
          <w:rFonts w:eastAsiaTheme="majorEastAsia" w:cstheme="majorBidi"/>
        </w:rPr>
        <w:t>n effort was made to limit questions requiring narrative respo</w:t>
      </w:r>
      <w:r w:rsidRPr="04524006">
        <w:t>nses from respondents</w:t>
      </w:r>
      <w:r>
        <w:t xml:space="preserve"> whenever possible</w:t>
      </w:r>
      <w:r w:rsidRPr="04524006">
        <w:t xml:space="preserve">. </w:t>
      </w:r>
      <w:r w:rsidR="000706B9">
        <w:t xml:space="preserve">However, respondents will most likely complete </w:t>
      </w:r>
      <w:r w:rsidR="008C37DC">
        <w:t xml:space="preserve">a maximum of 30 questions at the </w:t>
      </w:r>
      <w:proofErr w:type="gramStart"/>
      <w:r w:rsidR="008C37DC">
        <w:t>most,</w:t>
      </w:r>
      <w:proofErr w:type="gramEnd"/>
      <w:r w:rsidR="008C37DC">
        <w:t xml:space="preserve"> since t</w:t>
      </w:r>
      <w:r w:rsidR="000706B9">
        <w:t xml:space="preserve">he </w:t>
      </w:r>
      <w:r w:rsidR="00A57838">
        <w:t xml:space="preserve">instrument </w:t>
      </w:r>
      <w:r w:rsidR="000706B9">
        <w:t xml:space="preserve">contains skip patterns that depend on whether respondents indicate that their health department is currently engaged in </w:t>
      </w:r>
      <w:proofErr w:type="spellStart"/>
      <w:r w:rsidR="000706B9">
        <w:t>PrEP</w:t>
      </w:r>
      <w:r w:rsidR="008C37DC">
        <w:t>.</w:t>
      </w:r>
      <w:proofErr w:type="spellEnd"/>
      <w:r w:rsidR="000706B9">
        <w:t xml:space="preserve"> </w:t>
      </w:r>
      <w:r w:rsidR="000706B9" w:rsidRPr="04524006">
        <w:t>The instrument will collect information on the following</w:t>
      </w:r>
      <w:r w:rsidR="000706B9">
        <w:t xml:space="preserve"> sections:</w:t>
      </w:r>
    </w:p>
    <w:p w14:paraId="58C6C6B8" w14:textId="77777777" w:rsidR="000706B9" w:rsidRDefault="000706B9" w:rsidP="000706B9">
      <w:pPr>
        <w:ind w:left="0"/>
      </w:pPr>
    </w:p>
    <w:p w14:paraId="1A7BF5DF" w14:textId="2B3A1749" w:rsidR="00692DEB" w:rsidRDefault="000706B9" w:rsidP="000706B9">
      <w:pPr>
        <w:ind w:left="0"/>
      </w:pPr>
      <w:r>
        <w:t xml:space="preserve">All respondents will complete Sections I and V. </w:t>
      </w:r>
    </w:p>
    <w:p w14:paraId="31FC3348" w14:textId="02D623B5" w:rsidR="000706B9" w:rsidRPr="00F2733F" w:rsidRDefault="00953B35" w:rsidP="000706B9">
      <w:pPr>
        <w:pStyle w:val="ListParagraph"/>
        <w:numPr>
          <w:ilvl w:val="0"/>
          <w:numId w:val="25"/>
        </w:numPr>
        <w:tabs>
          <w:tab w:val="clear" w:pos="9360"/>
        </w:tabs>
        <w:spacing w:line="240" w:lineRule="auto"/>
      </w:pPr>
      <w:r w:rsidRPr="00953B35">
        <w:t>Section I: HIV Prevention Program Structure, Services, and Engagement in PrEP Implementation</w:t>
      </w:r>
      <w:r w:rsidR="000706B9">
        <w:t xml:space="preserve"> </w:t>
      </w:r>
      <w:r>
        <w:t>(9 questions)</w:t>
      </w:r>
    </w:p>
    <w:p w14:paraId="1F830366" w14:textId="6EEB6445" w:rsidR="000076F0" w:rsidRDefault="00953B35" w:rsidP="008C37DC">
      <w:pPr>
        <w:pStyle w:val="ListParagraph"/>
        <w:numPr>
          <w:ilvl w:val="0"/>
          <w:numId w:val="25"/>
        </w:numPr>
        <w:tabs>
          <w:tab w:val="clear" w:pos="9360"/>
        </w:tabs>
        <w:spacing w:line="240" w:lineRule="auto"/>
      </w:pPr>
      <w:r w:rsidRPr="00953B35">
        <w:t>Section V: Concluding Questions</w:t>
      </w:r>
      <w:r w:rsidR="000706B9">
        <w:t xml:space="preserve"> (2 questions)</w:t>
      </w:r>
    </w:p>
    <w:p w14:paraId="4E01043F" w14:textId="77777777" w:rsidR="000706B9" w:rsidRDefault="000706B9" w:rsidP="008C37DC">
      <w:pPr>
        <w:tabs>
          <w:tab w:val="clear" w:pos="9360"/>
        </w:tabs>
        <w:spacing w:line="240" w:lineRule="auto"/>
        <w:ind w:left="0"/>
      </w:pPr>
    </w:p>
    <w:p w14:paraId="692FCFA4" w14:textId="77777777" w:rsidR="000706B9" w:rsidRDefault="000706B9" w:rsidP="008C37DC">
      <w:pPr>
        <w:tabs>
          <w:tab w:val="clear" w:pos="9360"/>
        </w:tabs>
        <w:spacing w:line="240" w:lineRule="auto"/>
        <w:ind w:left="0"/>
      </w:pPr>
      <w:r>
        <w:t>If respondents indicate that their health department is currently engaged in PrEP, they complete:</w:t>
      </w:r>
    </w:p>
    <w:p w14:paraId="16825A2B" w14:textId="727DBEE3" w:rsidR="000706B9" w:rsidRPr="00F2733F" w:rsidRDefault="000706B9" w:rsidP="000706B9">
      <w:pPr>
        <w:pStyle w:val="ListParagraph"/>
        <w:numPr>
          <w:ilvl w:val="0"/>
          <w:numId w:val="25"/>
        </w:numPr>
        <w:tabs>
          <w:tab w:val="clear" w:pos="9360"/>
        </w:tabs>
        <w:spacing w:line="240" w:lineRule="auto"/>
      </w:pPr>
      <w:r w:rsidRPr="00953B35">
        <w:t>Section II: Health Department Engagement in PrEP Implementation</w:t>
      </w:r>
      <w:r>
        <w:t xml:space="preserve"> (11 questions)</w:t>
      </w:r>
    </w:p>
    <w:p w14:paraId="21C9DA8C" w14:textId="23D3173B" w:rsidR="000706B9" w:rsidRPr="00F2733F" w:rsidRDefault="000706B9" w:rsidP="000706B9">
      <w:pPr>
        <w:pStyle w:val="ListParagraph"/>
        <w:numPr>
          <w:ilvl w:val="0"/>
          <w:numId w:val="25"/>
        </w:numPr>
        <w:tabs>
          <w:tab w:val="clear" w:pos="9360"/>
        </w:tabs>
        <w:spacing w:line="240" w:lineRule="auto"/>
      </w:pPr>
      <w:r w:rsidRPr="00953B35">
        <w:t>Section III: Next Steps for PrEP Implementation</w:t>
      </w:r>
      <w:r>
        <w:t xml:space="preserve"> (3 questions)</w:t>
      </w:r>
    </w:p>
    <w:p w14:paraId="2A69EB7A" w14:textId="1A77ABF3" w:rsidR="000706B9" w:rsidRPr="00F2733F" w:rsidRDefault="000706B9" w:rsidP="000706B9">
      <w:pPr>
        <w:pStyle w:val="ListParagraph"/>
        <w:numPr>
          <w:ilvl w:val="0"/>
          <w:numId w:val="25"/>
        </w:numPr>
        <w:tabs>
          <w:tab w:val="clear" w:pos="9360"/>
        </w:tabs>
        <w:spacing w:line="240" w:lineRule="auto"/>
      </w:pPr>
      <w:r w:rsidRPr="00953B35">
        <w:t>Section IV. Resource and Assistance Needs</w:t>
      </w:r>
      <w:r>
        <w:t xml:space="preserve"> (5 questions)</w:t>
      </w:r>
    </w:p>
    <w:p w14:paraId="7C0C3D6D" w14:textId="77777777" w:rsidR="000706B9" w:rsidRDefault="000706B9" w:rsidP="008C37DC">
      <w:pPr>
        <w:spacing w:line="240" w:lineRule="auto"/>
        <w:ind w:left="0"/>
        <w:rPr>
          <w:b/>
          <w:u w:val="single"/>
        </w:rPr>
      </w:pPr>
    </w:p>
    <w:p w14:paraId="0EA5E525" w14:textId="0D546B5A" w:rsidR="000706B9" w:rsidRDefault="000706B9" w:rsidP="000706B9">
      <w:pPr>
        <w:tabs>
          <w:tab w:val="clear" w:pos="9360"/>
        </w:tabs>
        <w:spacing w:line="240" w:lineRule="auto"/>
        <w:ind w:left="0"/>
      </w:pPr>
      <w:r>
        <w:t>If respondents indicate that their health department is currently NOT engaged in PrEP, they complete:</w:t>
      </w:r>
    </w:p>
    <w:p w14:paraId="7E3AC597" w14:textId="09C4E6D3" w:rsidR="000706B9" w:rsidRPr="008C37DC" w:rsidRDefault="000706B9" w:rsidP="008C37DC">
      <w:pPr>
        <w:pStyle w:val="ListParagraph"/>
        <w:numPr>
          <w:ilvl w:val="0"/>
          <w:numId w:val="25"/>
        </w:numPr>
        <w:tabs>
          <w:tab w:val="clear" w:pos="9360"/>
        </w:tabs>
        <w:spacing w:line="240" w:lineRule="auto"/>
      </w:pPr>
      <w:r w:rsidRPr="008C37DC">
        <w:t>Section II: PrEP Awareness, Knowledge, and Interest (7 questions)</w:t>
      </w:r>
    </w:p>
    <w:p w14:paraId="4A2098D2" w14:textId="35053409" w:rsidR="000706B9" w:rsidRPr="008C37DC" w:rsidRDefault="000706B9" w:rsidP="008C37DC">
      <w:pPr>
        <w:pStyle w:val="ListParagraph"/>
        <w:numPr>
          <w:ilvl w:val="0"/>
          <w:numId w:val="25"/>
        </w:numPr>
        <w:tabs>
          <w:tab w:val="clear" w:pos="9360"/>
        </w:tabs>
        <w:spacing w:line="240" w:lineRule="auto"/>
      </w:pPr>
      <w:r w:rsidRPr="008C37DC">
        <w:t>Section III: Potential Future Engagement in PrEP Implementation</w:t>
      </w:r>
      <w:r>
        <w:t xml:space="preserve"> (3 questions)</w:t>
      </w:r>
    </w:p>
    <w:p w14:paraId="5F938016" w14:textId="111A3237" w:rsidR="000706B9" w:rsidRPr="00F66B3C" w:rsidRDefault="000706B9" w:rsidP="008C37DC">
      <w:pPr>
        <w:pStyle w:val="ListParagraph"/>
        <w:tabs>
          <w:tab w:val="clear" w:pos="9360"/>
        </w:tabs>
        <w:spacing w:line="240" w:lineRule="auto"/>
      </w:pPr>
      <w:r>
        <w:t>The questions in this section focus on what their</w:t>
      </w:r>
      <w:r w:rsidRPr="008C37DC">
        <w:t xml:space="preserve"> health department could potentially do to support PrEP implementation</w:t>
      </w:r>
      <w:r>
        <w:t>. This information will help identify the most likely roles for local health departments in PrEP implementation and inform efforts to support health department decision-making about incorporating PrEP into existing HIV prevention education and services.</w:t>
      </w:r>
    </w:p>
    <w:p w14:paraId="1AFC2B31" w14:textId="4BA0DA71" w:rsidR="000706B9" w:rsidRPr="008C37DC" w:rsidRDefault="000706B9" w:rsidP="008C37DC">
      <w:pPr>
        <w:pStyle w:val="ListParagraph"/>
        <w:numPr>
          <w:ilvl w:val="0"/>
          <w:numId w:val="25"/>
        </w:numPr>
        <w:tabs>
          <w:tab w:val="clear" w:pos="9360"/>
        </w:tabs>
        <w:spacing w:line="240" w:lineRule="auto"/>
      </w:pPr>
      <w:r w:rsidRPr="008C37DC">
        <w:t>Section IV: Resource and Assistance Needs</w:t>
      </w:r>
      <w:r>
        <w:t xml:space="preserve"> </w:t>
      </w:r>
      <w:r w:rsidRPr="001F5E4E">
        <w:t>(4</w:t>
      </w:r>
      <w:r>
        <w:t xml:space="preserve"> questions</w:t>
      </w:r>
      <w:r w:rsidRPr="001F5E4E">
        <w:t>)</w:t>
      </w:r>
    </w:p>
    <w:p w14:paraId="5711B810" w14:textId="36895C98" w:rsidR="000706B9" w:rsidRPr="008C37DC" w:rsidRDefault="000706B9" w:rsidP="008C37DC">
      <w:pPr>
        <w:pStyle w:val="ListParagraph"/>
        <w:tabs>
          <w:tab w:val="clear" w:pos="9360"/>
        </w:tabs>
        <w:spacing w:line="240" w:lineRule="auto"/>
      </w:pPr>
      <w:r>
        <w:t xml:space="preserve">The questions in this section are intended to help identify what resources and assistance their health department might benefit from, </w:t>
      </w:r>
      <w:r w:rsidRPr="008C37DC">
        <w:t xml:space="preserve">if </w:t>
      </w:r>
      <w:r>
        <w:t>they w</w:t>
      </w:r>
      <w:r w:rsidRPr="008C37DC">
        <w:t xml:space="preserve">ere to begin considering how to incorporate PrEP into prevention education and services. </w:t>
      </w:r>
    </w:p>
    <w:p w14:paraId="3990B13D" w14:textId="77777777" w:rsidR="000706B9" w:rsidRPr="0057382D" w:rsidRDefault="000706B9" w:rsidP="000706B9">
      <w:pPr>
        <w:spacing w:line="240" w:lineRule="auto"/>
        <w:rPr>
          <w:b/>
          <w:u w:val="single"/>
        </w:rPr>
      </w:pPr>
    </w:p>
    <w:p w14:paraId="627FE725" w14:textId="77777777" w:rsidR="008C37DC" w:rsidRDefault="008C37DC">
      <w:pPr>
        <w:tabs>
          <w:tab w:val="clear" w:pos="9360"/>
        </w:tabs>
        <w:spacing w:after="200"/>
        <w:ind w:left="0"/>
        <w:rPr>
          <w:b/>
        </w:rPr>
      </w:pPr>
      <w:r>
        <w:br w:type="page"/>
      </w:r>
    </w:p>
    <w:p w14:paraId="5AEFC83B" w14:textId="77777777" w:rsidR="00B12F51" w:rsidRPr="00014361" w:rsidRDefault="00B12F51" w:rsidP="00692DEB">
      <w:pPr>
        <w:pStyle w:val="Heading4"/>
      </w:pPr>
      <w:bookmarkStart w:id="8" w:name="_Toc421540877"/>
      <w:r w:rsidRPr="00014361">
        <w:t>Purpose and Use of the Information Collection</w:t>
      </w:r>
      <w:bookmarkEnd w:id="8"/>
    </w:p>
    <w:p w14:paraId="79E001E3" w14:textId="4129663E" w:rsidR="000076F0" w:rsidRDefault="00FD6667" w:rsidP="00692DEB">
      <w:pPr>
        <w:pStyle w:val="ListParagraph"/>
        <w:ind w:left="0"/>
      </w:pPr>
      <w:r w:rsidRPr="00FD6667">
        <w:t>Th</w:t>
      </w:r>
      <w:r w:rsidR="00EF469A">
        <w:t>e</w:t>
      </w:r>
      <w:r w:rsidRPr="00FD6667">
        <w:t xml:space="preserve"> purpose of this assessment </w:t>
      </w:r>
      <w:r>
        <w:t>is to assess</w:t>
      </w:r>
      <w:r w:rsidRPr="00FD6667">
        <w:t xml:space="preserve"> </w:t>
      </w:r>
      <w:r w:rsidR="0005052F">
        <w:t>1) LHD’s current HIV/ST</w:t>
      </w:r>
      <w:r w:rsidR="0091009B">
        <w:t>I</w:t>
      </w:r>
      <w:r w:rsidR="0005052F">
        <w:t xml:space="preserve"> prevention program structure and services; </w:t>
      </w:r>
      <w:r w:rsidR="00FB5C36">
        <w:t>2</w:t>
      </w:r>
      <w:r w:rsidRPr="00FD6667">
        <w:t xml:space="preserve">) the current level of engagement of LHDs in PrEP implementation, </w:t>
      </w:r>
      <w:r w:rsidR="00FB5C36">
        <w:t>3</w:t>
      </w:r>
      <w:r w:rsidRPr="00FD6667">
        <w:t xml:space="preserve">) the perceived role that by LHDs have in PrEP implementation, and </w:t>
      </w:r>
      <w:r w:rsidR="00FB5C36">
        <w:t>4</w:t>
      </w:r>
      <w:r w:rsidRPr="00FD6667">
        <w:t xml:space="preserve">) the resource and support needs for potential future engagement in </w:t>
      </w:r>
      <w:proofErr w:type="spellStart"/>
      <w:r w:rsidRPr="00FD6667">
        <w:t>PrEP</w:t>
      </w:r>
      <w:r w:rsidR="00194F7D">
        <w:t>.</w:t>
      </w:r>
      <w:proofErr w:type="spellEnd"/>
      <w:r w:rsidR="00194F7D">
        <w:t xml:space="preserve"> </w:t>
      </w:r>
      <w:r w:rsidR="00FA7B61">
        <w:t xml:space="preserve">This data </w:t>
      </w:r>
      <w:r w:rsidR="000076F0">
        <w:t xml:space="preserve">collection will provide current </w:t>
      </w:r>
      <w:r w:rsidR="00FA7B61">
        <w:t xml:space="preserve">information about </w:t>
      </w:r>
      <w:r w:rsidR="000076F0">
        <w:t>the</w:t>
      </w:r>
      <w:r w:rsidR="009B3359">
        <w:t xml:space="preserve"> level of engagement by city/county health departments </w:t>
      </w:r>
      <w:r w:rsidR="000076F0">
        <w:t xml:space="preserve">in supporting </w:t>
      </w:r>
      <w:r w:rsidR="00FA7B61">
        <w:t xml:space="preserve">an HIV prevention method that has only recently been recommended for implementation by CDC and the US Public Health </w:t>
      </w:r>
      <w:r w:rsidR="00194F7D">
        <w:t>S</w:t>
      </w:r>
      <w:r w:rsidR="00FA7B61">
        <w:t>ervice</w:t>
      </w:r>
      <w:hyperlink w:anchor="_ENREF_10" w:tooltip="Centers for Disease Control and Prevention; US Public Health Service, 2014 #27" w:history="1">
        <w:r w:rsidR="0090596F">
          <w:fldChar w:fldCharType="begin"/>
        </w:r>
        <w:r w:rsidR="0090596F">
          <w:instrText xml:space="preserve"> ADDIN EN.CITE &lt;EndNote&gt;&lt;Cite&gt;&lt;Author&gt;Centers for Disease Control and Prevention; US Public Health Service&lt;/Author&gt;&lt;Year&gt;2014&lt;/Year&gt;&lt;RecNum&gt;27&lt;/RecNum&gt;&lt;DisplayText&gt;&lt;style face="superscript"&gt;10&lt;/style&gt;&lt;/DisplayText&gt;&lt;record&gt;&lt;rec-number&gt;27&lt;/rec-number&gt;&lt;foreign-keys&gt;&lt;key app="EN" db-id="ezexpe0ses2s5feafwuxpst7ssr9ttapdwdw" timestamp="1422908024"&gt;27&lt;/key&gt;&lt;/foreign-keys&gt;&lt;ref-type name="Electronic Article"&gt;43&lt;/ref-type&gt;&lt;contributors&gt;&lt;authors&gt;&lt;author&gt;Centers for Disease Control and Prevention; US Public Health Service,&lt;/author&gt;&lt;/authors&gt;&lt;/contributors&gt;&lt;titles&gt;&lt;title&gt;Preexposure prophylaxis for the  prevention of HIV infection in the United States - 2014: a clinical practice guideline&lt;/title&gt;&lt;/titles&gt;&lt;pages&gt;1-67&lt;/pages&gt;&lt;section&gt;May 14, 2014&lt;/section&gt;&lt;dates&gt;&lt;year&gt;2014&lt;/year&gt;&lt;pub-dates&gt;&lt;date&gt;28 May 2014&lt;/date&gt;&lt;/pub-dates&gt;&lt;/dates&gt;&lt;urls&gt;&lt;related-urls&gt;&lt;url&gt;http://www.cdc.gov/hiv/pdf/guidelines/PrEPguidelines2014.pdf&lt;/url&gt;&lt;/related-urls&gt;&lt;/urls&gt;&lt;/record&gt;&lt;/Cite&gt;&lt;/EndNote&gt;</w:instrText>
        </w:r>
        <w:r w:rsidR="0090596F">
          <w:fldChar w:fldCharType="separate"/>
        </w:r>
        <w:r w:rsidR="0090596F" w:rsidRPr="0090596F">
          <w:rPr>
            <w:noProof/>
            <w:vertAlign w:val="superscript"/>
          </w:rPr>
          <w:t>10</w:t>
        </w:r>
        <w:r w:rsidR="0090596F">
          <w:fldChar w:fldCharType="end"/>
        </w:r>
      </w:hyperlink>
      <w:r w:rsidR="00FA7B61">
        <w:t xml:space="preserve">. </w:t>
      </w:r>
      <w:r w:rsidR="00C4664F">
        <w:t xml:space="preserve">Data collected about current program structure will </w:t>
      </w:r>
      <w:r w:rsidR="00E24133">
        <w:t>be used</w:t>
      </w:r>
      <w:r w:rsidR="00C4664F">
        <w:t xml:space="preserve"> to </w:t>
      </w:r>
      <w:r w:rsidR="00E24133">
        <w:t xml:space="preserve">assess whether </w:t>
      </w:r>
      <w:r w:rsidR="00C4664F">
        <w:t xml:space="preserve">differences in current engagement, perceived roles, and </w:t>
      </w:r>
      <w:proofErr w:type="gramStart"/>
      <w:r w:rsidR="00C4664F">
        <w:t>needs for future engagement</w:t>
      </w:r>
      <w:r w:rsidR="00E24133">
        <w:t xml:space="preserve"> can</w:t>
      </w:r>
      <w:proofErr w:type="gramEnd"/>
      <w:r w:rsidR="00E24133">
        <w:t xml:space="preserve"> be categorized by program size, structure, and content.</w:t>
      </w:r>
    </w:p>
    <w:p w14:paraId="435A325C" w14:textId="77777777" w:rsidR="000076F0" w:rsidRDefault="000076F0" w:rsidP="00692DEB">
      <w:pPr>
        <w:pStyle w:val="ListParagraph"/>
        <w:ind w:left="0"/>
      </w:pPr>
    </w:p>
    <w:p w14:paraId="3BE168A2" w14:textId="00C30500" w:rsidR="00BE738E" w:rsidRDefault="00275552" w:rsidP="00692DEB">
      <w:pPr>
        <w:pStyle w:val="ListParagraph"/>
        <w:ind w:left="0"/>
      </w:pPr>
      <w:r>
        <w:t xml:space="preserve">The findings </w:t>
      </w:r>
      <w:r w:rsidR="00FA7B61">
        <w:t xml:space="preserve">will be </w:t>
      </w:r>
      <w:r w:rsidR="000076F0">
        <w:t>of critical importance to CDC in its efforts to encourage and assist LHDs to implement and scale-up PrEP to reduce the number of new HIV infections occurring each year throughout the US.</w:t>
      </w:r>
      <w:r w:rsidR="00FD6667" w:rsidRPr="00FD6667">
        <w:t xml:space="preserve"> The information collected through this assessment will be used to support and promote LHD engagement in PrEP implementation, as well as overall HIV prevention practice, and to inform our federal, national, and state </w:t>
      </w:r>
      <w:r w:rsidR="00FD6667">
        <w:t>programmatic activities</w:t>
      </w:r>
      <w:r w:rsidR="00FD6667" w:rsidRPr="00FD6667">
        <w:t>.</w:t>
      </w:r>
    </w:p>
    <w:p w14:paraId="5177E997" w14:textId="77777777" w:rsidR="006102DA" w:rsidRDefault="006102DA" w:rsidP="00692DEB">
      <w:pPr>
        <w:ind w:left="0"/>
      </w:pPr>
    </w:p>
    <w:p w14:paraId="00491E6D" w14:textId="77777777" w:rsidR="00B47055" w:rsidRPr="00B47055" w:rsidRDefault="00B47055" w:rsidP="00692DEB">
      <w:pPr>
        <w:pStyle w:val="Heading4"/>
      </w:pPr>
      <w:bookmarkStart w:id="9" w:name="_Toc421540878"/>
      <w:r w:rsidRPr="00B47055">
        <w:t>Use of Improved Information Technology and Burden Reduction</w:t>
      </w:r>
      <w:bookmarkEnd w:id="9"/>
    </w:p>
    <w:p w14:paraId="1020E38A" w14:textId="4BE60B68" w:rsidR="00692DEB" w:rsidRPr="00711BFA" w:rsidRDefault="00692DEB" w:rsidP="00692DEB">
      <w:pPr>
        <w:ind w:left="0"/>
      </w:pPr>
      <w:r w:rsidRPr="00711BFA">
        <w:t xml:space="preserve">Data will be collected via a web-based questionnaire allowing respondents to complete and submit their responses electronically. This method was chosen to reduce the overall burden on respondents. </w:t>
      </w:r>
      <w:r w:rsidRPr="006F0460">
        <w:t xml:space="preserve">The information collection instrument </w:t>
      </w:r>
      <w:r w:rsidRPr="00711BFA">
        <w:t xml:space="preserve">was designed to collect the minimum information necessary for the purposes of this project (i.e., limited </w:t>
      </w:r>
      <w:r w:rsidRPr="006529DD">
        <w:t xml:space="preserve">to </w:t>
      </w:r>
      <w:r w:rsidR="006529DD" w:rsidRPr="006529DD">
        <w:t>4</w:t>
      </w:r>
      <w:r w:rsidR="00FB5C36">
        <w:t>4</w:t>
      </w:r>
      <w:r w:rsidR="006529DD" w:rsidRPr="006529DD">
        <w:t xml:space="preserve"> main</w:t>
      </w:r>
      <w:r w:rsidRPr="006529DD">
        <w:t xml:space="preserve"> </w:t>
      </w:r>
      <w:r w:rsidRPr="00711BFA">
        <w:t>questions).</w:t>
      </w:r>
    </w:p>
    <w:p w14:paraId="58C5D17E" w14:textId="77777777" w:rsidR="00E8736B" w:rsidRDefault="00E8736B" w:rsidP="007D6163">
      <w:pPr>
        <w:pStyle w:val="ListParagraph"/>
      </w:pPr>
    </w:p>
    <w:p w14:paraId="3802A4FF" w14:textId="77777777" w:rsidR="00B47055" w:rsidRPr="00B47055" w:rsidRDefault="00B47055" w:rsidP="00692DEB">
      <w:pPr>
        <w:pStyle w:val="Heading4"/>
      </w:pPr>
      <w:bookmarkStart w:id="10" w:name="_Toc421540879"/>
      <w:r w:rsidRPr="00B47055">
        <w:t>Efforts to Identify Duplication and Use of Similar Information</w:t>
      </w:r>
      <w:bookmarkEnd w:id="10"/>
    </w:p>
    <w:p w14:paraId="5880AEF7" w14:textId="6EC35EDD" w:rsidR="00B12F51" w:rsidRPr="00D26A64" w:rsidRDefault="00FA7B61" w:rsidP="00692DEB">
      <w:pPr>
        <w:ind w:left="0"/>
      </w:pPr>
      <w:r>
        <w:t>We conducted a literature search using Google Scholar and PubMed to identify any prior published data collections from ST</w:t>
      </w:r>
      <w:r w:rsidR="00FB5C36">
        <w:t>I</w:t>
      </w:r>
      <w:r>
        <w:t xml:space="preserve">/HIV </w:t>
      </w:r>
      <w:r w:rsidR="00194F7D">
        <w:t>p</w:t>
      </w:r>
      <w:r>
        <w:t>rogram managers about LHD PrEP activities or roles and found none.</w:t>
      </w:r>
      <w:r w:rsidR="00FD6667" w:rsidRPr="00FD6667">
        <w:t xml:space="preserve"> PrEP </w:t>
      </w:r>
      <w:r w:rsidR="00B7541B">
        <w:t xml:space="preserve">as an </w:t>
      </w:r>
      <w:r w:rsidR="00FD6667" w:rsidRPr="00FD6667">
        <w:t xml:space="preserve">HIV prevention method has only recently been recommended for implementation by CDC and the US Public Health </w:t>
      </w:r>
      <w:r w:rsidR="00194F7D">
        <w:t>S</w:t>
      </w:r>
      <w:r w:rsidR="00FD6667" w:rsidRPr="00FD6667">
        <w:t xml:space="preserve">ervice. </w:t>
      </w:r>
      <w:r w:rsidR="00FD6667">
        <w:t>This information collection is the first of its kind.</w:t>
      </w:r>
    </w:p>
    <w:p w14:paraId="5BC51BE3" w14:textId="77777777" w:rsidR="00E33E1B" w:rsidRDefault="00E33E1B" w:rsidP="005D6F14"/>
    <w:p w14:paraId="33CBAB5B" w14:textId="77777777" w:rsidR="00B12F51" w:rsidRPr="00B47055" w:rsidRDefault="00B47055" w:rsidP="00692DEB">
      <w:pPr>
        <w:pStyle w:val="Heading4"/>
      </w:pPr>
      <w:bookmarkStart w:id="11" w:name="_Toc421540880"/>
      <w:r w:rsidRPr="00B47055">
        <w:t>Impact on Small Businesses or Other Small Entities</w:t>
      </w:r>
      <w:bookmarkEnd w:id="11"/>
    </w:p>
    <w:p w14:paraId="6C27F02E" w14:textId="60D4735D" w:rsidR="00B925CE" w:rsidRDefault="00D26A64" w:rsidP="00FD6667">
      <w:pPr>
        <w:ind w:left="0"/>
      </w:pPr>
      <w:r>
        <w:t>N</w:t>
      </w:r>
      <w:r w:rsidR="00AF2252">
        <w:t xml:space="preserve">o small businesses will be involved in this </w:t>
      </w:r>
      <w:r w:rsidR="00157413">
        <w:t>information collection</w:t>
      </w:r>
      <w:r>
        <w:t>.</w:t>
      </w:r>
    </w:p>
    <w:p w14:paraId="533608C6" w14:textId="77777777" w:rsidR="00B925CE" w:rsidRDefault="00B925CE" w:rsidP="005D6F14"/>
    <w:p w14:paraId="214CEA7A" w14:textId="01265346" w:rsidR="00B12F51" w:rsidRPr="00B47055" w:rsidRDefault="00B47055" w:rsidP="00692DEB">
      <w:pPr>
        <w:pStyle w:val="Heading4"/>
      </w:pPr>
      <w:bookmarkStart w:id="12" w:name="_Toc421540881"/>
      <w:r w:rsidRPr="00B47055">
        <w:t>Consequences of Collecting the Information Less Frequently</w:t>
      </w:r>
      <w:bookmarkEnd w:id="12"/>
      <w:r w:rsidRPr="00B47055">
        <w:t xml:space="preserve"> </w:t>
      </w:r>
      <w:r w:rsidR="00D95FBF" w:rsidRPr="00B47055">
        <w:t xml:space="preserve">   </w:t>
      </w:r>
    </w:p>
    <w:p w14:paraId="176ECD08" w14:textId="31237CCE" w:rsidR="00194F7D" w:rsidRDefault="000058E0" w:rsidP="00905EA4">
      <w:pPr>
        <w:tabs>
          <w:tab w:val="clear" w:pos="9360"/>
        </w:tabs>
        <w:spacing w:line="240" w:lineRule="auto"/>
        <w:ind w:left="0"/>
      </w:pPr>
      <w:r w:rsidRPr="00711BFA">
        <w:t>This request is for a one time information collection.  There are no legal obstacles to reduce the burden.</w:t>
      </w:r>
      <w:r w:rsidR="00FD6667" w:rsidRPr="00FD6667">
        <w:t xml:space="preserve"> If no data are collected, CDC will be unable to:</w:t>
      </w:r>
    </w:p>
    <w:p w14:paraId="1CF54865" w14:textId="10BC67C7" w:rsidR="008C59E7" w:rsidRPr="00081907" w:rsidRDefault="00FD6667" w:rsidP="00081907">
      <w:pPr>
        <w:pStyle w:val="ListParagraph"/>
        <w:numPr>
          <w:ilvl w:val="0"/>
          <w:numId w:val="25"/>
        </w:numPr>
        <w:tabs>
          <w:tab w:val="clear" w:pos="9360"/>
        </w:tabs>
        <w:spacing w:line="240" w:lineRule="auto"/>
      </w:pPr>
      <w:r>
        <w:t>Know</w:t>
      </w:r>
      <w:r w:rsidR="00081907" w:rsidRPr="00081907">
        <w:t xml:space="preserve"> the level </w:t>
      </w:r>
      <w:r>
        <w:t>o</w:t>
      </w:r>
      <w:r w:rsidR="00081907" w:rsidRPr="00081907">
        <w:t>f engagement, or interest and resources needed for future engagement, in supporting PrEP implementation by local and city health departments.</w:t>
      </w:r>
    </w:p>
    <w:p w14:paraId="08E6FFAB" w14:textId="467631D2" w:rsidR="008C59E7" w:rsidRPr="00081907" w:rsidRDefault="005F1191" w:rsidP="008C59E7">
      <w:pPr>
        <w:pStyle w:val="ListParagraph"/>
        <w:numPr>
          <w:ilvl w:val="0"/>
          <w:numId w:val="25"/>
        </w:numPr>
        <w:tabs>
          <w:tab w:val="clear" w:pos="9360"/>
        </w:tabs>
        <w:spacing w:line="240" w:lineRule="auto"/>
      </w:pPr>
      <w:r>
        <w:t xml:space="preserve">More effectively and </w:t>
      </w:r>
      <w:r w:rsidR="00081907" w:rsidRPr="00081907">
        <w:t>successful</w:t>
      </w:r>
      <w:r>
        <w:t>ly</w:t>
      </w:r>
      <w:r w:rsidR="00081907" w:rsidRPr="00081907">
        <w:t xml:space="preserve"> introduc</w:t>
      </w:r>
      <w:r>
        <w:t>e</w:t>
      </w:r>
      <w:r w:rsidR="00081907" w:rsidRPr="00081907">
        <w:t xml:space="preserve"> and scale up of PrEP services to reduce the number of new HIV infections occurring in the US</w:t>
      </w:r>
      <w:r w:rsidR="00194F7D">
        <w:t>.</w:t>
      </w:r>
    </w:p>
    <w:p w14:paraId="20EB06B5" w14:textId="01D6F17E" w:rsidR="008C59E7" w:rsidRPr="00081907" w:rsidRDefault="005F1191" w:rsidP="008C59E7">
      <w:pPr>
        <w:pStyle w:val="ListParagraph"/>
        <w:numPr>
          <w:ilvl w:val="0"/>
          <w:numId w:val="25"/>
        </w:numPr>
        <w:tabs>
          <w:tab w:val="clear" w:pos="9360"/>
        </w:tabs>
        <w:spacing w:line="240" w:lineRule="auto"/>
      </w:pPr>
      <w:r>
        <w:t>E</w:t>
      </w:r>
      <w:r w:rsidR="00081907" w:rsidRPr="00081907">
        <w:t>ffectively support city/county health departments in this new HIV prevention effort.</w:t>
      </w:r>
    </w:p>
    <w:p w14:paraId="736D2172" w14:textId="77777777" w:rsidR="000058E0" w:rsidRDefault="000058E0" w:rsidP="000058E0">
      <w:pPr>
        <w:pStyle w:val="ListParagraph"/>
        <w:rPr>
          <w:lang w:eastAsia="zh-CN"/>
        </w:rPr>
      </w:pPr>
    </w:p>
    <w:p w14:paraId="07FA1CE1" w14:textId="77777777" w:rsidR="00E24133" w:rsidRDefault="00E24133" w:rsidP="000058E0">
      <w:pPr>
        <w:pStyle w:val="ListParagraph"/>
        <w:rPr>
          <w:lang w:eastAsia="zh-CN"/>
        </w:rPr>
      </w:pPr>
    </w:p>
    <w:p w14:paraId="3CA90E7F" w14:textId="77777777" w:rsidR="00B12F51" w:rsidRPr="00B47055" w:rsidRDefault="00B47055" w:rsidP="00692DEB">
      <w:pPr>
        <w:pStyle w:val="Heading4"/>
      </w:pPr>
      <w:bookmarkStart w:id="13" w:name="_Toc421540882"/>
      <w:r w:rsidRPr="00B47055">
        <w:t>Special Circumstances Relating to the Guidelines of 5 CFR 1320.5</w:t>
      </w:r>
      <w:bookmarkEnd w:id="13"/>
    </w:p>
    <w:p w14:paraId="3C9DF02F" w14:textId="77777777" w:rsidR="00F52BCC" w:rsidRDefault="00A809AA" w:rsidP="00692DEB">
      <w:pPr>
        <w:ind w:left="0"/>
      </w:pPr>
      <w:r>
        <w:t xml:space="preserve">There are no special circumstances with this information collection package. </w:t>
      </w:r>
      <w:r w:rsidR="00835CA7">
        <w:t>This request fully complies with the regulation 5 CFR 1320.5</w:t>
      </w:r>
      <w:r w:rsidR="00D95FBF">
        <w:t xml:space="preserve"> and will be voluntary</w:t>
      </w:r>
      <w:r w:rsidR="00835CA7">
        <w:t>.</w:t>
      </w:r>
    </w:p>
    <w:p w14:paraId="121410F2" w14:textId="77777777" w:rsidR="00F52BCC" w:rsidRDefault="00F52BCC" w:rsidP="005D6F14"/>
    <w:p w14:paraId="26DACD89" w14:textId="77777777" w:rsidR="00B12F51" w:rsidRPr="0088467A" w:rsidRDefault="0088467A" w:rsidP="00692DEB">
      <w:pPr>
        <w:pStyle w:val="Heading4"/>
      </w:pPr>
      <w:bookmarkStart w:id="14" w:name="_Toc421540883"/>
      <w:r w:rsidRPr="0088467A">
        <w:t>Comments in Response to the Federal Register Notice and Efforts to Consult Outside the Agency</w:t>
      </w:r>
      <w:bookmarkEnd w:id="14"/>
    </w:p>
    <w:p w14:paraId="330BCE65" w14:textId="77777777" w:rsidR="00A809AA" w:rsidRPr="00A809AA" w:rsidRDefault="00C768E5" w:rsidP="00692DEB">
      <w:pPr>
        <w:ind w:left="0"/>
      </w:pPr>
      <w:r>
        <w:t xml:space="preserve">This </w:t>
      </w:r>
      <w:r w:rsidR="00157413">
        <w:t>information collection</w:t>
      </w:r>
      <w:r>
        <w:t xml:space="preserve"> is being conducted using the Generic Information Collection mecha</w:t>
      </w:r>
      <w:r w:rsidR="00157413">
        <w:t>nism of the OSTLTS OMB Clearance Center</w:t>
      </w:r>
      <w:r>
        <w:t xml:space="preserve"> (O</w:t>
      </w:r>
      <w:r w:rsidR="00157413">
        <w:t>2</w:t>
      </w:r>
      <w:r>
        <w:t>C</w:t>
      </w:r>
      <w:r w:rsidR="00157413">
        <w:t>2</w:t>
      </w:r>
      <w:r>
        <w:t xml:space="preserve">) – OMB No. 0920-0879. </w:t>
      </w:r>
      <w:r w:rsidR="00A809AA" w:rsidRPr="00A809AA">
        <w:t xml:space="preserve">A 60-day Federal Register Notice was published in the Federal Register on </w:t>
      </w:r>
      <w:r w:rsidR="005115FA" w:rsidRPr="005115FA">
        <w:t>October 31, 2013, Vol. 78, No. 211; pp. 653 25-26</w:t>
      </w:r>
      <w:r w:rsidR="00A809AA" w:rsidRPr="00A809AA">
        <w:t xml:space="preserve">.  </w:t>
      </w:r>
      <w:r w:rsidR="005115FA">
        <w:t xml:space="preserve">No </w:t>
      </w:r>
      <w:r w:rsidR="00A809AA" w:rsidRPr="00A809AA">
        <w:t>comments were received</w:t>
      </w:r>
      <w:r w:rsidR="00783C75">
        <w:t>.</w:t>
      </w:r>
    </w:p>
    <w:p w14:paraId="66F9D96C" w14:textId="77777777" w:rsidR="00A809AA" w:rsidRPr="00A809AA" w:rsidRDefault="00A809AA" w:rsidP="00692DEB">
      <w:pPr>
        <w:ind w:left="0"/>
      </w:pPr>
    </w:p>
    <w:p w14:paraId="1A16F12F" w14:textId="77777777" w:rsidR="00A809AA" w:rsidRPr="00A809AA" w:rsidRDefault="00A809AA" w:rsidP="00692DEB">
      <w:pPr>
        <w:ind w:left="0"/>
      </w:pPr>
      <w:r w:rsidRPr="00A809AA">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7D2F4F98" w14:textId="77777777" w:rsidR="00F52BCC" w:rsidRPr="00A809AA" w:rsidRDefault="00F52BCC" w:rsidP="005D6F14"/>
    <w:p w14:paraId="1B0D6AEA" w14:textId="77777777" w:rsidR="00B12F51" w:rsidRPr="0088467A" w:rsidRDefault="0088467A" w:rsidP="00692DEB">
      <w:pPr>
        <w:pStyle w:val="Heading4"/>
      </w:pPr>
      <w:bookmarkStart w:id="15" w:name="_Toc421540884"/>
      <w:r w:rsidRPr="0088467A">
        <w:t>Explanation of Any Payment or Gift to Respondents</w:t>
      </w:r>
      <w:bookmarkEnd w:id="15"/>
    </w:p>
    <w:p w14:paraId="6CCB4DAD" w14:textId="77777777" w:rsidR="00F52BCC" w:rsidRDefault="00A809AA" w:rsidP="00692DEB">
      <w:pPr>
        <w:ind w:left="0"/>
      </w:pPr>
      <w:r>
        <w:t>CDC will not provide p</w:t>
      </w:r>
      <w:r w:rsidR="00D26A64">
        <w:t>ayments or gifts to respondents.</w:t>
      </w:r>
    </w:p>
    <w:p w14:paraId="5F8941CF" w14:textId="64C699E9" w:rsidR="004C5D15" w:rsidRDefault="004C5D15" w:rsidP="005D6F14"/>
    <w:p w14:paraId="316425E3" w14:textId="77777777" w:rsidR="00B12F51" w:rsidRPr="00D16E78" w:rsidRDefault="0088467A" w:rsidP="00692DEB">
      <w:pPr>
        <w:pStyle w:val="Heading4"/>
      </w:pPr>
      <w:r>
        <w:t xml:space="preserve"> </w:t>
      </w:r>
      <w:bookmarkStart w:id="16" w:name="_Toc421540885"/>
      <w:r w:rsidRPr="0088467A">
        <w:t>Assurance of Confidentiality Provided to Respondents</w:t>
      </w:r>
      <w:bookmarkEnd w:id="16"/>
    </w:p>
    <w:p w14:paraId="6A0E4F3A" w14:textId="3A6E5A33" w:rsidR="003C31C9" w:rsidRPr="003C31C9" w:rsidRDefault="003C31C9" w:rsidP="00692DEB">
      <w:pPr>
        <w:ind w:left="0"/>
      </w:pPr>
      <w:r w:rsidRPr="003C31C9">
        <w:t xml:space="preserve">The Privacy Act does not apply to this </w:t>
      </w:r>
      <w:r w:rsidR="00157413">
        <w:t xml:space="preserve">information </w:t>
      </w:r>
      <w:r w:rsidR="00157413" w:rsidRPr="00040611">
        <w:t>collection</w:t>
      </w:r>
      <w:r w:rsidRPr="00040611">
        <w:t xml:space="preserve">.  </w:t>
      </w:r>
      <w:r w:rsidR="005F1191">
        <w:t>Local</w:t>
      </w:r>
      <w:r w:rsidR="00081907">
        <w:t xml:space="preserve"> governmental staff </w:t>
      </w:r>
      <w:r w:rsidRPr="00040611">
        <w:t>will be speaking from their official roles and</w:t>
      </w:r>
      <w:r w:rsidRPr="003C31C9">
        <w:t xml:space="preserve"> will not be asked, nor will they provide individually identifiable information.  </w:t>
      </w:r>
    </w:p>
    <w:p w14:paraId="42025523" w14:textId="77777777" w:rsidR="003C31C9" w:rsidRPr="003C31C9" w:rsidRDefault="003C31C9" w:rsidP="00692DEB">
      <w:pPr>
        <w:ind w:left="0"/>
      </w:pPr>
    </w:p>
    <w:p w14:paraId="6E88FD39" w14:textId="77777777" w:rsidR="003C31C9" w:rsidRPr="003C31C9" w:rsidRDefault="003C31C9" w:rsidP="00692DEB">
      <w:pPr>
        <w:ind w:left="0"/>
      </w:pPr>
      <w:r w:rsidRPr="003C31C9">
        <w:t xml:space="preserve">This </w:t>
      </w:r>
      <w:r w:rsidR="00157413">
        <w:t>information collection</w:t>
      </w:r>
      <w:r w:rsidRPr="003C31C9">
        <w:t xml:space="preserve"> is not research involving human subjects.</w:t>
      </w:r>
    </w:p>
    <w:p w14:paraId="186767EC" w14:textId="77777777" w:rsidR="00F52BCC" w:rsidRPr="003C31C9" w:rsidRDefault="00F52BCC" w:rsidP="005D6F14"/>
    <w:p w14:paraId="520A9815" w14:textId="77777777" w:rsidR="000058E0" w:rsidRDefault="008C59E7" w:rsidP="00D1343B">
      <w:pPr>
        <w:pStyle w:val="Heading4"/>
        <w:numPr>
          <w:ilvl w:val="0"/>
          <w:numId w:val="0"/>
        </w:numPr>
        <w:tabs>
          <w:tab w:val="clear" w:pos="9360"/>
          <w:tab w:val="right" w:pos="450"/>
        </w:tabs>
        <w:ind w:left="360" w:hanging="360"/>
        <w:contextualSpacing w:val="0"/>
      </w:pPr>
      <w:bookmarkStart w:id="17" w:name="_Toc421540886"/>
      <w:r>
        <w:t xml:space="preserve">10.1 </w:t>
      </w:r>
      <w:r w:rsidR="000058E0">
        <w:t>Privacy Impact Assessment Information</w:t>
      </w:r>
      <w:bookmarkEnd w:id="17"/>
    </w:p>
    <w:p w14:paraId="7B79452D" w14:textId="77777777" w:rsidR="000058E0" w:rsidRPr="00B818ED" w:rsidRDefault="000058E0" w:rsidP="000058E0">
      <w:pPr>
        <w:pStyle w:val="Heading4"/>
        <w:numPr>
          <w:ilvl w:val="0"/>
          <w:numId w:val="0"/>
        </w:numPr>
        <w:rPr>
          <w:b w:val="0"/>
        </w:rPr>
      </w:pPr>
      <w:bookmarkStart w:id="18" w:name="_Toc418593143"/>
      <w:bookmarkStart w:id="19" w:name="_Toc421540887"/>
      <w:r w:rsidRPr="00B818ED">
        <w:rPr>
          <w:b w:val="0"/>
        </w:rPr>
        <w:t>No individually identifiable information (IIF) will be collected.</w:t>
      </w:r>
      <w:bookmarkEnd w:id="18"/>
      <w:bookmarkEnd w:id="19"/>
      <w:r w:rsidRPr="00B818ED">
        <w:rPr>
          <w:b w:val="0"/>
        </w:rPr>
        <w:t xml:space="preserve"> </w:t>
      </w:r>
    </w:p>
    <w:p w14:paraId="5AFB7BB4" w14:textId="7FE5EDA1" w:rsidR="00B925CE" w:rsidRPr="00B925CE" w:rsidRDefault="00B925CE" w:rsidP="00290569">
      <w:pPr>
        <w:ind w:left="0"/>
      </w:pPr>
    </w:p>
    <w:p w14:paraId="54D26428" w14:textId="77777777" w:rsidR="00B12F51" w:rsidRPr="0088467A" w:rsidRDefault="0088467A" w:rsidP="00692DEB">
      <w:pPr>
        <w:pStyle w:val="Heading4"/>
      </w:pPr>
      <w:bookmarkStart w:id="20" w:name="_Toc421540888"/>
      <w:r w:rsidRPr="0088467A">
        <w:t>Justification for Sensitive Questions</w:t>
      </w:r>
      <w:bookmarkEnd w:id="20"/>
    </w:p>
    <w:p w14:paraId="265945FF" w14:textId="77777777" w:rsidR="00F52BCC" w:rsidRDefault="003C31C9" w:rsidP="00692DEB">
      <w:pPr>
        <w:ind w:left="0"/>
      </w:pPr>
      <w:r>
        <w:t>No information will be collected</w:t>
      </w:r>
      <w:r w:rsidR="00616090">
        <w:t xml:space="preserve"> that are of personal or sensitive nature</w:t>
      </w:r>
      <w:r w:rsidR="00D26A64">
        <w:t>.</w:t>
      </w:r>
    </w:p>
    <w:p w14:paraId="0F8CFD13" w14:textId="77777777" w:rsidR="00B64BFA" w:rsidRPr="0088467A" w:rsidRDefault="0088467A" w:rsidP="00692DEB">
      <w:pPr>
        <w:pStyle w:val="Heading4"/>
      </w:pPr>
      <w:bookmarkStart w:id="21" w:name="_Toc421540889"/>
      <w:r w:rsidRPr="0088467A">
        <w:t>Estimates of Annualized Burden Hours and Costs</w:t>
      </w:r>
      <w:bookmarkEnd w:id="21"/>
    </w:p>
    <w:p w14:paraId="2ED576CE" w14:textId="3C8ECE0A" w:rsidR="000058E0" w:rsidRPr="00711BFA" w:rsidRDefault="00A751EE" w:rsidP="000058E0">
      <w:pPr>
        <w:ind w:left="0"/>
        <w:rPr>
          <w:color w:val="000000"/>
        </w:rPr>
      </w:pPr>
      <w:r>
        <w:rPr>
          <w:color w:val="000000"/>
        </w:rPr>
        <w:t xml:space="preserve">Six public health professionals pilot tested the information collection instrument. </w:t>
      </w:r>
      <w:r w:rsidR="000058E0" w:rsidRPr="00711BFA">
        <w:t xml:space="preserve">In the pilot test, the average time to complete the </w:t>
      </w:r>
      <w:r w:rsidR="000058E0" w:rsidRPr="0061015C">
        <w:t>instrument</w:t>
      </w:r>
      <w:r w:rsidR="00FB5C36">
        <w:t>,</w:t>
      </w:r>
      <w:r w:rsidR="000058E0" w:rsidRPr="0061015C">
        <w:t xml:space="preserve"> including time for reviewing instructions, gathering needed information and completing the instrument</w:t>
      </w:r>
      <w:r w:rsidR="000058E0" w:rsidRPr="00711BFA">
        <w:t xml:space="preserve">, was approximately </w:t>
      </w:r>
      <w:r w:rsidR="003B0B9D" w:rsidRPr="003B0B9D">
        <w:rPr>
          <w:color w:val="000000" w:themeColor="text1"/>
        </w:rPr>
        <w:t>22</w:t>
      </w:r>
      <w:r w:rsidR="000058E0" w:rsidRPr="003B0B9D">
        <w:rPr>
          <w:color w:val="000000" w:themeColor="text1"/>
        </w:rPr>
        <w:t xml:space="preserve"> </w:t>
      </w:r>
      <w:r w:rsidR="000058E0" w:rsidRPr="00711BFA">
        <w:t xml:space="preserve">minutes. Based on these results, the estimated time range for actual respondents to complete </w:t>
      </w:r>
      <w:r w:rsidR="000058E0" w:rsidRPr="0061015C">
        <w:t xml:space="preserve">the instrument </w:t>
      </w:r>
      <w:r w:rsidR="000058E0" w:rsidRPr="00423012">
        <w:rPr>
          <w:color w:val="000000" w:themeColor="text1"/>
        </w:rPr>
        <w:t xml:space="preserve">is </w:t>
      </w:r>
      <w:r w:rsidR="00423012" w:rsidRPr="00423012">
        <w:rPr>
          <w:color w:val="000000" w:themeColor="text1"/>
        </w:rPr>
        <w:t>14</w:t>
      </w:r>
      <w:r w:rsidR="008C59E7" w:rsidRPr="00423012">
        <w:rPr>
          <w:color w:val="000000" w:themeColor="text1"/>
        </w:rPr>
        <w:t xml:space="preserve"> to </w:t>
      </w:r>
      <w:r w:rsidR="00423012" w:rsidRPr="00423012">
        <w:rPr>
          <w:color w:val="000000" w:themeColor="text1"/>
        </w:rPr>
        <w:t>28</w:t>
      </w:r>
      <w:r w:rsidR="000058E0" w:rsidRPr="00423012">
        <w:rPr>
          <w:color w:val="000000" w:themeColor="text1"/>
        </w:rPr>
        <w:t xml:space="preserve"> </w:t>
      </w:r>
      <w:r w:rsidR="000058E0" w:rsidRPr="00711BFA">
        <w:t xml:space="preserve">minutes. For the purposes of estimating burden hours, the upper limit of this range (i.e., </w:t>
      </w:r>
      <w:r w:rsidR="00423012" w:rsidRPr="00423012">
        <w:rPr>
          <w:color w:val="000000" w:themeColor="text1"/>
        </w:rPr>
        <w:t>30</w:t>
      </w:r>
      <w:r w:rsidR="008C59E7" w:rsidRPr="00423012">
        <w:rPr>
          <w:color w:val="000000" w:themeColor="text1"/>
        </w:rPr>
        <w:t xml:space="preserve"> </w:t>
      </w:r>
      <w:r w:rsidR="000058E0" w:rsidRPr="00711BFA">
        <w:t>minutes) is used.</w:t>
      </w:r>
    </w:p>
    <w:p w14:paraId="4E3B7974" w14:textId="77777777" w:rsidR="000058E0" w:rsidRDefault="000058E0" w:rsidP="000058E0">
      <w:pPr>
        <w:ind w:left="0"/>
      </w:pPr>
    </w:p>
    <w:p w14:paraId="5AAF2EF5" w14:textId="7F46EEC0" w:rsidR="00BB090C" w:rsidRPr="00441CC3" w:rsidRDefault="000058E0" w:rsidP="000058E0">
      <w:pPr>
        <w:ind w:left="0"/>
      </w:pPr>
      <w:r w:rsidRPr="00711BFA">
        <w:t xml:space="preserve">Estimates for the average hourly wage for respondents are based on the Department of Labor (DOL) National Compensation Survey estimate for </w:t>
      </w:r>
      <w:r>
        <w:t xml:space="preserve">[job title] </w:t>
      </w:r>
      <w:r w:rsidRPr="00711BFA">
        <w:t>(</w:t>
      </w:r>
      <w:hyperlink r:id="rId14" w:history="1">
        <w:r w:rsidRPr="00711BFA">
          <w:rPr>
            <w:rStyle w:val="Hyperlink"/>
          </w:rPr>
          <w:t>http://www.bls.gov/ncs/ocs/sp/nctb1349.pdf</w:t>
        </w:r>
      </w:hyperlink>
      <w:r w:rsidRPr="00711BFA">
        <w:t xml:space="preserve">). Based on DOL data, an average hourly wage of </w:t>
      </w:r>
      <w:r w:rsidR="008C59E7" w:rsidRPr="0077299D">
        <w:t>$</w:t>
      </w:r>
      <w:r w:rsidR="0077299D" w:rsidRPr="0077299D">
        <w:t xml:space="preserve">57.11 </w:t>
      </w:r>
      <w:r w:rsidRPr="00711BFA">
        <w:t xml:space="preserve">is estimated for all </w:t>
      </w:r>
      <w:r w:rsidR="00423012" w:rsidRPr="00423012">
        <w:rPr>
          <w:color w:val="000000" w:themeColor="text1"/>
        </w:rPr>
        <w:t>500</w:t>
      </w:r>
      <w:r w:rsidRPr="00BB090C">
        <w:rPr>
          <w:color w:val="0070C0"/>
        </w:rPr>
        <w:t xml:space="preserve"> </w:t>
      </w:r>
      <w:r w:rsidRPr="00711BFA">
        <w:t>respondents. Table A-12 shows estimated burden and cost information.</w:t>
      </w:r>
    </w:p>
    <w:p w14:paraId="0DA9425A" w14:textId="77777777" w:rsidR="005A59E5" w:rsidRPr="002A1948" w:rsidRDefault="005A59E5" w:rsidP="00692DEB">
      <w:pPr>
        <w:ind w:left="0"/>
      </w:pPr>
    </w:p>
    <w:p w14:paraId="316325E7" w14:textId="77777777" w:rsidR="005A59E5" w:rsidRDefault="005A59E5" w:rsidP="00692DEB">
      <w:pPr>
        <w:pStyle w:val="ListParagraph"/>
        <w:ind w:left="0"/>
      </w:pPr>
      <w:r w:rsidRPr="008E0683">
        <w:rPr>
          <w:b/>
          <w:u w:val="single"/>
        </w:rPr>
        <w:t>Table A-12</w:t>
      </w:r>
      <w:r w:rsidRPr="008E0683">
        <w:rPr>
          <w:b/>
        </w:rPr>
        <w:t>:</w:t>
      </w:r>
      <w:r w:rsidRPr="003C31C9">
        <w:t xml:space="preserve"> </w:t>
      </w:r>
      <w:r>
        <w:t>Estimated</w:t>
      </w:r>
      <w:r w:rsidRPr="003C31C9">
        <w:t xml:space="preserve"> </w:t>
      </w:r>
      <w:r>
        <w:t>A</w:t>
      </w:r>
      <w:r w:rsidRPr="003C31C9">
        <w:t xml:space="preserve">nnualized </w:t>
      </w:r>
      <w:r>
        <w:t>Burden Hours and Costs to Respondents</w:t>
      </w: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350"/>
        <w:gridCol w:w="1440"/>
        <w:gridCol w:w="1440"/>
        <w:gridCol w:w="1530"/>
        <w:gridCol w:w="900"/>
        <w:gridCol w:w="900"/>
        <w:gridCol w:w="1350"/>
      </w:tblGrid>
      <w:tr w:rsidR="0043229B" w:rsidRPr="006F6856" w14:paraId="6D878536" w14:textId="77777777" w:rsidTr="000058E0">
        <w:trPr>
          <w:trHeight w:val="1493"/>
        </w:trPr>
        <w:tc>
          <w:tcPr>
            <w:tcW w:w="1350" w:type="dxa"/>
            <w:shd w:val="clear" w:color="auto" w:fill="D9D9D9" w:themeFill="background1" w:themeFillShade="D9"/>
          </w:tcPr>
          <w:p w14:paraId="43B1D307" w14:textId="77777777" w:rsidR="003B2200" w:rsidRPr="00E647FB" w:rsidRDefault="00157413" w:rsidP="000058E0">
            <w:pPr>
              <w:ind w:left="-18"/>
              <w:rPr>
                <w:b/>
                <w:sz w:val="20"/>
                <w:szCs w:val="20"/>
              </w:rPr>
            </w:pPr>
            <w:r w:rsidRPr="00E647FB">
              <w:rPr>
                <w:b/>
                <w:sz w:val="20"/>
                <w:szCs w:val="20"/>
              </w:rPr>
              <w:t>Information collection</w:t>
            </w:r>
            <w:r w:rsidR="003B2200" w:rsidRPr="00E647FB">
              <w:rPr>
                <w:b/>
                <w:sz w:val="20"/>
                <w:szCs w:val="20"/>
              </w:rPr>
              <w:t xml:space="preserve"> Instrument: Form Name</w:t>
            </w:r>
          </w:p>
        </w:tc>
        <w:tc>
          <w:tcPr>
            <w:tcW w:w="1350" w:type="dxa"/>
            <w:shd w:val="clear" w:color="auto" w:fill="D9D9D9" w:themeFill="background1" w:themeFillShade="D9"/>
            <w:vAlign w:val="center"/>
          </w:tcPr>
          <w:p w14:paraId="17F991A8" w14:textId="77777777" w:rsidR="003B2200" w:rsidRPr="00E647FB" w:rsidRDefault="003B2200" w:rsidP="000058E0">
            <w:pPr>
              <w:ind w:left="-18"/>
              <w:rPr>
                <w:b/>
                <w:sz w:val="20"/>
                <w:szCs w:val="20"/>
              </w:rPr>
            </w:pPr>
            <w:r w:rsidRPr="00E647FB">
              <w:rPr>
                <w:b/>
                <w:sz w:val="20"/>
                <w:szCs w:val="20"/>
              </w:rPr>
              <w:t>Type of Respondent</w:t>
            </w:r>
          </w:p>
        </w:tc>
        <w:tc>
          <w:tcPr>
            <w:tcW w:w="1440" w:type="dxa"/>
            <w:shd w:val="clear" w:color="auto" w:fill="D9D9D9" w:themeFill="background1" w:themeFillShade="D9"/>
            <w:vAlign w:val="center"/>
          </w:tcPr>
          <w:p w14:paraId="5C5592E7" w14:textId="77777777" w:rsidR="003B2200" w:rsidRPr="00E647FB" w:rsidRDefault="003B2200" w:rsidP="000058E0">
            <w:pPr>
              <w:ind w:left="-18"/>
              <w:rPr>
                <w:b/>
                <w:sz w:val="20"/>
                <w:szCs w:val="20"/>
              </w:rPr>
            </w:pPr>
            <w:r w:rsidRPr="00E647FB">
              <w:rPr>
                <w:b/>
                <w:sz w:val="20"/>
                <w:szCs w:val="20"/>
              </w:rPr>
              <w:t>No. of Respondents</w:t>
            </w:r>
          </w:p>
        </w:tc>
        <w:tc>
          <w:tcPr>
            <w:tcW w:w="1440" w:type="dxa"/>
            <w:shd w:val="clear" w:color="auto" w:fill="D9D9D9" w:themeFill="background1" w:themeFillShade="D9"/>
            <w:vAlign w:val="center"/>
          </w:tcPr>
          <w:p w14:paraId="59F17C96" w14:textId="77777777" w:rsidR="003B2200" w:rsidRPr="00E647FB" w:rsidRDefault="003B2200" w:rsidP="000058E0">
            <w:pPr>
              <w:ind w:left="-18"/>
              <w:rPr>
                <w:b/>
                <w:sz w:val="20"/>
                <w:szCs w:val="20"/>
              </w:rPr>
            </w:pPr>
            <w:r w:rsidRPr="00E647FB">
              <w:rPr>
                <w:b/>
                <w:sz w:val="20"/>
                <w:szCs w:val="20"/>
              </w:rPr>
              <w:t>No. of Responses per Respondent</w:t>
            </w:r>
          </w:p>
        </w:tc>
        <w:tc>
          <w:tcPr>
            <w:tcW w:w="1530" w:type="dxa"/>
            <w:shd w:val="clear" w:color="auto" w:fill="D9D9D9" w:themeFill="background1" w:themeFillShade="D9"/>
            <w:vAlign w:val="center"/>
          </w:tcPr>
          <w:p w14:paraId="20456A13" w14:textId="77777777" w:rsidR="003B2200" w:rsidRPr="00E647FB" w:rsidRDefault="003B2200" w:rsidP="000058E0">
            <w:pPr>
              <w:ind w:left="-18"/>
              <w:rPr>
                <w:b/>
                <w:sz w:val="20"/>
                <w:szCs w:val="20"/>
              </w:rPr>
            </w:pPr>
            <w:r w:rsidRPr="00E647FB">
              <w:rPr>
                <w:b/>
                <w:sz w:val="20"/>
                <w:szCs w:val="20"/>
              </w:rPr>
              <w:t>Average Burden per Response (in hours)</w:t>
            </w:r>
          </w:p>
        </w:tc>
        <w:tc>
          <w:tcPr>
            <w:tcW w:w="900" w:type="dxa"/>
            <w:shd w:val="clear" w:color="auto" w:fill="D9D9D9" w:themeFill="background1" w:themeFillShade="D9"/>
            <w:vAlign w:val="center"/>
          </w:tcPr>
          <w:p w14:paraId="22031DBE" w14:textId="77777777" w:rsidR="003B2200" w:rsidRPr="00E647FB" w:rsidRDefault="003B2200" w:rsidP="000058E0">
            <w:pPr>
              <w:ind w:left="-18"/>
              <w:rPr>
                <w:b/>
                <w:sz w:val="20"/>
                <w:szCs w:val="20"/>
              </w:rPr>
            </w:pPr>
            <w:r w:rsidRPr="00E647FB">
              <w:rPr>
                <w:b/>
                <w:sz w:val="20"/>
                <w:szCs w:val="20"/>
              </w:rPr>
              <w:t>Total Burden Hours</w:t>
            </w:r>
          </w:p>
        </w:tc>
        <w:tc>
          <w:tcPr>
            <w:tcW w:w="900" w:type="dxa"/>
            <w:shd w:val="clear" w:color="auto" w:fill="D9D9D9" w:themeFill="background1" w:themeFillShade="D9"/>
            <w:vAlign w:val="center"/>
          </w:tcPr>
          <w:p w14:paraId="6C98B665" w14:textId="77777777" w:rsidR="003B2200" w:rsidRPr="00E647FB" w:rsidRDefault="003B2200" w:rsidP="000058E0">
            <w:pPr>
              <w:ind w:left="-18"/>
              <w:rPr>
                <w:b/>
                <w:sz w:val="20"/>
                <w:szCs w:val="20"/>
              </w:rPr>
            </w:pPr>
            <w:r w:rsidRPr="00E647FB">
              <w:rPr>
                <w:b/>
                <w:sz w:val="20"/>
                <w:szCs w:val="20"/>
              </w:rPr>
              <w:t>Hourly Wage Rate</w:t>
            </w:r>
          </w:p>
        </w:tc>
        <w:tc>
          <w:tcPr>
            <w:tcW w:w="1350" w:type="dxa"/>
            <w:shd w:val="clear" w:color="auto" w:fill="D9D9D9" w:themeFill="background1" w:themeFillShade="D9"/>
            <w:vAlign w:val="center"/>
          </w:tcPr>
          <w:p w14:paraId="399A3F9F" w14:textId="77777777" w:rsidR="003B2200" w:rsidRPr="00E647FB" w:rsidRDefault="003B2200" w:rsidP="000058E0">
            <w:pPr>
              <w:ind w:left="-18"/>
              <w:rPr>
                <w:b/>
                <w:sz w:val="20"/>
                <w:szCs w:val="20"/>
              </w:rPr>
            </w:pPr>
            <w:r w:rsidRPr="00E647FB">
              <w:rPr>
                <w:b/>
                <w:sz w:val="20"/>
                <w:szCs w:val="20"/>
              </w:rPr>
              <w:t>Total Respondent Costs</w:t>
            </w:r>
          </w:p>
        </w:tc>
      </w:tr>
      <w:tr w:rsidR="0043229B" w:rsidRPr="006F6856" w14:paraId="39898DBC" w14:textId="77777777" w:rsidTr="000058E0">
        <w:tc>
          <w:tcPr>
            <w:tcW w:w="1350" w:type="dxa"/>
          </w:tcPr>
          <w:p w14:paraId="030E4947" w14:textId="0E981917" w:rsidR="003B2200" w:rsidRPr="00194F7D" w:rsidRDefault="00B7541B" w:rsidP="000058E0">
            <w:pPr>
              <w:ind w:left="0"/>
              <w:rPr>
                <w:sz w:val="20"/>
                <w:szCs w:val="20"/>
              </w:rPr>
            </w:pPr>
            <w:proofErr w:type="spellStart"/>
            <w:r w:rsidRPr="00194F7D">
              <w:rPr>
                <w:sz w:val="20"/>
                <w:szCs w:val="20"/>
              </w:rPr>
              <w:t>Preexposure</w:t>
            </w:r>
            <w:proofErr w:type="spellEnd"/>
            <w:r w:rsidRPr="00194F7D">
              <w:rPr>
                <w:sz w:val="20"/>
                <w:szCs w:val="20"/>
              </w:rPr>
              <w:t xml:space="preserve"> Prophylaxis (PrEP): Local Health Department Assessment</w:t>
            </w:r>
            <w:r w:rsidR="00290569" w:rsidRPr="00194F7D">
              <w:rPr>
                <w:sz w:val="20"/>
                <w:szCs w:val="20"/>
              </w:rPr>
              <w:t xml:space="preserve"> Instrument</w:t>
            </w:r>
          </w:p>
        </w:tc>
        <w:tc>
          <w:tcPr>
            <w:tcW w:w="1350" w:type="dxa"/>
            <w:vAlign w:val="center"/>
          </w:tcPr>
          <w:p w14:paraId="561DE88E" w14:textId="4BBFDE09" w:rsidR="003B2200" w:rsidRPr="00194F7D" w:rsidRDefault="005F1191" w:rsidP="005F1191">
            <w:pPr>
              <w:ind w:left="0"/>
              <w:rPr>
                <w:sz w:val="20"/>
                <w:szCs w:val="20"/>
              </w:rPr>
            </w:pPr>
            <w:r w:rsidRPr="00194F7D">
              <w:rPr>
                <w:sz w:val="20"/>
                <w:szCs w:val="20"/>
              </w:rPr>
              <w:t xml:space="preserve">HIV/STI Program Managers </w:t>
            </w:r>
          </w:p>
        </w:tc>
        <w:tc>
          <w:tcPr>
            <w:tcW w:w="1440" w:type="dxa"/>
            <w:vAlign w:val="center"/>
          </w:tcPr>
          <w:p w14:paraId="546F7F88" w14:textId="05092D49" w:rsidR="003B2200" w:rsidRPr="00194F7D" w:rsidRDefault="00423012" w:rsidP="000058E0">
            <w:pPr>
              <w:ind w:left="0"/>
              <w:rPr>
                <w:sz w:val="20"/>
                <w:szCs w:val="20"/>
              </w:rPr>
            </w:pPr>
            <w:r w:rsidRPr="00194F7D">
              <w:rPr>
                <w:sz w:val="20"/>
                <w:szCs w:val="20"/>
              </w:rPr>
              <w:t>500</w:t>
            </w:r>
          </w:p>
        </w:tc>
        <w:tc>
          <w:tcPr>
            <w:tcW w:w="1440" w:type="dxa"/>
            <w:vAlign w:val="center"/>
          </w:tcPr>
          <w:p w14:paraId="547C5D1F" w14:textId="4C1B034A" w:rsidR="003B2200" w:rsidRPr="00194F7D" w:rsidRDefault="00423012" w:rsidP="000058E0">
            <w:pPr>
              <w:ind w:left="0"/>
              <w:rPr>
                <w:sz w:val="20"/>
                <w:szCs w:val="20"/>
              </w:rPr>
            </w:pPr>
            <w:r w:rsidRPr="00194F7D">
              <w:rPr>
                <w:sz w:val="20"/>
                <w:szCs w:val="20"/>
              </w:rPr>
              <w:t>1</w:t>
            </w:r>
          </w:p>
        </w:tc>
        <w:tc>
          <w:tcPr>
            <w:tcW w:w="1530" w:type="dxa"/>
            <w:vAlign w:val="center"/>
          </w:tcPr>
          <w:p w14:paraId="420D4A80" w14:textId="70FA2AFE" w:rsidR="003B2200" w:rsidRPr="00194F7D" w:rsidRDefault="00423012" w:rsidP="00A751EE">
            <w:pPr>
              <w:ind w:left="0"/>
              <w:rPr>
                <w:sz w:val="20"/>
                <w:szCs w:val="20"/>
              </w:rPr>
            </w:pPr>
            <w:r w:rsidRPr="00194F7D">
              <w:rPr>
                <w:color w:val="000000" w:themeColor="text1"/>
                <w:sz w:val="20"/>
                <w:szCs w:val="20"/>
              </w:rPr>
              <w:t>30</w:t>
            </w:r>
            <w:r w:rsidR="008C59E7" w:rsidRPr="00194F7D">
              <w:rPr>
                <w:color w:val="000000" w:themeColor="text1"/>
                <w:sz w:val="20"/>
                <w:szCs w:val="20"/>
              </w:rPr>
              <w:t>/60</w:t>
            </w:r>
          </w:p>
        </w:tc>
        <w:tc>
          <w:tcPr>
            <w:tcW w:w="900" w:type="dxa"/>
            <w:vAlign w:val="center"/>
          </w:tcPr>
          <w:p w14:paraId="12EFDAFB" w14:textId="435A0972" w:rsidR="003B2200" w:rsidRPr="00194F7D" w:rsidRDefault="00423012" w:rsidP="000058E0">
            <w:pPr>
              <w:ind w:left="0"/>
              <w:rPr>
                <w:sz w:val="20"/>
                <w:szCs w:val="20"/>
              </w:rPr>
            </w:pPr>
            <w:r w:rsidRPr="00194F7D">
              <w:rPr>
                <w:sz w:val="20"/>
                <w:szCs w:val="20"/>
              </w:rPr>
              <w:t>250</w:t>
            </w:r>
          </w:p>
        </w:tc>
        <w:tc>
          <w:tcPr>
            <w:tcW w:w="900" w:type="dxa"/>
            <w:vAlign w:val="center"/>
          </w:tcPr>
          <w:p w14:paraId="16B097CB" w14:textId="2401D7EB" w:rsidR="003B2200" w:rsidRPr="00194F7D" w:rsidRDefault="0029559D" w:rsidP="000058E0">
            <w:pPr>
              <w:ind w:left="0"/>
              <w:rPr>
                <w:sz w:val="20"/>
                <w:szCs w:val="20"/>
              </w:rPr>
            </w:pPr>
            <w:r w:rsidRPr="00905EA4">
              <w:rPr>
                <w:rFonts w:cs="Times New Roman"/>
                <w:sz w:val="20"/>
                <w:szCs w:val="20"/>
              </w:rPr>
              <w:t>57.11</w:t>
            </w:r>
          </w:p>
        </w:tc>
        <w:tc>
          <w:tcPr>
            <w:tcW w:w="1350" w:type="dxa"/>
            <w:vAlign w:val="center"/>
          </w:tcPr>
          <w:p w14:paraId="0FBBFA9A" w14:textId="2B2124EA" w:rsidR="003B2200" w:rsidRPr="00194F7D" w:rsidRDefault="0029559D" w:rsidP="000058E0">
            <w:pPr>
              <w:ind w:left="0"/>
              <w:rPr>
                <w:sz w:val="20"/>
                <w:szCs w:val="20"/>
              </w:rPr>
            </w:pPr>
            <w:r w:rsidRPr="00194F7D">
              <w:rPr>
                <w:sz w:val="20"/>
                <w:szCs w:val="20"/>
              </w:rPr>
              <w:t>14,278</w:t>
            </w:r>
          </w:p>
        </w:tc>
      </w:tr>
      <w:tr w:rsidR="0043229B" w:rsidRPr="006F6856" w14:paraId="0EBA12C1" w14:textId="77777777" w:rsidTr="000058E0">
        <w:trPr>
          <w:trHeight w:hRule="exact" w:val="432"/>
        </w:trPr>
        <w:tc>
          <w:tcPr>
            <w:tcW w:w="1350" w:type="dxa"/>
          </w:tcPr>
          <w:p w14:paraId="6BD6B949" w14:textId="77777777" w:rsidR="003B2200" w:rsidRPr="00194F7D" w:rsidRDefault="003B2200" w:rsidP="000058E0">
            <w:pPr>
              <w:ind w:left="0"/>
              <w:rPr>
                <w:b/>
                <w:sz w:val="20"/>
                <w:szCs w:val="20"/>
              </w:rPr>
            </w:pPr>
          </w:p>
        </w:tc>
        <w:tc>
          <w:tcPr>
            <w:tcW w:w="1350" w:type="dxa"/>
            <w:vAlign w:val="center"/>
          </w:tcPr>
          <w:p w14:paraId="278F0475" w14:textId="77777777" w:rsidR="003B2200" w:rsidRPr="00194F7D" w:rsidRDefault="003B2200" w:rsidP="000058E0">
            <w:pPr>
              <w:ind w:left="0"/>
              <w:rPr>
                <w:b/>
                <w:sz w:val="20"/>
                <w:szCs w:val="20"/>
              </w:rPr>
            </w:pPr>
            <w:r w:rsidRPr="00194F7D">
              <w:rPr>
                <w:b/>
                <w:sz w:val="20"/>
                <w:szCs w:val="20"/>
              </w:rPr>
              <w:t>TOTALS</w:t>
            </w:r>
          </w:p>
        </w:tc>
        <w:tc>
          <w:tcPr>
            <w:tcW w:w="1440" w:type="dxa"/>
            <w:vAlign w:val="center"/>
          </w:tcPr>
          <w:p w14:paraId="34AAB560" w14:textId="41800895" w:rsidR="003B2200" w:rsidRPr="00194F7D" w:rsidRDefault="00423012" w:rsidP="000058E0">
            <w:pPr>
              <w:ind w:left="0"/>
              <w:rPr>
                <w:b/>
                <w:sz w:val="20"/>
                <w:szCs w:val="20"/>
              </w:rPr>
            </w:pPr>
            <w:r w:rsidRPr="00194F7D">
              <w:rPr>
                <w:b/>
                <w:sz w:val="20"/>
                <w:szCs w:val="20"/>
              </w:rPr>
              <w:t>500</w:t>
            </w:r>
          </w:p>
        </w:tc>
        <w:tc>
          <w:tcPr>
            <w:tcW w:w="1440" w:type="dxa"/>
            <w:shd w:val="clear" w:color="auto" w:fill="auto"/>
            <w:vAlign w:val="center"/>
          </w:tcPr>
          <w:p w14:paraId="13FCF88C" w14:textId="09ACB3F2" w:rsidR="003B2200" w:rsidRPr="00194F7D" w:rsidRDefault="00423012" w:rsidP="000058E0">
            <w:pPr>
              <w:ind w:left="0"/>
              <w:rPr>
                <w:b/>
                <w:sz w:val="20"/>
                <w:szCs w:val="20"/>
              </w:rPr>
            </w:pPr>
            <w:r w:rsidRPr="00194F7D">
              <w:rPr>
                <w:b/>
                <w:sz w:val="20"/>
                <w:szCs w:val="20"/>
              </w:rPr>
              <w:t>1</w:t>
            </w:r>
          </w:p>
        </w:tc>
        <w:tc>
          <w:tcPr>
            <w:tcW w:w="1530" w:type="dxa"/>
            <w:shd w:val="clear" w:color="auto" w:fill="D9D9D9" w:themeFill="background1" w:themeFillShade="D9"/>
            <w:vAlign w:val="center"/>
          </w:tcPr>
          <w:p w14:paraId="6AD7D013" w14:textId="77777777" w:rsidR="003B2200" w:rsidRPr="00194F7D" w:rsidRDefault="003B2200" w:rsidP="000058E0">
            <w:pPr>
              <w:ind w:left="0"/>
              <w:rPr>
                <w:b/>
                <w:sz w:val="20"/>
                <w:szCs w:val="20"/>
              </w:rPr>
            </w:pPr>
          </w:p>
        </w:tc>
        <w:tc>
          <w:tcPr>
            <w:tcW w:w="900" w:type="dxa"/>
            <w:vAlign w:val="center"/>
          </w:tcPr>
          <w:p w14:paraId="74565219" w14:textId="7D06D1D4" w:rsidR="003B2200" w:rsidRPr="00194F7D" w:rsidRDefault="00423012" w:rsidP="000058E0">
            <w:pPr>
              <w:ind w:left="0"/>
              <w:rPr>
                <w:b/>
                <w:sz w:val="20"/>
                <w:szCs w:val="20"/>
              </w:rPr>
            </w:pPr>
            <w:r w:rsidRPr="00194F7D">
              <w:rPr>
                <w:b/>
                <w:sz w:val="20"/>
                <w:szCs w:val="20"/>
              </w:rPr>
              <w:t>250</w:t>
            </w:r>
          </w:p>
        </w:tc>
        <w:tc>
          <w:tcPr>
            <w:tcW w:w="900" w:type="dxa"/>
            <w:shd w:val="clear" w:color="auto" w:fill="D9D9D9" w:themeFill="background1" w:themeFillShade="D9"/>
            <w:vAlign w:val="center"/>
          </w:tcPr>
          <w:p w14:paraId="2E988A2F" w14:textId="77777777" w:rsidR="003B2200" w:rsidRPr="00194F7D" w:rsidRDefault="003B2200" w:rsidP="000058E0">
            <w:pPr>
              <w:ind w:left="0"/>
              <w:rPr>
                <w:b/>
                <w:sz w:val="20"/>
                <w:szCs w:val="20"/>
              </w:rPr>
            </w:pPr>
          </w:p>
        </w:tc>
        <w:tc>
          <w:tcPr>
            <w:tcW w:w="1350" w:type="dxa"/>
            <w:vAlign w:val="center"/>
          </w:tcPr>
          <w:p w14:paraId="2CFA05B7" w14:textId="24BB9EED" w:rsidR="003B2200" w:rsidRPr="00194F7D" w:rsidRDefault="0029559D" w:rsidP="000058E0">
            <w:pPr>
              <w:ind w:left="0"/>
              <w:rPr>
                <w:b/>
                <w:sz w:val="20"/>
                <w:szCs w:val="20"/>
              </w:rPr>
            </w:pPr>
            <w:r w:rsidRPr="00194F7D">
              <w:rPr>
                <w:b/>
                <w:sz w:val="20"/>
                <w:szCs w:val="20"/>
              </w:rPr>
              <w:t>14,278</w:t>
            </w:r>
          </w:p>
        </w:tc>
      </w:tr>
    </w:tbl>
    <w:p w14:paraId="136E1E5A" w14:textId="77777777" w:rsidR="002F1502" w:rsidRDefault="002F1502" w:rsidP="00441CC3">
      <w:pPr>
        <w:ind w:left="0"/>
      </w:pPr>
    </w:p>
    <w:p w14:paraId="028F2AEE" w14:textId="77777777" w:rsidR="00B12F51" w:rsidRPr="0088467A" w:rsidRDefault="0088467A" w:rsidP="00692DEB">
      <w:pPr>
        <w:pStyle w:val="Heading4"/>
      </w:pPr>
      <w:bookmarkStart w:id="22" w:name="_Toc421540890"/>
      <w:r w:rsidRPr="0088467A">
        <w:t>Estimates of Other Total Annual Cost Burden to Respondents or Record Keepers</w:t>
      </w:r>
      <w:bookmarkEnd w:id="22"/>
    </w:p>
    <w:p w14:paraId="496EA3D5" w14:textId="77777777" w:rsidR="003C31C9" w:rsidRPr="00040611" w:rsidRDefault="003C31C9" w:rsidP="00692DEB">
      <w:pPr>
        <w:ind w:left="0"/>
      </w:pPr>
      <w:r w:rsidRPr="003C31C9">
        <w:t xml:space="preserve">There will be no </w:t>
      </w:r>
      <w:r w:rsidRPr="00040611">
        <w:t xml:space="preserve">direct costs to the respondents other than their time to participate in each </w:t>
      </w:r>
      <w:r w:rsidR="00157413" w:rsidRPr="008C59E7">
        <w:t>information collection</w:t>
      </w:r>
      <w:r w:rsidRPr="008C59E7">
        <w:t>.</w:t>
      </w:r>
    </w:p>
    <w:p w14:paraId="02D9CD83" w14:textId="773B5F11" w:rsidR="00290569" w:rsidRDefault="00290569" w:rsidP="00692DEB">
      <w:pPr>
        <w:ind w:left="0"/>
      </w:pPr>
    </w:p>
    <w:p w14:paraId="1421E9A2" w14:textId="77777777" w:rsidR="00B12F51" w:rsidRPr="0088467A" w:rsidRDefault="0088467A" w:rsidP="00692DEB">
      <w:pPr>
        <w:pStyle w:val="Heading4"/>
      </w:pPr>
      <w:bookmarkStart w:id="23" w:name="_Toc421540891"/>
      <w:r w:rsidRPr="0088467A">
        <w:t>Annualized Cost to the Government</w:t>
      </w:r>
      <w:bookmarkEnd w:id="23"/>
      <w:r w:rsidR="00D75750">
        <w:t xml:space="preserve"> </w:t>
      </w:r>
    </w:p>
    <w:p w14:paraId="740C9E20" w14:textId="02E6CBB0" w:rsidR="000058E0" w:rsidRPr="00711BFA" w:rsidRDefault="000058E0" w:rsidP="000058E0">
      <w:pPr>
        <w:ind w:left="0"/>
      </w:pPr>
      <w:r w:rsidRPr="000E58F5">
        <w:rPr>
          <w:rFonts w:cs="Arial"/>
        </w:rPr>
        <w:t>There are no equipment or overhead costs.  Contractors, however, are being used to support development of the assessment tool, data collection, and data analysis. The only cost to the federal government would be the salary of CDC staff and contractors.</w:t>
      </w:r>
      <w:r>
        <w:rPr>
          <w:rFonts w:cs="Arial"/>
        </w:rPr>
        <w:t xml:space="preserve"> </w:t>
      </w:r>
      <w:r w:rsidRPr="000E58F5">
        <w:rPr>
          <w:rFonts w:cs="Arial"/>
        </w:rPr>
        <w:t>The total estimated cost to the federal government is</w:t>
      </w:r>
      <w:r w:rsidR="008C59E7" w:rsidRPr="00615DC1">
        <w:rPr>
          <w:rFonts w:cs="Arial"/>
          <w:color w:val="000000" w:themeColor="text1"/>
        </w:rPr>
        <w:t xml:space="preserve"> </w:t>
      </w:r>
      <w:r w:rsidR="00615DC1" w:rsidRPr="00615DC1">
        <w:rPr>
          <w:rFonts w:cs="Arial"/>
          <w:color w:val="000000" w:themeColor="text1"/>
        </w:rPr>
        <w:t>$46,304.</w:t>
      </w:r>
      <w:r w:rsidRPr="00615DC1">
        <w:rPr>
          <w:rFonts w:cs="Arial"/>
          <w:color w:val="000000" w:themeColor="text1"/>
        </w:rPr>
        <w:t xml:space="preserve"> </w:t>
      </w:r>
      <w:r w:rsidRPr="000E58F5">
        <w:rPr>
          <w:rFonts w:cs="Arial"/>
        </w:rPr>
        <w:t>Table A-14 describes how this cost estimate was calculated.</w:t>
      </w:r>
    </w:p>
    <w:p w14:paraId="7CC5982E" w14:textId="3BB6AC2A" w:rsidR="008C37DC" w:rsidRDefault="008C37DC" w:rsidP="00692DEB">
      <w:pPr>
        <w:ind w:left="0"/>
        <w:rPr>
          <w:b/>
          <w:u w:val="single"/>
        </w:rPr>
      </w:pPr>
    </w:p>
    <w:p w14:paraId="64A40BB9" w14:textId="2277B3B4" w:rsidR="003C31C9" w:rsidRPr="00D75750" w:rsidRDefault="008E0683" w:rsidP="00692DEB">
      <w:pPr>
        <w:ind w:left="0"/>
      </w:pPr>
      <w:r w:rsidRPr="00692DEB">
        <w:rPr>
          <w:b/>
          <w:u w:val="single"/>
        </w:rPr>
        <w:t>Table A-14</w:t>
      </w:r>
      <w:r w:rsidRPr="00692DEB">
        <w:rPr>
          <w:b/>
        </w:rPr>
        <w:t>:</w:t>
      </w:r>
      <w:r w:rsidRPr="008E0683">
        <w:t xml:space="preserve"> Estimated Annualized Cost to the Federal Government</w:t>
      </w:r>
    </w:p>
    <w:tbl>
      <w:tblPr>
        <w:tblStyle w:val="TableGrid"/>
        <w:tblW w:w="0" w:type="auto"/>
        <w:tblLook w:val="04A0" w:firstRow="1" w:lastRow="0" w:firstColumn="1" w:lastColumn="0" w:noHBand="0" w:noVBand="1"/>
      </w:tblPr>
      <w:tblGrid>
        <w:gridCol w:w="4195"/>
        <w:gridCol w:w="1969"/>
        <w:gridCol w:w="1234"/>
        <w:gridCol w:w="236"/>
        <w:gridCol w:w="236"/>
        <w:gridCol w:w="1706"/>
      </w:tblGrid>
      <w:tr w:rsidR="004841F1" w:rsidRPr="004841F1" w14:paraId="41F5E257" w14:textId="77777777" w:rsidTr="00CA5840">
        <w:trPr>
          <w:trHeight w:val="593"/>
        </w:trPr>
        <w:tc>
          <w:tcPr>
            <w:tcW w:w="4195" w:type="dxa"/>
            <w:tcBorders>
              <w:bottom w:val="single" w:sz="12" w:space="0" w:color="auto"/>
            </w:tcBorders>
            <w:shd w:val="clear" w:color="auto" w:fill="D9D9D9" w:themeFill="background1" w:themeFillShade="D9"/>
            <w:vAlign w:val="center"/>
          </w:tcPr>
          <w:p w14:paraId="0462B4BE" w14:textId="77777777" w:rsidR="004841F1" w:rsidRPr="00E647FB" w:rsidRDefault="004841F1" w:rsidP="005D6F14">
            <w:pPr>
              <w:ind w:left="0"/>
              <w:jc w:val="center"/>
              <w:rPr>
                <w:b/>
                <w:sz w:val="20"/>
                <w:szCs w:val="20"/>
              </w:rPr>
            </w:pPr>
            <w:r w:rsidRPr="00E647FB">
              <w:rPr>
                <w:b/>
                <w:sz w:val="20"/>
                <w:szCs w:val="20"/>
              </w:rPr>
              <w:t>Staff (FTE)</w:t>
            </w:r>
          </w:p>
        </w:tc>
        <w:tc>
          <w:tcPr>
            <w:tcW w:w="1969" w:type="dxa"/>
            <w:tcBorders>
              <w:bottom w:val="single" w:sz="12" w:space="0" w:color="auto"/>
            </w:tcBorders>
            <w:shd w:val="clear" w:color="auto" w:fill="D9D9D9" w:themeFill="background1" w:themeFillShade="D9"/>
            <w:vAlign w:val="center"/>
          </w:tcPr>
          <w:p w14:paraId="59BC8C27" w14:textId="77777777" w:rsidR="004841F1" w:rsidRPr="00E647FB" w:rsidRDefault="004841F1" w:rsidP="005D6F14">
            <w:pPr>
              <w:ind w:left="0"/>
              <w:jc w:val="center"/>
              <w:rPr>
                <w:b/>
                <w:sz w:val="20"/>
                <w:szCs w:val="20"/>
              </w:rPr>
            </w:pPr>
            <w:r w:rsidRPr="00E647FB">
              <w:rPr>
                <w:b/>
                <w:sz w:val="20"/>
                <w:szCs w:val="20"/>
              </w:rPr>
              <w:t>Average Hours per Collection</w:t>
            </w:r>
          </w:p>
        </w:tc>
        <w:tc>
          <w:tcPr>
            <w:tcW w:w="1706" w:type="dxa"/>
            <w:gridSpan w:val="3"/>
            <w:tcBorders>
              <w:bottom w:val="single" w:sz="12" w:space="0" w:color="auto"/>
            </w:tcBorders>
            <w:shd w:val="clear" w:color="auto" w:fill="D9D9D9" w:themeFill="background1" w:themeFillShade="D9"/>
            <w:vAlign w:val="center"/>
          </w:tcPr>
          <w:p w14:paraId="315997AD" w14:textId="77777777" w:rsidR="004841F1" w:rsidRPr="00E647FB" w:rsidRDefault="004841F1" w:rsidP="005D6F14">
            <w:pPr>
              <w:ind w:left="0"/>
              <w:jc w:val="center"/>
              <w:rPr>
                <w:b/>
                <w:sz w:val="20"/>
                <w:szCs w:val="20"/>
              </w:rPr>
            </w:pPr>
            <w:r w:rsidRPr="00E647FB">
              <w:rPr>
                <w:b/>
                <w:sz w:val="20"/>
                <w:szCs w:val="20"/>
              </w:rPr>
              <w:t>Average Hourly Rate</w:t>
            </w:r>
          </w:p>
        </w:tc>
        <w:tc>
          <w:tcPr>
            <w:tcW w:w="1706" w:type="dxa"/>
            <w:tcBorders>
              <w:bottom w:val="single" w:sz="12" w:space="0" w:color="auto"/>
            </w:tcBorders>
            <w:shd w:val="clear" w:color="auto" w:fill="D9D9D9" w:themeFill="background1" w:themeFillShade="D9"/>
            <w:vAlign w:val="center"/>
          </w:tcPr>
          <w:p w14:paraId="551C83B7" w14:textId="77777777" w:rsidR="004841F1" w:rsidRPr="00E647FB" w:rsidRDefault="004841F1" w:rsidP="005D6F14">
            <w:pPr>
              <w:ind w:left="0"/>
              <w:jc w:val="center"/>
              <w:rPr>
                <w:b/>
                <w:sz w:val="20"/>
                <w:szCs w:val="20"/>
              </w:rPr>
            </w:pPr>
            <w:r w:rsidRPr="00E647FB">
              <w:rPr>
                <w:b/>
                <w:sz w:val="20"/>
                <w:szCs w:val="20"/>
              </w:rPr>
              <w:t>Average Cost</w:t>
            </w:r>
          </w:p>
        </w:tc>
      </w:tr>
      <w:tr w:rsidR="004841F1" w:rsidRPr="004841F1" w14:paraId="2F0194A7" w14:textId="77777777" w:rsidTr="00CA5840">
        <w:tc>
          <w:tcPr>
            <w:tcW w:w="4195" w:type="dxa"/>
            <w:tcBorders>
              <w:top w:val="single" w:sz="12" w:space="0" w:color="auto"/>
            </w:tcBorders>
          </w:tcPr>
          <w:p w14:paraId="10F8FBCD" w14:textId="2757CB83" w:rsidR="004841F1" w:rsidRPr="00E647FB" w:rsidRDefault="00321B51" w:rsidP="00810A50">
            <w:pPr>
              <w:ind w:left="0"/>
              <w:jc w:val="both"/>
              <w:rPr>
                <w:sz w:val="20"/>
                <w:szCs w:val="20"/>
              </w:rPr>
            </w:pPr>
            <w:r w:rsidRPr="00E647FB">
              <w:rPr>
                <w:sz w:val="20"/>
                <w:szCs w:val="20"/>
              </w:rPr>
              <w:t xml:space="preserve"> </w:t>
            </w:r>
            <w:r w:rsidR="00423012">
              <w:rPr>
                <w:sz w:val="20"/>
                <w:szCs w:val="20"/>
              </w:rPr>
              <w:t>Medical epidemiologist</w:t>
            </w:r>
            <w:r w:rsidR="00810A50">
              <w:rPr>
                <w:sz w:val="20"/>
                <w:szCs w:val="20"/>
              </w:rPr>
              <w:t xml:space="preserve"> (GS-14, step 10)</w:t>
            </w:r>
          </w:p>
        </w:tc>
        <w:tc>
          <w:tcPr>
            <w:tcW w:w="1969" w:type="dxa"/>
            <w:tcBorders>
              <w:top w:val="single" w:sz="12" w:space="0" w:color="auto"/>
            </w:tcBorders>
          </w:tcPr>
          <w:p w14:paraId="3AE092EF" w14:textId="46CE5208" w:rsidR="004841F1" w:rsidRPr="00E647FB" w:rsidRDefault="00810A50" w:rsidP="005D6F14">
            <w:pPr>
              <w:ind w:left="0"/>
              <w:jc w:val="center"/>
              <w:rPr>
                <w:sz w:val="20"/>
                <w:szCs w:val="20"/>
              </w:rPr>
            </w:pPr>
            <w:r>
              <w:rPr>
                <w:sz w:val="20"/>
                <w:szCs w:val="20"/>
              </w:rPr>
              <w:t>80</w:t>
            </w:r>
          </w:p>
        </w:tc>
        <w:tc>
          <w:tcPr>
            <w:tcW w:w="1706" w:type="dxa"/>
            <w:gridSpan w:val="3"/>
            <w:tcBorders>
              <w:top w:val="single" w:sz="12" w:space="0" w:color="auto"/>
            </w:tcBorders>
          </w:tcPr>
          <w:p w14:paraId="54719BC9" w14:textId="238A1976" w:rsidR="004841F1" w:rsidRPr="00E647FB" w:rsidRDefault="00810A50" w:rsidP="005D6F14">
            <w:pPr>
              <w:ind w:left="0"/>
              <w:jc w:val="center"/>
              <w:rPr>
                <w:sz w:val="20"/>
                <w:szCs w:val="20"/>
              </w:rPr>
            </w:pPr>
            <w:r>
              <w:rPr>
                <w:sz w:val="20"/>
                <w:szCs w:val="20"/>
              </w:rPr>
              <w:t>53.80</w:t>
            </w:r>
          </w:p>
        </w:tc>
        <w:tc>
          <w:tcPr>
            <w:tcW w:w="1706" w:type="dxa"/>
            <w:tcBorders>
              <w:top w:val="single" w:sz="12" w:space="0" w:color="auto"/>
            </w:tcBorders>
          </w:tcPr>
          <w:p w14:paraId="25725A5E" w14:textId="03FF8E46" w:rsidR="004841F1" w:rsidRPr="00E647FB" w:rsidRDefault="00810A50" w:rsidP="005D6F14">
            <w:pPr>
              <w:ind w:left="0"/>
              <w:jc w:val="center"/>
              <w:rPr>
                <w:sz w:val="20"/>
                <w:szCs w:val="20"/>
              </w:rPr>
            </w:pPr>
            <w:r>
              <w:rPr>
                <w:sz w:val="20"/>
                <w:szCs w:val="20"/>
              </w:rPr>
              <w:t>4,304</w:t>
            </w:r>
          </w:p>
        </w:tc>
      </w:tr>
      <w:tr w:rsidR="004841F1" w:rsidRPr="004841F1" w14:paraId="14B032E2" w14:textId="77777777" w:rsidTr="00CA5840">
        <w:tc>
          <w:tcPr>
            <w:tcW w:w="4195" w:type="dxa"/>
          </w:tcPr>
          <w:p w14:paraId="6AB08F9A" w14:textId="742DD851" w:rsidR="004824FA" w:rsidRPr="00E647FB" w:rsidRDefault="00321B51" w:rsidP="00CA5840">
            <w:pPr>
              <w:ind w:left="0"/>
              <w:jc w:val="both"/>
              <w:rPr>
                <w:sz w:val="20"/>
                <w:szCs w:val="20"/>
              </w:rPr>
            </w:pPr>
            <w:r w:rsidRPr="00E647FB">
              <w:rPr>
                <w:sz w:val="20"/>
                <w:szCs w:val="20"/>
              </w:rPr>
              <w:t xml:space="preserve"> </w:t>
            </w:r>
            <w:r w:rsidR="00810A50">
              <w:rPr>
                <w:sz w:val="20"/>
                <w:szCs w:val="20"/>
              </w:rPr>
              <w:t>Contractor (NACCHO)</w:t>
            </w:r>
          </w:p>
        </w:tc>
        <w:tc>
          <w:tcPr>
            <w:tcW w:w="1969" w:type="dxa"/>
          </w:tcPr>
          <w:p w14:paraId="1281E4FC" w14:textId="1DD08C58" w:rsidR="004841F1" w:rsidRPr="00E647FB" w:rsidRDefault="00810A50" w:rsidP="005D6F14">
            <w:pPr>
              <w:ind w:left="0"/>
              <w:jc w:val="center"/>
              <w:rPr>
                <w:sz w:val="20"/>
                <w:szCs w:val="20"/>
              </w:rPr>
            </w:pPr>
            <w:r>
              <w:rPr>
                <w:sz w:val="20"/>
                <w:szCs w:val="20"/>
              </w:rPr>
              <w:t>-</w:t>
            </w:r>
          </w:p>
        </w:tc>
        <w:tc>
          <w:tcPr>
            <w:tcW w:w="1706" w:type="dxa"/>
            <w:gridSpan w:val="3"/>
          </w:tcPr>
          <w:p w14:paraId="1C3A4974" w14:textId="64A4DB9E" w:rsidR="004841F1" w:rsidRPr="00E647FB" w:rsidRDefault="00810A50" w:rsidP="005D6F14">
            <w:pPr>
              <w:ind w:left="0"/>
              <w:jc w:val="center"/>
              <w:rPr>
                <w:sz w:val="20"/>
                <w:szCs w:val="20"/>
              </w:rPr>
            </w:pPr>
            <w:r>
              <w:rPr>
                <w:sz w:val="20"/>
                <w:szCs w:val="20"/>
              </w:rPr>
              <w:t>-</w:t>
            </w:r>
          </w:p>
        </w:tc>
        <w:tc>
          <w:tcPr>
            <w:tcW w:w="1706" w:type="dxa"/>
          </w:tcPr>
          <w:p w14:paraId="03209992" w14:textId="74C185A0" w:rsidR="004841F1" w:rsidRPr="00E647FB" w:rsidRDefault="00DC00D1" w:rsidP="005D6F14">
            <w:pPr>
              <w:ind w:left="0"/>
              <w:jc w:val="center"/>
              <w:rPr>
                <w:sz w:val="20"/>
                <w:szCs w:val="20"/>
              </w:rPr>
            </w:pPr>
            <w:r>
              <w:rPr>
                <w:sz w:val="20"/>
                <w:szCs w:val="20"/>
              </w:rPr>
              <w:t>42,000</w:t>
            </w:r>
          </w:p>
        </w:tc>
      </w:tr>
      <w:tr w:rsidR="005D6F14" w:rsidRPr="004841F1" w14:paraId="7172F7F4" w14:textId="77777777" w:rsidTr="005D6F14">
        <w:trPr>
          <w:trHeight w:val="332"/>
        </w:trPr>
        <w:tc>
          <w:tcPr>
            <w:tcW w:w="7398" w:type="dxa"/>
            <w:gridSpan w:val="3"/>
            <w:tcBorders>
              <w:right w:val="nil"/>
            </w:tcBorders>
            <w:vAlign w:val="center"/>
          </w:tcPr>
          <w:p w14:paraId="205A6FBA" w14:textId="77777777" w:rsidR="005D6F14" w:rsidRPr="00E647FB" w:rsidRDefault="005D6F14" w:rsidP="005D6F14">
            <w:pPr>
              <w:ind w:left="0"/>
              <w:jc w:val="right"/>
              <w:rPr>
                <w:b/>
                <w:sz w:val="20"/>
                <w:szCs w:val="20"/>
              </w:rPr>
            </w:pPr>
            <w:r w:rsidRPr="00E647FB">
              <w:rPr>
                <w:b/>
                <w:sz w:val="20"/>
                <w:szCs w:val="20"/>
              </w:rPr>
              <w:t>Estimated Total Cost of Information Collection</w:t>
            </w:r>
          </w:p>
        </w:tc>
        <w:tc>
          <w:tcPr>
            <w:tcW w:w="236" w:type="dxa"/>
            <w:tcBorders>
              <w:left w:val="nil"/>
              <w:right w:val="nil"/>
            </w:tcBorders>
            <w:vAlign w:val="center"/>
          </w:tcPr>
          <w:p w14:paraId="487CFCF9" w14:textId="77777777" w:rsidR="005D6F14" w:rsidRPr="00E647FB" w:rsidRDefault="005D6F14" w:rsidP="00CA5840">
            <w:pPr>
              <w:ind w:left="0"/>
              <w:rPr>
                <w:b/>
                <w:sz w:val="20"/>
                <w:szCs w:val="20"/>
              </w:rPr>
            </w:pPr>
          </w:p>
        </w:tc>
        <w:tc>
          <w:tcPr>
            <w:tcW w:w="236" w:type="dxa"/>
            <w:tcBorders>
              <w:left w:val="nil"/>
            </w:tcBorders>
            <w:vAlign w:val="center"/>
          </w:tcPr>
          <w:p w14:paraId="7E01C474" w14:textId="77777777" w:rsidR="005D6F14" w:rsidRPr="00E647FB" w:rsidRDefault="005D6F14" w:rsidP="00CA5840">
            <w:pPr>
              <w:ind w:left="0"/>
              <w:rPr>
                <w:b/>
                <w:sz w:val="20"/>
                <w:szCs w:val="20"/>
              </w:rPr>
            </w:pPr>
          </w:p>
        </w:tc>
        <w:tc>
          <w:tcPr>
            <w:tcW w:w="1706" w:type="dxa"/>
            <w:vAlign w:val="center"/>
          </w:tcPr>
          <w:p w14:paraId="24DA9AD7" w14:textId="0A8CBA45" w:rsidR="005D6F14" w:rsidRPr="00E647FB" w:rsidRDefault="00615DC1" w:rsidP="005D6F14">
            <w:pPr>
              <w:ind w:left="0"/>
              <w:jc w:val="center"/>
              <w:rPr>
                <w:b/>
                <w:sz w:val="20"/>
                <w:szCs w:val="20"/>
              </w:rPr>
            </w:pPr>
            <w:r>
              <w:rPr>
                <w:b/>
                <w:sz w:val="20"/>
                <w:szCs w:val="20"/>
              </w:rPr>
              <w:t>46,304</w:t>
            </w:r>
          </w:p>
        </w:tc>
      </w:tr>
    </w:tbl>
    <w:p w14:paraId="629F4147" w14:textId="77777777" w:rsidR="005D6F14" w:rsidRDefault="005D6F14" w:rsidP="00441CC3">
      <w:pPr>
        <w:ind w:left="0"/>
      </w:pPr>
    </w:p>
    <w:p w14:paraId="12982187" w14:textId="77777777" w:rsidR="00B12F51" w:rsidRPr="00D75750" w:rsidRDefault="00D75750" w:rsidP="00692DEB">
      <w:pPr>
        <w:pStyle w:val="Heading4"/>
      </w:pPr>
      <w:bookmarkStart w:id="24" w:name="_Toc421540892"/>
      <w:r w:rsidRPr="00D75750">
        <w:t>Explanation for Program Changes or Adjustments</w:t>
      </w:r>
      <w:bookmarkEnd w:id="24"/>
    </w:p>
    <w:p w14:paraId="714AFE9F" w14:textId="77777777" w:rsidR="00F52BCC" w:rsidRDefault="003C7C5D" w:rsidP="00692DEB">
      <w:pPr>
        <w:ind w:left="0"/>
      </w:pPr>
      <w:r>
        <w:t xml:space="preserve">This is a new </w:t>
      </w:r>
      <w:r w:rsidR="00157413">
        <w:t>information collection</w:t>
      </w:r>
      <w:r>
        <w:t>.</w:t>
      </w:r>
    </w:p>
    <w:p w14:paraId="19DED91E" w14:textId="210A012C" w:rsidR="0066564B" w:rsidRDefault="0066564B" w:rsidP="005D6F14"/>
    <w:p w14:paraId="48D4B833" w14:textId="77777777" w:rsidR="00E24133" w:rsidRDefault="00E24133" w:rsidP="005D6F14"/>
    <w:p w14:paraId="42E7237E" w14:textId="77777777" w:rsidR="00B12F51" w:rsidRPr="00EF33CD" w:rsidRDefault="00616090" w:rsidP="00692DEB">
      <w:pPr>
        <w:pStyle w:val="Heading4"/>
      </w:pPr>
      <w:bookmarkStart w:id="25" w:name="_Toc421540893"/>
      <w:r>
        <w:t>Plan</w:t>
      </w:r>
      <w:r w:rsidR="00D75750">
        <w:t>s</w:t>
      </w:r>
      <w:r w:rsidR="00D75750" w:rsidRPr="00D75750">
        <w:t xml:space="preserve"> for Tabulation and Publication and Project Time Schedule</w:t>
      </w:r>
      <w:bookmarkEnd w:id="25"/>
    </w:p>
    <w:p w14:paraId="35587A88" w14:textId="0A882E75" w:rsidR="00D24E44" w:rsidRDefault="00D24E44" w:rsidP="00D24E44">
      <w:pPr>
        <w:spacing w:line="240" w:lineRule="auto"/>
        <w:ind w:left="0"/>
        <w:contextualSpacing/>
      </w:pPr>
      <w:r w:rsidRPr="00721555">
        <w:t xml:space="preserve">Descriptive statistics such as frequency, percentage, and mean/median will be conducted for all </w:t>
      </w:r>
      <w:r>
        <w:t>responses to the web assessment questions</w:t>
      </w:r>
      <w:r w:rsidRPr="00721555">
        <w:t xml:space="preserve">. </w:t>
      </w:r>
      <w:r>
        <w:t>Cross-tabulations will be done for important subgroups (e.g. by region, types of engagement in PrEP)</w:t>
      </w:r>
      <w:r w:rsidR="00FB5C36">
        <w:t>.</w:t>
      </w:r>
      <w:r>
        <w:t xml:space="preserve"> </w:t>
      </w:r>
      <w:r w:rsidR="00CD1F8D">
        <w:t xml:space="preserve">Multivariable analysis methods (e.g., logistic regression) will be applied to assess correlates of current and planned engagement in PrEP implementation. </w:t>
      </w:r>
      <w:r>
        <w:t>Data analysi</w:t>
      </w:r>
      <w:r w:rsidRPr="00721555">
        <w:t>s will be conducted using STATA 12.1.</w:t>
      </w:r>
      <w:r w:rsidR="00FB5C36">
        <w:t xml:space="preserve"> </w:t>
      </w:r>
    </w:p>
    <w:p w14:paraId="0BFF1126" w14:textId="77777777" w:rsidR="00D24E44" w:rsidRDefault="00D24E44" w:rsidP="00D24E44">
      <w:pPr>
        <w:spacing w:line="240" w:lineRule="auto"/>
        <w:ind w:left="0"/>
        <w:contextualSpacing/>
      </w:pPr>
    </w:p>
    <w:p w14:paraId="15F7616F" w14:textId="190E3A1C" w:rsidR="00D24E44" w:rsidRDefault="00D24E44" w:rsidP="00D24E44">
      <w:pPr>
        <w:spacing w:line="240" w:lineRule="auto"/>
        <w:ind w:left="0"/>
        <w:contextualSpacing/>
      </w:pPr>
      <w:r w:rsidRPr="00226E6C">
        <w:t>It is intended that a manuscript will be developed and submitted to a peer-reviewed journal for consideration for publication. Abstracts will be submitted for presentation</w:t>
      </w:r>
      <w:r>
        <w:t xml:space="preserve"> of project findings</w:t>
      </w:r>
      <w:r w:rsidRPr="00226E6C">
        <w:t xml:space="preserve"> at national conferences and meetings</w:t>
      </w:r>
      <w:r w:rsidR="00FD1555">
        <w:t>.</w:t>
      </w:r>
    </w:p>
    <w:p w14:paraId="76DE0A43" w14:textId="77777777" w:rsidR="000058E0" w:rsidRDefault="000058E0" w:rsidP="000058E0">
      <w:pPr>
        <w:ind w:left="0"/>
        <w:rPr>
          <w:rFonts w:cs="Arial"/>
          <w:b/>
        </w:rPr>
      </w:pPr>
    </w:p>
    <w:p w14:paraId="3F3CA07B" w14:textId="353D3A8B" w:rsidR="008C59E7" w:rsidRPr="00BB090C" w:rsidRDefault="008C59E7" w:rsidP="008C59E7">
      <w:pPr>
        <w:ind w:left="0"/>
        <w:rPr>
          <w:rFonts w:cs="Arial"/>
          <w:color w:val="0070C0"/>
        </w:rPr>
      </w:pPr>
      <w:r w:rsidRPr="00BB090C">
        <w:rPr>
          <w:rFonts w:cs="Arial"/>
          <w:u w:val="single"/>
        </w:rPr>
        <w:t>Project Time Schedule</w:t>
      </w:r>
      <w:r w:rsidR="006B5F07">
        <w:rPr>
          <w:rFonts w:cs="Arial"/>
        </w:rPr>
        <w:t xml:space="preserve"> </w:t>
      </w:r>
    </w:p>
    <w:p w14:paraId="13E55724" w14:textId="77777777" w:rsidR="008C59E7" w:rsidRPr="006B5F07" w:rsidRDefault="008C59E7" w:rsidP="008C59E7">
      <w:pPr>
        <w:pStyle w:val="ListParagraph"/>
        <w:numPr>
          <w:ilvl w:val="0"/>
          <w:numId w:val="17"/>
        </w:numPr>
        <w:tabs>
          <w:tab w:val="right" w:leader="dot" w:pos="9360"/>
        </w:tabs>
        <w:rPr>
          <w:color w:val="000000" w:themeColor="text1"/>
        </w:rPr>
      </w:pPr>
      <w:r w:rsidRPr="006B5F07">
        <w:rPr>
          <w:rFonts w:eastAsiaTheme="majorEastAsia" w:cstheme="majorBidi"/>
          <w:color w:val="000000" w:themeColor="text1"/>
        </w:rPr>
        <w:t xml:space="preserve">Design questionnaire </w:t>
      </w:r>
      <w:r w:rsidRPr="006B5F07">
        <w:rPr>
          <w:color w:val="000000" w:themeColor="text1"/>
        </w:rPr>
        <w:tab/>
      </w:r>
      <w:r w:rsidRPr="006B5F07">
        <w:rPr>
          <w:rFonts w:eastAsiaTheme="majorEastAsia" w:cstheme="majorBidi"/>
          <w:color w:val="000000" w:themeColor="text1"/>
        </w:rPr>
        <w:t>(COMPLETE)</w:t>
      </w:r>
    </w:p>
    <w:p w14:paraId="604CCC5A" w14:textId="77777777" w:rsidR="008C59E7" w:rsidRPr="006B5F07" w:rsidRDefault="008C59E7" w:rsidP="008C59E7">
      <w:pPr>
        <w:pStyle w:val="ListParagraph"/>
        <w:numPr>
          <w:ilvl w:val="0"/>
          <w:numId w:val="18"/>
        </w:numPr>
        <w:tabs>
          <w:tab w:val="right" w:leader="dot" w:pos="9360"/>
        </w:tabs>
        <w:rPr>
          <w:color w:val="000000" w:themeColor="text1"/>
        </w:rPr>
      </w:pPr>
      <w:r w:rsidRPr="006B5F07">
        <w:rPr>
          <w:rFonts w:eastAsiaTheme="majorEastAsia" w:cstheme="majorBidi"/>
          <w:color w:val="000000" w:themeColor="text1"/>
        </w:rPr>
        <w:t xml:space="preserve">Develop protocol, instructions, and analysis plan </w:t>
      </w:r>
      <w:r w:rsidRPr="006B5F07">
        <w:rPr>
          <w:color w:val="000000" w:themeColor="text1"/>
        </w:rPr>
        <w:tab/>
      </w:r>
      <w:r w:rsidRPr="006B5F07">
        <w:rPr>
          <w:rFonts w:eastAsiaTheme="majorEastAsia" w:cstheme="majorBidi"/>
          <w:color w:val="000000" w:themeColor="text1"/>
        </w:rPr>
        <w:t>(COMPLETE)</w:t>
      </w:r>
    </w:p>
    <w:p w14:paraId="7D489573" w14:textId="77777777" w:rsidR="008C59E7" w:rsidRPr="006B5F07" w:rsidRDefault="008C59E7" w:rsidP="008C59E7">
      <w:pPr>
        <w:pStyle w:val="ListParagraph"/>
        <w:numPr>
          <w:ilvl w:val="0"/>
          <w:numId w:val="21"/>
        </w:numPr>
        <w:tabs>
          <w:tab w:val="right" w:leader="dot" w:pos="9360"/>
        </w:tabs>
        <w:ind w:left="720"/>
        <w:rPr>
          <w:color w:val="000000" w:themeColor="text1"/>
        </w:rPr>
      </w:pPr>
      <w:r w:rsidRPr="006B5F07">
        <w:rPr>
          <w:rFonts w:eastAsiaTheme="majorEastAsia" w:cstheme="majorBidi"/>
          <w:color w:val="000000" w:themeColor="text1"/>
        </w:rPr>
        <w:t xml:space="preserve">Pilot test questionnaire </w:t>
      </w:r>
      <w:r w:rsidRPr="006B5F07">
        <w:rPr>
          <w:color w:val="000000" w:themeColor="text1"/>
        </w:rPr>
        <w:tab/>
      </w:r>
      <w:r w:rsidRPr="006B5F07">
        <w:rPr>
          <w:rFonts w:eastAsiaTheme="majorEastAsia" w:cstheme="majorBidi"/>
          <w:color w:val="000000" w:themeColor="text1"/>
        </w:rPr>
        <w:t>(COMPLETE)</w:t>
      </w:r>
    </w:p>
    <w:p w14:paraId="649A472C" w14:textId="77777777" w:rsidR="008C59E7" w:rsidRPr="006B5F07" w:rsidRDefault="008C59E7" w:rsidP="008C59E7">
      <w:pPr>
        <w:pStyle w:val="ListParagraph"/>
        <w:numPr>
          <w:ilvl w:val="0"/>
          <w:numId w:val="21"/>
        </w:numPr>
        <w:tabs>
          <w:tab w:val="right" w:leader="dot" w:pos="9360"/>
        </w:tabs>
        <w:ind w:left="720"/>
        <w:rPr>
          <w:color w:val="000000" w:themeColor="text1"/>
        </w:rPr>
      </w:pPr>
      <w:r w:rsidRPr="006B5F07">
        <w:rPr>
          <w:rFonts w:eastAsiaTheme="majorEastAsia" w:cstheme="majorBidi"/>
          <w:color w:val="000000" w:themeColor="text1"/>
        </w:rPr>
        <w:t xml:space="preserve">Prepare OMB package </w:t>
      </w:r>
      <w:r w:rsidRPr="006B5F07">
        <w:rPr>
          <w:color w:val="000000" w:themeColor="text1"/>
        </w:rPr>
        <w:tab/>
      </w:r>
      <w:r w:rsidRPr="006B5F07">
        <w:rPr>
          <w:rFonts w:eastAsiaTheme="majorEastAsia" w:cstheme="majorBidi"/>
          <w:color w:val="000000" w:themeColor="text1"/>
        </w:rPr>
        <w:t>(COMPLETE)</w:t>
      </w:r>
    </w:p>
    <w:p w14:paraId="0DA9607E" w14:textId="77777777" w:rsidR="008C59E7" w:rsidRPr="006B5F07" w:rsidRDefault="008C59E7" w:rsidP="008C59E7">
      <w:pPr>
        <w:pStyle w:val="ListParagraph"/>
        <w:numPr>
          <w:ilvl w:val="0"/>
          <w:numId w:val="21"/>
        </w:numPr>
        <w:tabs>
          <w:tab w:val="right" w:leader="dot" w:pos="9360"/>
        </w:tabs>
        <w:ind w:left="720"/>
        <w:rPr>
          <w:color w:val="000000" w:themeColor="text1"/>
        </w:rPr>
      </w:pPr>
      <w:r w:rsidRPr="006B5F07">
        <w:rPr>
          <w:rFonts w:eastAsiaTheme="majorEastAsia" w:cstheme="majorBidi"/>
          <w:color w:val="000000" w:themeColor="text1"/>
        </w:rPr>
        <w:t xml:space="preserve">Submit OMB package </w:t>
      </w:r>
      <w:r w:rsidRPr="006B5F07">
        <w:rPr>
          <w:color w:val="000000" w:themeColor="text1"/>
        </w:rPr>
        <w:tab/>
      </w:r>
      <w:r w:rsidRPr="006B5F07">
        <w:rPr>
          <w:rFonts w:eastAsiaTheme="majorEastAsia" w:cstheme="majorBidi"/>
          <w:color w:val="000000" w:themeColor="text1"/>
        </w:rPr>
        <w:t>(COMPLETE)</w:t>
      </w:r>
    </w:p>
    <w:p w14:paraId="35E77EC4" w14:textId="77777777" w:rsidR="008C59E7" w:rsidRPr="006B5F07" w:rsidRDefault="008C59E7" w:rsidP="008C59E7">
      <w:pPr>
        <w:pStyle w:val="ListParagraph"/>
        <w:numPr>
          <w:ilvl w:val="0"/>
          <w:numId w:val="16"/>
        </w:numPr>
        <w:tabs>
          <w:tab w:val="right" w:leader="dot" w:pos="9360"/>
        </w:tabs>
        <w:rPr>
          <w:color w:val="000000" w:themeColor="text1"/>
        </w:rPr>
      </w:pPr>
      <w:r w:rsidRPr="006B5F07">
        <w:rPr>
          <w:rFonts w:eastAsiaTheme="majorEastAsia" w:cstheme="majorBidi"/>
          <w:color w:val="000000" w:themeColor="text1"/>
        </w:rPr>
        <w:t xml:space="preserve">OMB approval </w:t>
      </w:r>
      <w:r w:rsidRPr="006B5F07">
        <w:rPr>
          <w:color w:val="000000" w:themeColor="text1"/>
        </w:rPr>
        <w:tab/>
      </w:r>
      <w:r w:rsidRPr="006B5F07">
        <w:rPr>
          <w:rFonts w:eastAsiaTheme="majorEastAsia" w:cstheme="majorBidi"/>
          <w:color w:val="000000" w:themeColor="text1"/>
        </w:rPr>
        <w:t>(TBD)</w:t>
      </w:r>
    </w:p>
    <w:p w14:paraId="0CF6F980" w14:textId="77777777" w:rsidR="008C59E7" w:rsidRPr="006B5F07" w:rsidRDefault="008C59E7" w:rsidP="008C59E7">
      <w:pPr>
        <w:pStyle w:val="ListParagraph"/>
        <w:numPr>
          <w:ilvl w:val="0"/>
          <w:numId w:val="16"/>
        </w:numPr>
        <w:tabs>
          <w:tab w:val="right" w:leader="dot" w:pos="9360"/>
        </w:tabs>
        <w:rPr>
          <w:color w:val="000000" w:themeColor="text1"/>
        </w:rPr>
      </w:pPr>
      <w:r w:rsidRPr="006B5F07">
        <w:rPr>
          <w:rFonts w:eastAsiaTheme="majorEastAsia" w:cstheme="majorBidi"/>
          <w:color w:val="000000" w:themeColor="text1"/>
        </w:rPr>
        <w:t xml:space="preserve">Conduct assessment </w:t>
      </w:r>
      <w:r w:rsidRPr="006B5F07">
        <w:rPr>
          <w:color w:val="000000" w:themeColor="text1"/>
        </w:rPr>
        <w:tab/>
      </w:r>
      <w:r w:rsidRPr="006B5F07">
        <w:rPr>
          <w:rFonts w:eastAsiaTheme="majorEastAsia" w:cstheme="majorBidi"/>
          <w:color w:val="000000" w:themeColor="text1"/>
        </w:rPr>
        <w:t>(Assessment open 3 weeks)</w:t>
      </w:r>
    </w:p>
    <w:p w14:paraId="79CE643C" w14:textId="065F61F7" w:rsidR="008C59E7" w:rsidRPr="006B5F07" w:rsidRDefault="008C59E7" w:rsidP="008C59E7">
      <w:pPr>
        <w:pStyle w:val="ListParagraph"/>
        <w:numPr>
          <w:ilvl w:val="0"/>
          <w:numId w:val="16"/>
        </w:numPr>
        <w:tabs>
          <w:tab w:val="right" w:leader="dot" w:pos="9360"/>
        </w:tabs>
        <w:rPr>
          <w:color w:val="000000" w:themeColor="text1"/>
        </w:rPr>
      </w:pPr>
      <w:r w:rsidRPr="006B5F07">
        <w:rPr>
          <w:rFonts w:eastAsiaTheme="majorEastAsia" w:cstheme="majorBidi"/>
          <w:color w:val="000000" w:themeColor="text1"/>
        </w:rPr>
        <w:t>Code, quality control, and analyze data</w:t>
      </w:r>
      <w:r w:rsidRPr="006B5F07">
        <w:rPr>
          <w:rFonts w:cs="Arial"/>
          <w:color w:val="000000" w:themeColor="text1"/>
        </w:rPr>
        <w:tab/>
      </w:r>
      <w:r w:rsidRPr="006B5F07">
        <w:rPr>
          <w:rFonts w:eastAsiaTheme="majorEastAsia" w:cstheme="majorBidi"/>
          <w:color w:val="000000" w:themeColor="text1"/>
        </w:rPr>
        <w:t>(</w:t>
      </w:r>
      <w:r w:rsidR="006B5F07" w:rsidRPr="006B5F07">
        <w:rPr>
          <w:rFonts w:eastAsiaTheme="majorEastAsia" w:cstheme="majorBidi"/>
          <w:color w:val="000000" w:themeColor="text1"/>
        </w:rPr>
        <w:t>2</w:t>
      </w:r>
      <w:r w:rsidRPr="006B5F07">
        <w:rPr>
          <w:rFonts w:eastAsiaTheme="majorEastAsia" w:cstheme="majorBidi"/>
          <w:color w:val="000000" w:themeColor="text1"/>
        </w:rPr>
        <w:t xml:space="preserve"> weeks)</w:t>
      </w:r>
    </w:p>
    <w:p w14:paraId="7DE84F99" w14:textId="1CC81707" w:rsidR="008C59E7" w:rsidRPr="006B5F07" w:rsidRDefault="008C59E7" w:rsidP="008C59E7">
      <w:pPr>
        <w:pStyle w:val="ListParagraph"/>
        <w:numPr>
          <w:ilvl w:val="0"/>
          <w:numId w:val="16"/>
        </w:numPr>
        <w:tabs>
          <w:tab w:val="right" w:leader="dot" w:pos="9360"/>
        </w:tabs>
        <w:rPr>
          <w:color w:val="000000" w:themeColor="text1"/>
        </w:rPr>
      </w:pPr>
      <w:r w:rsidRPr="006B5F07">
        <w:rPr>
          <w:rFonts w:eastAsiaTheme="majorEastAsia" w:cstheme="majorBidi"/>
          <w:color w:val="000000" w:themeColor="text1"/>
        </w:rPr>
        <w:t xml:space="preserve">Prepare reports </w:t>
      </w:r>
      <w:r w:rsidRPr="006B5F07">
        <w:rPr>
          <w:color w:val="000000" w:themeColor="text1"/>
        </w:rPr>
        <w:tab/>
      </w:r>
      <w:r w:rsidRPr="006B5F07">
        <w:rPr>
          <w:rFonts w:eastAsiaTheme="majorEastAsia" w:cstheme="majorBidi"/>
          <w:color w:val="000000" w:themeColor="text1"/>
        </w:rPr>
        <w:t>(</w:t>
      </w:r>
      <w:r w:rsidR="006B5F07" w:rsidRPr="006B5F07">
        <w:rPr>
          <w:rFonts w:eastAsiaTheme="majorEastAsia" w:cstheme="majorBidi"/>
          <w:color w:val="000000" w:themeColor="text1"/>
        </w:rPr>
        <w:t xml:space="preserve">4 </w:t>
      </w:r>
      <w:r w:rsidRPr="006B5F07">
        <w:rPr>
          <w:rFonts w:eastAsiaTheme="majorEastAsia" w:cstheme="majorBidi"/>
          <w:color w:val="000000" w:themeColor="text1"/>
        </w:rPr>
        <w:t>weeks)</w:t>
      </w:r>
    </w:p>
    <w:p w14:paraId="54429FE2" w14:textId="29C5704C" w:rsidR="008C59E7" w:rsidRPr="006B5F07" w:rsidRDefault="008C59E7" w:rsidP="008C59E7">
      <w:pPr>
        <w:pStyle w:val="ListParagraph"/>
        <w:numPr>
          <w:ilvl w:val="0"/>
          <w:numId w:val="16"/>
        </w:numPr>
        <w:tabs>
          <w:tab w:val="right" w:leader="dot" w:pos="9360"/>
        </w:tabs>
        <w:rPr>
          <w:color w:val="000000" w:themeColor="text1"/>
        </w:rPr>
      </w:pPr>
      <w:r w:rsidRPr="006B5F07">
        <w:rPr>
          <w:rFonts w:eastAsiaTheme="majorEastAsia" w:cstheme="majorBidi"/>
          <w:color w:val="000000" w:themeColor="text1"/>
        </w:rPr>
        <w:t xml:space="preserve">Disseminate results/reports </w:t>
      </w:r>
      <w:r w:rsidRPr="006B5F07">
        <w:rPr>
          <w:color w:val="000000" w:themeColor="text1"/>
        </w:rPr>
        <w:tab/>
      </w:r>
      <w:r w:rsidRPr="006B5F07">
        <w:rPr>
          <w:rFonts w:eastAsiaTheme="majorEastAsia" w:cstheme="majorBidi"/>
          <w:color w:val="000000" w:themeColor="text1"/>
        </w:rPr>
        <w:t>(</w:t>
      </w:r>
      <w:r w:rsidR="006B5F07" w:rsidRPr="006B5F07">
        <w:rPr>
          <w:rFonts w:eastAsiaTheme="majorEastAsia" w:cstheme="majorBidi"/>
          <w:color w:val="000000" w:themeColor="text1"/>
        </w:rPr>
        <w:t>2</w:t>
      </w:r>
      <w:r w:rsidRPr="006B5F07">
        <w:rPr>
          <w:rFonts w:eastAsiaTheme="majorEastAsia" w:cstheme="majorBidi"/>
          <w:color w:val="000000" w:themeColor="text1"/>
        </w:rPr>
        <w:t xml:space="preserve"> weeks)</w:t>
      </w:r>
    </w:p>
    <w:p w14:paraId="1AFC9252" w14:textId="77777777" w:rsidR="000A71DF" w:rsidRDefault="000A71DF" w:rsidP="005D6F14"/>
    <w:p w14:paraId="668618DF" w14:textId="77777777" w:rsidR="00B12F51" w:rsidRPr="00D75750" w:rsidRDefault="00D75750" w:rsidP="00692DEB">
      <w:pPr>
        <w:pStyle w:val="Heading4"/>
      </w:pPr>
      <w:bookmarkStart w:id="26" w:name="_Toc421540894"/>
      <w:r w:rsidRPr="00D75750">
        <w:t xml:space="preserve">Reason(s) Display of OMB Expiration </w:t>
      </w:r>
      <w:r>
        <w:t xml:space="preserve">Date </w:t>
      </w:r>
      <w:r w:rsidRPr="00D75750">
        <w:t>is Inappropriate</w:t>
      </w:r>
      <w:bookmarkEnd w:id="26"/>
    </w:p>
    <w:p w14:paraId="41750EFC" w14:textId="77777777" w:rsidR="00F52BCC" w:rsidRDefault="00180D45" w:rsidP="00692DEB">
      <w:pPr>
        <w:ind w:left="0"/>
      </w:pPr>
      <w:r>
        <w:t>We are requesting no exemption.</w:t>
      </w:r>
    </w:p>
    <w:p w14:paraId="59335CBF" w14:textId="5456C6D6" w:rsidR="00290569" w:rsidRDefault="00290569" w:rsidP="005D6F14"/>
    <w:p w14:paraId="40921F94" w14:textId="77777777" w:rsidR="00B12F51" w:rsidRPr="00D26A64" w:rsidRDefault="00B12F51" w:rsidP="00692DEB">
      <w:pPr>
        <w:pStyle w:val="Heading4"/>
      </w:pPr>
      <w:bookmarkStart w:id="27" w:name="_Toc421540895"/>
      <w:r w:rsidRPr="00D26A64">
        <w:t>Exceptions to Certification for Paperwork Reduction Act Submissions</w:t>
      </w:r>
      <w:bookmarkEnd w:id="27"/>
    </w:p>
    <w:p w14:paraId="40D24CED" w14:textId="77777777" w:rsidR="00F52BCC" w:rsidRDefault="0031279F" w:rsidP="00692DEB">
      <w:pPr>
        <w:ind w:left="0"/>
      </w:pPr>
      <w:r>
        <w:t>There are no exceptions to the certification.</w:t>
      </w:r>
      <w:r w:rsidR="00180D45">
        <w:t xml:space="preserve">  These activities comply with the requirements in 5 CFR 1320.9.</w:t>
      </w:r>
    </w:p>
    <w:p w14:paraId="07316230" w14:textId="77777777" w:rsidR="00D1343B" w:rsidRDefault="00D1343B" w:rsidP="008C59E7">
      <w:pPr>
        <w:ind w:left="0"/>
      </w:pPr>
    </w:p>
    <w:p w14:paraId="0C907EEB" w14:textId="77777777" w:rsidR="00A36419" w:rsidRDefault="00A36419" w:rsidP="008C59E7">
      <w:pPr>
        <w:pStyle w:val="Heading3"/>
        <w:ind w:left="0"/>
      </w:pPr>
      <w:bookmarkStart w:id="28" w:name="_Toc421540896"/>
      <w:r>
        <w:t>LIST OF ATTACHMENTS</w:t>
      </w:r>
      <w:r w:rsidR="00A33E90">
        <w:t xml:space="preserve"> – Section A</w:t>
      </w:r>
      <w:bookmarkEnd w:id="28"/>
    </w:p>
    <w:p w14:paraId="3EAD59E1" w14:textId="794EBCD0" w:rsidR="00F903EB" w:rsidRDefault="00C14B48" w:rsidP="00F903EB">
      <w:pPr>
        <w:tabs>
          <w:tab w:val="clear" w:pos="9360"/>
        </w:tabs>
        <w:spacing w:line="240" w:lineRule="auto"/>
        <w:ind w:left="0"/>
      </w:pPr>
      <w:proofErr w:type="gramStart"/>
      <w:r>
        <w:t>Att.</w:t>
      </w:r>
      <w:proofErr w:type="gramEnd"/>
      <w:r>
        <w:t xml:space="preserve"> A</w:t>
      </w:r>
      <w:r>
        <w:tab/>
        <w:t>Number of LHDs in sample by state</w:t>
      </w:r>
    </w:p>
    <w:p w14:paraId="0B04862D" w14:textId="59D2D5A9" w:rsidR="00E647FB" w:rsidRPr="00F903EB" w:rsidRDefault="00F903EB" w:rsidP="00F903EB">
      <w:pPr>
        <w:tabs>
          <w:tab w:val="clear" w:pos="9360"/>
        </w:tabs>
        <w:spacing w:line="240" w:lineRule="auto"/>
        <w:ind w:left="0"/>
        <w:rPr>
          <w:color w:val="000000" w:themeColor="text1"/>
        </w:rPr>
      </w:pPr>
      <w:r w:rsidRPr="00F903EB">
        <w:rPr>
          <w:color w:val="000000" w:themeColor="text1"/>
        </w:rPr>
        <w:t xml:space="preserve">Att. </w:t>
      </w:r>
      <w:r w:rsidR="00C14B48">
        <w:rPr>
          <w:color w:val="000000" w:themeColor="text1"/>
        </w:rPr>
        <w:t>B</w:t>
      </w:r>
      <w:r w:rsidRPr="00F903EB">
        <w:rPr>
          <w:color w:val="000000" w:themeColor="text1"/>
        </w:rPr>
        <w:t xml:space="preserve"> </w:t>
      </w:r>
      <w:r w:rsidR="0022303B">
        <w:rPr>
          <w:color w:val="000000" w:themeColor="text1"/>
        </w:rPr>
        <w:tab/>
      </w:r>
      <w:r w:rsidR="00E647FB" w:rsidRPr="00F903EB">
        <w:rPr>
          <w:color w:val="000000" w:themeColor="text1"/>
        </w:rPr>
        <w:t>Instrument Word version</w:t>
      </w:r>
    </w:p>
    <w:p w14:paraId="479C11BD" w14:textId="56D98B40" w:rsidR="00E647FB" w:rsidRPr="00F903EB" w:rsidRDefault="00F903EB" w:rsidP="00F903EB">
      <w:pPr>
        <w:tabs>
          <w:tab w:val="clear" w:pos="9360"/>
        </w:tabs>
        <w:spacing w:line="240" w:lineRule="auto"/>
        <w:ind w:left="0"/>
        <w:rPr>
          <w:color w:val="000000" w:themeColor="text1"/>
        </w:rPr>
      </w:pPr>
      <w:r w:rsidRPr="00F903EB">
        <w:rPr>
          <w:color w:val="000000" w:themeColor="text1"/>
        </w:rPr>
        <w:t xml:space="preserve">Att. </w:t>
      </w:r>
      <w:r w:rsidR="00C14B48">
        <w:rPr>
          <w:color w:val="000000" w:themeColor="text1"/>
        </w:rPr>
        <w:t xml:space="preserve">C </w:t>
      </w:r>
      <w:r w:rsidR="0022303B">
        <w:rPr>
          <w:color w:val="000000" w:themeColor="text1"/>
        </w:rPr>
        <w:tab/>
      </w:r>
      <w:r w:rsidR="00E647FB" w:rsidRPr="00F903EB">
        <w:rPr>
          <w:color w:val="000000" w:themeColor="text1"/>
        </w:rPr>
        <w:t>Instrument Web</w:t>
      </w:r>
      <w:r w:rsidR="00C14B48">
        <w:rPr>
          <w:color w:val="000000" w:themeColor="text1"/>
        </w:rPr>
        <w:t xml:space="preserve"> </w:t>
      </w:r>
      <w:r w:rsidR="00AB087D">
        <w:rPr>
          <w:color w:val="000000" w:themeColor="text1"/>
        </w:rPr>
        <w:t>Version</w:t>
      </w:r>
      <w:r w:rsidR="006B5F07" w:rsidRPr="00F903EB">
        <w:rPr>
          <w:color w:val="000000" w:themeColor="text1"/>
        </w:rPr>
        <w:t xml:space="preserve"> </w:t>
      </w:r>
    </w:p>
    <w:p w14:paraId="76CB29FB" w14:textId="77777777" w:rsidR="00FB5C36" w:rsidRDefault="00FB5C36" w:rsidP="008C59E7">
      <w:pPr>
        <w:ind w:left="0"/>
        <w:rPr>
          <w:b/>
          <w:sz w:val="28"/>
          <w:szCs w:val="28"/>
        </w:rPr>
      </w:pPr>
    </w:p>
    <w:p w14:paraId="67F4CC99" w14:textId="77777777" w:rsidR="00CC7188" w:rsidRDefault="00CC7188" w:rsidP="008C59E7">
      <w:pPr>
        <w:ind w:left="0"/>
        <w:rPr>
          <w:b/>
          <w:sz w:val="28"/>
          <w:szCs w:val="28"/>
        </w:rPr>
      </w:pPr>
      <w:r w:rsidRPr="00CC7188">
        <w:rPr>
          <w:b/>
          <w:sz w:val="28"/>
          <w:szCs w:val="28"/>
        </w:rPr>
        <w:t xml:space="preserve">REFERENCE LIST </w:t>
      </w:r>
    </w:p>
    <w:p w14:paraId="3DB33027" w14:textId="77777777" w:rsidR="005C233C" w:rsidRDefault="005C233C" w:rsidP="00034B35">
      <w:pPr>
        <w:tabs>
          <w:tab w:val="clear" w:pos="9360"/>
        </w:tabs>
        <w:spacing w:line="240" w:lineRule="auto"/>
        <w:ind w:left="0"/>
      </w:pPr>
    </w:p>
    <w:p w14:paraId="2A3E86BE" w14:textId="77777777" w:rsidR="0090596F" w:rsidRPr="0090596F" w:rsidRDefault="005C233C" w:rsidP="00236838">
      <w:pPr>
        <w:pStyle w:val="EndNoteBibliography"/>
        <w:tabs>
          <w:tab w:val="left" w:pos="360"/>
        </w:tabs>
        <w:ind w:left="360" w:hanging="360"/>
      </w:pPr>
      <w:r>
        <w:fldChar w:fldCharType="begin"/>
      </w:r>
      <w:r>
        <w:instrText xml:space="preserve"> ADDIN EN.REFLIST </w:instrText>
      </w:r>
      <w:r>
        <w:fldChar w:fldCharType="separate"/>
      </w:r>
      <w:bookmarkStart w:id="29" w:name="_ENREF_1"/>
      <w:r w:rsidR="0090596F" w:rsidRPr="0090596F">
        <w:t>1.</w:t>
      </w:r>
      <w:r w:rsidR="0090596F" w:rsidRPr="0090596F">
        <w:tab/>
        <w:t xml:space="preserve">Prejean J, Song R, Hernandez A, et al. Estimated HIV incidence in the United States, 2006-2009. </w:t>
      </w:r>
      <w:r w:rsidR="0090596F" w:rsidRPr="0090596F">
        <w:rPr>
          <w:i/>
        </w:rPr>
        <w:t xml:space="preserve">PloS one. </w:t>
      </w:r>
      <w:r w:rsidR="0090596F" w:rsidRPr="0090596F">
        <w:t>2011;6(8):e17502.</w:t>
      </w:r>
      <w:bookmarkEnd w:id="29"/>
    </w:p>
    <w:p w14:paraId="6A2C49E8" w14:textId="6647017D" w:rsidR="0090596F" w:rsidRPr="0090596F" w:rsidRDefault="0090596F" w:rsidP="00236838">
      <w:pPr>
        <w:pStyle w:val="EndNoteBibliography"/>
        <w:tabs>
          <w:tab w:val="left" w:pos="360"/>
        </w:tabs>
        <w:ind w:left="360" w:hanging="360"/>
      </w:pPr>
      <w:bookmarkStart w:id="30" w:name="_ENREF_2"/>
      <w:r w:rsidRPr="0090596F">
        <w:t>2.</w:t>
      </w:r>
      <w:r w:rsidRPr="0090596F">
        <w:tab/>
        <w:t xml:space="preserve">Centers for Disease Control and Prevention. Diagnoses of HIV Infection in the United States and Dependent Areas, 2013. </w:t>
      </w:r>
      <w:r w:rsidRPr="0090596F">
        <w:rPr>
          <w:i/>
        </w:rPr>
        <w:t xml:space="preserve">HIV Surveillance Reports. </w:t>
      </w:r>
      <w:r w:rsidRPr="0090596F">
        <w:t xml:space="preserve">2015;25. </w:t>
      </w:r>
      <w:hyperlink r:id="rId15" w:history="1">
        <w:r w:rsidRPr="0090596F">
          <w:rPr>
            <w:rStyle w:val="Hyperlink"/>
          </w:rPr>
          <w:t>http://www.cdc.gov/hiv/library/reports/surveillance/2013/surveillance_Report_vol_25.html</w:t>
        </w:r>
      </w:hyperlink>
      <w:r w:rsidRPr="0090596F">
        <w:t>. Accessed 22 April 2015.</w:t>
      </w:r>
      <w:bookmarkEnd w:id="30"/>
    </w:p>
    <w:p w14:paraId="2D1C4ED4" w14:textId="22C3E640" w:rsidR="0090596F" w:rsidRPr="0090596F" w:rsidRDefault="0090596F" w:rsidP="00236838">
      <w:pPr>
        <w:pStyle w:val="EndNoteBibliography"/>
        <w:tabs>
          <w:tab w:val="left" w:pos="360"/>
        </w:tabs>
        <w:ind w:left="360" w:hanging="360"/>
      </w:pPr>
      <w:bookmarkStart w:id="31" w:name="_ENREF_3"/>
      <w:r w:rsidRPr="0090596F">
        <w:t>3.</w:t>
      </w:r>
      <w:r w:rsidRPr="0090596F">
        <w:tab/>
        <w:t xml:space="preserve">Conrad C, Bradlery HM, Broz D, et al. Community Outbreak of HIV Infection Linked to Injection Drug Use of Oxymorphone — Indiana, 2015. </w:t>
      </w:r>
      <w:r w:rsidRPr="0090596F">
        <w:rPr>
          <w:i/>
        </w:rPr>
        <w:t xml:space="preserve">Morbidity and Mortality Weekly Report. </w:t>
      </w:r>
      <w:r w:rsidRPr="0090596F">
        <w:t xml:space="preserve">2015;64(Early Release). </w:t>
      </w:r>
      <w:hyperlink r:id="rId16" w:history="1">
        <w:r w:rsidRPr="0090596F">
          <w:rPr>
            <w:rStyle w:val="Hyperlink"/>
          </w:rPr>
          <w:t>http://www.cdc.gov/mmwr/early_release.html</w:t>
        </w:r>
      </w:hyperlink>
      <w:r w:rsidRPr="0090596F">
        <w:t>. Accessed 24 April 2015.</w:t>
      </w:r>
      <w:bookmarkEnd w:id="31"/>
    </w:p>
    <w:p w14:paraId="7D3810D0" w14:textId="77777777" w:rsidR="0090596F" w:rsidRPr="0090596F" w:rsidRDefault="0090596F" w:rsidP="00236838">
      <w:pPr>
        <w:pStyle w:val="EndNoteBibliography"/>
        <w:tabs>
          <w:tab w:val="left" w:pos="360"/>
        </w:tabs>
        <w:ind w:left="360" w:hanging="360"/>
      </w:pPr>
      <w:bookmarkStart w:id="32" w:name="_ENREF_4"/>
      <w:r w:rsidRPr="0090596F">
        <w:t>4.</w:t>
      </w:r>
      <w:r w:rsidRPr="0090596F">
        <w:tab/>
        <w:t xml:space="preserve">Grant RM, Lama JR, Anderson PL, et al. Preexposure chemoprophylaxis for HIV prevention in men who have sex with men. </w:t>
      </w:r>
      <w:r w:rsidRPr="0090596F">
        <w:rPr>
          <w:i/>
        </w:rPr>
        <w:t xml:space="preserve">New England Journal of Medicine. </w:t>
      </w:r>
      <w:r w:rsidRPr="0090596F">
        <w:t>2010;363(27):2587-2599.</w:t>
      </w:r>
      <w:bookmarkEnd w:id="32"/>
    </w:p>
    <w:p w14:paraId="7E9F49C9" w14:textId="77777777" w:rsidR="0090596F" w:rsidRPr="0090596F" w:rsidRDefault="0090596F" w:rsidP="00236838">
      <w:pPr>
        <w:pStyle w:val="EndNoteBibliography"/>
        <w:tabs>
          <w:tab w:val="left" w:pos="360"/>
        </w:tabs>
        <w:ind w:left="360" w:hanging="360"/>
      </w:pPr>
      <w:bookmarkStart w:id="33" w:name="_ENREF_5"/>
      <w:r w:rsidRPr="0090596F">
        <w:t>5.</w:t>
      </w:r>
      <w:r w:rsidRPr="0090596F">
        <w:tab/>
        <w:t xml:space="preserve">Thigpen MC, Kebaabetswe PM, Paxton LA, et al. Antiretroviral preexposure prophylaxis for heterosexual HIV transmission in Botswana. </w:t>
      </w:r>
      <w:r w:rsidRPr="0090596F">
        <w:rPr>
          <w:i/>
        </w:rPr>
        <w:t xml:space="preserve">New England Journal of Medicine. </w:t>
      </w:r>
      <w:r w:rsidRPr="0090596F">
        <w:t>2012;367(5):423-434.</w:t>
      </w:r>
      <w:bookmarkEnd w:id="33"/>
    </w:p>
    <w:p w14:paraId="5B40912D" w14:textId="77777777" w:rsidR="0090596F" w:rsidRPr="0090596F" w:rsidRDefault="0090596F" w:rsidP="00236838">
      <w:pPr>
        <w:pStyle w:val="EndNoteBibliography"/>
        <w:tabs>
          <w:tab w:val="left" w:pos="360"/>
        </w:tabs>
        <w:ind w:left="360" w:hanging="360"/>
      </w:pPr>
      <w:bookmarkStart w:id="34" w:name="_ENREF_6"/>
      <w:r w:rsidRPr="0090596F">
        <w:t>6.</w:t>
      </w:r>
      <w:r w:rsidRPr="0090596F">
        <w:tab/>
        <w:t xml:space="preserve">Baeten JM, Donnell D, Ndase P, et al. Antiretroviral prophylaxis for HIV prevention in heterosexual men and women. </w:t>
      </w:r>
      <w:r w:rsidRPr="0090596F">
        <w:rPr>
          <w:i/>
        </w:rPr>
        <w:t xml:space="preserve">New England Journal of Medicine. </w:t>
      </w:r>
      <w:r w:rsidRPr="0090596F">
        <w:t>2012;367(5):399-410.</w:t>
      </w:r>
      <w:bookmarkEnd w:id="34"/>
    </w:p>
    <w:p w14:paraId="3A3FBBCB" w14:textId="77777777" w:rsidR="0090596F" w:rsidRPr="0090596F" w:rsidRDefault="0090596F" w:rsidP="00236838">
      <w:pPr>
        <w:pStyle w:val="EndNoteBibliography"/>
        <w:tabs>
          <w:tab w:val="left" w:pos="360"/>
        </w:tabs>
        <w:ind w:left="360" w:hanging="360"/>
      </w:pPr>
      <w:bookmarkStart w:id="35" w:name="_ENREF_7"/>
      <w:r w:rsidRPr="0090596F">
        <w:t>7.</w:t>
      </w:r>
      <w:r w:rsidRPr="0090596F">
        <w:tab/>
        <w:t xml:space="preserve">Choopanya K, Martin M, Suntharasamai P, et al. Antiretroviral prophylaxis for HIV infection in injecting drug users in Bangkok, Thailand (the Bangkok Tenofovir Study): a randomised, double-blind, placebo-controlled phase 3 trial. </w:t>
      </w:r>
      <w:r w:rsidRPr="0090596F">
        <w:rPr>
          <w:i/>
        </w:rPr>
        <w:t xml:space="preserve">The Lancet. </w:t>
      </w:r>
      <w:r w:rsidRPr="0090596F">
        <w:t>2013;381(9883):2083-2090.</w:t>
      </w:r>
      <w:bookmarkEnd w:id="35"/>
    </w:p>
    <w:p w14:paraId="083C5CC7" w14:textId="77777777" w:rsidR="0090596F" w:rsidRPr="0090596F" w:rsidRDefault="0090596F" w:rsidP="00236838">
      <w:pPr>
        <w:pStyle w:val="EndNoteBibliography"/>
        <w:tabs>
          <w:tab w:val="left" w:pos="360"/>
        </w:tabs>
        <w:ind w:left="360" w:hanging="360"/>
      </w:pPr>
      <w:bookmarkStart w:id="36" w:name="_ENREF_8"/>
      <w:r w:rsidRPr="0090596F">
        <w:t>8.</w:t>
      </w:r>
      <w:r w:rsidRPr="0090596F">
        <w:tab/>
        <w:t xml:space="preserve">Grant RM, Anderson PL, McMahan V, et al. Uptake of pre-exposure prophylaxis, sexual practices, and HIV incidence in men and transgender women who have sex with men: a cohort study. </w:t>
      </w:r>
      <w:r w:rsidRPr="0090596F">
        <w:rPr>
          <w:i/>
        </w:rPr>
        <w:t xml:space="preserve">The Lancet Infectious Diseases. </w:t>
      </w:r>
      <w:r w:rsidRPr="0090596F">
        <w:t>2014;14(9):820-829.</w:t>
      </w:r>
      <w:bookmarkEnd w:id="36"/>
    </w:p>
    <w:p w14:paraId="29659D23" w14:textId="6E14BD17" w:rsidR="0090596F" w:rsidRPr="0090596F" w:rsidRDefault="0090596F" w:rsidP="00236838">
      <w:pPr>
        <w:pStyle w:val="EndNoteBibliography"/>
        <w:tabs>
          <w:tab w:val="left" w:pos="360"/>
        </w:tabs>
        <w:ind w:left="360" w:hanging="360"/>
      </w:pPr>
      <w:bookmarkStart w:id="37" w:name="_ENREF_9"/>
      <w:r w:rsidRPr="0090596F">
        <w:t>9.</w:t>
      </w:r>
      <w:r w:rsidRPr="0090596F">
        <w:tab/>
        <w:t xml:space="preserve">Food and Drug Administration. Truvada approved to reduce the risk of sexually transmitted HIV in people who are not infected with the virus. 2012; </w:t>
      </w:r>
      <w:hyperlink r:id="rId17" w:history="1">
        <w:r w:rsidRPr="0090596F">
          <w:rPr>
            <w:rStyle w:val="Hyperlink"/>
          </w:rPr>
          <w:t>http://www.fda.gov/ForConsumers/ByAudience/ForPatientAdvocates/HIVandAIDSActivities/ucm312264.htm</w:t>
        </w:r>
      </w:hyperlink>
      <w:r w:rsidRPr="0090596F">
        <w:t>. Accessed 6 August 2012.</w:t>
      </w:r>
      <w:bookmarkEnd w:id="37"/>
    </w:p>
    <w:p w14:paraId="29F1DBFD" w14:textId="0CAA0E8A" w:rsidR="0090596F" w:rsidRDefault="0090596F" w:rsidP="00236838">
      <w:pPr>
        <w:pStyle w:val="EndNoteBibliography"/>
        <w:tabs>
          <w:tab w:val="left" w:pos="360"/>
        </w:tabs>
        <w:ind w:left="360" w:hanging="360"/>
      </w:pPr>
      <w:bookmarkStart w:id="38" w:name="_ENREF_10"/>
      <w:r w:rsidRPr="0090596F">
        <w:t>10.</w:t>
      </w:r>
      <w:r w:rsidRPr="0090596F">
        <w:tab/>
        <w:t xml:space="preserve">Centers for Disease Control and Prevention; US Public Health Service. Preexposure prophylaxis for the  prevention of HIV infection in the United States - 2014: a clinical practice guideline. 2014:1-67. </w:t>
      </w:r>
      <w:hyperlink r:id="rId18" w:history="1">
        <w:r w:rsidRPr="0090596F">
          <w:rPr>
            <w:rStyle w:val="Hyperlink"/>
          </w:rPr>
          <w:t>http://www.cdc.gov/hiv/pdf/guidelines/PrEPguidelines2014.pdf</w:t>
        </w:r>
      </w:hyperlink>
      <w:r w:rsidRPr="0090596F">
        <w:t>. Accessed 28 May 2014.</w:t>
      </w:r>
      <w:bookmarkEnd w:id="38"/>
    </w:p>
    <w:p w14:paraId="151205C9" w14:textId="77777777" w:rsidR="00236838" w:rsidRPr="00236838" w:rsidRDefault="00236838" w:rsidP="00236838">
      <w:pPr>
        <w:pStyle w:val="ListParagraph"/>
        <w:numPr>
          <w:ilvl w:val="2"/>
          <w:numId w:val="2"/>
        </w:numPr>
        <w:tabs>
          <w:tab w:val="clear" w:pos="9360"/>
          <w:tab w:val="left" w:pos="360"/>
        </w:tabs>
        <w:spacing w:line="240" w:lineRule="auto"/>
        <w:ind w:left="360" w:hanging="360"/>
      </w:pPr>
      <w:r w:rsidRPr="00236838">
        <w:t xml:space="preserve">Centers for Disease Control and Prevention (CDC). "National Public Health Performance Standards Program (NPHPSP): 10 Essential Public Health Services." Available at </w:t>
      </w:r>
      <w:hyperlink r:id="rId19" w:history="1">
        <w:r w:rsidRPr="00236838">
          <w:rPr>
            <w:rStyle w:val="Hyperlink"/>
          </w:rPr>
          <w:t>http://www.cdc.gov/nphpsp/essentialservices.html. Accessed on 8/14/14</w:t>
        </w:r>
      </w:hyperlink>
      <w:r w:rsidRPr="00236838">
        <w:t>.</w:t>
      </w:r>
    </w:p>
    <w:p w14:paraId="5DF43267" w14:textId="77777777" w:rsidR="00236838" w:rsidRPr="0090596F" w:rsidRDefault="00236838" w:rsidP="00236838">
      <w:pPr>
        <w:pStyle w:val="EndNoteBibliography"/>
        <w:tabs>
          <w:tab w:val="left" w:pos="360"/>
        </w:tabs>
        <w:ind w:left="360" w:hanging="360"/>
      </w:pPr>
    </w:p>
    <w:p w14:paraId="355A0597" w14:textId="474129EA" w:rsidR="000058E0" w:rsidRPr="008C59E7" w:rsidRDefault="005C233C" w:rsidP="00FB5C36">
      <w:pPr>
        <w:ind w:left="0"/>
      </w:pPr>
      <w:r>
        <w:fldChar w:fldCharType="end"/>
      </w:r>
      <w:r w:rsidR="006A0E4F">
        <w:fldChar w:fldCharType="begin"/>
      </w:r>
      <w:r w:rsidR="006A0E4F">
        <w:instrText xml:space="preserve"> ADDIN </w:instrText>
      </w:r>
      <w:r w:rsidR="006A0E4F">
        <w:fldChar w:fldCharType="end"/>
      </w:r>
    </w:p>
    <w:sectPr w:rsidR="000058E0" w:rsidRPr="008C59E7" w:rsidSect="00385BB5">
      <w:headerReference w:type="default" r:id="rId20"/>
      <w:footerReference w:type="default" r:id="rId2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F9C943" w14:textId="77777777" w:rsidR="0005052F" w:rsidRDefault="0005052F" w:rsidP="007D6163">
      <w:r>
        <w:separator/>
      </w:r>
    </w:p>
    <w:p w14:paraId="45AB0DF8" w14:textId="77777777" w:rsidR="0005052F" w:rsidRDefault="0005052F" w:rsidP="007D6163"/>
  </w:endnote>
  <w:endnote w:type="continuationSeparator" w:id="0">
    <w:p w14:paraId="1791700D" w14:textId="77777777" w:rsidR="0005052F" w:rsidRDefault="0005052F" w:rsidP="007D6163">
      <w:r>
        <w:continuationSeparator/>
      </w:r>
    </w:p>
    <w:p w14:paraId="418460D7" w14:textId="77777777" w:rsidR="0005052F" w:rsidRDefault="0005052F" w:rsidP="007D6163"/>
  </w:endnote>
  <w:endnote w:type="continuationNotice" w:id="1">
    <w:p w14:paraId="1C2332A0" w14:textId="77777777" w:rsidR="0005052F" w:rsidRDefault="000505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18ACD225" w14:textId="77777777" w:rsidR="0005052F" w:rsidRDefault="0005052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E14EE">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E14EE">
              <w:rPr>
                <w:b/>
                <w:bCs/>
                <w:noProof/>
              </w:rPr>
              <w:t>10</w:t>
            </w:r>
            <w:r>
              <w:rPr>
                <w:b/>
                <w:bCs/>
                <w:sz w:val="24"/>
                <w:szCs w:val="24"/>
              </w:rPr>
              <w:fldChar w:fldCharType="end"/>
            </w:r>
          </w:p>
        </w:sdtContent>
      </w:sdt>
    </w:sdtContent>
  </w:sdt>
  <w:p w14:paraId="3906A5FD" w14:textId="77777777" w:rsidR="0005052F" w:rsidRDefault="0005052F" w:rsidP="007D6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F510B9" w14:textId="77777777" w:rsidR="0005052F" w:rsidRDefault="0005052F" w:rsidP="007D6163">
      <w:r>
        <w:separator/>
      </w:r>
    </w:p>
    <w:p w14:paraId="4F8F4A78" w14:textId="77777777" w:rsidR="0005052F" w:rsidRDefault="0005052F" w:rsidP="007D6163"/>
  </w:footnote>
  <w:footnote w:type="continuationSeparator" w:id="0">
    <w:p w14:paraId="0145812A" w14:textId="77777777" w:rsidR="0005052F" w:rsidRDefault="0005052F" w:rsidP="007D6163">
      <w:r>
        <w:continuationSeparator/>
      </w:r>
    </w:p>
    <w:p w14:paraId="6278C853" w14:textId="77777777" w:rsidR="0005052F" w:rsidRDefault="0005052F" w:rsidP="007D6163"/>
  </w:footnote>
  <w:footnote w:type="continuationNotice" w:id="1">
    <w:p w14:paraId="13165328" w14:textId="77777777" w:rsidR="0005052F" w:rsidRDefault="0005052F">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740F9" w14:textId="77777777" w:rsidR="0005052F" w:rsidRPr="00716F94" w:rsidRDefault="0005052F" w:rsidP="007D6163">
    <w:pPr>
      <w:pStyle w:val="Header"/>
      <w:rPr>
        <w:color w:val="0033CC"/>
      </w:rPr>
    </w:pPr>
    <w:r>
      <w:tab/>
    </w:r>
  </w:p>
  <w:p w14:paraId="18247AEF" w14:textId="77777777" w:rsidR="0005052F" w:rsidRDefault="0005052F" w:rsidP="007D6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F32C4B"/>
    <w:multiLevelType w:val="hybridMultilevel"/>
    <w:tmpl w:val="C4081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5F2608B"/>
    <w:multiLevelType w:val="hybridMultilevel"/>
    <w:tmpl w:val="F7C289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6996B22"/>
    <w:multiLevelType w:val="hybridMultilevel"/>
    <w:tmpl w:val="FE581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EAF3879"/>
    <w:multiLevelType w:val="hybridMultilevel"/>
    <w:tmpl w:val="BC9C2E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0F0FA1"/>
    <w:multiLevelType w:val="hybridMultilevel"/>
    <w:tmpl w:val="CC44E224"/>
    <w:lvl w:ilvl="0" w:tplc="805E065A">
      <w:start w:val="1"/>
      <w:numFmt w:val="decimal"/>
      <w:pStyle w:val="Heading4"/>
      <w:lvlText w:val="%1."/>
      <w:lvlJc w:val="left"/>
      <w:pPr>
        <w:ind w:left="-630" w:hanging="360"/>
      </w:pPr>
      <w:rPr>
        <w:rFonts w:hint="default"/>
      </w:rPr>
    </w:lvl>
    <w:lvl w:ilvl="1" w:tplc="04090019">
      <w:start w:val="1"/>
      <w:numFmt w:val="lowerLetter"/>
      <w:lvlText w:val="%2."/>
      <w:lvlJc w:val="left"/>
      <w:pPr>
        <w:ind w:left="0" w:hanging="360"/>
      </w:pPr>
    </w:lvl>
    <w:lvl w:ilvl="2" w:tplc="D006F656">
      <w:start w:val="11"/>
      <w:numFmt w:val="decimal"/>
      <w:lvlText w:val="%3."/>
      <w:lvlJc w:val="left"/>
      <w:pPr>
        <w:ind w:left="720" w:hanging="180"/>
      </w:pPr>
      <w:rPr>
        <w:rFonts w:hint="default"/>
        <w:b w:val="0"/>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7">
    <w:nsid w:val="33DA708B"/>
    <w:multiLevelType w:val="hybridMultilevel"/>
    <w:tmpl w:val="C80C0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08F5107"/>
    <w:multiLevelType w:val="hybridMultilevel"/>
    <w:tmpl w:val="5BBA7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1">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665699"/>
    <w:multiLevelType w:val="hybridMultilevel"/>
    <w:tmpl w:val="DBF61F0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465EF4"/>
    <w:multiLevelType w:val="hybridMultilevel"/>
    <w:tmpl w:val="05D64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C40CE8"/>
    <w:multiLevelType w:val="hybridMultilevel"/>
    <w:tmpl w:val="2B7CAA8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31"/>
  </w:num>
  <w:num w:numId="4">
    <w:abstractNumId w:val="13"/>
  </w:num>
  <w:num w:numId="5">
    <w:abstractNumId w:val="20"/>
  </w:num>
  <w:num w:numId="6">
    <w:abstractNumId w:val="9"/>
  </w:num>
  <w:num w:numId="7">
    <w:abstractNumId w:val="0"/>
  </w:num>
  <w:num w:numId="8">
    <w:abstractNumId w:val="5"/>
  </w:num>
  <w:num w:numId="9">
    <w:abstractNumId w:val="10"/>
  </w:num>
  <w:num w:numId="10">
    <w:abstractNumId w:val="24"/>
  </w:num>
  <w:num w:numId="11">
    <w:abstractNumId w:val="2"/>
  </w:num>
  <w:num w:numId="12">
    <w:abstractNumId w:val="30"/>
  </w:num>
  <w:num w:numId="13">
    <w:abstractNumId w:val="8"/>
  </w:num>
  <w:num w:numId="14">
    <w:abstractNumId w:val="3"/>
  </w:num>
  <w:num w:numId="15">
    <w:abstractNumId w:val="26"/>
  </w:num>
  <w:num w:numId="16">
    <w:abstractNumId w:val="28"/>
  </w:num>
  <w:num w:numId="17">
    <w:abstractNumId w:val="29"/>
  </w:num>
  <w:num w:numId="18">
    <w:abstractNumId w:val="15"/>
  </w:num>
  <w:num w:numId="19">
    <w:abstractNumId w:val="33"/>
  </w:num>
  <w:num w:numId="20">
    <w:abstractNumId w:val="22"/>
  </w:num>
  <w:num w:numId="21">
    <w:abstractNumId w:val="25"/>
  </w:num>
  <w:num w:numId="22">
    <w:abstractNumId w:val="21"/>
  </w:num>
  <w:num w:numId="23">
    <w:abstractNumId w:val="7"/>
  </w:num>
  <w:num w:numId="24">
    <w:abstractNumId w:val="27"/>
  </w:num>
  <w:num w:numId="25">
    <w:abstractNumId w:val="4"/>
  </w:num>
  <w:num w:numId="26">
    <w:abstractNumId w:val="18"/>
  </w:num>
  <w:num w:numId="27">
    <w:abstractNumId w:val="6"/>
  </w:num>
  <w:num w:numId="28">
    <w:abstractNumId w:val="12"/>
  </w:num>
  <w:num w:numId="29">
    <w:abstractNumId w:val="23"/>
  </w:num>
  <w:num w:numId="30">
    <w:abstractNumId w:val="32"/>
  </w:num>
  <w:num w:numId="31">
    <w:abstractNumId w:val="17"/>
  </w:num>
  <w:num w:numId="32">
    <w:abstractNumId w:val="19"/>
  </w:num>
  <w:num w:numId="33">
    <w:abstractNumId w:val="11"/>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attachedTemplate r:id="rId1"/>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mbria&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sp2zv9xfyvs5aeeparxva2eoze2ff55sz900&quot;&gt;AllPPNGuidelines&lt;record-ids&gt;&lt;item&gt;204&lt;/item&gt;&lt;/record-ids&gt;&lt;/item&gt;&lt;/Libraries&gt;"/>
  </w:docVars>
  <w:rsids>
    <w:rsidRoot w:val="007B09F1"/>
    <w:rsid w:val="000039BE"/>
    <w:rsid w:val="000058E0"/>
    <w:rsid w:val="000076F0"/>
    <w:rsid w:val="00011A98"/>
    <w:rsid w:val="00011F8D"/>
    <w:rsid w:val="000130B4"/>
    <w:rsid w:val="00014361"/>
    <w:rsid w:val="00014579"/>
    <w:rsid w:val="00034B35"/>
    <w:rsid w:val="00040611"/>
    <w:rsid w:val="0004305C"/>
    <w:rsid w:val="000474FB"/>
    <w:rsid w:val="0005052F"/>
    <w:rsid w:val="00053A92"/>
    <w:rsid w:val="00054839"/>
    <w:rsid w:val="00055DAE"/>
    <w:rsid w:val="00057F36"/>
    <w:rsid w:val="000706B9"/>
    <w:rsid w:val="00081907"/>
    <w:rsid w:val="000A1F30"/>
    <w:rsid w:val="000A2D0C"/>
    <w:rsid w:val="000A71DF"/>
    <w:rsid w:val="000B0962"/>
    <w:rsid w:val="000B2CBC"/>
    <w:rsid w:val="000B6F18"/>
    <w:rsid w:val="000B7531"/>
    <w:rsid w:val="000E14EE"/>
    <w:rsid w:val="000E6577"/>
    <w:rsid w:val="000E7A19"/>
    <w:rsid w:val="000F334A"/>
    <w:rsid w:val="00104A1B"/>
    <w:rsid w:val="00111A28"/>
    <w:rsid w:val="001177DD"/>
    <w:rsid w:val="00135334"/>
    <w:rsid w:val="001412D4"/>
    <w:rsid w:val="00144F64"/>
    <w:rsid w:val="00145D62"/>
    <w:rsid w:val="00151567"/>
    <w:rsid w:val="00157413"/>
    <w:rsid w:val="00163E17"/>
    <w:rsid w:val="00166F9E"/>
    <w:rsid w:val="00167880"/>
    <w:rsid w:val="00176821"/>
    <w:rsid w:val="00176F1D"/>
    <w:rsid w:val="00180D45"/>
    <w:rsid w:val="00187870"/>
    <w:rsid w:val="00187D5A"/>
    <w:rsid w:val="0019164D"/>
    <w:rsid w:val="00194F7D"/>
    <w:rsid w:val="001972D7"/>
    <w:rsid w:val="001A28F6"/>
    <w:rsid w:val="001B2280"/>
    <w:rsid w:val="001B2831"/>
    <w:rsid w:val="001B4065"/>
    <w:rsid w:val="001B5910"/>
    <w:rsid w:val="001C0493"/>
    <w:rsid w:val="001C28AD"/>
    <w:rsid w:val="001D7FCB"/>
    <w:rsid w:val="001E2B99"/>
    <w:rsid w:val="001E69B6"/>
    <w:rsid w:val="001E7537"/>
    <w:rsid w:val="001F4DBB"/>
    <w:rsid w:val="00202D07"/>
    <w:rsid w:val="0020312D"/>
    <w:rsid w:val="00205618"/>
    <w:rsid w:val="00205EA5"/>
    <w:rsid w:val="00206E33"/>
    <w:rsid w:val="00210519"/>
    <w:rsid w:val="00216F4F"/>
    <w:rsid w:val="0022071D"/>
    <w:rsid w:val="0022303B"/>
    <w:rsid w:val="00227259"/>
    <w:rsid w:val="00236838"/>
    <w:rsid w:val="00241B17"/>
    <w:rsid w:val="00241C81"/>
    <w:rsid w:val="00244557"/>
    <w:rsid w:val="00257A1C"/>
    <w:rsid w:val="0027234C"/>
    <w:rsid w:val="00275552"/>
    <w:rsid w:val="00281795"/>
    <w:rsid w:val="002850E3"/>
    <w:rsid w:val="00287E2F"/>
    <w:rsid w:val="00290569"/>
    <w:rsid w:val="00291EA0"/>
    <w:rsid w:val="0029559D"/>
    <w:rsid w:val="002A1948"/>
    <w:rsid w:val="002A7962"/>
    <w:rsid w:val="002C0877"/>
    <w:rsid w:val="002C2AE2"/>
    <w:rsid w:val="002C5F5D"/>
    <w:rsid w:val="002D0DCE"/>
    <w:rsid w:val="002E2B10"/>
    <w:rsid w:val="002E73B0"/>
    <w:rsid w:val="002F1502"/>
    <w:rsid w:val="002F2069"/>
    <w:rsid w:val="002F71A2"/>
    <w:rsid w:val="003041AD"/>
    <w:rsid w:val="0031279F"/>
    <w:rsid w:val="00316F00"/>
    <w:rsid w:val="00321B51"/>
    <w:rsid w:val="003350A3"/>
    <w:rsid w:val="00336D96"/>
    <w:rsid w:val="00344F07"/>
    <w:rsid w:val="003469C8"/>
    <w:rsid w:val="00350C8C"/>
    <w:rsid w:val="00355EA4"/>
    <w:rsid w:val="003635BE"/>
    <w:rsid w:val="00365045"/>
    <w:rsid w:val="00366B5E"/>
    <w:rsid w:val="003754F4"/>
    <w:rsid w:val="00385BB5"/>
    <w:rsid w:val="00386BC2"/>
    <w:rsid w:val="003B0B9D"/>
    <w:rsid w:val="003B125E"/>
    <w:rsid w:val="003B1BE3"/>
    <w:rsid w:val="003B2200"/>
    <w:rsid w:val="003B2AE6"/>
    <w:rsid w:val="003C31C9"/>
    <w:rsid w:val="003C4961"/>
    <w:rsid w:val="003C7C5D"/>
    <w:rsid w:val="003D0AD2"/>
    <w:rsid w:val="003F48F4"/>
    <w:rsid w:val="003F5913"/>
    <w:rsid w:val="004024F8"/>
    <w:rsid w:val="00405696"/>
    <w:rsid w:val="0041159A"/>
    <w:rsid w:val="00421EB1"/>
    <w:rsid w:val="004226DA"/>
    <w:rsid w:val="00423012"/>
    <w:rsid w:val="004305A8"/>
    <w:rsid w:val="0043229B"/>
    <w:rsid w:val="004353D5"/>
    <w:rsid w:val="00441CC3"/>
    <w:rsid w:val="004424B2"/>
    <w:rsid w:val="00443CA0"/>
    <w:rsid w:val="00450E14"/>
    <w:rsid w:val="00462C65"/>
    <w:rsid w:val="004674E7"/>
    <w:rsid w:val="00467B14"/>
    <w:rsid w:val="00467D07"/>
    <w:rsid w:val="00474EDA"/>
    <w:rsid w:val="00481536"/>
    <w:rsid w:val="00481D80"/>
    <w:rsid w:val="004824FA"/>
    <w:rsid w:val="00484011"/>
    <w:rsid w:val="004841F1"/>
    <w:rsid w:val="00487937"/>
    <w:rsid w:val="00496C33"/>
    <w:rsid w:val="004A1E3A"/>
    <w:rsid w:val="004B46D6"/>
    <w:rsid w:val="004C0BF6"/>
    <w:rsid w:val="004C4464"/>
    <w:rsid w:val="004C4AEA"/>
    <w:rsid w:val="004C5D15"/>
    <w:rsid w:val="004D0430"/>
    <w:rsid w:val="004D1DAA"/>
    <w:rsid w:val="004D4EB1"/>
    <w:rsid w:val="004E003C"/>
    <w:rsid w:val="004E16EB"/>
    <w:rsid w:val="004E16EC"/>
    <w:rsid w:val="004E6665"/>
    <w:rsid w:val="004F634E"/>
    <w:rsid w:val="004F67A8"/>
    <w:rsid w:val="005070F6"/>
    <w:rsid w:val="005115FA"/>
    <w:rsid w:val="0051582C"/>
    <w:rsid w:val="00522A50"/>
    <w:rsid w:val="00525E61"/>
    <w:rsid w:val="00527225"/>
    <w:rsid w:val="00532FD3"/>
    <w:rsid w:val="0053557D"/>
    <w:rsid w:val="005410E3"/>
    <w:rsid w:val="005463DE"/>
    <w:rsid w:val="00546DC2"/>
    <w:rsid w:val="005542E8"/>
    <w:rsid w:val="00556630"/>
    <w:rsid w:val="0055686D"/>
    <w:rsid w:val="005800EE"/>
    <w:rsid w:val="005869D6"/>
    <w:rsid w:val="00587C72"/>
    <w:rsid w:val="0059331E"/>
    <w:rsid w:val="00594619"/>
    <w:rsid w:val="005A33F6"/>
    <w:rsid w:val="005A59E5"/>
    <w:rsid w:val="005B2366"/>
    <w:rsid w:val="005B7440"/>
    <w:rsid w:val="005C233C"/>
    <w:rsid w:val="005D6F14"/>
    <w:rsid w:val="005E2150"/>
    <w:rsid w:val="005E2995"/>
    <w:rsid w:val="005E7182"/>
    <w:rsid w:val="005F1191"/>
    <w:rsid w:val="005F3FEF"/>
    <w:rsid w:val="00600C4F"/>
    <w:rsid w:val="0060287B"/>
    <w:rsid w:val="00607F7C"/>
    <w:rsid w:val="006102DA"/>
    <w:rsid w:val="00614F2A"/>
    <w:rsid w:val="00615DC1"/>
    <w:rsid w:val="00616090"/>
    <w:rsid w:val="006210C5"/>
    <w:rsid w:val="006315A3"/>
    <w:rsid w:val="00637C55"/>
    <w:rsid w:val="006529DD"/>
    <w:rsid w:val="006579A2"/>
    <w:rsid w:val="0066564B"/>
    <w:rsid w:val="00667C89"/>
    <w:rsid w:val="006711EE"/>
    <w:rsid w:val="006809BB"/>
    <w:rsid w:val="006809FD"/>
    <w:rsid w:val="00691D1F"/>
    <w:rsid w:val="00692DEB"/>
    <w:rsid w:val="00697BAE"/>
    <w:rsid w:val="006A0E4F"/>
    <w:rsid w:val="006B3507"/>
    <w:rsid w:val="006B4DDC"/>
    <w:rsid w:val="006B51BD"/>
    <w:rsid w:val="006B5E55"/>
    <w:rsid w:val="006B5F07"/>
    <w:rsid w:val="006C4DA7"/>
    <w:rsid w:val="006D25A1"/>
    <w:rsid w:val="006E14E9"/>
    <w:rsid w:val="006F09A2"/>
    <w:rsid w:val="006F36C6"/>
    <w:rsid w:val="006F6856"/>
    <w:rsid w:val="00713412"/>
    <w:rsid w:val="007145D0"/>
    <w:rsid w:val="00716F94"/>
    <w:rsid w:val="00721180"/>
    <w:rsid w:val="00725E4D"/>
    <w:rsid w:val="0075188E"/>
    <w:rsid w:val="0076001C"/>
    <w:rsid w:val="00760E12"/>
    <w:rsid w:val="00763CF3"/>
    <w:rsid w:val="00772293"/>
    <w:rsid w:val="0077299D"/>
    <w:rsid w:val="00774689"/>
    <w:rsid w:val="00776981"/>
    <w:rsid w:val="00781AE3"/>
    <w:rsid w:val="00783C75"/>
    <w:rsid w:val="00784619"/>
    <w:rsid w:val="00784735"/>
    <w:rsid w:val="00785570"/>
    <w:rsid w:val="0078627B"/>
    <w:rsid w:val="0078765B"/>
    <w:rsid w:val="007921F1"/>
    <w:rsid w:val="00794E32"/>
    <w:rsid w:val="007A0D73"/>
    <w:rsid w:val="007A4577"/>
    <w:rsid w:val="007B09F1"/>
    <w:rsid w:val="007B305A"/>
    <w:rsid w:val="007D6163"/>
    <w:rsid w:val="007E575D"/>
    <w:rsid w:val="007E57CD"/>
    <w:rsid w:val="007E6AEF"/>
    <w:rsid w:val="007F5776"/>
    <w:rsid w:val="00810A50"/>
    <w:rsid w:val="00815C7D"/>
    <w:rsid w:val="00817941"/>
    <w:rsid w:val="008229E4"/>
    <w:rsid w:val="00823547"/>
    <w:rsid w:val="008261AB"/>
    <w:rsid w:val="008269AB"/>
    <w:rsid w:val="00834C91"/>
    <w:rsid w:val="00835CA7"/>
    <w:rsid w:val="008370D4"/>
    <w:rsid w:val="008414AD"/>
    <w:rsid w:val="008428D9"/>
    <w:rsid w:val="00856FD9"/>
    <w:rsid w:val="008715E7"/>
    <w:rsid w:val="0088467A"/>
    <w:rsid w:val="00884DB9"/>
    <w:rsid w:val="00892521"/>
    <w:rsid w:val="008C37DC"/>
    <w:rsid w:val="008C59E7"/>
    <w:rsid w:val="008C67D2"/>
    <w:rsid w:val="008E0683"/>
    <w:rsid w:val="008E3D8D"/>
    <w:rsid w:val="00902DD9"/>
    <w:rsid w:val="0090596F"/>
    <w:rsid w:val="00905EA4"/>
    <w:rsid w:val="0091009B"/>
    <w:rsid w:val="00911486"/>
    <w:rsid w:val="009129CA"/>
    <w:rsid w:val="009206B6"/>
    <w:rsid w:val="009252DC"/>
    <w:rsid w:val="009252F5"/>
    <w:rsid w:val="009263C1"/>
    <w:rsid w:val="00941B4F"/>
    <w:rsid w:val="00943EB0"/>
    <w:rsid w:val="009518C0"/>
    <w:rsid w:val="00953B35"/>
    <w:rsid w:val="00963CE3"/>
    <w:rsid w:val="00964F18"/>
    <w:rsid w:val="00974424"/>
    <w:rsid w:val="00987F76"/>
    <w:rsid w:val="00993088"/>
    <w:rsid w:val="0099664F"/>
    <w:rsid w:val="00997D5D"/>
    <w:rsid w:val="009A0447"/>
    <w:rsid w:val="009A2CE5"/>
    <w:rsid w:val="009A4B59"/>
    <w:rsid w:val="009B3359"/>
    <w:rsid w:val="009B4A51"/>
    <w:rsid w:val="009C28B1"/>
    <w:rsid w:val="009C61AD"/>
    <w:rsid w:val="009C6697"/>
    <w:rsid w:val="009D373D"/>
    <w:rsid w:val="009D436B"/>
    <w:rsid w:val="009D7B2C"/>
    <w:rsid w:val="009E0801"/>
    <w:rsid w:val="009E1D05"/>
    <w:rsid w:val="009E6C26"/>
    <w:rsid w:val="009F7DE0"/>
    <w:rsid w:val="00A05973"/>
    <w:rsid w:val="00A06BCB"/>
    <w:rsid w:val="00A117CF"/>
    <w:rsid w:val="00A11B0C"/>
    <w:rsid w:val="00A33B35"/>
    <w:rsid w:val="00A33E90"/>
    <w:rsid w:val="00A34525"/>
    <w:rsid w:val="00A36419"/>
    <w:rsid w:val="00A44921"/>
    <w:rsid w:val="00A44AD9"/>
    <w:rsid w:val="00A57838"/>
    <w:rsid w:val="00A578C2"/>
    <w:rsid w:val="00A62B42"/>
    <w:rsid w:val="00A63790"/>
    <w:rsid w:val="00A72652"/>
    <w:rsid w:val="00A751EE"/>
    <w:rsid w:val="00A75D1C"/>
    <w:rsid w:val="00A809AA"/>
    <w:rsid w:val="00A849B3"/>
    <w:rsid w:val="00A8510D"/>
    <w:rsid w:val="00A86AF3"/>
    <w:rsid w:val="00A90AFF"/>
    <w:rsid w:val="00A90BDC"/>
    <w:rsid w:val="00A95477"/>
    <w:rsid w:val="00A975A9"/>
    <w:rsid w:val="00AA3192"/>
    <w:rsid w:val="00AB0486"/>
    <w:rsid w:val="00AB087D"/>
    <w:rsid w:val="00AB251E"/>
    <w:rsid w:val="00AB3608"/>
    <w:rsid w:val="00AC1272"/>
    <w:rsid w:val="00AC5506"/>
    <w:rsid w:val="00AC5C48"/>
    <w:rsid w:val="00AC63E3"/>
    <w:rsid w:val="00AD3F08"/>
    <w:rsid w:val="00AF0CF4"/>
    <w:rsid w:val="00AF2252"/>
    <w:rsid w:val="00B0098C"/>
    <w:rsid w:val="00B00B12"/>
    <w:rsid w:val="00B1129F"/>
    <w:rsid w:val="00B11D61"/>
    <w:rsid w:val="00B12F51"/>
    <w:rsid w:val="00B1794D"/>
    <w:rsid w:val="00B24CE9"/>
    <w:rsid w:val="00B2751E"/>
    <w:rsid w:val="00B32258"/>
    <w:rsid w:val="00B3650C"/>
    <w:rsid w:val="00B43AFE"/>
    <w:rsid w:val="00B47055"/>
    <w:rsid w:val="00B63CF3"/>
    <w:rsid w:val="00B64BFA"/>
    <w:rsid w:val="00B67163"/>
    <w:rsid w:val="00B71E63"/>
    <w:rsid w:val="00B7541B"/>
    <w:rsid w:val="00B80AFF"/>
    <w:rsid w:val="00B83212"/>
    <w:rsid w:val="00B85DE4"/>
    <w:rsid w:val="00B87AAD"/>
    <w:rsid w:val="00B91A31"/>
    <w:rsid w:val="00B925CE"/>
    <w:rsid w:val="00BA50D9"/>
    <w:rsid w:val="00BA6C28"/>
    <w:rsid w:val="00BA6DB4"/>
    <w:rsid w:val="00BB090C"/>
    <w:rsid w:val="00BC3F3C"/>
    <w:rsid w:val="00BC5BB2"/>
    <w:rsid w:val="00BD56AF"/>
    <w:rsid w:val="00BE22F5"/>
    <w:rsid w:val="00BE738E"/>
    <w:rsid w:val="00BF11A1"/>
    <w:rsid w:val="00BF3F54"/>
    <w:rsid w:val="00C00697"/>
    <w:rsid w:val="00C0198D"/>
    <w:rsid w:val="00C0376C"/>
    <w:rsid w:val="00C06D77"/>
    <w:rsid w:val="00C14B48"/>
    <w:rsid w:val="00C14BA6"/>
    <w:rsid w:val="00C3485C"/>
    <w:rsid w:val="00C4664F"/>
    <w:rsid w:val="00C544A4"/>
    <w:rsid w:val="00C768E5"/>
    <w:rsid w:val="00CA2004"/>
    <w:rsid w:val="00CA5840"/>
    <w:rsid w:val="00CA5B99"/>
    <w:rsid w:val="00CB0933"/>
    <w:rsid w:val="00CB334D"/>
    <w:rsid w:val="00CB56D5"/>
    <w:rsid w:val="00CC7188"/>
    <w:rsid w:val="00CC76CD"/>
    <w:rsid w:val="00CD1EA8"/>
    <w:rsid w:val="00CD1F8D"/>
    <w:rsid w:val="00CE0F44"/>
    <w:rsid w:val="00CF34AA"/>
    <w:rsid w:val="00CF5ABD"/>
    <w:rsid w:val="00CF63CE"/>
    <w:rsid w:val="00D067C1"/>
    <w:rsid w:val="00D1343B"/>
    <w:rsid w:val="00D13B13"/>
    <w:rsid w:val="00D16E78"/>
    <w:rsid w:val="00D201D3"/>
    <w:rsid w:val="00D24E44"/>
    <w:rsid w:val="00D267D5"/>
    <w:rsid w:val="00D26A64"/>
    <w:rsid w:val="00D31720"/>
    <w:rsid w:val="00D52B9A"/>
    <w:rsid w:val="00D5367E"/>
    <w:rsid w:val="00D53B1E"/>
    <w:rsid w:val="00D6105F"/>
    <w:rsid w:val="00D61AD2"/>
    <w:rsid w:val="00D71C1C"/>
    <w:rsid w:val="00D75750"/>
    <w:rsid w:val="00D84EF0"/>
    <w:rsid w:val="00D861ED"/>
    <w:rsid w:val="00D873E0"/>
    <w:rsid w:val="00D92B40"/>
    <w:rsid w:val="00D941E3"/>
    <w:rsid w:val="00D94F8B"/>
    <w:rsid w:val="00D95FBF"/>
    <w:rsid w:val="00DA5988"/>
    <w:rsid w:val="00DB7F78"/>
    <w:rsid w:val="00DC00D1"/>
    <w:rsid w:val="00DC0184"/>
    <w:rsid w:val="00DC317C"/>
    <w:rsid w:val="00DC4FF2"/>
    <w:rsid w:val="00DC79CC"/>
    <w:rsid w:val="00DD7BF0"/>
    <w:rsid w:val="00E10D39"/>
    <w:rsid w:val="00E134F4"/>
    <w:rsid w:val="00E162E0"/>
    <w:rsid w:val="00E20D75"/>
    <w:rsid w:val="00E23568"/>
    <w:rsid w:val="00E24133"/>
    <w:rsid w:val="00E245B5"/>
    <w:rsid w:val="00E33E1B"/>
    <w:rsid w:val="00E34856"/>
    <w:rsid w:val="00E34D3E"/>
    <w:rsid w:val="00E62BD2"/>
    <w:rsid w:val="00E647FB"/>
    <w:rsid w:val="00E720E9"/>
    <w:rsid w:val="00E81C5E"/>
    <w:rsid w:val="00E83B3C"/>
    <w:rsid w:val="00E8736B"/>
    <w:rsid w:val="00E90275"/>
    <w:rsid w:val="00E925D4"/>
    <w:rsid w:val="00E9465D"/>
    <w:rsid w:val="00E97226"/>
    <w:rsid w:val="00EA2B44"/>
    <w:rsid w:val="00EA33EF"/>
    <w:rsid w:val="00EC4FFD"/>
    <w:rsid w:val="00EC58F5"/>
    <w:rsid w:val="00EC5EFC"/>
    <w:rsid w:val="00ED31B4"/>
    <w:rsid w:val="00ED4130"/>
    <w:rsid w:val="00ED6DF6"/>
    <w:rsid w:val="00EF33CD"/>
    <w:rsid w:val="00EF469A"/>
    <w:rsid w:val="00EF46A9"/>
    <w:rsid w:val="00F12924"/>
    <w:rsid w:val="00F20C9B"/>
    <w:rsid w:val="00F2733F"/>
    <w:rsid w:val="00F300CB"/>
    <w:rsid w:val="00F31310"/>
    <w:rsid w:val="00F37F8E"/>
    <w:rsid w:val="00F42C3A"/>
    <w:rsid w:val="00F45451"/>
    <w:rsid w:val="00F52BCC"/>
    <w:rsid w:val="00F5313F"/>
    <w:rsid w:val="00F81135"/>
    <w:rsid w:val="00F81A48"/>
    <w:rsid w:val="00F903EB"/>
    <w:rsid w:val="00FA7B61"/>
    <w:rsid w:val="00FB5C36"/>
    <w:rsid w:val="00FB62BC"/>
    <w:rsid w:val="00FD1555"/>
    <w:rsid w:val="00FD17C9"/>
    <w:rsid w:val="00FD2A5B"/>
    <w:rsid w:val="00FD6667"/>
    <w:rsid w:val="00FD731A"/>
    <w:rsid w:val="00FE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1E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2"/>
      </w:numPr>
      <w:spacing w:after="120"/>
      <w:ind w:left="36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aliases w:val="Bullet List,FooterText,List Paragraph1"/>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423012"/>
    <w:rPr>
      <w:color w:val="800080" w:themeColor="followedHyperlink"/>
      <w:u w:val="single"/>
    </w:rPr>
  </w:style>
  <w:style w:type="paragraph" w:customStyle="1" w:styleId="EndNoteBibliographyTitle">
    <w:name w:val="EndNote Bibliography Title"/>
    <w:basedOn w:val="Normal"/>
    <w:link w:val="EndNoteBibliographyTitleChar"/>
    <w:rsid w:val="005C233C"/>
    <w:pPr>
      <w:jc w:val="center"/>
    </w:pPr>
    <w:rPr>
      <w:rFonts w:ascii="Cambria" w:hAnsi="Cambria"/>
      <w:noProof/>
    </w:rPr>
  </w:style>
  <w:style w:type="character" w:customStyle="1" w:styleId="EndNoteBibliographyTitleChar">
    <w:name w:val="EndNote Bibliography Title Char"/>
    <w:basedOn w:val="DefaultParagraphFont"/>
    <w:link w:val="EndNoteBibliographyTitle"/>
    <w:rsid w:val="005C233C"/>
    <w:rPr>
      <w:rFonts w:ascii="Cambria" w:hAnsi="Cambria"/>
      <w:noProof/>
    </w:rPr>
  </w:style>
  <w:style w:type="paragraph" w:customStyle="1" w:styleId="EndNoteBibliography">
    <w:name w:val="EndNote Bibliography"/>
    <w:basedOn w:val="Normal"/>
    <w:link w:val="EndNoteBibliographyChar"/>
    <w:rsid w:val="005C233C"/>
    <w:pPr>
      <w:spacing w:line="240" w:lineRule="auto"/>
    </w:pPr>
    <w:rPr>
      <w:rFonts w:ascii="Cambria" w:hAnsi="Cambria"/>
      <w:noProof/>
    </w:rPr>
  </w:style>
  <w:style w:type="character" w:customStyle="1" w:styleId="EndNoteBibliographyChar">
    <w:name w:val="EndNote Bibliography Char"/>
    <w:basedOn w:val="DefaultParagraphFont"/>
    <w:link w:val="EndNoteBibliography"/>
    <w:rsid w:val="005C233C"/>
    <w:rPr>
      <w:rFonts w:ascii="Cambria" w:hAnsi="Cambria"/>
      <w:noProof/>
    </w:rPr>
  </w:style>
  <w:style w:type="paragraph" w:styleId="TOC1">
    <w:name w:val="toc 1"/>
    <w:basedOn w:val="Normal"/>
    <w:next w:val="Normal"/>
    <w:autoRedefine/>
    <w:uiPriority w:val="39"/>
    <w:unhideWhenUsed/>
    <w:rsid w:val="000039BE"/>
    <w:pPr>
      <w:tabs>
        <w:tab w:val="clear" w:pos="9360"/>
      </w:tabs>
      <w:spacing w:after="100"/>
      <w:ind w:left="0"/>
    </w:pPr>
  </w:style>
  <w:style w:type="paragraph" w:styleId="TOC2">
    <w:name w:val="toc 2"/>
    <w:basedOn w:val="Normal"/>
    <w:next w:val="Normal"/>
    <w:autoRedefine/>
    <w:uiPriority w:val="39"/>
    <w:unhideWhenUsed/>
    <w:rsid w:val="000039BE"/>
    <w:pPr>
      <w:tabs>
        <w:tab w:val="clear" w:pos="9360"/>
        <w:tab w:val="left" w:pos="660"/>
        <w:tab w:val="right" w:leader="dot" w:pos="9350"/>
      </w:tabs>
      <w:spacing w:after="100"/>
      <w:ind w:left="630" w:hanging="410"/>
    </w:pPr>
  </w:style>
  <w:style w:type="paragraph" w:styleId="EndnoteText">
    <w:name w:val="endnote text"/>
    <w:basedOn w:val="Normal"/>
    <w:link w:val="EndnoteTextChar"/>
    <w:uiPriority w:val="99"/>
    <w:semiHidden/>
    <w:unhideWhenUsed/>
    <w:rsid w:val="003754F4"/>
    <w:pPr>
      <w:spacing w:line="240" w:lineRule="auto"/>
    </w:pPr>
    <w:rPr>
      <w:sz w:val="20"/>
      <w:szCs w:val="20"/>
    </w:rPr>
  </w:style>
  <w:style w:type="character" w:customStyle="1" w:styleId="EndnoteTextChar">
    <w:name w:val="Endnote Text Char"/>
    <w:basedOn w:val="DefaultParagraphFont"/>
    <w:link w:val="EndnoteText"/>
    <w:uiPriority w:val="99"/>
    <w:semiHidden/>
    <w:rsid w:val="003754F4"/>
    <w:rPr>
      <w:rFonts w:asciiTheme="majorHAnsi" w:hAnsiTheme="majorHAnsi"/>
      <w:sz w:val="20"/>
      <w:szCs w:val="20"/>
    </w:rPr>
  </w:style>
  <w:style w:type="character" w:styleId="EndnoteReference">
    <w:name w:val="endnote reference"/>
    <w:basedOn w:val="DefaultParagraphFont"/>
    <w:uiPriority w:val="99"/>
    <w:semiHidden/>
    <w:unhideWhenUsed/>
    <w:rsid w:val="003754F4"/>
    <w:rPr>
      <w:vertAlign w:val="superscript"/>
    </w:rPr>
  </w:style>
  <w:style w:type="paragraph" w:styleId="FootnoteText">
    <w:name w:val="footnote text"/>
    <w:basedOn w:val="Normal"/>
    <w:link w:val="FootnoteTextChar"/>
    <w:uiPriority w:val="99"/>
    <w:semiHidden/>
    <w:unhideWhenUsed/>
    <w:rsid w:val="003754F4"/>
    <w:pPr>
      <w:spacing w:line="240" w:lineRule="auto"/>
    </w:pPr>
    <w:rPr>
      <w:sz w:val="20"/>
      <w:szCs w:val="20"/>
    </w:rPr>
  </w:style>
  <w:style w:type="character" w:customStyle="1" w:styleId="FootnoteTextChar">
    <w:name w:val="Footnote Text Char"/>
    <w:basedOn w:val="DefaultParagraphFont"/>
    <w:link w:val="FootnoteText"/>
    <w:uiPriority w:val="99"/>
    <w:semiHidden/>
    <w:rsid w:val="003754F4"/>
    <w:rPr>
      <w:rFonts w:asciiTheme="majorHAnsi" w:hAnsiTheme="majorHAnsi"/>
      <w:sz w:val="20"/>
      <w:szCs w:val="20"/>
    </w:rPr>
  </w:style>
  <w:style w:type="character" w:styleId="FootnoteReference">
    <w:name w:val="footnote reference"/>
    <w:basedOn w:val="DefaultParagraphFont"/>
    <w:uiPriority w:val="99"/>
    <w:semiHidden/>
    <w:unhideWhenUsed/>
    <w:rsid w:val="003754F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2"/>
      </w:numPr>
      <w:spacing w:after="120"/>
      <w:ind w:left="36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aliases w:val="Bullet List,FooterText,List Paragraph1"/>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423012"/>
    <w:rPr>
      <w:color w:val="800080" w:themeColor="followedHyperlink"/>
      <w:u w:val="single"/>
    </w:rPr>
  </w:style>
  <w:style w:type="paragraph" w:customStyle="1" w:styleId="EndNoteBibliographyTitle">
    <w:name w:val="EndNote Bibliography Title"/>
    <w:basedOn w:val="Normal"/>
    <w:link w:val="EndNoteBibliographyTitleChar"/>
    <w:rsid w:val="005C233C"/>
    <w:pPr>
      <w:jc w:val="center"/>
    </w:pPr>
    <w:rPr>
      <w:rFonts w:ascii="Cambria" w:hAnsi="Cambria"/>
      <w:noProof/>
    </w:rPr>
  </w:style>
  <w:style w:type="character" w:customStyle="1" w:styleId="EndNoteBibliographyTitleChar">
    <w:name w:val="EndNote Bibliography Title Char"/>
    <w:basedOn w:val="DefaultParagraphFont"/>
    <w:link w:val="EndNoteBibliographyTitle"/>
    <w:rsid w:val="005C233C"/>
    <w:rPr>
      <w:rFonts w:ascii="Cambria" w:hAnsi="Cambria"/>
      <w:noProof/>
    </w:rPr>
  </w:style>
  <w:style w:type="paragraph" w:customStyle="1" w:styleId="EndNoteBibliography">
    <w:name w:val="EndNote Bibliography"/>
    <w:basedOn w:val="Normal"/>
    <w:link w:val="EndNoteBibliographyChar"/>
    <w:rsid w:val="005C233C"/>
    <w:pPr>
      <w:spacing w:line="240" w:lineRule="auto"/>
    </w:pPr>
    <w:rPr>
      <w:rFonts w:ascii="Cambria" w:hAnsi="Cambria"/>
      <w:noProof/>
    </w:rPr>
  </w:style>
  <w:style w:type="character" w:customStyle="1" w:styleId="EndNoteBibliographyChar">
    <w:name w:val="EndNote Bibliography Char"/>
    <w:basedOn w:val="DefaultParagraphFont"/>
    <w:link w:val="EndNoteBibliography"/>
    <w:rsid w:val="005C233C"/>
    <w:rPr>
      <w:rFonts w:ascii="Cambria" w:hAnsi="Cambria"/>
      <w:noProof/>
    </w:rPr>
  </w:style>
  <w:style w:type="paragraph" w:styleId="TOC1">
    <w:name w:val="toc 1"/>
    <w:basedOn w:val="Normal"/>
    <w:next w:val="Normal"/>
    <w:autoRedefine/>
    <w:uiPriority w:val="39"/>
    <w:unhideWhenUsed/>
    <w:rsid w:val="000039BE"/>
    <w:pPr>
      <w:tabs>
        <w:tab w:val="clear" w:pos="9360"/>
      </w:tabs>
      <w:spacing w:after="100"/>
      <w:ind w:left="0"/>
    </w:pPr>
  </w:style>
  <w:style w:type="paragraph" w:styleId="TOC2">
    <w:name w:val="toc 2"/>
    <w:basedOn w:val="Normal"/>
    <w:next w:val="Normal"/>
    <w:autoRedefine/>
    <w:uiPriority w:val="39"/>
    <w:unhideWhenUsed/>
    <w:rsid w:val="000039BE"/>
    <w:pPr>
      <w:tabs>
        <w:tab w:val="clear" w:pos="9360"/>
        <w:tab w:val="left" w:pos="660"/>
        <w:tab w:val="right" w:leader="dot" w:pos="9350"/>
      </w:tabs>
      <w:spacing w:after="100"/>
      <w:ind w:left="630" w:hanging="410"/>
    </w:pPr>
  </w:style>
  <w:style w:type="paragraph" w:styleId="EndnoteText">
    <w:name w:val="endnote text"/>
    <w:basedOn w:val="Normal"/>
    <w:link w:val="EndnoteTextChar"/>
    <w:uiPriority w:val="99"/>
    <w:semiHidden/>
    <w:unhideWhenUsed/>
    <w:rsid w:val="003754F4"/>
    <w:pPr>
      <w:spacing w:line="240" w:lineRule="auto"/>
    </w:pPr>
    <w:rPr>
      <w:sz w:val="20"/>
      <w:szCs w:val="20"/>
    </w:rPr>
  </w:style>
  <w:style w:type="character" w:customStyle="1" w:styleId="EndnoteTextChar">
    <w:name w:val="Endnote Text Char"/>
    <w:basedOn w:val="DefaultParagraphFont"/>
    <w:link w:val="EndnoteText"/>
    <w:uiPriority w:val="99"/>
    <w:semiHidden/>
    <w:rsid w:val="003754F4"/>
    <w:rPr>
      <w:rFonts w:asciiTheme="majorHAnsi" w:hAnsiTheme="majorHAnsi"/>
      <w:sz w:val="20"/>
      <w:szCs w:val="20"/>
    </w:rPr>
  </w:style>
  <w:style w:type="character" w:styleId="EndnoteReference">
    <w:name w:val="endnote reference"/>
    <w:basedOn w:val="DefaultParagraphFont"/>
    <w:uiPriority w:val="99"/>
    <w:semiHidden/>
    <w:unhideWhenUsed/>
    <w:rsid w:val="003754F4"/>
    <w:rPr>
      <w:vertAlign w:val="superscript"/>
    </w:rPr>
  </w:style>
  <w:style w:type="paragraph" w:styleId="FootnoteText">
    <w:name w:val="footnote text"/>
    <w:basedOn w:val="Normal"/>
    <w:link w:val="FootnoteTextChar"/>
    <w:uiPriority w:val="99"/>
    <w:semiHidden/>
    <w:unhideWhenUsed/>
    <w:rsid w:val="003754F4"/>
    <w:pPr>
      <w:spacing w:line="240" w:lineRule="auto"/>
    </w:pPr>
    <w:rPr>
      <w:sz w:val="20"/>
      <w:szCs w:val="20"/>
    </w:rPr>
  </w:style>
  <w:style w:type="character" w:customStyle="1" w:styleId="FootnoteTextChar">
    <w:name w:val="Footnote Text Char"/>
    <w:basedOn w:val="DefaultParagraphFont"/>
    <w:link w:val="FootnoteText"/>
    <w:uiPriority w:val="99"/>
    <w:semiHidden/>
    <w:rsid w:val="003754F4"/>
    <w:rPr>
      <w:rFonts w:asciiTheme="majorHAnsi" w:hAnsiTheme="majorHAnsi"/>
      <w:sz w:val="20"/>
      <w:szCs w:val="20"/>
    </w:rPr>
  </w:style>
  <w:style w:type="character" w:styleId="FootnoteReference">
    <w:name w:val="footnote reference"/>
    <w:basedOn w:val="DefaultParagraphFont"/>
    <w:uiPriority w:val="99"/>
    <w:semiHidden/>
    <w:unhideWhenUsed/>
    <w:rsid w:val="003754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59504">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cdc.gov/hiv/pdf/guidelines/PrEPguidelines2014.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fda.gov/ForConsumers/ByAudience/ForPatientAdvocates/HIVandAIDSActivities/ucm312264.htm" TargetMode="External"/><Relationship Id="rId2" Type="http://schemas.openxmlformats.org/officeDocument/2006/relationships/customXml" Target="../customXml/item2.xml"/><Relationship Id="rId16" Type="http://schemas.openxmlformats.org/officeDocument/2006/relationships/hyperlink" Target="http://www.cdc.gov/mmwr/early_release.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cdc.gov/hiv/library/reports/surveillance/2013/surveillance_Report_vol_25.html"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cdc.gov/nphpsp/essentialservices.html.%20Accessed%20on%208/14/14"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bls.gov/ncs/ocs/sp/nctb1349.pdf"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https://esp.cdc.gov/sites/ostlts/pip/osc/StatementA/Form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SC_StateA_12_10Total_Respondent_Costs xmlns="bd99c180-279b-44c3-9486-dd050336677e">0</OSC_StateA_12_10Total_Respondent_Costs>
    <OSC_StateA_12_2Number_of_Respondents xmlns="bd99c180-279b-44c3-9486-dd050336677e">0</OSC_StateA_12_2Number_of_Respondents>
    <OSC_StateA_12_6Average_Burden_per_Response_in_Hours xmlns="bd99c180-279b-44c3-9486-dd050336677e">=&gt;20/60&lt;=</OSC_StateA_12_6Average_Burden_per_Response_in_Hours>
    <OSC_StateA_12_9Total_Respondent_Costs xmlns="bd99c180-279b-44c3-9486-dd050336677e">0</OSC_StateA_12_9Total_Respondent_Costs>
    <OSC_StateA_14_10Average_Hourly_Rate xmlns="bd99c180-279b-44c3-9486-dd050336677e">0</OSC_StateA_14_10Average_Hourly_Rate>
    <OSC_StateA_14_2Staff_FTE xmlns="bd99c180-279b-44c3-9486-dd050336677e">=&gt;Enter&lt;=</OSC_StateA_14_2Staff_FTE>
    <OSC_StateA_14_5Average_Hourly_Rate xmlns="bd99c180-279b-44c3-9486-dd050336677e">0</OSC_StateA_14_5Average_Hourly_Rate>
    <OSC_StateA_14_8Average_Cost xmlns="bd99c180-279b-44c3-9486-dd050336677e">0</OSC_StateA_14_8Average_Cost>
    <GenICPIEmail xmlns="bd99c180-279b-44c3-9486-dd050336677e">dsmith1@cdc.gov</GenICPIEmail>
    <OSC_StateA_12_Total_Number_of_Respondents xmlns="ce849d94-b00b-4457-8fdf-7e9e81e05b5e">500</OSC_StateA_12_Total_Number_of_Respondents>
    <OSC_StateA_12_10Average_Burden_per_Response_in_Hours xmlns="bd99c180-279b-44c3-9486-dd050336677e">=&gt;20/60&lt;=</OSC_StateA_12_10Average_Burden_per_Response_in_Hours>
    <OSC_StateA_12_10Type_of_Respondent xmlns="bd99c180-279b-44c3-9486-dd050336677e">=&gt;Enter&lt;=</OSC_StateA_12_10Type_of_Respondent>
    <OSC_StateA_12_3Number_of_Respondents xmlns="bd99c180-279b-44c3-9486-dd050336677e">0</OSC_StateA_12_3Number_of_Respondents>
    <OSC_StateA_12_7Average_Burden_per_Response_in_Hours xmlns="bd99c180-279b-44c3-9486-dd050336677e">=&gt;20/60&lt;=</OSC_StateA_12_7Average_Burden_per_Response_in_Hours>
    <OSC_StateA_12_8Total_Respondent_Costs xmlns="bd99c180-279b-44c3-9486-dd050336677e">0</OSC_StateA_12_8Total_Respondent_Costs>
    <OSC_StateA_14_3Staff_FTE xmlns="bd99c180-279b-44c3-9486-dd050336677e">=&gt;Enter&lt;=</OSC_StateA_14_3Staff_FTE>
    <OSC_StateA_14_4Average_Hourly_Rate xmlns="bd99c180-279b-44c3-9486-dd050336677e">0</OSC_StateA_14_4Average_Hourly_Rate>
    <OSC_StateA_14_9Average_Cost xmlns="bd99c180-279b-44c3-9486-dd050336677e">0</OSC_StateA_14_9Average_Cost>
    <OSC_StateA_12_4Average_Burden_per_Response_in_Hours xmlns="bd99c180-279b-44c3-9486-dd050336677e">=&gt;20/60&lt;=</OSC_StateA_12_4Average_Burden_per_Response_in_Hours>
    <OSC_StateA_12_9Type_of_Respondent xmlns="bd99c180-279b-44c3-9486-dd050336677e">=&gt;Enter&lt;=</OSC_StateA_12_9Type_of_Respondent>
    <OSC_StateA_14_7Average_Hourly_Rate xmlns="bd99c180-279b-44c3-9486-dd050336677e">0</OSC_StateA_14_7Average_Hourly_Rate>
    <OSC_StateA_Tabulation_and_Publication_and_Project_Time_Schedule xmlns="bd99c180-279b-44c3-9486-dd050336677e" xsi:nil="true"/>
    <OSC_StateA_12_10Number_of_Responses_per_Respondent xmlns="bd99c180-279b-44c3-9486-dd050336677e">1</OSC_StateA_12_10Number_of_Responses_per_Respondent>
    <OSC_StateA_12_1Number_of_Respondents xmlns="bd99c180-279b-44c3-9486-dd050336677e">0</OSC_StateA_12_1Number_of_Respondents>
    <OSC_StateA_12_5Average_Burden_per_Response_in_Hours xmlns="bd99c180-279b-44c3-9486-dd050336677e">=&gt;20/60&lt;=</OSC_StateA_12_5Average_Burden_per_Response_in_Hours>
    <OSC_StateA_12_8Type_of_Respondent xmlns="bd99c180-279b-44c3-9486-dd050336677e">=&gt;Enter&lt;=</OSC_StateA_12_8Type_of_Respondent>
    <OSC_StateA_14_1Staff_FTE xmlns="bd99c180-279b-44c3-9486-dd050336677e">=&gt;Enter&lt;=</OSC_StateA_14_1Staff_FTE>
    <OSC_StateA_14_6Average_Hourly_Rate xmlns="bd99c180-279b-44c3-9486-dd050336677e">0</OSC_StateA_14_6Average_Hourly_Rate>
    <OSC_StateA_Overview_Of_Data_Collection_System xmlns="bd99c180-279b-44c3-9486-dd050336677e" xsi:nil="true"/>
    <OSC_StateA_12_9Number_of_Responses_per_Respondent xmlns="bd99c180-279b-44c3-9486-dd050336677e">1</OSC_StateA_12_9Number_of_Responses_per_Respondent>
    <OSC_StateA_14_4Average_Hours_Per_Collection xmlns="bd99c180-279b-44c3-9486-dd050336677e">0</OSC_StateA_14_4Average_Hours_Per_Collection>
    <GenICPICenterDivisionBranch xmlns="bd99c180-279b-44c3-9486-dd050336677e">NCHHSTP/DHAP/Epidemiology Branc</GenICPICenterDivisionBranch>
    <GenICPIWorkMailingAddress xmlns="bd99c180-279b-44c3-9486-dd050336677e">1600 Clifton Road, Mailstop E-45, Atlanta, GA 30329</GenICPIWorkMailingAddress>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GenICPICDCID xmlns="bd99c180-279b-44c3-9486-dd050336677e">dks0</GenICPICDCID>
    <OSC_StateA_12_8Average_Burden_per_Response_in_Hours xmlns="bd99c180-279b-44c3-9486-dd050336677e">=&gt;20/60&lt;=</OSC_StateA_12_8Average_Burden_per_Response_in_Hours>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List_Of_Attachments xmlns="bd99c180-279b-44c3-9486-dd050336677e" xsi:nil="true"/>
    <GenICNickname xmlns="15b1c282-9287-45cb-9b41-eae3a76919a0">LHD-PrEP</GenICNickname>
    <OSC_StateA_12_10Total_Burden_Hours xmlns="bd99c180-279b-44c3-9486-dd050336677e">0</OSC_StateA_12_10Total_Burden_Hours>
    <OSC_StateA_12_9Average_Burden_per_Response_in_Hours xmlns="bd99c180-279b-44c3-9486-dd050336677e">=&gt;20/60&lt;=</OSC_StateA_12_9Average_Burden_per_Response_in_Hours>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 xsi:nil="true"/>
    <OSC_StateA_12_10Number_of_Respondents xmlns="bd99c180-279b-44c3-9486-dd050336677e">0</OSC_StateA_12_10Number_of_Respondents>
    <OSC_StateA_12_1Total_Burden_Hours xmlns="bd99c180-279b-44c3-9486-dd050336677e">0</OSC_StateA_12_1Total_Burden_Hours>
    <OSC_StateA_12_1Total_Respondent_Costs xmlns="bd99c180-279b-44c3-9486-dd050336677e">0</OSC_StateA_12_1Total_Respondent_Costs>
    <OSC_StateA_12_7Type_of_Respondent xmlns="bd99c180-279b-44c3-9486-dd050336677e">=&gt;Enter&lt;=</OSC_StateA_12_7Type_of_Respondent>
    <OSC_StateA_14_9Average_Hourly_Rate xmlns="bd99c180-279b-44c3-9486-dd050336677e">0</OSC_StateA_14_9Average_Hourly_Rate>
    <OSC_StateA_14_Estimated_Total_Cost_of_Information_Collection xmlns="bd99c180-279b-44c3-9486-dd050336677e">0</OSC_StateA_14_Estimated_Total_Cost_of_Information_Collection>
    <OSC_StateA_Reason_Display_OMB_Expiration_Date_is_Inappropriate xmlns="bd99c180-279b-44c3-9486-dd050336677e" xsi:nil="true"/>
    <GenICPIName xmlns="bd99c180-279b-44c3-9486-dd050336677e">Dawn K. Smith, MD, MS, MPH</GenICPIName>
    <OSC_StateA_12_6Type_of_Respondent xmlns="bd99c180-279b-44c3-9486-dd050336677e">=&gt;Enter&lt;=</OSC_StateA_12_6Type_of_Respondent>
    <OSC_StateA_12_Total_Total_Respondent_Costs xmlns="bd99c180-279b-44c3-9486-dd050336677e">0</OSC_StateA_12_Total_Total_Respondent_Costs>
    <OSC_StateA_14_1Average_Hours_Per_Collection xmlns="bd99c180-279b-44c3-9486-dd050336677e">0</OSC_StateA_14_1Average_Hours_Per_Collection>
    <OSC_StateA_14_8Average_Hourly_Rate xmlns="bd99c180-279b-44c3-9486-dd050336677e">0</OSC_StateA_14_8Average_Hourly_Rate>
    <GenICPICIO xmlns="bd99c180-279b-44c3-9486-dd050336677e">OIT</GenICPICIO>
    <GenICTitle xmlns="15b1c282-9287-45cb-9b41-eae3a76919a0">Assessing local health department roles and resource needs for supporting PrEP implementation to reduce new HIV infections</GenICTitle>
    <OSC_StateA_12_3Total_Burden_Hours xmlns="bd99c180-279b-44c3-9486-dd050336677e">0</OSC_StateA_12_3Total_Burden_Hours>
    <OSC_StateA_12_3Total_Respondent_Costs xmlns="bd99c180-279b-44c3-9486-dd050336677e">0</OSC_StateA_12_3Total_Respondent_Costs>
    <OSC_StateA_12_5Type_of_Respondent xmlns="bd99c180-279b-44c3-9486-dd050336677e">=&gt;Enter&lt;=</OSC_StateA_12_5Type_of_Respondent>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0</OSC_StateA_14_2Average_Hours_Per_Collection>
    <OSC_StateA_Background xmlns="bd99c180-279b-44c3-9486-dd050336677e" xsi:nil="true"/>
    <OSC_StateA_Estimates_of_Annualized_Burden_Hours_and_Costs xmlns="bd99c180-279b-44c3-9486-dd050336677e" xsi:nil="true"/>
    <OSC_StateA_Items_to_be_collected xmlns="bd99c180-279b-44c3-9486-dd050336677e" xsi:nil="true"/>
    <OSC_StateA_12_2Total_Burden_Hours xmlns="bd99c180-279b-44c3-9486-dd050336677e">0</OSC_StateA_12_2Total_Burden_Hours>
    <OSC_StateA_12_2Total_Respondent_Costs xmlns="bd99c180-279b-44c3-9486-dd050336677e">0</OSC_StateA_12_2Total_Respondent_Costs>
    <OSC_StateA_12_4Type_of_Respondent xmlns="bd99c180-279b-44c3-9486-dd050336677e">=&gt;Enter&lt;=</OSC_StateA_12_4Type_of_Respondent>
    <OSC_StateA_12_9Hourly_Wage_Rate xmlns="bd99c180-279b-44c3-9486-dd050336677e">0</OSC_StateA_12_9Hourly_Wage_Rate>
    <OSC_StateA_14_3Average_Hours_Per_Collection xmlns="bd99c180-279b-44c3-9486-dd050336677e">0</OSC_StateA_14_3Average_Hours_Per_Collection>
    <OSC_StateA_Explanation_of_Any_Payment_or_Gift_to_Respondents xmlns="bd99c180-279b-44c3-9486-dd050336677e" xsi:nil="true"/>
    <OSC_StateA_12_3Type_of_Respondent xmlns="bd99c180-279b-44c3-9486-dd050336677e">=&gt;Enter&lt;=</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=&gt;Enter&lt;=</OSC_StateA_12_2Type_of_Respondent>
    <OSC_StateA_12_4Number_of_Responses_per_Respondent xmlns="bd99c180-279b-44c3-9486-dd050336677e">1</OSC_StateA_12_4Number_of_Responses_per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=&gt;Enter&lt;=</OSC_StateA_14_10Staff_FTE>
    <OSC_StateA_14_1Average_Cost xmlns="bd99c180-279b-44c3-9486-dd050336677e">0</OSC_StateA_14_1Average_Cost>
    <OSC_StateA_Estimate_Other_Total_Annual_Cost_Burden_to_Respond xmlns="bd99c180-279b-44c3-9486-dd050336677e" xsi:nil="true"/>
    <GenICPITitle xmlns="bd99c180-279b-44c3-9486-dd050336677e">Medical Epidemiologist</GenICPITitle>
    <OSC_StateA_12_1Type_of_Respondent xmlns="bd99c180-279b-44c3-9486-dd050336677e">=&gt;Enter&lt;=</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0</OSC_StateA_12_Total_Total_Burden_Hours>
    <OSC_StateA_14_2Average_Cost xmlns="bd99c180-279b-44c3-9486-dd050336677e">0</OSC_StateA_14_2Average_Cost>
    <OSC_StateA_14_8Staff_FTE xmlns="bd99c180-279b-44c3-9486-dd050336677e">=&gt;Enter&lt;=</OSC_StateA_14_8Staff_FTE>
    <OSC_StateA_Websites_Directed_at_Children xmlns="bd99c180-279b-44c3-9486-dd050336677e" xsi:nil="true"/>
    <GenICPIDivisionOROfficeTitle xmlns="bd99c180-279b-44c3-9486-dd050336677e">Biomedical Intervention Activity Lead</GenICPIDivisionOROfficeTitl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0</OSC_StateA_14_3Average_Cost>
    <OSC_StateA_14_9Staff_FTE xmlns="bd99c180-279b-44c3-9486-dd050336677e">=&gt;Enter&lt;=</OSC_StateA_14_9Staff_FTE>
    <OSC_StateA_Annualized_Cost_to_the_Government xmlns="bd99c180-279b-44c3-9486-dd050336677e" xsi:nil="true"/>
    <OSC_StateA_12_10Hourly_Wage_Rate xmlns="bd99c180-279b-44c3-9486-dd050336677e">0</OSC_StateA_12_10Hourly_Wage_Rate>
    <OSC_StateA_12_1Number_of_Responses_per_Respondent xmlns="bd99c180-279b-44c3-9486-dd050336677e">1</OSC_StateA_12_1Number_of_Responses_per_Respondent>
    <OSC_StateA_12_2Average_Burden_per_Response_in_Hours xmlns="bd99c180-279b-44c3-9486-dd050336677e">=&gt;20/60&lt;=</OSC_StateA_12_2Average_Burden_per_Response_in_Hours>
    <OSC_StateA_12_2Hourly_Wage_Rate xmlns="bd99c180-279b-44c3-9486-dd050336677e">0</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0</OSC_StateA_14_1Average_Hourly_Rate>
    <OSC_StateA_14_4Average_Cost xmlns="bd99c180-279b-44c3-9486-dd050336677e">0</OSC_StateA_14_4Average_Cost>
    <OSC_StateA_14_6Staff_FTE xmlns="bd99c180-279b-44c3-9486-dd050336677e">=&gt;Enter&lt;=</OSC_StateA_14_6Staff_FTE>
    <OSC_StateA_14_8Average_Hours_Per_Collection xmlns="bd99c180-279b-44c3-9486-dd050336677e">0</OSC_StateA_14_8Average_Hours_Per_Collection>
    <OSC_StateA_Exceptions_Certification_Paperwork_Reduction_Act xmlns="bd99c180-279b-44c3-9486-dd050336677e" xsi:nil="true"/>
    <OSC_StateA_Explanation_for_Program_Changes_or_Adjustments xmlns="bd99c180-279b-44c3-9486-dd050336677e" xsi:nil="true"/>
    <OSC_StateA_Purpose_and_Use xmlns="bd99c180-279b-44c3-9486-dd050336677e" xsi:nil="true"/>
    <OSC_StateA_12_3Average_Burden_per_Response_in_Hours xmlns="bd99c180-279b-44c3-9486-dd050336677e">=&gt;20/60&lt;=</OSC_StateA_12_3Average_Burden_per_Response_in_Hours>
    <OSC_StateA_12_3Hourly_Wage_Rate xmlns="bd99c180-279b-44c3-9486-dd050336677e">0</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0</OSC_StateA_14_5Average_Cost>
    <OSC_StateA_14_7Staff_FTE xmlns="bd99c180-279b-44c3-9486-dd050336677e">=&gt;Enter&lt;=</OSC_StateA_14_7Staff_FTE>
    <OSC_StateA_14_9Average_Hours_Per_Collection xmlns="bd99c180-279b-44c3-9486-dd050336677e">0</OSC_StateA_14_9Average_Hours_Per_Collection>
    <OSC_StateA_Impact_on_Small_Businesses_or_Other_Small_Entities xmlns="bd99c180-279b-44c3-9486-dd050336677e" xsi:nil="true"/>
    <GenICPIBranchOROfficeTitle xmlns="bd99c180-279b-44c3-9486-dd050336677e">NCHHSTP/DHAP/Epidemiology Branch</GenICPIBranchOROfficeTitle>
    <GenICPIFax xmlns="bd99c180-279b-44c3-9486-dd050336677e">404.639.6127</GenICPIFax>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0</OSC_StateA_14_3Average_Hourly_Rate>
    <OSC_StateA_14_4Staff_FTE xmlns="bd99c180-279b-44c3-9486-dd050336677e">=&gt;Enter&lt;=</OSC_StateA_14_4Staff_FTE>
    <OSC_StateA_14_6Average_Cost xmlns="bd99c180-279b-44c3-9486-dd050336677e">0</OSC_StateA_14_6Average_Cost>
    <GenICPIPhone xmlns="bd99c180-279b-44c3-9486-dd050336677e">404.639.5166</GenICPIPhone>
    <OSC_StateA_12_1Average_Burden_per_Response_in_Hours xmlns="bd99c180-279b-44c3-9486-dd050336677e">=&gt;30/60&lt;=</OSC_StateA_12_1Average_Burden_per_Response_in_Hours>
    <OSC_StateA_12_1Hourly_Wage_Rate xmlns="bd99c180-279b-44c3-9486-dd050336677e">0</OSC_StateA_12_1Hourly_Wage_Rat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0</OSC_StateA_14_2Average_Hourly_Rate>
    <OSC_StateA_14_5Staff_FTE xmlns="bd99c180-279b-44c3-9486-dd050336677e">=&gt;Enter&lt;=</OSC_StateA_14_5Staff_FTE>
    <OSC_StateA_14_7Average_Cost xmlns="bd99c180-279b-44c3-9486-dd050336677e">0</OSC_StateA_14_7Average_Cost>
    <OSC_StateA_Response_to_the_Federal_Register_Notice_and_Efforts xmlns="bd99c180-279b-44c3-9486-dd050336677e" xsi:nil="true"/>
    <_dlc_DocIdUrl xmlns="b5c0ca00-073d-4463-9985-b654f14791fe">
      <Url>https://esp.cdc.gov/sites/ostlts/pip/osc/_layouts/15/DocIdRedir.aspx?ID=OSTLTSDOC-726-91</Url>
      <Description>OSTLTSDOC-726-91</Description>
    </_dlc_DocIdUrl>
    <_dlc_DocId xmlns="b5c0ca00-073d-4463-9985-b654f14791fe">OSTLTSDOC-726-91</_dlc_Doc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6E0D1-B2ED-4539-AACE-9B1AE17B0255}">
  <ds:schemaRefs>
    <ds:schemaRef ds:uri="http://purl.org/dc/dcmitype/"/>
    <ds:schemaRef ds:uri="http://purl.org/dc/terms/"/>
    <ds:schemaRef ds:uri="http://purl.org/dc/elements/1.1/"/>
    <ds:schemaRef ds:uri="http://schemas.microsoft.com/office/2006/metadata/properties"/>
    <ds:schemaRef ds:uri="http://www.w3.org/XML/1998/namespace"/>
    <ds:schemaRef ds:uri="bd99c180-279b-44c3-9486-dd050336677e"/>
    <ds:schemaRef ds:uri="http://schemas.microsoft.com/office/2006/documentManagement/types"/>
    <ds:schemaRef ds:uri="http://schemas.microsoft.com/office/infopath/2007/PartnerControls"/>
    <ds:schemaRef ds:uri="http://schemas.openxmlformats.org/package/2006/metadata/core-properties"/>
    <ds:schemaRef ds:uri="ce849d94-b00b-4457-8fdf-7e9e81e05b5e"/>
    <ds:schemaRef ds:uri="15b1c282-9287-45cb-9b41-eae3a76919a0"/>
    <ds:schemaRef ds:uri="b5c0ca00-073d-4463-9985-b654f14791fe"/>
  </ds:schemaRefs>
</ds:datastoreItem>
</file>

<file path=customXml/itemProps2.xml><?xml version="1.0" encoding="utf-8"?>
<ds:datastoreItem xmlns:ds="http://schemas.openxmlformats.org/officeDocument/2006/customXml" ds:itemID="{A70131DF-5ABA-4DBC-A8ED-71ADFFEF9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56B6E7-B1B3-4662-97C8-E8D544ED7083}">
  <ds:schemaRefs>
    <ds:schemaRef ds:uri="http://schemas.microsoft.com/sharepoint/events"/>
  </ds:schemaRefs>
</ds:datastoreItem>
</file>

<file path=customXml/itemProps4.xml><?xml version="1.0" encoding="utf-8"?>
<ds:datastoreItem xmlns:ds="http://schemas.openxmlformats.org/officeDocument/2006/customXml" ds:itemID="{E478466E-8B42-465B-AC5B-F10C1BC14C5B}">
  <ds:schemaRefs>
    <ds:schemaRef ds:uri="http://schemas.microsoft.com/office/2006/metadata/customXsn"/>
  </ds:schemaRefs>
</ds:datastoreItem>
</file>

<file path=customXml/itemProps5.xml><?xml version="1.0" encoding="utf-8"?>
<ds:datastoreItem xmlns:ds="http://schemas.openxmlformats.org/officeDocument/2006/customXml" ds:itemID="{E2C54614-6C4F-4D7B-8A0D-1AB5CEC4D0A0}">
  <ds:schemaRefs>
    <ds:schemaRef ds:uri="http://schemas.microsoft.com/sharepoint/v3/contenttype/forms"/>
  </ds:schemaRefs>
</ds:datastoreItem>
</file>

<file path=customXml/itemProps6.xml><?xml version="1.0" encoding="utf-8"?>
<ds:datastoreItem xmlns:ds="http://schemas.openxmlformats.org/officeDocument/2006/customXml" ds:itemID="{863F7B54-CEAD-469B-8477-FE8119A3F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TotalTime>
  <Pages>10</Pages>
  <Words>4736</Words>
  <Characters>26999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PrEP for HIV prevention: Assessing local health department roles and resource needs</vt:lpstr>
    </vt:vector>
  </TitlesOfParts>
  <Company>CDC</Company>
  <LinksUpToDate>false</LinksUpToDate>
  <CharactersWithSpaces>31672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 for HIV prevention: Assessing local health department roles and resource needs</dc:title>
  <dc:creator>CDC User</dc:creator>
  <cp:lastModifiedBy>CDC User</cp:lastModifiedBy>
  <cp:revision>3</cp:revision>
  <cp:lastPrinted>2011-06-07T15:53:00Z</cp:lastPrinted>
  <dcterms:created xsi:type="dcterms:W3CDTF">2015-06-10T19:08:00Z</dcterms:created>
  <dcterms:modified xsi:type="dcterms:W3CDTF">2015-06-10T19:09:00Z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bbc62138-1bc6-4d68-813c-5afa79afe617</vt:lpwstr>
  </property>
</Properties>
</file>